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BC138F" w14:textId="77777777" w:rsidR="00040C3A" w:rsidRPr="00885BCF" w:rsidRDefault="00D306D1" w:rsidP="00627C9F">
      <w:pPr>
        <w:jc w:val="both"/>
        <w:rPr>
          <w:rFonts w:asciiTheme="majorHAnsi" w:hAnsiTheme="majorHAnsi" w:cs="Univers"/>
          <w:b/>
          <w:bCs/>
          <w:sz w:val="22"/>
          <w:szCs w:val="22"/>
          <w:lang w:val="es-ES"/>
        </w:rPr>
      </w:pPr>
      <w:r w:rsidRPr="00885BC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34F1DCB" wp14:editId="3D36E12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7A844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85BC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D69022A" wp14:editId="4084F36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929E5" w14:textId="77777777" w:rsidR="00812BAB" w:rsidRDefault="00812BAB" w:rsidP="00AE5488">
                            <w:r>
                              <w:rPr>
                                <w:noProof/>
                              </w:rPr>
                              <w:drawing>
                                <wp:inline distT="0" distB="0" distL="0" distR="0" wp14:anchorId="25126127" wp14:editId="4D25D7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69022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A3929E5" w14:textId="77777777" w:rsidR="00812BAB" w:rsidRDefault="00812BAB" w:rsidP="00AE5488">
                      <w:r>
                        <w:rPr>
                          <w:noProof/>
                        </w:rPr>
                        <w:drawing>
                          <wp:inline distT="0" distB="0" distL="0" distR="0" wp14:anchorId="25126127" wp14:editId="4D25D7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047061A" w14:textId="77777777" w:rsidR="00040C3A" w:rsidRPr="00885BCF" w:rsidRDefault="00040C3A" w:rsidP="00040C3A">
      <w:pPr>
        <w:tabs>
          <w:tab w:val="center" w:pos="5400"/>
        </w:tabs>
        <w:suppressAutoHyphens/>
        <w:jc w:val="both"/>
        <w:rPr>
          <w:rFonts w:asciiTheme="majorHAnsi" w:hAnsiTheme="majorHAnsi"/>
          <w:sz w:val="22"/>
          <w:szCs w:val="22"/>
          <w:lang w:val="es-ES"/>
        </w:rPr>
      </w:pPr>
    </w:p>
    <w:p w14:paraId="1FC1F348" w14:textId="77777777" w:rsidR="00040C3A" w:rsidRPr="00885BCF" w:rsidRDefault="00040C3A" w:rsidP="00040C3A">
      <w:pPr>
        <w:tabs>
          <w:tab w:val="center" w:pos="5400"/>
        </w:tabs>
        <w:suppressAutoHyphens/>
        <w:jc w:val="both"/>
        <w:rPr>
          <w:rFonts w:asciiTheme="majorHAnsi" w:hAnsiTheme="majorHAnsi"/>
          <w:sz w:val="22"/>
          <w:szCs w:val="22"/>
          <w:lang w:val="es-ES"/>
        </w:rPr>
      </w:pPr>
    </w:p>
    <w:p w14:paraId="6E9ED0D8" w14:textId="77777777" w:rsidR="005128E4" w:rsidRPr="00885BCF" w:rsidRDefault="005128E4" w:rsidP="00040C3A">
      <w:pPr>
        <w:tabs>
          <w:tab w:val="center" w:pos="5400"/>
        </w:tabs>
        <w:suppressAutoHyphens/>
        <w:rPr>
          <w:rFonts w:asciiTheme="majorHAnsi" w:hAnsiTheme="majorHAnsi"/>
          <w:sz w:val="22"/>
          <w:szCs w:val="22"/>
          <w:lang w:val="es-ES"/>
        </w:rPr>
      </w:pPr>
    </w:p>
    <w:p w14:paraId="5DBED771" w14:textId="77777777" w:rsidR="005128E4" w:rsidRPr="00885BCF" w:rsidRDefault="005128E4" w:rsidP="00040C3A">
      <w:pPr>
        <w:tabs>
          <w:tab w:val="center" w:pos="5400"/>
        </w:tabs>
        <w:suppressAutoHyphens/>
        <w:rPr>
          <w:rFonts w:asciiTheme="majorHAnsi" w:hAnsiTheme="majorHAnsi"/>
          <w:sz w:val="22"/>
          <w:szCs w:val="22"/>
          <w:lang w:val="es-ES"/>
        </w:rPr>
      </w:pPr>
    </w:p>
    <w:p w14:paraId="7D5BF652" w14:textId="77777777" w:rsidR="005128E4" w:rsidRPr="00885BCF" w:rsidRDefault="005128E4" w:rsidP="00040C3A">
      <w:pPr>
        <w:tabs>
          <w:tab w:val="center" w:pos="5400"/>
        </w:tabs>
        <w:suppressAutoHyphens/>
        <w:rPr>
          <w:rFonts w:asciiTheme="majorHAnsi" w:hAnsiTheme="majorHAnsi"/>
          <w:sz w:val="22"/>
          <w:szCs w:val="22"/>
          <w:lang w:val="es-ES"/>
        </w:rPr>
      </w:pPr>
    </w:p>
    <w:p w14:paraId="4C0593AF" w14:textId="77777777" w:rsidR="00040C3A" w:rsidRPr="00885BCF" w:rsidRDefault="00040C3A" w:rsidP="005128E4">
      <w:pPr>
        <w:tabs>
          <w:tab w:val="center" w:pos="5400"/>
        </w:tabs>
        <w:suppressAutoHyphens/>
        <w:jc w:val="center"/>
        <w:rPr>
          <w:rFonts w:asciiTheme="majorHAnsi" w:hAnsiTheme="majorHAnsi"/>
          <w:sz w:val="22"/>
          <w:szCs w:val="22"/>
          <w:lang w:val="es-ES"/>
        </w:rPr>
      </w:pPr>
    </w:p>
    <w:p w14:paraId="0CFF8FFF" w14:textId="77777777" w:rsidR="00040C3A" w:rsidRPr="00885BCF" w:rsidRDefault="00040C3A" w:rsidP="005128E4">
      <w:pPr>
        <w:tabs>
          <w:tab w:val="center" w:pos="5400"/>
        </w:tabs>
        <w:suppressAutoHyphens/>
        <w:jc w:val="center"/>
        <w:rPr>
          <w:rFonts w:asciiTheme="majorHAnsi" w:hAnsiTheme="majorHAnsi"/>
          <w:sz w:val="22"/>
          <w:szCs w:val="22"/>
          <w:lang w:val="es-ES"/>
        </w:rPr>
      </w:pPr>
    </w:p>
    <w:p w14:paraId="4343E0EF" w14:textId="77777777" w:rsidR="005B52B0" w:rsidRPr="00885BCF" w:rsidRDefault="005B52B0" w:rsidP="005128E4">
      <w:pPr>
        <w:tabs>
          <w:tab w:val="center" w:pos="5400"/>
        </w:tabs>
        <w:suppressAutoHyphens/>
        <w:jc w:val="center"/>
        <w:rPr>
          <w:rFonts w:asciiTheme="majorHAnsi" w:hAnsiTheme="majorHAnsi"/>
          <w:sz w:val="22"/>
          <w:szCs w:val="22"/>
          <w:lang w:val="es-ES"/>
        </w:rPr>
      </w:pPr>
    </w:p>
    <w:p w14:paraId="1E190C9D" w14:textId="77777777" w:rsidR="005B52B0" w:rsidRPr="00885BCF" w:rsidRDefault="005B52B0" w:rsidP="005128E4">
      <w:pPr>
        <w:tabs>
          <w:tab w:val="center" w:pos="5400"/>
        </w:tabs>
        <w:suppressAutoHyphens/>
        <w:jc w:val="center"/>
        <w:rPr>
          <w:rFonts w:asciiTheme="majorHAnsi" w:hAnsiTheme="majorHAnsi"/>
          <w:sz w:val="22"/>
          <w:szCs w:val="22"/>
          <w:lang w:val="es-ES"/>
        </w:rPr>
      </w:pPr>
    </w:p>
    <w:p w14:paraId="4205AA11" w14:textId="77777777" w:rsidR="005B52B0" w:rsidRPr="00885BCF" w:rsidRDefault="005B52B0" w:rsidP="005128E4">
      <w:pPr>
        <w:tabs>
          <w:tab w:val="center" w:pos="5400"/>
        </w:tabs>
        <w:suppressAutoHyphens/>
        <w:jc w:val="center"/>
        <w:rPr>
          <w:rFonts w:asciiTheme="majorHAnsi" w:hAnsiTheme="majorHAnsi"/>
          <w:sz w:val="22"/>
          <w:szCs w:val="22"/>
          <w:lang w:val="es-ES"/>
        </w:rPr>
      </w:pPr>
    </w:p>
    <w:p w14:paraId="6E5A2F81"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14DD6632"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0CA6493C" w14:textId="77777777" w:rsidR="00040C3A" w:rsidRPr="00885BCF" w:rsidRDefault="003D3BC2" w:rsidP="00040C3A">
      <w:pPr>
        <w:tabs>
          <w:tab w:val="center" w:pos="5400"/>
        </w:tabs>
        <w:suppressAutoHyphens/>
        <w:jc w:val="center"/>
        <w:rPr>
          <w:rFonts w:asciiTheme="majorHAnsi" w:hAnsiTheme="majorHAnsi"/>
          <w:sz w:val="22"/>
          <w:szCs w:val="22"/>
          <w:lang w:val="es-ES"/>
        </w:rPr>
      </w:pPr>
      <w:r w:rsidRPr="00885BC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7A90DB" wp14:editId="4414049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4586" w14:textId="12392135" w:rsidR="00812BAB" w:rsidRPr="004E2649" w:rsidRDefault="00812BA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91959">
                              <w:rPr>
                                <w:rFonts w:asciiTheme="majorHAnsi" w:hAnsiTheme="majorHAnsi" w:cs="Arial"/>
                                <w:b/>
                                <w:bCs/>
                                <w:color w:val="0D0D0D" w:themeColor="text1" w:themeTint="F2"/>
                                <w:sz w:val="36"/>
                                <w:szCs w:val="22"/>
                                <w:lang w:val="es-ES_tradnl"/>
                              </w:rPr>
                              <w:t xml:space="preserve"> 143</w:t>
                            </w:r>
                            <w:r w:rsidR="00D24710">
                              <w:rPr>
                                <w:rFonts w:asciiTheme="majorHAnsi" w:hAnsiTheme="majorHAnsi" w:cs="Arial"/>
                                <w:b/>
                                <w:bCs/>
                                <w:color w:val="0D0D0D" w:themeColor="text1" w:themeTint="F2"/>
                                <w:sz w:val="36"/>
                                <w:szCs w:val="22"/>
                                <w:lang w:val="es-ES_tradnl"/>
                              </w:rPr>
                              <w:t>/20</w:t>
                            </w:r>
                          </w:p>
                          <w:p w14:paraId="3BB7DB7B" w14:textId="77777777" w:rsidR="00812BAB" w:rsidRPr="00C1437E" w:rsidRDefault="00812BA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56B4">
                              <w:rPr>
                                <w:rFonts w:asciiTheme="majorHAnsi" w:hAnsiTheme="majorHAnsi" w:cs="Arial"/>
                                <w:b/>
                                <w:color w:val="0D0D0D" w:themeColor="text1" w:themeTint="F2"/>
                                <w:sz w:val="36"/>
                                <w:szCs w:val="22"/>
                                <w:lang w:val="es-ES_tradnl"/>
                              </w:rPr>
                              <w:t>344-07</w:t>
                            </w:r>
                          </w:p>
                          <w:p w14:paraId="176BC132" w14:textId="47E4E9A2" w:rsidR="00812BAB" w:rsidRPr="00C1437E" w:rsidRDefault="00812BAB" w:rsidP="00997BC5">
                            <w:pPr>
                              <w:spacing w:line="276" w:lineRule="auto"/>
                              <w:rPr>
                                <w:rFonts w:asciiTheme="majorHAnsi" w:hAnsiTheme="majorHAnsi" w:cs="Arial"/>
                                <w:color w:val="0D0D0D" w:themeColor="text1" w:themeTint="F2"/>
                                <w:szCs w:val="22"/>
                                <w:lang w:val="es-ES_tradnl"/>
                              </w:rPr>
                            </w:pPr>
                            <w:r w:rsidRPr="00C1437E">
                              <w:rPr>
                                <w:rFonts w:asciiTheme="majorHAnsi" w:hAnsiTheme="majorHAnsi" w:cs="Arial"/>
                                <w:color w:val="0D0D0D" w:themeColor="text1" w:themeTint="F2"/>
                                <w:szCs w:val="22"/>
                                <w:lang w:val="es-ES_tradnl"/>
                              </w:rPr>
                              <w:t xml:space="preserve">INFORME DE </w:t>
                            </w:r>
                            <w:r w:rsidR="00C4590D">
                              <w:rPr>
                                <w:rFonts w:asciiTheme="majorHAnsi" w:hAnsiTheme="majorHAnsi" w:cs="Arial"/>
                                <w:color w:val="0D0D0D" w:themeColor="text1" w:themeTint="F2"/>
                                <w:szCs w:val="22"/>
                                <w:lang w:val="es-ES_tradnl"/>
                              </w:rPr>
                              <w:t>IN</w:t>
                            </w:r>
                            <w:r w:rsidRPr="00C1437E">
                              <w:rPr>
                                <w:rFonts w:asciiTheme="majorHAnsi" w:hAnsiTheme="majorHAnsi" w:cs="Arial"/>
                                <w:color w:val="0D0D0D" w:themeColor="text1" w:themeTint="F2"/>
                                <w:szCs w:val="22"/>
                                <w:lang w:val="es-ES_tradnl"/>
                              </w:rPr>
                              <w:t>ADMISIBILIDAD</w:t>
                            </w:r>
                          </w:p>
                          <w:p w14:paraId="1BDF67E5" w14:textId="77777777" w:rsidR="00812BAB" w:rsidRPr="00C1437E" w:rsidRDefault="00812BAB" w:rsidP="00997BC5">
                            <w:pPr>
                              <w:spacing w:line="276" w:lineRule="auto"/>
                              <w:rPr>
                                <w:rFonts w:asciiTheme="majorHAnsi" w:hAnsiTheme="majorHAnsi" w:cs="Arial"/>
                                <w:color w:val="0D0D0D" w:themeColor="text1" w:themeTint="F2"/>
                                <w:szCs w:val="22"/>
                                <w:lang w:val="es-ES_tradnl"/>
                              </w:rPr>
                            </w:pPr>
                            <w:bookmarkStart w:id="1" w:name="_ftnref1"/>
                          </w:p>
                          <w:p w14:paraId="64A16FAA" w14:textId="77777777" w:rsidR="00812BAB" w:rsidRPr="0010736F" w:rsidRDefault="00812BAB" w:rsidP="00997BC5">
                            <w:pPr>
                              <w:spacing w:line="276" w:lineRule="auto"/>
                              <w:rPr>
                                <w:rFonts w:asciiTheme="majorHAnsi" w:hAnsiTheme="majorHAnsi" w:cs="Arial"/>
                                <w:color w:val="0D0D0D" w:themeColor="text1" w:themeTint="F2"/>
                                <w:szCs w:val="22"/>
                                <w:lang w:val="es-ES_tradnl"/>
                              </w:rPr>
                            </w:pPr>
                            <w:r w:rsidRPr="00C1437E">
                              <w:rPr>
                                <w:rFonts w:asciiTheme="majorHAnsi" w:hAnsiTheme="majorHAnsi" w:cs="Arial"/>
                                <w:color w:val="0D0D0D" w:themeColor="text1" w:themeTint="F2"/>
                                <w:szCs w:val="22"/>
                                <w:lang w:val="es-ES_tradnl"/>
                              </w:rPr>
                              <w:t>DAVID EDUARDO MILLA ESPINOZA</w:t>
                            </w:r>
                          </w:p>
                          <w:bookmarkEnd w:id="1"/>
                          <w:p w14:paraId="2045C4CC" w14:textId="77777777" w:rsidR="00812BAB" w:rsidRPr="0010736F" w:rsidRDefault="00812B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2F9B7923" w14:textId="77777777" w:rsidR="00812BAB" w:rsidRPr="00AE5488" w:rsidRDefault="00812BA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7A90D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B404586" w14:textId="12392135" w:rsidR="00812BAB" w:rsidRPr="004E2649" w:rsidRDefault="00812BA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91959">
                        <w:rPr>
                          <w:rFonts w:asciiTheme="majorHAnsi" w:hAnsiTheme="majorHAnsi" w:cs="Arial"/>
                          <w:b/>
                          <w:bCs/>
                          <w:color w:val="0D0D0D" w:themeColor="text1" w:themeTint="F2"/>
                          <w:sz w:val="36"/>
                          <w:szCs w:val="22"/>
                          <w:lang w:val="es-ES_tradnl"/>
                        </w:rPr>
                        <w:t xml:space="preserve"> 143</w:t>
                      </w:r>
                      <w:r w:rsidR="00D24710">
                        <w:rPr>
                          <w:rFonts w:asciiTheme="majorHAnsi" w:hAnsiTheme="majorHAnsi" w:cs="Arial"/>
                          <w:b/>
                          <w:bCs/>
                          <w:color w:val="0D0D0D" w:themeColor="text1" w:themeTint="F2"/>
                          <w:sz w:val="36"/>
                          <w:szCs w:val="22"/>
                          <w:lang w:val="es-ES_tradnl"/>
                        </w:rPr>
                        <w:t>/20</w:t>
                      </w:r>
                    </w:p>
                    <w:p w14:paraId="3BB7DB7B" w14:textId="77777777" w:rsidR="00812BAB" w:rsidRPr="00C1437E" w:rsidRDefault="00812BA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56B4">
                        <w:rPr>
                          <w:rFonts w:asciiTheme="majorHAnsi" w:hAnsiTheme="majorHAnsi" w:cs="Arial"/>
                          <w:b/>
                          <w:color w:val="0D0D0D" w:themeColor="text1" w:themeTint="F2"/>
                          <w:sz w:val="36"/>
                          <w:szCs w:val="22"/>
                          <w:lang w:val="es-ES_tradnl"/>
                        </w:rPr>
                        <w:t>344-07</w:t>
                      </w:r>
                    </w:p>
                    <w:p w14:paraId="176BC132" w14:textId="47E4E9A2" w:rsidR="00812BAB" w:rsidRPr="00C1437E" w:rsidRDefault="00812BAB" w:rsidP="00997BC5">
                      <w:pPr>
                        <w:spacing w:line="276" w:lineRule="auto"/>
                        <w:rPr>
                          <w:rFonts w:asciiTheme="majorHAnsi" w:hAnsiTheme="majorHAnsi" w:cs="Arial"/>
                          <w:color w:val="0D0D0D" w:themeColor="text1" w:themeTint="F2"/>
                          <w:szCs w:val="22"/>
                          <w:lang w:val="es-ES_tradnl"/>
                        </w:rPr>
                      </w:pPr>
                      <w:r w:rsidRPr="00C1437E">
                        <w:rPr>
                          <w:rFonts w:asciiTheme="majorHAnsi" w:hAnsiTheme="majorHAnsi" w:cs="Arial"/>
                          <w:color w:val="0D0D0D" w:themeColor="text1" w:themeTint="F2"/>
                          <w:szCs w:val="22"/>
                          <w:lang w:val="es-ES_tradnl"/>
                        </w:rPr>
                        <w:t xml:space="preserve">INFORME DE </w:t>
                      </w:r>
                      <w:r w:rsidR="00C4590D">
                        <w:rPr>
                          <w:rFonts w:asciiTheme="majorHAnsi" w:hAnsiTheme="majorHAnsi" w:cs="Arial"/>
                          <w:color w:val="0D0D0D" w:themeColor="text1" w:themeTint="F2"/>
                          <w:szCs w:val="22"/>
                          <w:lang w:val="es-ES_tradnl"/>
                        </w:rPr>
                        <w:t>IN</w:t>
                      </w:r>
                      <w:r w:rsidRPr="00C1437E">
                        <w:rPr>
                          <w:rFonts w:asciiTheme="majorHAnsi" w:hAnsiTheme="majorHAnsi" w:cs="Arial"/>
                          <w:color w:val="0D0D0D" w:themeColor="text1" w:themeTint="F2"/>
                          <w:szCs w:val="22"/>
                          <w:lang w:val="es-ES_tradnl"/>
                        </w:rPr>
                        <w:t>ADMISIBILIDAD</w:t>
                      </w:r>
                    </w:p>
                    <w:p w14:paraId="1BDF67E5" w14:textId="77777777" w:rsidR="00812BAB" w:rsidRPr="00C1437E" w:rsidRDefault="00812BAB" w:rsidP="00997BC5">
                      <w:pPr>
                        <w:spacing w:line="276" w:lineRule="auto"/>
                        <w:rPr>
                          <w:rFonts w:asciiTheme="majorHAnsi" w:hAnsiTheme="majorHAnsi" w:cs="Arial"/>
                          <w:color w:val="0D0D0D" w:themeColor="text1" w:themeTint="F2"/>
                          <w:szCs w:val="22"/>
                          <w:lang w:val="es-ES_tradnl"/>
                        </w:rPr>
                      </w:pPr>
                      <w:bookmarkStart w:id="1" w:name="_ftnref1"/>
                    </w:p>
                    <w:p w14:paraId="64A16FAA" w14:textId="77777777" w:rsidR="00812BAB" w:rsidRPr="0010736F" w:rsidRDefault="00812BAB" w:rsidP="00997BC5">
                      <w:pPr>
                        <w:spacing w:line="276" w:lineRule="auto"/>
                        <w:rPr>
                          <w:rFonts w:asciiTheme="majorHAnsi" w:hAnsiTheme="majorHAnsi" w:cs="Arial"/>
                          <w:color w:val="0D0D0D" w:themeColor="text1" w:themeTint="F2"/>
                          <w:szCs w:val="22"/>
                          <w:lang w:val="es-ES_tradnl"/>
                        </w:rPr>
                      </w:pPr>
                      <w:r w:rsidRPr="00C1437E">
                        <w:rPr>
                          <w:rFonts w:asciiTheme="majorHAnsi" w:hAnsiTheme="majorHAnsi" w:cs="Arial"/>
                          <w:color w:val="0D0D0D" w:themeColor="text1" w:themeTint="F2"/>
                          <w:szCs w:val="22"/>
                          <w:lang w:val="es-ES_tradnl"/>
                        </w:rPr>
                        <w:t>DAVID EDUARDO MILLA ESPINOZA</w:t>
                      </w:r>
                    </w:p>
                    <w:bookmarkEnd w:id="1"/>
                    <w:p w14:paraId="2045C4CC" w14:textId="77777777" w:rsidR="00812BAB" w:rsidRPr="0010736F" w:rsidRDefault="00812BA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2F9B7923" w14:textId="77777777" w:rsidR="00812BAB" w:rsidRPr="00AE5488" w:rsidRDefault="00812BAB" w:rsidP="007A5817">
                      <w:pPr>
                        <w:rPr>
                          <w:color w:val="0D0D0D" w:themeColor="text1" w:themeTint="F2"/>
                          <w:lang w:val="es-ES_tradnl"/>
                        </w:rPr>
                      </w:pPr>
                    </w:p>
                  </w:txbxContent>
                </v:textbox>
              </v:shape>
            </w:pict>
          </mc:Fallback>
        </mc:AlternateContent>
      </w:r>
      <w:r w:rsidR="004E2649" w:rsidRPr="00885BC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F01D9D2" wp14:editId="150E1E8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E464E" w14:textId="6123DE28" w:rsidR="00812BAB" w:rsidRPr="00691959" w:rsidRDefault="00812BAB" w:rsidP="007A5817">
                            <w:pPr>
                              <w:spacing w:line="276" w:lineRule="auto"/>
                              <w:jc w:val="right"/>
                              <w:rPr>
                                <w:rFonts w:asciiTheme="minorHAnsi" w:hAnsiTheme="minorHAnsi" w:cstheme="minorHAnsi"/>
                                <w:color w:val="FFFFFF" w:themeColor="background1"/>
                                <w:sz w:val="22"/>
                                <w:lang w:val="pt-BR"/>
                              </w:rPr>
                            </w:pPr>
                            <w:r w:rsidRPr="00691959">
                              <w:rPr>
                                <w:rFonts w:asciiTheme="minorHAnsi" w:hAnsiTheme="minorHAnsi" w:cstheme="minorHAnsi"/>
                                <w:color w:val="FFFFFF" w:themeColor="background1"/>
                                <w:sz w:val="22"/>
                                <w:lang w:val="pt-BR"/>
                              </w:rPr>
                              <w:t>OEA/Ser.L/V/II.</w:t>
                            </w:r>
                          </w:p>
                          <w:p w14:paraId="660BEA63" w14:textId="5F21BDE2" w:rsidR="00812BAB" w:rsidRPr="00691959" w:rsidRDefault="00812BAB" w:rsidP="007A5817">
                            <w:pPr>
                              <w:spacing w:line="276" w:lineRule="auto"/>
                              <w:jc w:val="right"/>
                              <w:rPr>
                                <w:rFonts w:asciiTheme="minorHAnsi" w:hAnsiTheme="minorHAnsi" w:cstheme="minorHAnsi"/>
                                <w:color w:val="FFFFFF" w:themeColor="background1"/>
                                <w:sz w:val="22"/>
                                <w:lang w:val="pt-BR"/>
                              </w:rPr>
                            </w:pPr>
                            <w:r w:rsidRPr="00691959">
                              <w:rPr>
                                <w:rFonts w:asciiTheme="minorHAnsi" w:hAnsiTheme="minorHAnsi" w:cstheme="minorHAnsi"/>
                                <w:color w:val="FFFFFF" w:themeColor="background1"/>
                                <w:sz w:val="22"/>
                                <w:lang w:val="pt-BR"/>
                              </w:rPr>
                              <w:t xml:space="preserve">Doc. </w:t>
                            </w:r>
                            <w:r w:rsidR="00691959">
                              <w:rPr>
                                <w:rFonts w:asciiTheme="minorHAnsi" w:hAnsiTheme="minorHAnsi" w:cstheme="minorHAnsi"/>
                                <w:color w:val="FFFFFF" w:themeColor="background1"/>
                                <w:sz w:val="22"/>
                                <w:lang w:val="pt-BR"/>
                              </w:rPr>
                              <w:t>153</w:t>
                            </w:r>
                          </w:p>
                          <w:p w14:paraId="722BBFD0" w14:textId="665D79E6" w:rsidR="00812BAB" w:rsidRPr="00691959" w:rsidRDefault="00691959" w:rsidP="007A5817">
                            <w:pPr>
                              <w:spacing w:line="276" w:lineRule="auto"/>
                              <w:jc w:val="right"/>
                              <w:rPr>
                                <w:rFonts w:asciiTheme="minorHAnsi" w:hAnsiTheme="minorHAnsi" w:cstheme="minorHAnsi"/>
                                <w:color w:val="FFFFFF" w:themeColor="background1"/>
                                <w:sz w:val="22"/>
                                <w:lang w:val="es-MX"/>
                              </w:rPr>
                            </w:pPr>
                            <w:r>
                              <w:rPr>
                                <w:rFonts w:asciiTheme="minorHAnsi" w:hAnsiTheme="minorHAnsi" w:cstheme="minorHAnsi"/>
                                <w:color w:val="FFFFFF" w:themeColor="background1"/>
                                <w:sz w:val="22"/>
                              </w:rPr>
                              <w:t xml:space="preserve">1 </w:t>
                            </w:r>
                            <w:proofErr w:type="spellStart"/>
                            <w:r>
                              <w:rPr>
                                <w:rFonts w:asciiTheme="minorHAnsi" w:hAnsiTheme="minorHAnsi" w:cstheme="minorHAnsi"/>
                                <w:color w:val="FFFFFF" w:themeColor="background1"/>
                                <w:sz w:val="22"/>
                              </w:rPr>
                              <w:t>junio</w:t>
                            </w:r>
                            <w:proofErr w:type="spellEnd"/>
                            <w:r w:rsidR="00D24710" w:rsidRPr="00691959">
                              <w:rPr>
                                <w:rFonts w:asciiTheme="minorHAnsi" w:hAnsiTheme="minorHAnsi" w:cstheme="minorHAnsi"/>
                                <w:color w:val="FFFFFF" w:themeColor="background1"/>
                                <w:sz w:val="22"/>
                                <w:lang w:val="uz-Cyrl-UZ"/>
                              </w:rPr>
                              <w:t xml:space="preserve"> 20</w:t>
                            </w:r>
                            <w:r w:rsidR="00D24710" w:rsidRPr="00691959">
                              <w:rPr>
                                <w:rFonts w:asciiTheme="minorHAnsi" w:hAnsiTheme="minorHAnsi" w:cstheme="minorHAnsi"/>
                                <w:color w:val="FFFFFF" w:themeColor="background1"/>
                                <w:sz w:val="22"/>
                                <w:lang w:val="es-MX"/>
                              </w:rPr>
                              <w:t>20</w:t>
                            </w:r>
                          </w:p>
                          <w:p w14:paraId="136A8554" w14:textId="77777777" w:rsidR="00812BAB" w:rsidRPr="00691959" w:rsidRDefault="00812BAB" w:rsidP="007A5817">
                            <w:pPr>
                              <w:spacing w:line="276" w:lineRule="auto"/>
                              <w:jc w:val="right"/>
                              <w:rPr>
                                <w:rFonts w:asciiTheme="minorHAnsi" w:hAnsiTheme="minorHAnsi" w:cstheme="minorHAnsi"/>
                                <w:color w:val="FFFFFF" w:themeColor="background1"/>
                                <w:sz w:val="22"/>
                                <w:lang w:val="uz-Cyrl-UZ"/>
                              </w:rPr>
                            </w:pPr>
                            <w:r w:rsidRPr="00691959">
                              <w:rPr>
                                <w:rFonts w:asciiTheme="minorHAnsi" w:hAnsiTheme="minorHAnsi" w:cstheme="minorHAnsi"/>
                                <w:color w:val="FFFFFF" w:themeColor="background1"/>
                                <w:sz w:val="22"/>
                                <w:lang w:val="uz-Cyrl-UZ"/>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01D9D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EEE464E" w14:textId="6123DE28" w:rsidR="00812BAB" w:rsidRPr="00691959" w:rsidRDefault="00812BAB" w:rsidP="007A5817">
                      <w:pPr>
                        <w:spacing w:line="276" w:lineRule="auto"/>
                        <w:jc w:val="right"/>
                        <w:rPr>
                          <w:rFonts w:asciiTheme="minorHAnsi" w:hAnsiTheme="minorHAnsi" w:cstheme="minorHAnsi"/>
                          <w:color w:val="FFFFFF" w:themeColor="background1"/>
                          <w:sz w:val="22"/>
                          <w:lang w:val="pt-BR"/>
                        </w:rPr>
                      </w:pPr>
                      <w:r w:rsidRPr="00691959">
                        <w:rPr>
                          <w:rFonts w:asciiTheme="minorHAnsi" w:hAnsiTheme="minorHAnsi" w:cstheme="minorHAnsi"/>
                          <w:color w:val="FFFFFF" w:themeColor="background1"/>
                          <w:sz w:val="22"/>
                          <w:lang w:val="pt-BR"/>
                        </w:rPr>
                        <w:t>OEA/Ser.L/V/II.</w:t>
                      </w:r>
                    </w:p>
                    <w:p w14:paraId="660BEA63" w14:textId="5F21BDE2" w:rsidR="00812BAB" w:rsidRPr="00691959" w:rsidRDefault="00812BAB" w:rsidP="007A5817">
                      <w:pPr>
                        <w:spacing w:line="276" w:lineRule="auto"/>
                        <w:jc w:val="right"/>
                        <w:rPr>
                          <w:rFonts w:asciiTheme="minorHAnsi" w:hAnsiTheme="minorHAnsi" w:cstheme="minorHAnsi"/>
                          <w:color w:val="FFFFFF" w:themeColor="background1"/>
                          <w:sz w:val="22"/>
                          <w:lang w:val="pt-BR"/>
                        </w:rPr>
                      </w:pPr>
                      <w:r w:rsidRPr="00691959">
                        <w:rPr>
                          <w:rFonts w:asciiTheme="minorHAnsi" w:hAnsiTheme="minorHAnsi" w:cstheme="minorHAnsi"/>
                          <w:color w:val="FFFFFF" w:themeColor="background1"/>
                          <w:sz w:val="22"/>
                          <w:lang w:val="pt-BR"/>
                        </w:rPr>
                        <w:t xml:space="preserve">Doc. </w:t>
                      </w:r>
                      <w:r w:rsidR="00691959">
                        <w:rPr>
                          <w:rFonts w:asciiTheme="minorHAnsi" w:hAnsiTheme="minorHAnsi" w:cstheme="minorHAnsi"/>
                          <w:color w:val="FFFFFF" w:themeColor="background1"/>
                          <w:sz w:val="22"/>
                          <w:lang w:val="pt-BR"/>
                        </w:rPr>
                        <w:t>153</w:t>
                      </w:r>
                    </w:p>
                    <w:p w14:paraId="722BBFD0" w14:textId="665D79E6" w:rsidR="00812BAB" w:rsidRPr="00691959" w:rsidRDefault="00691959" w:rsidP="007A5817">
                      <w:pPr>
                        <w:spacing w:line="276" w:lineRule="auto"/>
                        <w:jc w:val="right"/>
                        <w:rPr>
                          <w:rFonts w:asciiTheme="minorHAnsi" w:hAnsiTheme="minorHAnsi" w:cstheme="minorHAnsi"/>
                          <w:color w:val="FFFFFF" w:themeColor="background1"/>
                          <w:sz w:val="22"/>
                          <w:lang w:val="es-MX"/>
                        </w:rPr>
                      </w:pPr>
                      <w:r>
                        <w:rPr>
                          <w:rFonts w:asciiTheme="minorHAnsi" w:hAnsiTheme="minorHAnsi" w:cstheme="minorHAnsi"/>
                          <w:color w:val="FFFFFF" w:themeColor="background1"/>
                          <w:sz w:val="22"/>
                        </w:rPr>
                        <w:t>1 junio</w:t>
                      </w:r>
                      <w:r w:rsidR="00D24710" w:rsidRPr="00691959">
                        <w:rPr>
                          <w:rFonts w:asciiTheme="minorHAnsi" w:hAnsiTheme="minorHAnsi" w:cstheme="minorHAnsi"/>
                          <w:color w:val="FFFFFF" w:themeColor="background1"/>
                          <w:sz w:val="22"/>
                          <w:lang w:val="uz-Cyrl-UZ"/>
                        </w:rPr>
                        <w:t xml:space="preserve"> 20</w:t>
                      </w:r>
                      <w:r w:rsidR="00D24710" w:rsidRPr="00691959">
                        <w:rPr>
                          <w:rFonts w:asciiTheme="minorHAnsi" w:hAnsiTheme="minorHAnsi" w:cstheme="minorHAnsi"/>
                          <w:color w:val="FFFFFF" w:themeColor="background1"/>
                          <w:sz w:val="22"/>
                          <w:lang w:val="es-MX"/>
                        </w:rPr>
                        <w:t>20</w:t>
                      </w:r>
                    </w:p>
                    <w:p w14:paraId="136A8554" w14:textId="77777777" w:rsidR="00812BAB" w:rsidRPr="00691959" w:rsidRDefault="00812BAB" w:rsidP="007A5817">
                      <w:pPr>
                        <w:spacing w:line="276" w:lineRule="auto"/>
                        <w:jc w:val="right"/>
                        <w:rPr>
                          <w:rFonts w:asciiTheme="minorHAnsi" w:hAnsiTheme="minorHAnsi" w:cstheme="minorHAnsi"/>
                          <w:color w:val="FFFFFF" w:themeColor="background1"/>
                          <w:sz w:val="22"/>
                          <w:lang w:val="uz-Cyrl-UZ"/>
                        </w:rPr>
                      </w:pPr>
                      <w:r w:rsidRPr="00691959">
                        <w:rPr>
                          <w:rFonts w:asciiTheme="minorHAnsi" w:hAnsiTheme="minorHAnsi" w:cstheme="minorHAnsi"/>
                          <w:color w:val="FFFFFF" w:themeColor="background1"/>
                          <w:sz w:val="22"/>
                          <w:lang w:val="uz-Cyrl-UZ"/>
                        </w:rPr>
                        <w:t>Original: español</w:t>
                      </w:r>
                    </w:p>
                  </w:txbxContent>
                </v:textbox>
              </v:shape>
            </w:pict>
          </mc:Fallback>
        </mc:AlternateContent>
      </w:r>
    </w:p>
    <w:p w14:paraId="625437B2"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53E98AA5"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4178B3C2" w14:textId="77777777" w:rsidR="00040C3A" w:rsidRPr="00885BCF" w:rsidRDefault="00040C3A" w:rsidP="00040C3A">
      <w:pPr>
        <w:tabs>
          <w:tab w:val="center" w:pos="5400"/>
        </w:tabs>
        <w:suppressAutoHyphens/>
        <w:jc w:val="center"/>
        <w:rPr>
          <w:rFonts w:asciiTheme="majorHAnsi" w:hAnsiTheme="majorHAnsi" w:cs="Arial"/>
          <w:sz w:val="22"/>
          <w:szCs w:val="22"/>
          <w:lang w:val="es-ES"/>
        </w:rPr>
      </w:pPr>
    </w:p>
    <w:p w14:paraId="4E94EED2"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429AC3DB"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46589308"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4F0D7804"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52C210B0" w14:textId="77777777" w:rsidR="005128E4" w:rsidRPr="00885BCF" w:rsidRDefault="005128E4" w:rsidP="00040C3A">
      <w:pPr>
        <w:tabs>
          <w:tab w:val="center" w:pos="5400"/>
        </w:tabs>
        <w:suppressAutoHyphens/>
        <w:jc w:val="center"/>
        <w:rPr>
          <w:rFonts w:asciiTheme="majorHAnsi" w:hAnsiTheme="majorHAnsi"/>
          <w:sz w:val="22"/>
          <w:szCs w:val="22"/>
          <w:lang w:val="es-ES"/>
        </w:rPr>
      </w:pPr>
    </w:p>
    <w:p w14:paraId="7A07049A"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7A4891E3" w14:textId="77777777" w:rsidR="005128E4" w:rsidRPr="00885BCF" w:rsidRDefault="005128E4" w:rsidP="00040C3A">
      <w:pPr>
        <w:tabs>
          <w:tab w:val="center" w:pos="5400"/>
        </w:tabs>
        <w:suppressAutoHyphens/>
        <w:jc w:val="center"/>
        <w:rPr>
          <w:rFonts w:asciiTheme="majorHAnsi" w:hAnsiTheme="majorHAnsi"/>
          <w:sz w:val="22"/>
          <w:szCs w:val="22"/>
          <w:lang w:val="es-ES"/>
        </w:rPr>
      </w:pPr>
    </w:p>
    <w:p w14:paraId="4D119ABD" w14:textId="77777777" w:rsidR="005128E4" w:rsidRPr="00885BCF" w:rsidRDefault="005128E4" w:rsidP="00040C3A">
      <w:pPr>
        <w:tabs>
          <w:tab w:val="center" w:pos="5400"/>
        </w:tabs>
        <w:suppressAutoHyphens/>
        <w:jc w:val="center"/>
        <w:rPr>
          <w:rFonts w:asciiTheme="majorHAnsi" w:hAnsiTheme="majorHAnsi"/>
          <w:sz w:val="22"/>
          <w:szCs w:val="22"/>
          <w:lang w:val="es-ES"/>
        </w:rPr>
      </w:pPr>
    </w:p>
    <w:p w14:paraId="376A2671" w14:textId="77777777" w:rsidR="005128E4" w:rsidRPr="00885BCF" w:rsidRDefault="005128E4" w:rsidP="00040C3A">
      <w:pPr>
        <w:tabs>
          <w:tab w:val="center" w:pos="5400"/>
        </w:tabs>
        <w:suppressAutoHyphens/>
        <w:jc w:val="center"/>
        <w:rPr>
          <w:rFonts w:asciiTheme="majorHAnsi" w:hAnsiTheme="majorHAnsi"/>
          <w:sz w:val="22"/>
          <w:szCs w:val="22"/>
          <w:lang w:val="es-ES"/>
        </w:rPr>
      </w:pPr>
    </w:p>
    <w:p w14:paraId="7E519876"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1B52D7C9" w14:textId="77777777" w:rsidR="00040C3A" w:rsidRPr="00885BCF" w:rsidRDefault="00040C3A" w:rsidP="00040C3A">
      <w:pPr>
        <w:tabs>
          <w:tab w:val="center" w:pos="5400"/>
        </w:tabs>
        <w:suppressAutoHyphens/>
        <w:jc w:val="center"/>
        <w:rPr>
          <w:rFonts w:asciiTheme="majorHAnsi" w:hAnsiTheme="majorHAnsi"/>
          <w:sz w:val="22"/>
          <w:szCs w:val="22"/>
          <w:lang w:val="es-ES"/>
        </w:rPr>
      </w:pPr>
    </w:p>
    <w:p w14:paraId="542D09AB"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5ED8C22E"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3C9E4F7B"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205BE353"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002C9F21"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4AE15C66"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42A2A3BA"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746FE34B"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036FB474"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6F6A7186"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61920209"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396503E3"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7352F587"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50A2229E"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7716FADC" w14:textId="77777777" w:rsidR="00A50FCF" w:rsidRPr="00885BCF" w:rsidRDefault="0090270B" w:rsidP="00040C3A">
      <w:pPr>
        <w:tabs>
          <w:tab w:val="center" w:pos="5400"/>
        </w:tabs>
        <w:suppressAutoHyphens/>
        <w:jc w:val="center"/>
        <w:rPr>
          <w:rFonts w:asciiTheme="majorHAnsi" w:hAnsiTheme="majorHAnsi"/>
          <w:sz w:val="18"/>
          <w:szCs w:val="22"/>
          <w:lang w:val="es-ES"/>
        </w:rPr>
      </w:pPr>
      <w:r w:rsidRPr="00885BC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B55D88" wp14:editId="1DD2115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E15C6" w14:textId="5AC7DFF9" w:rsidR="00812BAB" w:rsidRPr="00890650" w:rsidRDefault="00812BA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1959">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691959">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00D24710">
                              <w:rPr>
                                <w:rFonts w:asciiTheme="majorHAnsi" w:hAnsiTheme="majorHAnsi"/>
                                <w:color w:val="0D0D0D" w:themeColor="text1" w:themeTint="F2"/>
                                <w:sz w:val="18"/>
                                <w:szCs w:val="22"/>
                                <w:lang w:val="es-ES"/>
                              </w:rPr>
                              <w:t>de 2020</w:t>
                            </w:r>
                            <w:r w:rsidR="00917A95">
                              <w:rPr>
                                <w:rFonts w:asciiTheme="majorHAnsi" w:hAnsiTheme="majorHAnsi"/>
                                <w:color w:val="0D0D0D" w:themeColor="text1" w:themeTint="F2"/>
                                <w:sz w:val="18"/>
                                <w:szCs w:val="22"/>
                                <w:lang w:val="es-ES"/>
                              </w:rPr>
                              <w:t>.</w:t>
                            </w:r>
                          </w:p>
                          <w:p w14:paraId="3466086C" w14:textId="77777777" w:rsidR="00812BAB" w:rsidRPr="007A5817" w:rsidRDefault="00812BA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5DF99D" w14:textId="77777777" w:rsidR="00812BAB" w:rsidRPr="00167A34" w:rsidRDefault="00812BA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5D8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10E15C6" w14:textId="5AC7DFF9" w:rsidR="00812BAB" w:rsidRPr="00890650" w:rsidRDefault="00812BAB"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1959">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691959">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00D24710">
                        <w:rPr>
                          <w:rFonts w:asciiTheme="majorHAnsi" w:hAnsiTheme="majorHAnsi"/>
                          <w:color w:val="0D0D0D" w:themeColor="text1" w:themeTint="F2"/>
                          <w:sz w:val="18"/>
                          <w:szCs w:val="22"/>
                          <w:lang w:val="es-ES"/>
                        </w:rPr>
                        <w:t>de 2020</w:t>
                      </w:r>
                      <w:r w:rsidR="00917A95">
                        <w:rPr>
                          <w:rFonts w:asciiTheme="majorHAnsi" w:hAnsiTheme="majorHAnsi"/>
                          <w:color w:val="0D0D0D" w:themeColor="text1" w:themeTint="F2"/>
                          <w:sz w:val="18"/>
                          <w:szCs w:val="22"/>
                          <w:lang w:val="es-ES"/>
                        </w:rPr>
                        <w:t>.</w:t>
                      </w:r>
                    </w:p>
                    <w:p w14:paraId="3466086C" w14:textId="77777777" w:rsidR="00812BAB" w:rsidRPr="007A5817" w:rsidRDefault="00812BA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5DF99D" w14:textId="77777777" w:rsidR="00812BAB" w:rsidRPr="00167A34" w:rsidRDefault="00812BA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7A2C69A"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4AA9E560"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72D16F23"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67A174B1"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3806A88E" w14:textId="77777777" w:rsidR="00A50FCF" w:rsidRPr="00885BCF" w:rsidRDefault="0090270B" w:rsidP="00040C3A">
      <w:pPr>
        <w:tabs>
          <w:tab w:val="center" w:pos="5400"/>
        </w:tabs>
        <w:suppressAutoHyphens/>
        <w:jc w:val="center"/>
        <w:rPr>
          <w:rFonts w:asciiTheme="majorHAnsi" w:hAnsiTheme="majorHAnsi"/>
          <w:sz w:val="18"/>
          <w:szCs w:val="22"/>
          <w:lang w:val="es-ES"/>
        </w:rPr>
      </w:pPr>
      <w:r w:rsidRPr="00885BC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EF0BFEE" wp14:editId="14FFC83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A0354" w14:textId="30953C43" w:rsidR="00812BAB" w:rsidRPr="007B05C4" w:rsidRDefault="00812BA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1959" w:rsidRPr="00691959">
                              <w:rPr>
                                <w:rFonts w:asciiTheme="majorHAnsi" w:hAnsiTheme="majorHAnsi"/>
                                <w:color w:val="595959" w:themeColor="text1" w:themeTint="A6"/>
                                <w:sz w:val="18"/>
                                <w:szCs w:val="18"/>
                                <w:lang w:val="pt-BR"/>
                              </w:rPr>
                              <w:t>143</w:t>
                            </w:r>
                            <w:r w:rsidRPr="00691959">
                              <w:rPr>
                                <w:rFonts w:asciiTheme="majorHAnsi" w:hAnsiTheme="majorHAnsi"/>
                                <w:color w:val="595959" w:themeColor="text1" w:themeTint="A6"/>
                                <w:sz w:val="18"/>
                                <w:szCs w:val="18"/>
                                <w:lang w:val="pt-BR"/>
                              </w:rPr>
                              <w:t>/</w:t>
                            </w:r>
                            <w:r w:rsidR="00691959" w:rsidRPr="00691959">
                              <w:rPr>
                                <w:rFonts w:asciiTheme="majorHAnsi" w:hAnsiTheme="majorHAnsi"/>
                                <w:color w:val="595959" w:themeColor="text1" w:themeTint="A6"/>
                                <w:sz w:val="18"/>
                                <w:szCs w:val="18"/>
                                <w:lang w:val="pt-BR"/>
                              </w:rPr>
                              <w:t>20</w:t>
                            </w:r>
                            <w:r w:rsidR="00D37598" w:rsidRPr="00691959">
                              <w:rPr>
                                <w:rFonts w:asciiTheme="majorHAnsi" w:hAnsiTheme="majorHAnsi"/>
                                <w:color w:val="595959" w:themeColor="text1" w:themeTint="A6"/>
                                <w:sz w:val="18"/>
                                <w:szCs w:val="18"/>
                                <w:lang w:val="pt-BR"/>
                              </w:rPr>
                              <w:t xml:space="preserve">. </w:t>
                            </w:r>
                            <w:r w:rsidR="00D17DD3" w:rsidRPr="00D17DD3">
                              <w:rPr>
                                <w:rFonts w:asciiTheme="majorHAnsi" w:hAnsiTheme="majorHAnsi"/>
                                <w:color w:val="595959" w:themeColor="text1" w:themeTint="A6"/>
                                <w:sz w:val="18"/>
                                <w:szCs w:val="18"/>
                                <w:lang w:val="es-ES_tradnl"/>
                              </w:rPr>
                              <w:t xml:space="preserve">Petición </w:t>
                            </w:r>
                            <w:r w:rsidR="00D17DD3">
                              <w:rPr>
                                <w:rFonts w:asciiTheme="majorHAnsi" w:hAnsiTheme="majorHAnsi"/>
                                <w:color w:val="595959" w:themeColor="text1" w:themeTint="A6"/>
                                <w:sz w:val="18"/>
                                <w:szCs w:val="18"/>
                                <w:lang w:val="es-ES_tradnl"/>
                              </w:rPr>
                              <w:t>344</w:t>
                            </w:r>
                            <w:r w:rsidR="00D17DD3" w:rsidRPr="00D17DD3">
                              <w:rPr>
                                <w:rFonts w:asciiTheme="majorHAnsi" w:hAnsiTheme="majorHAnsi"/>
                                <w:color w:val="595959" w:themeColor="text1" w:themeTint="A6"/>
                                <w:sz w:val="18"/>
                                <w:szCs w:val="18"/>
                                <w:lang w:val="es-ES_tradnl"/>
                              </w:rPr>
                              <w:t>-</w:t>
                            </w:r>
                            <w:r w:rsidR="00D17DD3">
                              <w:rPr>
                                <w:rFonts w:asciiTheme="majorHAnsi" w:hAnsiTheme="majorHAnsi"/>
                                <w:color w:val="595959" w:themeColor="text1" w:themeTint="A6"/>
                                <w:sz w:val="18"/>
                                <w:szCs w:val="18"/>
                                <w:lang w:val="es-ES_tradnl"/>
                              </w:rPr>
                              <w:t>07</w:t>
                            </w:r>
                            <w:r w:rsidR="00D17DD3" w:rsidRPr="00D17DD3">
                              <w:rPr>
                                <w:rFonts w:asciiTheme="majorHAnsi" w:hAnsiTheme="majorHAnsi"/>
                                <w:color w:val="595959" w:themeColor="text1" w:themeTint="A6"/>
                                <w:sz w:val="18"/>
                                <w:szCs w:val="18"/>
                                <w:lang w:val="es-ES_tradnl"/>
                              </w:rPr>
                              <w:t xml:space="preserve"> </w:t>
                            </w:r>
                            <w:r w:rsidR="00C4590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37598">
                              <w:rPr>
                                <w:rFonts w:asciiTheme="majorHAnsi" w:hAnsiTheme="majorHAnsi"/>
                                <w:color w:val="595959" w:themeColor="text1" w:themeTint="A6"/>
                                <w:sz w:val="18"/>
                                <w:szCs w:val="18"/>
                                <w:lang w:val="es-ES_tradnl"/>
                              </w:rPr>
                              <w:t>David Eduardo Milla Espinoza</w:t>
                            </w:r>
                            <w:r w:rsidRPr="00890650">
                              <w:rPr>
                                <w:rFonts w:asciiTheme="majorHAnsi" w:hAnsiTheme="majorHAnsi"/>
                                <w:color w:val="595959" w:themeColor="text1" w:themeTint="A6"/>
                                <w:sz w:val="18"/>
                                <w:szCs w:val="18"/>
                                <w:lang w:val="es-ES_tradnl"/>
                              </w:rPr>
                              <w:t xml:space="preserve">. </w:t>
                            </w:r>
                            <w:r w:rsidR="00D3759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91959">
                              <w:rPr>
                                <w:rFonts w:asciiTheme="majorHAnsi" w:hAnsiTheme="majorHAnsi"/>
                                <w:color w:val="595959" w:themeColor="text1" w:themeTint="A6"/>
                                <w:sz w:val="18"/>
                                <w:szCs w:val="18"/>
                                <w:lang w:val="es-ES"/>
                              </w:rPr>
                              <w:t>1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F0BF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31A0354" w14:textId="30953C43" w:rsidR="00812BAB" w:rsidRPr="007B05C4" w:rsidRDefault="00812BA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1959" w:rsidRPr="00691959">
                        <w:rPr>
                          <w:rFonts w:asciiTheme="majorHAnsi" w:hAnsiTheme="majorHAnsi"/>
                          <w:color w:val="595959" w:themeColor="text1" w:themeTint="A6"/>
                          <w:sz w:val="18"/>
                          <w:szCs w:val="18"/>
                          <w:lang w:val="pt-BR"/>
                        </w:rPr>
                        <w:t>143</w:t>
                      </w:r>
                      <w:r w:rsidRPr="00691959">
                        <w:rPr>
                          <w:rFonts w:asciiTheme="majorHAnsi" w:hAnsiTheme="majorHAnsi"/>
                          <w:color w:val="595959" w:themeColor="text1" w:themeTint="A6"/>
                          <w:sz w:val="18"/>
                          <w:szCs w:val="18"/>
                          <w:lang w:val="pt-BR"/>
                        </w:rPr>
                        <w:t>/</w:t>
                      </w:r>
                      <w:r w:rsidR="00691959" w:rsidRPr="00691959">
                        <w:rPr>
                          <w:rFonts w:asciiTheme="majorHAnsi" w:hAnsiTheme="majorHAnsi"/>
                          <w:color w:val="595959" w:themeColor="text1" w:themeTint="A6"/>
                          <w:sz w:val="18"/>
                          <w:szCs w:val="18"/>
                          <w:lang w:val="pt-BR"/>
                        </w:rPr>
                        <w:t>20</w:t>
                      </w:r>
                      <w:r w:rsidR="00D37598" w:rsidRPr="00691959">
                        <w:rPr>
                          <w:rFonts w:asciiTheme="majorHAnsi" w:hAnsiTheme="majorHAnsi"/>
                          <w:color w:val="595959" w:themeColor="text1" w:themeTint="A6"/>
                          <w:sz w:val="18"/>
                          <w:szCs w:val="18"/>
                          <w:lang w:val="pt-BR"/>
                        </w:rPr>
                        <w:t xml:space="preserve">. </w:t>
                      </w:r>
                      <w:r w:rsidR="00D17DD3" w:rsidRPr="00D17DD3">
                        <w:rPr>
                          <w:rFonts w:asciiTheme="majorHAnsi" w:hAnsiTheme="majorHAnsi"/>
                          <w:color w:val="595959" w:themeColor="text1" w:themeTint="A6"/>
                          <w:sz w:val="18"/>
                          <w:szCs w:val="18"/>
                          <w:lang w:val="es-ES_tradnl"/>
                        </w:rPr>
                        <w:t xml:space="preserve">Petición </w:t>
                      </w:r>
                      <w:r w:rsidR="00D17DD3">
                        <w:rPr>
                          <w:rFonts w:asciiTheme="majorHAnsi" w:hAnsiTheme="majorHAnsi"/>
                          <w:color w:val="595959" w:themeColor="text1" w:themeTint="A6"/>
                          <w:sz w:val="18"/>
                          <w:szCs w:val="18"/>
                          <w:lang w:val="es-ES_tradnl"/>
                        </w:rPr>
                        <w:t>344</w:t>
                      </w:r>
                      <w:r w:rsidR="00D17DD3" w:rsidRPr="00D17DD3">
                        <w:rPr>
                          <w:rFonts w:asciiTheme="majorHAnsi" w:hAnsiTheme="majorHAnsi"/>
                          <w:color w:val="595959" w:themeColor="text1" w:themeTint="A6"/>
                          <w:sz w:val="18"/>
                          <w:szCs w:val="18"/>
                          <w:lang w:val="es-ES_tradnl"/>
                        </w:rPr>
                        <w:t>-</w:t>
                      </w:r>
                      <w:r w:rsidR="00D17DD3">
                        <w:rPr>
                          <w:rFonts w:asciiTheme="majorHAnsi" w:hAnsiTheme="majorHAnsi"/>
                          <w:color w:val="595959" w:themeColor="text1" w:themeTint="A6"/>
                          <w:sz w:val="18"/>
                          <w:szCs w:val="18"/>
                          <w:lang w:val="es-ES_tradnl"/>
                        </w:rPr>
                        <w:t>07</w:t>
                      </w:r>
                      <w:r w:rsidR="00D17DD3" w:rsidRPr="00D17DD3">
                        <w:rPr>
                          <w:rFonts w:asciiTheme="majorHAnsi" w:hAnsiTheme="majorHAnsi"/>
                          <w:color w:val="595959" w:themeColor="text1" w:themeTint="A6"/>
                          <w:sz w:val="18"/>
                          <w:szCs w:val="18"/>
                          <w:lang w:val="es-ES_tradnl"/>
                        </w:rPr>
                        <w:t xml:space="preserve"> </w:t>
                      </w:r>
                      <w:r w:rsidR="00C4590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37598">
                        <w:rPr>
                          <w:rFonts w:asciiTheme="majorHAnsi" w:hAnsiTheme="majorHAnsi"/>
                          <w:color w:val="595959" w:themeColor="text1" w:themeTint="A6"/>
                          <w:sz w:val="18"/>
                          <w:szCs w:val="18"/>
                          <w:lang w:val="es-ES_tradnl"/>
                        </w:rPr>
                        <w:t>David Eduardo Milla Espinoza</w:t>
                      </w:r>
                      <w:r w:rsidRPr="00890650">
                        <w:rPr>
                          <w:rFonts w:asciiTheme="majorHAnsi" w:hAnsiTheme="majorHAnsi"/>
                          <w:color w:val="595959" w:themeColor="text1" w:themeTint="A6"/>
                          <w:sz w:val="18"/>
                          <w:szCs w:val="18"/>
                          <w:lang w:val="es-ES_tradnl"/>
                        </w:rPr>
                        <w:t xml:space="preserve">. </w:t>
                      </w:r>
                      <w:r w:rsidR="00D3759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91959">
                        <w:rPr>
                          <w:rFonts w:asciiTheme="majorHAnsi" w:hAnsiTheme="majorHAnsi"/>
                          <w:color w:val="595959" w:themeColor="text1" w:themeTint="A6"/>
                          <w:sz w:val="18"/>
                          <w:szCs w:val="18"/>
                          <w:lang w:val="es-ES"/>
                        </w:rPr>
                        <w:t>1 de junio de 2020</w:t>
                      </w:r>
                      <w:r w:rsidRPr="007B05C4">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727D2BE5" w14:textId="77777777" w:rsidR="00A50FCF" w:rsidRPr="00885BCF" w:rsidRDefault="00A50FCF" w:rsidP="00040C3A">
      <w:pPr>
        <w:tabs>
          <w:tab w:val="center" w:pos="5400"/>
        </w:tabs>
        <w:suppressAutoHyphens/>
        <w:jc w:val="center"/>
        <w:rPr>
          <w:rFonts w:asciiTheme="majorHAnsi" w:hAnsiTheme="majorHAnsi"/>
          <w:sz w:val="18"/>
          <w:szCs w:val="22"/>
          <w:lang w:val="es-ES"/>
        </w:rPr>
      </w:pPr>
    </w:p>
    <w:p w14:paraId="4709E800" w14:textId="77777777" w:rsidR="0090270B" w:rsidRPr="00885BCF" w:rsidRDefault="00D306D1" w:rsidP="005516A1">
      <w:pPr>
        <w:tabs>
          <w:tab w:val="center" w:pos="5400"/>
        </w:tabs>
        <w:suppressAutoHyphens/>
        <w:jc w:val="center"/>
        <w:rPr>
          <w:rFonts w:asciiTheme="majorHAnsi" w:hAnsiTheme="majorHAnsi"/>
          <w:b/>
          <w:sz w:val="20"/>
          <w:lang w:val="es-ES"/>
        </w:rPr>
      </w:pPr>
      <w:r w:rsidRPr="00885BC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3B05C51" wp14:editId="48079D1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4AC47" w14:textId="0B11EA6D" w:rsidR="00812BAB" w:rsidRPr="00D72DC6" w:rsidRDefault="00917A95" w:rsidP="00F02AD1">
                            <w:pPr>
                              <w:rPr>
                                <w:color w:val="FFFFFF" w:themeColor="background1"/>
                                <w14:textFill>
                                  <w14:noFill/>
                                </w14:textFill>
                              </w:rPr>
                            </w:pPr>
                            <w:r>
                              <w:rPr>
                                <w:noProof/>
                                <w:color w:val="FFFFFF" w:themeColor="background1"/>
                              </w:rPr>
                              <w:drawing>
                                <wp:inline distT="0" distB="0" distL="0" distR="0" wp14:anchorId="495AFC76" wp14:editId="56CC32D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5C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984AC47" w14:textId="0B11EA6D" w:rsidR="00812BAB" w:rsidRPr="00D72DC6" w:rsidRDefault="00917A95" w:rsidP="00F02AD1">
                      <w:pPr>
                        <w:rPr>
                          <w:color w:val="FFFFFF" w:themeColor="background1"/>
                          <w14:textFill>
                            <w14:noFill/>
                          </w14:textFill>
                        </w:rPr>
                      </w:pPr>
                      <w:r>
                        <w:rPr>
                          <w:noProof/>
                          <w:color w:val="FFFFFF" w:themeColor="background1"/>
                        </w:rPr>
                        <w:drawing>
                          <wp:inline distT="0" distB="0" distL="0" distR="0" wp14:anchorId="495AFC76" wp14:editId="56CC32D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85BC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3A1E3F6" wp14:editId="44B2FD6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B94B5" w14:textId="77777777" w:rsidR="00812BAB" w:rsidRPr="004B7EB6" w:rsidRDefault="00812BA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A1E3F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BFB94B5" w14:textId="77777777" w:rsidR="00812BAB" w:rsidRPr="004B7EB6" w:rsidRDefault="00812BA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21632EC" w14:textId="77777777" w:rsidR="0070697F" w:rsidRPr="00885BCF" w:rsidRDefault="004A6A54" w:rsidP="005516A1">
      <w:pPr>
        <w:tabs>
          <w:tab w:val="center" w:pos="5400"/>
        </w:tabs>
        <w:suppressAutoHyphens/>
        <w:jc w:val="center"/>
        <w:rPr>
          <w:rFonts w:asciiTheme="majorHAnsi" w:hAnsiTheme="majorHAnsi"/>
          <w:b/>
          <w:sz w:val="20"/>
          <w:lang w:val="es-ES"/>
        </w:rPr>
        <w:sectPr w:rsidR="0070697F" w:rsidRPr="00885BC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85BCF">
        <w:rPr>
          <w:rFonts w:asciiTheme="majorHAnsi" w:hAnsiTheme="majorHAnsi"/>
          <w:b/>
          <w:sz w:val="20"/>
          <w:lang w:val="es-ES"/>
        </w:rPr>
        <w:tab/>
      </w:r>
    </w:p>
    <w:p w14:paraId="08AC694B" w14:textId="77777777" w:rsidR="00DB5134" w:rsidRPr="00885BCF" w:rsidRDefault="00DB5134" w:rsidP="00B97895">
      <w:pPr>
        <w:spacing w:after="120"/>
        <w:ind w:firstLine="720"/>
        <w:jc w:val="both"/>
        <w:rPr>
          <w:rFonts w:asciiTheme="majorHAnsi" w:hAnsiTheme="majorHAnsi"/>
          <w:b/>
          <w:bCs/>
          <w:sz w:val="20"/>
          <w:szCs w:val="20"/>
          <w:lang w:val="es-ES"/>
        </w:rPr>
      </w:pPr>
      <w:r w:rsidRPr="00885BCF">
        <w:rPr>
          <w:rFonts w:asciiTheme="majorHAnsi" w:hAnsiTheme="majorHAnsi"/>
          <w:b/>
          <w:bCs/>
          <w:sz w:val="20"/>
          <w:szCs w:val="20"/>
          <w:lang w:val="es-ES"/>
        </w:rPr>
        <w:lastRenderedPageBreak/>
        <w:t>I.</w:t>
      </w:r>
      <w:r w:rsidRPr="00885BC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B5134" w:rsidRPr="00885BCF" w14:paraId="51A3405B" w14:textId="77777777" w:rsidTr="00631DEB">
        <w:tc>
          <w:tcPr>
            <w:tcW w:w="3600" w:type="dxa"/>
            <w:tcBorders>
              <w:top w:val="single" w:sz="4" w:space="0" w:color="auto"/>
              <w:bottom w:val="single" w:sz="6" w:space="0" w:color="auto"/>
            </w:tcBorders>
            <w:shd w:val="clear" w:color="auto" w:fill="386294"/>
            <w:vAlign w:val="center"/>
          </w:tcPr>
          <w:p w14:paraId="595028C1"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Parte peticionaria:</w:t>
            </w:r>
          </w:p>
        </w:tc>
        <w:tc>
          <w:tcPr>
            <w:tcW w:w="5760" w:type="dxa"/>
            <w:vAlign w:val="center"/>
          </w:tcPr>
          <w:p w14:paraId="73384B07" w14:textId="77777777" w:rsidR="00DB5134" w:rsidRPr="00885BCF" w:rsidRDefault="00DB5134" w:rsidP="00631DEB">
            <w:pPr>
              <w:jc w:val="both"/>
              <w:rPr>
                <w:rFonts w:ascii="Cambria" w:hAnsi="Cambria"/>
                <w:bCs/>
                <w:sz w:val="20"/>
                <w:szCs w:val="20"/>
                <w:lang w:val="es-ES"/>
              </w:rPr>
            </w:pPr>
            <w:r w:rsidRPr="00885BCF">
              <w:rPr>
                <w:rFonts w:asciiTheme="majorHAnsi" w:hAnsiTheme="majorHAnsi"/>
                <w:sz w:val="20"/>
                <w:szCs w:val="20"/>
                <w:lang w:val="es-ES"/>
              </w:rPr>
              <w:t xml:space="preserve">Leonardo Humberto Peñaranda </w:t>
            </w:r>
            <w:proofErr w:type="spellStart"/>
            <w:r w:rsidRPr="00885BCF">
              <w:rPr>
                <w:rFonts w:asciiTheme="majorHAnsi" w:hAnsiTheme="majorHAnsi"/>
                <w:sz w:val="20"/>
                <w:szCs w:val="20"/>
                <w:lang w:val="es-ES"/>
              </w:rPr>
              <w:t>Sadova</w:t>
            </w:r>
            <w:proofErr w:type="spellEnd"/>
          </w:p>
        </w:tc>
      </w:tr>
      <w:tr w:rsidR="00DB5134" w:rsidRPr="00885BCF" w14:paraId="5CEEB98D" w14:textId="77777777" w:rsidTr="00631DEB">
        <w:tc>
          <w:tcPr>
            <w:tcW w:w="3600" w:type="dxa"/>
            <w:tcBorders>
              <w:top w:val="single" w:sz="6" w:space="0" w:color="auto"/>
              <w:bottom w:val="single" w:sz="6" w:space="0" w:color="auto"/>
            </w:tcBorders>
            <w:shd w:val="clear" w:color="auto" w:fill="386294"/>
            <w:vAlign w:val="center"/>
          </w:tcPr>
          <w:p w14:paraId="7EE8C3CA" w14:textId="77777777" w:rsidR="00DB5134" w:rsidRPr="00D24710" w:rsidRDefault="00514AB0" w:rsidP="00631DEB">
            <w:pPr>
              <w:jc w:val="center"/>
              <w:rPr>
                <w:rFonts w:ascii="Cambria" w:hAnsi="Cambria"/>
                <w:bCs/>
                <w:color w:val="FFFFFF" w:themeColor="background1"/>
                <w:sz w:val="20"/>
                <w:szCs w:val="20"/>
                <w:lang w:val="es-ES"/>
              </w:rPr>
            </w:pPr>
            <w:sdt>
              <w:sdtPr>
                <w:rPr>
                  <w:rFonts w:ascii="Cambria" w:hAnsi="Cambria"/>
                  <w:bCs/>
                  <w:color w:val="FFFFFF" w:themeColor="background1"/>
                  <w:sz w:val="20"/>
                  <w:szCs w:val="20"/>
                  <w:lang w:val="es-ES"/>
                </w:rPr>
                <w:alias w:val="Elegir una opción"/>
                <w:tag w:val="Elegir una opción"/>
                <w:id w:val="931095713"/>
                <w:placeholder>
                  <w:docPart w:val="71B2E1B7D64846948DC67FC744BCF134"/>
                </w:placeholder>
                <w:dropDownList>
                  <w:listItem w:value="Choose an item."/>
                  <w:listItem w:displayText="Presunta víctima" w:value="Presunta víctima"/>
                  <w:listItem w:displayText="Presuntas víctimas" w:value="Presuntas víctimas"/>
                </w:dropDownList>
              </w:sdtPr>
              <w:sdtEndPr/>
              <w:sdtContent>
                <w:r w:rsidR="00DB5134" w:rsidRPr="00D24710">
                  <w:rPr>
                    <w:rFonts w:ascii="Cambria" w:hAnsi="Cambria"/>
                    <w:bCs/>
                    <w:color w:val="FFFFFF" w:themeColor="background1"/>
                    <w:sz w:val="20"/>
                    <w:szCs w:val="20"/>
                    <w:lang w:val="es-ES"/>
                  </w:rPr>
                  <w:t>Presunta víctima</w:t>
                </w:r>
              </w:sdtContent>
            </w:sdt>
            <w:r w:rsidR="00DB5134" w:rsidRPr="00D24710">
              <w:rPr>
                <w:rFonts w:ascii="Cambria" w:hAnsi="Cambria"/>
                <w:bCs/>
                <w:color w:val="FFFFFF" w:themeColor="background1"/>
                <w:sz w:val="20"/>
                <w:szCs w:val="20"/>
                <w:lang w:val="es-ES"/>
              </w:rPr>
              <w:t>:</w:t>
            </w:r>
          </w:p>
        </w:tc>
        <w:tc>
          <w:tcPr>
            <w:tcW w:w="5760" w:type="dxa"/>
            <w:vAlign w:val="center"/>
          </w:tcPr>
          <w:p w14:paraId="42AC0954" w14:textId="77777777" w:rsidR="00DB5134" w:rsidRPr="00885BCF" w:rsidRDefault="00DB5134" w:rsidP="00631DEB">
            <w:pPr>
              <w:jc w:val="both"/>
              <w:rPr>
                <w:rFonts w:asciiTheme="majorHAnsi" w:hAnsiTheme="majorHAnsi"/>
                <w:sz w:val="20"/>
                <w:szCs w:val="20"/>
                <w:lang w:val="es-ES"/>
              </w:rPr>
            </w:pPr>
            <w:r w:rsidRPr="00885BCF">
              <w:rPr>
                <w:rFonts w:asciiTheme="majorHAnsi" w:hAnsiTheme="majorHAnsi"/>
                <w:sz w:val="20"/>
                <w:szCs w:val="20"/>
                <w:lang w:val="es-ES"/>
              </w:rPr>
              <w:t>David Eduardo Milla Espinoza</w:t>
            </w:r>
          </w:p>
        </w:tc>
      </w:tr>
      <w:tr w:rsidR="00DB5134" w:rsidRPr="00885BCF" w14:paraId="1B3869BC" w14:textId="77777777" w:rsidTr="00631DEB">
        <w:tc>
          <w:tcPr>
            <w:tcW w:w="3600" w:type="dxa"/>
            <w:tcBorders>
              <w:top w:val="single" w:sz="6" w:space="0" w:color="auto"/>
              <w:bottom w:val="single" w:sz="6" w:space="0" w:color="auto"/>
            </w:tcBorders>
            <w:shd w:val="clear" w:color="auto" w:fill="386294"/>
            <w:vAlign w:val="center"/>
          </w:tcPr>
          <w:p w14:paraId="4D512E7D"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Estado denunciado:</w:t>
            </w:r>
          </w:p>
        </w:tc>
        <w:tc>
          <w:tcPr>
            <w:tcW w:w="5760" w:type="dxa"/>
            <w:vAlign w:val="center"/>
          </w:tcPr>
          <w:p w14:paraId="3E714A33" w14:textId="7777777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Perú</w:t>
            </w:r>
            <w:r w:rsidRPr="00885BCF">
              <w:rPr>
                <w:rStyle w:val="FootnoteReference"/>
                <w:rFonts w:ascii="Cambria" w:hAnsi="Cambria"/>
                <w:bCs/>
                <w:sz w:val="20"/>
                <w:szCs w:val="20"/>
                <w:lang w:val="es-ES"/>
              </w:rPr>
              <w:footnoteReference w:id="2"/>
            </w:r>
          </w:p>
        </w:tc>
      </w:tr>
      <w:tr w:rsidR="00DB5134" w:rsidRPr="00917A95" w14:paraId="5B4DB6C8" w14:textId="77777777" w:rsidTr="00631DEB">
        <w:tc>
          <w:tcPr>
            <w:tcW w:w="3600" w:type="dxa"/>
            <w:tcBorders>
              <w:top w:val="single" w:sz="6" w:space="0" w:color="auto"/>
              <w:bottom w:val="single" w:sz="6" w:space="0" w:color="auto"/>
            </w:tcBorders>
            <w:shd w:val="clear" w:color="auto" w:fill="386294"/>
            <w:vAlign w:val="center"/>
          </w:tcPr>
          <w:p w14:paraId="5E3D17A7"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Derechos invocados:</w:t>
            </w:r>
          </w:p>
        </w:tc>
        <w:tc>
          <w:tcPr>
            <w:tcW w:w="5760" w:type="dxa"/>
            <w:vAlign w:val="center"/>
          </w:tcPr>
          <w:p w14:paraId="68C15102" w14:textId="77777777" w:rsidR="00DB5134" w:rsidRPr="00885BCF" w:rsidRDefault="002E6FFC" w:rsidP="00B65ED8">
            <w:pPr>
              <w:jc w:val="both"/>
              <w:rPr>
                <w:rFonts w:ascii="Cambria" w:hAnsi="Cambria"/>
                <w:bCs/>
                <w:sz w:val="20"/>
                <w:szCs w:val="20"/>
                <w:lang w:val="es-ES"/>
              </w:rPr>
            </w:pPr>
            <w:r w:rsidRPr="00885BCF">
              <w:rPr>
                <w:rFonts w:ascii="Cambria" w:hAnsi="Cambria"/>
                <w:bCs/>
                <w:sz w:val="20"/>
                <w:szCs w:val="20"/>
                <w:lang w:val="es-ES"/>
              </w:rPr>
              <w:t>Artículos 7 (libertad personal)</w:t>
            </w:r>
            <w:r w:rsidR="00B65ED8" w:rsidRPr="00885BCF">
              <w:rPr>
                <w:rFonts w:ascii="Cambria" w:hAnsi="Cambria"/>
                <w:bCs/>
                <w:sz w:val="20"/>
                <w:szCs w:val="20"/>
                <w:lang w:val="es-ES"/>
              </w:rPr>
              <w:t xml:space="preserve"> y</w:t>
            </w:r>
            <w:r w:rsidRPr="00885BCF">
              <w:rPr>
                <w:rFonts w:ascii="Cambria" w:hAnsi="Cambria"/>
                <w:bCs/>
                <w:sz w:val="20"/>
                <w:szCs w:val="20"/>
                <w:lang w:val="es-ES"/>
              </w:rPr>
              <w:t xml:space="preserve"> 8 (garantías judiciales)</w:t>
            </w:r>
            <w:r w:rsidR="0001630F" w:rsidRPr="00885BCF">
              <w:rPr>
                <w:rFonts w:ascii="Cambria" w:hAnsi="Cambria"/>
                <w:bCs/>
                <w:sz w:val="20"/>
                <w:szCs w:val="20"/>
                <w:lang w:val="es-ES"/>
              </w:rPr>
              <w:t xml:space="preserve"> </w:t>
            </w:r>
            <w:r w:rsidRPr="00885BCF">
              <w:rPr>
                <w:rFonts w:ascii="Cambria" w:hAnsi="Cambria"/>
                <w:bCs/>
                <w:sz w:val="20"/>
                <w:szCs w:val="20"/>
                <w:lang w:val="es-ES"/>
              </w:rPr>
              <w:t>de la Convención Americana sobre Derechos Humanos</w:t>
            </w:r>
            <w:r w:rsidRPr="00885BCF">
              <w:rPr>
                <w:rStyle w:val="FootnoteReference"/>
                <w:rFonts w:ascii="Cambria" w:hAnsi="Cambria"/>
                <w:bCs/>
                <w:sz w:val="20"/>
                <w:szCs w:val="20"/>
                <w:lang w:val="es-ES"/>
              </w:rPr>
              <w:footnoteReference w:id="3"/>
            </w:r>
            <w:r w:rsidRPr="00885BCF">
              <w:rPr>
                <w:rFonts w:ascii="Cambria" w:hAnsi="Cambria"/>
                <w:bCs/>
                <w:sz w:val="20"/>
                <w:szCs w:val="20"/>
                <w:lang w:val="es-ES"/>
              </w:rPr>
              <w:t>, en relación con su artículo 1.1 (obligación de respetar los derechos); y otros tratados internacionales</w:t>
            </w:r>
            <w:r w:rsidRPr="00885BCF">
              <w:rPr>
                <w:rStyle w:val="FootnoteReference"/>
                <w:rFonts w:ascii="Cambria" w:hAnsi="Cambria"/>
                <w:bCs/>
                <w:sz w:val="20"/>
                <w:szCs w:val="20"/>
                <w:lang w:val="es-ES"/>
              </w:rPr>
              <w:footnoteReference w:id="4"/>
            </w:r>
          </w:p>
        </w:tc>
      </w:tr>
    </w:tbl>
    <w:p w14:paraId="4F69F690" w14:textId="053B73B1" w:rsidR="00DB5134" w:rsidRPr="00885BCF" w:rsidRDefault="00DB5134" w:rsidP="00B97895">
      <w:pPr>
        <w:spacing w:before="120" w:after="120"/>
        <w:ind w:firstLine="720"/>
        <w:jc w:val="both"/>
        <w:rPr>
          <w:rFonts w:asciiTheme="majorHAnsi" w:hAnsiTheme="majorHAnsi"/>
          <w:b/>
          <w:bCs/>
          <w:sz w:val="20"/>
          <w:szCs w:val="20"/>
          <w:lang w:val="es-ES"/>
        </w:rPr>
      </w:pPr>
      <w:r w:rsidRPr="00885BCF">
        <w:rPr>
          <w:rFonts w:asciiTheme="majorHAnsi" w:hAnsiTheme="majorHAnsi"/>
          <w:b/>
          <w:bCs/>
          <w:sz w:val="20"/>
          <w:szCs w:val="20"/>
          <w:lang w:val="es-ES"/>
        </w:rPr>
        <w:t>II.</w:t>
      </w:r>
      <w:r w:rsidRPr="00885BCF">
        <w:rPr>
          <w:rFonts w:asciiTheme="majorHAnsi" w:hAnsiTheme="majorHAnsi"/>
          <w:b/>
          <w:bCs/>
          <w:sz w:val="20"/>
          <w:szCs w:val="20"/>
          <w:lang w:val="es-ES"/>
        </w:rPr>
        <w:tab/>
        <w:t>TRÁMITE ANTE LA CIDH</w:t>
      </w:r>
      <w:r w:rsidR="00E736DC" w:rsidRPr="00885BCF">
        <w:rPr>
          <w:rStyle w:val="FootnoteReference"/>
          <w:rFonts w:asciiTheme="majorHAnsi" w:hAnsiTheme="majorHAnsi"/>
          <w:b/>
          <w:bCs/>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B5134" w:rsidRPr="00885BCF" w14:paraId="5EF48681" w14:textId="77777777" w:rsidTr="00631DEB">
        <w:tc>
          <w:tcPr>
            <w:tcW w:w="3600" w:type="dxa"/>
            <w:tcBorders>
              <w:top w:val="single" w:sz="6" w:space="0" w:color="auto"/>
              <w:bottom w:val="single" w:sz="6" w:space="0" w:color="auto"/>
            </w:tcBorders>
            <w:shd w:val="clear" w:color="auto" w:fill="386294"/>
            <w:vAlign w:val="center"/>
          </w:tcPr>
          <w:p w14:paraId="2F24DF56"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Presentación de la petición:</w:t>
            </w:r>
          </w:p>
        </w:tc>
        <w:tc>
          <w:tcPr>
            <w:tcW w:w="5760" w:type="dxa"/>
            <w:vAlign w:val="center"/>
          </w:tcPr>
          <w:p w14:paraId="3498A4BC" w14:textId="7777777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3 de abril de 2007</w:t>
            </w:r>
          </w:p>
        </w:tc>
      </w:tr>
      <w:tr w:rsidR="00DB5134" w:rsidRPr="00885BCF" w14:paraId="181E8129" w14:textId="77777777" w:rsidTr="00631DEB">
        <w:trPr>
          <w:trHeight w:val="381"/>
        </w:trPr>
        <w:tc>
          <w:tcPr>
            <w:tcW w:w="3600" w:type="dxa"/>
            <w:tcBorders>
              <w:top w:val="single" w:sz="6" w:space="0" w:color="auto"/>
              <w:bottom w:val="single" w:sz="6" w:space="0" w:color="auto"/>
            </w:tcBorders>
            <w:shd w:val="clear" w:color="auto" w:fill="386294"/>
            <w:vAlign w:val="center"/>
          </w:tcPr>
          <w:p w14:paraId="65D8E445"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color w:val="FFFFFF" w:themeColor="background1"/>
                <w:sz w:val="20"/>
                <w:szCs w:val="20"/>
                <w:lang w:val="es-ES"/>
              </w:rPr>
              <w:t>Notificación de la petición al Estado:</w:t>
            </w:r>
          </w:p>
        </w:tc>
        <w:tc>
          <w:tcPr>
            <w:tcW w:w="5760" w:type="dxa"/>
            <w:vAlign w:val="center"/>
          </w:tcPr>
          <w:p w14:paraId="4CBA0A00" w14:textId="77777777" w:rsidR="00DB5134" w:rsidRPr="00885BCF" w:rsidRDefault="00E942D4" w:rsidP="00A036C5">
            <w:pPr>
              <w:jc w:val="both"/>
              <w:rPr>
                <w:rFonts w:ascii="Cambria" w:hAnsi="Cambria"/>
                <w:bCs/>
                <w:sz w:val="20"/>
                <w:szCs w:val="20"/>
                <w:lang w:val="es-ES"/>
              </w:rPr>
            </w:pPr>
            <w:r w:rsidRPr="00885BCF">
              <w:rPr>
                <w:rFonts w:ascii="Cambria" w:hAnsi="Cambria"/>
                <w:bCs/>
                <w:sz w:val="20"/>
                <w:szCs w:val="20"/>
                <w:lang w:val="es-ES"/>
              </w:rPr>
              <w:t>30</w:t>
            </w:r>
            <w:r w:rsidR="00A036C5" w:rsidRPr="00885BCF">
              <w:rPr>
                <w:rFonts w:ascii="Cambria" w:hAnsi="Cambria"/>
                <w:bCs/>
                <w:sz w:val="20"/>
                <w:szCs w:val="20"/>
                <w:lang w:val="es-ES"/>
              </w:rPr>
              <w:t xml:space="preserve"> </w:t>
            </w:r>
            <w:r w:rsidR="00DB5134" w:rsidRPr="00885BCF">
              <w:rPr>
                <w:rFonts w:ascii="Cambria" w:hAnsi="Cambria"/>
                <w:bCs/>
                <w:sz w:val="20"/>
                <w:szCs w:val="20"/>
                <w:lang w:val="es-ES"/>
              </w:rPr>
              <w:t>de abril de 2010</w:t>
            </w:r>
          </w:p>
        </w:tc>
      </w:tr>
      <w:tr w:rsidR="00DB5134" w:rsidRPr="00885BCF" w14:paraId="2FE4DD32" w14:textId="77777777" w:rsidTr="00631DEB">
        <w:tc>
          <w:tcPr>
            <w:tcW w:w="3600" w:type="dxa"/>
            <w:tcBorders>
              <w:top w:val="single" w:sz="6" w:space="0" w:color="auto"/>
              <w:bottom w:val="single" w:sz="6" w:space="0" w:color="auto"/>
            </w:tcBorders>
            <w:shd w:val="clear" w:color="auto" w:fill="386294"/>
            <w:vAlign w:val="center"/>
          </w:tcPr>
          <w:p w14:paraId="654DCF98"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color w:val="FFFFFF" w:themeColor="background1"/>
                <w:sz w:val="20"/>
                <w:szCs w:val="20"/>
                <w:lang w:val="es-ES"/>
              </w:rPr>
              <w:t>Primera respuesta del Estado:</w:t>
            </w:r>
          </w:p>
        </w:tc>
        <w:tc>
          <w:tcPr>
            <w:tcW w:w="5760" w:type="dxa"/>
            <w:vAlign w:val="center"/>
          </w:tcPr>
          <w:p w14:paraId="7521E1EB" w14:textId="7777777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10 de agosto de 2010</w:t>
            </w:r>
          </w:p>
        </w:tc>
      </w:tr>
      <w:tr w:rsidR="00DB5134" w:rsidRPr="00917A95" w14:paraId="07268541" w14:textId="77777777" w:rsidTr="00631DEB">
        <w:tc>
          <w:tcPr>
            <w:tcW w:w="3600" w:type="dxa"/>
            <w:tcBorders>
              <w:top w:val="single" w:sz="6" w:space="0" w:color="auto"/>
              <w:bottom w:val="single" w:sz="6" w:space="0" w:color="auto"/>
            </w:tcBorders>
            <w:shd w:val="clear" w:color="auto" w:fill="386294"/>
            <w:vAlign w:val="center"/>
          </w:tcPr>
          <w:p w14:paraId="7A06A57F"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Observaciones adicionales de la parte peticionaria:</w:t>
            </w:r>
          </w:p>
        </w:tc>
        <w:tc>
          <w:tcPr>
            <w:tcW w:w="5760" w:type="dxa"/>
            <w:vAlign w:val="center"/>
          </w:tcPr>
          <w:p w14:paraId="6C07ED46" w14:textId="7777777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 xml:space="preserve">20 de diciembre de 2010 </w:t>
            </w:r>
            <w:r w:rsidR="0060211B" w:rsidRPr="00885BCF">
              <w:rPr>
                <w:rFonts w:ascii="Cambria" w:hAnsi="Cambria"/>
                <w:bCs/>
                <w:sz w:val="20"/>
                <w:szCs w:val="20"/>
                <w:lang w:val="es-ES"/>
              </w:rPr>
              <w:t>y 23 de mayo de 2016</w:t>
            </w:r>
          </w:p>
        </w:tc>
      </w:tr>
      <w:tr w:rsidR="00DB5134" w:rsidRPr="00885BCF" w14:paraId="504077C3" w14:textId="77777777" w:rsidTr="00631DEB">
        <w:tc>
          <w:tcPr>
            <w:tcW w:w="3600" w:type="dxa"/>
            <w:tcBorders>
              <w:top w:val="single" w:sz="6" w:space="0" w:color="auto"/>
              <w:bottom w:val="single" w:sz="6" w:space="0" w:color="auto"/>
            </w:tcBorders>
            <w:shd w:val="clear" w:color="auto" w:fill="386294"/>
            <w:vAlign w:val="center"/>
          </w:tcPr>
          <w:p w14:paraId="6BD2B499"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Observaciones adicionales del Estado:</w:t>
            </w:r>
          </w:p>
        </w:tc>
        <w:tc>
          <w:tcPr>
            <w:tcW w:w="5760" w:type="dxa"/>
            <w:vAlign w:val="center"/>
          </w:tcPr>
          <w:p w14:paraId="0D67554F" w14:textId="77777777" w:rsidR="00DB5134" w:rsidRPr="00885BCF" w:rsidRDefault="00DB5134" w:rsidP="00E942D4">
            <w:pPr>
              <w:jc w:val="both"/>
              <w:rPr>
                <w:rFonts w:ascii="Cambria" w:hAnsi="Cambria"/>
                <w:bCs/>
                <w:sz w:val="20"/>
                <w:szCs w:val="20"/>
                <w:lang w:val="es-ES"/>
              </w:rPr>
            </w:pPr>
            <w:r w:rsidRPr="00885BCF">
              <w:rPr>
                <w:rFonts w:ascii="Cambria" w:hAnsi="Cambria"/>
                <w:bCs/>
                <w:sz w:val="20"/>
                <w:szCs w:val="20"/>
                <w:lang w:val="es-ES"/>
              </w:rPr>
              <w:t>2</w:t>
            </w:r>
            <w:r w:rsidR="00E942D4" w:rsidRPr="00885BCF">
              <w:rPr>
                <w:rFonts w:ascii="Cambria" w:hAnsi="Cambria"/>
                <w:bCs/>
                <w:sz w:val="20"/>
                <w:szCs w:val="20"/>
                <w:lang w:val="es-ES"/>
              </w:rPr>
              <w:t>4</w:t>
            </w:r>
            <w:r w:rsidRPr="00885BCF">
              <w:rPr>
                <w:rFonts w:ascii="Cambria" w:hAnsi="Cambria"/>
                <w:bCs/>
                <w:sz w:val="20"/>
                <w:szCs w:val="20"/>
                <w:lang w:val="es-ES"/>
              </w:rPr>
              <w:t xml:space="preserve"> de mayo de 2011</w:t>
            </w:r>
            <w:r w:rsidR="002B599C" w:rsidRPr="00885BCF">
              <w:rPr>
                <w:rFonts w:ascii="Cambria" w:hAnsi="Cambria"/>
                <w:bCs/>
                <w:sz w:val="20"/>
                <w:szCs w:val="20"/>
                <w:lang w:val="es-ES"/>
              </w:rPr>
              <w:t xml:space="preserve"> </w:t>
            </w:r>
          </w:p>
        </w:tc>
      </w:tr>
      <w:tr w:rsidR="00DB5134" w:rsidRPr="00917A95" w14:paraId="57561D8B" w14:textId="77777777" w:rsidTr="00631DEB">
        <w:tc>
          <w:tcPr>
            <w:tcW w:w="3600" w:type="dxa"/>
            <w:tcBorders>
              <w:top w:val="single" w:sz="6" w:space="0" w:color="auto"/>
              <w:bottom w:val="single" w:sz="6" w:space="0" w:color="auto"/>
            </w:tcBorders>
            <w:shd w:val="clear" w:color="auto" w:fill="386294"/>
            <w:vAlign w:val="center"/>
          </w:tcPr>
          <w:p w14:paraId="543F594B"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Advertencia sobre posible de archivo:</w:t>
            </w:r>
          </w:p>
        </w:tc>
        <w:tc>
          <w:tcPr>
            <w:tcW w:w="5760" w:type="dxa"/>
            <w:vAlign w:val="center"/>
          </w:tcPr>
          <w:p w14:paraId="1D5169D7" w14:textId="6CEF8CA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9 de mayo de 2016</w:t>
            </w:r>
            <w:r w:rsidR="00B75425">
              <w:rPr>
                <w:rFonts w:ascii="Cambria" w:hAnsi="Cambria"/>
                <w:bCs/>
                <w:sz w:val="20"/>
                <w:szCs w:val="20"/>
                <w:lang w:val="es-ES"/>
              </w:rPr>
              <w:t>; 6 de enero de 2020</w:t>
            </w:r>
          </w:p>
        </w:tc>
      </w:tr>
      <w:tr w:rsidR="00DB5134" w:rsidRPr="00917A95" w14:paraId="29312997" w14:textId="77777777" w:rsidTr="00631DEB">
        <w:tc>
          <w:tcPr>
            <w:tcW w:w="3600" w:type="dxa"/>
            <w:tcBorders>
              <w:top w:val="single" w:sz="6" w:space="0" w:color="auto"/>
              <w:bottom w:val="single" w:sz="6" w:space="0" w:color="auto"/>
            </w:tcBorders>
            <w:shd w:val="clear" w:color="auto" w:fill="386294"/>
            <w:vAlign w:val="center"/>
          </w:tcPr>
          <w:p w14:paraId="1DB83F6E"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Respuesta de la parte peticionaria ante advertencia posible archivo:</w:t>
            </w:r>
          </w:p>
        </w:tc>
        <w:tc>
          <w:tcPr>
            <w:tcW w:w="5760" w:type="dxa"/>
            <w:vAlign w:val="center"/>
          </w:tcPr>
          <w:p w14:paraId="406621F2" w14:textId="5DEC8332"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23 de mayo de 2016</w:t>
            </w:r>
            <w:r w:rsidR="00B75425">
              <w:rPr>
                <w:rFonts w:ascii="Cambria" w:hAnsi="Cambria"/>
                <w:bCs/>
                <w:sz w:val="20"/>
                <w:szCs w:val="20"/>
                <w:lang w:val="es-ES"/>
              </w:rPr>
              <w:t>; 15 de enero de 2020</w:t>
            </w:r>
          </w:p>
        </w:tc>
      </w:tr>
    </w:tbl>
    <w:p w14:paraId="5E15562D" w14:textId="77777777" w:rsidR="00DB5134" w:rsidRPr="00885BCF" w:rsidRDefault="00DB5134" w:rsidP="00B97895">
      <w:pPr>
        <w:spacing w:before="120" w:after="120"/>
        <w:ind w:firstLine="720"/>
        <w:jc w:val="both"/>
        <w:rPr>
          <w:rFonts w:asciiTheme="majorHAnsi" w:hAnsiTheme="majorHAnsi"/>
          <w:b/>
          <w:bCs/>
          <w:sz w:val="20"/>
          <w:szCs w:val="20"/>
          <w:lang w:val="es-ES"/>
        </w:rPr>
      </w:pPr>
      <w:r w:rsidRPr="00885BCF">
        <w:rPr>
          <w:rFonts w:asciiTheme="majorHAnsi" w:hAnsiTheme="majorHAnsi"/>
          <w:b/>
          <w:bCs/>
          <w:sz w:val="20"/>
          <w:szCs w:val="20"/>
          <w:lang w:val="es-ES"/>
        </w:rPr>
        <w:t xml:space="preserve">III. </w:t>
      </w:r>
      <w:r w:rsidRPr="00885BCF">
        <w:rPr>
          <w:rFonts w:asciiTheme="majorHAnsi" w:hAnsiTheme="majorHAnsi"/>
          <w:b/>
          <w:bCs/>
          <w:sz w:val="20"/>
          <w:szCs w:val="20"/>
          <w:lang w:val="es-ES"/>
        </w:rPr>
        <w:tab/>
        <w:t xml:space="preserve">COMPETENCIA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0"/>
        <w:gridCol w:w="5825"/>
      </w:tblGrid>
      <w:tr w:rsidR="00DB5134" w:rsidRPr="00885BCF" w14:paraId="74356079" w14:textId="77777777" w:rsidTr="00004E47">
        <w:trPr>
          <w:cantSplit/>
        </w:trPr>
        <w:tc>
          <w:tcPr>
            <w:tcW w:w="3560" w:type="dxa"/>
            <w:tcBorders>
              <w:top w:val="single" w:sz="4" w:space="0" w:color="auto"/>
              <w:bottom w:val="single" w:sz="6" w:space="0" w:color="auto"/>
            </w:tcBorders>
            <w:shd w:val="clear" w:color="auto" w:fill="386294"/>
            <w:vAlign w:val="center"/>
          </w:tcPr>
          <w:p w14:paraId="7397F1C2" w14:textId="77777777" w:rsidR="00DB5134" w:rsidRPr="00D24710" w:rsidRDefault="00DB5134" w:rsidP="00631DEB">
            <w:pPr>
              <w:jc w:val="center"/>
              <w:rPr>
                <w:rFonts w:ascii="Cambria" w:hAnsi="Cambria"/>
                <w:bCs/>
                <w:i/>
                <w:color w:val="FFFFFF" w:themeColor="background1"/>
                <w:sz w:val="20"/>
                <w:szCs w:val="20"/>
                <w:lang w:val="es-ES"/>
              </w:rPr>
            </w:pPr>
            <w:r w:rsidRPr="00D24710">
              <w:rPr>
                <w:rFonts w:ascii="Cambria" w:hAnsi="Cambria"/>
                <w:bCs/>
                <w:color w:val="FFFFFF" w:themeColor="background1"/>
                <w:sz w:val="20"/>
                <w:szCs w:val="20"/>
                <w:lang w:val="es-ES"/>
              </w:rPr>
              <w:t>Competencia</w:t>
            </w:r>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Ratione</w:t>
            </w:r>
            <w:proofErr w:type="spellEnd"/>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personae</w:t>
            </w:r>
            <w:proofErr w:type="spellEnd"/>
            <w:r w:rsidRPr="00D24710">
              <w:rPr>
                <w:rFonts w:ascii="Cambria" w:hAnsi="Cambria"/>
                <w:bCs/>
                <w:i/>
                <w:color w:val="FFFFFF" w:themeColor="background1"/>
                <w:sz w:val="20"/>
                <w:szCs w:val="20"/>
                <w:lang w:val="es-ES"/>
              </w:rPr>
              <w:t>:</w:t>
            </w:r>
          </w:p>
        </w:tc>
        <w:tc>
          <w:tcPr>
            <w:tcW w:w="5825" w:type="dxa"/>
            <w:vAlign w:val="center"/>
          </w:tcPr>
          <w:p w14:paraId="27229185" w14:textId="77777777" w:rsidR="00DB5134" w:rsidRPr="00885BCF" w:rsidRDefault="00DB5134" w:rsidP="00631DEB">
            <w:pPr>
              <w:rPr>
                <w:rFonts w:ascii="Cambria" w:hAnsi="Cambria"/>
                <w:bCs/>
                <w:sz w:val="20"/>
                <w:szCs w:val="20"/>
                <w:lang w:val="es-ES"/>
              </w:rPr>
            </w:pPr>
            <w:r w:rsidRPr="00885BCF">
              <w:rPr>
                <w:rFonts w:ascii="Cambria" w:hAnsi="Cambria"/>
                <w:bCs/>
                <w:sz w:val="20"/>
                <w:szCs w:val="20"/>
                <w:lang w:val="es-ES"/>
              </w:rPr>
              <w:t>Sí</w:t>
            </w:r>
          </w:p>
        </w:tc>
      </w:tr>
      <w:tr w:rsidR="00DB5134" w:rsidRPr="00885BCF" w14:paraId="40770D29" w14:textId="77777777" w:rsidTr="00004E47">
        <w:trPr>
          <w:cantSplit/>
        </w:trPr>
        <w:tc>
          <w:tcPr>
            <w:tcW w:w="3560" w:type="dxa"/>
            <w:tcBorders>
              <w:top w:val="single" w:sz="6" w:space="0" w:color="auto"/>
              <w:bottom w:val="single" w:sz="6" w:space="0" w:color="auto"/>
            </w:tcBorders>
            <w:shd w:val="clear" w:color="auto" w:fill="386294"/>
            <w:vAlign w:val="center"/>
          </w:tcPr>
          <w:p w14:paraId="3EC2F4E6"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Competencia</w:t>
            </w:r>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Ratione</w:t>
            </w:r>
            <w:proofErr w:type="spellEnd"/>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loci</w:t>
            </w:r>
            <w:proofErr w:type="spellEnd"/>
            <w:r w:rsidRPr="00D24710">
              <w:rPr>
                <w:rFonts w:ascii="Cambria" w:hAnsi="Cambria"/>
                <w:bCs/>
                <w:color w:val="FFFFFF" w:themeColor="background1"/>
                <w:sz w:val="20"/>
                <w:szCs w:val="20"/>
                <w:lang w:val="es-ES"/>
              </w:rPr>
              <w:t>:</w:t>
            </w:r>
          </w:p>
        </w:tc>
        <w:tc>
          <w:tcPr>
            <w:tcW w:w="5825" w:type="dxa"/>
            <w:vAlign w:val="center"/>
          </w:tcPr>
          <w:p w14:paraId="5839E79B" w14:textId="77777777" w:rsidR="00DB5134" w:rsidRPr="00885BCF" w:rsidRDefault="00DB5134" w:rsidP="00631DEB">
            <w:pPr>
              <w:rPr>
                <w:rFonts w:ascii="Cambria" w:hAnsi="Cambria"/>
                <w:bCs/>
                <w:sz w:val="20"/>
                <w:szCs w:val="20"/>
                <w:lang w:val="es-ES"/>
              </w:rPr>
            </w:pPr>
            <w:r w:rsidRPr="00885BCF">
              <w:rPr>
                <w:rFonts w:ascii="Cambria" w:hAnsi="Cambria"/>
                <w:bCs/>
                <w:sz w:val="20"/>
                <w:szCs w:val="20"/>
                <w:lang w:val="es-ES"/>
              </w:rPr>
              <w:t>Sí</w:t>
            </w:r>
          </w:p>
        </w:tc>
      </w:tr>
      <w:tr w:rsidR="00DB5134" w:rsidRPr="00885BCF" w14:paraId="0CE67D43" w14:textId="77777777" w:rsidTr="00004E47">
        <w:trPr>
          <w:cantSplit/>
        </w:trPr>
        <w:tc>
          <w:tcPr>
            <w:tcW w:w="3560" w:type="dxa"/>
            <w:tcBorders>
              <w:top w:val="single" w:sz="6" w:space="0" w:color="auto"/>
              <w:bottom w:val="single" w:sz="6" w:space="0" w:color="auto"/>
            </w:tcBorders>
            <w:shd w:val="clear" w:color="auto" w:fill="386294"/>
            <w:vAlign w:val="center"/>
          </w:tcPr>
          <w:p w14:paraId="3240AE4B"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Competencia</w:t>
            </w:r>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Ratione</w:t>
            </w:r>
            <w:proofErr w:type="spellEnd"/>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temporis</w:t>
            </w:r>
            <w:proofErr w:type="spellEnd"/>
            <w:r w:rsidRPr="00D24710">
              <w:rPr>
                <w:rFonts w:ascii="Cambria" w:hAnsi="Cambria"/>
                <w:bCs/>
                <w:color w:val="FFFFFF" w:themeColor="background1"/>
                <w:sz w:val="20"/>
                <w:szCs w:val="20"/>
                <w:lang w:val="es-ES"/>
              </w:rPr>
              <w:t>:</w:t>
            </w:r>
          </w:p>
        </w:tc>
        <w:tc>
          <w:tcPr>
            <w:tcW w:w="5825" w:type="dxa"/>
            <w:vAlign w:val="center"/>
          </w:tcPr>
          <w:p w14:paraId="766B4943" w14:textId="77777777" w:rsidR="00DB5134" w:rsidRPr="00885BCF" w:rsidRDefault="00DB5134" w:rsidP="00631DEB">
            <w:pPr>
              <w:rPr>
                <w:rFonts w:ascii="Cambria" w:hAnsi="Cambria"/>
                <w:bCs/>
                <w:sz w:val="20"/>
                <w:szCs w:val="20"/>
                <w:lang w:val="es-ES"/>
              </w:rPr>
            </w:pPr>
            <w:r w:rsidRPr="00885BCF">
              <w:rPr>
                <w:rFonts w:ascii="Cambria" w:hAnsi="Cambria"/>
                <w:bCs/>
                <w:sz w:val="20"/>
                <w:szCs w:val="20"/>
                <w:lang w:val="es-ES"/>
              </w:rPr>
              <w:t>Sí</w:t>
            </w:r>
          </w:p>
        </w:tc>
      </w:tr>
      <w:tr w:rsidR="00DB5134" w:rsidRPr="00917A95" w14:paraId="53ED99BB" w14:textId="77777777" w:rsidTr="00004E47">
        <w:trPr>
          <w:cantSplit/>
        </w:trPr>
        <w:tc>
          <w:tcPr>
            <w:tcW w:w="3560" w:type="dxa"/>
            <w:tcBorders>
              <w:top w:val="single" w:sz="6" w:space="0" w:color="auto"/>
              <w:bottom w:val="single" w:sz="6" w:space="0" w:color="auto"/>
            </w:tcBorders>
            <w:shd w:val="clear" w:color="auto" w:fill="386294"/>
            <w:vAlign w:val="center"/>
          </w:tcPr>
          <w:p w14:paraId="016038CD"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Competencia</w:t>
            </w:r>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Ratione</w:t>
            </w:r>
            <w:proofErr w:type="spellEnd"/>
            <w:r w:rsidRPr="00D24710">
              <w:rPr>
                <w:rFonts w:ascii="Cambria" w:hAnsi="Cambria"/>
                <w:bCs/>
                <w:i/>
                <w:color w:val="FFFFFF" w:themeColor="background1"/>
                <w:sz w:val="20"/>
                <w:szCs w:val="20"/>
                <w:lang w:val="es-ES"/>
              </w:rPr>
              <w:t xml:space="preserve"> </w:t>
            </w:r>
            <w:proofErr w:type="spellStart"/>
            <w:r w:rsidRPr="00D24710">
              <w:rPr>
                <w:rFonts w:ascii="Cambria" w:hAnsi="Cambria"/>
                <w:bCs/>
                <w:i/>
                <w:color w:val="FFFFFF" w:themeColor="background1"/>
                <w:sz w:val="20"/>
                <w:szCs w:val="20"/>
                <w:lang w:val="es-ES"/>
              </w:rPr>
              <w:t>materiae</w:t>
            </w:r>
            <w:proofErr w:type="spellEnd"/>
            <w:r w:rsidRPr="00D24710">
              <w:rPr>
                <w:rFonts w:ascii="Cambria" w:hAnsi="Cambria"/>
                <w:bCs/>
                <w:color w:val="FFFFFF" w:themeColor="background1"/>
                <w:sz w:val="20"/>
                <w:szCs w:val="20"/>
                <w:lang w:val="es-ES"/>
              </w:rPr>
              <w:t>:</w:t>
            </w:r>
          </w:p>
        </w:tc>
        <w:tc>
          <w:tcPr>
            <w:tcW w:w="5825" w:type="dxa"/>
            <w:vAlign w:val="center"/>
          </w:tcPr>
          <w:p w14:paraId="636FD28F" w14:textId="77777777" w:rsidR="00DB5134" w:rsidRPr="00885BCF" w:rsidRDefault="00DB5134" w:rsidP="00E237FE">
            <w:pPr>
              <w:jc w:val="both"/>
              <w:rPr>
                <w:rFonts w:ascii="Cambria" w:hAnsi="Cambria"/>
                <w:bCs/>
                <w:sz w:val="20"/>
                <w:szCs w:val="20"/>
                <w:lang w:val="es-ES"/>
              </w:rPr>
            </w:pPr>
            <w:r w:rsidRPr="00885BCF">
              <w:rPr>
                <w:rFonts w:ascii="Cambria" w:hAnsi="Cambria"/>
                <w:bCs/>
                <w:sz w:val="20"/>
                <w:szCs w:val="20"/>
                <w:bdr w:val="none" w:sz="0" w:space="0" w:color="auto" w:frame="1"/>
                <w:lang w:val="es-ES"/>
              </w:rPr>
              <w:t>Sí, Convención Americana (depósito de instrumento de ratificación el 28 de julio de 1978)</w:t>
            </w:r>
          </w:p>
        </w:tc>
      </w:tr>
    </w:tbl>
    <w:p w14:paraId="5D2F81CF" w14:textId="1A8026A0" w:rsidR="00DB5134" w:rsidRPr="00885BCF" w:rsidRDefault="00DB5134" w:rsidP="00B97895">
      <w:pPr>
        <w:spacing w:before="120" w:after="120"/>
        <w:ind w:firstLine="720"/>
        <w:jc w:val="both"/>
        <w:rPr>
          <w:rFonts w:asciiTheme="majorHAnsi" w:hAnsiTheme="majorHAnsi"/>
          <w:b/>
          <w:bCs/>
          <w:sz w:val="20"/>
          <w:szCs w:val="20"/>
          <w:lang w:val="es-ES"/>
        </w:rPr>
      </w:pPr>
      <w:r w:rsidRPr="00885BCF">
        <w:rPr>
          <w:rFonts w:asciiTheme="majorHAnsi" w:hAnsiTheme="majorHAnsi"/>
          <w:b/>
          <w:bCs/>
          <w:sz w:val="20"/>
          <w:szCs w:val="20"/>
          <w:lang w:val="es-ES"/>
        </w:rPr>
        <w:t xml:space="preserve">IV. </w:t>
      </w:r>
      <w:r w:rsidRPr="00885BCF">
        <w:rPr>
          <w:rFonts w:asciiTheme="majorHAnsi" w:hAnsiTheme="majorHAnsi"/>
          <w:b/>
          <w:bCs/>
          <w:sz w:val="20"/>
          <w:szCs w:val="20"/>
          <w:lang w:val="es-ES"/>
        </w:rPr>
        <w:tab/>
        <w:t>DUPLICACIÓN</w:t>
      </w:r>
      <w:r w:rsidRPr="00885BCF">
        <w:rPr>
          <w:rFonts w:asciiTheme="majorHAnsi" w:hAnsiTheme="majorHAnsi"/>
          <w:b/>
          <w:bCs/>
          <w:color w:val="FFFFFF" w:themeColor="background1"/>
          <w:sz w:val="20"/>
          <w:szCs w:val="20"/>
          <w:lang w:val="es-ES"/>
        </w:rPr>
        <w:t xml:space="preserve"> </w:t>
      </w:r>
      <w:r w:rsidRPr="00885BCF">
        <w:rPr>
          <w:rFonts w:asciiTheme="majorHAnsi" w:hAnsiTheme="majorHAnsi"/>
          <w:b/>
          <w:bCs/>
          <w:sz w:val="20"/>
          <w:szCs w:val="20"/>
          <w:lang w:val="es-ES"/>
        </w:rPr>
        <w:t>DE PROCEDIMIENTOS Y COSA JUZGADA</w:t>
      </w:r>
      <w:r w:rsidRPr="00885BCF">
        <w:rPr>
          <w:rFonts w:asciiTheme="majorHAnsi" w:hAnsiTheme="majorHAnsi"/>
          <w:b/>
          <w:bCs/>
          <w:i/>
          <w:sz w:val="20"/>
          <w:szCs w:val="20"/>
          <w:lang w:val="es-ES"/>
        </w:rPr>
        <w:t xml:space="preserve"> </w:t>
      </w:r>
      <w:r w:rsidR="00B75425" w:rsidRPr="00885BCF">
        <w:rPr>
          <w:rFonts w:asciiTheme="majorHAnsi" w:hAnsiTheme="majorHAnsi"/>
          <w:b/>
          <w:bCs/>
          <w:sz w:val="20"/>
          <w:szCs w:val="20"/>
          <w:lang w:val="es-ES"/>
        </w:rPr>
        <w:t>INTERNACIONAL, CARACTERIZACIÓN</w:t>
      </w:r>
      <w:r w:rsidRPr="00885BCF">
        <w:rPr>
          <w:rFonts w:asciiTheme="majorHAnsi" w:hAnsiTheme="majorHAnsi"/>
          <w:b/>
          <w:bCs/>
          <w:sz w:val="20"/>
          <w:szCs w:val="20"/>
          <w:lang w:val="es-ES"/>
        </w:rPr>
        <w:t xml:space="preserve">, </w:t>
      </w:r>
      <w:r w:rsidRPr="00885BCF">
        <w:rPr>
          <w:rFonts w:asciiTheme="majorHAnsi" w:hAnsiTheme="majorHAnsi"/>
          <w:b/>
          <w:sz w:val="20"/>
          <w:szCs w:val="20"/>
          <w:lang w:val="es-ES"/>
        </w:rPr>
        <w:t>AGOTAMIENTO DE LOS RECURSOS INTERNOS Y PLAZO DE PRESENTACIÓN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5"/>
        <w:gridCol w:w="5820"/>
      </w:tblGrid>
      <w:tr w:rsidR="00DB5134" w:rsidRPr="00885BCF" w14:paraId="0065B6C1" w14:textId="77777777" w:rsidTr="00004E47">
        <w:trPr>
          <w:cantSplit/>
        </w:trPr>
        <w:tc>
          <w:tcPr>
            <w:tcW w:w="3565" w:type="dxa"/>
            <w:tcBorders>
              <w:top w:val="single" w:sz="4" w:space="0" w:color="auto"/>
              <w:bottom w:val="single" w:sz="6" w:space="0" w:color="auto"/>
            </w:tcBorders>
            <w:shd w:val="clear" w:color="auto" w:fill="386294"/>
            <w:vAlign w:val="center"/>
          </w:tcPr>
          <w:p w14:paraId="0293CB1A"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Duplicación de procedimientos y cosa juzgada internacional:</w:t>
            </w:r>
          </w:p>
        </w:tc>
        <w:tc>
          <w:tcPr>
            <w:tcW w:w="5820" w:type="dxa"/>
            <w:vAlign w:val="center"/>
          </w:tcPr>
          <w:p w14:paraId="7AE3634F" w14:textId="77777777" w:rsidR="00DB5134" w:rsidRPr="00885BCF" w:rsidRDefault="00DB5134" w:rsidP="00631DEB">
            <w:pPr>
              <w:jc w:val="both"/>
              <w:rPr>
                <w:rFonts w:ascii="Cambria" w:hAnsi="Cambria"/>
                <w:bCs/>
                <w:sz w:val="20"/>
                <w:szCs w:val="20"/>
                <w:lang w:val="es-ES"/>
              </w:rPr>
            </w:pPr>
            <w:r w:rsidRPr="00885BCF">
              <w:rPr>
                <w:rFonts w:ascii="Cambria" w:hAnsi="Cambria"/>
                <w:bCs/>
                <w:sz w:val="20"/>
                <w:szCs w:val="20"/>
                <w:lang w:val="es-ES"/>
              </w:rPr>
              <w:t>No</w:t>
            </w:r>
          </w:p>
        </w:tc>
      </w:tr>
      <w:tr w:rsidR="00DB5134" w:rsidRPr="00885BCF" w14:paraId="1C065F2C" w14:textId="77777777" w:rsidTr="00004E47">
        <w:trPr>
          <w:cantSplit/>
        </w:trPr>
        <w:tc>
          <w:tcPr>
            <w:tcW w:w="3565" w:type="dxa"/>
            <w:tcBorders>
              <w:top w:val="single" w:sz="4" w:space="0" w:color="auto"/>
              <w:bottom w:val="single" w:sz="6" w:space="0" w:color="auto"/>
            </w:tcBorders>
            <w:shd w:val="clear" w:color="auto" w:fill="386294"/>
            <w:vAlign w:val="center"/>
          </w:tcPr>
          <w:p w14:paraId="5920C7A1" w14:textId="77777777" w:rsidR="00DB5134" w:rsidRPr="00D24710" w:rsidRDefault="00DB5134" w:rsidP="00631DEB">
            <w:pPr>
              <w:jc w:val="center"/>
              <w:rPr>
                <w:rFonts w:ascii="Cambria" w:hAnsi="Cambria"/>
                <w:bCs/>
                <w:i/>
                <w:color w:val="FFFFFF" w:themeColor="background1"/>
                <w:sz w:val="20"/>
                <w:szCs w:val="20"/>
                <w:lang w:val="es-ES"/>
              </w:rPr>
            </w:pPr>
            <w:r w:rsidRPr="00D24710">
              <w:rPr>
                <w:rFonts w:ascii="Cambria" w:hAnsi="Cambria"/>
                <w:bCs/>
                <w:color w:val="FFFFFF" w:themeColor="background1"/>
                <w:sz w:val="20"/>
                <w:szCs w:val="20"/>
                <w:lang w:val="es-ES"/>
              </w:rPr>
              <w:t>Derechos declarados admisibles</w:t>
            </w:r>
            <w:r w:rsidRPr="00D24710">
              <w:rPr>
                <w:rFonts w:ascii="Cambria" w:hAnsi="Cambria"/>
                <w:bCs/>
                <w:i/>
                <w:color w:val="FFFFFF" w:themeColor="background1"/>
                <w:sz w:val="20"/>
                <w:szCs w:val="20"/>
                <w:lang w:val="es-ES"/>
              </w:rPr>
              <w:t>:</w:t>
            </w:r>
          </w:p>
        </w:tc>
        <w:tc>
          <w:tcPr>
            <w:tcW w:w="5820" w:type="dxa"/>
            <w:vAlign w:val="center"/>
          </w:tcPr>
          <w:p w14:paraId="59974A33" w14:textId="08B4F074" w:rsidR="00DB5134" w:rsidRPr="00885BCF" w:rsidRDefault="00C4590D" w:rsidP="00631DEB">
            <w:pPr>
              <w:jc w:val="both"/>
              <w:rPr>
                <w:rFonts w:ascii="Cambria" w:hAnsi="Cambria"/>
                <w:bCs/>
                <w:sz w:val="20"/>
                <w:szCs w:val="20"/>
                <w:lang w:val="es-ES"/>
              </w:rPr>
            </w:pPr>
            <w:r w:rsidRPr="00885BCF">
              <w:rPr>
                <w:rFonts w:asciiTheme="majorHAnsi" w:hAnsiTheme="majorHAnsi"/>
                <w:bCs/>
                <w:sz w:val="20"/>
                <w:szCs w:val="20"/>
                <w:lang w:val="es-ES"/>
              </w:rPr>
              <w:t>Ninguno</w:t>
            </w:r>
          </w:p>
        </w:tc>
      </w:tr>
      <w:tr w:rsidR="00DB5134" w:rsidRPr="00917A95" w14:paraId="7E4B8A30" w14:textId="77777777" w:rsidTr="00004E47">
        <w:trPr>
          <w:cantSplit/>
        </w:trPr>
        <w:tc>
          <w:tcPr>
            <w:tcW w:w="3565" w:type="dxa"/>
            <w:tcBorders>
              <w:top w:val="single" w:sz="6" w:space="0" w:color="auto"/>
              <w:bottom w:val="single" w:sz="6" w:space="0" w:color="auto"/>
            </w:tcBorders>
            <w:shd w:val="clear" w:color="auto" w:fill="386294"/>
            <w:vAlign w:val="center"/>
          </w:tcPr>
          <w:p w14:paraId="3B7DC9E4"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Agotamiento de recursos internos o procedencia de una excepción:</w:t>
            </w:r>
          </w:p>
        </w:tc>
        <w:tc>
          <w:tcPr>
            <w:tcW w:w="5820" w:type="dxa"/>
            <w:vAlign w:val="center"/>
          </w:tcPr>
          <w:p w14:paraId="63B6FE6D" w14:textId="77777777" w:rsidR="00DB5134" w:rsidRPr="00885BCF" w:rsidRDefault="00DB5134" w:rsidP="00631DEB">
            <w:pPr>
              <w:rPr>
                <w:rFonts w:ascii="Cambria" w:hAnsi="Cambria"/>
                <w:bCs/>
                <w:sz w:val="20"/>
                <w:szCs w:val="20"/>
                <w:lang w:val="es-ES"/>
              </w:rPr>
            </w:pPr>
            <w:r w:rsidRPr="00885BCF">
              <w:rPr>
                <w:rFonts w:asciiTheme="majorHAnsi" w:hAnsiTheme="majorHAnsi"/>
                <w:bCs/>
                <w:sz w:val="20"/>
                <w:szCs w:val="20"/>
                <w:lang w:val="es-ES"/>
              </w:rPr>
              <w:t xml:space="preserve">Sí, </w:t>
            </w:r>
            <w:r w:rsidR="006B1EE5" w:rsidRPr="00885BCF">
              <w:rPr>
                <w:rFonts w:asciiTheme="majorHAnsi" w:hAnsiTheme="majorHAnsi"/>
                <w:bCs/>
                <w:sz w:val="20"/>
                <w:szCs w:val="20"/>
                <w:lang w:val="es-ES"/>
              </w:rPr>
              <w:t>el 15 de enero de 2007</w:t>
            </w:r>
          </w:p>
        </w:tc>
      </w:tr>
      <w:tr w:rsidR="00DB5134" w:rsidRPr="00917A95" w14:paraId="5E4BAED3" w14:textId="77777777" w:rsidTr="00004E47">
        <w:trPr>
          <w:cantSplit/>
        </w:trPr>
        <w:tc>
          <w:tcPr>
            <w:tcW w:w="3565" w:type="dxa"/>
            <w:tcBorders>
              <w:top w:val="single" w:sz="6" w:space="0" w:color="auto"/>
              <w:bottom w:val="single" w:sz="6" w:space="0" w:color="auto"/>
            </w:tcBorders>
            <w:shd w:val="clear" w:color="auto" w:fill="386294"/>
            <w:vAlign w:val="center"/>
          </w:tcPr>
          <w:p w14:paraId="3301578A" w14:textId="77777777" w:rsidR="00DB5134" w:rsidRPr="00D24710" w:rsidRDefault="00DB5134" w:rsidP="00631DEB">
            <w:pPr>
              <w:jc w:val="center"/>
              <w:rPr>
                <w:rFonts w:ascii="Cambria" w:hAnsi="Cambria"/>
                <w:bCs/>
                <w:color w:val="FFFFFF" w:themeColor="background1"/>
                <w:sz w:val="20"/>
                <w:szCs w:val="20"/>
                <w:lang w:val="es-ES"/>
              </w:rPr>
            </w:pPr>
            <w:r w:rsidRPr="00D24710">
              <w:rPr>
                <w:rFonts w:ascii="Cambria" w:hAnsi="Cambria"/>
                <w:bCs/>
                <w:color w:val="FFFFFF" w:themeColor="background1"/>
                <w:sz w:val="20"/>
                <w:szCs w:val="20"/>
                <w:lang w:val="es-ES"/>
              </w:rPr>
              <w:t>Presentación dentro de plazo:</w:t>
            </w:r>
          </w:p>
        </w:tc>
        <w:tc>
          <w:tcPr>
            <w:tcW w:w="5820" w:type="dxa"/>
            <w:vAlign w:val="center"/>
          </w:tcPr>
          <w:p w14:paraId="55880599" w14:textId="77777777" w:rsidR="00DB5134" w:rsidRPr="00885BCF" w:rsidRDefault="00DB5134" w:rsidP="00631DEB">
            <w:pPr>
              <w:rPr>
                <w:bCs/>
                <w:sz w:val="20"/>
                <w:szCs w:val="20"/>
                <w:lang w:val="es-ES"/>
              </w:rPr>
            </w:pPr>
            <w:r w:rsidRPr="00885BCF">
              <w:rPr>
                <w:rFonts w:asciiTheme="majorHAnsi" w:hAnsiTheme="majorHAnsi"/>
                <w:bCs/>
                <w:sz w:val="20"/>
                <w:szCs w:val="20"/>
                <w:lang w:val="es-ES"/>
              </w:rPr>
              <w:t xml:space="preserve">Sí, </w:t>
            </w:r>
            <w:r w:rsidR="006B1EE5" w:rsidRPr="00885BCF">
              <w:rPr>
                <w:rFonts w:asciiTheme="majorHAnsi" w:hAnsiTheme="majorHAnsi"/>
                <w:bCs/>
                <w:sz w:val="20"/>
                <w:szCs w:val="20"/>
                <w:lang w:val="es-ES"/>
              </w:rPr>
              <w:t>el 3 de abril de 2007</w:t>
            </w:r>
          </w:p>
        </w:tc>
      </w:tr>
    </w:tbl>
    <w:p w14:paraId="187EB23E" w14:textId="77777777" w:rsidR="00DB5134" w:rsidRPr="00885BCF" w:rsidRDefault="00DB5134" w:rsidP="00B97895">
      <w:pPr>
        <w:spacing w:before="120" w:after="120"/>
        <w:ind w:firstLine="720"/>
        <w:jc w:val="both"/>
        <w:rPr>
          <w:rFonts w:asciiTheme="majorHAnsi" w:hAnsiTheme="majorHAnsi"/>
          <w:sz w:val="20"/>
          <w:szCs w:val="20"/>
          <w:lang w:val="es-ES"/>
        </w:rPr>
      </w:pPr>
      <w:r w:rsidRPr="00885BCF">
        <w:rPr>
          <w:rFonts w:asciiTheme="majorHAnsi" w:hAnsiTheme="majorHAnsi"/>
          <w:b/>
          <w:sz w:val="20"/>
          <w:szCs w:val="20"/>
          <w:lang w:val="es-ES"/>
        </w:rPr>
        <w:t xml:space="preserve">V. </w:t>
      </w:r>
      <w:r w:rsidRPr="00885BCF">
        <w:rPr>
          <w:rFonts w:asciiTheme="majorHAnsi" w:hAnsiTheme="majorHAnsi"/>
          <w:b/>
          <w:sz w:val="20"/>
          <w:szCs w:val="20"/>
          <w:lang w:val="es-ES"/>
        </w:rPr>
        <w:tab/>
        <w:t>HECHOS ALEGADOS</w:t>
      </w:r>
      <w:r w:rsidRPr="00885BCF">
        <w:rPr>
          <w:rFonts w:asciiTheme="majorHAnsi" w:hAnsiTheme="majorHAnsi"/>
          <w:sz w:val="20"/>
          <w:szCs w:val="20"/>
          <w:lang w:val="es-ES"/>
        </w:rPr>
        <w:t xml:space="preserve"> </w:t>
      </w:r>
    </w:p>
    <w:p w14:paraId="4F88A2FA" w14:textId="4804BEAF" w:rsidR="003320ED" w:rsidRPr="00885BCF" w:rsidRDefault="00E237F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jc w:val="both"/>
        <w:textAlignment w:val="baseline"/>
        <w:rPr>
          <w:lang w:val="es-ES"/>
        </w:rPr>
      </w:pPr>
      <w:bookmarkStart w:id="2" w:name="_Hlk513535327"/>
      <w:bookmarkStart w:id="3" w:name="_Hlk513535734"/>
      <w:r w:rsidRPr="00885BCF">
        <w:rPr>
          <w:bCs/>
          <w:color w:val="00000A"/>
          <w:sz w:val="20"/>
          <w:szCs w:val="20"/>
          <w:lang w:val="es-ES"/>
        </w:rPr>
        <w:t xml:space="preserve">El peticionario alega que el Estado no respetó el </w:t>
      </w:r>
      <w:r w:rsidR="00533D9C" w:rsidRPr="00885BCF">
        <w:rPr>
          <w:bCs/>
          <w:color w:val="00000A"/>
          <w:sz w:val="20"/>
          <w:szCs w:val="20"/>
          <w:lang w:val="es-ES"/>
        </w:rPr>
        <w:t xml:space="preserve">derecho al </w:t>
      </w:r>
      <w:r w:rsidRPr="00885BCF">
        <w:rPr>
          <w:bCs/>
          <w:color w:val="00000A"/>
          <w:sz w:val="20"/>
          <w:szCs w:val="20"/>
          <w:lang w:val="es-ES"/>
        </w:rPr>
        <w:t xml:space="preserve">debido proceso </w:t>
      </w:r>
      <w:r w:rsidR="00436B7F" w:rsidRPr="00885BCF">
        <w:rPr>
          <w:bCs/>
          <w:color w:val="00000A"/>
          <w:sz w:val="20"/>
          <w:szCs w:val="20"/>
          <w:lang w:val="es-ES"/>
        </w:rPr>
        <w:t>del señor David Eduardo Milla Espinoza (en adelante, “la presunta víctima” o “el Sr. Milla Espinoza”), ex policía</w:t>
      </w:r>
      <w:r w:rsidR="00533D9C" w:rsidRPr="00885BCF">
        <w:rPr>
          <w:bCs/>
          <w:color w:val="00000A"/>
          <w:sz w:val="20"/>
          <w:szCs w:val="20"/>
          <w:lang w:val="es-ES"/>
        </w:rPr>
        <w:t>, en</w:t>
      </w:r>
      <w:r w:rsidRPr="00885BCF">
        <w:rPr>
          <w:bCs/>
          <w:color w:val="00000A"/>
          <w:sz w:val="20"/>
          <w:szCs w:val="20"/>
          <w:lang w:val="es-ES"/>
        </w:rPr>
        <w:t xml:space="preserve"> el trámite de un acuerdo de colaboración</w:t>
      </w:r>
      <w:r w:rsidR="009B12C0" w:rsidRPr="00885BCF">
        <w:rPr>
          <w:bCs/>
          <w:color w:val="00000A"/>
          <w:sz w:val="20"/>
          <w:szCs w:val="20"/>
          <w:lang w:val="es-ES"/>
        </w:rPr>
        <w:t xml:space="preserve"> bajo el </w:t>
      </w:r>
      <w:r w:rsidR="00405636" w:rsidRPr="00885BCF">
        <w:rPr>
          <w:bCs/>
          <w:color w:val="00000A"/>
          <w:sz w:val="20"/>
          <w:szCs w:val="20"/>
          <w:lang w:val="es-ES"/>
        </w:rPr>
        <w:t xml:space="preserve">Decreto Legislativo N° 824 </w:t>
      </w:r>
      <w:r w:rsidR="00627B9F" w:rsidRPr="00885BCF">
        <w:rPr>
          <w:bCs/>
          <w:color w:val="00000A"/>
          <w:sz w:val="20"/>
          <w:szCs w:val="20"/>
          <w:lang w:val="es-ES"/>
        </w:rPr>
        <w:t>(</w:t>
      </w:r>
      <w:r w:rsidR="009B12C0" w:rsidRPr="00885BCF">
        <w:rPr>
          <w:bCs/>
          <w:color w:val="00000A"/>
          <w:sz w:val="20"/>
          <w:szCs w:val="20"/>
          <w:lang w:val="es-ES"/>
        </w:rPr>
        <w:t>conocido</w:t>
      </w:r>
      <w:r w:rsidR="00405636" w:rsidRPr="00885BCF">
        <w:rPr>
          <w:bCs/>
          <w:color w:val="00000A"/>
          <w:sz w:val="20"/>
          <w:szCs w:val="20"/>
          <w:lang w:val="es-ES"/>
        </w:rPr>
        <w:t xml:space="preserve"> como la Ley de Arrepentimiento</w:t>
      </w:r>
      <w:r w:rsidR="00627B9F" w:rsidRPr="00885BCF">
        <w:rPr>
          <w:bCs/>
          <w:color w:val="00000A"/>
          <w:sz w:val="20"/>
          <w:szCs w:val="20"/>
          <w:lang w:val="es-ES"/>
        </w:rPr>
        <w:t>)</w:t>
      </w:r>
      <w:r w:rsidR="009B12C0" w:rsidRPr="00885BCF">
        <w:rPr>
          <w:bCs/>
          <w:color w:val="00000A"/>
          <w:sz w:val="20"/>
          <w:szCs w:val="20"/>
          <w:lang w:val="es-ES"/>
        </w:rPr>
        <w:t xml:space="preserve"> </w:t>
      </w:r>
      <w:r w:rsidRPr="00885BCF">
        <w:rPr>
          <w:bCs/>
          <w:color w:val="00000A"/>
          <w:sz w:val="20"/>
          <w:szCs w:val="20"/>
          <w:lang w:val="es-ES"/>
        </w:rPr>
        <w:t>para obtener e</w:t>
      </w:r>
      <w:r w:rsidR="009B12C0" w:rsidRPr="00885BCF">
        <w:rPr>
          <w:bCs/>
          <w:color w:val="00000A"/>
          <w:sz w:val="20"/>
          <w:szCs w:val="20"/>
          <w:lang w:val="es-ES"/>
        </w:rPr>
        <w:t>l beneficio de exención de pena</w:t>
      </w:r>
      <w:r w:rsidR="00405636" w:rsidRPr="00885BCF">
        <w:rPr>
          <w:bCs/>
          <w:color w:val="00000A"/>
          <w:sz w:val="20"/>
          <w:szCs w:val="20"/>
          <w:lang w:val="es-ES"/>
        </w:rPr>
        <w:t xml:space="preserve">. Tal proceso se desarrolló </w:t>
      </w:r>
      <w:r w:rsidRPr="00885BCF">
        <w:rPr>
          <w:bCs/>
          <w:color w:val="00000A"/>
          <w:sz w:val="20"/>
          <w:szCs w:val="20"/>
          <w:lang w:val="es-ES"/>
        </w:rPr>
        <w:t xml:space="preserve">paralelamente </w:t>
      </w:r>
      <w:r w:rsidR="00533D9C" w:rsidRPr="00885BCF">
        <w:rPr>
          <w:bCs/>
          <w:color w:val="00000A"/>
          <w:sz w:val="20"/>
          <w:szCs w:val="20"/>
          <w:lang w:val="es-ES"/>
        </w:rPr>
        <w:t>a un</w:t>
      </w:r>
      <w:r w:rsidRPr="00885BCF">
        <w:rPr>
          <w:bCs/>
          <w:color w:val="00000A"/>
          <w:sz w:val="20"/>
          <w:szCs w:val="20"/>
          <w:lang w:val="es-ES"/>
        </w:rPr>
        <w:t xml:space="preserve"> proceso penal </w:t>
      </w:r>
      <w:r w:rsidR="00627B9F" w:rsidRPr="00885BCF">
        <w:rPr>
          <w:bCs/>
          <w:color w:val="00000A"/>
          <w:sz w:val="20"/>
          <w:szCs w:val="20"/>
          <w:lang w:val="es-ES"/>
        </w:rPr>
        <w:t>en el que</w:t>
      </w:r>
      <w:r w:rsidR="00413808" w:rsidRPr="00885BCF">
        <w:rPr>
          <w:bCs/>
          <w:color w:val="00000A"/>
          <w:sz w:val="20"/>
          <w:szCs w:val="20"/>
          <w:lang w:val="es-ES"/>
        </w:rPr>
        <w:t xml:space="preserve"> fue condenado a 20 años de </w:t>
      </w:r>
      <w:r w:rsidR="005F35A0" w:rsidRPr="00885BCF">
        <w:rPr>
          <w:bCs/>
          <w:color w:val="00000A"/>
          <w:sz w:val="20"/>
          <w:szCs w:val="20"/>
          <w:lang w:val="es-ES"/>
        </w:rPr>
        <w:t>prisión</w:t>
      </w:r>
      <w:r w:rsidRPr="00885BCF">
        <w:rPr>
          <w:bCs/>
          <w:color w:val="00000A"/>
          <w:sz w:val="20"/>
          <w:szCs w:val="20"/>
          <w:lang w:val="es-ES"/>
        </w:rPr>
        <w:t>.</w:t>
      </w:r>
      <w:r w:rsidR="006F2D99" w:rsidRPr="00885BCF">
        <w:rPr>
          <w:bCs/>
          <w:color w:val="00000A"/>
          <w:sz w:val="20"/>
          <w:szCs w:val="20"/>
          <w:lang w:val="es-ES"/>
        </w:rPr>
        <w:t xml:space="preserve"> </w:t>
      </w:r>
      <w:r w:rsidR="00627B9F" w:rsidRPr="00885BCF">
        <w:rPr>
          <w:bCs/>
          <w:color w:val="00000A"/>
          <w:sz w:val="20"/>
          <w:szCs w:val="20"/>
          <w:lang w:val="es-ES"/>
        </w:rPr>
        <w:t>El peticionario alega que hubo i</w:t>
      </w:r>
      <w:r w:rsidRPr="00885BCF">
        <w:rPr>
          <w:bCs/>
          <w:color w:val="00000A"/>
          <w:sz w:val="20"/>
          <w:szCs w:val="20"/>
          <w:lang w:val="es-ES"/>
        </w:rPr>
        <w:t>rregularidades</w:t>
      </w:r>
      <w:r w:rsidR="005F35A0" w:rsidRPr="00885BCF">
        <w:rPr>
          <w:bCs/>
          <w:color w:val="00000A"/>
          <w:sz w:val="20"/>
          <w:szCs w:val="20"/>
          <w:lang w:val="es-ES"/>
        </w:rPr>
        <w:t xml:space="preserve"> en el proceso</w:t>
      </w:r>
      <w:r w:rsidR="00627B9F" w:rsidRPr="00885BCF">
        <w:rPr>
          <w:bCs/>
          <w:color w:val="00000A"/>
          <w:sz w:val="20"/>
          <w:szCs w:val="20"/>
          <w:lang w:val="es-ES"/>
        </w:rPr>
        <w:t>,</w:t>
      </w:r>
      <w:r w:rsidRPr="00885BCF">
        <w:rPr>
          <w:bCs/>
          <w:color w:val="00000A"/>
          <w:sz w:val="20"/>
          <w:szCs w:val="20"/>
          <w:lang w:val="es-ES"/>
        </w:rPr>
        <w:t xml:space="preserve"> </w:t>
      </w:r>
      <w:r w:rsidR="00627B9F" w:rsidRPr="00885BCF">
        <w:rPr>
          <w:bCs/>
          <w:color w:val="00000A"/>
          <w:sz w:val="20"/>
          <w:szCs w:val="20"/>
          <w:lang w:val="es-ES"/>
        </w:rPr>
        <w:t>que tuvieron</w:t>
      </w:r>
      <w:r w:rsidRPr="00885BCF">
        <w:rPr>
          <w:bCs/>
          <w:color w:val="00000A"/>
          <w:sz w:val="20"/>
          <w:szCs w:val="20"/>
          <w:lang w:val="es-ES"/>
        </w:rPr>
        <w:t xml:space="preserve"> incidencia direc</w:t>
      </w:r>
      <w:r w:rsidRPr="00885BCF">
        <w:rPr>
          <w:bCs/>
          <w:color w:val="00000A"/>
          <w:sz w:val="20"/>
          <w:szCs w:val="20"/>
          <w:shd w:val="clear" w:color="auto" w:fill="FFFFFF"/>
          <w:lang w:val="es-ES"/>
        </w:rPr>
        <w:t>ta</w:t>
      </w:r>
      <w:r w:rsidR="00533D9C" w:rsidRPr="00885BCF">
        <w:rPr>
          <w:bCs/>
          <w:color w:val="00000A"/>
          <w:sz w:val="20"/>
          <w:szCs w:val="20"/>
          <w:shd w:val="clear" w:color="auto" w:fill="FFFFFF"/>
          <w:lang w:val="es-ES"/>
        </w:rPr>
        <w:t xml:space="preserve"> en</w:t>
      </w:r>
      <w:r w:rsidRPr="00885BCF">
        <w:rPr>
          <w:bCs/>
          <w:color w:val="00000A"/>
          <w:sz w:val="20"/>
          <w:szCs w:val="20"/>
          <w:shd w:val="clear" w:color="auto" w:fill="FFFFFF"/>
          <w:lang w:val="es-ES"/>
        </w:rPr>
        <w:t xml:space="preserve"> la duración de la pena de prisión </w:t>
      </w:r>
      <w:r w:rsidRPr="00885BCF">
        <w:rPr>
          <w:bCs/>
          <w:color w:val="00000A"/>
          <w:sz w:val="20"/>
          <w:szCs w:val="20"/>
          <w:lang w:val="es-ES"/>
        </w:rPr>
        <w:t xml:space="preserve">que tuvo que cumplir la presunta víctima </w:t>
      </w:r>
      <w:r w:rsidR="00533D9C" w:rsidRPr="00885BCF">
        <w:rPr>
          <w:bCs/>
          <w:color w:val="00000A"/>
          <w:sz w:val="20"/>
          <w:szCs w:val="20"/>
          <w:lang w:val="es-ES"/>
        </w:rPr>
        <w:t>y</w:t>
      </w:r>
      <w:r w:rsidR="004D1A33">
        <w:rPr>
          <w:bCs/>
          <w:color w:val="00000A"/>
          <w:sz w:val="20"/>
          <w:szCs w:val="20"/>
          <w:lang w:val="es-ES"/>
        </w:rPr>
        <w:t>,</w:t>
      </w:r>
      <w:r w:rsidR="00533D9C" w:rsidRPr="00885BCF">
        <w:rPr>
          <w:bCs/>
          <w:color w:val="00000A"/>
          <w:sz w:val="20"/>
          <w:szCs w:val="20"/>
          <w:lang w:val="es-ES"/>
        </w:rPr>
        <w:t xml:space="preserve"> </w:t>
      </w:r>
      <w:r w:rsidRPr="00885BCF">
        <w:rPr>
          <w:bCs/>
          <w:color w:val="00000A"/>
          <w:sz w:val="20"/>
          <w:szCs w:val="20"/>
          <w:lang w:val="es-ES"/>
        </w:rPr>
        <w:t xml:space="preserve">por lo tanto, en el goce de su derecho a la libertad personal. Asimismo, alega que hubo afectación al principio </w:t>
      </w:r>
      <w:r w:rsidRPr="00885BCF">
        <w:rPr>
          <w:bCs/>
          <w:i/>
          <w:color w:val="00000A"/>
          <w:sz w:val="20"/>
          <w:szCs w:val="20"/>
          <w:lang w:val="es-ES"/>
        </w:rPr>
        <w:t>non bis in ídem</w:t>
      </w:r>
      <w:r w:rsidRPr="00885BCF">
        <w:rPr>
          <w:bCs/>
          <w:color w:val="00000A"/>
          <w:sz w:val="20"/>
          <w:szCs w:val="20"/>
          <w:lang w:val="es-ES"/>
        </w:rPr>
        <w:t xml:space="preserve"> y al derecho de igualdad ante la ley, toda vez que a otr</w:t>
      </w:r>
      <w:r w:rsidR="004D1A33">
        <w:rPr>
          <w:bCs/>
          <w:color w:val="00000A"/>
          <w:sz w:val="20"/>
          <w:szCs w:val="20"/>
          <w:lang w:val="es-ES"/>
        </w:rPr>
        <w:t>as personas</w:t>
      </w:r>
      <w:r w:rsidRPr="00885BCF">
        <w:rPr>
          <w:bCs/>
          <w:color w:val="00000A"/>
          <w:sz w:val="20"/>
          <w:szCs w:val="20"/>
          <w:lang w:val="es-ES"/>
        </w:rPr>
        <w:t xml:space="preserve"> procesad</w:t>
      </w:r>
      <w:r w:rsidR="004D1A33">
        <w:rPr>
          <w:bCs/>
          <w:color w:val="00000A"/>
          <w:sz w:val="20"/>
          <w:szCs w:val="20"/>
          <w:lang w:val="es-ES"/>
        </w:rPr>
        <w:t>a</w:t>
      </w:r>
      <w:r w:rsidRPr="00885BCF">
        <w:rPr>
          <w:bCs/>
          <w:color w:val="00000A"/>
          <w:sz w:val="20"/>
          <w:szCs w:val="20"/>
          <w:lang w:val="es-ES"/>
        </w:rPr>
        <w:t xml:space="preserve">s por tráfico ilícito de drogas sí se les </w:t>
      </w:r>
      <w:r w:rsidR="00627B9F" w:rsidRPr="00885BCF">
        <w:rPr>
          <w:bCs/>
          <w:color w:val="00000A"/>
          <w:sz w:val="20"/>
          <w:szCs w:val="20"/>
          <w:lang w:val="es-ES"/>
        </w:rPr>
        <w:t xml:space="preserve">concedió </w:t>
      </w:r>
      <w:r w:rsidRPr="00885BCF">
        <w:rPr>
          <w:bCs/>
          <w:color w:val="00000A"/>
          <w:sz w:val="20"/>
          <w:szCs w:val="20"/>
          <w:lang w:val="es-ES"/>
        </w:rPr>
        <w:t>el beneficio de la exención de pena</w:t>
      </w:r>
      <w:r w:rsidR="00966978" w:rsidRPr="00885BCF">
        <w:rPr>
          <w:bCs/>
          <w:color w:val="00000A"/>
          <w:sz w:val="20"/>
          <w:szCs w:val="20"/>
          <w:lang w:val="es-ES"/>
        </w:rPr>
        <w:t xml:space="preserve">, </w:t>
      </w:r>
      <w:r w:rsidR="00627B9F" w:rsidRPr="00885BCF">
        <w:rPr>
          <w:bCs/>
          <w:color w:val="00000A"/>
          <w:sz w:val="20"/>
          <w:szCs w:val="20"/>
          <w:lang w:val="es-ES"/>
        </w:rPr>
        <w:t xml:space="preserve">así </w:t>
      </w:r>
      <w:r w:rsidR="006443B3" w:rsidRPr="00885BCF">
        <w:rPr>
          <w:bCs/>
          <w:color w:val="00000A"/>
          <w:sz w:val="20"/>
          <w:szCs w:val="20"/>
          <w:lang w:val="es-ES"/>
        </w:rPr>
        <w:t xml:space="preserve">como </w:t>
      </w:r>
      <w:r w:rsidR="00966978" w:rsidRPr="00885BCF">
        <w:rPr>
          <w:bCs/>
          <w:color w:val="00000A"/>
          <w:sz w:val="20"/>
          <w:szCs w:val="20"/>
          <w:lang w:val="es-ES"/>
        </w:rPr>
        <w:t>al derecho a la defensa</w:t>
      </w:r>
      <w:r w:rsidR="006443B3" w:rsidRPr="00885BCF">
        <w:rPr>
          <w:bCs/>
          <w:color w:val="00000A"/>
          <w:sz w:val="20"/>
          <w:szCs w:val="20"/>
          <w:lang w:val="es-ES"/>
        </w:rPr>
        <w:t xml:space="preserve"> y</w:t>
      </w:r>
      <w:r w:rsidR="00B52965" w:rsidRPr="00885BCF">
        <w:rPr>
          <w:bCs/>
          <w:color w:val="00000A"/>
          <w:sz w:val="20"/>
          <w:szCs w:val="20"/>
          <w:lang w:val="es-ES"/>
        </w:rPr>
        <w:t xml:space="preserve"> </w:t>
      </w:r>
      <w:r w:rsidR="00260D5D" w:rsidRPr="00885BCF">
        <w:rPr>
          <w:bCs/>
          <w:color w:val="00000A"/>
          <w:sz w:val="20"/>
          <w:szCs w:val="20"/>
          <w:lang w:val="es-ES"/>
        </w:rPr>
        <w:t>al principio de cosa juzgada</w:t>
      </w:r>
      <w:r w:rsidRPr="00885BCF">
        <w:rPr>
          <w:bCs/>
          <w:color w:val="00000A"/>
          <w:sz w:val="20"/>
          <w:szCs w:val="20"/>
          <w:lang w:val="es-ES"/>
        </w:rPr>
        <w:t>.</w:t>
      </w:r>
    </w:p>
    <w:p w14:paraId="47E14256" w14:textId="155BE673" w:rsidR="008F472F" w:rsidRPr="00885BCF" w:rsidRDefault="00E237F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jc w:val="both"/>
        <w:textAlignment w:val="baseline"/>
        <w:rPr>
          <w:lang w:val="es-ES"/>
        </w:rPr>
      </w:pPr>
      <w:r w:rsidRPr="00885BCF">
        <w:rPr>
          <w:rFonts w:eastAsia="Times New Roman" w:cs="Arial"/>
          <w:color w:val="auto"/>
          <w:sz w:val="20"/>
          <w:szCs w:val="20"/>
          <w:lang w:val="es-ES"/>
        </w:rPr>
        <w:lastRenderedPageBreak/>
        <w:t xml:space="preserve">El peticionario </w:t>
      </w:r>
      <w:r w:rsidR="0035238B" w:rsidRPr="00885BCF">
        <w:rPr>
          <w:rFonts w:eastAsia="Times New Roman" w:cs="Arial"/>
          <w:color w:val="auto"/>
          <w:sz w:val="20"/>
          <w:szCs w:val="20"/>
          <w:lang w:val="es-ES"/>
        </w:rPr>
        <w:t>indica</w:t>
      </w:r>
      <w:r w:rsidRPr="00885BCF">
        <w:rPr>
          <w:rFonts w:eastAsia="Times New Roman" w:cs="Arial"/>
          <w:color w:val="auto"/>
          <w:sz w:val="20"/>
          <w:szCs w:val="20"/>
          <w:lang w:val="es-ES"/>
        </w:rPr>
        <w:t xml:space="preserve"> que el Sr. Milla Espinoza fue detenido el 15 de abril de 1999 por la </w:t>
      </w:r>
      <w:r w:rsidRPr="00885BCF">
        <w:rPr>
          <w:rFonts w:eastAsia="Times New Roman" w:cs="Arial"/>
          <w:bCs/>
          <w:color w:val="auto"/>
          <w:sz w:val="20"/>
          <w:szCs w:val="20"/>
          <w:lang w:val="es-ES"/>
        </w:rPr>
        <w:t xml:space="preserve">Policía de la Dirección Antidrogas de Perú (en adelante “DIRANDRO”) </w:t>
      </w:r>
      <w:r w:rsidRPr="00885BCF">
        <w:rPr>
          <w:rFonts w:eastAsia="Times New Roman" w:cs="Arial"/>
          <w:color w:val="auto"/>
          <w:sz w:val="20"/>
          <w:szCs w:val="20"/>
          <w:lang w:val="es-ES"/>
        </w:rPr>
        <w:t>en una investigación</w:t>
      </w:r>
      <w:r w:rsidR="003320ED" w:rsidRPr="00885BCF">
        <w:rPr>
          <w:rFonts w:eastAsia="Times New Roman" w:cs="Arial"/>
          <w:color w:val="auto"/>
          <w:sz w:val="20"/>
          <w:szCs w:val="20"/>
          <w:lang w:val="es-ES"/>
        </w:rPr>
        <w:t xml:space="preserve"> por tráfico ilícito de drogas.</w:t>
      </w:r>
      <w:r w:rsidR="008F472F" w:rsidRPr="00885BCF">
        <w:rPr>
          <w:rFonts w:eastAsia="Times New Roman" w:cs="Arial"/>
          <w:color w:val="auto"/>
          <w:sz w:val="20"/>
          <w:szCs w:val="20"/>
          <w:lang w:val="es-ES"/>
        </w:rPr>
        <w:t xml:space="preserve"> Mediante auto de 29 de abril de 1999, el Juzgado Especializado en </w:t>
      </w:r>
      <w:r w:rsidR="004D1A33">
        <w:rPr>
          <w:rFonts w:eastAsia="Times New Roman" w:cs="Arial"/>
          <w:color w:val="auto"/>
          <w:sz w:val="20"/>
          <w:szCs w:val="20"/>
          <w:lang w:val="es-ES"/>
        </w:rPr>
        <w:t>D</w:t>
      </w:r>
      <w:r w:rsidR="008F472F" w:rsidRPr="00885BCF">
        <w:rPr>
          <w:rFonts w:eastAsia="Times New Roman" w:cs="Arial"/>
          <w:color w:val="auto"/>
          <w:sz w:val="20"/>
          <w:szCs w:val="20"/>
          <w:lang w:val="es-ES"/>
        </w:rPr>
        <w:t xml:space="preserve">elitos de Tráfico Ilícito de Drogas (TID), abrió </w:t>
      </w:r>
      <w:r w:rsidR="00627B9F" w:rsidRPr="00885BCF">
        <w:rPr>
          <w:rFonts w:eastAsia="Times New Roman" w:cs="Arial"/>
          <w:color w:val="auto"/>
          <w:sz w:val="20"/>
          <w:szCs w:val="20"/>
          <w:lang w:val="es-ES"/>
        </w:rPr>
        <w:t xml:space="preserve">un </w:t>
      </w:r>
      <w:r w:rsidR="008F472F" w:rsidRPr="00885BCF">
        <w:rPr>
          <w:rFonts w:eastAsia="Times New Roman" w:cs="Arial"/>
          <w:color w:val="auto"/>
          <w:sz w:val="20"/>
          <w:szCs w:val="20"/>
          <w:lang w:val="es-ES"/>
        </w:rPr>
        <w:t xml:space="preserve">proceso penal contra el Sr. Milla Espinoza; el 26 de abril de 2001 inició la etapa de juicio oral; y el 17 de octubre de 2001 la Primera Sala Penal de Reos en Cárcel de la Corte Superior de Justicia del Callao </w:t>
      </w:r>
      <w:r w:rsidR="00A17ED0" w:rsidRPr="00885BCF">
        <w:rPr>
          <w:rFonts w:eastAsia="Times New Roman" w:cs="Arial"/>
          <w:color w:val="auto"/>
          <w:sz w:val="20"/>
          <w:szCs w:val="20"/>
          <w:lang w:val="es-ES"/>
        </w:rPr>
        <w:t xml:space="preserve">lo </w:t>
      </w:r>
      <w:r w:rsidR="008F472F" w:rsidRPr="00885BCF">
        <w:rPr>
          <w:rFonts w:eastAsia="Times New Roman" w:cs="Arial"/>
          <w:color w:val="auto"/>
          <w:sz w:val="20"/>
          <w:szCs w:val="20"/>
          <w:lang w:val="es-ES"/>
        </w:rPr>
        <w:t>condenó a veinte años de prisión. Contra esta sentencia condenatoria</w:t>
      </w:r>
      <w:r w:rsidR="00A17ED0" w:rsidRPr="00885BCF">
        <w:rPr>
          <w:rFonts w:eastAsia="Times New Roman" w:cs="Arial"/>
          <w:color w:val="auto"/>
          <w:sz w:val="20"/>
          <w:szCs w:val="20"/>
          <w:lang w:val="es-ES"/>
        </w:rPr>
        <w:t>,</w:t>
      </w:r>
      <w:r w:rsidR="008F472F" w:rsidRPr="00885BCF">
        <w:rPr>
          <w:rFonts w:eastAsia="Times New Roman" w:cs="Arial"/>
          <w:color w:val="auto"/>
          <w:sz w:val="20"/>
          <w:szCs w:val="20"/>
          <w:lang w:val="es-ES"/>
        </w:rPr>
        <w:t xml:space="preserve"> el </w:t>
      </w:r>
      <w:r w:rsidR="008F472F" w:rsidRPr="00885BCF">
        <w:rPr>
          <w:rFonts w:eastAsia="Times New Roman" w:cs="Arial"/>
          <w:bCs/>
          <w:color w:val="auto"/>
          <w:sz w:val="20"/>
          <w:szCs w:val="20"/>
          <w:lang w:val="es-ES"/>
        </w:rPr>
        <w:t>Sr. Milla Espinoza</w:t>
      </w:r>
      <w:r w:rsidR="00D10FBF" w:rsidRPr="00885BCF">
        <w:rPr>
          <w:rFonts w:eastAsia="Times New Roman" w:cs="Arial"/>
          <w:color w:val="auto"/>
          <w:sz w:val="20"/>
          <w:szCs w:val="20"/>
          <w:lang w:val="es-ES"/>
        </w:rPr>
        <w:t xml:space="preserve"> interpuso un</w:t>
      </w:r>
      <w:r w:rsidR="008F472F" w:rsidRPr="00885BCF">
        <w:rPr>
          <w:rFonts w:eastAsia="Times New Roman" w:cs="Arial"/>
          <w:color w:val="auto"/>
          <w:sz w:val="20"/>
          <w:szCs w:val="20"/>
          <w:lang w:val="es-ES"/>
        </w:rPr>
        <w:t xml:space="preserve"> recurso de nulidad,</w:t>
      </w:r>
      <w:r w:rsidR="00386C6A" w:rsidRPr="00885BCF">
        <w:rPr>
          <w:rFonts w:eastAsia="Times New Roman" w:cs="Arial"/>
          <w:color w:val="auto"/>
          <w:sz w:val="20"/>
          <w:szCs w:val="20"/>
          <w:lang w:val="es-ES"/>
        </w:rPr>
        <w:t xml:space="preserve"> toda vez que se había acogido a la Ley de </w:t>
      </w:r>
      <w:r w:rsidR="004D1A33">
        <w:rPr>
          <w:rFonts w:eastAsia="Times New Roman" w:cs="Arial"/>
          <w:color w:val="auto"/>
          <w:sz w:val="20"/>
          <w:szCs w:val="20"/>
          <w:lang w:val="es-ES"/>
        </w:rPr>
        <w:t>A</w:t>
      </w:r>
      <w:r w:rsidR="00386C6A" w:rsidRPr="00885BCF">
        <w:rPr>
          <w:rFonts w:eastAsia="Times New Roman" w:cs="Arial"/>
          <w:color w:val="auto"/>
          <w:sz w:val="20"/>
          <w:szCs w:val="20"/>
          <w:lang w:val="es-ES"/>
        </w:rPr>
        <w:t xml:space="preserve">rrepentimiento y </w:t>
      </w:r>
      <w:r w:rsidR="00A17ED0" w:rsidRPr="00885BCF">
        <w:rPr>
          <w:rFonts w:eastAsia="Times New Roman" w:cs="Arial"/>
          <w:color w:val="auto"/>
          <w:sz w:val="20"/>
          <w:szCs w:val="20"/>
          <w:lang w:val="es-ES"/>
        </w:rPr>
        <w:t>por</w:t>
      </w:r>
      <w:r w:rsidR="00386C6A" w:rsidRPr="00885BCF">
        <w:rPr>
          <w:rFonts w:eastAsia="Times New Roman" w:cs="Arial"/>
          <w:color w:val="auto"/>
          <w:sz w:val="20"/>
          <w:szCs w:val="20"/>
          <w:lang w:val="es-ES"/>
        </w:rPr>
        <w:t xml:space="preserve">que </w:t>
      </w:r>
      <w:r w:rsidR="00A17ED0" w:rsidRPr="00885BCF">
        <w:rPr>
          <w:rFonts w:eastAsia="Times New Roman" w:cs="Arial"/>
          <w:color w:val="auto"/>
          <w:sz w:val="20"/>
          <w:szCs w:val="20"/>
          <w:lang w:val="es-ES"/>
        </w:rPr>
        <w:t xml:space="preserve">había </w:t>
      </w:r>
      <w:r w:rsidR="00386C6A" w:rsidRPr="00885BCF">
        <w:rPr>
          <w:rFonts w:eastAsia="Times New Roman" w:cs="Arial"/>
          <w:color w:val="auto"/>
          <w:sz w:val="20"/>
          <w:szCs w:val="20"/>
          <w:lang w:val="es-ES"/>
        </w:rPr>
        <w:t xml:space="preserve">un procedimiento de exención de pena </w:t>
      </w:r>
      <w:r w:rsidR="00D10FBF" w:rsidRPr="00885BCF">
        <w:rPr>
          <w:rFonts w:eastAsia="Times New Roman" w:cs="Arial"/>
          <w:color w:val="auto"/>
          <w:sz w:val="20"/>
          <w:szCs w:val="20"/>
          <w:lang w:val="es-ES"/>
        </w:rPr>
        <w:t xml:space="preserve">pendiente de resolver. </w:t>
      </w:r>
      <w:r w:rsidR="008F472F" w:rsidRPr="00885BCF">
        <w:rPr>
          <w:rFonts w:eastAsia="Times New Roman" w:cs="Arial"/>
          <w:color w:val="auto"/>
          <w:sz w:val="20"/>
          <w:szCs w:val="20"/>
          <w:lang w:val="es-ES"/>
        </w:rPr>
        <w:t xml:space="preserve"> </w:t>
      </w:r>
      <w:r w:rsidR="00D10FBF" w:rsidRPr="00885BCF">
        <w:rPr>
          <w:rFonts w:eastAsia="Times New Roman" w:cs="Arial"/>
          <w:color w:val="auto"/>
          <w:sz w:val="20"/>
          <w:szCs w:val="20"/>
          <w:lang w:val="es-ES"/>
        </w:rPr>
        <w:t xml:space="preserve">El 24 de mayo de 2002, </w:t>
      </w:r>
      <w:r w:rsidR="008F472F" w:rsidRPr="00885BCF">
        <w:rPr>
          <w:rFonts w:eastAsia="Times New Roman" w:cs="Arial"/>
          <w:color w:val="auto"/>
          <w:sz w:val="20"/>
          <w:szCs w:val="20"/>
          <w:lang w:val="es-ES"/>
        </w:rPr>
        <w:t>la Sala Penal Permanente de la Corte Suprema de Justicia</w:t>
      </w:r>
      <w:r w:rsidR="00D10FBF" w:rsidRPr="00885BCF">
        <w:rPr>
          <w:rFonts w:eastAsia="Times New Roman" w:cs="Arial"/>
          <w:color w:val="auto"/>
          <w:sz w:val="20"/>
          <w:szCs w:val="20"/>
          <w:lang w:val="es-ES"/>
        </w:rPr>
        <w:t xml:space="preserve"> rechazó el recurso de nulidad</w:t>
      </w:r>
      <w:r w:rsidR="008F472F" w:rsidRPr="00885BCF">
        <w:rPr>
          <w:rFonts w:eastAsia="Times New Roman" w:cs="Arial"/>
          <w:color w:val="auto"/>
          <w:sz w:val="20"/>
          <w:szCs w:val="20"/>
          <w:lang w:val="es-ES"/>
        </w:rPr>
        <w:t xml:space="preserve">, sobre la base de que no se configuraba causal de nulidad </w:t>
      </w:r>
      <w:r w:rsidR="00A17ED0" w:rsidRPr="00885BCF">
        <w:rPr>
          <w:rFonts w:eastAsia="Times New Roman" w:cs="Arial"/>
          <w:color w:val="auto"/>
          <w:sz w:val="20"/>
          <w:szCs w:val="20"/>
          <w:lang w:val="es-ES"/>
        </w:rPr>
        <w:t xml:space="preserve">alguna </w:t>
      </w:r>
      <w:r w:rsidR="008F472F" w:rsidRPr="00885BCF">
        <w:rPr>
          <w:rFonts w:eastAsia="Times New Roman" w:cs="Arial"/>
          <w:color w:val="auto"/>
          <w:sz w:val="20"/>
          <w:szCs w:val="20"/>
          <w:lang w:val="es-ES"/>
        </w:rPr>
        <w:t>respecto de la condena impuesta al recurrente.</w:t>
      </w:r>
    </w:p>
    <w:p w14:paraId="27BABE34" w14:textId="45DFCD0E" w:rsidR="003320ED" w:rsidRPr="00885BCF" w:rsidRDefault="000C190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jc w:val="both"/>
        <w:textAlignment w:val="baseline"/>
        <w:rPr>
          <w:sz w:val="20"/>
          <w:lang w:val="es-ES"/>
        </w:rPr>
      </w:pPr>
      <w:r w:rsidRPr="00885BCF">
        <w:rPr>
          <w:bCs/>
          <w:color w:val="00000A"/>
          <w:sz w:val="20"/>
          <w:szCs w:val="20"/>
          <w:lang w:val="es-ES"/>
        </w:rPr>
        <w:t>El 16 de abril de 1999, p</w:t>
      </w:r>
      <w:r w:rsidR="008F472F" w:rsidRPr="00885BCF">
        <w:rPr>
          <w:color w:val="00000A"/>
          <w:sz w:val="20"/>
          <w:szCs w:val="20"/>
          <w:lang w:val="es-ES"/>
        </w:rPr>
        <w:t>aralelamente</w:t>
      </w:r>
      <w:r w:rsidR="00E61327" w:rsidRPr="00885BCF">
        <w:rPr>
          <w:color w:val="00000A"/>
          <w:sz w:val="20"/>
          <w:szCs w:val="20"/>
          <w:lang w:val="es-ES"/>
        </w:rPr>
        <w:t xml:space="preserve"> al proceso penal</w:t>
      </w:r>
      <w:r w:rsidR="008F472F" w:rsidRPr="00885BCF">
        <w:rPr>
          <w:color w:val="00000A"/>
          <w:sz w:val="20"/>
          <w:szCs w:val="20"/>
          <w:lang w:val="es-ES"/>
        </w:rPr>
        <w:t>,</w:t>
      </w:r>
      <w:r w:rsidR="008F472F" w:rsidRPr="00885BCF">
        <w:rPr>
          <w:bCs/>
          <w:color w:val="00000A"/>
          <w:sz w:val="20"/>
          <w:szCs w:val="20"/>
          <w:lang w:val="es-ES"/>
        </w:rPr>
        <w:t xml:space="preserve"> </w:t>
      </w:r>
      <w:r w:rsidR="003320ED" w:rsidRPr="00885BCF">
        <w:rPr>
          <w:bCs/>
          <w:color w:val="00000A"/>
          <w:sz w:val="20"/>
          <w:szCs w:val="20"/>
          <w:lang w:val="es-ES"/>
        </w:rPr>
        <w:t>la presunta víctima</w:t>
      </w:r>
      <w:r w:rsidR="008F472F" w:rsidRPr="00885BCF">
        <w:rPr>
          <w:bCs/>
          <w:color w:val="00000A"/>
          <w:sz w:val="20"/>
          <w:szCs w:val="20"/>
          <w:lang w:val="es-ES"/>
        </w:rPr>
        <w:t xml:space="preserve"> </w:t>
      </w:r>
      <w:r w:rsidR="003320ED" w:rsidRPr="00885BCF">
        <w:rPr>
          <w:bCs/>
          <w:color w:val="00000A"/>
          <w:sz w:val="20"/>
          <w:szCs w:val="20"/>
          <w:lang w:val="es-ES"/>
        </w:rPr>
        <w:t>solicit</w:t>
      </w:r>
      <w:r w:rsidR="00B0271A" w:rsidRPr="00885BCF">
        <w:rPr>
          <w:bCs/>
          <w:color w:val="00000A"/>
          <w:sz w:val="20"/>
          <w:szCs w:val="20"/>
          <w:lang w:val="es-ES"/>
        </w:rPr>
        <w:t>ó</w:t>
      </w:r>
      <w:r w:rsidR="003320ED" w:rsidRPr="00885BCF">
        <w:rPr>
          <w:bCs/>
          <w:color w:val="00000A"/>
          <w:sz w:val="20"/>
          <w:szCs w:val="20"/>
          <w:lang w:val="es-ES"/>
        </w:rPr>
        <w:t xml:space="preserve"> el beneficio de exención de pena</w:t>
      </w:r>
      <w:r w:rsidR="00720119" w:rsidRPr="00885BCF">
        <w:rPr>
          <w:bCs/>
          <w:color w:val="00000A"/>
          <w:sz w:val="20"/>
          <w:szCs w:val="20"/>
          <w:lang w:val="es-ES"/>
        </w:rPr>
        <w:t xml:space="preserve"> bajo la Ley de </w:t>
      </w:r>
      <w:r w:rsidR="004D1A33">
        <w:rPr>
          <w:bCs/>
          <w:color w:val="00000A"/>
          <w:sz w:val="20"/>
          <w:szCs w:val="20"/>
          <w:lang w:val="es-ES"/>
        </w:rPr>
        <w:t>A</w:t>
      </w:r>
      <w:r w:rsidR="00720119" w:rsidRPr="00885BCF">
        <w:rPr>
          <w:bCs/>
          <w:color w:val="00000A"/>
          <w:sz w:val="20"/>
          <w:szCs w:val="20"/>
          <w:lang w:val="es-ES"/>
        </w:rPr>
        <w:t>rrepentimiento,</w:t>
      </w:r>
      <w:r w:rsidR="003320ED" w:rsidRPr="00885BCF">
        <w:rPr>
          <w:bCs/>
          <w:color w:val="00000A"/>
          <w:sz w:val="20"/>
          <w:szCs w:val="20"/>
          <w:lang w:val="es-ES"/>
        </w:rPr>
        <w:t xml:space="preserve"> a cambio de proporcionar información oportuna y veraz que permita identificar y detener a dirigentes o jefes de organizaciones dedicadas al tráfico ilícito de drogas en el ámbito nacional e internacional. El peticionario afirma que las declaraciones </w:t>
      </w:r>
      <w:proofErr w:type="gramStart"/>
      <w:r w:rsidR="003320ED" w:rsidRPr="00885BCF">
        <w:rPr>
          <w:bCs/>
          <w:color w:val="00000A"/>
          <w:sz w:val="20"/>
          <w:szCs w:val="20"/>
          <w:lang w:val="es-ES"/>
        </w:rPr>
        <w:t>del</w:t>
      </w:r>
      <w:proofErr w:type="gramEnd"/>
      <w:r w:rsidR="003320ED" w:rsidRPr="00885BCF">
        <w:rPr>
          <w:bCs/>
          <w:color w:val="00000A"/>
          <w:sz w:val="20"/>
          <w:szCs w:val="20"/>
          <w:lang w:val="es-ES"/>
        </w:rPr>
        <w:t xml:space="preserve"> S</w:t>
      </w:r>
      <w:r w:rsidR="00D06A85" w:rsidRPr="00885BCF">
        <w:rPr>
          <w:bCs/>
          <w:color w:val="00000A"/>
          <w:sz w:val="20"/>
          <w:szCs w:val="20"/>
          <w:lang w:val="es-ES"/>
        </w:rPr>
        <w:t>r. </w:t>
      </w:r>
      <w:r w:rsidR="003320ED" w:rsidRPr="00885BCF">
        <w:rPr>
          <w:bCs/>
          <w:color w:val="00000A"/>
          <w:sz w:val="20"/>
          <w:szCs w:val="20"/>
          <w:lang w:val="es-ES"/>
        </w:rPr>
        <w:t>Milla Espinoza permitieron al Estado desarticular la organización “</w:t>
      </w:r>
      <w:proofErr w:type="spellStart"/>
      <w:r w:rsidR="003320ED" w:rsidRPr="00885BCF">
        <w:rPr>
          <w:bCs/>
          <w:color w:val="00000A"/>
          <w:sz w:val="20"/>
          <w:szCs w:val="20"/>
          <w:lang w:val="es-ES"/>
        </w:rPr>
        <w:t>Varna</w:t>
      </w:r>
      <w:proofErr w:type="spellEnd"/>
      <w:r w:rsidR="003320ED" w:rsidRPr="00885BCF">
        <w:rPr>
          <w:bCs/>
          <w:color w:val="00000A"/>
          <w:sz w:val="20"/>
          <w:szCs w:val="20"/>
          <w:lang w:val="es-ES"/>
        </w:rPr>
        <w:t>”, dedicada al tráfico de drogas, así como el decomiso de seiscientos ochenta kilos de clorhidrato de cocaína. C</w:t>
      </w:r>
      <w:r w:rsidR="002F5442">
        <w:rPr>
          <w:bCs/>
          <w:color w:val="00000A"/>
          <w:sz w:val="20"/>
          <w:szCs w:val="20"/>
          <w:lang w:val="es-ES"/>
        </w:rPr>
        <w:t>on base en la información provista</w:t>
      </w:r>
      <w:r w:rsidR="003320ED" w:rsidRPr="00885BCF">
        <w:rPr>
          <w:bCs/>
          <w:color w:val="00000A"/>
          <w:sz w:val="20"/>
          <w:szCs w:val="20"/>
          <w:lang w:val="es-ES"/>
        </w:rPr>
        <w:t xml:space="preserve"> por </w:t>
      </w:r>
      <w:proofErr w:type="gramStart"/>
      <w:r w:rsidR="003320ED" w:rsidRPr="00885BCF">
        <w:rPr>
          <w:bCs/>
          <w:color w:val="00000A"/>
          <w:sz w:val="20"/>
          <w:szCs w:val="20"/>
          <w:lang w:val="es-ES"/>
        </w:rPr>
        <w:t>el</w:t>
      </w:r>
      <w:proofErr w:type="gramEnd"/>
      <w:r w:rsidR="003320ED" w:rsidRPr="00885BCF">
        <w:rPr>
          <w:bCs/>
          <w:color w:val="00000A"/>
          <w:sz w:val="20"/>
          <w:szCs w:val="20"/>
          <w:lang w:val="es-ES"/>
        </w:rPr>
        <w:t xml:space="preserve"> Sr. Milla Espinoza</w:t>
      </w:r>
      <w:r w:rsidR="00A17ED0" w:rsidRPr="00885BCF">
        <w:rPr>
          <w:bCs/>
          <w:color w:val="00000A"/>
          <w:sz w:val="20"/>
          <w:szCs w:val="20"/>
          <w:lang w:val="es-ES"/>
        </w:rPr>
        <w:t>,</w:t>
      </w:r>
      <w:r w:rsidR="003320ED" w:rsidRPr="00885BCF">
        <w:rPr>
          <w:bCs/>
          <w:color w:val="00000A"/>
          <w:sz w:val="20"/>
          <w:szCs w:val="20"/>
          <w:lang w:val="es-ES"/>
        </w:rPr>
        <w:t xml:space="preserve"> la policía judicial confeccionó un expediente de arrepentimiento y le asignó un número clave</w:t>
      </w:r>
      <w:r w:rsidR="00A17ED0" w:rsidRPr="00885BCF">
        <w:rPr>
          <w:bCs/>
          <w:color w:val="00000A"/>
          <w:sz w:val="20"/>
          <w:szCs w:val="20"/>
          <w:lang w:val="es-ES"/>
        </w:rPr>
        <w:t xml:space="preserve">, con lo que se </w:t>
      </w:r>
      <w:r w:rsidR="003320ED" w:rsidRPr="00885BCF">
        <w:rPr>
          <w:bCs/>
          <w:color w:val="00000A"/>
          <w:sz w:val="20"/>
          <w:szCs w:val="20"/>
          <w:lang w:val="es-ES"/>
        </w:rPr>
        <w:t>inici</w:t>
      </w:r>
      <w:r w:rsidR="00A17ED0" w:rsidRPr="00885BCF">
        <w:rPr>
          <w:bCs/>
          <w:color w:val="00000A"/>
          <w:sz w:val="20"/>
          <w:szCs w:val="20"/>
          <w:lang w:val="es-ES"/>
        </w:rPr>
        <w:t>ó</w:t>
      </w:r>
      <w:r w:rsidR="003320ED" w:rsidRPr="00885BCF">
        <w:rPr>
          <w:bCs/>
          <w:color w:val="00000A"/>
          <w:sz w:val="20"/>
          <w:szCs w:val="20"/>
          <w:lang w:val="es-ES"/>
        </w:rPr>
        <w:t xml:space="preserve"> </w:t>
      </w:r>
      <w:r w:rsidR="00A17ED0" w:rsidRPr="00885BCF">
        <w:rPr>
          <w:bCs/>
          <w:color w:val="00000A"/>
          <w:sz w:val="20"/>
          <w:szCs w:val="20"/>
          <w:lang w:val="es-ES"/>
        </w:rPr>
        <w:t>e</w:t>
      </w:r>
      <w:r w:rsidR="003320ED" w:rsidRPr="00885BCF">
        <w:rPr>
          <w:bCs/>
          <w:color w:val="00000A"/>
          <w:sz w:val="20"/>
          <w:szCs w:val="20"/>
          <w:lang w:val="es-ES"/>
        </w:rPr>
        <w:t>l trámite de exención de pena</w:t>
      </w:r>
      <w:r w:rsidR="008E310D" w:rsidRPr="00885BCF">
        <w:rPr>
          <w:bCs/>
          <w:color w:val="00000A"/>
          <w:sz w:val="20"/>
          <w:szCs w:val="20"/>
          <w:lang w:val="es-ES"/>
        </w:rPr>
        <w:t>.</w:t>
      </w:r>
      <w:r w:rsidR="008F472F" w:rsidRPr="00885BCF">
        <w:rPr>
          <w:rFonts w:eastAsia="Times New Roman" w:cs="Arial"/>
          <w:color w:val="00000A"/>
          <w:sz w:val="20"/>
          <w:szCs w:val="20"/>
          <w:lang w:val="es-ES"/>
        </w:rPr>
        <w:t xml:space="preserve"> </w:t>
      </w:r>
      <w:r w:rsidR="00CC2C21" w:rsidRPr="00885BCF">
        <w:rPr>
          <w:rFonts w:eastAsia="Times New Roman" w:cs="Arial"/>
          <w:color w:val="00000A"/>
          <w:sz w:val="20"/>
          <w:szCs w:val="20"/>
          <w:lang w:val="es-ES"/>
        </w:rPr>
        <w:t>El 17 julio de 2000</w:t>
      </w:r>
      <w:r w:rsidR="001C56B4" w:rsidRPr="00885BCF">
        <w:rPr>
          <w:rFonts w:eastAsia="Times New Roman" w:cs="Arial"/>
          <w:color w:val="00000A"/>
          <w:sz w:val="20"/>
          <w:szCs w:val="20"/>
          <w:lang w:val="es-ES"/>
        </w:rPr>
        <w:t>,</w:t>
      </w:r>
      <w:r w:rsidR="00CC2C21" w:rsidRPr="00885BCF">
        <w:rPr>
          <w:rFonts w:eastAsia="Times New Roman" w:cs="Arial"/>
          <w:color w:val="00000A"/>
          <w:sz w:val="20"/>
          <w:szCs w:val="20"/>
          <w:lang w:val="es-ES"/>
        </w:rPr>
        <w:t xml:space="preserve"> la Fiscalía Superior Especializada declaró procedente el beneficio de exención de la pena</w:t>
      </w:r>
      <w:r w:rsidR="00A17ED0" w:rsidRPr="00885BCF">
        <w:rPr>
          <w:rFonts w:eastAsia="Times New Roman" w:cs="Arial"/>
          <w:color w:val="00000A"/>
          <w:sz w:val="20"/>
          <w:szCs w:val="20"/>
          <w:lang w:val="es-ES"/>
        </w:rPr>
        <w:t xml:space="preserve"> y</w:t>
      </w:r>
      <w:r w:rsidR="00CC2C21" w:rsidRPr="00885BCF">
        <w:rPr>
          <w:rFonts w:eastAsia="Times New Roman" w:cs="Arial"/>
          <w:color w:val="00000A"/>
          <w:sz w:val="20"/>
          <w:szCs w:val="20"/>
          <w:lang w:val="es-ES"/>
        </w:rPr>
        <w:t xml:space="preserve"> remiti</w:t>
      </w:r>
      <w:r w:rsidR="00A17ED0" w:rsidRPr="00885BCF">
        <w:rPr>
          <w:rFonts w:eastAsia="Times New Roman" w:cs="Arial"/>
          <w:color w:val="00000A"/>
          <w:sz w:val="20"/>
          <w:szCs w:val="20"/>
          <w:lang w:val="es-ES"/>
        </w:rPr>
        <w:t>ó</w:t>
      </w:r>
      <w:r w:rsidR="00CC2C21" w:rsidRPr="00885BCF">
        <w:rPr>
          <w:rFonts w:eastAsia="Times New Roman" w:cs="Arial"/>
          <w:color w:val="00000A"/>
          <w:sz w:val="20"/>
          <w:szCs w:val="20"/>
          <w:lang w:val="es-ES"/>
        </w:rPr>
        <w:t xml:space="preserve"> el expediente a la Sala Penal Especial en delitos TID para su ratificación. No obstante, e</w:t>
      </w:r>
      <w:r w:rsidR="008F472F" w:rsidRPr="00885BCF">
        <w:rPr>
          <w:rFonts w:eastAsia="Times New Roman" w:cs="Arial"/>
          <w:color w:val="00000A"/>
          <w:sz w:val="20"/>
          <w:szCs w:val="20"/>
          <w:lang w:val="es-ES"/>
        </w:rPr>
        <w:t xml:space="preserve">l 5 de septiembre de 2000 </w:t>
      </w:r>
      <w:r w:rsidR="00A17ED0" w:rsidRPr="00885BCF">
        <w:rPr>
          <w:rFonts w:eastAsia="Times New Roman" w:cs="Arial"/>
          <w:color w:val="00000A"/>
          <w:sz w:val="20"/>
          <w:szCs w:val="20"/>
          <w:lang w:val="es-ES"/>
        </w:rPr>
        <w:t>dicha</w:t>
      </w:r>
      <w:r w:rsidR="008F472F" w:rsidRPr="00885BCF">
        <w:rPr>
          <w:rFonts w:eastAsia="Times New Roman" w:cs="Arial"/>
          <w:color w:val="00000A"/>
          <w:sz w:val="20"/>
          <w:szCs w:val="20"/>
          <w:lang w:val="es-ES"/>
        </w:rPr>
        <w:t xml:space="preserve"> Sala denegó </w:t>
      </w:r>
      <w:r w:rsidR="00A17ED0" w:rsidRPr="00885BCF">
        <w:rPr>
          <w:rFonts w:eastAsia="Times New Roman" w:cs="Arial"/>
          <w:color w:val="00000A"/>
          <w:sz w:val="20"/>
          <w:szCs w:val="20"/>
          <w:lang w:val="es-ES"/>
        </w:rPr>
        <w:t>el</w:t>
      </w:r>
      <w:r w:rsidR="008F472F" w:rsidRPr="00885BCF">
        <w:rPr>
          <w:rFonts w:eastAsia="Times New Roman" w:cs="Arial"/>
          <w:color w:val="00000A"/>
          <w:sz w:val="20"/>
          <w:szCs w:val="20"/>
          <w:lang w:val="es-ES"/>
        </w:rPr>
        <w:t xml:space="preserve"> beneficio</w:t>
      </w:r>
      <w:r w:rsidR="00716BD0" w:rsidRPr="00885BCF">
        <w:rPr>
          <w:rFonts w:eastAsia="Times New Roman" w:cs="Arial"/>
          <w:color w:val="00000A"/>
          <w:sz w:val="20"/>
          <w:szCs w:val="20"/>
          <w:lang w:val="es-ES"/>
        </w:rPr>
        <w:t>,</w:t>
      </w:r>
      <w:r w:rsidR="008F472F" w:rsidRPr="00885BCF">
        <w:rPr>
          <w:rFonts w:eastAsia="Times New Roman" w:cs="Arial"/>
          <w:color w:val="00000A"/>
          <w:sz w:val="20"/>
          <w:szCs w:val="20"/>
          <w:lang w:val="es-ES"/>
        </w:rPr>
        <w:t xml:space="preserve"> </w:t>
      </w:r>
      <w:r w:rsidR="00A17ED0" w:rsidRPr="00885BCF">
        <w:rPr>
          <w:rFonts w:eastAsia="Times New Roman" w:cs="Arial"/>
          <w:color w:val="00000A"/>
          <w:sz w:val="20"/>
          <w:szCs w:val="20"/>
          <w:lang w:val="es-ES"/>
        </w:rPr>
        <w:t xml:space="preserve">bajo el </w:t>
      </w:r>
      <w:r w:rsidR="008F472F" w:rsidRPr="00885BCF">
        <w:rPr>
          <w:rFonts w:eastAsia="Times New Roman" w:cs="Arial"/>
          <w:color w:val="00000A"/>
          <w:sz w:val="20"/>
          <w:szCs w:val="20"/>
          <w:lang w:val="es-ES"/>
        </w:rPr>
        <w:t xml:space="preserve">argumento </w:t>
      </w:r>
      <w:r w:rsidR="00A17ED0" w:rsidRPr="00885BCF">
        <w:rPr>
          <w:rFonts w:eastAsia="Times New Roman" w:cs="Arial"/>
          <w:color w:val="00000A"/>
          <w:sz w:val="20"/>
          <w:szCs w:val="20"/>
          <w:lang w:val="es-ES"/>
        </w:rPr>
        <w:t xml:space="preserve">de </w:t>
      </w:r>
      <w:r w:rsidR="008F472F" w:rsidRPr="00885BCF">
        <w:rPr>
          <w:rFonts w:eastAsia="Times New Roman" w:cs="Arial"/>
          <w:color w:val="00000A"/>
          <w:sz w:val="20"/>
          <w:szCs w:val="20"/>
          <w:lang w:val="es-ES"/>
        </w:rPr>
        <w:t xml:space="preserve">que la persona capturada con ayuda de la información proporcionada por la presunta víctima no tenía condición de líder de la organización criminal, por lo que no se cumplían los requisitos legales para </w:t>
      </w:r>
      <w:r w:rsidR="00A17ED0" w:rsidRPr="00885BCF">
        <w:rPr>
          <w:rFonts w:eastAsia="Times New Roman" w:cs="Arial"/>
          <w:color w:val="00000A"/>
          <w:sz w:val="20"/>
          <w:szCs w:val="20"/>
          <w:lang w:val="es-ES"/>
        </w:rPr>
        <w:t>su</w:t>
      </w:r>
      <w:r w:rsidR="008F472F" w:rsidRPr="00885BCF">
        <w:rPr>
          <w:rFonts w:eastAsia="Times New Roman" w:cs="Arial"/>
          <w:color w:val="00000A"/>
          <w:sz w:val="20"/>
          <w:szCs w:val="20"/>
          <w:lang w:val="es-ES"/>
        </w:rPr>
        <w:t xml:space="preserve"> concesión. Contra esta resolución, </w:t>
      </w:r>
      <w:proofErr w:type="gramStart"/>
      <w:r w:rsidR="008F472F" w:rsidRPr="00885BCF">
        <w:rPr>
          <w:rFonts w:eastAsia="Times New Roman" w:cs="Arial"/>
          <w:color w:val="00000A"/>
          <w:sz w:val="20"/>
          <w:szCs w:val="20"/>
          <w:lang w:val="es-ES"/>
        </w:rPr>
        <w:t>el</w:t>
      </w:r>
      <w:proofErr w:type="gramEnd"/>
      <w:r w:rsidR="008F472F" w:rsidRPr="00885BCF">
        <w:rPr>
          <w:rFonts w:eastAsia="Times New Roman" w:cs="Arial"/>
          <w:color w:val="00000A"/>
          <w:sz w:val="20"/>
          <w:szCs w:val="20"/>
          <w:lang w:val="es-ES"/>
        </w:rPr>
        <w:t xml:space="preserve"> Sr. Milla Espinoza interpuso el 22 de septiembre de 2000 un recurso de nulidad</w:t>
      </w:r>
      <w:r w:rsidR="00A17ED0" w:rsidRPr="00885BCF">
        <w:rPr>
          <w:rFonts w:eastAsia="Times New Roman" w:cs="Arial"/>
          <w:color w:val="00000A"/>
          <w:sz w:val="20"/>
          <w:szCs w:val="20"/>
          <w:lang w:val="es-ES"/>
        </w:rPr>
        <w:t>,</w:t>
      </w:r>
      <w:r w:rsidR="008F472F" w:rsidRPr="00885BCF">
        <w:rPr>
          <w:rFonts w:eastAsia="Times New Roman" w:cs="Arial"/>
          <w:color w:val="00000A"/>
          <w:sz w:val="20"/>
          <w:szCs w:val="20"/>
          <w:lang w:val="es-ES"/>
        </w:rPr>
        <w:t xml:space="preserve"> que fue denegado el 26 de septiembre de ese mismo año por la Primera Sala Penal de la Corte Superior de Justicia del Callao. En </w:t>
      </w:r>
      <w:r w:rsidR="00A17ED0" w:rsidRPr="00885BCF">
        <w:rPr>
          <w:rFonts w:eastAsia="Times New Roman" w:cs="Arial"/>
          <w:color w:val="00000A"/>
          <w:sz w:val="20"/>
          <w:szCs w:val="20"/>
          <w:lang w:val="es-ES"/>
        </w:rPr>
        <w:t xml:space="preserve">consecuencia, </w:t>
      </w:r>
      <w:r w:rsidR="008F472F" w:rsidRPr="00885BCF">
        <w:rPr>
          <w:rFonts w:eastAsia="Times New Roman" w:cs="Arial"/>
          <w:color w:val="00000A"/>
          <w:sz w:val="20"/>
          <w:szCs w:val="20"/>
          <w:lang w:val="es-ES"/>
        </w:rPr>
        <w:t xml:space="preserve">presentó un recurso de queja el 9 de octubre de 2000, que fue resuelto de manera favorable por la Corte Suprema el </w:t>
      </w:r>
      <w:r w:rsidR="008F472F" w:rsidRPr="00885BCF">
        <w:rPr>
          <w:rFonts w:eastAsia="Times New Roman" w:cs="Arial"/>
          <w:color w:val="00000A"/>
          <w:sz w:val="20"/>
          <w:szCs w:val="20"/>
          <w:shd w:val="clear" w:color="auto" w:fill="FFFFFF"/>
          <w:lang w:val="es-ES"/>
        </w:rPr>
        <w:t>25 de abril de 2001</w:t>
      </w:r>
      <w:r w:rsidR="008F472F" w:rsidRPr="00885BCF">
        <w:rPr>
          <w:rStyle w:val="FootnoteReference"/>
          <w:rFonts w:eastAsia="Times New Roman" w:cs="Arial"/>
          <w:color w:val="00000A"/>
          <w:sz w:val="20"/>
          <w:szCs w:val="20"/>
          <w:shd w:val="clear" w:color="auto" w:fill="FFFFFF"/>
          <w:lang w:val="es-ES"/>
        </w:rPr>
        <w:footnoteReference w:id="6"/>
      </w:r>
      <w:r w:rsidR="00A17ED0" w:rsidRPr="00885BCF">
        <w:rPr>
          <w:rFonts w:eastAsia="Times New Roman" w:cs="Arial"/>
          <w:color w:val="00000A"/>
          <w:sz w:val="20"/>
          <w:szCs w:val="20"/>
          <w:shd w:val="clear" w:color="auto" w:fill="FFFFFF"/>
          <w:lang w:val="es-ES"/>
        </w:rPr>
        <w:t>.</w:t>
      </w:r>
      <w:r w:rsidR="008F472F" w:rsidRPr="00885BCF">
        <w:rPr>
          <w:rFonts w:eastAsia="Times New Roman" w:cs="Arial"/>
          <w:color w:val="00000A"/>
          <w:sz w:val="20"/>
          <w:szCs w:val="20"/>
          <w:shd w:val="clear" w:color="auto" w:fill="FFFFFF"/>
          <w:lang w:val="es-ES"/>
        </w:rPr>
        <w:t xml:space="preserve"> </w:t>
      </w:r>
      <w:r w:rsidR="00A17ED0" w:rsidRPr="00885BCF">
        <w:rPr>
          <w:rFonts w:eastAsia="Times New Roman" w:cs="Arial"/>
          <w:color w:val="00000A"/>
          <w:sz w:val="20"/>
          <w:szCs w:val="20"/>
          <w:shd w:val="clear" w:color="auto" w:fill="FFFFFF"/>
          <w:lang w:val="es-ES"/>
        </w:rPr>
        <w:t>El 7 de junio de 2001</w:t>
      </w:r>
      <w:r w:rsidR="00A17ED0" w:rsidRPr="00885BCF">
        <w:rPr>
          <w:rStyle w:val="FootnoteReference"/>
          <w:rFonts w:eastAsia="Times New Roman" w:cs="Arial"/>
          <w:color w:val="00000A"/>
          <w:sz w:val="20"/>
          <w:szCs w:val="20"/>
          <w:lang w:val="es-ES"/>
        </w:rPr>
        <w:footnoteReference w:id="7"/>
      </w:r>
      <w:r w:rsidR="008F472F" w:rsidRPr="00885BCF">
        <w:rPr>
          <w:rFonts w:eastAsia="Times New Roman" w:cs="Arial"/>
          <w:color w:val="00000A"/>
          <w:sz w:val="20"/>
          <w:szCs w:val="20"/>
          <w:shd w:val="clear" w:color="auto" w:fill="FFFFFF"/>
          <w:lang w:val="es-ES"/>
        </w:rPr>
        <w:t xml:space="preserve"> se elev</w:t>
      </w:r>
      <w:r w:rsidR="00A17ED0" w:rsidRPr="00885BCF">
        <w:rPr>
          <w:rFonts w:eastAsia="Times New Roman" w:cs="Arial"/>
          <w:color w:val="00000A"/>
          <w:sz w:val="20"/>
          <w:szCs w:val="20"/>
          <w:shd w:val="clear" w:color="auto" w:fill="FFFFFF"/>
          <w:lang w:val="es-ES"/>
        </w:rPr>
        <w:t>ó</w:t>
      </w:r>
      <w:r w:rsidR="008F472F" w:rsidRPr="00885BCF">
        <w:rPr>
          <w:rFonts w:eastAsia="Times New Roman" w:cs="Arial"/>
          <w:color w:val="00000A"/>
          <w:sz w:val="20"/>
          <w:szCs w:val="20"/>
          <w:shd w:val="clear" w:color="auto" w:fill="FFFFFF"/>
          <w:lang w:val="es-ES"/>
        </w:rPr>
        <w:t xml:space="preserve"> el cuaderno de exención de pena a la instancia suprema</w:t>
      </w:r>
      <w:r w:rsidR="008F472F" w:rsidRPr="00885BCF">
        <w:rPr>
          <w:rFonts w:eastAsia="Times New Roman" w:cs="Arial"/>
          <w:color w:val="00000A"/>
          <w:sz w:val="20"/>
          <w:szCs w:val="20"/>
          <w:lang w:val="es-ES"/>
        </w:rPr>
        <w:t>.</w:t>
      </w:r>
    </w:p>
    <w:bookmarkEnd w:id="2"/>
    <w:p w14:paraId="421F8604" w14:textId="7F42E3A5" w:rsidR="00E237FE" w:rsidRPr="00885BCF" w:rsidRDefault="00CB1358"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before="120" w:after="120"/>
        <w:jc w:val="both"/>
        <w:textAlignment w:val="baseline"/>
        <w:rPr>
          <w:lang w:val="es-ES"/>
        </w:rPr>
      </w:pPr>
      <w:r w:rsidRPr="00885BCF">
        <w:rPr>
          <w:rFonts w:eastAsia="Times New Roman" w:cs="Arial"/>
          <w:color w:val="auto"/>
          <w:sz w:val="20"/>
          <w:szCs w:val="20"/>
          <w:shd w:val="clear" w:color="auto" w:fill="FFFFFF"/>
          <w:lang w:val="es-ES"/>
        </w:rPr>
        <w:t>E</w:t>
      </w:r>
      <w:r w:rsidR="002A54C9" w:rsidRPr="00885BCF">
        <w:rPr>
          <w:rFonts w:eastAsia="Times New Roman" w:cs="Arial"/>
          <w:color w:val="auto"/>
          <w:sz w:val="20"/>
          <w:szCs w:val="20"/>
          <w:shd w:val="clear" w:color="auto" w:fill="FFFFFF"/>
          <w:lang w:val="es-ES"/>
        </w:rPr>
        <w:t>l</w:t>
      </w:r>
      <w:r w:rsidR="00E237FE" w:rsidRPr="00885BCF">
        <w:rPr>
          <w:rFonts w:eastAsia="Times New Roman" w:cs="Arial"/>
          <w:color w:val="auto"/>
          <w:sz w:val="20"/>
          <w:szCs w:val="20"/>
          <w:shd w:val="clear" w:color="auto" w:fill="FFFFFF"/>
          <w:lang w:val="es-ES"/>
        </w:rPr>
        <w:t xml:space="preserve"> 5 de enero de 2004</w:t>
      </w:r>
      <w:r w:rsidR="006F25D2" w:rsidRPr="00885BCF">
        <w:rPr>
          <w:rFonts w:eastAsia="Times New Roman" w:cs="Arial"/>
          <w:color w:val="auto"/>
          <w:sz w:val="20"/>
          <w:szCs w:val="20"/>
          <w:shd w:val="clear" w:color="auto" w:fill="FFFFFF"/>
          <w:lang w:val="es-ES"/>
        </w:rPr>
        <w:t xml:space="preserve">, </w:t>
      </w:r>
      <w:r w:rsidR="00E237FE" w:rsidRPr="00885BCF">
        <w:rPr>
          <w:rFonts w:eastAsia="Times New Roman" w:cs="Arial"/>
          <w:color w:val="auto"/>
          <w:sz w:val="20"/>
          <w:szCs w:val="20"/>
          <w:shd w:val="clear" w:color="auto" w:fill="FFFFFF"/>
          <w:lang w:val="es-ES"/>
        </w:rPr>
        <w:t>la Sala Penal Permanente de la Corte Suprema declaró la nulidad de</w:t>
      </w:r>
      <w:r w:rsidR="00BF3D10" w:rsidRPr="00885BCF">
        <w:rPr>
          <w:rFonts w:eastAsia="Times New Roman" w:cs="Arial"/>
          <w:color w:val="auto"/>
          <w:sz w:val="20"/>
          <w:szCs w:val="20"/>
          <w:shd w:val="clear" w:color="auto" w:fill="FFFFFF"/>
          <w:lang w:val="es-ES"/>
        </w:rPr>
        <w:t xml:space="preserve">l auto </w:t>
      </w:r>
      <w:r w:rsidR="00FE37E5" w:rsidRPr="00885BCF">
        <w:rPr>
          <w:rFonts w:eastAsia="Times New Roman" w:cs="Arial"/>
          <w:color w:val="auto"/>
          <w:sz w:val="20"/>
          <w:szCs w:val="20"/>
          <w:shd w:val="clear" w:color="auto" w:fill="FFFFFF"/>
          <w:lang w:val="es-ES"/>
        </w:rPr>
        <w:t xml:space="preserve">que </w:t>
      </w:r>
      <w:r w:rsidR="00BF3D10" w:rsidRPr="00885BCF">
        <w:rPr>
          <w:rFonts w:eastAsia="Times New Roman" w:cs="Arial"/>
          <w:color w:val="auto"/>
          <w:sz w:val="20"/>
          <w:szCs w:val="20"/>
          <w:shd w:val="clear" w:color="auto" w:fill="FFFFFF"/>
          <w:lang w:val="es-ES"/>
        </w:rPr>
        <w:t>declara</w:t>
      </w:r>
      <w:r w:rsidR="00FE37E5" w:rsidRPr="00885BCF">
        <w:rPr>
          <w:rFonts w:eastAsia="Times New Roman" w:cs="Arial"/>
          <w:color w:val="auto"/>
          <w:sz w:val="20"/>
          <w:szCs w:val="20"/>
          <w:shd w:val="clear" w:color="auto" w:fill="FFFFFF"/>
          <w:lang w:val="es-ES"/>
        </w:rPr>
        <w:t>ba</w:t>
      </w:r>
      <w:r w:rsidR="00BF3D10" w:rsidRPr="00885BCF">
        <w:rPr>
          <w:rFonts w:eastAsia="Times New Roman" w:cs="Arial"/>
          <w:color w:val="auto"/>
          <w:sz w:val="20"/>
          <w:szCs w:val="20"/>
          <w:shd w:val="clear" w:color="auto" w:fill="FFFFFF"/>
          <w:lang w:val="es-ES"/>
        </w:rPr>
        <w:t xml:space="preserve"> improcedente el beneficio de exención de pena</w:t>
      </w:r>
      <w:r w:rsidR="00FE37E5" w:rsidRPr="00885BCF">
        <w:rPr>
          <w:rFonts w:eastAsia="Times New Roman" w:cs="Arial"/>
          <w:color w:val="auto"/>
          <w:sz w:val="20"/>
          <w:szCs w:val="20"/>
          <w:shd w:val="clear" w:color="auto" w:fill="FFFFFF"/>
          <w:lang w:val="es-ES"/>
        </w:rPr>
        <w:t>;</w:t>
      </w:r>
      <w:r w:rsidR="00BF3D10" w:rsidRPr="00885BCF">
        <w:rPr>
          <w:rFonts w:eastAsia="Times New Roman" w:cs="Arial"/>
          <w:color w:val="auto"/>
          <w:sz w:val="20"/>
          <w:szCs w:val="20"/>
          <w:shd w:val="clear" w:color="auto" w:fill="FFFFFF"/>
          <w:lang w:val="es-ES"/>
        </w:rPr>
        <w:t xml:space="preserve"> </w:t>
      </w:r>
      <w:r w:rsidR="00E237FE" w:rsidRPr="00885BCF">
        <w:rPr>
          <w:rFonts w:eastAsia="Times New Roman" w:cs="Arial"/>
          <w:color w:val="auto"/>
          <w:sz w:val="20"/>
          <w:szCs w:val="20"/>
          <w:shd w:val="clear" w:color="auto" w:fill="FFFFFF"/>
          <w:lang w:val="es-ES"/>
        </w:rPr>
        <w:t>decidió conceder</w:t>
      </w:r>
      <w:r w:rsidR="00DD1135" w:rsidRPr="00885BCF">
        <w:rPr>
          <w:rFonts w:eastAsia="Times New Roman" w:cs="Arial"/>
          <w:color w:val="auto"/>
          <w:sz w:val="20"/>
          <w:szCs w:val="20"/>
          <w:shd w:val="clear" w:color="auto" w:fill="FFFFFF"/>
          <w:lang w:val="es-ES"/>
        </w:rPr>
        <w:t>lo</w:t>
      </w:r>
      <w:r w:rsidR="00FE37E5" w:rsidRPr="00885BCF">
        <w:rPr>
          <w:rFonts w:eastAsia="Times New Roman" w:cs="Arial"/>
          <w:color w:val="auto"/>
          <w:sz w:val="20"/>
          <w:szCs w:val="20"/>
          <w:shd w:val="clear" w:color="auto" w:fill="FFFFFF"/>
          <w:lang w:val="es-ES"/>
        </w:rPr>
        <w:t>;</w:t>
      </w:r>
      <w:r w:rsidR="00E237FE" w:rsidRPr="00885BCF">
        <w:rPr>
          <w:rFonts w:eastAsia="Times New Roman" w:cs="Arial"/>
          <w:color w:val="auto"/>
          <w:sz w:val="20"/>
          <w:szCs w:val="20"/>
          <w:shd w:val="clear" w:color="auto" w:fill="FFFFFF"/>
          <w:lang w:val="es-ES"/>
        </w:rPr>
        <w:t xml:space="preserve"> </w:t>
      </w:r>
      <w:r w:rsidR="00FE37E5" w:rsidRPr="00885BCF">
        <w:rPr>
          <w:rFonts w:eastAsia="Times New Roman" w:cs="Arial"/>
          <w:color w:val="auto"/>
          <w:sz w:val="20"/>
          <w:szCs w:val="20"/>
          <w:shd w:val="clear" w:color="auto" w:fill="FFFFFF"/>
          <w:lang w:val="es-ES"/>
        </w:rPr>
        <w:t xml:space="preserve">y </w:t>
      </w:r>
      <w:r w:rsidR="00E237FE" w:rsidRPr="00885BCF">
        <w:rPr>
          <w:rFonts w:eastAsia="Times New Roman" w:cs="Arial"/>
          <w:color w:val="auto"/>
          <w:sz w:val="20"/>
          <w:szCs w:val="20"/>
          <w:shd w:val="clear" w:color="auto" w:fill="FFFFFF"/>
          <w:lang w:val="es-ES"/>
        </w:rPr>
        <w:t>orden</w:t>
      </w:r>
      <w:r w:rsidR="00FE37E5" w:rsidRPr="00885BCF">
        <w:rPr>
          <w:rFonts w:eastAsia="Times New Roman" w:cs="Arial"/>
          <w:color w:val="auto"/>
          <w:sz w:val="20"/>
          <w:szCs w:val="20"/>
          <w:shd w:val="clear" w:color="auto" w:fill="FFFFFF"/>
          <w:lang w:val="es-ES"/>
        </w:rPr>
        <w:t>ó</w:t>
      </w:r>
      <w:r w:rsidR="00E237FE" w:rsidRPr="00885BCF">
        <w:rPr>
          <w:rFonts w:eastAsia="Times New Roman" w:cs="Arial"/>
          <w:color w:val="auto"/>
          <w:sz w:val="20"/>
          <w:szCs w:val="20"/>
          <w:shd w:val="clear" w:color="auto" w:fill="FFFFFF"/>
          <w:lang w:val="es-ES"/>
        </w:rPr>
        <w:t xml:space="preserve"> la inmediata puesta en libertad </w:t>
      </w:r>
      <w:proofErr w:type="gramStart"/>
      <w:r w:rsidR="00E237FE" w:rsidRPr="00885BCF">
        <w:rPr>
          <w:rFonts w:eastAsia="Times New Roman" w:cs="Arial"/>
          <w:color w:val="auto"/>
          <w:sz w:val="20"/>
          <w:szCs w:val="20"/>
          <w:shd w:val="clear" w:color="auto" w:fill="FFFFFF"/>
          <w:lang w:val="es-ES"/>
        </w:rPr>
        <w:t>del</w:t>
      </w:r>
      <w:proofErr w:type="gramEnd"/>
      <w:r w:rsidR="00E237FE" w:rsidRPr="00885BCF">
        <w:rPr>
          <w:rFonts w:eastAsia="Times New Roman" w:cs="Arial"/>
          <w:color w:val="auto"/>
          <w:sz w:val="20"/>
          <w:szCs w:val="20"/>
          <w:shd w:val="clear" w:color="auto" w:fill="FFFFFF"/>
          <w:lang w:val="es-ES"/>
        </w:rPr>
        <w:t xml:space="preserve"> Sr. Milla Espinoza</w:t>
      </w:r>
      <w:r w:rsidR="00544240" w:rsidRPr="00885BCF">
        <w:rPr>
          <w:rStyle w:val="FootnoteReference"/>
          <w:rFonts w:eastAsia="Times New Roman" w:cs="Arial"/>
          <w:color w:val="auto"/>
          <w:sz w:val="20"/>
          <w:szCs w:val="20"/>
          <w:shd w:val="clear" w:color="auto" w:fill="FFFFFF"/>
          <w:lang w:val="es-ES"/>
        </w:rPr>
        <w:footnoteReference w:id="8"/>
      </w:r>
      <w:r w:rsidR="00112FB8" w:rsidRPr="00885BCF">
        <w:rPr>
          <w:rFonts w:eastAsia="Times New Roman" w:cs="Arial"/>
          <w:color w:val="auto"/>
          <w:sz w:val="20"/>
          <w:szCs w:val="20"/>
          <w:shd w:val="clear" w:color="auto" w:fill="FFFFFF"/>
          <w:lang w:val="es-ES"/>
        </w:rPr>
        <w:t>.</w:t>
      </w:r>
      <w:r w:rsidR="00E237FE" w:rsidRPr="00885BCF">
        <w:rPr>
          <w:rFonts w:eastAsia="Times New Roman" w:cs="Arial"/>
          <w:color w:val="auto"/>
          <w:sz w:val="20"/>
          <w:szCs w:val="20"/>
          <w:shd w:val="clear" w:color="auto" w:fill="FFFFFF"/>
          <w:lang w:val="es-ES"/>
        </w:rPr>
        <w:t xml:space="preserve"> No obstante, el Instituto Nacional Penitenciario solicitó al tribunal, en varios escritos urgente</w:t>
      </w:r>
      <w:r w:rsidR="00C50561" w:rsidRPr="00885BCF">
        <w:rPr>
          <w:rFonts w:eastAsia="Times New Roman" w:cs="Arial"/>
          <w:color w:val="auto"/>
          <w:sz w:val="20"/>
          <w:szCs w:val="20"/>
          <w:shd w:val="clear" w:color="auto" w:fill="FFFFFF"/>
          <w:lang w:val="es-ES"/>
        </w:rPr>
        <w:t>s</w:t>
      </w:r>
      <w:r w:rsidR="000A4EA2" w:rsidRPr="00885BCF">
        <w:rPr>
          <w:rStyle w:val="FootnoteReference"/>
          <w:rFonts w:eastAsia="Times New Roman" w:cs="Arial"/>
          <w:color w:val="auto"/>
          <w:sz w:val="20"/>
          <w:szCs w:val="20"/>
          <w:shd w:val="clear" w:color="auto" w:fill="FFFFFF"/>
          <w:lang w:val="es-ES"/>
        </w:rPr>
        <w:footnoteReference w:id="9"/>
      </w:r>
      <w:r w:rsidR="00E237FE" w:rsidRPr="00885BCF">
        <w:rPr>
          <w:rFonts w:eastAsia="Times New Roman" w:cs="Arial"/>
          <w:color w:val="auto"/>
          <w:sz w:val="20"/>
          <w:szCs w:val="20"/>
          <w:shd w:val="clear" w:color="auto" w:fill="FFFFFF"/>
          <w:lang w:val="es-ES"/>
        </w:rPr>
        <w:t>, que esclarezca el mandato</w:t>
      </w:r>
      <w:r w:rsidR="00C50561" w:rsidRPr="00885BCF">
        <w:rPr>
          <w:rFonts w:eastAsia="Times New Roman" w:cs="Arial"/>
          <w:color w:val="auto"/>
          <w:sz w:val="20"/>
          <w:szCs w:val="20"/>
          <w:shd w:val="clear" w:color="auto" w:fill="FFFFFF"/>
          <w:lang w:val="es-ES"/>
        </w:rPr>
        <w:t xml:space="preserve"> de libertad</w:t>
      </w:r>
      <w:r w:rsidR="00E237FE" w:rsidRPr="00885BCF">
        <w:rPr>
          <w:rStyle w:val="FootnoteReference"/>
          <w:rFonts w:eastAsia="Times New Roman" w:cs="Arial"/>
          <w:color w:val="auto"/>
          <w:sz w:val="20"/>
          <w:szCs w:val="20"/>
          <w:shd w:val="clear" w:color="auto" w:fill="FFFFFF"/>
          <w:lang w:val="es-ES"/>
        </w:rPr>
        <w:footnoteReference w:id="10"/>
      </w:r>
      <w:r w:rsidR="00E237FE" w:rsidRPr="00885BCF">
        <w:rPr>
          <w:rFonts w:eastAsia="Times New Roman" w:cs="Arial"/>
          <w:color w:val="auto"/>
          <w:sz w:val="20"/>
          <w:szCs w:val="20"/>
          <w:shd w:val="clear" w:color="auto" w:fill="FFFFFF"/>
          <w:lang w:val="es-ES"/>
        </w:rPr>
        <w:t>, puesto que la presunta víctima tenía una sentencia condenatoria.</w:t>
      </w:r>
      <w:r w:rsidR="00EB1666" w:rsidRPr="00885BCF">
        <w:rPr>
          <w:rFonts w:eastAsia="Times New Roman" w:cs="Arial"/>
          <w:color w:val="auto"/>
          <w:sz w:val="20"/>
          <w:szCs w:val="20"/>
          <w:shd w:val="clear" w:color="auto" w:fill="FFFFFF"/>
          <w:lang w:val="es-ES"/>
        </w:rPr>
        <w:t xml:space="preserve"> </w:t>
      </w:r>
      <w:r w:rsidR="00FE37E5" w:rsidRPr="00885BCF">
        <w:rPr>
          <w:rFonts w:eastAsia="Times New Roman" w:cs="Arial"/>
          <w:color w:val="auto"/>
          <w:sz w:val="20"/>
          <w:szCs w:val="20"/>
          <w:shd w:val="clear" w:color="auto" w:fill="FFFFFF"/>
          <w:lang w:val="es-ES"/>
        </w:rPr>
        <w:t>E</w:t>
      </w:r>
      <w:r w:rsidR="00E237FE" w:rsidRPr="00885BCF">
        <w:rPr>
          <w:rFonts w:eastAsia="Times New Roman" w:cs="Arial"/>
          <w:color w:val="00000A"/>
          <w:sz w:val="20"/>
          <w:szCs w:val="20"/>
          <w:shd w:val="clear" w:color="auto" w:fill="FFFFFF"/>
          <w:lang w:val="es-ES"/>
        </w:rPr>
        <w:t xml:space="preserve">l 16 de </w:t>
      </w:r>
      <w:r w:rsidR="005C3C39" w:rsidRPr="00885BCF">
        <w:rPr>
          <w:rFonts w:eastAsia="Times New Roman" w:cs="Arial"/>
          <w:color w:val="00000A"/>
          <w:sz w:val="20"/>
          <w:szCs w:val="20"/>
          <w:shd w:val="clear" w:color="auto" w:fill="FFFFFF"/>
          <w:lang w:val="es-ES"/>
        </w:rPr>
        <w:t>enero</w:t>
      </w:r>
      <w:r w:rsidR="00E237FE" w:rsidRPr="00885BCF">
        <w:rPr>
          <w:rFonts w:eastAsia="Times New Roman" w:cs="Arial"/>
          <w:color w:val="00000A"/>
          <w:sz w:val="20"/>
          <w:szCs w:val="20"/>
          <w:shd w:val="clear" w:color="auto" w:fill="FFFFFF"/>
          <w:lang w:val="es-ES"/>
        </w:rPr>
        <w:t xml:space="preserve"> de ese año, la misma Sala Penal Permanente de la Corte Suprema dict</w:t>
      </w:r>
      <w:r w:rsidR="00FE37E5" w:rsidRPr="00885BCF">
        <w:rPr>
          <w:rFonts w:eastAsia="Times New Roman" w:cs="Arial"/>
          <w:color w:val="00000A"/>
          <w:sz w:val="20"/>
          <w:szCs w:val="20"/>
          <w:shd w:val="clear" w:color="auto" w:fill="FFFFFF"/>
          <w:lang w:val="es-ES"/>
        </w:rPr>
        <w:t>ó</w:t>
      </w:r>
      <w:r w:rsidR="00E237FE" w:rsidRPr="00885BCF">
        <w:rPr>
          <w:rFonts w:eastAsia="Times New Roman" w:cs="Arial"/>
          <w:color w:val="00000A"/>
          <w:sz w:val="20"/>
          <w:szCs w:val="20"/>
          <w:shd w:val="clear" w:color="auto" w:fill="FFFFFF"/>
          <w:lang w:val="es-ES"/>
        </w:rPr>
        <w:t xml:space="preserve"> </w:t>
      </w:r>
      <w:r w:rsidR="00FE37E5" w:rsidRPr="00885BCF">
        <w:rPr>
          <w:rFonts w:eastAsia="Times New Roman" w:cs="Arial"/>
          <w:color w:val="00000A"/>
          <w:sz w:val="20"/>
          <w:szCs w:val="20"/>
          <w:shd w:val="clear" w:color="auto" w:fill="FFFFFF"/>
          <w:lang w:val="es-ES"/>
        </w:rPr>
        <w:t xml:space="preserve">una </w:t>
      </w:r>
      <w:r w:rsidR="00E237FE" w:rsidRPr="00885BCF">
        <w:rPr>
          <w:rFonts w:eastAsia="Times New Roman" w:cs="Arial"/>
          <w:color w:val="00000A"/>
          <w:sz w:val="20"/>
          <w:szCs w:val="20"/>
          <w:shd w:val="clear" w:color="auto" w:fill="FFFFFF"/>
          <w:lang w:val="es-ES"/>
        </w:rPr>
        <w:t xml:space="preserve">resolución </w:t>
      </w:r>
      <w:r w:rsidR="00FE37E5" w:rsidRPr="00885BCF">
        <w:rPr>
          <w:rFonts w:eastAsia="Times New Roman" w:cs="Arial"/>
          <w:color w:val="00000A"/>
          <w:sz w:val="20"/>
          <w:szCs w:val="20"/>
          <w:shd w:val="clear" w:color="auto" w:fill="FFFFFF"/>
          <w:lang w:val="es-ES"/>
        </w:rPr>
        <w:t>por la que suspendió</w:t>
      </w:r>
      <w:r w:rsidR="00E237FE" w:rsidRPr="00885BCF">
        <w:rPr>
          <w:rFonts w:eastAsia="Times New Roman" w:cs="Arial"/>
          <w:color w:val="00000A"/>
          <w:sz w:val="20"/>
          <w:szCs w:val="20"/>
          <w:shd w:val="clear" w:color="auto" w:fill="FFFFFF"/>
          <w:lang w:val="es-ES"/>
        </w:rPr>
        <w:t xml:space="preserve"> por breve término los efectos de </w:t>
      </w:r>
      <w:r w:rsidR="00222C97" w:rsidRPr="00885BCF">
        <w:rPr>
          <w:rFonts w:eastAsia="Times New Roman" w:cs="Arial"/>
          <w:color w:val="00000A"/>
          <w:sz w:val="20"/>
          <w:szCs w:val="20"/>
          <w:shd w:val="clear" w:color="auto" w:fill="FFFFFF"/>
          <w:lang w:val="es-ES"/>
        </w:rPr>
        <w:t>su</w:t>
      </w:r>
      <w:r w:rsidR="00E237FE" w:rsidRPr="00885BCF">
        <w:rPr>
          <w:rFonts w:eastAsia="Times New Roman" w:cs="Arial"/>
          <w:color w:val="00000A"/>
          <w:sz w:val="20"/>
          <w:szCs w:val="20"/>
          <w:shd w:val="clear" w:color="auto" w:fill="FFFFFF"/>
          <w:lang w:val="es-ES"/>
        </w:rPr>
        <w:t xml:space="preserve"> resolución</w:t>
      </w:r>
      <w:r w:rsidR="00D8388E" w:rsidRPr="00885BCF">
        <w:rPr>
          <w:rFonts w:eastAsia="Times New Roman" w:cs="Arial"/>
          <w:color w:val="00000A"/>
          <w:sz w:val="20"/>
          <w:szCs w:val="20"/>
          <w:shd w:val="clear" w:color="auto" w:fill="FFFFFF"/>
          <w:lang w:val="es-ES"/>
        </w:rPr>
        <w:t xml:space="preserve"> –figura no contemplada en el Código </w:t>
      </w:r>
      <w:r w:rsidR="00FE37E5" w:rsidRPr="00885BCF">
        <w:rPr>
          <w:rFonts w:eastAsia="Times New Roman" w:cs="Arial"/>
          <w:color w:val="00000A"/>
          <w:sz w:val="20"/>
          <w:szCs w:val="20"/>
          <w:shd w:val="clear" w:color="auto" w:fill="FFFFFF"/>
          <w:lang w:val="es-ES"/>
        </w:rPr>
        <w:t>P</w:t>
      </w:r>
      <w:r w:rsidR="00D8388E" w:rsidRPr="00885BCF">
        <w:rPr>
          <w:rFonts w:eastAsia="Times New Roman" w:cs="Arial"/>
          <w:color w:val="00000A"/>
          <w:sz w:val="20"/>
          <w:szCs w:val="20"/>
          <w:shd w:val="clear" w:color="auto" w:fill="FFFFFF"/>
          <w:lang w:val="es-ES"/>
        </w:rPr>
        <w:t xml:space="preserve">rocesal </w:t>
      </w:r>
      <w:r w:rsidR="00FE37E5" w:rsidRPr="00885BCF">
        <w:rPr>
          <w:rFonts w:eastAsia="Times New Roman" w:cs="Arial"/>
          <w:color w:val="00000A"/>
          <w:sz w:val="20"/>
          <w:szCs w:val="20"/>
          <w:shd w:val="clear" w:color="auto" w:fill="FFFFFF"/>
          <w:lang w:val="es-ES"/>
        </w:rPr>
        <w:t>P</w:t>
      </w:r>
      <w:r w:rsidR="00D8388E" w:rsidRPr="00885BCF">
        <w:rPr>
          <w:rFonts w:eastAsia="Times New Roman" w:cs="Arial"/>
          <w:color w:val="00000A"/>
          <w:sz w:val="20"/>
          <w:szCs w:val="20"/>
          <w:shd w:val="clear" w:color="auto" w:fill="FFFFFF"/>
          <w:lang w:val="es-ES"/>
        </w:rPr>
        <w:t>enal, según el peticionario–</w:t>
      </w:r>
      <w:r w:rsidR="00E237FE" w:rsidRPr="00885BCF">
        <w:rPr>
          <w:rFonts w:eastAsia="Times New Roman" w:cs="Arial"/>
          <w:color w:val="00000A"/>
          <w:sz w:val="20"/>
          <w:szCs w:val="20"/>
          <w:lang w:val="es-ES"/>
        </w:rPr>
        <w:t xml:space="preserve"> </w:t>
      </w:r>
      <w:r w:rsidR="00FE37E5" w:rsidRPr="00885BCF">
        <w:rPr>
          <w:rFonts w:eastAsia="Times New Roman" w:cs="Arial"/>
          <w:color w:val="00000A"/>
          <w:sz w:val="20"/>
          <w:szCs w:val="20"/>
          <w:lang w:val="es-ES"/>
        </w:rPr>
        <w:t xml:space="preserve">con el argumento </w:t>
      </w:r>
      <w:r w:rsidR="00FE37E5" w:rsidRPr="00843D37">
        <w:rPr>
          <w:rFonts w:eastAsia="Times New Roman" w:cs="Arial"/>
          <w:color w:val="00000A"/>
          <w:sz w:val="20"/>
          <w:szCs w:val="20"/>
          <w:lang w:val="es-ES"/>
        </w:rPr>
        <w:t>de</w:t>
      </w:r>
      <w:r w:rsidR="00E237FE" w:rsidRPr="00843D37">
        <w:rPr>
          <w:rFonts w:eastAsia="Times New Roman" w:cs="Arial"/>
          <w:color w:val="00000A"/>
          <w:sz w:val="20"/>
          <w:szCs w:val="20"/>
          <w:lang w:val="es-ES"/>
        </w:rPr>
        <w:t xml:space="preserve"> que </w:t>
      </w:r>
      <w:r w:rsidR="00FE37E5" w:rsidRPr="00843D37">
        <w:rPr>
          <w:rFonts w:eastAsia="Times New Roman" w:cs="Arial"/>
          <w:color w:val="00000A"/>
          <w:sz w:val="20"/>
          <w:szCs w:val="20"/>
          <w:lang w:val="es-ES"/>
        </w:rPr>
        <w:t xml:space="preserve">no sabía </w:t>
      </w:r>
      <w:r w:rsidR="00E237FE" w:rsidRPr="00843D37">
        <w:rPr>
          <w:rFonts w:eastAsia="Times New Roman" w:cs="Arial"/>
          <w:color w:val="00000A"/>
          <w:sz w:val="20"/>
          <w:szCs w:val="20"/>
          <w:lang w:val="es-ES"/>
        </w:rPr>
        <w:t xml:space="preserve">de </w:t>
      </w:r>
      <w:r w:rsidR="00FE37E5" w:rsidRPr="00843D37">
        <w:rPr>
          <w:rFonts w:eastAsia="Times New Roman" w:cs="Arial"/>
          <w:color w:val="00000A"/>
          <w:sz w:val="20"/>
          <w:szCs w:val="20"/>
          <w:lang w:val="es-ES"/>
        </w:rPr>
        <w:t>la</w:t>
      </w:r>
      <w:r w:rsidR="00E237FE" w:rsidRPr="00843D37">
        <w:rPr>
          <w:rFonts w:eastAsia="Times New Roman" w:cs="Arial"/>
          <w:color w:val="00000A"/>
          <w:sz w:val="20"/>
          <w:szCs w:val="20"/>
          <w:lang w:val="es-ES"/>
        </w:rPr>
        <w:t xml:space="preserve"> sentencia condenatoria </w:t>
      </w:r>
      <w:r w:rsidR="00222C97" w:rsidRPr="00843D37">
        <w:rPr>
          <w:rFonts w:eastAsia="Times New Roman" w:cs="Arial"/>
          <w:color w:val="00000A"/>
          <w:sz w:val="20"/>
          <w:szCs w:val="20"/>
          <w:lang w:val="es-ES"/>
        </w:rPr>
        <w:t>contra la presunta víctima al momento de conceder la exención de la pena</w:t>
      </w:r>
      <w:r w:rsidR="00734E50" w:rsidRPr="00843D37">
        <w:rPr>
          <w:rFonts w:eastAsia="Times New Roman" w:cs="Arial"/>
          <w:color w:val="00000A"/>
          <w:sz w:val="20"/>
          <w:szCs w:val="20"/>
          <w:lang w:val="es-ES"/>
        </w:rPr>
        <w:t xml:space="preserve">. </w:t>
      </w:r>
      <w:r w:rsidR="004D1A33" w:rsidRPr="00843D37">
        <w:rPr>
          <w:rFonts w:eastAsia="Times New Roman" w:cs="Arial"/>
          <w:color w:val="00000A"/>
          <w:sz w:val="20"/>
          <w:szCs w:val="20"/>
          <w:lang w:val="es-ES"/>
        </w:rPr>
        <w:t>El peticionario sostiene</w:t>
      </w:r>
      <w:r w:rsidR="004D1A33">
        <w:rPr>
          <w:rFonts w:eastAsia="Times New Roman" w:cs="Arial"/>
          <w:color w:val="00000A"/>
          <w:sz w:val="20"/>
          <w:szCs w:val="20"/>
          <w:lang w:val="es-ES"/>
        </w:rPr>
        <w:t xml:space="preserve"> que </w:t>
      </w:r>
      <w:r w:rsidR="00734E50" w:rsidRPr="00885BCF">
        <w:rPr>
          <w:rFonts w:eastAsia="Times New Roman" w:cs="Arial"/>
          <w:color w:val="00000A"/>
          <w:sz w:val="20"/>
          <w:szCs w:val="20"/>
          <w:lang w:val="es-ES"/>
        </w:rPr>
        <w:t xml:space="preserve">la decisión de 5 de enero </w:t>
      </w:r>
      <w:r w:rsidR="00AC0D56" w:rsidRPr="00885BCF">
        <w:rPr>
          <w:rFonts w:eastAsia="Times New Roman" w:cs="Arial"/>
          <w:color w:val="00000A"/>
          <w:sz w:val="20"/>
          <w:szCs w:val="20"/>
          <w:lang w:val="es-ES"/>
        </w:rPr>
        <w:t>contravenía</w:t>
      </w:r>
      <w:r w:rsidR="00734E50" w:rsidRPr="00885BCF">
        <w:rPr>
          <w:rFonts w:eastAsia="Times New Roman" w:cs="Arial"/>
          <w:color w:val="00000A"/>
          <w:sz w:val="20"/>
          <w:szCs w:val="20"/>
          <w:lang w:val="es-ES"/>
        </w:rPr>
        <w:t xml:space="preserve"> la prohibición de revivir procesos fenecidos con resolución firme y ejecutoriada</w:t>
      </w:r>
      <w:r w:rsidR="00E237FE" w:rsidRPr="00885BCF">
        <w:rPr>
          <w:rFonts w:eastAsia="Times New Roman" w:cs="Arial"/>
          <w:color w:val="00000A"/>
          <w:sz w:val="20"/>
          <w:szCs w:val="20"/>
          <w:lang w:val="es-ES"/>
        </w:rPr>
        <w:t xml:space="preserve">. </w:t>
      </w:r>
      <w:r w:rsidR="00222C97" w:rsidRPr="00885BCF">
        <w:rPr>
          <w:rFonts w:eastAsia="Times New Roman" w:cs="Arial"/>
          <w:color w:val="00000A"/>
          <w:sz w:val="20"/>
          <w:szCs w:val="20"/>
          <w:lang w:val="es-ES"/>
        </w:rPr>
        <w:t>En consecuencia, e</w:t>
      </w:r>
      <w:r w:rsidR="00E237FE" w:rsidRPr="00885BCF">
        <w:rPr>
          <w:rFonts w:eastAsia="Times New Roman" w:cs="Arial"/>
          <w:color w:val="00000A"/>
          <w:sz w:val="20"/>
          <w:szCs w:val="20"/>
          <w:lang w:val="es-ES"/>
        </w:rPr>
        <w:t>l 21 de enero de 2004 la Corte Suprema notif</w:t>
      </w:r>
      <w:r w:rsidR="00222C97" w:rsidRPr="00885BCF">
        <w:rPr>
          <w:rFonts w:eastAsia="Times New Roman" w:cs="Arial"/>
          <w:color w:val="00000A"/>
          <w:sz w:val="20"/>
          <w:szCs w:val="20"/>
          <w:lang w:val="es-ES"/>
        </w:rPr>
        <w:t xml:space="preserve">icó a la Primera Sala Penal </w:t>
      </w:r>
      <w:r w:rsidR="00E237FE" w:rsidRPr="00885BCF">
        <w:rPr>
          <w:rFonts w:eastAsia="Times New Roman" w:cs="Arial"/>
          <w:color w:val="00000A"/>
          <w:sz w:val="20"/>
          <w:szCs w:val="20"/>
          <w:lang w:val="es-ES"/>
        </w:rPr>
        <w:t xml:space="preserve">de la Corte Superior de Justicia de Callao de la confección de una segunda ejecutoria, </w:t>
      </w:r>
      <w:r w:rsidR="00FE37E5" w:rsidRPr="00885BCF">
        <w:rPr>
          <w:rFonts w:eastAsia="Times New Roman" w:cs="Arial"/>
          <w:color w:val="00000A"/>
          <w:sz w:val="20"/>
          <w:szCs w:val="20"/>
          <w:lang w:val="es-ES"/>
        </w:rPr>
        <w:t>que</w:t>
      </w:r>
      <w:r w:rsidR="00E237FE" w:rsidRPr="00885BCF">
        <w:rPr>
          <w:rFonts w:eastAsia="Times New Roman" w:cs="Arial"/>
          <w:color w:val="00000A"/>
          <w:sz w:val="20"/>
          <w:szCs w:val="20"/>
          <w:lang w:val="es-ES"/>
        </w:rPr>
        <w:t xml:space="preserve"> declaró nula la ejecutoria suprema de 5 enero 2004</w:t>
      </w:r>
      <w:r w:rsidR="005A789B" w:rsidRPr="00885BCF">
        <w:rPr>
          <w:rFonts w:eastAsia="Times New Roman" w:cs="Arial"/>
          <w:color w:val="00000A"/>
          <w:sz w:val="20"/>
          <w:szCs w:val="20"/>
          <w:lang w:val="es-ES"/>
        </w:rPr>
        <w:t xml:space="preserve"> y</w:t>
      </w:r>
      <w:r w:rsidR="00E237FE" w:rsidRPr="00885BCF">
        <w:rPr>
          <w:rFonts w:eastAsia="Times New Roman" w:cs="Arial"/>
          <w:color w:val="00000A"/>
          <w:sz w:val="20"/>
          <w:szCs w:val="20"/>
          <w:lang w:val="es-ES"/>
        </w:rPr>
        <w:t xml:space="preserve"> dej</w:t>
      </w:r>
      <w:r w:rsidR="005A789B" w:rsidRPr="00885BCF">
        <w:rPr>
          <w:rFonts w:eastAsia="Times New Roman" w:cs="Arial"/>
          <w:color w:val="00000A"/>
          <w:sz w:val="20"/>
          <w:szCs w:val="20"/>
          <w:lang w:val="es-ES"/>
        </w:rPr>
        <w:t>ó</w:t>
      </w:r>
      <w:r w:rsidR="00E237FE" w:rsidRPr="00885BCF">
        <w:rPr>
          <w:rFonts w:eastAsia="Times New Roman" w:cs="Arial"/>
          <w:color w:val="00000A"/>
          <w:sz w:val="20"/>
          <w:szCs w:val="20"/>
          <w:lang w:val="es-ES"/>
        </w:rPr>
        <w:t xml:space="preserve"> sin efecto la orden de libertad</w:t>
      </w:r>
      <w:r w:rsidR="004D1A33">
        <w:rPr>
          <w:rFonts w:eastAsia="Times New Roman" w:cs="Arial"/>
          <w:color w:val="00000A"/>
          <w:sz w:val="20"/>
          <w:szCs w:val="20"/>
          <w:lang w:val="es-ES"/>
        </w:rPr>
        <w:t>.</w:t>
      </w:r>
      <w:r w:rsidR="00293D12" w:rsidRPr="00885BCF">
        <w:rPr>
          <w:rFonts w:eastAsia="Times New Roman" w:cs="Arial"/>
          <w:color w:val="00000A"/>
          <w:sz w:val="20"/>
          <w:szCs w:val="20"/>
          <w:lang w:val="es-ES"/>
        </w:rPr>
        <w:t xml:space="preserve"> </w:t>
      </w:r>
      <w:r w:rsidR="004D1A33">
        <w:rPr>
          <w:rFonts w:eastAsia="Times New Roman" w:cs="Arial"/>
          <w:color w:val="00000A"/>
          <w:sz w:val="20"/>
          <w:szCs w:val="20"/>
          <w:lang w:val="es-ES"/>
        </w:rPr>
        <w:t xml:space="preserve">De acuerdo al peticionario, dicha </w:t>
      </w:r>
      <w:r w:rsidR="004B44CC">
        <w:rPr>
          <w:rFonts w:eastAsia="Times New Roman" w:cs="Arial"/>
          <w:color w:val="00000A"/>
          <w:sz w:val="20"/>
          <w:szCs w:val="20"/>
          <w:lang w:val="es-ES"/>
        </w:rPr>
        <w:t>orden</w:t>
      </w:r>
      <w:r w:rsidR="00293D12" w:rsidRPr="00885BCF">
        <w:rPr>
          <w:rFonts w:eastAsia="Times New Roman" w:cs="Arial"/>
          <w:color w:val="00000A"/>
          <w:sz w:val="20"/>
          <w:szCs w:val="20"/>
          <w:lang w:val="es-ES"/>
        </w:rPr>
        <w:t xml:space="preserve"> </w:t>
      </w:r>
      <w:r w:rsidR="004D1A33">
        <w:rPr>
          <w:rFonts w:eastAsia="Times New Roman" w:cs="Arial"/>
          <w:color w:val="00000A"/>
          <w:sz w:val="20"/>
          <w:szCs w:val="20"/>
          <w:lang w:val="es-ES"/>
        </w:rPr>
        <w:t>tenía</w:t>
      </w:r>
      <w:r w:rsidR="00293D12" w:rsidRPr="00885BCF">
        <w:rPr>
          <w:rFonts w:eastAsia="Times New Roman" w:cs="Arial"/>
          <w:color w:val="00000A"/>
          <w:sz w:val="20"/>
          <w:szCs w:val="20"/>
          <w:lang w:val="es-ES"/>
        </w:rPr>
        <w:t xml:space="preserve"> autoridad constitucional de cosa juzgada </w:t>
      </w:r>
      <w:r w:rsidR="00884FCB">
        <w:rPr>
          <w:rFonts w:eastAsia="Times New Roman" w:cs="Arial"/>
          <w:color w:val="00000A"/>
          <w:sz w:val="20"/>
          <w:szCs w:val="20"/>
          <w:lang w:val="es-ES"/>
        </w:rPr>
        <w:t xml:space="preserve">y por lo tanto </w:t>
      </w:r>
      <w:r w:rsidR="009F31C2" w:rsidRPr="00885BCF">
        <w:rPr>
          <w:rFonts w:eastAsia="Times New Roman" w:cs="Arial"/>
          <w:color w:val="00000A"/>
          <w:sz w:val="20"/>
          <w:szCs w:val="20"/>
          <w:lang w:val="es-ES"/>
        </w:rPr>
        <w:t xml:space="preserve">la decisión de 16 de enero de 2004 </w:t>
      </w:r>
      <w:r w:rsidR="00884FCB">
        <w:rPr>
          <w:rFonts w:eastAsia="Times New Roman" w:cs="Arial"/>
          <w:color w:val="00000A"/>
          <w:sz w:val="20"/>
          <w:szCs w:val="20"/>
          <w:lang w:val="es-ES"/>
        </w:rPr>
        <w:t>es</w:t>
      </w:r>
      <w:r w:rsidR="00372A55" w:rsidRPr="00885BCF">
        <w:rPr>
          <w:rFonts w:eastAsia="Times New Roman" w:cs="Arial"/>
          <w:color w:val="00000A"/>
          <w:sz w:val="20"/>
          <w:szCs w:val="20"/>
          <w:lang w:val="es-ES"/>
        </w:rPr>
        <w:t xml:space="preserve"> contraria al Código </w:t>
      </w:r>
      <w:r w:rsidR="005A789B" w:rsidRPr="00885BCF">
        <w:rPr>
          <w:rFonts w:eastAsia="Times New Roman" w:cs="Arial"/>
          <w:color w:val="00000A"/>
          <w:sz w:val="20"/>
          <w:szCs w:val="20"/>
          <w:lang w:val="es-ES"/>
        </w:rPr>
        <w:t>P</w:t>
      </w:r>
      <w:r w:rsidR="00372A55" w:rsidRPr="00885BCF">
        <w:rPr>
          <w:rFonts w:eastAsia="Times New Roman" w:cs="Arial"/>
          <w:color w:val="00000A"/>
          <w:sz w:val="20"/>
          <w:szCs w:val="20"/>
          <w:lang w:val="es-ES"/>
        </w:rPr>
        <w:t xml:space="preserve">rocesal </w:t>
      </w:r>
      <w:r w:rsidR="005A789B" w:rsidRPr="00885BCF">
        <w:rPr>
          <w:rFonts w:eastAsia="Times New Roman" w:cs="Arial"/>
          <w:color w:val="00000A"/>
          <w:sz w:val="20"/>
          <w:szCs w:val="20"/>
          <w:lang w:val="es-ES"/>
        </w:rPr>
        <w:t>P</w:t>
      </w:r>
      <w:r w:rsidR="00372A55" w:rsidRPr="00885BCF">
        <w:rPr>
          <w:rFonts w:eastAsia="Times New Roman" w:cs="Arial"/>
          <w:color w:val="00000A"/>
          <w:sz w:val="20"/>
          <w:szCs w:val="20"/>
          <w:lang w:val="es-ES"/>
        </w:rPr>
        <w:t>enal</w:t>
      </w:r>
      <w:r w:rsidR="00A540E5" w:rsidRPr="00885BCF">
        <w:rPr>
          <w:rFonts w:eastAsia="Times New Roman" w:cs="Arial"/>
          <w:color w:val="00000A"/>
          <w:sz w:val="20"/>
          <w:szCs w:val="20"/>
          <w:lang w:val="es-ES"/>
        </w:rPr>
        <w:t xml:space="preserve">, </w:t>
      </w:r>
      <w:r w:rsidR="005A789B" w:rsidRPr="00885BCF">
        <w:rPr>
          <w:rFonts w:eastAsia="Times New Roman" w:cs="Arial"/>
          <w:color w:val="00000A"/>
          <w:sz w:val="20"/>
          <w:szCs w:val="20"/>
          <w:lang w:val="es-ES"/>
        </w:rPr>
        <w:t xml:space="preserve">pues </w:t>
      </w:r>
      <w:r w:rsidR="00A540E5" w:rsidRPr="00885BCF">
        <w:rPr>
          <w:rFonts w:eastAsia="Times New Roman" w:cs="Arial"/>
          <w:color w:val="00000A"/>
          <w:sz w:val="20"/>
          <w:szCs w:val="20"/>
          <w:lang w:val="es-ES"/>
        </w:rPr>
        <w:t xml:space="preserve">vulneró </w:t>
      </w:r>
      <w:r w:rsidR="005A789B" w:rsidRPr="00885BCF">
        <w:rPr>
          <w:rFonts w:eastAsia="Times New Roman" w:cs="Arial"/>
          <w:color w:val="00000A"/>
          <w:sz w:val="20"/>
          <w:szCs w:val="20"/>
          <w:lang w:val="es-ES"/>
        </w:rPr>
        <w:t>e</w:t>
      </w:r>
      <w:r w:rsidR="00A540E5" w:rsidRPr="00885BCF">
        <w:rPr>
          <w:rFonts w:eastAsia="Times New Roman" w:cs="Arial"/>
          <w:color w:val="00000A"/>
          <w:sz w:val="20"/>
          <w:szCs w:val="20"/>
          <w:lang w:val="es-ES"/>
        </w:rPr>
        <w:t xml:space="preserve">l instituto de la cosa juzgada –mientras no </w:t>
      </w:r>
      <w:r w:rsidR="005A789B" w:rsidRPr="00885BCF">
        <w:rPr>
          <w:rFonts w:eastAsia="Times New Roman" w:cs="Arial"/>
          <w:color w:val="00000A"/>
          <w:sz w:val="20"/>
          <w:szCs w:val="20"/>
          <w:lang w:val="es-ES"/>
        </w:rPr>
        <w:t>hab</w:t>
      </w:r>
      <w:r w:rsidR="00A540E5" w:rsidRPr="00885BCF">
        <w:rPr>
          <w:rFonts w:eastAsia="Times New Roman" w:cs="Arial"/>
          <w:color w:val="00000A"/>
          <w:sz w:val="20"/>
          <w:szCs w:val="20"/>
          <w:lang w:val="es-ES"/>
        </w:rPr>
        <w:t xml:space="preserve">ía recurso </w:t>
      </w:r>
      <w:r w:rsidR="005A789B" w:rsidRPr="00885BCF">
        <w:rPr>
          <w:rFonts w:eastAsia="Times New Roman" w:cs="Arial"/>
          <w:color w:val="00000A"/>
          <w:sz w:val="20"/>
          <w:szCs w:val="20"/>
          <w:lang w:val="es-ES"/>
        </w:rPr>
        <w:t xml:space="preserve">alguno </w:t>
      </w:r>
      <w:r w:rsidR="00A540E5" w:rsidRPr="00885BCF">
        <w:rPr>
          <w:rFonts w:eastAsia="Times New Roman" w:cs="Arial"/>
          <w:color w:val="00000A"/>
          <w:sz w:val="20"/>
          <w:szCs w:val="20"/>
          <w:lang w:val="es-ES"/>
        </w:rPr>
        <w:t>de impugnación que resolver–</w:t>
      </w:r>
      <w:r w:rsidR="009F31C2" w:rsidRPr="00885BCF">
        <w:rPr>
          <w:rFonts w:eastAsia="Times New Roman" w:cs="Arial"/>
          <w:color w:val="00000A"/>
          <w:sz w:val="20"/>
          <w:szCs w:val="20"/>
          <w:lang w:val="es-ES"/>
        </w:rPr>
        <w:t xml:space="preserve"> y</w:t>
      </w:r>
      <w:r w:rsidR="00DB241F" w:rsidRPr="00885BCF">
        <w:rPr>
          <w:rFonts w:eastAsia="Times New Roman" w:cs="Arial"/>
          <w:color w:val="00000A"/>
          <w:sz w:val="20"/>
          <w:szCs w:val="20"/>
          <w:lang w:val="es-ES"/>
        </w:rPr>
        <w:t xml:space="preserve"> viol</w:t>
      </w:r>
      <w:r w:rsidR="009F31C2" w:rsidRPr="00885BCF">
        <w:rPr>
          <w:rFonts w:eastAsia="Times New Roman" w:cs="Arial"/>
          <w:color w:val="00000A"/>
          <w:sz w:val="20"/>
          <w:szCs w:val="20"/>
          <w:lang w:val="es-ES"/>
        </w:rPr>
        <w:t>ó</w:t>
      </w:r>
      <w:r w:rsidR="00DB241F" w:rsidRPr="00885BCF">
        <w:rPr>
          <w:rFonts w:eastAsia="Times New Roman" w:cs="Arial"/>
          <w:color w:val="00000A"/>
          <w:sz w:val="20"/>
          <w:szCs w:val="20"/>
          <w:lang w:val="es-ES"/>
        </w:rPr>
        <w:t xml:space="preserve"> los derechos de la presunta víctima</w:t>
      </w:r>
      <w:r w:rsidR="009F31C2" w:rsidRPr="00885BCF">
        <w:rPr>
          <w:rFonts w:eastAsia="Times New Roman" w:cs="Arial"/>
          <w:color w:val="00000A"/>
          <w:sz w:val="20"/>
          <w:szCs w:val="20"/>
          <w:lang w:val="es-ES"/>
        </w:rPr>
        <w:t xml:space="preserve">. Aduce </w:t>
      </w:r>
      <w:r w:rsidR="005A789B" w:rsidRPr="00885BCF">
        <w:rPr>
          <w:rFonts w:eastAsia="Times New Roman" w:cs="Arial"/>
          <w:color w:val="00000A"/>
          <w:sz w:val="20"/>
          <w:szCs w:val="20"/>
          <w:lang w:val="es-ES"/>
        </w:rPr>
        <w:t xml:space="preserve">el peticionario </w:t>
      </w:r>
      <w:r w:rsidR="00DB241F" w:rsidRPr="00885BCF">
        <w:rPr>
          <w:rFonts w:eastAsia="Times New Roman" w:cs="Arial"/>
          <w:color w:val="00000A"/>
          <w:sz w:val="20"/>
          <w:szCs w:val="20"/>
          <w:lang w:val="es-ES"/>
        </w:rPr>
        <w:t xml:space="preserve">que </w:t>
      </w:r>
      <w:r w:rsidR="005A789B" w:rsidRPr="00885BCF">
        <w:rPr>
          <w:rFonts w:eastAsia="Times New Roman" w:cs="Arial"/>
          <w:color w:val="00000A"/>
          <w:sz w:val="20"/>
          <w:szCs w:val="20"/>
          <w:lang w:val="es-ES"/>
        </w:rPr>
        <w:t xml:space="preserve">no hay disposición alguna que </w:t>
      </w:r>
      <w:r w:rsidR="00DB241F" w:rsidRPr="00885BCF">
        <w:rPr>
          <w:rFonts w:eastAsia="Times New Roman" w:cs="Arial"/>
          <w:color w:val="00000A"/>
          <w:sz w:val="20"/>
          <w:szCs w:val="20"/>
          <w:lang w:val="es-ES"/>
        </w:rPr>
        <w:t>señal</w:t>
      </w:r>
      <w:r w:rsidR="005A789B" w:rsidRPr="00885BCF">
        <w:rPr>
          <w:rFonts w:eastAsia="Times New Roman" w:cs="Arial"/>
          <w:color w:val="00000A"/>
          <w:sz w:val="20"/>
          <w:szCs w:val="20"/>
          <w:lang w:val="es-ES"/>
        </w:rPr>
        <w:t>e</w:t>
      </w:r>
      <w:r w:rsidR="00DB241F" w:rsidRPr="00885BCF">
        <w:rPr>
          <w:rFonts w:eastAsia="Times New Roman" w:cs="Arial"/>
          <w:color w:val="00000A"/>
          <w:sz w:val="20"/>
          <w:szCs w:val="20"/>
          <w:lang w:val="es-ES"/>
        </w:rPr>
        <w:t xml:space="preserve"> que en caso que </w:t>
      </w:r>
      <w:r w:rsidR="005A789B" w:rsidRPr="00885BCF">
        <w:rPr>
          <w:rFonts w:eastAsia="Times New Roman" w:cs="Arial"/>
          <w:color w:val="00000A"/>
          <w:sz w:val="20"/>
          <w:szCs w:val="20"/>
          <w:lang w:val="es-ES"/>
        </w:rPr>
        <w:t>e</w:t>
      </w:r>
      <w:r w:rsidR="00DB241F" w:rsidRPr="00885BCF">
        <w:rPr>
          <w:rFonts w:eastAsia="Times New Roman" w:cs="Arial"/>
          <w:color w:val="00000A"/>
          <w:sz w:val="20"/>
          <w:szCs w:val="20"/>
          <w:lang w:val="es-ES"/>
        </w:rPr>
        <w:t>l beneficiario se</w:t>
      </w:r>
      <w:r w:rsidR="005A789B" w:rsidRPr="00885BCF">
        <w:rPr>
          <w:rFonts w:eastAsia="Times New Roman" w:cs="Arial"/>
          <w:color w:val="00000A"/>
          <w:sz w:val="20"/>
          <w:szCs w:val="20"/>
          <w:lang w:val="es-ES"/>
        </w:rPr>
        <w:t>a</w:t>
      </w:r>
      <w:r w:rsidR="00DB241F" w:rsidRPr="00885BCF">
        <w:rPr>
          <w:rFonts w:eastAsia="Times New Roman" w:cs="Arial"/>
          <w:color w:val="00000A"/>
          <w:sz w:val="20"/>
          <w:szCs w:val="20"/>
          <w:lang w:val="es-ES"/>
        </w:rPr>
        <w:t xml:space="preserve"> sentenciado antes de que se resuelva la solicitud de exención de </w:t>
      </w:r>
      <w:r w:rsidR="00DB241F" w:rsidRPr="00885BCF">
        <w:rPr>
          <w:rFonts w:eastAsia="Times New Roman" w:cs="Arial"/>
          <w:color w:val="00000A"/>
          <w:sz w:val="20"/>
          <w:szCs w:val="20"/>
          <w:lang w:val="es-ES"/>
        </w:rPr>
        <w:lastRenderedPageBreak/>
        <w:t>pena el órgano jurisdiccional deberá suspender el trámite</w:t>
      </w:r>
      <w:r w:rsidR="005A789B" w:rsidRPr="00885BCF">
        <w:rPr>
          <w:rFonts w:eastAsia="Times New Roman" w:cs="Arial"/>
          <w:color w:val="00000A"/>
          <w:sz w:val="20"/>
          <w:szCs w:val="20"/>
          <w:lang w:val="es-ES"/>
        </w:rPr>
        <w:t>, y que</w:t>
      </w:r>
      <w:r w:rsidR="00DB241F" w:rsidRPr="00885BCF">
        <w:rPr>
          <w:rFonts w:eastAsia="Times New Roman" w:cs="Arial"/>
          <w:color w:val="00000A"/>
          <w:sz w:val="20"/>
          <w:szCs w:val="20"/>
          <w:lang w:val="es-ES"/>
        </w:rPr>
        <w:t xml:space="preserve"> </w:t>
      </w:r>
      <w:r w:rsidR="005A789B" w:rsidRPr="00885BCF">
        <w:rPr>
          <w:rFonts w:eastAsia="Times New Roman" w:cs="Arial"/>
          <w:color w:val="00000A"/>
          <w:sz w:val="20"/>
          <w:szCs w:val="20"/>
          <w:lang w:val="es-ES"/>
        </w:rPr>
        <w:t xml:space="preserve">ello </w:t>
      </w:r>
      <w:r w:rsidR="00DB241F" w:rsidRPr="00885BCF">
        <w:rPr>
          <w:rFonts w:eastAsia="Times New Roman" w:cs="Arial"/>
          <w:color w:val="00000A"/>
          <w:sz w:val="20"/>
          <w:szCs w:val="20"/>
          <w:lang w:val="es-ES"/>
        </w:rPr>
        <w:t>no es causal de improcedencia del beneficio de exención de pena</w:t>
      </w:r>
      <w:r w:rsidR="00D36C9F" w:rsidRPr="00885BCF">
        <w:rPr>
          <w:rFonts w:eastAsia="Times New Roman" w:cs="Arial"/>
          <w:color w:val="00000A"/>
          <w:sz w:val="20"/>
          <w:szCs w:val="20"/>
          <w:lang w:val="es-ES"/>
        </w:rPr>
        <w:t xml:space="preserve">. Además, </w:t>
      </w:r>
      <w:r w:rsidR="005A789B" w:rsidRPr="00885BCF">
        <w:rPr>
          <w:rFonts w:eastAsia="Times New Roman" w:cs="Arial"/>
          <w:color w:val="00000A"/>
          <w:sz w:val="20"/>
          <w:szCs w:val="20"/>
          <w:lang w:val="es-ES"/>
        </w:rPr>
        <w:t>sostiene</w:t>
      </w:r>
      <w:r w:rsidR="00424285" w:rsidRPr="00885BCF">
        <w:rPr>
          <w:rFonts w:eastAsia="Times New Roman" w:cs="Arial"/>
          <w:color w:val="00000A"/>
          <w:sz w:val="20"/>
          <w:szCs w:val="20"/>
          <w:lang w:val="es-ES"/>
        </w:rPr>
        <w:t xml:space="preserve"> que en el expediente de exención s</w:t>
      </w:r>
      <w:r w:rsidR="005A789B" w:rsidRPr="00885BCF">
        <w:rPr>
          <w:rFonts w:eastAsia="Times New Roman" w:cs="Arial"/>
          <w:color w:val="00000A"/>
          <w:sz w:val="20"/>
          <w:szCs w:val="20"/>
          <w:lang w:val="es-ES"/>
        </w:rPr>
        <w:t>í</w:t>
      </w:r>
      <w:r w:rsidR="00424285" w:rsidRPr="00885BCF">
        <w:rPr>
          <w:rFonts w:eastAsia="Times New Roman" w:cs="Arial"/>
          <w:color w:val="00000A"/>
          <w:sz w:val="20"/>
          <w:szCs w:val="20"/>
          <w:lang w:val="es-ES"/>
        </w:rPr>
        <w:t xml:space="preserve"> </w:t>
      </w:r>
      <w:r w:rsidR="005A789B" w:rsidRPr="00885BCF">
        <w:rPr>
          <w:rFonts w:eastAsia="Times New Roman" w:cs="Arial"/>
          <w:color w:val="00000A"/>
          <w:sz w:val="20"/>
          <w:szCs w:val="20"/>
          <w:lang w:val="es-ES"/>
        </w:rPr>
        <w:t>hab</w:t>
      </w:r>
      <w:r w:rsidR="00424285" w:rsidRPr="00885BCF">
        <w:rPr>
          <w:rFonts w:eastAsia="Times New Roman" w:cs="Arial"/>
          <w:color w:val="00000A"/>
          <w:sz w:val="20"/>
          <w:szCs w:val="20"/>
          <w:lang w:val="es-ES"/>
        </w:rPr>
        <w:t>ía copia de la sentencia</w:t>
      </w:r>
      <w:r w:rsidR="0081244B" w:rsidRPr="00885BCF">
        <w:rPr>
          <w:rStyle w:val="FootnoteReference"/>
          <w:rFonts w:eastAsia="Times New Roman" w:cs="Arial"/>
          <w:color w:val="00000A"/>
          <w:sz w:val="20"/>
          <w:szCs w:val="20"/>
          <w:lang w:val="es-ES"/>
        </w:rPr>
        <w:footnoteReference w:id="11"/>
      </w:r>
      <w:r w:rsidR="009F31C2" w:rsidRPr="00885BCF">
        <w:rPr>
          <w:rFonts w:eastAsia="Times New Roman" w:cs="Arial"/>
          <w:color w:val="00000A"/>
          <w:sz w:val="20"/>
          <w:szCs w:val="20"/>
          <w:lang w:val="es-ES"/>
        </w:rPr>
        <w:t xml:space="preserve">. También </w:t>
      </w:r>
      <w:r w:rsidR="005A789B" w:rsidRPr="00885BCF">
        <w:rPr>
          <w:rFonts w:eastAsia="Times New Roman" w:cs="Arial"/>
          <w:color w:val="00000A"/>
          <w:sz w:val="20"/>
          <w:szCs w:val="20"/>
          <w:lang w:val="es-ES"/>
        </w:rPr>
        <w:t>alega</w:t>
      </w:r>
      <w:r w:rsidR="009F31C2" w:rsidRPr="00885BCF">
        <w:rPr>
          <w:rFonts w:eastAsia="Times New Roman" w:cs="Arial"/>
          <w:color w:val="00000A"/>
          <w:sz w:val="20"/>
          <w:szCs w:val="20"/>
          <w:lang w:val="es-ES"/>
        </w:rPr>
        <w:t xml:space="preserve"> que </w:t>
      </w:r>
      <w:r w:rsidR="00AD2C2E" w:rsidRPr="00885BCF">
        <w:rPr>
          <w:rFonts w:eastAsia="Times New Roman" w:cs="Arial"/>
          <w:color w:val="00000A"/>
          <w:sz w:val="20"/>
          <w:szCs w:val="20"/>
          <w:lang w:val="es-ES"/>
        </w:rPr>
        <w:t xml:space="preserve">la </w:t>
      </w:r>
      <w:r w:rsidR="005A789B" w:rsidRPr="00885BCF">
        <w:rPr>
          <w:rFonts w:eastAsia="Times New Roman" w:cs="Arial"/>
          <w:color w:val="00000A"/>
          <w:sz w:val="20"/>
          <w:szCs w:val="20"/>
          <w:lang w:val="es-ES"/>
        </w:rPr>
        <w:t xml:space="preserve">demora </w:t>
      </w:r>
      <w:r w:rsidR="00AD2C2E" w:rsidRPr="00885BCF">
        <w:rPr>
          <w:rFonts w:eastAsia="Times New Roman" w:cs="Arial"/>
          <w:color w:val="00000A"/>
          <w:sz w:val="20"/>
          <w:szCs w:val="20"/>
          <w:lang w:val="es-ES"/>
        </w:rPr>
        <w:t>en el proceso de exención no puede ser atribuible a la presunta víctima</w:t>
      </w:r>
      <w:r w:rsidR="009F31C2" w:rsidRPr="00885BCF">
        <w:rPr>
          <w:rFonts w:eastAsia="Times New Roman" w:cs="Arial"/>
          <w:color w:val="00000A"/>
          <w:sz w:val="20"/>
          <w:szCs w:val="20"/>
          <w:lang w:val="es-ES"/>
        </w:rPr>
        <w:t xml:space="preserve">, y señala que </w:t>
      </w:r>
      <w:r w:rsidR="009F31C2" w:rsidRPr="00885BCF">
        <w:rPr>
          <w:rFonts w:eastAsia="Times New Roman" w:cs="Arial"/>
          <w:color w:val="auto"/>
          <w:sz w:val="20"/>
          <w:szCs w:val="20"/>
          <w:shd w:val="clear" w:color="auto" w:fill="FFFFFF"/>
          <w:lang w:val="es-ES"/>
        </w:rPr>
        <w:t>la ley prevé un término de tres meses para resolver tal solicitud</w:t>
      </w:r>
      <w:r w:rsidR="00E41498" w:rsidRPr="00885BCF">
        <w:rPr>
          <w:rFonts w:eastAsia="Times New Roman" w:cs="Arial"/>
          <w:color w:val="auto"/>
          <w:sz w:val="20"/>
          <w:szCs w:val="20"/>
          <w:shd w:val="clear" w:color="auto" w:fill="FFFFFF"/>
          <w:lang w:val="es-ES"/>
        </w:rPr>
        <w:t xml:space="preserve">, lo </w:t>
      </w:r>
      <w:r w:rsidR="005A789B" w:rsidRPr="00885BCF">
        <w:rPr>
          <w:rFonts w:eastAsia="Times New Roman" w:cs="Arial"/>
          <w:color w:val="auto"/>
          <w:sz w:val="20"/>
          <w:szCs w:val="20"/>
          <w:shd w:val="clear" w:color="auto" w:fill="FFFFFF"/>
          <w:lang w:val="es-ES"/>
        </w:rPr>
        <w:t>que</w:t>
      </w:r>
      <w:r w:rsidR="00E41498" w:rsidRPr="00885BCF">
        <w:rPr>
          <w:rFonts w:eastAsia="Times New Roman" w:cs="Arial"/>
          <w:color w:val="auto"/>
          <w:sz w:val="20"/>
          <w:szCs w:val="20"/>
          <w:shd w:val="clear" w:color="auto" w:fill="FFFFFF"/>
          <w:lang w:val="es-ES"/>
        </w:rPr>
        <w:t xml:space="preserve"> no fue acatado</w:t>
      </w:r>
      <w:r w:rsidR="00692B19" w:rsidRPr="00885BCF">
        <w:rPr>
          <w:rFonts w:eastAsia="Times New Roman" w:cs="Arial"/>
          <w:color w:val="00000A"/>
          <w:sz w:val="20"/>
          <w:szCs w:val="20"/>
          <w:lang w:val="es-ES"/>
        </w:rPr>
        <w:t xml:space="preserve">. </w:t>
      </w:r>
      <w:r w:rsidR="009F31C2" w:rsidRPr="00885BCF">
        <w:rPr>
          <w:rFonts w:eastAsia="Times New Roman" w:cs="Arial"/>
          <w:color w:val="00000A"/>
          <w:sz w:val="20"/>
          <w:szCs w:val="20"/>
          <w:lang w:val="es-ES"/>
        </w:rPr>
        <w:t>Finalmente</w:t>
      </w:r>
      <w:r w:rsidR="00692B19" w:rsidRPr="00885BCF">
        <w:rPr>
          <w:rFonts w:eastAsia="Times New Roman" w:cs="Arial"/>
          <w:color w:val="00000A"/>
          <w:sz w:val="20"/>
          <w:szCs w:val="20"/>
          <w:lang w:val="es-ES"/>
        </w:rPr>
        <w:t xml:space="preserve">, alega que </w:t>
      </w:r>
      <w:r w:rsidR="005A789B" w:rsidRPr="00885BCF">
        <w:rPr>
          <w:rFonts w:eastAsia="Times New Roman" w:cs="Arial"/>
          <w:color w:val="00000A"/>
          <w:sz w:val="20"/>
          <w:szCs w:val="20"/>
          <w:lang w:val="es-ES"/>
        </w:rPr>
        <w:t>algunos</w:t>
      </w:r>
      <w:r w:rsidR="00692B19" w:rsidRPr="00885BCF">
        <w:rPr>
          <w:rFonts w:eastAsia="Times New Roman" w:cs="Arial"/>
          <w:color w:val="00000A"/>
          <w:sz w:val="20"/>
          <w:szCs w:val="20"/>
          <w:lang w:val="es-ES"/>
        </w:rPr>
        <w:t xml:space="preserve"> de los vocales </w:t>
      </w:r>
      <w:r w:rsidR="005A789B" w:rsidRPr="00885BCF">
        <w:rPr>
          <w:rFonts w:eastAsia="Times New Roman" w:cs="Arial"/>
          <w:color w:val="00000A"/>
          <w:sz w:val="20"/>
          <w:szCs w:val="20"/>
          <w:lang w:val="es-ES"/>
        </w:rPr>
        <w:t xml:space="preserve">suscribieron </w:t>
      </w:r>
      <w:r w:rsidR="00692B19" w:rsidRPr="00885BCF">
        <w:rPr>
          <w:rFonts w:eastAsia="Times New Roman" w:cs="Arial"/>
          <w:color w:val="00000A"/>
          <w:sz w:val="20"/>
          <w:szCs w:val="20"/>
          <w:lang w:val="es-ES"/>
        </w:rPr>
        <w:t>la resolución sin haber intervenido en la vista de la causa</w:t>
      </w:r>
      <w:r w:rsidR="00C301B3" w:rsidRPr="00885BCF">
        <w:rPr>
          <w:rStyle w:val="FootnoteReference"/>
          <w:rFonts w:eastAsia="Times New Roman" w:cs="Arial"/>
          <w:color w:val="00000A"/>
          <w:sz w:val="20"/>
          <w:szCs w:val="20"/>
          <w:lang w:val="es-ES"/>
        </w:rPr>
        <w:footnoteReference w:id="12"/>
      </w:r>
      <w:r w:rsidR="00692B19" w:rsidRPr="00885BCF">
        <w:rPr>
          <w:rFonts w:eastAsia="Times New Roman" w:cs="Arial"/>
          <w:color w:val="00000A"/>
          <w:sz w:val="20"/>
          <w:szCs w:val="20"/>
          <w:lang w:val="es-ES"/>
        </w:rPr>
        <w:t xml:space="preserve">, </w:t>
      </w:r>
      <w:r w:rsidR="005A789B" w:rsidRPr="00885BCF">
        <w:rPr>
          <w:rFonts w:eastAsia="Times New Roman" w:cs="Arial"/>
          <w:color w:val="00000A"/>
          <w:sz w:val="20"/>
          <w:szCs w:val="20"/>
          <w:lang w:val="es-ES"/>
        </w:rPr>
        <w:t>en violación</w:t>
      </w:r>
      <w:r w:rsidR="00692B19" w:rsidRPr="00885BCF">
        <w:rPr>
          <w:rFonts w:eastAsia="Times New Roman" w:cs="Arial"/>
          <w:color w:val="00000A"/>
          <w:sz w:val="20"/>
          <w:szCs w:val="20"/>
          <w:lang w:val="es-ES"/>
        </w:rPr>
        <w:t xml:space="preserve"> </w:t>
      </w:r>
      <w:r w:rsidR="005A789B" w:rsidRPr="00885BCF">
        <w:rPr>
          <w:rFonts w:eastAsia="Times New Roman" w:cs="Arial"/>
          <w:color w:val="00000A"/>
          <w:sz w:val="20"/>
          <w:szCs w:val="20"/>
          <w:lang w:val="es-ES"/>
        </w:rPr>
        <w:t>d</w:t>
      </w:r>
      <w:r w:rsidR="00692B19" w:rsidRPr="00885BCF">
        <w:rPr>
          <w:rFonts w:eastAsia="Times New Roman" w:cs="Arial"/>
          <w:color w:val="00000A"/>
          <w:sz w:val="20"/>
          <w:szCs w:val="20"/>
          <w:lang w:val="es-ES"/>
        </w:rPr>
        <w:t>el derecho a la defensa de la presunta víctima</w:t>
      </w:r>
      <w:r w:rsidR="00DB241F" w:rsidRPr="00885BCF">
        <w:rPr>
          <w:rFonts w:eastAsia="Times New Roman" w:cs="Arial"/>
          <w:color w:val="00000A"/>
          <w:sz w:val="20"/>
          <w:szCs w:val="20"/>
          <w:lang w:val="es-ES"/>
        </w:rPr>
        <w:t>.</w:t>
      </w:r>
    </w:p>
    <w:p w14:paraId="4E6518F9" w14:textId="2DA088A5" w:rsidR="00E237FE" w:rsidRPr="00885BCF" w:rsidRDefault="00055B49"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before="120" w:after="120"/>
        <w:jc w:val="both"/>
        <w:textAlignment w:val="baseline"/>
        <w:rPr>
          <w:lang w:val="es-ES"/>
        </w:rPr>
      </w:pPr>
      <w:r w:rsidRPr="00885BCF">
        <w:rPr>
          <w:color w:val="00000A"/>
          <w:sz w:val="20"/>
          <w:szCs w:val="20"/>
          <w:lang w:val="es-ES"/>
        </w:rPr>
        <w:t>C</w:t>
      </w:r>
      <w:r w:rsidR="00E237FE" w:rsidRPr="00885BCF">
        <w:rPr>
          <w:color w:val="00000A"/>
          <w:sz w:val="20"/>
          <w:szCs w:val="20"/>
          <w:lang w:val="es-ES"/>
        </w:rPr>
        <w:t>omo</w:t>
      </w:r>
      <w:r w:rsidR="00E237FE" w:rsidRPr="00885BCF">
        <w:rPr>
          <w:rFonts w:eastAsia="Times New Roman" w:cs="Arial"/>
          <w:color w:val="00000A"/>
          <w:sz w:val="20"/>
          <w:szCs w:val="20"/>
          <w:lang w:val="es-ES"/>
        </w:rPr>
        <w:t xml:space="preserve"> consecuencia de esta segunda ejecutoria suprema, </w:t>
      </w:r>
      <w:r w:rsidR="00885A97" w:rsidRPr="00885BCF">
        <w:rPr>
          <w:rFonts w:eastAsia="Times New Roman" w:cs="Arial"/>
          <w:color w:val="00000A"/>
          <w:sz w:val="20"/>
          <w:szCs w:val="20"/>
          <w:shd w:val="clear" w:color="auto" w:fill="FFFFFF"/>
          <w:lang w:val="es-ES"/>
        </w:rPr>
        <w:t xml:space="preserve">el 16 de enero de 2004 </w:t>
      </w:r>
      <w:r w:rsidR="00E237FE" w:rsidRPr="00885BCF">
        <w:rPr>
          <w:rFonts w:eastAsia="Times New Roman" w:cs="Arial"/>
          <w:color w:val="00000A"/>
          <w:sz w:val="20"/>
          <w:szCs w:val="20"/>
          <w:shd w:val="clear" w:color="auto" w:fill="FFFFFF"/>
          <w:lang w:val="es-ES"/>
        </w:rPr>
        <w:t xml:space="preserve">la presunta víctima interpuso una acción de hábeas corpus contra los vocales supremos de la Sala Penal Permanente de la Corte Suprema, </w:t>
      </w:r>
      <w:r w:rsidR="00884FCB">
        <w:rPr>
          <w:rFonts w:eastAsia="Times New Roman" w:cs="Arial"/>
          <w:color w:val="00000A"/>
          <w:sz w:val="20"/>
          <w:szCs w:val="20"/>
          <w:shd w:val="clear" w:color="auto" w:fill="FFFFFF"/>
          <w:lang w:val="es-ES"/>
        </w:rPr>
        <w:t>pero no tuvo</w:t>
      </w:r>
      <w:r w:rsidR="00E237FE" w:rsidRPr="00885BCF">
        <w:rPr>
          <w:rFonts w:eastAsia="Times New Roman" w:cs="Arial"/>
          <w:color w:val="00000A"/>
          <w:sz w:val="20"/>
          <w:szCs w:val="20"/>
          <w:shd w:val="clear" w:color="auto" w:fill="FFFFFF"/>
          <w:lang w:val="es-ES"/>
        </w:rPr>
        <w:t xml:space="preserve"> respuesta. El 23 de marzo de 2004 presentó un nuevo hábeas corpus en razón del doble pronunciamiento y afectación a su derecho a la libertad</w:t>
      </w:r>
      <w:r w:rsidR="00884FCB">
        <w:rPr>
          <w:rFonts w:eastAsia="Times New Roman" w:cs="Arial"/>
          <w:color w:val="00000A"/>
          <w:sz w:val="20"/>
          <w:szCs w:val="20"/>
          <w:shd w:val="clear" w:color="auto" w:fill="FFFFFF"/>
          <w:lang w:val="es-ES"/>
        </w:rPr>
        <w:t>;</w:t>
      </w:r>
      <w:r w:rsidR="00E237FE" w:rsidRPr="00885BCF">
        <w:rPr>
          <w:rFonts w:eastAsia="Times New Roman" w:cs="Arial"/>
          <w:color w:val="00000A"/>
          <w:sz w:val="20"/>
          <w:szCs w:val="20"/>
          <w:shd w:val="clear" w:color="auto" w:fill="FFFFFF"/>
          <w:lang w:val="es-ES"/>
        </w:rPr>
        <w:t xml:space="preserve"> </w:t>
      </w:r>
      <w:r w:rsidR="00884FCB">
        <w:rPr>
          <w:rFonts w:eastAsia="Times New Roman" w:cs="Arial"/>
          <w:color w:val="00000A"/>
          <w:sz w:val="20"/>
          <w:szCs w:val="20"/>
          <w:shd w:val="clear" w:color="auto" w:fill="FFFFFF"/>
          <w:lang w:val="es-ES"/>
        </w:rPr>
        <w:t>dicha acción</w:t>
      </w:r>
      <w:r w:rsidR="00885A97" w:rsidRPr="00885BCF">
        <w:rPr>
          <w:rFonts w:eastAsia="Times New Roman" w:cs="Arial"/>
          <w:color w:val="00000A"/>
          <w:sz w:val="20"/>
          <w:szCs w:val="20"/>
          <w:shd w:val="clear" w:color="auto" w:fill="FFFFFF"/>
          <w:lang w:val="es-ES"/>
        </w:rPr>
        <w:t xml:space="preserve"> fue</w:t>
      </w:r>
      <w:r w:rsidR="00E237FE" w:rsidRPr="00885BCF">
        <w:rPr>
          <w:rFonts w:eastAsia="Times New Roman" w:cs="Arial"/>
          <w:color w:val="00000A"/>
          <w:sz w:val="20"/>
          <w:szCs w:val="20"/>
          <w:shd w:val="clear" w:color="auto" w:fill="FFFFFF"/>
          <w:lang w:val="es-ES"/>
        </w:rPr>
        <w:t xml:space="preserve"> denegad</w:t>
      </w:r>
      <w:r w:rsidR="00884FCB">
        <w:rPr>
          <w:rFonts w:eastAsia="Times New Roman" w:cs="Arial"/>
          <w:color w:val="00000A"/>
          <w:sz w:val="20"/>
          <w:szCs w:val="20"/>
          <w:shd w:val="clear" w:color="auto" w:fill="FFFFFF"/>
          <w:lang w:val="es-ES"/>
        </w:rPr>
        <w:t>a</w:t>
      </w:r>
      <w:r w:rsidR="00E237FE" w:rsidRPr="00885BCF">
        <w:rPr>
          <w:rFonts w:eastAsia="Times New Roman" w:cs="Arial"/>
          <w:color w:val="00000A"/>
          <w:sz w:val="20"/>
          <w:szCs w:val="20"/>
          <w:shd w:val="clear" w:color="auto" w:fill="FFFFFF"/>
          <w:lang w:val="es-ES"/>
        </w:rPr>
        <w:t xml:space="preserve"> el 13 de julio de 2004 por el juez del Décimo Sexto Juzgado Penal de Lima</w:t>
      </w:r>
      <w:r w:rsidR="00885A97" w:rsidRPr="00885BCF">
        <w:rPr>
          <w:rFonts w:eastAsia="Times New Roman" w:cs="Arial"/>
          <w:color w:val="00000A"/>
          <w:sz w:val="20"/>
          <w:szCs w:val="20"/>
          <w:shd w:val="clear" w:color="auto" w:fill="FFFFFF"/>
          <w:lang w:val="es-ES"/>
        </w:rPr>
        <w:t>,</w:t>
      </w:r>
      <w:r w:rsidR="00E237FE" w:rsidRPr="00885BCF">
        <w:rPr>
          <w:rFonts w:eastAsia="Times New Roman" w:cs="Arial"/>
          <w:color w:val="00000A"/>
          <w:sz w:val="20"/>
          <w:szCs w:val="20"/>
          <w:shd w:val="clear" w:color="auto" w:fill="FFFFFF"/>
          <w:lang w:val="es-ES"/>
        </w:rPr>
        <w:t xml:space="preserve"> </w:t>
      </w:r>
      <w:r w:rsidR="00884FCB">
        <w:rPr>
          <w:rFonts w:eastAsia="Times New Roman" w:cs="Arial"/>
          <w:color w:val="00000A"/>
          <w:sz w:val="20"/>
          <w:szCs w:val="20"/>
          <w:shd w:val="clear" w:color="auto" w:fill="FFFFFF"/>
          <w:lang w:val="es-ES"/>
        </w:rPr>
        <w:t xml:space="preserve">debido a </w:t>
      </w:r>
      <w:r w:rsidR="00885A97" w:rsidRPr="00885BCF">
        <w:rPr>
          <w:rFonts w:eastAsia="Times New Roman" w:cs="Arial"/>
          <w:color w:val="00000A"/>
          <w:sz w:val="20"/>
          <w:szCs w:val="20"/>
          <w:shd w:val="clear" w:color="auto" w:fill="FFFFFF"/>
          <w:lang w:val="es-ES"/>
        </w:rPr>
        <w:t>que</w:t>
      </w:r>
      <w:r w:rsidR="00E237FE" w:rsidRPr="00885BCF">
        <w:rPr>
          <w:rFonts w:eastAsia="Times New Roman" w:cs="Arial"/>
          <w:color w:val="00000A"/>
          <w:sz w:val="20"/>
          <w:szCs w:val="20"/>
          <w:shd w:val="clear" w:color="auto" w:fill="FFFFFF"/>
          <w:lang w:val="es-ES"/>
        </w:rPr>
        <w:t xml:space="preserve"> </w:t>
      </w:r>
      <w:r w:rsidR="00885A97" w:rsidRPr="00885BCF">
        <w:rPr>
          <w:rFonts w:eastAsia="Times New Roman" w:cs="Arial"/>
          <w:color w:val="00000A"/>
          <w:sz w:val="20"/>
          <w:szCs w:val="20"/>
          <w:shd w:val="clear" w:color="auto" w:fill="FFFFFF"/>
          <w:lang w:val="es-ES"/>
        </w:rPr>
        <w:t xml:space="preserve">no halló </w:t>
      </w:r>
      <w:r w:rsidR="00E237FE" w:rsidRPr="00885BCF">
        <w:rPr>
          <w:rFonts w:eastAsia="Times New Roman" w:cs="Arial"/>
          <w:color w:val="00000A"/>
          <w:sz w:val="20"/>
          <w:szCs w:val="20"/>
          <w:shd w:val="clear" w:color="auto" w:fill="FFFFFF"/>
          <w:lang w:val="es-ES"/>
        </w:rPr>
        <w:t xml:space="preserve">irregularidades en el trámite. </w:t>
      </w:r>
      <w:proofErr w:type="gramStart"/>
      <w:r w:rsidR="00E237FE" w:rsidRPr="00885BCF">
        <w:rPr>
          <w:rFonts w:eastAsia="Times New Roman" w:cs="Arial"/>
          <w:color w:val="00000A"/>
          <w:sz w:val="20"/>
          <w:szCs w:val="20"/>
          <w:shd w:val="clear" w:color="auto" w:fill="FFFFFF"/>
          <w:lang w:val="es-ES"/>
        </w:rPr>
        <w:t>El</w:t>
      </w:r>
      <w:proofErr w:type="gramEnd"/>
      <w:r w:rsidR="00E237FE" w:rsidRPr="00885BCF">
        <w:rPr>
          <w:rFonts w:eastAsia="Times New Roman" w:cs="Arial"/>
          <w:color w:val="00000A"/>
          <w:sz w:val="20"/>
          <w:szCs w:val="20"/>
          <w:shd w:val="clear" w:color="auto" w:fill="FFFFFF"/>
          <w:lang w:val="es-ES"/>
        </w:rPr>
        <w:t xml:space="preserve"> Sr. Milla Espinoza apeló esta decisión ante la Corte Superior de Justicia de Lima, </w:t>
      </w:r>
      <w:r w:rsidR="00885A97" w:rsidRPr="00885BCF">
        <w:rPr>
          <w:rFonts w:eastAsia="Times New Roman" w:cs="Arial"/>
          <w:color w:val="00000A"/>
          <w:sz w:val="20"/>
          <w:szCs w:val="20"/>
          <w:shd w:val="clear" w:color="auto" w:fill="FFFFFF"/>
          <w:lang w:val="es-ES"/>
        </w:rPr>
        <w:t>que</w:t>
      </w:r>
      <w:r w:rsidR="00E237FE" w:rsidRPr="00885BCF">
        <w:rPr>
          <w:rFonts w:eastAsia="Times New Roman" w:cs="Arial"/>
          <w:color w:val="00000A"/>
          <w:sz w:val="20"/>
          <w:szCs w:val="20"/>
          <w:shd w:val="clear" w:color="auto" w:fill="FFFFFF"/>
          <w:lang w:val="es-ES"/>
        </w:rPr>
        <w:t xml:space="preserve"> </w:t>
      </w:r>
      <w:r w:rsidR="00390185" w:rsidRPr="00885BCF">
        <w:rPr>
          <w:rFonts w:eastAsia="Times New Roman" w:cs="Arial"/>
          <w:color w:val="00000A"/>
          <w:sz w:val="20"/>
          <w:szCs w:val="20"/>
          <w:shd w:val="clear" w:color="auto" w:fill="FFFFFF"/>
          <w:lang w:val="es-ES"/>
        </w:rPr>
        <w:t>confirm</w:t>
      </w:r>
      <w:r w:rsidR="00E237FE" w:rsidRPr="00885BCF">
        <w:rPr>
          <w:rFonts w:eastAsia="Times New Roman" w:cs="Arial"/>
          <w:color w:val="00000A"/>
          <w:sz w:val="20"/>
          <w:szCs w:val="20"/>
          <w:shd w:val="clear" w:color="auto" w:fill="FFFFFF"/>
          <w:lang w:val="es-ES"/>
        </w:rPr>
        <w:t>ó el 9 de noviembre de 2004 l</w:t>
      </w:r>
      <w:r w:rsidR="00390185" w:rsidRPr="00885BCF">
        <w:rPr>
          <w:rFonts w:eastAsia="Times New Roman" w:cs="Arial"/>
          <w:color w:val="00000A"/>
          <w:sz w:val="20"/>
          <w:szCs w:val="20"/>
          <w:shd w:val="clear" w:color="auto" w:fill="FFFFFF"/>
          <w:lang w:val="es-ES"/>
        </w:rPr>
        <w:t>a resolución apelada</w:t>
      </w:r>
      <w:r w:rsidR="00DD459E" w:rsidRPr="00885BCF">
        <w:rPr>
          <w:rFonts w:eastAsia="Times New Roman" w:cs="Arial"/>
          <w:color w:val="00000A"/>
          <w:sz w:val="20"/>
          <w:szCs w:val="20"/>
          <w:shd w:val="clear" w:color="auto" w:fill="FFFFFF"/>
          <w:lang w:val="es-ES"/>
        </w:rPr>
        <w:t xml:space="preserve"> </w:t>
      </w:r>
      <w:r w:rsidR="00885A97" w:rsidRPr="00885BCF">
        <w:rPr>
          <w:rFonts w:eastAsia="Times New Roman" w:cs="Arial"/>
          <w:color w:val="00000A"/>
          <w:sz w:val="20"/>
          <w:szCs w:val="20"/>
          <w:shd w:val="clear" w:color="auto" w:fill="FFFFFF"/>
          <w:lang w:val="es-ES"/>
        </w:rPr>
        <w:t xml:space="preserve">en </w:t>
      </w:r>
      <w:r w:rsidR="00DD459E" w:rsidRPr="00885BCF">
        <w:rPr>
          <w:rFonts w:eastAsia="Times New Roman" w:cs="Arial"/>
          <w:color w:val="00000A"/>
          <w:sz w:val="20"/>
          <w:szCs w:val="20"/>
          <w:shd w:val="clear" w:color="auto" w:fill="FFFFFF"/>
          <w:lang w:val="es-ES"/>
        </w:rPr>
        <w:t xml:space="preserve">apoyo </w:t>
      </w:r>
      <w:r w:rsidR="00885A97" w:rsidRPr="00885BCF">
        <w:rPr>
          <w:rFonts w:eastAsia="Times New Roman" w:cs="Arial"/>
          <w:color w:val="00000A"/>
          <w:sz w:val="20"/>
          <w:szCs w:val="20"/>
          <w:shd w:val="clear" w:color="auto" w:fill="FFFFFF"/>
          <w:lang w:val="es-ES"/>
        </w:rPr>
        <w:t xml:space="preserve">de </w:t>
      </w:r>
      <w:r w:rsidR="00DD459E" w:rsidRPr="00885BCF">
        <w:rPr>
          <w:rFonts w:eastAsia="Times New Roman" w:cs="Arial"/>
          <w:color w:val="00000A"/>
          <w:sz w:val="20"/>
          <w:szCs w:val="20"/>
          <w:shd w:val="clear" w:color="auto" w:fill="FFFFFF"/>
          <w:lang w:val="es-ES"/>
        </w:rPr>
        <w:t xml:space="preserve">la </w:t>
      </w:r>
      <w:r w:rsidR="00885A97" w:rsidRPr="00885BCF">
        <w:rPr>
          <w:rFonts w:eastAsia="Times New Roman" w:cs="Arial"/>
          <w:color w:val="00000A"/>
          <w:sz w:val="20"/>
          <w:szCs w:val="20"/>
          <w:shd w:val="clear" w:color="auto" w:fill="FFFFFF"/>
          <w:lang w:val="es-ES"/>
        </w:rPr>
        <w:t xml:space="preserve">decisión del 16 de enero </w:t>
      </w:r>
      <w:r w:rsidR="00DD459E" w:rsidRPr="00885BCF">
        <w:rPr>
          <w:rFonts w:eastAsia="Times New Roman" w:cs="Arial"/>
          <w:color w:val="00000A"/>
          <w:sz w:val="20"/>
          <w:szCs w:val="20"/>
          <w:shd w:val="clear" w:color="auto" w:fill="FFFFFF"/>
          <w:lang w:val="es-ES"/>
        </w:rPr>
        <w:t>de la Sala Penal Permanente de la Corte Suprema.</w:t>
      </w:r>
      <w:r w:rsidR="00390185" w:rsidRPr="00885BCF">
        <w:rPr>
          <w:rFonts w:eastAsia="Times New Roman" w:cs="Arial"/>
          <w:color w:val="00000A"/>
          <w:sz w:val="20"/>
          <w:szCs w:val="20"/>
          <w:shd w:val="clear" w:color="auto" w:fill="FFFFFF"/>
          <w:lang w:val="es-ES"/>
        </w:rPr>
        <w:t xml:space="preserve"> </w:t>
      </w:r>
      <w:r w:rsidR="00E237FE" w:rsidRPr="00885BCF">
        <w:rPr>
          <w:rFonts w:eastAsia="Times New Roman" w:cs="Arial"/>
          <w:color w:val="00000A"/>
          <w:sz w:val="20"/>
          <w:szCs w:val="20"/>
          <w:shd w:val="clear" w:color="auto" w:fill="FFFFFF"/>
          <w:lang w:val="es-ES"/>
        </w:rPr>
        <w:t xml:space="preserve">Contra esta </w:t>
      </w:r>
      <w:r w:rsidR="00390185" w:rsidRPr="00885BCF">
        <w:rPr>
          <w:rFonts w:eastAsia="Times New Roman" w:cs="Arial"/>
          <w:color w:val="00000A"/>
          <w:sz w:val="20"/>
          <w:szCs w:val="20"/>
          <w:shd w:val="clear" w:color="auto" w:fill="FFFFFF"/>
          <w:lang w:val="es-ES"/>
        </w:rPr>
        <w:t xml:space="preserve">última </w:t>
      </w:r>
      <w:r w:rsidR="00E237FE" w:rsidRPr="00885BCF">
        <w:rPr>
          <w:rFonts w:eastAsia="Times New Roman" w:cs="Arial"/>
          <w:color w:val="00000A"/>
          <w:sz w:val="20"/>
          <w:szCs w:val="20"/>
          <w:shd w:val="clear" w:color="auto" w:fill="FFFFFF"/>
          <w:lang w:val="es-ES"/>
        </w:rPr>
        <w:t>sentencia</w:t>
      </w:r>
      <w:r w:rsidR="00885A97" w:rsidRPr="00885BCF">
        <w:rPr>
          <w:rFonts w:eastAsia="Times New Roman" w:cs="Arial"/>
          <w:color w:val="00000A"/>
          <w:sz w:val="20"/>
          <w:szCs w:val="20"/>
          <w:shd w:val="clear" w:color="auto" w:fill="FFFFFF"/>
          <w:lang w:val="es-ES"/>
        </w:rPr>
        <w:t>,</w:t>
      </w:r>
      <w:r w:rsidR="00E237FE" w:rsidRPr="00885BCF">
        <w:rPr>
          <w:rFonts w:eastAsia="Times New Roman" w:cs="Arial"/>
          <w:color w:val="00000A"/>
          <w:sz w:val="20"/>
          <w:szCs w:val="20"/>
          <w:shd w:val="clear" w:color="auto" w:fill="FFFFFF"/>
          <w:lang w:val="es-ES"/>
        </w:rPr>
        <w:t xml:space="preserve"> </w:t>
      </w:r>
      <w:r w:rsidR="00E237FE" w:rsidRPr="00843D37">
        <w:rPr>
          <w:rFonts w:eastAsia="Times New Roman" w:cs="Arial"/>
          <w:color w:val="00000A"/>
          <w:sz w:val="20"/>
          <w:szCs w:val="20"/>
          <w:shd w:val="clear" w:color="auto" w:fill="FFFFFF"/>
          <w:lang w:val="es-ES"/>
        </w:rPr>
        <w:t xml:space="preserve">el Sr. Milla Espinoza interpuso un recurso de agravio constitucional ante el Tribunal Constitucional, </w:t>
      </w:r>
      <w:r w:rsidR="00884FCB" w:rsidRPr="00843D37">
        <w:rPr>
          <w:rFonts w:eastAsia="Times New Roman" w:cs="Arial"/>
          <w:color w:val="00000A"/>
          <w:sz w:val="20"/>
          <w:szCs w:val="20"/>
          <w:shd w:val="clear" w:color="auto" w:fill="FFFFFF"/>
          <w:lang w:val="es-ES"/>
        </w:rPr>
        <w:t xml:space="preserve">que </w:t>
      </w:r>
      <w:r w:rsidR="00C67A9D" w:rsidRPr="00843D37">
        <w:rPr>
          <w:rFonts w:eastAsia="Times New Roman" w:cs="Arial"/>
          <w:color w:val="00000A"/>
          <w:sz w:val="20"/>
          <w:szCs w:val="20"/>
          <w:shd w:val="clear" w:color="auto" w:fill="FFFFFF"/>
          <w:lang w:val="es-ES"/>
        </w:rPr>
        <w:t xml:space="preserve">lo </w:t>
      </w:r>
      <w:r w:rsidR="00E237FE" w:rsidRPr="00843D37">
        <w:rPr>
          <w:rFonts w:eastAsia="Times New Roman" w:cs="Arial"/>
          <w:color w:val="00000A"/>
          <w:sz w:val="20"/>
          <w:szCs w:val="20"/>
          <w:shd w:val="clear" w:color="auto" w:fill="FFFFFF"/>
          <w:lang w:val="es-ES"/>
        </w:rPr>
        <w:t>declaró improcedente</w:t>
      </w:r>
      <w:r w:rsidR="00C67A9D" w:rsidRPr="00843D37">
        <w:rPr>
          <w:rFonts w:eastAsia="Times New Roman" w:cs="Arial"/>
          <w:color w:val="00000A"/>
          <w:sz w:val="20"/>
          <w:szCs w:val="20"/>
          <w:shd w:val="clear" w:color="auto" w:fill="FFFFFF"/>
          <w:lang w:val="es-ES"/>
        </w:rPr>
        <w:t xml:space="preserve"> </w:t>
      </w:r>
      <w:r w:rsidR="00885A97" w:rsidRPr="00843D37">
        <w:rPr>
          <w:rFonts w:eastAsia="Times New Roman" w:cs="Arial"/>
          <w:color w:val="00000A"/>
          <w:sz w:val="20"/>
          <w:szCs w:val="20"/>
          <w:shd w:val="clear" w:color="auto" w:fill="FFFFFF"/>
          <w:lang w:val="es-ES"/>
        </w:rPr>
        <w:t xml:space="preserve">por considerar </w:t>
      </w:r>
      <w:r w:rsidR="00C67A9D" w:rsidRPr="00843D37">
        <w:rPr>
          <w:rFonts w:eastAsia="Times New Roman" w:cs="Arial"/>
          <w:color w:val="00000A"/>
          <w:sz w:val="20"/>
          <w:szCs w:val="20"/>
          <w:shd w:val="clear" w:color="auto" w:fill="FFFFFF"/>
          <w:lang w:val="es-ES"/>
        </w:rPr>
        <w:t>que el hábeas corpus tiene como objeto de protección los derechos constitucionales y no los beneficios penales como lo de la exención de pena</w:t>
      </w:r>
      <w:r w:rsidR="004C2399" w:rsidRPr="00843D37">
        <w:rPr>
          <w:rFonts w:eastAsia="Times New Roman" w:cs="Arial"/>
          <w:color w:val="00000A"/>
          <w:sz w:val="20"/>
          <w:szCs w:val="20"/>
          <w:shd w:val="clear" w:color="auto" w:fill="FFFFFF"/>
          <w:lang w:val="es-ES"/>
        </w:rPr>
        <w:t>; la decisión fue adoptada el 16 de mayo de 2005 y notificada el 27 de noviembre de 2006</w:t>
      </w:r>
      <w:r w:rsidR="00390185" w:rsidRPr="00843D37">
        <w:rPr>
          <w:rFonts w:eastAsia="Times New Roman" w:cs="Arial"/>
          <w:color w:val="00000A"/>
          <w:sz w:val="20"/>
          <w:szCs w:val="20"/>
          <w:lang w:val="es-ES"/>
        </w:rPr>
        <w:t>.</w:t>
      </w:r>
      <w:r w:rsidR="00F90BE0" w:rsidRPr="00843D37">
        <w:rPr>
          <w:rFonts w:eastAsia="Times New Roman" w:cs="Arial"/>
          <w:color w:val="00000A"/>
          <w:sz w:val="20"/>
          <w:szCs w:val="20"/>
          <w:lang w:val="es-ES"/>
        </w:rPr>
        <w:t xml:space="preserve"> </w:t>
      </w:r>
      <w:proofErr w:type="gramStart"/>
      <w:r w:rsidR="004C2399" w:rsidRPr="00843D37">
        <w:rPr>
          <w:rFonts w:eastAsia="Times New Roman" w:cs="Arial"/>
          <w:color w:val="00000A"/>
          <w:sz w:val="20"/>
          <w:szCs w:val="20"/>
          <w:lang w:val="es-ES"/>
        </w:rPr>
        <w:t>El</w:t>
      </w:r>
      <w:proofErr w:type="gramEnd"/>
      <w:r w:rsidR="004C2399" w:rsidRPr="00843D37">
        <w:rPr>
          <w:rFonts w:eastAsia="Times New Roman" w:cs="Arial"/>
          <w:color w:val="00000A"/>
          <w:sz w:val="20"/>
          <w:szCs w:val="20"/>
          <w:lang w:val="es-ES"/>
        </w:rPr>
        <w:t xml:space="preserve"> Sr. Milla Espinoza </w:t>
      </w:r>
      <w:r w:rsidR="007A61E1" w:rsidRPr="00843D37">
        <w:rPr>
          <w:rFonts w:eastAsia="Times New Roman" w:cs="Arial"/>
          <w:color w:val="00000A"/>
          <w:sz w:val="20"/>
          <w:szCs w:val="20"/>
          <w:lang w:val="es-ES"/>
        </w:rPr>
        <w:t>solicitó una resolución</w:t>
      </w:r>
      <w:r w:rsidR="00E237FE" w:rsidRPr="00843D37">
        <w:rPr>
          <w:rFonts w:eastAsia="Times New Roman" w:cs="Arial"/>
          <w:color w:val="00000A"/>
          <w:sz w:val="20"/>
          <w:szCs w:val="20"/>
          <w:lang w:val="es-ES"/>
        </w:rPr>
        <w:t xml:space="preserve"> aclaratoria</w:t>
      </w:r>
      <w:r w:rsidR="004C2399" w:rsidRPr="00843D37">
        <w:rPr>
          <w:rFonts w:eastAsia="Times New Roman" w:cs="Arial"/>
          <w:color w:val="00000A"/>
          <w:sz w:val="20"/>
          <w:szCs w:val="20"/>
          <w:lang w:val="es-ES"/>
        </w:rPr>
        <w:t xml:space="preserve"> el 30 de noviembre de 2006</w:t>
      </w:r>
      <w:r w:rsidR="00DD1B72" w:rsidRPr="00843D37">
        <w:rPr>
          <w:rFonts w:eastAsia="Times New Roman" w:cs="Arial"/>
          <w:color w:val="00000A"/>
          <w:sz w:val="20"/>
          <w:szCs w:val="20"/>
          <w:lang w:val="es-ES"/>
        </w:rPr>
        <w:t>,</w:t>
      </w:r>
      <w:r w:rsidR="00DD1B72" w:rsidRPr="00843D37">
        <w:rPr>
          <w:lang w:val="es-MX"/>
        </w:rPr>
        <w:t xml:space="preserve"> </w:t>
      </w:r>
      <w:r w:rsidR="00DD1B72" w:rsidRPr="00843D37">
        <w:rPr>
          <w:rFonts w:eastAsia="Times New Roman" w:cs="Arial"/>
          <w:color w:val="00000A"/>
          <w:sz w:val="20"/>
          <w:szCs w:val="20"/>
          <w:lang w:val="es-ES"/>
        </w:rPr>
        <w:t xml:space="preserve">que el Tribunal Constitucional no habría </w:t>
      </w:r>
      <w:r w:rsidR="00885A97" w:rsidRPr="00843D37">
        <w:rPr>
          <w:rFonts w:eastAsia="Times New Roman" w:cs="Arial"/>
          <w:color w:val="00000A"/>
          <w:sz w:val="20"/>
          <w:szCs w:val="20"/>
          <w:lang w:val="es-ES"/>
        </w:rPr>
        <w:t xml:space="preserve">respondido </w:t>
      </w:r>
      <w:r w:rsidR="003E661B" w:rsidRPr="00843D37">
        <w:rPr>
          <w:rFonts w:eastAsia="Times New Roman" w:cs="Arial"/>
          <w:color w:val="00000A"/>
          <w:sz w:val="20"/>
          <w:szCs w:val="20"/>
          <w:lang w:val="es-ES"/>
        </w:rPr>
        <w:t>a</w:t>
      </w:r>
      <w:r w:rsidR="00DD1B72" w:rsidRPr="00843D37">
        <w:rPr>
          <w:rFonts w:eastAsia="Times New Roman" w:cs="Arial"/>
          <w:color w:val="00000A"/>
          <w:sz w:val="20"/>
          <w:szCs w:val="20"/>
          <w:lang w:val="es-ES"/>
        </w:rPr>
        <w:t xml:space="preserve"> la fecha.</w:t>
      </w:r>
      <w:r w:rsidR="008309A8" w:rsidRPr="00843D37">
        <w:rPr>
          <w:rFonts w:eastAsia="Times New Roman" w:cs="Arial"/>
          <w:color w:val="00000A"/>
          <w:sz w:val="20"/>
          <w:szCs w:val="20"/>
          <w:lang w:val="es-ES"/>
        </w:rPr>
        <w:t xml:space="preserve"> </w:t>
      </w:r>
      <w:r w:rsidR="00E237FE" w:rsidRPr="00843D37">
        <w:rPr>
          <w:rFonts w:eastAsia="Times New Roman" w:cs="Arial"/>
          <w:color w:val="00000A"/>
          <w:sz w:val="20"/>
          <w:szCs w:val="20"/>
          <w:lang w:val="es-ES"/>
        </w:rPr>
        <w:t xml:space="preserve">El peticionario indica que el 15 de enero de 2007, el Tribunal Constitucional </w:t>
      </w:r>
      <w:r w:rsidR="007A61E1" w:rsidRPr="00843D37">
        <w:rPr>
          <w:rFonts w:eastAsia="Times New Roman" w:cs="Arial"/>
          <w:color w:val="00000A"/>
          <w:sz w:val="20"/>
          <w:szCs w:val="20"/>
          <w:lang w:val="es-ES"/>
        </w:rPr>
        <w:t>dio</w:t>
      </w:r>
      <w:r w:rsidR="00E237FE" w:rsidRPr="00843D37">
        <w:rPr>
          <w:rFonts w:eastAsia="Times New Roman" w:cs="Arial"/>
          <w:color w:val="00000A"/>
          <w:sz w:val="20"/>
          <w:szCs w:val="20"/>
          <w:lang w:val="es-ES"/>
        </w:rPr>
        <w:t xml:space="preserve"> por terminado el proceso de hábeas corpus</w:t>
      </w:r>
      <w:r w:rsidR="002A7AA8" w:rsidRPr="00843D37">
        <w:rPr>
          <w:rFonts w:eastAsia="Times New Roman" w:cs="Arial"/>
          <w:color w:val="00000A"/>
          <w:sz w:val="20"/>
          <w:szCs w:val="20"/>
          <w:lang w:val="es-ES"/>
        </w:rPr>
        <w:t xml:space="preserve"> y</w:t>
      </w:r>
      <w:r w:rsidR="00E237FE" w:rsidRPr="00843D37">
        <w:rPr>
          <w:rFonts w:eastAsia="Times New Roman" w:cs="Arial"/>
          <w:color w:val="00000A"/>
          <w:sz w:val="20"/>
          <w:szCs w:val="20"/>
          <w:lang w:val="es-ES"/>
        </w:rPr>
        <w:t xml:space="preserve"> remiti</w:t>
      </w:r>
      <w:r w:rsidR="002A7AA8" w:rsidRPr="00843D37">
        <w:rPr>
          <w:rFonts w:eastAsia="Times New Roman" w:cs="Arial"/>
          <w:color w:val="00000A"/>
          <w:sz w:val="20"/>
          <w:szCs w:val="20"/>
          <w:lang w:val="es-ES"/>
        </w:rPr>
        <w:t>ó</w:t>
      </w:r>
      <w:r w:rsidR="00E237FE" w:rsidRPr="00843D37">
        <w:rPr>
          <w:rFonts w:eastAsia="Times New Roman" w:cs="Arial"/>
          <w:color w:val="00000A"/>
          <w:sz w:val="20"/>
          <w:szCs w:val="20"/>
          <w:lang w:val="es-ES"/>
        </w:rPr>
        <w:t xml:space="preserve"> el expediente a la Segunda Sala Especializada en lo Penal para Procesos con Reos Libres de la Corte Superior</w:t>
      </w:r>
      <w:r w:rsidR="00E237FE" w:rsidRPr="00885BCF">
        <w:rPr>
          <w:rFonts w:eastAsia="Times New Roman" w:cs="Arial"/>
          <w:color w:val="00000A"/>
          <w:sz w:val="20"/>
          <w:szCs w:val="20"/>
          <w:lang w:val="es-ES"/>
        </w:rPr>
        <w:t xml:space="preserve"> de Justicia de Lima para su archivo definitivo. </w:t>
      </w:r>
      <w:r w:rsidR="009B5021" w:rsidRPr="00885BCF">
        <w:rPr>
          <w:rFonts w:eastAsia="Times New Roman" w:cs="Arial"/>
          <w:color w:val="00000A"/>
          <w:sz w:val="20"/>
          <w:szCs w:val="20"/>
          <w:lang w:val="es-ES"/>
        </w:rPr>
        <w:t xml:space="preserve">El peticionario alega que más allá del beneficio de la exención de pena, </w:t>
      </w:r>
      <w:r w:rsidR="002A7AA8" w:rsidRPr="00885BCF">
        <w:rPr>
          <w:rFonts w:eastAsia="Times New Roman" w:cs="Arial"/>
          <w:color w:val="00000A"/>
          <w:sz w:val="20"/>
          <w:szCs w:val="20"/>
          <w:lang w:val="es-ES"/>
        </w:rPr>
        <w:t>fu</w:t>
      </w:r>
      <w:r w:rsidR="009B5021" w:rsidRPr="00885BCF">
        <w:rPr>
          <w:rFonts w:eastAsia="Times New Roman" w:cs="Arial"/>
          <w:color w:val="00000A"/>
          <w:sz w:val="20"/>
          <w:szCs w:val="20"/>
          <w:lang w:val="es-ES"/>
        </w:rPr>
        <w:t>er</w:t>
      </w:r>
      <w:r w:rsidR="002A7AA8" w:rsidRPr="00885BCF">
        <w:rPr>
          <w:rFonts w:eastAsia="Times New Roman" w:cs="Arial"/>
          <w:color w:val="00000A"/>
          <w:sz w:val="20"/>
          <w:szCs w:val="20"/>
          <w:lang w:val="es-ES"/>
        </w:rPr>
        <w:t>o</w:t>
      </w:r>
      <w:r w:rsidR="009B5021" w:rsidRPr="00885BCF">
        <w:rPr>
          <w:rFonts w:eastAsia="Times New Roman" w:cs="Arial"/>
          <w:color w:val="00000A"/>
          <w:sz w:val="20"/>
          <w:szCs w:val="20"/>
          <w:lang w:val="es-ES"/>
        </w:rPr>
        <w:t xml:space="preserve">n </w:t>
      </w:r>
      <w:r w:rsidR="002A7AA8" w:rsidRPr="00885BCF">
        <w:rPr>
          <w:rFonts w:eastAsia="Times New Roman" w:cs="Arial"/>
          <w:color w:val="00000A"/>
          <w:sz w:val="20"/>
          <w:szCs w:val="20"/>
          <w:lang w:val="es-ES"/>
        </w:rPr>
        <w:t xml:space="preserve">vulnerados </w:t>
      </w:r>
      <w:r w:rsidR="009B5021" w:rsidRPr="00885BCF">
        <w:rPr>
          <w:rFonts w:eastAsia="Times New Roman" w:cs="Arial"/>
          <w:color w:val="00000A"/>
          <w:sz w:val="20"/>
          <w:szCs w:val="20"/>
          <w:lang w:val="es-ES"/>
        </w:rPr>
        <w:t xml:space="preserve">sus derechos </w:t>
      </w:r>
      <w:r w:rsidR="002A7AA8" w:rsidRPr="00885BCF">
        <w:rPr>
          <w:rFonts w:eastAsia="Times New Roman" w:cs="Arial"/>
          <w:color w:val="00000A"/>
          <w:sz w:val="20"/>
          <w:szCs w:val="20"/>
          <w:lang w:val="es-ES"/>
        </w:rPr>
        <w:t xml:space="preserve">fundamentales </w:t>
      </w:r>
      <w:r w:rsidR="009B5021" w:rsidRPr="00885BCF">
        <w:rPr>
          <w:rFonts w:eastAsia="Times New Roman" w:cs="Arial"/>
          <w:color w:val="00000A"/>
          <w:sz w:val="20"/>
          <w:szCs w:val="20"/>
          <w:lang w:val="es-ES"/>
        </w:rPr>
        <w:t xml:space="preserve">a la libertad y al debido proceso </w:t>
      </w:r>
      <w:r w:rsidR="004C2399">
        <w:rPr>
          <w:rFonts w:eastAsia="Times New Roman" w:cs="Arial"/>
          <w:color w:val="00000A"/>
          <w:sz w:val="20"/>
          <w:szCs w:val="20"/>
          <w:lang w:val="es-ES"/>
        </w:rPr>
        <w:t xml:space="preserve">debido a que </w:t>
      </w:r>
      <w:r w:rsidR="009B5021" w:rsidRPr="00885BCF">
        <w:rPr>
          <w:rFonts w:eastAsia="Times New Roman" w:cs="Arial"/>
          <w:color w:val="00000A"/>
          <w:sz w:val="20"/>
          <w:szCs w:val="20"/>
          <w:lang w:val="es-ES"/>
        </w:rPr>
        <w:t xml:space="preserve">los vocales omitieron pronunciarse sobre la irregularidad procesal denunciada por la presunta víctima. </w:t>
      </w:r>
      <w:r w:rsidR="007772A4" w:rsidRPr="00885BCF">
        <w:rPr>
          <w:rFonts w:eastAsia="Times New Roman" w:cs="Arial"/>
          <w:color w:val="00000A"/>
          <w:sz w:val="20"/>
          <w:szCs w:val="20"/>
          <w:lang w:val="es-ES"/>
        </w:rPr>
        <w:t>Finalmente, e</w:t>
      </w:r>
      <w:r w:rsidR="009F7F76" w:rsidRPr="00885BCF">
        <w:rPr>
          <w:rFonts w:eastAsia="Times New Roman" w:cs="Arial"/>
          <w:color w:val="00000A"/>
          <w:sz w:val="20"/>
          <w:szCs w:val="20"/>
          <w:lang w:val="es-ES"/>
        </w:rPr>
        <w:t>l</w:t>
      </w:r>
      <w:r w:rsidR="007772A4" w:rsidRPr="00885BCF">
        <w:rPr>
          <w:rFonts w:eastAsia="Times New Roman" w:cs="Arial"/>
          <w:color w:val="00000A"/>
          <w:sz w:val="20"/>
          <w:szCs w:val="20"/>
          <w:lang w:val="es-ES"/>
        </w:rPr>
        <w:t xml:space="preserve"> peticionario indica que </w:t>
      </w:r>
      <w:proofErr w:type="gramStart"/>
      <w:r w:rsidR="007772A4" w:rsidRPr="00885BCF">
        <w:rPr>
          <w:rFonts w:eastAsia="Times New Roman" w:cs="Arial"/>
          <w:color w:val="00000A"/>
          <w:sz w:val="20"/>
          <w:szCs w:val="20"/>
          <w:lang w:val="es-ES"/>
        </w:rPr>
        <w:t>el</w:t>
      </w:r>
      <w:proofErr w:type="gramEnd"/>
      <w:r w:rsidR="00E237FE" w:rsidRPr="00885BCF">
        <w:rPr>
          <w:rFonts w:eastAsia="Times New Roman" w:cs="Arial"/>
          <w:color w:val="00000A"/>
          <w:sz w:val="20"/>
          <w:szCs w:val="20"/>
          <w:lang w:val="es-ES"/>
        </w:rPr>
        <w:t xml:space="preserve"> Sr. Milla Espinoza se encuentra en libertad desde julio de 2014</w:t>
      </w:r>
      <w:r w:rsidR="008F3D10" w:rsidRPr="00885BCF">
        <w:rPr>
          <w:rFonts w:eastAsia="Times New Roman" w:cs="Arial"/>
          <w:color w:val="00000A"/>
          <w:sz w:val="20"/>
          <w:szCs w:val="20"/>
          <w:lang w:val="es-ES"/>
        </w:rPr>
        <w:t xml:space="preserve"> por cumplimiento de la pena</w:t>
      </w:r>
      <w:r w:rsidR="00E237FE" w:rsidRPr="00885BCF">
        <w:rPr>
          <w:rFonts w:eastAsia="Times New Roman" w:cs="Arial"/>
          <w:color w:val="00000A"/>
          <w:sz w:val="20"/>
          <w:szCs w:val="20"/>
          <w:lang w:val="es-ES"/>
        </w:rPr>
        <w:t>.</w:t>
      </w:r>
      <w:r w:rsidR="009B5021" w:rsidRPr="00885BCF">
        <w:rPr>
          <w:rFonts w:eastAsia="Times New Roman" w:cs="Arial"/>
          <w:color w:val="00000A"/>
          <w:sz w:val="20"/>
          <w:szCs w:val="20"/>
          <w:lang w:val="es-ES"/>
        </w:rPr>
        <w:t xml:space="preserve"> </w:t>
      </w:r>
    </w:p>
    <w:p w14:paraId="177BFA47" w14:textId="679C2054" w:rsidR="00E237FE" w:rsidRPr="00885BCF" w:rsidRDefault="00E237F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jc w:val="both"/>
        <w:textAlignment w:val="baseline"/>
        <w:rPr>
          <w:lang w:val="es-ES"/>
        </w:rPr>
      </w:pPr>
      <w:r w:rsidRPr="00885BCF">
        <w:rPr>
          <w:color w:val="00000A"/>
          <w:sz w:val="20"/>
          <w:szCs w:val="20"/>
          <w:lang w:val="es-ES"/>
        </w:rPr>
        <w:t xml:space="preserve">Por su parte, el Estado aduce que la petición es inadmisible </w:t>
      </w:r>
      <w:r w:rsidR="00006426" w:rsidRPr="00885BCF">
        <w:rPr>
          <w:color w:val="00000A"/>
          <w:sz w:val="20"/>
          <w:szCs w:val="20"/>
          <w:lang w:val="es-ES"/>
        </w:rPr>
        <w:t xml:space="preserve">porque </w:t>
      </w:r>
      <w:r w:rsidRPr="00885BCF">
        <w:rPr>
          <w:color w:val="00000A"/>
          <w:sz w:val="20"/>
          <w:szCs w:val="20"/>
          <w:lang w:val="es-ES"/>
        </w:rPr>
        <w:t xml:space="preserve">no </w:t>
      </w:r>
      <w:r w:rsidR="00006426" w:rsidRPr="00885BCF">
        <w:rPr>
          <w:color w:val="00000A"/>
          <w:sz w:val="20"/>
          <w:szCs w:val="20"/>
          <w:lang w:val="es-ES"/>
        </w:rPr>
        <w:t>expone</w:t>
      </w:r>
      <w:r w:rsidRPr="00885BCF">
        <w:rPr>
          <w:color w:val="00000A"/>
          <w:sz w:val="20"/>
          <w:szCs w:val="20"/>
          <w:lang w:val="es-ES"/>
        </w:rPr>
        <w:t xml:space="preserve"> hechos que caractericen violaciones a los derechos consagrados en</w:t>
      </w:r>
      <w:r w:rsidR="005401B7" w:rsidRPr="00885BCF">
        <w:rPr>
          <w:color w:val="00000A"/>
          <w:sz w:val="20"/>
          <w:szCs w:val="20"/>
          <w:lang w:val="es-ES"/>
        </w:rPr>
        <w:t xml:space="preserve"> la</w:t>
      </w:r>
      <w:r w:rsidRPr="00885BCF">
        <w:rPr>
          <w:color w:val="00000A"/>
          <w:sz w:val="20"/>
          <w:szCs w:val="20"/>
          <w:lang w:val="es-ES"/>
        </w:rPr>
        <w:t xml:space="preserve"> Convención Americana</w:t>
      </w:r>
      <w:r w:rsidR="00006426" w:rsidRPr="00885BCF">
        <w:rPr>
          <w:color w:val="00000A"/>
          <w:sz w:val="20"/>
          <w:szCs w:val="20"/>
          <w:lang w:val="es-ES"/>
        </w:rPr>
        <w:t>. Considera que</w:t>
      </w:r>
      <w:r w:rsidRPr="00885BCF">
        <w:rPr>
          <w:color w:val="00000A"/>
          <w:sz w:val="20"/>
          <w:szCs w:val="20"/>
          <w:lang w:val="es-ES"/>
        </w:rPr>
        <w:t xml:space="preserve"> no surge </w:t>
      </w:r>
      <w:r w:rsidRPr="00885BCF">
        <w:rPr>
          <w:i/>
          <w:color w:val="00000A"/>
          <w:sz w:val="20"/>
          <w:szCs w:val="20"/>
          <w:lang w:val="es-ES"/>
        </w:rPr>
        <w:t>prima facie</w:t>
      </w:r>
      <w:r w:rsidRPr="00885BCF">
        <w:rPr>
          <w:color w:val="00000A"/>
          <w:sz w:val="20"/>
          <w:szCs w:val="20"/>
          <w:lang w:val="es-ES"/>
        </w:rPr>
        <w:t xml:space="preserve"> que se hayan vulnerado las garantías </w:t>
      </w:r>
      <w:r w:rsidR="004C2399">
        <w:rPr>
          <w:color w:val="00000A"/>
          <w:sz w:val="20"/>
          <w:szCs w:val="20"/>
          <w:lang w:val="es-ES"/>
        </w:rPr>
        <w:t>de</w:t>
      </w:r>
      <w:r w:rsidRPr="00885BCF">
        <w:rPr>
          <w:color w:val="00000A"/>
          <w:sz w:val="20"/>
          <w:szCs w:val="20"/>
          <w:lang w:val="es-ES"/>
        </w:rPr>
        <w:t xml:space="preserve"> debido proceso del peticionario</w:t>
      </w:r>
      <w:r w:rsidR="001D12A3" w:rsidRPr="00885BCF">
        <w:rPr>
          <w:color w:val="00000A"/>
          <w:sz w:val="20"/>
          <w:szCs w:val="20"/>
          <w:lang w:val="es-ES"/>
        </w:rPr>
        <w:t xml:space="preserve">, tampoco sus derechos a la </w:t>
      </w:r>
      <w:r w:rsidR="001D12A3" w:rsidRPr="00E02B48">
        <w:rPr>
          <w:color w:val="00000A"/>
          <w:sz w:val="20"/>
          <w:szCs w:val="20"/>
          <w:lang w:val="es-ES"/>
        </w:rPr>
        <w:t>igualdad y a la libertad</w:t>
      </w:r>
      <w:r w:rsidR="002A7AA8" w:rsidRPr="00E02B48">
        <w:rPr>
          <w:color w:val="00000A"/>
          <w:sz w:val="20"/>
          <w:szCs w:val="20"/>
          <w:lang w:val="es-ES"/>
        </w:rPr>
        <w:t xml:space="preserve"> personal</w:t>
      </w:r>
      <w:r w:rsidRPr="00E02B48">
        <w:rPr>
          <w:color w:val="00000A"/>
          <w:sz w:val="20"/>
          <w:szCs w:val="20"/>
          <w:lang w:val="es-ES"/>
        </w:rPr>
        <w:t>.</w:t>
      </w:r>
      <w:r w:rsidR="000F533A" w:rsidRPr="00E02B48">
        <w:rPr>
          <w:color w:val="00000A"/>
          <w:sz w:val="20"/>
          <w:szCs w:val="20"/>
          <w:lang w:val="es-ES"/>
        </w:rPr>
        <w:t xml:space="preserve"> Perú considera que el peticionario </w:t>
      </w:r>
      <w:r w:rsidR="002A7AA8" w:rsidRPr="00E02B48">
        <w:rPr>
          <w:color w:val="00000A"/>
          <w:sz w:val="20"/>
          <w:szCs w:val="20"/>
          <w:lang w:val="es-ES"/>
        </w:rPr>
        <w:t xml:space="preserve">no está conforme con el resultado de las decisiones adoptadas a nivel interno y </w:t>
      </w:r>
      <w:r w:rsidR="000F533A" w:rsidRPr="00E02B48">
        <w:rPr>
          <w:color w:val="00000A"/>
          <w:sz w:val="20"/>
          <w:szCs w:val="20"/>
          <w:lang w:val="es-ES"/>
        </w:rPr>
        <w:t>pretende que la Comisión act</w:t>
      </w:r>
      <w:r w:rsidR="002A7AA8" w:rsidRPr="00E02B48">
        <w:rPr>
          <w:color w:val="00000A"/>
          <w:sz w:val="20"/>
          <w:szCs w:val="20"/>
          <w:lang w:val="es-ES"/>
        </w:rPr>
        <w:t>úe</w:t>
      </w:r>
      <w:r w:rsidR="000F533A" w:rsidRPr="00E02B48">
        <w:rPr>
          <w:color w:val="00000A"/>
          <w:sz w:val="20"/>
          <w:szCs w:val="20"/>
          <w:lang w:val="es-ES"/>
        </w:rPr>
        <w:t xml:space="preserve"> como una cuarta instancia</w:t>
      </w:r>
      <w:r w:rsidR="002A7AA8" w:rsidRPr="00E02B48">
        <w:rPr>
          <w:color w:val="00000A"/>
          <w:sz w:val="20"/>
          <w:szCs w:val="20"/>
          <w:lang w:val="es-ES"/>
        </w:rPr>
        <w:t xml:space="preserve">; </w:t>
      </w:r>
      <w:r w:rsidR="00563C50" w:rsidRPr="00E02B48">
        <w:rPr>
          <w:color w:val="00000A"/>
          <w:sz w:val="20"/>
          <w:szCs w:val="20"/>
          <w:lang w:val="es-ES"/>
        </w:rPr>
        <w:t xml:space="preserve">y señala que </w:t>
      </w:r>
      <w:r w:rsidR="004C2399" w:rsidRPr="00E02B48">
        <w:rPr>
          <w:color w:val="00000A"/>
          <w:sz w:val="20"/>
          <w:szCs w:val="20"/>
          <w:lang w:val="es-ES"/>
        </w:rPr>
        <w:t>este órgano</w:t>
      </w:r>
      <w:r w:rsidR="00563C50" w:rsidRPr="00E02B48">
        <w:rPr>
          <w:color w:val="00000A"/>
          <w:sz w:val="20"/>
          <w:szCs w:val="20"/>
          <w:lang w:val="es-ES"/>
        </w:rPr>
        <w:t xml:space="preserve"> no puede pronunciarse sobre aspectos que los magistrados nacionales han resuelto en el marco de su competencia</w:t>
      </w:r>
      <w:r w:rsidR="00563C50" w:rsidRPr="00885BCF">
        <w:rPr>
          <w:color w:val="00000A"/>
          <w:sz w:val="20"/>
          <w:szCs w:val="20"/>
          <w:lang w:val="es-ES"/>
        </w:rPr>
        <w:t xml:space="preserve"> y con sujeci</w:t>
      </w:r>
      <w:r w:rsidR="007B7B57" w:rsidRPr="00885BCF">
        <w:rPr>
          <w:color w:val="00000A"/>
          <w:sz w:val="20"/>
          <w:szCs w:val="20"/>
          <w:lang w:val="es-ES"/>
        </w:rPr>
        <w:t>ón a</w:t>
      </w:r>
      <w:r w:rsidR="004C2399">
        <w:rPr>
          <w:color w:val="00000A"/>
          <w:sz w:val="20"/>
          <w:szCs w:val="20"/>
          <w:lang w:val="es-ES"/>
        </w:rPr>
        <w:t>l</w:t>
      </w:r>
      <w:r w:rsidR="007B7B57" w:rsidRPr="00885BCF">
        <w:rPr>
          <w:color w:val="00000A"/>
          <w:sz w:val="20"/>
          <w:szCs w:val="20"/>
          <w:lang w:val="es-ES"/>
        </w:rPr>
        <w:t xml:space="preserve"> debido proceso</w:t>
      </w:r>
      <w:r w:rsidR="000409FB" w:rsidRPr="00885BCF">
        <w:rPr>
          <w:color w:val="00000A"/>
          <w:sz w:val="20"/>
          <w:szCs w:val="20"/>
          <w:lang w:val="es-ES"/>
        </w:rPr>
        <w:t>.</w:t>
      </w:r>
    </w:p>
    <w:p w14:paraId="0A3D25E7" w14:textId="7E103CC7" w:rsidR="00E237FE" w:rsidRPr="00885BCF" w:rsidRDefault="00DB0F2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jc w:val="both"/>
        <w:textAlignment w:val="baseline"/>
        <w:rPr>
          <w:lang w:val="es-ES"/>
        </w:rPr>
      </w:pPr>
      <w:r w:rsidRPr="00885BCF">
        <w:rPr>
          <w:color w:val="00000A"/>
          <w:sz w:val="20"/>
          <w:szCs w:val="20"/>
          <w:lang w:val="es-ES"/>
        </w:rPr>
        <w:t>El Estado a</w:t>
      </w:r>
      <w:r w:rsidR="00006426" w:rsidRPr="00885BCF">
        <w:rPr>
          <w:color w:val="00000A"/>
          <w:sz w:val="20"/>
          <w:szCs w:val="20"/>
          <w:lang w:val="es-ES"/>
        </w:rPr>
        <w:t>lega</w:t>
      </w:r>
      <w:r w:rsidR="00E237FE" w:rsidRPr="00885BCF">
        <w:rPr>
          <w:color w:val="00000A"/>
          <w:sz w:val="20"/>
          <w:szCs w:val="20"/>
          <w:lang w:val="es-ES"/>
        </w:rPr>
        <w:t xml:space="preserve"> </w:t>
      </w:r>
      <w:r w:rsidR="004C2399">
        <w:rPr>
          <w:color w:val="00000A"/>
          <w:sz w:val="20"/>
          <w:szCs w:val="20"/>
          <w:lang w:val="es-ES"/>
        </w:rPr>
        <w:t xml:space="preserve">que </w:t>
      </w:r>
      <w:r w:rsidRPr="00885BCF">
        <w:rPr>
          <w:color w:val="00000A"/>
          <w:sz w:val="20"/>
          <w:szCs w:val="20"/>
          <w:lang w:val="es-ES"/>
        </w:rPr>
        <w:t xml:space="preserve">fueron respetadas las garantías del debido proceso y las normas establecidas en la legislación nacional </w:t>
      </w:r>
      <w:r w:rsidR="00E237FE" w:rsidRPr="00885BCF">
        <w:rPr>
          <w:color w:val="00000A"/>
          <w:sz w:val="20"/>
          <w:szCs w:val="20"/>
          <w:lang w:val="es-ES"/>
        </w:rPr>
        <w:t xml:space="preserve">tanto en el proceso penal, como en el de exención de la pena. Asimismo, </w:t>
      </w:r>
      <w:r w:rsidRPr="00885BCF">
        <w:rPr>
          <w:color w:val="00000A"/>
          <w:sz w:val="20"/>
          <w:szCs w:val="20"/>
          <w:lang w:val="es-ES"/>
        </w:rPr>
        <w:t xml:space="preserve">sostiene </w:t>
      </w:r>
      <w:r w:rsidR="00E237FE" w:rsidRPr="00885BCF">
        <w:rPr>
          <w:color w:val="00000A"/>
          <w:sz w:val="20"/>
          <w:szCs w:val="20"/>
          <w:lang w:val="es-ES"/>
        </w:rPr>
        <w:t>que la presunta víctima fue asesorada por un abogado libremente elegido</w:t>
      </w:r>
      <w:r w:rsidR="004C2399">
        <w:rPr>
          <w:color w:val="00000A"/>
          <w:sz w:val="20"/>
          <w:szCs w:val="20"/>
          <w:lang w:val="es-ES"/>
        </w:rPr>
        <w:t>;</w:t>
      </w:r>
      <w:r w:rsidR="00E237FE" w:rsidRPr="00885BCF">
        <w:rPr>
          <w:color w:val="00000A"/>
          <w:sz w:val="20"/>
          <w:szCs w:val="20"/>
          <w:lang w:val="es-ES"/>
        </w:rPr>
        <w:t xml:space="preserve"> que tuvo la oportunidad de cuestionar </w:t>
      </w:r>
      <w:r w:rsidR="00006426" w:rsidRPr="00885BCF">
        <w:rPr>
          <w:color w:val="00000A"/>
          <w:sz w:val="20"/>
          <w:szCs w:val="20"/>
          <w:lang w:val="es-ES"/>
        </w:rPr>
        <w:t>todos</w:t>
      </w:r>
      <w:r w:rsidR="00E237FE" w:rsidRPr="00885BCF">
        <w:rPr>
          <w:color w:val="00000A"/>
          <w:sz w:val="20"/>
          <w:szCs w:val="20"/>
          <w:lang w:val="es-ES"/>
        </w:rPr>
        <w:t xml:space="preserve"> los actos procesales </w:t>
      </w:r>
      <w:r w:rsidR="00006426" w:rsidRPr="00885BCF">
        <w:rPr>
          <w:color w:val="00000A"/>
          <w:sz w:val="20"/>
          <w:szCs w:val="20"/>
          <w:lang w:val="es-ES"/>
        </w:rPr>
        <w:t xml:space="preserve">alegados </w:t>
      </w:r>
      <w:r w:rsidR="00E237FE" w:rsidRPr="00885BCF">
        <w:rPr>
          <w:color w:val="00000A"/>
          <w:sz w:val="20"/>
          <w:szCs w:val="20"/>
          <w:lang w:val="es-ES"/>
        </w:rPr>
        <w:t>mediante los correspondientes recursos</w:t>
      </w:r>
      <w:r w:rsidR="00006426" w:rsidRPr="00885BCF">
        <w:rPr>
          <w:color w:val="00000A"/>
          <w:sz w:val="20"/>
          <w:szCs w:val="20"/>
          <w:lang w:val="es-ES"/>
        </w:rPr>
        <w:t>,</w:t>
      </w:r>
      <w:r w:rsidR="00E237FE" w:rsidRPr="00885BCF">
        <w:rPr>
          <w:color w:val="00000A"/>
          <w:sz w:val="20"/>
          <w:szCs w:val="20"/>
          <w:lang w:val="es-ES"/>
        </w:rPr>
        <w:t xml:space="preserve"> tanto en el expediente de exención de pena como en </w:t>
      </w:r>
      <w:r w:rsidR="00006426" w:rsidRPr="00885BCF">
        <w:rPr>
          <w:color w:val="00000A"/>
          <w:sz w:val="20"/>
          <w:szCs w:val="20"/>
          <w:lang w:val="es-ES"/>
        </w:rPr>
        <w:t>el proceso penal principal</w:t>
      </w:r>
      <w:r w:rsidR="00B311F3" w:rsidRPr="00885BCF">
        <w:rPr>
          <w:color w:val="00000A"/>
          <w:sz w:val="20"/>
          <w:szCs w:val="20"/>
          <w:lang w:val="es-ES"/>
        </w:rPr>
        <w:t>, incluyendo la sentencia que lo condenó a 20 años de pena privativa de libertad</w:t>
      </w:r>
      <w:r w:rsidR="004C2399">
        <w:rPr>
          <w:color w:val="00000A"/>
          <w:sz w:val="20"/>
          <w:szCs w:val="20"/>
          <w:lang w:val="es-ES"/>
        </w:rPr>
        <w:t>;</w:t>
      </w:r>
      <w:r w:rsidR="00E237FE" w:rsidRPr="00885BCF">
        <w:rPr>
          <w:color w:val="00000A"/>
          <w:sz w:val="20"/>
          <w:szCs w:val="20"/>
          <w:lang w:val="es-ES"/>
        </w:rPr>
        <w:t xml:space="preserve"> </w:t>
      </w:r>
      <w:r w:rsidRPr="00885BCF">
        <w:rPr>
          <w:color w:val="00000A"/>
          <w:sz w:val="20"/>
          <w:szCs w:val="20"/>
          <w:lang w:val="es-ES"/>
        </w:rPr>
        <w:t>y</w:t>
      </w:r>
      <w:r w:rsidR="00006426" w:rsidRPr="00885BCF">
        <w:rPr>
          <w:color w:val="00000A"/>
          <w:sz w:val="20"/>
          <w:szCs w:val="20"/>
          <w:lang w:val="es-ES"/>
        </w:rPr>
        <w:t xml:space="preserve"> que, de hecho, </w:t>
      </w:r>
      <w:r w:rsidR="00E237FE" w:rsidRPr="00885BCF">
        <w:rPr>
          <w:color w:val="00000A"/>
          <w:sz w:val="20"/>
          <w:szCs w:val="20"/>
          <w:lang w:val="es-ES"/>
        </w:rPr>
        <w:t>tuvo una activa participación procesal.</w:t>
      </w:r>
      <w:r w:rsidR="00F602FF" w:rsidRPr="00885BCF">
        <w:rPr>
          <w:color w:val="00000A"/>
          <w:sz w:val="20"/>
          <w:szCs w:val="20"/>
          <w:lang w:val="es-ES"/>
        </w:rPr>
        <w:t xml:space="preserve"> Adicionalmente, su sentencia fue confirmada por la Sala Penal de la Corte Suprema mediante Ejecutoria Suprema de fecha 24 de mayo de 2002, </w:t>
      </w:r>
      <w:r w:rsidRPr="00885BCF">
        <w:rPr>
          <w:color w:val="00000A"/>
          <w:sz w:val="20"/>
          <w:szCs w:val="20"/>
          <w:lang w:val="es-ES"/>
        </w:rPr>
        <w:t xml:space="preserve">cuando </w:t>
      </w:r>
      <w:r w:rsidR="00F602FF" w:rsidRPr="00885BCF">
        <w:rPr>
          <w:color w:val="00000A"/>
          <w:sz w:val="20"/>
          <w:szCs w:val="20"/>
          <w:lang w:val="es-ES"/>
        </w:rPr>
        <w:t>adquiri</w:t>
      </w:r>
      <w:r w:rsidRPr="00885BCF">
        <w:rPr>
          <w:color w:val="00000A"/>
          <w:sz w:val="20"/>
          <w:szCs w:val="20"/>
          <w:lang w:val="es-ES"/>
        </w:rPr>
        <w:t>ó</w:t>
      </w:r>
      <w:r w:rsidR="00F602FF" w:rsidRPr="00885BCF">
        <w:rPr>
          <w:color w:val="00000A"/>
          <w:sz w:val="20"/>
          <w:szCs w:val="20"/>
          <w:lang w:val="es-ES"/>
        </w:rPr>
        <w:t xml:space="preserve"> la calidad de cosa juzgada.</w:t>
      </w:r>
      <w:r w:rsidR="00D82E14" w:rsidRPr="00885BCF">
        <w:rPr>
          <w:color w:val="00000A"/>
          <w:sz w:val="20"/>
          <w:szCs w:val="20"/>
          <w:lang w:val="es-ES"/>
        </w:rPr>
        <w:t xml:space="preserve"> </w:t>
      </w:r>
      <w:r w:rsidR="00E237FE" w:rsidRPr="00885BCF">
        <w:rPr>
          <w:color w:val="00000A"/>
          <w:sz w:val="20"/>
          <w:szCs w:val="20"/>
          <w:lang w:val="es-ES"/>
        </w:rPr>
        <w:t xml:space="preserve">Por otro lado, el Estado aduce que los procesos penales se resuelven caso a caso y </w:t>
      </w:r>
      <w:r w:rsidR="004C2399">
        <w:rPr>
          <w:color w:val="00000A"/>
          <w:sz w:val="20"/>
          <w:szCs w:val="20"/>
          <w:lang w:val="es-ES"/>
        </w:rPr>
        <w:t xml:space="preserve">que </w:t>
      </w:r>
      <w:r w:rsidR="00E237FE" w:rsidRPr="00885BCF">
        <w:rPr>
          <w:color w:val="00000A"/>
          <w:sz w:val="20"/>
          <w:szCs w:val="20"/>
          <w:lang w:val="es-ES"/>
        </w:rPr>
        <w:t>no se puede</w:t>
      </w:r>
      <w:r w:rsidR="004C2399">
        <w:rPr>
          <w:color w:val="00000A"/>
          <w:sz w:val="20"/>
          <w:szCs w:val="20"/>
          <w:lang w:val="es-ES"/>
        </w:rPr>
        <w:t>n</w:t>
      </w:r>
      <w:r w:rsidR="00E237FE" w:rsidRPr="00885BCF">
        <w:rPr>
          <w:color w:val="00000A"/>
          <w:sz w:val="20"/>
          <w:szCs w:val="20"/>
          <w:lang w:val="es-ES"/>
        </w:rPr>
        <w:t xml:space="preserve"> analizar por medio de analogías</w:t>
      </w:r>
      <w:r w:rsidR="004C2399">
        <w:rPr>
          <w:color w:val="00000A"/>
          <w:sz w:val="20"/>
          <w:szCs w:val="20"/>
          <w:lang w:val="es-ES"/>
        </w:rPr>
        <w:t>;</w:t>
      </w:r>
      <w:r w:rsidR="00E237FE" w:rsidRPr="00885BCF">
        <w:rPr>
          <w:color w:val="00000A"/>
          <w:sz w:val="20"/>
          <w:szCs w:val="20"/>
          <w:lang w:val="es-ES"/>
        </w:rPr>
        <w:t xml:space="preserve"> por </w:t>
      </w:r>
      <w:r w:rsidR="004C2399">
        <w:rPr>
          <w:color w:val="00000A"/>
          <w:sz w:val="20"/>
          <w:szCs w:val="20"/>
          <w:lang w:val="es-ES"/>
        </w:rPr>
        <w:t xml:space="preserve">lo </w:t>
      </w:r>
      <w:r w:rsidR="00E237FE" w:rsidRPr="00885BCF">
        <w:rPr>
          <w:color w:val="00000A"/>
          <w:sz w:val="20"/>
          <w:szCs w:val="20"/>
          <w:lang w:val="es-ES"/>
        </w:rPr>
        <w:t>tanto</w:t>
      </w:r>
      <w:r w:rsidR="004C2399">
        <w:rPr>
          <w:color w:val="00000A"/>
          <w:sz w:val="20"/>
          <w:szCs w:val="20"/>
          <w:lang w:val="es-ES"/>
        </w:rPr>
        <w:t>,</w:t>
      </w:r>
      <w:r w:rsidR="00E237FE" w:rsidRPr="00885BCF">
        <w:rPr>
          <w:color w:val="00000A"/>
          <w:sz w:val="20"/>
          <w:szCs w:val="20"/>
          <w:lang w:val="es-ES"/>
        </w:rPr>
        <w:t xml:space="preserve"> considera que el Sr. Milla Espinoza no puede alegar que ha sido víctima de un trato discriminatorio s</w:t>
      </w:r>
      <w:r w:rsidRPr="00885BCF">
        <w:rPr>
          <w:color w:val="00000A"/>
          <w:sz w:val="20"/>
          <w:szCs w:val="20"/>
          <w:lang w:val="es-ES"/>
        </w:rPr>
        <w:t>ó</w:t>
      </w:r>
      <w:r w:rsidR="00E237FE" w:rsidRPr="00885BCF">
        <w:rPr>
          <w:color w:val="00000A"/>
          <w:sz w:val="20"/>
          <w:szCs w:val="20"/>
          <w:lang w:val="es-ES"/>
        </w:rPr>
        <w:t xml:space="preserve">lo por el hecho de que el resultado de las decisiones adoptadas a nivel interno </w:t>
      </w:r>
      <w:r w:rsidR="00006426" w:rsidRPr="00885BCF">
        <w:rPr>
          <w:color w:val="00000A"/>
          <w:sz w:val="20"/>
          <w:szCs w:val="20"/>
          <w:lang w:val="es-ES"/>
        </w:rPr>
        <w:t xml:space="preserve">le </w:t>
      </w:r>
      <w:r w:rsidR="004C2399">
        <w:rPr>
          <w:color w:val="00000A"/>
          <w:sz w:val="20"/>
          <w:szCs w:val="20"/>
          <w:lang w:val="es-ES"/>
        </w:rPr>
        <w:t>hayan sido</w:t>
      </w:r>
      <w:r w:rsidR="00006426" w:rsidRPr="00885BCF">
        <w:rPr>
          <w:color w:val="00000A"/>
          <w:sz w:val="20"/>
          <w:szCs w:val="20"/>
          <w:lang w:val="es-ES"/>
        </w:rPr>
        <w:t xml:space="preserve"> contrari</w:t>
      </w:r>
      <w:r w:rsidR="004C2399">
        <w:rPr>
          <w:color w:val="00000A"/>
          <w:sz w:val="20"/>
          <w:szCs w:val="20"/>
          <w:lang w:val="es-ES"/>
        </w:rPr>
        <w:t>as</w:t>
      </w:r>
      <w:r w:rsidR="00006426" w:rsidRPr="00885BCF">
        <w:rPr>
          <w:color w:val="00000A"/>
          <w:sz w:val="20"/>
          <w:szCs w:val="20"/>
          <w:lang w:val="es-ES"/>
        </w:rPr>
        <w:t xml:space="preserve">. </w:t>
      </w:r>
    </w:p>
    <w:p w14:paraId="66E3B38E" w14:textId="4A5F2624" w:rsidR="00537EF7" w:rsidRPr="00885BCF" w:rsidRDefault="00E237FE" w:rsidP="00B97895">
      <w:pPr>
        <w:pStyle w:val="ListParagraph"/>
        <w:numPr>
          <w:ilvl w:val="0"/>
          <w:numId w:val="57"/>
        </w:numPr>
        <w:spacing w:before="120" w:after="120"/>
        <w:jc w:val="both"/>
        <w:rPr>
          <w:rFonts w:asciiTheme="majorHAnsi" w:hAnsiTheme="majorHAnsi"/>
          <w:color w:val="auto"/>
          <w:sz w:val="20"/>
          <w:szCs w:val="20"/>
          <w:lang w:val="es-ES"/>
        </w:rPr>
      </w:pPr>
      <w:r w:rsidRPr="00885BCF">
        <w:rPr>
          <w:color w:val="00000A"/>
          <w:sz w:val="20"/>
          <w:szCs w:val="20"/>
          <w:lang w:val="es-ES"/>
        </w:rPr>
        <w:t xml:space="preserve">Afirma también </w:t>
      </w:r>
      <w:r w:rsidR="00DB0F2E" w:rsidRPr="00885BCF">
        <w:rPr>
          <w:color w:val="00000A"/>
          <w:sz w:val="20"/>
          <w:szCs w:val="20"/>
          <w:lang w:val="es-ES"/>
        </w:rPr>
        <w:t xml:space="preserve">el Estado </w:t>
      </w:r>
      <w:r w:rsidRPr="00885BCF">
        <w:rPr>
          <w:color w:val="00000A"/>
          <w:sz w:val="20"/>
          <w:szCs w:val="20"/>
          <w:lang w:val="es-ES"/>
        </w:rPr>
        <w:t xml:space="preserve">que la Primera Sala Penal Permanente de la Corte Suprema concedió el beneficio de exención de la pena el 5 enero de 2004, </w:t>
      </w:r>
      <w:r w:rsidR="007F1ED9">
        <w:rPr>
          <w:color w:val="00000A"/>
          <w:sz w:val="20"/>
          <w:szCs w:val="20"/>
          <w:lang w:val="es-ES"/>
        </w:rPr>
        <w:t>pero que</w:t>
      </w:r>
      <w:r w:rsidRPr="00885BCF">
        <w:rPr>
          <w:color w:val="00000A"/>
          <w:sz w:val="20"/>
          <w:szCs w:val="20"/>
          <w:lang w:val="es-ES"/>
        </w:rPr>
        <w:t xml:space="preserve"> fue otorgado de forma errónea debido al desconocimiento de la identidad de la presunta víctima</w:t>
      </w:r>
      <w:r w:rsidR="007F1ED9">
        <w:rPr>
          <w:color w:val="00000A"/>
          <w:sz w:val="20"/>
          <w:szCs w:val="20"/>
          <w:lang w:val="es-ES"/>
        </w:rPr>
        <w:t>.</w:t>
      </w:r>
      <w:r w:rsidRPr="00885BCF">
        <w:rPr>
          <w:color w:val="00000A"/>
          <w:sz w:val="20"/>
          <w:szCs w:val="20"/>
          <w:lang w:val="es-ES"/>
        </w:rPr>
        <w:t xml:space="preserve"> </w:t>
      </w:r>
      <w:r w:rsidR="007F1ED9">
        <w:rPr>
          <w:color w:val="00000A"/>
          <w:sz w:val="20"/>
          <w:szCs w:val="20"/>
          <w:lang w:val="es-ES"/>
        </w:rPr>
        <w:t>Sostiene que est</w:t>
      </w:r>
      <w:r w:rsidR="006D626A">
        <w:rPr>
          <w:color w:val="00000A"/>
          <w:sz w:val="20"/>
          <w:szCs w:val="20"/>
          <w:lang w:val="es-ES"/>
        </w:rPr>
        <w:t>o</w:t>
      </w:r>
      <w:r w:rsidR="007F1ED9">
        <w:rPr>
          <w:color w:val="00000A"/>
          <w:sz w:val="20"/>
          <w:szCs w:val="20"/>
          <w:lang w:val="es-ES"/>
        </w:rPr>
        <w:t xml:space="preserve"> se debió </w:t>
      </w:r>
      <w:r w:rsidR="006D626A">
        <w:rPr>
          <w:color w:val="00000A"/>
          <w:sz w:val="20"/>
          <w:szCs w:val="20"/>
          <w:lang w:val="es-ES"/>
        </w:rPr>
        <w:t xml:space="preserve">a </w:t>
      </w:r>
      <w:r w:rsidR="006D626A" w:rsidRPr="00885BCF">
        <w:rPr>
          <w:color w:val="00000A"/>
          <w:sz w:val="20"/>
          <w:szCs w:val="20"/>
          <w:lang w:val="es-ES"/>
        </w:rPr>
        <w:t>que</w:t>
      </w:r>
      <w:r w:rsidRPr="00885BCF">
        <w:rPr>
          <w:color w:val="00000A"/>
          <w:sz w:val="20"/>
          <w:szCs w:val="20"/>
          <w:lang w:val="es-ES"/>
        </w:rPr>
        <w:t xml:space="preserve"> estaba identificad</w:t>
      </w:r>
      <w:r w:rsidR="007F1ED9">
        <w:rPr>
          <w:color w:val="00000A"/>
          <w:sz w:val="20"/>
          <w:szCs w:val="20"/>
          <w:lang w:val="es-ES"/>
        </w:rPr>
        <w:t>a</w:t>
      </w:r>
      <w:r w:rsidRPr="00885BCF">
        <w:rPr>
          <w:color w:val="00000A"/>
          <w:sz w:val="20"/>
          <w:szCs w:val="20"/>
          <w:lang w:val="es-ES"/>
        </w:rPr>
        <w:t xml:space="preserve"> por un número clave, </w:t>
      </w:r>
      <w:r w:rsidR="00DB0F2E" w:rsidRPr="00885BCF">
        <w:rPr>
          <w:color w:val="00000A"/>
          <w:sz w:val="20"/>
          <w:szCs w:val="20"/>
          <w:lang w:val="es-ES"/>
        </w:rPr>
        <w:t xml:space="preserve">lo que </w:t>
      </w:r>
      <w:r w:rsidRPr="00885BCF">
        <w:rPr>
          <w:color w:val="00000A"/>
          <w:sz w:val="20"/>
          <w:szCs w:val="20"/>
          <w:lang w:val="es-ES"/>
        </w:rPr>
        <w:t>ocasion</w:t>
      </w:r>
      <w:r w:rsidR="00DB0F2E" w:rsidRPr="00885BCF">
        <w:rPr>
          <w:color w:val="00000A"/>
          <w:sz w:val="20"/>
          <w:szCs w:val="20"/>
          <w:lang w:val="es-ES"/>
        </w:rPr>
        <w:t>ó</w:t>
      </w:r>
      <w:r w:rsidRPr="00885BCF">
        <w:rPr>
          <w:color w:val="00000A"/>
          <w:sz w:val="20"/>
          <w:szCs w:val="20"/>
          <w:lang w:val="es-ES"/>
        </w:rPr>
        <w:t xml:space="preserve"> problemas en su identificación y consecuentemente en la determinación de su condena. El Estado considera que la Corte Suprema obró conforme a la ley al emitir la segunda ejecutoria suprema de 16 de enero de 2004 que anuló la resolución de 5 de enero de 20</w:t>
      </w:r>
      <w:r w:rsidR="00843D37">
        <w:rPr>
          <w:color w:val="00000A"/>
          <w:sz w:val="20"/>
          <w:szCs w:val="20"/>
          <w:lang w:val="es-ES"/>
        </w:rPr>
        <w:t xml:space="preserve">04. </w:t>
      </w:r>
      <w:r w:rsidR="00DB0F2E" w:rsidRPr="00885BCF">
        <w:rPr>
          <w:color w:val="00000A"/>
          <w:sz w:val="20"/>
          <w:szCs w:val="20"/>
          <w:lang w:val="es-ES"/>
        </w:rPr>
        <w:t>S</w:t>
      </w:r>
      <w:r w:rsidRPr="00885BCF">
        <w:rPr>
          <w:color w:val="00000A"/>
          <w:sz w:val="20"/>
          <w:szCs w:val="20"/>
          <w:lang w:val="es-ES"/>
        </w:rPr>
        <w:t xml:space="preserve">ostiene </w:t>
      </w:r>
      <w:r w:rsidR="00DB0F2E" w:rsidRPr="00885BCF">
        <w:rPr>
          <w:color w:val="00000A"/>
          <w:sz w:val="20"/>
          <w:szCs w:val="20"/>
          <w:lang w:val="es-ES"/>
        </w:rPr>
        <w:t xml:space="preserve">además </w:t>
      </w:r>
      <w:r w:rsidRPr="00885BCF">
        <w:rPr>
          <w:color w:val="00000A"/>
          <w:sz w:val="20"/>
          <w:szCs w:val="20"/>
          <w:lang w:val="es-ES"/>
        </w:rPr>
        <w:t xml:space="preserve">que </w:t>
      </w:r>
      <w:r w:rsidR="00DB0F2E" w:rsidRPr="00885BCF">
        <w:rPr>
          <w:color w:val="00000A"/>
          <w:sz w:val="20"/>
          <w:szCs w:val="20"/>
          <w:lang w:val="es-ES"/>
        </w:rPr>
        <w:t>hubo</w:t>
      </w:r>
      <w:r w:rsidRPr="00885BCF">
        <w:rPr>
          <w:color w:val="00000A"/>
          <w:sz w:val="20"/>
          <w:szCs w:val="20"/>
          <w:lang w:val="es-ES"/>
        </w:rPr>
        <w:t xml:space="preserve"> </w:t>
      </w:r>
      <w:r w:rsidRPr="00885BCF">
        <w:rPr>
          <w:color w:val="00000A"/>
          <w:sz w:val="20"/>
          <w:szCs w:val="20"/>
          <w:lang w:val="es-ES"/>
        </w:rPr>
        <w:lastRenderedPageBreak/>
        <w:t>base legal para la anulación de dicha resolución</w:t>
      </w:r>
      <w:r w:rsidR="00DB0F2E" w:rsidRPr="00885BCF">
        <w:rPr>
          <w:color w:val="00000A"/>
          <w:sz w:val="20"/>
          <w:szCs w:val="20"/>
          <w:lang w:val="es-ES"/>
        </w:rPr>
        <w:t>,</w:t>
      </w:r>
      <w:r w:rsidRPr="00885BCF">
        <w:rPr>
          <w:color w:val="00000A"/>
          <w:sz w:val="20"/>
          <w:szCs w:val="20"/>
          <w:lang w:val="es-ES"/>
        </w:rPr>
        <w:t xml:space="preserve"> dado que contravenía la sentencia principal </w:t>
      </w:r>
      <w:r w:rsidR="00DB0F2E" w:rsidRPr="00885BCF">
        <w:rPr>
          <w:color w:val="00000A"/>
          <w:sz w:val="20"/>
          <w:szCs w:val="20"/>
          <w:lang w:val="es-ES"/>
        </w:rPr>
        <w:t>que</w:t>
      </w:r>
      <w:r w:rsidRPr="00885BCF">
        <w:rPr>
          <w:color w:val="00000A"/>
          <w:sz w:val="20"/>
          <w:szCs w:val="20"/>
          <w:lang w:val="es-ES"/>
        </w:rPr>
        <w:t xml:space="preserve"> ya había adquirido la calidad de cosa juzgada.</w:t>
      </w:r>
      <w:bookmarkEnd w:id="3"/>
      <w:r w:rsidR="001E19AE" w:rsidRPr="00885BCF">
        <w:rPr>
          <w:lang w:val="es-MX"/>
        </w:rPr>
        <w:t xml:space="preserve"> </w:t>
      </w:r>
      <w:r w:rsidR="001E19AE" w:rsidRPr="00885BCF">
        <w:rPr>
          <w:color w:val="00000A"/>
          <w:sz w:val="20"/>
          <w:szCs w:val="20"/>
          <w:lang w:val="es-ES"/>
        </w:rPr>
        <w:t xml:space="preserve">Además, </w:t>
      </w:r>
      <w:r w:rsidR="00DB0F2E" w:rsidRPr="00885BCF">
        <w:rPr>
          <w:color w:val="00000A"/>
          <w:sz w:val="20"/>
          <w:szCs w:val="20"/>
          <w:lang w:val="es-ES"/>
        </w:rPr>
        <w:t xml:space="preserve">el Estado </w:t>
      </w:r>
      <w:r w:rsidR="001E19AE" w:rsidRPr="00885BCF">
        <w:rPr>
          <w:color w:val="00000A"/>
          <w:sz w:val="20"/>
          <w:szCs w:val="20"/>
          <w:lang w:val="es-ES"/>
        </w:rPr>
        <w:t>plantea que la referida anulación no imp</w:t>
      </w:r>
      <w:r w:rsidR="007F1ED9">
        <w:rPr>
          <w:color w:val="00000A"/>
          <w:sz w:val="20"/>
          <w:szCs w:val="20"/>
          <w:lang w:val="es-ES"/>
        </w:rPr>
        <w:t>edía</w:t>
      </w:r>
      <w:r w:rsidR="001E19AE" w:rsidRPr="00885BCF">
        <w:rPr>
          <w:color w:val="00000A"/>
          <w:sz w:val="20"/>
          <w:szCs w:val="20"/>
          <w:lang w:val="es-ES"/>
        </w:rPr>
        <w:t xml:space="preserve"> a la presunta víctima solicitar la remisión de pena o el indulto</w:t>
      </w:r>
      <w:r w:rsidR="00A61D8E" w:rsidRPr="00885BCF">
        <w:rPr>
          <w:color w:val="00000A"/>
          <w:sz w:val="20"/>
          <w:szCs w:val="20"/>
          <w:lang w:val="es-ES"/>
        </w:rPr>
        <w:t xml:space="preserve">, previstos en </w:t>
      </w:r>
      <w:r w:rsidR="001E19AE" w:rsidRPr="00885BCF">
        <w:rPr>
          <w:color w:val="00000A"/>
          <w:sz w:val="20"/>
          <w:szCs w:val="20"/>
          <w:lang w:val="es-ES"/>
        </w:rPr>
        <w:t xml:space="preserve">la Ley de </w:t>
      </w:r>
      <w:r w:rsidR="007F1ED9">
        <w:rPr>
          <w:color w:val="00000A"/>
          <w:sz w:val="20"/>
          <w:szCs w:val="20"/>
          <w:lang w:val="es-ES"/>
        </w:rPr>
        <w:t>A</w:t>
      </w:r>
      <w:r w:rsidR="001E19AE" w:rsidRPr="00885BCF">
        <w:rPr>
          <w:color w:val="00000A"/>
          <w:sz w:val="20"/>
          <w:szCs w:val="20"/>
          <w:lang w:val="es-ES"/>
        </w:rPr>
        <w:t>rrepenti</w:t>
      </w:r>
      <w:r w:rsidR="00A61D8E" w:rsidRPr="00885BCF">
        <w:rPr>
          <w:color w:val="00000A"/>
          <w:sz w:val="20"/>
          <w:szCs w:val="20"/>
          <w:lang w:val="es-ES"/>
        </w:rPr>
        <w:t>miento</w:t>
      </w:r>
      <w:r w:rsidR="00576489">
        <w:rPr>
          <w:color w:val="00000A"/>
          <w:sz w:val="20"/>
          <w:szCs w:val="20"/>
          <w:lang w:val="es-ES"/>
        </w:rPr>
        <w:t>,</w:t>
      </w:r>
      <w:r w:rsidR="00F23A38" w:rsidRPr="00885BCF">
        <w:rPr>
          <w:color w:val="00000A"/>
          <w:sz w:val="20"/>
          <w:szCs w:val="20"/>
          <w:lang w:val="es-ES"/>
        </w:rPr>
        <w:t xml:space="preserve"> </w:t>
      </w:r>
      <w:r w:rsidR="00576489">
        <w:rPr>
          <w:color w:val="00000A"/>
          <w:sz w:val="20"/>
          <w:szCs w:val="20"/>
          <w:lang w:val="es-ES"/>
        </w:rPr>
        <w:t xml:space="preserve">que era </w:t>
      </w:r>
      <w:r w:rsidR="00F23A38" w:rsidRPr="00885BCF">
        <w:rPr>
          <w:color w:val="00000A"/>
          <w:sz w:val="20"/>
          <w:szCs w:val="20"/>
          <w:lang w:val="es-ES"/>
        </w:rPr>
        <w:t xml:space="preserve">la vía idónea para la obtención de su </w:t>
      </w:r>
      <w:r w:rsidR="00F23A38" w:rsidRPr="00691959">
        <w:rPr>
          <w:color w:val="00000A"/>
          <w:sz w:val="20"/>
          <w:szCs w:val="20"/>
          <w:lang w:val="es-ES"/>
        </w:rPr>
        <w:t>libertad</w:t>
      </w:r>
      <w:r w:rsidR="00576489" w:rsidRPr="00691959">
        <w:rPr>
          <w:color w:val="00000A"/>
          <w:sz w:val="20"/>
          <w:szCs w:val="20"/>
          <w:lang w:val="es-ES"/>
        </w:rPr>
        <w:t>.</w:t>
      </w:r>
      <w:r w:rsidR="00F23A38" w:rsidRPr="00691959">
        <w:rPr>
          <w:color w:val="00000A"/>
          <w:sz w:val="20"/>
          <w:szCs w:val="20"/>
          <w:lang w:val="es-ES"/>
        </w:rPr>
        <w:t xml:space="preserve"> </w:t>
      </w:r>
      <w:r w:rsidR="00576489" w:rsidRPr="00691959">
        <w:rPr>
          <w:color w:val="00000A"/>
          <w:sz w:val="20"/>
          <w:szCs w:val="20"/>
          <w:lang w:val="es-ES"/>
        </w:rPr>
        <w:t xml:space="preserve">Sostiene </w:t>
      </w:r>
      <w:r w:rsidR="007F1ED9" w:rsidRPr="00691959">
        <w:rPr>
          <w:color w:val="00000A"/>
          <w:sz w:val="20"/>
          <w:szCs w:val="20"/>
          <w:lang w:val="es-ES"/>
        </w:rPr>
        <w:t xml:space="preserve">que no </w:t>
      </w:r>
      <w:r w:rsidR="00576489" w:rsidRPr="00691959">
        <w:rPr>
          <w:color w:val="00000A"/>
          <w:sz w:val="20"/>
          <w:szCs w:val="20"/>
          <w:lang w:val="es-ES"/>
        </w:rPr>
        <w:t>la presunta víctima no agotó</w:t>
      </w:r>
      <w:r w:rsidR="007F1ED9" w:rsidRPr="00691959">
        <w:rPr>
          <w:color w:val="00000A"/>
          <w:sz w:val="20"/>
          <w:szCs w:val="20"/>
          <w:lang w:val="es-ES"/>
        </w:rPr>
        <w:t xml:space="preserve"> </w:t>
      </w:r>
      <w:r w:rsidR="00576489" w:rsidRPr="00691959">
        <w:rPr>
          <w:color w:val="00000A"/>
          <w:sz w:val="20"/>
          <w:szCs w:val="20"/>
          <w:lang w:val="es-ES"/>
        </w:rPr>
        <w:t>dichos</w:t>
      </w:r>
      <w:r w:rsidR="007F1ED9" w:rsidRPr="00691959">
        <w:rPr>
          <w:color w:val="00000A"/>
          <w:sz w:val="20"/>
          <w:szCs w:val="20"/>
          <w:lang w:val="es-ES"/>
        </w:rPr>
        <w:t xml:space="preserve"> recursos internos</w:t>
      </w:r>
      <w:r w:rsidR="00576489" w:rsidRPr="00691959">
        <w:rPr>
          <w:color w:val="00000A"/>
          <w:sz w:val="20"/>
          <w:szCs w:val="20"/>
          <w:lang w:val="es-ES"/>
        </w:rPr>
        <w:t>, que eran los</w:t>
      </w:r>
      <w:r w:rsidR="007F1ED9" w:rsidRPr="00691959">
        <w:rPr>
          <w:color w:val="00000A"/>
          <w:sz w:val="20"/>
          <w:szCs w:val="20"/>
          <w:lang w:val="es-ES"/>
        </w:rPr>
        <w:t xml:space="preserve"> idóneos y eficaces, </w:t>
      </w:r>
      <w:r w:rsidR="00576489" w:rsidRPr="00691959">
        <w:rPr>
          <w:color w:val="00000A"/>
          <w:sz w:val="20"/>
          <w:szCs w:val="20"/>
          <w:lang w:val="es-ES"/>
        </w:rPr>
        <w:t xml:space="preserve">y que en consecuencia </w:t>
      </w:r>
      <w:r w:rsidR="00F23A38" w:rsidRPr="00691959">
        <w:rPr>
          <w:color w:val="00000A"/>
          <w:sz w:val="20"/>
          <w:szCs w:val="20"/>
          <w:lang w:val="es-ES"/>
        </w:rPr>
        <w:t xml:space="preserve">la presente petición </w:t>
      </w:r>
      <w:r w:rsidR="00DB0F2E" w:rsidRPr="00691959">
        <w:rPr>
          <w:color w:val="00000A"/>
          <w:sz w:val="20"/>
          <w:szCs w:val="20"/>
          <w:lang w:val="es-ES"/>
        </w:rPr>
        <w:t>es</w:t>
      </w:r>
      <w:r w:rsidR="00F23A38" w:rsidRPr="00691959">
        <w:rPr>
          <w:color w:val="00000A"/>
          <w:sz w:val="20"/>
          <w:szCs w:val="20"/>
          <w:lang w:val="es-ES"/>
        </w:rPr>
        <w:t xml:space="preserve"> inadmisible</w:t>
      </w:r>
      <w:r w:rsidR="00A61D8E" w:rsidRPr="00691959">
        <w:rPr>
          <w:color w:val="00000A"/>
          <w:sz w:val="20"/>
          <w:szCs w:val="20"/>
          <w:lang w:val="es-ES"/>
        </w:rPr>
        <w:t>.</w:t>
      </w:r>
      <w:r w:rsidR="00BC1B1B" w:rsidRPr="00691959">
        <w:rPr>
          <w:color w:val="00000A"/>
          <w:sz w:val="20"/>
          <w:szCs w:val="20"/>
          <w:lang w:val="es-ES"/>
        </w:rPr>
        <w:t xml:space="preserve"> Finalmente, señala que los procesos constitucionales como el habeas corpus tienen</w:t>
      </w:r>
      <w:r w:rsidR="00BC1B1B" w:rsidRPr="00885BCF">
        <w:rPr>
          <w:color w:val="00000A"/>
          <w:sz w:val="20"/>
          <w:szCs w:val="20"/>
          <w:lang w:val="es-ES"/>
        </w:rPr>
        <w:t xml:space="preserve"> como objeto de protección el contenido </w:t>
      </w:r>
      <w:r w:rsidR="00DB0F2E" w:rsidRPr="00885BCF">
        <w:rPr>
          <w:color w:val="00000A"/>
          <w:sz w:val="20"/>
          <w:szCs w:val="20"/>
          <w:lang w:val="es-ES"/>
        </w:rPr>
        <w:t xml:space="preserve">de derechos fundamentales </w:t>
      </w:r>
      <w:r w:rsidR="00BC1B1B" w:rsidRPr="00885BCF">
        <w:rPr>
          <w:color w:val="00000A"/>
          <w:sz w:val="20"/>
          <w:szCs w:val="20"/>
          <w:lang w:val="es-ES"/>
        </w:rPr>
        <w:t>constitucionalmente protegido</w:t>
      </w:r>
      <w:r w:rsidR="00DB0F2E" w:rsidRPr="00885BCF">
        <w:rPr>
          <w:color w:val="00000A"/>
          <w:sz w:val="20"/>
          <w:szCs w:val="20"/>
          <w:lang w:val="es-ES"/>
        </w:rPr>
        <w:t>s</w:t>
      </w:r>
      <w:r w:rsidR="00BC1B1B" w:rsidRPr="00885BCF">
        <w:rPr>
          <w:color w:val="00000A"/>
          <w:sz w:val="20"/>
          <w:szCs w:val="20"/>
          <w:lang w:val="es-ES"/>
        </w:rPr>
        <w:t>, más no beneficios penales como la exención de pena.</w:t>
      </w:r>
    </w:p>
    <w:p w14:paraId="486C47F8" w14:textId="77777777" w:rsidR="002752F6" w:rsidRPr="00885BCF" w:rsidRDefault="00A17201" w:rsidP="00B97895">
      <w:pPr>
        <w:spacing w:before="120" w:after="120"/>
        <w:ind w:firstLine="720"/>
        <w:jc w:val="both"/>
        <w:rPr>
          <w:rFonts w:asciiTheme="majorHAnsi" w:eastAsia="Cambria" w:hAnsiTheme="majorHAnsi" w:cs="Cambria"/>
          <w:b/>
          <w:bCs/>
          <w:sz w:val="20"/>
          <w:szCs w:val="20"/>
          <w:u w:color="000000"/>
          <w:lang w:val="es-ES" w:eastAsia="es-ES"/>
        </w:rPr>
      </w:pPr>
      <w:r w:rsidRPr="00885BCF">
        <w:rPr>
          <w:rFonts w:asciiTheme="majorHAnsi" w:eastAsia="Cambria" w:hAnsiTheme="majorHAnsi" w:cs="Cambria"/>
          <w:b/>
          <w:bCs/>
          <w:sz w:val="20"/>
          <w:szCs w:val="20"/>
          <w:u w:color="000000"/>
          <w:lang w:val="es-ES" w:eastAsia="es-ES"/>
        </w:rPr>
        <w:t>VI.</w:t>
      </w:r>
      <w:r w:rsidRPr="00885BCF">
        <w:rPr>
          <w:rFonts w:asciiTheme="majorHAnsi" w:eastAsia="Cambria" w:hAnsiTheme="majorHAnsi" w:cs="Cambria"/>
          <w:b/>
          <w:bCs/>
          <w:sz w:val="20"/>
          <w:szCs w:val="20"/>
          <w:u w:color="000000"/>
          <w:lang w:val="es-ES" w:eastAsia="es-ES"/>
        </w:rPr>
        <w:tab/>
        <w:t>AGOTAMIENTO DE LOS RECURSOS INTERNOS Y PLAZO DE PRESENTACIÓN</w:t>
      </w:r>
    </w:p>
    <w:p w14:paraId="7D11D8D2" w14:textId="03592D81" w:rsidR="00FF3CAB" w:rsidRPr="00E02B48" w:rsidRDefault="00A87ECE" w:rsidP="00B9789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eastAsia="Times New Roman" w:hAnsiTheme="majorHAnsi" w:cs="Arial"/>
          <w:color w:val="auto"/>
          <w:sz w:val="20"/>
          <w:szCs w:val="20"/>
          <w:bdr w:val="none" w:sz="0" w:space="0" w:color="auto"/>
          <w:lang w:val="es-ES"/>
        </w:rPr>
      </w:pPr>
      <w:r w:rsidRPr="00885BCF">
        <w:rPr>
          <w:rFonts w:asciiTheme="majorHAnsi" w:eastAsia="Times New Roman" w:hAnsiTheme="majorHAnsi" w:cs="Arial"/>
          <w:color w:val="auto"/>
          <w:sz w:val="20"/>
          <w:szCs w:val="20"/>
          <w:bdr w:val="none" w:sz="0" w:space="0" w:color="auto"/>
          <w:lang w:val="es-ES"/>
        </w:rPr>
        <w:t xml:space="preserve">El 16 de enero de 2004 el peticionario presentó acciones de habeas corpus </w:t>
      </w:r>
      <w:r w:rsidR="00B0271B" w:rsidRPr="00885BCF">
        <w:rPr>
          <w:rFonts w:asciiTheme="majorHAnsi" w:eastAsia="Times New Roman" w:hAnsiTheme="majorHAnsi" w:cs="Arial"/>
          <w:color w:val="auto"/>
          <w:sz w:val="20"/>
          <w:szCs w:val="20"/>
          <w:bdr w:val="none" w:sz="0" w:space="0" w:color="auto"/>
          <w:lang w:val="es-ES"/>
        </w:rPr>
        <w:t>contra la segunda eje</w:t>
      </w:r>
      <w:r w:rsidR="00821912" w:rsidRPr="00885BCF">
        <w:rPr>
          <w:rFonts w:asciiTheme="majorHAnsi" w:eastAsia="Times New Roman" w:hAnsiTheme="majorHAnsi" w:cs="Arial"/>
          <w:color w:val="auto"/>
          <w:sz w:val="20"/>
          <w:szCs w:val="20"/>
          <w:bdr w:val="none" w:sz="0" w:space="0" w:color="auto"/>
          <w:lang w:val="es-ES"/>
        </w:rPr>
        <w:t>cutoria</w:t>
      </w:r>
      <w:r w:rsidR="00A030F2" w:rsidRPr="00885BCF">
        <w:rPr>
          <w:rFonts w:asciiTheme="majorHAnsi" w:eastAsia="Times New Roman" w:hAnsiTheme="majorHAnsi" w:cs="Arial"/>
          <w:color w:val="auto"/>
          <w:sz w:val="20"/>
          <w:szCs w:val="20"/>
          <w:bdr w:val="none" w:sz="0" w:space="0" w:color="auto"/>
          <w:lang w:val="es-ES"/>
        </w:rPr>
        <w:t xml:space="preserve"> </w:t>
      </w:r>
      <w:r w:rsidRPr="00885BCF">
        <w:rPr>
          <w:rFonts w:asciiTheme="majorHAnsi" w:eastAsia="Times New Roman" w:hAnsiTheme="majorHAnsi" w:cs="Arial"/>
          <w:color w:val="auto"/>
          <w:sz w:val="20"/>
          <w:szCs w:val="20"/>
          <w:bdr w:val="none" w:sz="0" w:space="0" w:color="auto"/>
          <w:lang w:val="es-ES"/>
        </w:rPr>
        <w:t>de esa misma fecha, que</w:t>
      </w:r>
      <w:r w:rsidR="00A030F2" w:rsidRPr="00885BCF">
        <w:rPr>
          <w:rFonts w:asciiTheme="majorHAnsi" w:eastAsia="Times New Roman" w:hAnsiTheme="majorHAnsi" w:cs="Arial"/>
          <w:color w:val="auto"/>
          <w:sz w:val="20"/>
          <w:szCs w:val="20"/>
          <w:bdr w:val="none" w:sz="0" w:space="0" w:color="auto"/>
          <w:lang w:val="es-ES"/>
        </w:rPr>
        <w:t xml:space="preserve"> deja</w:t>
      </w:r>
      <w:r w:rsidRPr="00885BCF">
        <w:rPr>
          <w:rFonts w:asciiTheme="majorHAnsi" w:eastAsia="Times New Roman" w:hAnsiTheme="majorHAnsi" w:cs="Arial"/>
          <w:color w:val="auto"/>
          <w:sz w:val="20"/>
          <w:szCs w:val="20"/>
          <w:bdr w:val="none" w:sz="0" w:space="0" w:color="auto"/>
          <w:lang w:val="es-ES"/>
        </w:rPr>
        <w:t>ba</w:t>
      </w:r>
      <w:r w:rsidR="00A030F2" w:rsidRPr="00885BCF">
        <w:rPr>
          <w:rFonts w:asciiTheme="majorHAnsi" w:eastAsia="Times New Roman" w:hAnsiTheme="majorHAnsi" w:cs="Arial"/>
          <w:color w:val="auto"/>
          <w:sz w:val="20"/>
          <w:szCs w:val="20"/>
          <w:bdr w:val="none" w:sz="0" w:space="0" w:color="auto"/>
          <w:lang w:val="es-ES"/>
        </w:rPr>
        <w:t xml:space="preserve"> sin efecto la orden de libertad del 5 enero 2004</w:t>
      </w:r>
      <w:r w:rsidRPr="00885BCF">
        <w:rPr>
          <w:rFonts w:asciiTheme="majorHAnsi" w:eastAsia="Times New Roman" w:hAnsiTheme="majorHAnsi" w:cs="Arial"/>
          <w:color w:val="auto"/>
          <w:sz w:val="20"/>
          <w:szCs w:val="20"/>
          <w:bdr w:val="none" w:sz="0" w:space="0" w:color="auto"/>
          <w:lang w:val="es-ES"/>
        </w:rPr>
        <w:t>;</w:t>
      </w:r>
      <w:r w:rsidR="00821912" w:rsidRPr="00885BCF">
        <w:rPr>
          <w:rFonts w:asciiTheme="majorHAnsi" w:eastAsia="Times New Roman" w:hAnsiTheme="majorHAnsi" w:cs="Arial"/>
          <w:color w:val="auto"/>
          <w:sz w:val="20"/>
          <w:szCs w:val="20"/>
          <w:bdr w:val="none" w:sz="0" w:space="0" w:color="auto"/>
          <w:lang w:val="es-ES"/>
        </w:rPr>
        <w:t xml:space="preserve"> </w:t>
      </w:r>
      <w:r w:rsidRPr="00885BCF">
        <w:rPr>
          <w:rFonts w:asciiTheme="majorHAnsi" w:eastAsia="Times New Roman" w:hAnsiTheme="majorHAnsi" w:cs="Arial"/>
          <w:color w:val="auto"/>
          <w:sz w:val="20"/>
          <w:szCs w:val="20"/>
          <w:bdr w:val="none" w:sz="0" w:space="0" w:color="auto"/>
          <w:lang w:val="es-ES"/>
        </w:rPr>
        <w:t xml:space="preserve">y volvió a presentar </w:t>
      </w:r>
      <w:r w:rsidR="00977304" w:rsidRPr="00885BCF">
        <w:rPr>
          <w:rFonts w:asciiTheme="majorHAnsi" w:eastAsia="Times New Roman" w:hAnsiTheme="majorHAnsi" w:cs="Arial"/>
          <w:color w:val="auto"/>
          <w:sz w:val="20"/>
          <w:szCs w:val="20"/>
          <w:bdr w:val="none" w:sz="0" w:space="0" w:color="auto"/>
          <w:lang w:val="es-ES"/>
        </w:rPr>
        <w:t>otro</w:t>
      </w:r>
      <w:r w:rsidRPr="00885BCF">
        <w:rPr>
          <w:rFonts w:asciiTheme="majorHAnsi" w:eastAsia="Times New Roman" w:hAnsiTheme="majorHAnsi" w:cs="Arial"/>
          <w:color w:val="auto"/>
          <w:sz w:val="20"/>
          <w:szCs w:val="20"/>
          <w:bdr w:val="none" w:sz="0" w:space="0" w:color="auto"/>
          <w:lang w:val="es-ES"/>
        </w:rPr>
        <w:t xml:space="preserve"> habeas corpus </w:t>
      </w:r>
      <w:r w:rsidR="00821912" w:rsidRPr="00885BCF">
        <w:rPr>
          <w:rFonts w:asciiTheme="majorHAnsi" w:eastAsia="Times New Roman" w:hAnsiTheme="majorHAnsi" w:cs="Arial"/>
          <w:color w:val="auto"/>
          <w:sz w:val="20"/>
          <w:szCs w:val="20"/>
          <w:bdr w:val="none" w:sz="0" w:space="0" w:color="auto"/>
          <w:lang w:val="es-ES"/>
        </w:rPr>
        <w:t xml:space="preserve">el 23 de marzo del mismo año. El 13 de julio de 2004, tal recurso fue denegado por el juez del Décimo Sexto Juzgado Penal de Lima, </w:t>
      </w:r>
      <w:r w:rsidRPr="00885BCF">
        <w:rPr>
          <w:rFonts w:asciiTheme="majorHAnsi" w:eastAsia="Times New Roman" w:hAnsiTheme="majorHAnsi" w:cs="Arial"/>
          <w:color w:val="auto"/>
          <w:sz w:val="20"/>
          <w:szCs w:val="20"/>
          <w:bdr w:val="none" w:sz="0" w:space="0" w:color="auto"/>
          <w:lang w:val="es-ES"/>
        </w:rPr>
        <w:t>pues no halló</w:t>
      </w:r>
      <w:r w:rsidR="00821912" w:rsidRPr="00885BCF">
        <w:rPr>
          <w:rFonts w:asciiTheme="majorHAnsi" w:eastAsia="Times New Roman" w:hAnsiTheme="majorHAnsi" w:cs="Arial"/>
          <w:color w:val="auto"/>
          <w:sz w:val="20"/>
          <w:szCs w:val="20"/>
          <w:bdr w:val="none" w:sz="0" w:space="0" w:color="auto"/>
          <w:lang w:val="es-ES"/>
        </w:rPr>
        <w:t xml:space="preserve"> irregularidades en el trámite.</w:t>
      </w:r>
      <w:r w:rsidR="00821912" w:rsidRPr="00885BCF">
        <w:rPr>
          <w:lang w:val="es-MX"/>
        </w:rPr>
        <w:t xml:space="preserve"> </w:t>
      </w:r>
      <w:proofErr w:type="gramStart"/>
      <w:r w:rsidR="00821912" w:rsidRPr="00885BCF">
        <w:rPr>
          <w:rFonts w:asciiTheme="majorHAnsi" w:eastAsia="Times New Roman" w:hAnsiTheme="majorHAnsi" w:cs="Arial"/>
          <w:color w:val="auto"/>
          <w:sz w:val="20"/>
          <w:szCs w:val="20"/>
          <w:bdr w:val="none" w:sz="0" w:space="0" w:color="auto"/>
          <w:lang w:val="es-ES"/>
        </w:rPr>
        <w:t>El</w:t>
      </w:r>
      <w:proofErr w:type="gramEnd"/>
      <w:r w:rsidR="00821912" w:rsidRPr="00885BCF">
        <w:rPr>
          <w:rFonts w:asciiTheme="majorHAnsi" w:eastAsia="Times New Roman" w:hAnsiTheme="majorHAnsi" w:cs="Arial"/>
          <w:color w:val="auto"/>
          <w:sz w:val="20"/>
          <w:szCs w:val="20"/>
          <w:bdr w:val="none" w:sz="0" w:space="0" w:color="auto"/>
          <w:lang w:val="es-ES"/>
        </w:rPr>
        <w:t xml:space="preserve"> Sr. Milla Espinoza apeló esta decisión ante la Corte Superior de Justicia de Lima, </w:t>
      </w:r>
      <w:r w:rsidR="00C568F8" w:rsidRPr="00885BCF">
        <w:rPr>
          <w:rFonts w:asciiTheme="majorHAnsi" w:eastAsia="Times New Roman" w:hAnsiTheme="majorHAnsi" w:cs="Arial"/>
          <w:color w:val="auto"/>
          <w:sz w:val="20"/>
          <w:szCs w:val="20"/>
          <w:bdr w:val="none" w:sz="0" w:space="0" w:color="auto"/>
          <w:lang w:val="es-ES"/>
        </w:rPr>
        <w:t>que</w:t>
      </w:r>
      <w:r w:rsidR="00821912" w:rsidRPr="00885BCF">
        <w:rPr>
          <w:rFonts w:asciiTheme="majorHAnsi" w:eastAsia="Times New Roman" w:hAnsiTheme="majorHAnsi" w:cs="Arial"/>
          <w:color w:val="auto"/>
          <w:sz w:val="20"/>
          <w:szCs w:val="20"/>
          <w:bdr w:val="none" w:sz="0" w:space="0" w:color="auto"/>
          <w:lang w:val="es-ES"/>
        </w:rPr>
        <w:t xml:space="preserve"> confirmó el 9 de noviembre de 2004 la resolución apelada. Contra esta última sentencia, la presunta víctima interpuso un recurso de agravio constitucional ante el Tribunal Constitucional, </w:t>
      </w:r>
      <w:r w:rsidR="00C568F8" w:rsidRPr="00885BCF">
        <w:rPr>
          <w:rFonts w:asciiTheme="majorHAnsi" w:eastAsia="Times New Roman" w:hAnsiTheme="majorHAnsi" w:cs="Arial"/>
          <w:color w:val="auto"/>
          <w:sz w:val="20"/>
          <w:szCs w:val="20"/>
          <w:bdr w:val="none" w:sz="0" w:space="0" w:color="auto"/>
          <w:lang w:val="es-ES"/>
        </w:rPr>
        <w:t xml:space="preserve">que lo declaró improcedente </w:t>
      </w:r>
      <w:r w:rsidR="00821912" w:rsidRPr="00885BCF">
        <w:rPr>
          <w:rFonts w:asciiTheme="majorHAnsi" w:eastAsia="Times New Roman" w:hAnsiTheme="majorHAnsi" w:cs="Arial"/>
          <w:color w:val="auto"/>
          <w:sz w:val="20"/>
          <w:szCs w:val="20"/>
          <w:bdr w:val="none" w:sz="0" w:space="0" w:color="auto"/>
          <w:lang w:val="es-ES"/>
        </w:rPr>
        <w:t>mediante decisión de 16 de mayo de 2005, notificada el 27 de noviembre de 2006</w:t>
      </w:r>
      <w:r w:rsidR="00977304" w:rsidRPr="00885BCF">
        <w:rPr>
          <w:rFonts w:asciiTheme="majorHAnsi" w:eastAsia="Times New Roman" w:hAnsiTheme="majorHAnsi" w:cs="Arial"/>
          <w:color w:val="auto"/>
          <w:sz w:val="20"/>
          <w:szCs w:val="20"/>
          <w:bdr w:val="none" w:sz="0" w:space="0" w:color="auto"/>
          <w:lang w:val="es-ES"/>
        </w:rPr>
        <w:t>.</w:t>
      </w:r>
      <w:r w:rsidR="00821912" w:rsidRPr="00885BCF">
        <w:rPr>
          <w:rFonts w:asciiTheme="majorHAnsi" w:eastAsia="Times New Roman" w:hAnsiTheme="majorHAnsi" w:cs="Arial"/>
          <w:color w:val="auto"/>
          <w:sz w:val="20"/>
          <w:szCs w:val="20"/>
          <w:bdr w:val="none" w:sz="0" w:space="0" w:color="auto"/>
          <w:lang w:val="es-ES"/>
        </w:rPr>
        <w:t xml:space="preserve"> </w:t>
      </w:r>
      <w:r w:rsidR="00C568F8" w:rsidRPr="00885BCF">
        <w:rPr>
          <w:rFonts w:asciiTheme="majorHAnsi" w:eastAsia="Times New Roman" w:hAnsiTheme="majorHAnsi" w:cs="Arial"/>
          <w:color w:val="auto"/>
          <w:sz w:val="20"/>
          <w:szCs w:val="20"/>
          <w:bdr w:val="none" w:sz="0" w:space="0" w:color="auto"/>
          <w:lang w:val="es-ES"/>
        </w:rPr>
        <w:t>E</w:t>
      </w:r>
      <w:r w:rsidR="00821912" w:rsidRPr="00885BCF">
        <w:rPr>
          <w:rFonts w:asciiTheme="majorHAnsi" w:eastAsia="Times New Roman" w:hAnsiTheme="majorHAnsi" w:cs="Arial"/>
          <w:color w:val="auto"/>
          <w:sz w:val="20"/>
          <w:szCs w:val="20"/>
          <w:bdr w:val="none" w:sz="0" w:space="0" w:color="auto"/>
          <w:lang w:val="es-ES"/>
        </w:rPr>
        <w:t xml:space="preserve">l 30 de noviembre de 2006, </w:t>
      </w:r>
      <w:r w:rsidR="00C568F8" w:rsidRPr="00885BCF">
        <w:rPr>
          <w:rFonts w:asciiTheme="majorHAnsi" w:eastAsia="Times New Roman" w:hAnsiTheme="majorHAnsi" w:cs="Arial"/>
          <w:color w:val="auto"/>
          <w:sz w:val="20"/>
          <w:szCs w:val="20"/>
          <w:bdr w:val="none" w:sz="0" w:space="0" w:color="auto"/>
          <w:lang w:val="es-ES"/>
        </w:rPr>
        <w:t>la presunta víctima</w:t>
      </w:r>
      <w:r w:rsidR="00821912" w:rsidRPr="00885BCF">
        <w:rPr>
          <w:rFonts w:asciiTheme="majorHAnsi" w:eastAsia="Times New Roman" w:hAnsiTheme="majorHAnsi" w:cs="Arial"/>
          <w:color w:val="auto"/>
          <w:sz w:val="20"/>
          <w:szCs w:val="20"/>
          <w:bdr w:val="none" w:sz="0" w:space="0" w:color="auto"/>
          <w:lang w:val="es-ES"/>
        </w:rPr>
        <w:t xml:space="preserve"> solicitó una resolución aclaratoria a la que el Tribunal Constitucional </w:t>
      </w:r>
      <w:r w:rsidR="003E661B" w:rsidRPr="00885BCF">
        <w:rPr>
          <w:rFonts w:asciiTheme="majorHAnsi" w:eastAsia="Times New Roman" w:hAnsiTheme="majorHAnsi" w:cs="Arial"/>
          <w:color w:val="auto"/>
          <w:sz w:val="20"/>
          <w:szCs w:val="20"/>
          <w:bdr w:val="none" w:sz="0" w:space="0" w:color="auto"/>
          <w:lang w:val="es-ES"/>
        </w:rPr>
        <w:t>no</w:t>
      </w:r>
      <w:r w:rsidR="00821912" w:rsidRPr="00885BCF">
        <w:rPr>
          <w:rFonts w:asciiTheme="majorHAnsi" w:eastAsia="Times New Roman" w:hAnsiTheme="majorHAnsi" w:cs="Arial"/>
          <w:color w:val="auto"/>
          <w:sz w:val="20"/>
          <w:szCs w:val="20"/>
          <w:bdr w:val="none" w:sz="0" w:space="0" w:color="auto"/>
          <w:lang w:val="es-ES"/>
        </w:rPr>
        <w:t xml:space="preserve"> habría dado respuesta</w:t>
      </w:r>
      <w:r w:rsidR="003E661B" w:rsidRPr="00885BCF">
        <w:rPr>
          <w:rFonts w:asciiTheme="majorHAnsi" w:eastAsia="Times New Roman" w:hAnsiTheme="majorHAnsi" w:cs="Arial"/>
          <w:color w:val="auto"/>
          <w:sz w:val="20"/>
          <w:szCs w:val="20"/>
          <w:bdr w:val="none" w:sz="0" w:space="0" w:color="auto"/>
          <w:lang w:val="es-ES"/>
        </w:rPr>
        <w:t xml:space="preserve"> </w:t>
      </w:r>
      <w:r w:rsidR="00576489">
        <w:rPr>
          <w:rFonts w:asciiTheme="majorHAnsi" w:eastAsia="Times New Roman" w:hAnsiTheme="majorHAnsi" w:cs="Arial"/>
          <w:color w:val="auto"/>
          <w:sz w:val="20"/>
          <w:szCs w:val="20"/>
          <w:bdr w:val="none" w:sz="0" w:space="0" w:color="auto"/>
          <w:lang w:val="es-ES"/>
        </w:rPr>
        <w:t>hasta</w:t>
      </w:r>
      <w:r w:rsidR="003E661B" w:rsidRPr="00885BCF">
        <w:rPr>
          <w:rFonts w:asciiTheme="majorHAnsi" w:eastAsia="Times New Roman" w:hAnsiTheme="majorHAnsi" w:cs="Arial"/>
          <w:color w:val="auto"/>
          <w:sz w:val="20"/>
          <w:szCs w:val="20"/>
          <w:bdr w:val="none" w:sz="0" w:space="0" w:color="auto"/>
          <w:lang w:val="es-ES"/>
        </w:rPr>
        <w:t xml:space="preserve"> la fecha</w:t>
      </w:r>
      <w:r w:rsidR="00F07217" w:rsidRPr="00885BCF">
        <w:rPr>
          <w:rFonts w:asciiTheme="majorHAnsi" w:hAnsiTheme="majorHAnsi"/>
          <w:color w:val="auto"/>
          <w:sz w:val="20"/>
          <w:szCs w:val="20"/>
          <w:lang w:val="es-ES"/>
        </w:rPr>
        <w:t xml:space="preserve">. </w:t>
      </w:r>
      <w:r w:rsidR="00576489">
        <w:rPr>
          <w:rFonts w:asciiTheme="majorHAnsi" w:hAnsiTheme="majorHAnsi"/>
          <w:color w:val="auto"/>
          <w:sz w:val="20"/>
          <w:szCs w:val="20"/>
          <w:lang w:val="es-ES"/>
        </w:rPr>
        <w:t>Mediante</w:t>
      </w:r>
      <w:r w:rsidR="00F07217" w:rsidRPr="00885BCF">
        <w:rPr>
          <w:rFonts w:asciiTheme="majorHAnsi" w:hAnsiTheme="majorHAnsi"/>
          <w:bCs/>
          <w:color w:val="auto"/>
          <w:sz w:val="20"/>
          <w:szCs w:val="20"/>
          <w:lang w:val="es-ES"/>
        </w:rPr>
        <w:t xml:space="preserve"> resolución d</w:t>
      </w:r>
      <w:r w:rsidR="00F07217" w:rsidRPr="00885BCF">
        <w:rPr>
          <w:rFonts w:asciiTheme="majorHAnsi" w:hAnsiTheme="majorHAnsi"/>
          <w:color w:val="auto"/>
          <w:sz w:val="20"/>
          <w:szCs w:val="20"/>
          <w:lang w:val="es-ES"/>
        </w:rPr>
        <w:t xml:space="preserve">el 15 de enero de 2007, el Tribunal Constitucional dio por terminado el proceso de hábeas corpus iniciado por </w:t>
      </w:r>
      <w:proofErr w:type="gramStart"/>
      <w:r w:rsidR="00F07217" w:rsidRPr="00885BCF">
        <w:rPr>
          <w:rFonts w:asciiTheme="majorHAnsi" w:hAnsiTheme="majorHAnsi"/>
          <w:color w:val="auto"/>
          <w:sz w:val="20"/>
          <w:szCs w:val="20"/>
          <w:lang w:val="es-ES"/>
        </w:rPr>
        <w:t>el</w:t>
      </w:r>
      <w:proofErr w:type="gramEnd"/>
      <w:r w:rsidR="00F07217" w:rsidRPr="00885BCF">
        <w:rPr>
          <w:rFonts w:asciiTheme="majorHAnsi" w:hAnsiTheme="majorHAnsi"/>
          <w:color w:val="auto"/>
          <w:sz w:val="20"/>
          <w:szCs w:val="20"/>
          <w:lang w:val="es-ES"/>
        </w:rPr>
        <w:t xml:space="preserve"> Sr. Milla Espinoza</w:t>
      </w:r>
      <w:r w:rsidR="00821912" w:rsidRPr="00885BCF">
        <w:rPr>
          <w:rFonts w:asciiTheme="majorHAnsi" w:eastAsia="Times New Roman" w:hAnsiTheme="majorHAnsi" w:cs="Arial"/>
          <w:color w:val="auto"/>
          <w:sz w:val="20"/>
          <w:szCs w:val="20"/>
          <w:bdr w:val="none" w:sz="0" w:space="0" w:color="auto"/>
          <w:lang w:val="es-ES"/>
        </w:rPr>
        <w:t>.</w:t>
      </w:r>
      <w:r w:rsidR="00FA5BED" w:rsidRPr="00885BCF">
        <w:rPr>
          <w:rFonts w:asciiTheme="majorHAnsi" w:eastAsia="Times New Roman" w:hAnsiTheme="majorHAnsi" w:cs="Arial"/>
          <w:color w:val="auto"/>
          <w:sz w:val="20"/>
          <w:szCs w:val="20"/>
          <w:bdr w:val="none" w:sz="0" w:space="0" w:color="auto"/>
          <w:lang w:val="es-ES"/>
        </w:rPr>
        <w:t xml:space="preserve"> </w:t>
      </w:r>
      <w:r w:rsidR="00FF3CAB" w:rsidRPr="00885BCF">
        <w:rPr>
          <w:rFonts w:asciiTheme="majorHAnsi" w:eastAsia="Times New Roman" w:hAnsiTheme="majorHAnsi" w:cs="Arial"/>
          <w:color w:val="auto"/>
          <w:sz w:val="20"/>
          <w:szCs w:val="20"/>
          <w:bdr w:val="none" w:sz="0" w:space="0" w:color="auto"/>
          <w:lang w:val="es-ES"/>
        </w:rPr>
        <w:t>E</w:t>
      </w:r>
      <w:r w:rsidR="005756D1" w:rsidRPr="00885BCF">
        <w:rPr>
          <w:rFonts w:asciiTheme="majorHAnsi" w:eastAsia="Times New Roman" w:hAnsiTheme="majorHAnsi" w:cs="Arial"/>
          <w:color w:val="auto"/>
          <w:sz w:val="20"/>
          <w:szCs w:val="20"/>
          <w:bdr w:val="none" w:sz="0" w:space="0" w:color="auto"/>
          <w:lang w:val="es-ES"/>
        </w:rPr>
        <w:t>l Estado no controvierte que los procesos judiciales arriba mencionados hayan concluido con las decisiones anotadas</w:t>
      </w:r>
      <w:r w:rsidR="00C568F8" w:rsidRPr="00885BCF">
        <w:rPr>
          <w:rFonts w:asciiTheme="majorHAnsi" w:eastAsia="Times New Roman" w:hAnsiTheme="majorHAnsi" w:cs="Arial"/>
          <w:color w:val="auto"/>
          <w:sz w:val="20"/>
          <w:szCs w:val="20"/>
          <w:bdr w:val="none" w:sz="0" w:space="0" w:color="auto"/>
          <w:lang w:val="es-ES"/>
        </w:rPr>
        <w:t>,</w:t>
      </w:r>
      <w:r w:rsidR="005756D1" w:rsidRPr="00885BCF">
        <w:rPr>
          <w:rFonts w:asciiTheme="majorHAnsi" w:eastAsia="Times New Roman" w:hAnsiTheme="majorHAnsi" w:cs="Arial"/>
          <w:color w:val="auto"/>
          <w:sz w:val="20"/>
          <w:szCs w:val="20"/>
          <w:bdr w:val="none" w:sz="0" w:space="0" w:color="auto"/>
          <w:lang w:val="es-ES"/>
        </w:rPr>
        <w:t xml:space="preserve"> </w:t>
      </w:r>
      <w:r w:rsidR="00C568F8" w:rsidRPr="00885BCF">
        <w:rPr>
          <w:rFonts w:asciiTheme="majorHAnsi" w:eastAsia="Times New Roman" w:hAnsiTheme="majorHAnsi" w:cs="Arial"/>
          <w:color w:val="auto"/>
          <w:sz w:val="20"/>
          <w:szCs w:val="20"/>
          <w:bdr w:val="none" w:sz="0" w:space="0" w:color="auto"/>
          <w:lang w:val="es-ES"/>
        </w:rPr>
        <w:t>per</w:t>
      </w:r>
      <w:r w:rsidR="00977304" w:rsidRPr="00885BCF">
        <w:rPr>
          <w:rFonts w:asciiTheme="majorHAnsi" w:eastAsia="Times New Roman" w:hAnsiTheme="majorHAnsi" w:cs="Arial"/>
          <w:color w:val="auto"/>
          <w:sz w:val="20"/>
          <w:szCs w:val="20"/>
          <w:bdr w:val="none" w:sz="0" w:space="0" w:color="auto"/>
          <w:lang w:val="es-ES"/>
        </w:rPr>
        <w:t>o</w:t>
      </w:r>
      <w:r w:rsidR="005756D1" w:rsidRPr="00885BCF">
        <w:rPr>
          <w:rFonts w:asciiTheme="majorHAnsi" w:eastAsia="Times New Roman" w:hAnsiTheme="majorHAnsi" w:cs="Arial"/>
          <w:color w:val="auto"/>
          <w:sz w:val="20"/>
          <w:szCs w:val="20"/>
          <w:bdr w:val="none" w:sz="0" w:space="0" w:color="auto"/>
          <w:lang w:val="es-ES"/>
        </w:rPr>
        <w:t xml:space="preserve"> </w:t>
      </w:r>
      <w:r w:rsidR="00C568F8" w:rsidRPr="00885BCF">
        <w:rPr>
          <w:rFonts w:asciiTheme="majorHAnsi" w:eastAsia="Times New Roman" w:hAnsiTheme="majorHAnsi" w:cs="Arial"/>
          <w:color w:val="auto"/>
          <w:sz w:val="20"/>
          <w:szCs w:val="20"/>
          <w:bdr w:val="none" w:sz="0" w:space="0" w:color="auto"/>
          <w:lang w:val="es-ES"/>
        </w:rPr>
        <w:t xml:space="preserve">considera </w:t>
      </w:r>
      <w:r w:rsidR="005756D1" w:rsidRPr="00885BCF">
        <w:rPr>
          <w:rFonts w:asciiTheme="majorHAnsi" w:eastAsia="Times New Roman" w:hAnsiTheme="majorHAnsi" w:cs="Arial"/>
          <w:color w:val="auto"/>
          <w:sz w:val="20"/>
          <w:szCs w:val="20"/>
          <w:bdr w:val="none" w:sz="0" w:space="0" w:color="auto"/>
          <w:lang w:val="es-ES"/>
        </w:rPr>
        <w:t xml:space="preserve">que aún hay recursos idóneos por agotar, </w:t>
      </w:r>
      <w:r w:rsidR="00C568F8" w:rsidRPr="00885BCF">
        <w:rPr>
          <w:rFonts w:asciiTheme="majorHAnsi" w:eastAsia="Times New Roman" w:hAnsiTheme="majorHAnsi" w:cs="Arial"/>
          <w:color w:val="auto"/>
          <w:sz w:val="20"/>
          <w:szCs w:val="20"/>
          <w:bdr w:val="none" w:sz="0" w:space="0" w:color="auto"/>
          <w:lang w:val="es-ES"/>
        </w:rPr>
        <w:t>y</w:t>
      </w:r>
      <w:r w:rsidR="005756D1" w:rsidRPr="00885BCF">
        <w:rPr>
          <w:rFonts w:asciiTheme="majorHAnsi" w:eastAsia="Times New Roman" w:hAnsiTheme="majorHAnsi" w:cs="Arial"/>
          <w:color w:val="auto"/>
          <w:sz w:val="20"/>
          <w:szCs w:val="20"/>
          <w:bdr w:val="none" w:sz="0" w:space="0" w:color="auto"/>
          <w:lang w:val="es-ES"/>
        </w:rPr>
        <w:t xml:space="preserve"> que </w:t>
      </w:r>
      <w:r w:rsidR="00A7548F" w:rsidRPr="00885BCF">
        <w:rPr>
          <w:rFonts w:asciiTheme="majorHAnsi" w:eastAsia="Times New Roman" w:hAnsiTheme="majorHAnsi" w:cs="Arial"/>
          <w:color w:val="auto"/>
          <w:sz w:val="20"/>
          <w:szCs w:val="20"/>
          <w:bdr w:val="none" w:sz="0" w:space="0" w:color="auto"/>
          <w:lang w:val="es-ES"/>
        </w:rPr>
        <w:t>la presunta víctima</w:t>
      </w:r>
      <w:r w:rsidR="005756D1" w:rsidRPr="00885BCF">
        <w:rPr>
          <w:rFonts w:asciiTheme="majorHAnsi" w:eastAsia="Times New Roman" w:hAnsiTheme="majorHAnsi" w:cs="Arial"/>
          <w:color w:val="auto"/>
          <w:sz w:val="20"/>
          <w:szCs w:val="20"/>
          <w:bdr w:val="none" w:sz="0" w:space="0" w:color="auto"/>
          <w:lang w:val="es-ES"/>
        </w:rPr>
        <w:t xml:space="preserve"> tenía expedito su derecho al beneficio de la</w:t>
      </w:r>
      <w:r w:rsidR="00FF3CAB" w:rsidRPr="00885BCF">
        <w:rPr>
          <w:rFonts w:asciiTheme="majorHAnsi" w:eastAsia="Times New Roman" w:hAnsiTheme="majorHAnsi" w:cs="Arial"/>
          <w:color w:val="auto"/>
          <w:sz w:val="20"/>
          <w:szCs w:val="20"/>
          <w:bdr w:val="none" w:sz="0" w:space="0" w:color="auto"/>
          <w:lang w:val="es-ES"/>
        </w:rPr>
        <w:t xml:space="preserve"> remisión de pena o </w:t>
      </w:r>
      <w:r w:rsidR="00FF3CAB" w:rsidRPr="00E02B48">
        <w:rPr>
          <w:rFonts w:asciiTheme="majorHAnsi" w:eastAsia="Times New Roman" w:hAnsiTheme="majorHAnsi" w:cs="Arial"/>
          <w:color w:val="auto"/>
          <w:sz w:val="20"/>
          <w:szCs w:val="20"/>
          <w:bdr w:val="none" w:sz="0" w:space="0" w:color="auto"/>
          <w:lang w:val="es-ES"/>
        </w:rPr>
        <w:t>un indulto</w:t>
      </w:r>
      <w:r w:rsidR="004E2E00" w:rsidRPr="00E02B48">
        <w:rPr>
          <w:rFonts w:asciiTheme="majorHAnsi" w:eastAsia="Times New Roman" w:hAnsiTheme="majorHAnsi" w:cs="Arial"/>
          <w:color w:val="auto"/>
          <w:sz w:val="20"/>
          <w:szCs w:val="20"/>
          <w:bdr w:val="none" w:sz="0" w:space="0" w:color="auto"/>
          <w:lang w:val="es-ES"/>
        </w:rPr>
        <w:t xml:space="preserve"> bajo la Ley de arrepentimiento</w:t>
      </w:r>
      <w:r w:rsidR="00FF3CAB" w:rsidRPr="00E02B48">
        <w:rPr>
          <w:rFonts w:asciiTheme="majorHAnsi" w:eastAsia="Times New Roman" w:hAnsiTheme="majorHAnsi" w:cs="Arial"/>
          <w:color w:val="auto"/>
          <w:sz w:val="20"/>
          <w:szCs w:val="20"/>
          <w:bdr w:val="none" w:sz="0" w:space="0" w:color="auto"/>
          <w:lang w:val="es-ES"/>
        </w:rPr>
        <w:t>.</w:t>
      </w:r>
    </w:p>
    <w:p w14:paraId="30B7E76D" w14:textId="1EE59028" w:rsidR="005756D1" w:rsidRPr="00E02B48" w:rsidRDefault="00A02FAC" w:rsidP="006B4BD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eastAsia="Times New Roman" w:hAnsiTheme="majorHAnsi" w:cs="Arial"/>
          <w:color w:val="auto"/>
          <w:sz w:val="20"/>
          <w:szCs w:val="20"/>
          <w:bdr w:val="none" w:sz="0" w:space="0" w:color="auto"/>
          <w:lang w:val="es-ES"/>
        </w:rPr>
      </w:pPr>
      <w:r w:rsidRPr="00E02B48">
        <w:rPr>
          <w:rFonts w:asciiTheme="majorHAnsi" w:eastAsia="Times New Roman" w:hAnsiTheme="majorHAnsi" w:cs="Arial"/>
          <w:color w:val="auto"/>
          <w:sz w:val="20"/>
          <w:szCs w:val="20"/>
          <w:bdr w:val="none" w:sz="0" w:space="0" w:color="auto"/>
          <w:lang w:val="es-ES"/>
        </w:rPr>
        <w:t>La Comisión recuerda que e</w:t>
      </w:r>
      <w:r w:rsidR="00282653" w:rsidRPr="00E02B48">
        <w:rPr>
          <w:rFonts w:asciiTheme="majorHAnsi" w:eastAsia="Times New Roman" w:hAnsiTheme="majorHAnsi" w:cs="Arial"/>
          <w:color w:val="auto"/>
          <w:sz w:val="20"/>
          <w:szCs w:val="20"/>
          <w:bdr w:val="none" w:sz="0" w:space="0" w:color="auto"/>
          <w:lang w:val="es-ES"/>
        </w:rPr>
        <w:t>l agotamiento de los recursos internos no implica que la presunta víctima deba agotar todos los recursos judiciales posibles o eventualmente procedentes</w:t>
      </w:r>
      <w:r w:rsidR="004B44CC" w:rsidRPr="00E02B48">
        <w:rPr>
          <w:rFonts w:asciiTheme="majorHAnsi" w:eastAsia="Times New Roman" w:hAnsiTheme="majorHAnsi" w:cs="Arial"/>
          <w:color w:val="auto"/>
          <w:sz w:val="20"/>
          <w:szCs w:val="20"/>
          <w:bdr w:val="none" w:sz="0" w:space="0" w:color="auto"/>
          <w:lang w:val="es-ES"/>
        </w:rPr>
        <w:t>;</w:t>
      </w:r>
      <w:r w:rsidR="00282653" w:rsidRPr="00E02B48">
        <w:rPr>
          <w:rFonts w:asciiTheme="majorHAnsi" w:eastAsia="Times New Roman" w:hAnsiTheme="majorHAnsi" w:cs="Arial"/>
          <w:color w:val="auto"/>
          <w:sz w:val="20"/>
          <w:szCs w:val="20"/>
          <w:bdr w:val="none" w:sz="0" w:space="0" w:color="auto"/>
          <w:lang w:val="es-ES"/>
        </w:rPr>
        <w:t xml:space="preserve"> si lo hizo por alguna de las vías procesalmente adecuadas, dicho requisito se cumple</w:t>
      </w:r>
      <w:r w:rsidRPr="00E02B48">
        <w:rPr>
          <w:rStyle w:val="FootnoteReference"/>
          <w:rFonts w:asciiTheme="majorHAnsi" w:eastAsia="Times New Roman" w:hAnsiTheme="majorHAnsi" w:cs="Arial"/>
          <w:color w:val="auto"/>
          <w:sz w:val="20"/>
          <w:szCs w:val="20"/>
          <w:bdr w:val="none" w:sz="0" w:space="0" w:color="auto"/>
          <w:lang w:val="es-ES"/>
        </w:rPr>
        <w:footnoteReference w:id="13"/>
      </w:r>
      <w:r w:rsidR="00282653" w:rsidRPr="00E02B48">
        <w:rPr>
          <w:rFonts w:asciiTheme="majorHAnsi" w:eastAsia="Times New Roman" w:hAnsiTheme="majorHAnsi" w:cs="Arial"/>
          <w:color w:val="auto"/>
          <w:sz w:val="20"/>
          <w:szCs w:val="20"/>
          <w:bdr w:val="none" w:sz="0" w:space="0" w:color="auto"/>
          <w:lang w:val="es-ES"/>
        </w:rPr>
        <w:t xml:space="preserve">. Por otra parte, la Comisión observa que </w:t>
      </w:r>
      <w:r w:rsidR="00576489" w:rsidRPr="00E02B48">
        <w:rPr>
          <w:rFonts w:asciiTheme="majorHAnsi" w:eastAsia="Times New Roman" w:hAnsiTheme="majorHAnsi" w:cs="Arial"/>
          <w:color w:val="auto"/>
          <w:sz w:val="20"/>
          <w:szCs w:val="20"/>
          <w:bdr w:val="none" w:sz="0" w:space="0" w:color="auto"/>
          <w:lang w:val="es-ES"/>
        </w:rPr>
        <w:t>el</w:t>
      </w:r>
      <w:r w:rsidR="00282653" w:rsidRPr="00E02B48">
        <w:rPr>
          <w:rFonts w:asciiTheme="majorHAnsi" w:eastAsia="Times New Roman" w:hAnsiTheme="majorHAnsi" w:cs="Arial"/>
          <w:color w:val="auto"/>
          <w:sz w:val="20"/>
          <w:szCs w:val="20"/>
          <w:bdr w:val="none" w:sz="0" w:space="0" w:color="auto"/>
          <w:lang w:val="es-ES"/>
        </w:rPr>
        <w:t xml:space="preserve"> indulto es de naturaleza administrativa y discrecional a cargo del Poder Ejecutivo</w:t>
      </w:r>
      <w:r w:rsidR="00C568F8" w:rsidRPr="00E02B48">
        <w:rPr>
          <w:rFonts w:asciiTheme="majorHAnsi" w:eastAsia="Times New Roman" w:hAnsiTheme="majorHAnsi" w:cs="Arial"/>
          <w:color w:val="auto"/>
          <w:sz w:val="20"/>
          <w:szCs w:val="20"/>
          <w:bdr w:val="none" w:sz="0" w:space="0" w:color="auto"/>
          <w:lang w:val="es-ES"/>
        </w:rPr>
        <w:t xml:space="preserve"> y que</w:t>
      </w:r>
      <w:r w:rsidR="00282653" w:rsidRPr="00E02B48">
        <w:rPr>
          <w:rFonts w:asciiTheme="majorHAnsi" w:eastAsia="Times New Roman" w:hAnsiTheme="majorHAnsi" w:cs="Arial"/>
          <w:color w:val="auto"/>
          <w:sz w:val="20"/>
          <w:szCs w:val="20"/>
          <w:bdr w:val="none" w:sz="0" w:space="0" w:color="auto"/>
          <w:lang w:val="es-ES"/>
        </w:rPr>
        <w:t xml:space="preserve">, por lo tanto, su agotamiento no resulta en principio exigible. En un caso como el presente, la Comisión no observa elementos </w:t>
      </w:r>
      <w:r w:rsidR="00DB5077" w:rsidRPr="00E02B48">
        <w:rPr>
          <w:rFonts w:asciiTheme="majorHAnsi" w:eastAsia="Times New Roman" w:hAnsiTheme="majorHAnsi" w:cs="Arial"/>
          <w:color w:val="auto"/>
          <w:sz w:val="20"/>
          <w:szCs w:val="20"/>
          <w:bdr w:val="none" w:sz="0" w:space="0" w:color="auto"/>
          <w:lang w:val="es-ES"/>
        </w:rPr>
        <w:t xml:space="preserve">que indiquen que tal mecanismo era </w:t>
      </w:r>
      <w:r w:rsidR="005155E4" w:rsidRPr="00E02B48">
        <w:rPr>
          <w:rFonts w:asciiTheme="majorHAnsi" w:eastAsia="Times New Roman" w:hAnsiTheme="majorHAnsi" w:cs="Arial"/>
          <w:color w:val="auto"/>
          <w:sz w:val="20"/>
          <w:szCs w:val="20"/>
          <w:bdr w:val="none" w:sz="0" w:space="0" w:color="auto"/>
          <w:lang w:val="es-ES"/>
        </w:rPr>
        <w:t>idóneo</w:t>
      </w:r>
      <w:r w:rsidR="00DB5077" w:rsidRPr="00E02B48">
        <w:rPr>
          <w:rFonts w:asciiTheme="majorHAnsi" w:eastAsia="Times New Roman" w:hAnsiTheme="majorHAnsi" w:cs="Arial"/>
          <w:color w:val="auto"/>
          <w:sz w:val="20"/>
          <w:szCs w:val="20"/>
          <w:bdr w:val="none" w:sz="0" w:space="0" w:color="auto"/>
          <w:lang w:val="es-ES"/>
        </w:rPr>
        <w:t xml:space="preserve"> </w:t>
      </w:r>
      <w:r w:rsidR="00C568F8" w:rsidRPr="00E02B48">
        <w:rPr>
          <w:rFonts w:asciiTheme="majorHAnsi" w:eastAsia="Times New Roman" w:hAnsiTheme="majorHAnsi" w:cs="Arial"/>
          <w:color w:val="auto"/>
          <w:sz w:val="20"/>
          <w:szCs w:val="20"/>
          <w:bdr w:val="none" w:sz="0" w:space="0" w:color="auto"/>
          <w:lang w:val="es-ES"/>
        </w:rPr>
        <w:t>par</w:t>
      </w:r>
      <w:r w:rsidR="00DB5077" w:rsidRPr="00E02B48">
        <w:rPr>
          <w:rFonts w:asciiTheme="majorHAnsi" w:eastAsia="Times New Roman" w:hAnsiTheme="majorHAnsi" w:cs="Arial"/>
          <w:color w:val="auto"/>
          <w:sz w:val="20"/>
          <w:szCs w:val="20"/>
          <w:bdr w:val="none" w:sz="0" w:space="0" w:color="auto"/>
          <w:lang w:val="es-ES"/>
        </w:rPr>
        <w:t xml:space="preserve">a </w:t>
      </w:r>
      <w:r w:rsidR="00C568F8" w:rsidRPr="00E02B48">
        <w:rPr>
          <w:rFonts w:asciiTheme="majorHAnsi" w:eastAsia="Times New Roman" w:hAnsiTheme="majorHAnsi" w:cs="Arial"/>
          <w:color w:val="auto"/>
          <w:sz w:val="20"/>
          <w:szCs w:val="20"/>
          <w:bdr w:val="none" w:sz="0" w:space="0" w:color="auto"/>
          <w:lang w:val="es-ES"/>
        </w:rPr>
        <w:t xml:space="preserve">solucionar </w:t>
      </w:r>
      <w:r w:rsidR="00DB5077" w:rsidRPr="00E02B48">
        <w:rPr>
          <w:rFonts w:asciiTheme="majorHAnsi" w:eastAsia="Times New Roman" w:hAnsiTheme="majorHAnsi" w:cs="Arial"/>
          <w:color w:val="auto"/>
          <w:sz w:val="20"/>
          <w:szCs w:val="20"/>
          <w:bdr w:val="none" w:sz="0" w:space="0" w:color="auto"/>
          <w:lang w:val="es-ES"/>
        </w:rPr>
        <w:t xml:space="preserve">la situación </w:t>
      </w:r>
      <w:r w:rsidR="006B4BD4" w:rsidRPr="00E02B48">
        <w:rPr>
          <w:rFonts w:asciiTheme="majorHAnsi" w:eastAsia="Times New Roman" w:hAnsiTheme="majorHAnsi" w:cs="Arial"/>
          <w:color w:val="auto"/>
          <w:sz w:val="20"/>
          <w:szCs w:val="20"/>
          <w:bdr w:val="none" w:sz="0" w:space="0" w:color="auto"/>
          <w:lang w:val="es-ES"/>
        </w:rPr>
        <w:t>planteada por el peticionario. Asimismo, la Comisión</w:t>
      </w:r>
      <w:r w:rsidR="006B4BD4" w:rsidRPr="00E02B48">
        <w:rPr>
          <w:rFonts w:asciiTheme="majorHAnsi" w:eastAsia="Times New Roman" w:hAnsiTheme="majorHAnsi" w:cs="Arial"/>
          <w:color w:val="auto"/>
          <w:sz w:val="20"/>
          <w:szCs w:val="20"/>
          <w:bdr w:val="none" w:sz="0" w:space="0" w:color="auto"/>
          <w:lang w:val="es-MX"/>
        </w:rPr>
        <w:t xml:space="preserve"> observa que la parte peticionaria presentó dos recursos de habeas corpus, que culminaron con las decisiones del Tribunal Constitucional del 16 de mayo de 2006 y del 15 de enero de 2007. </w:t>
      </w:r>
      <w:r w:rsidR="00AF51D4" w:rsidRPr="00E02B48">
        <w:rPr>
          <w:rFonts w:asciiTheme="majorHAnsi" w:eastAsia="Times New Roman" w:hAnsiTheme="majorHAnsi" w:cs="Arial"/>
          <w:color w:val="auto"/>
          <w:sz w:val="20"/>
          <w:szCs w:val="20"/>
          <w:bdr w:val="none" w:sz="0" w:space="0" w:color="auto"/>
          <w:lang w:val="es-ES"/>
        </w:rPr>
        <w:t>En atención a las consideraciones</w:t>
      </w:r>
      <w:r w:rsidR="00DB5077" w:rsidRPr="00E02B48">
        <w:rPr>
          <w:rFonts w:asciiTheme="majorHAnsi" w:eastAsia="Times New Roman" w:hAnsiTheme="majorHAnsi" w:cs="Arial"/>
          <w:color w:val="auto"/>
          <w:sz w:val="20"/>
          <w:szCs w:val="20"/>
          <w:bdr w:val="none" w:sz="0" w:space="0" w:color="auto"/>
          <w:lang w:val="es-ES"/>
        </w:rPr>
        <w:t xml:space="preserve"> expuestas, la Comisión concluye que la </w:t>
      </w:r>
      <w:r w:rsidR="000A6C33" w:rsidRPr="00E02B48">
        <w:rPr>
          <w:rFonts w:asciiTheme="majorHAnsi" w:eastAsia="Times New Roman" w:hAnsiTheme="majorHAnsi" w:cs="Arial"/>
          <w:color w:val="auto"/>
          <w:sz w:val="20"/>
          <w:szCs w:val="20"/>
          <w:bdr w:val="none" w:sz="0" w:space="0" w:color="auto"/>
          <w:lang w:val="es-ES"/>
        </w:rPr>
        <w:t>presente</w:t>
      </w:r>
      <w:r w:rsidR="00DB5077" w:rsidRPr="00E02B48">
        <w:rPr>
          <w:rFonts w:asciiTheme="majorHAnsi" w:eastAsia="Times New Roman" w:hAnsiTheme="majorHAnsi" w:cs="Arial"/>
          <w:color w:val="auto"/>
          <w:sz w:val="20"/>
          <w:szCs w:val="20"/>
          <w:bdr w:val="none" w:sz="0" w:space="0" w:color="auto"/>
          <w:lang w:val="es-ES"/>
        </w:rPr>
        <w:t xml:space="preserve"> petición cumple con el requisito </w:t>
      </w:r>
      <w:r w:rsidR="00EA1558" w:rsidRPr="00E02B48">
        <w:rPr>
          <w:rFonts w:asciiTheme="majorHAnsi" w:eastAsia="Times New Roman" w:hAnsiTheme="majorHAnsi" w:cs="Arial"/>
          <w:color w:val="auto"/>
          <w:sz w:val="20"/>
          <w:szCs w:val="20"/>
          <w:bdr w:val="none" w:sz="0" w:space="0" w:color="auto"/>
          <w:lang w:val="es-ES"/>
        </w:rPr>
        <w:t xml:space="preserve">de </w:t>
      </w:r>
      <w:r w:rsidR="00DB5077" w:rsidRPr="00E02B48">
        <w:rPr>
          <w:rFonts w:asciiTheme="majorHAnsi" w:eastAsia="Times New Roman" w:hAnsiTheme="majorHAnsi" w:cs="Arial"/>
          <w:color w:val="auto"/>
          <w:sz w:val="20"/>
          <w:szCs w:val="20"/>
          <w:bdr w:val="none" w:sz="0" w:space="0" w:color="auto"/>
          <w:lang w:val="es-ES"/>
        </w:rPr>
        <w:t xml:space="preserve">agotamiento </w:t>
      </w:r>
      <w:r w:rsidR="00EA1558" w:rsidRPr="00E02B48">
        <w:rPr>
          <w:rFonts w:asciiTheme="majorHAnsi" w:eastAsia="Times New Roman" w:hAnsiTheme="majorHAnsi" w:cs="Arial"/>
          <w:color w:val="auto"/>
          <w:sz w:val="20"/>
          <w:szCs w:val="20"/>
          <w:bdr w:val="none" w:sz="0" w:space="0" w:color="auto"/>
          <w:lang w:val="es-ES"/>
        </w:rPr>
        <w:t xml:space="preserve">de los recursos internos </w:t>
      </w:r>
      <w:r w:rsidR="00DB5077" w:rsidRPr="00E02B48">
        <w:rPr>
          <w:rFonts w:asciiTheme="majorHAnsi" w:eastAsia="Times New Roman" w:hAnsiTheme="majorHAnsi" w:cs="Arial"/>
          <w:color w:val="auto"/>
          <w:sz w:val="20"/>
          <w:szCs w:val="20"/>
          <w:bdr w:val="none" w:sz="0" w:space="0" w:color="auto"/>
          <w:lang w:val="es-ES"/>
        </w:rPr>
        <w:t xml:space="preserve">establecido en el artículo 46.1.a de la Convención Americana. </w:t>
      </w:r>
      <w:r w:rsidR="005756D1" w:rsidRPr="00E02B48">
        <w:rPr>
          <w:rFonts w:asciiTheme="majorHAnsi" w:eastAsia="Times New Roman" w:hAnsiTheme="majorHAnsi" w:cs="Arial"/>
          <w:color w:val="auto"/>
          <w:sz w:val="20"/>
          <w:szCs w:val="20"/>
          <w:bdr w:val="none" w:sz="0" w:space="0" w:color="auto"/>
          <w:lang w:val="es-ES"/>
        </w:rPr>
        <w:t xml:space="preserve"> </w:t>
      </w:r>
    </w:p>
    <w:p w14:paraId="1A36133F" w14:textId="4DCA9D2C" w:rsidR="00BD1D3D" w:rsidRPr="00885BCF" w:rsidRDefault="007415B6" w:rsidP="00B9789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eastAsia="Times New Roman" w:hAnsiTheme="majorHAnsi" w:cs="Arial"/>
          <w:sz w:val="20"/>
          <w:szCs w:val="20"/>
          <w:bdr w:val="none" w:sz="0" w:space="0" w:color="auto"/>
          <w:lang w:val="es-ES"/>
        </w:rPr>
      </w:pPr>
      <w:r w:rsidRPr="00E02B48">
        <w:rPr>
          <w:rFonts w:asciiTheme="majorHAnsi" w:hAnsiTheme="majorHAnsi"/>
          <w:sz w:val="20"/>
          <w:szCs w:val="20"/>
          <w:lang w:val="es-ES"/>
        </w:rPr>
        <w:t xml:space="preserve">En cuanto al plazo de presentación, la Comisión observa que la petición fue recibida el 3 de abril de 2007, y </w:t>
      </w:r>
      <w:r w:rsidR="00576489" w:rsidRPr="00E02B48">
        <w:rPr>
          <w:rFonts w:asciiTheme="majorHAnsi" w:hAnsiTheme="majorHAnsi"/>
          <w:sz w:val="20"/>
          <w:szCs w:val="20"/>
          <w:lang w:val="es-ES"/>
        </w:rPr>
        <w:t xml:space="preserve">que </w:t>
      </w:r>
      <w:r w:rsidRPr="00E02B48">
        <w:rPr>
          <w:rFonts w:asciiTheme="majorHAnsi" w:hAnsiTheme="majorHAnsi"/>
          <w:sz w:val="20"/>
          <w:szCs w:val="20"/>
          <w:lang w:val="es-ES"/>
        </w:rPr>
        <w:t xml:space="preserve">los recursos judiciales internos </w:t>
      </w:r>
      <w:r w:rsidR="00BD1D3D" w:rsidRPr="00E02B48">
        <w:rPr>
          <w:rFonts w:asciiTheme="majorHAnsi" w:hAnsiTheme="majorHAnsi"/>
          <w:sz w:val="20"/>
          <w:szCs w:val="20"/>
          <w:lang w:val="es-ES"/>
        </w:rPr>
        <w:t xml:space="preserve">fueron </w:t>
      </w:r>
      <w:r w:rsidRPr="00E02B48">
        <w:rPr>
          <w:rFonts w:asciiTheme="majorHAnsi" w:hAnsiTheme="majorHAnsi"/>
          <w:sz w:val="20"/>
          <w:szCs w:val="20"/>
          <w:lang w:val="es-ES"/>
        </w:rPr>
        <w:t>definitivamente agotados con la referida sentencia del Tribunal Constitucional de 15 de enero de 2007</w:t>
      </w:r>
      <w:r w:rsidR="00DB5077" w:rsidRPr="00E02B48">
        <w:rPr>
          <w:rFonts w:asciiTheme="majorHAnsi" w:hAnsiTheme="majorHAnsi"/>
          <w:sz w:val="20"/>
          <w:szCs w:val="20"/>
          <w:lang w:val="es-ES"/>
        </w:rPr>
        <w:t xml:space="preserve">. </w:t>
      </w:r>
      <w:r w:rsidRPr="00E02B48">
        <w:rPr>
          <w:rFonts w:asciiTheme="majorHAnsi" w:hAnsiTheme="majorHAnsi"/>
          <w:sz w:val="20"/>
          <w:szCs w:val="20"/>
          <w:lang w:val="es-ES"/>
        </w:rPr>
        <w:t>Por lo tanto, concluye que la</w:t>
      </w:r>
      <w:r w:rsidRPr="00885BCF">
        <w:rPr>
          <w:rFonts w:asciiTheme="majorHAnsi" w:hAnsiTheme="majorHAnsi"/>
          <w:sz w:val="20"/>
          <w:szCs w:val="20"/>
          <w:lang w:val="es-ES"/>
        </w:rPr>
        <w:t xml:space="preserve"> misma cumple con el requisito establecido en el artículo 46.1.b de la Convención Americana.</w:t>
      </w:r>
    </w:p>
    <w:p w14:paraId="5149607B" w14:textId="77777777" w:rsidR="00A17201" w:rsidRPr="00885BCF" w:rsidRDefault="00A17201" w:rsidP="00B97895">
      <w:pPr>
        <w:pStyle w:val="ListParagraph"/>
        <w:spacing w:before="120" w:after="120"/>
        <w:jc w:val="both"/>
        <w:rPr>
          <w:rFonts w:asciiTheme="majorHAnsi" w:hAnsiTheme="majorHAnsi"/>
          <w:b/>
          <w:bCs/>
          <w:color w:val="auto"/>
          <w:sz w:val="20"/>
          <w:szCs w:val="20"/>
          <w:lang w:val="es-ES"/>
        </w:rPr>
      </w:pPr>
      <w:r w:rsidRPr="00885BCF">
        <w:rPr>
          <w:rFonts w:asciiTheme="majorHAnsi" w:hAnsiTheme="majorHAnsi"/>
          <w:b/>
          <w:bCs/>
          <w:color w:val="auto"/>
          <w:sz w:val="20"/>
          <w:szCs w:val="20"/>
          <w:lang w:val="es-ES"/>
        </w:rPr>
        <w:t>VII.</w:t>
      </w:r>
      <w:r w:rsidRPr="00885BCF">
        <w:rPr>
          <w:rFonts w:asciiTheme="majorHAnsi" w:hAnsiTheme="majorHAnsi"/>
          <w:b/>
          <w:bCs/>
          <w:color w:val="auto"/>
          <w:sz w:val="20"/>
          <w:szCs w:val="20"/>
          <w:lang w:val="es-ES"/>
        </w:rPr>
        <w:tab/>
        <w:t xml:space="preserve">CARACTERIZACIÓN DE LOS HECHOS ALEGADOS  </w:t>
      </w:r>
    </w:p>
    <w:p w14:paraId="2E8FAE0F" w14:textId="35AD2441" w:rsidR="00FD6802" w:rsidRPr="00E02B48" w:rsidRDefault="00AE239A" w:rsidP="001B5A7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85BCF">
        <w:rPr>
          <w:rFonts w:ascii="Cambria" w:hAnsi="Cambria"/>
          <w:sz w:val="20"/>
          <w:szCs w:val="20"/>
          <w:lang w:val="es-ES"/>
        </w:rPr>
        <w:t xml:space="preserve">La Comisión nota que el presente reclamo se sustenta esencialmente </w:t>
      </w:r>
      <w:r w:rsidR="001B5A7E" w:rsidRPr="00885BCF">
        <w:rPr>
          <w:rFonts w:ascii="Cambria" w:hAnsi="Cambria"/>
          <w:sz w:val="20"/>
          <w:szCs w:val="20"/>
          <w:lang w:val="es-ES"/>
        </w:rPr>
        <w:t>en la supuesta violación del Estado al debido proceso y las garantías judiciales del peticionario en el marco del proceso de exención de pena, beneficio que fue rechazado a la presunta víctima</w:t>
      </w:r>
      <w:r w:rsidR="00FD6802" w:rsidRPr="00885BCF">
        <w:rPr>
          <w:rFonts w:ascii="Cambria" w:hAnsi="Cambria"/>
          <w:sz w:val="20"/>
          <w:szCs w:val="20"/>
          <w:lang w:val="es-ES"/>
        </w:rPr>
        <w:t xml:space="preserve">. La Comisión observa que las pretensiones de los peticionarios fueron analizadas y resueltas </w:t>
      </w:r>
      <w:r w:rsidR="00576489">
        <w:rPr>
          <w:rFonts w:ascii="Cambria" w:hAnsi="Cambria"/>
          <w:sz w:val="20"/>
          <w:szCs w:val="20"/>
          <w:lang w:val="es-ES"/>
        </w:rPr>
        <w:t>en el ámbito</w:t>
      </w:r>
      <w:r w:rsidR="00FD6802" w:rsidRPr="00885BCF">
        <w:rPr>
          <w:rFonts w:ascii="Cambria" w:hAnsi="Cambria"/>
          <w:sz w:val="20"/>
          <w:szCs w:val="20"/>
          <w:lang w:val="es-ES"/>
        </w:rPr>
        <w:t xml:space="preserve"> interno en varias </w:t>
      </w:r>
      <w:r w:rsidR="00FD6802" w:rsidRPr="00E02B48">
        <w:rPr>
          <w:rFonts w:ascii="Cambria" w:hAnsi="Cambria"/>
          <w:sz w:val="20"/>
          <w:szCs w:val="20"/>
          <w:lang w:val="es-ES"/>
        </w:rPr>
        <w:t>ocasiones. La Comisión recuerda que no es competente para revisar las sentencias dictadas por tribunales nacionales que actúen en la esfera de su competencia y apliquen el debido proceso y las garantías judiciales</w:t>
      </w:r>
      <w:r w:rsidR="00FD6802" w:rsidRPr="00E02B48">
        <w:rPr>
          <w:rStyle w:val="FootnoteReference"/>
          <w:rFonts w:ascii="Cambria" w:hAnsi="Cambria"/>
          <w:sz w:val="20"/>
          <w:szCs w:val="20"/>
          <w:lang w:val="es-ES"/>
        </w:rPr>
        <w:footnoteReference w:id="14"/>
      </w:r>
      <w:r w:rsidR="00FD6802" w:rsidRPr="00E02B48">
        <w:rPr>
          <w:rFonts w:ascii="Cambria" w:hAnsi="Cambria"/>
          <w:sz w:val="20"/>
          <w:szCs w:val="20"/>
          <w:lang w:val="es-ES"/>
        </w:rPr>
        <w:t>. Asimismo, los peticionarios no han presentado elementos de hecho o de derecho que indi</w:t>
      </w:r>
      <w:r w:rsidR="00576489" w:rsidRPr="00E02B48">
        <w:rPr>
          <w:rFonts w:ascii="Cambria" w:hAnsi="Cambria"/>
          <w:sz w:val="20"/>
          <w:szCs w:val="20"/>
          <w:lang w:val="es-ES"/>
        </w:rPr>
        <w:t>quen</w:t>
      </w:r>
      <w:r w:rsidR="00FD6802" w:rsidRPr="00E02B48">
        <w:rPr>
          <w:rFonts w:ascii="Cambria" w:hAnsi="Cambria"/>
          <w:sz w:val="20"/>
          <w:szCs w:val="20"/>
          <w:lang w:val="es-ES"/>
        </w:rPr>
        <w:t xml:space="preserve"> que los procesos </w:t>
      </w:r>
      <w:r w:rsidR="00576489" w:rsidRPr="00E02B48">
        <w:rPr>
          <w:rFonts w:ascii="Cambria" w:hAnsi="Cambria"/>
          <w:sz w:val="20"/>
          <w:szCs w:val="20"/>
          <w:lang w:val="es-ES"/>
        </w:rPr>
        <w:t xml:space="preserve">o las decisiones </w:t>
      </w:r>
      <w:r w:rsidR="00FD6802" w:rsidRPr="00E02B48">
        <w:rPr>
          <w:rFonts w:ascii="Cambria" w:hAnsi="Cambria"/>
          <w:sz w:val="20"/>
          <w:szCs w:val="20"/>
          <w:lang w:val="es-ES"/>
        </w:rPr>
        <w:t xml:space="preserve">de las autoridades judiciales </w:t>
      </w:r>
      <w:r w:rsidR="00576489" w:rsidRPr="00E02B48">
        <w:rPr>
          <w:rFonts w:ascii="Cambria" w:hAnsi="Cambria"/>
          <w:sz w:val="20"/>
          <w:szCs w:val="20"/>
          <w:lang w:val="es-ES"/>
        </w:rPr>
        <w:t>nacionales</w:t>
      </w:r>
      <w:r w:rsidR="00FD6802" w:rsidRPr="00E02B48">
        <w:rPr>
          <w:rFonts w:ascii="Cambria" w:hAnsi="Cambria"/>
          <w:sz w:val="20"/>
          <w:szCs w:val="20"/>
          <w:lang w:val="es-ES"/>
        </w:rPr>
        <w:t xml:space="preserve"> adolezca</w:t>
      </w:r>
      <w:r w:rsidR="00576489" w:rsidRPr="00E02B48">
        <w:rPr>
          <w:rFonts w:ascii="Cambria" w:hAnsi="Cambria"/>
          <w:sz w:val="20"/>
          <w:szCs w:val="20"/>
          <w:lang w:val="es-ES"/>
        </w:rPr>
        <w:t>n</w:t>
      </w:r>
      <w:r w:rsidR="00FD6802" w:rsidRPr="00E02B48">
        <w:rPr>
          <w:rFonts w:ascii="Cambria" w:hAnsi="Cambria"/>
          <w:sz w:val="20"/>
          <w:szCs w:val="20"/>
          <w:lang w:val="es-ES"/>
        </w:rPr>
        <w:t xml:space="preserve"> de algún vicio que implique </w:t>
      </w:r>
      <w:r w:rsidR="00576489" w:rsidRPr="00E02B48">
        <w:rPr>
          <w:rFonts w:ascii="Cambria" w:hAnsi="Cambria"/>
          <w:sz w:val="20"/>
          <w:szCs w:val="20"/>
          <w:lang w:val="es-ES"/>
        </w:rPr>
        <w:t xml:space="preserve">una </w:t>
      </w:r>
      <w:r w:rsidR="00FD6802" w:rsidRPr="00E02B48">
        <w:rPr>
          <w:rFonts w:ascii="Cambria" w:hAnsi="Cambria"/>
          <w:sz w:val="20"/>
          <w:szCs w:val="20"/>
          <w:lang w:val="es-ES"/>
        </w:rPr>
        <w:t xml:space="preserve">violación </w:t>
      </w:r>
      <w:r w:rsidR="00576489" w:rsidRPr="00E02B48">
        <w:rPr>
          <w:rFonts w:ascii="Cambria" w:hAnsi="Cambria"/>
          <w:sz w:val="20"/>
          <w:szCs w:val="20"/>
          <w:lang w:val="es-ES"/>
        </w:rPr>
        <w:t>de</w:t>
      </w:r>
      <w:r w:rsidR="00FD6802" w:rsidRPr="00E02B48">
        <w:rPr>
          <w:rFonts w:ascii="Cambria" w:hAnsi="Cambria"/>
          <w:sz w:val="20"/>
          <w:szCs w:val="20"/>
          <w:lang w:val="es-ES"/>
        </w:rPr>
        <w:t xml:space="preserve"> la Convención Americana.</w:t>
      </w:r>
    </w:p>
    <w:p w14:paraId="5915331D" w14:textId="21C96CBC" w:rsidR="00FD6802" w:rsidRPr="00885BCF" w:rsidRDefault="00576489" w:rsidP="00FD680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02B48">
        <w:rPr>
          <w:rFonts w:ascii="Cambria" w:hAnsi="Cambria"/>
          <w:sz w:val="20"/>
          <w:szCs w:val="20"/>
          <w:lang w:val="es-ES"/>
        </w:rPr>
        <w:t>Con</w:t>
      </w:r>
      <w:r w:rsidR="00FD6802" w:rsidRPr="00E02B48">
        <w:rPr>
          <w:rFonts w:ascii="Cambria" w:hAnsi="Cambria"/>
          <w:sz w:val="20"/>
          <w:szCs w:val="20"/>
          <w:lang w:val="es-ES"/>
        </w:rPr>
        <w:t xml:space="preserve"> fundamento en las consideraciones antes expuestas, </w:t>
      </w:r>
      <w:r w:rsidRPr="00E02B48">
        <w:rPr>
          <w:rFonts w:ascii="Cambria" w:hAnsi="Cambria"/>
          <w:sz w:val="20"/>
          <w:szCs w:val="20"/>
          <w:lang w:val="es-ES"/>
        </w:rPr>
        <w:t>la</w:t>
      </w:r>
      <w:r w:rsidR="00FD6802" w:rsidRPr="00E02B48">
        <w:rPr>
          <w:rFonts w:ascii="Cambria" w:hAnsi="Cambria"/>
          <w:sz w:val="20"/>
          <w:szCs w:val="20"/>
          <w:lang w:val="es-ES"/>
        </w:rPr>
        <w:t xml:space="preserve"> Comisión concluye</w:t>
      </w:r>
      <w:r w:rsidR="00FD6802" w:rsidRPr="00885BCF">
        <w:rPr>
          <w:rFonts w:ascii="Cambria" w:hAnsi="Cambria"/>
          <w:sz w:val="20"/>
          <w:szCs w:val="20"/>
          <w:lang w:val="es-ES"/>
        </w:rPr>
        <w:t xml:space="preserve"> que la petición no cumple con el requisito establecido en el artículo 47.b de la Convención Americana, puesto que no se </w:t>
      </w:r>
      <w:r w:rsidR="00FD6802" w:rsidRPr="00885BCF">
        <w:rPr>
          <w:rFonts w:ascii="Cambria" w:hAnsi="Cambria"/>
          <w:sz w:val="20"/>
          <w:szCs w:val="20"/>
          <w:lang w:val="es-ES"/>
        </w:rPr>
        <w:lastRenderedPageBreak/>
        <w:t xml:space="preserve">advierten prima facie hechos que pudiesen caracterizar violaciones a los derechos invocados por el peticionario. </w:t>
      </w:r>
    </w:p>
    <w:p w14:paraId="482B89C2" w14:textId="77777777" w:rsidR="00A17201" w:rsidRPr="00885BCF" w:rsidRDefault="00A17201" w:rsidP="00B97895">
      <w:pPr>
        <w:pStyle w:val="ListParagraph"/>
        <w:spacing w:before="120" w:after="120"/>
        <w:jc w:val="both"/>
        <w:rPr>
          <w:rFonts w:asciiTheme="majorHAnsi" w:hAnsiTheme="majorHAnsi"/>
          <w:b/>
          <w:bCs/>
          <w:color w:val="auto"/>
          <w:sz w:val="20"/>
          <w:szCs w:val="20"/>
          <w:lang w:val="es-ES"/>
        </w:rPr>
      </w:pPr>
      <w:r w:rsidRPr="00885BCF">
        <w:rPr>
          <w:rFonts w:asciiTheme="majorHAnsi" w:hAnsiTheme="majorHAnsi"/>
          <w:b/>
          <w:bCs/>
          <w:color w:val="auto"/>
          <w:sz w:val="20"/>
          <w:szCs w:val="20"/>
          <w:lang w:val="es-ES"/>
        </w:rPr>
        <w:t xml:space="preserve">VIII. </w:t>
      </w:r>
      <w:r w:rsidRPr="00885BCF">
        <w:rPr>
          <w:rFonts w:asciiTheme="majorHAnsi" w:hAnsiTheme="majorHAnsi"/>
          <w:b/>
          <w:bCs/>
          <w:color w:val="auto"/>
          <w:sz w:val="20"/>
          <w:szCs w:val="20"/>
          <w:lang w:val="es-ES"/>
        </w:rPr>
        <w:tab/>
        <w:t>DECISIÓN</w:t>
      </w:r>
    </w:p>
    <w:p w14:paraId="4950A6D3" w14:textId="30B0A658" w:rsidR="00A16DA3" w:rsidRPr="00885BCF" w:rsidRDefault="00A16DA3" w:rsidP="00B97895">
      <w:pPr>
        <w:pStyle w:val="ListParagraph"/>
        <w:numPr>
          <w:ilvl w:val="0"/>
          <w:numId w:val="56"/>
        </w:numPr>
        <w:suppressAutoHyphens/>
        <w:spacing w:before="120" w:after="120"/>
        <w:jc w:val="both"/>
        <w:rPr>
          <w:rFonts w:asciiTheme="majorHAnsi" w:hAnsiTheme="majorHAnsi"/>
          <w:color w:val="auto"/>
          <w:sz w:val="20"/>
          <w:szCs w:val="20"/>
          <w:lang w:val="es-ES"/>
        </w:rPr>
      </w:pPr>
      <w:r w:rsidRPr="00885BCF">
        <w:rPr>
          <w:rFonts w:asciiTheme="majorHAnsi" w:hAnsiTheme="majorHAnsi"/>
          <w:color w:val="auto"/>
          <w:sz w:val="20"/>
          <w:szCs w:val="20"/>
          <w:lang w:val="es-ES"/>
        </w:rPr>
        <w:t xml:space="preserve">Declarar </w:t>
      </w:r>
      <w:r w:rsidR="00C4590D" w:rsidRPr="00885BCF">
        <w:rPr>
          <w:rFonts w:asciiTheme="majorHAnsi" w:hAnsiTheme="majorHAnsi"/>
          <w:color w:val="auto"/>
          <w:sz w:val="20"/>
          <w:szCs w:val="20"/>
          <w:lang w:val="es-ES"/>
        </w:rPr>
        <w:t>in</w:t>
      </w:r>
      <w:r w:rsidR="00E237FE" w:rsidRPr="00885BCF">
        <w:rPr>
          <w:rFonts w:eastAsia="Arial Unicode MS" w:cs="Times New Roman"/>
          <w:color w:val="auto"/>
          <w:sz w:val="20"/>
          <w:szCs w:val="20"/>
          <w:lang w:val="es-ES" w:eastAsia="en-US"/>
        </w:rPr>
        <w:t>admisible la presente petición</w:t>
      </w:r>
      <w:r w:rsidRPr="00885BCF">
        <w:rPr>
          <w:rFonts w:asciiTheme="majorHAnsi" w:hAnsiTheme="majorHAnsi"/>
          <w:color w:val="auto"/>
          <w:sz w:val="20"/>
          <w:szCs w:val="20"/>
          <w:lang w:val="es-ES"/>
        </w:rPr>
        <w:t>;</w:t>
      </w:r>
    </w:p>
    <w:p w14:paraId="361CD434" w14:textId="199E9863" w:rsidR="00C40815" w:rsidRPr="00885BCF" w:rsidRDefault="00E237FE" w:rsidP="00B9789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885BCF">
        <w:rPr>
          <w:rFonts w:ascii="Cambria" w:hAnsi="Cambria"/>
          <w:sz w:val="20"/>
          <w:szCs w:val="20"/>
          <w:lang w:val="es-ES"/>
        </w:rPr>
        <w:t xml:space="preserve">Notificar a </w:t>
      </w:r>
      <w:r w:rsidR="00C4590D" w:rsidRPr="00885BCF">
        <w:rPr>
          <w:rFonts w:ascii="Cambria" w:hAnsi="Cambria"/>
          <w:sz w:val="20"/>
          <w:szCs w:val="20"/>
          <w:lang w:val="es-ES"/>
        </w:rPr>
        <w:t>las partes la presente decisión</w:t>
      </w:r>
      <w:r w:rsidRPr="00885BCF">
        <w:rPr>
          <w:rFonts w:ascii="Cambria" w:hAnsi="Cambria"/>
          <w:sz w:val="20"/>
          <w:szCs w:val="20"/>
          <w:lang w:val="es-ES"/>
        </w:rPr>
        <w:t>; y publicar esta decisión e incluirla en su Informe Anual a la Asamblea General de la Organización de los Estados Americanos.</w:t>
      </w:r>
    </w:p>
    <w:p w14:paraId="0EAB0783" w14:textId="6FC95B38" w:rsidR="00691959" w:rsidRPr="00A37B82" w:rsidRDefault="00691959" w:rsidP="0069195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  a</w:t>
      </w:r>
      <w:r w:rsidRPr="00A37B82">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 xml:space="preserve"> primer día</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9195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70650" w14:textId="77777777" w:rsidR="00514AB0" w:rsidRDefault="00514AB0">
      <w:r>
        <w:separator/>
      </w:r>
    </w:p>
  </w:endnote>
  <w:endnote w:type="continuationSeparator" w:id="0">
    <w:p w14:paraId="6479F562" w14:textId="77777777" w:rsidR="00514AB0" w:rsidRDefault="0051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F554" w14:textId="77777777" w:rsidR="00077CEB" w:rsidRDefault="00077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548FFF2" w14:textId="3E9CF213" w:rsidR="00812BAB" w:rsidRPr="00934A2C" w:rsidRDefault="00812BA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77CEB">
          <w:rPr>
            <w:noProof/>
            <w:sz w:val="16"/>
            <w:szCs w:val="22"/>
          </w:rPr>
          <w:t>3</w:t>
        </w:r>
        <w:r w:rsidRPr="00934A2C">
          <w:rPr>
            <w:noProof/>
            <w:sz w:val="16"/>
            <w:szCs w:val="22"/>
          </w:rPr>
          <w:fldChar w:fldCharType="end"/>
        </w:r>
      </w:p>
    </w:sdtContent>
  </w:sdt>
  <w:p w14:paraId="5C8F8A94" w14:textId="77777777" w:rsidR="00812BAB" w:rsidRDefault="00812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60A4" w14:textId="77777777" w:rsidR="00812BAB" w:rsidRPr="00934A2C" w:rsidRDefault="00812BAB">
    <w:pPr>
      <w:pStyle w:val="Footer"/>
      <w:jc w:val="center"/>
      <w:rPr>
        <w:sz w:val="16"/>
        <w:szCs w:val="22"/>
      </w:rPr>
    </w:pPr>
  </w:p>
  <w:p w14:paraId="26744254" w14:textId="77777777" w:rsidR="00812BAB" w:rsidRDefault="00812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F2B7" w14:textId="77777777" w:rsidR="00514AB0" w:rsidRPr="000F35ED" w:rsidRDefault="00514A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F0CFCC" w14:textId="77777777" w:rsidR="00514AB0" w:rsidRPr="000F35ED" w:rsidRDefault="00514AB0" w:rsidP="000F35ED">
      <w:pPr>
        <w:rPr>
          <w:rFonts w:asciiTheme="majorHAnsi" w:hAnsiTheme="majorHAnsi"/>
          <w:sz w:val="16"/>
          <w:szCs w:val="16"/>
        </w:rPr>
      </w:pPr>
      <w:r w:rsidRPr="000F35ED">
        <w:rPr>
          <w:rFonts w:asciiTheme="majorHAnsi" w:hAnsiTheme="majorHAnsi"/>
          <w:sz w:val="16"/>
          <w:szCs w:val="16"/>
        </w:rPr>
        <w:separator/>
      </w:r>
    </w:p>
    <w:p w14:paraId="7860CC0D" w14:textId="77777777" w:rsidR="00514AB0" w:rsidRPr="000F35ED" w:rsidRDefault="00514AB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6EFA2CA" w14:textId="77777777" w:rsidR="00514AB0" w:rsidRPr="000F35ED" w:rsidRDefault="00514AB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8CE9390" w14:textId="4E894774" w:rsidR="00812BAB" w:rsidRPr="00590310" w:rsidRDefault="00691959" w:rsidP="005976BA">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812BAB" w:rsidRPr="00590310">
        <w:rPr>
          <w:rStyle w:val="FootnoteReference"/>
          <w:rFonts w:asciiTheme="majorHAnsi" w:hAnsiTheme="majorHAnsi"/>
          <w:color w:val="auto"/>
          <w:sz w:val="16"/>
          <w:szCs w:val="16"/>
        </w:rPr>
        <w:footnoteRef/>
      </w:r>
      <w:r w:rsidR="00812BAB" w:rsidRPr="00590310">
        <w:rPr>
          <w:rFonts w:asciiTheme="majorHAnsi" w:hAnsiTheme="majorHAnsi"/>
          <w:color w:val="auto"/>
          <w:sz w:val="16"/>
          <w:szCs w:val="16"/>
          <w:lang w:val="es-ES"/>
        </w:rPr>
        <w:t xml:space="preserve"> Conforme a lo dispuesto en el artículo 17.2.a d</w:t>
      </w:r>
      <w:r w:rsidR="00D24710">
        <w:rPr>
          <w:rFonts w:asciiTheme="majorHAnsi" w:hAnsiTheme="majorHAnsi"/>
          <w:color w:val="auto"/>
          <w:sz w:val="16"/>
          <w:szCs w:val="16"/>
          <w:lang w:val="es-ES"/>
        </w:rPr>
        <w:t>el Reglamento de la Comisión, la Comisionada</w:t>
      </w:r>
      <w:r w:rsidR="00812BAB" w:rsidRPr="00590310">
        <w:rPr>
          <w:rFonts w:asciiTheme="majorHAnsi" w:hAnsiTheme="majorHAnsi"/>
          <w:color w:val="auto"/>
          <w:sz w:val="16"/>
          <w:szCs w:val="16"/>
          <w:lang w:val="es-ES"/>
        </w:rPr>
        <w:t xml:space="preserve"> </w:t>
      </w:r>
      <w:r w:rsidR="00D24710" w:rsidRPr="00D24710">
        <w:rPr>
          <w:rFonts w:asciiTheme="majorHAnsi" w:hAnsiTheme="majorHAnsi"/>
          <w:color w:val="auto"/>
          <w:sz w:val="16"/>
          <w:szCs w:val="16"/>
          <w:lang w:val="es-MX"/>
        </w:rPr>
        <w:t>Julissa Mantilla Falcón</w:t>
      </w:r>
      <w:r w:rsidR="00812BAB" w:rsidRPr="00590310">
        <w:rPr>
          <w:rFonts w:asciiTheme="majorHAnsi" w:hAnsiTheme="majorHAnsi"/>
          <w:color w:val="auto"/>
          <w:sz w:val="16"/>
          <w:szCs w:val="16"/>
          <w:lang w:val="es-ES"/>
        </w:rPr>
        <w:t>, de nacionalidad peruana, no participó en el debate ni en la decisión del presente asunto.</w:t>
      </w:r>
    </w:p>
  </w:footnote>
  <w:footnote w:id="3">
    <w:p w14:paraId="07FFE2A4" w14:textId="25C4A715" w:rsidR="00812BAB" w:rsidRPr="00590310" w:rsidRDefault="00691959" w:rsidP="005976BA">
      <w:pPr>
        <w:pStyle w:val="FootnoteText"/>
        <w:jc w:val="both"/>
        <w:rPr>
          <w:rFonts w:asciiTheme="majorHAnsi" w:hAnsiTheme="majorHAnsi"/>
          <w:color w:val="auto"/>
          <w:sz w:val="16"/>
          <w:szCs w:val="16"/>
          <w:lang w:val="es-AR"/>
        </w:rPr>
      </w:pPr>
      <w:r>
        <w:rPr>
          <w:rFonts w:asciiTheme="majorHAnsi" w:hAnsiTheme="majorHAnsi"/>
          <w:color w:val="auto"/>
          <w:sz w:val="16"/>
          <w:szCs w:val="16"/>
          <w:lang w:val="es-AR"/>
        </w:rPr>
        <w:tab/>
      </w:r>
      <w:r w:rsidR="00812BAB" w:rsidRPr="00590310">
        <w:rPr>
          <w:rStyle w:val="FootnoteReference"/>
          <w:rFonts w:asciiTheme="majorHAnsi" w:hAnsiTheme="majorHAnsi"/>
          <w:color w:val="auto"/>
          <w:sz w:val="16"/>
          <w:szCs w:val="16"/>
        </w:rPr>
        <w:footnoteRef/>
      </w:r>
      <w:r w:rsidR="00812BAB" w:rsidRPr="00590310">
        <w:rPr>
          <w:rFonts w:asciiTheme="majorHAnsi" w:hAnsiTheme="majorHAnsi"/>
          <w:color w:val="auto"/>
          <w:sz w:val="16"/>
          <w:szCs w:val="16"/>
          <w:lang w:val="es-AR"/>
        </w:rPr>
        <w:t xml:space="preserve"> En adelante “la Convención Americana” o “la Convención”.</w:t>
      </w:r>
    </w:p>
  </w:footnote>
  <w:footnote w:id="4">
    <w:p w14:paraId="7EA6738F" w14:textId="38DEB297" w:rsidR="00812BAB" w:rsidRPr="00590310" w:rsidRDefault="00691959" w:rsidP="005976BA">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812BAB" w:rsidRPr="00590310">
        <w:rPr>
          <w:rStyle w:val="FootnoteReference"/>
          <w:rFonts w:asciiTheme="majorHAnsi" w:hAnsiTheme="majorHAnsi"/>
          <w:color w:val="auto"/>
          <w:sz w:val="16"/>
          <w:szCs w:val="16"/>
        </w:rPr>
        <w:footnoteRef/>
      </w:r>
      <w:r w:rsidR="00812BAB" w:rsidRPr="00590310">
        <w:rPr>
          <w:rFonts w:asciiTheme="majorHAnsi" w:hAnsiTheme="majorHAnsi"/>
          <w:color w:val="auto"/>
          <w:sz w:val="16"/>
          <w:szCs w:val="16"/>
          <w:lang w:val="es-ES"/>
        </w:rPr>
        <w:t xml:space="preserve"> Artículos 5 y 9 del Pacto Internacional de Derechos Civiles y Políticos; y artículos 2, 7, 8, 9 y 10 de la Declaración Universal de los Derechos Humanos. </w:t>
      </w:r>
    </w:p>
  </w:footnote>
  <w:footnote w:id="5">
    <w:p w14:paraId="40CA5DB3" w14:textId="389A85C9" w:rsidR="00E736DC" w:rsidRPr="00E736DC" w:rsidRDefault="00691959" w:rsidP="005976BA">
      <w:pPr>
        <w:pStyle w:val="FootnoteText"/>
        <w:rPr>
          <w:lang w:val="es-MX"/>
        </w:rPr>
      </w:pPr>
      <w:r>
        <w:rPr>
          <w:rFonts w:asciiTheme="majorHAnsi" w:hAnsiTheme="majorHAnsi"/>
          <w:color w:val="auto"/>
          <w:sz w:val="16"/>
          <w:szCs w:val="16"/>
          <w:lang w:val="es-ES"/>
        </w:rPr>
        <w:tab/>
      </w:r>
      <w:r w:rsidR="00E736DC" w:rsidRPr="00885BCF">
        <w:rPr>
          <w:rStyle w:val="FootnoteReference"/>
          <w:rFonts w:asciiTheme="majorHAnsi" w:hAnsiTheme="majorHAnsi"/>
          <w:sz w:val="16"/>
          <w:szCs w:val="16"/>
        </w:rPr>
        <w:footnoteRef/>
      </w:r>
      <w:r w:rsidR="00E736DC" w:rsidRPr="00590310">
        <w:rPr>
          <w:rFonts w:asciiTheme="majorHAnsi" w:hAnsiTheme="majorHAnsi"/>
          <w:color w:val="auto"/>
          <w:sz w:val="16"/>
          <w:szCs w:val="16"/>
          <w:lang w:val="es-ES"/>
        </w:rPr>
        <w:t>Las observaciones de cada parte fueron debidamente trasladadas a la parte contraria.</w:t>
      </w:r>
    </w:p>
  </w:footnote>
  <w:footnote w:id="6">
    <w:p w14:paraId="318041F0" w14:textId="2044030B" w:rsidR="008F472F"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8F472F" w:rsidRPr="00590310">
        <w:rPr>
          <w:rStyle w:val="FootnoteReference"/>
          <w:rFonts w:asciiTheme="majorHAnsi" w:hAnsiTheme="majorHAnsi"/>
          <w:sz w:val="16"/>
          <w:szCs w:val="16"/>
        </w:rPr>
        <w:footnoteRef/>
      </w:r>
      <w:r w:rsidR="008F472F" w:rsidRPr="00590310">
        <w:rPr>
          <w:rFonts w:asciiTheme="majorHAnsi" w:hAnsiTheme="majorHAnsi"/>
          <w:sz w:val="16"/>
          <w:szCs w:val="16"/>
          <w:lang w:val="es-MX"/>
        </w:rPr>
        <w:t xml:space="preserve"> </w:t>
      </w:r>
      <w:r w:rsidR="008F472F" w:rsidRPr="00590310">
        <w:rPr>
          <w:rFonts w:asciiTheme="majorHAnsi" w:eastAsia="Times New Roman" w:hAnsiTheme="majorHAnsi" w:cs="Arial"/>
          <w:color w:val="00000A"/>
          <w:sz w:val="16"/>
          <w:szCs w:val="16"/>
          <w:shd w:val="clear" w:color="auto" w:fill="FFFFFF"/>
          <w:lang w:val="es-ES"/>
        </w:rPr>
        <w:t>Esta instancia</w:t>
      </w:r>
      <w:r w:rsidR="008F472F" w:rsidRPr="00590310">
        <w:rPr>
          <w:rFonts w:asciiTheme="majorHAnsi" w:eastAsia="Times New Roman" w:hAnsiTheme="majorHAnsi" w:cs="Arial"/>
          <w:color w:val="00000A"/>
          <w:sz w:val="16"/>
          <w:szCs w:val="16"/>
          <w:lang w:val="es-ES"/>
        </w:rPr>
        <w:t xml:space="preserve"> indicó que a pesar de que el recurso de nulidad no estuviese expresa</w:t>
      </w:r>
      <w:r w:rsidR="008F472F" w:rsidRPr="00590310">
        <w:rPr>
          <w:rFonts w:asciiTheme="majorHAnsi" w:eastAsia="Times New Roman" w:hAnsiTheme="majorHAnsi" w:cs="Arial"/>
          <w:color w:val="00000A"/>
          <w:sz w:val="16"/>
          <w:szCs w:val="16"/>
          <w:shd w:val="clear" w:color="auto" w:fill="FFFFFF"/>
          <w:lang w:val="es-ES"/>
        </w:rPr>
        <w:t>mente previsto en el Decreto Legislativo N°824 como medio para impugnar decisiones desfavorables, esto no era óbic</w:t>
      </w:r>
      <w:r w:rsidR="00716BD0" w:rsidRPr="00590310">
        <w:rPr>
          <w:rFonts w:asciiTheme="majorHAnsi" w:eastAsia="Times New Roman" w:hAnsiTheme="majorHAnsi" w:cs="Arial"/>
          <w:color w:val="00000A"/>
          <w:sz w:val="16"/>
          <w:szCs w:val="16"/>
          <w:shd w:val="clear" w:color="auto" w:fill="FFFFFF"/>
          <w:lang w:val="es-ES"/>
        </w:rPr>
        <w:t>e para dar a trámite al recurso.</w:t>
      </w:r>
    </w:p>
  </w:footnote>
  <w:footnote w:id="7">
    <w:p w14:paraId="206E52D4" w14:textId="6224D446" w:rsidR="00A17ED0"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A17ED0" w:rsidRPr="00590310">
        <w:rPr>
          <w:rStyle w:val="FootnoteReference"/>
          <w:rFonts w:asciiTheme="majorHAnsi" w:hAnsiTheme="majorHAnsi"/>
          <w:sz w:val="16"/>
          <w:szCs w:val="16"/>
        </w:rPr>
        <w:footnoteRef/>
      </w:r>
      <w:r w:rsidR="00A17ED0" w:rsidRPr="00590310">
        <w:rPr>
          <w:rFonts w:asciiTheme="majorHAnsi" w:hAnsiTheme="majorHAnsi"/>
          <w:sz w:val="16"/>
          <w:szCs w:val="16"/>
          <w:lang w:val="es-MX"/>
        </w:rPr>
        <w:t xml:space="preserve"> El peticionario explica que tras finalizar el gobierno de Fujimori hubo una reorganización del Poder Judicial que tuvo como consecuencia la desaparición de los juzgados especializados, de manera que los procesos fueron remitidos a su lugar de origen. Así el caso </w:t>
      </w:r>
      <w:proofErr w:type="gramStart"/>
      <w:r w:rsidR="00A17ED0" w:rsidRPr="00590310">
        <w:rPr>
          <w:rFonts w:asciiTheme="majorHAnsi" w:hAnsiTheme="majorHAnsi"/>
          <w:sz w:val="16"/>
          <w:szCs w:val="16"/>
          <w:lang w:val="es-MX"/>
        </w:rPr>
        <w:t>del</w:t>
      </w:r>
      <w:proofErr w:type="gramEnd"/>
      <w:r w:rsidR="00A17ED0" w:rsidRPr="00590310">
        <w:rPr>
          <w:rFonts w:asciiTheme="majorHAnsi" w:hAnsiTheme="majorHAnsi"/>
          <w:sz w:val="16"/>
          <w:szCs w:val="16"/>
          <w:lang w:val="es-MX"/>
        </w:rPr>
        <w:t xml:space="preserve"> Sr. Milla Espinoza fue remitido a la Primera Sala Penal de Reos de Cárcel de la Corte Superior de Justicia de Callao, dado que la Sala Superior Especializada en TID fue desactivada.</w:t>
      </w:r>
    </w:p>
  </w:footnote>
  <w:footnote w:id="8">
    <w:p w14:paraId="436C6329" w14:textId="6823FF97" w:rsidR="00544240"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544240" w:rsidRPr="00590310">
        <w:rPr>
          <w:rStyle w:val="FootnoteReference"/>
          <w:rFonts w:asciiTheme="majorHAnsi" w:hAnsiTheme="majorHAnsi"/>
          <w:sz w:val="16"/>
          <w:szCs w:val="16"/>
        </w:rPr>
        <w:footnoteRef/>
      </w:r>
      <w:r w:rsidR="00544240" w:rsidRPr="00590310">
        <w:rPr>
          <w:rFonts w:asciiTheme="majorHAnsi" w:hAnsiTheme="majorHAnsi"/>
          <w:sz w:val="16"/>
          <w:szCs w:val="16"/>
          <w:lang w:val="es-MX"/>
        </w:rPr>
        <w:t xml:space="preserve"> Afirma que dicha resolución fue notificada al director del establecimiento penitenciario, fijándose la fecha de excarcelación para el 15 de febrero de 2004.</w:t>
      </w:r>
    </w:p>
  </w:footnote>
  <w:footnote w:id="9">
    <w:p w14:paraId="3024F50F" w14:textId="5DD56BF9" w:rsidR="000A4EA2"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0A4EA2" w:rsidRPr="00590310">
        <w:rPr>
          <w:rStyle w:val="FootnoteReference"/>
          <w:rFonts w:asciiTheme="majorHAnsi" w:hAnsiTheme="majorHAnsi"/>
          <w:sz w:val="16"/>
          <w:szCs w:val="16"/>
        </w:rPr>
        <w:footnoteRef/>
      </w:r>
      <w:r w:rsidR="000A4EA2" w:rsidRPr="00590310">
        <w:rPr>
          <w:rFonts w:asciiTheme="majorHAnsi" w:hAnsiTheme="majorHAnsi"/>
          <w:sz w:val="16"/>
          <w:szCs w:val="16"/>
          <w:lang w:val="es-MX"/>
        </w:rPr>
        <w:t xml:space="preserve"> En fecha</w:t>
      </w:r>
      <w:r w:rsidR="00884FCB">
        <w:rPr>
          <w:rFonts w:asciiTheme="majorHAnsi" w:hAnsiTheme="majorHAnsi"/>
          <w:sz w:val="16"/>
          <w:szCs w:val="16"/>
          <w:lang w:val="es-MX"/>
        </w:rPr>
        <w:t>s</w:t>
      </w:r>
      <w:r w:rsidR="000A4EA2" w:rsidRPr="00590310">
        <w:rPr>
          <w:rFonts w:asciiTheme="majorHAnsi" w:hAnsiTheme="majorHAnsi"/>
          <w:sz w:val="16"/>
          <w:szCs w:val="16"/>
          <w:lang w:val="es-MX"/>
        </w:rPr>
        <w:t xml:space="preserve"> 12, 13</w:t>
      </w:r>
      <w:r w:rsidR="008E310D" w:rsidRPr="00590310">
        <w:rPr>
          <w:rFonts w:asciiTheme="majorHAnsi" w:hAnsiTheme="majorHAnsi"/>
          <w:sz w:val="16"/>
          <w:szCs w:val="16"/>
          <w:lang w:val="es-MX"/>
        </w:rPr>
        <w:t xml:space="preserve"> y</w:t>
      </w:r>
      <w:r w:rsidR="000A4EA2" w:rsidRPr="00590310">
        <w:rPr>
          <w:rFonts w:asciiTheme="majorHAnsi" w:hAnsiTheme="majorHAnsi"/>
          <w:sz w:val="16"/>
          <w:szCs w:val="16"/>
          <w:lang w:val="es-MX"/>
        </w:rPr>
        <w:t xml:space="preserve"> 14 de enero 2004</w:t>
      </w:r>
      <w:r w:rsidR="008E310D" w:rsidRPr="00590310">
        <w:rPr>
          <w:rFonts w:asciiTheme="majorHAnsi" w:hAnsiTheme="majorHAnsi"/>
          <w:sz w:val="16"/>
          <w:szCs w:val="16"/>
          <w:lang w:val="es-MX"/>
        </w:rPr>
        <w:t>.</w:t>
      </w:r>
    </w:p>
  </w:footnote>
  <w:footnote w:id="10">
    <w:p w14:paraId="14DA2023" w14:textId="46466AA8" w:rsidR="00812BAB" w:rsidRPr="00590310" w:rsidRDefault="00691959" w:rsidP="005976BA">
      <w:pPr>
        <w:pStyle w:val="FootnoteText"/>
        <w:jc w:val="both"/>
        <w:rPr>
          <w:rFonts w:asciiTheme="majorHAnsi" w:hAnsiTheme="majorHAnsi"/>
          <w:sz w:val="16"/>
          <w:szCs w:val="16"/>
          <w:lang w:val="uz-Cyrl-UZ"/>
        </w:rPr>
      </w:pPr>
      <w:r>
        <w:rPr>
          <w:rStyle w:val="FootnoteReference"/>
          <w:rFonts w:asciiTheme="majorHAnsi" w:hAnsiTheme="majorHAnsi"/>
          <w:color w:val="00000A"/>
          <w:sz w:val="16"/>
          <w:szCs w:val="16"/>
          <w:lang w:val="uz-Cyrl-UZ"/>
        </w:rPr>
        <w:tab/>
      </w:r>
      <w:r w:rsidR="00812BAB" w:rsidRPr="00590310">
        <w:rPr>
          <w:rStyle w:val="FootnoteReference"/>
          <w:rFonts w:asciiTheme="majorHAnsi" w:hAnsiTheme="majorHAnsi"/>
          <w:sz w:val="16"/>
          <w:szCs w:val="16"/>
        </w:rPr>
        <w:footnoteRef/>
      </w:r>
      <w:r w:rsidR="00812BAB" w:rsidRPr="00590310">
        <w:rPr>
          <w:rStyle w:val="FootnoteReference"/>
          <w:rFonts w:asciiTheme="majorHAnsi" w:hAnsiTheme="majorHAnsi"/>
          <w:color w:val="00000A"/>
          <w:sz w:val="16"/>
          <w:szCs w:val="16"/>
          <w:lang w:val="uz-Cyrl-UZ"/>
        </w:rPr>
        <w:t xml:space="preserve"> </w:t>
      </w:r>
      <w:r w:rsidR="00812BAB" w:rsidRPr="00590310">
        <w:rPr>
          <w:rFonts w:asciiTheme="majorHAnsi" w:hAnsiTheme="majorHAnsi"/>
          <w:color w:val="00000A"/>
          <w:sz w:val="16"/>
          <w:szCs w:val="16"/>
          <w:lang w:val="es-AR"/>
        </w:rPr>
        <w:t xml:space="preserve">  </w:t>
      </w:r>
      <w:r w:rsidR="00884FCB">
        <w:rPr>
          <w:rFonts w:asciiTheme="majorHAnsi" w:hAnsiTheme="majorHAnsi"/>
          <w:color w:val="00000A"/>
          <w:sz w:val="16"/>
          <w:szCs w:val="16"/>
          <w:lang w:val="es-AR"/>
        </w:rPr>
        <w:t xml:space="preserve">La </w:t>
      </w:r>
      <w:r w:rsidR="00812BAB" w:rsidRPr="00590310">
        <w:rPr>
          <w:rFonts w:asciiTheme="majorHAnsi" w:hAnsiTheme="majorHAnsi"/>
          <w:color w:val="00000A"/>
          <w:sz w:val="16"/>
          <w:szCs w:val="16"/>
          <w:lang w:val="es-AR"/>
        </w:rPr>
        <w:t xml:space="preserve">sentencia </w:t>
      </w:r>
      <w:r w:rsidR="00812BAB" w:rsidRPr="00590310">
        <w:rPr>
          <w:rFonts w:asciiTheme="majorHAnsi" w:eastAsia="Times New Roman" w:hAnsiTheme="majorHAnsi" w:cs="Arial"/>
          <w:color w:val="00000A"/>
          <w:sz w:val="16"/>
          <w:szCs w:val="16"/>
          <w:shd w:val="clear" w:color="auto" w:fill="FFFFFF"/>
          <w:lang w:val="es-AR"/>
        </w:rPr>
        <w:t>de la Sala Penal Permanente de la Corte Suprema emitida el 5 de enero de 2004</w:t>
      </w:r>
      <w:r w:rsidR="00812BAB" w:rsidRPr="00590310">
        <w:rPr>
          <w:rFonts w:asciiTheme="majorHAnsi" w:hAnsiTheme="majorHAnsi"/>
          <w:color w:val="00000A"/>
          <w:sz w:val="16"/>
          <w:szCs w:val="16"/>
          <w:lang w:val="es-AR"/>
        </w:rPr>
        <w:t xml:space="preserve"> establece que “</w:t>
      </w:r>
      <w:r w:rsidR="00812BAB" w:rsidRPr="00590310">
        <w:rPr>
          <w:rFonts w:asciiTheme="majorHAnsi" w:hAnsiTheme="majorHAnsi"/>
          <w:iCs/>
          <w:color w:val="00000A"/>
          <w:sz w:val="16"/>
          <w:szCs w:val="16"/>
          <w:lang w:val="es-AR"/>
        </w:rPr>
        <w:t>se ordena la libertad siempre y cuando no exista en su contra una orden o mandato de detención alguno emanado de autoridades competentes”</w:t>
      </w:r>
      <w:r w:rsidR="00812BAB" w:rsidRPr="00590310">
        <w:rPr>
          <w:rFonts w:asciiTheme="majorHAnsi" w:hAnsiTheme="majorHAnsi"/>
          <w:color w:val="00000A"/>
          <w:sz w:val="16"/>
          <w:szCs w:val="16"/>
          <w:lang w:val="es-AR"/>
        </w:rPr>
        <w:t>.</w:t>
      </w:r>
    </w:p>
  </w:footnote>
  <w:footnote w:id="11">
    <w:p w14:paraId="0F0F9078" w14:textId="18FF7A8C" w:rsidR="0081244B"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81244B" w:rsidRPr="00590310">
        <w:rPr>
          <w:rStyle w:val="FootnoteReference"/>
          <w:rFonts w:asciiTheme="majorHAnsi" w:hAnsiTheme="majorHAnsi"/>
          <w:sz w:val="16"/>
          <w:szCs w:val="16"/>
        </w:rPr>
        <w:footnoteRef/>
      </w:r>
      <w:r w:rsidR="0081244B" w:rsidRPr="00590310">
        <w:rPr>
          <w:rFonts w:asciiTheme="majorHAnsi" w:hAnsiTheme="majorHAnsi"/>
          <w:sz w:val="16"/>
          <w:szCs w:val="16"/>
          <w:lang w:val="es-MX"/>
        </w:rPr>
        <w:t xml:space="preserve"> Indica que el 19 de septiembre de 2003, la Corte Superior de Justicia del Callao remitió copias de la sentencia, </w:t>
      </w:r>
      <w:r w:rsidR="007F1ED9">
        <w:rPr>
          <w:rFonts w:asciiTheme="majorHAnsi" w:hAnsiTheme="majorHAnsi"/>
          <w:sz w:val="16"/>
          <w:szCs w:val="16"/>
          <w:lang w:val="es-MX"/>
        </w:rPr>
        <w:t>que</w:t>
      </w:r>
      <w:r w:rsidR="0081244B" w:rsidRPr="00590310">
        <w:rPr>
          <w:rFonts w:asciiTheme="majorHAnsi" w:hAnsiTheme="majorHAnsi"/>
          <w:sz w:val="16"/>
          <w:szCs w:val="16"/>
          <w:lang w:val="es-MX"/>
        </w:rPr>
        <w:t xml:space="preserve"> fueron anexadas al cuaderno de exención de pena.</w:t>
      </w:r>
    </w:p>
  </w:footnote>
  <w:footnote w:id="12">
    <w:p w14:paraId="63261672" w14:textId="22CF3AEC" w:rsidR="00C301B3" w:rsidRPr="00590310" w:rsidRDefault="00691959" w:rsidP="005976BA">
      <w:pPr>
        <w:pStyle w:val="FootnoteText"/>
        <w:jc w:val="both"/>
        <w:rPr>
          <w:rFonts w:asciiTheme="majorHAnsi" w:hAnsiTheme="majorHAnsi"/>
          <w:sz w:val="16"/>
          <w:szCs w:val="16"/>
          <w:lang w:val="es-MX"/>
        </w:rPr>
      </w:pPr>
      <w:r>
        <w:rPr>
          <w:rFonts w:asciiTheme="majorHAnsi" w:hAnsiTheme="majorHAnsi"/>
          <w:sz w:val="16"/>
          <w:szCs w:val="16"/>
          <w:lang w:val="es-MX"/>
        </w:rPr>
        <w:tab/>
      </w:r>
      <w:r w:rsidR="00C301B3" w:rsidRPr="00590310">
        <w:rPr>
          <w:rStyle w:val="FootnoteReference"/>
          <w:rFonts w:asciiTheme="majorHAnsi" w:hAnsiTheme="majorHAnsi"/>
          <w:sz w:val="16"/>
          <w:szCs w:val="16"/>
        </w:rPr>
        <w:footnoteRef/>
      </w:r>
      <w:r w:rsidR="00C301B3" w:rsidRPr="00590310">
        <w:rPr>
          <w:rFonts w:asciiTheme="majorHAnsi" w:hAnsiTheme="majorHAnsi"/>
          <w:sz w:val="16"/>
          <w:szCs w:val="16"/>
          <w:lang w:val="es-MX"/>
        </w:rPr>
        <w:t xml:space="preserve"> Alega que los Dr</w:t>
      </w:r>
      <w:r w:rsidR="007F1ED9">
        <w:rPr>
          <w:rFonts w:asciiTheme="majorHAnsi" w:hAnsiTheme="majorHAnsi"/>
          <w:sz w:val="16"/>
          <w:szCs w:val="16"/>
          <w:lang w:val="es-MX"/>
        </w:rPr>
        <w:t>e</w:t>
      </w:r>
      <w:r w:rsidR="00C301B3" w:rsidRPr="00590310">
        <w:rPr>
          <w:rFonts w:asciiTheme="majorHAnsi" w:hAnsiTheme="majorHAnsi"/>
          <w:sz w:val="16"/>
          <w:szCs w:val="16"/>
          <w:lang w:val="es-MX"/>
        </w:rPr>
        <w:t xml:space="preserve">s. Pajares y Molina Ordóñez no participaron en el procedimiento, aunque firmaron la </w:t>
      </w:r>
      <w:r w:rsidR="007F1ED9">
        <w:rPr>
          <w:rFonts w:asciiTheme="majorHAnsi" w:hAnsiTheme="majorHAnsi"/>
          <w:sz w:val="16"/>
          <w:szCs w:val="16"/>
          <w:lang w:val="es-MX"/>
        </w:rPr>
        <w:t>e</w:t>
      </w:r>
      <w:r w:rsidR="009B5021" w:rsidRPr="00590310">
        <w:rPr>
          <w:rFonts w:asciiTheme="majorHAnsi" w:hAnsiTheme="majorHAnsi"/>
          <w:sz w:val="16"/>
          <w:szCs w:val="16"/>
          <w:lang w:val="es-MX"/>
        </w:rPr>
        <w:t>jecutoria</w:t>
      </w:r>
      <w:r w:rsidR="00C301B3" w:rsidRPr="00590310">
        <w:rPr>
          <w:rFonts w:asciiTheme="majorHAnsi" w:hAnsiTheme="majorHAnsi"/>
          <w:sz w:val="16"/>
          <w:szCs w:val="16"/>
          <w:lang w:val="es-MX"/>
        </w:rPr>
        <w:t xml:space="preserve"> del 16 de enero de 2004.</w:t>
      </w:r>
    </w:p>
  </w:footnote>
  <w:footnote w:id="13">
    <w:p w14:paraId="0F75B80B" w14:textId="0E84F177" w:rsidR="00A02FAC" w:rsidRPr="00465DDD" w:rsidRDefault="00691959" w:rsidP="00C22AA4">
      <w:pPr>
        <w:pStyle w:val="FootnoteText"/>
        <w:jc w:val="both"/>
        <w:rPr>
          <w:rFonts w:asciiTheme="majorHAnsi" w:hAnsiTheme="majorHAnsi"/>
          <w:sz w:val="16"/>
          <w:szCs w:val="16"/>
          <w:lang w:val="es-MX"/>
        </w:rPr>
      </w:pPr>
      <w:r>
        <w:rPr>
          <w:rFonts w:asciiTheme="majorHAnsi" w:hAnsiTheme="majorHAnsi"/>
          <w:sz w:val="16"/>
          <w:szCs w:val="16"/>
          <w:lang w:val="es-MX"/>
        </w:rPr>
        <w:tab/>
      </w:r>
      <w:r w:rsidR="00A02FAC" w:rsidRPr="00C22AA4">
        <w:rPr>
          <w:rStyle w:val="FootnoteReference"/>
          <w:rFonts w:asciiTheme="majorHAnsi" w:hAnsiTheme="majorHAnsi"/>
          <w:sz w:val="16"/>
          <w:szCs w:val="16"/>
        </w:rPr>
        <w:footnoteRef/>
      </w:r>
      <w:r w:rsidR="00A02FAC" w:rsidRPr="00C22AA4">
        <w:rPr>
          <w:rFonts w:asciiTheme="majorHAnsi" w:hAnsiTheme="majorHAnsi"/>
          <w:sz w:val="16"/>
          <w:szCs w:val="16"/>
          <w:lang w:val="es-MX"/>
        </w:rPr>
        <w:t xml:space="preserve"> </w:t>
      </w:r>
      <w:r w:rsidR="00C22AA4" w:rsidRPr="00C22AA4">
        <w:rPr>
          <w:rFonts w:asciiTheme="majorHAnsi" w:hAnsiTheme="majorHAnsi"/>
          <w:sz w:val="16"/>
          <w:szCs w:val="16"/>
          <w:lang w:val="es-MX"/>
        </w:rPr>
        <w:t xml:space="preserve">CIDH, Informe No. 16/18, Petición 884-07. Admisibilidad. Victoria Piedad Palacios Tejada de Saavedra. </w:t>
      </w:r>
      <w:r w:rsidR="00C22AA4" w:rsidRPr="00465DDD">
        <w:rPr>
          <w:rFonts w:asciiTheme="majorHAnsi" w:hAnsiTheme="majorHAnsi"/>
          <w:sz w:val="16"/>
          <w:szCs w:val="16"/>
          <w:lang w:val="es-MX"/>
        </w:rPr>
        <w:t>Perú. 24 de febrero de 2018, párr. 12.</w:t>
      </w:r>
    </w:p>
  </w:footnote>
  <w:footnote w:id="14">
    <w:p w14:paraId="1D56CC2F" w14:textId="30FA9AF9" w:rsidR="00FD6802" w:rsidRPr="009911EB" w:rsidRDefault="00691959" w:rsidP="005976BA">
      <w:pPr>
        <w:pStyle w:val="FootnoteText"/>
        <w:rPr>
          <w:rFonts w:asciiTheme="majorHAnsi" w:hAnsiTheme="majorHAnsi"/>
          <w:sz w:val="16"/>
          <w:szCs w:val="16"/>
          <w:lang w:val="es-MX"/>
        </w:rPr>
      </w:pPr>
      <w:r>
        <w:rPr>
          <w:rFonts w:asciiTheme="majorHAnsi" w:hAnsiTheme="majorHAnsi"/>
          <w:sz w:val="16"/>
          <w:szCs w:val="16"/>
          <w:lang w:val="es-MX"/>
        </w:rPr>
        <w:tab/>
      </w:r>
      <w:r w:rsidR="00FD6802" w:rsidRPr="009911EB">
        <w:rPr>
          <w:rStyle w:val="FootnoteReference"/>
          <w:rFonts w:asciiTheme="majorHAnsi" w:hAnsiTheme="majorHAnsi"/>
          <w:sz w:val="16"/>
          <w:szCs w:val="16"/>
        </w:rPr>
        <w:footnoteRef/>
      </w:r>
      <w:r w:rsidR="00FD6802" w:rsidRPr="009911EB">
        <w:rPr>
          <w:rFonts w:asciiTheme="majorHAnsi" w:hAnsiTheme="majorHAnsi"/>
          <w:sz w:val="16"/>
          <w:szCs w:val="16"/>
          <w:lang w:val="es-MX"/>
        </w:rPr>
        <w:t xml:space="preserve"> Véase CIDH, Informe No. 33/19. Petición 870-11. Inadmisibilidad. Ana María </w:t>
      </w:r>
      <w:proofErr w:type="spellStart"/>
      <w:r w:rsidR="00FD6802" w:rsidRPr="009911EB">
        <w:rPr>
          <w:rFonts w:asciiTheme="majorHAnsi" w:hAnsiTheme="majorHAnsi"/>
          <w:sz w:val="16"/>
          <w:szCs w:val="16"/>
          <w:lang w:val="es-MX"/>
        </w:rPr>
        <w:t>Rantighieri</w:t>
      </w:r>
      <w:proofErr w:type="spellEnd"/>
      <w:r w:rsidR="00FD6802" w:rsidRPr="009911EB">
        <w:rPr>
          <w:rFonts w:asciiTheme="majorHAnsi" w:hAnsiTheme="majorHAnsi"/>
          <w:sz w:val="16"/>
          <w:szCs w:val="16"/>
          <w:lang w:val="es-MX"/>
        </w:rPr>
        <w:t>. Uruguay. 31 de marzo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852E" w14:textId="77777777" w:rsidR="00812BAB" w:rsidRDefault="00812BAB" w:rsidP="00631DE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1E25A7" w14:textId="77777777" w:rsidR="00812BAB" w:rsidRDefault="00812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E154" w14:textId="77777777" w:rsidR="00812BAB" w:rsidRDefault="00812BAB" w:rsidP="00A50FCF">
    <w:pPr>
      <w:pStyle w:val="Header"/>
      <w:tabs>
        <w:tab w:val="clear" w:pos="4320"/>
        <w:tab w:val="clear" w:pos="8640"/>
      </w:tabs>
      <w:jc w:val="center"/>
      <w:rPr>
        <w:sz w:val="22"/>
        <w:szCs w:val="22"/>
      </w:rPr>
    </w:pPr>
    <w:r>
      <w:rPr>
        <w:noProof/>
        <w:sz w:val="22"/>
        <w:szCs w:val="22"/>
      </w:rPr>
      <w:drawing>
        <wp:inline distT="0" distB="0" distL="0" distR="0" wp14:anchorId="5E00F8AE" wp14:editId="66510D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9111D2B" w14:textId="77777777" w:rsidR="00812BAB" w:rsidRPr="00EC7D62" w:rsidRDefault="00514AB0" w:rsidP="00A50FCF">
    <w:pPr>
      <w:pStyle w:val="Header"/>
      <w:tabs>
        <w:tab w:val="clear" w:pos="4320"/>
        <w:tab w:val="clear" w:pos="8640"/>
      </w:tabs>
      <w:jc w:val="center"/>
      <w:rPr>
        <w:sz w:val="22"/>
        <w:szCs w:val="22"/>
      </w:rPr>
    </w:pPr>
    <w:r>
      <w:rPr>
        <w:noProof/>
        <w:sz w:val="22"/>
        <w:szCs w:val="22"/>
        <w:bdr w:val="nil"/>
      </w:rPr>
      <w:pict w14:anchorId="4E7D86E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162A3" w14:textId="77777777" w:rsidR="00077CEB" w:rsidRDefault="000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F605E"/>
    <w:multiLevelType w:val="hybridMultilevel"/>
    <w:tmpl w:val="9F60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617FE1"/>
    <w:multiLevelType w:val="multilevel"/>
    <w:tmpl w:val="6B6A2F8C"/>
    <w:styleLink w:val="WWNum57"/>
    <w:lvl w:ilvl="0">
      <w:start w:val="1"/>
      <w:numFmt w:val="lowerLetter"/>
      <w:lvlText w:val="%1."/>
      <w:lvlJc w:val="left"/>
      <w:pPr>
        <w:ind w:left="720" w:hanging="360"/>
      </w:pPr>
      <w:rPr>
        <w:rFonts w:eastAsia="Trebuchet MS" w:cs="Trebuchet MS"/>
        <w:color w:val="000000"/>
        <w:position w:val="0"/>
        <w:sz w:val="22"/>
        <w:szCs w:val="22"/>
        <w:u w:val="none"/>
        <w:vertAlign w:val="subscript"/>
        <w:lang w:val="es-ES"/>
      </w:rPr>
    </w:lvl>
    <w:lvl w:ilvl="1">
      <w:start w:val="1"/>
      <w:numFmt w:val="lowerLetter"/>
      <w:lvlText w:val="%2."/>
      <w:lvlJc w:val="left"/>
      <w:pPr>
        <w:ind w:left="1410" w:hanging="330"/>
      </w:pPr>
      <w:rPr>
        <w:rFonts w:eastAsia="Calibri" w:cs="Calibri"/>
        <w:color w:val="000000"/>
        <w:position w:val="0"/>
        <w:sz w:val="22"/>
        <w:szCs w:val="22"/>
        <w:u w:val="none"/>
        <w:vertAlign w:val="subscript"/>
        <w:lang w:val="es-ES"/>
      </w:rPr>
    </w:lvl>
    <w:lvl w:ilvl="2">
      <w:start w:val="1"/>
      <w:numFmt w:val="lowerRoman"/>
      <w:lvlText w:val="%1.%2.%3."/>
      <w:lvlJc w:val="left"/>
      <w:pPr>
        <w:ind w:left="2135" w:hanging="271"/>
      </w:pPr>
      <w:rPr>
        <w:rFonts w:eastAsia="Calibri" w:cs="Calibri"/>
        <w:color w:val="000000"/>
        <w:position w:val="0"/>
        <w:sz w:val="22"/>
        <w:szCs w:val="22"/>
        <w:u w:val="none"/>
        <w:vertAlign w:val="subscript"/>
        <w:lang w:val="es-ES"/>
      </w:rPr>
    </w:lvl>
    <w:lvl w:ilvl="3">
      <w:start w:val="1"/>
      <w:numFmt w:val="decimal"/>
      <w:lvlText w:val="%1.%2.%3.%4."/>
      <w:lvlJc w:val="left"/>
      <w:pPr>
        <w:ind w:left="2850" w:hanging="330"/>
      </w:pPr>
      <w:rPr>
        <w:rFonts w:eastAsia="Calibri" w:cs="Calibri"/>
        <w:color w:val="000000"/>
        <w:position w:val="0"/>
        <w:sz w:val="22"/>
        <w:szCs w:val="22"/>
        <w:u w:val="none"/>
        <w:vertAlign w:val="subscript"/>
        <w:lang w:val="es-ES"/>
      </w:rPr>
    </w:lvl>
    <w:lvl w:ilvl="4">
      <w:start w:val="1"/>
      <w:numFmt w:val="lowerLetter"/>
      <w:lvlText w:val="%1.%2.%3.%4.%5."/>
      <w:lvlJc w:val="left"/>
      <w:pPr>
        <w:ind w:left="3570" w:hanging="330"/>
      </w:pPr>
      <w:rPr>
        <w:rFonts w:eastAsia="Calibri" w:cs="Calibri"/>
        <w:color w:val="000000"/>
        <w:position w:val="0"/>
        <w:sz w:val="22"/>
        <w:szCs w:val="22"/>
        <w:u w:val="none"/>
        <w:vertAlign w:val="subscript"/>
        <w:lang w:val="es-ES"/>
      </w:rPr>
    </w:lvl>
    <w:lvl w:ilvl="5">
      <w:start w:val="1"/>
      <w:numFmt w:val="lowerRoman"/>
      <w:lvlText w:val="%1.%2.%3.%4.%5.%6."/>
      <w:lvlJc w:val="left"/>
      <w:pPr>
        <w:ind w:left="4295" w:hanging="271"/>
      </w:pPr>
      <w:rPr>
        <w:rFonts w:eastAsia="Calibri" w:cs="Calibri"/>
        <w:color w:val="000000"/>
        <w:position w:val="0"/>
        <w:sz w:val="22"/>
        <w:szCs w:val="22"/>
        <w:u w:val="none"/>
        <w:vertAlign w:val="subscript"/>
        <w:lang w:val="es-ES"/>
      </w:rPr>
    </w:lvl>
    <w:lvl w:ilvl="6">
      <w:start w:val="1"/>
      <w:numFmt w:val="decimal"/>
      <w:lvlText w:val="%1.%2.%3.%4.%5.%6.%7."/>
      <w:lvlJc w:val="left"/>
      <w:pPr>
        <w:ind w:left="5010" w:hanging="330"/>
      </w:pPr>
      <w:rPr>
        <w:rFonts w:eastAsia="Calibri" w:cs="Calibri"/>
        <w:color w:val="000000"/>
        <w:position w:val="0"/>
        <w:sz w:val="22"/>
        <w:szCs w:val="22"/>
        <w:u w:val="none"/>
        <w:vertAlign w:val="subscript"/>
        <w:lang w:val="es-ES"/>
      </w:rPr>
    </w:lvl>
    <w:lvl w:ilvl="7">
      <w:start w:val="1"/>
      <w:numFmt w:val="lowerLetter"/>
      <w:lvlText w:val="%1.%2.%3.%4.%5.%6.%7.%8."/>
      <w:lvlJc w:val="left"/>
      <w:pPr>
        <w:ind w:left="5730" w:hanging="330"/>
      </w:pPr>
      <w:rPr>
        <w:rFonts w:eastAsia="Calibri" w:cs="Calibri"/>
        <w:color w:val="000000"/>
        <w:position w:val="0"/>
        <w:sz w:val="22"/>
        <w:szCs w:val="22"/>
        <w:u w:val="none"/>
        <w:vertAlign w:val="subscript"/>
        <w:lang w:val="es-ES"/>
      </w:rPr>
    </w:lvl>
    <w:lvl w:ilvl="8">
      <w:start w:val="1"/>
      <w:numFmt w:val="lowerRoman"/>
      <w:lvlText w:val="%1.%2.%3.%4.%5.%6.%7.%8.%9."/>
      <w:lvlJc w:val="left"/>
      <w:pPr>
        <w:ind w:left="6455" w:hanging="271"/>
      </w:pPr>
      <w:rPr>
        <w:rFonts w:eastAsia="Calibri" w:cs="Calibri"/>
        <w:color w:val="000000"/>
        <w:position w:val="0"/>
        <w:sz w:val="22"/>
        <w:szCs w:val="22"/>
        <w:u w:val="none"/>
        <w:vertAlign w:val="subscript"/>
        <w:lang w:val="es-ES"/>
      </w:rPr>
    </w:lvl>
  </w:abstractNum>
  <w:abstractNum w:abstractNumId="8" w15:restartNumberingAfterBreak="0">
    <w:nsid w:val="1C35567F"/>
    <w:multiLevelType w:val="multilevel"/>
    <w:tmpl w:val="158ACA36"/>
    <w:styleLink w:val="WWNum93"/>
    <w:lvl w:ilvl="0">
      <w:start w:val="1"/>
      <w:numFmt w:val="decimal"/>
      <w:lvlText w:val="%1."/>
      <w:lvlJc w:val="left"/>
      <w:pPr>
        <w:ind w:left="720" w:hanging="360"/>
      </w:pPr>
      <w:rPr>
        <w:rFonts w:eastAsia="Trebuchet MS" w:cs="Trebuchet MS"/>
        <w:b/>
        <w:bCs/>
        <w:color w:val="000000"/>
        <w:position w:val="0"/>
        <w:sz w:val="22"/>
        <w:szCs w:val="22"/>
        <w:u w:val="single" w:color="000000"/>
        <w:vertAlign w:val="subscript"/>
        <w:lang w:val="es-ES"/>
      </w:rPr>
    </w:lvl>
    <w:lvl w:ilvl="1">
      <w:start w:val="1"/>
      <w:numFmt w:val="lowerLetter"/>
      <w:lvlText w:val="%2."/>
      <w:lvlJc w:val="left"/>
      <w:pPr>
        <w:ind w:left="1410" w:hanging="330"/>
      </w:pPr>
      <w:rPr>
        <w:rFonts w:eastAsia="Calibri" w:cs="Calibri"/>
        <w:b/>
        <w:bCs/>
        <w:color w:val="000000"/>
        <w:position w:val="0"/>
        <w:sz w:val="22"/>
        <w:szCs w:val="22"/>
        <w:u w:val="single" w:color="000000"/>
        <w:vertAlign w:val="subscript"/>
        <w:lang w:val="es-ES"/>
      </w:rPr>
    </w:lvl>
    <w:lvl w:ilvl="2">
      <w:start w:val="1"/>
      <w:numFmt w:val="lowerRoman"/>
      <w:lvlText w:val="%1.%2.%3."/>
      <w:lvlJc w:val="left"/>
      <w:pPr>
        <w:ind w:left="2135" w:hanging="271"/>
      </w:pPr>
      <w:rPr>
        <w:rFonts w:eastAsia="Calibri" w:cs="Calibri"/>
        <w:b/>
        <w:bCs/>
        <w:color w:val="000000"/>
        <w:position w:val="0"/>
        <w:sz w:val="22"/>
        <w:szCs w:val="22"/>
        <w:u w:val="single" w:color="000000"/>
        <w:vertAlign w:val="subscript"/>
        <w:lang w:val="es-ES"/>
      </w:rPr>
    </w:lvl>
    <w:lvl w:ilvl="3">
      <w:start w:val="1"/>
      <w:numFmt w:val="decimal"/>
      <w:lvlText w:val="%1.%2.%3.%4."/>
      <w:lvlJc w:val="left"/>
      <w:pPr>
        <w:ind w:left="2850" w:hanging="330"/>
      </w:pPr>
      <w:rPr>
        <w:rFonts w:eastAsia="Calibri" w:cs="Calibri"/>
        <w:b/>
        <w:bCs/>
        <w:color w:val="000000"/>
        <w:position w:val="0"/>
        <w:sz w:val="22"/>
        <w:szCs w:val="22"/>
        <w:u w:val="single" w:color="000000"/>
        <w:vertAlign w:val="subscript"/>
        <w:lang w:val="es-ES"/>
      </w:rPr>
    </w:lvl>
    <w:lvl w:ilvl="4">
      <w:start w:val="1"/>
      <w:numFmt w:val="lowerLetter"/>
      <w:lvlText w:val="%1.%2.%3.%4.%5."/>
      <w:lvlJc w:val="left"/>
      <w:pPr>
        <w:ind w:left="3570" w:hanging="330"/>
      </w:pPr>
      <w:rPr>
        <w:rFonts w:eastAsia="Calibri" w:cs="Calibri"/>
        <w:b/>
        <w:bCs/>
        <w:color w:val="000000"/>
        <w:position w:val="0"/>
        <w:sz w:val="22"/>
        <w:szCs w:val="22"/>
        <w:u w:val="single" w:color="000000"/>
        <w:vertAlign w:val="subscript"/>
        <w:lang w:val="es-ES"/>
      </w:rPr>
    </w:lvl>
    <w:lvl w:ilvl="5">
      <w:start w:val="1"/>
      <w:numFmt w:val="lowerRoman"/>
      <w:lvlText w:val="%1.%2.%3.%4.%5.%6."/>
      <w:lvlJc w:val="left"/>
      <w:pPr>
        <w:ind w:left="4295" w:hanging="271"/>
      </w:pPr>
      <w:rPr>
        <w:rFonts w:eastAsia="Calibri" w:cs="Calibri"/>
        <w:b/>
        <w:bCs/>
        <w:color w:val="000000"/>
        <w:position w:val="0"/>
        <w:sz w:val="22"/>
        <w:szCs w:val="22"/>
        <w:u w:val="single" w:color="000000"/>
        <w:vertAlign w:val="subscript"/>
        <w:lang w:val="es-ES"/>
      </w:rPr>
    </w:lvl>
    <w:lvl w:ilvl="6">
      <w:start w:val="1"/>
      <w:numFmt w:val="decimal"/>
      <w:lvlText w:val="%1.%2.%3.%4.%5.%6.%7."/>
      <w:lvlJc w:val="left"/>
      <w:pPr>
        <w:ind w:left="5010" w:hanging="330"/>
      </w:pPr>
      <w:rPr>
        <w:rFonts w:eastAsia="Calibri" w:cs="Calibri"/>
        <w:b/>
        <w:bCs/>
        <w:color w:val="000000"/>
        <w:position w:val="0"/>
        <w:sz w:val="22"/>
        <w:szCs w:val="22"/>
        <w:u w:val="single" w:color="000000"/>
        <w:vertAlign w:val="subscript"/>
        <w:lang w:val="es-ES"/>
      </w:rPr>
    </w:lvl>
    <w:lvl w:ilvl="7">
      <w:start w:val="1"/>
      <w:numFmt w:val="lowerLetter"/>
      <w:lvlText w:val="%1.%2.%3.%4.%5.%6.%7.%8."/>
      <w:lvlJc w:val="left"/>
      <w:pPr>
        <w:ind w:left="5730" w:hanging="330"/>
      </w:pPr>
      <w:rPr>
        <w:rFonts w:eastAsia="Calibri" w:cs="Calibri"/>
        <w:b/>
        <w:bCs/>
        <w:color w:val="000000"/>
        <w:position w:val="0"/>
        <w:sz w:val="22"/>
        <w:szCs w:val="22"/>
        <w:u w:val="single" w:color="000000"/>
        <w:vertAlign w:val="subscript"/>
        <w:lang w:val="es-ES"/>
      </w:rPr>
    </w:lvl>
    <w:lvl w:ilvl="8">
      <w:start w:val="1"/>
      <w:numFmt w:val="lowerRoman"/>
      <w:lvlText w:val="%1.%2.%3.%4.%5.%6.%7.%8.%9."/>
      <w:lvlJc w:val="left"/>
      <w:pPr>
        <w:ind w:left="6455" w:hanging="271"/>
      </w:pPr>
      <w:rPr>
        <w:rFonts w:eastAsia="Calibri" w:cs="Calibri"/>
        <w:b/>
        <w:bCs/>
        <w:color w:val="000000"/>
        <w:position w:val="0"/>
        <w:sz w:val="22"/>
        <w:szCs w:val="22"/>
        <w:u w:val="single" w:color="000000"/>
        <w:vertAlign w:val="subscript"/>
        <w:lang w:val="es-ES"/>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EA00CF5"/>
    <w:multiLevelType w:val="multilevel"/>
    <w:tmpl w:val="920A1570"/>
    <w:styleLink w:val="WWNum102"/>
    <w:lvl w:ilvl="0">
      <w:start w:val="1"/>
      <w:numFmt w:val="decimal"/>
      <w:lvlText w:val="%1."/>
      <w:lvlJc w:val="left"/>
      <w:pPr>
        <w:ind w:left="90" w:firstLine="720"/>
      </w:pPr>
      <w:rPr>
        <w:i w:val="0"/>
      </w:rPr>
    </w:lvl>
    <w:lvl w:ilvl="1">
      <w:start w:val="34"/>
      <w:numFmt w:val="decimal"/>
      <w:lvlText w:val="%2."/>
      <w:lvlJc w:val="left"/>
      <w:pPr>
        <w:ind w:left="2520" w:hanging="144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9E4C41"/>
    <w:multiLevelType w:val="hybridMultilevel"/>
    <w:tmpl w:val="F800A8B6"/>
    <w:lvl w:ilvl="0" w:tplc="8F6EE26C">
      <w:start w:val="8"/>
      <w:numFmt w:val="bullet"/>
      <w:lvlText w:val="-"/>
      <w:lvlJc w:val="left"/>
      <w:pPr>
        <w:ind w:left="720" w:hanging="360"/>
      </w:pPr>
      <w:rPr>
        <w:rFonts w:ascii="Times New Roman" w:eastAsia="Arial Unicode MS" w:hAnsi="Times New Roman" w:cs="Times New Roman" w:hint="default"/>
        <w:sz w:val="24"/>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5ED27889"/>
    <w:multiLevelType w:val="multilevel"/>
    <w:tmpl w:val="F6188C78"/>
    <w:styleLink w:val="WWNum103"/>
    <w:lvl w:ilvl="0">
      <w:start w:val="1"/>
      <w:numFmt w:val="decimal"/>
      <w:lvlText w:val="%1."/>
      <w:lvlJc w:val="left"/>
      <w:pPr>
        <w:ind w:left="0" w:firstLine="72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0884318E"/>
    <w:lvl w:ilvl="0" w:tplc="E6CE2CF4">
      <w:start w:val="1"/>
      <w:numFmt w:val="decimal"/>
      <w:lvlText w:val="%1."/>
      <w:lvlJc w:val="left"/>
      <w:pPr>
        <w:tabs>
          <w:tab w:val="num" w:pos="810"/>
        </w:tabs>
        <w:ind w:left="90" w:firstLine="720"/>
      </w:pPr>
      <w:rPr>
        <w:rFonts w:hint="default"/>
        <w:i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7BB2EE5"/>
    <w:multiLevelType w:val="hybridMultilevel"/>
    <w:tmpl w:val="79EA77B6"/>
    <w:lvl w:ilvl="0" w:tplc="E6CE2CF4">
      <w:start w:val="1"/>
      <w:numFmt w:val="decimal"/>
      <w:lvlText w:val="%1."/>
      <w:lvlJc w:val="left"/>
      <w:pPr>
        <w:tabs>
          <w:tab w:val="num" w:pos="810"/>
        </w:tabs>
        <w:ind w:left="90" w:firstLine="720"/>
      </w:pPr>
      <w:rPr>
        <w:rFonts w:hint="default"/>
        <w:i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9"/>
  </w:num>
  <w:num w:numId="4">
    <w:abstractNumId w:val="23"/>
  </w:num>
  <w:num w:numId="5">
    <w:abstractNumId w:val="51"/>
  </w:num>
  <w:num w:numId="6">
    <w:abstractNumId w:val="28"/>
  </w:num>
  <w:num w:numId="7">
    <w:abstractNumId w:val="9"/>
  </w:num>
  <w:num w:numId="8">
    <w:abstractNumId w:val="19"/>
  </w:num>
  <w:num w:numId="9">
    <w:abstractNumId w:val="43"/>
  </w:num>
  <w:num w:numId="10">
    <w:abstractNumId w:val="0"/>
  </w:num>
  <w:num w:numId="11">
    <w:abstractNumId w:val="37"/>
  </w:num>
  <w:num w:numId="12">
    <w:abstractNumId w:val="38"/>
  </w:num>
  <w:num w:numId="13">
    <w:abstractNumId w:val="45"/>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2"/>
  </w:num>
  <w:num w:numId="53">
    <w:abstractNumId w:val="56"/>
  </w:num>
  <w:num w:numId="54">
    <w:abstractNumId w:val="46"/>
  </w:num>
  <w:num w:numId="55">
    <w:abstractNumId w:val="50"/>
  </w:num>
  <w:num w:numId="56">
    <w:abstractNumId w:val="52"/>
  </w:num>
  <w:num w:numId="57">
    <w:abstractNumId w:val="48"/>
    <w:lvlOverride w:ilvl="0">
      <w:lvl w:ilvl="0">
        <w:start w:val="1"/>
        <w:numFmt w:val="decimal"/>
        <w:lvlText w:val="%1."/>
        <w:lvlJc w:val="left"/>
        <w:pPr>
          <w:ind w:left="0" w:firstLine="720"/>
        </w:pPr>
        <w:rPr>
          <w:color w:val="00000A"/>
          <w:sz w:val="20"/>
          <w:szCs w:val="20"/>
        </w:rPr>
      </w:lvl>
    </w:lvlOverride>
  </w:num>
  <w:num w:numId="58">
    <w:abstractNumId w:val="8"/>
  </w:num>
  <w:num w:numId="59">
    <w:abstractNumId w:val="39"/>
  </w:num>
  <w:num w:numId="60">
    <w:abstractNumId w:val="48"/>
    <w:lvlOverride w:ilvl="0">
      <w:startOverride w:val="1"/>
    </w:lvlOverride>
  </w:num>
  <w:num w:numId="61">
    <w:abstractNumId w:val="7"/>
  </w:num>
  <w:num w:numId="62">
    <w:abstractNumId w:val="49"/>
    <w:lvlOverride w:ilvl="0">
      <w:startOverride w:val="1"/>
    </w:lvlOverride>
  </w:num>
  <w:num w:numId="63">
    <w:abstractNumId w:val="44"/>
  </w:num>
  <w:num w:numId="64">
    <w:abstractNumId w:val="1"/>
  </w:num>
  <w:num w:numId="65">
    <w:abstractNumId w:val="47"/>
  </w:num>
  <w:num w:numId="66">
    <w:abstractNumId w:val="48"/>
  </w:num>
  <w:num w:numId="67">
    <w:abstractNumId w:val="5"/>
  </w:num>
  <w:num w:numId="68">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1E1"/>
    <w:rsid w:val="00004E47"/>
    <w:rsid w:val="00006426"/>
    <w:rsid w:val="000068B2"/>
    <w:rsid w:val="00006E1F"/>
    <w:rsid w:val="000070D7"/>
    <w:rsid w:val="000102BE"/>
    <w:rsid w:val="00011C0E"/>
    <w:rsid w:val="00015F0C"/>
    <w:rsid w:val="0001630F"/>
    <w:rsid w:val="0001788C"/>
    <w:rsid w:val="00022328"/>
    <w:rsid w:val="0002249E"/>
    <w:rsid w:val="00025F14"/>
    <w:rsid w:val="000337EF"/>
    <w:rsid w:val="000356DE"/>
    <w:rsid w:val="000409FB"/>
    <w:rsid w:val="00040C3A"/>
    <w:rsid w:val="000419AD"/>
    <w:rsid w:val="0005152D"/>
    <w:rsid w:val="00054815"/>
    <w:rsid w:val="00055B49"/>
    <w:rsid w:val="000716C5"/>
    <w:rsid w:val="00075E23"/>
    <w:rsid w:val="00075FA4"/>
    <w:rsid w:val="00077CEB"/>
    <w:rsid w:val="00086BE4"/>
    <w:rsid w:val="0009344A"/>
    <w:rsid w:val="000A392E"/>
    <w:rsid w:val="000A4EA2"/>
    <w:rsid w:val="000A575F"/>
    <w:rsid w:val="000A5B87"/>
    <w:rsid w:val="000A6C33"/>
    <w:rsid w:val="000A6F1A"/>
    <w:rsid w:val="000C125B"/>
    <w:rsid w:val="000C190E"/>
    <w:rsid w:val="000C33F5"/>
    <w:rsid w:val="000C5A6D"/>
    <w:rsid w:val="000C7522"/>
    <w:rsid w:val="000D10DB"/>
    <w:rsid w:val="000E178B"/>
    <w:rsid w:val="000E3B71"/>
    <w:rsid w:val="000E546D"/>
    <w:rsid w:val="000E5EB5"/>
    <w:rsid w:val="000F2DDF"/>
    <w:rsid w:val="000F35ED"/>
    <w:rsid w:val="000F533A"/>
    <w:rsid w:val="000F5AEA"/>
    <w:rsid w:val="000F7B99"/>
    <w:rsid w:val="001043CA"/>
    <w:rsid w:val="00107131"/>
    <w:rsid w:val="0010736F"/>
    <w:rsid w:val="00112FB8"/>
    <w:rsid w:val="001138B9"/>
    <w:rsid w:val="001139A2"/>
    <w:rsid w:val="001139A3"/>
    <w:rsid w:val="00113DA2"/>
    <w:rsid w:val="00113F73"/>
    <w:rsid w:val="00114541"/>
    <w:rsid w:val="00121CC2"/>
    <w:rsid w:val="00127B11"/>
    <w:rsid w:val="00133EE5"/>
    <w:rsid w:val="00134B93"/>
    <w:rsid w:val="00145419"/>
    <w:rsid w:val="00167A34"/>
    <w:rsid w:val="00170368"/>
    <w:rsid w:val="001708D9"/>
    <w:rsid w:val="00171050"/>
    <w:rsid w:val="00177E5C"/>
    <w:rsid w:val="00180B2C"/>
    <w:rsid w:val="0018316D"/>
    <w:rsid w:val="00185234"/>
    <w:rsid w:val="00190755"/>
    <w:rsid w:val="00190BB1"/>
    <w:rsid w:val="00196D39"/>
    <w:rsid w:val="001A01DD"/>
    <w:rsid w:val="001A11A2"/>
    <w:rsid w:val="001A3A39"/>
    <w:rsid w:val="001A4788"/>
    <w:rsid w:val="001A7870"/>
    <w:rsid w:val="001A7992"/>
    <w:rsid w:val="001B3A00"/>
    <w:rsid w:val="001B5A7E"/>
    <w:rsid w:val="001B753B"/>
    <w:rsid w:val="001C1B41"/>
    <w:rsid w:val="001C2279"/>
    <w:rsid w:val="001C56B4"/>
    <w:rsid w:val="001C585E"/>
    <w:rsid w:val="001C6919"/>
    <w:rsid w:val="001C6A46"/>
    <w:rsid w:val="001C7898"/>
    <w:rsid w:val="001C78D2"/>
    <w:rsid w:val="001D12A3"/>
    <w:rsid w:val="001D42A4"/>
    <w:rsid w:val="001D65EF"/>
    <w:rsid w:val="001D7486"/>
    <w:rsid w:val="001E19AE"/>
    <w:rsid w:val="001E49E7"/>
    <w:rsid w:val="001E4E5F"/>
    <w:rsid w:val="001F7201"/>
    <w:rsid w:val="00204E07"/>
    <w:rsid w:val="00210892"/>
    <w:rsid w:val="00222C97"/>
    <w:rsid w:val="00223A29"/>
    <w:rsid w:val="00224168"/>
    <w:rsid w:val="002250A3"/>
    <w:rsid w:val="002317CE"/>
    <w:rsid w:val="00231C90"/>
    <w:rsid w:val="0023479D"/>
    <w:rsid w:val="00235217"/>
    <w:rsid w:val="00240D1A"/>
    <w:rsid w:val="002417D9"/>
    <w:rsid w:val="002446E7"/>
    <w:rsid w:val="00246D1F"/>
    <w:rsid w:val="00247403"/>
    <w:rsid w:val="00247542"/>
    <w:rsid w:val="00247C44"/>
    <w:rsid w:val="00251BC3"/>
    <w:rsid w:val="00260D5D"/>
    <w:rsid w:val="002659F5"/>
    <w:rsid w:val="00265EDF"/>
    <w:rsid w:val="00266B61"/>
    <w:rsid w:val="0026712A"/>
    <w:rsid w:val="002704DB"/>
    <w:rsid w:val="002713C3"/>
    <w:rsid w:val="002752F6"/>
    <w:rsid w:val="0027734A"/>
    <w:rsid w:val="00282653"/>
    <w:rsid w:val="0029217F"/>
    <w:rsid w:val="00293D12"/>
    <w:rsid w:val="00296BDA"/>
    <w:rsid w:val="00297EF0"/>
    <w:rsid w:val="002A0AAE"/>
    <w:rsid w:val="002A54C9"/>
    <w:rsid w:val="002A5820"/>
    <w:rsid w:val="002A7AA8"/>
    <w:rsid w:val="002B0C0A"/>
    <w:rsid w:val="002B599C"/>
    <w:rsid w:val="002C0449"/>
    <w:rsid w:val="002C209D"/>
    <w:rsid w:val="002C4415"/>
    <w:rsid w:val="002C57CB"/>
    <w:rsid w:val="002D2B26"/>
    <w:rsid w:val="002D7EA2"/>
    <w:rsid w:val="002E1004"/>
    <w:rsid w:val="002E187C"/>
    <w:rsid w:val="002E5491"/>
    <w:rsid w:val="002E6FFC"/>
    <w:rsid w:val="002F28FF"/>
    <w:rsid w:val="002F4734"/>
    <w:rsid w:val="002F4F6D"/>
    <w:rsid w:val="002F5442"/>
    <w:rsid w:val="00300927"/>
    <w:rsid w:val="00302733"/>
    <w:rsid w:val="003046CC"/>
    <w:rsid w:val="00305737"/>
    <w:rsid w:val="0030689F"/>
    <w:rsid w:val="003128D2"/>
    <w:rsid w:val="00314078"/>
    <w:rsid w:val="0031535D"/>
    <w:rsid w:val="003168BC"/>
    <w:rsid w:val="00316B80"/>
    <w:rsid w:val="0031737C"/>
    <w:rsid w:val="00321A39"/>
    <w:rsid w:val="00322EEA"/>
    <w:rsid w:val="003239B8"/>
    <w:rsid w:val="0033169F"/>
    <w:rsid w:val="003320ED"/>
    <w:rsid w:val="00332DF4"/>
    <w:rsid w:val="00340ABC"/>
    <w:rsid w:val="00341123"/>
    <w:rsid w:val="00343693"/>
    <w:rsid w:val="00344977"/>
    <w:rsid w:val="00344F55"/>
    <w:rsid w:val="003460D4"/>
    <w:rsid w:val="00346C95"/>
    <w:rsid w:val="0035238B"/>
    <w:rsid w:val="0035386B"/>
    <w:rsid w:val="00356185"/>
    <w:rsid w:val="00356AE6"/>
    <w:rsid w:val="00356AFC"/>
    <w:rsid w:val="00360380"/>
    <w:rsid w:val="00372A55"/>
    <w:rsid w:val="0037519E"/>
    <w:rsid w:val="003773D6"/>
    <w:rsid w:val="003818FA"/>
    <w:rsid w:val="00381CA7"/>
    <w:rsid w:val="00383758"/>
    <w:rsid w:val="00383DA7"/>
    <w:rsid w:val="00386C6A"/>
    <w:rsid w:val="00386CF0"/>
    <w:rsid w:val="00387060"/>
    <w:rsid w:val="00387DED"/>
    <w:rsid w:val="00387EE3"/>
    <w:rsid w:val="00390185"/>
    <w:rsid w:val="00390988"/>
    <w:rsid w:val="00390A15"/>
    <w:rsid w:val="0039560F"/>
    <w:rsid w:val="003A0173"/>
    <w:rsid w:val="003A228E"/>
    <w:rsid w:val="003B210E"/>
    <w:rsid w:val="003B45B4"/>
    <w:rsid w:val="003B5CB4"/>
    <w:rsid w:val="003B70FB"/>
    <w:rsid w:val="003C45B9"/>
    <w:rsid w:val="003C490A"/>
    <w:rsid w:val="003C5EC4"/>
    <w:rsid w:val="003C676B"/>
    <w:rsid w:val="003D1163"/>
    <w:rsid w:val="003D3BC2"/>
    <w:rsid w:val="003D6A4F"/>
    <w:rsid w:val="003D7A4C"/>
    <w:rsid w:val="003D7F4C"/>
    <w:rsid w:val="003E661B"/>
    <w:rsid w:val="003E6CA1"/>
    <w:rsid w:val="003F5991"/>
    <w:rsid w:val="003F6CF5"/>
    <w:rsid w:val="00405245"/>
    <w:rsid w:val="00405636"/>
    <w:rsid w:val="004065A8"/>
    <w:rsid w:val="0041198A"/>
    <w:rsid w:val="004136D1"/>
    <w:rsid w:val="00413808"/>
    <w:rsid w:val="0041525B"/>
    <w:rsid w:val="004165C2"/>
    <w:rsid w:val="00420DF6"/>
    <w:rsid w:val="00424285"/>
    <w:rsid w:val="004243DA"/>
    <w:rsid w:val="0042440C"/>
    <w:rsid w:val="00424CE3"/>
    <w:rsid w:val="00431393"/>
    <w:rsid w:val="00432FBB"/>
    <w:rsid w:val="00436B7F"/>
    <w:rsid w:val="00441ECB"/>
    <w:rsid w:val="00443BB9"/>
    <w:rsid w:val="00443E16"/>
    <w:rsid w:val="00445193"/>
    <w:rsid w:val="0045029B"/>
    <w:rsid w:val="004530E0"/>
    <w:rsid w:val="00456093"/>
    <w:rsid w:val="00457E5A"/>
    <w:rsid w:val="00462C1B"/>
    <w:rsid w:val="00462F61"/>
    <w:rsid w:val="00464EE1"/>
    <w:rsid w:val="00465DDD"/>
    <w:rsid w:val="00465E6D"/>
    <w:rsid w:val="00467B7E"/>
    <w:rsid w:val="00473BB4"/>
    <w:rsid w:val="00477592"/>
    <w:rsid w:val="0048610A"/>
    <w:rsid w:val="00486F1C"/>
    <w:rsid w:val="00487DE8"/>
    <w:rsid w:val="0049067E"/>
    <w:rsid w:val="0049419D"/>
    <w:rsid w:val="004975E8"/>
    <w:rsid w:val="004A0B0C"/>
    <w:rsid w:val="004A6A54"/>
    <w:rsid w:val="004A7421"/>
    <w:rsid w:val="004B221F"/>
    <w:rsid w:val="004B44CC"/>
    <w:rsid w:val="004B5337"/>
    <w:rsid w:val="004C1838"/>
    <w:rsid w:val="004C20D2"/>
    <w:rsid w:val="004C2312"/>
    <w:rsid w:val="004C2399"/>
    <w:rsid w:val="004C2E79"/>
    <w:rsid w:val="004C4B62"/>
    <w:rsid w:val="004C51E2"/>
    <w:rsid w:val="004C54C9"/>
    <w:rsid w:val="004C73C9"/>
    <w:rsid w:val="004D1A33"/>
    <w:rsid w:val="004D21EE"/>
    <w:rsid w:val="004D4ABA"/>
    <w:rsid w:val="004D6025"/>
    <w:rsid w:val="004D6448"/>
    <w:rsid w:val="004E2649"/>
    <w:rsid w:val="004E2E00"/>
    <w:rsid w:val="004E60F7"/>
    <w:rsid w:val="004F0BEA"/>
    <w:rsid w:val="004F3F85"/>
    <w:rsid w:val="004F6733"/>
    <w:rsid w:val="00501399"/>
    <w:rsid w:val="0050633D"/>
    <w:rsid w:val="00507BC4"/>
    <w:rsid w:val="005128E4"/>
    <w:rsid w:val="005133DB"/>
    <w:rsid w:val="00514AB0"/>
    <w:rsid w:val="005155E4"/>
    <w:rsid w:val="00520A94"/>
    <w:rsid w:val="005219E3"/>
    <w:rsid w:val="00523D17"/>
    <w:rsid w:val="00524DC0"/>
    <w:rsid w:val="00525560"/>
    <w:rsid w:val="00525B98"/>
    <w:rsid w:val="005315BD"/>
    <w:rsid w:val="00533D9C"/>
    <w:rsid w:val="00537EF7"/>
    <w:rsid w:val="005401B7"/>
    <w:rsid w:val="00544240"/>
    <w:rsid w:val="00544C49"/>
    <w:rsid w:val="0054660D"/>
    <w:rsid w:val="00550D6F"/>
    <w:rsid w:val="005516A1"/>
    <w:rsid w:val="00552C40"/>
    <w:rsid w:val="00560C6E"/>
    <w:rsid w:val="00562F8F"/>
    <w:rsid w:val="00563557"/>
    <w:rsid w:val="00563C50"/>
    <w:rsid w:val="00570784"/>
    <w:rsid w:val="0057402A"/>
    <w:rsid w:val="0057515D"/>
    <w:rsid w:val="005756D1"/>
    <w:rsid w:val="00576489"/>
    <w:rsid w:val="005771D0"/>
    <w:rsid w:val="005813E7"/>
    <w:rsid w:val="00590310"/>
    <w:rsid w:val="0059191A"/>
    <w:rsid w:val="005921FF"/>
    <w:rsid w:val="00593CBB"/>
    <w:rsid w:val="005976BA"/>
    <w:rsid w:val="00597B15"/>
    <w:rsid w:val="005A0268"/>
    <w:rsid w:val="005A1E5A"/>
    <w:rsid w:val="005A24ED"/>
    <w:rsid w:val="005A4492"/>
    <w:rsid w:val="005A5DEE"/>
    <w:rsid w:val="005A6D0E"/>
    <w:rsid w:val="005A789B"/>
    <w:rsid w:val="005A7D5E"/>
    <w:rsid w:val="005B1F41"/>
    <w:rsid w:val="005B52B0"/>
    <w:rsid w:val="005B63F1"/>
    <w:rsid w:val="005B6806"/>
    <w:rsid w:val="005C3C39"/>
    <w:rsid w:val="005C4225"/>
    <w:rsid w:val="005D43A3"/>
    <w:rsid w:val="005E5115"/>
    <w:rsid w:val="005E613E"/>
    <w:rsid w:val="005F0DAD"/>
    <w:rsid w:val="005F0F33"/>
    <w:rsid w:val="005F35A0"/>
    <w:rsid w:val="005F701F"/>
    <w:rsid w:val="005F72C6"/>
    <w:rsid w:val="00600DEB"/>
    <w:rsid w:val="0060211B"/>
    <w:rsid w:val="00604543"/>
    <w:rsid w:val="00607B34"/>
    <w:rsid w:val="00613F6B"/>
    <w:rsid w:val="006145FB"/>
    <w:rsid w:val="00622437"/>
    <w:rsid w:val="00623FC1"/>
    <w:rsid w:val="00624096"/>
    <w:rsid w:val="0062643D"/>
    <w:rsid w:val="00626EDA"/>
    <w:rsid w:val="00627B9F"/>
    <w:rsid w:val="00627C9F"/>
    <w:rsid w:val="006311E9"/>
    <w:rsid w:val="00631DEB"/>
    <w:rsid w:val="00632354"/>
    <w:rsid w:val="00640C9B"/>
    <w:rsid w:val="00642810"/>
    <w:rsid w:val="0064291E"/>
    <w:rsid w:val="006443B3"/>
    <w:rsid w:val="0065025A"/>
    <w:rsid w:val="00652333"/>
    <w:rsid w:val="006617FD"/>
    <w:rsid w:val="00666E11"/>
    <w:rsid w:val="00670464"/>
    <w:rsid w:val="00671724"/>
    <w:rsid w:val="00672AF2"/>
    <w:rsid w:val="0068009E"/>
    <w:rsid w:val="0068022F"/>
    <w:rsid w:val="00691959"/>
    <w:rsid w:val="00692219"/>
    <w:rsid w:val="00692B19"/>
    <w:rsid w:val="0069368D"/>
    <w:rsid w:val="0069406E"/>
    <w:rsid w:val="0069464F"/>
    <w:rsid w:val="006A17D2"/>
    <w:rsid w:val="006A2CCC"/>
    <w:rsid w:val="006A73E6"/>
    <w:rsid w:val="006B15A8"/>
    <w:rsid w:val="006B1EE5"/>
    <w:rsid w:val="006B2686"/>
    <w:rsid w:val="006B2976"/>
    <w:rsid w:val="006B2D5C"/>
    <w:rsid w:val="006B4BD4"/>
    <w:rsid w:val="006C12F1"/>
    <w:rsid w:val="006C4EB1"/>
    <w:rsid w:val="006C7022"/>
    <w:rsid w:val="006D4EB0"/>
    <w:rsid w:val="006D60B0"/>
    <w:rsid w:val="006D626A"/>
    <w:rsid w:val="006E0166"/>
    <w:rsid w:val="006E62B5"/>
    <w:rsid w:val="006E7B34"/>
    <w:rsid w:val="006F21ED"/>
    <w:rsid w:val="006F25D2"/>
    <w:rsid w:val="006F2D99"/>
    <w:rsid w:val="006F55FC"/>
    <w:rsid w:val="0070697F"/>
    <w:rsid w:val="0071028E"/>
    <w:rsid w:val="0071077D"/>
    <w:rsid w:val="00716236"/>
    <w:rsid w:val="00716BD0"/>
    <w:rsid w:val="00720119"/>
    <w:rsid w:val="0072199C"/>
    <w:rsid w:val="0072209C"/>
    <w:rsid w:val="0072244B"/>
    <w:rsid w:val="00722C9F"/>
    <w:rsid w:val="007253B8"/>
    <w:rsid w:val="007306DB"/>
    <w:rsid w:val="00734E50"/>
    <w:rsid w:val="0073741F"/>
    <w:rsid w:val="007415B6"/>
    <w:rsid w:val="007419DC"/>
    <w:rsid w:val="00746817"/>
    <w:rsid w:val="00753FBA"/>
    <w:rsid w:val="00756968"/>
    <w:rsid w:val="00756C3F"/>
    <w:rsid w:val="0076643F"/>
    <w:rsid w:val="00771FF1"/>
    <w:rsid w:val="007772A4"/>
    <w:rsid w:val="00777F63"/>
    <w:rsid w:val="00782763"/>
    <w:rsid w:val="007832CC"/>
    <w:rsid w:val="007912FA"/>
    <w:rsid w:val="007A2B4B"/>
    <w:rsid w:val="007A5817"/>
    <w:rsid w:val="007A61E1"/>
    <w:rsid w:val="007A7CCD"/>
    <w:rsid w:val="007B05C4"/>
    <w:rsid w:val="007B2AF3"/>
    <w:rsid w:val="007B3F0B"/>
    <w:rsid w:val="007B60E9"/>
    <w:rsid w:val="007B6CC3"/>
    <w:rsid w:val="007B7780"/>
    <w:rsid w:val="007B7B57"/>
    <w:rsid w:val="007C3334"/>
    <w:rsid w:val="007D2B98"/>
    <w:rsid w:val="007D4A8F"/>
    <w:rsid w:val="007E21BC"/>
    <w:rsid w:val="007E35CD"/>
    <w:rsid w:val="007E611A"/>
    <w:rsid w:val="007E7C82"/>
    <w:rsid w:val="007E7E8A"/>
    <w:rsid w:val="007F1ED9"/>
    <w:rsid w:val="007F53F6"/>
    <w:rsid w:val="007F588D"/>
    <w:rsid w:val="007F6C9C"/>
    <w:rsid w:val="00803F1C"/>
    <w:rsid w:val="0080600E"/>
    <w:rsid w:val="0081244B"/>
    <w:rsid w:val="0081253D"/>
    <w:rsid w:val="00812BAB"/>
    <w:rsid w:val="008133DE"/>
    <w:rsid w:val="00815F9C"/>
    <w:rsid w:val="00817245"/>
    <w:rsid w:val="00817612"/>
    <w:rsid w:val="008206DA"/>
    <w:rsid w:val="00821912"/>
    <w:rsid w:val="00826237"/>
    <w:rsid w:val="008262A2"/>
    <w:rsid w:val="008309A8"/>
    <w:rsid w:val="008320B8"/>
    <w:rsid w:val="00832580"/>
    <w:rsid w:val="008338A4"/>
    <w:rsid w:val="00834D49"/>
    <w:rsid w:val="00837C45"/>
    <w:rsid w:val="00840091"/>
    <w:rsid w:val="0084206B"/>
    <w:rsid w:val="0084363F"/>
    <w:rsid w:val="00843D37"/>
    <w:rsid w:val="00844314"/>
    <w:rsid w:val="00844730"/>
    <w:rsid w:val="008457C2"/>
    <w:rsid w:val="008472FB"/>
    <w:rsid w:val="00854932"/>
    <w:rsid w:val="00855308"/>
    <w:rsid w:val="00857A82"/>
    <w:rsid w:val="00864312"/>
    <w:rsid w:val="0087219C"/>
    <w:rsid w:val="00872A00"/>
    <w:rsid w:val="00873836"/>
    <w:rsid w:val="0088345A"/>
    <w:rsid w:val="00883EA9"/>
    <w:rsid w:val="00884FCB"/>
    <w:rsid w:val="00885737"/>
    <w:rsid w:val="00885A97"/>
    <w:rsid w:val="00885BCF"/>
    <w:rsid w:val="00890650"/>
    <w:rsid w:val="008906F3"/>
    <w:rsid w:val="0089074E"/>
    <w:rsid w:val="00896F2F"/>
    <w:rsid w:val="00897E12"/>
    <w:rsid w:val="008A1E40"/>
    <w:rsid w:val="008A5335"/>
    <w:rsid w:val="008A7E0F"/>
    <w:rsid w:val="008B12F5"/>
    <w:rsid w:val="008B5D9B"/>
    <w:rsid w:val="008B76EB"/>
    <w:rsid w:val="008B7B9F"/>
    <w:rsid w:val="008C1792"/>
    <w:rsid w:val="008C576D"/>
    <w:rsid w:val="008C735A"/>
    <w:rsid w:val="008D171A"/>
    <w:rsid w:val="008D768D"/>
    <w:rsid w:val="008E0C75"/>
    <w:rsid w:val="008E310D"/>
    <w:rsid w:val="008E3759"/>
    <w:rsid w:val="008E37C3"/>
    <w:rsid w:val="008E3BFE"/>
    <w:rsid w:val="008E5B3B"/>
    <w:rsid w:val="008F0F16"/>
    <w:rsid w:val="008F1600"/>
    <w:rsid w:val="008F1912"/>
    <w:rsid w:val="008F3D10"/>
    <w:rsid w:val="008F472F"/>
    <w:rsid w:val="008F6B90"/>
    <w:rsid w:val="0090270B"/>
    <w:rsid w:val="00903AE2"/>
    <w:rsid w:val="009041DC"/>
    <w:rsid w:val="00905F5B"/>
    <w:rsid w:val="0090707B"/>
    <w:rsid w:val="009131C1"/>
    <w:rsid w:val="00917A95"/>
    <w:rsid w:val="00917B5A"/>
    <w:rsid w:val="00920805"/>
    <w:rsid w:val="00920A58"/>
    <w:rsid w:val="00920A8C"/>
    <w:rsid w:val="00927ECE"/>
    <w:rsid w:val="00934A2C"/>
    <w:rsid w:val="009427B6"/>
    <w:rsid w:val="0094498E"/>
    <w:rsid w:val="00945047"/>
    <w:rsid w:val="00946351"/>
    <w:rsid w:val="00946E86"/>
    <w:rsid w:val="00957A7C"/>
    <w:rsid w:val="009613AE"/>
    <w:rsid w:val="00966978"/>
    <w:rsid w:val="0096706E"/>
    <w:rsid w:val="00974491"/>
    <w:rsid w:val="00975C4E"/>
    <w:rsid w:val="00977304"/>
    <w:rsid w:val="009804EC"/>
    <w:rsid w:val="00981FBA"/>
    <w:rsid w:val="00986E3D"/>
    <w:rsid w:val="009920EF"/>
    <w:rsid w:val="00994C81"/>
    <w:rsid w:val="00997BC5"/>
    <w:rsid w:val="009A3957"/>
    <w:rsid w:val="009A4F41"/>
    <w:rsid w:val="009B12C0"/>
    <w:rsid w:val="009B381B"/>
    <w:rsid w:val="009B5021"/>
    <w:rsid w:val="009B6ADE"/>
    <w:rsid w:val="009B7D44"/>
    <w:rsid w:val="009C4D57"/>
    <w:rsid w:val="009D1753"/>
    <w:rsid w:val="009D733B"/>
    <w:rsid w:val="009D7611"/>
    <w:rsid w:val="009E0B61"/>
    <w:rsid w:val="009E53DE"/>
    <w:rsid w:val="009E6EBD"/>
    <w:rsid w:val="009F31C2"/>
    <w:rsid w:val="009F7F76"/>
    <w:rsid w:val="00A01DE1"/>
    <w:rsid w:val="00A02FAC"/>
    <w:rsid w:val="00A030F2"/>
    <w:rsid w:val="00A036C5"/>
    <w:rsid w:val="00A11E44"/>
    <w:rsid w:val="00A16CF1"/>
    <w:rsid w:val="00A16DA3"/>
    <w:rsid w:val="00A17201"/>
    <w:rsid w:val="00A17ED0"/>
    <w:rsid w:val="00A23145"/>
    <w:rsid w:val="00A23FA3"/>
    <w:rsid w:val="00A328B3"/>
    <w:rsid w:val="00A336B5"/>
    <w:rsid w:val="00A45071"/>
    <w:rsid w:val="00A50FCF"/>
    <w:rsid w:val="00A513BC"/>
    <w:rsid w:val="00A528D1"/>
    <w:rsid w:val="00A540E5"/>
    <w:rsid w:val="00A55F5A"/>
    <w:rsid w:val="00A60745"/>
    <w:rsid w:val="00A610CD"/>
    <w:rsid w:val="00A61D8E"/>
    <w:rsid w:val="00A623FD"/>
    <w:rsid w:val="00A641B1"/>
    <w:rsid w:val="00A7548F"/>
    <w:rsid w:val="00A758AA"/>
    <w:rsid w:val="00A81836"/>
    <w:rsid w:val="00A83F7D"/>
    <w:rsid w:val="00A87ECE"/>
    <w:rsid w:val="00A909FA"/>
    <w:rsid w:val="00A93AEE"/>
    <w:rsid w:val="00A96C5E"/>
    <w:rsid w:val="00AA015A"/>
    <w:rsid w:val="00AA09A2"/>
    <w:rsid w:val="00AA1121"/>
    <w:rsid w:val="00AA645F"/>
    <w:rsid w:val="00AA68ED"/>
    <w:rsid w:val="00AA723A"/>
    <w:rsid w:val="00AA7996"/>
    <w:rsid w:val="00AB00E1"/>
    <w:rsid w:val="00AB02F9"/>
    <w:rsid w:val="00AB0818"/>
    <w:rsid w:val="00AB3177"/>
    <w:rsid w:val="00AB3325"/>
    <w:rsid w:val="00AB615A"/>
    <w:rsid w:val="00AC00DD"/>
    <w:rsid w:val="00AC05C5"/>
    <w:rsid w:val="00AC0D56"/>
    <w:rsid w:val="00AC19CB"/>
    <w:rsid w:val="00AC2233"/>
    <w:rsid w:val="00AC3146"/>
    <w:rsid w:val="00AD2C2E"/>
    <w:rsid w:val="00AD6841"/>
    <w:rsid w:val="00AD70E7"/>
    <w:rsid w:val="00AE0481"/>
    <w:rsid w:val="00AE1E42"/>
    <w:rsid w:val="00AE239A"/>
    <w:rsid w:val="00AE244A"/>
    <w:rsid w:val="00AE457A"/>
    <w:rsid w:val="00AE48C0"/>
    <w:rsid w:val="00AE5488"/>
    <w:rsid w:val="00AE6F91"/>
    <w:rsid w:val="00AE7DC9"/>
    <w:rsid w:val="00AF51D4"/>
    <w:rsid w:val="00AF5571"/>
    <w:rsid w:val="00AF7D52"/>
    <w:rsid w:val="00B0271A"/>
    <w:rsid w:val="00B0271B"/>
    <w:rsid w:val="00B046A1"/>
    <w:rsid w:val="00B07341"/>
    <w:rsid w:val="00B075E9"/>
    <w:rsid w:val="00B1020B"/>
    <w:rsid w:val="00B10B36"/>
    <w:rsid w:val="00B270E9"/>
    <w:rsid w:val="00B30539"/>
    <w:rsid w:val="00B30D67"/>
    <w:rsid w:val="00B311F3"/>
    <w:rsid w:val="00B314DB"/>
    <w:rsid w:val="00B33F3C"/>
    <w:rsid w:val="00B35055"/>
    <w:rsid w:val="00B35C10"/>
    <w:rsid w:val="00B361F2"/>
    <w:rsid w:val="00B3718B"/>
    <w:rsid w:val="00B44479"/>
    <w:rsid w:val="00B4632A"/>
    <w:rsid w:val="00B52965"/>
    <w:rsid w:val="00B530F1"/>
    <w:rsid w:val="00B53D2A"/>
    <w:rsid w:val="00B60732"/>
    <w:rsid w:val="00B64EBD"/>
    <w:rsid w:val="00B65ED8"/>
    <w:rsid w:val="00B715B6"/>
    <w:rsid w:val="00B749E9"/>
    <w:rsid w:val="00B75425"/>
    <w:rsid w:val="00B75538"/>
    <w:rsid w:val="00B80BA7"/>
    <w:rsid w:val="00B8703B"/>
    <w:rsid w:val="00B92717"/>
    <w:rsid w:val="00B970C2"/>
    <w:rsid w:val="00B97895"/>
    <w:rsid w:val="00BA1368"/>
    <w:rsid w:val="00BA1372"/>
    <w:rsid w:val="00BA276C"/>
    <w:rsid w:val="00BB100A"/>
    <w:rsid w:val="00BB306F"/>
    <w:rsid w:val="00BC1B1B"/>
    <w:rsid w:val="00BC5876"/>
    <w:rsid w:val="00BC6BB9"/>
    <w:rsid w:val="00BD1D3D"/>
    <w:rsid w:val="00BD434B"/>
    <w:rsid w:val="00BD48FD"/>
    <w:rsid w:val="00BD4B89"/>
    <w:rsid w:val="00BD5922"/>
    <w:rsid w:val="00BD5BE5"/>
    <w:rsid w:val="00BD5EBC"/>
    <w:rsid w:val="00BE19D7"/>
    <w:rsid w:val="00BE5E41"/>
    <w:rsid w:val="00BF02CB"/>
    <w:rsid w:val="00BF3D10"/>
    <w:rsid w:val="00BF6FD8"/>
    <w:rsid w:val="00BF7CDC"/>
    <w:rsid w:val="00C03680"/>
    <w:rsid w:val="00C0482A"/>
    <w:rsid w:val="00C054DF"/>
    <w:rsid w:val="00C056BB"/>
    <w:rsid w:val="00C1437E"/>
    <w:rsid w:val="00C161AA"/>
    <w:rsid w:val="00C21762"/>
    <w:rsid w:val="00C21FEF"/>
    <w:rsid w:val="00C22950"/>
    <w:rsid w:val="00C22AA4"/>
    <w:rsid w:val="00C24543"/>
    <w:rsid w:val="00C256A2"/>
    <w:rsid w:val="00C301B3"/>
    <w:rsid w:val="00C301E7"/>
    <w:rsid w:val="00C3775F"/>
    <w:rsid w:val="00C40815"/>
    <w:rsid w:val="00C4590D"/>
    <w:rsid w:val="00C47A1E"/>
    <w:rsid w:val="00C50561"/>
    <w:rsid w:val="00C51515"/>
    <w:rsid w:val="00C518D7"/>
    <w:rsid w:val="00C51A43"/>
    <w:rsid w:val="00C5660B"/>
    <w:rsid w:val="00C568F8"/>
    <w:rsid w:val="00C6002B"/>
    <w:rsid w:val="00C60F59"/>
    <w:rsid w:val="00C60FF4"/>
    <w:rsid w:val="00C614B5"/>
    <w:rsid w:val="00C66B72"/>
    <w:rsid w:val="00C67A9D"/>
    <w:rsid w:val="00C77192"/>
    <w:rsid w:val="00C83B04"/>
    <w:rsid w:val="00C83B59"/>
    <w:rsid w:val="00C855B0"/>
    <w:rsid w:val="00C87353"/>
    <w:rsid w:val="00C87AC4"/>
    <w:rsid w:val="00C9567A"/>
    <w:rsid w:val="00CA2A50"/>
    <w:rsid w:val="00CB1358"/>
    <w:rsid w:val="00CB212D"/>
    <w:rsid w:val="00CB2660"/>
    <w:rsid w:val="00CC0F1C"/>
    <w:rsid w:val="00CC1398"/>
    <w:rsid w:val="00CC1975"/>
    <w:rsid w:val="00CC1E98"/>
    <w:rsid w:val="00CC2C21"/>
    <w:rsid w:val="00CC407E"/>
    <w:rsid w:val="00CC5E90"/>
    <w:rsid w:val="00CD046C"/>
    <w:rsid w:val="00CD582D"/>
    <w:rsid w:val="00CD6E04"/>
    <w:rsid w:val="00CE076C"/>
    <w:rsid w:val="00CE5199"/>
    <w:rsid w:val="00CE66D5"/>
    <w:rsid w:val="00CE723E"/>
    <w:rsid w:val="00CF2BDE"/>
    <w:rsid w:val="00CF637A"/>
    <w:rsid w:val="00D059DE"/>
    <w:rsid w:val="00D05ABD"/>
    <w:rsid w:val="00D06A85"/>
    <w:rsid w:val="00D075B4"/>
    <w:rsid w:val="00D10FBF"/>
    <w:rsid w:val="00D11228"/>
    <w:rsid w:val="00D13FCE"/>
    <w:rsid w:val="00D17DD3"/>
    <w:rsid w:val="00D24710"/>
    <w:rsid w:val="00D266B9"/>
    <w:rsid w:val="00D306D1"/>
    <w:rsid w:val="00D30800"/>
    <w:rsid w:val="00D34786"/>
    <w:rsid w:val="00D36C9F"/>
    <w:rsid w:val="00D37598"/>
    <w:rsid w:val="00D37BFC"/>
    <w:rsid w:val="00D40492"/>
    <w:rsid w:val="00D4276E"/>
    <w:rsid w:val="00D430C9"/>
    <w:rsid w:val="00D44602"/>
    <w:rsid w:val="00D44EB5"/>
    <w:rsid w:val="00D46398"/>
    <w:rsid w:val="00D474B2"/>
    <w:rsid w:val="00D47A8E"/>
    <w:rsid w:val="00D52D14"/>
    <w:rsid w:val="00D53A84"/>
    <w:rsid w:val="00D707AA"/>
    <w:rsid w:val="00D712D3"/>
    <w:rsid w:val="00D71422"/>
    <w:rsid w:val="00D72DC6"/>
    <w:rsid w:val="00D7558D"/>
    <w:rsid w:val="00D77572"/>
    <w:rsid w:val="00D77CC2"/>
    <w:rsid w:val="00D81061"/>
    <w:rsid w:val="00D81544"/>
    <w:rsid w:val="00D81D92"/>
    <w:rsid w:val="00D81F77"/>
    <w:rsid w:val="00D82E14"/>
    <w:rsid w:val="00D8388E"/>
    <w:rsid w:val="00D83C80"/>
    <w:rsid w:val="00D852F0"/>
    <w:rsid w:val="00D876F9"/>
    <w:rsid w:val="00D9087D"/>
    <w:rsid w:val="00D90938"/>
    <w:rsid w:val="00D97AAF"/>
    <w:rsid w:val="00DA7B5F"/>
    <w:rsid w:val="00DB0F2E"/>
    <w:rsid w:val="00DB241F"/>
    <w:rsid w:val="00DB5077"/>
    <w:rsid w:val="00DB5134"/>
    <w:rsid w:val="00DB7F49"/>
    <w:rsid w:val="00DC11E7"/>
    <w:rsid w:val="00DC5480"/>
    <w:rsid w:val="00DC7023"/>
    <w:rsid w:val="00DC769A"/>
    <w:rsid w:val="00DD024B"/>
    <w:rsid w:val="00DD07B7"/>
    <w:rsid w:val="00DD1135"/>
    <w:rsid w:val="00DD1B72"/>
    <w:rsid w:val="00DD3D86"/>
    <w:rsid w:val="00DD459E"/>
    <w:rsid w:val="00DD6BF3"/>
    <w:rsid w:val="00DD6C07"/>
    <w:rsid w:val="00DE6113"/>
    <w:rsid w:val="00DF1EC4"/>
    <w:rsid w:val="00DF4ED5"/>
    <w:rsid w:val="00E02B48"/>
    <w:rsid w:val="00E0340B"/>
    <w:rsid w:val="00E041A2"/>
    <w:rsid w:val="00E04A90"/>
    <w:rsid w:val="00E0551F"/>
    <w:rsid w:val="00E10ED8"/>
    <w:rsid w:val="00E1559B"/>
    <w:rsid w:val="00E15C71"/>
    <w:rsid w:val="00E16260"/>
    <w:rsid w:val="00E16985"/>
    <w:rsid w:val="00E219C7"/>
    <w:rsid w:val="00E22040"/>
    <w:rsid w:val="00E237FE"/>
    <w:rsid w:val="00E33414"/>
    <w:rsid w:val="00E37FE0"/>
    <w:rsid w:val="00E4118C"/>
    <w:rsid w:val="00E41498"/>
    <w:rsid w:val="00E43157"/>
    <w:rsid w:val="00E461CE"/>
    <w:rsid w:val="00E5617E"/>
    <w:rsid w:val="00E61327"/>
    <w:rsid w:val="00E66AF3"/>
    <w:rsid w:val="00E66C90"/>
    <w:rsid w:val="00E720CA"/>
    <w:rsid w:val="00E72B7F"/>
    <w:rsid w:val="00E736DC"/>
    <w:rsid w:val="00E75AFE"/>
    <w:rsid w:val="00E7684C"/>
    <w:rsid w:val="00E83CA2"/>
    <w:rsid w:val="00E84699"/>
    <w:rsid w:val="00E84EB5"/>
    <w:rsid w:val="00E85662"/>
    <w:rsid w:val="00E8789F"/>
    <w:rsid w:val="00E942D4"/>
    <w:rsid w:val="00E97B60"/>
    <w:rsid w:val="00E97B71"/>
    <w:rsid w:val="00E97E99"/>
    <w:rsid w:val="00EA1558"/>
    <w:rsid w:val="00EA26B2"/>
    <w:rsid w:val="00EA349E"/>
    <w:rsid w:val="00EA3D34"/>
    <w:rsid w:val="00EA4A9E"/>
    <w:rsid w:val="00EB1666"/>
    <w:rsid w:val="00EB454D"/>
    <w:rsid w:val="00EC06C2"/>
    <w:rsid w:val="00EC4E41"/>
    <w:rsid w:val="00EC5E85"/>
    <w:rsid w:val="00ED1145"/>
    <w:rsid w:val="00ED549D"/>
    <w:rsid w:val="00ED76BE"/>
    <w:rsid w:val="00EE00E9"/>
    <w:rsid w:val="00EE0B3F"/>
    <w:rsid w:val="00EF0DFF"/>
    <w:rsid w:val="00EF0EBE"/>
    <w:rsid w:val="00EF1078"/>
    <w:rsid w:val="00EF619B"/>
    <w:rsid w:val="00EF717C"/>
    <w:rsid w:val="00F00B55"/>
    <w:rsid w:val="00F00FE8"/>
    <w:rsid w:val="00F02AD1"/>
    <w:rsid w:val="00F07217"/>
    <w:rsid w:val="00F103D3"/>
    <w:rsid w:val="00F138F6"/>
    <w:rsid w:val="00F15A69"/>
    <w:rsid w:val="00F17B04"/>
    <w:rsid w:val="00F23A38"/>
    <w:rsid w:val="00F253CC"/>
    <w:rsid w:val="00F37106"/>
    <w:rsid w:val="00F3725E"/>
    <w:rsid w:val="00F410CD"/>
    <w:rsid w:val="00F456F5"/>
    <w:rsid w:val="00F519CF"/>
    <w:rsid w:val="00F56BA5"/>
    <w:rsid w:val="00F602FF"/>
    <w:rsid w:val="00F60E22"/>
    <w:rsid w:val="00F63CF2"/>
    <w:rsid w:val="00F67554"/>
    <w:rsid w:val="00F71F67"/>
    <w:rsid w:val="00F72479"/>
    <w:rsid w:val="00F759C7"/>
    <w:rsid w:val="00F76F4F"/>
    <w:rsid w:val="00F81395"/>
    <w:rsid w:val="00F81BB8"/>
    <w:rsid w:val="00F87006"/>
    <w:rsid w:val="00F904A8"/>
    <w:rsid w:val="00F907CD"/>
    <w:rsid w:val="00F90BE0"/>
    <w:rsid w:val="00F90CEF"/>
    <w:rsid w:val="00F917D1"/>
    <w:rsid w:val="00F91F68"/>
    <w:rsid w:val="00F93BA0"/>
    <w:rsid w:val="00F9653B"/>
    <w:rsid w:val="00FA07D7"/>
    <w:rsid w:val="00FA506C"/>
    <w:rsid w:val="00FA5BED"/>
    <w:rsid w:val="00FB06C2"/>
    <w:rsid w:val="00FB2F0C"/>
    <w:rsid w:val="00FB2FBB"/>
    <w:rsid w:val="00FB4CA7"/>
    <w:rsid w:val="00FB62CF"/>
    <w:rsid w:val="00FD11FF"/>
    <w:rsid w:val="00FD1C3B"/>
    <w:rsid w:val="00FD3C3B"/>
    <w:rsid w:val="00FD4558"/>
    <w:rsid w:val="00FD6442"/>
    <w:rsid w:val="00FD6802"/>
    <w:rsid w:val="00FE07DD"/>
    <w:rsid w:val="00FE2B0A"/>
    <w:rsid w:val="00FE37E5"/>
    <w:rsid w:val="00FE5DEB"/>
    <w:rsid w:val="00FE6B45"/>
    <w:rsid w:val="00FE72D6"/>
    <w:rsid w:val="00FF03C9"/>
    <w:rsid w:val="00FF0E51"/>
    <w:rsid w:val="00FF3026"/>
    <w:rsid w:val="00FF3CAB"/>
    <w:rsid w:val="00FF55F3"/>
    <w:rsid w:val="00FF5851"/>
    <w:rsid w:val="00FF64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28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720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EndnoteReference">
    <w:name w:val="endnote reference"/>
    <w:basedOn w:val="DefaultParagraphFont"/>
    <w:uiPriority w:val="99"/>
    <w:semiHidden/>
    <w:unhideWhenUsed/>
    <w:rsid w:val="00E83CA2"/>
    <w:rPr>
      <w:vertAlign w:val="superscript"/>
    </w:rPr>
  </w:style>
  <w:style w:type="numbering" w:customStyle="1" w:styleId="WWNum103">
    <w:name w:val="WWNum103"/>
    <w:basedOn w:val="NoList"/>
    <w:rsid w:val="00127B11"/>
    <w:pPr>
      <w:numPr>
        <w:numId w:val="66"/>
      </w:numPr>
    </w:pPr>
  </w:style>
  <w:style w:type="paragraph" w:styleId="Caption">
    <w:name w:val="caption"/>
    <w:basedOn w:val="Normal"/>
    <w:rsid w:val="00537EF7"/>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textAlignment w:val="baseline"/>
    </w:pPr>
    <w:rPr>
      <w:rFonts w:cs="Arial"/>
      <w:i/>
      <w:iCs/>
      <w:kern w:val="3"/>
      <w:bdr w:val="none" w:sz="0" w:space="0" w:color="auto"/>
    </w:rPr>
  </w:style>
  <w:style w:type="numbering" w:customStyle="1" w:styleId="WWNum93">
    <w:name w:val="WWNum93"/>
    <w:basedOn w:val="NoList"/>
    <w:rsid w:val="00537EF7"/>
    <w:pPr>
      <w:numPr>
        <w:numId w:val="58"/>
      </w:numPr>
    </w:pPr>
  </w:style>
  <w:style w:type="numbering" w:customStyle="1" w:styleId="WWNum102">
    <w:name w:val="WWNum102"/>
    <w:basedOn w:val="NoList"/>
    <w:rsid w:val="00537EF7"/>
    <w:pPr>
      <w:numPr>
        <w:numId w:val="59"/>
      </w:numPr>
    </w:pPr>
  </w:style>
  <w:style w:type="paragraph" w:customStyle="1" w:styleId="Index">
    <w:name w:val="Index"/>
    <w:basedOn w:val="Normal"/>
    <w:rsid w:val="00E237FE"/>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Arial"/>
      <w:kern w:val="3"/>
      <w:bdr w:val="none" w:sz="0" w:space="0" w:color="auto"/>
    </w:rPr>
  </w:style>
  <w:style w:type="numbering" w:customStyle="1" w:styleId="WWNum57">
    <w:name w:val="WWNum57"/>
    <w:basedOn w:val="NoList"/>
    <w:rsid w:val="00E237FE"/>
    <w:pPr>
      <w:numPr>
        <w:numId w:val="61"/>
      </w:numPr>
    </w:pPr>
  </w:style>
  <w:style w:type="character" w:styleId="CommentReference">
    <w:name w:val="annotation reference"/>
    <w:basedOn w:val="DefaultParagraphFont"/>
    <w:uiPriority w:val="99"/>
    <w:semiHidden/>
    <w:unhideWhenUsed/>
    <w:rsid w:val="005E5115"/>
    <w:rPr>
      <w:sz w:val="16"/>
      <w:szCs w:val="16"/>
    </w:rPr>
  </w:style>
  <w:style w:type="paragraph" w:styleId="CommentText">
    <w:name w:val="annotation text"/>
    <w:basedOn w:val="Normal"/>
    <w:link w:val="CommentTextChar"/>
    <w:uiPriority w:val="99"/>
    <w:unhideWhenUsed/>
    <w:rsid w:val="005E5115"/>
    <w:rPr>
      <w:sz w:val="20"/>
      <w:szCs w:val="20"/>
    </w:rPr>
  </w:style>
  <w:style w:type="character" w:customStyle="1" w:styleId="CommentTextChar">
    <w:name w:val="Comment Text Char"/>
    <w:basedOn w:val="DefaultParagraphFont"/>
    <w:link w:val="CommentText"/>
    <w:uiPriority w:val="99"/>
    <w:rsid w:val="005E5115"/>
    <w:rPr>
      <w:lang w:val="en-US" w:eastAsia="en-US"/>
    </w:rPr>
  </w:style>
  <w:style w:type="paragraph" w:styleId="CommentSubject">
    <w:name w:val="annotation subject"/>
    <w:basedOn w:val="CommentText"/>
    <w:next w:val="CommentText"/>
    <w:link w:val="CommentSubjectChar"/>
    <w:uiPriority w:val="99"/>
    <w:semiHidden/>
    <w:unhideWhenUsed/>
    <w:rsid w:val="005E5115"/>
    <w:rPr>
      <w:b/>
      <w:bCs/>
    </w:rPr>
  </w:style>
  <w:style w:type="character" w:customStyle="1" w:styleId="CommentSubjectChar">
    <w:name w:val="Comment Subject Char"/>
    <w:basedOn w:val="CommentTextChar"/>
    <w:link w:val="CommentSubject"/>
    <w:uiPriority w:val="99"/>
    <w:semiHidden/>
    <w:rsid w:val="005E5115"/>
    <w:rPr>
      <w:b/>
      <w:bCs/>
      <w:lang w:val="en-US" w:eastAsia="en-US"/>
    </w:rPr>
  </w:style>
  <w:style w:type="paragraph" w:styleId="Revision">
    <w:name w:val="Revision"/>
    <w:hidden/>
    <w:uiPriority w:val="99"/>
    <w:semiHidden/>
    <w:rsid w:val="00386C6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2E1B7D64846948DC67FC744BCF134"/>
        <w:category>
          <w:name w:val="General"/>
          <w:gallery w:val="placeholder"/>
        </w:category>
        <w:types>
          <w:type w:val="bbPlcHdr"/>
        </w:types>
        <w:behaviors>
          <w:behavior w:val="content"/>
        </w:behaviors>
        <w:guid w:val="{7FFCA76C-6D0F-440C-924F-4C95E129D087}"/>
      </w:docPartPr>
      <w:docPartBody>
        <w:p w:rsidR="00B1640B" w:rsidRDefault="004104DC" w:rsidP="004104DC">
          <w:pPr>
            <w:pStyle w:val="71B2E1B7D64846948DC67FC744BCF13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515C"/>
    <w:rsid w:val="00012C2D"/>
    <w:rsid w:val="00013653"/>
    <w:rsid w:val="00013711"/>
    <w:rsid w:val="00023040"/>
    <w:rsid w:val="000522A8"/>
    <w:rsid w:val="00087E6E"/>
    <w:rsid w:val="00097E2F"/>
    <w:rsid w:val="00115F86"/>
    <w:rsid w:val="00164D17"/>
    <w:rsid w:val="001925FD"/>
    <w:rsid w:val="001D292F"/>
    <w:rsid w:val="00200821"/>
    <w:rsid w:val="00233493"/>
    <w:rsid w:val="00234D52"/>
    <w:rsid w:val="0029429C"/>
    <w:rsid w:val="00351A5E"/>
    <w:rsid w:val="00394049"/>
    <w:rsid w:val="004000A6"/>
    <w:rsid w:val="004104DC"/>
    <w:rsid w:val="00446CB5"/>
    <w:rsid w:val="00461278"/>
    <w:rsid w:val="00481FCD"/>
    <w:rsid w:val="00495995"/>
    <w:rsid w:val="004E670A"/>
    <w:rsid w:val="004F2DF8"/>
    <w:rsid w:val="005B4840"/>
    <w:rsid w:val="005F3173"/>
    <w:rsid w:val="00614412"/>
    <w:rsid w:val="006171B8"/>
    <w:rsid w:val="00624278"/>
    <w:rsid w:val="0068619D"/>
    <w:rsid w:val="00694CAB"/>
    <w:rsid w:val="00770D0B"/>
    <w:rsid w:val="00787BCF"/>
    <w:rsid w:val="007A06AB"/>
    <w:rsid w:val="007F7165"/>
    <w:rsid w:val="00820185"/>
    <w:rsid w:val="008213AE"/>
    <w:rsid w:val="00854AAE"/>
    <w:rsid w:val="00870DB9"/>
    <w:rsid w:val="00874A80"/>
    <w:rsid w:val="0088330F"/>
    <w:rsid w:val="008F2833"/>
    <w:rsid w:val="00914C46"/>
    <w:rsid w:val="0094388B"/>
    <w:rsid w:val="009A261B"/>
    <w:rsid w:val="00AA1DD0"/>
    <w:rsid w:val="00AC15A4"/>
    <w:rsid w:val="00B00D91"/>
    <w:rsid w:val="00B0336C"/>
    <w:rsid w:val="00B1640B"/>
    <w:rsid w:val="00B435BE"/>
    <w:rsid w:val="00B46880"/>
    <w:rsid w:val="00BC124D"/>
    <w:rsid w:val="00C120EC"/>
    <w:rsid w:val="00C35730"/>
    <w:rsid w:val="00CB2216"/>
    <w:rsid w:val="00CC222A"/>
    <w:rsid w:val="00DA3DE7"/>
    <w:rsid w:val="00E55A65"/>
    <w:rsid w:val="00EA4C26"/>
    <w:rsid w:val="00EA53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4D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71B2E1B7D64846948DC67FC744BCF134">
    <w:name w:val="71B2E1B7D64846948DC67FC744BCF134"/>
    <w:rsid w:val="00410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49AE-034A-489C-AE8A-1BAEE0D8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2796</Words>
  <Characters>14876</Characters>
  <Application>Microsoft Office Word</Application>
  <DocSecurity>0</DocSecurity>
  <Lines>209</Lines>
  <Paragraphs>33</Paragraphs>
  <ScaleCrop>false</ScaleCrop>
  <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143/20</dc:title>
  <dc:creator/>
  <cp:lastModifiedBy/>
  <cp:revision>1</cp:revision>
  <dcterms:created xsi:type="dcterms:W3CDTF">2020-07-10T17:31:00Z</dcterms:created>
  <dcterms:modified xsi:type="dcterms:W3CDTF">2020-07-10T17:32:00Z</dcterms:modified>
</cp:coreProperties>
</file>