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AB9" w:rsidRPr="0090270B" w:rsidRDefault="000D7540" w:rsidP="000673D0">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2"/>
          <w:szCs w:val="22"/>
          <w:lang w:val="es-ES_tradnl"/>
        </w:rPr>
      </w:pPr>
      <w:r>
        <w:rPr>
          <w:noProof/>
        </w:rPr>
        <mc:AlternateContent>
          <mc:Choice Requires="wps">
            <w:drawing>
              <wp:anchor distT="0" distB="0" distL="114300" distR="114300" simplePos="0" relativeHeight="251654144" behindDoc="0" locked="0" layoutInCell="1" allowOverlap="1">
                <wp:simplePos x="0" y="0"/>
                <wp:positionH relativeFrom="column">
                  <wp:posOffset>-415925</wp:posOffset>
                </wp:positionH>
                <wp:positionV relativeFrom="paragraph">
                  <wp:posOffset>-439420</wp:posOffset>
                </wp:positionV>
                <wp:extent cx="1543050" cy="9096375"/>
                <wp:effectExtent l="0" t="0" r="0" b="0"/>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409E0F5"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BNFowIAAKA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" fillcolor="#4a7194" stroked="f" strokeweight="2pt">
                <v:path arrowok="t"/>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4AB9" w:rsidRDefault="000D7540" w:rsidP="000673D0">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632075" cy="50736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2075" cy="507365"/>
                                          </a:xfrm>
                                          <a:prstGeom prst="rect">
                                            <a:avLst/>
                                          </a:prstGeom>
                                          <a:noFill/>
                                          <a:ln>
                                            <a:noFill/>
                                          </a:ln>
                                        </pic:spPr>
                                      </pic:pic>
                                    </a:graphicData>
                                  </a:graphic>
                                </wp:inline>
                              </w:drawing>
                            </w:r>
                            <w:r w:rsidR="001D4AB9">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rsidR="001D4AB9" w:rsidRDefault="000D7540" w:rsidP="000673D0">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632075" cy="50736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2075" cy="507365"/>
                                    </a:xfrm>
                                    <a:prstGeom prst="rect">
                                      <a:avLst/>
                                    </a:prstGeom>
                                    <a:noFill/>
                                    <a:ln>
                                      <a:noFill/>
                                    </a:ln>
                                  </pic:spPr>
                                </pic:pic>
                              </a:graphicData>
                            </a:graphic>
                          </wp:inline>
                        </w:drawing>
                      </w:r>
                      <w:r w:rsidR="001D4AB9">
                        <w:tab/>
                        <w:t xml:space="preserve">                              </w:t>
                      </w:r>
                    </w:p>
                  </w:txbxContent>
                </v:textbox>
              </v:shape>
            </w:pict>
          </mc:Fallback>
        </mc:AlternateContent>
      </w:r>
      <w:r w:rsidR="001D4AB9">
        <w:rPr>
          <w:rFonts w:ascii="Cambria" w:hAnsi="Cambria" w:cs="Univers"/>
          <w:b/>
          <w:bCs/>
          <w:sz w:val="22"/>
          <w:szCs w:val="22"/>
          <w:lang w:val="es-ES_tradnl"/>
        </w:rPr>
        <w:t xml:space="preserve"> </w:t>
      </w: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4AB9" w:rsidRPr="0090270B" w:rsidRDefault="000D7540"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r>
        <w:rPr>
          <w:noProof/>
        </w:rPr>
        <mc:AlternateContent>
          <mc:Choice Requires="wps">
            <w:drawing>
              <wp:anchor distT="0" distB="0" distL="114300" distR="114300" simplePos="0" relativeHeight="251655168" behindDoc="0" locked="0" layoutInCell="1" allowOverlap="1">
                <wp:simplePos x="0" y="0"/>
                <wp:positionH relativeFrom="column">
                  <wp:posOffset>1352550</wp:posOffset>
                </wp:positionH>
                <wp:positionV relativeFrom="paragraph">
                  <wp:posOffset>107315</wp:posOffset>
                </wp:positionV>
                <wp:extent cx="4441190" cy="218122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4AB9" w:rsidRPr="004C7C73" w:rsidRDefault="001D4AB9"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4C7C73">
                              <w:rPr>
                                <w:rFonts w:ascii="Cambria" w:hAnsi="Cambria" w:cs="Arial"/>
                                <w:b/>
                                <w:bCs/>
                                <w:color w:val="0D0D0D"/>
                                <w:sz w:val="36"/>
                                <w:szCs w:val="22"/>
                                <w:lang w:val="es-ES_tradnl"/>
                              </w:rPr>
                              <w:t xml:space="preserve">INFORME </w:t>
                            </w:r>
                            <w:r w:rsidRPr="004C7C73">
                              <w:rPr>
                                <w:rFonts w:ascii="Cambria" w:hAnsi="Cambria" w:cs="Arial"/>
                                <w:b/>
                                <w:bCs/>
                                <w:color w:val="0D0D0D"/>
                                <w:sz w:val="36"/>
                                <w:szCs w:val="40"/>
                                <w:lang w:val="es-ES_tradnl"/>
                              </w:rPr>
                              <w:t>No.</w:t>
                            </w:r>
                            <w:r w:rsidRPr="004C7C73">
                              <w:rPr>
                                <w:rFonts w:ascii="Cambria" w:hAnsi="Cambria" w:cs="Arial"/>
                                <w:b/>
                                <w:bCs/>
                                <w:color w:val="0D0D0D"/>
                                <w:sz w:val="36"/>
                                <w:szCs w:val="22"/>
                                <w:lang w:val="es-ES_tradnl"/>
                              </w:rPr>
                              <w:t xml:space="preserve"> </w:t>
                            </w:r>
                            <w:r w:rsidR="008D0AF6">
                              <w:rPr>
                                <w:rFonts w:ascii="Cambria" w:hAnsi="Cambria" w:cs="Arial"/>
                                <w:b/>
                                <w:bCs/>
                                <w:color w:val="0D0D0D"/>
                                <w:sz w:val="36"/>
                                <w:szCs w:val="22"/>
                                <w:lang w:val="es-ES_tradnl"/>
                              </w:rPr>
                              <w:t>139</w:t>
                            </w:r>
                            <w:r w:rsidRPr="004C7C73">
                              <w:rPr>
                                <w:rFonts w:ascii="Cambria" w:hAnsi="Cambria" w:cs="Arial"/>
                                <w:b/>
                                <w:bCs/>
                                <w:color w:val="0D0D0D"/>
                                <w:sz w:val="36"/>
                                <w:szCs w:val="22"/>
                                <w:lang w:val="es-ES_tradnl"/>
                              </w:rPr>
                              <w:t>/20</w:t>
                            </w:r>
                          </w:p>
                          <w:p w:rsidR="001D4AB9" w:rsidRPr="004C7C73" w:rsidRDefault="001D4AB9"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4C7C73">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905</w:t>
                            </w:r>
                            <w:r w:rsidRPr="004C7C73">
                              <w:rPr>
                                <w:rFonts w:ascii="Cambria" w:hAnsi="Cambria" w:cs="Arial"/>
                                <w:b/>
                                <w:color w:val="0D0D0D"/>
                                <w:sz w:val="36"/>
                                <w:szCs w:val="22"/>
                                <w:lang w:val="es-ES_tradnl"/>
                              </w:rPr>
                              <w:t xml:space="preserve">-08 </w:t>
                            </w:r>
                          </w:p>
                          <w:p w:rsidR="001D4AB9" w:rsidRPr="004C7C73" w:rsidRDefault="001D4AB9"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4C7C73">
                              <w:rPr>
                                <w:rFonts w:ascii="Cambria" w:hAnsi="Cambria" w:cs="Arial"/>
                                <w:color w:val="0D0D0D"/>
                                <w:szCs w:val="22"/>
                                <w:lang w:val="es-ES_tradnl"/>
                              </w:rPr>
                              <w:t xml:space="preserve">INFORME DE INADMISIBILIDAD </w:t>
                            </w:r>
                          </w:p>
                          <w:p w:rsidR="001D4AB9" w:rsidRPr="004C7C73" w:rsidRDefault="001D4AB9"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rsidR="001D4AB9" w:rsidRPr="004C7C73" w:rsidRDefault="001D4AB9"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4C7C73">
                              <w:rPr>
                                <w:rFonts w:ascii="Cambria" w:hAnsi="Cambria" w:cs="Arial"/>
                                <w:color w:val="0D0D0D"/>
                                <w:szCs w:val="22"/>
                                <w:lang w:val="es-ES_tradnl"/>
                              </w:rPr>
                              <w:t>CÉSAR AUGUSTO ALMEYDA TASAYCO</w:t>
                            </w:r>
                          </w:p>
                          <w:bookmarkEnd w:id="0"/>
                          <w:p w:rsidR="001D4AB9" w:rsidRPr="004C7C73" w:rsidRDefault="001D4AB9"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4C7C73">
                              <w:rPr>
                                <w:rFonts w:ascii="Cambria" w:hAnsi="Cambria" w:cs="Arial"/>
                                <w:color w:val="0D0D0D"/>
                                <w:szCs w:val="22"/>
                                <w:lang w:val="es-ES_tradnl"/>
                              </w:rPr>
                              <w:t>PERÚ</w:t>
                            </w:r>
                          </w:p>
                          <w:p w:rsidR="001D4AB9" w:rsidRPr="004C7C73" w:rsidRDefault="001D4AB9" w:rsidP="000673D0">
                            <w:pPr>
                              <w:pBdr>
                                <w:top w:val="none" w:sz="0" w:space="0" w:color="auto"/>
                                <w:left w:val="none" w:sz="0" w:space="0" w:color="auto"/>
                                <w:bottom w:val="none" w:sz="0" w:space="0" w:color="auto"/>
                                <w:right w:val="none" w:sz="0" w:space="0" w:color="auto"/>
                                <w:bar w:val="none" w:sz="0" w:color="auto"/>
                              </w:pBd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LuIR3Y0CAACDBQAADgAAAAAAAAAAAAAAAAAuAgAAZHJzL2Uyb0RvYy54bWxQSwEC&#10;LQAUAAYACAAAACEA9UR3F+AAAAAKAQAADwAAAAAAAAAAAAAAAADnBAAAZHJzL2Rvd25yZXYueG1s&#10;UEsFBgAAAAAEAAQA8wAAAPQFAAAAAA==&#10;" filled="f" stroked="f" strokeweight=".5pt">
                <v:path arrowok="t"/>
                <v:textbox>
                  <w:txbxContent>
                    <w:p w:rsidR="001D4AB9" w:rsidRPr="004C7C73" w:rsidRDefault="001D4AB9"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4C7C73">
                        <w:rPr>
                          <w:rFonts w:ascii="Cambria" w:hAnsi="Cambria" w:cs="Arial"/>
                          <w:b/>
                          <w:bCs/>
                          <w:color w:val="0D0D0D"/>
                          <w:sz w:val="36"/>
                          <w:szCs w:val="22"/>
                          <w:lang w:val="es-ES_tradnl"/>
                        </w:rPr>
                        <w:t xml:space="preserve">INFORME </w:t>
                      </w:r>
                      <w:r w:rsidRPr="004C7C73">
                        <w:rPr>
                          <w:rFonts w:ascii="Cambria" w:hAnsi="Cambria" w:cs="Arial"/>
                          <w:b/>
                          <w:bCs/>
                          <w:color w:val="0D0D0D"/>
                          <w:sz w:val="36"/>
                          <w:szCs w:val="40"/>
                          <w:lang w:val="es-ES_tradnl"/>
                        </w:rPr>
                        <w:t>No.</w:t>
                      </w:r>
                      <w:r w:rsidRPr="004C7C73">
                        <w:rPr>
                          <w:rFonts w:ascii="Cambria" w:hAnsi="Cambria" w:cs="Arial"/>
                          <w:b/>
                          <w:bCs/>
                          <w:color w:val="0D0D0D"/>
                          <w:sz w:val="36"/>
                          <w:szCs w:val="22"/>
                          <w:lang w:val="es-ES_tradnl"/>
                        </w:rPr>
                        <w:t xml:space="preserve"> </w:t>
                      </w:r>
                      <w:r w:rsidR="008D0AF6">
                        <w:rPr>
                          <w:rFonts w:ascii="Cambria" w:hAnsi="Cambria" w:cs="Arial"/>
                          <w:b/>
                          <w:bCs/>
                          <w:color w:val="0D0D0D"/>
                          <w:sz w:val="36"/>
                          <w:szCs w:val="22"/>
                          <w:lang w:val="es-ES_tradnl"/>
                        </w:rPr>
                        <w:t>139</w:t>
                      </w:r>
                      <w:r w:rsidRPr="004C7C73">
                        <w:rPr>
                          <w:rFonts w:ascii="Cambria" w:hAnsi="Cambria" w:cs="Arial"/>
                          <w:b/>
                          <w:bCs/>
                          <w:color w:val="0D0D0D"/>
                          <w:sz w:val="36"/>
                          <w:szCs w:val="22"/>
                          <w:lang w:val="es-ES_tradnl"/>
                        </w:rPr>
                        <w:t>/20</w:t>
                      </w:r>
                    </w:p>
                    <w:p w:rsidR="001D4AB9" w:rsidRPr="004C7C73" w:rsidRDefault="001D4AB9"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4C7C73">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905</w:t>
                      </w:r>
                      <w:r w:rsidRPr="004C7C73">
                        <w:rPr>
                          <w:rFonts w:ascii="Cambria" w:hAnsi="Cambria" w:cs="Arial"/>
                          <w:b/>
                          <w:color w:val="0D0D0D"/>
                          <w:sz w:val="36"/>
                          <w:szCs w:val="22"/>
                          <w:lang w:val="es-ES_tradnl"/>
                        </w:rPr>
                        <w:t xml:space="preserve">-08 </w:t>
                      </w:r>
                    </w:p>
                    <w:p w:rsidR="001D4AB9" w:rsidRPr="004C7C73" w:rsidRDefault="001D4AB9"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4C7C73">
                        <w:rPr>
                          <w:rFonts w:ascii="Cambria" w:hAnsi="Cambria" w:cs="Arial"/>
                          <w:color w:val="0D0D0D"/>
                          <w:szCs w:val="22"/>
                          <w:lang w:val="es-ES_tradnl"/>
                        </w:rPr>
                        <w:t xml:space="preserve">INFORME DE INADMISIBILIDAD </w:t>
                      </w:r>
                    </w:p>
                    <w:p w:rsidR="001D4AB9" w:rsidRPr="004C7C73" w:rsidRDefault="001D4AB9"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rsidR="001D4AB9" w:rsidRPr="004C7C73" w:rsidRDefault="001D4AB9"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4C7C73">
                        <w:rPr>
                          <w:rFonts w:ascii="Cambria" w:hAnsi="Cambria" w:cs="Arial"/>
                          <w:color w:val="0D0D0D"/>
                          <w:szCs w:val="22"/>
                          <w:lang w:val="es-ES_tradnl"/>
                        </w:rPr>
                        <w:t>CÉSAR AUGUSTO ALMEYDA TASAYCO</w:t>
                      </w:r>
                    </w:p>
                    <w:bookmarkEnd w:id="1"/>
                    <w:p w:rsidR="001D4AB9" w:rsidRPr="004C7C73" w:rsidRDefault="001D4AB9"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4C7C73">
                        <w:rPr>
                          <w:rFonts w:ascii="Cambria" w:hAnsi="Cambria" w:cs="Arial"/>
                          <w:color w:val="0D0D0D"/>
                          <w:szCs w:val="22"/>
                          <w:lang w:val="es-ES_tradnl"/>
                        </w:rPr>
                        <w:t>PERÚ</w:t>
                      </w:r>
                    </w:p>
                    <w:p w:rsidR="001D4AB9" w:rsidRPr="004C7C73" w:rsidRDefault="001D4AB9" w:rsidP="000673D0">
                      <w:pPr>
                        <w:pBdr>
                          <w:top w:val="none" w:sz="0" w:space="0" w:color="auto"/>
                          <w:left w:val="none" w:sz="0" w:space="0" w:color="auto"/>
                          <w:bottom w:val="none" w:sz="0" w:space="0" w:color="auto"/>
                          <w:right w:val="none" w:sz="0" w:space="0" w:color="auto"/>
                          <w:bar w:val="none" w:sz="0" w:color="auto"/>
                        </w:pBdr>
                        <w:rPr>
                          <w:color w:val="0D0D0D"/>
                          <w:lang w:val="es-ES_tradnl"/>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4AB9" w:rsidRPr="004C7C73" w:rsidRDefault="008D0AF6" w:rsidP="000673D0">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OEA/Ser.L/V/II.</w:t>
                            </w:r>
                          </w:p>
                          <w:p w:rsidR="001D4AB9" w:rsidRPr="004C7C73" w:rsidRDefault="008D0AF6" w:rsidP="000673D0">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Doc. 149</w:t>
                            </w:r>
                          </w:p>
                          <w:p w:rsidR="001D4AB9" w:rsidRPr="004C7C73" w:rsidRDefault="008D0AF6" w:rsidP="000673D0">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PA"/>
                              </w:rPr>
                            </w:pPr>
                            <w:r>
                              <w:rPr>
                                <w:rFonts w:ascii="Calibri" w:hAnsi="Calibri"/>
                                <w:color w:val="FFFFFF"/>
                                <w:sz w:val="22"/>
                                <w:lang w:val="es-PA"/>
                              </w:rPr>
                              <w:t>1 junio</w:t>
                            </w:r>
                            <w:r w:rsidR="001D4AB9" w:rsidRPr="004C7C73">
                              <w:rPr>
                                <w:rFonts w:ascii="Calibri" w:hAnsi="Calibri"/>
                                <w:color w:val="FFFFFF"/>
                                <w:sz w:val="22"/>
                                <w:lang w:val="es-PA"/>
                              </w:rPr>
                              <w:t xml:space="preserve"> 2020</w:t>
                            </w:r>
                          </w:p>
                          <w:p w:rsidR="001D4AB9" w:rsidRPr="004C7C73" w:rsidRDefault="001D4AB9" w:rsidP="000673D0">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PA"/>
                              </w:rPr>
                            </w:pPr>
                            <w:r w:rsidRPr="004C7C73">
                              <w:rPr>
                                <w:rFonts w:ascii="Calibri" w:hAnsi="Calibri"/>
                                <w:color w:val="FFFFFF"/>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1D4AB9" w:rsidRPr="004C7C73" w:rsidRDefault="008D0AF6" w:rsidP="000673D0">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OEA/Ser.L/V/II.</w:t>
                      </w:r>
                    </w:p>
                    <w:p w:rsidR="001D4AB9" w:rsidRPr="004C7C73" w:rsidRDefault="008D0AF6" w:rsidP="000673D0">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Doc. 149</w:t>
                      </w:r>
                    </w:p>
                    <w:p w:rsidR="001D4AB9" w:rsidRPr="004C7C73" w:rsidRDefault="008D0AF6" w:rsidP="000673D0">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PA"/>
                        </w:rPr>
                      </w:pPr>
                      <w:r>
                        <w:rPr>
                          <w:rFonts w:ascii="Calibri" w:hAnsi="Calibri"/>
                          <w:color w:val="FFFFFF"/>
                          <w:sz w:val="22"/>
                          <w:lang w:val="es-PA"/>
                        </w:rPr>
                        <w:t>1 junio</w:t>
                      </w:r>
                      <w:r w:rsidR="001D4AB9" w:rsidRPr="004C7C73">
                        <w:rPr>
                          <w:rFonts w:ascii="Calibri" w:hAnsi="Calibri"/>
                          <w:color w:val="FFFFFF"/>
                          <w:sz w:val="22"/>
                          <w:lang w:val="es-PA"/>
                        </w:rPr>
                        <w:t xml:space="preserve"> 2020</w:t>
                      </w:r>
                    </w:p>
                    <w:p w:rsidR="001D4AB9" w:rsidRPr="004C7C73" w:rsidRDefault="001D4AB9" w:rsidP="000673D0">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PA"/>
                        </w:rPr>
                      </w:pPr>
                      <w:r w:rsidRPr="004C7C73">
                        <w:rPr>
                          <w:rFonts w:ascii="Calibri" w:hAnsi="Calibri"/>
                          <w:color w:val="FFFFFF"/>
                          <w:sz w:val="22"/>
                          <w:lang w:val="es-PA"/>
                        </w:rPr>
                        <w:t>Original: español</w:t>
                      </w:r>
                    </w:p>
                  </w:txbxContent>
                </v:textbox>
              </v:shape>
            </w:pict>
          </mc:Fallback>
        </mc:AlternateContent>
      </w: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Arial"/>
          <w:sz w:val="22"/>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4AB9" w:rsidRPr="0090270B" w:rsidRDefault="000D7540"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56192" behindDoc="0" locked="0" layoutInCell="1" allowOverlap="1">
                <wp:simplePos x="0" y="0"/>
                <wp:positionH relativeFrom="column">
                  <wp:posOffset>1341755</wp:posOffset>
                </wp:positionH>
                <wp:positionV relativeFrom="paragraph">
                  <wp:posOffset>22860</wp:posOffset>
                </wp:positionV>
                <wp:extent cx="4933950" cy="66484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4AB9" w:rsidRPr="004C7C73"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4C7C73">
                              <w:rPr>
                                <w:rFonts w:ascii="Cambria" w:hAnsi="Cambria"/>
                                <w:color w:val="0D0D0D"/>
                                <w:sz w:val="18"/>
                                <w:szCs w:val="22"/>
                                <w:lang w:val="es-ES"/>
                              </w:rPr>
                              <w:t xml:space="preserve">Aprobado </w:t>
                            </w:r>
                            <w:proofErr w:type="spellStart"/>
                            <w:r w:rsidRPr="004C7C73">
                              <w:rPr>
                                <w:rFonts w:ascii="Cambria" w:hAnsi="Cambria"/>
                                <w:color w:val="0D0D0D"/>
                                <w:sz w:val="18"/>
                                <w:szCs w:val="22"/>
                                <w:lang w:val="es-ES"/>
                              </w:rPr>
                              <w:t>electr</w:t>
                            </w:r>
                            <w:r w:rsidRPr="004C7C73">
                              <w:rPr>
                                <w:rFonts w:ascii="Cambria" w:hAnsi="Cambria"/>
                                <w:color w:val="0D0D0D"/>
                                <w:sz w:val="18"/>
                                <w:szCs w:val="22"/>
                                <w:lang w:val="es-ES_tradnl"/>
                              </w:rPr>
                              <w:t>ónicamente</w:t>
                            </w:r>
                            <w:proofErr w:type="spellEnd"/>
                            <w:r w:rsidRPr="004C7C73">
                              <w:rPr>
                                <w:rFonts w:ascii="Cambria" w:hAnsi="Cambria"/>
                                <w:color w:val="0D0D0D"/>
                                <w:sz w:val="18"/>
                                <w:szCs w:val="22"/>
                                <w:lang w:val="es-ES"/>
                              </w:rPr>
                              <w:t xml:space="preserve"> por la Comisión el </w:t>
                            </w:r>
                            <w:r w:rsidR="008D0AF6">
                              <w:rPr>
                                <w:rFonts w:ascii="Cambria" w:hAnsi="Cambria"/>
                                <w:color w:val="0D0D0D"/>
                                <w:sz w:val="18"/>
                                <w:szCs w:val="22"/>
                                <w:lang w:val="es-ES"/>
                              </w:rPr>
                              <w:t xml:space="preserve">1 </w:t>
                            </w:r>
                            <w:r w:rsidRPr="004C7C73">
                              <w:rPr>
                                <w:rFonts w:ascii="Cambria" w:hAnsi="Cambria"/>
                                <w:color w:val="0D0D0D"/>
                                <w:sz w:val="18"/>
                                <w:szCs w:val="22"/>
                                <w:lang w:val="es-ES"/>
                              </w:rPr>
                              <w:t xml:space="preserve">de </w:t>
                            </w:r>
                            <w:r w:rsidR="008D0AF6">
                              <w:rPr>
                                <w:rFonts w:ascii="Cambria" w:hAnsi="Cambria"/>
                                <w:color w:val="0D0D0D"/>
                                <w:sz w:val="18"/>
                                <w:szCs w:val="22"/>
                                <w:lang w:val="es-ES"/>
                              </w:rPr>
                              <w:t>junio</w:t>
                            </w:r>
                            <w:r w:rsidRPr="004C7C73">
                              <w:rPr>
                                <w:rFonts w:ascii="Cambria" w:hAnsi="Cambria"/>
                                <w:color w:val="0D0D0D"/>
                                <w:sz w:val="18"/>
                                <w:szCs w:val="22"/>
                                <w:lang w:val="es-ES"/>
                              </w:rPr>
                              <w:t xml:space="preserve"> de 2020</w:t>
                            </w:r>
                            <w:r w:rsidR="00114A3C">
                              <w:rPr>
                                <w:rFonts w:ascii="Cambria" w:hAnsi="Cambria"/>
                                <w:color w:val="0D0D0D"/>
                                <w:sz w:val="18"/>
                                <w:szCs w:val="22"/>
                                <w:lang w:val="es-ES"/>
                              </w:rPr>
                              <w:t>.</w:t>
                            </w:r>
                            <w:bookmarkStart w:id="1" w:name="_GoBack"/>
                            <w:bookmarkEnd w:id="1"/>
                          </w:p>
                          <w:p w:rsidR="001D4AB9" w:rsidRPr="004C7C73"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rsidR="001D4AB9" w:rsidRPr="004C7C73"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6Dnv6IwCAACCBQAADgAAAAAAAAAAAAAAAAAuAgAAZHJzL2Uyb0RvYy54bWxQSwECLQAU&#10;AAYACAAAACEAQZkOC94AAAAJAQAADwAAAAAAAAAAAAAAAADmBAAAZHJzL2Rvd25yZXYueG1sUEsF&#10;BgAAAAAEAAQA8wAAAPEFAAAAAA==&#10;" filled="f" stroked="f" strokeweight=".5pt">
                <v:path arrowok="t"/>
                <v:textbox>
                  <w:txbxContent>
                    <w:p w:rsidR="001D4AB9" w:rsidRPr="004C7C73"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4C7C73">
                        <w:rPr>
                          <w:rFonts w:ascii="Cambria" w:hAnsi="Cambria"/>
                          <w:color w:val="0D0D0D"/>
                          <w:sz w:val="18"/>
                          <w:szCs w:val="22"/>
                          <w:lang w:val="es-ES"/>
                        </w:rPr>
                        <w:t xml:space="preserve">Aprobado </w:t>
                      </w:r>
                      <w:proofErr w:type="spellStart"/>
                      <w:r w:rsidRPr="004C7C73">
                        <w:rPr>
                          <w:rFonts w:ascii="Cambria" w:hAnsi="Cambria"/>
                          <w:color w:val="0D0D0D"/>
                          <w:sz w:val="18"/>
                          <w:szCs w:val="22"/>
                          <w:lang w:val="es-ES"/>
                        </w:rPr>
                        <w:t>electr</w:t>
                      </w:r>
                      <w:r w:rsidRPr="004C7C73">
                        <w:rPr>
                          <w:rFonts w:ascii="Cambria" w:hAnsi="Cambria"/>
                          <w:color w:val="0D0D0D"/>
                          <w:sz w:val="18"/>
                          <w:szCs w:val="22"/>
                          <w:lang w:val="es-ES_tradnl"/>
                        </w:rPr>
                        <w:t>ónicamente</w:t>
                      </w:r>
                      <w:proofErr w:type="spellEnd"/>
                      <w:r w:rsidRPr="004C7C73">
                        <w:rPr>
                          <w:rFonts w:ascii="Cambria" w:hAnsi="Cambria"/>
                          <w:color w:val="0D0D0D"/>
                          <w:sz w:val="18"/>
                          <w:szCs w:val="22"/>
                          <w:lang w:val="es-ES"/>
                        </w:rPr>
                        <w:t xml:space="preserve"> por la Comisión el </w:t>
                      </w:r>
                      <w:r w:rsidR="008D0AF6">
                        <w:rPr>
                          <w:rFonts w:ascii="Cambria" w:hAnsi="Cambria"/>
                          <w:color w:val="0D0D0D"/>
                          <w:sz w:val="18"/>
                          <w:szCs w:val="22"/>
                          <w:lang w:val="es-ES"/>
                        </w:rPr>
                        <w:t xml:space="preserve">1 </w:t>
                      </w:r>
                      <w:r w:rsidRPr="004C7C73">
                        <w:rPr>
                          <w:rFonts w:ascii="Cambria" w:hAnsi="Cambria"/>
                          <w:color w:val="0D0D0D"/>
                          <w:sz w:val="18"/>
                          <w:szCs w:val="22"/>
                          <w:lang w:val="es-ES"/>
                        </w:rPr>
                        <w:t xml:space="preserve">de </w:t>
                      </w:r>
                      <w:r w:rsidR="008D0AF6">
                        <w:rPr>
                          <w:rFonts w:ascii="Cambria" w:hAnsi="Cambria"/>
                          <w:color w:val="0D0D0D"/>
                          <w:sz w:val="18"/>
                          <w:szCs w:val="22"/>
                          <w:lang w:val="es-ES"/>
                        </w:rPr>
                        <w:t>junio</w:t>
                      </w:r>
                      <w:r w:rsidRPr="004C7C73">
                        <w:rPr>
                          <w:rFonts w:ascii="Cambria" w:hAnsi="Cambria"/>
                          <w:color w:val="0D0D0D"/>
                          <w:sz w:val="18"/>
                          <w:szCs w:val="22"/>
                          <w:lang w:val="es-ES"/>
                        </w:rPr>
                        <w:t xml:space="preserve"> de 2020</w:t>
                      </w:r>
                      <w:r w:rsidR="00114A3C">
                        <w:rPr>
                          <w:rFonts w:ascii="Cambria" w:hAnsi="Cambria"/>
                          <w:color w:val="0D0D0D"/>
                          <w:sz w:val="18"/>
                          <w:szCs w:val="22"/>
                          <w:lang w:val="es-ES"/>
                        </w:rPr>
                        <w:t>.</w:t>
                      </w:r>
                      <w:bookmarkStart w:id="2" w:name="_GoBack"/>
                      <w:bookmarkEnd w:id="2"/>
                    </w:p>
                    <w:p w:rsidR="001D4AB9" w:rsidRPr="004C7C73"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rsidR="001D4AB9" w:rsidRPr="004C7C73"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v:textbox>
              </v:shape>
            </w:pict>
          </mc:Fallback>
        </mc:AlternateContent>
      </w: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4AB9" w:rsidRPr="0090270B" w:rsidRDefault="000D7540"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59264" behindDoc="0" locked="0" layoutInCell="1" allowOverlap="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4AB9" w:rsidRPr="004C7C73" w:rsidRDefault="001D4AB9"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4C7C73">
                              <w:rPr>
                                <w:rFonts w:ascii="Cambria" w:hAnsi="Cambria"/>
                                <w:b/>
                                <w:color w:val="595959"/>
                                <w:sz w:val="18"/>
                                <w:szCs w:val="18"/>
                                <w:lang w:val="pt-BR"/>
                              </w:rPr>
                              <w:t>Citar como:</w:t>
                            </w:r>
                            <w:r w:rsidRPr="004C7C73">
                              <w:rPr>
                                <w:rFonts w:ascii="Cambria" w:hAnsi="Cambria"/>
                                <w:color w:val="595959"/>
                                <w:sz w:val="18"/>
                                <w:szCs w:val="18"/>
                                <w:lang w:val="pt-BR"/>
                              </w:rPr>
                              <w:t xml:space="preserve"> CIDH, Informe No. </w:t>
                            </w:r>
                            <w:r w:rsidR="008D0AF6" w:rsidRPr="008D0AF6">
                              <w:rPr>
                                <w:rFonts w:ascii="Cambria" w:hAnsi="Cambria"/>
                                <w:color w:val="595959"/>
                                <w:sz w:val="18"/>
                                <w:szCs w:val="18"/>
                                <w:lang w:val="pt-BR"/>
                              </w:rPr>
                              <w:t>139</w:t>
                            </w:r>
                            <w:r w:rsidRPr="008D0AF6">
                              <w:rPr>
                                <w:rFonts w:ascii="Cambria" w:hAnsi="Cambria"/>
                                <w:color w:val="595959"/>
                                <w:sz w:val="18"/>
                                <w:szCs w:val="18"/>
                                <w:lang w:val="pt-BR"/>
                              </w:rPr>
                              <w:t xml:space="preserve">/20. </w:t>
                            </w:r>
                            <w:r w:rsidRPr="004C7C73">
                              <w:rPr>
                                <w:rFonts w:ascii="Cambria" w:hAnsi="Cambria"/>
                                <w:color w:val="595959"/>
                                <w:sz w:val="18"/>
                                <w:szCs w:val="18"/>
                                <w:lang w:val="es-ES_tradnl"/>
                              </w:rPr>
                              <w:t>Petición</w:t>
                            </w:r>
                            <w:r>
                              <w:rPr>
                                <w:rFonts w:ascii="Cambria" w:hAnsi="Cambria"/>
                                <w:color w:val="595959"/>
                                <w:sz w:val="18"/>
                                <w:szCs w:val="18"/>
                                <w:lang w:val="es-ES"/>
                              </w:rPr>
                              <w:t xml:space="preserve"> 905</w:t>
                            </w:r>
                            <w:r w:rsidRPr="004C7C73">
                              <w:rPr>
                                <w:rFonts w:ascii="Cambria" w:hAnsi="Cambria"/>
                                <w:color w:val="595959"/>
                                <w:sz w:val="18"/>
                                <w:szCs w:val="18"/>
                                <w:lang w:val="es-ES"/>
                              </w:rPr>
                              <w:t xml:space="preserve">-08. </w:t>
                            </w:r>
                            <w:r w:rsidRPr="004C7C73">
                              <w:rPr>
                                <w:rFonts w:ascii="Cambria" w:hAnsi="Cambria"/>
                                <w:color w:val="595959"/>
                                <w:sz w:val="18"/>
                                <w:szCs w:val="18"/>
                                <w:lang w:val="es-ES_tradnl"/>
                              </w:rPr>
                              <w:t xml:space="preserve">Inadmisibilidad. Jorge Eduardo Pérez Gómez. Perú. </w:t>
                            </w:r>
                            <w:r w:rsidR="008D0AF6">
                              <w:rPr>
                                <w:rFonts w:ascii="Cambria" w:hAnsi="Cambria"/>
                                <w:color w:val="595959"/>
                                <w:sz w:val="18"/>
                                <w:szCs w:val="18"/>
                                <w:lang w:val="es-ES"/>
                              </w:rPr>
                              <w:t>1 de junio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1D4AB9" w:rsidRPr="004C7C73" w:rsidRDefault="001D4AB9"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4C7C73">
                        <w:rPr>
                          <w:rFonts w:ascii="Cambria" w:hAnsi="Cambria"/>
                          <w:b/>
                          <w:color w:val="595959"/>
                          <w:sz w:val="18"/>
                          <w:szCs w:val="18"/>
                          <w:lang w:val="pt-BR"/>
                        </w:rPr>
                        <w:t>Citar como:</w:t>
                      </w:r>
                      <w:r w:rsidRPr="004C7C73">
                        <w:rPr>
                          <w:rFonts w:ascii="Cambria" w:hAnsi="Cambria"/>
                          <w:color w:val="595959"/>
                          <w:sz w:val="18"/>
                          <w:szCs w:val="18"/>
                          <w:lang w:val="pt-BR"/>
                        </w:rPr>
                        <w:t xml:space="preserve"> CIDH, Informe No. </w:t>
                      </w:r>
                      <w:r w:rsidR="008D0AF6" w:rsidRPr="008D0AF6">
                        <w:rPr>
                          <w:rFonts w:ascii="Cambria" w:hAnsi="Cambria"/>
                          <w:color w:val="595959"/>
                          <w:sz w:val="18"/>
                          <w:szCs w:val="18"/>
                          <w:lang w:val="pt-BR"/>
                        </w:rPr>
                        <w:t>139</w:t>
                      </w:r>
                      <w:r w:rsidRPr="008D0AF6">
                        <w:rPr>
                          <w:rFonts w:ascii="Cambria" w:hAnsi="Cambria"/>
                          <w:color w:val="595959"/>
                          <w:sz w:val="18"/>
                          <w:szCs w:val="18"/>
                          <w:lang w:val="pt-BR"/>
                        </w:rPr>
                        <w:t xml:space="preserve">/20. </w:t>
                      </w:r>
                      <w:r w:rsidRPr="004C7C73">
                        <w:rPr>
                          <w:rFonts w:ascii="Cambria" w:hAnsi="Cambria"/>
                          <w:color w:val="595959"/>
                          <w:sz w:val="18"/>
                          <w:szCs w:val="18"/>
                          <w:lang w:val="es-ES_tradnl"/>
                        </w:rPr>
                        <w:t>Petición</w:t>
                      </w:r>
                      <w:r>
                        <w:rPr>
                          <w:rFonts w:ascii="Cambria" w:hAnsi="Cambria"/>
                          <w:color w:val="595959"/>
                          <w:sz w:val="18"/>
                          <w:szCs w:val="18"/>
                          <w:lang w:val="es-ES"/>
                        </w:rPr>
                        <w:t xml:space="preserve"> 905</w:t>
                      </w:r>
                      <w:r w:rsidRPr="004C7C73">
                        <w:rPr>
                          <w:rFonts w:ascii="Cambria" w:hAnsi="Cambria"/>
                          <w:color w:val="595959"/>
                          <w:sz w:val="18"/>
                          <w:szCs w:val="18"/>
                          <w:lang w:val="es-ES"/>
                        </w:rPr>
                        <w:t xml:space="preserve">-08. </w:t>
                      </w:r>
                      <w:r w:rsidRPr="004C7C73">
                        <w:rPr>
                          <w:rFonts w:ascii="Cambria" w:hAnsi="Cambria"/>
                          <w:color w:val="595959"/>
                          <w:sz w:val="18"/>
                          <w:szCs w:val="18"/>
                          <w:lang w:val="es-ES_tradnl"/>
                        </w:rPr>
                        <w:t xml:space="preserve">Inadmisibilidad. Jorge Eduardo Pérez Gómez. Perú. </w:t>
                      </w:r>
                      <w:r w:rsidR="008D0AF6">
                        <w:rPr>
                          <w:rFonts w:ascii="Cambria" w:hAnsi="Cambria"/>
                          <w:color w:val="595959"/>
                          <w:sz w:val="18"/>
                          <w:szCs w:val="18"/>
                          <w:lang w:val="es-ES"/>
                        </w:rPr>
                        <w:t>1 de junio de 2020.</w:t>
                      </w:r>
                    </w:p>
                  </w:txbxContent>
                </v:textbox>
              </v:shape>
            </w:pict>
          </mc:Fallback>
        </mc:AlternateContent>
      </w:r>
    </w:p>
    <w:p w:rsidR="001D4AB9" w:rsidRPr="0090270B"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D4AB9" w:rsidRDefault="000D7540"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_tradnl"/>
        </w:rPr>
      </w:pPr>
      <w:r>
        <w:rPr>
          <w:noProof/>
        </w:rPr>
        <mc:AlternateContent>
          <mc:Choice Requires="wps">
            <w:drawing>
              <wp:anchor distT="0" distB="0" distL="114300" distR="114300" simplePos="0" relativeHeight="251660288" behindDoc="0" locked="0" layoutInCell="1" allowOverlap="1">
                <wp:simplePos x="0" y="0"/>
                <wp:positionH relativeFrom="column">
                  <wp:posOffset>1329690</wp:posOffset>
                </wp:positionH>
                <wp:positionV relativeFrom="paragraph">
                  <wp:posOffset>638810</wp:posOffset>
                </wp:positionV>
                <wp:extent cx="4096385" cy="567055"/>
                <wp:effectExtent l="0" t="0" r="0" b="444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D4AB9" w:rsidRPr="004C7C73" w:rsidRDefault="003B4DC7" w:rsidP="000673D0">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extent cx="1849120" cy="47561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49120" cy="4756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qHhQIAABY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" stroked="f" strokeweight=".5pt">
                <v:textbox>
                  <w:txbxContent>
                    <w:p w:rsidR="001D4AB9" w:rsidRPr="004C7C73" w:rsidRDefault="003B4DC7" w:rsidP="000673D0">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extent cx="1849120" cy="47561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49120" cy="47561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4AB9" w:rsidRPr="004C7C73" w:rsidRDefault="001D4AB9" w:rsidP="000673D0">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4C7C73">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4" o:spid="_x0000_s1032"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dDjA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" filled="f" stroked="f" strokeweight=".5pt">
                <v:path arrowok="t"/>
                <v:textbox>
                  <w:txbxContent>
                    <w:p w:rsidR="001D4AB9" w:rsidRPr="004C7C73" w:rsidRDefault="001D4AB9" w:rsidP="000673D0">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4C7C73">
                        <w:rPr>
                          <w:rFonts w:ascii="Calibri" w:hAnsi="Calibri"/>
                          <w:b/>
                          <w:color w:val="FFFFFF"/>
                          <w:lang w:val="pt-BR"/>
                        </w:rPr>
                        <w:t>www.cidh.org</w:t>
                      </w:r>
                    </w:p>
                  </w:txbxContent>
                </v:textbox>
              </v:shape>
            </w:pict>
          </mc:Fallback>
        </mc:AlternateContent>
      </w:r>
    </w:p>
    <w:p w:rsidR="001D4AB9" w:rsidRDefault="001D4AB9"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_tradnl"/>
        </w:rPr>
        <w:sectPr w:rsidR="001D4AB9"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rtlGutter/>
          <w:docGrid w:linePitch="326"/>
        </w:sectPr>
      </w:pPr>
      <w:r>
        <w:rPr>
          <w:rFonts w:ascii="Cambria" w:hAnsi="Cambria"/>
          <w:b/>
          <w:sz w:val="20"/>
          <w:lang w:val="es-ES_tradnl"/>
        </w:rPr>
        <w:tab/>
      </w:r>
    </w:p>
    <w:p w:rsidR="001D4AB9" w:rsidRPr="000673D0" w:rsidRDefault="001D4AB9" w:rsidP="000673D0">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lang w:val="es-ES"/>
        </w:rPr>
      </w:pPr>
      <w:r w:rsidRPr="000673D0">
        <w:rPr>
          <w:rFonts w:ascii="Cambria" w:hAnsi="Cambria"/>
          <w:b/>
          <w:bCs/>
          <w:sz w:val="20"/>
          <w:szCs w:val="20"/>
          <w:lang w:val="es-ES"/>
        </w:rPr>
        <w:lastRenderedPageBreak/>
        <w:t>I.</w:t>
      </w:r>
      <w:r w:rsidRPr="000673D0">
        <w:rPr>
          <w:rFonts w:ascii="Cambria" w:hAnsi="Cambria"/>
          <w:b/>
          <w:bCs/>
          <w:sz w:val="20"/>
          <w:szCs w:val="20"/>
          <w:lang w:val="es-ES"/>
        </w:rPr>
        <w:tab/>
        <w:t xml:space="preserve">DATOS DE LA PETICIÓN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1D4AB9" w:rsidRPr="000673D0" w:rsidTr="004C7C73">
        <w:tc>
          <w:tcPr>
            <w:tcW w:w="3600" w:type="dxa"/>
            <w:tcBorders>
              <w:top w:val="single" w:sz="4" w:space="0" w:color="auto"/>
            </w:tcBorders>
            <w:shd w:val="clear" w:color="auto" w:fill="386294"/>
            <w:vAlign w:val="center"/>
          </w:tcPr>
          <w:p w:rsidR="001D4AB9" w:rsidRPr="004C7C73" w:rsidRDefault="001D4AB9" w:rsidP="004C7C73">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4C7C73">
              <w:rPr>
                <w:rFonts w:ascii="Cambria" w:hAnsi="Cambria"/>
                <w:b/>
                <w:bCs/>
                <w:color w:val="FFFFFF"/>
                <w:sz w:val="20"/>
                <w:szCs w:val="20"/>
              </w:rPr>
              <w:t>Parte peticionaria:</w:t>
            </w:r>
          </w:p>
        </w:tc>
        <w:tc>
          <w:tcPr>
            <w:tcW w:w="5760" w:type="dxa"/>
            <w:tcBorders>
              <w:top w:val="single" w:sz="4" w:space="0" w:color="auto"/>
            </w:tcBorders>
            <w:vAlign w:val="center"/>
          </w:tcPr>
          <w:p w:rsidR="001D4AB9" w:rsidRPr="004C7C73" w:rsidRDefault="001D4AB9" w:rsidP="004C7C73">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PA"/>
              </w:rPr>
            </w:pPr>
            <w:r w:rsidRPr="004C7C73">
              <w:rPr>
                <w:rFonts w:ascii="Cambria" w:hAnsi="Cambria"/>
                <w:bCs/>
                <w:sz w:val="20"/>
                <w:szCs w:val="20"/>
              </w:rPr>
              <w:t>C</w:t>
            </w:r>
            <w:r w:rsidRPr="004C7C73">
              <w:rPr>
                <w:rFonts w:ascii="Cambria" w:hAnsi="Cambria"/>
                <w:bCs/>
                <w:sz w:val="20"/>
                <w:szCs w:val="20"/>
                <w:lang w:val="es-PA"/>
              </w:rPr>
              <w:t>ésar Augusto Almeyda Tasayco</w:t>
            </w:r>
          </w:p>
        </w:tc>
      </w:tr>
      <w:tr w:rsidR="001D4AB9" w:rsidRPr="000673D0" w:rsidTr="004C7C73">
        <w:tc>
          <w:tcPr>
            <w:tcW w:w="3600" w:type="dxa"/>
            <w:shd w:val="clear" w:color="auto" w:fill="386294"/>
            <w:vAlign w:val="center"/>
          </w:tcPr>
          <w:p w:rsidR="001D4AB9" w:rsidRPr="004C7C73" w:rsidRDefault="001D4AB9" w:rsidP="004C7C73">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4C7C73">
              <w:rPr>
                <w:rFonts w:ascii="Cambria" w:hAnsi="Cambria"/>
                <w:b/>
                <w:bCs/>
                <w:color w:val="FFFFFF"/>
                <w:sz w:val="20"/>
                <w:szCs w:val="20"/>
              </w:rPr>
              <w:t>Presunta víctima:</w:t>
            </w:r>
          </w:p>
        </w:tc>
        <w:tc>
          <w:tcPr>
            <w:tcW w:w="5760" w:type="dxa"/>
            <w:vAlign w:val="center"/>
          </w:tcPr>
          <w:p w:rsidR="001D4AB9" w:rsidRPr="004C7C73" w:rsidRDefault="001D4AB9" w:rsidP="004C7C73">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4C7C73">
              <w:rPr>
                <w:rFonts w:ascii="Cambria" w:hAnsi="Cambria"/>
                <w:bCs/>
                <w:sz w:val="20"/>
                <w:szCs w:val="20"/>
              </w:rPr>
              <w:t>C</w:t>
            </w:r>
            <w:r w:rsidRPr="004C7C73">
              <w:rPr>
                <w:rFonts w:ascii="Cambria" w:hAnsi="Cambria"/>
                <w:bCs/>
                <w:sz w:val="20"/>
                <w:szCs w:val="20"/>
                <w:lang w:val="es-PA"/>
              </w:rPr>
              <w:t>ésar Augusto Almeyda Tasayco</w:t>
            </w:r>
          </w:p>
        </w:tc>
      </w:tr>
      <w:tr w:rsidR="001D4AB9" w:rsidRPr="000673D0" w:rsidTr="004C7C73">
        <w:tc>
          <w:tcPr>
            <w:tcW w:w="3600" w:type="dxa"/>
            <w:shd w:val="clear" w:color="auto" w:fill="386294"/>
            <w:vAlign w:val="center"/>
          </w:tcPr>
          <w:p w:rsidR="001D4AB9" w:rsidRPr="004C7C73" w:rsidRDefault="001D4AB9" w:rsidP="004C7C73">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4C7C73">
              <w:rPr>
                <w:rFonts w:ascii="Cambria" w:hAnsi="Cambria"/>
                <w:b/>
                <w:bCs/>
                <w:color w:val="FFFFFF"/>
                <w:sz w:val="20"/>
                <w:szCs w:val="20"/>
              </w:rPr>
              <w:t>Estado denunciado:</w:t>
            </w:r>
          </w:p>
        </w:tc>
        <w:tc>
          <w:tcPr>
            <w:tcW w:w="5760" w:type="dxa"/>
            <w:vAlign w:val="center"/>
          </w:tcPr>
          <w:p w:rsidR="001D4AB9" w:rsidRPr="004C7C73" w:rsidRDefault="001D4AB9" w:rsidP="004C7C73">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4C7C73">
              <w:rPr>
                <w:rFonts w:ascii="Cambria" w:hAnsi="Cambria"/>
                <w:bCs/>
                <w:sz w:val="20"/>
                <w:szCs w:val="20"/>
              </w:rPr>
              <w:t>Perú</w:t>
            </w:r>
            <w:r w:rsidRPr="004C7C73">
              <w:rPr>
                <w:rStyle w:val="FootnoteReference"/>
                <w:rFonts w:ascii="Cambria" w:hAnsi="Cambria"/>
                <w:bCs/>
                <w:sz w:val="20"/>
                <w:szCs w:val="20"/>
              </w:rPr>
              <w:footnoteReference w:id="2"/>
            </w:r>
          </w:p>
        </w:tc>
      </w:tr>
      <w:tr w:rsidR="001D4AB9" w:rsidRPr="008D0AF6" w:rsidTr="004C7C73">
        <w:tc>
          <w:tcPr>
            <w:tcW w:w="3600" w:type="dxa"/>
            <w:tcBorders>
              <w:bottom w:val="single" w:sz="4" w:space="0" w:color="auto"/>
            </w:tcBorders>
            <w:shd w:val="clear" w:color="auto" w:fill="386294"/>
            <w:vAlign w:val="center"/>
          </w:tcPr>
          <w:p w:rsidR="001D4AB9" w:rsidRPr="004C7C73" w:rsidRDefault="001D4AB9" w:rsidP="004C7C73">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4C7C73">
              <w:rPr>
                <w:rFonts w:ascii="Cambria" w:hAnsi="Cambria"/>
                <w:b/>
                <w:bCs/>
                <w:color w:val="FFFFFF"/>
                <w:sz w:val="20"/>
                <w:szCs w:val="20"/>
              </w:rPr>
              <w:t>Derechos invocados:</w:t>
            </w:r>
          </w:p>
        </w:tc>
        <w:tc>
          <w:tcPr>
            <w:tcW w:w="5760" w:type="dxa"/>
            <w:tcBorders>
              <w:bottom w:val="single" w:sz="4" w:space="0" w:color="auto"/>
            </w:tcBorders>
            <w:vAlign w:val="center"/>
          </w:tcPr>
          <w:p w:rsidR="001D4AB9" w:rsidRPr="004C7C73" w:rsidRDefault="001D4AB9" w:rsidP="004C7C73">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PA"/>
              </w:rPr>
            </w:pPr>
            <w:r w:rsidRPr="004C7C73">
              <w:rPr>
                <w:rFonts w:ascii="Cambria" w:hAnsi="Cambria"/>
                <w:bCs/>
                <w:sz w:val="20"/>
                <w:szCs w:val="20"/>
                <w:lang w:val="es-PA"/>
              </w:rPr>
              <w:t>Artículos 7, (libertad personal), 8 (garantías judiciales), 11 (honra y dignidad) y 25 (protección judicial) de la Convención Americana sobre Derechos Humanos</w:t>
            </w:r>
            <w:r w:rsidRPr="004C7C73">
              <w:rPr>
                <w:rStyle w:val="FootnoteReference"/>
                <w:rFonts w:ascii="Cambria" w:hAnsi="Cambria"/>
                <w:bCs/>
                <w:sz w:val="20"/>
                <w:szCs w:val="20"/>
                <w:lang w:val="es-PA"/>
              </w:rPr>
              <w:footnoteReference w:id="3"/>
            </w:r>
            <w:r w:rsidRPr="004C7C73">
              <w:rPr>
                <w:rFonts w:ascii="Cambria" w:hAnsi="Cambria"/>
                <w:bCs/>
                <w:sz w:val="20"/>
                <w:szCs w:val="20"/>
                <w:lang w:val="es-PA"/>
              </w:rPr>
              <w:t xml:space="preserve"> </w:t>
            </w:r>
          </w:p>
        </w:tc>
      </w:tr>
    </w:tbl>
    <w:p w:rsidR="001D4AB9" w:rsidRPr="000673D0" w:rsidRDefault="001D4AB9" w:rsidP="000673D0">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lang w:val="es-ES"/>
        </w:rPr>
      </w:pPr>
      <w:r w:rsidRPr="000673D0">
        <w:rPr>
          <w:rFonts w:ascii="Cambria" w:hAnsi="Cambria"/>
          <w:b/>
          <w:bCs/>
          <w:sz w:val="20"/>
          <w:szCs w:val="20"/>
          <w:lang w:val="es-ES"/>
        </w:rPr>
        <w:t>II.</w:t>
      </w:r>
      <w:r w:rsidRPr="000673D0">
        <w:rPr>
          <w:rFonts w:ascii="Cambria" w:hAnsi="Cambria"/>
          <w:b/>
          <w:bCs/>
          <w:sz w:val="20"/>
          <w:szCs w:val="20"/>
          <w:lang w:val="es-ES"/>
        </w:rPr>
        <w:tab/>
        <w:t>TRÁMITE ANTE LA CIDH</w:t>
      </w:r>
      <w:r w:rsidRPr="000673D0">
        <w:rPr>
          <w:rStyle w:val="FootnoteReference"/>
          <w:rFonts w:ascii="Cambria" w:hAnsi="Cambria"/>
          <w:b/>
          <w:sz w:val="20"/>
          <w:szCs w:val="20"/>
        </w:rPr>
        <w:footnoteReference w:id="4"/>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1D4AB9" w:rsidRPr="00BF7851" w:rsidTr="004C7C73">
        <w:tc>
          <w:tcPr>
            <w:tcW w:w="3600" w:type="dxa"/>
            <w:tcBorders>
              <w:top w:val="single" w:sz="4" w:space="0" w:color="auto"/>
            </w:tcBorders>
            <w:shd w:val="clear" w:color="auto" w:fill="386294"/>
            <w:vAlign w:val="center"/>
          </w:tcPr>
          <w:p w:rsidR="001D4AB9" w:rsidRPr="004C7C73" w:rsidRDefault="001D4AB9" w:rsidP="004C7C73">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4C7C73">
              <w:rPr>
                <w:rFonts w:ascii="Cambria" w:hAnsi="Cambria"/>
                <w:b/>
                <w:bCs/>
                <w:color w:val="FFFFFF"/>
                <w:sz w:val="20"/>
                <w:szCs w:val="20"/>
                <w:lang w:val="es-ES"/>
              </w:rPr>
              <w:t>Presentación de la petición:</w:t>
            </w:r>
          </w:p>
        </w:tc>
        <w:tc>
          <w:tcPr>
            <w:tcW w:w="5760" w:type="dxa"/>
            <w:tcBorders>
              <w:top w:val="single" w:sz="4" w:space="0" w:color="auto"/>
            </w:tcBorders>
            <w:vAlign w:val="center"/>
          </w:tcPr>
          <w:p w:rsidR="001D4AB9" w:rsidRPr="004C7C73" w:rsidRDefault="001D4AB9" w:rsidP="004C7C73">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4C7C73">
              <w:rPr>
                <w:rFonts w:ascii="Cambria" w:hAnsi="Cambria"/>
                <w:bCs/>
                <w:sz w:val="20"/>
                <w:szCs w:val="20"/>
                <w:lang w:val="es-ES"/>
              </w:rPr>
              <w:t>6 de agosto de 2008</w:t>
            </w:r>
            <w:r w:rsidRPr="004C7C73">
              <w:rPr>
                <w:rStyle w:val="FootnoteReference"/>
                <w:rFonts w:ascii="Cambria" w:hAnsi="Cambria"/>
                <w:bCs/>
                <w:sz w:val="20"/>
                <w:szCs w:val="20"/>
                <w:lang w:val="es-ES"/>
              </w:rPr>
              <w:footnoteReference w:id="5"/>
            </w:r>
          </w:p>
        </w:tc>
      </w:tr>
      <w:tr w:rsidR="001D4AB9" w:rsidRPr="000673D0" w:rsidTr="004C7C73">
        <w:tc>
          <w:tcPr>
            <w:tcW w:w="3600" w:type="dxa"/>
            <w:shd w:val="clear" w:color="auto" w:fill="386294"/>
            <w:vAlign w:val="center"/>
          </w:tcPr>
          <w:p w:rsidR="001D4AB9" w:rsidRPr="004C7C73" w:rsidRDefault="001D4AB9" w:rsidP="004C7C73">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4C7C73">
              <w:rPr>
                <w:rFonts w:ascii="Cambria" w:hAnsi="Cambria"/>
                <w:b/>
                <w:color w:val="FFFFFF"/>
                <w:sz w:val="20"/>
                <w:szCs w:val="20"/>
                <w:lang w:val="es-ES"/>
              </w:rPr>
              <w:t>Notificación de la petición al Estado:</w:t>
            </w:r>
          </w:p>
        </w:tc>
        <w:tc>
          <w:tcPr>
            <w:tcW w:w="5760" w:type="dxa"/>
            <w:vAlign w:val="center"/>
          </w:tcPr>
          <w:p w:rsidR="001D4AB9" w:rsidRPr="004C7C73" w:rsidRDefault="001D4AB9" w:rsidP="004C7C73">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4C7C73">
              <w:rPr>
                <w:rFonts w:ascii="Cambria" w:hAnsi="Cambria"/>
                <w:bCs/>
                <w:sz w:val="20"/>
                <w:szCs w:val="20"/>
                <w:lang w:val="es-ES"/>
              </w:rPr>
              <w:t>30 de diciembre de 2014</w:t>
            </w:r>
          </w:p>
        </w:tc>
      </w:tr>
      <w:tr w:rsidR="001D4AB9" w:rsidRPr="000673D0" w:rsidTr="004C7C73">
        <w:tc>
          <w:tcPr>
            <w:tcW w:w="3600" w:type="dxa"/>
            <w:shd w:val="clear" w:color="auto" w:fill="386294"/>
            <w:vAlign w:val="center"/>
          </w:tcPr>
          <w:p w:rsidR="001D4AB9" w:rsidRPr="004C7C73" w:rsidRDefault="001D4AB9" w:rsidP="004C7C73">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4C7C73">
              <w:rPr>
                <w:rFonts w:ascii="Cambria" w:hAnsi="Cambria"/>
                <w:b/>
                <w:color w:val="FFFFFF"/>
                <w:sz w:val="20"/>
                <w:szCs w:val="20"/>
                <w:lang w:val="es-ES"/>
              </w:rPr>
              <w:t>Primera respuesta del Estado:</w:t>
            </w:r>
          </w:p>
        </w:tc>
        <w:tc>
          <w:tcPr>
            <w:tcW w:w="5760" w:type="dxa"/>
            <w:vAlign w:val="center"/>
          </w:tcPr>
          <w:p w:rsidR="001D4AB9" w:rsidRPr="004C7C73" w:rsidRDefault="001D4AB9" w:rsidP="004C7C73">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4C7C73">
              <w:rPr>
                <w:rFonts w:ascii="Cambria" w:hAnsi="Cambria"/>
                <w:bCs/>
                <w:sz w:val="20"/>
                <w:szCs w:val="20"/>
                <w:lang w:val="es-ES"/>
              </w:rPr>
              <w:t>1 de abril de 2015</w:t>
            </w:r>
          </w:p>
        </w:tc>
      </w:tr>
      <w:tr w:rsidR="001D4AB9" w:rsidRPr="00BD57F2" w:rsidTr="004C7C73">
        <w:tc>
          <w:tcPr>
            <w:tcW w:w="3600" w:type="dxa"/>
            <w:shd w:val="clear" w:color="auto" w:fill="386294"/>
            <w:vAlign w:val="center"/>
          </w:tcPr>
          <w:p w:rsidR="001D4AB9" w:rsidRPr="004C7C73" w:rsidRDefault="001D4AB9" w:rsidP="004C7C73">
            <w:pPr>
              <w:pBdr>
                <w:top w:val="none" w:sz="0" w:space="0" w:color="auto"/>
                <w:left w:val="none" w:sz="0" w:space="0" w:color="auto"/>
                <w:bottom w:val="none" w:sz="0" w:space="0" w:color="auto"/>
                <w:right w:val="none" w:sz="0" w:space="0" w:color="auto"/>
                <w:bar w:val="none" w:sz="0" w:color="auto"/>
              </w:pBdr>
              <w:jc w:val="center"/>
              <w:rPr>
                <w:rFonts w:ascii="Cambria" w:hAnsi="Cambria"/>
                <w:b/>
                <w:color w:val="FFFFFF"/>
                <w:sz w:val="20"/>
                <w:szCs w:val="20"/>
                <w:lang w:val="es-ES"/>
              </w:rPr>
            </w:pPr>
            <w:r w:rsidRPr="004C7C73">
              <w:rPr>
                <w:rFonts w:ascii="Cambria" w:hAnsi="Cambria"/>
                <w:b/>
                <w:bCs/>
                <w:color w:val="FFFFFF"/>
                <w:sz w:val="20"/>
                <w:szCs w:val="20"/>
                <w:lang w:val="es-ES"/>
              </w:rPr>
              <w:t>Observaciones adicionales de la parte peticionaria:</w:t>
            </w:r>
          </w:p>
        </w:tc>
        <w:tc>
          <w:tcPr>
            <w:tcW w:w="5760" w:type="dxa"/>
            <w:vAlign w:val="center"/>
          </w:tcPr>
          <w:p w:rsidR="001D4AB9" w:rsidRPr="004C7C73" w:rsidRDefault="001D4AB9" w:rsidP="004C7C73">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4C7C73">
              <w:rPr>
                <w:rFonts w:ascii="Cambria" w:hAnsi="Cambria"/>
                <w:bCs/>
                <w:sz w:val="20"/>
                <w:szCs w:val="20"/>
                <w:lang w:val="es-ES"/>
              </w:rPr>
              <w:t>17 de diciembre de 2015</w:t>
            </w:r>
            <w:r w:rsidRPr="004C7C73">
              <w:rPr>
                <w:rStyle w:val="FootnoteReference"/>
                <w:rFonts w:ascii="Cambria" w:hAnsi="Cambria"/>
                <w:bCs/>
                <w:sz w:val="20"/>
                <w:szCs w:val="20"/>
                <w:lang w:val="es-ES"/>
              </w:rPr>
              <w:footnoteReference w:id="6"/>
            </w:r>
          </w:p>
        </w:tc>
      </w:tr>
      <w:tr w:rsidR="001D4AB9" w:rsidRPr="008D0AF6" w:rsidTr="004C7C73">
        <w:tc>
          <w:tcPr>
            <w:tcW w:w="3600" w:type="dxa"/>
            <w:tcBorders>
              <w:bottom w:val="single" w:sz="4" w:space="0" w:color="auto"/>
            </w:tcBorders>
            <w:shd w:val="clear" w:color="auto" w:fill="386294"/>
            <w:vAlign w:val="center"/>
          </w:tcPr>
          <w:p w:rsidR="001D4AB9" w:rsidRPr="004C7C73" w:rsidRDefault="001D4AB9" w:rsidP="004C7C73">
            <w:pPr>
              <w:pBdr>
                <w:top w:val="none" w:sz="0" w:space="0" w:color="auto"/>
                <w:left w:val="none" w:sz="0" w:space="0" w:color="auto"/>
                <w:bottom w:val="none" w:sz="0" w:space="0" w:color="auto"/>
                <w:right w:val="none" w:sz="0" w:space="0" w:color="auto"/>
                <w:bar w:val="none" w:sz="0" w:color="auto"/>
              </w:pBdr>
              <w:jc w:val="center"/>
              <w:rPr>
                <w:rFonts w:ascii="Cambria" w:hAnsi="Cambria"/>
                <w:b/>
                <w:color w:val="FFFFFF"/>
                <w:sz w:val="20"/>
                <w:szCs w:val="20"/>
                <w:lang w:val="es-ES"/>
              </w:rPr>
            </w:pPr>
            <w:r w:rsidRPr="004C7C73">
              <w:rPr>
                <w:rFonts w:ascii="Cambria" w:hAnsi="Cambria"/>
                <w:b/>
                <w:color w:val="FFFFFF"/>
                <w:sz w:val="20"/>
                <w:szCs w:val="20"/>
                <w:lang w:val="es-ES"/>
              </w:rPr>
              <w:t>Observaciones adicionales del Estado:</w:t>
            </w:r>
          </w:p>
        </w:tc>
        <w:tc>
          <w:tcPr>
            <w:tcW w:w="5760" w:type="dxa"/>
            <w:tcBorders>
              <w:bottom w:val="single" w:sz="4" w:space="0" w:color="auto"/>
            </w:tcBorders>
            <w:vAlign w:val="center"/>
          </w:tcPr>
          <w:p w:rsidR="001D4AB9" w:rsidRPr="004C7C73" w:rsidRDefault="001D4AB9" w:rsidP="004C7C73">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4C7C73">
              <w:rPr>
                <w:rFonts w:ascii="Cambria" w:hAnsi="Cambria"/>
                <w:bCs/>
                <w:sz w:val="20"/>
                <w:szCs w:val="20"/>
                <w:lang w:val="es-ES"/>
              </w:rPr>
              <w:t xml:space="preserve">16 de junio de 2016 y 15 de octubre de 2019 </w:t>
            </w:r>
          </w:p>
        </w:tc>
      </w:tr>
    </w:tbl>
    <w:p w:rsidR="001D4AB9" w:rsidRPr="000673D0" w:rsidRDefault="001D4AB9" w:rsidP="000673D0">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lang w:val="es-ES"/>
        </w:rPr>
      </w:pPr>
      <w:r w:rsidRPr="000673D0">
        <w:rPr>
          <w:rFonts w:ascii="Cambria" w:hAnsi="Cambria"/>
          <w:b/>
          <w:bCs/>
          <w:sz w:val="20"/>
          <w:szCs w:val="20"/>
          <w:lang w:val="es-ES"/>
        </w:rPr>
        <w:t xml:space="preserve">III. </w:t>
      </w:r>
      <w:r w:rsidRPr="000673D0">
        <w:rPr>
          <w:rFonts w:ascii="Cambria" w:hAnsi="Cambria"/>
          <w:b/>
          <w:bCs/>
          <w:sz w:val="20"/>
          <w:szCs w:val="20"/>
          <w:lang w:val="es-ES"/>
        </w:rPr>
        <w:tab/>
        <w:t xml:space="preserve">COMPETENCIA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562"/>
        <w:gridCol w:w="5680"/>
      </w:tblGrid>
      <w:tr w:rsidR="001D4AB9" w:rsidRPr="000673D0" w:rsidTr="004C7C73">
        <w:trPr>
          <w:cantSplit/>
        </w:trPr>
        <w:tc>
          <w:tcPr>
            <w:tcW w:w="3600" w:type="dxa"/>
            <w:tcBorders>
              <w:top w:val="single" w:sz="4" w:space="0" w:color="auto"/>
            </w:tcBorders>
            <w:shd w:val="clear" w:color="auto" w:fill="386294"/>
            <w:vAlign w:val="center"/>
          </w:tcPr>
          <w:p w:rsidR="001D4AB9" w:rsidRPr="004C7C73" w:rsidRDefault="001D4AB9" w:rsidP="004C7C73">
            <w:pPr>
              <w:pBdr>
                <w:top w:val="none" w:sz="0" w:space="0" w:color="auto"/>
                <w:left w:val="none" w:sz="0" w:space="0" w:color="auto"/>
                <w:bottom w:val="none" w:sz="0" w:space="0" w:color="auto"/>
                <w:right w:val="none" w:sz="0" w:space="0" w:color="auto"/>
                <w:bar w:val="none" w:sz="0" w:color="auto"/>
              </w:pBdr>
              <w:jc w:val="center"/>
              <w:rPr>
                <w:rFonts w:ascii="Cambria" w:hAnsi="Cambria"/>
                <w:b/>
                <w:bCs/>
                <w:i/>
                <w:color w:val="FFFFFF"/>
                <w:sz w:val="20"/>
                <w:szCs w:val="20"/>
              </w:rPr>
            </w:pPr>
            <w:r w:rsidRPr="004C7C73">
              <w:rPr>
                <w:rFonts w:ascii="Cambria" w:hAnsi="Cambria"/>
                <w:b/>
                <w:bCs/>
                <w:color w:val="FFFFFF"/>
                <w:sz w:val="20"/>
                <w:szCs w:val="20"/>
              </w:rPr>
              <w:t>Competencia</w:t>
            </w:r>
            <w:r w:rsidRPr="004C7C73">
              <w:rPr>
                <w:rFonts w:ascii="Cambria" w:hAnsi="Cambria"/>
                <w:b/>
                <w:bCs/>
                <w:i/>
                <w:color w:val="FFFFFF"/>
                <w:sz w:val="20"/>
                <w:szCs w:val="20"/>
              </w:rPr>
              <w:t xml:space="preserve"> Ratione personae:</w:t>
            </w:r>
          </w:p>
        </w:tc>
        <w:tc>
          <w:tcPr>
            <w:tcW w:w="5760" w:type="dxa"/>
            <w:tcBorders>
              <w:top w:val="single" w:sz="4" w:space="0" w:color="auto"/>
            </w:tcBorders>
            <w:vAlign w:val="center"/>
          </w:tcPr>
          <w:p w:rsidR="001D4AB9" w:rsidRPr="004C7C73" w:rsidRDefault="001D4AB9" w:rsidP="0074464F">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4C7C73">
              <w:rPr>
                <w:rFonts w:ascii="Cambria" w:hAnsi="Cambria"/>
                <w:bCs/>
                <w:sz w:val="20"/>
                <w:szCs w:val="20"/>
              </w:rPr>
              <w:t>Sí</w:t>
            </w:r>
          </w:p>
        </w:tc>
      </w:tr>
      <w:tr w:rsidR="001D4AB9" w:rsidRPr="000673D0" w:rsidTr="004C7C73">
        <w:trPr>
          <w:cantSplit/>
        </w:trPr>
        <w:tc>
          <w:tcPr>
            <w:tcW w:w="3600" w:type="dxa"/>
            <w:shd w:val="clear" w:color="auto" w:fill="386294"/>
            <w:vAlign w:val="center"/>
          </w:tcPr>
          <w:p w:rsidR="001D4AB9" w:rsidRPr="004C7C73" w:rsidRDefault="001D4AB9" w:rsidP="004C7C73">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4C7C73">
              <w:rPr>
                <w:rFonts w:ascii="Cambria" w:hAnsi="Cambria"/>
                <w:b/>
                <w:bCs/>
                <w:color w:val="FFFFFF"/>
                <w:sz w:val="20"/>
                <w:szCs w:val="20"/>
              </w:rPr>
              <w:t>Competencia</w:t>
            </w:r>
            <w:r w:rsidRPr="004C7C73">
              <w:rPr>
                <w:rFonts w:ascii="Cambria" w:hAnsi="Cambria"/>
                <w:b/>
                <w:bCs/>
                <w:i/>
                <w:color w:val="FFFFFF"/>
                <w:sz w:val="20"/>
                <w:szCs w:val="20"/>
              </w:rPr>
              <w:t xml:space="preserve"> Ratione loci</w:t>
            </w:r>
            <w:r w:rsidRPr="004C7C73">
              <w:rPr>
                <w:rFonts w:ascii="Cambria" w:hAnsi="Cambria"/>
                <w:b/>
                <w:bCs/>
                <w:color w:val="FFFFFF"/>
                <w:sz w:val="20"/>
                <w:szCs w:val="20"/>
              </w:rPr>
              <w:t>:</w:t>
            </w:r>
          </w:p>
        </w:tc>
        <w:tc>
          <w:tcPr>
            <w:tcW w:w="5760" w:type="dxa"/>
            <w:vAlign w:val="center"/>
          </w:tcPr>
          <w:p w:rsidR="001D4AB9" w:rsidRPr="004C7C73" w:rsidRDefault="001D4AB9" w:rsidP="0074464F">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4C7C73">
              <w:rPr>
                <w:rFonts w:ascii="Cambria" w:hAnsi="Cambria"/>
                <w:bCs/>
                <w:sz w:val="20"/>
                <w:szCs w:val="20"/>
              </w:rPr>
              <w:t>Sí</w:t>
            </w:r>
          </w:p>
        </w:tc>
      </w:tr>
      <w:tr w:rsidR="001D4AB9" w:rsidRPr="000673D0" w:rsidTr="004C7C73">
        <w:trPr>
          <w:cantSplit/>
        </w:trPr>
        <w:tc>
          <w:tcPr>
            <w:tcW w:w="3600" w:type="dxa"/>
            <w:shd w:val="clear" w:color="auto" w:fill="386294"/>
            <w:vAlign w:val="center"/>
          </w:tcPr>
          <w:p w:rsidR="001D4AB9" w:rsidRPr="004C7C73" w:rsidRDefault="001D4AB9" w:rsidP="004C7C73">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4C7C73">
              <w:rPr>
                <w:rFonts w:ascii="Cambria" w:hAnsi="Cambria"/>
                <w:b/>
                <w:bCs/>
                <w:color w:val="FFFFFF"/>
                <w:sz w:val="20"/>
                <w:szCs w:val="20"/>
              </w:rPr>
              <w:t>Competencia</w:t>
            </w:r>
            <w:r w:rsidRPr="004C7C73">
              <w:rPr>
                <w:rFonts w:ascii="Cambria" w:hAnsi="Cambria"/>
                <w:b/>
                <w:bCs/>
                <w:i/>
                <w:color w:val="FFFFFF"/>
                <w:sz w:val="20"/>
                <w:szCs w:val="20"/>
              </w:rPr>
              <w:t xml:space="preserve"> Ratione temporis</w:t>
            </w:r>
            <w:r w:rsidRPr="004C7C73">
              <w:rPr>
                <w:rFonts w:ascii="Cambria" w:hAnsi="Cambria"/>
                <w:b/>
                <w:bCs/>
                <w:color w:val="FFFFFF"/>
                <w:sz w:val="20"/>
                <w:szCs w:val="20"/>
              </w:rPr>
              <w:t>:</w:t>
            </w:r>
          </w:p>
        </w:tc>
        <w:tc>
          <w:tcPr>
            <w:tcW w:w="5760" w:type="dxa"/>
            <w:vAlign w:val="center"/>
          </w:tcPr>
          <w:p w:rsidR="001D4AB9" w:rsidRPr="004C7C73" w:rsidRDefault="001D4AB9" w:rsidP="0074464F">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4C7C73">
              <w:rPr>
                <w:rFonts w:ascii="Cambria" w:hAnsi="Cambria"/>
                <w:bCs/>
                <w:sz w:val="20"/>
                <w:szCs w:val="20"/>
              </w:rPr>
              <w:t>Sí</w:t>
            </w:r>
          </w:p>
        </w:tc>
      </w:tr>
      <w:tr w:rsidR="001D4AB9" w:rsidRPr="008D0AF6" w:rsidTr="004C7C73">
        <w:trPr>
          <w:cantSplit/>
        </w:trPr>
        <w:tc>
          <w:tcPr>
            <w:tcW w:w="3600" w:type="dxa"/>
            <w:tcBorders>
              <w:bottom w:val="single" w:sz="4" w:space="0" w:color="auto"/>
            </w:tcBorders>
            <w:shd w:val="clear" w:color="auto" w:fill="386294"/>
            <w:vAlign w:val="center"/>
          </w:tcPr>
          <w:p w:rsidR="001D4AB9" w:rsidRPr="004C7C73" w:rsidRDefault="001D4AB9" w:rsidP="004C7C73">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4C7C73">
              <w:rPr>
                <w:rFonts w:ascii="Cambria" w:hAnsi="Cambria"/>
                <w:b/>
                <w:bCs/>
                <w:color w:val="FFFFFF"/>
                <w:sz w:val="20"/>
                <w:szCs w:val="20"/>
              </w:rPr>
              <w:t>Competencia</w:t>
            </w:r>
            <w:r w:rsidRPr="004C7C73">
              <w:rPr>
                <w:rFonts w:ascii="Cambria" w:hAnsi="Cambria"/>
                <w:b/>
                <w:bCs/>
                <w:i/>
                <w:color w:val="FFFFFF"/>
                <w:sz w:val="20"/>
                <w:szCs w:val="20"/>
              </w:rPr>
              <w:t xml:space="preserve"> Ratione materiae</w:t>
            </w:r>
            <w:r w:rsidRPr="004C7C73">
              <w:rPr>
                <w:rFonts w:ascii="Cambria" w:hAnsi="Cambria"/>
                <w:b/>
                <w:bCs/>
                <w:color w:val="FFFFFF"/>
                <w:sz w:val="20"/>
                <w:szCs w:val="20"/>
              </w:rPr>
              <w:t>:</w:t>
            </w:r>
          </w:p>
        </w:tc>
        <w:tc>
          <w:tcPr>
            <w:tcW w:w="5760" w:type="dxa"/>
            <w:tcBorders>
              <w:bottom w:val="single" w:sz="4" w:space="0" w:color="auto"/>
            </w:tcBorders>
            <w:vAlign w:val="center"/>
          </w:tcPr>
          <w:p w:rsidR="001D4AB9" w:rsidRPr="004C7C73" w:rsidRDefault="001D4AB9" w:rsidP="004C7C73">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4C7C73">
              <w:rPr>
                <w:rFonts w:ascii="Cambria" w:hAnsi="Cambria"/>
                <w:bCs/>
                <w:sz w:val="19"/>
                <w:szCs w:val="19"/>
                <w:lang w:val="es-ES"/>
              </w:rPr>
              <w:t>Sí, Convención Americana (depósito del instrumento realizado el 28 de julio de 1978)</w:t>
            </w:r>
          </w:p>
        </w:tc>
      </w:tr>
    </w:tbl>
    <w:p w:rsidR="001D4AB9" w:rsidRPr="000673D0" w:rsidRDefault="001D4AB9" w:rsidP="000673D0">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lang w:val="es-ES"/>
        </w:rPr>
      </w:pPr>
      <w:r w:rsidRPr="000673D0">
        <w:rPr>
          <w:rFonts w:ascii="Cambria" w:hAnsi="Cambria"/>
          <w:b/>
          <w:bCs/>
          <w:sz w:val="20"/>
          <w:szCs w:val="20"/>
          <w:lang w:val="es-ES"/>
        </w:rPr>
        <w:t xml:space="preserve">IV. </w:t>
      </w:r>
      <w:r w:rsidRPr="000673D0">
        <w:rPr>
          <w:rFonts w:ascii="Cambria" w:hAnsi="Cambria"/>
          <w:b/>
          <w:bCs/>
          <w:sz w:val="20"/>
          <w:szCs w:val="20"/>
          <w:lang w:val="es-ES"/>
        </w:rPr>
        <w:tab/>
        <w:t>DUPLICACIÓN</w:t>
      </w:r>
      <w:r w:rsidRPr="000673D0">
        <w:rPr>
          <w:rFonts w:ascii="Cambria" w:hAnsi="Cambria"/>
          <w:b/>
          <w:bCs/>
          <w:color w:val="FFFFFF"/>
          <w:sz w:val="20"/>
          <w:szCs w:val="20"/>
          <w:lang w:val="es-ES"/>
        </w:rPr>
        <w:t xml:space="preserve"> </w:t>
      </w:r>
      <w:r w:rsidRPr="000673D0">
        <w:rPr>
          <w:rFonts w:ascii="Cambria" w:hAnsi="Cambria"/>
          <w:b/>
          <w:bCs/>
          <w:sz w:val="20"/>
          <w:szCs w:val="20"/>
          <w:lang w:val="es-ES"/>
        </w:rPr>
        <w:t>DE PROCEDIMIENTOS Y COSA JUZGADA</w:t>
      </w:r>
      <w:r w:rsidRPr="000673D0">
        <w:rPr>
          <w:rFonts w:ascii="Cambria" w:hAnsi="Cambria"/>
          <w:b/>
          <w:bCs/>
          <w:i/>
          <w:sz w:val="20"/>
          <w:szCs w:val="20"/>
          <w:lang w:val="es-ES"/>
        </w:rPr>
        <w:t xml:space="preserve"> </w:t>
      </w:r>
      <w:r w:rsidRPr="000673D0">
        <w:rPr>
          <w:rFonts w:ascii="Cambria" w:hAnsi="Cambria"/>
          <w:b/>
          <w:bCs/>
          <w:sz w:val="20"/>
          <w:szCs w:val="20"/>
          <w:lang w:val="es-ES"/>
        </w:rPr>
        <w:t xml:space="preserve">INTERNACIONAL, CARACTERIZACIÓN, </w:t>
      </w:r>
      <w:r w:rsidRPr="000673D0">
        <w:rPr>
          <w:rFonts w:ascii="Cambria" w:hAnsi="Cambria"/>
          <w:b/>
          <w:sz w:val="20"/>
          <w:szCs w:val="20"/>
          <w:lang w:val="es-ES"/>
        </w:rPr>
        <w:t>AGOTAMIENTO DE LOS RECURSOS INTERNOS Y PLAZO DE PRESENTACIÓN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566"/>
        <w:gridCol w:w="5676"/>
      </w:tblGrid>
      <w:tr w:rsidR="001D4AB9" w:rsidRPr="000673D0" w:rsidTr="004C7C73">
        <w:trPr>
          <w:cantSplit/>
        </w:trPr>
        <w:tc>
          <w:tcPr>
            <w:tcW w:w="3600" w:type="dxa"/>
            <w:tcBorders>
              <w:top w:val="single" w:sz="4" w:space="0" w:color="auto"/>
            </w:tcBorders>
            <w:shd w:val="clear" w:color="auto" w:fill="386294"/>
            <w:vAlign w:val="center"/>
          </w:tcPr>
          <w:p w:rsidR="001D4AB9" w:rsidRPr="004C7C73" w:rsidRDefault="001D4AB9" w:rsidP="004C7C73">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4C7C73">
              <w:rPr>
                <w:rFonts w:ascii="Cambria" w:hAnsi="Cambria"/>
                <w:b/>
                <w:bCs/>
                <w:color w:val="FFFFFF"/>
                <w:sz w:val="20"/>
                <w:szCs w:val="20"/>
                <w:lang w:val="es-ES"/>
              </w:rPr>
              <w:t>Duplicación de procedimientos y cosa juzgada internacional:</w:t>
            </w:r>
          </w:p>
        </w:tc>
        <w:tc>
          <w:tcPr>
            <w:tcW w:w="5760" w:type="dxa"/>
            <w:tcBorders>
              <w:top w:val="single" w:sz="4" w:space="0" w:color="auto"/>
            </w:tcBorders>
            <w:vAlign w:val="center"/>
          </w:tcPr>
          <w:p w:rsidR="001D4AB9" w:rsidRPr="004C7C73" w:rsidRDefault="001D4AB9" w:rsidP="004C7C73">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4C7C73">
              <w:rPr>
                <w:rFonts w:ascii="Cambria" w:hAnsi="Cambria"/>
                <w:bCs/>
                <w:sz w:val="20"/>
                <w:szCs w:val="20"/>
                <w:lang w:val="es-ES"/>
              </w:rPr>
              <w:t>No</w:t>
            </w:r>
          </w:p>
        </w:tc>
      </w:tr>
      <w:tr w:rsidR="001D4AB9" w:rsidRPr="000673D0" w:rsidTr="004C7C73">
        <w:trPr>
          <w:cantSplit/>
        </w:trPr>
        <w:tc>
          <w:tcPr>
            <w:tcW w:w="3600" w:type="dxa"/>
            <w:tcBorders>
              <w:top w:val="single" w:sz="4" w:space="0" w:color="auto"/>
            </w:tcBorders>
            <w:shd w:val="clear" w:color="auto" w:fill="386294"/>
            <w:vAlign w:val="center"/>
          </w:tcPr>
          <w:p w:rsidR="001D4AB9" w:rsidRPr="004C7C73" w:rsidRDefault="001D4AB9" w:rsidP="004C7C73">
            <w:pPr>
              <w:pBdr>
                <w:top w:val="none" w:sz="0" w:space="0" w:color="auto"/>
                <w:left w:val="none" w:sz="0" w:space="0" w:color="auto"/>
                <w:bottom w:val="none" w:sz="0" w:space="0" w:color="auto"/>
                <w:right w:val="none" w:sz="0" w:space="0" w:color="auto"/>
                <w:bar w:val="none" w:sz="0" w:color="auto"/>
              </w:pBdr>
              <w:jc w:val="center"/>
              <w:rPr>
                <w:rFonts w:ascii="Cambria" w:hAnsi="Cambria"/>
                <w:b/>
                <w:bCs/>
                <w:i/>
                <w:color w:val="FFFFFF"/>
                <w:sz w:val="20"/>
                <w:szCs w:val="20"/>
              </w:rPr>
            </w:pPr>
            <w:r w:rsidRPr="004C7C73">
              <w:rPr>
                <w:rFonts w:ascii="Cambria" w:hAnsi="Cambria"/>
                <w:b/>
                <w:bCs/>
                <w:color w:val="FFFFFF"/>
                <w:sz w:val="20"/>
                <w:szCs w:val="20"/>
              </w:rPr>
              <w:t>Derechos declarados admisibles</w:t>
            </w:r>
            <w:r w:rsidRPr="004C7C73">
              <w:rPr>
                <w:rFonts w:ascii="Cambria" w:hAnsi="Cambria"/>
                <w:b/>
                <w:bCs/>
                <w:i/>
                <w:color w:val="FFFFFF"/>
                <w:sz w:val="20"/>
                <w:szCs w:val="20"/>
              </w:rPr>
              <w:t>:</w:t>
            </w:r>
          </w:p>
        </w:tc>
        <w:tc>
          <w:tcPr>
            <w:tcW w:w="5760" w:type="dxa"/>
            <w:vAlign w:val="center"/>
          </w:tcPr>
          <w:p w:rsidR="001D4AB9" w:rsidRPr="004C7C73" w:rsidRDefault="001D4AB9" w:rsidP="004C7C73">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4C7C73">
              <w:rPr>
                <w:rFonts w:ascii="Cambria" w:hAnsi="Cambria"/>
                <w:bCs/>
                <w:sz w:val="20"/>
                <w:szCs w:val="20"/>
              </w:rPr>
              <w:t>Ninguno</w:t>
            </w:r>
          </w:p>
        </w:tc>
      </w:tr>
      <w:tr w:rsidR="001D4AB9" w:rsidRPr="008D0AF6" w:rsidTr="004C7C73">
        <w:trPr>
          <w:cantSplit/>
        </w:trPr>
        <w:tc>
          <w:tcPr>
            <w:tcW w:w="3600" w:type="dxa"/>
            <w:shd w:val="clear" w:color="auto" w:fill="386294"/>
            <w:vAlign w:val="center"/>
          </w:tcPr>
          <w:p w:rsidR="001D4AB9" w:rsidRPr="004C7C73" w:rsidRDefault="001D4AB9" w:rsidP="004C7C73">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4C7C73">
              <w:rPr>
                <w:rFonts w:ascii="Cambria" w:hAnsi="Cambria"/>
                <w:b/>
                <w:bCs/>
                <w:color w:val="FFFFFF"/>
                <w:sz w:val="20"/>
                <w:szCs w:val="20"/>
                <w:lang w:val="es-ES"/>
              </w:rPr>
              <w:t>Agotamiento de recursos internos o procedencia de una excepción:</w:t>
            </w:r>
          </w:p>
        </w:tc>
        <w:tc>
          <w:tcPr>
            <w:tcW w:w="5760" w:type="dxa"/>
            <w:vAlign w:val="center"/>
          </w:tcPr>
          <w:p w:rsidR="001D4AB9" w:rsidRPr="004C7C73" w:rsidRDefault="001D4AB9" w:rsidP="0074464F">
            <w:pPr>
              <w:pBdr>
                <w:top w:val="none" w:sz="0" w:space="0" w:color="auto"/>
                <w:left w:val="none" w:sz="0" w:space="0" w:color="auto"/>
                <w:bottom w:val="none" w:sz="0" w:space="0" w:color="auto"/>
                <w:right w:val="none" w:sz="0" w:space="0" w:color="auto"/>
                <w:bar w:val="none" w:sz="0" w:color="auto"/>
              </w:pBdr>
              <w:rPr>
                <w:rFonts w:ascii="Cambria" w:hAnsi="Cambria"/>
                <w:bCs/>
                <w:sz w:val="20"/>
                <w:szCs w:val="20"/>
                <w:lang w:val="es-ES"/>
              </w:rPr>
            </w:pPr>
            <w:r w:rsidRPr="004C7C73">
              <w:rPr>
                <w:rFonts w:ascii="Cambria" w:hAnsi="Cambria"/>
                <w:bCs/>
                <w:sz w:val="20"/>
                <w:szCs w:val="20"/>
                <w:lang w:val="es-ES"/>
              </w:rPr>
              <w:t>No, en los términos de la Sección VI</w:t>
            </w:r>
          </w:p>
        </w:tc>
      </w:tr>
      <w:tr w:rsidR="001D4AB9" w:rsidRPr="008D0AF6" w:rsidTr="004C7C73">
        <w:trPr>
          <w:cantSplit/>
        </w:trPr>
        <w:tc>
          <w:tcPr>
            <w:tcW w:w="3600" w:type="dxa"/>
            <w:tcBorders>
              <w:bottom w:val="single" w:sz="4" w:space="0" w:color="auto"/>
            </w:tcBorders>
            <w:shd w:val="clear" w:color="auto" w:fill="386294"/>
            <w:vAlign w:val="center"/>
          </w:tcPr>
          <w:p w:rsidR="001D4AB9" w:rsidRPr="004C7C73" w:rsidRDefault="001D4AB9" w:rsidP="004C7C73">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4C7C73">
              <w:rPr>
                <w:rFonts w:ascii="Cambria" w:hAnsi="Cambria"/>
                <w:b/>
                <w:bCs/>
                <w:color w:val="FFFFFF"/>
                <w:sz w:val="20"/>
                <w:szCs w:val="20"/>
              </w:rPr>
              <w:t>Presentación dentro de plazo:</w:t>
            </w:r>
          </w:p>
        </w:tc>
        <w:tc>
          <w:tcPr>
            <w:tcW w:w="5760" w:type="dxa"/>
            <w:tcBorders>
              <w:bottom w:val="single" w:sz="4" w:space="0" w:color="auto"/>
            </w:tcBorders>
            <w:vAlign w:val="center"/>
          </w:tcPr>
          <w:p w:rsidR="001D4AB9" w:rsidRPr="004C7C73" w:rsidRDefault="001D4AB9" w:rsidP="0074464F">
            <w:pPr>
              <w:pBdr>
                <w:top w:val="none" w:sz="0" w:space="0" w:color="auto"/>
                <w:left w:val="none" w:sz="0" w:space="0" w:color="auto"/>
                <w:bottom w:val="none" w:sz="0" w:space="0" w:color="auto"/>
                <w:right w:val="none" w:sz="0" w:space="0" w:color="auto"/>
                <w:bar w:val="none" w:sz="0" w:color="auto"/>
              </w:pBdr>
              <w:rPr>
                <w:rFonts w:ascii="Cambria" w:hAnsi="Cambria"/>
                <w:bCs/>
                <w:sz w:val="20"/>
                <w:szCs w:val="20"/>
                <w:lang w:val="es-PA"/>
              </w:rPr>
            </w:pPr>
            <w:r w:rsidRPr="004C7C73">
              <w:rPr>
                <w:rFonts w:ascii="Cambria" w:hAnsi="Cambria"/>
                <w:bCs/>
                <w:sz w:val="20"/>
                <w:szCs w:val="20"/>
                <w:lang w:val="es-PA"/>
              </w:rPr>
              <w:t>No, en los términos de la Sección VI</w:t>
            </w:r>
          </w:p>
        </w:tc>
      </w:tr>
    </w:tbl>
    <w:p w:rsidR="001D4AB9" w:rsidRPr="000673D0" w:rsidRDefault="001D4AB9" w:rsidP="003239B8">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sz w:val="20"/>
          <w:szCs w:val="20"/>
          <w:lang w:val="es-UY"/>
        </w:rPr>
      </w:pPr>
      <w:r w:rsidRPr="000673D0">
        <w:rPr>
          <w:rFonts w:ascii="Cambria" w:hAnsi="Cambria"/>
          <w:b/>
          <w:sz w:val="20"/>
          <w:szCs w:val="20"/>
          <w:lang w:val="es-UY"/>
        </w:rPr>
        <w:t xml:space="preserve">V. </w:t>
      </w:r>
      <w:r w:rsidRPr="000673D0">
        <w:rPr>
          <w:rFonts w:ascii="Cambria" w:hAnsi="Cambria"/>
          <w:b/>
          <w:sz w:val="20"/>
          <w:szCs w:val="20"/>
          <w:lang w:val="es-UY"/>
        </w:rPr>
        <w:tab/>
        <w:t xml:space="preserve">HECHOS ALEGADOS </w:t>
      </w:r>
    </w:p>
    <w:p w:rsidR="001D4AB9" w:rsidRDefault="001D4AB9" w:rsidP="000673D0">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César Augusto Almeyda Tasayco (en adelante “el peticionario”) denuncia que fue sujeto a un proceso penal irregular en el que fue condenado a pesar de que el delito que se le imputó estaba prescrito; y </w:t>
      </w:r>
      <w:r w:rsidR="00AB41AC">
        <w:rPr>
          <w:rFonts w:ascii="Cambria" w:hAnsi="Cambria"/>
          <w:sz w:val="20"/>
          <w:szCs w:val="20"/>
          <w:lang w:val="es-PA"/>
        </w:rPr>
        <w:t xml:space="preserve">que tal condena se basó </w:t>
      </w:r>
      <w:r>
        <w:rPr>
          <w:rFonts w:ascii="Cambria" w:hAnsi="Cambria"/>
          <w:sz w:val="20"/>
          <w:szCs w:val="20"/>
          <w:lang w:val="es-PA"/>
        </w:rPr>
        <w:t xml:space="preserve">en una prueba inidónea que no fue sometida a la garantía del contradictorio. También denuncia que durante este proceso fue privado preventivamente de su libertad por un término desproporcionado, que incluso excedió por 3 meses la pena de prisión al cual finalmente fue condenado. Alega </w:t>
      </w:r>
      <w:r>
        <w:rPr>
          <w:rFonts w:ascii="Cambria" w:hAnsi="Cambria"/>
          <w:sz w:val="20"/>
          <w:szCs w:val="20"/>
          <w:lang w:val="es-PA"/>
        </w:rPr>
        <w:lastRenderedPageBreak/>
        <w:t xml:space="preserve">asimismo </w:t>
      </w:r>
      <w:r w:rsidR="00091821">
        <w:rPr>
          <w:rFonts w:ascii="Cambria" w:hAnsi="Cambria"/>
          <w:sz w:val="20"/>
          <w:szCs w:val="20"/>
          <w:lang w:val="es-PA"/>
        </w:rPr>
        <w:t xml:space="preserve">que </w:t>
      </w:r>
      <w:r>
        <w:rPr>
          <w:rFonts w:ascii="Cambria" w:hAnsi="Cambria"/>
          <w:sz w:val="20"/>
          <w:szCs w:val="20"/>
          <w:lang w:val="es-PA"/>
        </w:rPr>
        <w:t>en la segunda instancia del proceso intervinieron dos juezas que estaban mencionadas en el expediente y a las que no se le permitió llamar como testigos.</w:t>
      </w:r>
    </w:p>
    <w:p w:rsidR="001D4AB9" w:rsidRDefault="001D4AB9" w:rsidP="000673D0">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El peticionario relata que por varios años estuvo involucrado en la política partidista de su país por lo que ocupó múltiples cargos públicos, hasta que en mayo de 2003 renunció a la función pública y se reincorporó a sus actividades profesionales privadas. Señala que el 28 de febrero de 2004 se abrió un proceso penal en su contra a raíz de unas grabaciones de </w:t>
      </w:r>
      <w:r w:rsidR="000D7540">
        <w:rPr>
          <w:rFonts w:ascii="Cambria" w:hAnsi="Cambria"/>
          <w:sz w:val="20"/>
          <w:szCs w:val="20"/>
          <w:lang w:val="es-PA"/>
        </w:rPr>
        <w:t>audio que</w:t>
      </w:r>
      <w:r>
        <w:rPr>
          <w:rFonts w:ascii="Cambria" w:hAnsi="Cambria"/>
          <w:sz w:val="20"/>
          <w:szCs w:val="20"/>
          <w:lang w:val="es-PA"/>
        </w:rPr>
        <w:t xml:space="preserve"> se habían difundido públicamente y que aparentemente le implicaban en supuestos actos de corrupción. Indica que tales </w:t>
      </w:r>
      <w:r w:rsidR="000D7540">
        <w:rPr>
          <w:rFonts w:ascii="Cambria" w:hAnsi="Cambria"/>
          <w:sz w:val="20"/>
          <w:szCs w:val="20"/>
          <w:lang w:val="es-PA"/>
        </w:rPr>
        <w:t>grabaciones supuestamente</w:t>
      </w:r>
      <w:r>
        <w:rPr>
          <w:rFonts w:ascii="Cambria" w:hAnsi="Cambria"/>
          <w:sz w:val="20"/>
          <w:szCs w:val="20"/>
          <w:lang w:val="es-PA"/>
        </w:rPr>
        <w:t xml:space="preserve"> provenían de una reunión celebrada en 2001 entre él y un cliente a quien prestó servicios de abogado y habían sido efectuadas por dicho cliente sin su consentimiento. Sin embargo, aduce que la grabación difundida no correspondía realmente a lo tratado en dichas reuniones; que las voces habían sido adulteradas; y que ninguna de ellas era la suya. </w:t>
      </w:r>
    </w:p>
    <w:p w:rsidR="001D4AB9" w:rsidRDefault="001D4AB9" w:rsidP="000673D0">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Señala el peticionario que el proceso en su contra se vio influenciado por los medios de comunicación, que ejercieron una fuerte presión en su contra por ser “la persona pública más cercana” al entonces Presidente de la República Alejandro Toledo. Aduce que los actores jurisdiccionales actuaron con excesiva celeridad en su contra con el fin de satisfacer a la opinión pública y salvaguardar la imagen del entonces presidente Toledo, a quien también se le pretendía responsabilizar por los supuestos actos de corrupción. Denuncia que en el desarrollo del proceso se dieron varias irregularidades, como por ejemplo que la solicitud de medidas limitativas de la libertad en su contra fue tramitada directamente por una juez en lugar de pasar por el sistema aleatorio de distribución como normalmente ocurre. Menciona también que la Fiscalía no realizó una pericia para autenticar la </w:t>
      </w:r>
      <w:r w:rsidR="000D7540">
        <w:rPr>
          <w:rFonts w:ascii="Cambria" w:hAnsi="Cambria"/>
          <w:sz w:val="20"/>
          <w:szCs w:val="20"/>
          <w:lang w:val="es-PA"/>
        </w:rPr>
        <w:t>grabación,</w:t>
      </w:r>
      <w:r>
        <w:rPr>
          <w:rFonts w:ascii="Cambria" w:hAnsi="Cambria"/>
          <w:sz w:val="20"/>
          <w:szCs w:val="20"/>
          <w:lang w:val="es-PA"/>
        </w:rPr>
        <w:t xml:space="preserve"> a pesar de lo cual ésta y su transcripción fueron aceptadas como prueba en su contra y fundamento para disponer su detención provisional; y que no tuvo la oportunidad de controvertir la validez de esta prueba en la fase oral. Alega además que el tribunal sentenció sin haber previamente resuelto una tacha de prueba presentada por su defensa. Los hechos por los que fue acusado habrían concluido el 10 de diciembre de 2001, por lo que la acción penal estaba prescrita; sin embargo, sostiene que el tribunal utilizó una tesis distinta a la de la acusación fiscal para sostener que los hechos se extendieron hasta 20 de diciembre de 2001 y así aparentar que estaba emitiendo su fallo un día antes de la prescripción de la acción. </w:t>
      </w:r>
    </w:p>
    <w:p w:rsidR="001D4AB9" w:rsidRDefault="001D4AB9" w:rsidP="000673D0">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Señala que eventualmente se demostró mediante pericias oficiales y de parte que la grabación había sida alterado; y que la Cuarta Sala Penal Especial de la Corte Superior de Justicia de Lima reconoció que ni tal </w:t>
      </w:r>
      <w:r w:rsidR="000D7540">
        <w:rPr>
          <w:rFonts w:ascii="Cambria" w:hAnsi="Cambria"/>
          <w:sz w:val="20"/>
          <w:szCs w:val="20"/>
          <w:lang w:val="es-PA"/>
        </w:rPr>
        <w:t>grabación ni</w:t>
      </w:r>
      <w:r>
        <w:rPr>
          <w:rFonts w:ascii="Cambria" w:hAnsi="Cambria"/>
          <w:sz w:val="20"/>
          <w:szCs w:val="20"/>
          <w:lang w:val="es-PA"/>
        </w:rPr>
        <w:t xml:space="preserve"> su transcripción podían considerarse prueba válida. A pesar de ello, el 5 de junio de 2007 dicho tribunal expidió, con voto dividido, una sentencia con base en la prueba indiciaria, por la que condenó al peticionario a 4 años de prisión por tráfico de influencias. El peticionario interpuso un recurso de nulidad contra la sentencia de primera instancia; a su vez, la Segunda Sala Penal Transitoria de la Corte </w:t>
      </w:r>
      <w:r w:rsidR="000D7540">
        <w:rPr>
          <w:rFonts w:ascii="Cambria" w:hAnsi="Cambria"/>
          <w:sz w:val="20"/>
          <w:szCs w:val="20"/>
          <w:lang w:val="es-PA"/>
        </w:rPr>
        <w:t>Suprema consideró</w:t>
      </w:r>
      <w:r>
        <w:rPr>
          <w:rFonts w:ascii="Cambria" w:hAnsi="Cambria"/>
          <w:sz w:val="20"/>
          <w:szCs w:val="20"/>
          <w:lang w:val="es-PA"/>
        </w:rPr>
        <w:t xml:space="preserve"> que el audio constituía un importante elemento indiciario y que la falta de resolución expresa de una tacha por parte del tribunal de primera instancia no producía la nulidad de la sentencia. Por estas razones, en la ejecutoria de 19 de diciembre de 2007 la Segunda Sala Penal mantuvo la condena, pero redujo la pena a 30 meses de prisión. Señala que esta ejecutoria fue objeto de un recurso de revisión, resuelto el 31 de enero de 2008.</w:t>
      </w:r>
    </w:p>
    <w:p w:rsidR="001D4AB9" w:rsidRDefault="001D4AB9" w:rsidP="000673D0">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El peticionario denuncia además que durante el proceso penal fue privado de libertad desde el 28 de febrero de 2004 hasta el 5 de diciembre de 2006</w:t>
      </w:r>
      <w:r w:rsidRPr="00705A71">
        <w:rPr>
          <w:rFonts w:ascii="Cambria" w:hAnsi="Cambria"/>
          <w:sz w:val="20"/>
          <w:szCs w:val="20"/>
          <w:lang w:val="es-PA"/>
        </w:rPr>
        <w:t xml:space="preserve"> </w:t>
      </w:r>
      <w:r>
        <w:rPr>
          <w:rFonts w:ascii="Cambria" w:hAnsi="Cambria"/>
          <w:sz w:val="20"/>
          <w:szCs w:val="20"/>
          <w:lang w:val="es-PA"/>
        </w:rPr>
        <w:t xml:space="preserve">bajo el régimen de detención provisional. Resalta que los 33 meses totales de detención provisional excedieron el límite máximo de 18 meses establecido en el Código Procesal Penal, así como la pena de 30 meses de prisión a la que finalmente fue condenado. Presentó una solicitud de libertad por haber transcurrido el plazo legal de detención, que fue denegada con fundamento en que la causa era compleja, por lo que el máximo de detención aplicable era de 36 meses. Contra dicha decisión interpuso un recurso de </w:t>
      </w:r>
      <w:r w:rsidR="000D7540">
        <w:rPr>
          <w:rFonts w:ascii="Cambria" w:hAnsi="Cambria"/>
          <w:sz w:val="20"/>
          <w:szCs w:val="20"/>
          <w:lang w:val="es-PA"/>
        </w:rPr>
        <w:t>nulidad, en</w:t>
      </w:r>
      <w:r>
        <w:rPr>
          <w:rFonts w:ascii="Cambria" w:hAnsi="Cambria"/>
          <w:sz w:val="20"/>
          <w:szCs w:val="20"/>
          <w:lang w:val="es-PA"/>
        </w:rPr>
        <w:t xml:space="preserve"> que la Segunda Sala Penal </w:t>
      </w:r>
      <w:r w:rsidR="000D7540">
        <w:rPr>
          <w:rFonts w:ascii="Cambria" w:hAnsi="Cambria"/>
          <w:sz w:val="20"/>
          <w:szCs w:val="20"/>
          <w:lang w:val="es-PA"/>
        </w:rPr>
        <w:t>Transitoria decidió</w:t>
      </w:r>
      <w:r>
        <w:rPr>
          <w:rFonts w:ascii="Cambria" w:hAnsi="Cambria"/>
          <w:sz w:val="20"/>
          <w:szCs w:val="20"/>
          <w:lang w:val="es-PA"/>
        </w:rPr>
        <w:t xml:space="preserve"> el 14 de noviembre de 2006 ordenar su excarcelación tras considerar que no se cumplían las causales de complejidad para la duplicación del plazo máximo de detención preventiva. La documentación aportada también indica que la pena de 30 meses se dio por cumplida por el tiempo que permaneció en detención preventiva. Alega el peticionario que durante la prisión preventiva su salud se vio seriamente afectada, y que no recibió las debidas garantías para su salud debido a que las autoridades penitenciarias se vieron presionadas por los medios que denunciaban su situación como una “falsa enfermedad”.</w:t>
      </w:r>
    </w:p>
    <w:p w:rsidR="001D4AB9" w:rsidRDefault="001D4AB9" w:rsidP="00BB4CF3">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lastRenderedPageBreak/>
        <w:t xml:space="preserve">Agrega el peticionario que en la grabación que supuestamente le incriminaba se mencionaban los nombres de dos magistradas en cuyas decisiones él habría influido. Señala que a la fecha del proceso en su contra, dichas magistradas conformaban la Primera Sala Penal Especial de la Corte Superior de Justicia de Lima que debía conocer en apelación el mandato de detención dictado en su contra, así como los sucesivos pedidos de variación del mandato de detención planteados por su defensa. Señala que dichas magistradas originalmente se inhibieron de conocer en segunda instancia de estas apelaciones por ser aludidos sus nombres en la transcripción oficial de la grabación. Sin embargo, otra Sala Penal Especial resolvió por mayoría no aceptar la inhibición de las dos magistradas, en decisión que luego fue confirmada en apelación por la Sala Penal de la Corte Suprema. Alega que esta decisión afectó su derecho </w:t>
      </w:r>
      <w:r w:rsidR="000D7540">
        <w:rPr>
          <w:rFonts w:ascii="Cambria" w:hAnsi="Cambria"/>
          <w:sz w:val="20"/>
          <w:szCs w:val="20"/>
          <w:lang w:val="es-PA"/>
        </w:rPr>
        <w:t>a la</w:t>
      </w:r>
      <w:r>
        <w:rPr>
          <w:rFonts w:ascii="Cambria" w:hAnsi="Cambria"/>
          <w:sz w:val="20"/>
          <w:szCs w:val="20"/>
          <w:lang w:val="es-PA"/>
        </w:rPr>
        <w:t xml:space="preserve"> defensa, pues se negó su </w:t>
      </w:r>
      <w:r w:rsidR="000D7540">
        <w:rPr>
          <w:rFonts w:ascii="Cambria" w:hAnsi="Cambria"/>
          <w:sz w:val="20"/>
          <w:szCs w:val="20"/>
          <w:lang w:val="es-PA"/>
        </w:rPr>
        <w:t>solicitud de</w:t>
      </w:r>
      <w:r>
        <w:rPr>
          <w:rFonts w:ascii="Cambria" w:hAnsi="Cambria"/>
          <w:sz w:val="20"/>
          <w:szCs w:val="20"/>
          <w:lang w:val="es-PA"/>
        </w:rPr>
        <w:t xml:space="preserve"> citar a dichas magistradas para que comparecieran como testigos, con fundamento en que ellas le estaban juzgando en segunda instancia. Resalta que la apelación contra el rechazo de dicha solicitud fue resuelta por las propias magistradas, que resolvieron no declarar.</w:t>
      </w:r>
    </w:p>
    <w:p w:rsidR="001D4AB9" w:rsidRDefault="001D4AB9" w:rsidP="000673D0">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Alega que los recursos internos se agotaron al resolverse el recurso de revisión mediante la decisión que le fue notificada el 5 de febrero de 2008. Señala que la petición fue remitida a la Comisión vía facsímil y por mensajería privada el 6 de agosto de 2008; y solicita que la Comisión aplique flexibilidad al interpretar lo relativo a la interposición de peticiones, toda vez que una vez </w:t>
      </w:r>
      <w:r w:rsidR="000D7540">
        <w:rPr>
          <w:rFonts w:ascii="Cambria" w:hAnsi="Cambria"/>
          <w:sz w:val="20"/>
          <w:szCs w:val="20"/>
          <w:lang w:val="es-PA"/>
        </w:rPr>
        <w:t>remitida la</w:t>
      </w:r>
      <w:r>
        <w:rPr>
          <w:rFonts w:ascii="Cambria" w:hAnsi="Cambria"/>
          <w:sz w:val="20"/>
          <w:szCs w:val="20"/>
          <w:lang w:val="es-PA"/>
        </w:rPr>
        <w:t xml:space="preserve"> efectiva entrega depende de aspectos operativos de la empresa.</w:t>
      </w:r>
    </w:p>
    <w:p w:rsidR="001D4AB9" w:rsidRDefault="001D4AB9" w:rsidP="000673D0">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El Estado, por su parte, argumenta que la petición es inadmisible por incumplimiento del requisito de agotamiento de los recursos internos. Señala que el peticionario pudo presentar una demanda de amparo o hábeas corpus contra la ejecutoria de la Segunda Sala Penal Transitoria de 19 de diciembre de 2007 que confirmó su condena, y que estos eran los recursos idóneos y efectivos previstos por el sistema interno para cuestionar resoluciones judiciales con calidad de cosa juzgada dictadas en el marco de procesos penales en que podrían haberse afectado las garantías judiciales. El Estado observa que el peticionario presentó diversas demandas de habeas corpus que obtuvieron pronunciamiento del Tribunal Constitucional, pero que ninguna de ellas tuvo el objeto de cuestionar la sentencia condenatoria. También resalta que el peticionario no ha aportado información que indique que interpuso recursos impugnatorios contra la resolución de la Sala Penal Especial de la Corte Superior de Justicia que no aceptó la inhibición de las dos magistradas mencionadas en la grabación. Indica que esta decisión podía ser cuestionada por mecanismos procesales penales, al igual que por los mecanismos constitucionales de hábeas corpus y amparo. Destaca además que este punto no fue incluido en el recurso de nulidad presentado por el peticionario contra la sentencia condenatoria de primera instancia.  Añade que el peticionario tampoco ha aportado documentación que indique que interpuso recursos contra el auto de apertura de instrucción por supuestamente iniciar el proceso penal contra un delito que había prescrito. De igual manera, alega que el peticionario no acudió a la vía procesal civil, que era un mecanismo judicial y eficaz para exigir indemnización por daños y perjuicios al Poder Judicial. </w:t>
      </w:r>
    </w:p>
    <w:p w:rsidR="001D4AB9" w:rsidRDefault="001D4AB9" w:rsidP="000673D0">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También considera que la petición es extemporánea</w:t>
      </w:r>
      <w:r w:rsidR="000D7540">
        <w:rPr>
          <w:rFonts w:ascii="Cambria" w:hAnsi="Cambria"/>
          <w:sz w:val="20"/>
          <w:szCs w:val="20"/>
          <w:lang w:val="es-PA"/>
        </w:rPr>
        <w:t>,</w:t>
      </w:r>
      <w:r>
        <w:rPr>
          <w:rFonts w:ascii="Cambria" w:hAnsi="Cambria"/>
          <w:sz w:val="20"/>
          <w:szCs w:val="20"/>
          <w:lang w:val="es-PA"/>
        </w:rPr>
        <w:t xml:space="preserve"> pues fue presentada a la Comisión el 11 de agosto de 2008, y la decisión que el peticionario considera como final fue la que se le notificó el 5 de febrero de 2008. Considera que la presentación en una empresa privada de mensajer</w:t>
      </w:r>
      <w:r>
        <w:rPr>
          <w:rFonts w:ascii="Cambria" w:hAnsi="Cambria"/>
          <w:sz w:val="20"/>
          <w:szCs w:val="20"/>
          <w:lang w:val="es-ES"/>
        </w:rPr>
        <w:t xml:space="preserve">ía </w:t>
      </w:r>
      <w:r>
        <w:rPr>
          <w:rFonts w:ascii="Cambria" w:hAnsi="Cambria"/>
          <w:sz w:val="20"/>
          <w:szCs w:val="20"/>
          <w:lang w:val="es-PA"/>
        </w:rPr>
        <w:t xml:space="preserve">el 6 de agosto de 2008 no puede equipararse a la presentación ante la Comisión; y que, en todo caso, si se valorara esta fecha la petición seguiría siendo extemporánea. Sostiene además que no hay circunstancias especiales que permitan aplicar el criterio de flexibilidad al plazo para la presentación de la petición, y destaca que el peticionario es abogado, por lo que debe estar familiarizado con normas básicas del derecho como los plazos. </w:t>
      </w:r>
    </w:p>
    <w:p w:rsidR="001D4AB9" w:rsidRPr="00425310" w:rsidRDefault="001D4AB9" w:rsidP="000673D0">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Agrega que la petición también debe ser inadmitida con fundamento en el artículo 47(b) de la Convención Americana, porque los hechos expuestos no configuran vulneración a los derechos del peticionario. Señala que el peticionario presentó una demanda de habeas corpus con relación a su supuesta detención preventiva en exceso al plazo máximo permitido por la ley, que fue declarada infundada por el Tribunal Constitucional, que consideró que el plazo aplicable era de 36 meses por ser la causa compleja.  Si bien la Sala Penal de la Corte Suprema de Justicia se apartó del criterio del Tribunal Constitucional y dispuso la liberación del peticionario, el Estado considera que ello demuestra que el derecho a la libertad del peticionario fue efectivamente protegido por las autoridades judiciales nacionales. Sostiene que el hecho de que el tiempo de prisión preventiva haya excedido el de la condena, luego de que esta fuera reformada, no implica violación del derecho a la libertad a personal, toda vez que se dispuso la compurgación de la pena. También indica que las </w:t>
      </w:r>
      <w:r>
        <w:rPr>
          <w:rFonts w:ascii="Cambria" w:hAnsi="Cambria"/>
          <w:sz w:val="20"/>
          <w:szCs w:val="20"/>
          <w:lang w:val="es-PA"/>
        </w:rPr>
        <w:lastRenderedPageBreak/>
        <w:t>decisiones adoptadas por las autoridades nacionales estuvieron debidamente motivadas en el derecho procesal aplicable y no afectaron el derecho del peticionario a la defensa, específicamente con respecto a la aducida prescripción del delito; al valor probatorio de la grabación; a la decisión no convocar a las dos magistradas en calidad de testigos; y a la falta de resolución expresa de una tacha de prueba. Añade además que el peticionario no ha aportado prueba para demostrar que sus padecimientos de salud sean consecuencia de actuaciones realizadas mientras se encontraba privado de libertad.</w:t>
      </w:r>
    </w:p>
    <w:p w:rsidR="001D4AB9" w:rsidRPr="000673D0" w:rsidRDefault="001D4AB9" w:rsidP="000D7540">
      <w:pPr>
        <w:pBdr>
          <w:top w:val="none" w:sz="0" w:space="0" w:color="auto"/>
          <w:left w:val="none" w:sz="0" w:space="0" w:color="auto"/>
          <w:bottom w:val="none" w:sz="0" w:space="0" w:color="auto"/>
          <w:right w:val="none" w:sz="0" w:space="0" w:color="auto"/>
          <w:bar w:val="none" w:sz="0" w:color="auto"/>
        </w:pBdr>
        <w:spacing w:before="240" w:after="240"/>
        <w:ind w:left="1170" w:hanging="450"/>
        <w:jc w:val="both"/>
        <w:rPr>
          <w:rFonts w:ascii="Cambria" w:hAnsi="Cambria"/>
          <w:sz w:val="20"/>
          <w:szCs w:val="20"/>
          <w:lang w:val="es-UY"/>
        </w:rPr>
      </w:pPr>
      <w:r w:rsidRPr="000673D0">
        <w:rPr>
          <w:rFonts w:ascii="Cambria" w:hAnsi="Cambria" w:cs="Cambria"/>
          <w:b/>
          <w:bCs/>
          <w:color w:val="000000"/>
          <w:sz w:val="20"/>
          <w:szCs w:val="20"/>
          <w:u w:color="000000"/>
          <w:lang w:val="es-ES" w:eastAsia="es-ES"/>
        </w:rPr>
        <w:t>VI.</w:t>
      </w:r>
      <w:r w:rsidRPr="000673D0">
        <w:rPr>
          <w:rFonts w:ascii="Cambria" w:hAnsi="Cambria" w:cs="Cambria"/>
          <w:b/>
          <w:bCs/>
          <w:color w:val="000000"/>
          <w:sz w:val="20"/>
          <w:szCs w:val="20"/>
          <w:u w:color="000000"/>
          <w:lang w:val="es-ES" w:eastAsia="es-ES"/>
        </w:rPr>
        <w:tab/>
      </w:r>
      <w:r w:rsidRPr="000673D0">
        <w:rPr>
          <w:rFonts w:ascii="Cambria" w:hAnsi="Cambria"/>
          <w:b/>
          <w:bCs/>
          <w:sz w:val="20"/>
          <w:szCs w:val="20"/>
          <w:lang w:val="es-ES_tradnl"/>
        </w:rPr>
        <w:t xml:space="preserve">ANÁLISIS DE </w:t>
      </w:r>
      <w:r w:rsidRPr="000673D0">
        <w:rPr>
          <w:rFonts w:ascii="Cambria" w:hAnsi="Cambria"/>
          <w:b/>
          <w:sz w:val="20"/>
          <w:szCs w:val="20"/>
          <w:lang w:val="es-ES"/>
        </w:rPr>
        <w:t>AGOTAMIENTO DE LOS RECURSOS INTERNOS Y PLAZO DE PRESENTACIÓN</w:t>
      </w:r>
      <w:r w:rsidRPr="000673D0">
        <w:rPr>
          <w:rFonts w:ascii="Cambria" w:hAnsi="Cambria" w:cs="Cambria"/>
          <w:b/>
          <w:bCs/>
          <w:color w:val="000000"/>
          <w:sz w:val="20"/>
          <w:szCs w:val="20"/>
          <w:u w:color="000000"/>
          <w:lang w:val="es-ES" w:eastAsia="es-ES"/>
        </w:rPr>
        <w:t xml:space="preserve"> </w:t>
      </w:r>
    </w:p>
    <w:p w:rsidR="001D4AB9" w:rsidRDefault="001D4AB9" w:rsidP="00810015">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El peticionario sostiene que los recursos internos se agotaron con la decisión del recurso de revisión interpuesto contra la sentencia de la </w:t>
      </w:r>
      <w:r>
        <w:rPr>
          <w:rFonts w:ascii="Cambria" w:hAnsi="Cambria"/>
          <w:sz w:val="20"/>
          <w:szCs w:val="20"/>
          <w:lang w:val="es-PA"/>
        </w:rPr>
        <w:t>Segunda Sala Penal Transitoria</w:t>
      </w:r>
      <w:r>
        <w:rPr>
          <w:rFonts w:ascii="Cambria" w:hAnsi="Cambria"/>
          <w:sz w:val="20"/>
          <w:szCs w:val="20"/>
          <w:lang w:val="es-ES"/>
        </w:rPr>
        <w:t xml:space="preserve"> que confirmó la condena en su contra. Señala que dicha decisión le fue notificada el 5 de febrero de 2008 y que su petición fue enviada oportunamente por mensajería privada el 6 de agosto de 2008; y solicita que se aplique el criterio de flexibilidad al evaluarse el plazo para la presentación de su petición. Por su parte, el Estado considera que los recursos no están agotados porque el peticionario no interpuso acciones de amparo ni de habeas corpus contra la sentencia condenatoria ni contra su confirmación, ni tampoco una demanda de indemnización contra el poder judicial por la vía civil; y agrega que no interpuso recursos contra la denegatoria de la solicitud de inhibición de las dos magistradas cuyos nombres eran mencionados en la grabación  ni  respecto a la supuesta prescripción del delito antes de que se produjera la condena. El Estado también sostiene que la petición es extemporánea incluso si se valorara la fecha de presentación ante la empresa de mensajería, y que no hay bases para aplicar el criterio de </w:t>
      </w:r>
      <w:r w:rsidR="000D7540">
        <w:rPr>
          <w:rFonts w:ascii="Cambria" w:hAnsi="Cambria"/>
          <w:sz w:val="20"/>
          <w:szCs w:val="20"/>
          <w:lang w:val="es-ES"/>
        </w:rPr>
        <w:t>flexibilidad.</w:t>
      </w:r>
    </w:p>
    <w:p w:rsidR="001D4AB9" w:rsidRDefault="001D4AB9" w:rsidP="00810015">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Ante lo planteado por las partes la Comisión considera pertinente recordar el artículo 28 de su Reglamento establece que las peticiones que se le dirigen deben contener la información pertinente a “las gestiones emprendidas para agotar los recursos de la jurisdicción interna o la imposibilidad de hacerlo”.  </w:t>
      </w:r>
    </w:p>
    <w:p w:rsidR="001D4AB9" w:rsidRDefault="001D4AB9" w:rsidP="00810015">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En cuanto a la denegatoria de la solicitud de inhibición de las magistradas cuyos nombres se mencionaban en el proceso penal y el hecho de que hubieran decidido en segunda instancia ciertas controversias procesales, incluyendo el rechazo de su convocatoria como testigos, el peticionario no ha aportado información sobre alguna acción interpuesta para reclamar por las posibles violaciones del derecho a un juez imparcial, ni ha denunciado la falta de recursos efectivos a tal efecto, o que hubiera sido impedido o disuadido de agotarlos. Por dichas razones, la Comisión considera que este aspecto de la petición resulta inadmisible por no cumplir con los requisitos del artículo 46.1(a) de la Convención Americana. </w:t>
      </w:r>
    </w:p>
    <w:p w:rsidR="001D4AB9" w:rsidRPr="0074464F" w:rsidRDefault="001D4AB9" w:rsidP="00810015">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Respecto a la detención preventiva del peticionario en exceso del término máximo permitido por la ley, interna al tiempo de la condena final, y a las afectaciones causadas por esta,  la Comisión recuerda que cuando se alega la prolongación excesiva de la prisión preventiva “</w:t>
      </w:r>
      <w:r w:rsidRPr="00FC2B4A">
        <w:rPr>
          <w:rFonts w:ascii="Cambria" w:hAnsi="Cambria" w:cs="Calibri"/>
          <w:sz w:val="20"/>
          <w:szCs w:val="20"/>
          <w:lang w:val="es-ES_tradnl"/>
        </w:rPr>
        <w:t>para el agotamiento de recursos es suficiente la solicitud de excarcelación y su denegatoria</w:t>
      </w:r>
      <w:r>
        <w:rPr>
          <w:rFonts w:ascii="Cambria" w:hAnsi="Cambria" w:cs="Calibri"/>
          <w:sz w:val="20"/>
          <w:szCs w:val="20"/>
          <w:lang w:val="es-ES_tradnl"/>
        </w:rPr>
        <w:t>”</w:t>
      </w:r>
      <w:r w:rsidRPr="00FC2B4A">
        <w:rPr>
          <w:rStyle w:val="FootnoteReference"/>
          <w:rFonts w:ascii="Cambria" w:hAnsi="Cambria" w:cs="Calibri"/>
          <w:sz w:val="20"/>
          <w:szCs w:val="20"/>
        </w:rPr>
        <w:footnoteReference w:id="7"/>
      </w:r>
      <w:r>
        <w:rPr>
          <w:rFonts w:ascii="Cambria" w:hAnsi="Cambria" w:cs="Calibri"/>
          <w:sz w:val="20"/>
          <w:szCs w:val="20"/>
          <w:lang w:val="es-ES_tradnl"/>
        </w:rPr>
        <w:t>. En el presente caso, la Comisión observa que el peticionario presentó una solicitud de excarcelación que inicialmente fue negada; y que luego presentó un recurso de nulidad que fue decidido a su favor y resultó en su excarcelación. De igual manera, la Comisión toma nota que la condena del peticionario fue finalmente fijada en un término de prisión menor al servido en prisión preventiva y esta se declaró inmediatamente cumplida por razón del tiempo ya cumplido. En estas circunstancias, la Comisión considera necesario analizar si el requisito de agotamiento de los recursos internos se encuentra cumplido con respecto a la falta de reparación por razón del tiempo servido por el peticionario en prisión preventiva ilegal o desproporcionadamente. En este sentido la Comisión valora que el Estado ha indicado que el peticionario tenía acceso a la vía procesal civil para exigir al Poder Judicial una indemnización por daños y perjuicios; y que el peticionario no ha aportado información sobre recursos que hubiera interpuesto para solicitar reparación o demandar responsabilidades por haber sido privado de libertad en exceso del término permitido por la ley o en exceso al tiempo de su condena, ni alegado alguna causal de excepción al agotamiento. Por lo tanto, la Comisión concluye que este aspecto de la petición tampoco cumple con los requisitos del artículo 46.1(a) de la Convención Americana.</w:t>
      </w:r>
    </w:p>
    <w:p w:rsidR="001D4AB9" w:rsidRPr="0074464F" w:rsidRDefault="001D4AB9" w:rsidP="0074464F">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74464F">
        <w:rPr>
          <w:rFonts w:ascii="Cambria" w:hAnsi="Cambria"/>
          <w:sz w:val="20"/>
          <w:szCs w:val="20"/>
          <w:lang w:val="es-ES"/>
        </w:rPr>
        <w:lastRenderedPageBreak/>
        <w:t xml:space="preserve">En cuanto a los demás aspectos de la petición referentes a violaciones al debido proceso o decisiones arbitrarias en el desarrollo del proceso penal contra el peticionario, el Estado ha señalado que el peticionario no agotó las acciones constitucionales a su alcance contra la sentencia final con grado de cosa juzgada. </w:t>
      </w:r>
      <w:r>
        <w:rPr>
          <w:rFonts w:ascii="Cambria" w:hAnsi="Cambria"/>
          <w:sz w:val="20"/>
          <w:szCs w:val="20"/>
          <w:lang w:val="es-ES"/>
        </w:rPr>
        <w:t>La Comisión</w:t>
      </w:r>
      <w:r w:rsidRPr="0074464F">
        <w:rPr>
          <w:rFonts w:ascii="Cambria" w:hAnsi="Cambria"/>
          <w:sz w:val="20"/>
          <w:szCs w:val="20"/>
          <w:lang w:val="es-ES"/>
        </w:rPr>
        <w:t xml:space="preserve"> </w:t>
      </w:r>
      <w:r>
        <w:rPr>
          <w:rFonts w:ascii="Cambria" w:hAnsi="Cambria"/>
          <w:sz w:val="20"/>
          <w:szCs w:val="20"/>
          <w:lang w:val="es-ES"/>
        </w:rPr>
        <w:t xml:space="preserve">ha </w:t>
      </w:r>
      <w:r w:rsidRPr="0074464F">
        <w:rPr>
          <w:rFonts w:ascii="Cambria" w:hAnsi="Cambria"/>
          <w:sz w:val="20"/>
          <w:szCs w:val="20"/>
          <w:lang w:val="es-ES"/>
        </w:rPr>
        <w:t xml:space="preserve">sostenido que </w:t>
      </w:r>
      <w:r w:rsidRPr="0074464F">
        <w:rPr>
          <w:rFonts w:ascii="Cambria" w:hAnsi="Cambria" w:cs="Calibri"/>
          <w:sz w:val="20"/>
          <w:szCs w:val="20"/>
          <w:lang w:val="es-ES_tradnl"/>
        </w:rPr>
        <w:t>el requisito de agotamiento de los recursos internos no significa que las presuntas víctimas tengan necesariamente la obligación de agotar todos los recursos que tengan disponibles</w:t>
      </w:r>
      <w:r>
        <w:rPr>
          <w:rFonts w:ascii="Cambria" w:hAnsi="Cambria" w:cs="Calibri"/>
          <w:sz w:val="20"/>
          <w:szCs w:val="20"/>
          <w:lang w:val="es-ES_tradnl"/>
        </w:rPr>
        <w:t>;</w:t>
      </w:r>
      <w:r w:rsidRPr="0074464F">
        <w:rPr>
          <w:rFonts w:ascii="Cambria" w:hAnsi="Cambria" w:cs="Calibri"/>
          <w:sz w:val="20"/>
          <w:szCs w:val="20"/>
          <w:lang w:val="es-ES_tradnl"/>
        </w:rPr>
        <w:t xml:space="preserve"> </w:t>
      </w:r>
      <w:r>
        <w:rPr>
          <w:rFonts w:ascii="Cambria" w:hAnsi="Cambria" w:cs="Calibri"/>
          <w:sz w:val="20"/>
          <w:szCs w:val="20"/>
          <w:lang w:val="es-ES_tradnl"/>
        </w:rPr>
        <w:t>e</w:t>
      </w:r>
      <w:r w:rsidRPr="0074464F">
        <w:rPr>
          <w:rFonts w:ascii="Cambria" w:hAnsi="Cambria" w:cs="Calibri"/>
          <w:sz w:val="20"/>
          <w:szCs w:val="20"/>
          <w:lang w:val="es-ES_tradnl"/>
        </w:rPr>
        <w:t>n consecuencia, si planteó la cuestión por alguna de las alternativas válidas y adecuadas según el ordenamiento jurídico interno y el Estado tuvo la oportunidad de remediar la cuestión en su jurisdicción, la finalidad de la norma internacional está cumplida</w:t>
      </w:r>
      <w:r w:rsidRPr="00FC2B4A">
        <w:rPr>
          <w:rStyle w:val="FootnoteReference"/>
          <w:rFonts w:ascii="Cambria" w:hAnsi="Cambria" w:cs="Calibri"/>
          <w:sz w:val="20"/>
          <w:szCs w:val="20"/>
        </w:rPr>
        <w:footnoteReference w:id="8"/>
      </w:r>
      <w:r w:rsidRPr="0074464F">
        <w:rPr>
          <w:rFonts w:ascii="Cambria" w:hAnsi="Cambria" w:cs="Calibri"/>
          <w:sz w:val="20"/>
          <w:szCs w:val="20"/>
          <w:lang w:val="es-ES_tradnl"/>
        </w:rPr>
        <w:t>.</w:t>
      </w:r>
      <w:r w:rsidR="00AB41AC">
        <w:rPr>
          <w:rFonts w:ascii="Cambria" w:hAnsi="Cambria" w:cs="Calibri"/>
          <w:sz w:val="20"/>
          <w:szCs w:val="20"/>
          <w:lang w:val="es-ES_tradnl"/>
        </w:rPr>
        <w:t xml:space="preserve"> </w:t>
      </w:r>
      <w:r>
        <w:rPr>
          <w:rFonts w:ascii="Cambria" w:hAnsi="Cambria" w:cs="Calibri"/>
          <w:sz w:val="20"/>
          <w:szCs w:val="20"/>
          <w:lang w:val="es-ES_tradnl"/>
        </w:rPr>
        <w:t>Por esta razón, considera que los recursos internos con respecto al proceso penal y la sentencia condenatoria se agotaron con la decisión del recurso de revisión  del 31 de enero de 2008, notificada el 5 de febrero de 2008; la petición fue recibida por la Comisión el 11 de agosto de 2008 cuando se hallaba vencido el plazo de 6 meses previsto en el artículo 46.1(b) de la Convención Americana. El peticionario señala que envió la petición por mensajería privada y vía facsímil el 6 de agosto de 2008. Si bien la Comisión ha aplicado cierta flexibilidad para la valoración del plazo en caso de envío por correo postal</w:t>
      </w:r>
      <w:r>
        <w:rPr>
          <w:rStyle w:val="FootnoteReference"/>
          <w:rFonts w:ascii="Cambria" w:hAnsi="Cambria" w:cs="Calibri"/>
          <w:sz w:val="20"/>
          <w:szCs w:val="20"/>
          <w:lang w:val="es-ES_tradnl"/>
        </w:rPr>
        <w:footnoteReference w:id="9"/>
      </w:r>
      <w:r>
        <w:rPr>
          <w:rFonts w:ascii="Cambria" w:hAnsi="Cambria" w:cs="Calibri"/>
          <w:sz w:val="20"/>
          <w:szCs w:val="20"/>
          <w:lang w:val="es-ES_tradnl"/>
        </w:rPr>
        <w:t xml:space="preserve">, incluso si se tomara en cuenta el 6 de agosto de 2008, la presente petición resultaría extemporánea por un día. La Comisión tampoco encuentra en el expediente circunstancias especiales que ameriten que se conceda una flexibilidad aún mayor al peticionario.  Por dichas razones, este aspecto de la petición resulta inadmisible por incumplimiento de los requisitos del artículo 46.1(b) de la Convención Americana. </w:t>
      </w:r>
    </w:p>
    <w:p w:rsidR="001D4AB9" w:rsidRPr="000673D0" w:rsidRDefault="001D4AB9" w:rsidP="003239B8">
      <w:pPr>
        <w:pStyle w:val="ListParagraph"/>
        <w:pBdr>
          <w:top w:val="none" w:sz="0" w:space="0" w:color="auto"/>
          <w:left w:val="none" w:sz="0" w:space="0" w:color="auto"/>
          <w:bottom w:val="none" w:sz="0" w:space="0" w:color="auto"/>
          <w:right w:val="none" w:sz="0" w:space="0" w:color="auto"/>
          <w:bar w:val="none" w:sz="0" w:color="auto"/>
        </w:pBdr>
        <w:spacing w:before="240" w:after="240"/>
        <w:jc w:val="both"/>
        <w:rPr>
          <w:b/>
          <w:sz w:val="20"/>
          <w:szCs w:val="20"/>
          <w:lang w:val="es-ES"/>
        </w:rPr>
      </w:pPr>
      <w:r w:rsidRPr="000673D0">
        <w:rPr>
          <w:b/>
          <w:bCs/>
          <w:sz w:val="20"/>
          <w:szCs w:val="20"/>
          <w:lang w:val="es-ES"/>
        </w:rPr>
        <w:t>VII.</w:t>
      </w:r>
      <w:r w:rsidRPr="000673D0">
        <w:rPr>
          <w:b/>
          <w:bCs/>
          <w:sz w:val="20"/>
          <w:szCs w:val="20"/>
          <w:lang w:val="es-ES"/>
        </w:rPr>
        <w:tab/>
      </w:r>
      <w:r w:rsidRPr="000673D0">
        <w:rPr>
          <w:b/>
          <w:bCs/>
          <w:sz w:val="20"/>
          <w:szCs w:val="20"/>
          <w:lang w:val="es-ES_tradnl"/>
        </w:rPr>
        <w:t xml:space="preserve">ANÁLISIS DE </w:t>
      </w:r>
      <w:r w:rsidRPr="000673D0">
        <w:rPr>
          <w:b/>
          <w:bCs/>
          <w:sz w:val="20"/>
          <w:szCs w:val="20"/>
          <w:lang w:val="es-ES"/>
        </w:rPr>
        <w:t xml:space="preserve">CARACTERIZACIÓN </w:t>
      </w:r>
      <w:r w:rsidRPr="000673D0">
        <w:rPr>
          <w:b/>
          <w:bCs/>
          <w:sz w:val="20"/>
          <w:szCs w:val="20"/>
          <w:lang w:val="es-UY"/>
        </w:rPr>
        <w:t>DE LOS HECHOS ALEGADOS</w:t>
      </w:r>
    </w:p>
    <w:p w:rsidR="001D4AB9" w:rsidRPr="000673D0" w:rsidRDefault="001D4AB9" w:rsidP="00E573E4">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color w:val="FF0000"/>
          <w:sz w:val="20"/>
          <w:szCs w:val="20"/>
          <w:lang w:val="es-ES"/>
        </w:rPr>
      </w:pPr>
      <w:r>
        <w:rPr>
          <w:rFonts w:ascii="Cambria" w:hAnsi="Cambria"/>
          <w:sz w:val="20"/>
          <w:szCs w:val="20"/>
          <w:lang w:val="es-ES"/>
        </w:rPr>
        <w:t>Dadas sus conclusiones expuestas en la sección VI de este informe la Comisión no realizará un análisis con respecto a si los hechos planteados por el peticionario pudieran caracterizar violaciones a la Convención Americana u otros tratados de su competencia.</w:t>
      </w:r>
    </w:p>
    <w:p w:rsidR="001D4AB9" w:rsidRPr="000673D0" w:rsidRDefault="001D4AB9" w:rsidP="003239B8">
      <w:pPr>
        <w:pStyle w:val="ListParagraph"/>
        <w:pBdr>
          <w:top w:val="none" w:sz="0" w:space="0" w:color="auto"/>
          <w:left w:val="none" w:sz="0" w:space="0" w:color="auto"/>
          <w:bottom w:val="none" w:sz="0" w:space="0" w:color="auto"/>
          <w:right w:val="none" w:sz="0" w:space="0" w:color="auto"/>
          <w:bar w:val="none" w:sz="0" w:color="auto"/>
        </w:pBdr>
        <w:spacing w:before="240" w:after="240"/>
        <w:jc w:val="both"/>
        <w:rPr>
          <w:b/>
          <w:bCs/>
          <w:sz w:val="20"/>
          <w:szCs w:val="20"/>
          <w:lang w:val="es-ES"/>
        </w:rPr>
      </w:pPr>
      <w:r w:rsidRPr="000673D0">
        <w:rPr>
          <w:b/>
          <w:bCs/>
          <w:sz w:val="20"/>
          <w:szCs w:val="20"/>
          <w:lang w:val="es-ES"/>
        </w:rPr>
        <w:t xml:space="preserve">VIII. </w:t>
      </w:r>
      <w:r w:rsidRPr="000673D0">
        <w:rPr>
          <w:b/>
          <w:bCs/>
          <w:sz w:val="20"/>
          <w:szCs w:val="20"/>
          <w:lang w:val="es-ES"/>
        </w:rPr>
        <w:tab/>
        <w:t>DECISIÓN</w:t>
      </w:r>
    </w:p>
    <w:p w:rsidR="001D4AB9" w:rsidRDefault="001D4AB9" w:rsidP="000419AD">
      <w:pPr>
        <w:pStyle w:val="ListParagraph"/>
        <w:numPr>
          <w:ilvl w:val="0"/>
          <w:numId w:val="109"/>
        </w:numPr>
        <w:pBdr>
          <w:top w:val="none" w:sz="0" w:space="0" w:color="auto"/>
          <w:left w:val="none" w:sz="0" w:space="0" w:color="auto"/>
          <w:bottom w:val="none" w:sz="0" w:space="0" w:color="auto"/>
          <w:right w:val="none" w:sz="0" w:space="0" w:color="auto"/>
          <w:bar w:val="none" w:sz="0" w:color="auto"/>
        </w:pBdr>
        <w:ind w:left="0"/>
        <w:rPr>
          <w:rFonts w:cs="Times New Roman"/>
          <w:color w:val="auto"/>
          <w:sz w:val="20"/>
          <w:szCs w:val="20"/>
          <w:lang w:val="es-ES" w:eastAsia="en-US"/>
        </w:rPr>
      </w:pPr>
      <w:r w:rsidRPr="000673D0">
        <w:rPr>
          <w:rFonts w:cs="Times New Roman"/>
          <w:color w:val="auto"/>
          <w:sz w:val="20"/>
          <w:szCs w:val="20"/>
          <w:lang w:val="es-ES" w:eastAsia="en-US"/>
        </w:rPr>
        <w:t xml:space="preserve">Declarar </w:t>
      </w:r>
      <w:r w:rsidRPr="001401BA">
        <w:rPr>
          <w:rFonts w:cs="Times New Roman"/>
          <w:sz w:val="20"/>
          <w:szCs w:val="20"/>
          <w:lang w:val="es-ES" w:eastAsia="en-US"/>
        </w:rPr>
        <w:t>inadmisible</w:t>
      </w:r>
      <w:r w:rsidRPr="000673D0">
        <w:rPr>
          <w:rFonts w:cs="Times New Roman"/>
          <w:color w:val="FF0000"/>
          <w:sz w:val="20"/>
          <w:szCs w:val="20"/>
          <w:lang w:val="es-ES" w:eastAsia="en-US"/>
        </w:rPr>
        <w:t xml:space="preserve"> </w:t>
      </w:r>
      <w:r w:rsidRPr="000673D0">
        <w:rPr>
          <w:rFonts w:cs="Times New Roman"/>
          <w:color w:val="auto"/>
          <w:sz w:val="20"/>
          <w:szCs w:val="20"/>
          <w:lang w:val="es-ES" w:eastAsia="en-US"/>
        </w:rPr>
        <w:t xml:space="preserve">la presente petición </w:t>
      </w:r>
      <w:r>
        <w:rPr>
          <w:rFonts w:cs="Times New Roman"/>
          <w:color w:val="auto"/>
          <w:sz w:val="20"/>
          <w:szCs w:val="20"/>
          <w:lang w:val="es-ES" w:eastAsia="en-US"/>
        </w:rPr>
        <w:t>con fundamento en los artículos 46.1(a) y (b) y 47(a) de la Convención Americana.</w:t>
      </w:r>
    </w:p>
    <w:p w:rsidR="001D4AB9" w:rsidRDefault="001D4AB9" w:rsidP="006246B6">
      <w:pPr>
        <w:pStyle w:val="ListParagraph"/>
        <w:pBdr>
          <w:top w:val="none" w:sz="0" w:space="0" w:color="auto"/>
          <w:left w:val="none" w:sz="0" w:space="0" w:color="auto"/>
          <w:bottom w:val="none" w:sz="0" w:space="0" w:color="auto"/>
          <w:right w:val="none" w:sz="0" w:space="0" w:color="auto"/>
          <w:bar w:val="none" w:sz="0" w:color="auto"/>
        </w:pBdr>
        <w:ind w:left="0"/>
        <w:rPr>
          <w:rFonts w:cs="Times New Roman"/>
          <w:color w:val="auto"/>
          <w:sz w:val="20"/>
          <w:szCs w:val="20"/>
          <w:lang w:val="es-ES" w:eastAsia="en-US"/>
        </w:rPr>
      </w:pPr>
    </w:p>
    <w:p w:rsidR="008D0AF6" w:rsidRPr="008D0AF6" w:rsidRDefault="001D4AB9" w:rsidP="008D0AF6">
      <w:pPr>
        <w:pStyle w:val="ListParagraph"/>
        <w:numPr>
          <w:ilvl w:val="0"/>
          <w:numId w:val="109"/>
        </w:numPr>
        <w:pBdr>
          <w:top w:val="none" w:sz="0" w:space="0" w:color="auto"/>
          <w:left w:val="none" w:sz="0" w:space="0" w:color="auto"/>
          <w:bottom w:val="none" w:sz="0" w:space="0" w:color="auto"/>
          <w:right w:val="none" w:sz="0" w:space="0" w:color="auto"/>
          <w:bar w:val="none" w:sz="0" w:color="auto"/>
        </w:pBdr>
        <w:ind w:left="0"/>
        <w:jc w:val="both"/>
        <w:rPr>
          <w:rFonts w:asciiTheme="majorHAnsi" w:hAnsiTheme="majorHAnsi" w:cs="Arial"/>
          <w:noProof/>
          <w:spacing w:val="-2"/>
          <w:sz w:val="20"/>
          <w:szCs w:val="20"/>
          <w:lang w:val="es-CL"/>
        </w:rPr>
      </w:pPr>
      <w:r w:rsidRPr="008D0AF6">
        <w:rPr>
          <w:sz w:val="20"/>
          <w:szCs w:val="20"/>
          <w:lang w:val="es-ES"/>
        </w:rPr>
        <w:t>Notificar a las partes la presente decisión; y publicar esta decisión e incluirla en su Informe Anual a la Asamblea General de la Organización de los Estados Americanos.</w:t>
      </w:r>
    </w:p>
    <w:p w:rsidR="008D0AF6" w:rsidRDefault="008D0AF6" w:rsidP="008D0AF6">
      <w:pPr>
        <w:pBdr>
          <w:top w:val="none" w:sz="0" w:space="0" w:color="auto"/>
          <w:left w:val="none" w:sz="0" w:space="0" w:color="auto"/>
          <w:bottom w:val="none" w:sz="0" w:space="0" w:color="auto"/>
          <w:right w:val="none" w:sz="0" w:space="0" w:color="auto"/>
          <w:bar w:val="none" w:sz="0" w:color="auto"/>
        </w:pBdr>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b/>
      </w:r>
    </w:p>
    <w:p w:rsidR="008D0AF6" w:rsidRDefault="008D0AF6" w:rsidP="008D0AF6">
      <w:pPr>
        <w:pBdr>
          <w:top w:val="none" w:sz="0" w:space="0" w:color="auto"/>
          <w:left w:val="none" w:sz="0" w:space="0" w:color="auto"/>
          <w:bottom w:val="none" w:sz="0" w:space="0" w:color="auto"/>
          <w:right w:val="none" w:sz="0" w:space="0" w:color="auto"/>
          <w:bar w:val="none" w:sz="0" w:color="auto"/>
        </w:pBdr>
        <w:jc w:val="both"/>
        <w:rPr>
          <w:rFonts w:asciiTheme="majorHAnsi" w:hAnsiTheme="majorHAnsi" w:cs="Arial"/>
          <w:noProof/>
          <w:sz w:val="20"/>
          <w:szCs w:val="20"/>
          <w:lang w:val="es-CL"/>
        </w:rPr>
      </w:pPr>
      <w:r>
        <w:rPr>
          <w:rFonts w:asciiTheme="majorHAnsi" w:hAnsiTheme="majorHAnsi" w:cs="Arial"/>
          <w:noProof/>
          <w:spacing w:val="-2"/>
          <w:sz w:val="20"/>
          <w:szCs w:val="20"/>
          <w:lang w:val="es-CL"/>
        </w:rPr>
        <w:tab/>
      </w:r>
      <w:r w:rsidRPr="008D0AF6">
        <w:rPr>
          <w:rFonts w:asciiTheme="majorHAnsi" w:hAnsiTheme="majorHAnsi" w:cs="Arial"/>
          <w:noProof/>
          <w:spacing w:val="-2"/>
          <w:sz w:val="20"/>
          <w:szCs w:val="20"/>
          <w:lang w:val="es-CL"/>
        </w:rPr>
        <w:t xml:space="preserve">Aprobado por la Comisión Interamericana de Derechos Humanos </w:t>
      </w:r>
      <w:r>
        <w:rPr>
          <w:rFonts w:asciiTheme="majorHAnsi" w:hAnsiTheme="majorHAnsi" w:cs="Arial"/>
          <w:noProof/>
          <w:spacing w:val="-2"/>
          <w:sz w:val="20"/>
          <w:szCs w:val="20"/>
          <w:lang w:val="es-CL"/>
        </w:rPr>
        <w:t xml:space="preserve"> al primer </w:t>
      </w:r>
      <w:r w:rsidRPr="008D0AF6">
        <w:rPr>
          <w:rFonts w:asciiTheme="majorHAnsi" w:hAnsiTheme="majorHAnsi" w:cs="Arial"/>
          <w:noProof/>
          <w:spacing w:val="-2"/>
          <w:sz w:val="20"/>
          <w:szCs w:val="20"/>
          <w:lang w:val="es-CL"/>
        </w:rPr>
        <w:t xml:space="preserve">día del mes de </w:t>
      </w:r>
      <w:r>
        <w:rPr>
          <w:rFonts w:asciiTheme="majorHAnsi" w:hAnsiTheme="majorHAnsi" w:cs="Arial"/>
          <w:noProof/>
          <w:spacing w:val="-2"/>
          <w:sz w:val="20"/>
          <w:szCs w:val="20"/>
          <w:lang w:val="es-CL"/>
        </w:rPr>
        <w:t>junio</w:t>
      </w:r>
      <w:r w:rsidRPr="008D0AF6">
        <w:rPr>
          <w:rFonts w:asciiTheme="majorHAnsi" w:hAnsiTheme="majorHAnsi" w:cs="Arial"/>
          <w:noProof/>
          <w:spacing w:val="-2"/>
          <w:sz w:val="20"/>
          <w:szCs w:val="20"/>
          <w:lang w:val="es-CL"/>
        </w:rPr>
        <w:t xml:space="preserve"> de 2020.  (Firmado): Joel Hernández, Presidente; Antonia Urrejola, Primera Vicepresidenta; Flávia Piovesan, Segunda Vicepresidenta; </w:t>
      </w:r>
      <w:r>
        <w:rPr>
          <w:rFonts w:asciiTheme="majorHAnsi" w:hAnsiTheme="majorHAnsi" w:cs="Arial"/>
          <w:noProof/>
          <w:spacing w:val="-2"/>
          <w:sz w:val="20"/>
          <w:szCs w:val="20"/>
          <w:lang w:val="es-CL"/>
        </w:rPr>
        <w:t>Margarette May Macaulay y</w:t>
      </w:r>
      <w:r w:rsidRPr="008D0AF6">
        <w:rPr>
          <w:rFonts w:asciiTheme="majorHAnsi" w:hAnsiTheme="majorHAnsi" w:cs="Arial"/>
          <w:noProof/>
          <w:spacing w:val="-2"/>
          <w:sz w:val="20"/>
          <w:szCs w:val="20"/>
          <w:lang w:val="es-CL"/>
        </w:rPr>
        <w:t xml:space="preserve"> Esmeralda E. Arosemena Bernal de Troitiño, Miembros de la Comisión.</w:t>
      </w:r>
      <w:r w:rsidRPr="008D0AF6">
        <w:rPr>
          <w:rFonts w:asciiTheme="majorHAnsi" w:hAnsiTheme="majorHAnsi" w:cs="Arial"/>
          <w:noProof/>
          <w:sz w:val="20"/>
          <w:szCs w:val="20"/>
          <w:lang w:val="es-CL"/>
        </w:rPr>
        <w:t xml:space="preserve"> </w:t>
      </w:r>
    </w:p>
    <w:sectPr w:rsidR="008D0AF6" w:rsidSect="00934A2C">
      <w:headerReference w:type="even" r:id="rId17"/>
      <w:headerReference w:type="default" r:id="rId18"/>
      <w:footerReference w:type="default" r:id="rId19"/>
      <w:footerReference w:type="first" r:id="rId20"/>
      <w:type w:val="oddPag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60F" w:rsidRDefault="0051560F">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51560F" w:rsidRDefault="0051560F">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025" w:rsidRDefault="000D20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AB9" w:rsidRPr="00934A2C" w:rsidRDefault="001D4AB9">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sz w:val="16"/>
        <w:szCs w:val="22"/>
      </w:rPr>
      <w:fldChar w:fldCharType="end"/>
    </w:r>
  </w:p>
  <w:p w:rsidR="001D4AB9" w:rsidRDefault="001D4AB9">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AB9" w:rsidRPr="00934A2C" w:rsidRDefault="001D4AB9">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p>
  <w:p w:rsidR="001D4AB9" w:rsidRDefault="001D4AB9">
    <w:pPr>
      <w:pStyle w:val="Footer"/>
      <w:pBdr>
        <w:top w:val="none" w:sz="0" w:space="0" w:color="auto"/>
        <w:left w:val="none" w:sz="0" w:space="0" w:color="auto"/>
        <w:bottom w:val="none" w:sz="0" w:space="0" w:color="auto"/>
        <w:right w:val="none" w:sz="0" w:space="0" w:color="auto"/>
        <w:bar w:val="none" w:sz="0"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AB9" w:rsidRPr="00934A2C" w:rsidRDefault="001D4AB9">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14A3C">
      <w:rPr>
        <w:noProof/>
        <w:sz w:val="16"/>
        <w:szCs w:val="22"/>
      </w:rPr>
      <w:t>5</w:t>
    </w:r>
    <w:r w:rsidRPr="00934A2C">
      <w:rPr>
        <w:sz w:val="16"/>
        <w:szCs w:val="22"/>
      </w:rPr>
      <w:fldChar w:fldCharType="end"/>
    </w:r>
  </w:p>
  <w:p w:rsidR="001D4AB9" w:rsidRDefault="001D4AB9">
    <w:pPr>
      <w:pStyle w:val="Footer"/>
      <w:pBdr>
        <w:top w:val="none" w:sz="0" w:space="0" w:color="auto"/>
        <w:left w:val="none" w:sz="0" w:space="0" w:color="auto"/>
        <w:bottom w:val="none" w:sz="0" w:space="0" w:color="auto"/>
        <w:right w:val="none" w:sz="0" w:space="0" w:color="auto"/>
        <w:bar w:val="none" w:sz="0" w:color="auto"/>
      </w:pBd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AB9" w:rsidRPr="00934A2C" w:rsidRDefault="001D4AB9">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p>
  <w:p w:rsidR="001D4AB9" w:rsidRDefault="001D4AB9">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60F" w:rsidRPr="000F35ED" w:rsidRDefault="0051560F">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footnote>
  <w:footnote w:type="continuationSeparator" w:id="0">
    <w:p w:rsidR="0051560F" w:rsidRPr="000F35ED" w:rsidRDefault="0051560F" w:rsidP="000F35ED">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p w:rsidR="0051560F" w:rsidRPr="000F35ED" w:rsidRDefault="0051560F" w:rsidP="000F35ED">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 xml:space="preserve">[… </w:t>
      </w:r>
      <w:proofErr w:type="spellStart"/>
      <w:proofErr w:type="gramStart"/>
      <w:r>
        <w:rPr>
          <w:sz w:val="16"/>
          <w:szCs w:val="16"/>
        </w:rPr>
        <w:t>c</w:t>
      </w:r>
      <w:r w:rsidRPr="000F35ED">
        <w:rPr>
          <w:sz w:val="16"/>
          <w:szCs w:val="16"/>
        </w:rPr>
        <w:t>ontinuación</w:t>
      </w:r>
      <w:proofErr w:type="spellEnd"/>
      <w:proofErr w:type="gramEnd"/>
      <w:r>
        <w:rPr>
          <w:sz w:val="16"/>
          <w:szCs w:val="16"/>
        </w:rPr>
        <w:t>]</w:t>
      </w:r>
    </w:p>
  </w:footnote>
  <w:footnote w:type="continuationNotice" w:id="1">
    <w:p w:rsidR="0051560F" w:rsidRPr="000F35ED" w:rsidRDefault="0051560F" w:rsidP="000F35E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
        </w:rPr>
      </w:pPr>
      <w:r>
        <w:rPr>
          <w:rFonts w:ascii="Cambria" w:hAnsi="Cambria"/>
          <w:sz w:val="16"/>
          <w:szCs w:val="16"/>
          <w:lang w:val="es-ES"/>
        </w:rPr>
        <w:t>[</w:t>
      </w:r>
      <w:proofErr w:type="gramStart"/>
      <w:r>
        <w:rPr>
          <w:rFonts w:ascii="Cambria" w:hAnsi="Cambria"/>
          <w:sz w:val="16"/>
          <w:szCs w:val="16"/>
          <w:lang w:val="es-ES"/>
        </w:rPr>
        <w:t>c</w:t>
      </w:r>
      <w:r w:rsidRPr="000F35ED">
        <w:rPr>
          <w:rFonts w:ascii="Cambria" w:hAnsi="Cambria"/>
          <w:sz w:val="16"/>
          <w:szCs w:val="16"/>
          <w:lang w:val="es-ES"/>
        </w:rPr>
        <w:t>ontinúa</w:t>
      </w:r>
      <w:proofErr w:type="gramEnd"/>
      <w:r w:rsidRPr="000F35ED">
        <w:rPr>
          <w:rFonts w:ascii="Cambria" w:hAnsi="Cambria"/>
          <w:sz w:val="16"/>
          <w:szCs w:val="16"/>
          <w:lang w:val="es-ES"/>
        </w:rPr>
        <w:t>…</w:t>
      </w:r>
      <w:r>
        <w:rPr>
          <w:rFonts w:ascii="Cambria" w:hAnsi="Cambria"/>
          <w:sz w:val="16"/>
          <w:szCs w:val="16"/>
          <w:lang w:val="es-ES"/>
        </w:rPr>
        <w:t>]</w:t>
      </w:r>
    </w:p>
  </w:footnote>
  <w:footnote w:id="2">
    <w:p w:rsidR="001D4AB9" w:rsidRPr="000D7540" w:rsidRDefault="001D4AB9" w:rsidP="00C1285C">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ES"/>
        </w:rPr>
      </w:pPr>
      <w:r w:rsidRPr="006E0D53">
        <w:rPr>
          <w:rStyle w:val="FootnoteReference"/>
          <w:rFonts w:ascii="Cambria" w:hAnsi="Cambria"/>
          <w:sz w:val="16"/>
          <w:szCs w:val="16"/>
        </w:rPr>
        <w:footnoteRef/>
      </w:r>
      <w:r w:rsidRPr="006E0D53">
        <w:rPr>
          <w:rFonts w:ascii="Cambria" w:hAnsi="Cambria"/>
          <w:sz w:val="16"/>
          <w:szCs w:val="16"/>
          <w:lang w:val="es-PA"/>
        </w:rPr>
        <w:t xml:space="preserve"> </w:t>
      </w:r>
      <w:r w:rsidRPr="006E0D53">
        <w:rPr>
          <w:rFonts w:ascii="Cambria" w:hAnsi="Cambria"/>
          <w:sz w:val="16"/>
          <w:szCs w:val="16"/>
          <w:lang w:val="es-ES"/>
        </w:rPr>
        <w:t xml:space="preserve">Conforme a lo dispuesto en el artículo 17.2.a del Reglamento de la Comisión, </w:t>
      </w:r>
      <w:r w:rsidRPr="006E0D53">
        <w:rPr>
          <w:rFonts w:ascii="Cambria" w:hAnsi="Cambria"/>
          <w:color w:val="auto"/>
          <w:sz w:val="16"/>
          <w:szCs w:val="16"/>
          <w:lang w:val="es-ES"/>
        </w:rPr>
        <w:t xml:space="preserve">la Comisionada </w:t>
      </w:r>
      <w:r w:rsidRPr="006E0D53">
        <w:rPr>
          <w:rFonts w:ascii="Cambria" w:hAnsi="Cambria"/>
          <w:sz w:val="16"/>
          <w:szCs w:val="16"/>
          <w:lang w:val="es-ES"/>
        </w:rPr>
        <w:t xml:space="preserve">Julissa Mantilla Falcón, de </w:t>
      </w:r>
      <w:r w:rsidRPr="006E0D53">
        <w:rPr>
          <w:rFonts w:ascii="Cambria" w:hAnsi="Cambria"/>
          <w:color w:val="auto"/>
          <w:sz w:val="16"/>
          <w:szCs w:val="16"/>
          <w:lang w:val="es-ES"/>
        </w:rPr>
        <w:t>nacionalidad peruana, no participó en el debate ni en la decisión del presente asunto.</w:t>
      </w:r>
    </w:p>
  </w:footnote>
  <w:footnote w:id="3">
    <w:p w:rsidR="001D4AB9" w:rsidRPr="000D7540" w:rsidRDefault="001D4AB9" w:rsidP="00BF7851">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ES"/>
        </w:rPr>
      </w:pPr>
      <w:r w:rsidRPr="00BF7851">
        <w:rPr>
          <w:rStyle w:val="FootnoteReference"/>
          <w:rFonts w:ascii="Cambria" w:hAnsi="Cambria"/>
          <w:sz w:val="16"/>
          <w:szCs w:val="16"/>
        </w:rPr>
        <w:footnoteRef/>
      </w:r>
      <w:r w:rsidRPr="00BF7851">
        <w:rPr>
          <w:rFonts w:ascii="Cambria" w:hAnsi="Cambria"/>
          <w:sz w:val="16"/>
          <w:szCs w:val="16"/>
          <w:lang w:val="es-PA"/>
        </w:rPr>
        <w:t xml:space="preserve"> En adelante “la Convención Americana”.</w:t>
      </w:r>
    </w:p>
  </w:footnote>
  <w:footnote w:id="4">
    <w:p w:rsidR="001D4AB9" w:rsidRPr="000D7540" w:rsidRDefault="001D4AB9" w:rsidP="000673D0">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ES"/>
        </w:rPr>
      </w:pPr>
      <w:r w:rsidRPr="006E0D53">
        <w:rPr>
          <w:rStyle w:val="FootnoteReference"/>
          <w:rFonts w:ascii="Cambria" w:hAnsi="Cambria"/>
          <w:sz w:val="16"/>
          <w:szCs w:val="16"/>
        </w:rPr>
        <w:footnoteRef/>
      </w:r>
      <w:r w:rsidRPr="006E0D53">
        <w:rPr>
          <w:rFonts w:ascii="Cambria" w:hAnsi="Cambria"/>
          <w:sz w:val="16"/>
          <w:szCs w:val="16"/>
          <w:lang w:val="es-ES"/>
        </w:rPr>
        <w:t xml:space="preserve"> Las observaciones de cada parte fueron debidamente trasladadas a la parte contraria.</w:t>
      </w:r>
    </w:p>
  </w:footnote>
  <w:footnote w:id="5">
    <w:p w:rsidR="001D4AB9" w:rsidRPr="000D7540" w:rsidRDefault="001D4AB9" w:rsidP="00EB72BC">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ES"/>
        </w:rPr>
      </w:pPr>
      <w:r w:rsidRPr="006E0D53">
        <w:rPr>
          <w:rStyle w:val="FootnoteReference"/>
          <w:rFonts w:ascii="Cambria" w:hAnsi="Cambria"/>
          <w:sz w:val="16"/>
          <w:szCs w:val="16"/>
        </w:rPr>
        <w:footnoteRef/>
      </w:r>
      <w:r w:rsidRPr="006E0D53">
        <w:rPr>
          <w:rFonts w:ascii="Cambria" w:hAnsi="Cambria"/>
          <w:sz w:val="16"/>
          <w:szCs w:val="16"/>
          <w:lang w:val="es-PA"/>
        </w:rPr>
        <w:t xml:space="preserve"> El peticionario no ha aportado con posterioridad a su escrito inicial información adicional de naturaleza sustantiva, pero ha presentado varias solicitudes de información con respecto al estado de su caso, la última de las cuales fue presentada el 4 de enero de 2019. </w:t>
      </w:r>
    </w:p>
  </w:footnote>
  <w:footnote w:id="6">
    <w:p w:rsidR="001D4AB9" w:rsidRPr="000D7540" w:rsidRDefault="001D4AB9" w:rsidP="00BD57F2">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ES"/>
        </w:rPr>
      </w:pPr>
      <w:r>
        <w:rPr>
          <w:rStyle w:val="FootnoteReference"/>
        </w:rPr>
        <w:footnoteRef/>
      </w:r>
      <w:r w:rsidRPr="00BD57F2">
        <w:rPr>
          <w:lang w:val="es-PA"/>
        </w:rPr>
        <w:t xml:space="preserve"> </w:t>
      </w:r>
      <w:r>
        <w:rPr>
          <w:rFonts w:ascii="Cambria" w:hAnsi="Cambria"/>
          <w:sz w:val="16"/>
          <w:szCs w:val="16"/>
          <w:lang w:val="es-PA"/>
        </w:rPr>
        <w:t xml:space="preserve">Esta es la última información de carácter sustantivo que ha sido recibida por parte del peticionario. Sin embargo, el 6 de octubre de 2017 presentó una solicitud de información respecto al estado de su petición. </w:t>
      </w:r>
    </w:p>
  </w:footnote>
  <w:footnote w:id="7">
    <w:p w:rsidR="001D4AB9" w:rsidRPr="00091821" w:rsidRDefault="001D4AB9" w:rsidP="00737197">
      <w:pPr>
        <w:pStyle w:val="FootnoteText"/>
        <w:pBdr>
          <w:top w:val="none" w:sz="0" w:space="0" w:color="auto"/>
          <w:left w:val="none" w:sz="0" w:space="0" w:color="auto"/>
          <w:bottom w:val="none" w:sz="0" w:space="0" w:color="auto"/>
          <w:right w:val="none" w:sz="0" w:space="0" w:color="auto"/>
          <w:bar w:val="none" w:sz="0" w:color="auto"/>
        </w:pBdr>
        <w:jc w:val="both"/>
        <w:rPr>
          <w:lang w:val="es-US"/>
        </w:rPr>
      </w:pPr>
      <w:r w:rsidRPr="006132CC">
        <w:rPr>
          <w:rFonts w:ascii="Cambria" w:hAnsi="Cambria"/>
          <w:sz w:val="16"/>
          <w:szCs w:val="16"/>
          <w:lang w:val="es-ES"/>
        </w:rPr>
        <w:tab/>
      </w:r>
      <w:r w:rsidRPr="00A32B9B">
        <w:rPr>
          <w:rStyle w:val="FootnoteReference"/>
          <w:rFonts w:ascii="Cambria" w:hAnsi="Cambria"/>
          <w:sz w:val="16"/>
          <w:szCs w:val="16"/>
        </w:rPr>
        <w:footnoteRef/>
      </w:r>
      <w:r w:rsidRPr="00AB778E">
        <w:rPr>
          <w:rFonts w:ascii="Cambria" w:hAnsi="Cambria"/>
          <w:sz w:val="16"/>
          <w:szCs w:val="16"/>
          <w:lang w:val="es-ES"/>
        </w:rPr>
        <w:t xml:space="preserve"> CIDH, Informe No. 49/18</w:t>
      </w:r>
      <w:r>
        <w:rPr>
          <w:rFonts w:ascii="Cambria" w:hAnsi="Cambria"/>
          <w:sz w:val="16"/>
          <w:szCs w:val="16"/>
          <w:lang w:val="es-ES"/>
        </w:rPr>
        <w:t>, Petición 1542-07</w:t>
      </w:r>
      <w:r w:rsidRPr="00AB778E">
        <w:rPr>
          <w:rFonts w:ascii="Cambria" w:hAnsi="Cambria"/>
          <w:sz w:val="16"/>
          <w:szCs w:val="16"/>
          <w:lang w:val="es-ES"/>
        </w:rPr>
        <w:t>. Admisibilidad. Juan Espinosa Romero. Ecuador. 5 de mayo de 2018, párr. 13.</w:t>
      </w:r>
    </w:p>
  </w:footnote>
  <w:footnote w:id="8">
    <w:p w:rsidR="001D4AB9" w:rsidRPr="00091821" w:rsidRDefault="001D4AB9" w:rsidP="0074464F">
      <w:pPr>
        <w:pStyle w:val="FootnoteText"/>
        <w:pBdr>
          <w:top w:val="none" w:sz="0" w:space="0" w:color="auto"/>
          <w:left w:val="none" w:sz="0" w:space="0" w:color="auto"/>
          <w:bottom w:val="none" w:sz="0" w:space="0" w:color="auto"/>
          <w:right w:val="none" w:sz="0" w:space="0" w:color="auto"/>
          <w:bar w:val="none" w:sz="0" w:color="auto"/>
        </w:pBdr>
        <w:jc w:val="both"/>
        <w:rPr>
          <w:lang w:val="es-U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16/18</w:t>
      </w:r>
      <w:r>
        <w:rPr>
          <w:rFonts w:ascii="Cambria" w:hAnsi="Cambria"/>
          <w:sz w:val="16"/>
          <w:szCs w:val="16"/>
          <w:lang w:val="es-ES"/>
        </w:rPr>
        <w:t>, Petición 884-07</w:t>
      </w:r>
      <w:r w:rsidRPr="006132CC">
        <w:rPr>
          <w:rFonts w:ascii="Cambria" w:hAnsi="Cambria"/>
          <w:sz w:val="16"/>
          <w:szCs w:val="16"/>
          <w:lang w:val="es-ES"/>
        </w:rPr>
        <w:t>. Admisibilidad. Victoria Piedad Palacios Tejada de Saavedra. Perú. 24 de febrero de 2018, párr. 12.</w:t>
      </w:r>
    </w:p>
  </w:footnote>
  <w:footnote w:id="9">
    <w:p w:rsidR="001D4AB9" w:rsidRDefault="001D4AB9" w:rsidP="004C2929">
      <w:pPr>
        <w:pStyle w:val="FootnoteText"/>
        <w:pBdr>
          <w:top w:val="none" w:sz="0" w:space="0" w:color="auto"/>
          <w:left w:val="none" w:sz="0" w:space="0" w:color="auto"/>
          <w:bottom w:val="none" w:sz="0" w:space="0" w:color="auto"/>
          <w:right w:val="none" w:sz="0" w:space="0" w:color="auto"/>
          <w:bar w:val="none" w:sz="0" w:color="auto"/>
        </w:pBdr>
        <w:tabs>
          <w:tab w:val="left" w:pos="560"/>
        </w:tabs>
        <w:ind w:firstLine="562"/>
        <w:jc w:val="both"/>
      </w:pPr>
      <w:r w:rsidRPr="004C2929">
        <w:rPr>
          <w:rStyle w:val="FootnoteReference"/>
          <w:rFonts w:ascii="Cambria" w:hAnsi="Cambria"/>
          <w:sz w:val="16"/>
          <w:szCs w:val="16"/>
        </w:rPr>
        <w:footnoteRef/>
      </w:r>
      <w:r w:rsidRPr="004C2929">
        <w:rPr>
          <w:rFonts w:ascii="Cambria" w:hAnsi="Cambria"/>
          <w:sz w:val="16"/>
          <w:szCs w:val="16"/>
          <w:lang w:val="es-PA"/>
        </w:rPr>
        <w:t xml:space="preserve"> </w:t>
      </w:r>
      <w:r w:rsidRPr="004C2929">
        <w:rPr>
          <w:rFonts w:ascii="Cambria" w:hAnsi="Cambria"/>
          <w:sz w:val="16"/>
          <w:szCs w:val="16"/>
          <w:lang w:val="es-PA"/>
        </w:rPr>
        <w:tab/>
      </w:r>
      <w:r w:rsidRPr="004C2929">
        <w:rPr>
          <w:rFonts w:ascii="Cambria" w:hAnsi="Cambria"/>
          <w:sz w:val="16"/>
          <w:szCs w:val="16"/>
          <w:lang w:val="es-ES"/>
        </w:rPr>
        <w:t xml:space="preserve">CIDH, Informe No. 173/17, Petición 1111-08. Admisibilidad. Marcela Brenda Iglesias, Nora Ester </w:t>
      </w:r>
      <w:proofErr w:type="spellStart"/>
      <w:r w:rsidRPr="004C2929">
        <w:rPr>
          <w:rFonts w:ascii="Cambria" w:hAnsi="Cambria"/>
          <w:sz w:val="16"/>
          <w:szCs w:val="16"/>
          <w:lang w:val="es-ES"/>
        </w:rPr>
        <w:t>Ribaudo</w:t>
      </w:r>
      <w:proofErr w:type="spellEnd"/>
      <w:r w:rsidRPr="004C2929">
        <w:rPr>
          <w:rFonts w:ascii="Cambria" w:hAnsi="Cambria"/>
          <w:sz w:val="16"/>
          <w:szCs w:val="16"/>
          <w:lang w:val="es-ES"/>
        </w:rPr>
        <w:t xml:space="preserve"> y Eduardo Rubén Iglesias. Argentina. 29 de diciembre de 2017, párr.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AB9" w:rsidRDefault="001D4AB9" w:rsidP="0074464F">
    <w:pPr>
      <w:pStyle w:val="Header"/>
      <w:framePr w:wrap="around" w:vAnchor="text" w:hAnchor="margin" w:xAlign="center" w:y="1"/>
      <w:rPr>
        <w:rStyle w:val="PageNumber"/>
        <w:rFonts w:cs="Univers"/>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rsidR="001D4AB9" w:rsidRDefault="001D4A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AB9" w:rsidRDefault="000D7540" w:rsidP="00A50FCF">
    <w:pPr>
      <w:pStyle w:val="Header"/>
      <w:tabs>
        <w:tab w:val="clear" w:pos="4320"/>
        <w:tab w:val="clear" w:pos="8640"/>
      </w:tabs>
      <w:jc w:val="center"/>
      <w:rPr>
        <w:sz w:val="22"/>
        <w:szCs w:val="22"/>
      </w:rPr>
    </w:pPr>
    <w:r>
      <w:rPr>
        <w:noProof/>
        <w:sz w:val="22"/>
        <w:szCs w:val="22"/>
      </w:rPr>
      <w:drawing>
        <wp:inline distT="0" distB="0" distL="0" distR="0">
          <wp:extent cx="1950085" cy="10541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085" cy="105410"/>
                  </a:xfrm>
                  <a:prstGeom prst="rect">
                    <a:avLst/>
                  </a:prstGeom>
                  <a:noFill/>
                  <a:ln>
                    <a:noFill/>
                  </a:ln>
                </pic:spPr>
              </pic:pic>
            </a:graphicData>
          </a:graphic>
        </wp:inline>
      </w:drawing>
    </w:r>
  </w:p>
  <w:p w:rsidR="001D4AB9" w:rsidRPr="00EC7D62" w:rsidRDefault="0051560F"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025" w:rsidRDefault="000D202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AB9" w:rsidRDefault="001D4AB9" w:rsidP="0074464F">
    <w:pPr>
      <w:pStyle w:val="Header"/>
      <w:framePr w:wrap="around" w:vAnchor="text" w:hAnchor="margin" w:xAlign="center" w:y="1"/>
      <w:rPr>
        <w:rStyle w:val="PageNumber"/>
        <w:rFonts w:cs="Univers"/>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rsidR="001D4AB9" w:rsidRDefault="001D4AB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AB9" w:rsidRDefault="000D7540" w:rsidP="00A50FCF">
    <w:pPr>
      <w:pStyle w:val="Header"/>
      <w:tabs>
        <w:tab w:val="clear" w:pos="4320"/>
        <w:tab w:val="clear" w:pos="8640"/>
      </w:tabs>
      <w:jc w:val="center"/>
      <w:rPr>
        <w:sz w:val="22"/>
        <w:szCs w:val="22"/>
      </w:rPr>
    </w:pPr>
    <w:r>
      <w:rPr>
        <w:noProof/>
        <w:sz w:val="22"/>
        <w:szCs w:val="22"/>
      </w:rPr>
      <w:drawing>
        <wp:inline distT="0" distB="0" distL="0" distR="0">
          <wp:extent cx="1950085" cy="105410"/>
          <wp:effectExtent l="0" t="0" r="0" b="0"/>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085" cy="105410"/>
                  </a:xfrm>
                  <a:prstGeom prst="rect">
                    <a:avLst/>
                  </a:prstGeom>
                  <a:noFill/>
                  <a:ln>
                    <a:noFill/>
                  </a:ln>
                </pic:spPr>
              </pic:pic>
            </a:graphicData>
          </a:graphic>
        </wp:inline>
      </w:drawing>
    </w:r>
  </w:p>
  <w:p w:rsidR="001D4AB9" w:rsidRPr="00EC7D62" w:rsidRDefault="0051560F" w:rsidP="00A50FCF">
    <w:pPr>
      <w:pStyle w:val="Header"/>
      <w:tabs>
        <w:tab w:val="clear" w:pos="4320"/>
        <w:tab w:val="clear" w:pos="8640"/>
      </w:tabs>
      <w:jc w:val="center"/>
      <w:rPr>
        <w:sz w:val="22"/>
        <w:szCs w:val="22"/>
      </w:rPr>
    </w:pPr>
    <w:r>
      <w:rPr>
        <w:sz w:val="22"/>
        <w:szCs w:val="22"/>
      </w:rP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Calibri" w:eastAsia="Times New Roman" w:hAnsi="Calibri" w:cs="Calibri" w:hint="default"/>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firstLine="72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2BA2819"/>
    <w:multiLevelType w:val="multilevel"/>
    <w:tmpl w:val="DE3EA646"/>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2" w15:restartNumberingAfterBreak="0">
    <w:nsid w:val="31CB6708"/>
    <w:multiLevelType w:val="multilevel"/>
    <w:tmpl w:val="B6544A0C"/>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Times New Roman" w:cs="Calibri"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cs="Times New Roman" w:hint="default"/>
      </w:rPr>
    </w:lvl>
    <w:lvl w:ilvl="1" w:tplc="83BC6644">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3" w15:restartNumberingAfterBreak="0">
    <w:nsid w:val="42DF19D7"/>
    <w:multiLevelType w:val="multilevel"/>
    <w:tmpl w:val="E7265BB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8" w15:restartNumberingAfterBreak="0">
    <w:nsid w:val="492723E7"/>
    <w:multiLevelType w:val="multilevel"/>
    <w:tmpl w:val="0CF8CC3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Calibri" w:eastAsia="Times New Roman" w:hAnsi="Calibri" w:cs="Trebuchet MS" w:hint="default"/>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firstLine="720"/>
      </w:pPr>
      <w:rPr>
        <w:rFonts w:cs="Times New Roman" w:hint="default"/>
      </w:rPr>
    </w:lvl>
    <w:lvl w:ilvl="1" w:tplc="F2CAD2CA">
      <w:start w:val="34"/>
      <w:numFmt w:val="decimal"/>
      <w:lvlText w:val="%2."/>
      <w:lvlJc w:val="left"/>
      <w:pPr>
        <w:tabs>
          <w:tab w:val="num" w:pos="2520"/>
        </w:tabs>
        <w:ind w:left="2520" w:hanging="144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Times New Roman" w:cs="Calibri" w:hint="default"/>
      </w:rPr>
    </w:lvl>
    <w:lvl w:ilvl="1">
      <w:start w:val="2"/>
      <w:numFmt w:val="decimal"/>
      <w:lvlText w:val="%1.%2"/>
      <w:lvlJc w:val="left"/>
      <w:pPr>
        <w:ind w:left="1068" w:hanging="360"/>
      </w:pPr>
      <w:rPr>
        <w:rFonts w:eastAsia="Times New Roman" w:cs="Calibri" w:hint="default"/>
      </w:rPr>
    </w:lvl>
    <w:lvl w:ilvl="2">
      <w:start w:val="1"/>
      <w:numFmt w:val="decimal"/>
      <w:lvlText w:val="%1.%2.%3"/>
      <w:lvlJc w:val="left"/>
      <w:pPr>
        <w:ind w:left="2136" w:hanging="720"/>
      </w:pPr>
      <w:rPr>
        <w:rFonts w:eastAsia="Times New Roman" w:cs="Calibri" w:hint="default"/>
      </w:rPr>
    </w:lvl>
    <w:lvl w:ilvl="3">
      <w:start w:val="1"/>
      <w:numFmt w:val="decimal"/>
      <w:lvlText w:val="%1.%2.%3.%4"/>
      <w:lvlJc w:val="left"/>
      <w:pPr>
        <w:ind w:left="2844" w:hanging="720"/>
      </w:pPr>
      <w:rPr>
        <w:rFonts w:eastAsia="Times New Roman" w:cs="Calibri" w:hint="default"/>
      </w:rPr>
    </w:lvl>
    <w:lvl w:ilvl="4">
      <w:start w:val="1"/>
      <w:numFmt w:val="decimal"/>
      <w:lvlText w:val="%1.%2.%3.%4.%5"/>
      <w:lvlJc w:val="left"/>
      <w:pPr>
        <w:ind w:left="3912" w:hanging="1080"/>
      </w:pPr>
      <w:rPr>
        <w:rFonts w:eastAsia="Times New Roman" w:cs="Calibri" w:hint="default"/>
      </w:rPr>
    </w:lvl>
    <w:lvl w:ilvl="5">
      <w:start w:val="1"/>
      <w:numFmt w:val="decimal"/>
      <w:lvlText w:val="%1.%2.%3.%4.%5.%6"/>
      <w:lvlJc w:val="left"/>
      <w:pPr>
        <w:ind w:left="4620" w:hanging="1080"/>
      </w:pPr>
      <w:rPr>
        <w:rFonts w:eastAsia="Times New Roman" w:cs="Calibri" w:hint="default"/>
      </w:rPr>
    </w:lvl>
    <w:lvl w:ilvl="6">
      <w:start w:val="1"/>
      <w:numFmt w:val="decimal"/>
      <w:lvlText w:val="%1.%2.%3.%4.%5.%6.%7"/>
      <w:lvlJc w:val="left"/>
      <w:pPr>
        <w:ind w:left="5688" w:hanging="1440"/>
      </w:pPr>
      <w:rPr>
        <w:rFonts w:eastAsia="Times New Roman" w:cs="Calibri" w:hint="default"/>
      </w:rPr>
    </w:lvl>
    <w:lvl w:ilvl="7">
      <w:start w:val="1"/>
      <w:numFmt w:val="decimal"/>
      <w:lvlText w:val="%1.%2.%3.%4.%5.%6.%7.%8"/>
      <w:lvlJc w:val="left"/>
      <w:pPr>
        <w:ind w:left="6396" w:hanging="1440"/>
      </w:pPr>
      <w:rPr>
        <w:rFonts w:eastAsia="Times New Roman" w:cs="Calibri" w:hint="default"/>
      </w:rPr>
    </w:lvl>
    <w:lvl w:ilvl="8">
      <w:start w:val="1"/>
      <w:numFmt w:val="decimal"/>
      <w:lvlText w:val="%1.%2.%3.%4.%5.%6.%7.%8.%9"/>
      <w:lvlJc w:val="left"/>
      <w:pPr>
        <w:ind w:left="7464" w:hanging="1800"/>
      </w:pPr>
      <w:rPr>
        <w:rFonts w:eastAsia="Times New Roman"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cs="Times New Roman" w:hint="default"/>
        <w:b w:val="0"/>
        <w:color w:val="auto"/>
        <w:sz w:val="20"/>
        <w:szCs w:val="20"/>
      </w:rPr>
    </w:lvl>
    <w:lvl w:ilvl="1" w:tplc="04090019">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Calibri" w:eastAsia="Times New Roman" w:hAnsi="Calibri" w:cs="Calibri" w:hint="default"/>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9"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30"/>
    <w:lvlOverride w:ilvl="0">
      <w:lvl w:ilvl="0">
        <w:start w:val="1"/>
        <w:numFmt w:val="upperRoman"/>
        <w:lvlText w:val="%1."/>
        <w:lvlJc w:val="left"/>
        <w:pPr>
          <w:tabs>
            <w:tab w:val="num" w:pos="1080"/>
          </w:tabs>
          <w:ind w:left="1080" w:hanging="720"/>
        </w:pPr>
        <w:rPr>
          <w:rFonts w:ascii="Calibri" w:eastAsia="Times New Roman" w:hAnsi="Calibri" w:cs="Calibri" w:hint="default"/>
          <w:b/>
          <w:bCs/>
          <w:color w:val="000000"/>
          <w:position w:val="0"/>
          <w:sz w:val="22"/>
          <w:szCs w:val="22"/>
          <w:u w:color="000000"/>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num>
  <w:num w:numId="4">
    <w:abstractNumId w:val="22"/>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Calibri" w:eastAsia="Times New Roman" w:hAnsi="Calibri" w:cs="Trebuchet MS" w:hint="default"/>
          <w:b/>
          <w:bCs/>
          <w:i w:val="0"/>
          <w:color w:val="000000"/>
          <w:position w:val="0"/>
          <w:sz w:val="22"/>
          <w:szCs w:val="22"/>
          <w:u w:color="000000"/>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Calibri" w:eastAsia="Times New Roman" w:hAnsi="Calibri" w:cs="Calibri" w:hint="default"/>
          <w:b/>
          <w:bCs/>
          <w:color w:val="000000"/>
          <w:position w:val="0"/>
          <w:sz w:val="22"/>
          <w:szCs w:val="22"/>
          <w:u w:color="000000"/>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4">
    <w:abstractNumId w:val="10"/>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5">
    <w:abstractNumId w:val="9"/>
    <w:lvlOverride w:ilvl="0">
      <w:lvl w:ilvl="0">
        <w:start w:val="2"/>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num>
  <w:num w:numId="16">
    <w:abstractNumId w:val="20"/>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7">
    <w:abstractNumId w:val="24"/>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8">
    <w:abstractNumId w:val="12"/>
    <w:lvlOverride w:ilvl="0">
      <w:lvl w:ilvl="0">
        <w:start w:val="2"/>
        <w:numFmt w:val="upperLetter"/>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start w:val="1"/>
        <w:numFmt w:val="decimal"/>
        <w:lvlText w:val="%4."/>
        <w:lvlJc w:val="left"/>
        <w:pPr>
          <w:tabs>
            <w:tab w:val="num" w:pos="2850"/>
          </w:tabs>
          <w:ind w:left="2850" w:hanging="330"/>
        </w:pPr>
        <w:rPr>
          <w:rFonts w:ascii="Calibri" w:eastAsia="Times New Roman" w:hAnsi="Calibri" w:cs="Calibri"/>
          <w:b w:val="0"/>
          <w:bCs/>
          <w:color w:val="000000"/>
          <w:position w:val="0"/>
          <w:sz w:val="22"/>
          <w:szCs w:val="22"/>
          <w:u w:color="000000"/>
        </w:rPr>
      </w:lvl>
    </w:lvlOverride>
  </w:num>
  <w:num w:numId="19">
    <w:abstractNumId w:val="55"/>
    <w:lvlOverride w:ilvl="0">
      <w:lvl w:ilvl="0">
        <w:start w:val="2"/>
        <w:numFmt w:val="decimal"/>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0">
    <w:abstractNumId w:val="8"/>
  </w:num>
  <w:num w:numId="21">
    <w:abstractNumId w:val="38"/>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22">
    <w:abstractNumId w:val="25"/>
    <w:lvlOverride w:ilvl="0">
      <w:lvl w:ilvl="0">
        <w:start w:val="1"/>
        <w:numFmt w:val="decimal"/>
        <w:lvlText w:val="%1."/>
        <w:lvlJc w:val="left"/>
        <w:pPr>
          <w:ind w:left="1440" w:hanging="360"/>
        </w:pPr>
        <w:rPr>
          <w:rFonts w:cs="Times New Roman" w:hint="default"/>
          <w:color w:val="auto"/>
        </w:rPr>
      </w:lvl>
    </w:lvlOverride>
    <w:lvlOverride w:ilvl="1">
      <w:lvl w:ilvl="1">
        <w:start w:val="1"/>
        <w:numFmt w:val="lowerLetter"/>
        <w:lvlText w:val="%2."/>
        <w:lvlJc w:val="left"/>
        <w:pPr>
          <w:ind w:left="2160" w:hanging="360"/>
        </w:pPr>
        <w:rPr>
          <w:rFonts w:cs="Times New Roman"/>
        </w:rPr>
      </w:lvl>
    </w:lvlOverride>
    <w:lvlOverride w:ilvl="2">
      <w:lvl w:ilvl="2" w:tentative="1">
        <w:start w:val="1"/>
        <w:numFmt w:val="lowerRoman"/>
        <w:lvlText w:val="%3."/>
        <w:lvlJc w:val="right"/>
        <w:pPr>
          <w:ind w:left="2880" w:hanging="180"/>
        </w:pPr>
        <w:rPr>
          <w:rFonts w:cs="Times New Roman"/>
        </w:rPr>
      </w:lvl>
    </w:lvlOverride>
    <w:lvlOverride w:ilvl="3">
      <w:lvl w:ilvl="3" w:tentative="1">
        <w:start w:val="1"/>
        <w:numFmt w:val="decimal"/>
        <w:lvlText w:val="%4."/>
        <w:lvlJc w:val="left"/>
        <w:pPr>
          <w:ind w:left="3600" w:hanging="360"/>
        </w:pPr>
        <w:rPr>
          <w:rFonts w:cs="Times New Roman"/>
        </w:rPr>
      </w:lvl>
    </w:lvlOverride>
    <w:lvlOverride w:ilvl="4">
      <w:lvl w:ilvl="4" w:tentative="1">
        <w:start w:val="1"/>
        <w:numFmt w:val="lowerLetter"/>
        <w:lvlText w:val="%5."/>
        <w:lvlJc w:val="left"/>
        <w:pPr>
          <w:ind w:left="4320" w:hanging="360"/>
        </w:pPr>
        <w:rPr>
          <w:rFonts w:cs="Times New Roman"/>
        </w:rPr>
      </w:lvl>
    </w:lvlOverride>
    <w:lvlOverride w:ilvl="5">
      <w:lvl w:ilvl="5" w:tentative="1">
        <w:start w:val="1"/>
        <w:numFmt w:val="lowerRoman"/>
        <w:lvlText w:val="%6."/>
        <w:lvlJc w:val="right"/>
        <w:pPr>
          <w:ind w:left="5040" w:hanging="180"/>
        </w:pPr>
        <w:rPr>
          <w:rFonts w:cs="Times New Roman"/>
        </w:rPr>
      </w:lvl>
    </w:lvlOverride>
    <w:lvlOverride w:ilvl="6">
      <w:lvl w:ilvl="6" w:tentative="1">
        <w:start w:val="1"/>
        <w:numFmt w:val="decimal"/>
        <w:lvlText w:val="%7."/>
        <w:lvlJc w:val="left"/>
        <w:pPr>
          <w:ind w:left="5760" w:hanging="360"/>
        </w:pPr>
        <w:rPr>
          <w:rFonts w:cs="Times New Roman"/>
        </w:rPr>
      </w:lvl>
    </w:lvlOverride>
    <w:lvlOverride w:ilvl="7">
      <w:lvl w:ilvl="7" w:tentative="1">
        <w:start w:val="1"/>
        <w:numFmt w:val="lowerLetter"/>
        <w:lvlText w:val="%8."/>
        <w:lvlJc w:val="left"/>
        <w:pPr>
          <w:ind w:left="6480" w:hanging="360"/>
        </w:pPr>
        <w:rPr>
          <w:rFonts w:cs="Times New Roman"/>
        </w:rPr>
      </w:lvl>
    </w:lvlOverride>
    <w:lvlOverride w:ilvl="8">
      <w:lvl w:ilvl="8" w:tentative="1">
        <w:start w:val="1"/>
        <w:numFmt w:val="lowerRoman"/>
        <w:lvlText w:val="%9."/>
        <w:lvlJc w:val="right"/>
        <w:pPr>
          <w:ind w:left="7200" w:hanging="180"/>
        </w:pPr>
        <w:rPr>
          <w:rFonts w:cs="Times New Roman"/>
        </w:rPr>
      </w:lvl>
    </w:lvlOverride>
  </w:num>
  <w:num w:numId="23">
    <w:abstractNumId w:val="11"/>
    <w:lvlOverride w:ilvl="0">
      <w:lvl w:ilvl="0">
        <w:start w:val="6"/>
        <w:numFmt w:val="decimal"/>
        <w:lvlText w:val="%1."/>
        <w:lvlJc w:val="left"/>
        <w:pPr>
          <w:tabs>
            <w:tab w:val="num" w:pos="360"/>
          </w:tabs>
          <w:ind w:left="360" w:hanging="360"/>
        </w:pPr>
        <w:rPr>
          <w:rFonts w:ascii="Calibri" w:eastAsia="Times New Roman" w:hAnsi="Calibri" w:cs="Calibri" w:hint="default"/>
          <w:color w:val="000000"/>
          <w:position w:val="0"/>
          <w:sz w:val="22"/>
          <w:szCs w:val="22"/>
          <w:u w:color="000000"/>
        </w:rPr>
      </w:lvl>
    </w:lvlOverride>
  </w:num>
  <w:num w:numId="24">
    <w:abstractNumId w:val="47"/>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25">
    <w:abstractNumId w:val="2"/>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6">
    <w:abstractNumId w:val="64"/>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7">
    <w:abstractNumId w:val="49"/>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8">
    <w:abstractNumId w:val="28"/>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9">
    <w:abstractNumId w:val="34"/>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0">
    <w:abstractNumId w:val="32"/>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1">
    <w:abstractNumId w:val="59"/>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2">
    <w:abstractNumId w:val="63"/>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3">
    <w:abstractNumId w:val="21"/>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34">
    <w:abstractNumId w:val="40"/>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7">
    <w:abstractNumId w:val="62"/>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8">
    <w:abstractNumId w:val="35"/>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9">
    <w:abstractNumId w:val="61"/>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0">
    <w:abstractNumId w:val="15"/>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1">
    <w:abstractNumId w:val="57"/>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42">
    <w:abstractNumId w:val="41"/>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start w:val="1"/>
        <w:numFmt w:val="decimal"/>
        <w:lvlText w:val="%4."/>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43">
    <w:abstractNumId w:val="17"/>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4">
    <w:abstractNumId w:val="43"/>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5">
    <w:abstractNumId w:val="13"/>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6">
    <w:abstractNumId w:val="18"/>
    <w:lvlOverride w:ilvl="0">
      <w:lvl w:ilvl="0">
        <w:start w:val="1"/>
        <w:numFmt w:val="decimal"/>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7">
    <w:abstractNumId w:val="26"/>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48">
    <w:abstractNumId w:val="66"/>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49">
    <w:abstractNumId w:val="42"/>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50">
    <w:abstractNumId w:val="37"/>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51">
    <w:abstractNumId w:val="33"/>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034"/>
    <w:rsid w:val="00006E1F"/>
    <w:rsid w:val="000070D7"/>
    <w:rsid w:val="0001788C"/>
    <w:rsid w:val="000337EF"/>
    <w:rsid w:val="00040C3A"/>
    <w:rsid w:val="000419AD"/>
    <w:rsid w:val="000433C9"/>
    <w:rsid w:val="0005109C"/>
    <w:rsid w:val="000673D0"/>
    <w:rsid w:val="000716C5"/>
    <w:rsid w:val="00075E23"/>
    <w:rsid w:val="00087F17"/>
    <w:rsid w:val="00091821"/>
    <w:rsid w:val="0009344A"/>
    <w:rsid w:val="000A392E"/>
    <w:rsid w:val="000A575F"/>
    <w:rsid w:val="000B04D4"/>
    <w:rsid w:val="000D05CB"/>
    <w:rsid w:val="000D10DB"/>
    <w:rsid w:val="000D2025"/>
    <w:rsid w:val="000D7540"/>
    <w:rsid w:val="000E5EB5"/>
    <w:rsid w:val="000F35ED"/>
    <w:rsid w:val="00104635"/>
    <w:rsid w:val="00107131"/>
    <w:rsid w:val="0010736F"/>
    <w:rsid w:val="00113F73"/>
    <w:rsid w:val="00114A3C"/>
    <w:rsid w:val="00117B6F"/>
    <w:rsid w:val="00121CC2"/>
    <w:rsid w:val="00126214"/>
    <w:rsid w:val="00131425"/>
    <w:rsid w:val="00133EE5"/>
    <w:rsid w:val="001401BA"/>
    <w:rsid w:val="001550D0"/>
    <w:rsid w:val="00167A34"/>
    <w:rsid w:val="001A7870"/>
    <w:rsid w:val="001B3A00"/>
    <w:rsid w:val="001C1B41"/>
    <w:rsid w:val="001D016C"/>
    <w:rsid w:val="001D4AB9"/>
    <w:rsid w:val="001D65EF"/>
    <w:rsid w:val="001E49E7"/>
    <w:rsid w:val="001F7201"/>
    <w:rsid w:val="002065F5"/>
    <w:rsid w:val="00223A29"/>
    <w:rsid w:val="002250A3"/>
    <w:rsid w:val="00235217"/>
    <w:rsid w:val="00236BE7"/>
    <w:rsid w:val="00246D1F"/>
    <w:rsid w:val="00247403"/>
    <w:rsid w:val="00247542"/>
    <w:rsid w:val="00266B61"/>
    <w:rsid w:val="0026712A"/>
    <w:rsid w:val="002704DB"/>
    <w:rsid w:val="002A0AAE"/>
    <w:rsid w:val="002A5820"/>
    <w:rsid w:val="002D2B26"/>
    <w:rsid w:val="002D7EA2"/>
    <w:rsid w:val="002E187C"/>
    <w:rsid w:val="00302733"/>
    <w:rsid w:val="0031047E"/>
    <w:rsid w:val="003127FE"/>
    <w:rsid w:val="00314078"/>
    <w:rsid w:val="0031535D"/>
    <w:rsid w:val="003208EB"/>
    <w:rsid w:val="003239B8"/>
    <w:rsid w:val="0032599E"/>
    <w:rsid w:val="0033169F"/>
    <w:rsid w:val="00344977"/>
    <w:rsid w:val="003457A8"/>
    <w:rsid w:val="00346C95"/>
    <w:rsid w:val="00356185"/>
    <w:rsid w:val="00356657"/>
    <w:rsid w:val="00360380"/>
    <w:rsid w:val="003713EF"/>
    <w:rsid w:val="0037519E"/>
    <w:rsid w:val="00386CF0"/>
    <w:rsid w:val="003B4DC7"/>
    <w:rsid w:val="003B70FB"/>
    <w:rsid w:val="003C676B"/>
    <w:rsid w:val="003D1C06"/>
    <w:rsid w:val="003D3BC2"/>
    <w:rsid w:val="003E6CA1"/>
    <w:rsid w:val="003F0119"/>
    <w:rsid w:val="004065A8"/>
    <w:rsid w:val="004165C2"/>
    <w:rsid w:val="00425310"/>
    <w:rsid w:val="00441ECB"/>
    <w:rsid w:val="00445193"/>
    <w:rsid w:val="00462C1B"/>
    <w:rsid w:val="00467B7E"/>
    <w:rsid w:val="00473BB4"/>
    <w:rsid w:val="004759D9"/>
    <w:rsid w:val="00477592"/>
    <w:rsid w:val="00486F1C"/>
    <w:rsid w:val="0049419D"/>
    <w:rsid w:val="004A6A54"/>
    <w:rsid w:val="004B67ED"/>
    <w:rsid w:val="004C20D2"/>
    <w:rsid w:val="004C2312"/>
    <w:rsid w:val="004C2929"/>
    <w:rsid w:val="004C4B62"/>
    <w:rsid w:val="004C54C9"/>
    <w:rsid w:val="004C7C73"/>
    <w:rsid w:val="004D308D"/>
    <w:rsid w:val="004D4ABA"/>
    <w:rsid w:val="004D6025"/>
    <w:rsid w:val="004E262A"/>
    <w:rsid w:val="004E2649"/>
    <w:rsid w:val="004F1B82"/>
    <w:rsid w:val="004F626F"/>
    <w:rsid w:val="00501399"/>
    <w:rsid w:val="0050633D"/>
    <w:rsid w:val="00507BC4"/>
    <w:rsid w:val="005128E4"/>
    <w:rsid w:val="005133DB"/>
    <w:rsid w:val="00514504"/>
    <w:rsid w:val="0051560F"/>
    <w:rsid w:val="00525560"/>
    <w:rsid w:val="00532D2F"/>
    <w:rsid w:val="00544C49"/>
    <w:rsid w:val="005516A1"/>
    <w:rsid w:val="0055412A"/>
    <w:rsid w:val="005559EF"/>
    <w:rsid w:val="00563557"/>
    <w:rsid w:val="00565BB3"/>
    <w:rsid w:val="0057402A"/>
    <w:rsid w:val="005771D0"/>
    <w:rsid w:val="0059191A"/>
    <w:rsid w:val="005921FF"/>
    <w:rsid w:val="005A24ED"/>
    <w:rsid w:val="005A6D0E"/>
    <w:rsid w:val="005A7843"/>
    <w:rsid w:val="005B52B0"/>
    <w:rsid w:val="005B6806"/>
    <w:rsid w:val="005C4225"/>
    <w:rsid w:val="005D097C"/>
    <w:rsid w:val="005E5CFB"/>
    <w:rsid w:val="005F0DAD"/>
    <w:rsid w:val="005F0F33"/>
    <w:rsid w:val="005F7A8D"/>
    <w:rsid w:val="00600DEB"/>
    <w:rsid w:val="00601F26"/>
    <w:rsid w:val="00607435"/>
    <w:rsid w:val="006132CC"/>
    <w:rsid w:val="006246B6"/>
    <w:rsid w:val="00627C9F"/>
    <w:rsid w:val="006311E9"/>
    <w:rsid w:val="00632354"/>
    <w:rsid w:val="00635421"/>
    <w:rsid w:val="00642810"/>
    <w:rsid w:val="00646975"/>
    <w:rsid w:val="00652333"/>
    <w:rsid w:val="0067387F"/>
    <w:rsid w:val="006738EF"/>
    <w:rsid w:val="00673A8E"/>
    <w:rsid w:val="0068009E"/>
    <w:rsid w:val="00682149"/>
    <w:rsid w:val="00692219"/>
    <w:rsid w:val="006A17D2"/>
    <w:rsid w:val="006A73E6"/>
    <w:rsid w:val="006B2D5C"/>
    <w:rsid w:val="006C4EB1"/>
    <w:rsid w:val="006E0166"/>
    <w:rsid w:val="006E0D53"/>
    <w:rsid w:val="006E2FFB"/>
    <w:rsid w:val="006E7B34"/>
    <w:rsid w:val="00705A71"/>
    <w:rsid w:val="0070697F"/>
    <w:rsid w:val="0072199C"/>
    <w:rsid w:val="00722C9F"/>
    <w:rsid w:val="007253B8"/>
    <w:rsid w:val="00726F26"/>
    <w:rsid w:val="00737197"/>
    <w:rsid w:val="0073741F"/>
    <w:rsid w:val="0074464F"/>
    <w:rsid w:val="0076643F"/>
    <w:rsid w:val="0077184A"/>
    <w:rsid w:val="00777F63"/>
    <w:rsid w:val="007822E2"/>
    <w:rsid w:val="007A5817"/>
    <w:rsid w:val="007A5FC4"/>
    <w:rsid w:val="007B05C4"/>
    <w:rsid w:val="007B2D06"/>
    <w:rsid w:val="007B60E9"/>
    <w:rsid w:val="007B6CC3"/>
    <w:rsid w:val="007B76D3"/>
    <w:rsid w:val="007C3334"/>
    <w:rsid w:val="007D2698"/>
    <w:rsid w:val="007D2B98"/>
    <w:rsid w:val="007E21BC"/>
    <w:rsid w:val="007E3825"/>
    <w:rsid w:val="007E7C82"/>
    <w:rsid w:val="007F2AA1"/>
    <w:rsid w:val="007F588D"/>
    <w:rsid w:val="0080185B"/>
    <w:rsid w:val="00803F1C"/>
    <w:rsid w:val="008058E0"/>
    <w:rsid w:val="0080600E"/>
    <w:rsid w:val="00810015"/>
    <w:rsid w:val="008135D0"/>
    <w:rsid w:val="00814688"/>
    <w:rsid w:val="00817612"/>
    <w:rsid w:val="008217E8"/>
    <w:rsid w:val="008338A4"/>
    <w:rsid w:val="00834D49"/>
    <w:rsid w:val="008351F2"/>
    <w:rsid w:val="00837C45"/>
    <w:rsid w:val="00844730"/>
    <w:rsid w:val="008457C2"/>
    <w:rsid w:val="00857A82"/>
    <w:rsid w:val="00873836"/>
    <w:rsid w:val="00885737"/>
    <w:rsid w:val="00886A61"/>
    <w:rsid w:val="00890650"/>
    <w:rsid w:val="008947D6"/>
    <w:rsid w:val="0089527D"/>
    <w:rsid w:val="008963AD"/>
    <w:rsid w:val="00897E12"/>
    <w:rsid w:val="008A5449"/>
    <w:rsid w:val="008A7E0F"/>
    <w:rsid w:val="008B0C40"/>
    <w:rsid w:val="008B12F5"/>
    <w:rsid w:val="008B7990"/>
    <w:rsid w:val="008C5E2D"/>
    <w:rsid w:val="008D0AF6"/>
    <w:rsid w:val="008D768D"/>
    <w:rsid w:val="008E3759"/>
    <w:rsid w:val="008E3BFE"/>
    <w:rsid w:val="008F1912"/>
    <w:rsid w:val="0090270B"/>
    <w:rsid w:val="009041DC"/>
    <w:rsid w:val="00912D32"/>
    <w:rsid w:val="00917B5A"/>
    <w:rsid w:val="00920A58"/>
    <w:rsid w:val="00920A8C"/>
    <w:rsid w:val="00926B92"/>
    <w:rsid w:val="0093324F"/>
    <w:rsid w:val="00934A2C"/>
    <w:rsid w:val="0096443C"/>
    <w:rsid w:val="0096706E"/>
    <w:rsid w:val="00974491"/>
    <w:rsid w:val="00975C4E"/>
    <w:rsid w:val="00981FBA"/>
    <w:rsid w:val="00997BC5"/>
    <w:rsid w:val="009A4F41"/>
    <w:rsid w:val="009B2BBA"/>
    <w:rsid w:val="009B381B"/>
    <w:rsid w:val="009B51A5"/>
    <w:rsid w:val="009D1753"/>
    <w:rsid w:val="009D7611"/>
    <w:rsid w:val="009E0B61"/>
    <w:rsid w:val="009E53DE"/>
    <w:rsid w:val="00A11212"/>
    <w:rsid w:val="00A11E44"/>
    <w:rsid w:val="00A166C0"/>
    <w:rsid w:val="00A30100"/>
    <w:rsid w:val="00A328B3"/>
    <w:rsid w:val="00A32B9B"/>
    <w:rsid w:val="00A352A2"/>
    <w:rsid w:val="00A42259"/>
    <w:rsid w:val="00A50FCF"/>
    <w:rsid w:val="00A528D1"/>
    <w:rsid w:val="00A610CD"/>
    <w:rsid w:val="00A758AA"/>
    <w:rsid w:val="00AA09A2"/>
    <w:rsid w:val="00AA7996"/>
    <w:rsid w:val="00AB25FB"/>
    <w:rsid w:val="00AB2CF2"/>
    <w:rsid w:val="00AB41AC"/>
    <w:rsid w:val="00AB778E"/>
    <w:rsid w:val="00AC17F8"/>
    <w:rsid w:val="00AC19CB"/>
    <w:rsid w:val="00AD7C07"/>
    <w:rsid w:val="00AE5488"/>
    <w:rsid w:val="00AE6F91"/>
    <w:rsid w:val="00AF5571"/>
    <w:rsid w:val="00B07341"/>
    <w:rsid w:val="00B21B61"/>
    <w:rsid w:val="00B248BA"/>
    <w:rsid w:val="00B30539"/>
    <w:rsid w:val="00B314DB"/>
    <w:rsid w:val="00B361F2"/>
    <w:rsid w:val="00B3718B"/>
    <w:rsid w:val="00B3745F"/>
    <w:rsid w:val="00B4632A"/>
    <w:rsid w:val="00B530F1"/>
    <w:rsid w:val="00BA276C"/>
    <w:rsid w:val="00BB306F"/>
    <w:rsid w:val="00BB4418"/>
    <w:rsid w:val="00BB4690"/>
    <w:rsid w:val="00BB4CF3"/>
    <w:rsid w:val="00BD4B89"/>
    <w:rsid w:val="00BD5341"/>
    <w:rsid w:val="00BD57F2"/>
    <w:rsid w:val="00BD5922"/>
    <w:rsid w:val="00BE29A1"/>
    <w:rsid w:val="00BF02CB"/>
    <w:rsid w:val="00BF6FD8"/>
    <w:rsid w:val="00BF7851"/>
    <w:rsid w:val="00C03680"/>
    <w:rsid w:val="00C054DF"/>
    <w:rsid w:val="00C06298"/>
    <w:rsid w:val="00C1285C"/>
    <w:rsid w:val="00C21762"/>
    <w:rsid w:val="00C21FEF"/>
    <w:rsid w:val="00C23BA4"/>
    <w:rsid w:val="00C24543"/>
    <w:rsid w:val="00C256A2"/>
    <w:rsid w:val="00C25ADB"/>
    <w:rsid w:val="00C51515"/>
    <w:rsid w:val="00C5660B"/>
    <w:rsid w:val="00C66B72"/>
    <w:rsid w:val="00C87AC4"/>
    <w:rsid w:val="00C9567A"/>
    <w:rsid w:val="00CB212D"/>
    <w:rsid w:val="00CB2660"/>
    <w:rsid w:val="00CC5E90"/>
    <w:rsid w:val="00CD046C"/>
    <w:rsid w:val="00CE076C"/>
    <w:rsid w:val="00CE5199"/>
    <w:rsid w:val="00CE66D5"/>
    <w:rsid w:val="00CF3698"/>
    <w:rsid w:val="00CF637A"/>
    <w:rsid w:val="00D02399"/>
    <w:rsid w:val="00D059DE"/>
    <w:rsid w:val="00D05ABD"/>
    <w:rsid w:val="00D13FCE"/>
    <w:rsid w:val="00D306D1"/>
    <w:rsid w:val="00D30800"/>
    <w:rsid w:val="00D34786"/>
    <w:rsid w:val="00D347F0"/>
    <w:rsid w:val="00D37BFC"/>
    <w:rsid w:val="00D42170"/>
    <w:rsid w:val="00D4376C"/>
    <w:rsid w:val="00D47A8E"/>
    <w:rsid w:val="00D51E4D"/>
    <w:rsid w:val="00D52D14"/>
    <w:rsid w:val="00D712D3"/>
    <w:rsid w:val="00D71422"/>
    <w:rsid w:val="00D7212A"/>
    <w:rsid w:val="00D72DC6"/>
    <w:rsid w:val="00D7558D"/>
    <w:rsid w:val="00D81D92"/>
    <w:rsid w:val="00D876F9"/>
    <w:rsid w:val="00DA7B5F"/>
    <w:rsid w:val="00DC11E7"/>
    <w:rsid w:val="00DC24E3"/>
    <w:rsid w:val="00DC7023"/>
    <w:rsid w:val="00DC769A"/>
    <w:rsid w:val="00DD04D0"/>
    <w:rsid w:val="00DD3D86"/>
    <w:rsid w:val="00DD4AD2"/>
    <w:rsid w:val="00DF1EC4"/>
    <w:rsid w:val="00E00097"/>
    <w:rsid w:val="00E0340B"/>
    <w:rsid w:val="00E04A90"/>
    <w:rsid w:val="00E0551F"/>
    <w:rsid w:val="00E219C7"/>
    <w:rsid w:val="00E33833"/>
    <w:rsid w:val="00E4118C"/>
    <w:rsid w:val="00E43157"/>
    <w:rsid w:val="00E461CE"/>
    <w:rsid w:val="00E4655D"/>
    <w:rsid w:val="00E53A0D"/>
    <w:rsid w:val="00E573E4"/>
    <w:rsid w:val="00E720CA"/>
    <w:rsid w:val="00E84EB5"/>
    <w:rsid w:val="00E85662"/>
    <w:rsid w:val="00E8789F"/>
    <w:rsid w:val="00E97B71"/>
    <w:rsid w:val="00EA3D34"/>
    <w:rsid w:val="00EB454D"/>
    <w:rsid w:val="00EB72BC"/>
    <w:rsid w:val="00EC6CBF"/>
    <w:rsid w:val="00EC7D62"/>
    <w:rsid w:val="00ED549D"/>
    <w:rsid w:val="00ED76BE"/>
    <w:rsid w:val="00EE00E9"/>
    <w:rsid w:val="00EF1AAA"/>
    <w:rsid w:val="00EF619B"/>
    <w:rsid w:val="00F00B55"/>
    <w:rsid w:val="00F02AD1"/>
    <w:rsid w:val="00F05C0A"/>
    <w:rsid w:val="00F100CB"/>
    <w:rsid w:val="00F253CC"/>
    <w:rsid w:val="00F37106"/>
    <w:rsid w:val="00F44E25"/>
    <w:rsid w:val="00F519CF"/>
    <w:rsid w:val="00F56BA5"/>
    <w:rsid w:val="00F60E22"/>
    <w:rsid w:val="00F73F5C"/>
    <w:rsid w:val="00F81395"/>
    <w:rsid w:val="00F81BB8"/>
    <w:rsid w:val="00F90C64"/>
    <w:rsid w:val="00F917D1"/>
    <w:rsid w:val="00F91D76"/>
    <w:rsid w:val="00F9653B"/>
    <w:rsid w:val="00FA58CD"/>
    <w:rsid w:val="00FB62CF"/>
    <w:rsid w:val="00FC2B4A"/>
    <w:rsid w:val="00FD0089"/>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es-PA" w:eastAsia="es-P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9D9"/>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Heading1">
    <w:name w:val="heading 1"/>
    <w:basedOn w:val="Normal"/>
    <w:next w:val="Normal"/>
    <w:link w:val="Heading1Char"/>
    <w:uiPriority w:val="99"/>
    <w:qFormat/>
    <w:rsid w:val="00D81D92"/>
    <w:pPr>
      <w:keepNext/>
      <w:keepLines/>
      <w:numPr>
        <w:numId w:val="96"/>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eastAsia="MS Gothic"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locked/>
    <w:rsid w:val="00DF1EC4"/>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DF1EC4"/>
    <w:rPr>
      <w:rFonts w:ascii="Arial" w:hAnsi="Arial" w:cs="Arial"/>
      <w:b/>
      <w:bCs/>
      <w:sz w:val="26"/>
      <w:szCs w:val="26"/>
      <w:lang w:val="en-US" w:eastAsia="en-US"/>
    </w:rPr>
  </w:style>
  <w:style w:type="character" w:styleId="Hyperlink">
    <w:name w:val="Hyperlink"/>
    <w:basedOn w:val="DefaultParagraphFont"/>
    <w:uiPriority w:val="99"/>
    <w:rsid w:val="004759D9"/>
    <w:rPr>
      <w:rFonts w:cs="Times New Roman"/>
      <w:u w:val="single"/>
    </w:rPr>
  </w:style>
  <w:style w:type="paragraph" w:customStyle="1" w:styleId="Cabeceraypie">
    <w:name w:val="Cabecera y pie"/>
    <w:uiPriority w:val="99"/>
    <w:rsid w:val="004759D9"/>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4759D9"/>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A50FCF"/>
    <w:rPr>
      <w:rFonts w:ascii="Cambria" w:eastAsia="Times New Roman" w:hAnsi="Cambria" w:cs="Cambria"/>
      <w:color w:val="000000"/>
      <w:sz w:val="24"/>
      <w:szCs w:val="24"/>
      <w:u w:color="000000"/>
      <w:lang w:val="en-US" w:eastAsia="es-ES" w:bidi="ar-SA"/>
    </w:rPr>
  </w:style>
  <w:style w:type="paragraph" w:customStyle="1" w:styleId="Cuerpo">
    <w:name w:val="Cuerpo"/>
    <w:uiPriority w:val="99"/>
    <w:rsid w:val="004759D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4759D9"/>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rsid w:val="00375B80"/>
    <w:rPr>
      <w:sz w:val="24"/>
      <w:szCs w:val="24"/>
      <w:lang w:val="en-US" w:eastAsia="en-US"/>
    </w:rPr>
  </w:style>
  <w:style w:type="paragraph" w:styleId="ListParagraph">
    <w:name w:val="List Paragraph"/>
    <w:basedOn w:val="Normal"/>
    <w:uiPriority w:val="99"/>
    <w:qFormat/>
    <w:rsid w:val="004759D9"/>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
    <w:basedOn w:val="Normal"/>
    <w:link w:val="FootnoteTextChar1"/>
    <w:uiPriority w:val="99"/>
    <w:rsid w:val="004759D9"/>
    <w:rPr>
      <w:rFonts w:ascii="Calibri" w:hAnsi="Calibri"/>
      <w:color w:val="000000"/>
      <w:sz w:val="20"/>
      <w:szCs w:val="20"/>
      <w:u w:color="000000"/>
      <w:lang w:eastAsia="es-PA"/>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semiHidden/>
    <w:rsid w:val="00375B80"/>
    <w:rPr>
      <w:sz w:val="20"/>
      <w:szCs w:val="20"/>
      <w:lang w:val="en-US" w:eastAsia="en-US"/>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1,Footnote symbol,Footnote,4_G,16 Point,Superscript 6 Point,Texto nota al pie,Ref,de nota al pie"/>
    <w:basedOn w:val="DefaultParagraphFont"/>
    <w:uiPriority w:val="99"/>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semiHidden/>
    <w:rsid w:val="0031535D"/>
    <w:pPr>
      <w:spacing w:after="120"/>
    </w:pPr>
  </w:style>
  <w:style w:type="character" w:customStyle="1" w:styleId="BodyTextChar">
    <w:name w:val="Body Text Char"/>
    <w:basedOn w:val="DefaultParagraphFont"/>
    <w:link w:val="BodyText"/>
    <w:uiPriority w:val="99"/>
    <w:semiHidden/>
    <w:locked/>
    <w:rsid w:val="0031535D"/>
    <w:rPr>
      <w:rFonts w:cs="Times New Roman"/>
      <w:sz w:val="24"/>
      <w:szCs w:val="24"/>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ink w:val="FootnoteText"/>
    <w:uiPriority w:val="99"/>
    <w:locked/>
    <w:rsid w:val="0031535D"/>
    <w:rPr>
      <w:rFonts w:ascii="Calibri" w:eastAsia="Times New Roman" w:hAnsi="Calibri"/>
      <w:color w:val="000000"/>
      <w:u w:color="000000"/>
      <w:lang w:val="en-US"/>
    </w:rPr>
  </w:style>
  <w:style w:type="paragraph" w:customStyle="1" w:styleId="Default">
    <w:name w:val="Default"/>
    <w:link w:val="DefaultChar"/>
    <w:uiPriority w:val="99"/>
    <w:rsid w:val="00DF1EC4"/>
    <w:pPr>
      <w:pBdr>
        <w:top w:val="none" w:sz="96" w:space="31" w:color="FFFFFF" w:frame="1"/>
        <w:left w:val="none" w:sz="96" w:space="31" w:color="FFFFFF" w:frame="1"/>
        <w:bottom w:val="none" w:sz="96" w:space="31" w:color="FFFFFF" w:frame="1"/>
        <w:right w:val="none" w:sz="96" w:space="31" w:color="FFFFFF" w:frame="1"/>
        <w:bar w:val="none" w:sz="0" w:color="000000"/>
      </w:pBdr>
      <w:autoSpaceDE w:val="0"/>
      <w:autoSpaceDN w:val="0"/>
      <w:adjustRightInd w:val="0"/>
    </w:pPr>
    <w:rPr>
      <w:rFonts w:eastAsia="Times New Roman"/>
      <w:color w:val="000000"/>
      <w:sz w:val="24"/>
      <w:szCs w:val="24"/>
      <w:lang w:val="en-US" w:eastAsia="en-US"/>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4"/>
      <w:lang w:val="en-US" w:eastAsia="en-US"/>
    </w:rPr>
  </w:style>
  <w:style w:type="table" w:styleId="TableGrid">
    <w:name w:val="Table Grid"/>
    <w:basedOn w:val="TableNormal"/>
    <w:uiPriority w:val="99"/>
    <w:rsid w:val="003239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B04D4"/>
    <w:rPr>
      <w:rFonts w:cs="Times New Roman"/>
      <w:sz w:val="16"/>
      <w:szCs w:val="16"/>
    </w:rPr>
  </w:style>
  <w:style w:type="paragraph" w:styleId="CommentText">
    <w:name w:val="annotation text"/>
    <w:basedOn w:val="Normal"/>
    <w:link w:val="CommentTextChar"/>
    <w:uiPriority w:val="99"/>
    <w:semiHidden/>
    <w:rsid w:val="000B04D4"/>
    <w:rPr>
      <w:sz w:val="20"/>
      <w:szCs w:val="20"/>
    </w:rPr>
  </w:style>
  <w:style w:type="character" w:customStyle="1" w:styleId="CommentTextChar">
    <w:name w:val="Comment Text Char"/>
    <w:basedOn w:val="DefaultParagraphFont"/>
    <w:link w:val="CommentText"/>
    <w:uiPriority w:val="99"/>
    <w:semiHidden/>
    <w:locked/>
    <w:rsid w:val="000B04D4"/>
    <w:rPr>
      <w:rFonts w:cs="Times New Roman"/>
      <w:lang w:val="en-US" w:eastAsia="en-US"/>
    </w:rPr>
  </w:style>
  <w:style w:type="paragraph" w:styleId="CommentSubject">
    <w:name w:val="annotation subject"/>
    <w:basedOn w:val="CommentText"/>
    <w:next w:val="CommentText"/>
    <w:link w:val="CommentSubjectChar"/>
    <w:uiPriority w:val="99"/>
    <w:semiHidden/>
    <w:rsid w:val="000B04D4"/>
    <w:rPr>
      <w:b/>
      <w:bCs/>
    </w:rPr>
  </w:style>
  <w:style w:type="character" w:customStyle="1" w:styleId="CommentSubjectChar">
    <w:name w:val="Comment Subject Char"/>
    <w:basedOn w:val="CommentTextChar"/>
    <w:link w:val="CommentSubject"/>
    <w:uiPriority w:val="99"/>
    <w:semiHidden/>
    <w:locked/>
    <w:rsid w:val="000B04D4"/>
    <w:rPr>
      <w:rFonts w:cs="Times New Roman"/>
      <w:b/>
      <w:bCs/>
      <w:lang w:val="en-US" w:eastAsia="en-US"/>
    </w:rPr>
  </w:style>
  <w:style w:type="paragraph" w:styleId="Revision">
    <w:name w:val="Revision"/>
    <w:hidden/>
    <w:uiPriority w:val="99"/>
    <w:semiHidden/>
    <w:rsid w:val="00D347F0"/>
    <w:rPr>
      <w:sz w:val="24"/>
      <w:szCs w:val="24"/>
      <w:lang w:val="en-US" w:eastAsia="en-US"/>
    </w:rPr>
  </w:style>
  <w:style w:type="numbering" w:customStyle="1" w:styleId="List16">
    <w:name w:val="List 16"/>
    <w:rsid w:val="00375B80"/>
    <w:pPr>
      <w:numPr>
        <w:numId w:val="53"/>
      </w:numPr>
    </w:pPr>
  </w:style>
  <w:style w:type="numbering" w:customStyle="1" w:styleId="List36">
    <w:name w:val="List 36"/>
    <w:rsid w:val="00375B80"/>
    <w:pPr>
      <w:numPr>
        <w:numId w:val="57"/>
      </w:numPr>
    </w:pPr>
  </w:style>
  <w:style w:type="numbering" w:customStyle="1" w:styleId="List25">
    <w:name w:val="List 25"/>
    <w:rsid w:val="00375B80"/>
    <w:pPr>
      <w:numPr>
        <w:numId w:val="58"/>
      </w:numPr>
    </w:pPr>
  </w:style>
  <w:style w:type="numbering" w:customStyle="1" w:styleId="List1">
    <w:name w:val="List 1"/>
    <w:rsid w:val="00375B80"/>
    <w:pPr>
      <w:numPr>
        <w:numId w:val="2"/>
      </w:numPr>
    </w:pPr>
  </w:style>
  <w:style w:type="numbering" w:customStyle="1" w:styleId="List11">
    <w:name w:val="List 11"/>
    <w:rsid w:val="00375B80"/>
    <w:pPr>
      <w:numPr>
        <w:numId w:val="20"/>
      </w:numPr>
    </w:pPr>
  </w:style>
  <w:style w:type="numbering" w:customStyle="1" w:styleId="List15">
    <w:name w:val="List 15"/>
    <w:rsid w:val="00375B80"/>
    <w:pPr>
      <w:numPr>
        <w:numId w:val="59"/>
      </w:numPr>
    </w:pPr>
  </w:style>
  <w:style w:type="numbering" w:customStyle="1" w:styleId="List14">
    <w:name w:val="List 14"/>
    <w:rsid w:val="00375B80"/>
    <w:pPr>
      <w:numPr>
        <w:numId w:val="60"/>
      </w:numPr>
    </w:pPr>
  </w:style>
  <w:style w:type="numbering" w:customStyle="1" w:styleId="List23">
    <w:name w:val="List 23"/>
    <w:rsid w:val="00375B80"/>
    <w:pPr>
      <w:numPr>
        <w:numId w:val="61"/>
      </w:numPr>
    </w:pPr>
  </w:style>
  <w:style w:type="numbering" w:customStyle="1" w:styleId="List19">
    <w:name w:val="List 19"/>
    <w:rsid w:val="00375B80"/>
    <w:pPr>
      <w:numPr>
        <w:numId w:val="62"/>
      </w:numPr>
    </w:pPr>
  </w:style>
  <w:style w:type="numbering" w:customStyle="1" w:styleId="List45">
    <w:name w:val="List 45"/>
    <w:rsid w:val="00375B80"/>
    <w:pPr>
      <w:numPr>
        <w:numId w:val="63"/>
      </w:numPr>
    </w:pPr>
  </w:style>
  <w:style w:type="numbering" w:customStyle="1" w:styleId="List40">
    <w:name w:val="List 40"/>
    <w:rsid w:val="00375B80"/>
    <w:pPr>
      <w:numPr>
        <w:numId w:val="64"/>
      </w:numPr>
    </w:pPr>
  </w:style>
  <w:style w:type="numbering" w:customStyle="1" w:styleId="List9">
    <w:name w:val="List 9"/>
    <w:rsid w:val="00375B80"/>
    <w:pPr>
      <w:numPr>
        <w:numId w:val="65"/>
      </w:numPr>
    </w:pPr>
  </w:style>
  <w:style w:type="numbering" w:customStyle="1" w:styleId="List43">
    <w:name w:val="List 43"/>
    <w:rsid w:val="00375B80"/>
    <w:pPr>
      <w:numPr>
        <w:numId w:val="66"/>
      </w:numPr>
    </w:pPr>
  </w:style>
  <w:style w:type="numbering" w:customStyle="1" w:styleId="List46">
    <w:name w:val="List 46"/>
    <w:rsid w:val="00375B80"/>
    <w:pPr>
      <w:numPr>
        <w:numId w:val="67"/>
      </w:numPr>
    </w:pPr>
  </w:style>
  <w:style w:type="numbering" w:customStyle="1" w:styleId="List35">
    <w:name w:val="List 35"/>
    <w:rsid w:val="00375B80"/>
    <w:pPr>
      <w:numPr>
        <w:numId w:val="35"/>
      </w:numPr>
    </w:pPr>
  </w:style>
  <w:style w:type="numbering" w:customStyle="1" w:styleId="List17">
    <w:name w:val="List 17"/>
    <w:rsid w:val="00375B80"/>
    <w:pPr>
      <w:numPr>
        <w:numId w:val="68"/>
      </w:numPr>
    </w:pPr>
  </w:style>
  <w:style w:type="numbering" w:customStyle="1" w:styleId="List33">
    <w:name w:val="List 33"/>
    <w:rsid w:val="00375B80"/>
    <w:pPr>
      <w:numPr>
        <w:numId w:val="69"/>
      </w:numPr>
    </w:pPr>
  </w:style>
  <w:style w:type="numbering" w:customStyle="1" w:styleId="List7">
    <w:name w:val="List 7"/>
    <w:rsid w:val="00375B80"/>
    <w:pPr>
      <w:numPr>
        <w:numId w:val="8"/>
      </w:numPr>
    </w:pPr>
  </w:style>
  <w:style w:type="numbering" w:customStyle="1" w:styleId="List18">
    <w:name w:val="List 18"/>
    <w:rsid w:val="00375B80"/>
    <w:pPr>
      <w:numPr>
        <w:numId w:val="70"/>
      </w:numPr>
    </w:pPr>
  </w:style>
  <w:style w:type="numbering" w:customStyle="1" w:styleId="List22">
    <w:name w:val="List 22"/>
    <w:rsid w:val="00375B80"/>
    <w:pPr>
      <w:numPr>
        <w:numId w:val="71"/>
      </w:numPr>
    </w:pPr>
  </w:style>
  <w:style w:type="numbering" w:customStyle="1" w:styleId="List47">
    <w:name w:val="List 47"/>
    <w:rsid w:val="00375B80"/>
    <w:pPr>
      <w:numPr>
        <w:numId w:val="72"/>
      </w:numPr>
    </w:pPr>
  </w:style>
  <w:style w:type="numbering" w:customStyle="1" w:styleId="List28">
    <w:name w:val="List 28"/>
    <w:rsid w:val="00375B80"/>
    <w:pPr>
      <w:numPr>
        <w:numId w:val="73"/>
      </w:numPr>
    </w:pPr>
  </w:style>
  <w:style w:type="numbering" w:customStyle="1" w:styleId="List10">
    <w:name w:val="List 10"/>
    <w:rsid w:val="00375B80"/>
    <w:pPr>
      <w:numPr>
        <w:numId w:val="11"/>
      </w:numPr>
    </w:pPr>
  </w:style>
  <w:style w:type="numbering" w:customStyle="1" w:styleId="List0">
    <w:name w:val="List 0"/>
    <w:rsid w:val="00375B80"/>
    <w:pPr>
      <w:numPr>
        <w:numId w:val="74"/>
      </w:numPr>
    </w:pPr>
  </w:style>
  <w:style w:type="numbering" w:customStyle="1" w:styleId="List30">
    <w:name w:val="List 30"/>
    <w:rsid w:val="00375B80"/>
    <w:pPr>
      <w:numPr>
        <w:numId w:val="75"/>
      </w:numPr>
    </w:pPr>
  </w:style>
  <w:style w:type="numbering" w:customStyle="1" w:styleId="List29">
    <w:name w:val="List 29"/>
    <w:rsid w:val="00375B80"/>
    <w:pPr>
      <w:numPr>
        <w:numId w:val="77"/>
      </w:numPr>
    </w:pPr>
  </w:style>
  <w:style w:type="numbering" w:customStyle="1" w:styleId="List38">
    <w:name w:val="List 38"/>
    <w:rsid w:val="00375B80"/>
    <w:pPr>
      <w:numPr>
        <w:numId w:val="78"/>
      </w:numPr>
    </w:pPr>
  </w:style>
  <w:style w:type="numbering" w:customStyle="1" w:styleId="List12">
    <w:name w:val="List 12"/>
    <w:rsid w:val="00375B80"/>
    <w:pPr>
      <w:numPr>
        <w:numId w:val="79"/>
      </w:numPr>
    </w:pPr>
  </w:style>
  <w:style w:type="numbering" w:customStyle="1" w:styleId="List50">
    <w:name w:val="List 50"/>
    <w:rsid w:val="00375B80"/>
    <w:pPr>
      <w:numPr>
        <w:numId w:val="80"/>
      </w:numPr>
    </w:pPr>
  </w:style>
  <w:style w:type="numbering" w:customStyle="1" w:styleId="List34">
    <w:name w:val="List 34"/>
    <w:rsid w:val="00375B80"/>
    <w:pPr>
      <w:numPr>
        <w:numId w:val="54"/>
      </w:numPr>
    </w:pPr>
  </w:style>
  <w:style w:type="numbering" w:customStyle="1" w:styleId="List42">
    <w:name w:val="List 42"/>
    <w:rsid w:val="00375B80"/>
    <w:pPr>
      <w:numPr>
        <w:numId w:val="55"/>
      </w:numPr>
    </w:pPr>
  </w:style>
  <w:style w:type="numbering" w:customStyle="1" w:styleId="List49">
    <w:name w:val="List 49"/>
    <w:rsid w:val="00375B80"/>
    <w:pPr>
      <w:numPr>
        <w:numId w:val="82"/>
      </w:numPr>
    </w:pPr>
  </w:style>
  <w:style w:type="numbering" w:customStyle="1" w:styleId="List44">
    <w:name w:val="List 44"/>
    <w:rsid w:val="00375B80"/>
    <w:pPr>
      <w:numPr>
        <w:numId w:val="83"/>
      </w:numPr>
    </w:pPr>
  </w:style>
  <w:style w:type="numbering" w:customStyle="1" w:styleId="List21">
    <w:name w:val="List 21"/>
    <w:rsid w:val="00375B80"/>
    <w:pPr>
      <w:numPr>
        <w:numId w:val="95"/>
      </w:numPr>
    </w:pPr>
  </w:style>
  <w:style w:type="numbering" w:customStyle="1" w:styleId="List52">
    <w:name w:val="List 52"/>
    <w:rsid w:val="00375B80"/>
    <w:pPr>
      <w:numPr>
        <w:numId w:val="52"/>
      </w:numPr>
    </w:pPr>
  </w:style>
  <w:style w:type="numbering" w:customStyle="1" w:styleId="List24">
    <w:name w:val="List 24"/>
    <w:rsid w:val="00375B80"/>
    <w:pPr>
      <w:numPr>
        <w:numId w:val="56"/>
      </w:numPr>
    </w:pPr>
  </w:style>
  <w:style w:type="numbering" w:customStyle="1" w:styleId="List51">
    <w:name w:val="List 51"/>
    <w:rsid w:val="00375B80"/>
    <w:pPr>
      <w:numPr>
        <w:numId w:val="98"/>
      </w:numPr>
    </w:pPr>
  </w:style>
  <w:style w:type="numbering" w:customStyle="1" w:styleId="List27">
    <w:name w:val="List 27"/>
    <w:rsid w:val="00375B80"/>
    <w:pPr>
      <w:numPr>
        <w:numId w:val="84"/>
      </w:numPr>
    </w:pPr>
  </w:style>
  <w:style w:type="numbering" w:customStyle="1" w:styleId="List8">
    <w:name w:val="List 8"/>
    <w:rsid w:val="00375B80"/>
    <w:pPr>
      <w:numPr>
        <w:numId w:val="9"/>
      </w:numPr>
    </w:pPr>
  </w:style>
  <w:style w:type="numbering" w:customStyle="1" w:styleId="List13">
    <w:name w:val="List 13"/>
    <w:rsid w:val="00375B80"/>
    <w:pPr>
      <w:numPr>
        <w:numId w:val="85"/>
      </w:numPr>
    </w:pPr>
  </w:style>
  <w:style w:type="numbering" w:customStyle="1" w:styleId="List20">
    <w:name w:val="List 20"/>
    <w:rsid w:val="00375B80"/>
    <w:pPr>
      <w:numPr>
        <w:numId w:val="86"/>
      </w:numPr>
    </w:pPr>
  </w:style>
  <w:style w:type="numbering" w:customStyle="1" w:styleId="List41">
    <w:name w:val="List 41"/>
    <w:rsid w:val="00375B80"/>
    <w:pPr>
      <w:numPr>
        <w:numId w:val="87"/>
      </w:numPr>
    </w:pPr>
  </w:style>
  <w:style w:type="numbering" w:customStyle="1" w:styleId="List31">
    <w:name w:val="List 31"/>
    <w:rsid w:val="00375B80"/>
    <w:pPr>
      <w:numPr>
        <w:numId w:val="88"/>
      </w:numPr>
    </w:pPr>
  </w:style>
  <w:style w:type="numbering" w:customStyle="1" w:styleId="List6">
    <w:name w:val="List 6"/>
    <w:rsid w:val="00375B80"/>
    <w:pPr>
      <w:numPr>
        <w:numId w:val="7"/>
      </w:numPr>
    </w:pPr>
  </w:style>
  <w:style w:type="numbering" w:customStyle="1" w:styleId="List39">
    <w:name w:val="List 39"/>
    <w:rsid w:val="00375B80"/>
    <w:pPr>
      <w:numPr>
        <w:numId w:val="89"/>
      </w:numPr>
    </w:pPr>
  </w:style>
  <w:style w:type="numbering" w:customStyle="1" w:styleId="List37">
    <w:name w:val="List 37"/>
    <w:rsid w:val="00375B80"/>
    <w:pPr>
      <w:numPr>
        <w:numId w:val="90"/>
      </w:numPr>
    </w:pPr>
  </w:style>
  <w:style w:type="numbering" w:customStyle="1" w:styleId="List32">
    <w:name w:val="List 32"/>
    <w:rsid w:val="00375B80"/>
    <w:pPr>
      <w:numPr>
        <w:numId w:val="91"/>
      </w:numPr>
    </w:pPr>
  </w:style>
  <w:style w:type="numbering" w:customStyle="1" w:styleId="List26">
    <w:name w:val="List 26"/>
    <w:rsid w:val="00375B80"/>
    <w:pPr>
      <w:numPr>
        <w:numId w:val="92"/>
      </w:numPr>
    </w:pPr>
  </w:style>
  <w:style w:type="numbering" w:customStyle="1" w:styleId="List48">
    <w:name w:val="List 48"/>
    <w:rsid w:val="00375B80"/>
    <w:pPr>
      <w:numPr>
        <w:numId w:val="9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7176">
      <w:marLeft w:val="0"/>
      <w:marRight w:val="0"/>
      <w:marTop w:val="0"/>
      <w:marBottom w:val="0"/>
      <w:divBdr>
        <w:top w:val="none" w:sz="0" w:space="0" w:color="auto"/>
        <w:left w:val="none" w:sz="0" w:space="0" w:color="auto"/>
        <w:bottom w:val="none" w:sz="0" w:space="0" w:color="auto"/>
        <w:right w:val="none" w:sz="0" w:space="0" w:color="auto"/>
      </w:divBdr>
    </w:div>
    <w:div w:id="544771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0.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3168</Words>
  <Characters>16573</Characters>
  <Application>Microsoft Office Word</Application>
  <DocSecurity>0</DocSecurity>
  <Lines>285</Lines>
  <Paragraphs>72</Paragraphs>
  <ScaleCrop>false</ScaleCrop>
  <Company/>
  <LinksUpToDate>false</LinksUpToDate>
  <CharactersWithSpaces>19669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139/20</dc:title>
  <dc:subject/>
  <dc:creator/>
  <cp:keywords/>
  <dc:description/>
  <cp:lastModifiedBy/>
  <cp:revision>1</cp:revision>
  <dcterms:created xsi:type="dcterms:W3CDTF">2020-07-13T13:12:00Z</dcterms:created>
  <dcterms:modified xsi:type="dcterms:W3CDTF">2020-07-13T13:13:00Z</dcterms:modified>
</cp:coreProperties>
</file>