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EE" w:rsidRPr="00006B74" w:rsidRDefault="00CD1448"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bookmarkStart w:id="0" w:name="_GoBack"/>
      <w:bookmarkEnd w:id="0"/>
      <w:r>
        <w:rPr>
          <w:noProof/>
          <w:lang w:val="es-PA" w:eastAsia="es-PA"/>
        </w:rPr>
        <w:pict>
          <v:rect id="Rectangle 1" o:spid="_x0000_s1026" style="position:absolute;left:0;text-align:left;margin-left:-32.75pt;margin-top:-34.6pt;width:121.5pt;height:716.2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Pr>
          <w:noProof/>
          <w:lang w:val="es-PA" w:eastAsia="es-PA"/>
        </w:rPr>
        <w:pict>
          <v:shapetype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F1EEE" w:rsidRDefault="00CD1448" w:rsidP="00AE5488">
                  <w:pPr>
                    <w:pBdr>
                      <w:top w:val="none" w:sz="0" w:space="0" w:color="auto"/>
                      <w:left w:val="none" w:sz="0" w:space="0" w:color="auto"/>
                      <w:bottom w:val="none" w:sz="0" w:space="0" w:color="auto"/>
                      <w:right w:val="none" w:sz="0" w:space="0" w:color="auto"/>
                      <w:bar w:val="none" w:sz="0" w:color="auto"/>
                    </w:pBdr>
                  </w:pPr>
                  <w:r>
                    <w:rPr>
                      <w:noProof/>
                      <w:lang w:val="es-PA" w:eastAsia="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7pt;height:39.75pt;visibility:visible">
                        <v:imagedata r:id="rId8" o:title=""/>
                      </v:shape>
                    </w:pict>
                  </w:r>
                  <w:r w:rsidR="003F1EEE">
                    <w:tab/>
                    <w:t xml:space="preserve">                              </w:t>
                  </w:r>
                </w:p>
              </w:txbxContent>
            </v:textbox>
          </v:shape>
        </w:pict>
      </w: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3F1EEE" w:rsidRPr="00006B74" w:rsidRDefault="003F1EEE"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CD144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lang w:val="es-PA" w:eastAsia="es-PA"/>
        </w:rPr>
        <w:pict>
          <v:shape id="Text Box 5" o:spid="_x0000_s1028" type="#_x0000_t202" style="position:absolute;left:0;text-align:left;margin-left:106.5pt;margin-top:8.45pt;width:349.7pt;height:171.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F1EEE" w:rsidRPr="000B3059" w:rsidRDefault="003F1EEE"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0B3059">
                    <w:rPr>
                      <w:rFonts w:ascii="Cambria" w:hAnsi="Cambria" w:cs="Arial"/>
                      <w:b/>
                      <w:bCs/>
                      <w:color w:val="0D0D0D"/>
                      <w:sz w:val="36"/>
                      <w:szCs w:val="22"/>
                      <w:lang w:val="es-ES_tradnl"/>
                    </w:rPr>
                    <w:t xml:space="preserve">INFORME </w:t>
                  </w:r>
                  <w:r w:rsidRPr="000B3059">
                    <w:rPr>
                      <w:rFonts w:ascii="Cambria" w:hAnsi="Cambria" w:cs="Arial"/>
                      <w:b/>
                      <w:bCs/>
                      <w:color w:val="0D0D0D"/>
                      <w:sz w:val="36"/>
                      <w:szCs w:val="40"/>
                      <w:lang w:val="es-ES_tradnl"/>
                    </w:rPr>
                    <w:t>No.</w:t>
                  </w:r>
                  <w:r w:rsidR="00CA6EA1">
                    <w:rPr>
                      <w:rFonts w:ascii="Cambria" w:hAnsi="Cambria" w:cs="Arial"/>
                      <w:b/>
                      <w:bCs/>
                      <w:color w:val="0D0D0D"/>
                      <w:sz w:val="36"/>
                      <w:szCs w:val="22"/>
                      <w:lang w:val="es-ES_tradnl"/>
                    </w:rPr>
                    <w:t xml:space="preserve"> 156</w:t>
                  </w:r>
                  <w:r w:rsidRPr="000B3059">
                    <w:rPr>
                      <w:rFonts w:ascii="Cambria" w:hAnsi="Cambria" w:cs="Arial"/>
                      <w:b/>
                      <w:bCs/>
                      <w:color w:val="0D0D0D"/>
                      <w:sz w:val="36"/>
                      <w:szCs w:val="22"/>
                      <w:lang w:val="es-ES_tradnl"/>
                    </w:rPr>
                    <w:t>/20</w:t>
                  </w:r>
                </w:p>
                <w:p w:rsidR="003F1EEE" w:rsidRPr="000B3059" w:rsidRDefault="003F1EEE" w:rsidP="00CC395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0B3059">
                    <w:rPr>
                      <w:rFonts w:ascii="Cambria" w:hAnsi="Cambria" w:cs="Arial"/>
                      <w:b/>
                      <w:color w:val="0D0D0D"/>
                      <w:sz w:val="36"/>
                      <w:szCs w:val="22"/>
                      <w:lang w:val="es-ES_tradnl"/>
                    </w:rPr>
                    <w:t>PETICIÓN 1387-09</w:t>
                  </w:r>
                </w:p>
                <w:p w:rsidR="003F1EEE" w:rsidRPr="000B3059" w:rsidRDefault="003F1EEE" w:rsidP="00CC395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B3059">
                    <w:rPr>
                      <w:rFonts w:ascii="Cambria" w:hAnsi="Cambria" w:cs="Arial"/>
                      <w:color w:val="0D0D0D"/>
                      <w:szCs w:val="22"/>
                      <w:lang w:val="es-ES_tradnl"/>
                    </w:rPr>
                    <w:t xml:space="preserve">INFORME DE </w:t>
                  </w:r>
                  <w:r>
                    <w:rPr>
                      <w:rFonts w:ascii="Cambria" w:hAnsi="Cambria" w:cs="Arial"/>
                      <w:color w:val="0D0D0D"/>
                      <w:szCs w:val="22"/>
                      <w:lang w:val="es-ES_tradnl"/>
                    </w:rPr>
                    <w:t>IN</w:t>
                  </w:r>
                  <w:r w:rsidRPr="000B3059">
                    <w:rPr>
                      <w:rFonts w:ascii="Cambria" w:hAnsi="Cambria" w:cs="Arial"/>
                      <w:color w:val="0D0D0D"/>
                      <w:szCs w:val="22"/>
                      <w:lang w:val="es-ES_tradnl"/>
                    </w:rPr>
                    <w:t xml:space="preserve">ADMISIBILIDAD </w:t>
                  </w:r>
                </w:p>
                <w:p w:rsidR="003F1EEE" w:rsidRPr="000B3059" w:rsidRDefault="003F1EEE" w:rsidP="00CC395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3F1EEE" w:rsidRPr="000B3059" w:rsidRDefault="003F1EEE" w:rsidP="00CC395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B3059">
                    <w:rPr>
                      <w:rFonts w:ascii="Cambria" w:hAnsi="Cambria" w:cs="Arial"/>
                      <w:color w:val="0D0D0D"/>
                      <w:szCs w:val="22"/>
                      <w:lang w:val="es-ES_tradnl"/>
                    </w:rPr>
                    <w:t>HERBERT HASENGRUBER</w:t>
                  </w:r>
                </w:p>
                <w:bookmarkEnd w:id="1"/>
                <w:p w:rsidR="003F1EEE" w:rsidRPr="000B3059" w:rsidRDefault="003F1EEE" w:rsidP="00CC395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B3059">
                    <w:rPr>
                      <w:rFonts w:ascii="Cambria" w:hAnsi="Cambria" w:cs="Arial"/>
                      <w:color w:val="0D0D0D"/>
                      <w:szCs w:val="22"/>
                      <w:lang w:val="es-ES_tradnl"/>
                    </w:rPr>
                    <w:t>PARAGUAY</w:t>
                  </w:r>
                  <w:r w:rsidRPr="000B3059">
                    <w:rPr>
                      <w:rFonts w:ascii="Cambria" w:hAnsi="Cambria" w:cs="Arial"/>
                      <w:color w:val="0D0D0D"/>
                      <w:szCs w:val="22"/>
                      <w:lang w:val="es-ES_tradnl"/>
                    </w:rPr>
                    <w:tab/>
                  </w:r>
                </w:p>
                <w:p w:rsidR="003F1EEE" w:rsidRPr="000B3059" w:rsidRDefault="003F1EEE"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w:r>
      <w:r>
        <w:rPr>
          <w:noProof/>
          <w:lang w:val="es-PA" w:eastAsia="es-PA"/>
        </w:rPr>
        <w:pict>
          <v:shape id="Text Box 8" o:spid="_x0000_s1029" type="#_x0000_t202" style="position:absolute;left:0;text-align:left;margin-left:-27pt;margin-top:12.95pt;width:109.5pt;height:108.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F1EEE" w:rsidRPr="000B3059" w:rsidRDefault="00CA6EA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3F1EEE" w:rsidRPr="000B3059" w:rsidRDefault="00CA6EA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166</w:t>
                  </w:r>
                </w:p>
                <w:p w:rsidR="003F1EEE" w:rsidRPr="000B3059" w:rsidRDefault="00CA6EA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12 mayo</w:t>
                  </w:r>
                  <w:r w:rsidR="003F1EEE" w:rsidRPr="000B3059">
                    <w:rPr>
                      <w:rFonts w:ascii="Calibri" w:hAnsi="Calibri"/>
                      <w:color w:val="FFFFFF"/>
                      <w:sz w:val="22"/>
                      <w:lang w:val="es-ES"/>
                    </w:rPr>
                    <w:t xml:space="preserve"> 2020</w:t>
                  </w:r>
                </w:p>
                <w:p w:rsidR="003F1EEE" w:rsidRPr="000B3059" w:rsidRDefault="003F1EEE"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0B3059">
                    <w:rPr>
                      <w:rFonts w:ascii="Calibri" w:hAnsi="Calibri"/>
                      <w:color w:val="FFFFFF"/>
                      <w:sz w:val="22"/>
                      <w:lang w:val="es-ES"/>
                    </w:rPr>
                    <w:t>Original: español</w:t>
                  </w:r>
                </w:p>
              </w:txbxContent>
            </v:textbox>
          </v:shape>
        </w:pict>
      </w: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CD144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lang w:val="es-PA" w:eastAsia="es-PA"/>
        </w:rPr>
        <w:pict>
          <v:shape id="Text Box 7" o:spid="_x0000_s1030" type="#_x0000_t202" style="position:absolute;left:0;text-align:left;margin-left:105.65pt;margin-top:1.8pt;width:388.5pt;height:52.3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F1EEE" w:rsidRPr="000B3059" w:rsidRDefault="003F1EEE"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0B3059">
                    <w:rPr>
                      <w:rFonts w:ascii="Cambria" w:hAnsi="Cambria"/>
                      <w:color w:val="0D0D0D"/>
                      <w:sz w:val="18"/>
                      <w:szCs w:val="22"/>
                      <w:lang w:val="es-ES"/>
                    </w:rPr>
                    <w:t xml:space="preserve">Aprobado </w:t>
                  </w:r>
                  <w:proofErr w:type="spellStart"/>
                  <w:r w:rsidRPr="000B3059">
                    <w:rPr>
                      <w:rFonts w:ascii="Cambria" w:hAnsi="Cambria"/>
                      <w:color w:val="0D0D0D"/>
                      <w:sz w:val="18"/>
                      <w:szCs w:val="22"/>
                      <w:lang w:val="es-ES"/>
                    </w:rPr>
                    <w:t>electr</w:t>
                  </w:r>
                  <w:r w:rsidRPr="000B3059">
                    <w:rPr>
                      <w:rFonts w:ascii="Cambria" w:hAnsi="Cambria"/>
                      <w:color w:val="0D0D0D"/>
                      <w:sz w:val="18"/>
                      <w:szCs w:val="22"/>
                      <w:lang w:val="es-ES_tradnl"/>
                    </w:rPr>
                    <w:t>ónicamente</w:t>
                  </w:r>
                  <w:proofErr w:type="spellEnd"/>
                  <w:r w:rsidRPr="000B3059">
                    <w:rPr>
                      <w:rFonts w:ascii="Cambria" w:hAnsi="Cambria"/>
                      <w:color w:val="0D0D0D"/>
                      <w:sz w:val="18"/>
                      <w:szCs w:val="22"/>
                      <w:lang w:val="es-ES"/>
                    </w:rPr>
                    <w:t xml:space="preserve"> por la Comisión el </w:t>
                  </w:r>
                  <w:r w:rsidR="00CA6EA1">
                    <w:rPr>
                      <w:rFonts w:ascii="Cambria" w:hAnsi="Cambria"/>
                      <w:color w:val="0D0D0D"/>
                      <w:sz w:val="18"/>
                      <w:szCs w:val="22"/>
                      <w:lang w:val="es-ES"/>
                    </w:rPr>
                    <w:t>12</w:t>
                  </w:r>
                  <w:r w:rsidRPr="000B3059">
                    <w:rPr>
                      <w:rFonts w:ascii="Cambria" w:hAnsi="Cambria"/>
                      <w:color w:val="0D0D0D"/>
                      <w:sz w:val="18"/>
                      <w:szCs w:val="22"/>
                      <w:lang w:val="es-ES"/>
                    </w:rPr>
                    <w:t xml:space="preserve"> de </w:t>
                  </w:r>
                  <w:r w:rsidR="00CA6EA1">
                    <w:rPr>
                      <w:rFonts w:ascii="Cambria" w:hAnsi="Cambria"/>
                      <w:color w:val="0D0D0D"/>
                      <w:sz w:val="18"/>
                      <w:szCs w:val="22"/>
                      <w:lang w:val="es-ES"/>
                    </w:rPr>
                    <w:t>mayo</w:t>
                  </w:r>
                  <w:r w:rsidRPr="000B3059">
                    <w:rPr>
                      <w:rFonts w:ascii="Cambria" w:hAnsi="Cambria"/>
                      <w:color w:val="0D0D0D"/>
                      <w:sz w:val="18"/>
                      <w:szCs w:val="22"/>
                      <w:lang w:val="es-ES"/>
                    </w:rPr>
                    <w:t xml:space="preserve"> de 2020</w:t>
                  </w:r>
                  <w:r w:rsidR="00540AB4">
                    <w:rPr>
                      <w:rFonts w:ascii="Cambria" w:hAnsi="Cambria"/>
                      <w:color w:val="0D0D0D"/>
                      <w:sz w:val="18"/>
                      <w:szCs w:val="22"/>
                      <w:lang w:val="es-ES"/>
                    </w:rPr>
                    <w:t>.</w:t>
                  </w:r>
                </w:p>
                <w:p w:rsidR="003F1EEE" w:rsidRPr="000B3059" w:rsidRDefault="003F1EEE"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3F1EEE" w:rsidRPr="000B3059" w:rsidRDefault="003F1EEE"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w: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CD144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lang w:val="es-PA" w:eastAsia="es-PA"/>
        </w:rPr>
        <w:pict>
          <v:shape id="Text Box 10" o:spid="_x0000_s1031" type="#_x0000_t202" style="position:absolute;left:0;text-align:left;margin-left:105pt;margin-top:.45pt;width:389.25pt;height:51.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F1EEE" w:rsidRPr="000B3059" w:rsidRDefault="003F1EEE"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0B3059">
                    <w:rPr>
                      <w:rFonts w:ascii="Cambria" w:hAnsi="Cambria"/>
                      <w:b/>
                      <w:color w:val="595959"/>
                      <w:sz w:val="18"/>
                      <w:szCs w:val="18"/>
                      <w:lang w:val="pt-BR"/>
                    </w:rPr>
                    <w:t>Citar como:</w:t>
                  </w:r>
                  <w:r w:rsidRPr="000B3059">
                    <w:rPr>
                      <w:rFonts w:ascii="Cambria" w:hAnsi="Cambria"/>
                      <w:color w:val="595959"/>
                      <w:sz w:val="18"/>
                      <w:szCs w:val="18"/>
                      <w:lang w:val="pt-BR"/>
                    </w:rPr>
                    <w:t xml:space="preserve"> CIDH, Informe No. </w:t>
                  </w:r>
                  <w:r w:rsidR="00CA6EA1" w:rsidRPr="00CA6EA1">
                    <w:rPr>
                      <w:rFonts w:ascii="Cambria" w:hAnsi="Cambria"/>
                      <w:color w:val="595959"/>
                      <w:sz w:val="18"/>
                      <w:szCs w:val="18"/>
                      <w:lang w:val="pt-BR"/>
                    </w:rPr>
                    <w:t>156</w:t>
                  </w:r>
                  <w:r w:rsidRPr="00CA6EA1">
                    <w:rPr>
                      <w:rFonts w:ascii="Cambria" w:hAnsi="Cambria"/>
                      <w:color w:val="595959"/>
                      <w:sz w:val="18"/>
                      <w:szCs w:val="18"/>
                      <w:lang w:val="pt-BR"/>
                    </w:rPr>
                    <w:t>/20.</w:t>
                  </w:r>
                  <w:r w:rsidR="00540AB4">
                    <w:rPr>
                      <w:rFonts w:ascii="Cambria" w:hAnsi="Cambria"/>
                      <w:color w:val="595959"/>
                      <w:sz w:val="18"/>
                      <w:szCs w:val="18"/>
                      <w:lang w:val="pt-BR"/>
                    </w:rPr>
                    <w:t xml:space="preserve"> Petición 1387-09.</w:t>
                  </w:r>
                  <w:r w:rsidRPr="00CA6EA1">
                    <w:rPr>
                      <w:rFonts w:ascii="Cambria" w:hAnsi="Cambria"/>
                      <w:color w:val="595959"/>
                      <w:sz w:val="18"/>
                      <w:szCs w:val="18"/>
                      <w:lang w:val="pt-BR"/>
                    </w:rPr>
                    <w:t xml:space="preserve"> </w:t>
                  </w:r>
                  <w:r>
                    <w:rPr>
                      <w:rFonts w:ascii="Cambria" w:hAnsi="Cambria"/>
                      <w:color w:val="595959"/>
                      <w:sz w:val="18"/>
                      <w:szCs w:val="18"/>
                      <w:lang w:val="es-ES_tradnl"/>
                    </w:rPr>
                    <w:t>Ina</w:t>
                  </w:r>
                  <w:r w:rsidRPr="000B3059">
                    <w:rPr>
                      <w:rFonts w:ascii="Cambria" w:hAnsi="Cambria"/>
                      <w:color w:val="595959"/>
                      <w:sz w:val="18"/>
                      <w:szCs w:val="18"/>
                      <w:lang w:val="es-ES_tradnl"/>
                    </w:rPr>
                    <w:t xml:space="preserve">dmisibilidad. Herbert </w:t>
                  </w:r>
                  <w:proofErr w:type="spellStart"/>
                  <w:r w:rsidRPr="000B3059">
                    <w:rPr>
                      <w:rFonts w:ascii="Cambria" w:hAnsi="Cambria"/>
                      <w:color w:val="595959"/>
                      <w:sz w:val="18"/>
                      <w:szCs w:val="18"/>
                      <w:lang w:val="es-ES_tradnl"/>
                    </w:rPr>
                    <w:t>Hasengruber</w:t>
                  </w:r>
                  <w:proofErr w:type="spellEnd"/>
                  <w:r w:rsidRPr="000B3059">
                    <w:rPr>
                      <w:rFonts w:ascii="Cambria" w:hAnsi="Cambria"/>
                      <w:color w:val="595959"/>
                      <w:sz w:val="18"/>
                      <w:szCs w:val="18"/>
                      <w:lang w:val="es-ES_tradnl"/>
                    </w:rPr>
                    <w:t xml:space="preserve">. Paraguay. </w:t>
                  </w:r>
                  <w:r w:rsidR="00CA6EA1">
                    <w:rPr>
                      <w:rFonts w:ascii="Cambria" w:hAnsi="Cambria"/>
                      <w:color w:val="595959"/>
                      <w:sz w:val="18"/>
                      <w:szCs w:val="18"/>
                      <w:lang w:val="es-ES"/>
                    </w:rPr>
                    <w:t>12 de mayo de 2020.</w:t>
                  </w:r>
                </w:p>
              </w:txbxContent>
            </v:textbox>
          </v:shape>
        </w:pict>
      </w:r>
    </w:p>
    <w:p w:rsidR="003F1EEE" w:rsidRPr="00006B74" w:rsidRDefault="003F1EE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3F1EEE" w:rsidRPr="00006B74" w:rsidRDefault="00CD1448"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lang w:val="es-PA" w:eastAsia="es-PA"/>
        </w:rPr>
        <w:pict>
          <v:shape id="Text Box 4" o:spid="_x0000_s1033" type="#_x0000_t202" style="position:absolute;left:0;text-align:left;margin-left:-21.45pt;margin-top:72.05pt;width:93pt;height:26.2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F1EEE" w:rsidRPr="000B3059" w:rsidRDefault="003F1EEE"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B3059">
                    <w:rPr>
                      <w:rFonts w:ascii="Calibri" w:hAnsi="Calibri"/>
                      <w:b/>
                      <w:color w:val="FFFFFF"/>
                      <w:lang w:val="pt-BR"/>
                    </w:rPr>
                    <w:t>www.cidh.org</w:t>
                  </w:r>
                </w:p>
              </w:txbxContent>
            </v:textbox>
          </v:shape>
        </w:pict>
      </w:r>
    </w:p>
    <w:p w:rsidR="003F1EEE" w:rsidRPr="00006B74" w:rsidRDefault="00CD1448"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3F1EEE"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rtlGutter/>
          <w:docGrid w:linePitch="326"/>
        </w:sectPr>
      </w:pPr>
      <w:r>
        <w:rPr>
          <w:noProof/>
          <w:lang w:val="es-PA" w:eastAsia="es-PA"/>
        </w:rPr>
        <w:pict>
          <v:shape id="Text Box 9" o:spid="_x0000_s1032" type="#_x0000_t202" style="position:absolute;left:0;text-align:left;margin-left:100.95pt;margin-top:43.25pt;width:145.55pt;height:41.5pt;z-index:7;visibility:visible;mso-wrap-style:none" stroked="f" strokeweight=".5pt">
            <v:textbox style="mso-fit-shape-to-text:t">
              <w:txbxContent>
                <w:p w:rsidR="003F1EEE" w:rsidRPr="000B3059" w:rsidRDefault="00CD1448"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lang w:val="es-PA" w:eastAsia="es-PA"/>
                    </w:rPr>
                    <w:pict>
                      <v:shape id="Picture 15" o:spid="_x0000_i1026" type="#_x0000_t75" style="width:131.25pt;height:34.5pt;visibility:visible">
                        <v:imagedata r:id="rId15" o:title=""/>
                      </v:shape>
                    </w:pict>
                  </w:r>
                </w:p>
              </w:txbxContent>
            </v:textbox>
          </v:shape>
        </w:pict>
      </w:r>
      <w:r w:rsidR="003F1EEE" w:rsidRPr="00006B74">
        <w:rPr>
          <w:rFonts w:ascii="Cambria" w:hAnsi="Cambria"/>
          <w:b/>
          <w:sz w:val="20"/>
          <w:lang w:val="es-ES"/>
        </w:rPr>
        <w:tab/>
      </w:r>
    </w:p>
    <w:p w:rsidR="003F1EEE" w:rsidRPr="00006B74" w:rsidRDefault="003F1EEE"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3F1EEE" w:rsidRPr="001B4C00" w:rsidTr="000B3059">
        <w:tc>
          <w:tcPr>
            <w:tcW w:w="2790" w:type="dxa"/>
            <w:tcBorders>
              <w:top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Parte peticionaria</w:t>
            </w:r>
          </w:p>
        </w:tc>
        <w:tc>
          <w:tcPr>
            <w:tcW w:w="6570" w:type="dxa"/>
            <w:tcBorders>
              <w:top w:val="single" w:sz="4" w:space="0" w:color="auto"/>
            </w:tcBorders>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20"/>
                <w:szCs w:val="20"/>
              </w:rPr>
              <w:t xml:space="preserve">Herbert </w:t>
            </w:r>
            <w:proofErr w:type="spellStart"/>
            <w:r w:rsidRPr="000B3059">
              <w:rPr>
                <w:rFonts w:ascii="Cambria" w:hAnsi="Cambria"/>
                <w:bCs/>
                <w:sz w:val="20"/>
                <w:szCs w:val="20"/>
              </w:rPr>
              <w:t>Hasengruber</w:t>
            </w:r>
            <w:proofErr w:type="spellEnd"/>
          </w:p>
        </w:tc>
      </w:tr>
      <w:tr w:rsidR="003F1EEE" w:rsidRPr="001B4C00" w:rsidTr="000B3059">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Presunta víctima</w:t>
            </w:r>
          </w:p>
        </w:tc>
        <w:tc>
          <w:tcPr>
            <w:tcW w:w="6570" w:type="dxa"/>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20"/>
                <w:szCs w:val="20"/>
                <w:lang w:val="es-ES"/>
              </w:rPr>
              <w:t xml:space="preserve">Herbert </w:t>
            </w:r>
            <w:proofErr w:type="spellStart"/>
            <w:r w:rsidRPr="000B3059">
              <w:rPr>
                <w:rFonts w:ascii="Cambria" w:hAnsi="Cambria"/>
                <w:bCs/>
                <w:sz w:val="20"/>
                <w:szCs w:val="20"/>
                <w:lang w:val="es-ES"/>
              </w:rPr>
              <w:t>Hasengruber</w:t>
            </w:r>
            <w:proofErr w:type="spellEnd"/>
          </w:p>
        </w:tc>
      </w:tr>
      <w:tr w:rsidR="003F1EEE" w:rsidRPr="00006B74" w:rsidTr="000B3059">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Estado denunciado</w:t>
            </w:r>
          </w:p>
        </w:tc>
        <w:tc>
          <w:tcPr>
            <w:tcW w:w="6570" w:type="dxa"/>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Paraguay</w:t>
            </w:r>
          </w:p>
        </w:tc>
      </w:tr>
      <w:tr w:rsidR="003F1EEE" w:rsidRPr="00540AB4" w:rsidTr="000B3059">
        <w:tc>
          <w:tcPr>
            <w:tcW w:w="2790" w:type="dxa"/>
            <w:tcBorders>
              <w:bottom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Derechos invocados</w:t>
            </w:r>
          </w:p>
        </w:tc>
        <w:tc>
          <w:tcPr>
            <w:tcW w:w="6570" w:type="dxa"/>
            <w:tcBorders>
              <w:bottom w:val="single" w:sz="4" w:space="0" w:color="auto"/>
            </w:tcBorders>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20"/>
                <w:szCs w:val="20"/>
                <w:lang w:val="es-PA"/>
              </w:rPr>
              <w:t>Refiere sin especificar artículos violaciones a la Convención Americana Sobre Derechos Humanos</w:t>
            </w:r>
            <w:r w:rsidRPr="000B3059">
              <w:rPr>
                <w:rStyle w:val="FootnoteReference"/>
                <w:rFonts w:ascii="Cambria" w:hAnsi="Cambria"/>
                <w:bCs/>
                <w:sz w:val="20"/>
                <w:szCs w:val="20"/>
                <w:lang w:val="es-PA"/>
              </w:rPr>
              <w:footnoteReference w:id="2"/>
            </w:r>
          </w:p>
        </w:tc>
      </w:tr>
    </w:tbl>
    <w:p w:rsidR="003F1EEE" w:rsidRPr="00006B74" w:rsidRDefault="003F1EEE"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II.</w:t>
      </w:r>
      <w:r w:rsidRPr="00006B74">
        <w:rPr>
          <w:rFonts w:ascii="Cambria" w:hAnsi="Cambria"/>
          <w:b/>
          <w:bCs/>
          <w:sz w:val="20"/>
          <w:szCs w:val="20"/>
          <w:lang w:val="es-ES"/>
        </w:rPr>
        <w:tab/>
        <w:t>TRÁMITE ANTE LA CIDH</w:t>
      </w:r>
      <w:r w:rsidRPr="00006B74">
        <w:rPr>
          <w:rStyle w:val="FootnoteReference"/>
          <w:rFonts w:ascii="Cambria" w:hAnsi="Cambria"/>
          <w:b/>
          <w:sz w:val="20"/>
          <w:szCs w:val="20"/>
          <w:lang w:val="es-ES"/>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3F1EEE" w:rsidRPr="00006B74" w:rsidTr="000B3059">
        <w:tc>
          <w:tcPr>
            <w:tcW w:w="2790" w:type="dxa"/>
            <w:tcBorders>
              <w:top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Recepción de la petición</w:t>
            </w:r>
          </w:p>
        </w:tc>
        <w:tc>
          <w:tcPr>
            <w:tcW w:w="6570" w:type="dxa"/>
            <w:tcBorders>
              <w:top w:val="single" w:sz="4" w:space="0" w:color="auto"/>
            </w:tcBorders>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20"/>
                <w:szCs w:val="20"/>
                <w:lang w:val="es-ES"/>
              </w:rPr>
              <w:t>4 de noviembre de 2009</w:t>
            </w:r>
          </w:p>
        </w:tc>
      </w:tr>
      <w:tr w:rsidR="003F1EEE" w:rsidRPr="00CC395D" w:rsidTr="000B3059">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Información adicional recibida en la etapa de estudio</w:t>
            </w:r>
          </w:p>
        </w:tc>
        <w:tc>
          <w:tcPr>
            <w:tcW w:w="6570" w:type="dxa"/>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16 de abril de 2013</w:t>
            </w:r>
          </w:p>
        </w:tc>
      </w:tr>
      <w:tr w:rsidR="003F1EEE" w:rsidRPr="00006B74" w:rsidTr="000B3059">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color w:val="FFFFFF"/>
                <w:sz w:val="19"/>
                <w:szCs w:val="19"/>
                <w:lang w:val="es-ES"/>
              </w:rPr>
              <w:t>Notificación de la petición</w:t>
            </w:r>
          </w:p>
        </w:tc>
        <w:tc>
          <w:tcPr>
            <w:tcW w:w="6570" w:type="dxa"/>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17 de noviembre de 2015</w:t>
            </w:r>
          </w:p>
        </w:tc>
      </w:tr>
      <w:tr w:rsidR="003F1EEE" w:rsidRPr="00006B74" w:rsidTr="000B3059">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color w:val="FFFFFF"/>
                <w:sz w:val="19"/>
                <w:szCs w:val="19"/>
                <w:lang w:val="es-ES"/>
              </w:rPr>
              <w:t>Primera respuesta del Estado</w:t>
            </w:r>
          </w:p>
        </w:tc>
        <w:tc>
          <w:tcPr>
            <w:tcW w:w="6570" w:type="dxa"/>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31 de mayo de 2016</w:t>
            </w:r>
          </w:p>
        </w:tc>
      </w:tr>
      <w:tr w:rsidR="003F1EEE" w:rsidRPr="00CC395D" w:rsidTr="000B3059">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Observaciones adicionales de la parte peticionaria</w:t>
            </w:r>
          </w:p>
        </w:tc>
        <w:tc>
          <w:tcPr>
            <w:tcW w:w="6570" w:type="dxa"/>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8 de junio de 2017</w:t>
            </w:r>
          </w:p>
        </w:tc>
      </w:tr>
      <w:tr w:rsidR="003F1EEE" w:rsidRPr="00006B74" w:rsidTr="000B3059">
        <w:tc>
          <w:tcPr>
            <w:tcW w:w="2790" w:type="dxa"/>
            <w:tcBorders>
              <w:bottom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Observaciones adicionales del Estado</w:t>
            </w:r>
          </w:p>
        </w:tc>
        <w:tc>
          <w:tcPr>
            <w:tcW w:w="6570" w:type="dxa"/>
            <w:tcBorders>
              <w:bottom w:val="single" w:sz="4" w:space="0" w:color="auto"/>
            </w:tcBorders>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9 de enero de 2018</w:t>
            </w:r>
          </w:p>
        </w:tc>
      </w:tr>
    </w:tbl>
    <w:p w:rsidR="003F1EEE" w:rsidRPr="00006B74" w:rsidRDefault="003F1EEE"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3F1EEE" w:rsidRPr="00006B74" w:rsidTr="000B3059">
        <w:trPr>
          <w:cantSplit/>
        </w:trPr>
        <w:tc>
          <w:tcPr>
            <w:tcW w:w="2790" w:type="dxa"/>
            <w:tcBorders>
              <w:top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proofErr w:type="spellStart"/>
            <w:r w:rsidRPr="000B3059">
              <w:rPr>
                <w:rFonts w:ascii="Cambria" w:hAnsi="Cambria"/>
                <w:bCs/>
                <w:i/>
                <w:color w:val="FFFFFF"/>
                <w:sz w:val="19"/>
                <w:szCs w:val="19"/>
                <w:lang w:val="es-ES"/>
              </w:rPr>
              <w:t>Ratione</w:t>
            </w:r>
            <w:proofErr w:type="spellEnd"/>
            <w:r w:rsidRPr="000B3059">
              <w:rPr>
                <w:rFonts w:ascii="Cambria" w:hAnsi="Cambria"/>
                <w:bCs/>
                <w:i/>
                <w:color w:val="FFFFFF"/>
                <w:sz w:val="19"/>
                <w:szCs w:val="19"/>
                <w:lang w:val="es-ES"/>
              </w:rPr>
              <w:t xml:space="preserve"> </w:t>
            </w:r>
            <w:proofErr w:type="spellStart"/>
            <w:r w:rsidRPr="000B3059">
              <w:rPr>
                <w:rFonts w:ascii="Cambria" w:hAnsi="Cambria"/>
                <w:bCs/>
                <w:i/>
                <w:color w:val="FFFFFF"/>
                <w:sz w:val="19"/>
                <w:szCs w:val="19"/>
                <w:lang w:val="es-ES"/>
              </w:rPr>
              <w:t>personae</w:t>
            </w:r>
            <w:proofErr w:type="spellEnd"/>
          </w:p>
        </w:tc>
        <w:tc>
          <w:tcPr>
            <w:tcW w:w="6570" w:type="dxa"/>
            <w:tcBorders>
              <w:top w:val="single" w:sz="4" w:space="0" w:color="auto"/>
            </w:tcBorders>
            <w:vAlign w:val="center"/>
          </w:tcPr>
          <w:p w:rsidR="003F1EEE" w:rsidRPr="000B3059" w:rsidRDefault="003F1EEE"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B3059">
              <w:rPr>
                <w:rFonts w:ascii="Cambria" w:hAnsi="Cambria"/>
                <w:bCs/>
                <w:sz w:val="19"/>
                <w:szCs w:val="19"/>
                <w:lang w:val="es-ES"/>
              </w:rPr>
              <w:t>Sí</w:t>
            </w:r>
          </w:p>
        </w:tc>
      </w:tr>
      <w:tr w:rsidR="003F1EEE" w:rsidRPr="00006B74" w:rsidTr="000B3059">
        <w:trPr>
          <w:cantSplit/>
        </w:trPr>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0B3059">
              <w:rPr>
                <w:rFonts w:ascii="Cambria" w:hAnsi="Cambria"/>
                <w:bCs/>
                <w:i/>
                <w:color w:val="FFFFFF"/>
                <w:sz w:val="19"/>
                <w:szCs w:val="19"/>
                <w:lang w:val="es-ES"/>
              </w:rPr>
              <w:t>Ratione</w:t>
            </w:r>
            <w:proofErr w:type="spellEnd"/>
            <w:r w:rsidRPr="000B3059">
              <w:rPr>
                <w:rFonts w:ascii="Cambria" w:hAnsi="Cambria"/>
                <w:bCs/>
                <w:i/>
                <w:color w:val="FFFFFF"/>
                <w:sz w:val="19"/>
                <w:szCs w:val="19"/>
                <w:lang w:val="es-ES"/>
              </w:rPr>
              <w:t xml:space="preserve"> </w:t>
            </w:r>
            <w:proofErr w:type="spellStart"/>
            <w:r w:rsidRPr="000B3059">
              <w:rPr>
                <w:rFonts w:ascii="Cambria" w:hAnsi="Cambria"/>
                <w:bCs/>
                <w:i/>
                <w:color w:val="FFFFFF"/>
                <w:sz w:val="19"/>
                <w:szCs w:val="19"/>
                <w:lang w:val="es-ES"/>
              </w:rPr>
              <w:t>loci</w:t>
            </w:r>
            <w:proofErr w:type="spellEnd"/>
          </w:p>
        </w:tc>
        <w:tc>
          <w:tcPr>
            <w:tcW w:w="6570" w:type="dxa"/>
            <w:vAlign w:val="center"/>
          </w:tcPr>
          <w:p w:rsidR="003F1EEE" w:rsidRPr="000B3059" w:rsidRDefault="003F1EEE"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B3059">
              <w:rPr>
                <w:rFonts w:ascii="Cambria" w:hAnsi="Cambria"/>
                <w:bCs/>
                <w:sz w:val="19"/>
                <w:szCs w:val="19"/>
                <w:lang w:val="es-ES"/>
              </w:rPr>
              <w:t>Sí</w:t>
            </w:r>
          </w:p>
        </w:tc>
      </w:tr>
      <w:tr w:rsidR="003F1EEE" w:rsidRPr="00006B74" w:rsidTr="000B3059">
        <w:trPr>
          <w:cantSplit/>
        </w:trPr>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0B3059">
              <w:rPr>
                <w:rFonts w:ascii="Cambria" w:hAnsi="Cambria"/>
                <w:bCs/>
                <w:i/>
                <w:color w:val="FFFFFF"/>
                <w:sz w:val="19"/>
                <w:szCs w:val="19"/>
                <w:lang w:val="es-ES"/>
              </w:rPr>
              <w:t>Ratione</w:t>
            </w:r>
            <w:proofErr w:type="spellEnd"/>
            <w:r w:rsidRPr="000B3059">
              <w:rPr>
                <w:rFonts w:ascii="Cambria" w:hAnsi="Cambria"/>
                <w:bCs/>
                <w:i/>
                <w:color w:val="FFFFFF"/>
                <w:sz w:val="19"/>
                <w:szCs w:val="19"/>
                <w:lang w:val="es-ES"/>
              </w:rPr>
              <w:t xml:space="preserve"> </w:t>
            </w:r>
            <w:proofErr w:type="spellStart"/>
            <w:r w:rsidRPr="000B3059">
              <w:rPr>
                <w:rFonts w:ascii="Cambria" w:hAnsi="Cambria"/>
                <w:bCs/>
                <w:i/>
                <w:color w:val="FFFFFF"/>
                <w:sz w:val="19"/>
                <w:szCs w:val="19"/>
                <w:lang w:val="es-ES"/>
              </w:rPr>
              <w:t>temporis</w:t>
            </w:r>
            <w:proofErr w:type="spellEnd"/>
          </w:p>
        </w:tc>
        <w:tc>
          <w:tcPr>
            <w:tcW w:w="6570" w:type="dxa"/>
            <w:vAlign w:val="center"/>
          </w:tcPr>
          <w:p w:rsidR="003F1EEE" w:rsidRPr="000B3059" w:rsidRDefault="003F1EEE"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B3059">
              <w:rPr>
                <w:rFonts w:ascii="Cambria" w:hAnsi="Cambria"/>
                <w:bCs/>
                <w:sz w:val="19"/>
                <w:szCs w:val="19"/>
                <w:lang w:val="es-ES"/>
              </w:rPr>
              <w:t>Sí</w:t>
            </w:r>
          </w:p>
        </w:tc>
      </w:tr>
      <w:tr w:rsidR="003F1EEE" w:rsidRPr="00540AB4" w:rsidTr="000B3059">
        <w:trPr>
          <w:cantSplit/>
        </w:trPr>
        <w:tc>
          <w:tcPr>
            <w:tcW w:w="2790" w:type="dxa"/>
            <w:tcBorders>
              <w:bottom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0B3059">
              <w:rPr>
                <w:rFonts w:ascii="Cambria" w:hAnsi="Cambria"/>
                <w:bCs/>
                <w:i/>
                <w:color w:val="FFFFFF"/>
                <w:sz w:val="19"/>
                <w:szCs w:val="19"/>
                <w:lang w:val="es-ES"/>
              </w:rPr>
              <w:t>Ratione</w:t>
            </w:r>
            <w:proofErr w:type="spellEnd"/>
            <w:r w:rsidRPr="000B3059">
              <w:rPr>
                <w:rFonts w:ascii="Cambria" w:hAnsi="Cambria"/>
                <w:bCs/>
                <w:i/>
                <w:color w:val="FFFFFF"/>
                <w:sz w:val="19"/>
                <w:szCs w:val="19"/>
                <w:lang w:val="es-ES"/>
              </w:rPr>
              <w:t xml:space="preserve"> </w:t>
            </w:r>
            <w:proofErr w:type="spellStart"/>
            <w:r w:rsidRPr="000B3059">
              <w:rPr>
                <w:rFonts w:ascii="Cambria" w:hAnsi="Cambria"/>
                <w:bCs/>
                <w:i/>
                <w:color w:val="FFFFFF"/>
                <w:sz w:val="19"/>
                <w:szCs w:val="19"/>
                <w:lang w:val="es-ES"/>
              </w:rPr>
              <w:t>materiae</w:t>
            </w:r>
            <w:proofErr w:type="spellEnd"/>
          </w:p>
        </w:tc>
        <w:tc>
          <w:tcPr>
            <w:tcW w:w="6570" w:type="dxa"/>
            <w:tcBorders>
              <w:bottom w:val="single" w:sz="4" w:space="0" w:color="auto"/>
            </w:tcBorders>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Sí, Convención Americana de Derechos Humanos (depósito del instrumento realizado el 24 de agosto de 1989)</w:t>
            </w:r>
          </w:p>
        </w:tc>
      </w:tr>
    </w:tbl>
    <w:p w:rsidR="003F1EEE" w:rsidRPr="00006B74" w:rsidRDefault="003F1EEE"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sidR="00AF2770" w:rsidRPr="00006B74">
        <w:rPr>
          <w:rFonts w:ascii="Cambria" w:hAnsi="Cambria"/>
          <w:b/>
          <w:bCs/>
          <w:sz w:val="20"/>
          <w:szCs w:val="20"/>
          <w:lang w:val="es-ES"/>
        </w:rPr>
        <w:t>INTERNACIONAL, CARACTERIZACIÓN</w:t>
      </w:r>
      <w:r w:rsidRPr="00006B74">
        <w:rPr>
          <w:rFonts w:ascii="Cambria" w:hAnsi="Cambria"/>
          <w:b/>
          <w:bCs/>
          <w:sz w:val="20"/>
          <w:szCs w:val="20"/>
          <w:lang w:val="es-ES"/>
        </w:rPr>
        <w:t xml:space="preserve">,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3F1EEE" w:rsidRPr="00CC395D" w:rsidTr="000B3059">
        <w:trPr>
          <w:cantSplit/>
        </w:trPr>
        <w:tc>
          <w:tcPr>
            <w:tcW w:w="2790" w:type="dxa"/>
            <w:tcBorders>
              <w:top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B3059">
              <w:rPr>
                <w:rFonts w:ascii="Cambria" w:hAnsi="Cambria"/>
                <w:bCs/>
                <w:sz w:val="19"/>
                <w:szCs w:val="19"/>
                <w:lang w:val="es-ES"/>
              </w:rPr>
              <w:t>No</w:t>
            </w:r>
          </w:p>
        </w:tc>
      </w:tr>
      <w:tr w:rsidR="003F1EEE" w:rsidRPr="00404254" w:rsidTr="000B3059">
        <w:trPr>
          <w:cantSplit/>
        </w:trPr>
        <w:tc>
          <w:tcPr>
            <w:tcW w:w="2790" w:type="dxa"/>
            <w:tcBorders>
              <w:top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0B3059">
              <w:rPr>
                <w:rFonts w:ascii="Cambria" w:hAnsi="Cambria"/>
                <w:bCs/>
                <w:color w:val="FFFFFF"/>
                <w:sz w:val="19"/>
                <w:szCs w:val="19"/>
                <w:lang w:val="es-ES"/>
              </w:rPr>
              <w:t>Derechos admitidos</w:t>
            </w:r>
          </w:p>
        </w:tc>
        <w:tc>
          <w:tcPr>
            <w:tcW w:w="6570" w:type="dxa"/>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Pr>
                <w:rFonts w:ascii="Cambria" w:hAnsi="Cambria"/>
                <w:bCs/>
                <w:sz w:val="19"/>
                <w:szCs w:val="19"/>
                <w:lang w:val="es-ES"/>
              </w:rPr>
              <w:t>Ninguno</w:t>
            </w:r>
          </w:p>
        </w:tc>
      </w:tr>
      <w:tr w:rsidR="003F1EEE" w:rsidRPr="00CC395D" w:rsidTr="000B3059">
        <w:trPr>
          <w:cantSplit/>
        </w:trPr>
        <w:tc>
          <w:tcPr>
            <w:tcW w:w="2790" w:type="dxa"/>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Agotamiento de recursos o procedencia de una excepción</w:t>
            </w:r>
          </w:p>
        </w:tc>
        <w:tc>
          <w:tcPr>
            <w:tcW w:w="6570" w:type="dxa"/>
            <w:vAlign w:val="center"/>
          </w:tcPr>
          <w:p w:rsidR="003F1EEE" w:rsidRPr="000B3059" w:rsidRDefault="003F1EEE" w:rsidP="00BB3FBD">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B3059">
              <w:rPr>
                <w:rFonts w:ascii="Cambria" w:hAnsi="Cambria"/>
                <w:bCs/>
                <w:sz w:val="19"/>
                <w:szCs w:val="19"/>
                <w:lang w:val="es-ES"/>
              </w:rPr>
              <w:t>Sí, 1 de julio de 2014</w:t>
            </w:r>
          </w:p>
        </w:tc>
      </w:tr>
      <w:tr w:rsidR="003F1EEE" w:rsidRPr="00B84C70" w:rsidTr="000B3059">
        <w:trPr>
          <w:cantSplit/>
        </w:trPr>
        <w:tc>
          <w:tcPr>
            <w:tcW w:w="2790" w:type="dxa"/>
            <w:tcBorders>
              <w:bottom w:val="single" w:sz="4" w:space="0" w:color="auto"/>
            </w:tcBorders>
            <w:shd w:val="clear" w:color="auto" w:fill="386294"/>
            <w:vAlign w:val="center"/>
          </w:tcPr>
          <w:p w:rsidR="003F1EEE" w:rsidRPr="000B3059" w:rsidRDefault="003F1EEE" w:rsidP="000B3059">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B3059">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3F1EEE" w:rsidRPr="000B3059" w:rsidRDefault="003F1EEE"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B3059">
              <w:rPr>
                <w:rFonts w:ascii="Cambria" w:hAnsi="Cambria"/>
                <w:bCs/>
                <w:sz w:val="19"/>
                <w:szCs w:val="19"/>
                <w:lang w:val="es-ES"/>
              </w:rPr>
              <w:t>Sí, 4 de noviembre de 2009</w:t>
            </w:r>
          </w:p>
        </w:tc>
      </w:tr>
    </w:tbl>
    <w:p w:rsidR="003F1EEE" w:rsidRPr="00006B74" w:rsidRDefault="003F1EEE" w:rsidP="00CA6EA1">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rsidR="003F1EEE"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Herbert </w:t>
      </w:r>
      <w:proofErr w:type="spellStart"/>
      <w:r>
        <w:rPr>
          <w:rFonts w:ascii="Cambria" w:hAnsi="Cambria"/>
          <w:sz w:val="20"/>
          <w:szCs w:val="20"/>
          <w:lang w:val="es-ES"/>
        </w:rPr>
        <w:t>Hasengruber</w:t>
      </w:r>
      <w:proofErr w:type="spellEnd"/>
      <w:r>
        <w:rPr>
          <w:rFonts w:ascii="Cambria" w:hAnsi="Cambria"/>
          <w:sz w:val="20"/>
          <w:szCs w:val="20"/>
          <w:lang w:val="es-ES"/>
        </w:rPr>
        <w:t>, de nacionalidad austriaca, (en adelante “la presunta v</w:t>
      </w:r>
      <w:proofErr w:type="spellStart"/>
      <w:r>
        <w:rPr>
          <w:rFonts w:ascii="Cambria" w:hAnsi="Cambria"/>
          <w:sz w:val="20"/>
          <w:szCs w:val="20"/>
          <w:lang w:val="es-AR"/>
        </w:rPr>
        <w:t>íctima</w:t>
      </w:r>
      <w:proofErr w:type="spellEnd"/>
      <w:r>
        <w:rPr>
          <w:rFonts w:ascii="Cambria" w:hAnsi="Cambria"/>
          <w:sz w:val="20"/>
          <w:szCs w:val="20"/>
          <w:lang w:val="es-AR"/>
        </w:rPr>
        <w:t>” o “</w:t>
      </w:r>
      <w:r>
        <w:rPr>
          <w:rFonts w:ascii="Cambria" w:hAnsi="Cambria"/>
          <w:sz w:val="20"/>
          <w:szCs w:val="20"/>
          <w:lang w:val="es-ES"/>
        </w:rPr>
        <w:t>el peticionario”) denuncia presuntas violaciones a sus derechos humanos aduciendo que resultó condenado a pena privativa de libertad por el delito de homicidio culposo en un proceso penal en que no se respetó el debido proceso y que fue el resultado de una negociación entre las autoridades estatales y el padre de la víctima del delito por el cual fue condenado.</w:t>
      </w:r>
    </w:p>
    <w:p w:rsidR="003F1EEE"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El peticionario relata que el 6 de noviembre de 2004 se vio involucrado en un accidente de tránsito que resultó en la muerte de una niña de 6 años de edad. Indica que por este hecho fue imputado y enjuiciado por el delito de homicidio culposo resultando condenado a 2 años y 6 meses de privación de libertad mediante sentencia del Poder Judicial de la Circunscripción del Guaira y Caazapá del 13 de diciembre de 2005. Esta sentencia fue luego confirmada en grado de apelación por el Tribunal de Apelaciones correspondiente el 26 de julio de 2006. La sentencia fue nuevamente confirmada en grado de casación por la Sala Penal de la Corte Suprema de Justicia el 5 de septiembre de 2008. </w:t>
      </w:r>
    </w:p>
    <w:p w:rsidR="00CA6EA1" w:rsidRDefault="00CA6EA1" w:rsidP="00CA6EA1">
      <w:pPr>
        <w:pBdr>
          <w:top w:val="none" w:sz="0" w:space="0" w:color="auto"/>
          <w:left w:val="none" w:sz="0" w:space="0" w:color="auto"/>
          <w:bottom w:val="none" w:sz="0" w:space="0" w:color="auto"/>
          <w:right w:val="none" w:sz="0" w:space="0" w:color="auto"/>
          <w:bar w:val="none" w:sz="0" w:color="auto"/>
        </w:pBdr>
        <w:suppressAutoHyphens/>
        <w:spacing w:before="120" w:after="120"/>
        <w:ind w:left="720"/>
        <w:jc w:val="both"/>
        <w:rPr>
          <w:rFonts w:ascii="Cambria" w:hAnsi="Cambria"/>
          <w:sz w:val="20"/>
          <w:szCs w:val="20"/>
          <w:lang w:val="es-ES"/>
        </w:rPr>
      </w:pPr>
    </w:p>
    <w:p w:rsidR="003F1EEE"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lastRenderedPageBreak/>
        <w:t>El peticionario considera que el proceso que conllevó a su condena fue irregular porque durante el juicio oral se incorporó, como prueba principal de su culpabilidad en el fallecimiento de la niña, un informe pericial que no fue expuesto oralmente por el médico forense como lo requerían las normas procesales aplicables</w:t>
      </w:r>
      <w:r>
        <w:rPr>
          <w:rStyle w:val="FootnoteReference"/>
          <w:rFonts w:ascii="Cambria" w:hAnsi="Cambria"/>
          <w:sz w:val="20"/>
          <w:szCs w:val="20"/>
          <w:lang w:val="es-ES"/>
        </w:rPr>
        <w:footnoteReference w:id="4"/>
      </w:r>
      <w:r>
        <w:rPr>
          <w:rFonts w:ascii="Cambria" w:hAnsi="Cambria"/>
          <w:sz w:val="20"/>
          <w:szCs w:val="20"/>
          <w:lang w:val="es-ES"/>
        </w:rPr>
        <w:t xml:space="preserve">. En adición sostiene que el verdadero responsable de la muerte de la niña fue el padre de ésta. Esto porque, en lugar de esperar al Cuerpo de Bomberos, el padre procedió a tomar abruptamente en brazos a la niña para correr hasta un vehículo particular y la trasladó por sus propios medios hasta un hospital. Aduce que el informe del médico forense no explicó con claridad ni detalló cual fue exactamente la causa de muerte de la víctima por lo que la causa del fallecimiento pudo haber sido el transporte inadecuado.  Sostiene que la fiscalía y la querella no presentaron al médico forense otras pruebas sobre la causa de muerte para evitar que en el juicio oral se pudieran dar discusiones sobre el tema. Agrega que “transcurrido el tiempo salió a la luz que esa causa fue un proceso negociado entre el padre de la víctima, la fiscalía, los jueces y mi abogado”. Indica que el padre de la víctima le indicó que sólo quería US$5000.00 o US$ 6000.00 como indemnización lo que considera señal de que el procedimiento sólo tenía el fin de sacarle dinero. También resalta, como indicio de que existió un negociado, que el padre no solicitó indemnización tras el juicio y el abogado querellante tampoco le solicitó el pago de sus honorarios. Destaca además que nunca se realizó un peritaje sobre la velocidad a la que conducía, siendo ésta </w:t>
      </w:r>
      <w:smartTag w:uri="urn:schemas-microsoft-com:office:smarttags" w:element="metricconverter">
        <w:smartTagPr>
          <w:attr w:name="ProductID" w:val="70 km"/>
        </w:smartTagPr>
        <w:r>
          <w:rPr>
            <w:rFonts w:ascii="Cambria" w:hAnsi="Cambria"/>
            <w:sz w:val="20"/>
            <w:szCs w:val="20"/>
            <w:lang w:val="es-ES"/>
          </w:rPr>
          <w:t>70 km</w:t>
        </w:r>
      </w:smartTag>
      <w:r>
        <w:rPr>
          <w:rFonts w:ascii="Cambria" w:hAnsi="Cambria"/>
          <w:sz w:val="20"/>
          <w:szCs w:val="20"/>
          <w:lang w:val="es-ES"/>
        </w:rPr>
        <w:t xml:space="preserve"> en una zona rural, y que la muerte de la niña se produjo por el descuido de ésta a cruzar la calle.  </w:t>
      </w:r>
    </w:p>
    <w:p w:rsidR="003F1EEE" w:rsidRPr="001E3CBA"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El Estado, por su parte, indica que la investigación de los hechos fue realizada en estricta observancia de las disposiciones constitucionales y legales, y que la privación de la libertad del peticionario fue la consecuencia de una condena en firme dictada en derecho por los tribunales competentes quienes motivaron debidamente sus decisiones en todas las etapas. Señala que, luego de que su recurso de casación resultara infructuoso, el peticionario interpuso un recurso extraordinario de revisión ante la Corte Suprema de Justicia, el cual fue declarado inadmisible por ésta el 1 de julio de 2014. Resalta que testigos presenciales del hecho y rastro de frenada de aproximadamente 76 </w:t>
      </w:r>
      <w:proofErr w:type="spellStart"/>
      <w:r>
        <w:rPr>
          <w:rFonts w:ascii="Cambria" w:hAnsi="Cambria"/>
          <w:sz w:val="20"/>
          <w:szCs w:val="20"/>
          <w:lang w:val="es-ES"/>
        </w:rPr>
        <w:t>mts</w:t>
      </w:r>
      <w:proofErr w:type="spellEnd"/>
      <w:r>
        <w:rPr>
          <w:rFonts w:ascii="Cambria" w:hAnsi="Cambria"/>
          <w:sz w:val="20"/>
          <w:szCs w:val="20"/>
          <w:lang w:val="es-ES"/>
        </w:rPr>
        <w:t xml:space="preserve">. lineales corroboran la alta velocidad en la que circulaba el peticionario al momento del accidente. Considera que el peticionario intenta plantear ante la Comisión cuestiones probatorias que ya fueron valorados en su momento de acuerdo a las reglas de la sana crítica, por un Tribunal de Sentencia y que su pretensión es que se anule con acusaciones infundadas una decisión de los órganos jurisdiccionales domésticos, lo que no coincide con la función de la Comisión. </w:t>
      </w:r>
    </w:p>
    <w:p w:rsidR="003F1EEE" w:rsidRPr="00006B74" w:rsidRDefault="003F1EEE" w:rsidP="00CA6EA1">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006B74">
        <w:rPr>
          <w:b/>
          <w:bCs/>
          <w:sz w:val="20"/>
          <w:szCs w:val="20"/>
          <w:lang w:val="es-ES"/>
        </w:rPr>
        <w:t xml:space="preserve">VI. </w:t>
      </w:r>
      <w:r w:rsidRPr="00006B74">
        <w:rPr>
          <w:b/>
          <w:bCs/>
          <w:sz w:val="20"/>
          <w:szCs w:val="20"/>
          <w:lang w:val="es-ES"/>
        </w:rPr>
        <w:tab/>
        <w:t>AGOTAMIENTO DE LOS RECURSOS INTERNOS Y PLAZO DE PRESENTACIÓN</w:t>
      </w:r>
    </w:p>
    <w:p w:rsidR="003F1EEE"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La Comisión observa que el peticionario ha sostenido que ha “agotado todas las instancias legales y constitucionales en el Sistema Jurídico del Estado paraguayo”. De igual manera, toma nota que el Estado no ha alegado la falta de agotamiento de los recursos internos ni hecho referencia a recursos adicionales no agotados que pudieran ser idóneos para que las reclamaciones del peticionario sean atendidas a nivel doméstico.</w:t>
      </w:r>
    </w:p>
    <w:p w:rsidR="003F1EEE" w:rsidRPr="00006B74"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En base a estas consideraciones la Comisión concluye que la decisión doméstica final con respecto a la reclamación del peticionario fue la emitida el 1 de julio de 2014 por la cual se declaró inadmisible el recurso extraordinario de revisión que había interpuesto ante la Corte Suprema de justicia. Por lo tanto, y en consideración a que la petición fue presentada el 4 de noviembre de 2009 la Comisión concluye que la presente petición cumple con los requisitos del artículo 46.1(a) y (b) de la Convención Americana</w:t>
      </w:r>
    </w:p>
    <w:p w:rsidR="003F1EEE" w:rsidRPr="00EA46A3" w:rsidRDefault="003F1EEE" w:rsidP="00CA6EA1">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006B74">
        <w:rPr>
          <w:b/>
          <w:bCs/>
          <w:sz w:val="20"/>
          <w:szCs w:val="20"/>
          <w:lang w:val="es-ES"/>
        </w:rPr>
        <w:t xml:space="preserve">VII. </w:t>
      </w:r>
      <w:r w:rsidRPr="00006B74">
        <w:rPr>
          <w:b/>
          <w:bCs/>
          <w:sz w:val="20"/>
          <w:szCs w:val="20"/>
          <w:lang w:val="es-ES"/>
        </w:rPr>
        <w:tab/>
        <w:t>CARACTERIZACIÓN</w:t>
      </w:r>
    </w:p>
    <w:p w:rsidR="003F1EEE"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La Comisión observa que la presente petición incluye alegaciones con respecto a que: el peticionario fue condenado penalmente, sin prueba suficiente, en un proceso en que se utilizaron pruebas que no cumplieron con los requisitos establecidos en la ley doméstica y en el que mediaron actos de corrupción.</w:t>
      </w:r>
    </w:p>
    <w:p w:rsidR="00CA6EA1" w:rsidRDefault="00CA6EA1" w:rsidP="00CA6EA1">
      <w:pPr>
        <w:pBdr>
          <w:top w:val="none" w:sz="0" w:space="0" w:color="auto"/>
          <w:left w:val="none" w:sz="0" w:space="0" w:color="auto"/>
          <w:bottom w:val="none" w:sz="0" w:space="0" w:color="auto"/>
          <w:right w:val="none" w:sz="0" w:space="0" w:color="auto"/>
          <w:bar w:val="none" w:sz="0" w:color="auto"/>
        </w:pBdr>
        <w:suppressAutoHyphens/>
        <w:spacing w:before="120" w:after="120"/>
        <w:ind w:left="720"/>
        <w:jc w:val="both"/>
        <w:rPr>
          <w:rFonts w:ascii="Cambria" w:hAnsi="Cambria"/>
          <w:sz w:val="20"/>
          <w:szCs w:val="20"/>
          <w:lang w:val="es-ES"/>
        </w:rPr>
      </w:pPr>
    </w:p>
    <w:p w:rsidR="00CA6EA1" w:rsidRDefault="00CA6EA1" w:rsidP="00CA6EA1">
      <w:pPr>
        <w:pBdr>
          <w:top w:val="none" w:sz="0" w:space="0" w:color="auto"/>
          <w:left w:val="none" w:sz="0" w:space="0" w:color="auto"/>
          <w:bottom w:val="none" w:sz="0" w:space="0" w:color="auto"/>
          <w:right w:val="none" w:sz="0" w:space="0" w:color="auto"/>
          <w:bar w:val="none" w:sz="0" w:color="auto"/>
        </w:pBdr>
        <w:suppressAutoHyphens/>
        <w:spacing w:before="120" w:after="120"/>
        <w:ind w:left="720"/>
        <w:jc w:val="both"/>
        <w:rPr>
          <w:rFonts w:ascii="Cambria" w:hAnsi="Cambria"/>
          <w:sz w:val="20"/>
          <w:szCs w:val="20"/>
          <w:lang w:val="es-ES"/>
        </w:rPr>
      </w:pPr>
    </w:p>
    <w:p w:rsidR="003F1EEE"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lastRenderedPageBreak/>
        <w:t xml:space="preserve">Ante alegaciones de esta naturaleza, la Comisión considera pertinente recordar que ya ha determinado que </w:t>
      </w:r>
      <w:r>
        <w:rPr>
          <w:rFonts w:ascii="Cambria" w:hAnsi="Cambria" w:cs="Calibri"/>
          <w:sz w:val="20"/>
          <w:szCs w:val="20"/>
          <w:lang w:val="es-ES_tradnl"/>
        </w:rPr>
        <w:t xml:space="preserve">no le corresponde </w:t>
      </w:r>
      <w:r w:rsidRPr="00FC2B4A">
        <w:rPr>
          <w:rFonts w:ascii="Cambria" w:hAnsi="Cambria" w:cs="Calibri"/>
          <w:sz w:val="20"/>
          <w:szCs w:val="20"/>
          <w:lang w:val="es-ES_tradnl"/>
        </w:rPr>
        <w:t>pronunciarse sobre la determinación de culpabilidad o inocencia de un imputado o acusado en proceso penal. Sin embargo, sí le compete analizar si se han menoscabado las garantías del debido proceso protegidas en la Convención</w:t>
      </w:r>
      <w:r w:rsidRPr="00FC2B4A">
        <w:rPr>
          <w:rStyle w:val="FootnoteReference"/>
          <w:rFonts w:ascii="Cambria" w:hAnsi="Cambria" w:cs="Calibri"/>
          <w:sz w:val="20"/>
          <w:szCs w:val="20"/>
          <w:lang w:val="es-ES_tradnl"/>
        </w:rPr>
        <w:footnoteReference w:id="5"/>
      </w:r>
      <w:r>
        <w:rPr>
          <w:rFonts w:ascii="Cambria" w:hAnsi="Cambria"/>
          <w:sz w:val="20"/>
          <w:szCs w:val="20"/>
          <w:lang w:val="es-ES"/>
        </w:rPr>
        <w:t>.</w:t>
      </w:r>
    </w:p>
    <w:p w:rsidR="003F1EEE" w:rsidRPr="00EA46A3" w:rsidRDefault="003F1EEE" w:rsidP="00CA6EA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En el presente caso la Comisión observa que las alegaciones del peticionario están encaminadas principalmente a cuestionar la decisión adoptada por los tribunales domésticos con respecto a su culpabilidad y a exponer las razones por las que considera que la prueba utilizada para sustentar su condena fue insuficiente. En adición, el peticionario ha denunciado posibles violaciones de las normas procesales domésticas y hecho alegaciones, sin aportar elementos adicionales que las sustenten, con respecto a una supuesta negociación que se realizó para asegurar su condena. Sin dejar de tomar nota de estas alegaciones, la Comisión estima que en el presente caso no se desprenden de los expuesto por el  peticionario ni del expediente elementos suficientes para considerar, prima facie, la posibilidad de que los derechos contemplados en la Convención Americana y demás tratados que le confieren competencia hayan sido vulnerados. Por estas razones, la Comisión concluye que la presente petición resulta inadmisible conforme a lo dispuesto en el artículo 47 (b) y (c) de la Convención Americana. </w:t>
      </w:r>
    </w:p>
    <w:p w:rsidR="003F1EEE" w:rsidRPr="00006B74" w:rsidRDefault="003F1EEE" w:rsidP="00CA6EA1">
      <w:pPr>
        <w:pBdr>
          <w:top w:val="none" w:sz="0" w:space="0" w:color="auto"/>
          <w:left w:val="none" w:sz="0" w:space="0" w:color="auto"/>
          <w:bottom w:val="none" w:sz="0" w:space="0" w:color="auto"/>
          <w:right w:val="none" w:sz="0" w:space="0" w:color="auto"/>
          <w:bar w:val="none" w:sz="0" w:color="auto"/>
        </w:pBdr>
        <w:suppressAutoHyphens/>
        <w:spacing w:before="120" w:after="120"/>
        <w:ind w:left="720"/>
        <w:jc w:val="both"/>
        <w:rPr>
          <w:rFonts w:ascii="Cambria" w:hAnsi="Cambria"/>
          <w:b/>
          <w:bCs/>
          <w:sz w:val="20"/>
          <w:szCs w:val="20"/>
          <w:lang w:val="es-ES"/>
        </w:rPr>
      </w:pPr>
      <w:r w:rsidRPr="00006B74">
        <w:rPr>
          <w:rFonts w:ascii="Cambria" w:hAnsi="Cambria"/>
          <w:b/>
          <w:bCs/>
          <w:sz w:val="20"/>
          <w:szCs w:val="20"/>
          <w:lang w:val="es-ES"/>
        </w:rPr>
        <w:t xml:space="preserve">VIII. </w:t>
      </w:r>
      <w:r w:rsidRPr="00006B74">
        <w:rPr>
          <w:rFonts w:ascii="Cambria" w:hAnsi="Cambria"/>
          <w:b/>
          <w:bCs/>
          <w:sz w:val="20"/>
          <w:szCs w:val="20"/>
          <w:lang w:val="es-ES"/>
        </w:rPr>
        <w:tab/>
        <w:t>DECISIÓN</w:t>
      </w:r>
    </w:p>
    <w:p w:rsidR="003F1EEE" w:rsidRPr="001E3CBA" w:rsidRDefault="003F1EEE" w:rsidP="00CA6EA1">
      <w:pPr>
        <w:numPr>
          <w:ilvl w:val="0"/>
          <w:numId w:val="56"/>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lang w:val="es-ES"/>
        </w:rPr>
      </w:pPr>
      <w:r w:rsidRPr="00006B74">
        <w:rPr>
          <w:rFonts w:ascii="Cambria" w:hAnsi="Cambria"/>
          <w:sz w:val="20"/>
          <w:szCs w:val="20"/>
          <w:lang w:val="es-ES"/>
        </w:rPr>
        <w:t xml:space="preserve">Declarar </w:t>
      </w:r>
      <w:r>
        <w:rPr>
          <w:rFonts w:ascii="Cambria" w:hAnsi="Cambria"/>
          <w:sz w:val="20"/>
          <w:szCs w:val="20"/>
          <w:lang w:val="es-ES"/>
        </w:rPr>
        <w:t>inadmisible la presente petición con fundamento en el artículo 47(b) y (c) de la Convención Americana</w:t>
      </w:r>
    </w:p>
    <w:p w:rsidR="00CA6EA1" w:rsidRPr="00CA6EA1" w:rsidRDefault="003F1EEE" w:rsidP="00CA6EA1">
      <w:pPr>
        <w:numPr>
          <w:ilvl w:val="0"/>
          <w:numId w:val="56"/>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cs="Arial"/>
          <w:noProof/>
          <w:spacing w:val="-2"/>
          <w:sz w:val="20"/>
          <w:szCs w:val="20"/>
          <w:lang w:val="es-CL"/>
        </w:rPr>
      </w:pPr>
      <w:r w:rsidRPr="00CA6EA1">
        <w:rPr>
          <w:rFonts w:ascii="Cambria" w:hAnsi="Cambria"/>
          <w:sz w:val="20"/>
          <w:szCs w:val="20"/>
          <w:lang w:val="es-ES"/>
        </w:rPr>
        <w:t>Notificar a las partes la presente decisión; publicar esta decisión e incluirla en su Informe Anual a la Asamblea General de la Organización de los Estados Americanos.</w:t>
      </w:r>
    </w:p>
    <w:p w:rsidR="00CA6EA1" w:rsidRPr="00CA6EA1" w:rsidRDefault="00CA6EA1" w:rsidP="00704558">
      <w:p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color w:val="FF0000"/>
          <w:sz w:val="20"/>
          <w:szCs w:val="20"/>
          <w:lang w:val="es-419"/>
        </w:rPr>
      </w:pPr>
      <w:r>
        <w:rPr>
          <w:rFonts w:ascii="Cambria" w:hAnsi="Cambria" w:cs="Arial"/>
          <w:noProof/>
          <w:spacing w:val="-2"/>
          <w:sz w:val="20"/>
          <w:szCs w:val="20"/>
          <w:lang w:val="es-CL"/>
        </w:rPr>
        <w:tab/>
      </w:r>
      <w:r w:rsidRPr="00CA6EA1">
        <w:rPr>
          <w:rFonts w:ascii="Cambria" w:hAnsi="Cambria" w:cs="Arial"/>
          <w:noProof/>
          <w:spacing w:val="-2"/>
          <w:sz w:val="20"/>
          <w:szCs w:val="20"/>
          <w:lang w:val="es-CL"/>
        </w:rPr>
        <w:t>Aprobado por la Comisión Interamericana de Derechos Humanos  a los</w:t>
      </w:r>
      <w:r>
        <w:rPr>
          <w:rFonts w:ascii="Cambria" w:hAnsi="Cambria" w:cs="Arial"/>
          <w:noProof/>
          <w:spacing w:val="-2"/>
          <w:sz w:val="20"/>
          <w:szCs w:val="20"/>
          <w:lang w:val="es-CL"/>
        </w:rPr>
        <w:t xml:space="preserve"> 12 </w:t>
      </w:r>
      <w:r w:rsidRPr="00CA6EA1">
        <w:rPr>
          <w:rFonts w:ascii="Cambria" w:hAnsi="Cambria" w:cs="Arial"/>
          <w:noProof/>
          <w:spacing w:val="-2"/>
          <w:sz w:val="20"/>
          <w:szCs w:val="20"/>
          <w:lang w:val="es-CL"/>
        </w:rPr>
        <w:t xml:space="preserve">días del mes de </w:t>
      </w:r>
      <w:r>
        <w:rPr>
          <w:rFonts w:ascii="Cambria" w:hAnsi="Cambria" w:cs="Arial"/>
          <w:noProof/>
          <w:spacing w:val="-2"/>
          <w:sz w:val="20"/>
          <w:szCs w:val="20"/>
          <w:lang w:val="es-CL"/>
        </w:rPr>
        <w:t>mayo</w:t>
      </w:r>
      <w:r w:rsidRPr="00CA6EA1">
        <w:rPr>
          <w:rFonts w:ascii="Cambria" w:hAnsi="Cambria" w:cs="Arial"/>
          <w:noProof/>
          <w:spacing w:val="-2"/>
          <w:sz w:val="20"/>
          <w:szCs w:val="20"/>
          <w:lang w:val="es-CL"/>
        </w:rPr>
        <w:t xml:space="preserve"> de 2020.  </w:t>
      </w:r>
      <w:r w:rsidR="00704558">
        <w:rPr>
          <w:rFonts w:ascii="Cambria" w:hAnsi="Cambria" w:cs="Arial"/>
          <w:noProof/>
          <w:spacing w:val="-2"/>
          <w:sz w:val="20"/>
          <w:szCs w:val="20"/>
          <w:lang w:val="es-CL"/>
        </w:rPr>
        <w:t xml:space="preserve">(Firmado por): </w:t>
      </w:r>
      <w:r w:rsidR="00704558" w:rsidRPr="0076249D">
        <w:rPr>
          <w:rFonts w:ascii="Cambria" w:hAnsi="Cambria"/>
          <w:spacing w:val="-2"/>
          <w:sz w:val="20"/>
          <w:szCs w:val="20"/>
          <w:lang w:val="es-ES_tradnl"/>
        </w:rPr>
        <w:t>Joel Hernández</w:t>
      </w:r>
      <w:r w:rsidR="00704558">
        <w:rPr>
          <w:rFonts w:ascii="Cambria" w:hAnsi="Cambria"/>
          <w:spacing w:val="-2"/>
          <w:sz w:val="20"/>
          <w:szCs w:val="20"/>
          <w:lang w:val="es-ES_tradnl"/>
        </w:rPr>
        <w:t xml:space="preserve">, </w:t>
      </w:r>
      <w:proofErr w:type="spellStart"/>
      <w:r w:rsidR="00704558" w:rsidRPr="0076249D">
        <w:rPr>
          <w:rFonts w:ascii="Cambria" w:hAnsi="Cambria"/>
          <w:spacing w:val="-2"/>
          <w:sz w:val="20"/>
          <w:szCs w:val="20"/>
          <w:lang w:val="fr-CA"/>
        </w:rPr>
        <w:t>Presidente</w:t>
      </w:r>
      <w:proofErr w:type="spellEnd"/>
      <w:r w:rsidR="00704558">
        <w:rPr>
          <w:rFonts w:ascii="Cambria" w:hAnsi="Cambria"/>
          <w:spacing w:val="-2"/>
          <w:sz w:val="20"/>
          <w:szCs w:val="20"/>
          <w:lang w:val="fr-CA"/>
        </w:rPr>
        <w:t xml:space="preserve">; </w:t>
      </w:r>
      <w:proofErr w:type="spellStart"/>
      <w:r w:rsidR="00704558" w:rsidRPr="0076249D">
        <w:rPr>
          <w:rFonts w:ascii="Cambria" w:hAnsi="Cambria"/>
          <w:spacing w:val="-2"/>
          <w:sz w:val="20"/>
          <w:szCs w:val="20"/>
          <w:lang w:val="es-ES"/>
        </w:rPr>
        <w:t>Flávia</w:t>
      </w:r>
      <w:proofErr w:type="spellEnd"/>
      <w:r w:rsidR="00704558" w:rsidRPr="0076249D">
        <w:rPr>
          <w:rFonts w:ascii="Cambria" w:hAnsi="Cambria"/>
          <w:spacing w:val="-2"/>
          <w:sz w:val="20"/>
          <w:szCs w:val="20"/>
          <w:lang w:val="es-ES"/>
        </w:rPr>
        <w:t xml:space="preserve"> </w:t>
      </w:r>
      <w:proofErr w:type="spellStart"/>
      <w:r w:rsidR="00704558" w:rsidRPr="0076249D">
        <w:rPr>
          <w:rFonts w:ascii="Cambria" w:hAnsi="Cambria"/>
          <w:spacing w:val="-2"/>
          <w:sz w:val="20"/>
          <w:szCs w:val="20"/>
          <w:lang w:val="es-ES"/>
        </w:rPr>
        <w:t>Piovesan</w:t>
      </w:r>
      <w:proofErr w:type="spellEnd"/>
      <w:r w:rsidR="00704558">
        <w:rPr>
          <w:rFonts w:ascii="Cambria" w:hAnsi="Cambria"/>
          <w:spacing w:val="-2"/>
          <w:sz w:val="20"/>
          <w:szCs w:val="20"/>
          <w:lang w:val="es-ES"/>
        </w:rPr>
        <w:t xml:space="preserve">, </w:t>
      </w:r>
      <w:r w:rsidR="00704558" w:rsidRPr="0076249D">
        <w:rPr>
          <w:rFonts w:ascii="Cambria" w:hAnsi="Cambria"/>
          <w:spacing w:val="-2"/>
          <w:sz w:val="20"/>
          <w:szCs w:val="20"/>
          <w:lang w:val="es-ES"/>
        </w:rPr>
        <w:t>Segunda Vicepresidenta</w:t>
      </w:r>
      <w:r w:rsidR="00704558">
        <w:rPr>
          <w:rFonts w:ascii="Cambria" w:hAnsi="Cambria"/>
          <w:spacing w:val="-2"/>
          <w:sz w:val="20"/>
          <w:szCs w:val="20"/>
          <w:lang w:val="es-ES"/>
        </w:rPr>
        <w:t xml:space="preserve">; </w:t>
      </w:r>
      <w:r w:rsidR="00704558" w:rsidRPr="0076249D">
        <w:rPr>
          <w:rFonts w:ascii="Cambria" w:hAnsi="Cambria"/>
          <w:spacing w:val="-2"/>
          <w:sz w:val="20"/>
          <w:szCs w:val="20"/>
          <w:lang w:val="es-ES_tradnl"/>
        </w:rPr>
        <w:t xml:space="preserve">Esmeralda E. Arosemena Bernal de </w:t>
      </w:r>
      <w:proofErr w:type="spellStart"/>
      <w:r w:rsidR="00704558" w:rsidRPr="0076249D">
        <w:rPr>
          <w:rFonts w:ascii="Cambria" w:hAnsi="Cambria"/>
          <w:spacing w:val="-2"/>
          <w:sz w:val="20"/>
          <w:szCs w:val="20"/>
          <w:lang w:val="es-ES_tradnl"/>
        </w:rPr>
        <w:t>Troitiño</w:t>
      </w:r>
      <w:proofErr w:type="spellEnd"/>
      <w:r w:rsidR="00704558">
        <w:rPr>
          <w:rFonts w:ascii="Cambria" w:hAnsi="Cambria"/>
          <w:spacing w:val="-2"/>
          <w:sz w:val="20"/>
          <w:szCs w:val="20"/>
          <w:lang w:val="es-ES_tradnl"/>
        </w:rPr>
        <w:t xml:space="preserve">, y </w:t>
      </w:r>
      <w:r w:rsidR="00704558" w:rsidRPr="0076249D">
        <w:rPr>
          <w:rFonts w:ascii="Cambria" w:hAnsi="Cambria"/>
          <w:spacing w:val="-2"/>
          <w:sz w:val="20"/>
          <w:szCs w:val="20"/>
          <w:lang w:val="es-ES"/>
        </w:rPr>
        <w:t>Julissa Mantilla Falcón</w:t>
      </w:r>
      <w:r w:rsidR="00704558">
        <w:rPr>
          <w:rFonts w:ascii="Cambria" w:hAnsi="Cambria"/>
          <w:spacing w:val="-2"/>
          <w:sz w:val="20"/>
          <w:szCs w:val="20"/>
          <w:lang w:val="es-ES"/>
        </w:rPr>
        <w:t>, miembros de la Comisión.</w:t>
      </w:r>
    </w:p>
    <w:sectPr w:rsidR="00CA6EA1" w:rsidRPr="00CA6EA1"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448" w:rsidRDefault="00CD144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D1448" w:rsidRDefault="00CD144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28" w:rsidRDefault="00E02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EE" w:rsidRPr="00934A2C" w:rsidRDefault="003F1EEE">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02828">
      <w:rPr>
        <w:noProof/>
        <w:sz w:val="16"/>
        <w:szCs w:val="22"/>
      </w:rPr>
      <w:t>3</w:t>
    </w:r>
    <w:r w:rsidRPr="00934A2C">
      <w:rPr>
        <w:sz w:val="16"/>
        <w:szCs w:val="22"/>
      </w:rPr>
      <w:fldChar w:fldCharType="end"/>
    </w:r>
  </w:p>
  <w:p w:rsidR="003F1EEE" w:rsidRDefault="003F1EEE">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EE" w:rsidRPr="00934A2C" w:rsidRDefault="003F1EEE">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3F1EEE" w:rsidRDefault="003F1EEE">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448" w:rsidRPr="000F35ED" w:rsidRDefault="00CD1448">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CD1448" w:rsidRPr="000F35ED" w:rsidRDefault="00CD1448"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CD1448" w:rsidRPr="000F35ED" w:rsidRDefault="00CD1448"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CD1448" w:rsidRPr="000F35ED" w:rsidRDefault="00CD1448"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3F1EEE" w:rsidRPr="00AF2770" w:rsidRDefault="003F1EEE" w:rsidP="00CC395D">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Pr>
          <w:rStyle w:val="FootnoteReference"/>
        </w:rPr>
        <w:footnoteRef/>
      </w:r>
      <w:r w:rsidRPr="00FC077F">
        <w:rPr>
          <w:lang w:val="es-PA"/>
        </w:rPr>
        <w:t xml:space="preserve"> </w:t>
      </w:r>
      <w:r>
        <w:rPr>
          <w:rFonts w:ascii="Cambria" w:hAnsi="Cambria"/>
          <w:sz w:val="16"/>
          <w:szCs w:val="16"/>
          <w:lang w:val="es-PA"/>
        </w:rPr>
        <w:t>En adelante “la Convención Americana”.</w:t>
      </w:r>
    </w:p>
  </w:footnote>
  <w:footnote w:id="3">
    <w:p w:rsidR="003F1EEE" w:rsidRPr="00AF2770" w:rsidRDefault="003F1EEE" w:rsidP="00C224C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4">
    <w:p w:rsidR="003F1EEE" w:rsidRPr="00AF2770" w:rsidRDefault="003F1EEE" w:rsidP="00D70C4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D70C4F">
        <w:rPr>
          <w:rStyle w:val="FootnoteReference"/>
          <w:rFonts w:ascii="Cambria" w:hAnsi="Cambria"/>
          <w:sz w:val="16"/>
          <w:szCs w:val="16"/>
        </w:rPr>
        <w:footnoteRef/>
      </w:r>
      <w:r w:rsidRPr="00D70C4F">
        <w:rPr>
          <w:rFonts w:ascii="Cambria" w:hAnsi="Cambria"/>
          <w:sz w:val="16"/>
          <w:szCs w:val="16"/>
          <w:lang w:val="es-PA"/>
        </w:rPr>
        <w:t xml:space="preserve"> Cita el artículo 371 del Código Procesal Penal que expresa “ninguna prueba deberá ser introducida al juicio de forma escrita salvo que hayan sido recibidas bajo la regla del anticipo jurisdiccional de pruebas, o cuando el testigo o perito no pueda asistir al mismo. Toda prueba que sea sometida al juicio por escrito de forma ilegal producirá la nulidad absoluta del mismo”.</w:t>
      </w:r>
    </w:p>
  </w:footnote>
  <w:footnote w:id="5">
    <w:p w:rsidR="003F1EEE" w:rsidRDefault="003F1EEE" w:rsidP="00591BBD">
      <w:pPr>
        <w:pBdr>
          <w:top w:val="none" w:sz="0" w:space="0" w:color="auto"/>
          <w:left w:val="none" w:sz="0" w:space="0" w:color="auto"/>
          <w:bottom w:val="none" w:sz="0" w:space="0" w:color="auto"/>
          <w:right w:val="none" w:sz="0" w:space="0" w:color="auto"/>
          <w:bar w:val="none" w:sz="0" w:color="auto"/>
        </w:pBdr>
        <w:ind w:firstLine="720"/>
        <w:contextualSpacing/>
        <w:jc w:val="both"/>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65/12</w:t>
      </w:r>
      <w:r>
        <w:rPr>
          <w:rFonts w:ascii="Cambria" w:hAnsi="Cambria" w:cs="Calibri"/>
          <w:sz w:val="16"/>
          <w:szCs w:val="16"/>
          <w:lang w:val="es-ES_tradnl"/>
        </w:rPr>
        <w:t>, Petición 1671-02</w:t>
      </w:r>
      <w:r w:rsidRPr="006132CC">
        <w:rPr>
          <w:rFonts w:ascii="Cambria" w:hAnsi="Cambria" w:cs="Calibri"/>
          <w:sz w:val="16"/>
          <w:szCs w:val="16"/>
          <w:lang w:val="es-ES_tradnl"/>
        </w:rPr>
        <w:t>. Admisibilidad. Alejandro Peñafiel Salgado. Ecuador. 29 de marzo de 2012, párr.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EE" w:rsidRDefault="003F1EEE"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3F1EEE" w:rsidRDefault="003F1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EE" w:rsidRDefault="00CD1448" w:rsidP="00A50FCF">
    <w:pPr>
      <w:pStyle w:val="Header"/>
      <w:tabs>
        <w:tab w:val="clear" w:pos="4320"/>
        <w:tab w:val="clear" w:pos="8640"/>
      </w:tabs>
      <w:jc w:val="center"/>
      <w:rPr>
        <w:sz w:val="22"/>
        <w:szCs w:val="22"/>
      </w:rPr>
    </w:pPr>
    <w:r>
      <w:rPr>
        <w:noProof/>
        <w:sz w:val="22"/>
        <w:szCs w:val="22"/>
        <w:lang w:val="es-PA" w:eastAsia="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style="width:153.75pt;height:8.25pt;visibility:visible">
          <v:imagedata r:id="rId1" o:title=""/>
        </v:shape>
      </w:pict>
    </w:r>
  </w:p>
  <w:p w:rsidR="003F1EEE" w:rsidRPr="00EC7D62" w:rsidRDefault="00CD1448" w:rsidP="00A50FCF">
    <w:pPr>
      <w:pStyle w:val="Header"/>
      <w:tabs>
        <w:tab w:val="clear" w:pos="4320"/>
        <w:tab w:val="clear" w:pos="8640"/>
      </w:tabs>
      <w:jc w:val="center"/>
      <w:rPr>
        <w:sz w:val="22"/>
        <w:szCs w:val="22"/>
      </w:rPr>
    </w:pPr>
    <w:r>
      <w:rPr>
        <w:sz w:val="22"/>
        <w:szCs w:val="22"/>
      </w:rPr>
      <w:pict>
        <v:rect id="_x0000_i1028"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28" w:rsidRDefault="00E02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NotTrackMoves/>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249F9"/>
    <w:rsid w:val="0002733D"/>
    <w:rsid w:val="000316C5"/>
    <w:rsid w:val="000337EF"/>
    <w:rsid w:val="00040C3A"/>
    <w:rsid w:val="000419AD"/>
    <w:rsid w:val="000705C5"/>
    <w:rsid w:val="000716C5"/>
    <w:rsid w:val="00075E23"/>
    <w:rsid w:val="0009006E"/>
    <w:rsid w:val="0009344A"/>
    <w:rsid w:val="000A19F8"/>
    <w:rsid w:val="000A3254"/>
    <w:rsid w:val="000A392E"/>
    <w:rsid w:val="000A575F"/>
    <w:rsid w:val="000A63D0"/>
    <w:rsid w:val="000B0579"/>
    <w:rsid w:val="000B3059"/>
    <w:rsid w:val="000C1C69"/>
    <w:rsid w:val="000C3A31"/>
    <w:rsid w:val="000D10DB"/>
    <w:rsid w:val="000E2789"/>
    <w:rsid w:val="000E5EB5"/>
    <w:rsid w:val="000F35ED"/>
    <w:rsid w:val="00107131"/>
    <w:rsid w:val="0010736F"/>
    <w:rsid w:val="00111A8A"/>
    <w:rsid w:val="00113F73"/>
    <w:rsid w:val="00121CC2"/>
    <w:rsid w:val="00131D8B"/>
    <w:rsid w:val="00133EE5"/>
    <w:rsid w:val="001342BD"/>
    <w:rsid w:val="00136E3D"/>
    <w:rsid w:val="00143EFE"/>
    <w:rsid w:val="001479C0"/>
    <w:rsid w:val="0015330B"/>
    <w:rsid w:val="00161DF6"/>
    <w:rsid w:val="00167A34"/>
    <w:rsid w:val="00176BB3"/>
    <w:rsid w:val="00177EEF"/>
    <w:rsid w:val="001A7870"/>
    <w:rsid w:val="001B3A00"/>
    <w:rsid w:val="001B4C00"/>
    <w:rsid w:val="001C1B41"/>
    <w:rsid w:val="001C27B6"/>
    <w:rsid w:val="001D65EF"/>
    <w:rsid w:val="001E3CBA"/>
    <w:rsid w:val="001E49E7"/>
    <w:rsid w:val="001F1FA3"/>
    <w:rsid w:val="001F271B"/>
    <w:rsid w:val="001F7201"/>
    <w:rsid w:val="00204931"/>
    <w:rsid w:val="00214EB2"/>
    <w:rsid w:val="00223A29"/>
    <w:rsid w:val="00223DB4"/>
    <w:rsid w:val="00224369"/>
    <w:rsid w:val="002250A3"/>
    <w:rsid w:val="00231294"/>
    <w:rsid w:val="00235217"/>
    <w:rsid w:val="002355A9"/>
    <w:rsid w:val="00246D1F"/>
    <w:rsid w:val="00247403"/>
    <w:rsid w:val="00247542"/>
    <w:rsid w:val="00253195"/>
    <w:rsid w:val="00266B61"/>
    <w:rsid w:val="0026712A"/>
    <w:rsid w:val="002704DB"/>
    <w:rsid w:val="00277BDA"/>
    <w:rsid w:val="0029575A"/>
    <w:rsid w:val="002A0AAE"/>
    <w:rsid w:val="002A5820"/>
    <w:rsid w:val="002B6FFB"/>
    <w:rsid w:val="002C3350"/>
    <w:rsid w:val="002D2B26"/>
    <w:rsid w:val="002D7EA2"/>
    <w:rsid w:val="002E187C"/>
    <w:rsid w:val="002E7512"/>
    <w:rsid w:val="002F3724"/>
    <w:rsid w:val="00302733"/>
    <w:rsid w:val="003121D5"/>
    <w:rsid w:val="00314078"/>
    <w:rsid w:val="0031535D"/>
    <w:rsid w:val="003239B8"/>
    <w:rsid w:val="0033169F"/>
    <w:rsid w:val="0034224A"/>
    <w:rsid w:val="00343438"/>
    <w:rsid w:val="00344977"/>
    <w:rsid w:val="00346185"/>
    <w:rsid w:val="00346C95"/>
    <w:rsid w:val="00351155"/>
    <w:rsid w:val="0035443B"/>
    <w:rsid w:val="00356185"/>
    <w:rsid w:val="00360380"/>
    <w:rsid w:val="0037345C"/>
    <w:rsid w:val="0037519E"/>
    <w:rsid w:val="00386C6C"/>
    <w:rsid w:val="00386CF0"/>
    <w:rsid w:val="003942EC"/>
    <w:rsid w:val="003A6337"/>
    <w:rsid w:val="003B4FF6"/>
    <w:rsid w:val="003B70FB"/>
    <w:rsid w:val="003C6112"/>
    <w:rsid w:val="003C676B"/>
    <w:rsid w:val="003D0A55"/>
    <w:rsid w:val="003D3BC2"/>
    <w:rsid w:val="003E614F"/>
    <w:rsid w:val="003E6CA1"/>
    <w:rsid w:val="003F0402"/>
    <w:rsid w:val="003F1EEE"/>
    <w:rsid w:val="003F3BA0"/>
    <w:rsid w:val="00404254"/>
    <w:rsid w:val="004065A8"/>
    <w:rsid w:val="004153F5"/>
    <w:rsid w:val="004165C2"/>
    <w:rsid w:val="004304AD"/>
    <w:rsid w:val="00441ECB"/>
    <w:rsid w:val="00445193"/>
    <w:rsid w:val="00447CCF"/>
    <w:rsid w:val="004565BA"/>
    <w:rsid w:val="00460DAD"/>
    <w:rsid w:val="00462C1B"/>
    <w:rsid w:val="00467B7E"/>
    <w:rsid w:val="0047080D"/>
    <w:rsid w:val="0047096E"/>
    <w:rsid w:val="00473BB4"/>
    <w:rsid w:val="00476211"/>
    <w:rsid w:val="00477592"/>
    <w:rsid w:val="00486F1C"/>
    <w:rsid w:val="0049419D"/>
    <w:rsid w:val="004A05E6"/>
    <w:rsid w:val="004A0803"/>
    <w:rsid w:val="004A59CC"/>
    <w:rsid w:val="004A6A54"/>
    <w:rsid w:val="004B1724"/>
    <w:rsid w:val="004C20D2"/>
    <w:rsid w:val="004C2312"/>
    <w:rsid w:val="004C4B62"/>
    <w:rsid w:val="004C54C9"/>
    <w:rsid w:val="004C616A"/>
    <w:rsid w:val="004D3311"/>
    <w:rsid w:val="004D4ABA"/>
    <w:rsid w:val="004D6025"/>
    <w:rsid w:val="004E19B1"/>
    <w:rsid w:val="004E2649"/>
    <w:rsid w:val="00501399"/>
    <w:rsid w:val="00501652"/>
    <w:rsid w:val="0050633D"/>
    <w:rsid w:val="00507BC4"/>
    <w:rsid w:val="005128E4"/>
    <w:rsid w:val="005133DB"/>
    <w:rsid w:val="00525560"/>
    <w:rsid w:val="00540AB4"/>
    <w:rsid w:val="005415E6"/>
    <w:rsid w:val="00544216"/>
    <w:rsid w:val="00544C49"/>
    <w:rsid w:val="005516A1"/>
    <w:rsid w:val="0055234F"/>
    <w:rsid w:val="00563557"/>
    <w:rsid w:val="00573260"/>
    <w:rsid w:val="0057402A"/>
    <w:rsid w:val="00574CB7"/>
    <w:rsid w:val="005771D0"/>
    <w:rsid w:val="0059191A"/>
    <w:rsid w:val="00591BBD"/>
    <w:rsid w:val="005921FF"/>
    <w:rsid w:val="00594707"/>
    <w:rsid w:val="00596AE0"/>
    <w:rsid w:val="005A24ED"/>
    <w:rsid w:val="005A6D0E"/>
    <w:rsid w:val="005B37CC"/>
    <w:rsid w:val="005B52B0"/>
    <w:rsid w:val="005B6806"/>
    <w:rsid w:val="005B6D22"/>
    <w:rsid w:val="005C261A"/>
    <w:rsid w:val="005C4225"/>
    <w:rsid w:val="005C7989"/>
    <w:rsid w:val="005D016E"/>
    <w:rsid w:val="005D2B29"/>
    <w:rsid w:val="005D66AD"/>
    <w:rsid w:val="005E0B65"/>
    <w:rsid w:val="005E11B2"/>
    <w:rsid w:val="005F0A4D"/>
    <w:rsid w:val="005F0DAD"/>
    <w:rsid w:val="005F0F33"/>
    <w:rsid w:val="00600DEB"/>
    <w:rsid w:val="006068B7"/>
    <w:rsid w:val="00610BF4"/>
    <w:rsid w:val="006132CC"/>
    <w:rsid w:val="006261F3"/>
    <w:rsid w:val="006277DE"/>
    <w:rsid w:val="00627C9F"/>
    <w:rsid w:val="006311E9"/>
    <w:rsid w:val="00631390"/>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548D"/>
    <w:rsid w:val="006A73E6"/>
    <w:rsid w:val="006B2D5C"/>
    <w:rsid w:val="006B2EE8"/>
    <w:rsid w:val="006C4EB1"/>
    <w:rsid w:val="006E0166"/>
    <w:rsid w:val="006E772A"/>
    <w:rsid w:val="006E7B34"/>
    <w:rsid w:val="006F1367"/>
    <w:rsid w:val="00701300"/>
    <w:rsid w:val="00704558"/>
    <w:rsid w:val="0070697F"/>
    <w:rsid w:val="0072199C"/>
    <w:rsid w:val="00722C9F"/>
    <w:rsid w:val="007253B8"/>
    <w:rsid w:val="00727B0E"/>
    <w:rsid w:val="0073140C"/>
    <w:rsid w:val="0073598C"/>
    <w:rsid w:val="0073741F"/>
    <w:rsid w:val="00756485"/>
    <w:rsid w:val="0076249D"/>
    <w:rsid w:val="0076643F"/>
    <w:rsid w:val="00772E5F"/>
    <w:rsid w:val="00777F63"/>
    <w:rsid w:val="00780BC3"/>
    <w:rsid w:val="007852B5"/>
    <w:rsid w:val="00795CF5"/>
    <w:rsid w:val="00796A37"/>
    <w:rsid w:val="007A5817"/>
    <w:rsid w:val="007B05C4"/>
    <w:rsid w:val="007B60E9"/>
    <w:rsid w:val="007B6CC3"/>
    <w:rsid w:val="007C3334"/>
    <w:rsid w:val="007C402A"/>
    <w:rsid w:val="007D2B98"/>
    <w:rsid w:val="007D3D87"/>
    <w:rsid w:val="007D7C02"/>
    <w:rsid w:val="007E21BC"/>
    <w:rsid w:val="007E58FE"/>
    <w:rsid w:val="007E7C82"/>
    <w:rsid w:val="007F588D"/>
    <w:rsid w:val="00802748"/>
    <w:rsid w:val="00803F1C"/>
    <w:rsid w:val="00803FA3"/>
    <w:rsid w:val="0080600E"/>
    <w:rsid w:val="008168D8"/>
    <w:rsid w:val="00817612"/>
    <w:rsid w:val="008338A4"/>
    <w:rsid w:val="00834D49"/>
    <w:rsid w:val="00837C45"/>
    <w:rsid w:val="008411F0"/>
    <w:rsid w:val="008439BC"/>
    <w:rsid w:val="00844730"/>
    <w:rsid w:val="008457C2"/>
    <w:rsid w:val="00847FBD"/>
    <w:rsid w:val="00853E84"/>
    <w:rsid w:val="00857A82"/>
    <w:rsid w:val="0086500E"/>
    <w:rsid w:val="00871526"/>
    <w:rsid w:val="00873836"/>
    <w:rsid w:val="00875668"/>
    <w:rsid w:val="00885737"/>
    <w:rsid w:val="00890650"/>
    <w:rsid w:val="00897E12"/>
    <w:rsid w:val="008A0F81"/>
    <w:rsid w:val="008A310C"/>
    <w:rsid w:val="008A7E0F"/>
    <w:rsid w:val="008B12F5"/>
    <w:rsid w:val="008B5932"/>
    <w:rsid w:val="008C5751"/>
    <w:rsid w:val="008D2290"/>
    <w:rsid w:val="008D768D"/>
    <w:rsid w:val="008E0FD8"/>
    <w:rsid w:val="008E328A"/>
    <w:rsid w:val="008E3759"/>
    <w:rsid w:val="008E3BFE"/>
    <w:rsid w:val="008E74F7"/>
    <w:rsid w:val="008E7900"/>
    <w:rsid w:val="008F1912"/>
    <w:rsid w:val="008F3148"/>
    <w:rsid w:val="0090270B"/>
    <w:rsid w:val="009041DC"/>
    <w:rsid w:val="00917B5A"/>
    <w:rsid w:val="00920A58"/>
    <w:rsid w:val="00920A8C"/>
    <w:rsid w:val="00934A2C"/>
    <w:rsid w:val="00935F06"/>
    <w:rsid w:val="00937B3A"/>
    <w:rsid w:val="00944EBD"/>
    <w:rsid w:val="00954B82"/>
    <w:rsid w:val="00957000"/>
    <w:rsid w:val="00962436"/>
    <w:rsid w:val="00966771"/>
    <w:rsid w:val="0096706E"/>
    <w:rsid w:val="00974491"/>
    <w:rsid w:val="00975C4E"/>
    <w:rsid w:val="00981FBA"/>
    <w:rsid w:val="00997BC5"/>
    <w:rsid w:val="009A4F41"/>
    <w:rsid w:val="009B381B"/>
    <w:rsid w:val="009C2FC5"/>
    <w:rsid w:val="009D1184"/>
    <w:rsid w:val="009D1753"/>
    <w:rsid w:val="009D6502"/>
    <w:rsid w:val="009D7611"/>
    <w:rsid w:val="009D78A5"/>
    <w:rsid w:val="009E08DD"/>
    <w:rsid w:val="009E0B61"/>
    <w:rsid w:val="009E53DE"/>
    <w:rsid w:val="009E7C00"/>
    <w:rsid w:val="00A04336"/>
    <w:rsid w:val="00A0691C"/>
    <w:rsid w:val="00A11E44"/>
    <w:rsid w:val="00A154C8"/>
    <w:rsid w:val="00A22397"/>
    <w:rsid w:val="00A32313"/>
    <w:rsid w:val="00A328B3"/>
    <w:rsid w:val="00A364C7"/>
    <w:rsid w:val="00A47A43"/>
    <w:rsid w:val="00A50FCF"/>
    <w:rsid w:val="00A528D1"/>
    <w:rsid w:val="00A610CD"/>
    <w:rsid w:val="00A625E0"/>
    <w:rsid w:val="00A74947"/>
    <w:rsid w:val="00A758AA"/>
    <w:rsid w:val="00A92093"/>
    <w:rsid w:val="00AA09A2"/>
    <w:rsid w:val="00AA7996"/>
    <w:rsid w:val="00AB4E59"/>
    <w:rsid w:val="00AC19CB"/>
    <w:rsid w:val="00AD1886"/>
    <w:rsid w:val="00AE5488"/>
    <w:rsid w:val="00AE6F91"/>
    <w:rsid w:val="00AF2770"/>
    <w:rsid w:val="00AF5571"/>
    <w:rsid w:val="00B0497B"/>
    <w:rsid w:val="00B06B4E"/>
    <w:rsid w:val="00B07341"/>
    <w:rsid w:val="00B14CBD"/>
    <w:rsid w:val="00B202B5"/>
    <w:rsid w:val="00B30539"/>
    <w:rsid w:val="00B314DB"/>
    <w:rsid w:val="00B361F2"/>
    <w:rsid w:val="00B3718B"/>
    <w:rsid w:val="00B4632A"/>
    <w:rsid w:val="00B5067D"/>
    <w:rsid w:val="00B530F1"/>
    <w:rsid w:val="00B54CDF"/>
    <w:rsid w:val="00B57297"/>
    <w:rsid w:val="00B736AF"/>
    <w:rsid w:val="00B742BE"/>
    <w:rsid w:val="00B84C70"/>
    <w:rsid w:val="00B87359"/>
    <w:rsid w:val="00B97946"/>
    <w:rsid w:val="00BA0F4A"/>
    <w:rsid w:val="00BA276C"/>
    <w:rsid w:val="00BA35F3"/>
    <w:rsid w:val="00BA5544"/>
    <w:rsid w:val="00BB306F"/>
    <w:rsid w:val="00BB3FBD"/>
    <w:rsid w:val="00BC6CD0"/>
    <w:rsid w:val="00BC796E"/>
    <w:rsid w:val="00BD4B89"/>
    <w:rsid w:val="00BD5922"/>
    <w:rsid w:val="00BD76D9"/>
    <w:rsid w:val="00BF02CB"/>
    <w:rsid w:val="00BF514A"/>
    <w:rsid w:val="00BF6FD8"/>
    <w:rsid w:val="00BF775D"/>
    <w:rsid w:val="00C03680"/>
    <w:rsid w:val="00C054DF"/>
    <w:rsid w:val="00C10AFC"/>
    <w:rsid w:val="00C21562"/>
    <w:rsid w:val="00C21762"/>
    <w:rsid w:val="00C21FEF"/>
    <w:rsid w:val="00C224C7"/>
    <w:rsid w:val="00C24543"/>
    <w:rsid w:val="00C256A2"/>
    <w:rsid w:val="00C35A26"/>
    <w:rsid w:val="00C51515"/>
    <w:rsid w:val="00C53910"/>
    <w:rsid w:val="00C5660B"/>
    <w:rsid w:val="00C56854"/>
    <w:rsid w:val="00C5788A"/>
    <w:rsid w:val="00C57C67"/>
    <w:rsid w:val="00C631B4"/>
    <w:rsid w:val="00C66B72"/>
    <w:rsid w:val="00C80E8A"/>
    <w:rsid w:val="00C87AC4"/>
    <w:rsid w:val="00C9567A"/>
    <w:rsid w:val="00CA48A3"/>
    <w:rsid w:val="00CA6AAD"/>
    <w:rsid w:val="00CA6EA1"/>
    <w:rsid w:val="00CB212D"/>
    <w:rsid w:val="00CB2660"/>
    <w:rsid w:val="00CB39A5"/>
    <w:rsid w:val="00CC395D"/>
    <w:rsid w:val="00CC5E90"/>
    <w:rsid w:val="00CD046C"/>
    <w:rsid w:val="00CD1448"/>
    <w:rsid w:val="00CD186A"/>
    <w:rsid w:val="00CE076C"/>
    <w:rsid w:val="00CE5199"/>
    <w:rsid w:val="00CE66D5"/>
    <w:rsid w:val="00CF637A"/>
    <w:rsid w:val="00D0051F"/>
    <w:rsid w:val="00D059DE"/>
    <w:rsid w:val="00D05ABD"/>
    <w:rsid w:val="00D11130"/>
    <w:rsid w:val="00D13FCE"/>
    <w:rsid w:val="00D17E8C"/>
    <w:rsid w:val="00D306D1"/>
    <w:rsid w:val="00D30800"/>
    <w:rsid w:val="00D34786"/>
    <w:rsid w:val="00D37BFC"/>
    <w:rsid w:val="00D42822"/>
    <w:rsid w:val="00D47A8E"/>
    <w:rsid w:val="00D52D14"/>
    <w:rsid w:val="00D55256"/>
    <w:rsid w:val="00D56D93"/>
    <w:rsid w:val="00D70C4F"/>
    <w:rsid w:val="00D712D3"/>
    <w:rsid w:val="00D71422"/>
    <w:rsid w:val="00D72DC6"/>
    <w:rsid w:val="00D73F5E"/>
    <w:rsid w:val="00D7558D"/>
    <w:rsid w:val="00D77503"/>
    <w:rsid w:val="00D81D92"/>
    <w:rsid w:val="00D876F9"/>
    <w:rsid w:val="00D877B6"/>
    <w:rsid w:val="00D93A90"/>
    <w:rsid w:val="00DA7B5F"/>
    <w:rsid w:val="00DC11E7"/>
    <w:rsid w:val="00DC7023"/>
    <w:rsid w:val="00DC769A"/>
    <w:rsid w:val="00DD061E"/>
    <w:rsid w:val="00DD3D86"/>
    <w:rsid w:val="00DE12F0"/>
    <w:rsid w:val="00DF1EC4"/>
    <w:rsid w:val="00DF51E9"/>
    <w:rsid w:val="00E01943"/>
    <w:rsid w:val="00E02828"/>
    <w:rsid w:val="00E0340B"/>
    <w:rsid w:val="00E04A90"/>
    <w:rsid w:val="00E0551F"/>
    <w:rsid w:val="00E219C7"/>
    <w:rsid w:val="00E256DA"/>
    <w:rsid w:val="00E26CCA"/>
    <w:rsid w:val="00E27F56"/>
    <w:rsid w:val="00E37C4E"/>
    <w:rsid w:val="00E4118C"/>
    <w:rsid w:val="00E43157"/>
    <w:rsid w:val="00E43ED7"/>
    <w:rsid w:val="00E461CE"/>
    <w:rsid w:val="00E720CA"/>
    <w:rsid w:val="00E84EB5"/>
    <w:rsid w:val="00E85662"/>
    <w:rsid w:val="00E8789F"/>
    <w:rsid w:val="00E90CD6"/>
    <w:rsid w:val="00E92747"/>
    <w:rsid w:val="00E97B71"/>
    <w:rsid w:val="00EA3D34"/>
    <w:rsid w:val="00EA46A3"/>
    <w:rsid w:val="00EB454D"/>
    <w:rsid w:val="00EC26E9"/>
    <w:rsid w:val="00EC72AB"/>
    <w:rsid w:val="00EC7D62"/>
    <w:rsid w:val="00ED2F03"/>
    <w:rsid w:val="00ED549D"/>
    <w:rsid w:val="00ED76BE"/>
    <w:rsid w:val="00ED7F05"/>
    <w:rsid w:val="00EE00E9"/>
    <w:rsid w:val="00EE014D"/>
    <w:rsid w:val="00EF19D8"/>
    <w:rsid w:val="00EF35AB"/>
    <w:rsid w:val="00EF4C44"/>
    <w:rsid w:val="00EF619B"/>
    <w:rsid w:val="00F00B55"/>
    <w:rsid w:val="00F02AD1"/>
    <w:rsid w:val="00F04591"/>
    <w:rsid w:val="00F06354"/>
    <w:rsid w:val="00F13BBC"/>
    <w:rsid w:val="00F1457D"/>
    <w:rsid w:val="00F1614B"/>
    <w:rsid w:val="00F2207A"/>
    <w:rsid w:val="00F253CC"/>
    <w:rsid w:val="00F332EF"/>
    <w:rsid w:val="00F37106"/>
    <w:rsid w:val="00F41953"/>
    <w:rsid w:val="00F519CF"/>
    <w:rsid w:val="00F53168"/>
    <w:rsid w:val="00F56BA5"/>
    <w:rsid w:val="00F60E22"/>
    <w:rsid w:val="00F63B39"/>
    <w:rsid w:val="00F81395"/>
    <w:rsid w:val="00F81887"/>
    <w:rsid w:val="00F81BB8"/>
    <w:rsid w:val="00F917D1"/>
    <w:rsid w:val="00F9342C"/>
    <w:rsid w:val="00F9653B"/>
    <w:rsid w:val="00FA3048"/>
    <w:rsid w:val="00FA56EA"/>
    <w:rsid w:val="00FB62CF"/>
    <w:rsid w:val="00FC077F"/>
    <w:rsid w:val="00FC0F4A"/>
    <w:rsid w:val="00FC2B4A"/>
    <w:rsid w:val="00FC3330"/>
    <w:rsid w:val="00FD3C3B"/>
    <w:rsid w:val="00FE07DD"/>
    <w:rsid w:val="00FE22CD"/>
    <w:rsid w:val="00FE6B45"/>
    <w:rsid w:val="00FF334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C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0316C5"/>
    <w:rPr>
      <w:rFonts w:cs="Times New Roman"/>
      <w:u w:val="single"/>
    </w:rPr>
  </w:style>
  <w:style w:type="paragraph" w:customStyle="1" w:styleId="Cabeceraypie">
    <w:name w:val="Cabecera y pie"/>
    <w:uiPriority w:val="99"/>
    <w:rsid w:val="000316C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0316C5"/>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0316C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0316C5"/>
    <w:pPr>
      <w:ind w:left="2160" w:hanging="720"/>
    </w:pPr>
    <w:rPr>
      <w:rFonts w:eastAsia="Times New Roman"/>
      <w:color w:val="000000"/>
      <w:u w:color="000000"/>
      <w:lang w:val="es-ES_tradnl" w:eastAsia="es-ES"/>
    </w:rPr>
  </w:style>
  <w:style w:type="character" w:customStyle="1" w:styleId="BodyTextIndentChar">
    <w:name w:val="Body Text Indent Char"/>
    <w:link w:val="BodyTextIndent"/>
    <w:uiPriority w:val="99"/>
    <w:semiHidden/>
    <w:locked/>
    <w:rsid w:val="0073140C"/>
    <w:rPr>
      <w:rFonts w:cs="Times New Roman"/>
      <w:sz w:val="24"/>
      <w:szCs w:val="24"/>
      <w:lang w:val="en-US" w:eastAsia="en-US"/>
    </w:rPr>
  </w:style>
  <w:style w:type="paragraph" w:styleId="ListParagraph">
    <w:name w:val="List Paragraph"/>
    <w:basedOn w:val="Normal"/>
    <w:uiPriority w:val="99"/>
    <w:qFormat/>
    <w:rsid w:val="000316C5"/>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
    <w:uiPriority w:val="99"/>
    <w:rsid w:val="000316C5"/>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hAnsi="Calibri" w:cs="Times New Roman"/>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link w:val="BodyText"/>
    <w:uiPriority w:val="99"/>
    <w:semiHidden/>
    <w:locked/>
    <w:rsid w:val="0031535D"/>
    <w:rPr>
      <w:rFonts w:cs="Times New Roman"/>
      <w:sz w:val="24"/>
      <w:szCs w:val="24"/>
      <w:lang w:val="en-US" w:eastAsia="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2"/>
      <w:szCs w:val="22"/>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rPr>
  </w:style>
  <w:style w:type="numbering" w:customStyle="1" w:styleId="List16">
    <w:name w:val="List 16"/>
    <w:rsid w:val="009A1FDE"/>
    <w:pPr>
      <w:numPr>
        <w:numId w:val="10"/>
      </w:numPr>
    </w:pPr>
  </w:style>
  <w:style w:type="numbering" w:customStyle="1" w:styleId="List36">
    <w:name w:val="List 36"/>
    <w:rsid w:val="009A1FDE"/>
    <w:pPr>
      <w:numPr>
        <w:numId w:val="14"/>
      </w:numPr>
    </w:pPr>
  </w:style>
  <w:style w:type="numbering" w:customStyle="1" w:styleId="List25">
    <w:name w:val="List 25"/>
    <w:rsid w:val="009A1FDE"/>
    <w:pPr>
      <w:numPr>
        <w:numId w:val="15"/>
      </w:numPr>
    </w:pPr>
  </w:style>
  <w:style w:type="numbering" w:customStyle="1" w:styleId="List1">
    <w:name w:val="List 1"/>
    <w:rsid w:val="009A1FDE"/>
    <w:pPr>
      <w:numPr>
        <w:numId w:val="1"/>
      </w:numPr>
    </w:pPr>
  </w:style>
  <w:style w:type="numbering" w:customStyle="1" w:styleId="List11">
    <w:name w:val="List 11"/>
    <w:rsid w:val="009A1FDE"/>
    <w:pPr>
      <w:numPr>
        <w:numId w:val="7"/>
      </w:numPr>
    </w:pPr>
  </w:style>
  <w:style w:type="numbering" w:customStyle="1" w:styleId="List15">
    <w:name w:val="List 15"/>
    <w:rsid w:val="009A1FDE"/>
    <w:pPr>
      <w:numPr>
        <w:numId w:val="16"/>
      </w:numPr>
    </w:pPr>
  </w:style>
  <w:style w:type="numbering" w:customStyle="1" w:styleId="List14">
    <w:name w:val="List 14"/>
    <w:rsid w:val="009A1FDE"/>
    <w:pPr>
      <w:numPr>
        <w:numId w:val="17"/>
      </w:numPr>
    </w:pPr>
  </w:style>
  <w:style w:type="numbering" w:customStyle="1" w:styleId="List23">
    <w:name w:val="List 23"/>
    <w:rsid w:val="009A1FDE"/>
    <w:pPr>
      <w:numPr>
        <w:numId w:val="18"/>
      </w:numPr>
    </w:pPr>
  </w:style>
  <w:style w:type="numbering" w:customStyle="1" w:styleId="List19">
    <w:name w:val="List 19"/>
    <w:rsid w:val="009A1FDE"/>
    <w:pPr>
      <w:numPr>
        <w:numId w:val="19"/>
      </w:numPr>
    </w:pPr>
  </w:style>
  <w:style w:type="numbering" w:customStyle="1" w:styleId="List45">
    <w:name w:val="List 45"/>
    <w:rsid w:val="009A1FDE"/>
    <w:pPr>
      <w:numPr>
        <w:numId w:val="20"/>
      </w:numPr>
    </w:pPr>
  </w:style>
  <w:style w:type="numbering" w:customStyle="1" w:styleId="List40">
    <w:name w:val="List 40"/>
    <w:rsid w:val="009A1FDE"/>
    <w:pPr>
      <w:numPr>
        <w:numId w:val="21"/>
      </w:numPr>
    </w:pPr>
  </w:style>
  <w:style w:type="numbering" w:customStyle="1" w:styleId="List9">
    <w:name w:val="List 9"/>
    <w:rsid w:val="009A1FDE"/>
    <w:pPr>
      <w:numPr>
        <w:numId w:val="22"/>
      </w:numPr>
    </w:pPr>
  </w:style>
  <w:style w:type="numbering" w:customStyle="1" w:styleId="List43">
    <w:name w:val="List 43"/>
    <w:rsid w:val="009A1FDE"/>
    <w:pPr>
      <w:numPr>
        <w:numId w:val="23"/>
      </w:numPr>
    </w:pPr>
  </w:style>
  <w:style w:type="numbering" w:customStyle="1" w:styleId="List46">
    <w:name w:val="List 46"/>
    <w:rsid w:val="009A1FDE"/>
    <w:pPr>
      <w:numPr>
        <w:numId w:val="24"/>
      </w:numPr>
    </w:pPr>
  </w:style>
  <w:style w:type="numbering" w:customStyle="1" w:styleId="List35">
    <w:name w:val="List 35"/>
    <w:rsid w:val="009A1FDE"/>
    <w:pPr>
      <w:numPr>
        <w:numId w:val="8"/>
      </w:numPr>
    </w:pPr>
  </w:style>
  <w:style w:type="numbering" w:customStyle="1" w:styleId="List17">
    <w:name w:val="List 17"/>
    <w:rsid w:val="009A1FDE"/>
    <w:pPr>
      <w:numPr>
        <w:numId w:val="25"/>
      </w:numPr>
    </w:pPr>
  </w:style>
  <w:style w:type="numbering" w:customStyle="1" w:styleId="List33">
    <w:name w:val="List 33"/>
    <w:rsid w:val="009A1FDE"/>
    <w:pPr>
      <w:numPr>
        <w:numId w:val="26"/>
      </w:numPr>
    </w:pPr>
  </w:style>
  <w:style w:type="numbering" w:customStyle="1" w:styleId="List7">
    <w:name w:val="List 7"/>
    <w:rsid w:val="009A1FDE"/>
    <w:pPr>
      <w:numPr>
        <w:numId w:val="4"/>
      </w:numPr>
    </w:pPr>
  </w:style>
  <w:style w:type="numbering" w:customStyle="1" w:styleId="List18">
    <w:name w:val="List 18"/>
    <w:rsid w:val="009A1FDE"/>
    <w:pPr>
      <w:numPr>
        <w:numId w:val="27"/>
      </w:numPr>
    </w:pPr>
  </w:style>
  <w:style w:type="numbering" w:customStyle="1" w:styleId="List22">
    <w:name w:val="List 22"/>
    <w:rsid w:val="009A1FDE"/>
    <w:pPr>
      <w:numPr>
        <w:numId w:val="28"/>
      </w:numPr>
    </w:pPr>
  </w:style>
  <w:style w:type="numbering" w:customStyle="1" w:styleId="List47">
    <w:name w:val="List 47"/>
    <w:rsid w:val="009A1FDE"/>
    <w:pPr>
      <w:numPr>
        <w:numId w:val="29"/>
      </w:numPr>
    </w:pPr>
  </w:style>
  <w:style w:type="numbering" w:customStyle="1" w:styleId="List28">
    <w:name w:val="List 28"/>
    <w:rsid w:val="009A1FDE"/>
    <w:pPr>
      <w:numPr>
        <w:numId w:val="30"/>
      </w:numPr>
    </w:pPr>
  </w:style>
  <w:style w:type="numbering" w:customStyle="1" w:styleId="List10">
    <w:name w:val="List 10"/>
    <w:rsid w:val="009A1FDE"/>
    <w:pPr>
      <w:numPr>
        <w:numId w:val="6"/>
      </w:numPr>
    </w:pPr>
  </w:style>
  <w:style w:type="numbering" w:customStyle="1" w:styleId="List0">
    <w:name w:val="List 0"/>
    <w:rsid w:val="009A1FDE"/>
    <w:pPr>
      <w:numPr>
        <w:numId w:val="31"/>
      </w:numPr>
    </w:pPr>
  </w:style>
  <w:style w:type="numbering" w:customStyle="1" w:styleId="List30">
    <w:name w:val="List 30"/>
    <w:rsid w:val="009A1FDE"/>
    <w:pPr>
      <w:numPr>
        <w:numId w:val="32"/>
      </w:numPr>
    </w:pPr>
  </w:style>
  <w:style w:type="numbering" w:customStyle="1" w:styleId="List29">
    <w:name w:val="List 29"/>
    <w:rsid w:val="009A1FDE"/>
    <w:pPr>
      <w:numPr>
        <w:numId w:val="34"/>
      </w:numPr>
    </w:pPr>
  </w:style>
  <w:style w:type="numbering" w:customStyle="1" w:styleId="List38">
    <w:name w:val="List 38"/>
    <w:rsid w:val="009A1FDE"/>
    <w:pPr>
      <w:numPr>
        <w:numId w:val="35"/>
      </w:numPr>
    </w:pPr>
  </w:style>
  <w:style w:type="numbering" w:customStyle="1" w:styleId="List12">
    <w:name w:val="List 12"/>
    <w:rsid w:val="009A1FDE"/>
    <w:pPr>
      <w:numPr>
        <w:numId w:val="36"/>
      </w:numPr>
    </w:pPr>
  </w:style>
  <w:style w:type="numbering" w:customStyle="1" w:styleId="List50">
    <w:name w:val="List 50"/>
    <w:rsid w:val="009A1FDE"/>
    <w:pPr>
      <w:numPr>
        <w:numId w:val="37"/>
      </w:numPr>
    </w:pPr>
  </w:style>
  <w:style w:type="numbering" w:customStyle="1" w:styleId="List34">
    <w:name w:val="List 34"/>
    <w:rsid w:val="009A1FDE"/>
    <w:pPr>
      <w:numPr>
        <w:numId w:val="11"/>
      </w:numPr>
    </w:pPr>
  </w:style>
  <w:style w:type="numbering" w:customStyle="1" w:styleId="List42">
    <w:name w:val="List 42"/>
    <w:rsid w:val="009A1FDE"/>
    <w:pPr>
      <w:numPr>
        <w:numId w:val="12"/>
      </w:numPr>
    </w:pPr>
  </w:style>
  <w:style w:type="numbering" w:customStyle="1" w:styleId="List49">
    <w:name w:val="List 49"/>
    <w:rsid w:val="009A1FDE"/>
    <w:pPr>
      <w:numPr>
        <w:numId w:val="39"/>
      </w:numPr>
    </w:pPr>
  </w:style>
  <w:style w:type="numbering" w:customStyle="1" w:styleId="List44">
    <w:name w:val="List 44"/>
    <w:rsid w:val="009A1FDE"/>
    <w:pPr>
      <w:numPr>
        <w:numId w:val="40"/>
      </w:numPr>
    </w:pPr>
  </w:style>
  <w:style w:type="numbering" w:customStyle="1" w:styleId="List21">
    <w:name w:val="List 21"/>
    <w:rsid w:val="009A1FDE"/>
    <w:pPr>
      <w:numPr>
        <w:numId w:val="52"/>
      </w:numPr>
    </w:pPr>
  </w:style>
  <w:style w:type="numbering" w:customStyle="1" w:styleId="List52">
    <w:name w:val="List 52"/>
    <w:rsid w:val="009A1FDE"/>
    <w:pPr>
      <w:numPr>
        <w:numId w:val="9"/>
      </w:numPr>
    </w:pPr>
  </w:style>
  <w:style w:type="numbering" w:customStyle="1" w:styleId="List24">
    <w:name w:val="List 24"/>
    <w:rsid w:val="009A1FDE"/>
    <w:pPr>
      <w:numPr>
        <w:numId w:val="13"/>
      </w:numPr>
    </w:pPr>
  </w:style>
  <w:style w:type="numbering" w:customStyle="1" w:styleId="List51">
    <w:name w:val="List 51"/>
    <w:rsid w:val="009A1FDE"/>
    <w:pPr>
      <w:numPr>
        <w:numId w:val="54"/>
      </w:numPr>
    </w:pPr>
  </w:style>
  <w:style w:type="numbering" w:customStyle="1" w:styleId="List27">
    <w:name w:val="List 27"/>
    <w:rsid w:val="009A1FDE"/>
    <w:pPr>
      <w:numPr>
        <w:numId w:val="41"/>
      </w:numPr>
    </w:pPr>
  </w:style>
  <w:style w:type="numbering" w:customStyle="1" w:styleId="List8">
    <w:name w:val="List 8"/>
    <w:rsid w:val="009A1FDE"/>
    <w:pPr>
      <w:numPr>
        <w:numId w:val="5"/>
      </w:numPr>
    </w:pPr>
  </w:style>
  <w:style w:type="numbering" w:customStyle="1" w:styleId="List13">
    <w:name w:val="List 13"/>
    <w:rsid w:val="009A1FDE"/>
    <w:pPr>
      <w:numPr>
        <w:numId w:val="42"/>
      </w:numPr>
    </w:pPr>
  </w:style>
  <w:style w:type="numbering" w:customStyle="1" w:styleId="List20">
    <w:name w:val="List 20"/>
    <w:rsid w:val="009A1FDE"/>
    <w:pPr>
      <w:numPr>
        <w:numId w:val="43"/>
      </w:numPr>
    </w:pPr>
  </w:style>
  <w:style w:type="numbering" w:customStyle="1" w:styleId="List41">
    <w:name w:val="List 41"/>
    <w:rsid w:val="009A1FDE"/>
    <w:pPr>
      <w:numPr>
        <w:numId w:val="44"/>
      </w:numPr>
    </w:pPr>
  </w:style>
  <w:style w:type="numbering" w:customStyle="1" w:styleId="List31">
    <w:name w:val="List 31"/>
    <w:rsid w:val="009A1FDE"/>
    <w:pPr>
      <w:numPr>
        <w:numId w:val="45"/>
      </w:numPr>
    </w:pPr>
  </w:style>
  <w:style w:type="numbering" w:customStyle="1" w:styleId="List6">
    <w:name w:val="List 6"/>
    <w:rsid w:val="009A1FDE"/>
    <w:pPr>
      <w:numPr>
        <w:numId w:val="3"/>
      </w:numPr>
    </w:pPr>
  </w:style>
  <w:style w:type="numbering" w:customStyle="1" w:styleId="List39">
    <w:name w:val="List 39"/>
    <w:rsid w:val="009A1FDE"/>
    <w:pPr>
      <w:numPr>
        <w:numId w:val="46"/>
      </w:numPr>
    </w:pPr>
  </w:style>
  <w:style w:type="numbering" w:customStyle="1" w:styleId="List37">
    <w:name w:val="List 37"/>
    <w:rsid w:val="009A1FDE"/>
    <w:pPr>
      <w:numPr>
        <w:numId w:val="47"/>
      </w:numPr>
    </w:pPr>
  </w:style>
  <w:style w:type="numbering" w:customStyle="1" w:styleId="List32">
    <w:name w:val="List 32"/>
    <w:rsid w:val="009A1FDE"/>
    <w:pPr>
      <w:numPr>
        <w:numId w:val="48"/>
      </w:numPr>
    </w:pPr>
  </w:style>
  <w:style w:type="numbering" w:customStyle="1" w:styleId="List26">
    <w:name w:val="List 26"/>
    <w:rsid w:val="009A1FDE"/>
    <w:pPr>
      <w:numPr>
        <w:numId w:val="49"/>
      </w:numPr>
    </w:pPr>
  </w:style>
  <w:style w:type="numbering" w:customStyle="1" w:styleId="List48">
    <w:name w:val="List 48"/>
    <w:rsid w:val="009A1FDE"/>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019034">
      <w:marLeft w:val="0"/>
      <w:marRight w:val="0"/>
      <w:marTop w:val="0"/>
      <w:marBottom w:val="0"/>
      <w:divBdr>
        <w:top w:val="none" w:sz="0" w:space="0" w:color="auto"/>
        <w:left w:val="none" w:sz="0" w:space="0" w:color="auto"/>
        <w:bottom w:val="none" w:sz="0" w:space="0" w:color="auto"/>
        <w:right w:val="none" w:sz="0" w:space="0" w:color="auto"/>
      </w:divBdr>
    </w:div>
    <w:div w:id="1113019035">
      <w:marLeft w:val="0"/>
      <w:marRight w:val="0"/>
      <w:marTop w:val="0"/>
      <w:marBottom w:val="0"/>
      <w:divBdr>
        <w:top w:val="none" w:sz="0" w:space="0" w:color="auto"/>
        <w:left w:val="none" w:sz="0" w:space="0" w:color="auto"/>
        <w:bottom w:val="none" w:sz="0" w:space="0" w:color="auto"/>
        <w:right w:val="none" w:sz="0" w:space="0" w:color="auto"/>
      </w:divBdr>
    </w:div>
    <w:div w:id="1113019036">
      <w:marLeft w:val="0"/>
      <w:marRight w:val="0"/>
      <w:marTop w:val="0"/>
      <w:marBottom w:val="0"/>
      <w:divBdr>
        <w:top w:val="none" w:sz="0" w:space="0" w:color="auto"/>
        <w:left w:val="none" w:sz="0" w:space="0" w:color="auto"/>
        <w:bottom w:val="none" w:sz="0" w:space="0" w:color="auto"/>
        <w:right w:val="none" w:sz="0" w:space="0" w:color="auto"/>
      </w:divBdr>
    </w:div>
    <w:div w:id="1113019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753E-DA34-453B-900D-4E8EC7C6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156/20</dc:title>
  <dc:subject/>
  <dc:creator/>
  <cp:keywords/>
  <dc:description/>
  <cp:lastModifiedBy/>
  <cp:revision>1</cp:revision>
  <dcterms:created xsi:type="dcterms:W3CDTF">2020-07-22T15:12:00Z</dcterms:created>
  <dcterms:modified xsi:type="dcterms:W3CDTF">2020-07-22T15:12:00Z</dcterms:modified>
</cp:coreProperties>
</file>