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1110D2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2956FAC" wp14:editId="29E9D79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7E0495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B00F8AE" wp14:editId="3F50D47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61853" w14:textId="77777777"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00F8A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C161853" w14:textId="77777777"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6319F3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8B55D2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0C3F4F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89A7AD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68017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0C3CBE"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E83260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857C98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BA6E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79E917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93F0F6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3F54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F99FADD"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AF4E933" wp14:editId="40A313E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EE502" w14:textId="3F1CAD37" w:rsidR="009629C7" w:rsidRDefault="009629C7" w:rsidP="009629C7">
                            <w:pPr>
                              <w:spacing w:line="276" w:lineRule="auto"/>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 xml:space="preserve">INFORME </w:t>
                            </w:r>
                            <w:r>
                              <w:rPr>
                                <w:rFonts w:asciiTheme="majorHAnsi" w:hAnsiTheme="majorHAnsi" w:cs="Arial"/>
                                <w:b/>
                                <w:bCs/>
                                <w:color w:val="0D0D0D" w:themeColor="text1" w:themeTint="F2"/>
                                <w:sz w:val="36"/>
                                <w:szCs w:val="40"/>
                                <w:lang w:val="es-ES_tradnl"/>
                              </w:rPr>
                              <w:t>No.</w:t>
                            </w:r>
                            <w:r w:rsidR="00C16074">
                              <w:rPr>
                                <w:rFonts w:asciiTheme="majorHAnsi" w:hAnsiTheme="majorHAnsi" w:cs="Arial"/>
                                <w:b/>
                                <w:bCs/>
                                <w:color w:val="0D0D0D" w:themeColor="text1" w:themeTint="F2"/>
                                <w:sz w:val="36"/>
                                <w:szCs w:val="22"/>
                                <w:lang w:val="es-ES_tradnl"/>
                              </w:rPr>
                              <w:t xml:space="preserve"> 154</w:t>
                            </w:r>
                            <w:r>
                              <w:rPr>
                                <w:rFonts w:asciiTheme="majorHAnsi" w:hAnsiTheme="majorHAnsi" w:cs="Arial"/>
                                <w:b/>
                                <w:bCs/>
                                <w:color w:val="0D0D0D" w:themeColor="text1" w:themeTint="F2"/>
                                <w:sz w:val="36"/>
                                <w:szCs w:val="22"/>
                                <w:lang w:val="es-ES_tradnl"/>
                              </w:rPr>
                              <w:t>/</w:t>
                            </w:r>
                            <w:r w:rsidR="008D23DE">
                              <w:rPr>
                                <w:rFonts w:asciiTheme="majorHAnsi" w:hAnsiTheme="majorHAnsi" w:cs="Arial"/>
                                <w:b/>
                                <w:bCs/>
                                <w:color w:val="0D0D0D" w:themeColor="text1" w:themeTint="F2"/>
                                <w:sz w:val="36"/>
                                <w:szCs w:val="22"/>
                                <w:lang w:val="es-ES_tradnl"/>
                              </w:rPr>
                              <w:t>20</w:t>
                            </w:r>
                          </w:p>
                          <w:p w14:paraId="5C646F17" w14:textId="3B873863" w:rsidR="009629C7" w:rsidRDefault="009629C7" w:rsidP="009629C7">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8D23DE">
                              <w:rPr>
                                <w:rFonts w:asciiTheme="majorHAnsi" w:hAnsiTheme="majorHAnsi" w:cs="Arial"/>
                                <w:b/>
                                <w:color w:val="0D0D0D" w:themeColor="text1" w:themeTint="F2"/>
                                <w:sz w:val="36"/>
                                <w:szCs w:val="22"/>
                                <w:lang w:val="es-ES_tradnl"/>
                              </w:rPr>
                              <w:t>1638-11</w:t>
                            </w:r>
                          </w:p>
                          <w:p w14:paraId="1406BEBE" w14:textId="559FCE3C" w:rsidR="009629C7" w:rsidRDefault="009629C7"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61D03C63" w14:textId="77777777" w:rsidR="009629C7" w:rsidRDefault="009629C7" w:rsidP="009629C7">
                            <w:pPr>
                              <w:spacing w:line="276" w:lineRule="auto"/>
                              <w:rPr>
                                <w:rFonts w:asciiTheme="majorHAnsi" w:hAnsiTheme="majorHAnsi" w:cs="Arial"/>
                                <w:color w:val="0D0D0D" w:themeColor="text1" w:themeTint="F2"/>
                                <w:szCs w:val="22"/>
                                <w:lang w:val="es-ES_tradnl"/>
                              </w:rPr>
                            </w:pPr>
                            <w:bookmarkStart w:id="1" w:name="_ftnref1"/>
                          </w:p>
                          <w:bookmarkEnd w:id="1"/>
                          <w:p w14:paraId="63A3B112" w14:textId="77A17827" w:rsidR="008D23DE" w:rsidRPr="00C14A7E" w:rsidRDefault="008D23DE" w:rsidP="008D23DE">
                            <w:pPr>
                              <w:spacing w:line="276" w:lineRule="auto"/>
                              <w:rPr>
                                <w:rFonts w:asciiTheme="majorHAnsi" w:hAnsiTheme="majorHAnsi" w:cs="Arial"/>
                                <w:color w:val="0D0D0D" w:themeColor="text1" w:themeTint="F2"/>
                              </w:rPr>
                            </w:pPr>
                            <w:r w:rsidRPr="00C14A7E">
                              <w:rPr>
                                <w:rFonts w:asciiTheme="majorHAnsi" w:hAnsiTheme="majorHAnsi" w:cs="Arial"/>
                                <w:color w:val="0D0D0D" w:themeColor="text1" w:themeTint="F2"/>
                              </w:rPr>
                              <w:t>ABOU ELKASSIM BRITEL, BINYAM MOHAMED, BISHER AL-RAWI Y MOHAMED FARAG AHMAD BASHMILAH</w:t>
                            </w:r>
                          </w:p>
                          <w:p w14:paraId="61634CF1" w14:textId="0BE597F8" w:rsidR="009629C7" w:rsidRDefault="009629C7" w:rsidP="008D23DE">
                            <w:pPr>
                              <w:spacing w:before="240"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w:t>
                            </w:r>
                            <w:r w:rsidR="008D23DE">
                              <w:rPr>
                                <w:rFonts w:asciiTheme="majorHAnsi" w:hAnsiTheme="majorHAnsi" w:cs="Arial"/>
                                <w:color w:val="0D0D0D" w:themeColor="text1" w:themeTint="F2"/>
                                <w:szCs w:val="22"/>
                                <w:lang w:val="es-ES_tradnl"/>
                              </w:rPr>
                              <w:t>S UNIDOS DE AMÉRICA</w:t>
                            </w:r>
                          </w:p>
                          <w:p w14:paraId="398B92DE" w14:textId="77777777" w:rsidR="009629C7" w:rsidRDefault="009629C7" w:rsidP="009629C7">
                            <w:pPr>
                              <w:rPr>
                                <w:color w:val="0D0D0D" w:themeColor="text1" w:themeTint="F2"/>
                                <w:lang w:val="es-ES_tradnl"/>
                              </w:rPr>
                            </w:pPr>
                          </w:p>
                          <w:p w14:paraId="2F110FE5"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4E933"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EBEE502" w14:textId="3F1CAD37" w:rsidR="009629C7" w:rsidRDefault="009629C7" w:rsidP="009629C7">
                      <w:pPr>
                        <w:spacing w:line="276" w:lineRule="auto"/>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 xml:space="preserve">INFORME </w:t>
                      </w:r>
                      <w:r>
                        <w:rPr>
                          <w:rFonts w:asciiTheme="majorHAnsi" w:hAnsiTheme="majorHAnsi" w:cs="Arial"/>
                          <w:b/>
                          <w:bCs/>
                          <w:color w:val="0D0D0D" w:themeColor="text1" w:themeTint="F2"/>
                          <w:sz w:val="36"/>
                          <w:szCs w:val="40"/>
                          <w:lang w:val="es-ES_tradnl"/>
                        </w:rPr>
                        <w:t>No.</w:t>
                      </w:r>
                      <w:r w:rsidR="00C16074">
                        <w:rPr>
                          <w:rFonts w:asciiTheme="majorHAnsi" w:hAnsiTheme="majorHAnsi" w:cs="Arial"/>
                          <w:b/>
                          <w:bCs/>
                          <w:color w:val="0D0D0D" w:themeColor="text1" w:themeTint="F2"/>
                          <w:sz w:val="36"/>
                          <w:szCs w:val="22"/>
                          <w:lang w:val="es-ES_tradnl"/>
                        </w:rPr>
                        <w:t xml:space="preserve"> 154</w:t>
                      </w:r>
                      <w:r>
                        <w:rPr>
                          <w:rFonts w:asciiTheme="majorHAnsi" w:hAnsiTheme="majorHAnsi" w:cs="Arial"/>
                          <w:b/>
                          <w:bCs/>
                          <w:color w:val="0D0D0D" w:themeColor="text1" w:themeTint="F2"/>
                          <w:sz w:val="36"/>
                          <w:szCs w:val="22"/>
                          <w:lang w:val="es-ES_tradnl"/>
                        </w:rPr>
                        <w:t>/</w:t>
                      </w:r>
                      <w:r w:rsidR="008D23DE">
                        <w:rPr>
                          <w:rFonts w:asciiTheme="majorHAnsi" w:hAnsiTheme="majorHAnsi" w:cs="Arial"/>
                          <w:b/>
                          <w:bCs/>
                          <w:color w:val="0D0D0D" w:themeColor="text1" w:themeTint="F2"/>
                          <w:sz w:val="36"/>
                          <w:szCs w:val="22"/>
                          <w:lang w:val="es-ES_tradnl"/>
                        </w:rPr>
                        <w:t>20</w:t>
                      </w:r>
                    </w:p>
                    <w:p w14:paraId="5C646F17" w14:textId="3B873863" w:rsidR="009629C7" w:rsidRDefault="009629C7" w:rsidP="009629C7">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8D23DE">
                        <w:rPr>
                          <w:rFonts w:asciiTheme="majorHAnsi" w:hAnsiTheme="majorHAnsi" w:cs="Arial"/>
                          <w:b/>
                          <w:color w:val="0D0D0D" w:themeColor="text1" w:themeTint="F2"/>
                          <w:sz w:val="36"/>
                          <w:szCs w:val="22"/>
                          <w:lang w:val="es-ES_tradnl"/>
                        </w:rPr>
                        <w:t>1638-11</w:t>
                      </w:r>
                    </w:p>
                    <w:p w14:paraId="1406BEBE" w14:textId="559FCE3C" w:rsidR="009629C7" w:rsidRDefault="009629C7"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61D03C63" w14:textId="77777777" w:rsidR="009629C7" w:rsidRDefault="009629C7" w:rsidP="009629C7">
                      <w:pPr>
                        <w:spacing w:line="276" w:lineRule="auto"/>
                        <w:rPr>
                          <w:rFonts w:asciiTheme="majorHAnsi" w:hAnsiTheme="majorHAnsi" w:cs="Arial"/>
                          <w:color w:val="0D0D0D" w:themeColor="text1" w:themeTint="F2"/>
                          <w:szCs w:val="22"/>
                          <w:lang w:val="es-ES_tradnl"/>
                        </w:rPr>
                      </w:pPr>
                      <w:bookmarkStart w:id="2" w:name="_ftnref1"/>
                    </w:p>
                    <w:bookmarkEnd w:id="2"/>
                    <w:p w14:paraId="63A3B112" w14:textId="77A17827" w:rsidR="008D23DE" w:rsidRPr="00C14A7E" w:rsidRDefault="008D23DE" w:rsidP="008D23DE">
                      <w:pPr>
                        <w:spacing w:line="276" w:lineRule="auto"/>
                        <w:rPr>
                          <w:rFonts w:asciiTheme="majorHAnsi" w:hAnsiTheme="majorHAnsi" w:cs="Arial"/>
                          <w:color w:val="0D0D0D" w:themeColor="text1" w:themeTint="F2"/>
                        </w:rPr>
                      </w:pPr>
                      <w:r w:rsidRPr="00C14A7E">
                        <w:rPr>
                          <w:rFonts w:asciiTheme="majorHAnsi" w:hAnsiTheme="majorHAnsi" w:cs="Arial"/>
                          <w:color w:val="0D0D0D" w:themeColor="text1" w:themeTint="F2"/>
                        </w:rPr>
                        <w:t>ABOU ELKASSIM BRITEL, BINYAM MOHAMED, BISHER AL-RAWI Y MOHAMED FARAG AHMAD BASHMILAH</w:t>
                      </w:r>
                    </w:p>
                    <w:p w14:paraId="61634CF1" w14:textId="0BE597F8" w:rsidR="009629C7" w:rsidRDefault="009629C7" w:rsidP="008D23DE">
                      <w:pPr>
                        <w:spacing w:before="240"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w:t>
                      </w:r>
                      <w:r w:rsidR="008D23DE">
                        <w:rPr>
                          <w:rFonts w:asciiTheme="majorHAnsi" w:hAnsiTheme="majorHAnsi" w:cs="Arial"/>
                          <w:color w:val="0D0D0D" w:themeColor="text1" w:themeTint="F2"/>
                          <w:szCs w:val="22"/>
                          <w:lang w:val="es-ES_tradnl"/>
                        </w:rPr>
                        <w:t>S UNIDOS DE AMÉRICA</w:t>
                      </w:r>
                    </w:p>
                    <w:p w14:paraId="398B92DE" w14:textId="77777777" w:rsidR="009629C7" w:rsidRDefault="009629C7" w:rsidP="009629C7">
                      <w:pPr>
                        <w:rPr>
                          <w:color w:val="0D0D0D" w:themeColor="text1" w:themeTint="F2"/>
                          <w:lang w:val="es-ES_tradnl"/>
                        </w:rPr>
                      </w:pPr>
                    </w:p>
                    <w:p w14:paraId="2F110FE5" w14:textId="77777777" w:rsidR="0099258D" w:rsidRPr="00AE5488" w:rsidRDefault="0099258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407976" wp14:editId="0380823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154BD" w14:textId="5CC52E7D" w:rsidR="0099258D" w:rsidRPr="004E2649" w:rsidRDefault="00C1607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FCB0CC" w14:textId="0EFBEBB4" w:rsidR="0099258D" w:rsidRPr="004E2649" w:rsidRDefault="00C1607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164</w:t>
                            </w:r>
                          </w:p>
                          <w:p w14:paraId="06176FA9" w14:textId="3294DF4D" w:rsidR="0099258D" w:rsidRPr="007160BD" w:rsidRDefault="00C16074"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9 junio 2020</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40797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56154BD" w14:textId="5CC52E7D" w:rsidR="0099258D" w:rsidRPr="004E2649" w:rsidRDefault="00C1607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FCB0CC" w14:textId="0EFBEBB4" w:rsidR="0099258D" w:rsidRPr="004E2649" w:rsidRDefault="00C1607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164</w:t>
                      </w:r>
                    </w:p>
                    <w:p w14:paraId="06176FA9" w14:textId="3294DF4D" w:rsidR="0099258D" w:rsidRPr="007160BD" w:rsidRDefault="00C16074"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9 junio 2020</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v:textbox>
              </v:shape>
            </w:pict>
          </mc:Fallback>
        </mc:AlternateContent>
      </w:r>
    </w:p>
    <w:p w14:paraId="2139988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99D14E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380C6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33FC7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E8448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9A909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A8DF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8476E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AD3A46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5643A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C6E47C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DC40BD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506DE3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87DD2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3B7C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33870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D0F58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684D5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6B711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DDC3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9E875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BBA3B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C83C43F" w14:textId="6AC50F53" w:rsidR="00A50FCF" w:rsidRPr="0090270B" w:rsidRDefault="00A50FCF" w:rsidP="00040C3A">
      <w:pPr>
        <w:tabs>
          <w:tab w:val="center" w:pos="5400"/>
        </w:tabs>
        <w:suppressAutoHyphens/>
        <w:jc w:val="center"/>
        <w:rPr>
          <w:rFonts w:asciiTheme="majorHAnsi" w:hAnsiTheme="majorHAnsi"/>
          <w:sz w:val="18"/>
          <w:szCs w:val="22"/>
          <w:lang w:val="es-ES_tradnl"/>
        </w:rPr>
      </w:pPr>
    </w:p>
    <w:p w14:paraId="160C83E6" w14:textId="4BA242E8" w:rsidR="00A50FCF" w:rsidRPr="0090270B" w:rsidRDefault="00A50FCF" w:rsidP="00040C3A">
      <w:pPr>
        <w:tabs>
          <w:tab w:val="center" w:pos="5400"/>
        </w:tabs>
        <w:suppressAutoHyphens/>
        <w:jc w:val="center"/>
        <w:rPr>
          <w:rFonts w:asciiTheme="majorHAnsi" w:hAnsiTheme="majorHAnsi"/>
          <w:sz w:val="18"/>
          <w:szCs w:val="22"/>
          <w:lang w:val="es-ES_tradnl"/>
        </w:rPr>
      </w:pPr>
    </w:p>
    <w:p w14:paraId="792CCE51" w14:textId="026B4B67" w:rsidR="00A50FCF" w:rsidRPr="0090270B" w:rsidRDefault="00A50FCF" w:rsidP="00040C3A">
      <w:pPr>
        <w:tabs>
          <w:tab w:val="center" w:pos="5400"/>
        </w:tabs>
        <w:suppressAutoHyphens/>
        <w:jc w:val="center"/>
        <w:rPr>
          <w:rFonts w:asciiTheme="majorHAnsi" w:hAnsiTheme="majorHAnsi"/>
          <w:sz w:val="18"/>
          <w:szCs w:val="22"/>
          <w:lang w:val="es-ES_tradnl"/>
        </w:rPr>
      </w:pPr>
    </w:p>
    <w:p w14:paraId="46F3E95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4CA360" w14:textId="2BFA2216" w:rsidR="00A50FCF" w:rsidRPr="0090270B" w:rsidRDefault="00A50FCF" w:rsidP="00040C3A">
      <w:pPr>
        <w:tabs>
          <w:tab w:val="center" w:pos="5400"/>
        </w:tabs>
        <w:suppressAutoHyphens/>
        <w:jc w:val="center"/>
        <w:rPr>
          <w:rFonts w:asciiTheme="majorHAnsi" w:hAnsiTheme="majorHAnsi"/>
          <w:sz w:val="18"/>
          <w:szCs w:val="22"/>
          <w:lang w:val="es-ES_tradnl"/>
        </w:rPr>
      </w:pPr>
    </w:p>
    <w:p w14:paraId="152466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86BB87" w14:textId="67907D22"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40FD2AA" wp14:editId="5F1440D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B078A" w14:textId="54CD671B"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16074">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C16074">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8D23DE">
                              <w:rPr>
                                <w:rFonts w:asciiTheme="majorHAnsi" w:hAnsiTheme="majorHAnsi"/>
                                <w:color w:val="0D0D0D" w:themeColor="text1" w:themeTint="F2"/>
                                <w:sz w:val="18"/>
                                <w:szCs w:val="22"/>
                                <w:lang w:val="es-ES"/>
                              </w:rPr>
                              <w:t>20</w:t>
                            </w:r>
                            <w:r w:rsidR="00C14A7E">
                              <w:rPr>
                                <w:rFonts w:asciiTheme="majorHAnsi" w:hAnsiTheme="majorHAnsi"/>
                                <w:color w:val="0D0D0D" w:themeColor="text1" w:themeTint="F2"/>
                                <w:sz w:val="18"/>
                                <w:szCs w:val="22"/>
                                <w:lang w:val="es-ES"/>
                              </w:rPr>
                              <w:t>.</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FD2A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51B078A" w14:textId="54CD671B"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16074">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C16074">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8D23DE">
                        <w:rPr>
                          <w:rFonts w:asciiTheme="majorHAnsi" w:hAnsiTheme="majorHAnsi"/>
                          <w:color w:val="0D0D0D" w:themeColor="text1" w:themeTint="F2"/>
                          <w:sz w:val="18"/>
                          <w:szCs w:val="22"/>
                          <w:lang w:val="es-ES"/>
                        </w:rPr>
                        <w:t>20</w:t>
                      </w:r>
                      <w:r w:rsidR="00C14A7E">
                        <w:rPr>
                          <w:rFonts w:asciiTheme="majorHAnsi" w:hAnsiTheme="majorHAnsi"/>
                          <w:color w:val="0D0D0D" w:themeColor="text1" w:themeTint="F2"/>
                          <w:sz w:val="18"/>
                          <w:szCs w:val="22"/>
                          <w:lang w:val="es-ES"/>
                        </w:rPr>
                        <w:t>.</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BD4F379" w14:textId="2185734F" w:rsidR="00A50FCF" w:rsidRPr="0090270B" w:rsidRDefault="00A50FCF" w:rsidP="00040C3A">
      <w:pPr>
        <w:tabs>
          <w:tab w:val="center" w:pos="5400"/>
        </w:tabs>
        <w:suppressAutoHyphens/>
        <w:jc w:val="center"/>
        <w:rPr>
          <w:rFonts w:asciiTheme="majorHAnsi" w:hAnsiTheme="majorHAnsi"/>
          <w:sz w:val="18"/>
          <w:szCs w:val="22"/>
          <w:lang w:val="es-ES_tradnl"/>
        </w:rPr>
      </w:pPr>
    </w:p>
    <w:p w14:paraId="738D4318" w14:textId="07B9BEA6" w:rsidR="00A50FCF" w:rsidRPr="0090270B" w:rsidRDefault="00A50FCF" w:rsidP="00040C3A">
      <w:pPr>
        <w:tabs>
          <w:tab w:val="center" w:pos="5400"/>
        </w:tabs>
        <w:suppressAutoHyphens/>
        <w:jc w:val="center"/>
        <w:rPr>
          <w:rFonts w:asciiTheme="majorHAnsi" w:hAnsiTheme="majorHAnsi"/>
          <w:sz w:val="18"/>
          <w:szCs w:val="22"/>
          <w:lang w:val="es-ES_tradnl"/>
        </w:rPr>
      </w:pPr>
    </w:p>
    <w:p w14:paraId="0D53DD44" w14:textId="5C6EC43A" w:rsidR="00A50FCF" w:rsidRPr="0090270B" w:rsidRDefault="00A50FCF" w:rsidP="00040C3A">
      <w:pPr>
        <w:tabs>
          <w:tab w:val="center" w:pos="5400"/>
        </w:tabs>
        <w:suppressAutoHyphens/>
        <w:jc w:val="center"/>
        <w:rPr>
          <w:rFonts w:asciiTheme="majorHAnsi" w:hAnsiTheme="majorHAnsi"/>
          <w:sz w:val="18"/>
          <w:szCs w:val="22"/>
          <w:lang w:val="es-ES_tradnl"/>
        </w:rPr>
      </w:pPr>
    </w:p>
    <w:p w14:paraId="655C42C2" w14:textId="5EFC9623" w:rsidR="00A50FCF" w:rsidRPr="0090270B" w:rsidRDefault="00A50FCF" w:rsidP="00040C3A">
      <w:pPr>
        <w:tabs>
          <w:tab w:val="center" w:pos="5400"/>
        </w:tabs>
        <w:suppressAutoHyphens/>
        <w:jc w:val="center"/>
        <w:rPr>
          <w:rFonts w:asciiTheme="majorHAnsi" w:hAnsiTheme="majorHAnsi"/>
          <w:sz w:val="18"/>
          <w:szCs w:val="22"/>
          <w:lang w:val="es-ES_tradnl"/>
        </w:rPr>
      </w:pPr>
    </w:p>
    <w:p w14:paraId="1F79EA24" w14:textId="6B59BDA9"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7F6E461" wp14:editId="3391803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BB61D" w14:textId="3B036D5A" w:rsidR="0099258D" w:rsidRPr="007B05C4" w:rsidRDefault="0099258D" w:rsidP="0041467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16074">
                              <w:rPr>
                                <w:rFonts w:asciiTheme="majorHAnsi" w:hAnsiTheme="majorHAnsi"/>
                                <w:color w:val="595959" w:themeColor="text1" w:themeTint="A6"/>
                                <w:sz w:val="18"/>
                                <w:szCs w:val="18"/>
                                <w:lang w:val="pt-BR"/>
                              </w:rPr>
                              <w:t>154</w:t>
                            </w:r>
                            <w:r w:rsidR="00C725B5" w:rsidRPr="00C10A33">
                              <w:rPr>
                                <w:rFonts w:asciiTheme="majorHAnsi" w:hAnsiTheme="majorHAnsi"/>
                                <w:color w:val="595959" w:themeColor="text1" w:themeTint="A6"/>
                                <w:sz w:val="18"/>
                                <w:szCs w:val="18"/>
                                <w:lang w:val="pt-BR"/>
                              </w:rPr>
                              <w:t>/</w:t>
                            </w:r>
                            <w:r w:rsidR="008D23DE" w:rsidRPr="00C10A33">
                              <w:rPr>
                                <w:rFonts w:asciiTheme="majorHAnsi" w:hAnsiTheme="majorHAnsi"/>
                                <w:color w:val="595959" w:themeColor="text1" w:themeTint="A6"/>
                                <w:sz w:val="18"/>
                                <w:szCs w:val="18"/>
                                <w:lang w:val="pt-BR"/>
                              </w:rPr>
                              <w:t>20</w:t>
                            </w:r>
                            <w:r w:rsidRPr="00C10A33">
                              <w:rPr>
                                <w:rFonts w:asciiTheme="majorHAnsi" w:hAnsiTheme="majorHAnsi"/>
                                <w:color w:val="595959" w:themeColor="text1" w:themeTint="A6"/>
                                <w:sz w:val="18"/>
                                <w:szCs w:val="18"/>
                                <w:lang w:val="pt-BR"/>
                              </w:rPr>
                              <w:t xml:space="preserve">. </w:t>
                            </w:r>
                            <w:r w:rsidR="008D23DE" w:rsidRPr="00C10A33">
                              <w:rPr>
                                <w:rFonts w:asciiTheme="majorHAnsi" w:hAnsiTheme="majorHAnsi"/>
                                <w:color w:val="595959" w:themeColor="text1" w:themeTint="A6"/>
                                <w:sz w:val="18"/>
                                <w:szCs w:val="18"/>
                                <w:lang w:val="pt-BR"/>
                              </w:rPr>
                              <w:t xml:space="preserve">Petición 1638-11. </w:t>
                            </w:r>
                            <w:r w:rsidRPr="00C10A33">
                              <w:rPr>
                                <w:rFonts w:asciiTheme="majorHAnsi" w:hAnsiTheme="majorHAnsi"/>
                                <w:color w:val="595959" w:themeColor="text1" w:themeTint="A6"/>
                                <w:sz w:val="18"/>
                                <w:szCs w:val="18"/>
                                <w:lang w:val="pt-BR"/>
                              </w:rPr>
                              <w:t xml:space="preserve">Admisibilidad. </w:t>
                            </w:r>
                            <w:r w:rsidR="008D23DE" w:rsidRPr="00C10A33">
                              <w:rPr>
                                <w:rFonts w:asciiTheme="majorHAnsi" w:hAnsiTheme="majorHAnsi"/>
                                <w:color w:val="595959" w:themeColor="text1" w:themeTint="A6"/>
                                <w:sz w:val="18"/>
                                <w:szCs w:val="18"/>
                                <w:lang w:val="pt-BR"/>
                              </w:rPr>
                              <w:t>Abou Elkassim Britel, Binyam Mohamed, Bisher Al-Rawi y Mohamed Farag Ahmad Bashmilah</w:t>
                            </w:r>
                            <w:r w:rsidRPr="00C10A33">
                              <w:rPr>
                                <w:rFonts w:asciiTheme="majorHAnsi" w:hAnsiTheme="majorHAnsi"/>
                                <w:color w:val="595959" w:themeColor="text1" w:themeTint="A6"/>
                                <w:sz w:val="18"/>
                                <w:szCs w:val="18"/>
                                <w:lang w:val="pt-BR"/>
                              </w:rPr>
                              <w:t xml:space="preserve">. </w:t>
                            </w:r>
                            <w:r w:rsidR="008D23DE" w:rsidRPr="00C10A33">
                              <w:rPr>
                                <w:rFonts w:asciiTheme="majorHAnsi" w:hAnsiTheme="majorHAnsi"/>
                                <w:color w:val="595959" w:themeColor="text1" w:themeTint="A6"/>
                                <w:sz w:val="18"/>
                                <w:szCs w:val="18"/>
                                <w:lang w:val="pt-BR"/>
                              </w:rPr>
                              <w:t>Estados Unidos</w:t>
                            </w:r>
                            <w:r w:rsidR="003F3E62" w:rsidRPr="00C10A33">
                              <w:rPr>
                                <w:rFonts w:asciiTheme="majorHAnsi" w:hAnsiTheme="majorHAnsi"/>
                                <w:color w:val="595959" w:themeColor="text1" w:themeTint="A6"/>
                                <w:sz w:val="18"/>
                                <w:szCs w:val="18"/>
                                <w:lang w:val="pt-BR"/>
                              </w:rPr>
                              <w:t xml:space="preserve"> de América</w:t>
                            </w:r>
                            <w:r w:rsidRPr="00C10A33">
                              <w:rPr>
                                <w:rFonts w:asciiTheme="majorHAnsi" w:hAnsiTheme="majorHAnsi"/>
                                <w:color w:val="595959" w:themeColor="text1" w:themeTint="A6"/>
                                <w:sz w:val="18"/>
                                <w:szCs w:val="18"/>
                                <w:lang w:val="pt-BR"/>
                              </w:rPr>
                              <w:t xml:space="preserve">. </w:t>
                            </w:r>
                            <w:r w:rsidR="00C16074">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F6E46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49BB61D" w14:textId="3B036D5A" w:rsidR="0099258D" w:rsidRPr="007B05C4" w:rsidRDefault="0099258D" w:rsidP="0041467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16074">
                        <w:rPr>
                          <w:rFonts w:asciiTheme="majorHAnsi" w:hAnsiTheme="majorHAnsi"/>
                          <w:color w:val="595959" w:themeColor="text1" w:themeTint="A6"/>
                          <w:sz w:val="18"/>
                          <w:szCs w:val="18"/>
                          <w:lang w:val="pt-BR"/>
                        </w:rPr>
                        <w:t>154</w:t>
                      </w:r>
                      <w:r w:rsidR="00C725B5" w:rsidRPr="00C10A33">
                        <w:rPr>
                          <w:rFonts w:asciiTheme="majorHAnsi" w:hAnsiTheme="majorHAnsi"/>
                          <w:color w:val="595959" w:themeColor="text1" w:themeTint="A6"/>
                          <w:sz w:val="18"/>
                          <w:szCs w:val="18"/>
                          <w:lang w:val="pt-BR"/>
                        </w:rPr>
                        <w:t>/</w:t>
                      </w:r>
                      <w:r w:rsidR="008D23DE" w:rsidRPr="00C10A33">
                        <w:rPr>
                          <w:rFonts w:asciiTheme="majorHAnsi" w:hAnsiTheme="majorHAnsi"/>
                          <w:color w:val="595959" w:themeColor="text1" w:themeTint="A6"/>
                          <w:sz w:val="18"/>
                          <w:szCs w:val="18"/>
                          <w:lang w:val="pt-BR"/>
                        </w:rPr>
                        <w:t>20</w:t>
                      </w:r>
                      <w:r w:rsidRPr="00C10A33">
                        <w:rPr>
                          <w:rFonts w:asciiTheme="majorHAnsi" w:hAnsiTheme="majorHAnsi"/>
                          <w:color w:val="595959" w:themeColor="text1" w:themeTint="A6"/>
                          <w:sz w:val="18"/>
                          <w:szCs w:val="18"/>
                          <w:lang w:val="pt-BR"/>
                        </w:rPr>
                        <w:t xml:space="preserve">. </w:t>
                      </w:r>
                      <w:r w:rsidR="008D23DE" w:rsidRPr="00C10A33">
                        <w:rPr>
                          <w:rFonts w:asciiTheme="majorHAnsi" w:hAnsiTheme="majorHAnsi"/>
                          <w:color w:val="595959" w:themeColor="text1" w:themeTint="A6"/>
                          <w:sz w:val="18"/>
                          <w:szCs w:val="18"/>
                          <w:lang w:val="pt-BR"/>
                        </w:rPr>
                        <w:t xml:space="preserve">Petición 1638-11. </w:t>
                      </w:r>
                      <w:r w:rsidRPr="00C10A33">
                        <w:rPr>
                          <w:rFonts w:asciiTheme="majorHAnsi" w:hAnsiTheme="majorHAnsi"/>
                          <w:color w:val="595959" w:themeColor="text1" w:themeTint="A6"/>
                          <w:sz w:val="18"/>
                          <w:szCs w:val="18"/>
                          <w:lang w:val="pt-BR"/>
                        </w:rPr>
                        <w:t xml:space="preserve">Admisibilidad. </w:t>
                      </w:r>
                      <w:r w:rsidR="008D23DE" w:rsidRPr="00C10A33">
                        <w:rPr>
                          <w:rFonts w:asciiTheme="majorHAnsi" w:hAnsiTheme="majorHAnsi"/>
                          <w:color w:val="595959" w:themeColor="text1" w:themeTint="A6"/>
                          <w:sz w:val="18"/>
                          <w:szCs w:val="18"/>
                          <w:lang w:val="pt-BR"/>
                        </w:rPr>
                        <w:t>Abou Elkassim Britel, Binyam Mohamed, Bisher Al-Rawi y Mohamed Farag Ahmad Bashmilah</w:t>
                      </w:r>
                      <w:r w:rsidRPr="00C10A33">
                        <w:rPr>
                          <w:rFonts w:asciiTheme="majorHAnsi" w:hAnsiTheme="majorHAnsi"/>
                          <w:color w:val="595959" w:themeColor="text1" w:themeTint="A6"/>
                          <w:sz w:val="18"/>
                          <w:szCs w:val="18"/>
                          <w:lang w:val="pt-BR"/>
                        </w:rPr>
                        <w:t xml:space="preserve">. </w:t>
                      </w:r>
                      <w:r w:rsidR="008D23DE" w:rsidRPr="00C10A33">
                        <w:rPr>
                          <w:rFonts w:asciiTheme="majorHAnsi" w:hAnsiTheme="majorHAnsi"/>
                          <w:color w:val="595959" w:themeColor="text1" w:themeTint="A6"/>
                          <w:sz w:val="18"/>
                          <w:szCs w:val="18"/>
                          <w:lang w:val="pt-BR"/>
                        </w:rPr>
                        <w:t>Estados Unidos</w:t>
                      </w:r>
                      <w:r w:rsidR="003F3E62" w:rsidRPr="00C10A33">
                        <w:rPr>
                          <w:rFonts w:asciiTheme="majorHAnsi" w:hAnsiTheme="majorHAnsi"/>
                          <w:color w:val="595959" w:themeColor="text1" w:themeTint="A6"/>
                          <w:sz w:val="18"/>
                          <w:szCs w:val="18"/>
                          <w:lang w:val="pt-BR"/>
                        </w:rPr>
                        <w:t xml:space="preserve"> de América</w:t>
                      </w:r>
                      <w:r w:rsidRPr="00C10A33">
                        <w:rPr>
                          <w:rFonts w:asciiTheme="majorHAnsi" w:hAnsiTheme="majorHAnsi"/>
                          <w:color w:val="595959" w:themeColor="text1" w:themeTint="A6"/>
                          <w:sz w:val="18"/>
                          <w:szCs w:val="18"/>
                          <w:lang w:val="pt-BR"/>
                        </w:rPr>
                        <w:t xml:space="preserve">. </w:t>
                      </w:r>
                      <w:r w:rsidR="00C16074">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v:textbox>
              </v:shape>
            </w:pict>
          </mc:Fallback>
        </mc:AlternateContent>
      </w:r>
    </w:p>
    <w:p w14:paraId="23181C81" w14:textId="328340A5" w:rsidR="00A50FCF" w:rsidRPr="0090270B" w:rsidRDefault="00A50FCF" w:rsidP="00040C3A">
      <w:pPr>
        <w:tabs>
          <w:tab w:val="center" w:pos="5400"/>
        </w:tabs>
        <w:suppressAutoHyphens/>
        <w:jc w:val="center"/>
        <w:rPr>
          <w:rFonts w:asciiTheme="majorHAnsi" w:hAnsiTheme="majorHAnsi"/>
          <w:sz w:val="18"/>
          <w:szCs w:val="22"/>
          <w:lang w:val="es-ES_tradnl"/>
        </w:rPr>
      </w:pPr>
    </w:p>
    <w:p w14:paraId="6F0A47E5" w14:textId="281ABB36"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7728" behindDoc="0" locked="0" layoutInCell="1" allowOverlap="1" wp14:anchorId="4012B702" wp14:editId="4AE501A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012B702" id="Text Box 4" o:spid="_x0000_s1031" type="#_x0000_t202" style="position:absolute;left:0;text-align:left;margin-left:-21.45pt;margin-top:72.05pt;width:93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874FD85" w14:textId="24E9D2A6" w:rsidR="0070697F" w:rsidRDefault="00C1607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9B5F12">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3E15B357" wp14:editId="1EE78DEC">
                <wp:simplePos x="0" y="0"/>
                <wp:positionH relativeFrom="column">
                  <wp:posOffset>-239395</wp:posOffset>
                </wp:positionH>
                <wp:positionV relativeFrom="paragraph">
                  <wp:posOffset>758553</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5CD21051" w14:textId="5A3D85AB" w:rsidR="00C16074" w:rsidRPr="004B7EB6" w:rsidRDefault="00C16074" w:rsidP="00C16074">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E15B357" id="Text Box 3" o:spid="_x0000_s1032" type="#_x0000_t202" style="position:absolute;left:0;text-align:left;margin-left:-18.85pt;margin-top:59.75pt;width:93pt;height:2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" filled="f" stroked="f" strokeweight=".5pt">
                <v:textbox>
                  <w:txbxContent>
                    <w:p w14:paraId="5CD21051" w14:textId="5A3D85AB" w:rsidR="00C16074" w:rsidRPr="004B7EB6" w:rsidRDefault="00C16074" w:rsidP="00C16074">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Pr="00D72DC6">
        <w:rPr>
          <w:noProof/>
          <w:color w:val="FFFFFF" w:themeColor="background1"/>
          <w14:textFill>
            <w14:noFill/>
          </w14:textFill>
        </w:rPr>
        <w:drawing>
          <wp:anchor distT="0" distB="0" distL="114300" distR="114300" simplePos="0" relativeHeight="251683840" behindDoc="0" locked="0" layoutInCell="1" allowOverlap="1" wp14:anchorId="1E3925C3" wp14:editId="62804B59">
            <wp:simplePos x="0" y="0"/>
            <wp:positionH relativeFrom="column">
              <wp:posOffset>1382758</wp:posOffset>
            </wp:positionH>
            <wp:positionV relativeFrom="page">
              <wp:posOffset>9121775</wp:posOffset>
            </wp:positionV>
            <wp:extent cx="1515110" cy="390525"/>
            <wp:effectExtent l="0" t="0" r="8890" b="9525"/>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151511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247F">
        <w:rPr>
          <w:rFonts w:asciiTheme="majorHAnsi" w:hAnsiTheme="majorHAnsi"/>
          <w:noProof/>
          <w:sz w:val="18"/>
          <w:szCs w:val="22"/>
        </w:rPr>
        <mc:AlternateContent>
          <mc:Choice Requires="wps">
            <w:drawing>
              <wp:anchor distT="0" distB="0" distL="114300" distR="114300" simplePos="0" relativeHeight="251655680" behindDoc="0" locked="0" layoutInCell="1" allowOverlap="1" wp14:anchorId="43E559D9" wp14:editId="5175A84F">
                <wp:simplePos x="0" y="0"/>
                <wp:positionH relativeFrom="column">
                  <wp:posOffset>1330658</wp:posOffset>
                </wp:positionH>
                <wp:positionV relativeFrom="paragraph">
                  <wp:posOffset>489651</wp:posOffset>
                </wp:positionV>
                <wp:extent cx="2286000"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2286000"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AAA1D" w14:textId="4961D543" w:rsidR="0099258D" w:rsidRPr="00D72DC6" w:rsidRDefault="0099258D" w:rsidP="00F02AD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3E559D9" id="Text Box 9" o:spid="_x0000_s1033" type="#_x0000_t202" style="position:absolute;left:0;text-align:left;margin-left:104.8pt;margin-top:38.55pt;width:180pt;height:4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" fillcolor="white [3201]" stroked="f" strokeweight=".5pt">
                <v:textbox>
                  <w:txbxContent>
                    <w:p w14:paraId="0AEAAA1D" w14:textId="4961D543" w:rsidR="0099258D" w:rsidRPr="00D72DC6" w:rsidRDefault="0099258D" w:rsidP="00F02AD1">
                      <w:pPr>
                        <w:rPr>
                          <w:color w:val="FFFFFF" w:themeColor="background1"/>
                          <w14:textFill>
                            <w14:noFill/>
                          </w14:textFill>
                        </w:rPr>
                      </w:pPr>
                    </w:p>
                  </w:txbxContent>
                </v:textbox>
              </v:shape>
            </w:pict>
          </mc:Fallback>
        </mc:AlternateContent>
      </w:r>
    </w:p>
    <w:p w14:paraId="3B2ED5B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56" w:type="dxa"/>
        <w:tblInd w:w="108" w:type="dxa"/>
        <w:tblLook w:val="04A0" w:firstRow="1" w:lastRow="0" w:firstColumn="1" w:lastColumn="0" w:noHBand="0" w:noVBand="1"/>
      </w:tblPr>
      <w:tblGrid>
        <w:gridCol w:w="3544"/>
        <w:gridCol w:w="5812"/>
      </w:tblGrid>
      <w:tr w:rsidR="00802833" w:rsidRPr="00C14A7E" w14:paraId="14353E3A" w14:textId="77777777" w:rsidTr="0045247F">
        <w:tc>
          <w:tcPr>
            <w:tcW w:w="3544" w:type="dxa"/>
            <w:shd w:val="clear" w:color="auto" w:fill="386294"/>
            <w:vAlign w:val="center"/>
          </w:tcPr>
          <w:p w14:paraId="0EC9DE2C" w14:textId="0CB5568C"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Parte peticionaria</w:t>
            </w:r>
          </w:p>
        </w:tc>
        <w:tc>
          <w:tcPr>
            <w:tcW w:w="5812" w:type="dxa"/>
            <w:vAlign w:val="center"/>
          </w:tcPr>
          <w:p w14:paraId="706D0974" w14:textId="0D1C791E" w:rsidR="00802833" w:rsidRPr="00802833" w:rsidRDefault="006D6366" w:rsidP="00802833">
            <w:pPr>
              <w:jc w:val="both"/>
              <w:rPr>
                <w:rFonts w:ascii="Cambria" w:hAnsi="Cambria"/>
                <w:bCs/>
                <w:sz w:val="20"/>
                <w:szCs w:val="20"/>
                <w:lang w:val="es-ES"/>
              </w:rPr>
            </w:pPr>
            <w:r>
              <w:rPr>
                <w:rFonts w:ascii="Cambria" w:hAnsi="Cambria"/>
                <w:bCs/>
                <w:sz w:val="20"/>
                <w:szCs w:val="20"/>
                <w:lang w:val="es-ES"/>
              </w:rPr>
              <w:t>Proyectos de Protección de los Derechos Humanos-Unión Americana de Libertades Civiles (ACLU) y Clínica de Justicia Global</w:t>
            </w:r>
          </w:p>
        </w:tc>
      </w:tr>
      <w:tr w:rsidR="00802833" w:rsidRPr="00171A7E" w14:paraId="2355CD53" w14:textId="77777777" w:rsidTr="0045247F">
        <w:tc>
          <w:tcPr>
            <w:tcW w:w="3544" w:type="dxa"/>
            <w:shd w:val="clear" w:color="auto" w:fill="386294"/>
            <w:vAlign w:val="center"/>
          </w:tcPr>
          <w:p w14:paraId="59A0E4B3" w14:textId="23C5F734" w:rsidR="00802833" w:rsidRPr="009629C7" w:rsidRDefault="0037649D" w:rsidP="00802833">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3CC00BABF2EA4BDC95125B72D2BF8292"/>
                </w:placeholder>
                <w:dropDownList>
                  <w:listItem w:value="Choose an item."/>
                  <w:listItem w:displayText="Presunta víctima" w:value="Presunta víctima"/>
                  <w:listItem w:displayText="Presuntas víctimas" w:value="Presuntas víctimas"/>
                </w:dropDownList>
              </w:sdtPr>
              <w:sdtEndPr/>
              <w:sdtContent>
                <w:r w:rsidR="00802833" w:rsidRPr="009629C7">
                  <w:rPr>
                    <w:rFonts w:ascii="Cambria" w:hAnsi="Cambria"/>
                    <w:bCs/>
                    <w:color w:val="FFFFFF" w:themeColor="background1"/>
                    <w:sz w:val="19"/>
                    <w:szCs w:val="19"/>
                    <w:lang w:val="es-ES"/>
                  </w:rPr>
                  <w:t>Presunta víctima</w:t>
                </w:r>
              </w:sdtContent>
            </w:sdt>
          </w:p>
        </w:tc>
        <w:tc>
          <w:tcPr>
            <w:tcW w:w="5812" w:type="dxa"/>
            <w:vAlign w:val="center"/>
          </w:tcPr>
          <w:p w14:paraId="70B7B1C1" w14:textId="2EDD11D3" w:rsidR="00802833" w:rsidRDefault="00335018" w:rsidP="00802833">
            <w:pPr>
              <w:jc w:val="both"/>
              <w:rPr>
                <w:rFonts w:ascii="Cambria" w:hAnsi="Cambria"/>
                <w:bCs/>
                <w:sz w:val="20"/>
                <w:szCs w:val="20"/>
              </w:rPr>
            </w:pPr>
            <w:proofErr w:type="spellStart"/>
            <w:r>
              <w:rPr>
                <w:rFonts w:asciiTheme="majorHAnsi" w:hAnsiTheme="majorHAnsi"/>
                <w:bCs/>
                <w:sz w:val="20"/>
                <w:szCs w:val="20"/>
              </w:rPr>
              <w:t>Binyam</w:t>
            </w:r>
            <w:proofErr w:type="spellEnd"/>
            <w:r>
              <w:rPr>
                <w:rFonts w:asciiTheme="majorHAnsi" w:hAnsiTheme="majorHAnsi"/>
                <w:bCs/>
                <w:sz w:val="20"/>
                <w:szCs w:val="20"/>
              </w:rPr>
              <w:t xml:space="preserve"> Mohamed, </w:t>
            </w:r>
            <w:proofErr w:type="spellStart"/>
            <w:r>
              <w:rPr>
                <w:rFonts w:asciiTheme="majorHAnsi" w:hAnsiTheme="majorHAnsi"/>
                <w:bCs/>
                <w:sz w:val="20"/>
                <w:szCs w:val="20"/>
              </w:rPr>
              <w:t>Abou</w:t>
            </w:r>
            <w:proofErr w:type="spellEnd"/>
            <w:r>
              <w:rPr>
                <w:rFonts w:asciiTheme="majorHAnsi" w:hAnsiTheme="majorHAnsi"/>
                <w:bCs/>
                <w:sz w:val="20"/>
                <w:szCs w:val="20"/>
              </w:rPr>
              <w:t xml:space="preserve"> </w:t>
            </w:r>
            <w:proofErr w:type="spellStart"/>
            <w:r>
              <w:rPr>
                <w:rFonts w:asciiTheme="majorHAnsi" w:hAnsiTheme="majorHAnsi"/>
                <w:bCs/>
                <w:sz w:val="20"/>
                <w:szCs w:val="20"/>
              </w:rPr>
              <w:t>Elkassim</w:t>
            </w:r>
            <w:proofErr w:type="spellEnd"/>
            <w:r>
              <w:rPr>
                <w:rFonts w:asciiTheme="majorHAnsi" w:hAnsiTheme="majorHAnsi"/>
                <w:bCs/>
                <w:sz w:val="20"/>
                <w:szCs w:val="20"/>
              </w:rPr>
              <w:t xml:space="preserve"> </w:t>
            </w:r>
            <w:proofErr w:type="spellStart"/>
            <w:r>
              <w:rPr>
                <w:rFonts w:asciiTheme="majorHAnsi" w:hAnsiTheme="majorHAnsi"/>
                <w:bCs/>
                <w:sz w:val="20"/>
                <w:szCs w:val="20"/>
              </w:rPr>
              <w:t>Britel</w:t>
            </w:r>
            <w:proofErr w:type="spellEnd"/>
            <w:r>
              <w:rPr>
                <w:rFonts w:asciiTheme="majorHAnsi" w:hAnsiTheme="majorHAnsi"/>
                <w:bCs/>
                <w:sz w:val="20"/>
                <w:szCs w:val="20"/>
              </w:rPr>
              <w:t xml:space="preserve">, Mohamed </w:t>
            </w:r>
            <w:proofErr w:type="spellStart"/>
            <w:r>
              <w:rPr>
                <w:rFonts w:asciiTheme="majorHAnsi" w:hAnsiTheme="majorHAnsi"/>
                <w:bCs/>
                <w:sz w:val="20"/>
                <w:szCs w:val="20"/>
              </w:rPr>
              <w:t>Farag</w:t>
            </w:r>
            <w:proofErr w:type="spellEnd"/>
            <w:r>
              <w:rPr>
                <w:rFonts w:asciiTheme="majorHAnsi" w:hAnsiTheme="majorHAnsi"/>
                <w:bCs/>
                <w:sz w:val="20"/>
                <w:szCs w:val="20"/>
              </w:rPr>
              <w:t xml:space="preserve"> Ahmad </w:t>
            </w:r>
            <w:proofErr w:type="spellStart"/>
            <w:r>
              <w:rPr>
                <w:rFonts w:asciiTheme="majorHAnsi" w:hAnsiTheme="majorHAnsi"/>
                <w:bCs/>
                <w:sz w:val="20"/>
                <w:szCs w:val="20"/>
              </w:rPr>
              <w:t>Bashmilah</w:t>
            </w:r>
            <w:proofErr w:type="spellEnd"/>
            <w:r>
              <w:rPr>
                <w:rFonts w:asciiTheme="majorHAnsi" w:hAnsiTheme="majorHAnsi"/>
                <w:bCs/>
                <w:sz w:val="20"/>
                <w:szCs w:val="20"/>
              </w:rPr>
              <w:t xml:space="preserve"> y </w:t>
            </w:r>
            <w:proofErr w:type="spellStart"/>
            <w:r>
              <w:rPr>
                <w:rFonts w:asciiTheme="majorHAnsi" w:hAnsiTheme="majorHAnsi"/>
                <w:bCs/>
                <w:sz w:val="20"/>
                <w:szCs w:val="20"/>
              </w:rPr>
              <w:t>Bisher</w:t>
            </w:r>
            <w:proofErr w:type="spellEnd"/>
            <w:r>
              <w:rPr>
                <w:rFonts w:asciiTheme="majorHAnsi" w:hAnsiTheme="majorHAnsi"/>
                <w:bCs/>
                <w:sz w:val="20"/>
                <w:szCs w:val="20"/>
              </w:rPr>
              <w:t xml:space="preserve"> al-</w:t>
            </w:r>
            <w:proofErr w:type="spellStart"/>
            <w:r>
              <w:rPr>
                <w:rFonts w:asciiTheme="majorHAnsi" w:hAnsiTheme="majorHAnsi"/>
                <w:bCs/>
                <w:sz w:val="20"/>
                <w:szCs w:val="20"/>
              </w:rPr>
              <w:t>Rawi</w:t>
            </w:r>
            <w:proofErr w:type="spellEnd"/>
          </w:p>
        </w:tc>
      </w:tr>
      <w:tr w:rsidR="00802833" w14:paraId="6B9385E9" w14:textId="77777777" w:rsidTr="0045247F">
        <w:tc>
          <w:tcPr>
            <w:tcW w:w="3544" w:type="dxa"/>
            <w:shd w:val="clear" w:color="auto" w:fill="386294"/>
            <w:vAlign w:val="center"/>
          </w:tcPr>
          <w:p w14:paraId="2DB2C085" w14:textId="7CA93E29"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Estado denunciado</w:t>
            </w:r>
          </w:p>
        </w:tc>
        <w:tc>
          <w:tcPr>
            <w:tcW w:w="5812" w:type="dxa"/>
            <w:vAlign w:val="center"/>
          </w:tcPr>
          <w:p w14:paraId="5E375646" w14:textId="16FE6BBD" w:rsidR="00802833" w:rsidRDefault="006D6366" w:rsidP="00802833">
            <w:pPr>
              <w:jc w:val="both"/>
              <w:rPr>
                <w:rFonts w:ascii="Cambria" w:hAnsi="Cambria"/>
                <w:bCs/>
                <w:sz w:val="20"/>
                <w:szCs w:val="20"/>
              </w:rPr>
            </w:pPr>
            <w:proofErr w:type="spellStart"/>
            <w:r>
              <w:rPr>
                <w:rFonts w:ascii="Cambria" w:hAnsi="Cambria"/>
                <w:bCs/>
                <w:sz w:val="20"/>
                <w:szCs w:val="20"/>
              </w:rPr>
              <w:t>Estados</w:t>
            </w:r>
            <w:proofErr w:type="spellEnd"/>
            <w:r>
              <w:rPr>
                <w:rFonts w:ascii="Cambria" w:hAnsi="Cambria"/>
                <w:bCs/>
                <w:sz w:val="20"/>
                <w:szCs w:val="20"/>
              </w:rPr>
              <w:t xml:space="preserve"> </w:t>
            </w:r>
            <w:proofErr w:type="spellStart"/>
            <w:r>
              <w:rPr>
                <w:rFonts w:ascii="Cambria" w:hAnsi="Cambria"/>
                <w:bCs/>
                <w:sz w:val="20"/>
                <w:szCs w:val="20"/>
              </w:rPr>
              <w:t>Unidos</w:t>
            </w:r>
            <w:proofErr w:type="spellEnd"/>
            <w:r>
              <w:rPr>
                <w:rStyle w:val="FootnoteReference"/>
                <w:rFonts w:ascii="Cambria" w:hAnsi="Cambria"/>
                <w:bCs/>
                <w:sz w:val="20"/>
                <w:szCs w:val="20"/>
              </w:rPr>
              <w:footnoteReference w:id="2"/>
            </w:r>
          </w:p>
        </w:tc>
      </w:tr>
      <w:tr w:rsidR="00802833" w:rsidRPr="00C14A7E" w14:paraId="2485421D" w14:textId="77777777" w:rsidTr="0045247F">
        <w:tc>
          <w:tcPr>
            <w:tcW w:w="3544" w:type="dxa"/>
            <w:shd w:val="clear" w:color="auto" w:fill="386294"/>
            <w:vAlign w:val="center"/>
          </w:tcPr>
          <w:p w14:paraId="158523DF" w14:textId="03C2948C"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Derechos invocados</w:t>
            </w:r>
          </w:p>
        </w:tc>
        <w:tc>
          <w:tcPr>
            <w:tcW w:w="5812" w:type="dxa"/>
            <w:vAlign w:val="center"/>
          </w:tcPr>
          <w:p w14:paraId="6963531B" w14:textId="7632AF8F" w:rsidR="00802833" w:rsidRDefault="00335018" w:rsidP="00802833">
            <w:pPr>
              <w:jc w:val="both"/>
              <w:rPr>
                <w:rFonts w:ascii="Cambria" w:hAnsi="Cambria"/>
                <w:bCs/>
                <w:sz w:val="20"/>
                <w:szCs w:val="20"/>
                <w:lang w:val="es-PA"/>
              </w:rPr>
            </w:pPr>
            <w:r>
              <w:rPr>
                <w:rFonts w:ascii="Cambria" w:hAnsi="Cambria"/>
                <w:bCs/>
                <w:sz w:val="20"/>
                <w:szCs w:val="20"/>
                <w:lang w:val="es-PA"/>
              </w:rPr>
              <w:t xml:space="preserve">Artículos I (vida, libertad, seguridad e integridad), </w:t>
            </w:r>
            <w:r w:rsidR="0060296E">
              <w:rPr>
                <w:rFonts w:ascii="Cambria" w:hAnsi="Cambria"/>
                <w:bCs/>
                <w:sz w:val="20"/>
                <w:szCs w:val="20"/>
                <w:lang w:val="es-PA"/>
              </w:rPr>
              <w:t xml:space="preserve">XVIII (justicia), </w:t>
            </w:r>
            <w:r>
              <w:rPr>
                <w:rFonts w:ascii="Cambria" w:hAnsi="Cambria"/>
                <w:bCs/>
                <w:sz w:val="20"/>
                <w:szCs w:val="20"/>
                <w:lang w:val="es-PA"/>
              </w:rPr>
              <w:t>XXV (protección contra la detención arbitraria), XXVI (proceso regular)</w:t>
            </w:r>
            <w:r w:rsidR="0060296E">
              <w:rPr>
                <w:rFonts w:ascii="Cambria" w:hAnsi="Cambria"/>
                <w:bCs/>
                <w:sz w:val="20"/>
                <w:szCs w:val="20"/>
                <w:lang w:val="es-PA"/>
              </w:rPr>
              <w:t xml:space="preserve"> </w:t>
            </w:r>
            <w:r>
              <w:rPr>
                <w:rFonts w:ascii="Cambria" w:hAnsi="Cambria"/>
                <w:bCs/>
                <w:sz w:val="20"/>
                <w:szCs w:val="20"/>
                <w:lang w:val="es-PA"/>
              </w:rPr>
              <w:t>y XXVII (asilo) de la Declaración Americana de los Derechos y Deberes del Hombre</w:t>
            </w:r>
            <w:r>
              <w:rPr>
                <w:rStyle w:val="FootnoteReference"/>
                <w:rFonts w:ascii="Cambria" w:hAnsi="Cambria"/>
                <w:bCs/>
                <w:sz w:val="20"/>
                <w:szCs w:val="20"/>
                <w:lang w:val="es-PA"/>
              </w:rPr>
              <w:footnoteReference w:id="3"/>
            </w:r>
          </w:p>
        </w:tc>
      </w:tr>
    </w:tbl>
    <w:p w14:paraId="274617D8"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9629C7" w:rsidRPr="00960625" w14:paraId="78A941EA" w14:textId="77777777" w:rsidTr="009629C7">
        <w:tc>
          <w:tcPr>
            <w:tcW w:w="3544" w:type="dxa"/>
            <w:tcBorders>
              <w:top w:val="single" w:sz="6" w:space="0" w:color="auto"/>
              <w:bottom w:val="single" w:sz="6" w:space="0" w:color="auto"/>
            </w:tcBorders>
            <w:shd w:val="clear" w:color="auto" w:fill="386294"/>
            <w:vAlign w:val="center"/>
          </w:tcPr>
          <w:p w14:paraId="470D93FB" w14:textId="4BD55022" w:rsidR="009629C7" w:rsidRPr="009629C7" w:rsidRDefault="009629C7" w:rsidP="00802833">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 xml:space="preserve">Recepción </w:t>
            </w:r>
            <w:r w:rsidRPr="009629C7">
              <w:rPr>
                <w:rFonts w:ascii="Cambria" w:hAnsi="Cambria"/>
                <w:bCs/>
                <w:color w:val="FFFFFF" w:themeColor="background1"/>
                <w:sz w:val="19"/>
                <w:szCs w:val="19"/>
                <w:lang w:val="es-ES"/>
              </w:rPr>
              <w:t>de la petición</w:t>
            </w:r>
          </w:p>
        </w:tc>
        <w:tc>
          <w:tcPr>
            <w:tcW w:w="5812" w:type="dxa"/>
          </w:tcPr>
          <w:p w14:paraId="1C0FBE93" w14:textId="2C1E02F8" w:rsidR="009629C7" w:rsidRPr="003239B8" w:rsidRDefault="00FD767D" w:rsidP="00802833">
            <w:pPr>
              <w:jc w:val="both"/>
              <w:rPr>
                <w:rFonts w:ascii="Cambria" w:hAnsi="Cambria"/>
                <w:bCs/>
                <w:sz w:val="20"/>
                <w:szCs w:val="20"/>
                <w:lang w:val="es-ES"/>
              </w:rPr>
            </w:pPr>
            <w:r>
              <w:rPr>
                <w:rFonts w:ascii="Cambria" w:hAnsi="Cambria"/>
                <w:bCs/>
                <w:sz w:val="20"/>
                <w:szCs w:val="20"/>
                <w:lang w:val="es-ES"/>
              </w:rPr>
              <w:t>18 de noviembre de 2011</w:t>
            </w:r>
          </w:p>
        </w:tc>
      </w:tr>
      <w:tr w:rsidR="009629C7" w:rsidRPr="00802833" w14:paraId="4C078278" w14:textId="77777777" w:rsidTr="009629C7">
        <w:tc>
          <w:tcPr>
            <w:tcW w:w="3544" w:type="dxa"/>
            <w:tcBorders>
              <w:top w:val="single" w:sz="6" w:space="0" w:color="auto"/>
              <w:bottom w:val="single" w:sz="6" w:space="0" w:color="auto"/>
            </w:tcBorders>
            <w:shd w:val="clear" w:color="auto" w:fill="386294"/>
            <w:vAlign w:val="center"/>
          </w:tcPr>
          <w:p w14:paraId="687B66A5" w14:textId="7667493E"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Notificación de la petición</w:t>
            </w:r>
          </w:p>
        </w:tc>
        <w:tc>
          <w:tcPr>
            <w:tcW w:w="5812" w:type="dxa"/>
          </w:tcPr>
          <w:p w14:paraId="0C419769" w14:textId="4D6444D3" w:rsidR="009629C7" w:rsidRDefault="00FD767D" w:rsidP="00802833">
            <w:pPr>
              <w:jc w:val="both"/>
              <w:rPr>
                <w:rFonts w:ascii="Cambria" w:hAnsi="Cambria"/>
                <w:sz w:val="20"/>
                <w:szCs w:val="20"/>
                <w:lang w:val="es"/>
              </w:rPr>
            </w:pPr>
            <w:r>
              <w:rPr>
                <w:rFonts w:ascii="Cambria" w:hAnsi="Cambria"/>
                <w:sz w:val="20"/>
                <w:szCs w:val="20"/>
                <w:lang w:val="es"/>
              </w:rPr>
              <w:t>18 de febrero de 2016</w:t>
            </w:r>
          </w:p>
        </w:tc>
      </w:tr>
      <w:tr w:rsidR="009629C7" w:rsidRPr="004A6A54" w14:paraId="13AC9F25" w14:textId="77777777" w:rsidTr="009629C7">
        <w:tc>
          <w:tcPr>
            <w:tcW w:w="3544" w:type="dxa"/>
            <w:tcBorders>
              <w:top w:val="single" w:sz="6" w:space="0" w:color="auto"/>
              <w:bottom w:val="single" w:sz="6" w:space="0" w:color="auto"/>
            </w:tcBorders>
            <w:shd w:val="clear" w:color="auto" w:fill="386294"/>
            <w:vAlign w:val="center"/>
          </w:tcPr>
          <w:p w14:paraId="57251DBE" w14:textId="7371D139"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Primera respuesta del Estado</w:t>
            </w:r>
          </w:p>
        </w:tc>
        <w:tc>
          <w:tcPr>
            <w:tcW w:w="5812" w:type="dxa"/>
          </w:tcPr>
          <w:p w14:paraId="5FF39E31" w14:textId="20237A7D" w:rsidR="009629C7" w:rsidRDefault="00FD767D" w:rsidP="00802833">
            <w:pPr>
              <w:jc w:val="both"/>
              <w:rPr>
                <w:rFonts w:ascii="Cambria" w:hAnsi="Cambria"/>
                <w:sz w:val="20"/>
                <w:szCs w:val="20"/>
                <w:lang w:val="es"/>
              </w:rPr>
            </w:pPr>
            <w:r>
              <w:rPr>
                <w:rFonts w:ascii="Cambria" w:hAnsi="Cambria"/>
                <w:sz w:val="20"/>
                <w:szCs w:val="20"/>
                <w:lang w:val="es"/>
              </w:rPr>
              <w:t>5 de mayo de 2016</w:t>
            </w:r>
          </w:p>
        </w:tc>
      </w:tr>
      <w:tr w:rsidR="0045247F" w:rsidRPr="009629C7" w14:paraId="7CD74055" w14:textId="77777777" w:rsidTr="009629C7">
        <w:tc>
          <w:tcPr>
            <w:tcW w:w="3544" w:type="dxa"/>
            <w:tcBorders>
              <w:top w:val="single" w:sz="6" w:space="0" w:color="auto"/>
              <w:bottom w:val="single" w:sz="6" w:space="0" w:color="auto"/>
            </w:tcBorders>
            <w:shd w:val="clear" w:color="auto" w:fill="386294"/>
            <w:vAlign w:val="center"/>
          </w:tcPr>
          <w:p w14:paraId="60895FE1" w14:textId="1ED617D3" w:rsidR="0045247F" w:rsidRPr="009629C7" w:rsidRDefault="006A0DC2" w:rsidP="00802833">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 xml:space="preserve">Advertencia sobre posible archivo </w:t>
            </w:r>
          </w:p>
        </w:tc>
        <w:tc>
          <w:tcPr>
            <w:tcW w:w="5812" w:type="dxa"/>
          </w:tcPr>
          <w:p w14:paraId="11301661" w14:textId="50C3B385" w:rsidR="0045247F" w:rsidRDefault="00FD767D" w:rsidP="00802833">
            <w:pPr>
              <w:jc w:val="both"/>
              <w:rPr>
                <w:rFonts w:ascii="Cambria" w:hAnsi="Cambria"/>
                <w:sz w:val="20"/>
                <w:szCs w:val="20"/>
                <w:lang w:val="es"/>
              </w:rPr>
            </w:pPr>
            <w:r>
              <w:rPr>
                <w:rFonts w:ascii="Cambria" w:hAnsi="Cambria"/>
                <w:sz w:val="20"/>
                <w:szCs w:val="20"/>
                <w:lang w:val="es"/>
              </w:rPr>
              <w:t>21 de noviembre de 2018</w:t>
            </w:r>
          </w:p>
        </w:tc>
      </w:tr>
      <w:tr w:rsidR="0045247F" w:rsidRPr="008D23DE" w14:paraId="5AC9A457" w14:textId="77777777" w:rsidTr="009629C7">
        <w:tc>
          <w:tcPr>
            <w:tcW w:w="3544" w:type="dxa"/>
            <w:tcBorders>
              <w:top w:val="single" w:sz="6" w:space="0" w:color="auto"/>
              <w:bottom w:val="single" w:sz="6" w:space="0" w:color="auto"/>
            </w:tcBorders>
            <w:shd w:val="clear" w:color="auto" w:fill="386294"/>
            <w:vAlign w:val="center"/>
          </w:tcPr>
          <w:p w14:paraId="7B0F0A51" w14:textId="67A5190C" w:rsidR="0045247F" w:rsidRPr="009629C7" w:rsidRDefault="006A0DC2" w:rsidP="00802833">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Respuesta de la parte peticionaria ante advertencia sobre posible archivo</w:t>
            </w:r>
          </w:p>
        </w:tc>
        <w:tc>
          <w:tcPr>
            <w:tcW w:w="5812" w:type="dxa"/>
          </w:tcPr>
          <w:p w14:paraId="0B0BB273" w14:textId="0BD8B7F4" w:rsidR="0045247F" w:rsidRDefault="00FD767D" w:rsidP="00802833">
            <w:pPr>
              <w:jc w:val="both"/>
              <w:rPr>
                <w:rFonts w:ascii="Cambria" w:hAnsi="Cambria"/>
                <w:sz w:val="20"/>
                <w:szCs w:val="20"/>
                <w:lang w:val="es"/>
              </w:rPr>
            </w:pPr>
            <w:r>
              <w:rPr>
                <w:rFonts w:ascii="Cambria" w:hAnsi="Cambria"/>
                <w:sz w:val="20"/>
                <w:szCs w:val="20"/>
                <w:lang w:val="es"/>
              </w:rPr>
              <w:t>5 de diciembre de 2018</w:t>
            </w:r>
          </w:p>
        </w:tc>
      </w:tr>
      <w:tr w:rsidR="009629C7" w:rsidRPr="00FD767D" w14:paraId="1732BCFA" w14:textId="77777777" w:rsidTr="009629C7">
        <w:tc>
          <w:tcPr>
            <w:tcW w:w="3544" w:type="dxa"/>
            <w:tcBorders>
              <w:top w:val="single" w:sz="6" w:space="0" w:color="auto"/>
              <w:bottom w:val="single" w:sz="6" w:space="0" w:color="auto"/>
            </w:tcBorders>
            <w:shd w:val="clear" w:color="auto" w:fill="386294"/>
            <w:vAlign w:val="center"/>
          </w:tcPr>
          <w:p w14:paraId="15B83D27" w14:textId="77777777" w:rsidR="00FD767D" w:rsidRDefault="00FD767D" w:rsidP="00FD767D">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Observaciones adicionales de la </w:t>
            </w:r>
          </w:p>
          <w:p w14:paraId="3F565E06" w14:textId="580EAD99" w:rsidR="009629C7" w:rsidRPr="009629C7" w:rsidRDefault="00FD767D" w:rsidP="00FD767D">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parte peticionaria</w:t>
            </w:r>
          </w:p>
        </w:tc>
        <w:tc>
          <w:tcPr>
            <w:tcW w:w="5812" w:type="dxa"/>
          </w:tcPr>
          <w:p w14:paraId="111E3ABA" w14:textId="0D2FE4CA" w:rsidR="009629C7" w:rsidRDefault="00FD767D" w:rsidP="00802833">
            <w:pPr>
              <w:jc w:val="both"/>
              <w:rPr>
                <w:rFonts w:ascii="Cambria" w:hAnsi="Cambria"/>
                <w:sz w:val="20"/>
                <w:szCs w:val="20"/>
                <w:lang w:val="es"/>
              </w:rPr>
            </w:pPr>
            <w:r>
              <w:rPr>
                <w:rFonts w:ascii="Cambria" w:hAnsi="Cambria"/>
                <w:sz w:val="20"/>
                <w:szCs w:val="20"/>
                <w:lang w:val="es"/>
              </w:rPr>
              <w:t>26 de diciembre de 2018</w:t>
            </w:r>
          </w:p>
        </w:tc>
      </w:tr>
    </w:tbl>
    <w:p w14:paraId="18221797" w14:textId="0789F5CE" w:rsidR="003239B8" w:rsidRPr="003239B8" w:rsidRDefault="003239B8" w:rsidP="00CE2A41">
      <w:pPr>
        <w:tabs>
          <w:tab w:val="left" w:pos="720"/>
          <w:tab w:val="left" w:pos="1440"/>
          <w:tab w:val="left" w:pos="2160"/>
          <w:tab w:val="left" w:pos="2880"/>
          <w:tab w:val="left" w:pos="4500"/>
        </w:tabs>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02833" w:rsidRPr="00540F17" w14:paraId="716354D3" w14:textId="77777777" w:rsidTr="009629C7">
        <w:trPr>
          <w:cantSplit/>
        </w:trPr>
        <w:tc>
          <w:tcPr>
            <w:tcW w:w="3600" w:type="dxa"/>
            <w:tcBorders>
              <w:top w:val="single" w:sz="4" w:space="0" w:color="auto"/>
              <w:bottom w:val="single" w:sz="6" w:space="0" w:color="auto"/>
            </w:tcBorders>
            <w:shd w:val="clear" w:color="auto" w:fill="386294"/>
            <w:vAlign w:val="center"/>
          </w:tcPr>
          <w:p w14:paraId="6EEFB6D2" w14:textId="4CA13AE7" w:rsidR="00802833" w:rsidRPr="009629C7" w:rsidRDefault="00802833" w:rsidP="00802833">
            <w:pPr>
              <w:jc w:val="center"/>
              <w:rPr>
                <w:rFonts w:ascii="Cambria" w:hAnsi="Cambria"/>
                <w:bCs/>
                <w:i/>
                <w:iCs/>
                <w:color w:val="FFFFFF" w:themeColor="background1"/>
                <w:sz w:val="19"/>
                <w:szCs w:val="19"/>
                <w:lang w:val="es-ES"/>
              </w:rPr>
            </w:pPr>
            <w:proofErr w:type="spellStart"/>
            <w:r w:rsidRPr="009629C7">
              <w:rPr>
                <w:rFonts w:ascii="Cambria" w:hAnsi="Cambria"/>
                <w:bCs/>
                <w:i/>
                <w:iCs/>
                <w:color w:val="FFFFFF" w:themeColor="background1"/>
                <w:sz w:val="19"/>
                <w:szCs w:val="19"/>
                <w:lang w:val="es-ES"/>
              </w:rPr>
              <w:t>Ratione</w:t>
            </w:r>
            <w:proofErr w:type="spellEnd"/>
            <w:r w:rsidRPr="009629C7">
              <w:rPr>
                <w:rFonts w:ascii="Cambria" w:hAnsi="Cambria"/>
                <w:bCs/>
                <w:i/>
                <w:iCs/>
                <w:color w:val="FFFFFF" w:themeColor="background1"/>
                <w:sz w:val="19"/>
                <w:szCs w:val="19"/>
                <w:lang w:val="es-ES"/>
              </w:rPr>
              <w:t xml:space="preserve"> </w:t>
            </w:r>
            <w:proofErr w:type="spellStart"/>
            <w:r w:rsidRPr="009629C7">
              <w:rPr>
                <w:rFonts w:ascii="Cambria" w:hAnsi="Cambria"/>
                <w:bCs/>
                <w:i/>
                <w:iCs/>
                <w:color w:val="FFFFFF" w:themeColor="background1"/>
                <w:sz w:val="19"/>
                <w:szCs w:val="19"/>
                <w:lang w:val="es-ES"/>
              </w:rPr>
              <w:t>personae</w:t>
            </w:r>
            <w:proofErr w:type="spellEnd"/>
          </w:p>
        </w:tc>
        <w:tc>
          <w:tcPr>
            <w:tcW w:w="5760" w:type="dxa"/>
            <w:vAlign w:val="center"/>
          </w:tcPr>
          <w:p w14:paraId="5E836BC1" w14:textId="26923C0A" w:rsidR="00802833" w:rsidRPr="00DA671F" w:rsidRDefault="006D6366" w:rsidP="00802833">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802833" w:rsidRPr="00540F17" w14:paraId="139DBF83" w14:textId="77777777" w:rsidTr="009629C7">
        <w:trPr>
          <w:cantSplit/>
        </w:trPr>
        <w:tc>
          <w:tcPr>
            <w:tcW w:w="3600" w:type="dxa"/>
            <w:tcBorders>
              <w:top w:val="single" w:sz="6" w:space="0" w:color="auto"/>
              <w:bottom w:val="single" w:sz="6" w:space="0" w:color="auto"/>
            </w:tcBorders>
            <w:shd w:val="clear" w:color="auto" w:fill="386294"/>
            <w:vAlign w:val="center"/>
          </w:tcPr>
          <w:p w14:paraId="0ABA245B" w14:textId="7CD6845F" w:rsidR="00802833" w:rsidRPr="009629C7" w:rsidRDefault="00802833" w:rsidP="00802833">
            <w:pPr>
              <w:jc w:val="center"/>
              <w:rPr>
                <w:rFonts w:ascii="Cambria" w:hAnsi="Cambria"/>
                <w:bCs/>
                <w:i/>
                <w:iCs/>
                <w:color w:val="FFFFFF" w:themeColor="background1"/>
                <w:sz w:val="19"/>
                <w:szCs w:val="19"/>
                <w:lang w:val="es-ES"/>
              </w:rPr>
            </w:pPr>
            <w:proofErr w:type="spellStart"/>
            <w:r w:rsidRPr="009629C7">
              <w:rPr>
                <w:rFonts w:ascii="Cambria" w:hAnsi="Cambria"/>
                <w:bCs/>
                <w:i/>
                <w:iCs/>
                <w:color w:val="FFFFFF" w:themeColor="background1"/>
                <w:sz w:val="19"/>
                <w:szCs w:val="19"/>
                <w:lang w:val="es-ES"/>
              </w:rPr>
              <w:t>Ratione</w:t>
            </w:r>
            <w:proofErr w:type="spellEnd"/>
            <w:r w:rsidRPr="009629C7">
              <w:rPr>
                <w:rFonts w:ascii="Cambria" w:hAnsi="Cambria"/>
                <w:bCs/>
                <w:i/>
                <w:iCs/>
                <w:color w:val="FFFFFF" w:themeColor="background1"/>
                <w:sz w:val="19"/>
                <w:szCs w:val="19"/>
                <w:lang w:val="es-ES"/>
              </w:rPr>
              <w:t xml:space="preserve"> </w:t>
            </w:r>
            <w:proofErr w:type="spellStart"/>
            <w:r w:rsidRPr="009629C7">
              <w:rPr>
                <w:rFonts w:ascii="Cambria" w:hAnsi="Cambria"/>
                <w:bCs/>
                <w:i/>
                <w:iCs/>
                <w:color w:val="FFFFFF" w:themeColor="background1"/>
                <w:sz w:val="19"/>
                <w:szCs w:val="19"/>
                <w:lang w:val="es-ES"/>
              </w:rPr>
              <w:t>loci</w:t>
            </w:r>
            <w:proofErr w:type="spellEnd"/>
          </w:p>
        </w:tc>
        <w:tc>
          <w:tcPr>
            <w:tcW w:w="5760" w:type="dxa"/>
            <w:vAlign w:val="center"/>
          </w:tcPr>
          <w:p w14:paraId="41226443" w14:textId="0F7DF49D" w:rsidR="00802833" w:rsidRPr="00DA671F" w:rsidRDefault="006D6366" w:rsidP="00802833">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802833" w:rsidRPr="00540F17" w14:paraId="77BF1F3F" w14:textId="77777777" w:rsidTr="009629C7">
        <w:trPr>
          <w:cantSplit/>
        </w:trPr>
        <w:tc>
          <w:tcPr>
            <w:tcW w:w="3600" w:type="dxa"/>
            <w:tcBorders>
              <w:top w:val="single" w:sz="6" w:space="0" w:color="auto"/>
              <w:bottom w:val="single" w:sz="6" w:space="0" w:color="auto"/>
            </w:tcBorders>
            <w:shd w:val="clear" w:color="auto" w:fill="386294"/>
            <w:vAlign w:val="center"/>
          </w:tcPr>
          <w:p w14:paraId="25C8AFD3" w14:textId="22C50ED3" w:rsidR="00802833" w:rsidRPr="009629C7" w:rsidRDefault="00802833" w:rsidP="00802833">
            <w:pPr>
              <w:jc w:val="center"/>
              <w:rPr>
                <w:rFonts w:ascii="Cambria" w:hAnsi="Cambria"/>
                <w:bCs/>
                <w:i/>
                <w:iCs/>
                <w:color w:val="FFFFFF" w:themeColor="background1"/>
                <w:sz w:val="19"/>
                <w:szCs w:val="19"/>
                <w:lang w:val="es-ES"/>
              </w:rPr>
            </w:pPr>
            <w:proofErr w:type="spellStart"/>
            <w:r w:rsidRPr="009629C7">
              <w:rPr>
                <w:rFonts w:ascii="Cambria" w:hAnsi="Cambria"/>
                <w:bCs/>
                <w:i/>
                <w:iCs/>
                <w:color w:val="FFFFFF" w:themeColor="background1"/>
                <w:sz w:val="19"/>
                <w:szCs w:val="19"/>
                <w:lang w:val="es-ES"/>
              </w:rPr>
              <w:t>Ratione</w:t>
            </w:r>
            <w:proofErr w:type="spellEnd"/>
            <w:r w:rsidRPr="009629C7">
              <w:rPr>
                <w:rFonts w:ascii="Cambria" w:hAnsi="Cambria"/>
                <w:bCs/>
                <w:i/>
                <w:iCs/>
                <w:color w:val="FFFFFF" w:themeColor="background1"/>
                <w:sz w:val="19"/>
                <w:szCs w:val="19"/>
                <w:lang w:val="es-ES"/>
              </w:rPr>
              <w:t xml:space="preserve"> </w:t>
            </w:r>
            <w:proofErr w:type="spellStart"/>
            <w:r w:rsidRPr="009629C7">
              <w:rPr>
                <w:rFonts w:ascii="Cambria" w:hAnsi="Cambria"/>
                <w:bCs/>
                <w:i/>
                <w:iCs/>
                <w:color w:val="FFFFFF" w:themeColor="background1"/>
                <w:sz w:val="19"/>
                <w:szCs w:val="19"/>
                <w:lang w:val="es-ES"/>
              </w:rPr>
              <w:t>temporis</w:t>
            </w:r>
            <w:proofErr w:type="spellEnd"/>
          </w:p>
        </w:tc>
        <w:tc>
          <w:tcPr>
            <w:tcW w:w="5760" w:type="dxa"/>
            <w:vAlign w:val="center"/>
          </w:tcPr>
          <w:p w14:paraId="7E7832B4" w14:textId="6E1DD870" w:rsidR="00802833" w:rsidRPr="00DA671F" w:rsidRDefault="006D6366" w:rsidP="00802833">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802833" w:rsidRPr="00C14A7E" w14:paraId="0FFDD8DB" w14:textId="77777777" w:rsidTr="009629C7">
        <w:trPr>
          <w:cantSplit/>
        </w:trPr>
        <w:tc>
          <w:tcPr>
            <w:tcW w:w="3600" w:type="dxa"/>
            <w:tcBorders>
              <w:top w:val="single" w:sz="6" w:space="0" w:color="auto"/>
              <w:bottom w:val="single" w:sz="6" w:space="0" w:color="auto"/>
            </w:tcBorders>
            <w:shd w:val="clear" w:color="auto" w:fill="386294"/>
            <w:vAlign w:val="center"/>
          </w:tcPr>
          <w:p w14:paraId="7A1EA5A0" w14:textId="1C41C8E7" w:rsidR="00802833" w:rsidRPr="009629C7" w:rsidRDefault="00802833" w:rsidP="00802833">
            <w:pPr>
              <w:jc w:val="center"/>
              <w:rPr>
                <w:rFonts w:ascii="Cambria" w:hAnsi="Cambria"/>
                <w:bCs/>
                <w:i/>
                <w:iCs/>
                <w:color w:val="FFFFFF" w:themeColor="background1"/>
                <w:sz w:val="19"/>
                <w:szCs w:val="19"/>
                <w:lang w:val="es-ES"/>
              </w:rPr>
            </w:pPr>
            <w:proofErr w:type="spellStart"/>
            <w:r w:rsidRPr="009629C7">
              <w:rPr>
                <w:rFonts w:ascii="Cambria" w:hAnsi="Cambria"/>
                <w:bCs/>
                <w:i/>
                <w:iCs/>
                <w:color w:val="FFFFFF" w:themeColor="background1"/>
                <w:sz w:val="19"/>
                <w:szCs w:val="19"/>
                <w:lang w:val="es-ES"/>
              </w:rPr>
              <w:t>Ratione</w:t>
            </w:r>
            <w:proofErr w:type="spellEnd"/>
            <w:r w:rsidRPr="009629C7">
              <w:rPr>
                <w:rFonts w:ascii="Cambria" w:hAnsi="Cambria"/>
                <w:bCs/>
                <w:i/>
                <w:iCs/>
                <w:color w:val="FFFFFF" w:themeColor="background1"/>
                <w:sz w:val="19"/>
                <w:szCs w:val="19"/>
                <w:lang w:val="es-ES"/>
              </w:rPr>
              <w:t xml:space="preserve"> </w:t>
            </w:r>
            <w:proofErr w:type="spellStart"/>
            <w:r w:rsidRPr="009629C7">
              <w:rPr>
                <w:rFonts w:ascii="Cambria" w:hAnsi="Cambria"/>
                <w:bCs/>
                <w:i/>
                <w:iCs/>
                <w:color w:val="FFFFFF" w:themeColor="background1"/>
                <w:sz w:val="19"/>
                <w:szCs w:val="19"/>
                <w:lang w:val="es-ES"/>
              </w:rPr>
              <w:t>materiae</w:t>
            </w:r>
            <w:proofErr w:type="spellEnd"/>
          </w:p>
        </w:tc>
        <w:tc>
          <w:tcPr>
            <w:tcW w:w="5760" w:type="dxa"/>
            <w:vAlign w:val="center"/>
          </w:tcPr>
          <w:p w14:paraId="3EE84FF7" w14:textId="4B40A3A2" w:rsidR="00802833" w:rsidRPr="006D6366" w:rsidRDefault="006D6366" w:rsidP="00802833">
            <w:pPr>
              <w:jc w:val="both"/>
              <w:rPr>
                <w:rFonts w:ascii="Cambria" w:hAnsi="Cambria"/>
                <w:bCs/>
                <w:sz w:val="20"/>
                <w:szCs w:val="20"/>
                <w:lang w:val="es-ES"/>
              </w:rPr>
            </w:pPr>
            <w:r w:rsidRPr="006D6366">
              <w:rPr>
                <w:rFonts w:asciiTheme="majorHAnsi" w:hAnsiTheme="majorHAnsi"/>
                <w:bCs/>
                <w:sz w:val="20"/>
                <w:szCs w:val="20"/>
                <w:lang w:val="es-ES"/>
              </w:rPr>
              <w:t xml:space="preserve">Sí, Declaración Americana (ratificación de </w:t>
            </w:r>
            <w:r>
              <w:rPr>
                <w:rFonts w:asciiTheme="majorHAnsi" w:hAnsiTheme="majorHAnsi"/>
                <w:bCs/>
                <w:sz w:val="20"/>
                <w:szCs w:val="20"/>
                <w:lang w:val="es-ES"/>
              </w:rPr>
              <w:t>la Carta de la OEA realizada el 19 de junio de 1951)</w:t>
            </w:r>
          </w:p>
        </w:tc>
      </w:tr>
    </w:tbl>
    <w:p w14:paraId="1874F492" w14:textId="7424B831"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802833">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 RECURSOS INTERNOS Y PLAZO DE PRESENTACIÓN</w:t>
      </w:r>
    </w:p>
    <w:tbl>
      <w:tblPr>
        <w:tblStyle w:val="TableGrid"/>
        <w:tblW w:w="9360" w:type="dxa"/>
        <w:tblInd w:w="108" w:type="dxa"/>
        <w:tblLook w:val="04A0" w:firstRow="1" w:lastRow="0" w:firstColumn="1" w:lastColumn="0" w:noHBand="0" w:noVBand="1"/>
      </w:tblPr>
      <w:tblGrid>
        <w:gridCol w:w="3600"/>
        <w:gridCol w:w="5760"/>
      </w:tblGrid>
      <w:tr w:rsidR="00802833" w:rsidRPr="008D23DE" w14:paraId="3BE0CDDD" w14:textId="77777777" w:rsidTr="0045247F">
        <w:trPr>
          <w:cantSplit/>
        </w:trPr>
        <w:tc>
          <w:tcPr>
            <w:tcW w:w="3600" w:type="dxa"/>
            <w:shd w:val="clear" w:color="auto" w:fill="386294"/>
            <w:vAlign w:val="center"/>
          </w:tcPr>
          <w:p w14:paraId="1D139C97" w14:textId="77777777" w:rsid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Duplicación y cosa juzgada </w:t>
            </w:r>
          </w:p>
          <w:p w14:paraId="59D7428E" w14:textId="7C031398"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internacional</w:t>
            </w:r>
          </w:p>
        </w:tc>
        <w:tc>
          <w:tcPr>
            <w:tcW w:w="5760" w:type="dxa"/>
            <w:vAlign w:val="center"/>
          </w:tcPr>
          <w:p w14:paraId="44ABEC84" w14:textId="647B1E7B" w:rsidR="00802833" w:rsidRPr="00EE00E9" w:rsidRDefault="006D6366" w:rsidP="00802833">
            <w:pPr>
              <w:jc w:val="both"/>
              <w:rPr>
                <w:rFonts w:ascii="Cambria" w:hAnsi="Cambria"/>
                <w:bCs/>
                <w:sz w:val="20"/>
                <w:szCs w:val="20"/>
                <w:lang w:val="es-ES"/>
              </w:rPr>
            </w:pPr>
            <w:r>
              <w:rPr>
                <w:rFonts w:ascii="Cambria" w:hAnsi="Cambria"/>
                <w:bCs/>
                <w:sz w:val="20"/>
                <w:szCs w:val="20"/>
                <w:lang w:val="es-ES"/>
              </w:rPr>
              <w:t>No</w:t>
            </w:r>
          </w:p>
        </w:tc>
      </w:tr>
      <w:tr w:rsidR="00802833" w:rsidRPr="00C14A7E" w14:paraId="6A5B3CAB" w14:textId="77777777" w:rsidTr="0045247F">
        <w:trPr>
          <w:cantSplit/>
        </w:trPr>
        <w:tc>
          <w:tcPr>
            <w:tcW w:w="3600" w:type="dxa"/>
            <w:shd w:val="clear" w:color="auto" w:fill="386294"/>
            <w:vAlign w:val="center"/>
          </w:tcPr>
          <w:p w14:paraId="3A46715A" w14:textId="66C52666"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Derechos admi</w:t>
            </w:r>
            <w:r w:rsidR="009629C7">
              <w:rPr>
                <w:rFonts w:ascii="Cambria" w:hAnsi="Cambria"/>
                <w:bCs/>
                <w:color w:val="FFFFFF" w:themeColor="background1"/>
                <w:sz w:val="19"/>
                <w:szCs w:val="19"/>
                <w:lang w:val="es-ES"/>
              </w:rPr>
              <w:t>tido</w:t>
            </w:r>
            <w:r w:rsidRPr="009629C7">
              <w:rPr>
                <w:rFonts w:ascii="Cambria" w:hAnsi="Cambria"/>
                <w:bCs/>
                <w:color w:val="FFFFFF" w:themeColor="background1"/>
                <w:sz w:val="19"/>
                <w:szCs w:val="19"/>
                <w:lang w:val="es-ES"/>
              </w:rPr>
              <w:t>s</w:t>
            </w:r>
          </w:p>
        </w:tc>
        <w:tc>
          <w:tcPr>
            <w:tcW w:w="5760" w:type="dxa"/>
            <w:vAlign w:val="center"/>
          </w:tcPr>
          <w:p w14:paraId="3A3B0562" w14:textId="331F8E23" w:rsidR="00802833" w:rsidRPr="00F55B4E" w:rsidRDefault="00FD767D" w:rsidP="00802833">
            <w:pPr>
              <w:jc w:val="both"/>
              <w:rPr>
                <w:rFonts w:ascii="Cambria" w:hAnsi="Cambria"/>
                <w:bCs/>
                <w:sz w:val="20"/>
                <w:szCs w:val="20"/>
                <w:lang w:val="es-PA"/>
              </w:rPr>
            </w:pPr>
            <w:r>
              <w:rPr>
                <w:rFonts w:ascii="Cambria" w:hAnsi="Cambria"/>
                <w:bCs/>
                <w:sz w:val="20"/>
                <w:szCs w:val="20"/>
                <w:lang w:val="es-PA"/>
              </w:rPr>
              <w:t>Artículos I (vida, libertad, seguridad e integridad), XVIII (justicia), XXV (protección contra la detención arbitraria), XXVI (proceso regular) y XXVII (asilo) de la Declaración Americana</w:t>
            </w:r>
          </w:p>
        </w:tc>
      </w:tr>
      <w:tr w:rsidR="00802833" w:rsidRPr="00C14A7E" w14:paraId="6898F859" w14:textId="77777777" w:rsidTr="0045247F">
        <w:trPr>
          <w:cantSplit/>
        </w:trPr>
        <w:tc>
          <w:tcPr>
            <w:tcW w:w="3600" w:type="dxa"/>
            <w:shd w:val="clear" w:color="auto" w:fill="386294"/>
            <w:vAlign w:val="center"/>
          </w:tcPr>
          <w:p w14:paraId="05A42EA0" w14:textId="77777777" w:rsid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Agotamiento de recursos </w:t>
            </w:r>
          </w:p>
          <w:p w14:paraId="493361D5" w14:textId="24B317C9"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o procedencia de una excepció</w:t>
            </w:r>
            <w:r w:rsidR="009629C7">
              <w:rPr>
                <w:rFonts w:ascii="Cambria" w:hAnsi="Cambria"/>
                <w:bCs/>
                <w:color w:val="FFFFFF" w:themeColor="background1"/>
                <w:sz w:val="19"/>
                <w:szCs w:val="19"/>
                <w:lang w:val="es-ES"/>
              </w:rPr>
              <w:t>n</w:t>
            </w:r>
          </w:p>
        </w:tc>
        <w:tc>
          <w:tcPr>
            <w:tcW w:w="5760" w:type="dxa"/>
            <w:vAlign w:val="center"/>
          </w:tcPr>
          <w:p w14:paraId="113A2A31" w14:textId="6A8E32F1" w:rsidR="00802833" w:rsidRPr="00EE00E9" w:rsidRDefault="00FD767D" w:rsidP="00802833">
            <w:pPr>
              <w:rPr>
                <w:rFonts w:ascii="Cambria" w:hAnsi="Cambria"/>
                <w:bCs/>
                <w:sz w:val="20"/>
                <w:szCs w:val="20"/>
                <w:lang w:val="es-ES"/>
              </w:rPr>
            </w:pPr>
            <w:r>
              <w:rPr>
                <w:rFonts w:ascii="Cambria" w:hAnsi="Cambria"/>
                <w:bCs/>
                <w:sz w:val="20"/>
                <w:szCs w:val="20"/>
                <w:lang w:val="es-ES"/>
              </w:rPr>
              <w:t>Sí, en los términos de la sección VI</w:t>
            </w:r>
          </w:p>
        </w:tc>
      </w:tr>
      <w:tr w:rsidR="00802833" w:rsidRPr="00C14A7E" w14:paraId="01019AF2" w14:textId="77777777" w:rsidTr="0045247F">
        <w:trPr>
          <w:cantSplit/>
        </w:trPr>
        <w:tc>
          <w:tcPr>
            <w:tcW w:w="3600" w:type="dxa"/>
            <w:shd w:val="clear" w:color="auto" w:fill="386294"/>
            <w:vAlign w:val="center"/>
          </w:tcPr>
          <w:p w14:paraId="4F7C54D5" w14:textId="5661FE5F"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Presentación dentro de plazo</w:t>
            </w:r>
          </w:p>
        </w:tc>
        <w:tc>
          <w:tcPr>
            <w:tcW w:w="5760" w:type="dxa"/>
            <w:vAlign w:val="center"/>
          </w:tcPr>
          <w:p w14:paraId="3818F531" w14:textId="6255502E" w:rsidR="00802833" w:rsidRPr="00F55B4E" w:rsidRDefault="00FD767D" w:rsidP="00802833">
            <w:pPr>
              <w:rPr>
                <w:bCs/>
                <w:sz w:val="20"/>
                <w:szCs w:val="20"/>
                <w:lang w:val="es-PA"/>
              </w:rPr>
            </w:pPr>
            <w:r>
              <w:rPr>
                <w:rFonts w:ascii="Cambria" w:hAnsi="Cambria"/>
                <w:bCs/>
                <w:sz w:val="20"/>
                <w:szCs w:val="20"/>
                <w:lang w:val="es-ES"/>
              </w:rPr>
              <w:t>Sí, en los términos de la sección VI</w:t>
            </w:r>
          </w:p>
        </w:tc>
      </w:tr>
    </w:tbl>
    <w:p w14:paraId="73568634" w14:textId="22B9B963" w:rsidR="004B6194" w:rsidRPr="00124EDE" w:rsidRDefault="00223A29" w:rsidP="00124EDE">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CE2A41">
        <w:rPr>
          <w:rFonts w:asciiTheme="majorHAnsi" w:hAnsiTheme="majorHAnsi"/>
          <w:b/>
          <w:sz w:val="20"/>
          <w:szCs w:val="20"/>
          <w:lang w:val="es-UY"/>
        </w:rPr>
        <w:t xml:space="preserve">RESUMEN DE LOS </w:t>
      </w:r>
      <w:r w:rsidR="003239B8">
        <w:rPr>
          <w:rFonts w:asciiTheme="majorHAnsi" w:hAnsiTheme="majorHAnsi"/>
          <w:b/>
          <w:sz w:val="20"/>
          <w:szCs w:val="20"/>
          <w:lang w:val="es-UY"/>
        </w:rPr>
        <w:t xml:space="preserve">HECHOS ALEGADOS </w:t>
      </w:r>
    </w:p>
    <w:p w14:paraId="59676B4E" w14:textId="11CBBC36"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r w:rsidRPr="00124EDE">
        <w:rPr>
          <w:rFonts w:asciiTheme="majorHAnsi" w:eastAsia="Times New Roman" w:hAnsiTheme="majorHAnsi"/>
          <w:sz w:val="20"/>
          <w:szCs w:val="20"/>
          <w:lang w:val="es"/>
        </w:rPr>
        <w:t xml:space="preserve">Los peticionarios alegan que </w:t>
      </w:r>
      <w:r w:rsidR="003F3E62" w:rsidRPr="00124EDE">
        <w:rPr>
          <w:rFonts w:asciiTheme="majorHAnsi" w:eastAsia="Times New Roman" w:hAnsiTheme="majorHAnsi"/>
          <w:sz w:val="20"/>
          <w:szCs w:val="20"/>
          <w:lang w:val="es"/>
        </w:rPr>
        <w:t>tras</w:t>
      </w:r>
      <w:r w:rsidRPr="00124EDE">
        <w:rPr>
          <w:rFonts w:asciiTheme="majorHAnsi" w:eastAsia="Times New Roman" w:hAnsiTheme="majorHAnsi"/>
          <w:sz w:val="20"/>
          <w:szCs w:val="20"/>
          <w:lang w:val="es"/>
        </w:rPr>
        <w:t xml:space="preserve"> los atentados terroristas del 11-S en Estados Unidos, este puso en marcha una red de cárceles secretas alrededor del mundo que eran operadas de forma encubierta por la Agencia Central de Inteligencia (CIA). Señalan que EUA </w:t>
      </w:r>
      <w:r w:rsidR="00EE611E" w:rsidRPr="00124EDE">
        <w:rPr>
          <w:rFonts w:asciiTheme="majorHAnsi" w:eastAsia="Times New Roman" w:hAnsiTheme="majorHAnsi"/>
          <w:sz w:val="20"/>
          <w:szCs w:val="20"/>
          <w:lang w:val="es"/>
        </w:rPr>
        <w:t>operó</w:t>
      </w:r>
      <w:r w:rsidRPr="00124EDE">
        <w:rPr>
          <w:rFonts w:asciiTheme="majorHAnsi" w:eastAsia="Times New Roman" w:hAnsiTheme="majorHAnsi"/>
          <w:sz w:val="20"/>
          <w:szCs w:val="20"/>
          <w:lang w:val="es"/>
        </w:rPr>
        <w:t xml:space="preserve"> en conjunto con otros países y perpetró la desaparición forzada de las presuntas víctimas al secuestrarlas, trasladarlas y torturarlas por ser sospechosas de terrorismo. Los peticionarios sostienen que, como parte de un “programa de extradiciones”, la CIA utilizó aeronaves operadas por sus respectivos dueños, compañías privadas con </w:t>
      </w:r>
      <w:r w:rsidR="00EE611E" w:rsidRPr="00124EDE">
        <w:rPr>
          <w:rFonts w:asciiTheme="majorHAnsi" w:eastAsia="Times New Roman" w:hAnsiTheme="majorHAnsi"/>
          <w:sz w:val="20"/>
          <w:szCs w:val="20"/>
          <w:lang w:val="es"/>
        </w:rPr>
        <w:t>sede</w:t>
      </w:r>
      <w:r w:rsidRPr="00124EDE">
        <w:rPr>
          <w:rFonts w:asciiTheme="majorHAnsi" w:eastAsia="Times New Roman" w:hAnsiTheme="majorHAnsi"/>
          <w:sz w:val="20"/>
          <w:szCs w:val="20"/>
          <w:lang w:val="es"/>
        </w:rPr>
        <w:t xml:space="preserve"> en dicho país, para detener y </w:t>
      </w:r>
      <w:r w:rsidRPr="00124EDE">
        <w:rPr>
          <w:rFonts w:asciiTheme="majorHAnsi" w:eastAsia="Times New Roman" w:hAnsiTheme="majorHAnsi"/>
          <w:sz w:val="20"/>
          <w:szCs w:val="20"/>
          <w:lang w:val="es"/>
        </w:rPr>
        <w:lastRenderedPageBreak/>
        <w:t xml:space="preserve">trasladar personas que el gobierno de EUA consideraba sospechosas de vínculos con el terrorismo, hacia centros de detención secretos conocidos como “sitios negros”. Los agentes estadounidenses y sus aliados en esos “sitios negros” luego torturaban a los sospechosos de terrorismo. Los peticionarios alegan, además, que Estados Unidos no actuó con “debida diligencia” para evitar violaciones similares pues no </w:t>
      </w:r>
      <w:r w:rsidR="00950AEB" w:rsidRPr="00124EDE">
        <w:rPr>
          <w:rFonts w:asciiTheme="majorHAnsi" w:eastAsia="Times New Roman" w:hAnsiTheme="majorHAnsi"/>
          <w:sz w:val="20"/>
          <w:szCs w:val="20"/>
          <w:lang w:val="es"/>
        </w:rPr>
        <w:t>hizo una investigación</w:t>
      </w:r>
      <w:r w:rsidRPr="00124EDE">
        <w:rPr>
          <w:rFonts w:asciiTheme="majorHAnsi" w:eastAsia="Times New Roman" w:hAnsiTheme="majorHAnsi"/>
          <w:sz w:val="20"/>
          <w:szCs w:val="20"/>
          <w:lang w:val="es"/>
        </w:rPr>
        <w:t xml:space="preserve"> adecuada.</w:t>
      </w:r>
    </w:p>
    <w:p w14:paraId="6F8C7742"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Times New Roman" w:hAnsiTheme="majorHAnsi"/>
          <w:sz w:val="20"/>
          <w:szCs w:val="20"/>
          <w:lang w:val="es-ES"/>
        </w:rPr>
      </w:pPr>
    </w:p>
    <w:p w14:paraId="7AC81CB4" w14:textId="41B629D0"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r w:rsidRPr="00124EDE">
        <w:rPr>
          <w:rFonts w:asciiTheme="majorHAnsi" w:eastAsia="Times New Roman" w:hAnsiTheme="majorHAnsi"/>
          <w:sz w:val="20"/>
          <w:szCs w:val="20"/>
          <w:lang w:val="es"/>
        </w:rPr>
        <w:t xml:space="preserve">Esta petición fue presentada en representación de </w:t>
      </w:r>
      <w:proofErr w:type="spellStart"/>
      <w:r w:rsidRPr="00124EDE">
        <w:rPr>
          <w:rFonts w:asciiTheme="majorHAnsi" w:eastAsia="Times New Roman" w:hAnsiTheme="majorHAnsi"/>
          <w:sz w:val="20"/>
          <w:szCs w:val="20"/>
          <w:lang w:val="es"/>
        </w:rPr>
        <w:t>Binyam</w:t>
      </w:r>
      <w:proofErr w:type="spellEnd"/>
      <w:r w:rsidRPr="00124EDE">
        <w:rPr>
          <w:rFonts w:asciiTheme="majorHAnsi" w:eastAsia="Times New Roman" w:hAnsiTheme="majorHAnsi"/>
          <w:sz w:val="20"/>
          <w:szCs w:val="20"/>
          <w:lang w:val="es"/>
        </w:rPr>
        <w:t xml:space="preserve"> Mohamed, </w:t>
      </w:r>
      <w:proofErr w:type="spellStart"/>
      <w:r w:rsidRPr="00124EDE">
        <w:rPr>
          <w:rFonts w:asciiTheme="majorHAnsi" w:eastAsia="Times New Roman" w:hAnsiTheme="majorHAnsi"/>
          <w:sz w:val="20"/>
          <w:szCs w:val="20"/>
          <w:lang w:val="es"/>
        </w:rPr>
        <w:t>Abou</w:t>
      </w:r>
      <w:proofErr w:type="spellEnd"/>
      <w:r w:rsidRPr="00124EDE">
        <w:rPr>
          <w:rFonts w:asciiTheme="majorHAnsi" w:eastAsia="Times New Roman" w:hAnsiTheme="majorHAnsi"/>
          <w:sz w:val="20"/>
          <w:szCs w:val="20"/>
          <w:lang w:val="es"/>
        </w:rPr>
        <w:t xml:space="preserve"> </w:t>
      </w:r>
      <w:proofErr w:type="spellStart"/>
      <w:r w:rsidRPr="00124EDE">
        <w:rPr>
          <w:rFonts w:asciiTheme="majorHAnsi" w:eastAsia="Times New Roman" w:hAnsiTheme="majorHAnsi"/>
          <w:sz w:val="20"/>
          <w:szCs w:val="20"/>
          <w:lang w:val="es"/>
        </w:rPr>
        <w:t>Elkassim</w:t>
      </w:r>
      <w:proofErr w:type="spellEnd"/>
      <w:r w:rsidRPr="00124EDE">
        <w:rPr>
          <w:rFonts w:asciiTheme="majorHAnsi" w:eastAsia="Times New Roman" w:hAnsiTheme="majorHAnsi"/>
          <w:sz w:val="20"/>
          <w:szCs w:val="20"/>
          <w:lang w:val="es"/>
        </w:rPr>
        <w:t xml:space="preserve"> </w:t>
      </w:r>
      <w:proofErr w:type="spellStart"/>
      <w:r w:rsidRPr="00124EDE">
        <w:rPr>
          <w:rFonts w:asciiTheme="majorHAnsi" w:eastAsia="Times New Roman" w:hAnsiTheme="majorHAnsi"/>
          <w:sz w:val="20"/>
          <w:szCs w:val="20"/>
          <w:lang w:val="es"/>
        </w:rPr>
        <w:t>Britel</w:t>
      </w:r>
      <w:proofErr w:type="spellEnd"/>
      <w:r w:rsidRPr="00124EDE">
        <w:rPr>
          <w:rFonts w:asciiTheme="majorHAnsi" w:eastAsia="Times New Roman" w:hAnsiTheme="majorHAnsi"/>
          <w:sz w:val="20"/>
          <w:szCs w:val="20"/>
          <w:lang w:val="es"/>
        </w:rPr>
        <w:t xml:space="preserve">, Mohamed </w:t>
      </w:r>
      <w:proofErr w:type="spellStart"/>
      <w:r w:rsidRPr="00124EDE">
        <w:rPr>
          <w:rFonts w:asciiTheme="majorHAnsi" w:eastAsia="Times New Roman" w:hAnsiTheme="majorHAnsi"/>
          <w:sz w:val="20"/>
          <w:szCs w:val="20"/>
          <w:lang w:val="es"/>
        </w:rPr>
        <w:t>Farag</w:t>
      </w:r>
      <w:proofErr w:type="spellEnd"/>
      <w:r w:rsidRPr="00124EDE">
        <w:rPr>
          <w:rFonts w:asciiTheme="majorHAnsi" w:eastAsia="Times New Roman" w:hAnsiTheme="majorHAnsi"/>
          <w:sz w:val="20"/>
          <w:szCs w:val="20"/>
          <w:lang w:val="es"/>
        </w:rPr>
        <w:t xml:space="preserve"> Ahmad </w:t>
      </w:r>
      <w:proofErr w:type="spellStart"/>
      <w:r w:rsidRPr="00124EDE">
        <w:rPr>
          <w:rFonts w:asciiTheme="majorHAnsi" w:eastAsia="Times New Roman" w:hAnsiTheme="majorHAnsi"/>
          <w:sz w:val="20"/>
          <w:szCs w:val="20"/>
          <w:lang w:val="es"/>
        </w:rPr>
        <w:t>Bashmilah</w:t>
      </w:r>
      <w:proofErr w:type="spellEnd"/>
      <w:r w:rsidRPr="00124EDE">
        <w:rPr>
          <w:rFonts w:asciiTheme="majorHAnsi" w:eastAsia="Times New Roman" w:hAnsiTheme="majorHAnsi"/>
          <w:sz w:val="20"/>
          <w:szCs w:val="20"/>
          <w:lang w:val="es"/>
        </w:rPr>
        <w:t xml:space="preserve"> y </w:t>
      </w:r>
      <w:proofErr w:type="spellStart"/>
      <w:r w:rsidRPr="00124EDE">
        <w:rPr>
          <w:rFonts w:asciiTheme="majorHAnsi" w:eastAsia="Times New Roman" w:hAnsiTheme="majorHAnsi"/>
          <w:sz w:val="20"/>
          <w:szCs w:val="20"/>
          <w:lang w:val="es"/>
        </w:rPr>
        <w:t>Bisher</w:t>
      </w:r>
      <w:proofErr w:type="spellEnd"/>
      <w:r w:rsidRPr="00124EDE">
        <w:rPr>
          <w:rFonts w:asciiTheme="majorHAnsi" w:eastAsia="Times New Roman" w:hAnsiTheme="majorHAnsi"/>
          <w:sz w:val="20"/>
          <w:szCs w:val="20"/>
          <w:lang w:val="es"/>
        </w:rPr>
        <w:t xml:space="preserve"> al-</w:t>
      </w:r>
      <w:proofErr w:type="spellStart"/>
      <w:r w:rsidRPr="00124EDE">
        <w:rPr>
          <w:rFonts w:asciiTheme="majorHAnsi" w:eastAsia="Times New Roman" w:hAnsiTheme="majorHAnsi"/>
          <w:sz w:val="20"/>
          <w:szCs w:val="20"/>
          <w:lang w:val="es"/>
        </w:rPr>
        <w:t>Rawi</w:t>
      </w:r>
      <w:proofErr w:type="spellEnd"/>
      <w:r w:rsidRPr="00124EDE">
        <w:rPr>
          <w:rFonts w:asciiTheme="majorHAnsi" w:eastAsia="Times New Roman" w:hAnsiTheme="majorHAnsi"/>
          <w:sz w:val="20"/>
          <w:szCs w:val="20"/>
          <w:lang w:val="es"/>
        </w:rPr>
        <w:t xml:space="preserve"> (en adelante “las presuntas víctimas”). Se alega que cada una de </w:t>
      </w:r>
      <w:r w:rsidR="00287C13" w:rsidRPr="00124EDE">
        <w:rPr>
          <w:rFonts w:asciiTheme="majorHAnsi" w:eastAsia="Times New Roman" w:hAnsiTheme="majorHAnsi"/>
          <w:sz w:val="20"/>
          <w:szCs w:val="20"/>
          <w:lang w:val="es"/>
        </w:rPr>
        <w:t>ellas</w:t>
      </w:r>
      <w:r w:rsidRPr="00124EDE">
        <w:rPr>
          <w:rFonts w:asciiTheme="majorHAnsi" w:eastAsia="Times New Roman" w:hAnsiTheme="majorHAnsi"/>
          <w:sz w:val="20"/>
          <w:szCs w:val="20"/>
          <w:lang w:val="es"/>
        </w:rPr>
        <w:t xml:space="preserve"> fue enfrentad</w:t>
      </w:r>
      <w:r w:rsidR="003F3E62" w:rsidRPr="00124EDE">
        <w:rPr>
          <w:rFonts w:asciiTheme="majorHAnsi" w:eastAsia="Times New Roman" w:hAnsiTheme="majorHAnsi"/>
          <w:sz w:val="20"/>
          <w:szCs w:val="20"/>
          <w:lang w:val="es"/>
        </w:rPr>
        <w:t>a</w:t>
      </w:r>
      <w:r w:rsidRPr="00124EDE">
        <w:rPr>
          <w:rFonts w:asciiTheme="majorHAnsi" w:eastAsia="Times New Roman" w:hAnsiTheme="majorHAnsi"/>
          <w:sz w:val="20"/>
          <w:szCs w:val="20"/>
          <w:lang w:val="es"/>
        </w:rPr>
        <w:t xml:space="preserve"> por agentes estadounidenses encapuchados, quienes las golpearon, las desnudaron por la fuerza cortándoles la ropa, las fotografiaron desnudas, las vistieron con pañales, las esposaron, las subieron con violencia a una aeronave y las obligaron a permanecer inmóviles en posturas dolorosas durante todo el viaje hacia varios “sitios negros”. Algunas de las presuntas víctimas también denuncian haber sido drogadas por la fuerza vía supositorios anales. Todas las presuntas víctimas aducen haber tenido prohibido hablar o moverse y que, ante cualquier intento de hacerlo, eran sometidas a mayor abuso físico.</w:t>
      </w:r>
    </w:p>
    <w:p w14:paraId="6A021DCC" w14:textId="77777777" w:rsidR="004B6194" w:rsidRPr="00124EDE" w:rsidRDefault="004B6194" w:rsidP="004B6194">
      <w:pPr>
        <w:pStyle w:val="ListParagraph"/>
        <w:rPr>
          <w:rFonts w:asciiTheme="majorHAnsi" w:eastAsia="Times New Roman" w:hAnsiTheme="majorHAnsi"/>
          <w:sz w:val="20"/>
          <w:szCs w:val="20"/>
          <w:lang w:val="es-ES"/>
        </w:rPr>
      </w:pPr>
    </w:p>
    <w:p w14:paraId="6E3E176A" w14:textId="0E7CBA4F" w:rsidR="004B6194" w:rsidRPr="00124EDE" w:rsidRDefault="004B6194" w:rsidP="006A6FB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r w:rsidRPr="00124EDE">
        <w:rPr>
          <w:rFonts w:asciiTheme="majorHAnsi" w:eastAsia="Times New Roman" w:hAnsiTheme="majorHAnsi"/>
          <w:sz w:val="20"/>
          <w:szCs w:val="20"/>
          <w:lang w:val="es"/>
        </w:rPr>
        <w:t>Los peticionarios alegan que las torturas y abusos severos que EUA infligió en las presuntas víctimas fueron parte de un programa antiterrorista de gran alcance que contó con el aval del Estado. Asimismo</w:t>
      </w:r>
      <w:r w:rsidR="003F3E62" w:rsidRPr="00124EDE">
        <w:rPr>
          <w:rFonts w:asciiTheme="majorHAnsi" w:eastAsia="Times New Roman" w:hAnsiTheme="majorHAnsi"/>
          <w:sz w:val="20"/>
          <w:szCs w:val="20"/>
          <w:lang w:val="es"/>
        </w:rPr>
        <w:t>,</w:t>
      </w:r>
      <w:r w:rsidRPr="00124EDE">
        <w:rPr>
          <w:rFonts w:asciiTheme="majorHAnsi" w:eastAsia="Times New Roman" w:hAnsiTheme="majorHAnsi"/>
          <w:sz w:val="20"/>
          <w:szCs w:val="20"/>
          <w:lang w:val="es"/>
        </w:rPr>
        <w:t xml:space="preserve"> aducen que el Estado reconoció públicamente su participación en el programa de detención</w:t>
      </w:r>
      <w:r w:rsidR="00834240" w:rsidRPr="00124EDE">
        <w:rPr>
          <w:rFonts w:asciiTheme="majorHAnsi" w:eastAsia="Times New Roman" w:hAnsiTheme="majorHAnsi"/>
          <w:sz w:val="20"/>
          <w:szCs w:val="20"/>
          <w:lang w:val="es"/>
        </w:rPr>
        <w:t xml:space="preserve"> secreta</w:t>
      </w:r>
      <w:r w:rsidRPr="00124EDE">
        <w:rPr>
          <w:rFonts w:asciiTheme="majorHAnsi" w:eastAsia="Times New Roman" w:hAnsiTheme="majorHAnsi"/>
          <w:sz w:val="20"/>
          <w:szCs w:val="20"/>
          <w:lang w:val="es"/>
        </w:rPr>
        <w:t xml:space="preserve"> de sospechosos de terrorismo. Alegan, además, que se publicaron varios memorandos ejecutivos del gobierno estadounidense donde se detalla la participación estatal en el abuso y tortura de los sospechosos de terrorismo. Los peticionarios también alegan que pese a la existencia de esta “prueba confiable” que </w:t>
      </w:r>
      <w:r w:rsidR="00834240" w:rsidRPr="00124EDE">
        <w:rPr>
          <w:rFonts w:asciiTheme="majorHAnsi" w:eastAsia="Times New Roman" w:hAnsiTheme="majorHAnsi"/>
          <w:sz w:val="20"/>
          <w:szCs w:val="20"/>
          <w:lang w:val="es"/>
        </w:rPr>
        <w:t>demuestra</w:t>
      </w:r>
      <w:r w:rsidRPr="00124EDE">
        <w:rPr>
          <w:rFonts w:asciiTheme="majorHAnsi" w:eastAsia="Times New Roman" w:hAnsiTheme="majorHAnsi"/>
          <w:sz w:val="20"/>
          <w:szCs w:val="20"/>
          <w:lang w:val="es"/>
        </w:rPr>
        <w:t xml:space="preserve"> la participación de EUA en la desaparición forzada y tortura de las presuntas víctimas, el Estado no ha cumplido con investigar est</w:t>
      </w:r>
      <w:r w:rsidR="00834240" w:rsidRPr="00124EDE">
        <w:rPr>
          <w:rFonts w:asciiTheme="majorHAnsi" w:eastAsia="Times New Roman" w:hAnsiTheme="majorHAnsi"/>
          <w:sz w:val="20"/>
          <w:szCs w:val="20"/>
          <w:lang w:val="es"/>
        </w:rPr>
        <w:t xml:space="preserve">as denuncias </w:t>
      </w:r>
      <w:r w:rsidRPr="00124EDE">
        <w:rPr>
          <w:rFonts w:asciiTheme="majorHAnsi" w:eastAsia="Times New Roman" w:hAnsiTheme="majorHAnsi"/>
          <w:sz w:val="20"/>
          <w:szCs w:val="20"/>
          <w:lang w:val="es"/>
        </w:rPr>
        <w:t>o responsabilizar a todos los que ordenaron y perpetraron dichos abusos.</w:t>
      </w:r>
    </w:p>
    <w:p w14:paraId="5F152475"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Times New Roman" w:hAnsiTheme="majorHAnsi"/>
          <w:b/>
          <w:sz w:val="20"/>
          <w:szCs w:val="20"/>
          <w:lang w:val="es-ES"/>
        </w:rPr>
      </w:pPr>
    </w:p>
    <w:p w14:paraId="49248C85" w14:textId="77777777" w:rsidR="004B6194" w:rsidRPr="00124EDE" w:rsidRDefault="004B6194" w:rsidP="006A6FB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b/>
          <w:sz w:val="20"/>
          <w:szCs w:val="20"/>
          <w:lang w:val="es-ES"/>
        </w:rPr>
      </w:pPr>
      <w:r w:rsidRPr="00124EDE">
        <w:rPr>
          <w:rFonts w:asciiTheme="majorHAnsi" w:eastAsia="Times New Roman" w:hAnsiTheme="majorHAnsi"/>
          <w:b/>
          <w:bCs/>
          <w:sz w:val="20"/>
          <w:szCs w:val="20"/>
          <w:lang w:val="es"/>
        </w:rPr>
        <w:t>Hechos alegados por los peticionarios sobre cada una de las presuntas víctimas</w:t>
      </w:r>
    </w:p>
    <w:p w14:paraId="1A2FB95D"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hAnsiTheme="majorHAnsi"/>
          <w:sz w:val="20"/>
          <w:szCs w:val="20"/>
          <w:lang w:val="es-ES"/>
        </w:rPr>
      </w:pPr>
    </w:p>
    <w:p w14:paraId="33E6DF9B"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Times New Roman" w:hAnsiTheme="majorHAnsi"/>
          <w:b/>
          <w:sz w:val="20"/>
          <w:szCs w:val="20"/>
        </w:rPr>
      </w:pPr>
      <w:proofErr w:type="spellStart"/>
      <w:r w:rsidRPr="00124EDE">
        <w:rPr>
          <w:rFonts w:asciiTheme="majorHAnsi" w:hAnsiTheme="majorHAnsi"/>
          <w:b/>
          <w:bCs/>
          <w:sz w:val="20"/>
          <w:szCs w:val="20"/>
          <w:lang w:val="es"/>
        </w:rPr>
        <w:t>Binyam</w:t>
      </w:r>
      <w:proofErr w:type="spellEnd"/>
      <w:r w:rsidRPr="00124EDE">
        <w:rPr>
          <w:rFonts w:asciiTheme="majorHAnsi" w:hAnsiTheme="majorHAnsi"/>
          <w:b/>
          <w:bCs/>
          <w:sz w:val="20"/>
          <w:szCs w:val="20"/>
          <w:lang w:val="es"/>
        </w:rPr>
        <w:t xml:space="preserve"> Mohamed</w:t>
      </w:r>
    </w:p>
    <w:p w14:paraId="3B1D0757"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63AF59C3" w14:textId="0F66C7F7"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proofErr w:type="spellStart"/>
      <w:r w:rsidRPr="00124EDE">
        <w:rPr>
          <w:rFonts w:asciiTheme="majorHAnsi" w:eastAsia="Times New Roman" w:hAnsiTheme="majorHAnsi"/>
          <w:sz w:val="20"/>
          <w:szCs w:val="20"/>
          <w:lang w:val="es"/>
        </w:rPr>
        <w:t>Binyam</w:t>
      </w:r>
      <w:proofErr w:type="spellEnd"/>
      <w:r w:rsidRPr="00124EDE">
        <w:rPr>
          <w:rFonts w:asciiTheme="majorHAnsi" w:eastAsia="Times New Roman" w:hAnsiTheme="majorHAnsi"/>
          <w:sz w:val="20"/>
          <w:szCs w:val="20"/>
          <w:lang w:val="es"/>
        </w:rPr>
        <w:t xml:space="preserve"> Mohamed, de ciudadanía británica, habría sido arrestado en Pakistán, por agentes paquistaníes, el 2 de abril de 2002 y entregado a agentes de la CIA, quienes a su vez lo interrogaron y le denegaron el acceso a un representante legal. Se alega </w:t>
      </w:r>
      <w:r w:rsidR="00834240" w:rsidRPr="00124EDE">
        <w:rPr>
          <w:rFonts w:asciiTheme="majorHAnsi" w:eastAsia="Times New Roman" w:hAnsiTheme="majorHAnsi"/>
          <w:sz w:val="20"/>
          <w:szCs w:val="20"/>
          <w:lang w:val="es"/>
        </w:rPr>
        <w:t>que cuando cumplió cuatro meses de prisión</w:t>
      </w:r>
      <w:r w:rsidRPr="00124EDE">
        <w:rPr>
          <w:rFonts w:asciiTheme="majorHAnsi" w:eastAsia="Times New Roman" w:hAnsiTheme="majorHAnsi"/>
          <w:sz w:val="20"/>
          <w:szCs w:val="20"/>
          <w:lang w:val="es"/>
        </w:rPr>
        <w:t xml:space="preserve"> en Pakistán, los agentes estadounidenses lo desnudaron, lo vistieron con ropa deportiva, le vendaron los ojos, le esposaron las manos y los pies, lo ataron al asiento de una aeronave y lo trasladaron a Marruecos.</w:t>
      </w:r>
    </w:p>
    <w:p w14:paraId="591380C7"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p>
    <w:p w14:paraId="5C40448F" w14:textId="0D4C8314"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r w:rsidRPr="00124EDE">
        <w:rPr>
          <w:rFonts w:asciiTheme="majorHAnsi" w:hAnsiTheme="majorHAnsi"/>
          <w:sz w:val="20"/>
          <w:szCs w:val="20"/>
          <w:lang w:val="es"/>
        </w:rPr>
        <w:t xml:space="preserve"> Los peticionarios aducen que durante los dieciocho meses siguientes los agentes de inteligencia marroquíes mantuvieron al señor Mohamed detenido en una prisión secreta, donde lo interroga</w:t>
      </w:r>
      <w:r w:rsidR="00A262D7" w:rsidRPr="00124EDE">
        <w:rPr>
          <w:rFonts w:asciiTheme="majorHAnsi" w:hAnsiTheme="majorHAnsi"/>
          <w:sz w:val="20"/>
          <w:szCs w:val="20"/>
          <w:lang w:val="es"/>
        </w:rPr>
        <w:t>ban</w:t>
      </w:r>
      <w:r w:rsidRPr="00124EDE">
        <w:rPr>
          <w:rFonts w:asciiTheme="majorHAnsi" w:hAnsiTheme="majorHAnsi"/>
          <w:sz w:val="20"/>
          <w:szCs w:val="20"/>
          <w:lang w:val="es"/>
        </w:rPr>
        <w:t xml:space="preserve"> y tortura</w:t>
      </w:r>
      <w:r w:rsidR="00A262D7" w:rsidRPr="00124EDE">
        <w:rPr>
          <w:rFonts w:asciiTheme="majorHAnsi" w:hAnsiTheme="majorHAnsi"/>
          <w:sz w:val="20"/>
          <w:szCs w:val="20"/>
          <w:lang w:val="es"/>
        </w:rPr>
        <w:t>ba</w:t>
      </w:r>
      <w:r w:rsidRPr="00124EDE">
        <w:rPr>
          <w:rFonts w:asciiTheme="majorHAnsi" w:hAnsiTheme="majorHAnsi"/>
          <w:sz w:val="20"/>
          <w:szCs w:val="20"/>
          <w:lang w:val="es"/>
        </w:rPr>
        <w:t xml:space="preserve">n. En particular, alegan que la presunta víctima </w:t>
      </w:r>
      <w:r w:rsidR="00E32EE7" w:rsidRPr="00124EDE">
        <w:rPr>
          <w:rFonts w:asciiTheme="majorHAnsi" w:hAnsiTheme="majorHAnsi"/>
          <w:sz w:val="20"/>
          <w:szCs w:val="20"/>
          <w:lang w:val="es"/>
        </w:rPr>
        <w:t>era</w:t>
      </w:r>
      <w:r w:rsidRPr="00124EDE">
        <w:rPr>
          <w:rFonts w:asciiTheme="majorHAnsi" w:hAnsiTheme="majorHAnsi"/>
          <w:sz w:val="20"/>
          <w:szCs w:val="20"/>
          <w:lang w:val="es"/>
        </w:rPr>
        <w:t xml:space="preserve"> sometida a golpizas </w:t>
      </w:r>
      <w:r w:rsidR="00E32EE7" w:rsidRPr="00124EDE">
        <w:rPr>
          <w:rFonts w:asciiTheme="majorHAnsi" w:hAnsiTheme="majorHAnsi"/>
          <w:sz w:val="20"/>
          <w:szCs w:val="20"/>
          <w:lang w:val="es"/>
        </w:rPr>
        <w:t xml:space="preserve">tan duras </w:t>
      </w:r>
      <w:r w:rsidRPr="00124EDE">
        <w:rPr>
          <w:rFonts w:asciiTheme="majorHAnsi" w:hAnsiTheme="majorHAnsi"/>
          <w:sz w:val="20"/>
          <w:szCs w:val="20"/>
          <w:lang w:val="es"/>
        </w:rPr>
        <w:t>que</w:t>
      </w:r>
      <w:r w:rsidR="00E32EE7" w:rsidRPr="00124EDE">
        <w:rPr>
          <w:rFonts w:asciiTheme="majorHAnsi" w:hAnsiTheme="majorHAnsi"/>
          <w:sz w:val="20"/>
          <w:szCs w:val="20"/>
          <w:lang w:val="es"/>
        </w:rPr>
        <w:t xml:space="preserve"> </w:t>
      </w:r>
      <w:r w:rsidRPr="00124EDE">
        <w:rPr>
          <w:rFonts w:asciiTheme="majorHAnsi" w:hAnsiTheme="majorHAnsi"/>
          <w:sz w:val="20"/>
          <w:szCs w:val="20"/>
          <w:lang w:val="es"/>
        </w:rPr>
        <w:t>le quebra</w:t>
      </w:r>
      <w:r w:rsidR="00E32EE7" w:rsidRPr="00124EDE">
        <w:rPr>
          <w:rFonts w:asciiTheme="majorHAnsi" w:hAnsiTheme="majorHAnsi"/>
          <w:sz w:val="20"/>
          <w:szCs w:val="20"/>
          <w:lang w:val="es"/>
        </w:rPr>
        <w:t>ro</w:t>
      </w:r>
      <w:r w:rsidRPr="00124EDE">
        <w:rPr>
          <w:rFonts w:asciiTheme="majorHAnsi" w:hAnsiTheme="majorHAnsi"/>
          <w:sz w:val="20"/>
          <w:szCs w:val="20"/>
          <w:lang w:val="es"/>
        </w:rPr>
        <w:t xml:space="preserve">n los huesos y tan severas que quedaba inconsciente. Indican que los interrogadores usaban un bisturí para hacer incisiones en el cuerpo del señor Mohamed, incluso en el pene, y que en sus heridas abiertas le derramaban un líquido caliente e irritante. Alegan que el señor Mohamed </w:t>
      </w:r>
      <w:r w:rsidR="00D61D17" w:rsidRPr="00124EDE">
        <w:rPr>
          <w:rFonts w:asciiTheme="majorHAnsi" w:hAnsiTheme="majorHAnsi"/>
          <w:sz w:val="20"/>
          <w:szCs w:val="20"/>
          <w:lang w:val="es"/>
        </w:rPr>
        <w:t>era</w:t>
      </w:r>
      <w:r w:rsidRPr="00124EDE">
        <w:rPr>
          <w:rFonts w:asciiTheme="majorHAnsi" w:hAnsiTheme="majorHAnsi"/>
          <w:sz w:val="20"/>
          <w:szCs w:val="20"/>
          <w:lang w:val="es"/>
        </w:rPr>
        <w:t xml:space="preserve"> amenazado de violación, electrocución y muerte. Aducen que </w:t>
      </w:r>
      <w:r w:rsidR="00D61D17" w:rsidRPr="00124EDE">
        <w:rPr>
          <w:rFonts w:asciiTheme="majorHAnsi" w:hAnsiTheme="majorHAnsi"/>
          <w:sz w:val="20"/>
          <w:szCs w:val="20"/>
          <w:lang w:val="es"/>
        </w:rPr>
        <w:t xml:space="preserve">los agentes esposaban </w:t>
      </w:r>
      <w:r w:rsidRPr="00124EDE">
        <w:rPr>
          <w:rFonts w:asciiTheme="majorHAnsi" w:hAnsiTheme="majorHAnsi"/>
          <w:sz w:val="20"/>
          <w:szCs w:val="20"/>
          <w:lang w:val="es"/>
        </w:rPr>
        <w:t>al señor Mohamed y le colocaban auriculares en los oídos para forzarlo a escuchar música a un volumen alto durante todo el día y la noche y que (algunas veces) lo privaban del sueño por periodos de cuarenta y ocho horas. También señalan que cuando el señor Mohamed se negaba a ingerir alimentos que él consideraba que tenían droga, los agentes lo conectaban, por la fuerza, a dos sondas intravenosas, lo que le provocaba síntomas de vómito dolorosos. Los peticionarios señalan que EUA es responsable por la tortura del señor Mohamed porque sus agentes lo entregaron a agentes de inteligencia marroquíes a sabiendas de que allí sería torturado.</w:t>
      </w:r>
    </w:p>
    <w:p w14:paraId="2892FBDD"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p>
    <w:p w14:paraId="29D525ED" w14:textId="72225052"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r w:rsidRPr="00124EDE">
        <w:rPr>
          <w:rFonts w:asciiTheme="majorHAnsi" w:hAnsiTheme="majorHAnsi"/>
          <w:sz w:val="20"/>
          <w:szCs w:val="20"/>
          <w:lang w:val="es"/>
        </w:rPr>
        <w:t>Según los peticionarios, en enero de 2004 los agentes de la CIA nuevamente desnudaron y esposaron al señor Mohamed y lo trasladaron vía aérea en secreto hasta un “sitio negro” estadounidense conocido como la “prisión oscura” en Afganistán. Allí, por órdenes de los agentes de inteligencia estadounidenses, este habría sido recluido en absoluta oscuridad por largos periodos, colgado de un poste en su celda, constantemente expuesto a música a un volumen alto y privado del sueño. Los peticionarios señalan que los agentes estadounidenses mant</w:t>
      </w:r>
      <w:r w:rsidR="00D61D17" w:rsidRPr="00124EDE">
        <w:rPr>
          <w:rFonts w:asciiTheme="majorHAnsi" w:hAnsiTheme="majorHAnsi"/>
          <w:sz w:val="20"/>
          <w:szCs w:val="20"/>
          <w:lang w:val="es"/>
        </w:rPr>
        <w:t>enían</w:t>
      </w:r>
      <w:r w:rsidRPr="00124EDE">
        <w:rPr>
          <w:rFonts w:asciiTheme="majorHAnsi" w:hAnsiTheme="majorHAnsi"/>
          <w:sz w:val="20"/>
          <w:szCs w:val="20"/>
          <w:lang w:val="es"/>
        </w:rPr>
        <w:t xml:space="preserve"> a la presunta víctima desnuda en celdas muy frías, le</w:t>
      </w:r>
      <w:r w:rsidR="00D61D17" w:rsidRPr="00124EDE">
        <w:rPr>
          <w:rFonts w:asciiTheme="majorHAnsi" w:hAnsiTheme="majorHAnsi"/>
          <w:sz w:val="20"/>
          <w:szCs w:val="20"/>
          <w:lang w:val="es"/>
        </w:rPr>
        <w:t xml:space="preserve"> </w:t>
      </w:r>
      <w:r w:rsidRPr="00124EDE">
        <w:rPr>
          <w:rFonts w:asciiTheme="majorHAnsi" w:hAnsiTheme="majorHAnsi"/>
          <w:sz w:val="20"/>
          <w:szCs w:val="20"/>
          <w:lang w:val="es"/>
        </w:rPr>
        <w:t>nega</w:t>
      </w:r>
      <w:r w:rsidR="00D61D17" w:rsidRPr="00124EDE">
        <w:rPr>
          <w:rFonts w:asciiTheme="majorHAnsi" w:hAnsiTheme="majorHAnsi"/>
          <w:sz w:val="20"/>
          <w:szCs w:val="20"/>
          <w:lang w:val="es"/>
        </w:rPr>
        <w:t>ba</w:t>
      </w:r>
      <w:r w:rsidRPr="00124EDE">
        <w:rPr>
          <w:rFonts w:asciiTheme="majorHAnsi" w:hAnsiTheme="majorHAnsi"/>
          <w:sz w:val="20"/>
          <w:szCs w:val="20"/>
          <w:lang w:val="es"/>
        </w:rPr>
        <w:t xml:space="preserve">n el acceso a los sanitarios y lo alimentaban con porciones tan escasas que perdió entre cuarenta y sesenta libras </w:t>
      </w:r>
      <w:r w:rsidRPr="00124EDE">
        <w:rPr>
          <w:rFonts w:asciiTheme="majorHAnsi" w:hAnsiTheme="majorHAnsi"/>
          <w:sz w:val="20"/>
          <w:szCs w:val="20"/>
          <w:lang w:val="es"/>
        </w:rPr>
        <w:lastRenderedPageBreak/>
        <w:t>en cuatro meses. Además, habría sido alojado en una celda con humedad y moho</w:t>
      </w:r>
      <w:r w:rsidR="00D61D17" w:rsidRPr="00124EDE">
        <w:rPr>
          <w:rFonts w:asciiTheme="majorHAnsi" w:hAnsiTheme="majorHAnsi"/>
          <w:sz w:val="20"/>
          <w:szCs w:val="20"/>
          <w:lang w:val="es"/>
        </w:rPr>
        <w:t>,</w:t>
      </w:r>
      <w:r w:rsidRPr="00124EDE">
        <w:rPr>
          <w:rFonts w:asciiTheme="majorHAnsi" w:hAnsiTheme="majorHAnsi"/>
          <w:sz w:val="20"/>
          <w:szCs w:val="20"/>
          <w:lang w:val="es"/>
        </w:rPr>
        <w:t xml:space="preserve"> así como con aguas residuales al descubierto. Aducen que</w:t>
      </w:r>
      <w:r w:rsidR="00D61D17" w:rsidRPr="00124EDE">
        <w:rPr>
          <w:rFonts w:asciiTheme="majorHAnsi" w:hAnsiTheme="majorHAnsi"/>
          <w:sz w:val="20"/>
          <w:szCs w:val="20"/>
          <w:lang w:val="es"/>
        </w:rPr>
        <w:t>,</w:t>
      </w:r>
      <w:r w:rsidRPr="00124EDE">
        <w:rPr>
          <w:rFonts w:asciiTheme="majorHAnsi" w:hAnsiTheme="majorHAnsi"/>
          <w:sz w:val="20"/>
          <w:szCs w:val="20"/>
          <w:lang w:val="es"/>
        </w:rPr>
        <w:t xml:space="preserve"> en septiembre de 2004,</w:t>
      </w:r>
      <w:r w:rsidR="00EC7CDA" w:rsidRPr="00124EDE">
        <w:rPr>
          <w:rFonts w:asciiTheme="majorHAnsi" w:hAnsiTheme="majorHAnsi"/>
          <w:sz w:val="20"/>
          <w:szCs w:val="20"/>
          <w:lang w:val="es"/>
        </w:rPr>
        <w:t xml:space="preserve"> los</w:t>
      </w:r>
      <w:r w:rsidRPr="00124EDE">
        <w:rPr>
          <w:rFonts w:asciiTheme="majorHAnsi" w:hAnsiTheme="majorHAnsi"/>
          <w:sz w:val="20"/>
          <w:szCs w:val="20"/>
          <w:lang w:val="es"/>
        </w:rPr>
        <w:t xml:space="preserve"> funcionarios estadounidenses trasladaron al señor Mohamed a la base naval estadounidense en la Bahía de Guantánamo, Cuba, donde estuvo detenido por otros cinco años. En febrero de 2009, el Estado retiró todos los cargos en su contra y lo liberó y regresó al Reino Unido.</w:t>
      </w:r>
      <w:r w:rsidR="00EC7CDA" w:rsidRPr="00124EDE">
        <w:rPr>
          <w:rFonts w:asciiTheme="majorHAnsi" w:hAnsiTheme="majorHAnsi"/>
          <w:sz w:val="20"/>
          <w:szCs w:val="20"/>
          <w:lang w:val="es"/>
        </w:rPr>
        <w:t xml:space="preserve"> </w:t>
      </w:r>
      <w:r w:rsidRPr="00124EDE">
        <w:rPr>
          <w:rFonts w:asciiTheme="majorHAnsi" w:hAnsiTheme="majorHAnsi"/>
          <w:sz w:val="20"/>
          <w:szCs w:val="20"/>
          <w:lang w:val="es"/>
        </w:rPr>
        <w:t>Expresan que EUA niega su responsabilidad por detenerlo y someterlo a dichos abusos en Marruecos y que este no le ha otorgado ninguna indemnización.</w:t>
      </w:r>
    </w:p>
    <w:p w14:paraId="711CCA5D"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p>
    <w:p w14:paraId="788C46BF"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eastAsia="Times New Roman" w:hAnsiTheme="majorHAnsi"/>
          <w:b/>
          <w:sz w:val="20"/>
          <w:szCs w:val="20"/>
        </w:rPr>
      </w:pPr>
      <w:proofErr w:type="spellStart"/>
      <w:r w:rsidRPr="00124EDE">
        <w:rPr>
          <w:rFonts w:asciiTheme="majorHAnsi" w:eastAsia="Times New Roman" w:hAnsiTheme="majorHAnsi"/>
          <w:b/>
          <w:bCs/>
          <w:sz w:val="20"/>
          <w:szCs w:val="20"/>
          <w:lang w:val="es"/>
        </w:rPr>
        <w:t>Abou</w:t>
      </w:r>
      <w:proofErr w:type="spellEnd"/>
      <w:r w:rsidRPr="00124EDE">
        <w:rPr>
          <w:rFonts w:asciiTheme="majorHAnsi" w:eastAsia="Times New Roman" w:hAnsiTheme="majorHAnsi"/>
          <w:b/>
          <w:bCs/>
          <w:sz w:val="20"/>
          <w:szCs w:val="20"/>
          <w:lang w:val="es"/>
        </w:rPr>
        <w:t xml:space="preserve"> </w:t>
      </w:r>
      <w:proofErr w:type="spellStart"/>
      <w:r w:rsidRPr="00124EDE">
        <w:rPr>
          <w:rFonts w:asciiTheme="majorHAnsi" w:eastAsia="Times New Roman" w:hAnsiTheme="majorHAnsi"/>
          <w:b/>
          <w:bCs/>
          <w:sz w:val="20"/>
          <w:szCs w:val="20"/>
          <w:lang w:val="es"/>
        </w:rPr>
        <w:t>Elkassim</w:t>
      </w:r>
      <w:proofErr w:type="spellEnd"/>
      <w:r w:rsidRPr="00124EDE">
        <w:rPr>
          <w:rFonts w:asciiTheme="majorHAnsi" w:eastAsia="Times New Roman" w:hAnsiTheme="majorHAnsi"/>
          <w:b/>
          <w:bCs/>
          <w:sz w:val="20"/>
          <w:szCs w:val="20"/>
          <w:lang w:val="es"/>
        </w:rPr>
        <w:t xml:space="preserve"> </w:t>
      </w:r>
      <w:proofErr w:type="spellStart"/>
      <w:r w:rsidRPr="00124EDE">
        <w:rPr>
          <w:rFonts w:asciiTheme="majorHAnsi" w:eastAsia="Times New Roman" w:hAnsiTheme="majorHAnsi"/>
          <w:b/>
          <w:bCs/>
          <w:sz w:val="20"/>
          <w:szCs w:val="20"/>
          <w:lang w:val="es"/>
        </w:rPr>
        <w:t>Britel</w:t>
      </w:r>
      <w:proofErr w:type="spellEnd"/>
    </w:p>
    <w:p w14:paraId="3882FC0E"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140C89DE" w14:textId="31ABB086"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proofErr w:type="spellStart"/>
      <w:r w:rsidRPr="00124EDE">
        <w:rPr>
          <w:rFonts w:asciiTheme="majorHAnsi" w:eastAsia="Times New Roman" w:hAnsiTheme="majorHAnsi"/>
          <w:sz w:val="20"/>
          <w:szCs w:val="20"/>
          <w:lang w:val="es"/>
        </w:rPr>
        <w:t>Abou</w:t>
      </w:r>
      <w:proofErr w:type="spellEnd"/>
      <w:r w:rsidRPr="00124EDE">
        <w:rPr>
          <w:rFonts w:asciiTheme="majorHAnsi" w:eastAsia="Times New Roman" w:hAnsiTheme="majorHAnsi"/>
          <w:sz w:val="20"/>
          <w:szCs w:val="20"/>
          <w:lang w:val="es"/>
        </w:rPr>
        <w:t xml:space="preserve"> </w:t>
      </w:r>
      <w:proofErr w:type="spellStart"/>
      <w:r w:rsidRPr="00124EDE">
        <w:rPr>
          <w:rFonts w:asciiTheme="majorHAnsi" w:eastAsia="Times New Roman" w:hAnsiTheme="majorHAnsi"/>
          <w:sz w:val="20"/>
          <w:szCs w:val="20"/>
          <w:lang w:val="es"/>
        </w:rPr>
        <w:t>Elkassim</w:t>
      </w:r>
      <w:proofErr w:type="spellEnd"/>
      <w:r w:rsidRPr="00124EDE">
        <w:rPr>
          <w:rFonts w:asciiTheme="majorHAnsi" w:eastAsia="Times New Roman" w:hAnsiTheme="majorHAnsi"/>
          <w:sz w:val="20"/>
          <w:szCs w:val="20"/>
          <w:lang w:val="es"/>
        </w:rPr>
        <w:t xml:space="preserve"> </w:t>
      </w:r>
      <w:proofErr w:type="spellStart"/>
      <w:r w:rsidRPr="00124EDE">
        <w:rPr>
          <w:rFonts w:asciiTheme="majorHAnsi" w:eastAsia="Times New Roman" w:hAnsiTheme="majorHAnsi"/>
          <w:sz w:val="20"/>
          <w:szCs w:val="20"/>
          <w:lang w:val="es"/>
        </w:rPr>
        <w:t>Britel</w:t>
      </w:r>
      <w:proofErr w:type="spellEnd"/>
      <w:r w:rsidRPr="00124EDE">
        <w:rPr>
          <w:rFonts w:asciiTheme="majorHAnsi" w:eastAsia="Times New Roman" w:hAnsiTheme="majorHAnsi"/>
          <w:sz w:val="20"/>
          <w:szCs w:val="20"/>
          <w:lang w:val="es"/>
        </w:rPr>
        <w:t xml:space="preserve">, de ciudadanía italiana, habría sido secuestrado por la policía en Pakistán el 10 de marzo de 2002 por orden de Estados Unidos. Según los peticionarios, el señor </w:t>
      </w:r>
      <w:proofErr w:type="spellStart"/>
      <w:r w:rsidRPr="00124EDE">
        <w:rPr>
          <w:rFonts w:asciiTheme="majorHAnsi" w:eastAsia="Times New Roman" w:hAnsiTheme="majorHAnsi"/>
          <w:sz w:val="20"/>
          <w:szCs w:val="20"/>
          <w:lang w:val="es"/>
        </w:rPr>
        <w:t>Britel</w:t>
      </w:r>
      <w:proofErr w:type="spellEnd"/>
      <w:r w:rsidRPr="00124EDE">
        <w:rPr>
          <w:rFonts w:asciiTheme="majorHAnsi" w:eastAsia="Times New Roman" w:hAnsiTheme="majorHAnsi"/>
          <w:sz w:val="20"/>
          <w:szCs w:val="20"/>
          <w:lang w:val="es"/>
        </w:rPr>
        <w:t xml:space="preserve"> fue golpeado severamente por la policía paquistaní, la cual también le negó el acceso a la representación legal o a la comunicación con el consulado italiano. Se alega que</w:t>
      </w:r>
      <w:r w:rsidR="002E6BA1" w:rsidRPr="00124EDE">
        <w:rPr>
          <w:rFonts w:asciiTheme="majorHAnsi" w:eastAsia="Times New Roman" w:hAnsiTheme="majorHAnsi"/>
          <w:sz w:val="20"/>
          <w:szCs w:val="20"/>
          <w:lang w:val="es"/>
        </w:rPr>
        <w:t>,</w:t>
      </w:r>
      <w:r w:rsidRPr="00124EDE">
        <w:rPr>
          <w:rFonts w:asciiTheme="majorHAnsi" w:eastAsia="Times New Roman" w:hAnsiTheme="majorHAnsi"/>
          <w:sz w:val="20"/>
          <w:szCs w:val="20"/>
          <w:lang w:val="es"/>
        </w:rPr>
        <w:t xml:space="preserve"> en abril de 2002, luego de varias semanas de tortura a manos de funcionarios paquistaníes, el señor </w:t>
      </w:r>
      <w:proofErr w:type="spellStart"/>
      <w:r w:rsidRPr="00124EDE">
        <w:rPr>
          <w:rFonts w:asciiTheme="majorHAnsi" w:eastAsia="Times New Roman" w:hAnsiTheme="majorHAnsi"/>
          <w:sz w:val="20"/>
          <w:szCs w:val="20"/>
          <w:lang w:val="es"/>
        </w:rPr>
        <w:t>Britel</w:t>
      </w:r>
      <w:proofErr w:type="spellEnd"/>
      <w:r w:rsidRPr="00124EDE">
        <w:rPr>
          <w:rFonts w:asciiTheme="majorHAnsi" w:eastAsia="Times New Roman" w:hAnsiTheme="majorHAnsi"/>
          <w:sz w:val="20"/>
          <w:szCs w:val="20"/>
          <w:lang w:val="es"/>
        </w:rPr>
        <w:t xml:space="preserve"> confesó en falso ser terrorista y que, posteriormente, fue entregado a la CIA. Los agentes estadounidenses le habrían vendado los ojos, esposado y entregado a Marruecos. Se aduce además que</w:t>
      </w:r>
      <w:r w:rsidR="002E6BA1" w:rsidRPr="00124EDE">
        <w:rPr>
          <w:rFonts w:asciiTheme="majorHAnsi" w:eastAsia="Times New Roman" w:hAnsiTheme="majorHAnsi"/>
          <w:sz w:val="20"/>
          <w:szCs w:val="20"/>
          <w:lang w:val="es"/>
        </w:rPr>
        <w:t>,</w:t>
      </w:r>
      <w:r w:rsidRPr="00124EDE">
        <w:rPr>
          <w:rFonts w:asciiTheme="majorHAnsi" w:eastAsia="Times New Roman" w:hAnsiTheme="majorHAnsi"/>
          <w:sz w:val="20"/>
          <w:szCs w:val="20"/>
          <w:lang w:val="es"/>
        </w:rPr>
        <w:t xml:space="preserve"> durante un viaje aéreo de nueve horas, los funcionarios estadounidenses obligaron al señor </w:t>
      </w:r>
      <w:proofErr w:type="spellStart"/>
      <w:r w:rsidRPr="00124EDE">
        <w:rPr>
          <w:rFonts w:asciiTheme="majorHAnsi" w:eastAsia="Times New Roman" w:hAnsiTheme="majorHAnsi"/>
          <w:sz w:val="20"/>
          <w:szCs w:val="20"/>
          <w:lang w:val="es"/>
        </w:rPr>
        <w:t>Britel</w:t>
      </w:r>
      <w:proofErr w:type="spellEnd"/>
      <w:r w:rsidRPr="00124EDE">
        <w:rPr>
          <w:rFonts w:asciiTheme="majorHAnsi" w:eastAsia="Times New Roman" w:hAnsiTheme="majorHAnsi"/>
          <w:sz w:val="20"/>
          <w:szCs w:val="20"/>
          <w:lang w:val="es"/>
        </w:rPr>
        <w:t xml:space="preserve"> a permanecer inmóvil y sin acceso al baño y que cuando solicitaba cambiar de posición, estos le encintaban la boca.</w:t>
      </w:r>
    </w:p>
    <w:p w14:paraId="4011C8E3"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p>
    <w:p w14:paraId="055491FF" w14:textId="766B343E"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r w:rsidRPr="00124EDE">
        <w:rPr>
          <w:rFonts w:asciiTheme="majorHAnsi" w:eastAsia="Times New Roman" w:hAnsiTheme="majorHAnsi"/>
          <w:sz w:val="20"/>
          <w:szCs w:val="20"/>
          <w:lang w:val="es"/>
        </w:rPr>
        <w:t>Los peticionarios expresan que</w:t>
      </w:r>
      <w:r w:rsidR="002E6BA1" w:rsidRPr="00124EDE">
        <w:rPr>
          <w:rFonts w:asciiTheme="majorHAnsi" w:eastAsia="Times New Roman" w:hAnsiTheme="majorHAnsi"/>
          <w:sz w:val="20"/>
          <w:szCs w:val="20"/>
          <w:lang w:val="es"/>
        </w:rPr>
        <w:t>,</w:t>
      </w:r>
      <w:r w:rsidRPr="00124EDE">
        <w:rPr>
          <w:rFonts w:asciiTheme="majorHAnsi" w:eastAsia="Times New Roman" w:hAnsiTheme="majorHAnsi"/>
          <w:sz w:val="20"/>
          <w:szCs w:val="20"/>
          <w:lang w:val="es"/>
        </w:rPr>
        <w:t xml:space="preserve"> durante los ocho meses siguientes, los agentes de inteligencia marroquíes mantuvieron al señor </w:t>
      </w:r>
      <w:proofErr w:type="spellStart"/>
      <w:r w:rsidRPr="00124EDE">
        <w:rPr>
          <w:rFonts w:asciiTheme="majorHAnsi" w:eastAsia="Times New Roman" w:hAnsiTheme="majorHAnsi"/>
          <w:sz w:val="20"/>
          <w:szCs w:val="20"/>
          <w:lang w:val="es"/>
        </w:rPr>
        <w:t>Britel</w:t>
      </w:r>
      <w:proofErr w:type="spellEnd"/>
      <w:r w:rsidRPr="00124EDE">
        <w:rPr>
          <w:rFonts w:asciiTheme="majorHAnsi" w:eastAsia="Times New Roman" w:hAnsiTheme="majorHAnsi"/>
          <w:sz w:val="20"/>
          <w:szCs w:val="20"/>
          <w:lang w:val="es"/>
        </w:rPr>
        <w:t xml:space="preserve"> detenido en una prisión secreta, donde lo interroga</w:t>
      </w:r>
      <w:r w:rsidR="002E6BA1" w:rsidRPr="00124EDE">
        <w:rPr>
          <w:rFonts w:asciiTheme="majorHAnsi" w:eastAsia="Times New Roman" w:hAnsiTheme="majorHAnsi"/>
          <w:sz w:val="20"/>
          <w:szCs w:val="20"/>
          <w:lang w:val="es"/>
        </w:rPr>
        <w:t>ba</w:t>
      </w:r>
      <w:r w:rsidRPr="00124EDE">
        <w:rPr>
          <w:rFonts w:asciiTheme="majorHAnsi" w:eastAsia="Times New Roman" w:hAnsiTheme="majorHAnsi"/>
          <w:sz w:val="20"/>
          <w:szCs w:val="20"/>
          <w:lang w:val="es"/>
        </w:rPr>
        <w:t>n y tortura</w:t>
      </w:r>
      <w:r w:rsidR="002E6BA1" w:rsidRPr="00124EDE">
        <w:rPr>
          <w:rFonts w:asciiTheme="majorHAnsi" w:eastAsia="Times New Roman" w:hAnsiTheme="majorHAnsi"/>
          <w:sz w:val="20"/>
          <w:szCs w:val="20"/>
          <w:lang w:val="es"/>
        </w:rPr>
        <w:t>ba</w:t>
      </w:r>
      <w:r w:rsidRPr="00124EDE">
        <w:rPr>
          <w:rFonts w:asciiTheme="majorHAnsi" w:eastAsia="Times New Roman" w:hAnsiTheme="majorHAnsi"/>
          <w:sz w:val="20"/>
          <w:szCs w:val="20"/>
          <w:lang w:val="es"/>
        </w:rPr>
        <w:t xml:space="preserve">n. Fue liberado sin cargos en febrero de 2003. No obstante, en mayo de 2003 las autoridades marroquíes lo detuvieron nuevamente cuando este intentaba regresar a Italia. Los peticionarios alegan que el señor </w:t>
      </w:r>
      <w:proofErr w:type="spellStart"/>
      <w:r w:rsidRPr="00124EDE">
        <w:rPr>
          <w:rFonts w:asciiTheme="majorHAnsi" w:eastAsia="Times New Roman" w:hAnsiTheme="majorHAnsi"/>
          <w:sz w:val="20"/>
          <w:szCs w:val="20"/>
          <w:lang w:val="es"/>
        </w:rPr>
        <w:t>Britel</w:t>
      </w:r>
      <w:proofErr w:type="spellEnd"/>
      <w:r w:rsidRPr="00124EDE">
        <w:rPr>
          <w:rFonts w:asciiTheme="majorHAnsi" w:eastAsia="Times New Roman" w:hAnsiTheme="majorHAnsi"/>
          <w:sz w:val="20"/>
          <w:szCs w:val="20"/>
          <w:lang w:val="es"/>
        </w:rPr>
        <w:t xml:space="preserve"> fue obligado a firmar una confesión que jamás se le permitió leer. Fue sentenciado a quince años de prisión por hechos vinculados al terrorismo y detenido en una cárcel marroquí. En abril de 2011, tras ocho años en prisión, obtuvo el indulto del Rey de Marruecos y fue liberado.</w:t>
      </w:r>
      <w:r w:rsidR="002E6BA1" w:rsidRPr="00124EDE">
        <w:rPr>
          <w:rFonts w:asciiTheme="majorHAnsi" w:eastAsia="Times New Roman" w:hAnsiTheme="majorHAnsi"/>
          <w:sz w:val="20"/>
          <w:szCs w:val="20"/>
          <w:lang w:val="es"/>
        </w:rPr>
        <w:t xml:space="preserve"> </w:t>
      </w:r>
      <w:r w:rsidRPr="00124EDE">
        <w:rPr>
          <w:rFonts w:asciiTheme="majorHAnsi" w:eastAsia="Times New Roman" w:hAnsiTheme="majorHAnsi"/>
          <w:sz w:val="20"/>
          <w:szCs w:val="20"/>
          <w:lang w:val="es"/>
        </w:rPr>
        <w:t xml:space="preserve">Los peticionarios reclaman que el Estado fue cómplice de estos abusos por haber entregado al señor </w:t>
      </w:r>
      <w:proofErr w:type="spellStart"/>
      <w:r w:rsidRPr="00124EDE">
        <w:rPr>
          <w:rFonts w:asciiTheme="majorHAnsi" w:eastAsia="Times New Roman" w:hAnsiTheme="majorHAnsi"/>
          <w:sz w:val="20"/>
          <w:szCs w:val="20"/>
          <w:lang w:val="es"/>
        </w:rPr>
        <w:t>Britel</w:t>
      </w:r>
      <w:proofErr w:type="spellEnd"/>
      <w:r w:rsidRPr="00124EDE">
        <w:rPr>
          <w:rFonts w:asciiTheme="majorHAnsi" w:eastAsia="Times New Roman" w:hAnsiTheme="majorHAnsi"/>
          <w:sz w:val="20"/>
          <w:szCs w:val="20"/>
          <w:lang w:val="es"/>
        </w:rPr>
        <w:t xml:space="preserve"> a agentes de inteligencia marroquíes a sabiendas de que sería torturado.</w:t>
      </w:r>
    </w:p>
    <w:p w14:paraId="18719BD6"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p>
    <w:p w14:paraId="59741D0F" w14:textId="2FC1D709"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r w:rsidRPr="00124EDE">
        <w:rPr>
          <w:rFonts w:asciiTheme="majorHAnsi" w:eastAsia="Times New Roman" w:hAnsiTheme="majorHAnsi"/>
          <w:sz w:val="20"/>
          <w:szCs w:val="20"/>
          <w:lang w:val="es"/>
        </w:rPr>
        <w:t xml:space="preserve">Asimismo, los peticionarios alegan que debido a los presuntos actos de tortura que sufrió el señor </w:t>
      </w:r>
      <w:proofErr w:type="spellStart"/>
      <w:r w:rsidRPr="00124EDE">
        <w:rPr>
          <w:rFonts w:asciiTheme="majorHAnsi" w:eastAsia="Times New Roman" w:hAnsiTheme="majorHAnsi"/>
          <w:sz w:val="20"/>
          <w:szCs w:val="20"/>
          <w:lang w:val="es"/>
        </w:rPr>
        <w:t>Abou</w:t>
      </w:r>
      <w:proofErr w:type="spellEnd"/>
      <w:r w:rsidRPr="00124EDE">
        <w:rPr>
          <w:rFonts w:asciiTheme="majorHAnsi" w:eastAsia="Times New Roman" w:hAnsiTheme="majorHAnsi"/>
          <w:sz w:val="20"/>
          <w:szCs w:val="20"/>
          <w:lang w:val="es"/>
        </w:rPr>
        <w:t xml:space="preserve"> </w:t>
      </w:r>
      <w:proofErr w:type="spellStart"/>
      <w:r w:rsidRPr="00124EDE">
        <w:rPr>
          <w:rFonts w:asciiTheme="majorHAnsi" w:eastAsia="Times New Roman" w:hAnsiTheme="majorHAnsi"/>
          <w:sz w:val="20"/>
          <w:szCs w:val="20"/>
          <w:lang w:val="es"/>
        </w:rPr>
        <w:t>Elkassim</w:t>
      </w:r>
      <w:proofErr w:type="spellEnd"/>
      <w:r w:rsidRPr="00124EDE">
        <w:rPr>
          <w:rFonts w:asciiTheme="majorHAnsi" w:eastAsia="Times New Roman" w:hAnsiTheme="majorHAnsi"/>
          <w:sz w:val="20"/>
          <w:szCs w:val="20"/>
          <w:lang w:val="es"/>
        </w:rPr>
        <w:t xml:space="preserve"> </w:t>
      </w:r>
      <w:proofErr w:type="spellStart"/>
      <w:r w:rsidRPr="00124EDE">
        <w:rPr>
          <w:rFonts w:asciiTheme="majorHAnsi" w:eastAsia="Times New Roman" w:hAnsiTheme="majorHAnsi"/>
          <w:sz w:val="20"/>
          <w:szCs w:val="20"/>
          <w:lang w:val="es"/>
        </w:rPr>
        <w:t>Britel</w:t>
      </w:r>
      <w:proofErr w:type="spellEnd"/>
      <w:r w:rsidRPr="00124EDE">
        <w:rPr>
          <w:rFonts w:asciiTheme="majorHAnsi" w:eastAsia="Times New Roman" w:hAnsiTheme="majorHAnsi"/>
          <w:sz w:val="20"/>
          <w:szCs w:val="20"/>
          <w:lang w:val="es"/>
        </w:rPr>
        <w:t xml:space="preserve"> a manos de funcionarios estadounidenses y sus aliados, este sigue padeciendo de mareos, diarrea crónica y daño permanente en el oído izquierdo y en la piel tiene zonas con manchas negras y azules permanentes.</w:t>
      </w:r>
    </w:p>
    <w:p w14:paraId="568BAAC1"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b/>
          <w:sz w:val="20"/>
          <w:szCs w:val="20"/>
          <w:lang w:val="es-ES"/>
        </w:rPr>
      </w:pPr>
    </w:p>
    <w:p w14:paraId="472293F1"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eastAsia="Times New Roman" w:hAnsiTheme="majorHAnsi"/>
          <w:b/>
          <w:sz w:val="20"/>
          <w:szCs w:val="20"/>
        </w:rPr>
      </w:pPr>
      <w:r w:rsidRPr="00124EDE">
        <w:rPr>
          <w:rFonts w:asciiTheme="majorHAnsi" w:eastAsia="Times New Roman" w:hAnsiTheme="majorHAnsi"/>
          <w:b/>
          <w:bCs/>
          <w:sz w:val="20"/>
          <w:szCs w:val="20"/>
          <w:lang w:val="es"/>
        </w:rPr>
        <w:t xml:space="preserve">Mohamed </w:t>
      </w:r>
      <w:proofErr w:type="spellStart"/>
      <w:r w:rsidRPr="00124EDE">
        <w:rPr>
          <w:rFonts w:asciiTheme="majorHAnsi" w:eastAsia="Times New Roman" w:hAnsiTheme="majorHAnsi"/>
          <w:b/>
          <w:bCs/>
          <w:sz w:val="20"/>
          <w:szCs w:val="20"/>
          <w:lang w:val="es"/>
        </w:rPr>
        <w:t>Farag</w:t>
      </w:r>
      <w:proofErr w:type="spellEnd"/>
      <w:r w:rsidRPr="00124EDE">
        <w:rPr>
          <w:rFonts w:asciiTheme="majorHAnsi" w:eastAsia="Times New Roman" w:hAnsiTheme="majorHAnsi"/>
          <w:b/>
          <w:bCs/>
          <w:sz w:val="20"/>
          <w:szCs w:val="20"/>
          <w:lang w:val="es"/>
        </w:rPr>
        <w:t xml:space="preserve"> Ahmad </w:t>
      </w:r>
      <w:proofErr w:type="spellStart"/>
      <w:r w:rsidRPr="00124EDE">
        <w:rPr>
          <w:rFonts w:asciiTheme="majorHAnsi" w:eastAsia="Times New Roman" w:hAnsiTheme="majorHAnsi"/>
          <w:b/>
          <w:bCs/>
          <w:sz w:val="20"/>
          <w:szCs w:val="20"/>
          <w:lang w:val="es"/>
        </w:rPr>
        <w:t>Bashmilah</w:t>
      </w:r>
      <w:proofErr w:type="spellEnd"/>
    </w:p>
    <w:p w14:paraId="149258A0"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4D5E9DF5" w14:textId="4FE3244B"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r w:rsidRPr="00124EDE">
        <w:rPr>
          <w:rFonts w:asciiTheme="majorHAnsi" w:eastAsia="Times New Roman" w:hAnsiTheme="majorHAnsi"/>
          <w:sz w:val="20"/>
          <w:szCs w:val="20"/>
          <w:lang w:val="es"/>
        </w:rPr>
        <w:t xml:space="preserve"> Mohamed </w:t>
      </w:r>
      <w:proofErr w:type="spellStart"/>
      <w:r w:rsidRPr="00124EDE">
        <w:rPr>
          <w:rFonts w:asciiTheme="majorHAnsi" w:eastAsia="Times New Roman" w:hAnsiTheme="majorHAnsi"/>
          <w:sz w:val="20"/>
          <w:szCs w:val="20"/>
          <w:lang w:val="es"/>
        </w:rPr>
        <w:t>Farag</w:t>
      </w:r>
      <w:proofErr w:type="spellEnd"/>
      <w:r w:rsidRPr="00124EDE">
        <w:rPr>
          <w:rFonts w:asciiTheme="majorHAnsi" w:eastAsia="Times New Roman" w:hAnsiTheme="majorHAnsi"/>
          <w:sz w:val="20"/>
          <w:szCs w:val="20"/>
          <w:lang w:val="es"/>
        </w:rPr>
        <w:t xml:space="preserve"> Ahmad </w:t>
      </w:r>
      <w:proofErr w:type="spellStart"/>
      <w:r w:rsidRPr="00124EDE">
        <w:rPr>
          <w:rFonts w:asciiTheme="majorHAnsi" w:eastAsia="Times New Roman" w:hAnsiTheme="majorHAnsi"/>
          <w:sz w:val="20"/>
          <w:szCs w:val="20"/>
          <w:lang w:val="es"/>
        </w:rPr>
        <w:t>Bashmilah</w:t>
      </w:r>
      <w:proofErr w:type="spellEnd"/>
      <w:r w:rsidRPr="00124EDE">
        <w:rPr>
          <w:rFonts w:asciiTheme="majorHAnsi" w:eastAsia="Times New Roman" w:hAnsiTheme="majorHAnsi"/>
          <w:sz w:val="20"/>
          <w:szCs w:val="20"/>
          <w:lang w:val="es"/>
        </w:rPr>
        <w:t>, de ciudadanía yemení, habría sido arrestado en Jordania el 21 de octubre de 2003 por funcionarios jordanos y entregado a agentes estadounidenses. Los peticionarios indican que mientras la presunta víctima estuvo bajo la custodia de los agentes estadounidenses, estos la golpearon, le cortaron toda la ropa y la fotografiaron desnuda. Los funcionarios estadounidenses</w:t>
      </w:r>
      <w:r w:rsidR="007D15BD" w:rsidRPr="00124EDE">
        <w:rPr>
          <w:rFonts w:asciiTheme="majorHAnsi" w:eastAsia="Times New Roman" w:hAnsiTheme="majorHAnsi"/>
          <w:sz w:val="20"/>
          <w:szCs w:val="20"/>
          <w:lang w:val="es"/>
        </w:rPr>
        <w:t xml:space="preserve"> le </w:t>
      </w:r>
      <w:r w:rsidRPr="00124EDE">
        <w:rPr>
          <w:rFonts w:asciiTheme="majorHAnsi" w:eastAsia="Times New Roman" w:hAnsiTheme="majorHAnsi"/>
          <w:sz w:val="20"/>
          <w:szCs w:val="20"/>
          <w:lang w:val="es"/>
        </w:rPr>
        <w:t xml:space="preserve">habrían </w:t>
      </w:r>
      <w:r w:rsidR="007D15BD" w:rsidRPr="00124EDE">
        <w:rPr>
          <w:rFonts w:asciiTheme="majorHAnsi" w:eastAsia="Times New Roman" w:hAnsiTheme="majorHAnsi"/>
          <w:sz w:val="20"/>
          <w:szCs w:val="20"/>
          <w:lang w:val="es"/>
        </w:rPr>
        <w:t>practicado</w:t>
      </w:r>
      <w:r w:rsidRPr="00124EDE">
        <w:rPr>
          <w:rFonts w:asciiTheme="majorHAnsi" w:eastAsia="Times New Roman" w:hAnsiTheme="majorHAnsi"/>
          <w:sz w:val="20"/>
          <w:szCs w:val="20"/>
          <w:lang w:val="es"/>
        </w:rPr>
        <w:t xml:space="preserve"> al señor </w:t>
      </w:r>
      <w:proofErr w:type="spellStart"/>
      <w:r w:rsidRPr="00124EDE">
        <w:rPr>
          <w:rFonts w:asciiTheme="majorHAnsi" w:eastAsia="Times New Roman" w:hAnsiTheme="majorHAnsi"/>
          <w:sz w:val="20"/>
          <w:szCs w:val="20"/>
          <w:lang w:val="es"/>
        </w:rPr>
        <w:t>Bashmilah</w:t>
      </w:r>
      <w:proofErr w:type="spellEnd"/>
      <w:r w:rsidRPr="00124EDE">
        <w:rPr>
          <w:rFonts w:asciiTheme="majorHAnsi" w:eastAsia="Times New Roman" w:hAnsiTheme="majorHAnsi"/>
          <w:sz w:val="20"/>
          <w:szCs w:val="20"/>
          <w:lang w:val="es"/>
        </w:rPr>
        <w:t xml:space="preserve"> una </w:t>
      </w:r>
      <w:r w:rsidR="007D15BD" w:rsidRPr="00124EDE">
        <w:rPr>
          <w:rFonts w:asciiTheme="majorHAnsi" w:eastAsia="Times New Roman" w:hAnsiTheme="majorHAnsi"/>
          <w:sz w:val="20"/>
          <w:szCs w:val="20"/>
          <w:lang w:val="es"/>
        </w:rPr>
        <w:t xml:space="preserve">brusca </w:t>
      </w:r>
      <w:r w:rsidRPr="00124EDE">
        <w:rPr>
          <w:rFonts w:asciiTheme="majorHAnsi" w:eastAsia="Times New Roman" w:hAnsiTheme="majorHAnsi"/>
          <w:sz w:val="20"/>
          <w:szCs w:val="20"/>
          <w:lang w:val="es"/>
        </w:rPr>
        <w:t xml:space="preserve">requisa </w:t>
      </w:r>
      <w:r w:rsidR="007D15BD" w:rsidRPr="00124EDE">
        <w:rPr>
          <w:rFonts w:asciiTheme="majorHAnsi" w:eastAsia="Times New Roman" w:hAnsiTheme="majorHAnsi"/>
          <w:sz w:val="20"/>
          <w:szCs w:val="20"/>
          <w:lang w:val="es"/>
        </w:rPr>
        <w:t xml:space="preserve">de la cavidad </w:t>
      </w:r>
      <w:r w:rsidRPr="00124EDE">
        <w:rPr>
          <w:rFonts w:asciiTheme="majorHAnsi" w:eastAsia="Times New Roman" w:hAnsiTheme="majorHAnsi"/>
          <w:sz w:val="20"/>
          <w:szCs w:val="20"/>
          <w:lang w:val="es"/>
        </w:rPr>
        <w:t>anal y lo habrían golpeado con tal violencia que perdió la conciencia. Seguidamente, dichos funcionarios lo habrían vestido con un pañal, esposado, vendado los ojos, encapuchado y entregado en Kabul, Afganistán, aquel mismo día.</w:t>
      </w:r>
    </w:p>
    <w:p w14:paraId="41DEA3CF"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p>
    <w:p w14:paraId="153F13F1" w14:textId="47D30D3B"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r w:rsidRPr="00124EDE">
        <w:rPr>
          <w:rFonts w:asciiTheme="majorHAnsi" w:eastAsia="Times New Roman" w:hAnsiTheme="majorHAnsi"/>
          <w:sz w:val="20"/>
          <w:szCs w:val="20"/>
          <w:lang w:val="es"/>
        </w:rPr>
        <w:t xml:space="preserve"> El señor </w:t>
      </w:r>
      <w:proofErr w:type="spellStart"/>
      <w:r w:rsidRPr="00124EDE">
        <w:rPr>
          <w:rFonts w:asciiTheme="majorHAnsi" w:eastAsia="Times New Roman" w:hAnsiTheme="majorHAnsi"/>
          <w:sz w:val="20"/>
          <w:szCs w:val="20"/>
          <w:lang w:val="es"/>
        </w:rPr>
        <w:t>Bashmilah</w:t>
      </w:r>
      <w:proofErr w:type="spellEnd"/>
      <w:r w:rsidRPr="00124EDE">
        <w:rPr>
          <w:rFonts w:asciiTheme="majorHAnsi" w:eastAsia="Times New Roman" w:hAnsiTheme="majorHAnsi"/>
          <w:sz w:val="20"/>
          <w:szCs w:val="20"/>
          <w:lang w:val="es"/>
        </w:rPr>
        <w:t xml:space="preserve"> habría pasado los diecinueve meses siguientes detenido en una prisión secreta en un “sitio negro” de EUA, durante seis de los cuales habría sido torturado por </w:t>
      </w:r>
      <w:r w:rsidR="00396E68" w:rsidRPr="00124EDE">
        <w:rPr>
          <w:rFonts w:asciiTheme="majorHAnsi" w:eastAsia="Times New Roman" w:hAnsiTheme="majorHAnsi"/>
          <w:sz w:val="20"/>
          <w:szCs w:val="20"/>
          <w:lang w:val="es"/>
        </w:rPr>
        <w:t xml:space="preserve">los </w:t>
      </w:r>
      <w:r w:rsidRPr="00124EDE">
        <w:rPr>
          <w:rFonts w:asciiTheme="majorHAnsi" w:eastAsia="Times New Roman" w:hAnsiTheme="majorHAnsi"/>
          <w:sz w:val="20"/>
          <w:szCs w:val="20"/>
          <w:lang w:val="es"/>
        </w:rPr>
        <w:t xml:space="preserve">funcionarios estadounidenses. Según la petición, el señor </w:t>
      </w:r>
      <w:proofErr w:type="spellStart"/>
      <w:r w:rsidRPr="00124EDE">
        <w:rPr>
          <w:rFonts w:asciiTheme="majorHAnsi" w:eastAsia="Times New Roman" w:hAnsiTheme="majorHAnsi"/>
          <w:sz w:val="20"/>
          <w:szCs w:val="20"/>
          <w:lang w:val="es"/>
        </w:rPr>
        <w:t>Bashmilah</w:t>
      </w:r>
      <w:proofErr w:type="spellEnd"/>
      <w:r w:rsidRPr="00124EDE">
        <w:rPr>
          <w:rFonts w:asciiTheme="majorHAnsi" w:eastAsia="Times New Roman" w:hAnsiTheme="majorHAnsi"/>
          <w:sz w:val="20"/>
          <w:szCs w:val="20"/>
          <w:lang w:val="es"/>
        </w:rPr>
        <w:t xml:space="preserve"> también habría sido sometido a una privación del sueño severa y esposado en posiciones dolorosas. Habría sido expuesto a música a un volumen extremadamente alto durante las veinticuatro horas del día y los siete días de la semana y los guardias estadounidenses lo habrían despertado cada media hora. Se alega que mientras estuvo bajo la custodia de los funcionarios estadounidenses, el señor </w:t>
      </w:r>
      <w:proofErr w:type="spellStart"/>
      <w:r w:rsidRPr="00124EDE">
        <w:rPr>
          <w:rFonts w:asciiTheme="majorHAnsi" w:eastAsia="Times New Roman" w:hAnsiTheme="majorHAnsi"/>
          <w:sz w:val="20"/>
          <w:szCs w:val="20"/>
          <w:lang w:val="es"/>
        </w:rPr>
        <w:t>Bashmilah</w:t>
      </w:r>
      <w:proofErr w:type="spellEnd"/>
      <w:r w:rsidRPr="00124EDE">
        <w:rPr>
          <w:rFonts w:asciiTheme="majorHAnsi" w:eastAsia="Times New Roman" w:hAnsiTheme="majorHAnsi"/>
          <w:sz w:val="20"/>
          <w:szCs w:val="20"/>
          <w:lang w:val="es"/>
        </w:rPr>
        <w:t xml:space="preserve"> permaneció encadenado a una pared y su celda estaba o completamente a oscuras o iluminada constantemente. Se alega además que el señor </w:t>
      </w:r>
      <w:proofErr w:type="spellStart"/>
      <w:r w:rsidRPr="00124EDE">
        <w:rPr>
          <w:rFonts w:asciiTheme="majorHAnsi" w:eastAsia="Times New Roman" w:hAnsiTheme="majorHAnsi"/>
          <w:sz w:val="20"/>
          <w:szCs w:val="20"/>
          <w:lang w:val="es"/>
        </w:rPr>
        <w:t>Bashmilah</w:t>
      </w:r>
      <w:proofErr w:type="spellEnd"/>
      <w:r w:rsidRPr="00124EDE">
        <w:rPr>
          <w:rFonts w:asciiTheme="majorHAnsi" w:eastAsia="Times New Roman" w:hAnsiTheme="majorHAnsi"/>
          <w:sz w:val="20"/>
          <w:szCs w:val="20"/>
          <w:lang w:val="es"/>
        </w:rPr>
        <w:t xml:space="preserve"> sufrió una depresión tal que en tres oportunidades intentó quitarse la vida. </w:t>
      </w:r>
    </w:p>
    <w:p w14:paraId="2FECD2ED"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p>
    <w:p w14:paraId="2B64A7CA" w14:textId="308FC6B4"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r w:rsidRPr="00124EDE">
        <w:rPr>
          <w:rFonts w:asciiTheme="majorHAnsi" w:eastAsia="Times New Roman" w:hAnsiTheme="majorHAnsi"/>
          <w:sz w:val="20"/>
          <w:szCs w:val="20"/>
          <w:lang w:val="es"/>
        </w:rPr>
        <w:lastRenderedPageBreak/>
        <w:t xml:space="preserve">Según los peticionarios, en abril de 2004, los agentes estadounidenses nuevamente desnudaron al señor </w:t>
      </w:r>
      <w:proofErr w:type="spellStart"/>
      <w:r w:rsidRPr="00124EDE">
        <w:rPr>
          <w:rFonts w:asciiTheme="majorHAnsi" w:eastAsia="Times New Roman" w:hAnsiTheme="majorHAnsi"/>
          <w:sz w:val="20"/>
          <w:szCs w:val="20"/>
          <w:lang w:val="es"/>
        </w:rPr>
        <w:t>Bashmilah</w:t>
      </w:r>
      <w:proofErr w:type="spellEnd"/>
      <w:r w:rsidRPr="00124EDE">
        <w:rPr>
          <w:rFonts w:asciiTheme="majorHAnsi" w:eastAsia="Times New Roman" w:hAnsiTheme="majorHAnsi"/>
          <w:sz w:val="20"/>
          <w:szCs w:val="20"/>
          <w:lang w:val="es"/>
        </w:rPr>
        <w:t>, lo vistieron con un pañal, lo esposaron, encapucharon y trasladaron a una prisión secreta ubicada en un lugar desconocido, donde lo mantuvieron completamente aislado.</w:t>
      </w:r>
      <w:r w:rsidR="00603B16" w:rsidRPr="00124EDE">
        <w:rPr>
          <w:rFonts w:asciiTheme="majorHAnsi" w:eastAsia="Times New Roman" w:hAnsiTheme="majorHAnsi"/>
          <w:sz w:val="20"/>
          <w:szCs w:val="20"/>
          <w:lang w:val="es"/>
        </w:rPr>
        <w:t xml:space="preserve"> </w:t>
      </w:r>
      <w:r w:rsidRPr="00124EDE">
        <w:rPr>
          <w:rFonts w:asciiTheme="majorHAnsi" w:eastAsia="Times New Roman" w:hAnsiTheme="majorHAnsi"/>
          <w:sz w:val="20"/>
          <w:szCs w:val="20"/>
          <w:lang w:val="es"/>
        </w:rPr>
        <w:t>Los funcionarios estadounidenses lo mantuvieron detenido allí por más de un año y continuaron sometiéndolo a hechos de tortura. Se alega que lo sometieron a manipulación sensorial mediante la alternancia entre la exposición al ruido blanco y la exposición a música a un volumen ensordecedor. Habría sido continuamente monitoreado por videocámara y privado de su derecho a la privacidad. Los peticionarios sostienen que</w:t>
      </w:r>
      <w:r w:rsidR="00603B16" w:rsidRPr="00124EDE">
        <w:rPr>
          <w:rFonts w:asciiTheme="majorHAnsi" w:eastAsia="Times New Roman" w:hAnsiTheme="majorHAnsi"/>
          <w:sz w:val="20"/>
          <w:szCs w:val="20"/>
          <w:lang w:val="es"/>
        </w:rPr>
        <w:t>,</w:t>
      </w:r>
      <w:r w:rsidRPr="00124EDE">
        <w:rPr>
          <w:rFonts w:asciiTheme="majorHAnsi" w:eastAsia="Times New Roman" w:hAnsiTheme="majorHAnsi"/>
          <w:sz w:val="20"/>
          <w:szCs w:val="20"/>
          <w:lang w:val="es"/>
        </w:rPr>
        <w:t xml:space="preserve"> como consecuencia de estos hechos de tortura, el señor </w:t>
      </w:r>
      <w:proofErr w:type="spellStart"/>
      <w:r w:rsidRPr="00124EDE">
        <w:rPr>
          <w:rFonts w:asciiTheme="majorHAnsi" w:eastAsia="Times New Roman" w:hAnsiTheme="majorHAnsi"/>
          <w:sz w:val="20"/>
          <w:szCs w:val="20"/>
          <w:lang w:val="es"/>
        </w:rPr>
        <w:t>Bashmilah</w:t>
      </w:r>
      <w:proofErr w:type="spellEnd"/>
      <w:r w:rsidRPr="00124EDE">
        <w:rPr>
          <w:rFonts w:asciiTheme="majorHAnsi" w:eastAsia="Times New Roman" w:hAnsiTheme="majorHAnsi"/>
          <w:sz w:val="20"/>
          <w:szCs w:val="20"/>
          <w:lang w:val="es"/>
        </w:rPr>
        <w:t xml:space="preserve"> intentó suicidarse cortándose las muñecas con un</w:t>
      </w:r>
      <w:r w:rsidR="00603B16" w:rsidRPr="00124EDE">
        <w:rPr>
          <w:rFonts w:asciiTheme="majorHAnsi" w:eastAsia="Times New Roman" w:hAnsiTheme="majorHAnsi"/>
          <w:sz w:val="20"/>
          <w:szCs w:val="20"/>
          <w:lang w:val="es"/>
        </w:rPr>
        <w:t xml:space="preserve"> elemento </w:t>
      </w:r>
      <w:r w:rsidRPr="00124EDE">
        <w:rPr>
          <w:rFonts w:asciiTheme="majorHAnsi" w:eastAsia="Times New Roman" w:hAnsiTheme="majorHAnsi"/>
          <w:sz w:val="20"/>
          <w:szCs w:val="20"/>
          <w:lang w:val="es"/>
        </w:rPr>
        <w:t>metálic</w:t>
      </w:r>
      <w:r w:rsidR="00603B16" w:rsidRPr="00124EDE">
        <w:rPr>
          <w:rFonts w:asciiTheme="majorHAnsi" w:eastAsia="Times New Roman" w:hAnsiTheme="majorHAnsi"/>
          <w:sz w:val="20"/>
          <w:szCs w:val="20"/>
          <w:lang w:val="es"/>
        </w:rPr>
        <w:t>o</w:t>
      </w:r>
      <w:r w:rsidRPr="00124EDE">
        <w:rPr>
          <w:rFonts w:asciiTheme="majorHAnsi" w:eastAsia="Times New Roman" w:hAnsiTheme="majorHAnsi"/>
          <w:sz w:val="20"/>
          <w:szCs w:val="20"/>
          <w:lang w:val="es"/>
        </w:rPr>
        <w:t xml:space="preserve">. Cuando el señor </w:t>
      </w:r>
      <w:proofErr w:type="spellStart"/>
      <w:r w:rsidRPr="00124EDE">
        <w:rPr>
          <w:rFonts w:asciiTheme="majorHAnsi" w:eastAsia="Times New Roman" w:hAnsiTheme="majorHAnsi"/>
          <w:sz w:val="20"/>
          <w:szCs w:val="20"/>
          <w:lang w:val="es"/>
        </w:rPr>
        <w:t>Bashmilah</w:t>
      </w:r>
      <w:proofErr w:type="spellEnd"/>
      <w:r w:rsidRPr="00124EDE">
        <w:rPr>
          <w:rFonts w:asciiTheme="majorHAnsi" w:eastAsia="Times New Roman" w:hAnsiTheme="majorHAnsi"/>
          <w:sz w:val="20"/>
          <w:szCs w:val="20"/>
          <w:lang w:val="es"/>
        </w:rPr>
        <w:t xml:space="preserve"> hizo una huelga de hambre, los funcionarios estadounidenses lo habrían atado y alimentado a la fuerza mediante un tubo que le pusieron por la nariz. </w:t>
      </w:r>
    </w:p>
    <w:p w14:paraId="4F85B41E"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p>
    <w:p w14:paraId="575BC487" w14:textId="77777777"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r w:rsidRPr="00124EDE">
        <w:rPr>
          <w:rFonts w:asciiTheme="majorHAnsi" w:eastAsia="Times New Roman" w:hAnsiTheme="majorHAnsi"/>
          <w:sz w:val="20"/>
          <w:szCs w:val="20"/>
          <w:lang w:val="es"/>
        </w:rPr>
        <w:t xml:space="preserve"> El 5 de mayo de 2005 el señor </w:t>
      </w:r>
      <w:proofErr w:type="spellStart"/>
      <w:r w:rsidRPr="00124EDE">
        <w:rPr>
          <w:rFonts w:asciiTheme="majorHAnsi" w:eastAsia="Times New Roman" w:hAnsiTheme="majorHAnsi"/>
          <w:sz w:val="20"/>
          <w:szCs w:val="20"/>
          <w:lang w:val="es"/>
        </w:rPr>
        <w:t>Bashmilah</w:t>
      </w:r>
      <w:proofErr w:type="spellEnd"/>
      <w:r w:rsidRPr="00124EDE">
        <w:rPr>
          <w:rFonts w:asciiTheme="majorHAnsi" w:eastAsia="Times New Roman" w:hAnsiTheme="majorHAnsi"/>
          <w:sz w:val="20"/>
          <w:szCs w:val="20"/>
          <w:lang w:val="es"/>
        </w:rPr>
        <w:t xml:space="preserve"> habría sido trasladado, por agentes estadounidenses, hacia Yemen luego de confesar haber usado un pasaporte falso en Indonesia. Fue sentenciado a dos años de cárcel. La corte lo sentenció al tiempo ya cumplido.</w:t>
      </w:r>
    </w:p>
    <w:p w14:paraId="768F62E1"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p>
    <w:p w14:paraId="75D14AE5"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eastAsia="Times New Roman" w:hAnsiTheme="majorHAnsi"/>
          <w:b/>
          <w:sz w:val="20"/>
          <w:szCs w:val="20"/>
        </w:rPr>
      </w:pPr>
      <w:proofErr w:type="spellStart"/>
      <w:r w:rsidRPr="00124EDE">
        <w:rPr>
          <w:rFonts w:asciiTheme="majorHAnsi" w:eastAsia="Times New Roman" w:hAnsiTheme="majorHAnsi"/>
          <w:b/>
          <w:bCs/>
          <w:sz w:val="20"/>
          <w:szCs w:val="20"/>
          <w:lang w:val="es"/>
        </w:rPr>
        <w:t>Bisher</w:t>
      </w:r>
      <w:proofErr w:type="spellEnd"/>
      <w:r w:rsidRPr="00124EDE">
        <w:rPr>
          <w:rFonts w:asciiTheme="majorHAnsi" w:eastAsia="Times New Roman" w:hAnsiTheme="majorHAnsi"/>
          <w:b/>
          <w:bCs/>
          <w:sz w:val="20"/>
          <w:szCs w:val="20"/>
          <w:lang w:val="es"/>
        </w:rPr>
        <w:t xml:space="preserve"> al-</w:t>
      </w:r>
      <w:proofErr w:type="spellStart"/>
      <w:r w:rsidRPr="00124EDE">
        <w:rPr>
          <w:rFonts w:asciiTheme="majorHAnsi" w:eastAsia="Times New Roman" w:hAnsiTheme="majorHAnsi"/>
          <w:b/>
          <w:bCs/>
          <w:sz w:val="20"/>
          <w:szCs w:val="20"/>
          <w:lang w:val="es"/>
        </w:rPr>
        <w:t>Rawi</w:t>
      </w:r>
      <w:proofErr w:type="spellEnd"/>
    </w:p>
    <w:p w14:paraId="79332873"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3AA3CE52" w14:textId="4B6C848E"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r w:rsidRPr="00124EDE">
        <w:rPr>
          <w:rFonts w:asciiTheme="majorHAnsi" w:eastAsia="Times New Roman" w:hAnsiTheme="majorHAnsi"/>
          <w:sz w:val="20"/>
          <w:szCs w:val="20"/>
          <w:lang w:val="es"/>
        </w:rPr>
        <w:t xml:space="preserve"> </w:t>
      </w:r>
      <w:proofErr w:type="spellStart"/>
      <w:r w:rsidRPr="00124EDE">
        <w:rPr>
          <w:rFonts w:asciiTheme="majorHAnsi" w:eastAsia="Times New Roman" w:hAnsiTheme="majorHAnsi"/>
          <w:sz w:val="20"/>
          <w:szCs w:val="20"/>
          <w:lang w:val="es"/>
        </w:rPr>
        <w:t>Bisher</w:t>
      </w:r>
      <w:proofErr w:type="spellEnd"/>
      <w:r w:rsidRPr="00124EDE">
        <w:rPr>
          <w:rFonts w:asciiTheme="majorHAnsi" w:eastAsia="Times New Roman" w:hAnsiTheme="majorHAnsi"/>
          <w:sz w:val="20"/>
          <w:szCs w:val="20"/>
          <w:lang w:val="es"/>
        </w:rPr>
        <w:t xml:space="preserve"> al-</w:t>
      </w:r>
      <w:proofErr w:type="spellStart"/>
      <w:r w:rsidRPr="00124EDE">
        <w:rPr>
          <w:rFonts w:asciiTheme="majorHAnsi" w:eastAsia="Times New Roman" w:hAnsiTheme="majorHAnsi"/>
          <w:sz w:val="20"/>
          <w:szCs w:val="20"/>
          <w:lang w:val="es"/>
        </w:rPr>
        <w:t>Rawi</w:t>
      </w:r>
      <w:proofErr w:type="spellEnd"/>
      <w:r w:rsidRPr="00124EDE">
        <w:rPr>
          <w:rFonts w:asciiTheme="majorHAnsi" w:eastAsia="Times New Roman" w:hAnsiTheme="majorHAnsi"/>
          <w:sz w:val="20"/>
          <w:szCs w:val="20"/>
          <w:lang w:val="es"/>
        </w:rPr>
        <w:t xml:space="preserve">, de ciudadanía iraquí y con residencia británica </w:t>
      </w:r>
      <w:r w:rsidR="00B337FD" w:rsidRPr="00124EDE">
        <w:rPr>
          <w:rFonts w:asciiTheme="majorHAnsi" w:eastAsia="Times New Roman" w:hAnsiTheme="majorHAnsi"/>
          <w:sz w:val="20"/>
          <w:szCs w:val="20"/>
          <w:lang w:val="es"/>
        </w:rPr>
        <w:t>extendida</w:t>
      </w:r>
      <w:r w:rsidRPr="00124EDE">
        <w:rPr>
          <w:rFonts w:asciiTheme="majorHAnsi" w:eastAsia="Times New Roman" w:hAnsiTheme="majorHAnsi"/>
          <w:sz w:val="20"/>
          <w:szCs w:val="20"/>
          <w:lang w:val="es"/>
        </w:rPr>
        <w:t>, habría sido arrestado por agentes de inteligencia gambianos y entregado a agentes estadounidenses el 8 de noviembre de 2002. Mientras estuvo bajo la custodia estadounidense, fue desnudado, vestido con un pañal y ropa deportiva, encadenado, esposado, vendado los ojos y trasladado vía aérea hasta Kabul, Afganistán. Durante el vuelo, bajo la custodia estadounidense, no pudo moverse. Sus captores no le habrían permitido alimentarse, tomar agua ni usar el baño. Los peticionarios agregan que por dos semanas estuvo detenido en una prisión secreta de EUA donde lo mantuvieron en absoluta oscuridad y aislamiento, que en las piernas t</w:t>
      </w:r>
      <w:r w:rsidR="00984E82" w:rsidRPr="00124EDE">
        <w:rPr>
          <w:rFonts w:asciiTheme="majorHAnsi" w:eastAsia="Times New Roman" w:hAnsiTheme="majorHAnsi"/>
          <w:sz w:val="20"/>
          <w:szCs w:val="20"/>
          <w:lang w:val="es"/>
        </w:rPr>
        <w:t>enía</w:t>
      </w:r>
      <w:r w:rsidRPr="00124EDE">
        <w:rPr>
          <w:rFonts w:asciiTheme="majorHAnsi" w:eastAsia="Times New Roman" w:hAnsiTheme="majorHAnsi"/>
          <w:sz w:val="20"/>
          <w:szCs w:val="20"/>
          <w:lang w:val="es"/>
        </w:rPr>
        <w:t xml:space="preserve"> grilletes las veinticuatro horas del día y que constantemente lo obligaban a escuchar música a un volumen alto. </w:t>
      </w:r>
    </w:p>
    <w:p w14:paraId="392EF416"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p>
    <w:p w14:paraId="5956B0BB" w14:textId="2FB58136"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r w:rsidRPr="00124EDE">
        <w:rPr>
          <w:rFonts w:asciiTheme="majorHAnsi" w:eastAsia="Times New Roman" w:hAnsiTheme="majorHAnsi"/>
          <w:sz w:val="20"/>
          <w:szCs w:val="20"/>
          <w:lang w:val="es"/>
        </w:rPr>
        <w:t xml:space="preserve"> Según los peticionarios, dos semanas después, </w:t>
      </w:r>
      <w:proofErr w:type="spellStart"/>
      <w:r w:rsidRPr="00124EDE">
        <w:rPr>
          <w:rFonts w:asciiTheme="majorHAnsi" w:eastAsia="Times New Roman" w:hAnsiTheme="majorHAnsi"/>
          <w:sz w:val="20"/>
          <w:szCs w:val="20"/>
          <w:lang w:val="es"/>
        </w:rPr>
        <w:t>Bisher</w:t>
      </w:r>
      <w:proofErr w:type="spellEnd"/>
      <w:r w:rsidRPr="00124EDE">
        <w:rPr>
          <w:rFonts w:asciiTheme="majorHAnsi" w:eastAsia="Times New Roman" w:hAnsiTheme="majorHAnsi"/>
          <w:sz w:val="20"/>
          <w:szCs w:val="20"/>
          <w:lang w:val="es"/>
        </w:rPr>
        <w:t xml:space="preserve"> al-</w:t>
      </w:r>
      <w:proofErr w:type="spellStart"/>
      <w:r w:rsidRPr="00124EDE">
        <w:rPr>
          <w:rFonts w:asciiTheme="majorHAnsi" w:eastAsia="Times New Roman" w:hAnsiTheme="majorHAnsi"/>
          <w:sz w:val="20"/>
          <w:szCs w:val="20"/>
          <w:lang w:val="es"/>
        </w:rPr>
        <w:t>Rawi</w:t>
      </w:r>
      <w:proofErr w:type="spellEnd"/>
      <w:r w:rsidRPr="00124EDE">
        <w:rPr>
          <w:rFonts w:asciiTheme="majorHAnsi" w:eastAsia="Times New Roman" w:hAnsiTheme="majorHAnsi"/>
          <w:sz w:val="20"/>
          <w:szCs w:val="20"/>
          <w:lang w:val="es"/>
        </w:rPr>
        <w:t xml:space="preserve"> habría sido arrojado dentro de un camión donde otros reos quedaron apilados encima de él y los agentes lo habrían golpeado severamente. En consecuencia, sufrió cortes y </w:t>
      </w:r>
      <w:proofErr w:type="spellStart"/>
      <w:r w:rsidRPr="00124EDE">
        <w:rPr>
          <w:rFonts w:asciiTheme="majorHAnsi" w:eastAsia="Times New Roman" w:hAnsiTheme="majorHAnsi"/>
          <w:sz w:val="20"/>
          <w:szCs w:val="20"/>
          <w:lang w:val="es"/>
        </w:rPr>
        <w:t>moraduras</w:t>
      </w:r>
      <w:proofErr w:type="spellEnd"/>
      <w:r w:rsidRPr="00124EDE">
        <w:rPr>
          <w:rFonts w:asciiTheme="majorHAnsi" w:eastAsia="Times New Roman" w:hAnsiTheme="majorHAnsi"/>
          <w:sz w:val="20"/>
          <w:szCs w:val="20"/>
          <w:lang w:val="es"/>
        </w:rPr>
        <w:t xml:space="preserve"> en todo el cuerpo. Los peticionarios alegan que fue entregado a la base aérea estadounidense en </w:t>
      </w:r>
      <w:proofErr w:type="spellStart"/>
      <w:r w:rsidRPr="00124EDE">
        <w:rPr>
          <w:rFonts w:asciiTheme="majorHAnsi" w:eastAsia="Times New Roman" w:hAnsiTheme="majorHAnsi"/>
          <w:sz w:val="20"/>
          <w:szCs w:val="20"/>
          <w:lang w:val="es"/>
        </w:rPr>
        <w:t>Bagram</w:t>
      </w:r>
      <w:proofErr w:type="spellEnd"/>
      <w:r w:rsidRPr="00124EDE">
        <w:rPr>
          <w:rFonts w:asciiTheme="majorHAnsi" w:eastAsia="Times New Roman" w:hAnsiTheme="majorHAnsi"/>
          <w:sz w:val="20"/>
          <w:szCs w:val="20"/>
          <w:lang w:val="es"/>
        </w:rPr>
        <w:t>, Afganistán. Allí habría sido sometido a otros dos meses de interrogatorios y tortura a manos de funcionarios estadounidenses. Los peticionarios alegan que los agentes estadounidenses golpea</w:t>
      </w:r>
      <w:r w:rsidR="00984E82" w:rsidRPr="00124EDE">
        <w:rPr>
          <w:rFonts w:asciiTheme="majorHAnsi" w:eastAsia="Times New Roman" w:hAnsiTheme="majorHAnsi"/>
          <w:sz w:val="20"/>
          <w:szCs w:val="20"/>
          <w:lang w:val="es"/>
        </w:rPr>
        <w:t>ba</w:t>
      </w:r>
      <w:r w:rsidRPr="00124EDE">
        <w:rPr>
          <w:rFonts w:asciiTheme="majorHAnsi" w:eastAsia="Times New Roman" w:hAnsiTheme="majorHAnsi"/>
          <w:sz w:val="20"/>
          <w:szCs w:val="20"/>
          <w:lang w:val="es"/>
        </w:rPr>
        <w:t>n al señor al-</w:t>
      </w:r>
      <w:proofErr w:type="spellStart"/>
      <w:r w:rsidRPr="00124EDE">
        <w:rPr>
          <w:rFonts w:asciiTheme="majorHAnsi" w:eastAsia="Times New Roman" w:hAnsiTheme="majorHAnsi"/>
          <w:sz w:val="20"/>
          <w:szCs w:val="20"/>
          <w:lang w:val="es"/>
        </w:rPr>
        <w:t>Rawi</w:t>
      </w:r>
      <w:proofErr w:type="spellEnd"/>
      <w:r w:rsidRPr="00124EDE">
        <w:rPr>
          <w:rFonts w:asciiTheme="majorHAnsi" w:eastAsia="Times New Roman" w:hAnsiTheme="majorHAnsi"/>
          <w:sz w:val="20"/>
          <w:szCs w:val="20"/>
          <w:lang w:val="es"/>
        </w:rPr>
        <w:t>, lo arrastra</w:t>
      </w:r>
      <w:r w:rsidR="00984E82" w:rsidRPr="00124EDE">
        <w:rPr>
          <w:rFonts w:asciiTheme="majorHAnsi" w:eastAsia="Times New Roman" w:hAnsiTheme="majorHAnsi"/>
          <w:sz w:val="20"/>
          <w:szCs w:val="20"/>
          <w:lang w:val="es"/>
        </w:rPr>
        <w:t>ba</w:t>
      </w:r>
      <w:r w:rsidRPr="00124EDE">
        <w:rPr>
          <w:rFonts w:asciiTheme="majorHAnsi" w:eastAsia="Times New Roman" w:hAnsiTheme="majorHAnsi"/>
          <w:sz w:val="20"/>
          <w:szCs w:val="20"/>
          <w:lang w:val="es"/>
        </w:rPr>
        <w:t>n por el piso, le imp</w:t>
      </w:r>
      <w:r w:rsidR="00984E82" w:rsidRPr="00124EDE">
        <w:rPr>
          <w:rFonts w:asciiTheme="majorHAnsi" w:eastAsia="Times New Roman" w:hAnsiTheme="majorHAnsi"/>
          <w:sz w:val="20"/>
          <w:szCs w:val="20"/>
          <w:lang w:val="es"/>
        </w:rPr>
        <w:t>edían</w:t>
      </w:r>
      <w:r w:rsidRPr="00124EDE">
        <w:rPr>
          <w:rFonts w:asciiTheme="majorHAnsi" w:eastAsia="Times New Roman" w:hAnsiTheme="majorHAnsi"/>
          <w:sz w:val="20"/>
          <w:szCs w:val="20"/>
          <w:lang w:val="es"/>
        </w:rPr>
        <w:t xml:space="preserve"> </w:t>
      </w:r>
      <w:r w:rsidR="00984E82" w:rsidRPr="00124EDE">
        <w:rPr>
          <w:rFonts w:asciiTheme="majorHAnsi" w:eastAsia="Times New Roman" w:hAnsiTheme="majorHAnsi"/>
          <w:sz w:val="20"/>
          <w:szCs w:val="20"/>
          <w:lang w:val="es"/>
        </w:rPr>
        <w:t>usar</w:t>
      </w:r>
      <w:r w:rsidRPr="00124EDE">
        <w:rPr>
          <w:rFonts w:asciiTheme="majorHAnsi" w:eastAsia="Times New Roman" w:hAnsiTheme="majorHAnsi"/>
          <w:sz w:val="20"/>
          <w:szCs w:val="20"/>
          <w:lang w:val="es"/>
        </w:rPr>
        <w:t xml:space="preserve"> al baño, </w:t>
      </w:r>
      <w:r w:rsidR="00984E82" w:rsidRPr="00124EDE">
        <w:rPr>
          <w:rFonts w:asciiTheme="majorHAnsi" w:eastAsia="Times New Roman" w:hAnsiTheme="majorHAnsi"/>
          <w:sz w:val="20"/>
          <w:szCs w:val="20"/>
          <w:lang w:val="es"/>
        </w:rPr>
        <w:t xml:space="preserve">acceder a </w:t>
      </w:r>
      <w:r w:rsidRPr="00124EDE">
        <w:rPr>
          <w:rFonts w:asciiTheme="majorHAnsi" w:eastAsia="Times New Roman" w:hAnsiTheme="majorHAnsi"/>
          <w:sz w:val="20"/>
          <w:szCs w:val="20"/>
          <w:lang w:val="es"/>
        </w:rPr>
        <w:t xml:space="preserve">la ducha y </w:t>
      </w:r>
      <w:r w:rsidR="00984E82" w:rsidRPr="00124EDE">
        <w:rPr>
          <w:rFonts w:asciiTheme="majorHAnsi" w:eastAsia="Times New Roman" w:hAnsiTheme="majorHAnsi"/>
          <w:sz w:val="20"/>
          <w:szCs w:val="20"/>
          <w:lang w:val="es"/>
        </w:rPr>
        <w:t xml:space="preserve">a </w:t>
      </w:r>
      <w:r w:rsidRPr="00124EDE">
        <w:rPr>
          <w:rFonts w:asciiTheme="majorHAnsi" w:eastAsia="Times New Roman" w:hAnsiTheme="majorHAnsi"/>
          <w:sz w:val="20"/>
          <w:szCs w:val="20"/>
          <w:lang w:val="es"/>
        </w:rPr>
        <w:t>ropas limpias y lo mantuvieron aislado. Los peticionarios también aducen que, a manos de estos agentes, el señor al-</w:t>
      </w:r>
      <w:proofErr w:type="spellStart"/>
      <w:r w:rsidRPr="00124EDE">
        <w:rPr>
          <w:rFonts w:asciiTheme="majorHAnsi" w:eastAsia="Times New Roman" w:hAnsiTheme="majorHAnsi"/>
          <w:sz w:val="20"/>
          <w:szCs w:val="20"/>
          <w:lang w:val="es"/>
        </w:rPr>
        <w:t>Rawi</w:t>
      </w:r>
      <w:proofErr w:type="spellEnd"/>
      <w:r w:rsidRPr="00124EDE">
        <w:rPr>
          <w:rFonts w:asciiTheme="majorHAnsi" w:eastAsia="Times New Roman" w:hAnsiTheme="majorHAnsi"/>
          <w:sz w:val="20"/>
          <w:szCs w:val="20"/>
          <w:lang w:val="es"/>
        </w:rPr>
        <w:t xml:space="preserve"> también </w:t>
      </w:r>
      <w:r w:rsidR="00984E82" w:rsidRPr="00124EDE">
        <w:rPr>
          <w:rFonts w:asciiTheme="majorHAnsi" w:eastAsia="Times New Roman" w:hAnsiTheme="majorHAnsi"/>
          <w:sz w:val="20"/>
          <w:szCs w:val="20"/>
          <w:lang w:val="es"/>
        </w:rPr>
        <w:t>era</w:t>
      </w:r>
      <w:r w:rsidRPr="00124EDE">
        <w:rPr>
          <w:rFonts w:asciiTheme="majorHAnsi" w:eastAsia="Times New Roman" w:hAnsiTheme="majorHAnsi"/>
          <w:sz w:val="20"/>
          <w:szCs w:val="20"/>
          <w:lang w:val="es"/>
        </w:rPr>
        <w:t xml:space="preserve"> privado del sueño por periodos prolongados y amenazado con ser sometido a torturas más fuertes. Los peticionarios aducen que el 7 de febrero de 2003, fue trasladado vía aérea al centro de detención estadounidense en la Bahía de </w:t>
      </w:r>
      <w:proofErr w:type="spellStart"/>
      <w:r w:rsidRPr="00124EDE">
        <w:rPr>
          <w:rFonts w:asciiTheme="majorHAnsi" w:eastAsia="Times New Roman" w:hAnsiTheme="majorHAnsi"/>
          <w:sz w:val="20"/>
          <w:szCs w:val="20"/>
          <w:lang w:val="es"/>
        </w:rPr>
        <w:t>Guatánamo</w:t>
      </w:r>
      <w:proofErr w:type="spellEnd"/>
      <w:r w:rsidRPr="00124EDE">
        <w:rPr>
          <w:rFonts w:asciiTheme="majorHAnsi" w:eastAsia="Times New Roman" w:hAnsiTheme="majorHAnsi"/>
          <w:sz w:val="20"/>
          <w:szCs w:val="20"/>
          <w:lang w:val="es"/>
        </w:rPr>
        <w:t>, Cuba, y que</w:t>
      </w:r>
      <w:r w:rsidR="00984E82" w:rsidRPr="00124EDE">
        <w:rPr>
          <w:rFonts w:asciiTheme="majorHAnsi" w:eastAsia="Times New Roman" w:hAnsiTheme="majorHAnsi"/>
          <w:sz w:val="20"/>
          <w:szCs w:val="20"/>
          <w:lang w:val="es"/>
        </w:rPr>
        <w:t>,</w:t>
      </w:r>
      <w:r w:rsidRPr="00124EDE">
        <w:rPr>
          <w:rFonts w:asciiTheme="majorHAnsi" w:eastAsia="Times New Roman" w:hAnsiTheme="majorHAnsi"/>
          <w:sz w:val="20"/>
          <w:szCs w:val="20"/>
          <w:lang w:val="es"/>
        </w:rPr>
        <w:t xml:space="preserve"> al cabo de cuatro años, sin que jamás hubiera </w:t>
      </w:r>
      <w:r w:rsidR="00984E82" w:rsidRPr="00124EDE">
        <w:rPr>
          <w:rFonts w:asciiTheme="majorHAnsi" w:eastAsia="Times New Roman" w:hAnsiTheme="majorHAnsi"/>
          <w:sz w:val="20"/>
          <w:szCs w:val="20"/>
          <w:lang w:val="es"/>
        </w:rPr>
        <w:t xml:space="preserve">habido </w:t>
      </w:r>
      <w:r w:rsidRPr="00124EDE">
        <w:rPr>
          <w:rFonts w:asciiTheme="majorHAnsi" w:eastAsia="Times New Roman" w:hAnsiTheme="majorHAnsi"/>
          <w:sz w:val="20"/>
          <w:szCs w:val="20"/>
          <w:lang w:val="es"/>
        </w:rPr>
        <w:t>cargos en su contra, fue liberado y regresado al Reino Unido. Los peticionarios señalan que el Estado no ha reconocido que el señor al-</w:t>
      </w:r>
      <w:proofErr w:type="spellStart"/>
      <w:r w:rsidRPr="00124EDE">
        <w:rPr>
          <w:rFonts w:asciiTheme="majorHAnsi" w:eastAsia="Times New Roman" w:hAnsiTheme="majorHAnsi"/>
          <w:sz w:val="20"/>
          <w:szCs w:val="20"/>
          <w:lang w:val="es"/>
        </w:rPr>
        <w:t>Rawi</w:t>
      </w:r>
      <w:proofErr w:type="spellEnd"/>
      <w:r w:rsidRPr="00124EDE">
        <w:rPr>
          <w:rFonts w:asciiTheme="majorHAnsi" w:eastAsia="Times New Roman" w:hAnsiTheme="majorHAnsi"/>
          <w:sz w:val="20"/>
          <w:szCs w:val="20"/>
          <w:lang w:val="es"/>
        </w:rPr>
        <w:t xml:space="preserve"> fue arrestado, detenido y torturado ilegalmente</w:t>
      </w:r>
      <w:r w:rsidR="00984E82" w:rsidRPr="00124EDE">
        <w:rPr>
          <w:rFonts w:asciiTheme="majorHAnsi" w:eastAsia="Times New Roman" w:hAnsiTheme="majorHAnsi"/>
          <w:sz w:val="20"/>
          <w:szCs w:val="20"/>
          <w:lang w:val="es"/>
        </w:rPr>
        <w:t>,</w:t>
      </w:r>
      <w:r w:rsidRPr="00124EDE">
        <w:rPr>
          <w:rFonts w:asciiTheme="majorHAnsi" w:eastAsia="Times New Roman" w:hAnsiTheme="majorHAnsi"/>
          <w:sz w:val="20"/>
          <w:szCs w:val="20"/>
          <w:lang w:val="es"/>
        </w:rPr>
        <w:t xml:space="preserve"> así como tampoco lo ha indemnizado por estos hechos. </w:t>
      </w:r>
    </w:p>
    <w:p w14:paraId="6DC6CD5F"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p>
    <w:p w14:paraId="7EC1B4BD" w14:textId="77777777" w:rsidR="004B6194" w:rsidRPr="00124EDE" w:rsidRDefault="004B6194" w:rsidP="006A6FB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ajorHAnsi" w:eastAsia="Times New Roman" w:hAnsiTheme="majorHAnsi"/>
          <w:b/>
          <w:sz w:val="20"/>
          <w:szCs w:val="20"/>
          <w:lang w:val="es-ES"/>
        </w:rPr>
      </w:pPr>
      <w:r w:rsidRPr="00124EDE">
        <w:rPr>
          <w:rFonts w:asciiTheme="majorHAnsi" w:eastAsia="Times New Roman" w:hAnsiTheme="majorHAnsi"/>
          <w:b/>
          <w:bCs/>
          <w:sz w:val="20"/>
          <w:szCs w:val="20"/>
          <w:lang w:val="es"/>
        </w:rPr>
        <w:t xml:space="preserve">Argumento general de las partes sobre los requisitos de admisibilidad </w:t>
      </w:r>
      <w:r w:rsidRPr="00124EDE">
        <w:rPr>
          <w:rFonts w:asciiTheme="majorHAnsi" w:eastAsia="Times New Roman" w:hAnsiTheme="majorHAnsi"/>
          <w:sz w:val="20"/>
          <w:szCs w:val="20"/>
          <w:lang w:val="es"/>
        </w:rPr>
        <w:br/>
      </w:r>
    </w:p>
    <w:p w14:paraId="683FA0FB" w14:textId="0FB0C7F8"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r w:rsidRPr="00124EDE">
        <w:rPr>
          <w:rFonts w:asciiTheme="majorHAnsi" w:eastAsia="Times New Roman" w:hAnsiTheme="majorHAnsi"/>
          <w:sz w:val="20"/>
          <w:szCs w:val="20"/>
          <w:lang w:val="es"/>
        </w:rPr>
        <w:t xml:space="preserve">En mayo de 2007 los peticionarios presentaron una demanda judicial ante el Distrito Norte de California, en nombre de las presuntas víctimas, contra </w:t>
      </w:r>
      <w:proofErr w:type="spellStart"/>
      <w:r w:rsidRPr="00124EDE">
        <w:rPr>
          <w:rFonts w:asciiTheme="majorHAnsi" w:eastAsia="Times New Roman" w:hAnsiTheme="majorHAnsi"/>
          <w:sz w:val="20"/>
          <w:szCs w:val="20"/>
          <w:lang w:val="es"/>
        </w:rPr>
        <w:t>Jeppesen</w:t>
      </w:r>
      <w:proofErr w:type="spellEnd"/>
      <w:r w:rsidRPr="00124EDE">
        <w:rPr>
          <w:rFonts w:asciiTheme="majorHAnsi" w:eastAsia="Times New Roman" w:hAnsiTheme="majorHAnsi"/>
          <w:sz w:val="20"/>
          <w:szCs w:val="20"/>
          <w:lang w:val="es"/>
        </w:rPr>
        <w:t xml:space="preserve"> </w:t>
      </w:r>
      <w:proofErr w:type="spellStart"/>
      <w:r w:rsidRPr="00124EDE">
        <w:rPr>
          <w:rFonts w:asciiTheme="majorHAnsi" w:eastAsia="Times New Roman" w:hAnsiTheme="majorHAnsi"/>
          <w:sz w:val="20"/>
          <w:szCs w:val="20"/>
          <w:lang w:val="es"/>
        </w:rPr>
        <w:t>Dataplan</w:t>
      </w:r>
      <w:proofErr w:type="spellEnd"/>
      <w:r w:rsidRPr="00124EDE">
        <w:rPr>
          <w:rFonts w:asciiTheme="majorHAnsi" w:eastAsia="Times New Roman" w:hAnsiTheme="majorHAnsi"/>
          <w:sz w:val="20"/>
          <w:szCs w:val="20"/>
          <w:lang w:val="es"/>
        </w:rPr>
        <w:t xml:space="preserve"> Inc., una compañía de vuelos privados y logística, por facilitar la des</w:t>
      </w:r>
      <w:r w:rsidR="001E1859" w:rsidRPr="00124EDE">
        <w:rPr>
          <w:rFonts w:asciiTheme="majorHAnsi" w:eastAsia="Times New Roman" w:hAnsiTheme="majorHAnsi"/>
          <w:sz w:val="20"/>
          <w:szCs w:val="20"/>
          <w:lang w:val="es"/>
        </w:rPr>
        <w:t>a</w:t>
      </w:r>
      <w:r w:rsidRPr="00124EDE">
        <w:rPr>
          <w:rFonts w:asciiTheme="majorHAnsi" w:eastAsia="Times New Roman" w:hAnsiTheme="majorHAnsi"/>
          <w:sz w:val="20"/>
          <w:szCs w:val="20"/>
          <w:lang w:val="es"/>
        </w:rPr>
        <w:t xml:space="preserve">parición forzada y tortura de las presuntas víctimas. Cuando los peticionarios interpusieron la demanda, Mohamed vs. </w:t>
      </w:r>
      <w:proofErr w:type="spellStart"/>
      <w:r w:rsidRPr="00124EDE">
        <w:rPr>
          <w:rFonts w:asciiTheme="majorHAnsi" w:eastAsia="Times New Roman" w:hAnsiTheme="majorHAnsi"/>
          <w:sz w:val="20"/>
          <w:szCs w:val="20"/>
          <w:lang w:val="es"/>
        </w:rPr>
        <w:t>Jeppesen</w:t>
      </w:r>
      <w:proofErr w:type="spellEnd"/>
      <w:r w:rsidRPr="00124EDE">
        <w:rPr>
          <w:rFonts w:asciiTheme="majorHAnsi" w:eastAsia="Times New Roman" w:hAnsiTheme="majorHAnsi"/>
          <w:sz w:val="20"/>
          <w:szCs w:val="20"/>
          <w:lang w:val="es"/>
        </w:rPr>
        <w:t xml:space="preserve"> </w:t>
      </w:r>
      <w:proofErr w:type="spellStart"/>
      <w:r w:rsidRPr="00124EDE">
        <w:rPr>
          <w:rFonts w:asciiTheme="majorHAnsi" w:eastAsia="Times New Roman" w:hAnsiTheme="majorHAnsi"/>
          <w:sz w:val="20"/>
          <w:szCs w:val="20"/>
          <w:lang w:val="es"/>
        </w:rPr>
        <w:t>Dataplan</w:t>
      </w:r>
      <w:proofErr w:type="spellEnd"/>
      <w:r w:rsidRPr="00124EDE">
        <w:rPr>
          <w:rFonts w:asciiTheme="majorHAnsi" w:eastAsia="Times New Roman" w:hAnsiTheme="majorHAnsi"/>
          <w:sz w:val="20"/>
          <w:szCs w:val="20"/>
          <w:lang w:val="es"/>
        </w:rPr>
        <w:t xml:space="preserve">, Inc., </w:t>
      </w:r>
      <w:proofErr w:type="spellStart"/>
      <w:r w:rsidRPr="00124EDE">
        <w:rPr>
          <w:rFonts w:asciiTheme="majorHAnsi" w:eastAsia="Times New Roman" w:hAnsiTheme="majorHAnsi"/>
          <w:sz w:val="20"/>
          <w:szCs w:val="20"/>
          <w:lang w:val="es"/>
        </w:rPr>
        <w:t>Jeppesen</w:t>
      </w:r>
      <w:proofErr w:type="spellEnd"/>
      <w:r w:rsidRPr="00124EDE">
        <w:rPr>
          <w:rFonts w:asciiTheme="majorHAnsi" w:eastAsia="Times New Roman" w:hAnsiTheme="majorHAnsi"/>
          <w:sz w:val="20"/>
          <w:szCs w:val="20"/>
          <w:lang w:val="es"/>
        </w:rPr>
        <w:t xml:space="preserve"> era la única acusada</w:t>
      </w:r>
      <w:r w:rsidRPr="00124EDE">
        <w:rPr>
          <w:rFonts w:asciiTheme="majorHAnsi" w:eastAsia="Times New Roman" w:hAnsiTheme="majorHAnsi"/>
          <w:sz w:val="20"/>
          <w:szCs w:val="20"/>
          <w:vertAlign w:val="superscript"/>
          <w:lang w:val="es"/>
        </w:rPr>
        <w:footnoteReference w:id="5"/>
      </w:r>
      <w:r w:rsidRPr="00124EDE">
        <w:rPr>
          <w:rFonts w:asciiTheme="majorHAnsi" w:eastAsia="Times New Roman" w:hAnsiTheme="majorHAnsi"/>
          <w:sz w:val="20"/>
          <w:szCs w:val="20"/>
          <w:lang w:val="es"/>
        </w:rPr>
        <w:t xml:space="preserve">. El 19 de octubre de 2007, Estados Unidos, por iniciativa propia, demostró su vínculo cercano con </w:t>
      </w:r>
      <w:proofErr w:type="spellStart"/>
      <w:r w:rsidRPr="00124EDE">
        <w:rPr>
          <w:rFonts w:asciiTheme="majorHAnsi" w:eastAsia="Times New Roman" w:hAnsiTheme="majorHAnsi"/>
          <w:sz w:val="20"/>
          <w:szCs w:val="20"/>
          <w:lang w:val="es"/>
        </w:rPr>
        <w:t>Jeppesen</w:t>
      </w:r>
      <w:proofErr w:type="spellEnd"/>
      <w:r w:rsidRPr="00124EDE">
        <w:rPr>
          <w:rFonts w:asciiTheme="majorHAnsi" w:eastAsia="Times New Roman" w:hAnsiTheme="majorHAnsi"/>
          <w:sz w:val="20"/>
          <w:szCs w:val="20"/>
          <w:lang w:val="es"/>
        </w:rPr>
        <w:t xml:space="preserve"> </w:t>
      </w:r>
      <w:proofErr w:type="spellStart"/>
      <w:r w:rsidRPr="00124EDE">
        <w:rPr>
          <w:rFonts w:asciiTheme="majorHAnsi" w:eastAsia="Times New Roman" w:hAnsiTheme="majorHAnsi"/>
          <w:sz w:val="20"/>
          <w:szCs w:val="20"/>
          <w:lang w:val="es"/>
        </w:rPr>
        <w:t>Dataplan</w:t>
      </w:r>
      <w:proofErr w:type="spellEnd"/>
      <w:r w:rsidRPr="00124EDE">
        <w:rPr>
          <w:rFonts w:asciiTheme="majorHAnsi" w:eastAsia="Times New Roman" w:hAnsiTheme="majorHAnsi"/>
          <w:sz w:val="20"/>
          <w:szCs w:val="20"/>
          <w:lang w:val="es"/>
        </w:rPr>
        <w:t>, Inc., al presentar una solicitud para intervenir (</w:t>
      </w:r>
      <w:proofErr w:type="spellStart"/>
      <w:r w:rsidRPr="00124EDE">
        <w:rPr>
          <w:rFonts w:asciiTheme="majorHAnsi" w:eastAsia="Times New Roman" w:hAnsiTheme="majorHAnsi"/>
          <w:i/>
          <w:iCs/>
          <w:sz w:val="20"/>
          <w:szCs w:val="20"/>
          <w:lang w:val="es"/>
        </w:rPr>
        <w:t>motion</w:t>
      </w:r>
      <w:proofErr w:type="spellEnd"/>
      <w:r w:rsidRPr="00124EDE">
        <w:rPr>
          <w:rFonts w:asciiTheme="majorHAnsi" w:eastAsia="Times New Roman" w:hAnsiTheme="majorHAnsi"/>
          <w:i/>
          <w:iCs/>
          <w:sz w:val="20"/>
          <w:szCs w:val="20"/>
          <w:lang w:val="es"/>
        </w:rPr>
        <w:t xml:space="preserve"> to </w:t>
      </w:r>
      <w:proofErr w:type="spellStart"/>
      <w:r w:rsidRPr="00124EDE">
        <w:rPr>
          <w:rFonts w:asciiTheme="majorHAnsi" w:eastAsia="Times New Roman" w:hAnsiTheme="majorHAnsi"/>
          <w:i/>
          <w:iCs/>
          <w:sz w:val="20"/>
          <w:szCs w:val="20"/>
          <w:lang w:val="es"/>
        </w:rPr>
        <w:t>intervene</w:t>
      </w:r>
      <w:proofErr w:type="spellEnd"/>
      <w:r w:rsidRPr="00124EDE">
        <w:rPr>
          <w:rFonts w:asciiTheme="majorHAnsi" w:eastAsia="Times New Roman" w:hAnsiTheme="majorHAnsi"/>
          <w:sz w:val="20"/>
          <w:szCs w:val="20"/>
          <w:lang w:val="es"/>
        </w:rPr>
        <w:t xml:space="preserve">) en el proceso por la demanda antes mencionada. De conformidad con el artículo 24(a) del Código Federal de Procedimiento Civil, Estados Unidos sostuvo que le correspondía participar en el proceso “por derecho” puesto que tenía “un interés significativamente protegible vinculado al asunto de esta demanda, es decir, la preservación de los secretos de </w:t>
      </w:r>
      <w:r w:rsidRPr="00124EDE">
        <w:rPr>
          <w:rFonts w:asciiTheme="majorHAnsi" w:eastAsia="Times New Roman" w:hAnsiTheme="majorHAnsi"/>
          <w:sz w:val="20"/>
          <w:szCs w:val="20"/>
          <w:lang w:val="es"/>
        </w:rPr>
        <w:lastRenderedPageBreak/>
        <w:t>Estado” y porque “ninguna otra parte en el proceso podía representar los intereses de Estados Unidos de forma adecuada”</w:t>
      </w:r>
      <w:r w:rsidRPr="00124EDE">
        <w:rPr>
          <w:rFonts w:asciiTheme="majorHAnsi" w:eastAsia="Times New Roman" w:hAnsiTheme="majorHAnsi"/>
          <w:sz w:val="20"/>
          <w:szCs w:val="20"/>
          <w:vertAlign w:val="superscript"/>
          <w:lang w:val="es"/>
        </w:rPr>
        <w:footnoteReference w:id="6"/>
      </w:r>
      <w:r w:rsidRPr="00124EDE">
        <w:rPr>
          <w:rFonts w:asciiTheme="majorHAnsi" w:eastAsia="Times New Roman" w:hAnsiTheme="majorHAnsi"/>
          <w:sz w:val="20"/>
          <w:szCs w:val="20"/>
          <w:lang w:val="es"/>
        </w:rPr>
        <w:t>. El 4 de febrero de 2008, el Estado fue autorizado a intervenir, por lo que se convirtió en parte activa en el juicio.</w:t>
      </w:r>
    </w:p>
    <w:p w14:paraId="6C0FB3CB"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p>
    <w:p w14:paraId="31716131" w14:textId="67F28A79"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124EDE">
        <w:rPr>
          <w:rFonts w:asciiTheme="majorHAnsi" w:eastAsia="Times New Roman" w:hAnsiTheme="majorHAnsi"/>
          <w:sz w:val="20"/>
          <w:szCs w:val="20"/>
          <w:lang w:val="es"/>
        </w:rPr>
        <w:t>En febrero 2008, el tribunal de distrito sobreseyó la causa antes de realizarse las pruebas de instrucción, lo que le impidió considerar el fondo del asunto. El tribunal concluyó que era válido el alegato del Estado de “privilegio de secretos de Estado”. El tribunal de distrito sostuvo que no era competente para conocer el caso debido a “la existencia del peligro razonable de que las pruebas solicitadas expongan asuntos militares que, en pro de la seguridad nacional, no deberían divulgarse”</w:t>
      </w:r>
      <w:r w:rsidRPr="00124EDE">
        <w:rPr>
          <w:rFonts w:asciiTheme="majorHAnsi" w:eastAsia="Times New Roman" w:hAnsiTheme="majorHAnsi"/>
          <w:sz w:val="20"/>
          <w:szCs w:val="20"/>
          <w:vertAlign w:val="superscript"/>
          <w:lang w:val="es"/>
        </w:rPr>
        <w:footnoteReference w:id="7"/>
      </w:r>
      <w:r w:rsidRPr="00124EDE">
        <w:rPr>
          <w:rFonts w:asciiTheme="majorHAnsi" w:eastAsia="Times New Roman" w:hAnsiTheme="majorHAnsi"/>
          <w:sz w:val="20"/>
          <w:szCs w:val="20"/>
          <w:lang w:val="es"/>
        </w:rPr>
        <w:t>. En contra de esa decisión, los peticionarios interpusieron oportunamente un recurso de apelación ante el Tribunal de Apelaciones para el Noveno Circuito</w:t>
      </w:r>
      <w:r w:rsidRPr="00124EDE">
        <w:rPr>
          <w:rFonts w:asciiTheme="majorHAnsi" w:eastAsia="Times New Roman" w:hAnsiTheme="majorHAnsi"/>
          <w:sz w:val="20"/>
          <w:szCs w:val="20"/>
          <w:vertAlign w:val="superscript"/>
          <w:lang w:val="es"/>
        </w:rPr>
        <w:footnoteReference w:id="8"/>
      </w:r>
      <w:r w:rsidRPr="00124EDE">
        <w:rPr>
          <w:rFonts w:asciiTheme="majorHAnsi" w:eastAsia="Times New Roman" w:hAnsiTheme="majorHAnsi"/>
          <w:sz w:val="20"/>
          <w:szCs w:val="20"/>
          <w:lang w:val="es"/>
        </w:rPr>
        <w:t xml:space="preserve">, en el cual el Estado era parte. El 8 de septiembre de 2010 el Tribunal del Noveno Circuito sobreseyó el caso en virtud del “privilegio de secretos de Estado”. Ese tribunal señaló que “no existe una manera viable de iniciar una acción judicial por la presunta responsabilidad de </w:t>
      </w:r>
      <w:proofErr w:type="spellStart"/>
      <w:r w:rsidRPr="00124EDE">
        <w:rPr>
          <w:rFonts w:asciiTheme="majorHAnsi" w:eastAsia="Times New Roman" w:hAnsiTheme="majorHAnsi"/>
          <w:sz w:val="20"/>
          <w:szCs w:val="20"/>
          <w:lang w:val="es"/>
        </w:rPr>
        <w:t>Jeppesen</w:t>
      </w:r>
      <w:proofErr w:type="spellEnd"/>
      <w:r w:rsidRPr="00124EDE">
        <w:rPr>
          <w:rFonts w:asciiTheme="majorHAnsi" w:eastAsia="Times New Roman" w:hAnsiTheme="majorHAnsi"/>
          <w:sz w:val="20"/>
          <w:szCs w:val="20"/>
          <w:lang w:val="es"/>
        </w:rPr>
        <w:t xml:space="preserve"> sin generar el riesgo injustificado de divulgar secretos de Estado”</w:t>
      </w:r>
      <w:r w:rsidRPr="00124EDE">
        <w:rPr>
          <w:rFonts w:asciiTheme="majorHAnsi" w:eastAsia="Times New Roman" w:hAnsiTheme="majorHAnsi"/>
          <w:sz w:val="20"/>
          <w:szCs w:val="20"/>
          <w:vertAlign w:val="superscript"/>
          <w:lang w:val="es"/>
        </w:rPr>
        <w:footnoteReference w:id="9"/>
      </w:r>
      <w:r w:rsidRPr="00124EDE">
        <w:rPr>
          <w:rFonts w:asciiTheme="majorHAnsi" w:eastAsia="Times New Roman" w:hAnsiTheme="majorHAnsi"/>
          <w:sz w:val="20"/>
          <w:szCs w:val="20"/>
          <w:lang w:val="es"/>
        </w:rPr>
        <w:t>. Posteriormente, los peticionarios solicitaron la revisión por parte de la Corte Suprema de Justicia estadounidense el 13 de diciembre de 2010. Su pedido de revisión fue rechazado en mayo de 2011</w:t>
      </w:r>
      <w:r w:rsidRPr="00124EDE">
        <w:rPr>
          <w:rFonts w:asciiTheme="majorHAnsi" w:eastAsia="Times New Roman" w:hAnsiTheme="majorHAnsi"/>
          <w:sz w:val="20"/>
          <w:szCs w:val="20"/>
          <w:vertAlign w:val="superscript"/>
          <w:lang w:val="es"/>
        </w:rPr>
        <w:footnoteReference w:id="10"/>
      </w:r>
      <w:r w:rsidRPr="00124EDE">
        <w:rPr>
          <w:rFonts w:asciiTheme="majorHAnsi" w:eastAsia="Times New Roman" w:hAnsiTheme="majorHAnsi"/>
          <w:sz w:val="20"/>
          <w:szCs w:val="20"/>
          <w:lang w:val="es"/>
        </w:rPr>
        <w:t xml:space="preserve">. </w:t>
      </w:r>
    </w:p>
    <w:p w14:paraId="65AA64BF"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54E7EC52" w14:textId="5EB72A03" w:rsidR="004B6194" w:rsidRPr="00124EDE" w:rsidRDefault="004B6194" w:rsidP="006A6FB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r w:rsidRPr="00124EDE">
        <w:rPr>
          <w:rFonts w:asciiTheme="majorHAnsi" w:hAnsiTheme="majorHAnsi"/>
          <w:sz w:val="20"/>
          <w:szCs w:val="20"/>
          <w:lang w:val="es"/>
        </w:rPr>
        <w:t xml:space="preserve">Por su parte, el Estado no controvierte el alegato de los peticionarios de que </w:t>
      </w:r>
      <w:r w:rsidR="007B6612" w:rsidRPr="00124EDE">
        <w:rPr>
          <w:rFonts w:asciiTheme="majorHAnsi" w:hAnsiTheme="majorHAnsi"/>
          <w:sz w:val="20"/>
          <w:szCs w:val="20"/>
          <w:lang w:val="es"/>
        </w:rPr>
        <w:t xml:space="preserve">se </w:t>
      </w:r>
      <w:r w:rsidRPr="00124EDE">
        <w:rPr>
          <w:rFonts w:asciiTheme="majorHAnsi" w:hAnsiTheme="majorHAnsi"/>
          <w:sz w:val="20"/>
          <w:szCs w:val="20"/>
          <w:lang w:val="es"/>
        </w:rPr>
        <w:t>agotaron todos los recursos internos. Estados Unidos rechaza la presente petición como inadmisible y argumenta que la Declaración Americana es un instrumento “no vinculante” y que la Comisión solamente puede hacer recomendaciones que el Estado no está obligado a seguir. También recuerda a la Comisión el informe de 712 páginas publicado en diciembre de 2014 por el Comité Selecto del Senado sobre Inteligencia (“S.S.C.I”) para demostrar que EUA llevó a cabo una investigación exhaustiva sobre los supuestos hechos de abuso</w:t>
      </w:r>
      <w:r w:rsidRPr="00124EDE">
        <w:rPr>
          <w:rFonts w:asciiTheme="majorHAnsi" w:hAnsiTheme="majorHAnsi"/>
          <w:sz w:val="20"/>
          <w:szCs w:val="20"/>
          <w:vertAlign w:val="superscript"/>
          <w:lang w:val="es"/>
        </w:rPr>
        <w:footnoteReference w:id="11"/>
      </w:r>
      <w:r w:rsidRPr="00124EDE">
        <w:rPr>
          <w:rFonts w:asciiTheme="majorHAnsi" w:hAnsiTheme="majorHAnsi"/>
          <w:sz w:val="20"/>
          <w:szCs w:val="20"/>
          <w:lang w:val="es"/>
        </w:rPr>
        <w:t xml:space="preserve">. El Informe del S.S.C.I explica en detalle el programa de detención e interrogatorios de la CIA que según los peticionarios dio lugar a las violaciones de derechos humanos alegadas. El Estado señala que el resumen del Informe del S.S.C.I se refiere brevemente a dos de las presuntas víctimas, </w:t>
      </w:r>
      <w:proofErr w:type="spellStart"/>
      <w:r w:rsidRPr="00124EDE">
        <w:rPr>
          <w:rFonts w:asciiTheme="majorHAnsi" w:hAnsiTheme="majorHAnsi"/>
          <w:sz w:val="20"/>
          <w:szCs w:val="20"/>
          <w:lang w:val="es"/>
        </w:rPr>
        <w:t>Binyam</w:t>
      </w:r>
      <w:proofErr w:type="spellEnd"/>
      <w:r w:rsidRPr="00124EDE">
        <w:rPr>
          <w:rFonts w:asciiTheme="majorHAnsi" w:hAnsiTheme="majorHAnsi"/>
          <w:sz w:val="20"/>
          <w:szCs w:val="20"/>
          <w:lang w:val="es"/>
        </w:rPr>
        <w:t xml:space="preserve"> Mohamed y </w:t>
      </w:r>
      <w:proofErr w:type="spellStart"/>
      <w:r w:rsidRPr="00124EDE">
        <w:rPr>
          <w:rFonts w:asciiTheme="majorHAnsi" w:hAnsiTheme="majorHAnsi"/>
          <w:sz w:val="20"/>
          <w:szCs w:val="20"/>
          <w:lang w:val="es"/>
        </w:rPr>
        <w:t>Bisher</w:t>
      </w:r>
      <w:proofErr w:type="spellEnd"/>
      <w:r w:rsidRPr="00124EDE">
        <w:rPr>
          <w:rFonts w:asciiTheme="majorHAnsi" w:hAnsiTheme="majorHAnsi"/>
          <w:sz w:val="20"/>
          <w:szCs w:val="20"/>
          <w:lang w:val="es"/>
        </w:rPr>
        <w:t xml:space="preserve"> al-</w:t>
      </w:r>
      <w:proofErr w:type="spellStart"/>
      <w:r w:rsidRPr="00124EDE">
        <w:rPr>
          <w:rFonts w:asciiTheme="majorHAnsi" w:hAnsiTheme="majorHAnsi"/>
          <w:sz w:val="20"/>
          <w:szCs w:val="20"/>
          <w:lang w:val="es"/>
        </w:rPr>
        <w:t>Rawi</w:t>
      </w:r>
      <w:proofErr w:type="spellEnd"/>
      <w:r w:rsidRPr="00124EDE">
        <w:rPr>
          <w:rStyle w:val="FootnoteReference"/>
          <w:rFonts w:asciiTheme="majorHAnsi" w:eastAsia="Times New Roman" w:hAnsiTheme="majorHAnsi"/>
          <w:sz w:val="20"/>
          <w:szCs w:val="20"/>
          <w:lang w:val="es"/>
        </w:rPr>
        <w:footnoteReference w:id="12"/>
      </w:r>
      <w:r w:rsidRPr="00124EDE">
        <w:rPr>
          <w:rFonts w:asciiTheme="majorHAnsi" w:hAnsiTheme="majorHAnsi"/>
          <w:sz w:val="20"/>
          <w:szCs w:val="20"/>
          <w:lang w:val="es"/>
        </w:rPr>
        <w:t xml:space="preserve">. El Informe del S.S.C.I. dice claramente que el señor Mohamed “fue entregado por la CIA” en julio de 2002 y detenido por un gobierno no </w:t>
      </w:r>
      <w:r w:rsidR="00226088" w:rsidRPr="00124EDE">
        <w:rPr>
          <w:rFonts w:asciiTheme="majorHAnsi" w:hAnsiTheme="majorHAnsi"/>
          <w:sz w:val="20"/>
          <w:szCs w:val="20"/>
          <w:lang w:val="es"/>
        </w:rPr>
        <w:t>develado</w:t>
      </w:r>
      <w:r w:rsidRPr="00124EDE">
        <w:rPr>
          <w:rStyle w:val="FootnoteReference"/>
          <w:rFonts w:asciiTheme="majorHAnsi" w:eastAsia="Times New Roman" w:hAnsiTheme="majorHAnsi"/>
          <w:sz w:val="20"/>
          <w:szCs w:val="20"/>
          <w:lang w:val="es"/>
        </w:rPr>
        <w:footnoteReference w:id="13"/>
      </w:r>
      <w:r w:rsidRPr="00124EDE">
        <w:rPr>
          <w:rFonts w:asciiTheme="majorHAnsi" w:hAnsiTheme="majorHAnsi"/>
          <w:sz w:val="20"/>
          <w:szCs w:val="20"/>
          <w:lang w:val="es"/>
        </w:rPr>
        <w:t>. En enero de 2004, este “fue entregado a la CIA”</w:t>
      </w:r>
      <w:r w:rsidRPr="00124EDE">
        <w:rPr>
          <w:rStyle w:val="FootnoteReference"/>
          <w:rFonts w:asciiTheme="majorHAnsi" w:eastAsia="Times New Roman" w:hAnsiTheme="majorHAnsi"/>
          <w:sz w:val="20"/>
          <w:szCs w:val="20"/>
          <w:lang w:val="es"/>
        </w:rPr>
        <w:footnoteReference w:id="14"/>
      </w:r>
      <w:r w:rsidRPr="00124EDE">
        <w:rPr>
          <w:rFonts w:asciiTheme="majorHAnsi" w:hAnsiTheme="majorHAnsi"/>
          <w:sz w:val="20"/>
          <w:szCs w:val="20"/>
          <w:lang w:val="es"/>
        </w:rPr>
        <w:t>; el 21 de septiembre de 2004, fue trasladado a la Bahía de Guantánamo, Cuba; finalmente, el 23 de febrero de 2009, fue liberado y devuelto al Reino Unido</w:t>
      </w:r>
      <w:r w:rsidRPr="00124EDE">
        <w:rPr>
          <w:rStyle w:val="FootnoteReference"/>
          <w:rFonts w:asciiTheme="majorHAnsi" w:eastAsia="Times New Roman" w:hAnsiTheme="majorHAnsi"/>
          <w:sz w:val="20"/>
          <w:szCs w:val="20"/>
          <w:lang w:val="es"/>
        </w:rPr>
        <w:footnoteReference w:id="15"/>
      </w:r>
      <w:r w:rsidRPr="00124EDE">
        <w:rPr>
          <w:rFonts w:asciiTheme="majorHAnsi" w:hAnsiTheme="majorHAnsi"/>
          <w:sz w:val="20"/>
          <w:szCs w:val="20"/>
          <w:lang w:val="es"/>
        </w:rPr>
        <w:t xml:space="preserve">. Con respecto al señor </w:t>
      </w:r>
      <w:proofErr w:type="spellStart"/>
      <w:r w:rsidRPr="00124EDE">
        <w:rPr>
          <w:rFonts w:asciiTheme="majorHAnsi" w:hAnsiTheme="majorHAnsi"/>
          <w:sz w:val="20"/>
          <w:szCs w:val="20"/>
          <w:lang w:val="es"/>
        </w:rPr>
        <w:t>Bishar</w:t>
      </w:r>
      <w:proofErr w:type="spellEnd"/>
      <w:r w:rsidRPr="00124EDE">
        <w:rPr>
          <w:rFonts w:asciiTheme="majorHAnsi" w:hAnsiTheme="majorHAnsi"/>
          <w:sz w:val="20"/>
          <w:szCs w:val="20"/>
          <w:lang w:val="es"/>
        </w:rPr>
        <w:t xml:space="preserve"> al-</w:t>
      </w:r>
      <w:proofErr w:type="spellStart"/>
      <w:r w:rsidRPr="00124EDE">
        <w:rPr>
          <w:rFonts w:asciiTheme="majorHAnsi" w:hAnsiTheme="majorHAnsi"/>
          <w:sz w:val="20"/>
          <w:szCs w:val="20"/>
          <w:lang w:val="es"/>
        </w:rPr>
        <w:t>Rawi</w:t>
      </w:r>
      <w:proofErr w:type="spellEnd"/>
      <w:r w:rsidRPr="00124EDE">
        <w:rPr>
          <w:rFonts w:asciiTheme="majorHAnsi" w:hAnsiTheme="majorHAnsi"/>
          <w:sz w:val="20"/>
          <w:szCs w:val="20"/>
          <w:lang w:val="es"/>
        </w:rPr>
        <w:t>, el Informe del Senado confirma que este fue detenido por la CIA en 2002 pero no revela por cuánto tiempo el señor al-</w:t>
      </w:r>
      <w:proofErr w:type="spellStart"/>
      <w:r w:rsidRPr="00124EDE">
        <w:rPr>
          <w:rFonts w:asciiTheme="majorHAnsi" w:hAnsiTheme="majorHAnsi"/>
          <w:sz w:val="20"/>
          <w:szCs w:val="20"/>
          <w:lang w:val="es"/>
        </w:rPr>
        <w:t>Rawi</w:t>
      </w:r>
      <w:proofErr w:type="spellEnd"/>
      <w:r w:rsidRPr="00124EDE">
        <w:rPr>
          <w:rFonts w:asciiTheme="majorHAnsi" w:hAnsiTheme="majorHAnsi"/>
          <w:sz w:val="20"/>
          <w:szCs w:val="20"/>
          <w:lang w:val="es"/>
        </w:rPr>
        <w:t xml:space="preserve"> estuvo detenido ni especifica cuándo se lo liberó</w:t>
      </w:r>
      <w:r w:rsidRPr="00124EDE">
        <w:rPr>
          <w:rStyle w:val="FootnoteReference"/>
          <w:rFonts w:asciiTheme="majorHAnsi" w:eastAsia="Times New Roman" w:hAnsiTheme="majorHAnsi"/>
          <w:sz w:val="20"/>
          <w:szCs w:val="20"/>
          <w:lang w:val="es"/>
        </w:rPr>
        <w:footnoteReference w:id="16"/>
      </w:r>
      <w:r w:rsidRPr="00124EDE">
        <w:rPr>
          <w:rFonts w:asciiTheme="majorHAnsi" w:hAnsiTheme="majorHAnsi"/>
          <w:sz w:val="20"/>
          <w:szCs w:val="20"/>
          <w:lang w:val="es"/>
        </w:rPr>
        <w:t>. Sin embargo, en su respuesta el Estado dice que los datos contenidos en el Informe del S.S.C.I. son la opinión del Comité del Senado y no reflejan las opiniones del Poder Ejecutivo de Estados Unidos.</w:t>
      </w:r>
    </w:p>
    <w:p w14:paraId="6061E612"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p>
    <w:p w14:paraId="26C42A0A" w14:textId="531299FA" w:rsidR="004B6194" w:rsidRPr="00124EDE" w:rsidRDefault="004B6194" w:rsidP="004B6194">
      <w:pPr>
        <w:spacing w:before="240" w:after="240"/>
        <w:ind w:left="1440" w:hanging="720"/>
        <w:contextualSpacing/>
        <w:jc w:val="both"/>
        <w:rPr>
          <w:rFonts w:asciiTheme="majorHAnsi" w:hAnsiTheme="majorHAnsi"/>
          <w:b/>
          <w:bCs/>
          <w:sz w:val="20"/>
          <w:szCs w:val="20"/>
          <w:lang w:val="es-ES"/>
        </w:rPr>
      </w:pPr>
      <w:r w:rsidRPr="00124EDE">
        <w:rPr>
          <w:rFonts w:asciiTheme="majorHAnsi" w:hAnsiTheme="majorHAnsi"/>
          <w:b/>
          <w:bCs/>
          <w:color w:val="000000"/>
          <w:sz w:val="20"/>
          <w:szCs w:val="20"/>
          <w:u w:color="000000"/>
          <w:lang w:val="es"/>
        </w:rPr>
        <w:t>VI.</w:t>
      </w:r>
      <w:r w:rsidRPr="00124EDE">
        <w:rPr>
          <w:rFonts w:asciiTheme="majorHAnsi" w:hAnsiTheme="majorHAnsi"/>
          <w:b/>
          <w:bCs/>
          <w:color w:val="000000"/>
          <w:sz w:val="20"/>
          <w:szCs w:val="20"/>
          <w:u w:color="000000"/>
          <w:lang w:val="es"/>
        </w:rPr>
        <w:tab/>
      </w:r>
      <w:r w:rsidRPr="00124EDE">
        <w:rPr>
          <w:rFonts w:asciiTheme="majorHAnsi" w:hAnsiTheme="majorHAnsi"/>
          <w:b/>
          <w:bCs/>
          <w:sz w:val="20"/>
          <w:szCs w:val="20"/>
          <w:lang w:val="es"/>
        </w:rPr>
        <w:t>AGOTAMIENTO DE LOS RECURSOS INTERNOS Y PLAZO DE PRESENTACIÓN</w:t>
      </w:r>
    </w:p>
    <w:p w14:paraId="4E8D91E1"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ajorHAnsi" w:eastAsia="Times New Roman" w:hAnsiTheme="majorHAnsi"/>
          <w:b/>
          <w:sz w:val="20"/>
          <w:szCs w:val="20"/>
          <w:lang w:val="es-ES"/>
        </w:rPr>
      </w:pPr>
    </w:p>
    <w:p w14:paraId="2822532F"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ind w:firstLine="1440"/>
        <w:contextualSpacing/>
        <w:jc w:val="both"/>
        <w:rPr>
          <w:rFonts w:asciiTheme="majorHAnsi" w:eastAsia="Times New Roman" w:hAnsiTheme="majorHAnsi"/>
          <w:b/>
          <w:bCs/>
          <w:sz w:val="20"/>
          <w:szCs w:val="20"/>
          <w:lang w:val="es-ES"/>
        </w:rPr>
      </w:pPr>
      <w:r w:rsidRPr="00124EDE">
        <w:rPr>
          <w:rFonts w:asciiTheme="majorHAnsi" w:eastAsia="Times New Roman" w:hAnsiTheme="majorHAnsi"/>
          <w:b/>
          <w:bCs/>
          <w:sz w:val="20"/>
          <w:szCs w:val="20"/>
          <w:lang w:val="es"/>
        </w:rPr>
        <w:t>Consideraciones previas en cuanto a competencia</w:t>
      </w:r>
    </w:p>
    <w:p w14:paraId="47DE01DF" w14:textId="77777777"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lang w:val="es-ES"/>
        </w:rPr>
      </w:pPr>
    </w:p>
    <w:p w14:paraId="2AFAB303" w14:textId="6B67C785" w:rsidR="004B6194" w:rsidRPr="00124EDE" w:rsidRDefault="004B6194" w:rsidP="006A6FBE">
      <w:pPr>
        <w:pStyle w:val="ListParagraph"/>
        <w:numPr>
          <w:ilvl w:val="0"/>
          <w:numId w:val="55"/>
        </w:numPr>
        <w:jc w:val="both"/>
        <w:rPr>
          <w:rFonts w:asciiTheme="majorHAnsi" w:hAnsiTheme="majorHAnsi"/>
          <w:color w:val="auto"/>
          <w:sz w:val="20"/>
          <w:szCs w:val="20"/>
          <w:lang w:val="es-ES"/>
        </w:rPr>
      </w:pPr>
      <w:r w:rsidRPr="00124EDE">
        <w:rPr>
          <w:rFonts w:asciiTheme="majorHAnsi" w:hAnsiTheme="majorHAnsi"/>
          <w:color w:val="auto"/>
          <w:sz w:val="20"/>
          <w:szCs w:val="20"/>
          <w:lang w:val="es"/>
        </w:rPr>
        <w:t xml:space="preserve">Luego de analizar la información presentada, la Comisión Interamericana concluye que es competente </w:t>
      </w:r>
      <w:proofErr w:type="spellStart"/>
      <w:r w:rsidRPr="00124EDE">
        <w:rPr>
          <w:rFonts w:asciiTheme="majorHAnsi" w:hAnsiTheme="majorHAnsi"/>
          <w:i/>
          <w:iCs/>
          <w:color w:val="auto"/>
          <w:sz w:val="20"/>
          <w:szCs w:val="20"/>
          <w:lang w:val="es"/>
        </w:rPr>
        <w:t>ratione</w:t>
      </w:r>
      <w:proofErr w:type="spellEnd"/>
      <w:r w:rsidRPr="00124EDE">
        <w:rPr>
          <w:rFonts w:asciiTheme="majorHAnsi" w:hAnsiTheme="majorHAnsi"/>
          <w:i/>
          <w:iCs/>
          <w:color w:val="auto"/>
          <w:sz w:val="20"/>
          <w:szCs w:val="20"/>
          <w:lang w:val="es"/>
        </w:rPr>
        <w:t xml:space="preserve"> </w:t>
      </w:r>
      <w:proofErr w:type="spellStart"/>
      <w:r w:rsidRPr="00124EDE">
        <w:rPr>
          <w:rFonts w:asciiTheme="majorHAnsi" w:hAnsiTheme="majorHAnsi"/>
          <w:i/>
          <w:iCs/>
          <w:color w:val="auto"/>
          <w:sz w:val="20"/>
          <w:szCs w:val="20"/>
          <w:lang w:val="es"/>
        </w:rPr>
        <w:t>personae</w:t>
      </w:r>
      <w:proofErr w:type="spellEnd"/>
      <w:r w:rsidRPr="00124EDE">
        <w:rPr>
          <w:rFonts w:asciiTheme="majorHAnsi" w:hAnsiTheme="majorHAnsi"/>
          <w:color w:val="auto"/>
          <w:sz w:val="20"/>
          <w:szCs w:val="20"/>
          <w:lang w:val="es"/>
        </w:rPr>
        <w:t xml:space="preserve"> para examinar los alegatos expuestos en la presente petición. En virtud del artículo 23 del Reglamento de la CIDH, los peticionarios pueden presentar reclamos donde se aleguen </w:t>
      </w:r>
      <w:r w:rsidRPr="00124EDE">
        <w:rPr>
          <w:rFonts w:asciiTheme="majorHAnsi" w:hAnsiTheme="majorHAnsi"/>
          <w:color w:val="auto"/>
          <w:sz w:val="20"/>
          <w:szCs w:val="20"/>
          <w:lang w:val="es"/>
        </w:rPr>
        <w:lastRenderedPageBreak/>
        <w:t xml:space="preserve">violaciones de los derechos protegidos por la Declaración Americana. Las presuntas víctimas son personas cuyos derechos se encuentran protegidos puesto que sus denuncias se refieren a presuntos malos tratos a manos de agentes estadounidenses. El Estado se encuentra obligado a respetar las disposiciones de la Declaración Americana, y la Comisión es competente para </w:t>
      </w:r>
      <w:r w:rsidR="00226088" w:rsidRPr="00124EDE">
        <w:rPr>
          <w:rFonts w:asciiTheme="majorHAnsi" w:hAnsiTheme="majorHAnsi"/>
          <w:color w:val="auto"/>
          <w:sz w:val="20"/>
          <w:szCs w:val="20"/>
          <w:lang w:val="es"/>
        </w:rPr>
        <w:t>conocer</w:t>
      </w:r>
      <w:r w:rsidRPr="00124EDE">
        <w:rPr>
          <w:rFonts w:asciiTheme="majorHAnsi" w:hAnsiTheme="majorHAnsi"/>
          <w:color w:val="auto"/>
          <w:sz w:val="20"/>
          <w:szCs w:val="20"/>
          <w:lang w:val="es"/>
        </w:rPr>
        <w:t xml:space="preserve"> peticiones en las que se aleguen violaciones respecto de dicho instrumento por parte del Estado, en virtud de su ratificación de la Carta de la OEA el 19 de junio de 1951 y de conformidad con el artículo 20 del Estatuto de la CIDH y el artículo 49 de su Reglamento interno.</w:t>
      </w:r>
    </w:p>
    <w:p w14:paraId="6EB23C40" w14:textId="77777777" w:rsidR="004B6194" w:rsidRPr="00124EDE" w:rsidRDefault="004B6194" w:rsidP="004B6194">
      <w:pPr>
        <w:pStyle w:val="ListParagraph"/>
        <w:jc w:val="both"/>
        <w:rPr>
          <w:rFonts w:asciiTheme="majorHAnsi" w:hAnsiTheme="majorHAnsi"/>
          <w:color w:val="auto"/>
          <w:sz w:val="20"/>
          <w:szCs w:val="20"/>
          <w:lang w:val="es-ES"/>
        </w:rPr>
      </w:pPr>
    </w:p>
    <w:p w14:paraId="46BE4C00" w14:textId="77777777" w:rsidR="004B6194" w:rsidRPr="00124EDE" w:rsidRDefault="004B6194" w:rsidP="006A6FBE">
      <w:pPr>
        <w:pStyle w:val="ListParagraph"/>
        <w:numPr>
          <w:ilvl w:val="0"/>
          <w:numId w:val="55"/>
        </w:numPr>
        <w:jc w:val="both"/>
        <w:rPr>
          <w:rFonts w:asciiTheme="majorHAnsi" w:hAnsiTheme="majorHAnsi"/>
          <w:b/>
          <w:bCs/>
          <w:color w:val="auto"/>
          <w:sz w:val="20"/>
          <w:szCs w:val="20"/>
          <w:lang w:val="es-ES"/>
        </w:rPr>
      </w:pPr>
      <w:r w:rsidRPr="00124EDE">
        <w:rPr>
          <w:rFonts w:asciiTheme="majorHAnsi" w:hAnsiTheme="majorHAnsi"/>
          <w:color w:val="auto"/>
          <w:sz w:val="20"/>
          <w:szCs w:val="20"/>
          <w:lang w:val="es"/>
        </w:rPr>
        <w:t xml:space="preserve">En cuanto a su jurisdicción </w:t>
      </w:r>
      <w:proofErr w:type="spellStart"/>
      <w:r w:rsidRPr="00124EDE">
        <w:rPr>
          <w:rFonts w:asciiTheme="majorHAnsi" w:hAnsiTheme="majorHAnsi"/>
          <w:i/>
          <w:iCs/>
          <w:color w:val="auto"/>
          <w:sz w:val="20"/>
          <w:szCs w:val="20"/>
          <w:lang w:val="es"/>
        </w:rPr>
        <w:t>ratione</w:t>
      </w:r>
      <w:proofErr w:type="spellEnd"/>
      <w:r w:rsidRPr="00124EDE">
        <w:rPr>
          <w:rFonts w:asciiTheme="majorHAnsi" w:hAnsiTheme="majorHAnsi"/>
          <w:i/>
          <w:iCs/>
          <w:color w:val="auto"/>
          <w:sz w:val="20"/>
          <w:szCs w:val="20"/>
          <w:lang w:val="es"/>
        </w:rPr>
        <w:t xml:space="preserve"> </w:t>
      </w:r>
      <w:proofErr w:type="spellStart"/>
      <w:r w:rsidRPr="00124EDE">
        <w:rPr>
          <w:rFonts w:asciiTheme="majorHAnsi" w:hAnsiTheme="majorHAnsi"/>
          <w:i/>
          <w:iCs/>
          <w:color w:val="auto"/>
          <w:sz w:val="20"/>
          <w:szCs w:val="20"/>
          <w:lang w:val="es"/>
        </w:rPr>
        <w:t>loci</w:t>
      </w:r>
      <w:proofErr w:type="spellEnd"/>
      <w:r w:rsidRPr="00124EDE">
        <w:rPr>
          <w:rFonts w:asciiTheme="majorHAnsi" w:hAnsiTheme="majorHAnsi"/>
          <w:color w:val="auto"/>
          <w:sz w:val="20"/>
          <w:szCs w:val="20"/>
          <w:lang w:val="es"/>
        </w:rPr>
        <w:t xml:space="preserve"> y la aplicación extraterritorial de la Declaración Americana, la CIDH ha sostenido que aun cuando el deber estatal de proteger los derechos de las personas tiene una base territorial, en determinadas circunstancias, ese deber puede referirse a conductas con un </w:t>
      </w:r>
      <w:r w:rsidRPr="00124EDE">
        <w:rPr>
          <w:rFonts w:asciiTheme="majorHAnsi" w:hAnsiTheme="majorHAnsi"/>
          <w:i/>
          <w:iCs/>
          <w:color w:val="auto"/>
          <w:sz w:val="20"/>
          <w:szCs w:val="20"/>
          <w:lang w:val="es"/>
        </w:rPr>
        <w:t>locus</w:t>
      </w:r>
      <w:r w:rsidRPr="00124EDE">
        <w:rPr>
          <w:rFonts w:asciiTheme="majorHAnsi" w:hAnsiTheme="majorHAnsi"/>
          <w:color w:val="auto"/>
          <w:sz w:val="20"/>
          <w:szCs w:val="20"/>
          <w:lang w:val="es"/>
        </w:rPr>
        <w:t xml:space="preserve"> extraterritorial cuando la persona en cuestión se encuentra en el territorio de un Estado pero sujeta al control de otro Estado, por lo general a través de los actos de los agentes de este último en el extranjero. En estos casos, debe determinarse si la presunta víctima estuvo sujeta a la autoridad y control del Estado actuante</w:t>
      </w:r>
      <w:r w:rsidRPr="00124EDE">
        <w:rPr>
          <w:rStyle w:val="FootnoteReference"/>
          <w:rFonts w:asciiTheme="majorHAnsi" w:hAnsiTheme="majorHAnsi"/>
          <w:color w:val="auto"/>
          <w:sz w:val="20"/>
          <w:szCs w:val="20"/>
          <w:lang w:val="es"/>
        </w:rPr>
        <w:footnoteReference w:id="17"/>
      </w:r>
      <w:r w:rsidRPr="00124EDE">
        <w:rPr>
          <w:rFonts w:asciiTheme="majorHAnsi" w:hAnsiTheme="majorHAnsi"/>
          <w:color w:val="auto"/>
          <w:sz w:val="20"/>
          <w:szCs w:val="20"/>
          <w:lang w:val="es"/>
        </w:rPr>
        <w:t xml:space="preserve">. </w:t>
      </w:r>
    </w:p>
    <w:p w14:paraId="0D767372" w14:textId="77777777" w:rsidR="004B6194" w:rsidRPr="00124EDE" w:rsidRDefault="004B6194" w:rsidP="004B6194">
      <w:pPr>
        <w:pStyle w:val="ListParagraph"/>
        <w:rPr>
          <w:rFonts w:asciiTheme="majorHAnsi" w:hAnsiTheme="majorHAnsi"/>
          <w:sz w:val="20"/>
          <w:szCs w:val="20"/>
          <w:lang w:val="es-ES"/>
        </w:rPr>
      </w:pPr>
    </w:p>
    <w:p w14:paraId="14378EEB" w14:textId="6F5472D5" w:rsidR="004B6194" w:rsidRPr="00124EDE" w:rsidRDefault="004B6194" w:rsidP="006A6FBE">
      <w:pPr>
        <w:pStyle w:val="ListParagraph"/>
        <w:numPr>
          <w:ilvl w:val="0"/>
          <w:numId w:val="55"/>
        </w:numPr>
        <w:jc w:val="both"/>
        <w:rPr>
          <w:rFonts w:asciiTheme="majorHAnsi" w:hAnsiTheme="majorHAnsi"/>
          <w:b/>
          <w:bCs/>
          <w:color w:val="auto"/>
          <w:sz w:val="20"/>
          <w:szCs w:val="20"/>
          <w:lang w:val="es-ES"/>
        </w:rPr>
      </w:pPr>
      <w:r w:rsidRPr="00124EDE">
        <w:rPr>
          <w:rFonts w:asciiTheme="majorHAnsi" w:hAnsiTheme="majorHAnsi"/>
          <w:sz w:val="20"/>
          <w:szCs w:val="20"/>
          <w:lang w:val="es"/>
        </w:rPr>
        <w:t xml:space="preserve">Según los peticionarios, el arresto y la tortura de las presuntas víctimas </w:t>
      </w:r>
      <w:r w:rsidR="003D1F08">
        <w:rPr>
          <w:rFonts w:asciiTheme="majorHAnsi" w:hAnsiTheme="majorHAnsi"/>
          <w:sz w:val="20"/>
          <w:szCs w:val="20"/>
          <w:lang w:val="es"/>
        </w:rPr>
        <w:t xml:space="preserve">requería </w:t>
      </w:r>
      <w:r w:rsidRPr="00124EDE">
        <w:rPr>
          <w:rFonts w:asciiTheme="majorHAnsi" w:hAnsiTheme="majorHAnsi"/>
          <w:sz w:val="20"/>
          <w:szCs w:val="20"/>
          <w:lang w:val="es"/>
        </w:rPr>
        <w:t>que los agentes estadounidenses ejercier</w:t>
      </w:r>
      <w:r w:rsidR="003D1F08">
        <w:rPr>
          <w:rFonts w:asciiTheme="majorHAnsi" w:hAnsiTheme="majorHAnsi"/>
          <w:sz w:val="20"/>
          <w:szCs w:val="20"/>
          <w:lang w:val="es"/>
        </w:rPr>
        <w:t>a</w:t>
      </w:r>
      <w:r w:rsidRPr="00124EDE">
        <w:rPr>
          <w:rFonts w:asciiTheme="majorHAnsi" w:hAnsiTheme="majorHAnsi"/>
          <w:sz w:val="20"/>
          <w:szCs w:val="20"/>
          <w:lang w:val="es"/>
        </w:rPr>
        <w:t>n fuerza física y control. Esto es un elemento decisivo a la hora de determinar la jurisdicción del Estado sobre los hechos alegados</w:t>
      </w:r>
      <w:r w:rsidRPr="00124EDE">
        <w:rPr>
          <w:rStyle w:val="FootnoteReference"/>
          <w:rFonts w:asciiTheme="majorHAnsi" w:hAnsiTheme="majorHAnsi"/>
          <w:color w:val="auto"/>
          <w:sz w:val="20"/>
          <w:szCs w:val="20"/>
          <w:lang w:val="es"/>
        </w:rPr>
        <w:footnoteReference w:id="18"/>
      </w:r>
      <w:r w:rsidR="004C69BE" w:rsidRPr="00124EDE">
        <w:rPr>
          <w:rFonts w:asciiTheme="majorHAnsi" w:hAnsiTheme="majorHAnsi"/>
          <w:sz w:val="20"/>
          <w:szCs w:val="20"/>
          <w:lang w:val="es"/>
        </w:rPr>
        <w:t>.</w:t>
      </w:r>
      <w:r w:rsidRPr="00124EDE">
        <w:rPr>
          <w:rFonts w:asciiTheme="majorHAnsi" w:hAnsiTheme="majorHAnsi"/>
          <w:sz w:val="20"/>
          <w:szCs w:val="20"/>
          <w:lang w:val="es"/>
        </w:rPr>
        <w:t xml:space="preserve"> Las presuntas víctimas habrían sido arrestadas y torturadas por agentes estadounidenses. Los peticionarios alegan que la detención y traslado ilícito de las presuntas víctimas formó parte de un “programa de extradiciones” que fue una práctica sistemática del Estado para detener y trasladar sospechosos de vínculos terroristas hacia centros de detención secretos denominados “sitios negros”. Los agentes del Estado, pese a operar fuera del territorio de este, colocaron a las presuntas víctimas bajo la jurisdicción de Estados Unidos al ejercer control físico sobre estas y trasladarlas. En vista de estas consideraciones, la Comisión estima que los alegatos de los peticionarios sobre la supuesta participación de Estados Unidos en el arresto y traslado de las presuntas víctimas hacia países donde fueron torturadas requieren un análisis de fondo para determinar si Estados Unidos ejerció jurisdicción extraterritorial</w:t>
      </w:r>
      <w:r w:rsidRPr="00124EDE">
        <w:rPr>
          <w:rStyle w:val="FootnoteReference"/>
          <w:rFonts w:asciiTheme="majorHAnsi" w:hAnsiTheme="majorHAnsi"/>
          <w:sz w:val="20"/>
          <w:szCs w:val="20"/>
          <w:lang w:val="es"/>
        </w:rPr>
        <w:footnoteReference w:id="19"/>
      </w:r>
      <w:r w:rsidRPr="00124EDE">
        <w:rPr>
          <w:rFonts w:asciiTheme="majorHAnsi" w:hAnsiTheme="majorHAnsi"/>
          <w:sz w:val="20"/>
          <w:szCs w:val="20"/>
          <w:lang w:val="es"/>
        </w:rPr>
        <w:t>.</w:t>
      </w:r>
    </w:p>
    <w:p w14:paraId="3272912F" w14:textId="77777777" w:rsidR="004B6194" w:rsidRPr="00124EDE" w:rsidRDefault="004B6194" w:rsidP="004B6194">
      <w:pPr>
        <w:pStyle w:val="ListParagraph"/>
        <w:jc w:val="both"/>
        <w:rPr>
          <w:rFonts w:asciiTheme="majorHAnsi" w:hAnsiTheme="majorHAnsi"/>
          <w:b/>
          <w:bCs/>
          <w:color w:val="auto"/>
          <w:sz w:val="20"/>
          <w:szCs w:val="20"/>
          <w:lang w:val="es-ES"/>
        </w:rPr>
      </w:pPr>
    </w:p>
    <w:p w14:paraId="70387A4F" w14:textId="77777777" w:rsidR="004B6194" w:rsidRPr="00124EDE" w:rsidRDefault="004B6194" w:rsidP="006A6FBE">
      <w:pPr>
        <w:pStyle w:val="ListParagraph"/>
        <w:numPr>
          <w:ilvl w:val="0"/>
          <w:numId w:val="55"/>
        </w:numPr>
        <w:jc w:val="both"/>
        <w:rPr>
          <w:rFonts w:asciiTheme="majorHAnsi" w:hAnsiTheme="majorHAnsi"/>
          <w:b/>
          <w:bCs/>
          <w:color w:val="auto"/>
          <w:sz w:val="20"/>
          <w:szCs w:val="20"/>
          <w:lang w:val="es-ES"/>
        </w:rPr>
      </w:pPr>
      <w:r w:rsidRPr="00124EDE">
        <w:rPr>
          <w:rFonts w:asciiTheme="majorHAnsi" w:hAnsiTheme="majorHAnsi"/>
          <w:sz w:val="20"/>
          <w:szCs w:val="20"/>
          <w:lang w:val="es"/>
        </w:rPr>
        <w:t>Con respecto al agotamiento de los recursos internos, de conformidad con el artículo 31(3) del Reglamento de la CIDH, corresponde al Estado demostrar que los “recursos internos no han sido agotados, a menos que ello se deduzca claramente del expediente”</w:t>
      </w:r>
      <w:r w:rsidRPr="00124EDE">
        <w:rPr>
          <w:rFonts w:asciiTheme="majorHAnsi" w:hAnsiTheme="majorHAnsi"/>
          <w:sz w:val="20"/>
          <w:szCs w:val="20"/>
          <w:vertAlign w:val="superscript"/>
          <w:lang w:val="es"/>
        </w:rPr>
        <w:footnoteReference w:id="20"/>
      </w:r>
      <w:r w:rsidRPr="00124EDE">
        <w:rPr>
          <w:rFonts w:asciiTheme="majorHAnsi" w:hAnsiTheme="majorHAnsi"/>
          <w:sz w:val="20"/>
          <w:szCs w:val="20"/>
          <w:lang w:val="es"/>
        </w:rPr>
        <w:t>. Si el Estado no controvierte el agotamiento de los recursos internos, este pierde la oportunidad de presentar ese descargo, y la Comisión “analizará el cumplimiento de la norma basándose en la información que consta en el expediente”</w:t>
      </w:r>
      <w:r w:rsidRPr="00124EDE">
        <w:rPr>
          <w:rFonts w:asciiTheme="majorHAnsi" w:hAnsiTheme="majorHAnsi"/>
          <w:sz w:val="20"/>
          <w:szCs w:val="20"/>
          <w:vertAlign w:val="superscript"/>
          <w:lang w:val="es"/>
        </w:rPr>
        <w:footnoteReference w:id="21"/>
      </w:r>
      <w:r w:rsidRPr="00124EDE">
        <w:rPr>
          <w:rFonts w:asciiTheme="majorHAnsi" w:hAnsiTheme="majorHAnsi"/>
          <w:sz w:val="20"/>
          <w:szCs w:val="20"/>
          <w:lang w:val="es"/>
        </w:rPr>
        <w:t>. En su respuesta del 4 de mayo de 2016, Estados Unidos no controvierte que los peticionarios hayan agotado los recursos internos. De este modo, Estados Unidos renuncia a presentar este descargo en el futuro ante la Comisión.</w:t>
      </w:r>
    </w:p>
    <w:p w14:paraId="41B9186B" w14:textId="77777777" w:rsidR="004B6194" w:rsidRPr="00124EDE" w:rsidRDefault="004B6194" w:rsidP="004B6194">
      <w:pPr>
        <w:pStyle w:val="ListParagraph"/>
        <w:rPr>
          <w:rFonts w:asciiTheme="majorHAnsi" w:eastAsia="Times New Roman" w:hAnsiTheme="majorHAnsi"/>
          <w:sz w:val="20"/>
          <w:szCs w:val="20"/>
          <w:lang w:val="es-ES"/>
        </w:rPr>
      </w:pPr>
    </w:p>
    <w:p w14:paraId="74EA941D" w14:textId="0541D2BE" w:rsidR="004B6194" w:rsidRPr="00124EDE" w:rsidRDefault="004B6194" w:rsidP="006A6FBE">
      <w:pPr>
        <w:pStyle w:val="ListParagraph"/>
        <w:numPr>
          <w:ilvl w:val="0"/>
          <w:numId w:val="55"/>
        </w:numPr>
        <w:jc w:val="both"/>
        <w:rPr>
          <w:rFonts w:asciiTheme="majorHAnsi" w:hAnsiTheme="majorHAnsi"/>
          <w:b/>
          <w:bCs/>
          <w:color w:val="auto"/>
          <w:sz w:val="20"/>
          <w:szCs w:val="20"/>
          <w:lang w:val="es-ES"/>
        </w:rPr>
      </w:pPr>
      <w:r w:rsidRPr="00124EDE">
        <w:rPr>
          <w:rFonts w:asciiTheme="majorHAnsi" w:eastAsia="Times New Roman" w:hAnsiTheme="majorHAnsi"/>
          <w:sz w:val="20"/>
          <w:szCs w:val="20"/>
          <w:lang w:val="es"/>
        </w:rPr>
        <w:t xml:space="preserve">Los peticionarios han demostrado que en el sistema judicial estadounidense existen obstáculos insuperables para juzgar casos relacionados con los ataques terroristas del 11-S. Todos los procesos judiciales relacionados con el 11-S iniciados a raíz del programa de “extradiciones” de Estados Unidos fueron inmediatamente sobreseídos por razones de seguridad nacional, secretos de Estado o inmunidad gubernamental, antes de que se pudiera analizar el fondo de los respectivos casos. Por lo tanto, las presuntas víctimas de estos supuestos hechos de abuso gravísimos no han </w:t>
      </w:r>
      <w:r w:rsidR="004C69BE" w:rsidRPr="00124EDE">
        <w:rPr>
          <w:rFonts w:asciiTheme="majorHAnsi" w:eastAsia="Times New Roman" w:hAnsiTheme="majorHAnsi"/>
          <w:sz w:val="20"/>
          <w:szCs w:val="20"/>
          <w:lang w:val="es"/>
        </w:rPr>
        <w:t>podido</w:t>
      </w:r>
      <w:r w:rsidRPr="00124EDE">
        <w:rPr>
          <w:rFonts w:asciiTheme="majorHAnsi" w:eastAsia="Times New Roman" w:hAnsiTheme="majorHAnsi"/>
          <w:sz w:val="20"/>
          <w:szCs w:val="20"/>
          <w:lang w:val="es"/>
        </w:rPr>
        <w:t xml:space="preserve"> presentar demandas de reparación en el sistema judicial estadounidense. Aun cuando el Estado no hubiese renunciado a controvertir el agotamiento de los recursos, como se dijo más arriba, del expediente surge claramente que en la justicia estadounidense los peticionarios no cuentan con recursos eficaces.</w:t>
      </w:r>
    </w:p>
    <w:p w14:paraId="6641152B" w14:textId="77777777" w:rsidR="004B6194" w:rsidRPr="00124EDE" w:rsidRDefault="004B6194" w:rsidP="004B6194">
      <w:pPr>
        <w:pStyle w:val="ListParagraph"/>
        <w:rPr>
          <w:rFonts w:asciiTheme="majorHAnsi" w:eastAsia="Times New Roman" w:hAnsiTheme="majorHAnsi"/>
          <w:sz w:val="20"/>
          <w:szCs w:val="20"/>
          <w:lang w:val="es-ES"/>
        </w:rPr>
      </w:pPr>
    </w:p>
    <w:p w14:paraId="69D5FD8B" w14:textId="167C41BF" w:rsidR="004B6194" w:rsidRPr="00124EDE" w:rsidRDefault="004B6194" w:rsidP="006A6FBE">
      <w:pPr>
        <w:pStyle w:val="ListParagraph"/>
        <w:numPr>
          <w:ilvl w:val="0"/>
          <w:numId w:val="55"/>
        </w:numPr>
        <w:jc w:val="both"/>
        <w:rPr>
          <w:rFonts w:asciiTheme="majorHAnsi" w:eastAsia="Times New Roman" w:hAnsiTheme="majorHAnsi"/>
          <w:bCs/>
          <w:sz w:val="20"/>
          <w:szCs w:val="20"/>
          <w:lang w:val="es-ES"/>
        </w:rPr>
      </w:pPr>
      <w:r w:rsidRPr="00124EDE">
        <w:rPr>
          <w:rFonts w:asciiTheme="majorHAnsi" w:eastAsia="Times New Roman" w:hAnsiTheme="majorHAnsi"/>
          <w:sz w:val="20"/>
          <w:szCs w:val="20"/>
          <w:lang w:val="es"/>
        </w:rPr>
        <w:t xml:space="preserve"> En este caso, y a los fines del análisis de admisibilidad, se observa que los peticionarios han agotado todos los recursos disponibles en el sistema interno y que, en consecuencia, la petición cumple con el </w:t>
      </w:r>
      <w:r w:rsidRPr="00124EDE">
        <w:rPr>
          <w:rFonts w:asciiTheme="majorHAnsi" w:eastAsia="Times New Roman" w:hAnsiTheme="majorHAnsi"/>
          <w:sz w:val="20"/>
          <w:szCs w:val="20"/>
          <w:lang w:val="es"/>
        </w:rPr>
        <w:lastRenderedPageBreak/>
        <w:t xml:space="preserve">requisito establecido en el artículo 31 del Reglamento de la CIDH. Los peticionarios presentaron una demanda judicial ante el Tribunal Federal de Distrito y, cuando este sobreseyó la causa, apelaron de forma adecuada y oportuna. Una vez más, tras el rechazo de la corte de apelaciones, que tampoco analizó el fondo, los peticionarios apelaron ante la Corte Suprema, máximo tribunal de justicia de ese país, que a su vez denegó ese recurso. La Comisión observa que los recursos internos fueron agotados el 16 de mayo de 2011, cuando la Corte Suprema </w:t>
      </w:r>
      <w:r w:rsidR="00C10A33">
        <w:rPr>
          <w:rFonts w:asciiTheme="majorHAnsi" w:eastAsia="Times New Roman" w:hAnsiTheme="majorHAnsi"/>
          <w:sz w:val="20"/>
          <w:szCs w:val="20"/>
          <w:lang w:val="es"/>
        </w:rPr>
        <w:t xml:space="preserve">de Justicia </w:t>
      </w:r>
      <w:r w:rsidRPr="00124EDE">
        <w:rPr>
          <w:rFonts w:asciiTheme="majorHAnsi" w:eastAsia="Times New Roman" w:hAnsiTheme="majorHAnsi"/>
          <w:sz w:val="20"/>
          <w:szCs w:val="20"/>
          <w:lang w:val="es"/>
        </w:rPr>
        <w:t>rechazó la solicitud de conocer el asunto, y nota que la petición fue presentada ante la CIDH el 14 de noviembre de 2011. En vista de lo anterior, la Comisión considera que la petición fue presentada dentro del plazo de los seis meses establecidos en el artículo 32(1) de su Reglamento.</w:t>
      </w:r>
    </w:p>
    <w:p w14:paraId="516C9F0D" w14:textId="77777777" w:rsidR="004B6194" w:rsidRPr="00124EDE" w:rsidRDefault="004B6194" w:rsidP="004B6194">
      <w:pPr>
        <w:jc w:val="both"/>
        <w:rPr>
          <w:rFonts w:asciiTheme="majorHAnsi" w:hAnsiTheme="majorHAnsi"/>
          <w:b/>
          <w:bCs/>
          <w:sz w:val="20"/>
          <w:szCs w:val="20"/>
          <w:lang w:val="es-ES"/>
        </w:rPr>
      </w:pPr>
    </w:p>
    <w:p w14:paraId="4F1EA298" w14:textId="3C961A2D" w:rsidR="004B6194" w:rsidRPr="00124EDE" w:rsidRDefault="004B6194" w:rsidP="004B6194">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rPr>
          <w:rFonts w:asciiTheme="majorHAnsi" w:eastAsia="Times New Roman" w:hAnsiTheme="majorHAnsi"/>
          <w:b/>
          <w:bCs/>
          <w:sz w:val="20"/>
          <w:szCs w:val="20"/>
          <w:lang w:val="es-ES"/>
        </w:rPr>
      </w:pPr>
      <w:r w:rsidRPr="00124EDE">
        <w:rPr>
          <w:rFonts w:asciiTheme="majorHAnsi" w:eastAsia="Times New Roman" w:hAnsiTheme="majorHAnsi"/>
          <w:b/>
          <w:bCs/>
          <w:sz w:val="20"/>
          <w:szCs w:val="20"/>
          <w:lang w:val="es"/>
        </w:rPr>
        <w:t xml:space="preserve">VII. </w:t>
      </w:r>
      <w:r w:rsidRPr="00124EDE">
        <w:rPr>
          <w:rFonts w:asciiTheme="majorHAnsi" w:eastAsia="Times New Roman" w:hAnsiTheme="majorHAnsi"/>
          <w:b/>
          <w:bCs/>
          <w:sz w:val="20"/>
          <w:szCs w:val="20"/>
          <w:lang w:val="es"/>
        </w:rPr>
        <w:tab/>
        <w:t>CARACTERIZACIÓN</w:t>
      </w:r>
    </w:p>
    <w:p w14:paraId="65507822" w14:textId="77777777" w:rsidR="004B6194" w:rsidRPr="00124EDE" w:rsidRDefault="004B6194" w:rsidP="004B619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contextualSpacing/>
        <w:jc w:val="both"/>
        <w:rPr>
          <w:rFonts w:asciiTheme="majorHAnsi" w:eastAsia="Times New Roman" w:hAnsiTheme="majorHAnsi"/>
          <w:sz w:val="20"/>
          <w:szCs w:val="20"/>
          <w:lang w:val="es-ES"/>
        </w:rPr>
      </w:pPr>
    </w:p>
    <w:p w14:paraId="5B1DA52A" w14:textId="77777777" w:rsidR="004B6194" w:rsidRPr="00124EDE" w:rsidRDefault="004B6194" w:rsidP="006A6F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rFonts w:asciiTheme="majorHAnsi" w:hAnsiTheme="majorHAnsi"/>
          <w:sz w:val="20"/>
          <w:szCs w:val="20"/>
          <w:lang w:val="es-ES"/>
        </w:rPr>
      </w:pPr>
      <w:r w:rsidRPr="00124EDE">
        <w:rPr>
          <w:rFonts w:asciiTheme="majorHAnsi" w:hAnsiTheme="majorHAnsi"/>
          <w:sz w:val="20"/>
          <w:szCs w:val="20"/>
          <w:lang w:val="es"/>
        </w:rPr>
        <w:t>La Comisión estima que, si son corroborados, los alegatos referidos a la presunta tortura, secuestro y detención arbitraria de las presuntas víctimas a manos de Estados Unidos podrían configurar violaciones de varios derechos reconocidos en la Declaración Americana. Estos incluyen el derecho a la vida, la libertad, la seguridad y la integridad personal; el derecho a la no imposición de penas crueles, infamantes o inusitadas; el derecho a la justicia; el derecho a la protección contra la detención arbitraria; el derecho a un proceso regular, y el derecho a una investigación adecuada</w:t>
      </w:r>
      <w:r w:rsidRPr="00124EDE">
        <w:rPr>
          <w:rFonts w:asciiTheme="majorHAnsi" w:hAnsiTheme="majorHAnsi"/>
          <w:sz w:val="20"/>
          <w:szCs w:val="20"/>
          <w:vertAlign w:val="superscript"/>
          <w:lang w:val="es"/>
        </w:rPr>
        <w:footnoteReference w:id="22"/>
      </w:r>
      <w:r w:rsidRPr="00124EDE">
        <w:rPr>
          <w:rFonts w:asciiTheme="majorHAnsi" w:hAnsiTheme="majorHAnsi"/>
          <w:sz w:val="20"/>
          <w:szCs w:val="20"/>
          <w:lang w:val="es"/>
        </w:rPr>
        <w:t>. La CIDH considera que esta petición no es manifiestamente infundada. En su informe sobre el fondo, la Comisión continuará analizando las leyes aplicables y las actuaciones judiciales a fin determinar si los hechos alegados, en el caso de corroborarse, podrían constituir violaciones de los derechos consagrados en los artículos I (vida, libertad, seguridad e integridad personal), XVIII (justicia), XXV (protección contra la detención arbitraria) y XXVI (proceso regular) de la Declaración Americana.</w:t>
      </w:r>
    </w:p>
    <w:p w14:paraId="1B561CEB" w14:textId="77777777" w:rsidR="004B6194" w:rsidRPr="00124EDE" w:rsidRDefault="004B6194" w:rsidP="006A6FBE">
      <w:pPr>
        <w:pStyle w:val="ListParagraph"/>
        <w:numPr>
          <w:ilvl w:val="0"/>
          <w:numId w:val="55"/>
        </w:numPr>
        <w:spacing w:before="240" w:after="240"/>
        <w:jc w:val="both"/>
        <w:rPr>
          <w:rFonts w:asciiTheme="majorHAnsi" w:eastAsia="Times New Roman" w:hAnsiTheme="majorHAnsi" w:cs="Times New Roman"/>
          <w:color w:val="auto"/>
          <w:sz w:val="20"/>
          <w:szCs w:val="20"/>
          <w:bdr w:val="none" w:sz="0" w:space="0" w:color="auto"/>
          <w:lang w:val="es-ES"/>
        </w:rPr>
      </w:pPr>
      <w:r w:rsidRPr="00124EDE">
        <w:rPr>
          <w:rFonts w:asciiTheme="majorHAnsi" w:eastAsia="Times New Roman" w:hAnsiTheme="majorHAnsi" w:cs="Times New Roman"/>
          <w:color w:val="auto"/>
          <w:sz w:val="20"/>
          <w:szCs w:val="20"/>
          <w:bdr w:val="none" w:sz="0" w:space="0" w:color="auto"/>
          <w:lang w:val="es"/>
        </w:rPr>
        <w:t>En cuanto al derecho de no devolución, los peticionarios presentan pruebas de que el Estado trasladó a las presuntas víctimas en secreto hacia países donde estas fueron torturadas. Por ello, la CIDH considera que existe una caracterización de los hechos que debe analizarse en la etapa de fondo en torno al artículo XXVII de la Declaración Americana.</w:t>
      </w:r>
    </w:p>
    <w:p w14:paraId="076AFF8F" w14:textId="77777777" w:rsidR="004B6194" w:rsidRPr="00124EDE" w:rsidRDefault="004B6194" w:rsidP="004B6194">
      <w:pPr>
        <w:pStyle w:val="ListParagraph"/>
        <w:spacing w:before="240" w:after="240"/>
        <w:contextualSpacing/>
        <w:jc w:val="both"/>
        <w:rPr>
          <w:rFonts w:asciiTheme="majorHAnsi" w:hAnsiTheme="majorHAnsi"/>
          <w:b/>
          <w:bCs/>
          <w:sz w:val="20"/>
          <w:szCs w:val="20"/>
        </w:rPr>
      </w:pPr>
      <w:r w:rsidRPr="00124EDE">
        <w:rPr>
          <w:rFonts w:asciiTheme="majorHAnsi" w:hAnsiTheme="majorHAnsi"/>
          <w:b/>
          <w:bCs/>
          <w:sz w:val="20"/>
          <w:szCs w:val="20"/>
          <w:lang w:val="es"/>
        </w:rPr>
        <w:t xml:space="preserve">VIII. </w:t>
      </w:r>
      <w:r w:rsidRPr="00124EDE">
        <w:rPr>
          <w:rFonts w:asciiTheme="majorHAnsi" w:hAnsiTheme="majorHAnsi"/>
          <w:b/>
          <w:bCs/>
          <w:sz w:val="20"/>
          <w:szCs w:val="20"/>
          <w:lang w:val="es"/>
        </w:rPr>
        <w:tab/>
        <w:t>DECISIÓN</w:t>
      </w:r>
    </w:p>
    <w:p w14:paraId="78D6063E" w14:textId="43540A1C" w:rsidR="00D11602" w:rsidRPr="00124EDE" w:rsidRDefault="004B6194" w:rsidP="006A6F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contextualSpacing/>
        <w:jc w:val="both"/>
        <w:rPr>
          <w:rFonts w:asciiTheme="majorHAnsi" w:eastAsia="Times New Roman" w:hAnsiTheme="majorHAnsi"/>
          <w:sz w:val="20"/>
          <w:szCs w:val="20"/>
          <w:lang w:val="es-ES"/>
        </w:rPr>
      </w:pPr>
      <w:r w:rsidRPr="00124EDE">
        <w:rPr>
          <w:rFonts w:asciiTheme="majorHAnsi" w:hAnsiTheme="majorHAnsi"/>
          <w:sz w:val="20"/>
          <w:szCs w:val="20"/>
          <w:lang w:val="es"/>
        </w:rPr>
        <w:t>Declarar admisible la presente petición respecto de los artículos I, XVIII, XXV, XXVI y XXVII de la Declaración Americana; y</w:t>
      </w:r>
    </w:p>
    <w:p w14:paraId="0A14B6A2" w14:textId="77777777" w:rsidR="00D11602" w:rsidRPr="00124EDE" w:rsidRDefault="00D11602" w:rsidP="00D11602">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720"/>
        <w:contextualSpacing/>
        <w:jc w:val="both"/>
        <w:rPr>
          <w:rFonts w:asciiTheme="majorHAnsi" w:eastAsia="Times New Roman" w:hAnsiTheme="majorHAnsi"/>
          <w:sz w:val="20"/>
          <w:szCs w:val="20"/>
          <w:lang w:val="es-ES"/>
        </w:rPr>
      </w:pPr>
    </w:p>
    <w:p w14:paraId="33E1AFF6" w14:textId="6E418B95" w:rsidR="008E6CE0" w:rsidRPr="00C16074" w:rsidRDefault="004B6194" w:rsidP="006A6F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contextualSpacing/>
        <w:jc w:val="both"/>
        <w:rPr>
          <w:rFonts w:asciiTheme="majorHAnsi" w:eastAsia="Times New Roman" w:hAnsiTheme="majorHAnsi"/>
          <w:sz w:val="20"/>
          <w:szCs w:val="20"/>
          <w:lang w:val="es-ES"/>
        </w:rPr>
      </w:pPr>
      <w:r w:rsidRPr="00124EDE">
        <w:rPr>
          <w:rFonts w:asciiTheme="majorHAnsi" w:eastAsia="Times New Roman" w:hAnsiTheme="majorHAnsi"/>
          <w:sz w:val="20"/>
          <w:szCs w:val="20"/>
          <w:lang w:val="es"/>
        </w:rPr>
        <w:t>Notificar a las partes la presente decisión; continuar con el análisis del fondo de la cuestión; y publicar esta decisión e incluirla en su Informe Anual a la Asamblea General de la Organización de los Estados Americanos.</w:t>
      </w:r>
    </w:p>
    <w:p w14:paraId="6394CFCF" w14:textId="5D691573" w:rsidR="00C16074" w:rsidRDefault="00C16074" w:rsidP="00C16074">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720"/>
        <w:contextualSpacing/>
        <w:jc w:val="both"/>
        <w:rPr>
          <w:rFonts w:asciiTheme="majorHAnsi" w:eastAsia="Times New Roman" w:hAnsiTheme="majorHAnsi" w:cs="Cambria"/>
          <w:color w:val="000000"/>
          <w:sz w:val="20"/>
          <w:szCs w:val="20"/>
          <w:u w:color="000000"/>
          <w:lang w:val="es-ES" w:eastAsia="es-ES"/>
        </w:rPr>
      </w:pPr>
    </w:p>
    <w:p w14:paraId="2368CE72" w14:textId="599BFC04" w:rsidR="00C16074" w:rsidRPr="00124EDE" w:rsidRDefault="00C16074" w:rsidP="00C16074">
      <w:pPr>
        <w:pBdr>
          <w:top w:val="none" w:sz="0" w:space="0" w:color="auto"/>
          <w:left w:val="none" w:sz="0" w:space="0" w:color="auto"/>
          <w:bottom w:val="none" w:sz="0" w:space="0" w:color="auto"/>
          <w:right w:val="none" w:sz="0" w:space="0" w:color="auto"/>
          <w:between w:val="none" w:sz="0" w:space="0" w:color="auto"/>
          <w:bar w:val="none" w:sz="0" w:color="auto"/>
        </w:pBdr>
        <w:spacing w:before="240" w:after="240"/>
        <w:contextualSpacing/>
        <w:jc w:val="both"/>
        <w:rPr>
          <w:rFonts w:asciiTheme="majorHAnsi" w:eastAsia="Times New Roman" w:hAnsiTheme="majorHAnsi"/>
          <w:sz w:val="20"/>
          <w:szCs w:val="20"/>
          <w:lang w:val="es-ES"/>
        </w:rPr>
      </w:pPr>
      <w:r>
        <w:rPr>
          <w:rFonts w:asciiTheme="majorHAnsi" w:hAnsiTheme="majorHAnsi" w:cs="Arial"/>
          <w:noProof/>
          <w:spacing w:val="-2"/>
          <w:sz w:val="20"/>
          <w:szCs w:val="20"/>
          <w:lang w:val="es-CL"/>
        </w:rPr>
        <w:tab/>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p>
    <w:p w14:paraId="58C4B227" w14:textId="27A953E0" w:rsidR="004A6A54" w:rsidRPr="00124EDE" w:rsidRDefault="004A6A54" w:rsidP="008E6C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PA"/>
        </w:rPr>
      </w:pPr>
    </w:p>
    <w:sectPr w:rsidR="004A6A54" w:rsidRPr="00124ED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86629" w14:textId="77777777" w:rsidR="0037649D" w:rsidRDefault="0037649D">
      <w:r>
        <w:separator/>
      </w:r>
    </w:p>
  </w:endnote>
  <w:endnote w:type="continuationSeparator" w:id="0">
    <w:p w14:paraId="62551FEA" w14:textId="77777777" w:rsidR="0037649D" w:rsidRDefault="0037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16783" w14:textId="77777777" w:rsidR="00E31B7D" w:rsidRDefault="00E31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200A08A" w14:textId="3E95D8F5"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31B7D">
          <w:rPr>
            <w:noProof/>
            <w:sz w:val="16"/>
            <w:szCs w:val="22"/>
          </w:rPr>
          <w:t>3</w:t>
        </w:r>
        <w:r w:rsidRPr="00934A2C">
          <w:rPr>
            <w:noProof/>
            <w:sz w:val="16"/>
            <w:szCs w:val="22"/>
          </w:rPr>
          <w:fldChar w:fldCharType="end"/>
        </w:r>
      </w:p>
    </w:sdtContent>
  </w:sdt>
  <w:p w14:paraId="3D1B8761"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F55F1" w14:textId="77777777" w:rsidR="0099258D" w:rsidRPr="00934A2C" w:rsidRDefault="0099258D">
    <w:pPr>
      <w:pStyle w:val="Footer"/>
      <w:jc w:val="center"/>
      <w:rPr>
        <w:sz w:val="16"/>
        <w:szCs w:val="22"/>
      </w:rPr>
    </w:pPr>
  </w:p>
  <w:p w14:paraId="2680C343"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4B962" w14:textId="77777777" w:rsidR="0037649D" w:rsidRPr="000F35ED" w:rsidRDefault="0037649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9DFD008" w14:textId="77777777" w:rsidR="0037649D" w:rsidRPr="000F35ED" w:rsidRDefault="0037649D" w:rsidP="000F35ED">
      <w:pPr>
        <w:rPr>
          <w:rFonts w:asciiTheme="majorHAnsi" w:hAnsiTheme="majorHAnsi"/>
          <w:sz w:val="16"/>
          <w:szCs w:val="16"/>
        </w:rPr>
      </w:pPr>
      <w:r w:rsidRPr="000F35ED">
        <w:rPr>
          <w:rFonts w:asciiTheme="majorHAnsi" w:hAnsiTheme="majorHAnsi"/>
          <w:sz w:val="16"/>
          <w:szCs w:val="16"/>
        </w:rPr>
        <w:separator/>
      </w:r>
    </w:p>
    <w:p w14:paraId="7A3CB877" w14:textId="77777777" w:rsidR="0037649D" w:rsidRPr="000F35ED" w:rsidRDefault="0037649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E6AAD63" w14:textId="77777777" w:rsidR="0037649D" w:rsidRPr="000F35ED" w:rsidRDefault="0037649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977FE50" w14:textId="27F0ACA7" w:rsidR="006D6366" w:rsidRPr="003A7E10" w:rsidRDefault="006D6366" w:rsidP="006A400E">
      <w:pPr>
        <w:pStyle w:val="FootnoteText"/>
        <w:ind w:firstLine="709"/>
        <w:jc w:val="both"/>
        <w:rPr>
          <w:rFonts w:asciiTheme="majorHAnsi" w:hAnsiTheme="majorHAnsi"/>
          <w:color w:val="auto"/>
          <w:sz w:val="16"/>
          <w:szCs w:val="16"/>
          <w:lang w:val="es-ES"/>
        </w:rPr>
      </w:pPr>
      <w:r w:rsidRPr="003A7E10">
        <w:rPr>
          <w:rFonts w:asciiTheme="majorHAnsi" w:hAnsiTheme="majorHAnsi"/>
          <w:color w:val="auto"/>
          <w:sz w:val="16"/>
          <w:szCs w:val="16"/>
          <w:vertAlign w:val="superscript"/>
          <w:lang w:val="es-ES"/>
        </w:rPr>
        <w:footnoteRef/>
      </w:r>
      <w:r w:rsidRPr="003A7E10">
        <w:rPr>
          <w:rFonts w:asciiTheme="majorHAnsi" w:hAnsiTheme="majorHAnsi"/>
          <w:color w:val="auto"/>
          <w:sz w:val="16"/>
          <w:szCs w:val="16"/>
          <w:lang w:val="es-ES"/>
        </w:rPr>
        <w:t xml:space="preserve"> </w:t>
      </w:r>
      <w:r w:rsidR="002244B4" w:rsidRPr="003A7E10">
        <w:rPr>
          <w:rFonts w:asciiTheme="majorHAnsi" w:hAnsiTheme="majorHAnsi"/>
          <w:color w:val="auto"/>
          <w:sz w:val="16"/>
          <w:szCs w:val="16"/>
          <w:lang w:val="es-ES"/>
        </w:rPr>
        <w:t>En adelante, “EE. UU.”, “EUA” o “Estados Unidos”.</w:t>
      </w:r>
    </w:p>
  </w:footnote>
  <w:footnote w:id="3">
    <w:p w14:paraId="3AE714E4" w14:textId="624046CA" w:rsidR="00335018" w:rsidRPr="003A7E10" w:rsidRDefault="00335018" w:rsidP="006A400E">
      <w:pPr>
        <w:pStyle w:val="FootnoteText"/>
        <w:ind w:firstLine="709"/>
        <w:jc w:val="both"/>
        <w:rPr>
          <w:rFonts w:asciiTheme="majorHAnsi" w:hAnsiTheme="majorHAnsi"/>
          <w:color w:val="auto"/>
          <w:sz w:val="16"/>
          <w:szCs w:val="16"/>
          <w:lang w:val="es-ES"/>
        </w:rPr>
      </w:pPr>
      <w:r w:rsidRPr="003A7E10">
        <w:rPr>
          <w:rFonts w:asciiTheme="majorHAnsi" w:hAnsiTheme="majorHAnsi"/>
          <w:color w:val="auto"/>
          <w:sz w:val="16"/>
          <w:szCs w:val="16"/>
          <w:vertAlign w:val="superscript"/>
          <w:lang w:val="es-ES"/>
        </w:rPr>
        <w:footnoteRef/>
      </w:r>
      <w:r w:rsidRPr="003A7E10">
        <w:rPr>
          <w:rFonts w:asciiTheme="majorHAnsi" w:hAnsiTheme="majorHAnsi"/>
          <w:color w:val="auto"/>
          <w:sz w:val="16"/>
          <w:szCs w:val="16"/>
          <w:lang w:val="es-ES"/>
        </w:rPr>
        <w:t xml:space="preserve"> </w:t>
      </w:r>
      <w:r w:rsidR="002244B4" w:rsidRPr="003A7E10">
        <w:rPr>
          <w:rFonts w:asciiTheme="majorHAnsi" w:hAnsiTheme="majorHAnsi"/>
          <w:color w:val="auto"/>
          <w:sz w:val="16"/>
          <w:szCs w:val="16"/>
          <w:lang w:val="es-ES"/>
        </w:rPr>
        <w:t>En adelante “Declaración Americana”.</w:t>
      </w:r>
    </w:p>
  </w:footnote>
  <w:footnote w:id="4">
    <w:p w14:paraId="2551BE75" w14:textId="77777777" w:rsidR="0099258D" w:rsidRPr="003A7E10" w:rsidRDefault="0099258D" w:rsidP="006A400E">
      <w:pPr>
        <w:pStyle w:val="FootnoteText"/>
        <w:ind w:firstLine="709"/>
        <w:jc w:val="both"/>
        <w:rPr>
          <w:rFonts w:asciiTheme="majorHAnsi" w:hAnsiTheme="majorHAnsi"/>
          <w:color w:val="auto"/>
          <w:sz w:val="16"/>
          <w:szCs w:val="16"/>
          <w:lang w:val="es-ES"/>
        </w:rPr>
      </w:pPr>
      <w:r w:rsidRPr="003A7E10">
        <w:rPr>
          <w:rStyle w:val="FootnoteReference"/>
          <w:rFonts w:asciiTheme="majorHAnsi" w:hAnsiTheme="majorHAnsi"/>
          <w:color w:val="auto"/>
          <w:sz w:val="16"/>
          <w:szCs w:val="16"/>
        </w:rPr>
        <w:footnoteRef/>
      </w:r>
      <w:r w:rsidRPr="003A7E10">
        <w:rPr>
          <w:rFonts w:asciiTheme="majorHAnsi" w:hAnsiTheme="majorHAnsi"/>
          <w:color w:val="auto"/>
          <w:sz w:val="16"/>
          <w:szCs w:val="16"/>
          <w:lang w:val="es-ES"/>
        </w:rPr>
        <w:t xml:space="preserve"> Las observaciones de cada parte fueron debidamente trasladadas a la parte contraria.</w:t>
      </w:r>
    </w:p>
  </w:footnote>
  <w:footnote w:id="5">
    <w:p w14:paraId="208A71D4" w14:textId="77777777" w:rsidR="004B6194" w:rsidRPr="003A7E10" w:rsidRDefault="004B6194" w:rsidP="006A400E">
      <w:pPr>
        <w:ind w:firstLine="709"/>
        <w:jc w:val="both"/>
        <w:rPr>
          <w:rFonts w:asciiTheme="majorHAnsi" w:hAnsiTheme="majorHAnsi"/>
          <w:sz w:val="16"/>
          <w:szCs w:val="16"/>
          <w:lang w:val="es-ES"/>
        </w:rPr>
      </w:pPr>
      <w:r w:rsidRPr="003A7E10">
        <w:rPr>
          <w:rFonts w:asciiTheme="majorHAnsi" w:hAnsiTheme="majorHAnsi"/>
          <w:sz w:val="16"/>
          <w:szCs w:val="16"/>
          <w:vertAlign w:val="superscript"/>
          <w:lang w:val="es"/>
        </w:rPr>
        <w:footnoteRef/>
      </w:r>
      <w:r w:rsidRPr="003A7E10">
        <w:rPr>
          <w:rFonts w:asciiTheme="majorHAnsi" w:hAnsiTheme="majorHAnsi"/>
          <w:sz w:val="16"/>
          <w:szCs w:val="16"/>
          <w:lang w:val="es"/>
        </w:rPr>
        <w:t xml:space="preserve"> </w:t>
      </w:r>
      <w:r w:rsidRPr="003A7E10">
        <w:rPr>
          <w:rFonts w:asciiTheme="majorHAnsi" w:hAnsiTheme="majorHAnsi"/>
          <w:i/>
          <w:iCs/>
          <w:sz w:val="16"/>
          <w:szCs w:val="16"/>
          <w:lang w:val="es"/>
        </w:rPr>
        <w:t xml:space="preserve">Mohamed v. </w:t>
      </w:r>
      <w:proofErr w:type="spellStart"/>
      <w:r w:rsidRPr="003A7E10">
        <w:rPr>
          <w:rFonts w:asciiTheme="majorHAnsi" w:hAnsiTheme="majorHAnsi"/>
          <w:i/>
          <w:iCs/>
          <w:sz w:val="16"/>
          <w:szCs w:val="16"/>
          <w:lang w:val="es"/>
        </w:rPr>
        <w:t>Jeppesen</w:t>
      </w:r>
      <w:proofErr w:type="spellEnd"/>
      <w:r w:rsidRPr="003A7E10">
        <w:rPr>
          <w:rFonts w:asciiTheme="majorHAnsi" w:hAnsiTheme="majorHAnsi"/>
          <w:i/>
          <w:iCs/>
          <w:sz w:val="16"/>
          <w:szCs w:val="16"/>
          <w:lang w:val="es"/>
        </w:rPr>
        <w:t xml:space="preserve"> </w:t>
      </w:r>
      <w:proofErr w:type="spellStart"/>
      <w:r w:rsidRPr="003A7E10">
        <w:rPr>
          <w:rFonts w:asciiTheme="majorHAnsi" w:hAnsiTheme="majorHAnsi"/>
          <w:i/>
          <w:iCs/>
          <w:sz w:val="16"/>
          <w:szCs w:val="16"/>
          <w:lang w:val="es"/>
        </w:rPr>
        <w:t>Dataplan</w:t>
      </w:r>
      <w:proofErr w:type="spellEnd"/>
      <w:r w:rsidRPr="003A7E10">
        <w:rPr>
          <w:rFonts w:asciiTheme="majorHAnsi" w:hAnsiTheme="majorHAnsi"/>
          <w:i/>
          <w:iCs/>
          <w:sz w:val="16"/>
          <w:szCs w:val="16"/>
          <w:lang w:val="es"/>
        </w:rPr>
        <w:t>, Inc</w:t>
      </w:r>
      <w:r w:rsidRPr="003A7E10">
        <w:rPr>
          <w:rFonts w:asciiTheme="majorHAnsi" w:hAnsiTheme="majorHAnsi"/>
          <w:sz w:val="16"/>
          <w:szCs w:val="16"/>
          <w:lang w:val="es"/>
        </w:rPr>
        <w:t xml:space="preserve">., 539 F. </w:t>
      </w:r>
      <w:proofErr w:type="spellStart"/>
      <w:r w:rsidRPr="003A7E10">
        <w:rPr>
          <w:rFonts w:asciiTheme="majorHAnsi" w:hAnsiTheme="majorHAnsi"/>
          <w:sz w:val="16"/>
          <w:szCs w:val="16"/>
          <w:lang w:val="es"/>
        </w:rPr>
        <w:t>Supp</w:t>
      </w:r>
      <w:proofErr w:type="spellEnd"/>
      <w:r w:rsidRPr="003A7E10">
        <w:rPr>
          <w:rFonts w:asciiTheme="majorHAnsi" w:hAnsiTheme="majorHAnsi"/>
          <w:sz w:val="16"/>
          <w:szCs w:val="16"/>
          <w:lang w:val="es"/>
        </w:rPr>
        <w:t>. 2d 1128 (N.D. Cal. 2008),</w:t>
      </w:r>
      <w:r w:rsidRPr="003A7E10">
        <w:rPr>
          <w:rFonts w:asciiTheme="majorHAnsi" w:hAnsiTheme="majorHAnsi"/>
          <w:i/>
          <w:iCs/>
          <w:sz w:val="16"/>
          <w:szCs w:val="16"/>
          <w:lang w:val="es"/>
        </w:rPr>
        <w:t xml:space="preserve"> revocada,</w:t>
      </w:r>
      <w:r w:rsidRPr="003A7E10">
        <w:rPr>
          <w:rFonts w:asciiTheme="majorHAnsi" w:hAnsiTheme="majorHAnsi"/>
          <w:sz w:val="16"/>
          <w:szCs w:val="16"/>
          <w:lang w:val="es"/>
        </w:rPr>
        <w:t xml:space="preserve"> 563 F.3d 992 (9.º Cir. 2009), </w:t>
      </w:r>
      <w:r w:rsidRPr="003A7E10">
        <w:rPr>
          <w:rFonts w:asciiTheme="majorHAnsi" w:hAnsiTheme="majorHAnsi"/>
          <w:i/>
          <w:iCs/>
          <w:sz w:val="16"/>
          <w:szCs w:val="16"/>
          <w:lang w:val="es"/>
        </w:rPr>
        <w:t>opinión enmendada y reemplazada,</w:t>
      </w:r>
      <w:r w:rsidRPr="003A7E10">
        <w:rPr>
          <w:rFonts w:asciiTheme="majorHAnsi" w:hAnsiTheme="majorHAnsi"/>
          <w:sz w:val="16"/>
          <w:szCs w:val="16"/>
          <w:lang w:val="es"/>
        </w:rPr>
        <w:t xml:space="preserve"> 579 F.3d 943 (9.º Cir. 2009),</w:t>
      </w:r>
      <w:r w:rsidRPr="003A7E10">
        <w:rPr>
          <w:rFonts w:asciiTheme="majorHAnsi" w:hAnsiTheme="majorHAnsi"/>
          <w:i/>
          <w:iCs/>
          <w:sz w:val="16"/>
          <w:szCs w:val="16"/>
          <w:lang w:val="es"/>
        </w:rPr>
        <w:t xml:space="preserve"> en revisión ante el pleno,</w:t>
      </w:r>
      <w:r w:rsidRPr="003A7E10">
        <w:rPr>
          <w:rFonts w:asciiTheme="majorHAnsi" w:hAnsiTheme="majorHAnsi"/>
          <w:sz w:val="16"/>
          <w:szCs w:val="16"/>
          <w:lang w:val="es"/>
        </w:rPr>
        <w:t xml:space="preserve"> 614 F.3d 1070 (9.º Cir. 2010) y </w:t>
      </w:r>
      <w:r w:rsidRPr="003A7E10">
        <w:rPr>
          <w:rFonts w:asciiTheme="majorHAnsi" w:hAnsiTheme="majorHAnsi"/>
          <w:i/>
          <w:iCs/>
          <w:sz w:val="16"/>
          <w:szCs w:val="16"/>
          <w:lang w:val="es"/>
        </w:rPr>
        <w:t>revocada,</w:t>
      </w:r>
      <w:r w:rsidRPr="003A7E10">
        <w:rPr>
          <w:rFonts w:asciiTheme="majorHAnsi" w:hAnsiTheme="majorHAnsi"/>
          <w:sz w:val="16"/>
          <w:szCs w:val="16"/>
          <w:lang w:val="es"/>
        </w:rPr>
        <w:t xml:space="preserve"> 579 F.3d 943 (9.º Cir. 2009), y </w:t>
      </w:r>
      <w:r w:rsidRPr="003A7E10">
        <w:rPr>
          <w:rFonts w:asciiTheme="majorHAnsi" w:hAnsiTheme="majorHAnsi"/>
          <w:i/>
          <w:iCs/>
          <w:sz w:val="16"/>
          <w:szCs w:val="16"/>
          <w:lang w:val="es"/>
        </w:rPr>
        <w:t>en revisión ante el pleno,</w:t>
      </w:r>
      <w:r w:rsidRPr="003A7E10">
        <w:rPr>
          <w:rFonts w:asciiTheme="majorHAnsi" w:hAnsiTheme="majorHAnsi"/>
          <w:sz w:val="16"/>
          <w:szCs w:val="16"/>
          <w:lang w:val="es"/>
        </w:rPr>
        <w:t xml:space="preserve"> 614 F.3d 1070 (9.º Cir. 2010), </w:t>
      </w:r>
      <w:r w:rsidRPr="003A7E10">
        <w:rPr>
          <w:rFonts w:asciiTheme="majorHAnsi" w:hAnsiTheme="majorHAnsi"/>
          <w:i/>
          <w:iCs/>
          <w:sz w:val="16"/>
          <w:szCs w:val="16"/>
          <w:lang w:val="es"/>
        </w:rPr>
        <w:t>y confirmada,</w:t>
      </w:r>
      <w:r w:rsidRPr="003A7E10">
        <w:rPr>
          <w:rFonts w:asciiTheme="majorHAnsi" w:hAnsiTheme="majorHAnsi"/>
          <w:sz w:val="16"/>
          <w:szCs w:val="16"/>
          <w:lang w:val="es"/>
        </w:rPr>
        <w:t xml:space="preserve"> 614 F.3d 1070 (9.º Cir. 2010).</w:t>
      </w:r>
    </w:p>
  </w:footnote>
  <w:footnote w:id="6">
    <w:p w14:paraId="7A3D8603" w14:textId="77777777" w:rsidR="004B6194" w:rsidRPr="00C14A7E" w:rsidRDefault="004B6194" w:rsidP="006A400E">
      <w:pPr>
        <w:ind w:firstLine="709"/>
        <w:jc w:val="both"/>
        <w:rPr>
          <w:rFonts w:asciiTheme="majorHAnsi" w:hAnsiTheme="majorHAnsi"/>
          <w:sz w:val="16"/>
          <w:szCs w:val="16"/>
        </w:rPr>
      </w:pPr>
      <w:r w:rsidRPr="003A7E10">
        <w:rPr>
          <w:rFonts w:asciiTheme="majorHAnsi" w:hAnsiTheme="majorHAnsi"/>
          <w:sz w:val="16"/>
          <w:szCs w:val="16"/>
          <w:vertAlign w:val="superscript"/>
          <w:lang w:val="es"/>
        </w:rPr>
        <w:footnoteRef/>
      </w:r>
      <w:r w:rsidRPr="003A7E10">
        <w:rPr>
          <w:rFonts w:asciiTheme="majorHAnsi" w:hAnsiTheme="majorHAnsi"/>
          <w:sz w:val="16"/>
          <w:szCs w:val="16"/>
          <w:lang w:val="es"/>
        </w:rPr>
        <w:t xml:space="preserve"> Notificación de solicitud y de solicitud para intervenir, </w:t>
      </w:r>
      <w:r w:rsidRPr="003A7E10">
        <w:rPr>
          <w:rFonts w:asciiTheme="majorHAnsi" w:hAnsiTheme="majorHAnsi"/>
          <w:i/>
          <w:iCs/>
          <w:sz w:val="16"/>
          <w:szCs w:val="16"/>
          <w:lang w:val="es"/>
        </w:rPr>
        <w:t xml:space="preserve">Mohamed v. </w:t>
      </w:r>
      <w:proofErr w:type="spellStart"/>
      <w:r w:rsidRPr="003A7E10">
        <w:rPr>
          <w:rFonts w:asciiTheme="majorHAnsi" w:hAnsiTheme="majorHAnsi"/>
          <w:i/>
          <w:iCs/>
          <w:sz w:val="16"/>
          <w:szCs w:val="16"/>
          <w:lang w:val="es"/>
        </w:rPr>
        <w:t>Jeppesen</w:t>
      </w:r>
      <w:proofErr w:type="spellEnd"/>
      <w:r w:rsidRPr="003A7E10">
        <w:rPr>
          <w:rFonts w:asciiTheme="majorHAnsi" w:hAnsiTheme="majorHAnsi"/>
          <w:i/>
          <w:iCs/>
          <w:sz w:val="16"/>
          <w:szCs w:val="16"/>
          <w:lang w:val="es"/>
        </w:rPr>
        <w:t xml:space="preserve"> </w:t>
      </w:r>
      <w:proofErr w:type="spellStart"/>
      <w:r w:rsidRPr="003A7E10">
        <w:rPr>
          <w:rFonts w:asciiTheme="majorHAnsi" w:hAnsiTheme="majorHAnsi"/>
          <w:i/>
          <w:iCs/>
          <w:sz w:val="16"/>
          <w:szCs w:val="16"/>
          <w:lang w:val="es"/>
        </w:rPr>
        <w:t>Dataplan</w:t>
      </w:r>
      <w:proofErr w:type="spellEnd"/>
      <w:r w:rsidRPr="003A7E10">
        <w:rPr>
          <w:rFonts w:asciiTheme="majorHAnsi" w:hAnsiTheme="majorHAnsi"/>
          <w:sz w:val="16"/>
          <w:szCs w:val="16"/>
          <w:lang w:val="es"/>
        </w:rPr>
        <w:t xml:space="preserve">, Inc., (No. </w:t>
      </w:r>
      <w:r w:rsidRPr="00C14A7E">
        <w:rPr>
          <w:rFonts w:asciiTheme="majorHAnsi" w:hAnsiTheme="majorHAnsi"/>
          <w:sz w:val="16"/>
          <w:szCs w:val="16"/>
          <w:highlight w:val="white"/>
        </w:rPr>
        <w:t xml:space="preserve">C-07-02798-JW) </w:t>
      </w:r>
      <w:r w:rsidRPr="00C14A7E">
        <w:rPr>
          <w:rFonts w:asciiTheme="majorHAnsi" w:hAnsiTheme="majorHAnsi"/>
          <w:sz w:val="16"/>
          <w:szCs w:val="16"/>
        </w:rPr>
        <w:t>2007 WL 3194319 (</w:t>
      </w:r>
      <w:proofErr w:type="spellStart"/>
      <w:r w:rsidRPr="00C14A7E">
        <w:rPr>
          <w:rFonts w:asciiTheme="majorHAnsi" w:hAnsiTheme="majorHAnsi"/>
          <w:sz w:val="16"/>
          <w:szCs w:val="16"/>
        </w:rPr>
        <w:t>N.D.Cal</w:t>
      </w:r>
      <w:proofErr w:type="spellEnd"/>
      <w:r w:rsidRPr="00C14A7E">
        <w:rPr>
          <w:rFonts w:asciiTheme="majorHAnsi" w:hAnsiTheme="majorHAnsi"/>
          <w:sz w:val="16"/>
          <w:szCs w:val="16"/>
        </w:rPr>
        <w:t>. 2007).</w:t>
      </w:r>
    </w:p>
  </w:footnote>
  <w:footnote w:id="7">
    <w:p w14:paraId="254B238B" w14:textId="77777777" w:rsidR="004B6194" w:rsidRPr="00C16074" w:rsidRDefault="004B6194" w:rsidP="006A400E">
      <w:pPr>
        <w:ind w:firstLine="709"/>
        <w:jc w:val="both"/>
        <w:rPr>
          <w:rFonts w:asciiTheme="majorHAnsi" w:eastAsia="Times New Roman" w:hAnsiTheme="majorHAnsi"/>
          <w:sz w:val="16"/>
          <w:szCs w:val="16"/>
          <w:lang w:val="pt-BR"/>
        </w:rPr>
      </w:pPr>
      <w:r w:rsidRPr="003A7E10">
        <w:rPr>
          <w:rFonts w:asciiTheme="majorHAnsi" w:hAnsiTheme="majorHAnsi"/>
          <w:sz w:val="16"/>
          <w:szCs w:val="16"/>
          <w:vertAlign w:val="superscript"/>
          <w:lang w:val="es"/>
        </w:rPr>
        <w:footnoteRef/>
      </w:r>
      <w:r w:rsidRPr="00C16074">
        <w:rPr>
          <w:rFonts w:asciiTheme="majorHAnsi" w:hAnsiTheme="majorHAnsi"/>
          <w:sz w:val="16"/>
          <w:szCs w:val="16"/>
          <w:lang w:val="pt-BR"/>
        </w:rPr>
        <w:t xml:space="preserve"> </w:t>
      </w:r>
      <w:r w:rsidRPr="00C16074">
        <w:rPr>
          <w:rFonts w:asciiTheme="majorHAnsi" w:hAnsiTheme="majorHAnsi"/>
          <w:i/>
          <w:iCs/>
          <w:sz w:val="16"/>
          <w:szCs w:val="16"/>
          <w:lang w:val="pt-BR"/>
        </w:rPr>
        <w:t xml:space="preserve">Idem, </w:t>
      </w:r>
      <w:r w:rsidRPr="00C16074">
        <w:rPr>
          <w:rFonts w:asciiTheme="majorHAnsi" w:hAnsiTheme="majorHAnsi"/>
          <w:sz w:val="16"/>
          <w:szCs w:val="16"/>
          <w:lang w:val="pt-BR"/>
        </w:rPr>
        <w:t>pág. 1081.</w:t>
      </w:r>
    </w:p>
  </w:footnote>
  <w:footnote w:id="8">
    <w:p w14:paraId="4E9F481D" w14:textId="77777777" w:rsidR="004B6194" w:rsidRPr="00C16074" w:rsidRDefault="004B6194" w:rsidP="006A400E">
      <w:pPr>
        <w:ind w:firstLine="709"/>
        <w:jc w:val="both"/>
        <w:rPr>
          <w:rFonts w:asciiTheme="majorHAnsi" w:eastAsia="Times New Roman" w:hAnsiTheme="majorHAnsi"/>
          <w:i/>
          <w:sz w:val="16"/>
          <w:szCs w:val="16"/>
          <w:lang w:val="pt-BR"/>
        </w:rPr>
      </w:pPr>
      <w:r w:rsidRPr="003A7E10">
        <w:rPr>
          <w:rFonts w:asciiTheme="majorHAnsi" w:hAnsiTheme="majorHAnsi"/>
          <w:sz w:val="16"/>
          <w:szCs w:val="16"/>
          <w:vertAlign w:val="superscript"/>
          <w:lang w:val="es"/>
        </w:rPr>
        <w:footnoteRef/>
      </w:r>
      <w:r w:rsidRPr="00C16074">
        <w:rPr>
          <w:rFonts w:asciiTheme="majorHAnsi" w:hAnsiTheme="majorHAnsi"/>
          <w:sz w:val="16"/>
          <w:szCs w:val="16"/>
          <w:lang w:val="pt-BR"/>
        </w:rPr>
        <w:t xml:space="preserve"> </w:t>
      </w:r>
      <w:r w:rsidRPr="00C16074">
        <w:rPr>
          <w:rFonts w:asciiTheme="majorHAnsi" w:hAnsiTheme="majorHAnsi"/>
          <w:i/>
          <w:iCs/>
          <w:sz w:val="16"/>
          <w:szCs w:val="16"/>
          <w:lang w:val="pt-BR"/>
        </w:rPr>
        <w:t>Id.</w:t>
      </w:r>
    </w:p>
  </w:footnote>
  <w:footnote w:id="9">
    <w:p w14:paraId="4F9E585A" w14:textId="77777777" w:rsidR="004B6194" w:rsidRPr="00C16074" w:rsidRDefault="004B6194" w:rsidP="006A400E">
      <w:pPr>
        <w:ind w:firstLine="709"/>
        <w:jc w:val="both"/>
        <w:rPr>
          <w:rFonts w:asciiTheme="majorHAnsi" w:eastAsia="Times New Roman" w:hAnsiTheme="majorHAnsi"/>
          <w:sz w:val="16"/>
          <w:szCs w:val="16"/>
          <w:lang w:val="pt-BR"/>
        </w:rPr>
      </w:pPr>
      <w:r w:rsidRPr="003A7E10">
        <w:rPr>
          <w:rFonts w:asciiTheme="majorHAnsi" w:hAnsiTheme="majorHAnsi"/>
          <w:sz w:val="16"/>
          <w:szCs w:val="16"/>
          <w:vertAlign w:val="superscript"/>
          <w:lang w:val="es"/>
        </w:rPr>
        <w:footnoteRef/>
      </w:r>
      <w:r w:rsidRPr="00C16074">
        <w:rPr>
          <w:rFonts w:asciiTheme="majorHAnsi" w:hAnsiTheme="majorHAnsi"/>
          <w:sz w:val="16"/>
          <w:szCs w:val="16"/>
          <w:lang w:val="pt-BR"/>
        </w:rPr>
        <w:t xml:space="preserve"> </w:t>
      </w:r>
      <w:r w:rsidRPr="00C16074">
        <w:rPr>
          <w:rFonts w:asciiTheme="majorHAnsi" w:hAnsiTheme="majorHAnsi"/>
          <w:i/>
          <w:iCs/>
          <w:sz w:val="16"/>
          <w:szCs w:val="16"/>
          <w:highlight w:val="white"/>
          <w:lang w:val="pt-BR"/>
        </w:rPr>
        <w:t xml:space="preserve">Id., </w:t>
      </w:r>
      <w:r w:rsidRPr="00C16074">
        <w:rPr>
          <w:rFonts w:asciiTheme="majorHAnsi" w:hAnsiTheme="majorHAnsi"/>
          <w:sz w:val="16"/>
          <w:szCs w:val="16"/>
          <w:highlight w:val="white"/>
          <w:lang w:val="pt-BR"/>
        </w:rPr>
        <w:t>pág. 1087.</w:t>
      </w:r>
    </w:p>
  </w:footnote>
  <w:footnote w:id="10">
    <w:p w14:paraId="08B04A0B" w14:textId="77777777" w:rsidR="004B6194" w:rsidRPr="003A7E10" w:rsidRDefault="004B6194" w:rsidP="006A400E">
      <w:pPr>
        <w:ind w:firstLine="709"/>
        <w:jc w:val="both"/>
        <w:rPr>
          <w:rFonts w:asciiTheme="majorHAnsi" w:hAnsiTheme="majorHAnsi"/>
          <w:sz w:val="16"/>
          <w:szCs w:val="16"/>
        </w:rPr>
      </w:pPr>
      <w:r w:rsidRPr="003A7E10">
        <w:rPr>
          <w:rFonts w:asciiTheme="majorHAnsi" w:hAnsiTheme="majorHAnsi"/>
          <w:sz w:val="16"/>
          <w:szCs w:val="16"/>
          <w:vertAlign w:val="superscript"/>
          <w:lang w:val="es"/>
        </w:rPr>
        <w:footnoteRef/>
      </w:r>
      <w:r w:rsidRPr="003A7E10">
        <w:rPr>
          <w:rFonts w:asciiTheme="majorHAnsi" w:hAnsiTheme="majorHAnsi"/>
          <w:i/>
          <w:iCs/>
          <w:sz w:val="16"/>
          <w:szCs w:val="16"/>
          <w:lang w:val="en-GB"/>
        </w:rPr>
        <w:t xml:space="preserve"> Mohamed v. </w:t>
      </w:r>
      <w:proofErr w:type="spellStart"/>
      <w:r w:rsidRPr="003A7E10">
        <w:rPr>
          <w:rFonts w:asciiTheme="majorHAnsi" w:hAnsiTheme="majorHAnsi"/>
          <w:i/>
          <w:iCs/>
          <w:sz w:val="16"/>
          <w:szCs w:val="16"/>
          <w:lang w:val="en-GB"/>
        </w:rPr>
        <w:t>Jeppesen</w:t>
      </w:r>
      <w:proofErr w:type="spellEnd"/>
      <w:r w:rsidRPr="003A7E10">
        <w:rPr>
          <w:rFonts w:asciiTheme="majorHAnsi" w:hAnsiTheme="majorHAnsi"/>
          <w:i/>
          <w:iCs/>
          <w:sz w:val="16"/>
          <w:szCs w:val="16"/>
          <w:lang w:val="en-GB"/>
        </w:rPr>
        <w:t xml:space="preserve"> </w:t>
      </w:r>
      <w:proofErr w:type="spellStart"/>
      <w:r w:rsidRPr="003A7E10">
        <w:rPr>
          <w:rFonts w:asciiTheme="majorHAnsi" w:hAnsiTheme="majorHAnsi"/>
          <w:i/>
          <w:iCs/>
          <w:sz w:val="16"/>
          <w:szCs w:val="16"/>
          <w:lang w:val="en-GB"/>
        </w:rPr>
        <w:t>Dataplan</w:t>
      </w:r>
      <w:proofErr w:type="spellEnd"/>
      <w:r w:rsidRPr="003A7E10">
        <w:rPr>
          <w:rFonts w:asciiTheme="majorHAnsi" w:hAnsiTheme="majorHAnsi"/>
          <w:i/>
          <w:iCs/>
          <w:sz w:val="16"/>
          <w:szCs w:val="16"/>
          <w:lang w:val="en-GB"/>
        </w:rPr>
        <w:t>, Inc.</w:t>
      </w:r>
      <w:r w:rsidRPr="003A7E10">
        <w:rPr>
          <w:rFonts w:asciiTheme="majorHAnsi" w:hAnsiTheme="majorHAnsi"/>
          <w:sz w:val="16"/>
          <w:szCs w:val="16"/>
          <w:lang w:val="en-GB"/>
        </w:rPr>
        <w:t>, 131 S. Ct. 2442 (2011).</w:t>
      </w:r>
    </w:p>
  </w:footnote>
  <w:footnote w:id="11">
    <w:p w14:paraId="6E153733" w14:textId="77777777" w:rsidR="004B6194" w:rsidRPr="003A7E10" w:rsidRDefault="004B6194" w:rsidP="006A400E">
      <w:pPr>
        <w:ind w:firstLine="709"/>
        <w:jc w:val="both"/>
        <w:rPr>
          <w:rFonts w:asciiTheme="majorHAnsi" w:eastAsia="Times New Roman" w:hAnsiTheme="majorHAnsi"/>
          <w:sz w:val="16"/>
          <w:szCs w:val="16"/>
          <w:lang w:val="es-ES"/>
        </w:rPr>
      </w:pPr>
      <w:r w:rsidRPr="003A7E10">
        <w:rPr>
          <w:rFonts w:asciiTheme="majorHAnsi" w:eastAsia="Times New Roman" w:hAnsiTheme="majorHAnsi"/>
          <w:sz w:val="16"/>
          <w:szCs w:val="16"/>
          <w:vertAlign w:val="superscript"/>
          <w:lang w:val="es"/>
        </w:rPr>
        <w:footnoteRef/>
      </w:r>
      <w:r w:rsidRPr="003A7E10">
        <w:rPr>
          <w:rFonts w:asciiTheme="majorHAnsi" w:eastAsia="Times New Roman" w:hAnsiTheme="majorHAnsi"/>
          <w:sz w:val="16"/>
          <w:szCs w:val="16"/>
          <w:lang w:val="es"/>
        </w:rPr>
        <w:t xml:space="preserve"> Comité Selecto del Senado sobre Inteligencia, Estudio del Comité sobre el Programa de Detención e Interrogatorios de la Agencia Central de Inteligencia, pág. 2, </w:t>
      </w:r>
      <w:hyperlink r:id="rId1">
        <w:r w:rsidRPr="003A7E10">
          <w:rPr>
            <w:rFonts w:asciiTheme="majorHAnsi" w:eastAsia="Times New Roman" w:hAnsiTheme="majorHAnsi"/>
            <w:sz w:val="16"/>
            <w:szCs w:val="16"/>
            <w:u w:val="single"/>
            <w:lang w:val="es"/>
          </w:rPr>
          <w:t>https://www.intelligence.senate.gov/sites/default/files/publications/CRPT-113srpt288.pdf</w:t>
        </w:r>
      </w:hyperlink>
      <w:r w:rsidRPr="003A7E10">
        <w:rPr>
          <w:rFonts w:asciiTheme="majorHAnsi" w:eastAsia="Times New Roman" w:hAnsiTheme="majorHAnsi"/>
          <w:sz w:val="16"/>
          <w:szCs w:val="16"/>
          <w:lang w:val="es"/>
        </w:rPr>
        <w:t>.</w:t>
      </w:r>
    </w:p>
  </w:footnote>
  <w:footnote w:id="12">
    <w:p w14:paraId="3EF38A00" w14:textId="77777777" w:rsidR="004B6194" w:rsidRPr="003A7E10" w:rsidRDefault="004B6194" w:rsidP="006A400E">
      <w:pPr>
        <w:pStyle w:val="FootnoteText"/>
        <w:ind w:firstLine="709"/>
        <w:jc w:val="both"/>
        <w:rPr>
          <w:rFonts w:asciiTheme="majorHAnsi" w:hAnsiTheme="majorHAnsi"/>
          <w:color w:val="auto"/>
          <w:sz w:val="16"/>
          <w:szCs w:val="16"/>
          <w:lang w:val="es-ES"/>
        </w:rPr>
      </w:pPr>
      <w:r w:rsidRPr="003A7E10">
        <w:rPr>
          <w:rStyle w:val="FootnoteReference"/>
          <w:rFonts w:asciiTheme="majorHAnsi" w:hAnsiTheme="majorHAnsi"/>
          <w:color w:val="auto"/>
          <w:sz w:val="16"/>
          <w:szCs w:val="16"/>
          <w:lang w:val="es"/>
        </w:rPr>
        <w:footnoteRef/>
      </w:r>
      <w:r w:rsidRPr="003A7E10">
        <w:rPr>
          <w:rFonts w:asciiTheme="majorHAnsi" w:hAnsiTheme="majorHAnsi"/>
          <w:color w:val="auto"/>
          <w:sz w:val="16"/>
          <w:szCs w:val="16"/>
          <w:lang w:val="es"/>
        </w:rPr>
        <w:t xml:space="preserve"> </w:t>
      </w:r>
      <w:proofErr w:type="spellStart"/>
      <w:r w:rsidRPr="003A7E10">
        <w:rPr>
          <w:rFonts w:asciiTheme="majorHAnsi" w:hAnsiTheme="majorHAnsi"/>
          <w:color w:val="auto"/>
          <w:sz w:val="16"/>
          <w:szCs w:val="16"/>
          <w:lang w:val="es"/>
        </w:rPr>
        <w:t>Britel</w:t>
      </w:r>
      <w:proofErr w:type="spellEnd"/>
      <w:r w:rsidRPr="003A7E10">
        <w:rPr>
          <w:rFonts w:asciiTheme="majorHAnsi" w:hAnsiTheme="majorHAnsi"/>
          <w:color w:val="auto"/>
          <w:sz w:val="16"/>
          <w:szCs w:val="16"/>
          <w:lang w:val="es"/>
        </w:rPr>
        <w:t xml:space="preserve"> </w:t>
      </w:r>
      <w:r w:rsidRPr="003A7E10">
        <w:rPr>
          <w:rFonts w:asciiTheme="majorHAnsi" w:hAnsiTheme="majorHAnsi"/>
          <w:i/>
          <w:iCs/>
          <w:color w:val="auto"/>
          <w:sz w:val="16"/>
          <w:szCs w:val="16"/>
          <w:lang w:val="es"/>
        </w:rPr>
        <w:t>et. al. vs.</w:t>
      </w:r>
      <w:r w:rsidRPr="003A7E10">
        <w:rPr>
          <w:rFonts w:asciiTheme="majorHAnsi" w:hAnsiTheme="majorHAnsi"/>
          <w:color w:val="auto"/>
          <w:sz w:val="16"/>
          <w:szCs w:val="16"/>
          <w:lang w:val="es"/>
        </w:rPr>
        <w:t xml:space="preserve"> Estados Unidos, Petición N.º P-1638-11, Respuesta de Estados Unidos, 4 de mayo de 2016.</w:t>
      </w:r>
    </w:p>
  </w:footnote>
  <w:footnote w:id="13">
    <w:p w14:paraId="20020030" w14:textId="2F466DE0" w:rsidR="004B6194" w:rsidRPr="003A7E10" w:rsidRDefault="004B6194" w:rsidP="006A400E">
      <w:pPr>
        <w:pStyle w:val="FootnoteText"/>
        <w:ind w:firstLine="709"/>
        <w:jc w:val="both"/>
        <w:rPr>
          <w:rFonts w:asciiTheme="majorHAnsi" w:hAnsiTheme="majorHAnsi"/>
          <w:color w:val="auto"/>
          <w:sz w:val="16"/>
          <w:szCs w:val="16"/>
          <w:lang w:val="es-ES"/>
        </w:rPr>
      </w:pPr>
      <w:r w:rsidRPr="003A7E10">
        <w:rPr>
          <w:rStyle w:val="FootnoteReference"/>
          <w:rFonts w:asciiTheme="majorHAnsi" w:hAnsiTheme="majorHAnsi"/>
          <w:color w:val="auto"/>
          <w:sz w:val="16"/>
          <w:szCs w:val="16"/>
          <w:lang w:val="es"/>
        </w:rPr>
        <w:footnoteRef/>
      </w:r>
      <w:r w:rsidRPr="003A7E10">
        <w:rPr>
          <w:rFonts w:asciiTheme="majorHAnsi" w:hAnsiTheme="majorHAnsi"/>
          <w:color w:val="auto"/>
          <w:sz w:val="16"/>
          <w:szCs w:val="16"/>
          <w:lang w:val="es"/>
        </w:rPr>
        <w:t xml:space="preserve"> Informe del Comité Selecto del Senado sobre Inteligencia, Estudio del Comité sobre el Programa de Detención e Interrogatorios de la Agencia Central de Inteligencia, 9 de diciembre de 2014, págs. 47, 98 y 238. Disponible en </w:t>
      </w:r>
      <w:hyperlink r:id="rId2" w:history="1">
        <w:r w:rsidR="00226088" w:rsidRPr="003A7E10">
          <w:rPr>
            <w:rStyle w:val="Hyperlink"/>
            <w:rFonts w:asciiTheme="majorHAnsi" w:hAnsiTheme="majorHAnsi"/>
            <w:color w:val="auto"/>
            <w:sz w:val="16"/>
            <w:szCs w:val="16"/>
            <w:lang w:val="es"/>
          </w:rPr>
          <w:t>http://www.intelligence.senate.gov/sites/default/files/documents/CRPT-113srpt288.pdf</w:t>
        </w:r>
      </w:hyperlink>
      <w:r w:rsidR="00226088" w:rsidRPr="003A7E10">
        <w:rPr>
          <w:rFonts w:asciiTheme="majorHAnsi" w:hAnsiTheme="majorHAnsi"/>
          <w:color w:val="auto"/>
          <w:sz w:val="16"/>
          <w:szCs w:val="16"/>
          <w:lang w:val="es"/>
        </w:rPr>
        <w:t>.</w:t>
      </w:r>
    </w:p>
  </w:footnote>
  <w:footnote w:id="14">
    <w:p w14:paraId="07CDF148" w14:textId="77777777" w:rsidR="004B6194" w:rsidRPr="003A7E10" w:rsidRDefault="004B6194" w:rsidP="006A400E">
      <w:pPr>
        <w:pStyle w:val="FootnoteText"/>
        <w:ind w:firstLine="709"/>
        <w:jc w:val="both"/>
        <w:rPr>
          <w:rFonts w:asciiTheme="majorHAnsi" w:hAnsiTheme="majorHAnsi"/>
          <w:color w:val="auto"/>
          <w:sz w:val="16"/>
          <w:szCs w:val="16"/>
          <w:lang w:val="es-ES"/>
        </w:rPr>
      </w:pPr>
      <w:r w:rsidRPr="003A7E10">
        <w:rPr>
          <w:rStyle w:val="FootnoteReference"/>
          <w:rFonts w:asciiTheme="majorHAnsi" w:hAnsiTheme="majorHAnsi"/>
          <w:color w:val="auto"/>
          <w:sz w:val="16"/>
          <w:szCs w:val="16"/>
          <w:lang w:val="es"/>
        </w:rPr>
        <w:footnoteRef/>
      </w:r>
      <w:r w:rsidRPr="003A7E10">
        <w:rPr>
          <w:rFonts w:asciiTheme="majorHAnsi" w:hAnsiTheme="majorHAnsi"/>
          <w:i/>
          <w:iCs/>
          <w:color w:val="auto"/>
          <w:sz w:val="16"/>
          <w:szCs w:val="16"/>
          <w:lang w:val="es"/>
        </w:rPr>
        <w:t xml:space="preserve"> Id. </w:t>
      </w:r>
      <w:r w:rsidRPr="003A7E10">
        <w:rPr>
          <w:rFonts w:asciiTheme="majorHAnsi" w:hAnsiTheme="majorHAnsi"/>
          <w:color w:val="auto"/>
          <w:sz w:val="16"/>
          <w:szCs w:val="16"/>
          <w:lang w:val="es"/>
        </w:rPr>
        <w:t>pág. 238.</w:t>
      </w:r>
    </w:p>
  </w:footnote>
  <w:footnote w:id="15">
    <w:p w14:paraId="02AE0158" w14:textId="77777777" w:rsidR="004B6194" w:rsidRPr="003A7E10" w:rsidRDefault="004B6194" w:rsidP="006A400E">
      <w:pPr>
        <w:pStyle w:val="FootnoteText"/>
        <w:ind w:firstLine="709"/>
        <w:jc w:val="both"/>
        <w:rPr>
          <w:rFonts w:asciiTheme="majorHAnsi" w:hAnsiTheme="majorHAnsi"/>
          <w:color w:val="auto"/>
          <w:sz w:val="16"/>
          <w:szCs w:val="16"/>
          <w:lang w:val="es-ES"/>
        </w:rPr>
      </w:pPr>
      <w:r w:rsidRPr="003A7E10">
        <w:rPr>
          <w:rStyle w:val="FootnoteReference"/>
          <w:rFonts w:asciiTheme="majorHAnsi" w:hAnsiTheme="majorHAnsi"/>
          <w:color w:val="auto"/>
          <w:sz w:val="16"/>
          <w:szCs w:val="16"/>
          <w:lang w:val="es"/>
        </w:rPr>
        <w:footnoteRef/>
      </w:r>
      <w:r w:rsidRPr="003A7E10">
        <w:rPr>
          <w:rFonts w:asciiTheme="majorHAnsi" w:hAnsiTheme="majorHAnsi"/>
          <w:i/>
          <w:iCs/>
          <w:color w:val="auto"/>
          <w:sz w:val="16"/>
          <w:szCs w:val="16"/>
          <w:lang w:val="es"/>
        </w:rPr>
        <w:t xml:space="preserve"> Id. </w:t>
      </w:r>
      <w:r w:rsidRPr="003A7E10">
        <w:rPr>
          <w:rFonts w:asciiTheme="majorHAnsi" w:hAnsiTheme="majorHAnsi"/>
          <w:color w:val="auto"/>
          <w:sz w:val="16"/>
          <w:szCs w:val="16"/>
          <w:lang w:val="es"/>
        </w:rPr>
        <w:t>pág. 238 y 460.</w:t>
      </w:r>
    </w:p>
  </w:footnote>
  <w:footnote w:id="16">
    <w:p w14:paraId="68764A8F" w14:textId="77777777" w:rsidR="004B6194" w:rsidRPr="003A7E10" w:rsidRDefault="004B6194" w:rsidP="006A400E">
      <w:pPr>
        <w:pStyle w:val="FootnoteText"/>
        <w:ind w:firstLine="709"/>
        <w:jc w:val="both"/>
        <w:rPr>
          <w:rFonts w:asciiTheme="majorHAnsi" w:hAnsiTheme="majorHAnsi"/>
          <w:color w:val="auto"/>
          <w:sz w:val="16"/>
          <w:szCs w:val="16"/>
          <w:lang w:val="es-ES"/>
        </w:rPr>
      </w:pPr>
      <w:r w:rsidRPr="003A7E10">
        <w:rPr>
          <w:rStyle w:val="FootnoteReference"/>
          <w:rFonts w:asciiTheme="majorHAnsi" w:hAnsiTheme="majorHAnsi"/>
          <w:color w:val="auto"/>
          <w:sz w:val="16"/>
          <w:szCs w:val="16"/>
          <w:lang w:val="es"/>
        </w:rPr>
        <w:footnoteRef/>
      </w:r>
      <w:r w:rsidRPr="003A7E10">
        <w:rPr>
          <w:rFonts w:asciiTheme="majorHAnsi" w:hAnsiTheme="majorHAnsi"/>
          <w:i/>
          <w:iCs/>
          <w:color w:val="auto"/>
          <w:sz w:val="16"/>
          <w:szCs w:val="16"/>
          <w:lang w:val="es"/>
        </w:rPr>
        <w:t xml:space="preserve"> Id. </w:t>
      </w:r>
      <w:r w:rsidRPr="003A7E10">
        <w:rPr>
          <w:rFonts w:asciiTheme="majorHAnsi" w:hAnsiTheme="majorHAnsi"/>
          <w:color w:val="auto"/>
          <w:sz w:val="16"/>
          <w:szCs w:val="16"/>
          <w:lang w:val="es"/>
        </w:rPr>
        <w:t>pág. 458.</w:t>
      </w:r>
    </w:p>
  </w:footnote>
  <w:footnote w:id="17">
    <w:p w14:paraId="1D1735A2" w14:textId="77777777" w:rsidR="004B6194" w:rsidRPr="003A7E10" w:rsidRDefault="004B6194" w:rsidP="006A400E">
      <w:pPr>
        <w:pStyle w:val="FootnoteText"/>
        <w:ind w:firstLine="709"/>
        <w:jc w:val="both"/>
        <w:rPr>
          <w:rFonts w:asciiTheme="majorHAnsi" w:hAnsiTheme="majorHAnsi"/>
          <w:color w:val="auto"/>
          <w:sz w:val="16"/>
          <w:szCs w:val="16"/>
          <w:lang w:val="es-ES"/>
        </w:rPr>
      </w:pPr>
      <w:r w:rsidRPr="003A7E10">
        <w:rPr>
          <w:rStyle w:val="FootnoteReference"/>
          <w:rFonts w:asciiTheme="majorHAnsi" w:hAnsiTheme="majorHAnsi"/>
          <w:color w:val="auto"/>
          <w:sz w:val="16"/>
          <w:szCs w:val="16"/>
          <w:lang w:val="es"/>
        </w:rPr>
        <w:footnoteRef/>
      </w:r>
      <w:r w:rsidRPr="003A7E10">
        <w:rPr>
          <w:rFonts w:asciiTheme="majorHAnsi" w:hAnsiTheme="majorHAnsi"/>
          <w:color w:val="auto"/>
          <w:sz w:val="16"/>
          <w:szCs w:val="16"/>
          <w:lang w:val="es"/>
        </w:rPr>
        <w:t xml:space="preserve"> CIDH, Informe N.º 109/99, Caso 10.951, </w:t>
      </w:r>
      <w:proofErr w:type="spellStart"/>
      <w:r w:rsidRPr="003A7E10">
        <w:rPr>
          <w:rFonts w:asciiTheme="majorHAnsi" w:hAnsiTheme="majorHAnsi"/>
          <w:color w:val="auto"/>
          <w:sz w:val="16"/>
          <w:szCs w:val="16"/>
          <w:lang w:val="es"/>
        </w:rPr>
        <w:t>Coard</w:t>
      </w:r>
      <w:proofErr w:type="spellEnd"/>
      <w:r w:rsidRPr="003A7E10">
        <w:rPr>
          <w:rFonts w:asciiTheme="majorHAnsi" w:hAnsiTheme="majorHAnsi"/>
          <w:color w:val="auto"/>
          <w:sz w:val="16"/>
          <w:szCs w:val="16"/>
          <w:lang w:val="es"/>
        </w:rPr>
        <w:t xml:space="preserve"> y otros, Estados Unidos. Fondo. 29 de septiembre de 1999, párr. 37; CIDH, Informe N.º 86/99, Caso 11.589, Armando </w:t>
      </w:r>
      <w:proofErr w:type="spellStart"/>
      <w:r w:rsidRPr="003A7E10">
        <w:rPr>
          <w:rFonts w:asciiTheme="majorHAnsi" w:hAnsiTheme="majorHAnsi"/>
          <w:color w:val="auto"/>
          <w:sz w:val="16"/>
          <w:szCs w:val="16"/>
          <w:lang w:val="es"/>
        </w:rPr>
        <w:t>Alejandre</w:t>
      </w:r>
      <w:proofErr w:type="spellEnd"/>
      <w:r w:rsidRPr="003A7E10">
        <w:rPr>
          <w:rFonts w:asciiTheme="majorHAnsi" w:hAnsiTheme="majorHAnsi"/>
          <w:color w:val="auto"/>
          <w:sz w:val="16"/>
          <w:szCs w:val="16"/>
          <w:lang w:val="es"/>
        </w:rPr>
        <w:t xml:space="preserve"> Jr., Carlos Costa, Mario de la Peña y Pablo Morales, Cuba, 29 de septiembre de 1999, párr. 23.</w:t>
      </w:r>
    </w:p>
  </w:footnote>
  <w:footnote w:id="18">
    <w:p w14:paraId="1E713EA0" w14:textId="77777777" w:rsidR="004B6194" w:rsidRPr="003A7E10" w:rsidRDefault="004B6194" w:rsidP="006A400E">
      <w:pPr>
        <w:pStyle w:val="FootnoteText"/>
        <w:ind w:firstLine="709"/>
        <w:jc w:val="both"/>
        <w:rPr>
          <w:rFonts w:asciiTheme="majorHAnsi" w:hAnsiTheme="majorHAnsi"/>
          <w:color w:val="auto"/>
          <w:sz w:val="16"/>
          <w:szCs w:val="16"/>
          <w:lang w:val="es-ES"/>
        </w:rPr>
      </w:pPr>
      <w:r w:rsidRPr="003A7E10">
        <w:rPr>
          <w:rStyle w:val="FootnoteReference"/>
          <w:rFonts w:asciiTheme="majorHAnsi" w:hAnsiTheme="majorHAnsi"/>
          <w:color w:val="auto"/>
          <w:sz w:val="16"/>
          <w:szCs w:val="16"/>
          <w:lang w:val="es"/>
        </w:rPr>
        <w:footnoteRef/>
      </w:r>
      <w:r w:rsidRPr="003A7E10">
        <w:rPr>
          <w:rFonts w:asciiTheme="majorHAnsi" w:hAnsiTheme="majorHAnsi"/>
          <w:color w:val="auto"/>
          <w:sz w:val="16"/>
          <w:szCs w:val="16"/>
          <w:lang w:val="es"/>
        </w:rPr>
        <w:t xml:space="preserve"> CEDH, Gran Cámara, Caso Al-</w:t>
      </w:r>
      <w:proofErr w:type="spellStart"/>
      <w:r w:rsidRPr="003A7E10">
        <w:rPr>
          <w:rFonts w:asciiTheme="majorHAnsi" w:hAnsiTheme="majorHAnsi"/>
          <w:color w:val="auto"/>
          <w:sz w:val="16"/>
          <w:szCs w:val="16"/>
          <w:lang w:val="es"/>
        </w:rPr>
        <w:t>Skeini</w:t>
      </w:r>
      <w:proofErr w:type="spellEnd"/>
      <w:r w:rsidRPr="003A7E10">
        <w:rPr>
          <w:rFonts w:asciiTheme="majorHAnsi" w:hAnsiTheme="majorHAnsi"/>
          <w:color w:val="auto"/>
          <w:sz w:val="16"/>
          <w:szCs w:val="16"/>
          <w:lang w:val="es"/>
        </w:rPr>
        <w:t xml:space="preserve"> y otros vs. Reino Unido (Solicitud n.º 5572/07), sentencia de fecha 7 de julio de 2011, </w:t>
      </w:r>
      <w:proofErr w:type="spellStart"/>
      <w:r w:rsidRPr="003A7E10">
        <w:rPr>
          <w:rFonts w:asciiTheme="majorHAnsi" w:hAnsiTheme="majorHAnsi"/>
          <w:color w:val="auto"/>
          <w:sz w:val="16"/>
          <w:szCs w:val="16"/>
          <w:lang w:val="es"/>
        </w:rPr>
        <w:t>párrs</w:t>
      </w:r>
      <w:proofErr w:type="spellEnd"/>
      <w:r w:rsidRPr="003A7E10">
        <w:rPr>
          <w:rFonts w:asciiTheme="majorHAnsi" w:hAnsiTheme="majorHAnsi"/>
          <w:color w:val="auto"/>
          <w:sz w:val="16"/>
          <w:szCs w:val="16"/>
          <w:lang w:val="es"/>
        </w:rPr>
        <w:t>. 136 y 137.</w:t>
      </w:r>
    </w:p>
  </w:footnote>
  <w:footnote w:id="19">
    <w:p w14:paraId="797C517E" w14:textId="77777777" w:rsidR="004B6194" w:rsidRPr="003A7E10" w:rsidRDefault="004B6194" w:rsidP="006A400E">
      <w:pPr>
        <w:pStyle w:val="FootnoteText"/>
        <w:ind w:firstLine="709"/>
        <w:jc w:val="both"/>
        <w:rPr>
          <w:rFonts w:asciiTheme="majorHAnsi" w:hAnsiTheme="majorHAnsi"/>
          <w:color w:val="auto"/>
          <w:sz w:val="16"/>
          <w:szCs w:val="16"/>
          <w:lang w:val="es-ES"/>
        </w:rPr>
      </w:pPr>
      <w:r w:rsidRPr="003A7E10">
        <w:rPr>
          <w:rStyle w:val="FootnoteReference"/>
          <w:rFonts w:asciiTheme="majorHAnsi" w:hAnsiTheme="majorHAnsi"/>
          <w:color w:val="auto"/>
          <w:sz w:val="16"/>
          <w:szCs w:val="16"/>
          <w:lang w:val="es"/>
        </w:rPr>
        <w:footnoteRef/>
      </w:r>
      <w:r w:rsidRPr="003A7E10">
        <w:rPr>
          <w:rFonts w:asciiTheme="majorHAnsi" w:hAnsiTheme="majorHAnsi"/>
          <w:color w:val="auto"/>
          <w:sz w:val="16"/>
          <w:szCs w:val="16"/>
          <w:lang w:val="es"/>
        </w:rPr>
        <w:t xml:space="preserve"> CIDH, Informe N.º 21/16, Petición 419-08. Admisibilidad. </w:t>
      </w:r>
      <w:proofErr w:type="spellStart"/>
      <w:r w:rsidRPr="003A7E10">
        <w:rPr>
          <w:rFonts w:asciiTheme="majorHAnsi" w:hAnsiTheme="majorHAnsi"/>
          <w:color w:val="auto"/>
          <w:sz w:val="16"/>
          <w:szCs w:val="16"/>
          <w:lang w:val="es"/>
        </w:rPr>
        <w:t>Khaled</w:t>
      </w:r>
      <w:proofErr w:type="spellEnd"/>
      <w:r w:rsidRPr="003A7E10">
        <w:rPr>
          <w:rFonts w:asciiTheme="majorHAnsi" w:hAnsiTheme="majorHAnsi"/>
          <w:color w:val="auto"/>
          <w:sz w:val="16"/>
          <w:szCs w:val="16"/>
          <w:lang w:val="es"/>
        </w:rPr>
        <w:t xml:space="preserve"> El-</w:t>
      </w:r>
      <w:proofErr w:type="spellStart"/>
      <w:r w:rsidRPr="003A7E10">
        <w:rPr>
          <w:rFonts w:asciiTheme="majorHAnsi" w:hAnsiTheme="majorHAnsi"/>
          <w:color w:val="auto"/>
          <w:sz w:val="16"/>
          <w:szCs w:val="16"/>
          <w:lang w:val="es"/>
        </w:rPr>
        <w:t>Masri</w:t>
      </w:r>
      <w:proofErr w:type="spellEnd"/>
      <w:r w:rsidRPr="003A7E10">
        <w:rPr>
          <w:rFonts w:asciiTheme="majorHAnsi" w:hAnsiTheme="majorHAnsi"/>
          <w:color w:val="auto"/>
          <w:sz w:val="16"/>
          <w:szCs w:val="16"/>
          <w:lang w:val="es"/>
        </w:rPr>
        <w:t>. Estados Unidos. 15 de abril de 2016, párr. 25.</w:t>
      </w:r>
    </w:p>
  </w:footnote>
  <w:footnote w:id="20">
    <w:p w14:paraId="314F5904" w14:textId="77777777" w:rsidR="004B6194" w:rsidRPr="003A7E10" w:rsidRDefault="004B6194" w:rsidP="006A400E">
      <w:pPr>
        <w:ind w:firstLine="709"/>
        <w:jc w:val="both"/>
        <w:rPr>
          <w:rFonts w:asciiTheme="majorHAnsi" w:eastAsia="Times New Roman" w:hAnsiTheme="majorHAnsi"/>
          <w:sz w:val="16"/>
          <w:szCs w:val="16"/>
          <w:lang w:val="es-ES"/>
        </w:rPr>
      </w:pPr>
      <w:r w:rsidRPr="003A7E10">
        <w:rPr>
          <w:rFonts w:asciiTheme="majorHAnsi" w:hAnsiTheme="majorHAnsi"/>
          <w:sz w:val="16"/>
          <w:szCs w:val="16"/>
          <w:vertAlign w:val="superscript"/>
          <w:lang w:val="es"/>
        </w:rPr>
        <w:footnoteRef/>
      </w:r>
      <w:r w:rsidRPr="003A7E10">
        <w:rPr>
          <w:rFonts w:asciiTheme="majorHAnsi" w:hAnsiTheme="majorHAnsi"/>
          <w:sz w:val="16"/>
          <w:szCs w:val="16"/>
          <w:lang w:val="es"/>
        </w:rPr>
        <w:t xml:space="preserve"> Declaración Americana, nota 5 </w:t>
      </w:r>
      <w:r w:rsidRPr="003A7E10">
        <w:rPr>
          <w:rFonts w:asciiTheme="majorHAnsi" w:hAnsiTheme="majorHAnsi"/>
          <w:i/>
          <w:iCs/>
          <w:sz w:val="16"/>
          <w:szCs w:val="16"/>
          <w:lang w:val="es"/>
        </w:rPr>
        <w:t>ut supra</w:t>
      </w:r>
      <w:r w:rsidRPr="003A7E10">
        <w:rPr>
          <w:rFonts w:asciiTheme="majorHAnsi" w:hAnsiTheme="majorHAnsi"/>
          <w:sz w:val="16"/>
          <w:szCs w:val="16"/>
          <w:lang w:val="es"/>
        </w:rPr>
        <w:t>, en artículo 31(3).</w:t>
      </w:r>
    </w:p>
  </w:footnote>
  <w:footnote w:id="21">
    <w:p w14:paraId="4C16CD3D" w14:textId="77777777" w:rsidR="004B6194" w:rsidRPr="003A7E10" w:rsidRDefault="004B6194" w:rsidP="006A400E">
      <w:pPr>
        <w:ind w:firstLine="709"/>
        <w:jc w:val="both"/>
        <w:rPr>
          <w:rFonts w:asciiTheme="majorHAnsi" w:eastAsia="Times New Roman" w:hAnsiTheme="majorHAnsi"/>
          <w:sz w:val="16"/>
          <w:szCs w:val="16"/>
          <w:lang w:val="es-ES"/>
        </w:rPr>
      </w:pPr>
      <w:r w:rsidRPr="003A7E10">
        <w:rPr>
          <w:rFonts w:asciiTheme="majorHAnsi" w:hAnsiTheme="majorHAnsi"/>
          <w:sz w:val="16"/>
          <w:szCs w:val="16"/>
          <w:vertAlign w:val="superscript"/>
          <w:lang w:val="es"/>
        </w:rPr>
        <w:footnoteRef/>
      </w:r>
      <w:r w:rsidRPr="003A7E10">
        <w:rPr>
          <w:rFonts w:asciiTheme="majorHAnsi" w:hAnsiTheme="majorHAnsi"/>
          <w:sz w:val="16"/>
          <w:szCs w:val="16"/>
          <w:lang w:val="es"/>
        </w:rPr>
        <w:t xml:space="preserve"> CIDH, Informe N.º 168/17, Petición 1502-07. Admisibilidad. Miguel Ángel Morales </w:t>
      </w:r>
      <w:proofErr w:type="spellStart"/>
      <w:r w:rsidRPr="003A7E10">
        <w:rPr>
          <w:rFonts w:asciiTheme="majorHAnsi" w:hAnsiTheme="majorHAnsi"/>
          <w:sz w:val="16"/>
          <w:szCs w:val="16"/>
          <w:lang w:val="es"/>
        </w:rPr>
        <w:t>Morales</w:t>
      </w:r>
      <w:proofErr w:type="spellEnd"/>
      <w:r w:rsidRPr="003A7E10">
        <w:rPr>
          <w:rFonts w:asciiTheme="majorHAnsi" w:hAnsiTheme="majorHAnsi"/>
          <w:sz w:val="16"/>
          <w:szCs w:val="16"/>
          <w:lang w:val="es"/>
        </w:rPr>
        <w:t xml:space="preserve">. Perú. 1 de diciembre de 2017, párr. 18. </w:t>
      </w:r>
    </w:p>
  </w:footnote>
  <w:footnote w:id="22">
    <w:p w14:paraId="21CC6E62" w14:textId="77777777" w:rsidR="004B6194" w:rsidRPr="003A7E10" w:rsidRDefault="004B6194" w:rsidP="006A400E">
      <w:pPr>
        <w:ind w:firstLine="709"/>
        <w:jc w:val="both"/>
        <w:rPr>
          <w:rFonts w:asciiTheme="majorHAnsi" w:hAnsiTheme="majorHAnsi"/>
          <w:sz w:val="16"/>
          <w:szCs w:val="16"/>
          <w:lang w:val="es-ES"/>
        </w:rPr>
      </w:pPr>
      <w:r w:rsidRPr="003A7E10">
        <w:rPr>
          <w:rFonts w:asciiTheme="majorHAnsi" w:hAnsiTheme="majorHAnsi"/>
          <w:sz w:val="16"/>
          <w:szCs w:val="16"/>
          <w:vertAlign w:val="superscript"/>
          <w:lang w:val="es"/>
        </w:rPr>
        <w:footnoteRef/>
      </w:r>
      <w:r w:rsidRPr="003A7E10">
        <w:rPr>
          <w:rFonts w:asciiTheme="majorHAnsi" w:hAnsiTheme="majorHAnsi"/>
          <w:sz w:val="16"/>
          <w:szCs w:val="16"/>
          <w:lang w:val="es"/>
        </w:rPr>
        <w:t xml:space="preserve"> González Pérez vs. México, Caso 11.565, Comisión Interamericana de Derechos Humanos, Informe N.º 53/01, OEA/</w:t>
      </w:r>
      <w:proofErr w:type="spellStart"/>
      <w:r w:rsidRPr="003A7E10">
        <w:rPr>
          <w:rFonts w:asciiTheme="majorHAnsi" w:hAnsiTheme="majorHAnsi"/>
          <w:sz w:val="16"/>
          <w:szCs w:val="16"/>
          <w:lang w:val="es"/>
        </w:rPr>
        <w:t>Ser.L</w:t>
      </w:r>
      <w:proofErr w:type="spellEnd"/>
      <w:r w:rsidRPr="003A7E10">
        <w:rPr>
          <w:rFonts w:asciiTheme="majorHAnsi" w:hAnsiTheme="majorHAnsi"/>
          <w:sz w:val="16"/>
          <w:szCs w:val="16"/>
          <w:lang w:val="es"/>
        </w:rPr>
        <w:t>/V/</w:t>
      </w:r>
      <w:proofErr w:type="spellStart"/>
      <w:r w:rsidRPr="003A7E10">
        <w:rPr>
          <w:rFonts w:asciiTheme="majorHAnsi" w:hAnsiTheme="majorHAnsi"/>
          <w:sz w:val="16"/>
          <w:szCs w:val="16"/>
          <w:lang w:val="es"/>
        </w:rPr>
        <w:t>II.lll</w:t>
      </w:r>
      <w:proofErr w:type="spellEnd"/>
      <w:r w:rsidRPr="003A7E10">
        <w:rPr>
          <w:rFonts w:asciiTheme="majorHAnsi" w:hAnsiTheme="majorHAnsi"/>
          <w:sz w:val="16"/>
          <w:szCs w:val="16"/>
          <w:lang w:val="es"/>
        </w:rPr>
        <w:t xml:space="preserve">, doc. 20, </w:t>
      </w:r>
      <w:proofErr w:type="spellStart"/>
      <w:r w:rsidRPr="003A7E10">
        <w:rPr>
          <w:rFonts w:asciiTheme="majorHAnsi" w:hAnsiTheme="majorHAnsi"/>
          <w:sz w:val="16"/>
          <w:szCs w:val="16"/>
          <w:lang w:val="es"/>
        </w:rPr>
        <w:t>rev.</w:t>
      </w:r>
      <w:proofErr w:type="spellEnd"/>
      <w:r w:rsidRPr="003A7E10">
        <w:rPr>
          <w:rFonts w:asciiTheme="majorHAnsi" w:hAnsiTheme="majorHAnsi"/>
          <w:sz w:val="16"/>
          <w:szCs w:val="16"/>
          <w:lang w:val="es"/>
        </w:rPr>
        <w:t xml:space="preserve"> </w:t>
      </w:r>
      <w:proofErr w:type="spellStart"/>
      <w:r w:rsidRPr="003A7E10">
        <w:rPr>
          <w:rFonts w:asciiTheme="majorHAnsi" w:hAnsiTheme="majorHAnsi"/>
          <w:sz w:val="16"/>
          <w:szCs w:val="16"/>
          <w:lang w:val="es"/>
        </w:rPr>
        <w:t>párrs</w:t>
      </w:r>
      <w:proofErr w:type="spellEnd"/>
      <w:r w:rsidRPr="003A7E10">
        <w:rPr>
          <w:rFonts w:asciiTheme="majorHAnsi" w:hAnsiTheme="majorHAnsi"/>
          <w:sz w:val="16"/>
          <w:szCs w:val="16"/>
          <w:lang w:val="es"/>
        </w:rPr>
        <w:t>. 84-88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EC5E"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A489E21"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D9BF"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281B3C60" wp14:editId="37E7F64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574A09" w14:textId="77777777" w:rsidR="0099258D" w:rsidRPr="00EC7D62" w:rsidRDefault="0037649D" w:rsidP="00A50FCF">
    <w:pPr>
      <w:pStyle w:val="Header"/>
      <w:tabs>
        <w:tab w:val="clear" w:pos="4320"/>
        <w:tab w:val="clear" w:pos="8640"/>
      </w:tabs>
      <w:jc w:val="center"/>
      <w:rPr>
        <w:sz w:val="22"/>
        <w:szCs w:val="22"/>
      </w:rPr>
    </w:pPr>
    <w:r>
      <w:rPr>
        <w:sz w:val="22"/>
        <w:szCs w:val="22"/>
      </w:rPr>
      <w:pict w14:anchorId="58E005F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E7E4A" w14:textId="77777777" w:rsidR="00E31B7D" w:rsidRDefault="00E31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A36FA5"/>
    <w:multiLevelType w:val="hybridMultilevel"/>
    <w:tmpl w:val="C2643162"/>
    <w:lvl w:ilvl="0" w:tplc="8D06BB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D3447F"/>
    <w:multiLevelType w:val="hybridMultilevel"/>
    <w:tmpl w:val="D1AEADBA"/>
    <w:lvl w:ilvl="0" w:tplc="23BAF08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2"/>
  </w:num>
  <w:num w:numId="4">
    <w:abstractNumId w:val="21"/>
  </w:num>
  <w:num w:numId="5">
    <w:abstractNumId w:val="45"/>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0"/>
  </w:num>
  <w:num w:numId="52">
    <w:abstractNumId w:val="39"/>
  </w:num>
  <w:num w:numId="53">
    <w:abstractNumId w:val="48"/>
  </w:num>
  <w:num w:numId="54">
    <w:abstractNumId w:val="43"/>
  </w:num>
  <w:num w:numId="55">
    <w:abstractNumId w:val="4"/>
  </w:num>
  <w:num w:numId="56">
    <w:abstractNumId w:val="41"/>
  </w:num>
  <w:num w:numId="57">
    <w:abstractNumId w:val="49"/>
  </w:num>
  <w:num w:numId="58">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0DFF"/>
    <w:rsid w:val="000121EF"/>
    <w:rsid w:val="0001560F"/>
    <w:rsid w:val="0001788C"/>
    <w:rsid w:val="000337EF"/>
    <w:rsid w:val="00040C3A"/>
    <w:rsid w:val="000419AD"/>
    <w:rsid w:val="00046260"/>
    <w:rsid w:val="00050465"/>
    <w:rsid w:val="000716C5"/>
    <w:rsid w:val="00075E23"/>
    <w:rsid w:val="0009344A"/>
    <w:rsid w:val="000A392E"/>
    <w:rsid w:val="000A575F"/>
    <w:rsid w:val="000A785C"/>
    <w:rsid w:val="000C0F58"/>
    <w:rsid w:val="000C521D"/>
    <w:rsid w:val="000C5F6A"/>
    <w:rsid w:val="000D10DB"/>
    <w:rsid w:val="000E5EB5"/>
    <w:rsid w:val="000F35ED"/>
    <w:rsid w:val="00107131"/>
    <w:rsid w:val="0010736F"/>
    <w:rsid w:val="001136CF"/>
    <w:rsid w:val="00113F73"/>
    <w:rsid w:val="00121CC2"/>
    <w:rsid w:val="00124EDE"/>
    <w:rsid w:val="00133EE5"/>
    <w:rsid w:val="0013619C"/>
    <w:rsid w:val="00136574"/>
    <w:rsid w:val="00157768"/>
    <w:rsid w:val="00167A34"/>
    <w:rsid w:val="00171A7E"/>
    <w:rsid w:val="001A7870"/>
    <w:rsid w:val="001B31B5"/>
    <w:rsid w:val="001B3A00"/>
    <w:rsid w:val="001C1B41"/>
    <w:rsid w:val="001D65EF"/>
    <w:rsid w:val="001E1859"/>
    <w:rsid w:val="001E49E7"/>
    <w:rsid w:val="001F7201"/>
    <w:rsid w:val="001F76DC"/>
    <w:rsid w:val="00201B36"/>
    <w:rsid w:val="002031A3"/>
    <w:rsid w:val="00207299"/>
    <w:rsid w:val="00210EC0"/>
    <w:rsid w:val="0021484C"/>
    <w:rsid w:val="00217C73"/>
    <w:rsid w:val="00223A29"/>
    <w:rsid w:val="002244B4"/>
    <w:rsid w:val="002250A3"/>
    <w:rsid w:val="00226088"/>
    <w:rsid w:val="00231998"/>
    <w:rsid w:val="00235217"/>
    <w:rsid w:val="0024549B"/>
    <w:rsid w:val="00246D1F"/>
    <w:rsid w:val="00247403"/>
    <w:rsid w:val="00247542"/>
    <w:rsid w:val="00266B61"/>
    <w:rsid w:val="0026712A"/>
    <w:rsid w:val="002704DB"/>
    <w:rsid w:val="00287C13"/>
    <w:rsid w:val="002A0AAE"/>
    <w:rsid w:val="002A5820"/>
    <w:rsid w:val="002B0C4E"/>
    <w:rsid w:val="002D2B26"/>
    <w:rsid w:val="002D5DFD"/>
    <w:rsid w:val="002D7EA2"/>
    <w:rsid w:val="002E1280"/>
    <w:rsid w:val="002E187C"/>
    <w:rsid w:val="002E5890"/>
    <w:rsid w:val="002E6BA1"/>
    <w:rsid w:val="00302733"/>
    <w:rsid w:val="00312CCC"/>
    <w:rsid w:val="00314078"/>
    <w:rsid w:val="0031535D"/>
    <w:rsid w:val="003239B8"/>
    <w:rsid w:val="0032427A"/>
    <w:rsid w:val="0033169F"/>
    <w:rsid w:val="00335018"/>
    <w:rsid w:val="00335E12"/>
    <w:rsid w:val="00337F78"/>
    <w:rsid w:val="00344977"/>
    <w:rsid w:val="00346C95"/>
    <w:rsid w:val="00356185"/>
    <w:rsid w:val="00360380"/>
    <w:rsid w:val="00364C3F"/>
    <w:rsid w:val="00370BFD"/>
    <w:rsid w:val="00374E78"/>
    <w:rsid w:val="00374FFC"/>
    <w:rsid w:val="0037519E"/>
    <w:rsid w:val="0037649D"/>
    <w:rsid w:val="00380585"/>
    <w:rsid w:val="0038168A"/>
    <w:rsid w:val="0038296C"/>
    <w:rsid w:val="003842CF"/>
    <w:rsid w:val="0038518C"/>
    <w:rsid w:val="00386CF0"/>
    <w:rsid w:val="00387E4E"/>
    <w:rsid w:val="00396E68"/>
    <w:rsid w:val="003A7451"/>
    <w:rsid w:val="003A7E10"/>
    <w:rsid w:val="003B2204"/>
    <w:rsid w:val="003B6B4F"/>
    <w:rsid w:val="003B70FB"/>
    <w:rsid w:val="003C093F"/>
    <w:rsid w:val="003C676B"/>
    <w:rsid w:val="003D1F08"/>
    <w:rsid w:val="003D3BC2"/>
    <w:rsid w:val="003E05E8"/>
    <w:rsid w:val="003E2C82"/>
    <w:rsid w:val="003E6CA1"/>
    <w:rsid w:val="003F3E62"/>
    <w:rsid w:val="004065A8"/>
    <w:rsid w:val="00414671"/>
    <w:rsid w:val="004165C2"/>
    <w:rsid w:val="0043200A"/>
    <w:rsid w:val="004403A2"/>
    <w:rsid w:val="00440B44"/>
    <w:rsid w:val="00441ECB"/>
    <w:rsid w:val="00445193"/>
    <w:rsid w:val="00447897"/>
    <w:rsid w:val="00447BBF"/>
    <w:rsid w:val="004504B2"/>
    <w:rsid w:val="0045247F"/>
    <w:rsid w:val="00454503"/>
    <w:rsid w:val="00462C1B"/>
    <w:rsid w:val="00467B7E"/>
    <w:rsid w:val="00473BB4"/>
    <w:rsid w:val="00477592"/>
    <w:rsid w:val="00486F1C"/>
    <w:rsid w:val="0049419D"/>
    <w:rsid w:val="004A6A54"/>
    <w:rsid w:val="004B6194"/>
    <w:rsid w:val="004C20D2"/>
    <w:rsid w:val="004C2312"/>
    <w:rsid w:val="004C4B62"/>
    <w:rsid w:val="004C54C9"/>
    <w:rsid w:val="004C69BE"/>
    <w:rsid w:val="004D4ABA"/>
    <w:rsid w:val="004D6025"/>
    <w:rsid w:val="004D78C1"/>
    <w:rsid w:val="004E1619"/>
    <w:rsid w:val="004E2649"/>
    <w:rsid w:val="004F7707"/>
    <w:rsid w:val="00501399"/>
    <w:rsid w:val="0050633D"/>
    <w:rsid w:val="00507951"/>
    <w:rsid w:val="00507BC4"/>
    <w:rsid w:val="005128E4"/>
    <w:rsid w:val="005133DB"/>
    <w:rsid w:val="0051652D"/>
    <w:rsid w:val="00525560"/>
    <w:rsid w:val="00544C49"/>
    <w:rsid w:val="00544E91"/>
    <w:rsid w:val="00547814"/>
    <w:rsid w:val="005516A1"/>
    <w:rsid w:val="00563557"/>
    <w:rsid w:val="00566CB8"/>
    <w:rsid w:val="0057402A"/>
    <w:rsid w:val="005771D0"/>
    <w:rsid w:val="00585D5F"/>
    <w:rsid w:val="00590296"/>
    <w:rsid w:val="0059191A"/>
    <w:rsid w:val="005921FF"/>
    <w:rsid w:val="0059369B"/>
    <w:rsid w:val="005A24ED"/>
    <w:rsid w:val="005A28CC"/>
    <w:rsid w:val="005A6D0E"/>
    <w:rsid w:val="005B226B"/>
    <w:rsid w:val="005B52B0"/>
    <w:rsid w:val="005B6806"/>
    <w:rsid w:val="005C0010"/>
    <w:rsid w:val="005C4225"/>
    <w:rsid w:val="005C5CCF"/>
    <w:rsid w:val="005E5869"/>
    <w:rsid w:val="005F0DAD"/>
    <w:rsid w:val="005F0F33"/>
    <w:rsid w:val="00600DEB"/>
    <w:rsid w:val="0060296E"/>
    <w:rsid w:val="0060356B"/>
    <w:rsid w:val="00603B16"/>
    <w:rsid w:val="00606CDA"/>
    <w:rsid w:val="00613C8A"/>
    <w:rsid w:val="006218E4"/>
    <w:rsid w:val="00622697"/>
    <w:rsid w:val="00623C62"/>
    <w:rsid w:val="00627C9F"/>
    <w:rsid w:val="00627DA9"/>
    <w:rsid w:val="006311E9"/>
    <w:rsid w:val="00632354"/>
    <w:rsid w:val="00642810"/>
    <w:rsid w:val="00652333"/>
    <w:rsid w:val="00663E46"/>
    <w:rsid w:val="006731B9"/>
    <w:rsid w:val="0068009E"/>
    <w:rsid w:val="00692219"/>
    <w:rsid w:val="006A0DC2"/>
    <w:rsid w:val="006A17D2"/>
    <w:rsid w:val="006A3251"/>
    <w:rsid w:val="006A400E"/>
    <w:rsid w:val="006A6FBE"/>
    <w:rsid w:val="006A73E6"/>
    <w:rsid w:val="006B2D5C"/>
    <w:rsid w:val="006C4EB1"/>
    <w:rsid w:val="006D3E27"/>
    <w:rsid w:val="006D421B"/>
    <w:rsid w:val="006D6366"/>
    <w:rsid w:val="006E0166"/>
    <w:rsid w:val="006E2CC0"/>
    <w:rsid w:val="006E7B34"/>
    <w:rsid w:val="006F00E7"/>
    <w:rsid w:val="006F084F"/>
    <w:rsid w:val="006F1C9E"/>
    <w:rsid w:val="006F5ACD"/>
    <w:rsid w:val="00706149"/>
    <w:rsid w:val="007067C6"/>
    <w:rsid w:val="0070697F"/>
    <w:rsid w:val="00710CE8"/>
    <w:rsid w:val="00711C21"/>
    <w:rsid w:val="007160BD"/>
    <w:rsid w:val="007218F1"/>
    <w:rsid w:val="0072199C"/>
    <w:rsid w:val="00722C9F"/>
    <w:rsid w:val="007253B8"/>
    <w:rsid w:val="0073741F"/>
    <w:rsid w:val="00742890"/>
    <w:rsid w:val="00742E25"/>
    <w:rsid w:val="00756F85"/>
    <w:rsid w:val="0076643F"/>
    <w:rsid w:val="00777F63"/>
    <w:rsid w:val="0078681C"/>
    <w:rsid w:val="007A0CDE"/>
    <w:rsid w:val="007A5817"/>
    <w:rsid w:val="007B05C4"/>
    <w:rsid w:val="007B60E9"/>
    <w:rsid w:val="007B6612"/>
    <w:rsid w:val="007B6CC3"/>
    <w:rsid w:val="007C3334"/>
    <w:rsid w:val="007C4150"/>
    <w:rsid w:val="007D15BD"/>
    <w:rsid w:val="007D2B98"/>
    <w:rsid w:val="007D48DE"/>
    <w:rsid w:val="007E21BC"/>
    <w:rsid w:val="007E7C82"/>
    <w:rsid w:val="007F203C"/>
    <w:rsid w:val="007F588D"/>
    <w:rsid w:val="00802833"/>
    <w:rsid w:val="00803F1C"/>
    <w:rsid w:val="0080600E"/>
    <w:rsid w:val="0080687A"/>
    <w:rsid w:val="00817612"/>
    <w:rsid w:val="008338A4"/>
    <w:rsid w:val="00834240"/>
    <w:rsid w:val="00834D49"/>
    <w:rsid w:val="00837C45"/>
    <w:rsid w:val="00844730"/>
    <w:rsid w:val="008457C2"/>
    <w:rsid w:val="00857A82"/>
    <w:rsid w:val="00866F3B"/>
    <w:rsid w:val="00873836"/>
    <w:rsid w:val="00876D62"/>
    <w:rsid w:val="00883BDD"/>
    <w:rsid w:val="00885737"/>
    <w:rsid w:val="00890650"/>
    <w:rsid w:val="00890AD8"/>
    <w:rsid w:val="00893CA2"/>
    <w:rsid w:val="008948FF"/>
    <w:rsid w:val="00897E12"/>
    <w:rsid w:val="008A7E0F"/>
    <w:rsid w:val="008B12F5"/>
    <w:rsid w:val="008B20E6"/>
    <w:rsid w:val="008D00AC"/>
    <w:rsid w:val="008D23DE"/>
    <w:rsid w:val="008D768D"/>
    <w:rsid w:val="008E3759"/>
    <w:rsid w:val="008E3BFE"/>
    <w:rsid w:val="008E6CE0"/>
    <w:rsid w:val="008F1912"/>
    <w:rsid w:val="008F22E7"/>
    <w:rsid w:val="0090270B"/>
    <w:rsid w:val="009041DC"/>
    <w:rsid w:val="00917B5A"/>
    <w:rsid w:val="00920A58"/>
    <w:rsid w:val="00920A8C"/>
    <w:rsid w:val="009223E3"/>
    <w:rsid w:val="009225CF"/>
    <w:rsid w:val="00931F51"/>
    <w:rsid w:val="00933F6A"/>
    <w:rsid w:val="00934A2C"/>
    <w:rsid w:val="00934B2B"/>
    <w:rsid w:val="00950AEB"/>
    <w:rsid w:val="009559CD"/>
    <w:rsid w:val="00960625"/>
    <w:rsid w:val="009629C7"/>
    <w:rsid w:val="0096706E"/>
    <w:rsid w:val="0096709F"/>
    <w:rsid w:val="00974491"/>
    <w:rsid w:val="00975C4E"/>
    <w:rsid w:val="00981FBA"/>
    <w:rsid w:val="00984E82"/>
    <w:rsid w:val="00986116"/>
    <w:rsid w:val="0099258D"/>
    <w:rsid w:val="00997BC5"/>
    <w:rsid w:val="009A4F41"/>
    <w:rsid w:val="009B381B"/>
    <w:rsid w:val="009C42F3"/>
    <w:rsid w:val="009D1753"/>
    <w:rsid w:val="009D7611"/>
    <w:rsid w:val="009E0B61"/>
    <w:rsid w:val="009E282F"/>
    <w:rsid w:val="009E53DE"/>
    <w:rsid w:val="00A11E44"/>
    <w:rsid w:val="00A1365F"/>
    <w:rsid w:val="00A218EF"/>
    <w:rsid w:val="00A24333"/>
    <w:rsid w:val="00A262D7"/>
    <w:rsid w:val="00A328B3"/>
    <w:rsid w:val="00A3717F"/>
    <w:rsid w:val="00A50FCF"/>
    <w:rsid w:val="00A528D1"/>
    <w:rsid w:val="00A610CD"/>
    <w:rsid w:val="00A65E58"/>
    <w:rsid w:val="00A74695"/>
    <w:rsid w:val="00A758AA"/>
    <w:rsid w:val="00AA09A2"/>
    <w:rsid w:val="00AA7996"/>
    <w:rsid w:val="00AC19CB"/>
    <w:rsid w:val="00AE33F9"/>
    <w:rsid w:val="00AE5488"/>
    <w:rsid w:val="00AE6F91"/>
    <w:rsid w:val="00AE7900"/>
    <w:rsid w:val="00AF5571"/>
    <w:rsid w:val="00B07341"/>
    <w:rsid w:val="00B10D88"/>
    <w:rsid w:val="00B165FF"/>
    <w:rsid w:val="00B254A3"/>
    <w:rsid w:val="00B259EF"/>
    <w:rsid w:val="00B30539"/>
    <w:rsid w:val="00B314DB"/>
    <w:rsid w:val="00B337FD"/>
    <w:rsid w:val="00B361F2"/>
    <w:rsid w:val="00B3718B"/>
    <w:rsid w:val="00B44E2A"/>
    <w:rsid w:val="00B4632A"/>
    <w:rsid w:val="00B46C68"/>
    <w:rsid w:val="00B530F1"/>
    <w:rsid w:val="00B532AA"/>
    <w:rsid w:val="00B60C16"/>
    <w:rsid w:val="00B643B4"/>
    <w:rsid w:val="00B73438"/>
    <w:rsid w:val="00BA276C"/>
    <w:rsid w:val="00BB306F"/>
    <w:rsid w:val="00BC1EE3"/>
    <w:rsid w:val="00BD4B89"/>
    <w:rsid w:val="00BD5460"/>
    <w:rsid w:val="00BD5922"/>
    <w:rsid w:val="00BF02CB"/>
    <w:rsid w:val="00BF561B"/>
    <w:rsid w:val="00BF6FD8"/>
    <w:rsid w:val="00C03680"/>
    <w:rsid w:val="00C05296"/>
    <w:rsid w:val="00C054DF"/>
    <w:rsid w:val="00C10A33"/>
    <w:rsid w:val="00C14A7E"/>
    <w:rsid w:val="00C16074"/>
    <w:rsid w:val="00C21762"/>
    <w:rsid w:val="00C21FEF"/>
    <w:rsid w:val="00C225C4"/>
    <w:rsid w:val="00C24543"/>
    <w:rsid w:val="00C256A2"/>
    <w:rsid w:val="00C26D0A"/>
    <w:rsid w:val="00C450AE"/>
    <w:rsid w:val="00C51515"/>
    <w:rsid w:val="00C53201"/>
    <w:rsid w:val="00C5660B"/>
    <w:rsid w:val="00C66B72"/>
    <w:rsid w:val="00C725B5"/>
    <w:rsid w:val="00C74927"/>
    <w:rsid w:val="00C765B7"/>
    <w:rsid w:val="00C76649"/>
    <w:rsid w:val="00C85BEA"/>
    <w:rsid w:val="00C87AC4"/>
    <w:rsid w:val="00C9567A"/>
    <w:rsid w:val="00CB212D"/>
    <w:rsid w:val="00CB2660"/>
    <w:rsid w:val="00CB2E5A"/>
    <w:rsid w:val="00CC09CB"/>
    <w:rsid w:val="00CC0AD2"/>
    <w:rsid w:val="00CC5E90"/>
    <w:rsid w:val="00CD046C"/>
    <w:rsid w:val="00CE076C"/>
    <w:rsid w:val="00CE2A41"/>
    <w:rsid w:val="00CE5199"/>
    <w:rsid w:val="00CE66D5"/>
    <w:rsid w:val="00CF637A"/>
    <w:rsid w:val="00D059DE"/>
    <w:rsid w:val="00D05ABD"/>
    <w:rsid w:val="00D11602"/>
    <w:rsid w:val="00D13FCE"/>
    <w:rsid w:val="00D14F60"/>
    <w:rsid w:val="00D306D1"/>
    <w:rsid w:val="00D30800"/>
    <w:rsid w:val="00D34786"/>
    <w:rsid w:val="00D37BFC"/>
    <w:rsid w:val="00D4529C"/>
    <w:rsid w:val="00D45905"/>
    <w:rsid w:val="00D47A8E"/>
    <w:rsid w:val="00D52D14"/>
    <w:rsid w:val="00D61D17"/>
    <w:rsid w:val="00D64F28"/>
    <w:rsid w:val="00D712D3"/>
    <w:rsid w:val="00D71422"/>
    <w:rsid w:val="00D72DC6"/>
    <w:rsid w:val="00D7558D"/>
    <w:rsid w:val="00D81471"/>
    <w:rsid w:val="00D81D92"/>
    <w:rsid w:val="00D876F9"/>
    <w:rsid w:val="00DA2715"/>
    <w:rsid w:val="00DA671F"/>
    <w:rsid w:val="00DA7B5F"/>
    <w:rsid w:val="00DB42D0"/>
    <w:rsid w:val="00DC11E7"/>
    <w:rsid w:val="00DC7023"/>
    <w:rsid w:val="00DC769A"/>
    <w:rsid w:val="00DD0231"/>
    <w:rsid w:val="00DD26CE"/>
    <w:rsid w:val="00DD3D86"/>
    <w:rsid w:val="00DE02AB"/>
    <w:rsid w:val="00DF05F0"/>
    <w:rsid w:val="00DF1EC4"/>
    <w:rsid w:val="00E0340B"/>
    <w:rsid w:val="00E04A90"/>
    <w:rsid w:val="00E0551F"/>
    <w:rsid w:val="00E069A1"/>
    <w:rsid w:val="00E219C7"/>
    <w:rsid w:val="00E25F59"/>
    <w:rsid w:val="00E2743A"/>
    <w:rsid w:val="00E31B7D"/>
    <w:rsid w:val="00E32EE7"/>
    <w:rsid w:val="00E4118C"/>
    <w:rsid w:val="00E43157"/>
    <w:rsid w:val="00E44035"/>
    <w:rsid w:val="00E461CE"/>
    <w:rsid w:val="00E47256"/>
    <w:rsid w:val="00E50BE8"/>
    <w:rsid w:val="00E6386B"/>
    <w:rsid w:val="00E720CA"/>
    <w:rsid w:val="00E75E2E"/>
    <w:rsid w:val="00E84EB5"/>
    <w:rsid w:val="00E85662"/>
    <w:rsid w:val="00E8726F"/>
    <w:rsid w:val="00E8734F"/>
    <w:rsid w:val="00E8789F"/>
    <w:rsid w:val="00E91F8C"/>
    <w:rsid w:val="00E97B71"/>
    <w:rsid w:val="00EA3D34"/>
    <w:rsid w:val="00EB454D"/>
    <w:rsid w:val="00EC33A0"/>
    <w:rsid w:val="00EC3C2F"/>
    <w:rsid w:val="00EC7CDA"/>
    <w:rsid w:val="00ED0C98"/>
    <w:rsid w:val="00ED549D"/>
    <w:rsid w:val="00ED76BE"/>
    <w:rsid w:val="00EE00E9"/>
    <w:rsid w:val="00EE28EE"/>
    <w:rsid w:val="00EE611E"/>
    <w:rsid w:val="00EF619B"/>
    <w:rsid w:val="00F00B55"/>
    <w:rsid w:val="00F02AD1"/>
    <w:rsid w:val="00F02C97"/>
    <w:rsid w:val="00F253CC"/>
    <w:rsid w:val="00F34AFF"/>
    <w:rsid w:val="00F37106"/>
    <w:rsid w:val="00F519CF"/>
    <w:rsid w:val="00F55B4E"/>
    <w:rsid w:val="00F56253"/>
    <w:rsid w:val="00F56BA5"/>
    <w:rsid w:val="00F60E22"/>
    <w:rsid w:val="00F717C2"/>
    <w:rsid w:val="00F730D3"/>
    <w:rsid w:val="00F81395"/>
    <w:rsid w:val="00F81BB8"/>
    <w:rsid w:val="00F917D1"/>
    <w:rsid w:val="00F9653B"/>
    <w:rsid w:val="00FB62CF"/>
    <w:rsid w:val="00FD3C3B"/>
    <w:rsid w:val="00FD42AD"/>
    <w:rsid w:val="00FD62AD"/>
    <w:rsid w:val="00FD767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1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 w:type="character" w:customStyle="1" w:styleId="UnresolvedMention">
    <w:name w:val="Unresolved Mention"/>
    <w:basedOn w:val="DefaultParagraphFont"/>
    <w:uiPriority w:val="99"/>
    <w:semiHidden/>
    <w:unhideWhenUsed/>
    <w:rsid w:val="00226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13910">
      <w:bodyDiv w:val="1"/>
      <w:marLeft w:val="0"/>
      <w:marRight w:val="0"/>
      <w:marTop w:val="0"/>
      <w:marBottom w:val="0"/>
      <w:divBdr>
        <w:top w:val="none" w:sz="0" w:space="0" w:color="auto"/>
        <w:left w:val="none" w:sz="0" w:space="0" w:color="auto"/>
        <w:bottom w:val="none" w:sz="0" w:space="0" w:color="auto"/>
        <w:right w:val="none" w:sz="0" w:space="0" w:color="auto"/>
      </w:divBdr>
    </w:div>
    <w:div w:id="151122086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intelligence.senate.gov/sites/default/files/documents/CRPT-113srpt288.pdf" TargetMode="External"/><Relationship Id="rId1" Type="http://schemas.openxmlformats.org/officeDocument/2006/relationships/hyperlink" Target="https://www.intelligence.senate.gov/sites/default/files/publications/CRPT-113srpt28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C00BABF2EA4BDC95125B72D2BF8292"/>
        <w:category>
          <w:name w:val="General"/>
          <w:gallery w:val="placeholder"/>
        </w:category>
        <w:types>
          <w:type w:val="bbPlcHdr"/>
        </w:types>
        <w:behaviors>
          <w:behavior w:val="content"/>
        </w:behaviors>
        <w:guid w:val="{F82E19EA-309D-428C-B050-E252E5BE1B8F}"/>
      </w:docPartPr>
      <w:docPartBody>
        <w:p w:rsidR="009E7D65" w:rsidRDefault="005342BA" w:rsidP="005342BA">
          <w:pPr>
            <w:pStyle w:val="3CC00BABF2EA4BDC95125B72D2BF829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200821"/>
    <w:rsid w:val="00233774"/>
    <w:rsid w:val="00394049"/>
    <w:rsid w:val="004F2DF8"/>
    <w:rsid w:val="005342BA"/>
    <w:rsid w:val="005C0C44"/>
    <w:rsid w:val="005F1A2F"/>
    <w:rsid w:val="0060264A"/>
    <w:rsid w:val="0067227E"/>
    <w:rsid w:val="00706CB9"/>
    <w:rsid w:val="007200C3"/>
    <w:rsid w:val="0073427B"/>
    <w:rsid w:val="00780D20"/>
    <w:rsid w:val="00782223"/>
    <w:rsid w:val="008B1353"/>
    <w:rsid w:val="009A261B"/>
    <w:rsid w:val="009E7D65"/>
    <w:rsid w:val="00A56429"/>
    <w:rsid w:val="00AC0348"/>
    <w:rsid w:val="00AC15A4"/>
    <w:rsid w:val="00B0336C"/>
    <w:rsid w:val="00D223B1"/>
    <w:rsid w:val="00D435D1"/>
    <w:rsid w:val="00DE7283"/>
    <w:rsid w:val="00E114B9"/>
    <w:rsid w:val="00E32515"/>
    <w:rsid w:val="00E613D0"/>
    <w:rsid w:val="00ED1E8A"/>
    <w:rsid w:val="00EF1061"/>
    <w:rsid w:val="00F00D2F"/>
    <w:rsid w:val="00F128DF"/>
    <w:rsid w:val="00F17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2BA"/>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 w:type="paragraph" w:customStyle="1" w:styleId="6465614E20AF4A5B8FB5BBB67C515F4F">
    <w:name w:val="6465614E20AF4A5B8FB5BBB67C515F4F"/>
    <w:rsid w:val="005342BA"/>
    <w:pPr>
      <w:spacing w:after="160" w:line="259" w:lineRule="auto"/>
    </w:pPr>
  </w:style>
  <w:style w:type="paragraph" w:customStyle="1" w:styleId="D12B08C479944548B7903D657067B44E">
    <w:name w:val="D12B08C479944548B7903D657067B44E"/>
    <w:rsid w:val="005342BA"/>
    <w:pPr>
      <w:spacing w:after="160" w:line="259" w:lineRule="auto"/>
    </w:pPr>
  </w:style>
  <w:style w:type="paragraph" w:customStyle="1" w:styleId="3CC00BABF2EA4BDC95125B72D2BF8292">
    <w:name w:val="3CC00BABF2EA4BDC95125B72D2BF8292"/>
    <w:rsid w:val="005342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432D1-023E-4451-9CF7-74E4B7C2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4272</Words>
  <Characters>22516</Characters>
  <Application>Microsoft Office Word</Application>
  <DocSecurity>0</DocSecurity>
  <Lines>402</Lines>
  <Paragraphs>119</Paragraphs>
  <ScaleCrop>false</ScaleCrop>
  <Company/>
  <LinksUpToDate>false</LinksUpToDate>
  <CharactersWithSpaces>26669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154/20</dc:title>
  <dc:creator/>
  <cp:lastModifiedBy/>
  <cp:revision>1</cp:revision>
  <dcterms:created xsi:type="dcterms:W3CDTF">2020-07-13T13:36:00Z</dcterms:created>
  <dcterms:modified xsi:type="dcterms:W3CDTF">2020-07-13T13:37:00Z</dcterms:modified>
</cp:coreProperties>
</file>