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0D2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2956FAC" wp14:editId="29E9D7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7F17BF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319F3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8B55D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0C3F4F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89A7AD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6801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0C3CB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E83260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857C9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BA6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9E917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93F0F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bookmarkStart w:id="0" w:name="_GoBack"/>
      <w:bookmarkEnd w:id="0"/>
    </w:p>
    <w:p w14:paraId="633F54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99FADD"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AF4E933" wp14:editId="40A313E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EE502" w14:textId="7314FDF9"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6531AB">
                              <w:rPr>
                                <w:rFonts w:asciiTheme="majorHAnsi" w:hAnsiTheme="majorHAnsi" w:cs="Arial"/>
                                <w:b/>
                                <w:bCs/>
                                <w:color w:val="0D0D0D" w:themeColor="text1" w:themeTint="F2"/>
                                <w:sz w:val="36"/>
                                <w:szCs w:val="22"/>
                                <w:lang w:val="es-ES_tradnl"/>
                              </w:rPr>
                              <w:t xml:space="preserve"> 76</w:t>
                            </w:r>
                            <w:r>
                              <w:rPr>
                                <w:rFonts w:asciiTheme="majorHAnsi" w:hAnsiTheme="majorHAnsi" w:cs="Arial"/>
                                <w:b/>
                                <w:bCs/>
                                <w:color w:val="0D0D0D" w:themeColor="text1" w:themeTint="F2"/>
                                <w:sz w:val="36"/>
                                <w:szCs w:val="22"/>
                                <w:lang w:val="es-ES_tradnl"/>
                              </w:rPr>
                              <w:t>/</w:t>
                            </w:r>
                            <w:r w:rsidR="008560DD">
                              <w:rPr>
                                <w:rFonts w:asciiTheme="majorHAnsi" w:hAnsiTheme="majorHAnsi" w:cs="Arial"/>
                                <w:b/>
                                <w:bCs/>
                                <w:color w:val="0D0D0D" w:themeColor="text1" w:themeTint="F2"/>
                                <w:sz w:val="36"/>
                                <w:szCs w:val="22"/>
                                <w:lang w:val="es-ES_tradnl"/>
                              </w:rPr>
                              <w:t>20</w:t>
                            </w:r>
                          </w:p>
                          <w:p w14:paraId="5C646F17" w14:textId="21A9242D"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1939D5">
                              <w:rPr>
                                <w:rFonts w:asciiTheme="majorHAnsi" w:hAnsiTheme="majorHAnsi" w:cs="Arial"/>
                                <w:b/>
                                <w:color w:val="0D0D0D" w:themeColor="text1" w:themeTint="F2"/>
                                <w:sz w:val="36"/>
                                <w:szCs w:val="22"/>
                                <w:lang w:val="es-ES_tradnl"/>
                              </w:rPr>
                              <w:t>387-09</w:t>
                            </w:r>
                          </w:p>
                          <w:p w14:paraId="1406BEBE" w14:textId="6D8F5A31"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1" w:name="_ftnref1"/>
                          </w:p>
                          <w:p w14:paraId="0CA9991B" w14:textId="047F3768" w:rsidR="009629C7" w:rsidRDefault="001939D5"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DELROY EDWARDS Y OTROS</w:t>
                            </w:r>
                          </w:p>
                          <w:bookmarkEnd w:id="1"/>
                          <w:p w14:paraId="61634CF1" w14:textId="2D1A8BB3" w:rsidR="009629C7" w:rsidRDefault="001939D5" w:rsidP="009629C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AMÉRICA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F4E93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BEE502" w14:textId="7314FDF9"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6531AB">
                        <w:rPr>
                          <w:rFonts w:asciiTheme="majorHAnsi" w:hAnsiTheme="majorHAnsi" w:cs="Arial"/>
                          <w:b/>
                          <w:bCs/>
                          <w:color w:val="0D0D0D" w:themeColor="text1" w:themeTint="F2"/>
                          <w:sz w:val="36"/>
                          <w:szCs w:val="22"/>
                          <w:lang w:val="es-ES_tradnl"/>
                        </w:rPr>
                        <w:t xml:space="preserve"> 76</w:t>
                      </w:r>
                      <w:r>
                        <w:rPr>
                          <w:rFonts w:asciiTheme="majorHAnsi" w:hAnsiTheme="majorHAnsi" w:cs="Arial"/>
                          <w:b/>
                          <w:bCs/>
                          <w:color w:val="0D0D0D" w:themeColor="text1" w:themeTint="F2"/>
                          <w:sz w:val="36"/>
                          <w:szCs w:val="22"/>
                          <w:lang w:val="es-ES_tradnl"/>
                        </w:rPr>
                        <w:t>/</w:t>
                      </w:r>
                      <w:r w:rsidR="008560DD">
                        <w:rPr>
                          <w:rFonts w:asciiTheme="majorHAnsi" w:hAnsiTheme="majorHAnsi" w:cs="Arial"/>
                          <w:b/>
                          <w:bCs/>
                          <w:color w:val="0D0D0D" w:themeColor="text1" w:themeTint="F2"/>
                          <w:sz w:val="36"/>
                          <w:szCs w:val="22"/>
                          <w:lang w:val="es-ES_tradnl"/>
                        </w:rPr>
                        <w:t>20</w:t>
                      </w:r>
                    </w:p>
                    <w:p w14:paraId="5C646F17" w14:textId="21A9242D"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1939D5">
                        <w:rPr>
                          <w:rFonts w:asciiTheme="majorHAnsi" w:hAnsiTheme="majorHAnsi" w:cs="Arial"/>
                          <w:b/>
                          <w:color w:val="0D0D0D" w:themeColor="text1" w:themeTint="F2"/>
                          <w:sz w:val="36"/>
                          <w:szCs w:val="22"/>
                          <w:lang w:val="es-ES_tradnl"/>
                        </w:rPr>
                        <w:t>387-09</w:t>
                      </w:r>
                    </w:p>
                    <w:p w14:paraId="1406BEBE" w14:textId="6D8F5A31"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1" w:name="_ftnref1"/>
                    </w:p>
                    <w:p w14:paraId="0CA9991B" w14:textId="047F3768" w:rsidR="009629C7" w:rsidRDefault="001939D5"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DELROY EDWARDS Y OTROS</w:t>
                      </w:r>
                    </w:p>
                    <w:bookmarkEnd w:id="1"/>
                    <w:p w14:paraId="61634CF1" w14:textId="2D1A8BB3" w:rsidR="009629C7" w:rsidRDefault="001939D5" w:rsidP="009629C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AMÉRICA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49C0B7CF" w:rsidR="0099258D" w:rsidRPr="004E2649" w:rsidRDefault="006531A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6F14A527" w:rsidR="0099258D" w:rsidRPr="004E2649" w:rsidRDefault="006531A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86</w:t>
                            </w:r>
                          </w:p>
                          <w:p w14:paraId="06176FA9" w14:textId="50FDEDE1" w:rsidR="0099258D" w:rsidRPr="007160BD" w:rsidRDefault="006531A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16 marzo</w:t>
                            </w:r>
                            <w:r w:rsidR="0099258D" w:rsidRPr="007160BD">
                              <w:rPr>
                                <w:rFonts w:asciiTheme="minorHAnsi" w:hAnsiTheme="minorHAnsi"/>
                                <w:color w:val="FFFFFF" w:themeColor="background1"/>
                                <w:sz w:val="22"/>
                                <w:lang w:val="es-US"/>
                              </w:rPr>
                              <w:t xml:space="preserve"> </w:t>
                            </w:r>
                            <w:r w:rsidR="00F23E85">
                              <w:rPr>
                                <w:rFonts w:asciiTheme="minorHAnsi" w:hAnsiTheme="minorHAnsi"/>
                                <w:color w:val="FFFFFF" w:themeColor="background1"/>
                                <w:sz w:val="22"/>
                                <w:lang w:val="es-US"/>
                              </w:rPr>
                              <w:t>20</w:t>
                            </w:r>
                            <w:r w:rsidR="008560DD">
                              <w:rPr>
                                <w:rFonts w:asciiTheme="minorHAnsi" w:hAnsiTheme="minorHAnsi"/>
                                <w:color w:val="FFFFFF" w:themeColor="background1"/>
                                <w:sz w:val="22"/>
                                <w:lang w:val="es-US"/>
                              </w:rPr>
                              <w:t>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40797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49C0B7CF" w:rsidR="0099258D" w:rsidRPr="004E2649" w:rsidRDefault="006531A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6F14A527" w:rsidR="0099258D" w:rsidRPr="004E2649" w:rsidRDefault="006531A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86</w:t>
                      </w:r>
                    </w:p>
                    <w:p w14:paraId="06176FA9" w14:textId="50FDEDE1" w:rsidR="0099258D" w:rsidRPr="007160BD" w:rsidRDefault="006531AB"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16 marzo</w:t>
                      </w:r>
                      <w:r w:rsidR="0099258D" w:rsidRPr="007160BD">
                        <w:rPr>
                          <w:rFonts w:asciiTheme="minorHAnsi" w:hAnsiTheme="minorHAnsi"/>
                          <w:color w:val="FFFFFF" w:themeColor="background1"/>
                          <w:sz w:val="22"/>
                          <w:lang w:val="es-US"/>
                        </w:rPr>
                        <w:t xml:space="preserve"> </w:t>
                      </w:r>
                      <w:r w:rsidR="00F23E85">
                        <w:rPr>
                          <w:rFonts w:asciiTheme="minorHAnsi" w:hAnsiTheme="minorHAnsi"/>
                          <w:color w:val="FFFFFF" w:themeColor="background1"/>
                          <w:sz w:val="22"/>
                          <w:lang w:val="es-US"/>
                        </w:rPr>
                        <w:t>20</w:t>
                      </w:r>
                      <w:r w:rsidR="008560DD">
                        <w:rPr>
                          <w:rFonts w:asciiTheme="minorHAnsi" w:hAnsiTheme="minorHAnsi"/>
                          <w:color w:val="FFFFFF" w:themeColor="background1"/>
                          <w:sz w:val="22"/>
                          <w:lang w:val="es-US"/>
                        </w:rPr>
                        <w:t>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9D14E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380C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33FC7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E844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9A90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A8DF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8476E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D3A4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5643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6E47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C40B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06D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7DD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3B7C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387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D0F5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684D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6B71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DDC3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9E87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BBA3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83C4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C83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CCE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F3E9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4CA3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2466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86BB8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40FD2AA" wp14:editId="1E11B2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B078A" w14:textId="2FAEEEBA"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531AB">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6531AB">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8560DD">
                              <w:rPr>
                                <w:rFonts w:asciiTheme="majorHAnsi" w:hAnsiTheme="majorHAnsi"/>
                                <w:color w:val="0D0D0D" w:themeColor="text1" w:themeTint="F2"/>
                                <w:sz w:val="18"/>
                                <w:szCs w:val="22"/>
                                <w:lang w:val="es-ES"/>
                              </w:rPr>
                              <w:t>2020</w:t>
                            </w:r>
                            <w:r w:rsidR="00C057EC">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FD2A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51B078A" w14:textId="2FAEEEBA"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531AB">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6531AB">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8560DD">
                        <w:rPr>
                          <w:rFonts w:asciiTheme="majorHAnsi" w:hAnsiTheme="majorHAnsi"/>
                          <w:color w:val="0D0D0D" w:themeColor="text1" w:themeTint="F2"/>
                          <w:sz w:val="18"/>
                          <w:szCs w:val="22"/>
                          <w:lang w:val="es-ES"/>
                        </w:rPr>
                        <w:t>2020</w:t>
                      </w:r>
                      <w:r w:rsidR="00C057EC">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D43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53DD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5C42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79EA2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7F6E461" wp14:editId="45A41C7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2F7779D7"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531AB" w:rsidRPr="006531AB">
                              <w:rPr>
                                <w:rFonts w:asciiTheme="majorHAnsi" w:hAnsiTheme="majorHAnsi"/>
                                <w:color w:val="595959" w:themeColor="text1" w:themeTint="A6"/>
                                <w:sz w:val="18"/>
                                <w:szCs w:val="18"/>
                                <w:lang w:val="pt-BR"/>
                              </w:rPr>
                              <w:t>76</w:t>
                            </w:r>
                            <w:r w:rsidR="00C725B5" w:rsidRPr="006531AB">
                              <w:rPr>
                                <w:rFonts w:asciiTheme="majorHAnsi" w:hAnsiTheme="majorHAnsi"/>
                                <w:color w:val="595959" w:themeColor="text1" w:themeTint="A6"/>
                                <w:sz w:val="18"/>
                                <w:szCs w:val="18"/>
                                <w:lang w:val="pt-BR"/>
                              </w:rPr>
                              <w:t>/</w:t>
                            </w:r>
                            <w:r w:rsidR="008560DD" w:rsidRPr="006531AB">
                              <w:rPr>
                                <w:rFonts w:asciiTheme="majorHAnsi" w:hAnsiTheme="majorHAnsi"/>
                                <w:color w:val="595959" w:themeColor="text1" w:themeTint="A6"/>
                                <w:sz w:val="18"/>
                                <w:szCs w:val="18"/>
                                <w:lang w:val="pt-BR"/>
                              </w:rPr>
                              <w:t>20</w:t>
                            </w:r>
                            <w:r w:rsidRPr="006531AB">
                              <w:rPr>
                                <w:rFonts w:asciiTheme="majorHAnsi" w:hAnsiTheme="majorHAnsi"/>
                                <w:color w:val="595959" w:themeColor="text1" w:themeTint="A6"/>
                                <w:sz w:val="18"/>
                                <w:szCs w:val="18"/>
                                <w:lang w:val="pt-BR"/>
                              </w:rPr>
                              <w:t xml:space="preserve">. </w:t>
                            </w:r>
                            <w:proofErr w:type="spellStart"/>
                            <w:r w:rsidR="00C00A6F">
                              <w:rPr>
                                <w:rFonts w:asciiTheme="majorHAnsi" w:hAnsiTheme="majorHAnsi"/>
                                <w:color w:val="595959" w:themeColor="text1" w:themeTint="A6"/>
                                <w:sz w:val="18"/>
                                <w:szCs w:val="18"/>
                                <w:lang w:val="es-ES_tradnl"/>
                              </w:rPr>
                              <w:t>Petici</w:t>
                            </w:r>
                            <w:r w:rsidR="00C00A6F">
                              <w:rPr>
                                <w:rFonts w:asciiTheme="majorHAnsi" w:hAnsiTheme="majorHAnsi"/>
                                <w:color w:val="595959" w:themeColor="text1" w:themeTint="A6"/>
                                <w:sz w:val="18"/>
                                <w:szCs w:val="18"/>
                                <w:lang w:val="es-MX"/>
                              </w:rPr>
                              <w:t>ón</w:t>
                            </w:r>
                            <w:proofErr w:type="spellEnd"/>
                            <w:r w:rsidR="00C00A6F">
                              <w:rPr>
                                <w:rFonts w:asciiTheme="majorHAnsi" w:hAnsiTheme="majorHAnsi"/>
                                <w:color w:val="595959" w:themeColor="text1" w:themeTint="A6"/>
                                <w:sz w:val="18"/>
                                <w:szCs w:val="18"/>
                                <w:lang w:val="es-MX"/>
                              </w:rPr>
                              <w:t xml:space="preserve"> 387-09. </w:t>
                            </w:r>
                            <w:r w:rsidRPr="00890650">
                              <w:rPr>
                                <w:rFonts w:asciiTheme="majorHAnsi" w:hAnsiTheme="majorHAnsi"/>
                                <w:color w:val="595959" w:themeColor="text1" w:themeTint="A6"/>
                                <w:sz w:val="18"/>
                                <w:szCs w:val="18"/>
                                <w:lang w:val="es-ES_tradnl"/>
                              </w:rPr>
                              <w:t xml:space="preserve">Admisibilidad. </w:t>
                            </w:r>
                            <w:proofErr w:type="spellStart"/>
                            <w:r w:rsidR="001939D5">
                              <w:rPr>
                                <w:rFonts w:asciiTheme="majorHAnsi" w:hAnsiTheme="majorHAnsi"/>
                                <w:color w:val="595959" w:themeColor="text1" w:themeTint="A6"/>
                                <w:sz w:val="18"/>
                                <w:szCs w:val="18"/>
                                <w:lang w:val="es-ES_tradnl"/>
                              </w:rPr>
                              <w:t>Delroy</w:t>
                            </w:r>
                            <w:proofErr w:type="spellEnd"/>
                            <w:r w:rsidR="001939D5">
                              <w:rPr>
                                <w:rFonts w:asciiTheme="majorHAnsi" w:hAnsiTheme="majorHAnsi"/>
                                <w:color w:val="595959" w:themeColor="text1" w:themeTint="A6"/>
                                <w:sz w:val="18"/>
                                <w:szCs w:val="18"/>
                                <w:lang w:val="es-ES_tradnl"/>
                              </w:rPr>
                              <w:t xml:space="preserve"> Edwards</w:t>
                            </w:r>
                            <w:r w:rsidR="00C00A6F">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454503">
                              <w:rPr>
                                <w:rFonts w:asciiTheme="majorHAnsi" w:hAnsiTheme="majorHAnsi"/>
                                <w:color w:val="595959" w:themeColor="text1" w:themeTint="A6"/>
                                <w:sz w:val="18"/>
                                <w:szCs w:val="18"/>
                                <w:lang w:val="es-ES_tradnl"/>
                              </w:rPr>
                              <w:t>E</w:t>
                            </w:r>
                            <w:r w:rsidR="001939D5">
                              <w:rPr>
                                <w:rFonts w:asciiTheme="majorHAnsi" w:hAnsiTheme="majorHAnsi"/>
                                <w:color w:val="595959" w:themeColor="text1" w:themeTint="A6"/>
                                <w:sz w:val="18"/>
                                <w:szCs w:val="18"/>
                                <w:lang w:val="es-ES_tradnl"/>
                              </w:rPr>
                              <w:t>stados Unidos de América</w:t>
                            </w:r>
                            <w:r w:rsidRPr="00890650">
                              <w:rPr>
                                <w:rFonts w:asciiTheme="majorHAnsi" w:hAnsiTheme="majorHAnsi"/>
                                <w:color w:val="595959" w:themeColor="text1" w:themeTint="A6"/>
                                <w:sz w:val="18"/>
                                <w:szCs w:val="18"/>
                                <w:lang w:val="es-ES_tradnl"/>
                              </w:rPr>
                              <w:t xml:space="preserve">. </w:t>
                            </w:r>
                            <w:r w:rsidR="006531AB">
                              <w:rPr>
                                <w:rFonts w:asciiTheme="majorHAnsi" w:hAnsiTheme="majorHAnsi"/>
                                <w:color w:val="595959" w:themeColor="text1" w:themeTint="A6"/>
                                <w:sz w:val="18"/>
                                <w:szCs w:val="18"/>
                                <w:lang w:val="es-ES"/>
                              </w:rPr>
                              <w:t>16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F6E46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2F7779D7"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531AB" w:rsidRPr="006531AB">
                        <w:rPr>
                          <w:rFonts w:asciiTheme="majorHAnsi" w:hAnsiTheme="majorHAnsi"/>
                          <w:color w:val="595959" w:themeColor="text1" w:themeTint="A6"/>
                          <w:sz w:val="18"/>
                          <w:szCs w:val="18"/>
                          <w:lang w:val="pt-BR"/>
                        </w:rPr>
                        <w:t>76</w:t>
                      </w:r>
                      <w:r w:rsidR="00C725B5" w:rsidRPr="006531AB">
                        <w:rPr>
                          <w:rFonts w:asciiTheme="majorHAnsi" w:hAnsiTheme="majorHAnsi"/>
                          <w:color w:val="595959" w:themeColor="text1" w:themeTint="A6"/>
                          <w:sz w:val="18"/>
                          <w:szCs w:val="18"/>
                          <w:lang w:val="pt-BR"/>
                        </w:rPr>
                        <w:t>/</w:t>
                      </w:r>
                      <w:r w:rsidR="008560DD" w:rsidRPr="006531AB">
                        <w:rPr>
                          <w:rFonts w:asciiTheme="majorHAnsi" w:hAnsiTheme="majorHAnsi"/>
                          <w:color w:val="595959" w:themeColor="text1" w:themeTint="A6"/>
                          <w:sz w:val="18"/>
                          <w:szCs w:val="18"/>
                          <w:lang w:val="pt-BR"/>
                        </w:rPr>
                        <w:t>20</w:t>
                      </w:r>
                      <w:r w:rsidRPr="006531AB">
                        <w:rPr>
                          <w:rFonts w:asciiTheme="majorHAnsi" w:hAnsiTheme="majorHAnsi"/>
                          <w:color w:val="595959" w:themeColor="text1" w:themeTint="A6"/>
                          <w:sz w:val="18"/>
                          <w:szCs w:val="18"/>
                          <w:lang w:val="pt-BR"/>
                        </w:rPr>
                        <w:t xml:space="preserve">. </w:t>
                      </w:r>
                      <w:r w:rsidR="00C00A6F">
                        <w:rPr>
                          <w:rFonts w:asciiTheme="majorHAnsi" w:hAnsiTheme="majorHAnsi"/>
                          <w:color w:val="595959" w:themeColor="text1" w:themeTint="A6"/>
                          <w:sz w:val="18"/>
                          <w:szCs w:val="18"/>
                          <w:lang w:val="es-ES_tradnl"/>
                        </w:rPr>
                        <w:t>Petici</w:t>
                      </w:r>
                      <w:r w:rsidR="00C00A6F">
                        <w:rPr>
                          <w:rFonts w:asciiTheme="majorHAnsi" w:hAnsiTheme="majorHAnsi"/>
                          <w:color w:val="595959" w:themeColor="text1" w:themeTint="A6"/>
                          <w:sz w:val="18"/>
                          <w:szCs w:val="18"/>
                          <w:lang w:val="es-MX"/>
                        </w:rPr>
                        <w:t xml:space="preserve">ón 387-09. </w:t>
                      </w:r>
                      <w:r w:rsidRPr="00890650">
                        <w:rPr>
                          <w:rFonts w:asciiTheme="majorHAnsi" w:hAnsiTheme="majorHAnsi"/>
                          <w:color w:val="595959" w:themeColor="text1" w:themeTint="A6"/>
                          <w:sz w:val="18"/>
                          <w:szCs w:val="18"/>
                          <w:lang w:val="es-ES_tradnl"/>
                        </w:rPr>
                        <w:t xml:space="preserve">Admisibilidad. </w:t>
                      </w:r>
                      <w:r w:rsidR="001939D5">
                        <w:rPr>
                          <w:rFonts w:asciiTheme="majorHAnsi" w:hAnsiTheme="majorHAnsi"/>
                          <w:color w:val="595959" w:themeColor="text1" w:themeTint="A6"/>
                          <w:sz w:val="18"/>
                          <w:szCs w:val="18"/>
                          <w:lang w:val="es-ES_tradnl"/>
                        </w:rPr>
                        <w:t>Delroy Edwards</w:t>
                      </w:r>
                      <w:r w:rsidR="00C00A6F">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454503">
                        <w:rPr>
                          <w:rFonts w:asciiTheme="majorHAnsi" w:hAnsiTheme="majorHAnsi"/>
                          <w:color w:val="595959" w:themeColor="text1" w:themeTint="A6"/>
                          <w:sz w:val="18"/>
                          <w:szCs w:val="18"/>
                          <w:lang w:val="es-ES_tradnl"/>
                        </w:rPr>
                        <w:t>E</w:t>
                      </w:r>
                      <w:r w:rsidR="001939D5">
                        <w:rPr>
                          <w:rFonts w:asciiTheme="majorHAnsi" w:hAnsiTheme="majorHAnsi"/>
                          <w:color w:val="595959" w:themeColor="text1" w:themeTint="A6"/>
                          <w:sz w:val="18"/>
                          <w:szCs w:val="18"/>
                          <w:lang w:val="es-ES_tradnl"/>
                        </w:rPr>
                        <w:t>stados Unidos de América</w:t>
                      </w:r>
                      <w:r w:rsidRPr="00890650">
                        <w:rPr>
                          <w:rFonts w:asciiTheme="majorHAnsi" w:hAnsiTheme="majorHAnsi"/>
                          <w:color w:val="595959" w:themeColor="text1" w:themeTint="A6"/>
                          <w:sz w:val="18"/>
                          <w:szCs w:val="18"/>
                          <w:lang w:val="es-ES_tradnl"/>
                        </w:rPr>
                        <w:t xml:space="preserve">. </w:t>
                      </w:r>
                      <w:r w:rsidR="006531AB">
                        <w:rPr>
                          <w:rFonts w:asciiTheme="majorHAnsi" w:hAnsiTheme="majorHAnsi"/>
                          <w:color w:val="595959" w:themeColor="text1" w:themeTint="A6"/>
                          <w:sz w:val="18"/>
                          <w:szCs w:val="18"/>
                          <w:lang w:val="es-ES"/>
                        </w:rPr>
                        <w:t>16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23181C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0A47E5" w14:textId="44F37CE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7728" behindDoc="0" locked="0" layoutInCell="1" allowOverlap="1" wp14:anchorId="4012B702" wp14:editId="2F347E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12B702" id="Text Box 4" o:spid="_x0000_s1031" type="#_x0000_t202" style="position:absolute;left:0;text-align:left;margin-left:-21.45pt;margin-top:72.05pt;width:93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482E083D" w:rsidR="0070697F" w:rsidRDefault="004524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5680" behindDoc="0" locked="0" layoutInCell="1" allowOverlap="1" wp14:anchorId="43E559D9" wp14:editId="59B4FD3E">
                <wp:simplePos x="0" y="0"/>
                <wp:positionH relativeFrom="column">
                  <wp:posOffset>1330658</wp:posOffset>
                </wp:positionH>
                <wp:positionV relativeFrom="paragraph">
                  <wp:posOffset>489651</wp:posOffset>
                </wp:positionV>
                <wp:extent cx="2286000"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2860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4ABF66CE" w:rsidR="0099258D" w:rsidRPr="00D72DC6" w:rsidRDefault="00C057EC" w:rsidP="00F02AD1">
                            <w:pPr>
                              <w:rPr>
                                <w:color w:val="FFFFFF" w:themeColor="background1"/>
                                <w14:textFill>
                                  <w14:noFill/>
                                </w14:textFill>
                              </w:rPr>
                            </w:pPr>
                            <w:r>
                              <w:rPr>
                                <w:noProof/>
                                <w:color w:val="FFFFFF" w:themeColor="background1"/>
                              </w:rPr>
                              <w:drawing>
                                <wp:inline distT="0" distB="0" distL="0" distR="0" wp14:anchorId="2BD7D0F1" wp14:editId="11777AC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59D9" id="Text Box 9" o:spid="_x0000_s1032" type="#_x0000_t202" style="position:absolute;left:0;text-align:left;margin-left:104.8pt;margin-top:38.55pt;width:180pt;height: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CCjQIAAJEFAAAOAAAAZHJzL2Uyb0RvYy54bWysVN9P2zAQfp+0/8Hy+0ja0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" fillcolor="white [3201]" stroked="f" strokeweight=".5pt">
                <v:textbox>
                  <w:txbxContent>
                    <w:p w14:paraId="0AEAAA1D" w14:textId="4ABF66CE" w:rsidR="0099258D" w:rsidRPr="00D72DC6" w:rsidRDefault="00C057EC" w:rsidP="00F02AD1">
                      <w:pPr>
                        <w:rPr>
                          <w:color w:val="FFFFFF" w:themeColor="background1"/>
                          <w14:textFill>
                            <w14:noFill/>
                          </w14:textFill>
                        </w:rPr>
                      </w:pPr>
                      <w:r>
                        <w:rPr>
                          <w:noProof/>
                          <w:color w:val="FFFFFF" w:themeColor="background1"/>
                        </w:rPr>
                        <w:drawing>
                          <wp:inline distT="0" distB="0" distL="0" distR="0" wp14:anchorId="2BD7D0F1" wp14:editId="11777AC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p>
    <w:p w14:paraId="3B2ED5B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Look w:val="04A0" w:firstRow="1" w:lastRow="0" w:firstColumn="1" w:lastColumn="0" w:noHBand="0" w:noVBand="1"/>
      </w:tblPr>
      <w:tblGrid>
        <w:gridCol w:w="3544"/>
        <w:gridCol w:w="5812"/>
      </w:tblGrid>
      <w:tr w:rsidR="00802833" w:rsidRPr="0016317A" w14:paraId="14353E3A" w14:textId="77777777" w:rsidTr="0045247F">
        <w:tc>
          <w:tcPr>
            <w:tcW w:w="3544" w:type="dxa"/>
            <w:shd w:val="clear" w:color="auto" w:fill="386294"/>
            <w:vAlign w:val="center"/>
          </w:tcPr>
          <w:p w14:paraId="0EC9DE2C" w14:textId="0CB556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vAlign w:val="center"/>
          </w:tcPr>
          <w:p w14:paraId="706D0974" w14:textId="170992FB" w:rsidR="00802833" w:rsidRPr="00802833" w:rsidRDefault="001F70D8" w:rsidP="00802833">
            <w:pPr>
              <w:jc w:val="both"/>
              <w:rPr>
                <w:rFonts w:ascii="Cambria" w:hAnsi="Cambria"/>
                <w:bCs/>
                <w:sz w:val="20"/>
                <w:szCs w:val="20"/>
                <w:lang w:val="es-ES"/>
              </w:rPr>
            </w:pPr>
            <w:r>
              <w:rPr>
                <w:rFonts w:ascii="Cambria" w:hAnsi="Cambria"/>
                <w:bCs/>
                <w:sz w:val="20"/>
                <w:szCs w:val="20"/>
                <w:lang w:val="es-ES"/>
              </w:rPr>
              <w:t>Clínica de Derecho Internacional de Derechos Humanos de American University (IHRLC)</w:t>
            </w:r>
          </w:p>
        </w:tc>
      </w:tr>
      <w:tr w:rsidR="00802833" w:rsidRPr="00171A7E" w14:paraId="2355CD53" w14:textId="77777777" w:rsidTr="0045247F">
        <w:tc>
          <w:tcPr>
            <w:tcW w:w="3544" w:type="dxa"/>
            <w:shd w:val="clear" w:color="auto" w:fill="386294"/>
            <w:vAlign w:val="center"/>
          </w:tcPr>
          <w:p w14:paraId="59A0E4B3" w14:textId="23C5F734" w:rsidR="00802833" w:rsidRPr="009629C7" w:rsidRDefault="00260FF1" w:rsidP="0080283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3CC00BABF2EA4BDC95125B72D2BF8292"/>
                </w:placeholder>
                <w:dropDownList>
                  <w:listItem w:value="Choose an item."/>
                  <w:listItem w:displayText="Presunta víctima" w:value="Presunta víctima"/>
                  <w:listItem w:displayText="Presuntas víctimas" w:value="Presuntas víctimas"/>
                </w:dropDownList>
              </w:sdtPr>
              <w:sdtEndPr/>
              <w:sdtContent>
                <w:r w:rsidR="00802833" w:rsidRPr="009629C7">
                  <w:rPr>
                    <w:rFonts w:ascii="Cambria" w:hAnsi="Cambria"/>
                    <w:bCs/>
                    <w:color w:val="FFFFFF" w:themeColor="background1"/>
                    <w:sz w:val="19"/>
                    <w:szCs w:val="19"/>
                    <w:lang w:val="es-ES"/>
                  </w:rPr>
                  <w:t>Presunta víctima</w:t>
                </w:r>
              </w:sdtContent>
            </w:sdt>
          </w:p>
        </w:tc>
        <w:tc>
          <w:tcPr>
            <w:tcW w:w="5812" w:type="dxa"/>
            <w:vAlign w:val="center"/>
          </w:tcPr>
          <w:p w14:paraId="70B7B1C1" w14:textId="64BDE3C3" w:rsidR="00802833" w:rsidRDefault="001F70D8" w:rsidP="00802833">
            <w:pPr>
              <w:jc w:val="both"/>
              <w:rPr>
                <w:rFonts w:ascii="Cambria" w:hAnsi="Cambria"/>
                <w:bCs/>
                <w:sz w:val="20"/>
                <w:szCs w:val="20"/>
              </w:rPr>
            </w:pPr>
            <w:r>
              <w:rPr>
                <w:rFonts w:ascii="Cambria" w:hAnsi="Cambria"/>
                <w:bCs/>
                <w:sz w:val="20"/>
                <w:szCs w:val="20"/>
              </w:rPr>
              <w:t>Delroy Edwards y otros</w:t>
            </w:r>
            <w:r>
              <w:rPr>
                <w:rStyle w:val="FootnoteReference"/>
                <w:rFonts w:ascii="Cambria" w:hAnsi="Cambria"/>
                <w:bCs/>
                <w:sz w:val="20"/>
                <w:szCs w:val="20"/>
              </w:rPr>
              <w:footnoteReference w:id="2"/>
            </w:r>
          </w:p>
        </w:tc>
      </w:tr>
      <w:tr w:rsidR="00802833" w14:paraId="6B9385E9" w14:textId="77777777" w:rsidTr="0045247F">
        <w:tc>
          <w:tcPr>
            <w:tcW w:w="3544" w:type="dxa"/>
            <w:shd w:val="clear" w:color="auto" w:fill="386294"/>
            <w:vAlign w:val="center"/>
          </w:tcPr>
          <w:p w14:paraId="2DB2C085" w14:textId="7CA93E2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Estado denunciado</w:t>
            </w:r>
          </w:p>
        </w:tc>
        <w:tc>
          <w:tcPr>
            <w:tcW w:w="5812" w:type="dxa"/>
            <w:vAlign w:val="center"/>
          </w:tcPr>
          <w:p w14:paraId="5E375646" w14:textId="67A068B6" w:rsidR="00802833" w:rsidRDefault="001F70D8" w:rsidP="00802833">
            <w:pPr>
              <w:jc w:val="both"/>
              <w:rPr>
                <w:rFonts w:ascii="Cambria" w:hAnsi="Cambria"/>
                <w:bCs/>
                <w:sz w:val="20"/>
                <w:szCs w:val="20"/>
              </w:rPr>
            </w:pPr>
            <w:r>
              <w:rPr>
                <w:rFonts w:ascii="Cambria" w:hAnsi="Cambria"/>
                <w:bCs/>
                <w:sz w:val="20"/>
                <w:szCs w:val="20"/>
              </w:rPr>
              <w:t>Estados Unidos de América</w:t>
            </w:r>
          </w:p>
        </w:tc>
      </w:tr>
      <w:tr w:rsidR="00802833" w:rsidRPr="0016317A" w14:paraId="2485421D" w14:textId="77777777" w:rsidTr="0045247F">
        <w:tc>
          <w:tcPr>
            <w:tcW w:w="3544" w:type="dxa"/>
            <w:shd w:val="clear" w:color="auto" w:fill="386294"/>
            <w:vAlign w:val="center"/>
          </w:tcPr>
          <w:p w14:paraId="158523DF" w14:textId="03C294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invocados</w:t>
            </w:r>
          </w:p>
        </w:tc>
        <w:tc>
          <w:tcPr>
            <w:tcW w:w="5812" w:type="dxa"/>
            <w:vAlign w:val="center"/>
          </w:tcPr>
          <w:p w14:paraId="6963531B" w14:textId="0B638100" w:rsidR="00802833" w:rsidRDefault="001F70D8" w:rsidP="00802833">
            <w:pPr>
              <w:jc w:val="both"/>
              <w:rPr>
                <w:rFonts w:ascii="Cambria" w:hAnsi="Cambria"/>
                <w:bCs/>
                <w:sz w:val="20"/>
                <w:szCs w:val="20"/>
                <w:lang w:val="es-PA"/>
              </w:rPr>
            </w:pPr>
            <w:r>
              <w:rPr>
                <w:rFonts w:ascii="Cambria" w:hAnsi="Cambria"/>
                <w:bCs/>
                <w:sz w:val="20"/>
                <w:szCs w:val="20"/>
                <w:lang w:val="es-PA"/>
              </w:rPr>
              <w:t>Artículos I</w:t>
            </w:r>
            <w:r w:rsidR="008560DD">
              <w:rPr>
                <w:rFonts w:ascii="Cambria" w:hAnsi="Cambria"/>
                <w:bCs/>
                <w:sz w:val="20"/>
                <w:szCs w:val="20"/>
                <w:lang w:val="es-PA"/>
              </w:rPr>
              <w:t xml:space="preserve"> (vida, libertad, seguridad e integridad</w:t>
            </w:r>
            <w:r w:rsidR="003164B7">
              <w:rPr>
                <w:rFonts w:ascii="Cambria" w:hAnsi="Cambria"/>
                <w:bCs/>
                <w:sz w:val="20"/>
                <w:szCs w:val="20"/>
                <w:lang w:val="es-PA"/>
              </w:rPr>
              <w:t xml:space="preserve"> </w:t>
            </w:r>
            <w:r w:rsidR="003164B7" w:rsidRPr="0008317C">
              <w:rPr>
                <w:rFonts w:asciiTheme="majorHAnsi" w:hAnsiTheme="majorHAnsi"/>
                <w:bCs/>
                <w:sz w:val="20"/>
                <w:szCs w:val="20"/>
                <w:lang w:val="es-PA"/>
              </w:rPr>
              <w:t>de la persona</w:t>
            </w:r>
            <w:r w:rsidR="008560DD">
              <w:rPr>
                <w:rFonts w:ascii="Cambria" w:hAnsi="Cambria"/>
                <w:bCs/>
                <w:sz w:val="20"/>
                <w:szCs w:val="20"/>
                <w:lang w:val="es-PA"/>
              </w:rPr>
              <w:t>)</w:t>
            </w:r>
            <w:r>
              <w:rPr>
                <w:rFonts w:ascii="Cambria" w:hAnsi="Cambria"/>
                <w:bCs/>
                <w:sz w:val="20"/>
                <w:szCs w:val="20"/>
                <w:lang w:val="es-PA"/>
              </w:rPr>
              <w:t>, II</w:t>
            </w:r>
            <w:r w:rsidR="006652A5">
              <w:rPr>
                <w:rFonts w:ascii="Cambria" w:hAnsi="Cambria"/>
                <w:bCs/>
                <w:sz w:val="20"/>
                <w:szCs w:val="20"/>
                <w:lang w:val="es-PA"/>
              </w:rPr>
              <w:t xml:space="preserve"> (igualdad ante la ley)</w:t>
            </w:r>
            <w:r>
              <w:rPr>
                <w:rFonts w:ascii="Cambria" w:hAnsi="Cambria"/>
                <w:bCs/>
                <w:sz w:val="20"/>
                <w:szCs w:val="20"/>
                <w:lang w:val="es-PA"/>
              </w:rPr>
              <w:t>,</w:t>
            </w:r>
            <w:r w:rsidR="008560DD">
              <w:rPr>
                <w:rFonts w:ascii="Cambria" w:hAnsi="Cambria"/>
                <w:bCs/>
                <w:sz w:val="20"/>
                <w:szCs w:val="20"/>
                <w:lang w:val="es-PA"/>
              </w:rPr>
              <w:t xml:space="preserve"> XI</w:t>
            </w:r>
            <w:r w:rsidR="006652A5">
              <w:rPr>
                <w:rFonts w:ascii="Cambria" w:hAnsi="Cambria"/>
                <w:bCs/>
                <w:sz w:val="20"/>
                <w:szCs w:val="20"/>
                <w:lang w:val="es-PA"/>
              </w:rPr>
              <w:t xml:space="preserve"> (</w:t>
            </w:r>
            <w:r w:rsidR="009464CA">
              <w:rPr>
                <w:rFonts w:ascii="Cambria" w:hAnsi="Cambria"/>
                <w:bCs/>
                <w:sz w:val="20"/>
                <w:szCs w:val="20"/>
                <w:lang w:val="es-PA"/>
              </w:rPr>
              <w:t xml:space="preserve">preservación de la </w:t>
            </w:r>
            <w:r w:rsidR="006652A5">
              <w:rPr>
                <w:rFonts w:ascii="Cambria" w:hAnsi="Cambria"/>
                <w:bCs/>
                <w:sz w:val="20"/>
                <w:szCs w:val="20"/>
                <w:lang w:val="es-PA"/>
              </w:rPr>
              <w:t>salud y bienestar)</w:t>
            </w:r>
            <w:r w:rsidR="008560DD">
              <w:rPr>
                <w:rFonts w:ascii="Cambria" w:hAnsi="Cambria"/>
                <w:bCs/>
                <w:sz w:val="20"/>
                <w:szCs w:val="20"/>
                <w:lang w:val="es-PA"/>
              </w:rPr>
              <w:t>,</w:t>
            </w:r>
            <w:r>
              <w:rPr>
                <w:rFonts w:ascii="Cambria" w:hAnsi="Cambria"/>
                <w:bCs/>
                <w:sz w:val="20"/>
                <w:szCs w:val="20"/>
                <w:lang w:val="es-PA"/>
              </w:rPr>
              <w:t xml:space="preserve"> XXV</w:t>
            </w:r>
            <w:r w:rsidR="006652A5">
              <w:rPr>
                <w:rFonts w:ascii="Cambria" w:hAnsi="Cambria"/>
                <w:bCs/>
                <w:sz w:val="20"/>
                <w:szCs w:val="20"/>
                <w:lang w:val="es-PA"/>
              </w:rPr>
              <w:t xml:space="preserve"> (protección contra la detención arbitraria)</w:t>
            </w:r>
            <w:r>
              <w:rPr>
                <w:rFonts w:ascii="Cambria" w:hAnsi="Cambria"/>
                <w:bCs/>
                <w:sz w:val="20"/>
                <w:szCs w:val="20"/>
                <w:lang w:val="es-PA"/>
              </w:rPr>
              <w:t xml:space="preserve"> y XXVI</w:t>
            </w:r>
            <w:r w:rsidR="006652A5">
              <w:rPr>
                <w:rFonts w:ascii="Cambria" w:hAnsi="Cambria"/>
                <w:bCs/>
                <w:sz w:val="20"/>
                <w:szCs w:val="20"/>
                <w:lang w:val="es-PA"/>
              </w:rPr>
              <w:t xml:space="preserve"> (proceso regular)</w:t>
            </w:r>
            <w:r>
              <w:rPr>
                <w:rFonts w:ascii="Cambria" w:hAnsi="Cambria"/>
                <w:bCs/>
                <w:sz w:val="20"/>
                <w:szCs w:val="20"/>
                <w:lang w:val="es-PA"/>
              </w:rPr>
              <w:t xml:space="preserve"> de la Declaración Americana de los Derechos y Deberes del Hombre</w:t>
            </w:r>
            <w:r>
              <w:rPr>
                <w:rStyle w:val="FootnoteReference"/>
                <w:rFonts w:ascii="Cambria" w:hAnsi="Cambria"/>
                <w:bCs/>
                <w:sz w:val="20"/>
                <w:szCs w:val="20"/>
                <w:lang w:val="es-PA"/>
              </w:rPr>
              <w:footnoteReference w:id="3"/>
            </w:r>
          </w:p>
        </w:tc>
      </w:tr>
    </w:tbl>
    <w:p w14:paraId="274617D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9629C7" w:rsidRPr="00960625" w14:paraId="78A941EA" w14:textId="77777777" w:rsidTr="009629C7">
        <w:tc>
          <w:tcPr>
            <w:tcW w:w="3544" w:type="dxa"/>
            <w:tcBorders>
              <w:top w:val="single" w:sz="6" w:space="0" w:color="auto"/>
              <w:bottom w:val="single" w:sz="6" w:space="0" w:color="auto"/>
            </w:tcBorders>
            <w:shd w:val="clear" w:color="auto" w:fill="386294"/>
            <w:vAlign w:val="center"/>
          </w:tcPr>
          <w:p w14:paraId="470D93FB" w14:textId="4BD55022" w:rsidR="009629C7" w:rsidRPr="009629C7" w:rsidRDefault="009629C7" w:rsidP="0080283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Recepción </w:t>
            </w:r>
            <w:r w:rsidRPr="009629C7">
              <w:rPr>
                <w:rFonts w:ascii="Cambria" w:hAnsi="Cambria"/>
                <w:bCs/>
                <w:color w:val="FFFFFF" w:themeColor="background1"/>
                <w:sz w:val="19"/>
                <w:szCs w:val="19"/>
                <w:lang w:val="es-ES"/>
              </w:rPr>
              <w:t>de la petición</w:t>
            </w:r>
          </w:p>
        </w:tc>
        <w:tc>
          <w:tcPr>
            <w:tcW w:w="5812" w:type="dxa"/>
          </w:tcPr>
          <w:p w14:paraId="1C0FBE93" w14:textId="0DCEF770" w:rsidR="009629C7" w:rsidRPr="003239B8" w:rsidRDefault="001F70D8" w:rsidP="00802833">
            <w:pPr>
              <w:jc w:val="both"/>
              <w:rPr>
                <w:rFonts w:ascii="Cambria" w:hAnsi="Cambria"/>
                <w:bCs/>
                <w:sz w:val="20"/>
                <w:szCs w:val="20"/>
                <w:lang w:val="es-ES"/>
              </w:rPr>
            </w:pPr>
            <w:r>
              <w:rPr>
                <w:rFonts w:ascii="Cambria" w:hAnsi="Cambria"/>
                <w:bCs/>
                <w:sz w:val="20"/>
                <w:szCs w:val="20"/>
                <w:lang w:val="es-ES"/>
              </w:rPr>
              <w:t>10 de marzo de 2009</w:t>
            </w:r>
          </w:p>
        </w:tc>
      </w:tr>
      <w:tr w:rsidR="009629C7" w:rsidRPr="001939D5" w14:paraId="33F566F4" w14:textId="77777777" w:rsidTr="00C00A6F">
        <w:tc>
          <w:tcPr>
            <w:tcW w:w="3544" w:type="dxa"/>
            <w:tcBorders>
              <w:top w:val="single" w:sz="6" w:space="0" w:color="auto"/>
              <w:bottom w:val="single" w:sz="6" w:space="0" w:color="auto"/>
            </w:tcBorders>
            <w:shd w:val="clear" w:color="auto" w:fill="386294"/>
            <w:vAlign w:val="center"/>
          </w:tcPr>
          <w:p w14:paraId="1052A61F" w14:textId="5A43CEF4"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Información adicional recibida durante la etapa de estudio</w:t>
            </w:r>
          </w:p>
        </w:tc>
        <w:tc>
          <w:tcPr>
            <w:tcW w:w="5812" w:type="dxa"/>
            <w:vAlign w:val="center"/>
          </w:tcPr>
          <w:p w14:paraId="08E4BF96" w14:textId="485FB588" w:rsidR="00252F40" w:rsidRDefault="001F70D8" w:rsidP="00802833">
            <w:pPr>
              <w:rPr>
                <w:rFonts w:ascii="Cambria" w:hAnsi="Cambria"/>
                <w:sz w:val="20"/>
                <w:szCs w:val="20"/>
                <w:lang w:val="es"/>
              </w:rPr>
            </w:pPr>
            <w:r>
              <w:rPr>
                <w:rFonts w:ascii="Cambria" w:hAnsi="Cambria"/>
                <w:sz w:val="20"/>
                <w:szCs w:val="20"/>
                <w:lang w:val="es"/>
              </w:rPr>
              <w:t>8 de septiembre de 2016</w:t>
            </w:r>
          </w:p>
        </w:tc>
      </w:tr>
      <w:tr w:rsidR="009629C7" w:rsidRPr="00802833" w14:paraId="4C078278" w14:textId="77777777" w:rsidTr="009629C7">
        <w:tc>
          <w:tcPr>
            <w:tcW w:w="3544" w:type="dxa"/>
            <w:tcBorders>
              <w:top w:val="single" w:sz="6" w:space="0" w:color="auto"/>
              <w:bottom w:val="single" w:sz="6" w:space="0" w:color="auto"/>
            </w:tcBorders>
            <w:shd w:val="clear" w:color="auto" w:fill="386294"/>
            <w:vAlign w:val="center"/>
          </w:tcPr>
          <w:p w14:paraId="687B66A5" w14:textId="7667493E"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Notificación de la petición</w:t>
            </w:r>
          </w:p>
        </w:tc>
        <w:tc>
          <w:tcPr>
            <w:tcW w:w="5812" w:type="dxa"/>
          </w:tcPr>
          <w:p w14:paraId="0C419769" w14:textId="7D5899D1" w:rsidR="009629C7" w:rsidRDefault="001F70D8" w:rsidP="00802833">
            <w:pPr>
              <w:jc w:val="both"/>
              <w:rPr>
                <w:rFonts w:ascii="Cambria" w:hAnsi="Cambria"/>
                <w:sz w:val="20"/>
                <w:szCs w:val="20"/>
                <w:lang w:val="es"/>
              </w:rPr>
            </w:pPr>
            <w:r>
              <w:rPr>
                <w:rFonts w:ascii="Cambria" w:hAnsi="Cambria"/>
                <w:sz w:val="20"/>
                <w:szCs w:val="20"/>
                <w:lang w:val="es"/>
              </w:rPr>
              <w:t>27 de junio de 2014</w:t>
            </w:r>
          </w:p>
        </w:tc>
      </w:tr>
      <w:tr w:rsidR="009629C7" w:rsidRPr="004A6A54" w14:paraId="13AC9F25" w14:textId="77777777" w:rsidTr="009629C7">
        <w:tc>
          <w:tcPr>
            <w:tcW w:w="3544" w:type="dxa"/>
            <w:tcBorders>
              <w:top w:val="single" w:sz="6" w:space="0" w:color="auto"/>
              <w:bottom w:val="single" w:sz="6" w:space="0" w:color="auto"/>
            </w:tcBorders>
            <w:shd w:val="clear" w:color="auto" w:fill="386294"/>
            <w:vAlign w:val="center"/>
          </w:tcPr>
          <w:p w14:paraId="57251DBE" w14:textId="7371D139"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Primera respuesta del Estado</w:t>
            </w:r>
          </w:p>
        </w:tc>
        <w:tc>
          <w:tcPr>
            <w:tcW w:w="5812" w:type="dxa"/>
          </w:tcPr>
          <w:p w14:paraId="5FF39E31" w14:textId="369AE007" w:rsidR="009629C7" w:rsidRDefault="001F70D8" w:rsidP="00802833">
            <w:pPr>
              <w:jc w:val="both"/>
              <w:rPr>
                <w:rFonts w:ascii="Cambria" w:hAnsi="Cambria"/>
                <w:sz w:val="20"/>
                <w:szCs w:val="20"/>
                <w:lang w:val="es"/>
              </w:rPr>
            </w:pPr>
            <w:r>
              <w:rPr>
                <w:rFonts w:ascii="Cambria" w:hAnsi="Cambria"/>
                <w:sz w:val="20"/>
                <w:szCs w:val="20"/>
                <w:lang w:val="es"/>
              </w:rPr>
              <w:t>8 de septiembre de 2016</w:t>
            </w:r>
          </w:p>
        </w:tc>
      </w:tr>
      <w:tr w:rsidR="009629C7" w:rsidRPr="0016317A" w14:paraId="72BEADE5" w14:textId="77777777" w:rsidTr="009629C7">
        <w:tc>
          <w:tcPr>
            <w:tcW w:w="3544" w:type="dxa"/>
            <w:tcBorders>
              <w:top w:val="single" w:sz="6" w:space="0" w:color="auto"/>
              <w:bottom w:val="single" w:sz="6" w:space="0" w:color="auto"/>
            </w:tcBorders>
            <w:shd w:val="clear" w:color="auto" w:fill="386294"/>
            <w:vAlign w:val="center"/>
          </w:tcPr>
          <w:p w14:paraId="3B4BFBD8" w14:textId="77777777" w:rsid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Observaciones adicionales de la </w:t>
            </w:r>
          </w:p>
          <w:p w14:paraId="6062177F" w14:textId="345EFE3B"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tcPr>
          <w:p w14:paraId="09D2C506" w14:textId="55B2C14A" w:rsidR="009629C7" w:rsidRDefault="001F70D8" w:rsidP="00802833">
            <w:pPr>
              <w:jc w:val="both"/>
              <w:rPr>
                <w:rFonts w:ascii="Cambria" w:hAnsi="Cambria"/>
                <w:sz w:val="20"/>
                <w:szCs w:val="20"/>
                <w:lang w:val="es"/>
              </w:rPr>
            </w:pPr>
            <w:r>
              <w:rPr>
                <w:rFonts w:ascii="Cambria" w:hAnsi="Cambria"/>
                <w:sz w:val="20"/>
                <w:szCs w:val="20"/>
                <w:lang w:val="es"/>
              </w:rPr>
              <w:t>20 de mayo de 2009, 4 de junio y 3 de diciembre de 2010, 14 de octubre de 2011, 25 de enero de 2012, 22 de febrero de 2013, 3 de septiembre de 2015, 20 de enero de 2016, 27 de junio y 20 de noviembre de 2018</w:t>
            </w:r>
          </w:p>
        </w:tc>
      </w:tr>
    </w:tbl>
    <w:p w14:paraId="18221797" w14:textId="0789F5CE" w:rsidR="003239B8" w:rsidRPr="003239B8" w:rsidRDefault="003239B8" w:rsidP="00CE2A41">
      <w:pPr>
        <w:tabs>
          <w:tab w:val="left" w:pos="720"/>
          <w:tab w:val="left" w:pos="1440"/>
          <w:tab w:val="left" w:pos="2160"/>
          <w:tab w:val="left" w:pos="2880"/>
          <w:tab w:val="left" w:pos="4500"/>
        </w:tabs>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02833" w:rsidRPr="00540F17" w14:paraId="716354D3" w14:textId="77777777" w:rsidTr="009629C7">
        <w:trPr>
          <w:cantSplit/>
        </w:trPr>
        <w:tc>
          <w:tcPr>
            <w:tcW w:w="3600" w:type="dxa"/>
            <w:tcBorders>
              <w:top w:val="single" w:sz="4" w:space="0" w:color="auto"/>
              <w:bottom w:val="single" w:sz="6" w:space="0" w:color="auto"/>
            </w:tcBorders>
            <w:shd w:val="clear" w:color="auto" w:fill="386294"/>
            <w:vAlign w:val="center"/>
          </w:tcPr>
          <w:p w14:paraId="6EEFB6D2" w14:textId="4CA13AE7"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personae</w:t>
            </w:r>
          </w:p>
        </w:tc>
        <w:tc>
          <w:tcPr>
            <w:tcW w:w="5760" w:type="dxa"/>
            <w:vAlign w:val="center"/>
          </w:tcPr>
          <w:p w14:paraId="5E836BC1" w14:textId="39D92478" w:rsidR="00802833" w:rsidRPr="00DA671F" w:rsidRDefault="001F70D8" w:rsidP="00802833">
            <w:pPr>
              <w:rPr>
                <w:rFonts w:asciiTheme="majorHAnsi" w:hAnsiTheme="majorHAnsi"/>
                <w:bCs/>
                <w:sz w:val="20"/>
                <w:szCs w:val="20"/>
              </w:rPr>
            </w:pPr>
            <w:r>
              <w:rPr>
                <w:rFonts w:asciiTheme="majorHAnsi" w:hAnsiTheme="majorHAnsi"/>
                <w:bCs/>
                <w:sz w:val="20"/>
                <w:szCs w:val="20"/>
              </w:rPr>
              <w:t>Sí</w:t>
            </w:r>
          </w:p>
        </w:tc>
      </w:tr>
      <w:tr w:rsidR="00802833" w:rsidRPr="00540F17" w14:paraId="139DBF83" w14:textId="77777777" w:rsidTr="009629C7">
        <w:trPr>
          <w:cantSplit/>
        </w:trPr>
        <w:tc>
          <w:tcPr>
            <w:tcW w:w="3600" w:type="dxa"/>
            <w:tcBorders>
              <w:top w:val="single" w:sz="6" w:space="0" w:color="auto"/>
              <w:bottom w:val="single" w:sz="6" w:space="0" w:color="auto"/>
            </w:tcBorders>
            <w:shd w:val="clear" w:color="auto" w:fill="386294"/>
            <w:vAlign w:val="center"/>
          </w:tcPr>
          <w:p w14:paraId="0ABA245B" w14:textId="7CD6845F"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loci</w:t>
            </w:r>
          </w:p>
        </w:tc>
        <w:tc>
          <w:tcPr>
            <w:tcW w:w="5760" w:type="dxa"/>
            <w:vAlign w:val="center"/>
          </w:tcPr>
          <w:p w14:paraId="41226443" w14:textId="20A111C2" w:rsidR="00802833" w:rsidRPr="00DA671F" w:rsidRDefault="001F70D8" w:rsidP="00802833">
            <w:pPr>
              <w:rPr>
                <w:rFonts w:asciiTheme="majorHAnsi" w:hAnsiTheme="majorHAnsi"/>
                <w:bCs/>
                <w:sz w:val="20"/>
                <w:szCs w:val="20"/>
              </w:rPr>
            </w:pPr>
            <w:r>
              <w:rPr>
                <w:rFonts w:asciiTheme="majorHAnsi" w:hAnsiTheme="majorHAnsi"/>
                <w:bCs/>
                <w:sz w:val="20"/>
                <w:szCs w:val="20"/>
              </w:rPr>
              <w:t>Sí</w:t>
            </w:r>
          </w:p>
        </w:tc>
      </w:tr>
      <w:tr w:rsidR="00802833" w:rsidRPr="00540F17" w14:paraId="77BF1F3F" w14:textId="77777777" w:rsidTr="009629C7">
        <w:trPr>
          <w:cantSplit/>
        </w:trPr>
        <w:tc>
          <w:tcPr>
            <w:tcW w:w="3600" w:type="dxa"/>
            <w:tcBorders>
              <w:top w:val="single" w:sz="6" w:space="0" w:color="auto"/>
              <w:bottom w:val="single" w:sz="6" w:space="0" w:color="auto"/>
            </w:tcBorders>
            <w:shd w:val="clear" w:color="auto" w:fill="386294"/>
            <w:vAlign w:val="center"/>
          </w:tcPr>
          <w:p w14:paraId="25C8AFD3" w14:textId="22C50ED3"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temporis</w:t>
            </w:r>
          </w:p>
        </w:tc>
        <w:tc>
          <w:tcPr>
            <w:tcW w:w="5760" w:type="dxa"/>
            <w:vAlign w:val="center"/>
          </w:tcPr>
          <w:p w14:paraId="7E7832B4" w14:textId="63770E1F" w:rsidR="00802833" w:rsidRPr="00DA671F" w:rsidRDefault="001F70D8" w:rsidP="00802833">
            <w:pPr>
              <w:rPr>
                <w:rFonts w:asciiTheme="majorHAnsi" w:hAnsiTheme="majorHAnsi"/>
                <w:bCs/>
                <w:sz w:val="20"/>
                <w:szCs w:val="20"/>
              </w:rPr>
            </w:pPr>
            <w:r>
              <w:rPr>
                <w:rFonts w:asciiTheme="majorHAnsi" w:hAnsiTheme="majorHAnsi"/>
                <w:bCs/>
                <w:sz w:val="20"/>
                <w:szCs w:val="20"/>
              </w:rPr>
              <w:t>Sí</w:t>
            </w:r>
          </w:p>
        </w:tc>
      </w:tr>
      <w:tr w:rsidR="00802833" w:rsidRPr="0016317A" w14:paraId="0FFDD8DB" w14:textId="77777777" w:rsidTr="009629C7">
        <w:trPr>
          <w:cantSplit/>
        </w:trPr>
        <w:tc>
          <w:tcPr>
            <w:tcW w:w="3600" w:type="dxa"/>
            <w:tcBorders>
              <w:top w:val="single" w:sz="6" w:space="0" w:color="auto"/>
              <w:bottom w:val="single" w:sz="6" w:space="0" w:color="auto"/>
            </w:tcBorders>
            <w:shd w:val="clear" w:color="auto" w:fill="386294"/>
            <w:vAlign w:val="center"/>
          </w:tcPr>
          <w:p w14:paraId="7A1EA5A0" w14:textId="1C41C8E7"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materiae</w:t>
            </w:r>
          </w:p>
        </w:tc>
        <w:tc>
          <w:tcPr>
            <w:tcW w:w="5760" w:type="dxa"/>
            <w:vAlign w:val="center"/>
          </w:tcPr>
          <w:p w14:paraId="3EE84FF7" w14:textId="085F06DC" w:rsidR="00802833" w:rsidRPr="004C2312" w:rsidRDefault="001F70D8" w:rsidP="00802833">
            <w:pPr>
              <w:jc w:val="both"/>
              <w:rPr>
                <w:rFonts w:ascii="Cambria" w:hAnsi="Cambria"/>
                <w:bCs/>
                <w:sz w:val="20"/>
                <w:szCs w:val="20"/>
                <w:lang w:val="es-ES"/>
              </w:rPr>
            </w:pPr>
            <w:r>
              <w:rPr>
                <w:rFonts w:ascii="Cambria" w:hAnsi="Cambria"/>
                <w:bCs/>
                <w:sz w:val="20"/>
                <w:szCs w:val="20"/>
                <w:lang w:val="es-ES"/>
              </w:rPr>
              <w:t>Sí, Declaración Americana (ratificación de la Carta de la OEA el 19 de junio de 1951)</w:t>
            </w:r>
          </w:p>
        </w:tc>
      </w:tr>
    </w:tbl>
    <w:p w14:paraId="1874F492" w14:textId="7424B8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Look w:val="04A0" w:firstRow="1" w:lastRow="0" w:firstColumn="1" w:lastColumn="0" w:noHBand="0" w:noVBand="1"/>
      </w:tblPr>
      <w:tblGrid>
        <w:gridCol w:w="3600"/>
        <w:gridCol w:w="5760"/>
      </w:tblGrid>
      <w:tr w:rsidR="00802833" w:rsidRPr="001939D5" w14:paraId="3BE0CDDD" w14:textId="77777777" w:rsidTr="0045247F">
        <w:trPr>
          <w:cantSplit/>
        </w:trPr>
        <w:tc>
          <w:tcPr>
            <w:tcW w:w="3600" w:type="dxa"/>
            <w:shd w:val="clear" w:color="auto" w:fill="386294"/>
            <w:vAlign w:val="center"/>
          </w:tcPr>
          <w:p w14:paraId="1D139C97"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Duplicación y cosa juzgada </w:t>
            </w:r>
          </w:p>
          <w:p w14:paraId="59D7428E" w14:textId="6D55DF9A" w:rsidR="00802833" w:rsidRPr="009629C7" w:rsidRDefault="0008317C"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w:t>
            </w:r>
            <w:r w:rsidR="00802833" w:rsidRPr="009629C7">
              <w:rPr>
                <w:rFonts w:ascii="Cambria" w:hAnsi="Cambria"/>
                <w:bCs/>
                <w:color w:val="FFFFFF" w:themeColor="background1"/>
                <w:sz w:val="19"/>
                <w:szCs w:val="19"/>
                <w:lang w:val="es-ES"/>
              </w:rPr>
              <w:t>nternacional</w:t>
            </w:r>
          </w:p>
        </w:tc>
        <w:tc>
          <w:tcPr>
            <w:tcW w:w="5760" w:type="dxa"/>
            <w:vAlign w:val="center"/>
          </w:tcPr>
          <w:p w14:paraId="44ABEC84" w14:textId="5CB51133" w:rsidR="00802833" w:rsidRPr="0008317C" w:rsidRDefault="001F70D8" w:rsidP="00802833">
            <w:pPr>
              <w:jc w:val="both"/>
              <w:rPr>
                <w:rFonts w:asciiTheme="majorHAnsi" w:hAnsiTheme="majorHAnsi"/>
                <w:bCs/>
                <w:sz w:val="20"/>
                <w:szCs w:val="20"/>
                <w:lang w:val="es-ES"/>
              </w:rPr>
            </w:pPr>
            <w:r w:rsidRPr="0008317C">
              <w:rPr>
                <w:rFonts w:asciiTheme="majorHAnsi" w:hAnsiTheme="majorHAnsi"/>
                <w:bCs/>
                <w:sz w:val="20"/>
                <w:szCs w:val="20"/>
                <w:lang w:val="es-ES"/>
              </w:rPr>
              <w:t>No</w:t>
            </w:r>
          </w:p>
        </w:tc>
      </w:tr>
      <w:tr w:rsidR="00802833" w:rsidRPr="0016317A" w14:paraId="6A5B3CAB" w14:textId="77777777" w:rsidTr="0045247F">
        <w:trPr>
          <w:cantSplit/>
        </w:trPr>
        <w:tc>
          <w:tcPr>
            <w:tcW w:w="3600" w:type="dxa"/>
            <w:shd w:val="clear" w:color="auto" w:fill="386294"/>
            <w:vAlign w:val="center"/>
          </w:tcPr>
          <w:p w14:paraId="3A46715A" w14:textId="66C52666"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admi</w:t>
            </w:r>
            <w:r w:rsidR="009629C7">
              <w:rPr>
                <w:rFonts w:ascii="Cambria" w:hAnsi="Cambria"/>
                <w:bCs/>
                <w:color w:val="FFFFFF" w:themeColor="background1"/>
                <w:sz w:val="19"/>
                <w:szCs w:val="19"/>
                <w:lang w:val="es-ES"/>
              </w:rPr>
              <w:t>tido</w:t>
            </w:r>
            <w:r w:rsidRPr="009629C7">
              <w:rPr>
                <w:rFonts w:ascii="Cambria" w:hAnsi="Cambria"/>
                <w:bCs/>
                <w:color w:val="FFFFFF" w:themeColor="background1"/>
                <w:sz w:val="19"/>
                <w:szCs w:val="19"/>
                <w:lang w:val="es-ES"/>
              </w:rPr>
              <w:t>s</w:t>
            </w:r>
          </w:p>
        </w:tc>
        <w:tc>
          <w:tcPr>
            <w:tcW w:w="5760" w:type="dxa"/>
            <w:vAlign w:val="center"/>
          </w:tcPr>
          <w:p w14:paraId="3A3B0562" w14:textId="6FAC40D7" w:rsidR="00802833" w:rsidRPr="0008317C" w:rsidRDefault="001F70D8" w:rsidP="00802833">
            <w:pPr>
              <w:jc w:val="both"/>
              <w:rPr>
                <w:rFonts w:asciiTheme="majorHAnsi" w:hAnsiTheme="majorHAnsi"/>
                <w:bCs/>
                <w:sz w:val="20"/>
                <w:szCs w:val="20"/>
                <w:lang w:val="es-PA"/>
              </w:rPr>
            </w:pPr>
            <w:r w:rsidRPr="0008317C">
              <w:rPr>
                <w:rFonts w:asciiTheme="majorHAnsi" w:hAnsiTheme="majorHAnsi"/>
                <w:bCs/>
                <w:sz w:val="20"/>
                <w:szCs w:val="20"/>
                <w:lang w:val="es-PA"/>
              </w:rPr>
              <w:t>Artículos I (vida, libertad</w:t>
            </w:r>
            <w:r w:rsidR="00AA1E83" w:rsidRPr="0008317C">
              <w:rPr>
                <w:rFonts w:asciiTheme="majorHAnsi" w:hAnsiTheme="majorHAnsi"/>
                <w:bCs/>
                <w:sz w:val="20"/>
                <w:szCs w:val="20"/>
                <w:lang w:val="es-PA"/>
              </w:rPr>
              <w:t>, seguridad e integridad</w:t>
            </w:r>
            <w:r w:rsidRPr="0008317C">
              <w:rPr>
                <w:rFonts w:asciiTheme="majorHAnsi" w:hAnsiTheme="majorHAnsi"/>
                <w:bCs/>
                <w:sz w:val="20"/>
                <w:szCs w:val="20"/>
                <w:lang w:val="es-PA"/>
              </w:rPr>
              <w:t>)</w:t>
            </w:r>
            <w:r w:rsidR="00AA1E83" w:rsidRPr="0008317C">
              <w:rPr>
                <w:rFonts w:asciiTheme="majorHAnsi" w:hAnsiTheme="majorHAnsi"/>
                <w:bCs/>
                <w:sz w:val="20"/>
                <w:szCs w:val="20"/>
                <w:lang w:val="es-PA"/>
              </w:rPr>
              <w:t>, II (igualdad ante la ley), XI (preservación de la salud y bienestar)</w:t>
            </w:r>
            <w:r w:rsidR="009464CA">
              <w:rPr>
                <w:rFonts w:asciiTheme="majorHAnsi" w:hAnsiTheme="majorHAnsi"/>
                <w:bCs/>
                <w:sz w:val="20"/>
                <w:szCs w:val="20"/>
                <w:lang w:val="es-PA"/>
              </w:rPr>
              <w:t>, XVII (reconocimiento de la personalidad jurídica y de los derechos civiles)</w:t>
            </w:r>
            <w:r w:rsidR="00AA1E83" w:rsidRPr="0008317C">
              <w:rPr>
                <w:rFonts w:asciiTheme="majorHAnsi" w:hAnsiTheme="majorHAnsi"/>
                <w:bCs/>
                <w:sz w:val="20"/>
                <w:szCs w:val="20"/>
                <w:lang w:val="es-PA"/>
              </w:rPr>
              <w:t xml:space="preserve"> XVIII (justicia), XXIV (petición), XXV (protección contra la detención arbitraria) y XXVI (proceso regular) de la Declaración Americana</w:t>
            </w:r>
          </w:p>
        </w:tc>
      </w:tr>
      <w:tr w:rsidR="00802833" w:rsidRPr="0016317A" w14:paraId="6898F859" w14:textId="77777777" w:rsidTr="0045247F">
        <w:trPr>
          <w:cantSplit/>
        </w:trPr>
        <w:tc>
          <w:tcPr>
            <w:tcW w:w="3600" w:type="dxa"/>
            <w:shd w:val="clear" w:color="auto" w:fill="386294"/>
            <w:vAlign w:val="center"/>
          </w:tcPr>
          <w:p w14:paraId="05A42EA0"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Agotamiento de recursos </w:t>
            </w:r>
          </w:p>
          <w:p w14:paraId="493361D5" w14:textId="24B317C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o procedencia de una excepció</w:t>
            </w:r>
            <w:r w:rsidR="009629C7">
              <w:rPr>
                <w:rFonts w:ascii="Cambria" w:hAnsi="Cambria"/>
                <w:bCs/>
                <w:color w:val="FFFFFF" w:themeColor="background1"/>
                <w:sz w:val="19"/>
                <w:szCs w:val="19"/>
                <w:lang w:val="es-ES"/>
              </w:rPr>
              <w:t>n</w:t>
            </w:r>
          </w:p>
        </w:tc>
        <w:tc>
          <w:tcPr>
            <w:tcW w:w="5760" w:type="dxa"/>
            <w:vAlign w:val="center"/>
          </w:tcPr>
          <w:p w14:paraId="113A2A31" w14:textId="2E7D58E9" w:rsidR="00802833" w:rsidRPr="0008317C" w:rsidRDefault="00AA1E83" w:rsidP="00802833">
            <w:pPr>
              <w:rPr>
                <w:rFonts w:asciiTheme="majorHAnsi" w:hAnsiTheme="majorHAnsi"/>
                <w:bCs/>
                <w:sz w:val="20"/>
                <w:szCs w:val="20"/>
                <w:lang w:val="es-ES"/>
              </w:rPr>
            </w:pPr>
            <w:r w:rsidRPr="0008317C">
              <w:rPr>
                <w:rFonts w:asciiTheme="majorHAnsi" w:hAnsiTheme="majorHAnsi"/>
                <w:bCs/>
                <w:sz w:val="20"/>
                <w:szCs w:val="20"/>
                <w:lang w:val="es-ES"/>
              </w:rPr>
              <w:t>Sí, aplican las excepciones establecidas en el artículo 31(2)(a) y (b)</w:t>
            </w:r>
          </w:p>
        </w:tc>
      </w:tr>
      <w:tr w:rsidR="00802833" w:rsidRPr="0016317A" w14:paraId="01019AF2" w14:textId="77777777" w:rsidTr="0045247F">
        <w:trPr>
          <w:cantSplit/>
        </w:trPr>
        <w:tc>
          <w:tcPr>
            <w:tcW w:w="3600" w:type="dxa"/>
            <w:shd w:val="clear" w:color="auto" w:fill="386294"/>
            <w:vAlign w:val="center"/>
          </w:tcPr>
          <w:p w14:paraId="4F7C54D5" w14:textId="5661FE5F"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Presentación dentro de plazo</w:t>
            </w:r>
          </w:p>
        </w:tc>
        <w:tc>
          <w:tcPr>
            <w:tcW w:w="5760" w:type="dxa"/>
            <w:vAlign w:val="center"/>
          </w:tcPr>
          <w:p w14:paraId="3818F531" w14:textId="062EC2B9" w:rsidR="00802833" w:rsidRPr="0008317C" w:rsidRDefault="00AA1E83" w:rsidP="00802833">
            <w:pPr>
              <w:rPr>
                <w:rFonts w:asciiTheme="majorHAnsi" w:hAnsiTheme="majorHAnsi"/>
                <w:bCs/>
                <w:sz w:val="20"/>
                <w:szCs w:val="20"/>
                <w:lang w:val="es-PA"/>
              </w:rPr>
            </w:pPr>
            <w:r w:rsidRPr="0008317C">
              <w:rPr>
                <w:rFonts w:asciiTheme="majorHAnsi" w:hAnsiTheme="majorHAnsi"/>
                <w:bCs/>
                <w:sz w:val="20"/>
                <w:szCs w:val="20"/>
                <w:lang w:val="es-PA"/>
              </w:rPr>
              <w:t>Sí, en los términos de la sección VI</w:t>
            </w:r>
          </w:p>
        </w:tc>
      </w:tr>
    </w:tbl>
    <w:p w14:paraId="35A1F6E1" w14:textId="2FCB2D9E"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CE2A41">
        <w:rPr>
          <w:rFonts w:asciiTheme="majorHAnsi" w:hAnsiTheme="majorHAnsi"/>
          <w:b/>
          <w:sz w:val="20"/>
          <w:szCs w:val="20"/>
          <w:lang w:val="es-UY"/>
        </w:rPr>
        <w:t xml:space="preserve">RESUMEN DE LOS </w:t>
      </w:r>
      <w:r w:rsidR="003239B8">
        <w:rPr>
          <w:rFonts w:asciiTheme="majorHAnsi" w:hAnsiTheme="majorHAnsi"/>
          <w:b/>
          <w:sz w:val="20"/>
          <w:szCs w:val="20"/>
          <w:lang w:val="es-UY"/>
        </w:rPr>
        <w:t xml:space="preserve">HECHOS ALEGADOS </w:t>
      </w:r>
    </w:p>
    <w:p w14:paraId="6FA30F40" w14:textId="33D67514" w:rsidR="006A273D" w:rsidRPr="0008317C" w:rsidRDefault="006A273D"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Cambria" w:hAnsi="Cambria"/>
          <w:sz w:val="20"/>
          <w:szCs w:val="20"/>
          <w:lang w:val="es"/>
        </w:rPr>
        <w:t xml:space="preserve">La parte peticionaria aduce que las condiciones de </w:t>
      </w:r>
      <w:r w:rsidR="006648B2" w:rsidRPr="0008317C">
        <w:rPr>
          <w:rFonts w:ascii="Cambria" w:hAnsi="Cambria"/>
          <w:sz w:val="20"/>
          <w:szCs w:val="20"/>
          <w:lang w:val="es"/>
        </w:rPr>
        <w:t>detención</w:t>
      </w:r>
      <w:r w:rsidRPr="0008317C">
        <w:rPr>
          <w:rFonts w:ascii="Cambria" w:hAnsi="Cambria"/>
          <w:sz w:val="20"/>
          <w:szCs w:val="20"/>
          <w:lang w:val="es"/>
        </w:rPr>
        <w:t xml:space="preserve"> y </w:t>
      </w:r>
      <w:r w:rsidR="006648B2" w:rsidRPr="0008317C">
        <w:rPr>
          <w:rFonts w:ascii="Cambria" w:hAnsi="Cambria"/>
          <w:sz w:val="20"/>
          <w:szCs w:val="20"/>
          <w:lang w:val="es"/>
        </w:rPr>
        <w:t>las características de</w:t>
      </w:r>
      <w:r w:rsidR="00622EC4">
        <w:rPr>
          <w:rFonts w:ascii="Cambria" w:hAnsi="Cambria"/>
          <w:sz w:val="20"/>
          <w:szCs w:val="20"/>
          <w:lang w:val="es"/>
        </w:rPr>
        <w:t xml:space="preserve">l confinamiento </w:t>
      </w:r>
      <w:r w:rsidRPr="0008317C">
        <w:rPr>
          <w:rFonts w:ascii="Cambria" w:hAnsi="Cambria"/>
          <w:sz w:val="20"/>
          <w:szCs w:val="20"/>
          <w:lang w:val="es"/>
        </w:rPr>
        <w:t xml:space="preserve">en el Centro Penitenciario de Máxima Seguridad (en adelante “ADX”) de Florence, Colorado, violan el derecho de los reclusos a la protección contra penas crueles, infamantes o inusitadas </w:t>
      </w:r>
      <w:r w:rsidR="006648B2" w:rsidRPr="0008317C">
        <w:rPr>
          <w:rFonts w:ascii="Cambria" w:hAnsi="Cambria"/>
          <w:sz w:val="20"/>
          <w:szCs w:val="20"/>
          <w:lang w:val="es"/>
        </w:rPr>
        <w:t>al igual que</w:t>
      </w:r>
      <w:r w:rsidRPr="0008317C">
        <w:rPr>
          <w:rFonts w:ascii="Cambria" w:hAnsi="Cambria"/>
          <w:sz w:val="20"/>
          <w:szCs w:val="20"/>
          <w:lang w:val="es"/>
        </w:rPr>
        <w:t xml:space="preserve"> su derecho a la integridad personal. Sostiene que la imposibilidad de los presos de ingresar al Programa Step Down (“el Programa”), destinado a permitir que</w:t>
      </w:r>
      <w:r w:rsidR="006648B2" w:rsidRPr="0008317C">
        <w:rPr>
          <w:rFonts w:ascii="Cambria" w:hAnsi="Cambria"/>
          <w:sz w:val="20"/>
          <w:szCs w:val="20"/>
          <w:lang w:val="es"/>
        </w:rPr>
        <w:t xml:space="preserve"> </w:t>
      </w:r>
      <w:r w:rsidRPr="0008317C">
        <w:rPr>
          <w:rFonts w:ascii="Cambria" w:hAnsi="Cambria"/>
          <w:sz w:val="20"/>
          <w:szCs w:val="20"/>
          <w:lang w:val="es"/>
        </w:rPr>
        <w:t xml:space="preserve">los reclusos </w:t>
      </w:r>
      <w:r w:rsidR="00622EC4">
        <w:rPr>
          <w:rFonts w:ascii="Cambria" w:hAnsi="Cambria"/>
          <w:sz w:val="20"/>
          <w:szCs w:val="20"/>
          <w:lang w:val="es"/>
        </w:rPr>
        <w:t>consigan</w:t>
      </w:r>
      <w:r w:rsidR="00C00A6F" w:rsidRPr="00C00A6F">
        <w:rPr>
          <w:rFonts w:ascii="Cambria" w:hAnsi="Cambria"/>
          <w:sz w:val="20"/>
          <w:szCs w:val="20"/>
          <w:lang w:val="es"/>
        </w:rPr>
        <w:t xml:space="preserve"> </w:t>
      </w:r>
      <w:r w:rsidR="00C00A6F">
        <w:rPr>
          <w:rFonts w:ascii="Cambria" w:hAnsi="Cambria"/>
          <w:sz w:val="20"/>
          <w:szCs w:val="20"/>
          <w:lang w:val="es"/>
        </w:rPr>
        <w:t>su</w:t>
      </w:r>
      <w:r w:rsidR="00C00A6F" w:rsidRPr="0008317C">
        <w:rPr>
          <w:rFonts w:ascii="Cambria" w:hAnsi="Cambria"/>
          <w:sz w:val="20"/>
          <w:szCs w:val="20"/>
          <w:lang w:val="es"/>
        </w:rPr>
        <w:t xml:space="preserve"> traslado a cárceles menos restringidas</w:t>
      </w:r>
      <w:r w:rsidR="006648B2" w:rsidRPr="0008317C">
        <w:rPr>
          <w:rFonts w:ascii="Cambria" w:hAnsi="Cambria"/>
          <w:sz w:val="20"/>
          <w:szCs w:val="20"/>
          <w:lang w:val="es"/>
        </w:rPr>
        <w:t xml:space="preserve"> mediante la buena conducta,</w:t>
      </w:r>
      <w:r w:rsidRPr="0008317C">
        <w:rPr>
          <w:rFonts w:ascii="Cambria" w:hAnsi="Cambria"/>
          <w:sz w:val="20"/>
          <w:szCs w:val="20"/>
          <w:lang w:val="es"/>
        </w:rPr>
        <w:t xml:space="preserve"> constituye una violación de su derecho al debido proceso y un acto de discriminación. Por último</w:t>
      </w:r>
      <w:r w:rsidR="006648B2" w:rsidRPr="0008317C">
        <w:rPr>
          <w:rFonts w:ascii="Cambria" w:hAnsi="Cambria"/>
          <w:sz w:val="20"/>
          <w:szCs w:val="20"/>
          <w:lang w:val="es"/>
        </w:rPr>
        <w:t>,</w:t>
      </w:r>
      <w:r w:rsidRPr="0008317C">
        <w:rPr>
          <w:rFonts w:ascii="Cambria" w:hAnsi="Cambria"/>
          <w:sz w:val="20"/>
          <w:szCs w:val="20"/>
          <w:lang w:val="es"/>
        </w:rPr>
        <w:t xml:space="preserve"> señala que </w:t>
      </w:r>
      <w:r w:rsidR="006648B2" w:rsidRPr="0008317C">
        <w:rPr>
          <w:rFonts w:ascii="Cambria" w:hAnsi="Cambria"/>
          <w:sz w:val="20"/>
          <w:szCs w:val="20"/>
          <w:lang w:val="es"/>
        </w:rPr>
        <w:t xml:space="preserve">el </w:t>
      </w:r>
      <w:r w:rsidRPr="0008317C">
        <w:rPr>
          <w:rFonts w:ascii="Cambria" w:hAnsi="Cambria"/>
          <w:sz w:val="20"/>
          <w:szCs w:val="20"/>
          <w:lang w:val="es"/>
        </w:rPr>
        <w:t>traslad</w:t>
      </w:r>
      <w:r w:rsidR="006648B2" w:rsidRPr="0008317C">
        <w:rPr>
          <w:rFonts w:ascii="Cambria" w:hAnsi="Cambria"/>
          <w:sz w:val="20"/>
          <w:szCs w:val="20"/>
          <w:lang w:val="es"/>
        </w:rPr>
        <w:t>o de</w:t>
      </w:r>
      <w:r w:rsidRPr="0008317C">
        <w:rPr>
          <w:rFonts w:ascii="Cambria" w:hAnsi="Cambria"/>
          <w:sz w:val="20"/>
          <w:szCs w:val="20"/>
          <w:lang w:val="es"/>
        </w:rPr>
        <w:t xml:space="preserve"> presos condenados por crímenes de terrorismo hacia ADX sin </w:t>
      </w:r>
      <w:r w:rsidR="006648B2" w:rsidRPr="0008317C">
        <w:rPr>
          <w:rFonts w:ascii="Cambria" w:hAnsi="Cambria"/>
          <w:sz w:val="20"/>
          <w:szCs w:val="20"/>
          <w:lang w:val="es"/>
        </w:rPr>
        <w:t>considerar</w:t>
      </w:r>
      <w:r w:rsidRPr="0008317C">
        <w:rPr>
          <w:rFonts w:ascii="Cambria" w:hAnsi="Cambria"/>
          <w:sz w:val="20"/>
          <w:szCs w:val="20"/>
          <w:lang w:val="es"/>
        </w:rPr>
        <w:t xml:space="preserve"> </w:t>
      </w:r>
      <w:r w:rsidR="006648B2" w:rsidRPr="0008317C">
        <w:rPr>
          <w:rFonts w:ascii="Cambria" w:hAnsi="Cambria"/>
          <w:sz w:val="20"/>
          <w:szCs w:val="20"/>
          <w:lang w:val="es"/>
        </w:rPr>
        <w:t>el grado de</w:t>
      </w:r>
      <w:r w:rsidRPr="0008317C">
        <w:rPr>
          <w:rFonts w:ascii="Cambria" w:hAnsi="Cambria"/>
          <w:sz w:val="20"/>
          <w:szCs w:val="20"/>
          <w:lang w:val="es"/>
        </w:rPr>
        <w:t xml:space="preserve"> amenaza que estos representaban </w:t>
      </w:r>
      <w:r w:rsidR="006648B2" w:rsidRPr="0008317C">
        <w:rPr>
          <w:rFonts w:ascii="Cambria" w:hAnsi="Cambria"/>
          <w:sz w:val="20"/>
          <w:szCs w:val="20"/>
          <w:lang w:val="es"/>
        </w:rPr>
        <w:t>para</w:t>
      </w:r>
      <w:r w:rsidRPr="0008317C">
        <w:rPr>
          <w:rFonts w:ascii="Cambria" w:hAnsi="Cambria"/>
          <w:sz w:val="20"/>
          <w:szCs w:val="20"/>
          <w:lang w:val="es"/>
        </w:rPr>
        <w:t xml:space="preserve"> la población carcelaria o la población general, viola su derecho de igualdad ante la ley</w:t>
      </w:r>
      <w:r w:rsidRPr="0008317C">
        <w:rPr>
          <w:rStyle w:val="FootnoteReference"/>
          <w:rFonts w:ascii="Cambria" w:hAnsi="Cambria"/>
          <w:sz w:val="20"/>
          <w:szCs w:val="20"/>
          <w:lang w:val="es"/>
        </w:rPr>
        <w:footnoteReference w:id="5"/>
      </w:r>
      <w:r w:rsidRPr="0008317C">
        <w:rPr>
          <w:rFonts w:ascii="Cambria" w:hAnsi="Cambria"/>
          <w:sz w:val="20"/>
          <w:szCs w:val="20"/>
          <w:lang w:val="es"/>
        </w:rPr>
        <w:t xml:space="preserve">. La </w:t>
      </w:r>
      <w:r w:rsidR="006648B2" w:rsidRPr="0008317C">
        <w:rPr>
          <w:rFonts w:ascii="Cambria" w:hAnsi="Cambria"/>
          <w:sz w:val="20"/>
          <w:szCs w:val="20"/>
          <w:lang w:val="es"/>
        </w:rPr>
        <w:t>petición</w:t>
      </w:r>
      <w:r w:rsidRPr="0008317C">
        <w:rPr>
          <w:rFonts w:ascii="Cambria" w:hAnsi="Cambria"/>
          <w:sz w:val="20"/>
          <w:szCs w:val="20"/>
          <w:lang w:val="es"/>
        </w:rPr>
        <w:t xml:space="preserve"> menciona a siete reclusos (en adelante “las presuntas víctimas”) aún detenid</w:t>
      </w:r>
      <w:r w:rsidR="00622EC4">
        <w:rPr>
          <w:rFonts w:ascii="Cambria" w:hAnsi="Cambria"/>
          <w:sz w:val="20"/>
          <w:szCs w:val="20"/>
          <w:lang w:val="es"/>
        </w:rPr>
        <w:t>o</w:t>
      </w:r>
      <w:r w:rsidRPr="0008317C">
        <w:rPr>
          <w:rFonts w:ascii="Cambria" w:hAnsi="Cambria"/>
          <w:sz w:val="20"/>
          <w:szCs w:val="20"/>
          <w:lang w:val="es"/>
        </w:rPr>
        <w:t>s en ADX.</w:t>
      </w:r>
    </w:p>
    <w:p w14:paraId="5D8D0415" w14:textId="4F81AA4B" w:rsidR="006A273D" w:rsidRPr="0008317C" w:rsidRDefault="006A273D"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Cambria" w:hAnsi="Cambria"/>
          <w:sz w:val="20"/>
          <w:szCs w:val="20"/>
          <w:lang w:val="es"/>
        </w:rPr>
        <w:t xml:space="preserve">La parte peticionaria alega </w:t>
      </w:r>
      <w:r w:rsidR="00301545">
        <w:rPr>
          <w:rFonts w:ascii="Cambria" w:hAnsi="Cambria"/>
          <w:sz w:val="20"/>
          <w:szCs w:val="20"/>
          <w:lang w:val="es"/>
        </w:rPr>
        <w:t xml:space="preserve">que </w:t>
      </w:r>
      <w:r w:rsidR="001401AD" w:rsidRPr="0008317C">
        <w:rPr>
          <w:rFonts w:ascii="Cambria" w:hAnsi="Cambria"/>
          <w:sz w:val="20"/>
          <w:szCs w:val="20"/>
          <w:lang w:val="es"/>
        </w:rPr>
        <w:t xml:space="preserve">los reclusos, </w:t>
      </w:r>
      <w:r w:rsidRPr="0008317C">
        <w:rPr>
          <w:rFonts w:ascii="Cambria" w:hAnsi="Cambria"/>
          <w:sz w:val="20"/>
          <w:szCs w:val="20"/>
          <w:lang w:val="es"/>
        </w:rPr>
        <w:t>aunque viv</w:t>
      </w:r>
      <w:r w:rsidR="001401AD" w:rsidRPr="0008317C">
        <w:rPr>
          <w:rFonts w:ascii="Cambria" w:hAnsi="Cambria"/>
          <w:sz w:val="20"/>
          <w:szCs w:val="20"/>
          <w:lang w:val="es"/>
        </w:rPr>
        <w:t>en</w:t>
      </w:r>
      <w:r w:rsidRPr="0008317C">
        <w:rPr>
          <w:rFonts w:ascii="Cambria" w:hAnsi="Cambria"/>
          <w:sz w:val="20"/>
          <w:szCs w:val="20"/>
          <w:lang w:val="es"/>
        </w:rPr>
        <w:t xml:space="preserve"> en celdas de “población general”,</w:t>
      </w:r>
      <w:r w:rsidR="001401AD" w:rsidRPr="0008317C">
        <w:rPr>
          <w:rFonts w:ascii="Cambria" w:hAnsi="Cambria"/>
          <w:sz w:val="20"/>
          <w:szCs w:val="20"/>
          <w:lang w:val="es"/>
        </w:rPr>
        <w:t xml:space="preserve"> </w:t>
      </w:r>
      <w:r w:rsidRPr="0008317C">
        <w:rPr>
          <w:rFonts w:ascii="Cambria" w:hAnsi="Cambria"/>
          <w:sz w:val="20"/>
          <w:szCs w:val="20"/>
          <w:lang w:val="es"/>
        </w:rPr>
        <w:t>pasan por lo menos 22 horas diarias</w:t>
      </w:r>
      <w:r w:rsidR="001401AD" w:rsidRPr="0008317C">
        <w:rPr>
          <w:rFonts w:ascii="Cambria" w:hAnsi="Cambria"/>
          <w:sz w:val="20"/>
          <w:szCs w:val="20"/>
          <w:lang w:val="es"/>
        </w:rPr>
        <w:t xml:space="preserve"> aislados</w:t>
      </w:r>
      <w:r w:rsidRPr="0008317C">
        <w:rPr>
          <w:rFonts w:ascii="Cambria" w:hAnsi="Cambria"/>
          <w:sz w:val="20"/>
          <w:szCs w:val="20"/>
          <w:lang w:val="es"/>
        </w:rPr>
        <w:t>, en celdas de 5,9 metros cuadrados con una sola ventana estrecha que no les proporciona luz natural directa o aire fresco. Aduce que las prácticas de ADX están específicamente diseñadas para aumentar el aislamiento de los reclusos al restringir su contacto con el mundo exterior a la prisión, además de someterlos a</w:t>
      </w:r>
      <w:r w:rsidR="00666370">
        <w:rPr>
          <w:rFonts w:ascii="Cambria" w:hAnsi="Cambria"/>
          <w:sz w:val="20"/>
          <w:szCs w:val="20"/>
          <w:lang w:val="es"/>
        </w:rPr>
        <w:t xml:space="preserve"> estrictos</w:t>
      </w:r>
      <w:r w:rsidRPr="0008317C">
        <w:rPr>
          <w:rFonts w:ascii="Cambria" w:hAnsi="Cambria"/>
          <w:sz w:val="20"/>
          <w:szCs w:val="20"/>
          <w:lang w:val="es"/>
        </w:rPr>
        <w:t xml:space="preserve"> cacheos al desnudo </w:t>
      </w:r>
      <w:r w:rsidR="001401AD" w:rsidRPr="0008317C">
        <w:rPr>
          <w:rFonts w:ascii="Cambria" w:hAnsi="Cambria"/>
          <w:sz w:val="20"/>
          <w:szCs w:val="20"/>
          <w:lang w:val="es"/>
        </w:rPr>
        <w:t>cada vez que</w:t>
      </w:r>
      <w:r w:rsidR="00815E9B">
        <w:rPr>
          <w:rFonts w:ascii="Cambria" w:hAnsi="Cambria"/>
          <w:sz w:val="20"/>
          <w:szCs w:val="20"/>
          <w:lang w:val="es"/>
        </w:rPr>
        <w:t xml:space="preserve"> salen de </w:t>
      </w:r>
      <w:r w:rsidR="001401AD" w:rsidRPr="0008317C">
        <w:rPr>
          <w:rFonts w:ascii="Cambria" w:hAnsi="Cambria"/>
          <w:sz w:val="20"/>
          <w:szCs w:val="20"/>
          <w:lang w:val="es"/>
        </w:rPr>
        <w:t>sus celdas</w:t>
      </w:r>
      <w:r w:rsidR="00815E9B">
        <w:rPr>
          <w:rFonts w:ascii="Cambria" w:hAnsi="Cambria"/>
          <w:sz w:val="20"/>
          <w:szCs w:val="20"/>
          <w:lang w:val="es"/>
        </w:rPr>
        <w:t xml:space="preserve"> o vuelven a </w:t>
      </w:r>
      <w:r w:rsidR="001C6B8C">
        <w:rPr>
          <w:rFonts w:ascii="Cambria" w:hAnsi="Cambria"/>
          <w:sz w:val="20"/>
          <w:szCs w:val="20"/>
          <w:lang w:val="es"/>
        </w:rPr>
        <w:t>ingresar en ellas</w:t>
      </w:r>
      <w:r w:rsidRPr="0008317C">
        <w:rPr>
          <w:rFonts w:ascii="Cambria" w:hAnsi="Cambria"/>
          <w:sz w:val="20"/>
          <w:szCs w:val="20"/>
          <w:lang w:val="es"/>
        </w:rPr>
        <w:t xml:space="preserve">. </w:t>
      </w:r>
      <w:r w:rsidR="001401AD" w:rsidRPr="0008317C">
        <w:rPr>
          <w:rFonts w:ascii="Cambria" w:hAnsi="Cambria"/>
          <w:sz w:val="20"/>
          <w:szCs w:val="20"/>
          <w:lang w:val="es"/>
        </w:rPr>
        <w:t>Si bien</w:t>
      </w:r>
      <w:r w:rsidRPr="0008317C">
        <w:rPr>
          <w:rFonts w:ascii="Cambria" w:hAnsi="Cambria"/>
          <w:sz w:val="20"/>
          <w:szCs w:val="20"/>
          <w:lang w:val="es"/>
        </w:rPr>
        <w:t xml:space="preserve"> el reglamento de ADX establece que los reclusos </w:t>
      </w:r>
      <w:r w:rsidR="001401AD" w:rsidRPr="0008317C">
        <w:rPr>
          <w:rFonts w:ascii="Cambria" w:hAnsi="Cambria"/>
          <w:sz w:val="20"/>
          <w:szCs w:val="20"/>
          <w:lang w:val="es"/>
        </w:rPr>
        <w:t>t</w:t>
      </w:r>
      <w:r w:rsidR="001E5DAB">
        <w:rPr>
          <w:rFonts w:ascii="Cambria" w:hAnsi="Cambria"/>
          <w:sz w:val="20"/>
          <w:szCs w:val="20"/>
          <w:lang w:val="es"/>
        </w:rPr>
        <w:t>ienen</w:t>
      </w:r>
      <w:r w:rsidRPr="0008317C">
        <w:rPr>
          <w:rFonts w:ascii="Cambria" w:hAnsi="Cambria"/>
          <w:sz w:val="20"/>
          <w:szCs w:val="20"/>
          <w:lang w:val="es"/>
        </w:rPr>
        <w:t xml:space="preserve"> un mínimo de 10 horas semanales de ejercicio fuera de las celdas, los reclusos </w:t>
      </w:r>
      <w:r w:rsidR="001401AD" w:rsidRPr="0008317C">
        <w:rPr>
          <w:rFonts w:ascii="Cambria" w:hAnsi="Cambria"/>
          <w:sz w:val="20"/>
          <w:szCs w:val="20"/>
          <w:lang w:val="es"/>
        </w:rPr>
        <w:t>señalan</w:t>
      </w:r>
      <w:r w:rsidRPr="0008317C">
        <w:rPr>
          <w:rFonts w:ascii="Cambria" w:hAnsi="Cambria"/>
          <w:sz w:val="20"/>
          <w:szCs w:val="20"/>
          <w:lang w:val="es"/>
        </w:rPr>
        <w:t xml:space="preserve"> que </w:t>
      </w:r>
      <w:r w:rsidR="00301545">
        <w:rPr>
          <w:rFonts w:ascii="Cambria" w:hAnsi="Cambria"/>
          <w:sz w:val="20"/>
          <w:szCs w:val="20"/>
          <w:lang w:val="es"/>
        </w:rPr>
        <w:t xml:space="preserve">suelen tener solamente </w:t>
      </w:r>
      <w:r w:rsidRPr="0008317C">
        <w:rPr>
          <w:rFonts w:ascii="Cambria" w:hAnsi="Cambria"/>
          <w:sz w:val="20"/>
          <w:szCs w:val="20"/>
          <w:lang w:val="es"/>
        </w:rPr>
        <w:t>de un</w:t>
      </w:r>
      <w:r w:rsidR="00301545">
        <w:rPr>
          <w:rFonts w:ascii="Cambria" w:hAnsi="Cambria"/>
          <w:sz w:val="20"/>
          <w:szCs w:val="20"/>
          <w:lang w:val="es"/>
        </w:rPr>
        <w:t>a</w:t>
      </w:r>
      <w:r w:rsidRPr="0008317C">
        <w:rPr>
          <w:rFonts w:ascii="Cambria" w:hAnsi="Cambria"/>
          <w:sz w:val="20"/>
          <w:szCs w:val="20"/>
          <w:lang w:val="es"/>
        </w:rPr>
        <w:t xml:space="preserve">s tres a cinco horas, en las que suelen ser ubicados solos en cajas metálicas de </w:t>
      </w:r>
      <w:r w:rsidRPr="00103B60">
        <w:rPr>
          <w:rFonts w:ascii="Cambria" w:hAnsi="Cambria"/>
          <w:sz w:val="20"/>
          <w:szCs w:val="20"/>
          <w:lang w:val="es"/>
        </w:rPr>
        <w:t xml:space="preserve">10 </w:t>
      </w:r>
      <w:r w:rsidR="001401AD" w:rsidRPr="00103B60">
        <w:rPr>
          <w:rFonts w:ascii="Cambria" w:hAnsi="Cambria"/>
          <w:sz w:val="20"/>
          <w:szCs w:val="20"/>
          <w:lang w:val="es"/>
        </w:rPr>
        <w:t>por</w:t>
      </w:r>
      <w:r w:rsidRPr="00103B60">
        <w:rPr>
          <w:rFonts w:ascii="Cambria" w:hAnsi="Cambria"/>
          <w:sz w:val="20"/>
          <w:szCs w:val="20"/>
          <w:lang w:val="es"/>
        </w:rPr>
        <w:t xml:space="preserve"> 10 pies.</w:t>
      </w:r>
      <w:r w:rsidRPr="0008317C">
        <w:rPr>
          <w:rFonts w:ascii="Cambria" w:hAnsi="Cambria"/>
          <w:sz w:val="20"/>
          <w:szCs w:val="20"/>
          <w:lang w:val="es"/>
        </w:rPr>
        <w:t xml:space="preserve"> También alega que los reclusos</w:t>
      </w:r>
      <w:r w:rsidRPr="0008317C">
        <w:rPr>
          <w:lang w:val="es"/>
        </w:rPr>
        <w:t xml:space="preserve"> </w:t>
      </w:r>
      <w:r w:rsidRPr="0008317C">
        <w:rPr>
          <w:rFonts w:ascii="Cambria" w:hAnsi="Cambria"/>
          <w:sz w:val="20"/>
          <w:szCs w:val="20"/>
          <w:lang w:val="es"/>
        </w:rPr>
        <w:t xml:space="preserve">tienen prohibido tomar psicotrópicos o medicamentos psiquiátricos, sea que </w:t>
      </w:r>
      <w:r w:rsidR="001401AD" w:rsidRPr="0008317C">
        <w:rPr>
          <w:rFonts w:ascii="Cambria" w:hAnsi="Cambria"/>
          <w:sz w:val="20"/>
          <w:szCs w:val="20"/>
          <w:lang w:val="es"/>
        </w:rPr>
        <w:t xml:space="preserve">ellos </w:t>
      </w:r>
      <w:r w:rsidRPr="0008317C">
        <w:rPr>
          <w:rFonts w:ascii="Cambria" w:hAnsi="Cambria"/>
          <w:sz w:val="20"/>
          <w:szCs w:val="20"/>
          <w:lang w:val="es"/>
        </w:rPr>
        <w:t>necesiten</w:t>
      </w:r>
      <w:r w:rsidR="001401AD" w:rsidRPr="0008317C">
        <w:rPr>
          <w:rFonts w:ascii="Cambria" w:hAnsi="Cambria"/>
          <w:sz w:val="20"/>
          <w:szCs w:val="20"/>
          <w:lang w:val="es"/>
        </w:rPr>
        <w:t xml:space="preserve"> </w:t>
      </w:r>
      <w:r w:rsidRPr="0008317C">
        <w:rPr>
          <w:rFonts w:ascii="Cambria" w:hAnsi="Cambria"/>
          <w:sz w:val="20"/>
          <w:szCs w:val="20"/>
          <w:lang w:val="es"/>
        </w:rPr>
        <w:t>esos medicamentos</w:t>
      </w:r>
      <w:r w:rsidR="001401AD" w:rsidRPr="0008317C">
        <w:rPr>
          <w:rFonts w:ascii="Cambria" w:hAnsi="Cambria"/>
          <w:sz w:val="20"/>
          <w:szCs w:val="20"/>
          <w:lang w:val="es"/>
        </w:rPr>
        <w:t xml:space="preserve"> o no</w:t>
      </w:r>
      <w:r w:rsidRPr="0008317C">
        <w:rPr>
          <w:rFonts w:ascii="Cambria" w:hAnsi="Cambria"/>
          <w:sz w:val="20"/>
          <w:szCs w:val="20"/>
          <w:lang w:val="es"/>
        </w:rPr>
        <w:t xml:space="preserve">. La parte peticionaria afirma que el Estado justifica </w:t>
      </w:r>
      <w:r w:rsidR="0013583B">
        <w:rPr>
          <w:rFonts w:ascii="Cambria" w:hAnsi="Cambria"/>
          <w:sz w:val="20"/>
          <w:szCs w:val="20"/>
          <w:lang w:val="es"/>
        </w:rPr>
        <w:t>tales</w:t>
      </w:r>
      <w:r w:rsidRPr="0008317C">
        <w:rPr>
          <w:rFonts w:ascii="Cambria" w:hAnsi="Cambria"/>
          <w:sz w:val="20"/>
          <w:szCs w:val="20"/>
          <w:lang w:val="es"/>
        </w:rPr>
        <w:t xml:space="preserve"> condiciones atroces con la existencia del Programa Step Down, al que los reclusos pueden ingresar si muestran </w:t>
      </w:r>
      <w:r w:rsidR="001401AD" w:rsidRPr="0008317C">
        <w:rPr>
          <w:rFonts w:ascii="Cambria" w:hAnsi="Cambria"/>
          <w:sz w:val="20"/>
          <w:szCs w:val="20"/>
          <w:lang w:val="es"/>
        </w:rPr>
        <w:t xml:space="preserve">una </w:t>
      </w:r>
      <w:r w:rsidRPr="0008317C">
        <w:rPr>
          <w:rFonts w:ascii="Cambria" w:hAnsi="Cambria"/>
          <w:sz w:val="20"/>
          <w:szCs w:val="20"/>
          <w:lang w:val="es"/>
        </w:rPr>
        <w:t>buena conducta</w:t>
      </w:r>
      <w:r w:rsidRPr="0008317C">
        <w:rPr>
          <w:rStyle w:val="FootnoteReference"/>
          <w:rFonts w:ascii="Cambria" w:hAnsi="Cambria"/>
          <w:sz w:val="20"/>
          <w:szCs w:val="20"/>
          <w:lang w:val="es"/>
        </w:rPr>
        <w:footnoteReference w:id="6"/>
      </w:r>
      <w:r w:rsidRPr="0008317C">
        <w:rPr>
          <w:rFonts w:ascii="Cambria" w:hAnsi="Cambria"/>
          <w:sz w:val="20"/>
          <w:szCs w:val="20"/>
          <w:lang w:val="es"/>
        </w:rPr>
        <w:t xml:space="preserve">. Si bien </w:t>
      </w:r>
      <w:r w:rsidR="00B57514" w:rsidRPr="0008317C">
        <w:rPr>
          <w:rFonts w:ascii="Cambria" w:hAnsi="Cambria"/>
          <w:sz w:val="20"/>
          <w:szCs w:val="20"/>
          <w:lang w:val="es"/>
        </w:rPr>
        <w:t>son diversos los factores que se consideran en la admisión de</w:t>
      </w:r>
      <w:r w:rsidRPr="0008317C">
        <w:rPr>
          <w:rFonts w:ascii="Cambria" w:hAnsi="Cambria"/>
          <w:sz w:val="20"/>
          <w:szCs w:val="20"/>
          <w:lang w:val="es"/>
        </w:rPr>
        <w:t xml:space="preserve"> un preso al Programa, la parte peticionaria </w:t>
      </w:r>
      <w:r w:rsidR="0013583B">
        <w:rPr>
          <w:rFonts w:ascii="Cambria" w:hAnsi="Cambria"/>
          <w:sz w:val="20"/>
          <w:szCs w:val="20"/>
          <w:lang w:val="es"/>
        </w:rPr>
        <w:t>denuncia</w:t>
      </w:r>
      <w:r w:rsidRPr="0008317C">
        <w:rPr>
          <w:rFonts w:ascii="Cambria" w:hAnsi="Cambria"/>
          <w:sz w:val="20"/>
          <w:szCs w:val="20"/>
          <w:lang w:val="es"/>
        </w:rPr>
        <w:t xml:space="preserve"> el hecho de que “la gravedad de los antecedentes penales de un recluso” o “su participación en una organización delictiva” podría implicar su exclusión anticipada del Programa, </w:t>
      </w:r>
      <w:r w:rsidR="00B57514" w:rsidRPr="0008317C">
        <w:rPr>
          <w:rFonts w:ascii="Cambria" w:hAnsi="Cambria"/>
          <w:sz w:val="20"/>
          <w:szCs w:val="20"/>
          <w:lang w:val="es"/>
        </w:rPr>
        <w:t>por</w:t>
      </w:r>
      <w:r w:rsidRPr="0008317C">
        <w:rPr>
          <w:rFonts w:ascii="Cambria" w:hAnsi="Cambria"/>
          <w:sz w:val="20"/>
          <w:szCs w:val="20"/>
          <w:lang w:val="es"/>
        </w:rPr>
        <w:t xml:space="preserve"> lo </w:t>
      </w:r>
      <w:r w:rsidR="00B57514" w:rsidRPr="0008317C">
        <w:rPr>
          <w:rFonts w:ascii="Cambria" w:hAnsi="Cambria"/>
          <w:sz w:val="20"/>
          <w:szCs w:val="20"/>
          <w:lang w:val="es"/>
        </w:rPr>
        <w:t>que</w:t>
      </w:r>
      <w:r w:rsidRPr="0008317C">
        <w:rPr>
          <w:rFonts w:ascii="Cambria" w:hAnsi="Cambria"/>
          <w:sz w:val="20"/>
          <w:szCs w:val="20"/>
          <w:lang w:val="es"/>
        </w:rPr>
        <w:t xml:space="preserve"> cuestiona la afirmación de ADX de que este es un programa de rehabilitación —los reclusos no pueden mitigar su participación en grupos o acciones delictivas </w:t>
      </w:r>
      <w:r w:rsidR="00B57514" w:rsidRPr="0008317C">
        <w:rPr>
          <w:rFonts w:ascii="Cambria" w:hAnsi="Cambria"/>
          <w:sz w:val="20"/>
          <w:szCs w:val="20"/>
          <w:lang w:val="es"/>
        </w:rPr>
        <w:t>d</w:t>
      </w:r>
      <w:r w:rsidRPr="0008317C">
        <w:rPr>
          <w:rFonts w:ascii="Cambria" w:hAnsi="Cambria"/>
          <w:sz w:val="20"/>
          <w:szCs w:val="20"/>
          <w:lang w:val="es"/>
        </w:rPr>
        <w:t xml:space="preserve">el pasado—. Aunque esos criterios ya no son un requisito formal, la parte peticionaria alega que estos </w:t>
      </w:r>
      <w:r w:rsidR="00861D6D">
        <w:rPr>
          <w:rFonts w:ascii="Cambria" w:hAnsi="Cambria"/>
          <w:sz w:val="20"/>
          <w:szCs w:val="20"/>
          <w:lang w:val="es"/>
        </w:rPr>
        <w:t>han resurgido</w:t>
      </w:r>
      <w:r w:rsidRPr="0008317C">
        <w:rPr>
          <w:rFonts w:ascii="Cambria" w:hAnsi="Cambria"/>
          <w:sz w:val="20"/>
          <w:szCs w:val="20"/>
          <w:lang w:val="es"/>
        </w:rPr>
        <w:t xml:space="preserve"> de otra forma, pues ahora existe un Comité Revisor que, para determinar la elegibilidad de un preso para</w:t>
      </w:r>
      <w:r w:rsidR="00127915" w:rsidRPr="0008317C">
        <w:rPr>
          <w:rFonts w:ascii="Cambria" w:hAnsi="Cambria"/>
          <w:sz w:val="20"/>
          <w:szCs w:val="20"/>
          <w:lang w:val="es"/>
        </w:rPr>
        <w:t xml:space="preserve"> </w:t>
      </w:r>
      <w:r w:rsidR="00623690">
        <w:rPr>
          <w:rFonts w:ascii="Cambria" w:hAnsi="Cambria"/>
          <w:sz w:val="20"/>
          <w:szCs w:val="20"/>
          <w:lang w:val="es"/>
        </w:rPr>
        <w:t>su</w:t>
      </w:r>
      <w:r w:rsidRPr="0008317C">
        <w:rPr>
          <w:rFonts w:ascii="Cambria" w:hAnsi="Cambria"/>
          <w:sz w:val="20"/>
          <w:szCs w:val="20"/>
          <w:lang w:val="es"/>
        </w:rPr>
        <w:t xml:space="preserve"> inserción y </w:t>
      </w:r>
      <w:r w:rsidR="00623690">
        <w:rPr>
          <w:rFonts w:ascii="Cambria" w:hAnsi="Cambria"/>
          <w:sz w:val="20"/>
          <w:szCs w:val="20"/>
          <w:lang w:val="es"/>
        </w:rPr>
        <w:t>avance</w:t>
      </w:r>
      <w:r w:rsidRPr="0008317C">
        <w:rPr>
          <w:rFonts w:ascii="Cambria" w:hAnsi="Cambria"/>
          <w:sz w:val="20"/>
          <w:szCs w:val="20"/>
          <w:lang w:val="es"/>
        </w:rPr>
        <w:t xml:space="preserve"> en el Programa, considera los antecedentes penales de éste </w:t>
      </w:r>
      <w:r w:rsidR="00127915" w:rsidRPr="0008317C">
        <w:rPr>
          <w:rFonts w:ascii="Cambria" w:hAnsi="Cambria"/>
          <w:sz w:val="20"/>
          <w:szCs w:val="20"/>
          <w:lang w:val="es"/>
        </w:rPr>
        <w:t>junto con</w:t>
      </w:r>
      <w:r w:rsidRPr="0008317C">
        <w:rPr>
          <w:rFonts w:ascii="Cambria" w:hAnsi="Cambria"/>
          <w:sz w:val="20"/>
          <w:szCs w:val="20"/>
          <w:lang w:val="es"/>
        </w:rPr>
        <w:t xml:space="preserve"> los motivos de su traslado a ADX. La petici</w:t>
      </w:r>
      <w:r w:rsidR="00127915" w:rsidRPr="0008317C">
        <w:rPr>
          <w:rFonts w:ascii="Cambria" w:hAnsi="Cambria"/>
          <w:sz w:val="20"/>
          <w:szCs w:val="20"/>
          <w:lang w:val="es"/>
        </w:rPr>
        <w:t>ón también</w:t>
      </w:r>
      <w:r w:rsidRPr="0008317C">
        <w:rPr>
          <w:rFonts w:ascii="Cambria" w:hAnsi="Cambria"/>
          <w:sz w:val="20"/>
          <w:szCs w:val="20"/>
          <w:lang w:val="es"/>
        </w:rPr>
        <w:t xml:space="preserve"> denuncia el hecho de que </w:t>
      </w:r>
      <w:r w:rsidR="00127915" w:rsidRPr="0008317C">
        <w:rPr>
          <w:rFonts w:ascii="Cambria" w:hAnsi="Cambria"/>
          <w:sz w:val="20"/>
          <w:szCs w:val="20"/>
          <w:lang w:val="es"/>
        </w:rPr>
        <w:t>aquellos</w:t>
      </w:r>
      <w:r w:rsidRPr="0008317C">
        <w:rPr>
          <w:rFonts w:ascii="Cambria" w:hAnsi="Cambria"/>
          <w:sz w:val="20"/>
          <w:szCs w:val="20"/>
          <w:lang w:val="es"/>
        </w:rPr>
        <w:t xml:space="preserve"> reclusos que cumplen con los requisitos del Programa son enviados ante el director de la prisión, qu</w:t>
      </w:r>
      <w:r w:rsidR="00127915" w:rsidRPr="0008317C">
        <w:rPr>
          <w:rFonts w:ascii="Cambria" w:hAnsi="Cambria"/>
          <w:sz w:val="20"/>
          <w:szCs w:val="20"/>
          <w:lang w:val="es"/>
        </w:rPr>
        <w:t>ien</w:t>
      </w:r>
      <w:r w:rsidRPr="0008317C">
        <w:rPr>
          <w:rFonts w:ascii="Cambria" w:hAnsi="Cambria"/>
          <w:sz w:val="20"/>
          <w:szCs w:val="20"/>
          <w:lang w:val="es"/>
        </w:rPr>
        <w:t xml:space="preserve"> </w:t>
      </w:r>
      <w:r w:rsidR="00127915" w:rsidRPr="0008317C">
        <w:rPr>
          <w:rFonts w:ascii="Cambria" w:hAnsi="Cambria"/>
          <w:sz w:val="20"/>
          <w:szCs w:val="20"/>
          <w:lang w:val="es"/>
        </w:rPr>
        <w:t>ejerce</w:t>
      </w:r>
      <w:r w:rsidRPr="0008317C">
        <w:rPr>
          <w:rFonts w:ascii="Cambria" w:hAnsi="Cambria"/>
          <w:sz w:val="20"/>
          <w:szCs w:val="20"/>
          <w:lang w:val="es"/>
        </w:rPr>
        <w:t xml:space="preserve"> completa discreción sobre la decisión final del ingreso al Programa. Agrega que el reglamento de ADX prevé un mínimo de 36 meses para que un recluso </w:t>
      </w:r>
      <w:r w:rsidR="00127915" w:rsidRPr="0008317C">
        <w:rPr>
          <w:rFonts w:ascii="Cambria" w:hAnsi="Cambria"/>
          <w:sz w:val="20"/>
          <w:szCs w:val="20"/>
          <w:lang w:val="es"/>
        </w:rPr>
        <w:t>complete</w:t>
      </w:r>
      <w:r w:rsidRPr="0008317C">
        <w:rPr>
          <w:rFonts w:ascii="Cambria" w:hAnsi="Cambria"/>
          <w:sz w:val="20"/>
          <w:szCs w:val="20"/>
          <w:lang w:val="es"/>
        </w:rPr>
        <w:t xml:space="preserve"> el Programa y deje ADX</w:t>
      </w:r>
      <w:r w:rsidR="00301545">
        <w:rPr>
          <w:rFonts w:ascii="Cambria" w:hAnsi="Cambria"/>
          <w:sz w:val="20"/>
          <w:szCs w:val="20"/>
          <w:lang w:val="es"/>
        </w:rPr>
        <w:t>,</w:t>
      </w:r>
      <w:r w:rsidRPr="0008317C">
        <w:rPr>
          <w:rFonts w:ascii="Cambria" w:hAnsi="Cambria"/>
          <w:sz w:val="20"/>
          <w:szCs w:val="20"/>
          <w:lang w:val="es"/>
        </w:rPr>
        <w:t xml:space="preserve"> </w:t>
      </w:r>
      <w:r w:rsidR="00127915" w:rsidRPr="0008317C">
        <w:rPr>
          <w:rFonts w:ascii="Cambria" w:hAnsi="Cambria"/>
          <w:sz w:val="20"/>
          <w:szCs w:val="20"/>
          <w:lang w:val="es"/>
        </w:rPr>
        <w:t>y</w:t>
      </w:r>
      <w:r w:rsidRPr="0008317C">
        <w:rPr>
          <w:rFonts w:ascii="Cambria" w:hAnsi="Cambria"/>
          <w:sz w:val="20"/>
          <w:szCs w:val="20"/>
          <w:lang w:val="es"/>
        </w:rPr>
        <w:t xml:space="preserve"> un mínimo de 12 meses de confinamiento solitario. Según el encargado de las unidades de población general, menos del cinco por ciento de los reclusos en ADX son admitidos al Programa luego de sólo 12 meses de confinamiento solitario.</w:t>
      </w:r>
    </w:p>
    <w:p w14:paraId="05E280F5" w14:textId="5D81E59B" w:rsidR="006A273D" w:rsidRPr="0008317C" w:rsidRDefault="00301545"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 xml:space="preserve">El peticionario </w:t>
      </w:r>
      <w:r w:rsidR="006A273D" w:rsidRPr="0008317C">
        <w:rPr>
          <w:rFonts w:ascii="Cambria" w:hAnsi="Cambria"/>
          <w:sz w:val="20"/>
          <w:szCs w:val="20"/>
          <w:lang w:val="es"/>
        </w:rPr>
        <w:t xml:space="preserve">indica que ninguna de las presuntas víctimas fue admitida </w:t>
      </w:r>
      <w:r w:rsidR="000C10B8" w:rsidRPr="0008317C">
        <w:rPr>
          <w:rFonts w:ascii="Cambria" w:hAnsi="Cambria"/>
          <w:sz w:val="20"/>
          <w:szCs w:val="20"/>
          <w:lang w:val="es"/>
        </w:rPr>
        <w:t>a</w:t>
      </w:r>
      <w:r w:rsidR="006A273D" w:rsidRPr="0008317C">
        <w:rPr>
          <w:rFonts w:ascii="Cambria" w:hAnsi="Cambria"/>
          <w:sz w:val="20"/>
          <w:szCs w:val="20"/>
          <w:lang w:val="es"/>
        </w:rPr>
        <w:t>l Programa o logró completarlo, a</w:t>
      </w:r>
      <w:r w:rsidR="00A50752" w:rsidRPr="0008317C">
        <w:rPr>
          <w:rFonts w:ascii="Cambria" w:hAnsi="Cambria"/>
          <w:sz w:val="20"/>
          <w:szCs w:val="20"/>
          <w:lang w:val="es"/>
        </w:rPr>
        <w:t>u</w:t>
      </w:r>
      <w:r w:rsidR="006A273D" w:rsidRPr="0008317C">
        <w:rPr>
          <w:rFonts w:ascii="Cambria" w:hAnsi="Cambria"/>
          <w:sz w:val="20"/>
          <w:szCs w:val="20"/>
          <w:lang w:val="es"/>
        </w:rPr>
        <w:t>n cuando algunos han vivido en ADX por años y cumplido con todos los requisitos de conducta. Por lo tanto, están condenadas a</w:t>
      </w:r>
      <w:r w:rsidR="000C10B8" w:rsidRPr="0008317C">
        <w:rPr>
          <w:rFonts w:ascii="Cambria" w:hAnsi="Cambria"/>
          <w:sz w:val="20"/>
          <w:szCs w:val="20"/>
          <w:lang w:val="es"/>
        </w:rPr>
        <w:t>l</w:t>
      </w:r>
      <w:r w:rsidR="006A273D" w:rsidRPr="0008317C">
        <w:rPr>
          <w:rFonts w:ascii="Cambria" w:hAnsi="Cambria"/>
          <w:sz w:val="20"/>
          <w:szCs w:val="20"/>
          <w:lang w:val="es"/>
        </w:rPr>
        <w:t xml:space="preserve"> confinamiento solitario por tiempo indefinido, posiblemente de por vida, lo que viola la prohibición de tratos crueles, inhumanos o degradantes </w:t>
      </w:r>
      <w:r w:rsidR="000C10B8" w:rsidRPr="0008317C">
        <w:rPr>
          <w:rFonts w:ascii="Cambria" w:hAnsi="Cambria"/>
          <w:sz w:val="20"/>
          <w:szCs w:val="20"/>
          <w:lang w:val="es"/>
        </w:rPr>
        <w:t>en tanto</w:t>
      </w:r>
      <w:r w:rsidR="006A273D" w:rsidRPr="0008317C">
        <w:rPr>
          <w:rFonts w:ascii="Cambria" w:hAnsi="Cambria"/>
          <w:sz w:val="20"/>
          <w:szCs w:val="20"/>
          <w:lang w:val="es"/>
        </w:rPr>
        <w:t xml:space="preserve"> están reclu</w:t>
      </w:r>
      <w:r w:rsidR="000C10B8" w:rsidRPr="0008317C">
        <w:rPr>
          <w:rFonts w:ascii="Cambria" w:hAnsi="Cambria"/>
          <w:sz w:val="20"/>
          <w:szCs w:val="20"/>
          <w:lang w:val="es"/>
        </w:rPr>
        <w:t>i</w:t>
      </w:r>
      <w:r w:rsidR="006A273D" w:rsidRPr="0008317C">
        <w:rPr>
          <w:rFonts w:ascii="Cambria" w:hAnsi="Cambria"/>
          <w:sz w:val="20"/>
          <w:szCs w:val="20"/>
          <w:lang w:val="es"/>
        </w:rPr>
        <w:t>dos en aislamiento prolongado</w:t>
      </w:r>
      <w:r w:rsidR="006A273D" w:rsidRPr="0008317C">
        <w:rPr>
          <w:rStyle w:val="FootnoteReference"/>
          <w:rFonts w:ascii="Cambria" w:hAnsi="Cambria"/>
          <w:sz w:val="20"/>
          <w:szCs w:val="20"/>
          <w:lang w:val="es"/>
        </w:rPr>
        <w:footnoteReference w:id="7"/>
      </w:r>
      <w:r w:rsidR="006A273D" w:rsidRPr="0008317C">
        <w:rPr>
          <w:rFonts w:ascii="Cambria" w:hAnsi="Cambria"/>
          <w:sz w:val="20"/>
          <w:szCs w:val="20"/>
          <w:lang w:val="es"/>
        </w:rPr>
        <w:t xml:space="preserve">. Según la petición, Donald Heisler está en ADX desde 2004. </w:t>
      </w:r>
      <w:r w:rsidR="001756A3" w:rsidRPr="0008317C">
        <w:rPr>
          <w:rFonts w:ascii="Cambria" w:hAnsi="Cambria"/>
          <w:sz w:val="20"/>
          <w:szCs w:val="20"/>
          <w:lang w:val="es"/>
        </w:rPr>
        <w:t>Ingresó</w:t>
      </w:r>
      <w:r w:rsidR="006A273D" w:rsidRPr="0008317C">
        <w:rPr>
          <w:rFonts w:ascii="Cambria" w:hAnsi="Cambria"/>
          <w:sz w:val="20"/>
          <w:szCs w:val="20"/>
          <w:lang w:val="es"/>
        </w:rPr>
        <w:t xml:space="preserve"> al Programa en 2014, 2015 y 2017, pero todas las veces terminó siendo exclu</w:t>
      </w:r>
      <w:r w:rsidR="001756A3" w:rsidRPr="0008317C">
        <w:rPr>
          <w:rFonts w:ascii="Cambria" w:hAnsi="Cambria"/>
          <w:sz w:val="20"/>
          <w:szCs w:val="20"/>
          <w:lang w:val="es"/>
        </w:rPr>
        <w:t>i</w:t>
      </w:r>
      <w:r w:rsidR="006A273D" w:rsidRPr="0008317C">
        <w:rPr>
          <w:rFonts w:ascii="Cambria" w:hAnsi="Cambria"/>
          <w:sz w:val="20"/>
          <w:szCs w:val="20"/>
          <w:lang w:val="es"/>
        </w:rPr>
        <w:t xml:space="preserve">do. La petición alega el trato discriminatorio </w:t>
      </w:r>
      <w:r w:rsidR="001756A3" w:rsidRPr="0008317C">
        <w:rPr>
          <w:rFonts w:ascii="Cambria" w:hAnsi="Cambria"/>
          <w:sz w:val="20"/>
          <w:szCs w:val="20"/>
          <w:lang w:val="es"/>
        </w:rPr>
        <w:t xml:space="preserve">por parte </w:t>
      </w:r>
      <w:r w:rsidR="006A273D" w:rsidRPr="0008317C">
        <w:rPr>
          <w:rFonts w:ascii="Cambria" w:hAnsi="Cambria"/>
          <w:sz w:val="20"/>
          <w:szCs w:val="20"/>
          <w:lang w:val="es"/>
        </w:rPr>
        <w:t xml:space="preserve">de las autoridades penitenciarias al igual que </w:t>
      </w:r>
      <w:r w:rsidR="001756A3" w:rsidRPr="0008317C">
        <w:rPr>
          <w:rFonts w:ascii="Cambria" w:hAnsi="Cambria"/>
          <w:sz w:val="20"/>
          <w:szCs w:val="20"/>
          <w:lang w:val="es"/>
        </w:rPr>
        <w:t xml:space="preserve">la existencia de </w:t>
      </w:r>
      <w:r w:rsidR="006A273D" w:rsidRPr="0008317C">
        <w:rPr>
          <w:rFonts w:ascii="Cambria" w:hAnsi="Cambria"/>
          <w:sz w:val="20"/>
          <w:szCs w:val="20"/>
          <w:lang w:val="es"/>
        </w:rPr>
        <w:t xml:space="preserve">decisiones discrecionales que la presunta víctima no </w:t>
      </w:r>
      <w:r w:rsidR="00DF785D">
        <w:rPr>
          <w:rFonts w:ascii="Cambria" w:hAnsi="Cambria"/>
          <w:sz w:val="20"/>
          <w:szCs w:val="20"/>
          <w:lang w:val="es"/>
        </w:rPr>
        <w:t>pu</w:t>
      </w:r>
      <w:r w:rsidR="009E7246">
        <w:rPr>
          <w:rFonts w:ascii="Cambria" w:hAnsi="Cambria"/>
          <w:sz w:val="20"/>
          <w:szCs w:val="20"/>
          <w:lang w:val="es"/>
        </w:rPr>
        <w:t>do</w:t>
      </w:r>
      <w:r w:rsidR="006A273D" w:rsidRPr="0008317C">
        <w:rPr>
          <w:rFonts w:ascii="Cambria" w:hAnsi="Cambria"/>
          <w:sz w:val="20"/>
          <w:szCs w:val="20"/>
          <w:lang w:val="es"/>
        </w:rPr>
        <w:t xml:space="preserve"> apelar. Su </w:t>
      </w:r>
      <w:r w:rsidR="00E1575C" w:rsidRPr="0008317C">
        <w:rPr>
          <w:rFonts w:ascii="Cambria" w:hAnsi="Cambria"/>
          <w:sz w:val="20"/>
          <w:szCs w:val="20"/>
          <w:lang w:val="es"/>
        </w:rPr>
        <w:t xml:space="preserve">última </w:t>
      </w:r>
      <w:r w:rsidR="006A273D" w:rsidRPr="0008317C">
        <w:rPr>
          <w:rFonts w:ascii="Cambria" w:hAnsi="Cambria"/>
          <w:sz w:val="20"/>
          <w:szCs w:val="20"/>
          <w:lang w:val="es"/>
        </w:rPr>
        <w:t>postulación al Programa fue rechazada</w:t>
      </w:r>
      <w:r w:rsidR="00E1575C" w:rsidRPr="0008317C">
        <w:rPr>
          <w:rFonts w:ascii="Cambria" w:hAnsi="Cambria"/>
          <w:sz w:val="20"/>
          <w:szCs w:val="20"/>
          <w:lang w:val="es"/>
        </w:rPr>
        <w:t>,</w:t>
      </w:r>
      <w:r w:rsidR="006A273D" w:rsidRPr="0008317C">
        <w:rPr>
          <w:rFonts w:ascii="Cambria" w:hAnsi="Cambria"/>
          <w:sz w:val="20"/>
          <w:szCs w:val="20"/>
          <w:lang w:val="es"/>
        </w:rPr>
        <w:t xml:space="preserve"> </w:t>
      </w:r>
      <w:r w:rsidR="00E1575C" w:rsidRPr="0008317C">
        <w:rPr>
          <w:rFonts w:ascii="Cambria" w:hAnsi="Cambria"/>
          <w:sz w:val="20"/>
          <w:szCs w:val="20"/>
          <w:lang w:val="es"/>
        </w:rPr>
        <w:t>pese a</w:t>
      </w:r>
      <w:r w:rsidR="006A273D" w:rsidRPr="0008317C">
        <w:rPr>
          <w:rFonts w:ascii="Cambria" w:hAnsi="Cambria"/>
          <w:sz w:val="20"/>
          <w:szCs w:val="20"/>
          <w:lang w:val="es"/>
        </w:rPr>
        <w:t xml:space="preserve"> cinco años en confinamiento solitario</w:t>
      </w:r>
      <w:r w:rsidR="00E1575C" w:rsidRPr="0008317C">
        <w:rPr>
          <w:rFonts w:ascii="Cambria" w:hAnsi="Cambria"/>
          <w:sz w:val="20"/>
          <w:szCs w:val="20"/>
          <w:lang w:val="es"/>
        </w:rPr>
        <w:t>,</w:t>
      </w:r>
      <w:r w:rsidR="006A273D" w:rsidRPr="0008317C">
        <w:rPr>
          <w:rFonts w:ascii="Cambria" w:hAnsi="Cambria"/>
          <w:sz w:val="20"/>
          <w:szCs w:val="20"/>
          <w:lang w:val="es"/>
        </w:rPr>
        <w:t xml:space="preserve"> a la aproximación de su fecha de liberación y al provecho que podría haber obtenido del Programa. David Spicer fue trasladado a ADX en 2007 y puesto en confinamiento solitario. </w:t>
      </w:r>
      <w:r w:rsidR="00E1575C" w:rsidRPr="0008317C">
        <w:rPr>
          <w:rFonts w:ascii="Cambria" w:hAnsi="Cambria"/>
          <w:sz w:val="20"/>
          <w:szCs w:val="20"/>
          <w:lang w:val="es"/>
        </w:rPr>
        <w:t xml:space="preserve">A pesar de </w:t>
      </w:r>
      <w:r w:rsidR="006A273D" w:rsidRPr="0008317C">
        <w:rPr>
          <w:rFonts w:ascii="Cambria" w:hAnsi="Cambria"/>
          <w:sz w:val="20"/>
          <w:szCs w:val="20"/>
          <w:lang w:val="es"/>
        </w:rPr>
        <w:t xml:space="preserve">haber completado casi 20 de los </w:t>
      </w:r>
      <w:r w:rsidR="006A273D" w:rsidRPr="0008317C">
        <w:rPr>
          <w:rFonts w:ascii="Cambria" w:hAnsi="Cambria"/>
          <w:sz w:val="20"/>
          <w:szCs w:val="20"/>
          <w:lang w:val="es"/>
        </w:rPr>
        <w:lastRenderedPageBreak/>
        <w:t xml:space="preserve">programas educativos, no le permitieron ingresar al Programa debido que, al momento de postularse, éste no </w:t>
      </w:r>
      <w:r w:rsidR="006127D6">
        <w:rPr>
          <w:rFonts w:ascii="Cambria" w:hAnsi="Cambria"/>
          <w:sz w:val="20"/>
          <w:szCs w:val="20"/>
          <w:lang w:val="es"/>
        </w:rPr>
        <w:t xml:space="preserve">estaba </w:t>
      </w:r>
      <w:r w:rsidR="006A273D" w:rsidRPr="0008317C">
        <w:rPr>
          <w:rFonts w:ascii="Cambria" w:hAnsi="Cambria"/>
          <w:sz w:val="20"/>
          <w:szCs w:val="20"/>
          <w:lang w:val="es"/>
        </w:rPr>
        <w:t>realiza</w:t>
      </w:r>
      <w:r w:rsidR="006127D6">
        <w:rPr>
          <w:rFonts w:ascii="Cambria" w:hAnsi="Cambria"/>
          <w:sz w:val="20"/>
          <w:szCs w:val="20"/>
          <w:lang w:val="es"/>
        </w:rPr>
        <w:t>ndo</w:t>
      </w:r>
      <w:r w:rsidR="006A273D" w:rsidRPr="0008317C">
        <w:rPr>
          <w:rFonts w:ascii="Cambria" w:hAnsi="Cambria"/>
          <w:sz w:val="20"/>
          <w:szCs w:val="20"/>
          <w:lang w:val="es"/>
        </w:rPr>
        <w:t xml:space="preserve"> </w:t>
      </w:r>
      <w:r w:rsidR="006127D6">
        <w:rPr>
          <w:rFonts w:ascii="Cambria" w:hAnsi="Cambria"/>
          <w:sz w:val="20"/>
          <w:szCs w:val="20"/>
          <w:lang w:val="es"/>
        </w:rPr>
        <w:t>o</w:t>
      </w:r>
      <w:r w:rsidR="006A273D" w:rsidRPr="0008317C">
        <w:rPr>
          <w:rFonts w:ascii="Cambria" w:hAnsi="Cambria"/>
          <w:sz w:val="20"/>
          <w:szCs w:val="20"/>
          <w:lang w:val="es"/>
        </w:rPr>
        <w:t xml:space="preserve"> finalizado los mismos programas por cuya finalización ya había obtenido los correspondientes certificados en el pasado. En tres oportunidades, solicitó presentar recursos administrativos</w:t>
      </w:r>
      <w:r w:rsidR="00E1575C" w:rsidRPr="0008317C">
        <w:rPr>
          <w:rFonts w:ascii="Cambria" w:hAnsi="Cambria"/>
          <w:sz w:val="20"/>
          <w:szCs w:val="20"/>
          <w:lang w:val="es"/>
        </w:rPr>
        <w:t>,</w:t>
      </w:r>
      <w:r w:rsidR="006A273D" w:rsidRPr="0008317C">
        <w:rPr>
          <w:rFonts w:ascii="Cambria" w:hAnsi="Cambria"/>
          <w:sz w:val="20"/>
          <w:szCs w:val="20"/>
          <w:lang w:val="es"/>
        </w:rPr>
        <w:t xml:space="preserve"> pero en cada </w:t>
      </w:r>
      <w:r w:rsidR="00EA4186" w:rsidRPr="0008317C">
        <w:rPr>
          <w:rFonts w:ascii="Cambria" w:hAnsi="Cambria"/>
          <w:sz w:val="20"/>
          <w:szCs w:val="20"/>
          <w:lang w:val="es"/>
        </w:rPr>
        <w:t>oportunidad se le informó</w:t>
      </w:r>
      <w:r w:rsidR="006A273D" w:rsidRPr="0008317C">
        <w:rPr>
          <w:rFonts w:ascii="Cambria" w:hAnsi="Cambria"/>
          <w:sz w:val="20"/>
          <w:szCs w:val="20"/>
          <w:lang w:val="es"/>
        </w:rPr>
        <w:t xml:space="preserve"> que </w:t>
      </w:r>
      <w:r w:rsidR="00EA4186" w:rsidRPr="0008317C">
        <w:rPr>
          <w:rFonts w:ascii="Cambria" w:hAnsi="Cambria"/>
          <w:sz w:val="20"/>
          <w:szCs w:val="20"/>
          <w:lang w:val="es"/>
        </w:rPr>
        <w:t xml:space="preserve">su </w:t>
      </w:r>
      <w:r w:rsidR="006A273D" w:rsidRPr="0008317C">
        <w:rPr>
          <w:rFonts w:ascii="Cambria" w:hAnsi="Cambria"/>
          <w:sz w:val="20"/>
          <w:szCs w:val="20"/>
          <w:lang w:val="es"/>
        </w:rPr>
        <w:t xml:space="preserve">reclusión en ADX era </w:t>
      </w:r>
      <w:r w:rsidR="00EA4186" w:rsidRPr="0008317C">
        <w:rPr>
          <w:rFonts w:ascii="Cambria" w:hAnsi="Cambria"/>
          <w:sz w:val="20"/>
          <w:szCs w:val="20"/>
          <w:lang w:val="es"/>
        </w:rPr>
        <w:t>la medida adecuada</w:t>
      </w:r>
      <w:r w:rsidR="006A273D" w:rsidRPr="0008317C">
        <w:rPr>
          <w:rFonts w:ascii="Cambria" w:hAnsi="Cambria"/>
          <w:sz w:val="20"/>
          <w:szCs w:val="20"/>
          <w:lang w:val="es"/>
        </w:rPr>
        <w:t xml:space="preserve">. Hace 11 años que está en confinamiento solitario. Greg Murray fue </w:t>
      </w:r>
      <w:r w:rsidR="00EA4186" w:rsidRPr="0008317C">
        <w:rPr>
          <w:rFonts w:ascii="Cambria" w:hAnsi="Cambria"/>
          <w:sz w:val="20"/>
          <w:szCs w:val="20"/>
          <w:lang w:val="es"/>
        </w:rPr>
        <w:t>admitido en e</w:t>
      </w:r>
      <w:r w:rsidR="006A273D" w:rsidRPr="0008317C">
        <w:rPr>
          <w:rFonts w:ascii="Cambria" w:hAnsi="Cambria"/>
          <w:sz w:val="20"/>
          <w:szCs w:val="20"/>
          <w:lang w:val="es"/>
        </w:rPr>
        <w:t>l Programa unas semanas antes de la visita de la parte peticionaria a ADX, pese a que su postulación había sido rechazada seis meses antes. Luego de su traslado, le informaron que tenía que permanecer encerrado en su celda por una semana para redactar un ensayo —la petición alega que esto no es un requisito formal del Programa—. También debe escribir un diario para el encargado de unidad, lo cual pese a incomodarlo debe realizar para no arriesgar su lugar en el Programa. Delroy Edwards está en ADX desde 1995 y participó en el Programa 20 años después. Fue exclu</w:t>
      </w:r>
      <w:r w:rsidR="003203FB" w:rsidRPr="0008317C">
        <w:rPr>
          <w:rFonts w:ascii="Cambria" w:hAnsi="Cambria"/>
          <w:sz w:val="20"/>
          <w:szCs w:val="20"/>
          <w:lang w:val="es"/>
        </w:rPr>
        <w:t>i</w:t>
      </w:r>
      <w:r w:rsidR="006A273D" w:rsidRPr="0008317C">
        <w:rPr>
          <w:rFonts w:ascii="Cambria" w:hAnsi="Cambria"/>
          <w:sz w:val="20"/>
          <w:szCs w:val="20"/>
          <w:lang w:val="es"/>
        </w:rPr>
        <w:t xml:space="preserve">do por un incidente con otro recluso y nunca tuvo la oportunidad de apelar </w:t>
      </w:r>
      <w:r w:rsidR="003203FB" w:rsidRPr="0008317C">
        <w:rPr>
          <w:rFonts w:ascii="Cambria" w:hAnsi="Cambria"/>
          <w:sz w:val="20"/>
          <w:szCs w:val="20"/>
          <w:lang w:val="es"/>
        </w:rPr>
        <w:t>es</w:t>
      </w:r>
      <w:r w:rsidR="00365F8B" w:rsidRPr="0008317C">
        <w:rPr>
          <w:rFonts w:ascii="Cambria" w:hAnsi="Cambria"/>
          <w:sz w:val="20"/>
          <w:szCs w:val="20"/>
          <w:lang w:val="es"/>
        </w:rPr>
        <w:t>t</w:t>
      </w:r>
      <w:r w:rsidR="003203FB" w:rsidRPr="0008317C">
        <w:rPr>
          <w:rFonts w:ascii="Cambria" w:hAnsi="Cambria"/>
          <w:sz w:val="20"/>
          <w:szCs w:val="20"/>
          <w:lang w:val="es"/>
        </w:rPr>
        <w:t>a decisión</w:t>
      </w:r>
      <w:r w:rsidR="006A273D" w:rsidRPr="0008317C">
        <w:rPr>
          <w:rFonts w:ascii="Cambria" w:hAnsi="Cambria"/>
          <w:sz w:val="20"/>
          <w:szCs w:val="20"/>
          <w:lang w:val="es"/>
        </w:rPr>
        <w:t xml:space="preserve">. Dawane Mallet está en ADX desde 2006. Lo echaron del Programa en 2011; dos años más tarde se postuló para </w:t>
      </w:r>
      <w:r w:rsidR="00365F8B" w:rsidRPr="0008317C">
        <w:rPr>
          <w:rFonts w:ascii="Cambria" w:hAnsi="Cambria"/>
          <w:sz w:val="20"/>
          <w:szCs w:val="20"/>
          <w:lang w:val="es"/>
        </w:rPr>
        <w:t>reingresar,</w:t>
      </w:r>
      <w:r w:rsidR="006A273D" w:rsidRPr="0008317C">
        <w:rPr>
          <w:rFonts w:ascii="Cambria" w:hAnsi="Cambria"/>
          <w:sz w:val="20"/>
          <w:szCs w:val="20"/>
          <w:lang w:val="es"/>
        </w:rPr>
        <w:t xml:space="preserve"> pero lo rechazaron —la petición alega que a Mallet le informaron que la decisión se debió a que éste fue parte de un litigio contra la Oficina Federal de Prisiones, en curso hasta 2016—. Aunque en 2017 lo alentaron a postularse al Programa, su postulación fue rechazada meses más tarde porque no cumplía con el “mínimo de 12 meses de conducta intachable”, decisión que fue reiterada en septiembre de ese mismo año. Éste además informa que su cuenta fue congelada por unos dos años por deudas impagas de visitas médicas y copias judiciales. La petición indica que Mallet presentó 406 recursos administrativos entre el 1 de enero de 2006 y el 2 de octubre de 2018. Jeff Fort ingresó a ADX en 2006; en 2017 fue trasladado a una unidad </w:t>
      </w:r>
      <w:r w:rsidR="006A273D" w:rsidRPr="004201AC">
        <w:rPr>
          <w:rFonts w:ascii="Cambria" w:hAnsi="Cambria"/>
          <w:sz w:val="20"/>
          <w:szCs w:val="20"/>
          <w:lang w:val="es"/>
        </w:rPr>
        <w:t>preintermedia</w:t>
      </w:r>
      <w:r w:rsidR="006A273D" w:rsidRPr="0008317C">
        <w:rPr>
          <w:rFonts w:ascii="Cambria" w:hAnsi="Cambria"/>
          <w:sz w:val="20"/>
          <w:szCs w:val="20"/>
          <w:lang w:val="es"/>
        </w:rPr>
        <w:t xml:space="preserve">. La petición alega que un guardiacárcel lo acusó de comunicarse en código con miembros de una banda delictiva y, en consecuencia, </w:t>
      </w:r>
      <w:r w:rsidR="00365F8B" w:rsidRPr="0008317C">
        <w:rPr>
          <w:rFonts w:ascii="Cambria" w:hAnsi="Cambria"/>
          <w:sz w:val="20"/>
          <w:szCs w:val="20"/>
          <w:lang w:val="es"/>
        </w:rPr>
        <w:t>lo</w:t>
      </w:r>
      <w:r w:rsidR="006A273D" w:rsidRPr="0008317C">
        <w:rPr>
          <w:rFonts w:ascii="Cambria" w:hAnsi="Cambria"/>
          <w:sz w:val="20"/>
          <w:szCs w:val="20"/>
          <w:lang w:val="es"/>
        </w:rPr>
        <w:t xml:space="preserve"> regresaron a su unidad anterior y le </w:t>
      </w:r>
      <w:r w:rsidR="00365F8B" w:rsidRPr="0008317C">
        <w:rPr>
          <w:rFonts w:ascii="Cambria" w:hAnsi="Cambria"/>
          <w:sz w:val="20"/>
          <w:szCs w:val="20"/>
          <w:lang w:val="es"/>
        </w:rPr>
        <w:t>aplicaron</w:t>
      </w:r>
      <w:r w:rsidR="006A273D" w:rsidRPr="0008317C">
        <w:rPr>
          <w:rFonts w:ascii="Cambria" w:hAnsi="Cambria"/>
          <w:sz w:val="20"/>
          <w:szCs w:val="20"/>
          <w:lang w:val="es"/>
        </w:rPr>
        <w:t xml:space="preserve"> tres meses de restricción telefónica y un mes de restricción </w:t>
      </w:r>
      <w:r w:rsidR="001809DA" w:rsidRPr="0008317C">
        <w:rPr>
          <w:rFonts w:ascii="Cambria" w:hAnsi="Cambria"/>
          <w:sz w:val="20"/>
          <w:szCs w:val="20"/>
          <w:lang w:val="es"/>
        </w:rPr>
        <w:t>de compras en el economato</w:t>
      </w:r>
      <w:r w:rsidR="006A273D" w:rsidRPr="0008317C">
        <w:rPr>
          <w:rFonts w:ascii="Cambria" w:hAnsi="Cambria"/>
          <w:sz w:val="20"/>
          <w:szCs w:val="20"/>
          <w:lang w:val="es"/>
        </w:rPr>
        <w:t>. Peter Mauchlin</w:t>
      </w:r>
      <w:r w:rsidR="001026DD" w:rsidRPr="0008317C">
        <w:rPr>
          <w:rFonts w:ascii="Cambria" w:hAnsi="Cambria"/>
          <w:sz w:val="20"/>
          <w:szCs w:val="20"/>
          <w:lang w:val="es"/>
        </w:rPr>
        <w:t>, de</w:t>
      </w:r>
      <w:r w:rsidR="006A273D" w:rsidRPr="0008317C">
        <w:rPr>
          <w:rFonts w:ascii="Cambria" w:hAnsi="Cambria"/>
          <w:sz w:val="20"/>
          <w:szCs w:val="20"/>
          <w:lang w:val="es"/>
        </w:rPr>
        <w:t xml:space="preserve"> 73 años</w:t>
      </w:r>
      <w:r w:rsidR="001026DD" w:rsidRPr="0008317C">
        <w:rPr>
          <w:rFonts w:ascii="Cambria" w:hAnsi="Cambria"/>
          <w:sz w:val="20"/>
          <w:szCs w:val="20"/>
          <w:lang w:val="es"/>
        </w:rPr>
        <w:t>,</w:t>
      </w:r>
      <w:r w:rsidR="006A273D" w:rsidRPr="0008317C">
        <w:rPr>
          <w:rFonts w:ascii="Cambria" w:hAnsi="Cambria"/>
          <w:sz w:val="20"/>
          <w:szCs w:val="20"/>
          <w:lang w:val="es"/>
        </w:rPr>
        <w:t xml:space="preserve"> </w:t>
      </w:r>
      <w:r w:rsidR="001026DD" w:rsidRPr="0008317C">
        <w:rPr>
          <w:rFonts w:ascii="Cambria" w:hAnsi="Cambria"/>
          <w:sz w:val="20"/>
          <w:szCs w:val="20"/>
          <w:lang w:val="es"/>
        </w:rPr>
        <w:t>tiene</w:t>
      </w:r>
      <w:r w:rsidR="006A273D" w:rsidRPr="0008317C">
        <w:rPr>
          <w:rFonts w:ascii="Cambria" w:hAnsi="Cambria"/>
          <w:sz w:val="20"/>
          <w:szCs w:val="20"/>
          <w:lang w:val="es"/>
        </w:rPr>
        <w:t xml:space="preserve"> dificultad para ver de un ojo</w:t>
      </w:r>
      <w:r w:rsidR="001026DD" w:rsidRPr="0008317C">
        <w:rPr>
          <w:rFonts w:ascii="Cambria" w:hAnsi="Cambria"/>
          <w:sz w:val="20"/>
          <w:szCs w:val="20"/>
          <w:lang w:val="es"/>
        </w:rPr>
        <w:t>;</w:t>
      </w:r>
      <w:r w:rsidR="006A273D" w:rsidRPr="0008317C">
        <w:rPr>
          <w:rFonts w:ascii="Cambria" w:hAnsi="Cambria"/>
          <w:sz w:val="20"/>
          <w:szCs w:val="20"/>
          <w:lang w:val="es"/>
        </w:rPr>
        <w:t xml:space="preserve"> a raíz de su condición, no se</w:t>
      </w:r>
      <w:r w:rsidR="001026DD" w:rsidRPr="0008317C">
        <w:rPr>
          <w:rFonts w:ascii="Cambria" w:hAnsi="Cambria"/>
          <w:sz w:val="20"/>
          <w:szCs w:val="20"/>
          <w:lang w:val="es"/>
        </w:rPr>
        <w:t xml:space="preserve"> ha</w:t>
      </w:r>
      <w:r w:rsidR="006A273D" w:rsidRPr="0008317C">
        <w:rPr>
          <w:rFonts w:ascii="Cambria" w:hAnsi="Cambria"/>
          <w:sz w:val="20"/>
          <w:szCs w:val="20"/>
          <w:lang w:val="es"/>
        </w:rPr>
        <w:t xml:space="preserve"> postulado al Programa Step Down porque le preocupa estar vigilante a l</w:t>
      </w:r>
      <w:r w:rsidR="001026DD" w:rsidRPr="0008317C">
        <w:rPr>
          <w:rFonts w:ascii="Cambria" w:hAnsi="Cambria"/>
          <w:sz w:val="20"/>
          <w:szCs w:val="20"/>
          <w:lang w:val="es"/>
        </w:rPr>
        <w:t>os riesgos de vivir junto</w:t>
      </w:r>
      <w:r w:rsidR="006A273D" w:rsidRPr="0008317C">
        <w:rPr>
          <w:rFonts w:ascii="Cambria" w:hAnsi="Cambria"/>
          <w:sz w:val="20"/>
          <w:szCs w:val="20"/>
          <w:lang w:val="es"/>
        </w:rPr>
        <w:t xml:space="preserve"> a otros presos de ADX. La presunta víctima explicó que acumula una deuda por copias judiciales que le costaron varios cientos de dólares y que actualmente se le embargan los ingresos que obtiene en la prisión. Manifiesta que las autoridades de ADX han congelado su cuenta en $19,00 para que no entre en situación de indigen</w:t>
      </w:r>
      <w:r w:rsidR="00217784" w:rsidRPr="0008317C">
        <w:rPr>
          <w:rFonts w:ascii="Cambria" w:hAnsi="Cambria"/>
          <w:sz w:val="20"/>
          <w:szCs w:val="20"/>
          <w:lang w:val="es"/>
        </w:rPr>
        <w:t>cia</w:t>
      </w:r>
      <w:r w:rsidR="006A273D" w:rsidRPr="0008317C">
        <w:rPr>
          <w:rFonts w:ascii="Cambria" w:hAnsi="Cambria"/>
          <w:sz w:val="20"/>
          <w:szCs w:val="20"/>
          <w:lang w:val="es"/>
        </w:rPr>
        <w:t>, pero que ahora no puede pagar l</w:t>
      </w:r>
      <w:r w:rsidR="004A568F" w:rsidRPr="0008317C">
        <w:rPr>
          <w:rFonts w:ascii="Cambria" w:hAnsi="Cambria"/>
          <w:sz w:val="20"/>
          <w:szCs w:val="20"/>
          <w:lang w:val="es"/>
        </w:rPr>
        <w:t>a</w:t>
      </w:r>
      <w:r w:rsidR="006A273D" w:rsidRPr="0008317C">
        <w:rPr>
          <w:rFonts w:ascii="Cambria" w:hAnsi="Cambria"/>
          <w:sz w:val="20"/>
          <w:szCs w:val="20"/>
          <w:lang w:val="es"/>
        </w:rPr>
        <w:t xml:space="preserve">s </w:t>
      </w:r>
      <w:r w:rsidR="004A568F" w:rsidRPr="0008317C">
        <w:rPr>
          <w:rFonts w:ascii="Cambria" w:hAnsi="Cambria"/>
          <w:sz w:val="20"/>
          <w:szCs w:val="20"/>
          <w:lang w:val="es"/>
        </w:rPr>
        <w:t>tasas</w:t>
      </w:r>
      <w:r w:rsidR="006A273D" w:rsidRPr="0008317C">
        <w:rPr>
          <w:rFonts w:ascii="Cambria" w:hAnsi="Cambria"/>
          <w:sz w:val="20"/>
          <w:szCs w:val="20"/>
          <w:lang w:val="es"/>
        </w:rPr>
        <w:t xml:space="preserve"> judiciales </w:t>
      </w:r>
      <w:r w:rsidR="004A568F" w:rsidRPr="0008317C">
        <w:rPr>
          <w:rFonts w:ascii="Cambria" w:hAnsi="Cambria"/>
          <w:sz w:val="20"/>
          <w:szCs w:val="20"/>
          <w:lang w:val="es"/>
        </w:rPr>
        <w:t>para</w:t>
      </w:r>
      <w:r w:rsidR="006A273D" w:rsidRPr="0008317C">
        <w:rPr>
          <w:rFonts w:ascii="Cambria" w:hAnsi="Cambria"/>
          <w:sz w:val="20"/>
          <w:szCs w:val="20"/>
          <w:lang w:val="es"/>
        </w:rPr>
        <w:t xml:space="preserve"> presentar reclamos o hacer copias.</w:t>
      </w:r>
    </w:p>
    <w:p w14:paraId="5D79FCFC" w14:textId="14DCB5CB" w:rsidR="006A273D" w:rsidRPr="0008317C" w:rsidRDefault="006A273D"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Cambria" w:hAnsi="Cambria"/>
          <w:sz w:val="20"/>
          <w:szCs w:val="20"/>
          <w:lang w:val="es"/>
        </w:rPr>
        <w:t xml:space="preserve">La parte peticionaria </w:t>
      </w:r>
      <w:r w:rsidR="00CB53F1">
        <w:rPr>
          <w:rFonts w:ascii="Cambria" w:hAnsi="Cambria"/>
          <w:sz w:val="20"/>
          <w:szCs w:val="20"/>
          <w:lang w:val="es"/>
        </w:rPr>
        <w:t>señala</w:t>
      </w:r>
      <w:r w:rsidRPr="0008317C">
        <w:rPr>
          <w:rFonts w:ascii="Cambria" w:hAnsi="Cambria"/>
          <w:sz w:val="20"/>
          <w:szCs w:val="20"/>
          <w:lang w:val="es"/>
        </w:rPr>
        <w:t xml:space="preserve"> que las leyes estadounidenses no prevén un recurso efectivo para las presuntas víctimas. </w:t>
      </w:r>
      <w:r w:rsidR="00CB53F1">
        <w:rPr>
          <w:rFonts w:ascii="Cambria" w:hAnsi="Cambria"/>
          <w:sz w:val="20"/>
          <w:szCs w:val="20"/>
          <w:lang w:val="es"/>
        </w:rPr>
        <w:t>Sostiene</w:t>
      </w:r>
      <w:r w:rsidRPr="0008317C">
        <w:rPr>
          <w:rFonts w:ascii="Cambria" w:hAnsi="Cambria"/>
          <w:sz w:val="20"/>
          <w:szCs w:val="20"/>
          <w:lang w:val="es"/>
        </w:rPr>
        <w:t xml:space="preserve"> que no se protege el derecho de los reclusos a acceder a un proceso administrativo y que, por ello, su posibilidad de agotar dicho recurso queda a discreción de los funcionarios de la prisión. Agrega que ese proceso es ineficaz</w:t>
      </w:r>
      <w:r w:rsidRPr="0008317C">
        <w:rPr>
          <w:rStyle w:val="FootnoteReference"/>
          <w:rFonts w:ascii="Cambria" w:hAnsi="Cambria"/>
          <w:sz w:val="20"/>
          <w:szCs w:val="20"/>
          <w:lang w:val="es"/>
        </w:rPr>
        <w:footnoteReference w:id="8"/>
      </w:r>
      <w:r w:rsidRPr="0008317C">
        <w:rPr>
          <w:rFonts w:ascii="Cambria" w:hAnsi="Cambria"/>
          <w:sz w:val="20"/>
          <w:szCs w:val="20"/>
          <w:lang w:val="es"/>
        </w:rPr>
        <w:t xml:space="preserve"> y no garantiza el debido proceso legal. Los presos dependen de los empleados penitenciarios para presentar agravios contra otros empleados penitenciarios</w:t>
      </w:r>
      <w:r w:rsidRPr="0008317C">
        <w:rPr>
          <w:rStyle w:val="FootnoteReference"/>
          <w:rFonts w:ascii="Cambria" w:hAnsi="Cambria"/>
          <w:sz w:val="20"/>
          <w:szCs w:val="20"/>
          <w:lang w:val="es"/>
        </w:rPr>
        <w:footnoteReference w:id="9"/>
      </w:r>
      <w:r w:rsidRPr="0008317C">
        <w:rPr>
          <w:rFonts w:ascii="Cambria" w:hAnsi="Cambria"/>
          <w:sz w:val="20"/>
          <w:szCs w:val="20"/>
          <w:lang w:val="es"/>
        </w:rPr>
        <w:t xml:space="preserve">, lo que genera un temor de represalias de parte de los empleados al igual que </w:t>
      </w:r>
      <w:r w:rsidR="00AE092B" w:rsidRPr="0008317C">
        <w:rPr>
          <w:rFonts w:ascii="Cambria" w:hAnsi="Cambria"/>
          <w:sz w:val="20"/>
          <w:szCs w:val="20"/>
          <w:lang w:val="es"/>
        </w:rPr>
        <w:t>problemas</w:t>
      </w:r>
      <w:r w:rsidRPr="0008317C">
        <w:rPr>
          <w:rFonts w:ascii="Cambria" w:hAnsi="Cambria"/>
          <w:sz w:val="20"/>
          <w:szCs w:val="20"/>
          <w:lang w:val="es"/>
        </w:rPr>
        <w:t xml:space="preserve"> de privacidad y confidencialidad. Además, si un preso no cumple con un plazo, no entrega el formulario solicitado o no presenta la copia de un formulario </w:t>
      </w:r>
      <w:r w:rsidR="00515707" w:rsidRPr="0008317C">
        <w:rPr>
          <w:rFonts w:ascii="Cambria" w:hAnsi="Cambria"/>
          <w:sz w:val="20"/>
          <w:szCs w:val="20"/>
          <w:lang w:val="es"/>
        </w:rPr>
        <w:t>para</w:t>
      </w:r>
      <w:r w:rsidRPr="0008317C">
        <w:rPr>
          <w:rFonts w:ascii="Cambria" w:hAnsi="Cambria"/>
          <w:sz w:val="20"/>
          <w:szCs w:val="20"/>
          <w:lang w:val="es"/>
        </w:rPr>
        <w:t xml:space="preserve"> algún trámite, su posibilidad de interponer un recurso queda automáticamente descartada. Según la petición, los reclusos pueden recurrir a la justicia siempre y cuando hayan </w:t>
      </w:r>
      <w:r w:rsidR="00515707" w:rsidRPr="0008317C">
        <w:rPr>
          <w:rFonts w:ascii="Cambria" w:hAnsi="Cambria"/>
          <w:sz w:val="20"/>
          <w:szCs w:val="20"/>
          <w:lang w:val="es"/>
        </w:rPr>
        <w:t>realizado esa serie de trámites</w:t>
      </w:r>
      <w:r w:rsidRPr="0008317C">
        <w:rPr>
          <w:rFonts w:ascii="Cambria" w:hAnsi="Cambria"/>
          <w:sz w:val="20"/>
          <w:szCs w:val="20"/>
          <w:lang w:val="es"/>
        </w:rPr>
        <w:t>. No obstante, rara vez</w:t>
      </w:r>
      <w:r w:rsidR="006127D6">
        <w:rPr>
          <w:rFonts w:ascii="Cambria" w:hAnsi="Cambria"/>
          <w:sz w:val="20"/>
          <w:szCs w:val="20"/>
          <w:lang w:val="es"/>
        </w:rPr>
        <w:t xml:space="preserve"> dichos remedios tienen </w:t>
      </w:r>
      <w:r w:rsidR="0042221B">
        <w:rPr>
          <w:rFonts w:ascii="Cambria" w:hAnsi="Cambria"/>
          <w:sz w:val="20"/>
          <w:szCs w:val="20"/>
          <w:lang w:val="es"/>
        </w:rPr>
        <w:t>éxito</w:t>
      </w:r>
      <w:r w:rsidRPr="0008317C">
        <w:rPr>
          <w:rFonts w:ascii="Cambria" w:hAnsi="Cambria"/>
          <w:sz w:val="20"/>
          <w:szCs w:val="20"/>
          <w:lang w:val="es"/>
        </w:rPr>
        <w:t>, incluso cuando</w:t>
      </w:r>
      <w:r w:rsidR="007459F8">
        <w:rPr>
          <w:rFonts w:ascii="Cambria" w:hAnsi="Cambria"/>
          <w:sz w:val="20"/>
          <w:szCs w:val="20"/>
          <w:lang w:val="es"/>
        </w:rPr>
        <w:t xml:space="preserve"> se</w:t>
      </w:r>
      <w:r w:rsidRPr="0008317C">
        <w:rPr>
          <w:rFonts w:ascii="Cambria" w:hAnsi="Cambria"/>
          <w:sz w:val="20"/>
          <w:szCs w:val="20"/>
          <w:lang w:val="es"/>
        </w:rPr>
        <w:t xml:space="preserve"> presentan </w:t>
      </w:r>
      <w:r w:rsidRPr="0008317C">
        <w:rPr>
          <w:rFonts w:ascii="Cambria" w:hAnsi="Cambria"/>
          <w:i/>
          <w:iCs/>
          <w:sz w:val="20"/>
          <w:szCs w:val="20"/>
          <w:lang w:val="es"/>
        </w:rPr>
        <w:t>pro se</w:t>
      </w:r>
      <w:r w:rsidRPr="0008317C">
        <w:rPr>
          <w:rFonts w:ascii="Cambria" w:hAnsi="Cambria"/>
          <w:sz w:val="20"/>
          <w:szCs w:val="20"/>
          <w:lang w:val="es"/>
        </w:rPr>
        <w:t xml:space="preserve">, que están sujetos a estándares menos estrictos. Los recursos constitucionales </w:t>
      </w:r>
      <w:r w:rsidR="007459F8">
        <w:rPr>
          <w:rFonts w:ascii="Cambria" w:hAnsi="Cambria"/>
          <w:sz w:val="20"/>
          <w:szCs w:val="20"/>
          <w:lang w:val="es"/>
        </w:rPr>
        <w:t>suponen</w:t>
      </w:r>
      <w:r w:rsidRPr="0008317C">
        <w:rPr>
          <w:rFonts w:ascii="Cambria" w:hAnsi="Cambria"/>
          <w:sz w:val="20"/>
          <w:szCs w:val="20"/>
          <w:lang w:val="es"/>
        </w:rPr>
        <w:t xml:space="preserve"> cuestiones de debido proceso legal, igualdad ante la ley y tratos crueles e inhumanos, que, por su complejidad, requ</w:t>
      </w:r>
      <w:r w:rsidR="00515707" w:rsidRPr="0008317C">
        <w:rPr>
          <w:rFonts w:ascii="Cambria" w:hAnsi="Cambria"/>
          <w:sz w:val="20"/>
          <w:szCs w:val="20"/>
          <w:lang w:val="es"/>
        </w:rPr>
        <w:t>ieren</w:t>
      </w:r>
      <w:r w:rsidRPr="0008317C">
        <w:rPr>
          <w:rFonts w:ascii="Cambria" w:hAnsi="Cambria"/>
          <w:sz w:val="20"/>
          <w:szCs w:val="20"/>
          <w:lang w:val="es"/>
        </w:rPr>
        <w:t xml:space="preserve"> asistencia legal</w:t>
      </w:r>
      <w:r w:rsidRPr="0008317C">
        <w:rPr>
          <w:rStyle w:val="FootnoteReference"/>
          <w:rFonts w:ascii="Cambria" w:hAnsi="Cambria"/>
          <w:sz w:val="20"/>
          <w:szCs w:val="20"/>
          <w:lang w:val="es"/>
        </w:rPr>
        <w:footnoteReference w:id="10"/>
      </w:r>
      <w:r w:rsidRPr="0008317C">
        <w:rPr>
          <w:rFonts w:ascii="Cambria" w:hAnsi="Cambria"/>
          <w:sz w:val="20"/>
          <w:szCs w:val="20"/>
          <w:lang w:val="es"/>
        </w:rPr>
        <w:t>. Sin embargo, las presuntas víctimas no cuentan con los medios económicos para contratar su</w:t>
      </w:r>
      <w:r w:rsidR="00515707" w:rsidRPr="0008317C">
        <w:rPr>
          <w:rFonts w:ascii="Cambria" w:hAnsi="Cambria"/>
          <w:sz w:val="20"/>
          <w:szCs w:val="20"/>
          <w:lang w:val="es"/>
        </w:rPr>
        <w:t>s</w:t>
      </w:r>
      <w:r w:rsidRPr="0008317C">
        <w:rPr>
          <w:rFonts w:ascii="Cambria" w:hAnsi="Cambria"/>
          <w:sz w:val="20"/>
          <w:szCs w:val="20"/>
          <w:lang w:val="es"/>
        </w:rPr>
        <w:t xml:space="preserve"> propio</w:t>
      </w:r>
      <w:r w:rsidR="00515707" w:rsidRPr="0008317C">
        <w:rPr>
          <w:rFonts w:ascii="Cambria" w:hAnsi="Cambria"/>
          <w:sz w:val="20"/>
          <w:szCs w:val="20"/>
          <w:lang w:val="es"/>
        </w:rPr>
        <w:t>s</w:t>
      </w:r>
      <w:r w:rsidRPr="0008317C">
        <w:rPr>
          <w:rFonts w:ascii="Cambria" w:hAnsi="Cambria"/>
          <w:sz w:val="20"/>
          <w:szCs w:val="20"/>
          <w:lang w:val="es"/>
        </w:rPr>
        <w:t xml:space="preserve"> </w:t>
      </w:r>
      <w:r w:rsidR="00515707" w:rsidRPr="0008317C">
        <w:rPr>
          <w:rFonts w:ascii="Cambria" w:hAnsi="Cambria"/>
          <w:sz w:val="20"/>
          <w:szCs w:val="20"/>
          <w:lang w:val="es"/>
        </w:rPr>
        <w:t>abogados</w:t>
      </w:r>
      <w:r w:rsidRPr="0008317C">
        <w:rPr>
          <w:rFonts w:ascii="Cambria" w:hAnsi="Cambria"/>
          <w:sz w:val="20"/>
          <w:szCs w:val="20"/>
          <w:lang w:val="es"/>
        </w:rPr>
        <w:t xml:space="preserve"> y en ADX no se les permite trabajar ni ganarse su propio dinero, y el gobierno </w:t>
      </w:r>
      <w:r w:rsidR="00515707" w:rsidRPr="0008317C">
        <w:rPr>
          <w:rFonts w:ascii="Cambria" w:hAnsi="Cambria"/>
          <w:sz w:val="20"/>
          <w:szCs w:val="20"/>
          <w:lang w:val="es"/>
        </w:rPr>
        <w:t>estadounidense</w:t>
      </w:r>
      <w:r w:rsidRPr="0008317C">
        <w:rPr>
          <w:rFonts w:ascii="Cambria" w:hAnsi="Cambria"/>
          <w:sz w:val="20"/>
          <w:szCs w:val="20"/>
          <w:lang w:val="es"/>
        </w:rPr>
        <w:t xml:space="preserve"> no ofrece asistencia legal para </w:t>
      </w:r>
      <w:r w:rsidR="00515707" w:rsidRPr="0008317C">
        <w:rPr>
          <w:rFonts w:ascii="Cambria" w:hAnsi="Cambria"/>
          <w:sz w:val="20"/>
          <w:szCs w:val="20"/>
          <w:lang w:val="es"/>
        </w:rPr>
        <w:t>demandas</w:t>
      </w:r>
      <w:r w:rsidRPr="0008317C">
        <w:rPr>
          <w:rFonts w:ascii="Cambria" w:hAnsi="Cambria"/>
          <w:sz w:val="20"/>
          <w:szCs w:val="20"/>
          <w:lang w:val="es"/>
        </w:rPr>
        <w:t xml:space="preserve"> una vez que la persona ha sido declarada culpable y encarcelada. La petición se refiere a otras dificultades, entre ellas las condiciones de detención que dificultan la comunicación con los profesionales jurídicos</w:t>
      </w:r>
      <w:r w:rsidRPr="0008317C">
        <w:rPr>
          <w:rStyle w:val="FootnoteReference"/>
          <w:rFonts w:ascii="Cambria" w:hAnsi="Cambria"/>
          <w:sz w:val="20"/>
          <w:szCs w:val="20"/>
          <w:lang w:val="es"/>
        </w:rPr>
        <w:footnoteReference w:id="11"/>
      </w:r>
      <w:r w:rsidRPr="0008317C">
        <w:rPr>
          <w:rFonts w:ascii="Cambria" w:hAnsi="Cambria"/>
          <w:sz w:val="20"/>
          <w:szCs w:val="20"/>
          <w:lang w:val="es"/>
        </w:rPr>
        <w:t>, el costo de las copias de los documentos solicitados por la justicia y las tasas ju</w:t>
      </w:r>
      <w:r w:rsidR="00515707" w:rsidRPr="0008317C">
        <w:rPr>
          <w:rFonts w:ascii="Cambria" w:hAnsi="Cambria"/>
          <w:sz w:val="20"/>
          <w:szCs w:val="20"/>
          <w:lang w:val="es"/>
        </w:rPr>
        <w:t>diciales</w:t>
      </w:r>
      <w:r w:rsidRPr="0008317C">
        <w:rPr>
          <w:rFonts w:ascii="Cambria" w:hAnsi="Cambria"/>
          <w:sz w:val="20"/>
          <w:szCs w:val="20"/>
          <w:lang w:val="es"/>
        </w:rPr>
        <w:t>. Por lo tanto, la parte peticionaria aduce que</w:t>
      </w:r>
      <w:r w:rsidR="00CB53F1">
        <w:rPr>
          <w:rFonts w:ascii="Cambria" w:hAnsi="Cambria"/>
          <w:sz w:val="20"/>
          <w:szCs w:val="20"/>
          <w:lang w:val="es"/>
        </w:rPr>
        <w:t>,</w:t>
      </w:r>
      <w:r w:rsidRPr="0008317C">
        <w:rPr>
          <w:rFonts w:ascii="Cambria" w:hAnsi="Cambria"/>
          <w:sz w:val="20"/>
          <w:szCs w:val="20"/>
          <w:lang w:val="es"/>
        </w:rPr>
        <w:t xml:space="preserve"> </w:t>
      </w:r>
      <w:r w:rsidR="00515707" w:rsidRPr="0008317C">
        <w:rPr>
          <w:rFonts w:ascii="Cambria" w:hAnsi="Cambria"/>
          <w:sz w:val="20"/>
          <w:szCs w:val="20"/>
          <w:lang w:val="es"/>
        </w:rPr>
        <w:t>debido a la situación de</w:t>
      </w:r>
      <w:r w:rsidRPr="0008317C">
        <w:rPr>
          <w:rFonts w:ascii="Cambria" w:hAnsi="Cambria"/>
          <w:sz w:val="20"/>
          <w:szCs w:val="20"/>
          <w:lang w:val="es"/>
        </w:rPr>
        <w:t xml:space="preserve"> indigencia, </w:t>
      </w:r>
      <w:r w:rsidR="00515707" w:rsidRPr="0008317C">
        <w:rPr>
          <w:rFonts w:ascii="Cambria" w:hAnsi="Cambria"/>
          <w:sz w:val="20"/>
          <w:szCs w:val="20"/>
          <w:lang w:val="es"/>
        </w:rPr>
        <w:t xml:space="preserve">la </w:t>
      </w:r>
      <w:r w:rsidRPr="0008317C">
        <w:rPr>
          <w:rFonts w:ascii="Cambria" w:hAnsi="Cambria"/>
          <w:sz w:val="20"/>
          <w:szCs w:val="20"/>
          <w:lang w:val="es"/>
        </w:rPr>
        <w:t xml:space="preserve">falta de asistencia legal </w:t>
      </w:r>
      <w:r w:rsidR="00515707" w:rsidRPr="0008317C">
        <w:rPr>
          <w:rFonts w:ascii="Cambria" w:hAnsi="Cambria"/>
          <w:sz w:val="20"/>
          <w:szCs w:val="20"/>
          <w:lang w:val="es"/>
        </w:rPr>
        <w:t xml:space="preserve">por parte del </w:t>
      </w:r>
      <w:r w:rsidR="00515707" w:rsidRPr="0008317C">
        <w:rPr>
          <w:rFonts w:ascii="Cambria" w:hAnsi="Cambria"/>
          <w:sz w:val="20"/>
          <w:szCs w:val="20"/>
          <w:lang w:val="es"/>
        </w:rPr>
        <w:lastRenderedPageBreak/>
        <w:t>Estado</w:t>
      </w:r>
      <w:r w:rsidRPr="0008317C">
        <w:rPr>
          <w:rFonts w:ascii="Cambria" w:hAnsi="Cambria"/>
          <w:sz w:val="20"/>
          <w:szCs w:val="20"/>
          <w:lang w:val="es"/>
        </w:rPr>
        <w:t xml:space="preserve"> y la complejidad de los casos constitucionales, las presuntas víctimas no </w:t>
      </w:r>
      <w:r w:rsidR="00190528">
        <w:rPr>
          <w:rFonts w:ascii="Cambria" w:hAnsi="Cambria"/>
          <w:sz w:val="20"/>
          <w:szCs w:val="20"/>
          <w:lang w:val="es"/>
        </w:rPr>
        <w:t>pueden</w:t>
      </w:r>
      <w:r w:rsidR="00515707" w:rsidRPr="0008317C">
        <w:rPr>
          <w:rFonts w:ascii="Cambria" w:hAnsi="Cambria"/>
          <w:sz w:val="20"/>
          <w:szCs w:val="20"/>
          <w:lang w:val="es"/>
        </w:rPr>
        <w:t xml:space="preserve"> </w:t>
      </w:r>
      <w:r w:rsidR="00CB53F1">
        <w:rPr>
          <w:rFonts w:ascii="Cambria" w:hAnsi="Cambria"/>
          <w:sz w:val="20"/>
          <w:szCs w:val="20"/>
          <w:lang w:val="es"/>
        </w:rPr>
        <w:t>denunciar adecuadamente</w:t>
      </w:r>
      <w:r w:rsidRPr="0008317C">
        <w:rPr>
          <w:rFonts w:ascii="Cambria" w:hAnsi="Cambria"/>
          <w:sz w:val="20"/>
          <w:szCs w:val="20"/>
          <w:lang w:val="es"/>
        </w:rPr>
        <w:t xml:space="preserve"> sus condiciones. En consecuencia, no corresponde exigírseles el agotamiento de los recursos internos.</w:t>
      </w:r>
    </w:p>
    <w:p w14:paraId="2BEB426A" w14:textId="58DAC163" w:rsidR="006A273D" w:rsidRPr="0008317C" w:rsidRDefault="006A273D"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Cambria" w:hAnsi="Cambria"/>
          <w:sz w:val="20"/>
          <w:szCs w:val="20"/>
          <w:lang w:val="es"/>
        </w:rPr>
        <w:t xml:space="preserve">Por su parte, el Estado sostiene que la Declaración Americana es un instrumento no vinculante que por sí mismo no crea derechos legales </w:t>
      </w:r>
      <w:r w:rsidR="008710A4" w:rsidRPr="0008317C">
        <w:rPr>
          <w:rFonts w:ascii="Cambria" w:hAnsi="Cambria"/>
          <w:sz w:val="20"/>
          <w:szCs w:val="20"/>
          <w:lang w:val="es"/>
        </w:rPr>
        <w:t>ni</w:t>
      </w:r>
      <w:r w:rsidRPr="0008317C">
        <w:rPr>
          <w:rFonts w:ascii="Cambria" w:hAnsi="Cambria"/>
          <w:sz w:val="20"/>
          <w:szCs w:val="20"/>
          <w:lang w:val="es"/>
        </w:rPr>
        <w:t xml:space="preserve"> impone obligaciones legales a los Estados Miembros de la OEA y que, por </w:t>
      </w:r>
      <w:r w:rsidR="008710A4" w:rsidRPr="0008317C">
        <w:rPr>
          <w:rFonts w:ascii="Cambria" w:hAnsi="Cambria"/>
          <w:sz w:val="20"/>
          <w:szCs w:val="20"/>
          <w:lang w:val="es"/>
        </w:rPr>
        <w:t>lo tanto</w:t>
      </w:r>
      <w:r w:rsidRPr="0008317C">
        <w:rPr>
          <w:rFonts w:ascii="Cambria" w:hAnsi="Cambria"/>
          <w:sz w:val="20"/>
          <w:szCs w:val="20"/>
          <w:lang w:val="es"/>
        </w:rPr>
        <w:t xml:space="preserve">, la Comisión carece de competencia para emitir una decisión vinculante respecto de Estados Unidos. Agrega que la petición es inadmisible según el artículo 34(c), o de otro modo el artículo 42, del Reglamento pues de las 22 presuntas víctimas mencionadas en la petición original o en </w:t>
      </w:r>
      <w:r w:rsidR="008710A4" w:rsidRPr="0008317C">
        <w:rPr>
          <w:rFonts w:ascii="Cambria" w:hAnsi="Cambria"/>
          <w:sz w:val="20"/>
          <w:szCs w:val="20"/>
          <w:lang w:val="es"/>
        </w:rPr>
        <w:t>comunicaciones</w:t>
      </w:r>
      <w:r w:rsidRPr="0008317C">
        <w:rPr>
          <w:rFonts w:ascii="Cambria" w:hAnsi="Cambria"/>
          <w:sz w:val="20"/>
          <w:szCs w:val="20"/>
          <w:lang w:val="es"/>
        </w:rPr>
        <w:t xml:space="preserve"> posteriores de la </w:t>
      </w:r>
      <w:r w:rsidR="008710A4" w:rsidRPr="0008317C">
        <w:rPr>
          <w:rFonts w:ascii="Cambria" w:hAnsi="Cambria"/>
          <w:sz w:val="20"/>
          <w:szCs w:val="20"/>
          <w:lang w:val="es"/>
        </w:rPr>
        <w:t xml:space="preserve">parte </w:t>
      </w:r>
      <w:r w:rsidRPr="0008317C">
        <w:rPr>
          <w:rFonts w:ascii="Cambria" w:hAnsi="Cambria"/>
          <w:sz w:val="20"/>
          <w:szCs w:val="20"/>
          <w:lang w:val="es"/>
        </w:rPr>
        <w:t xml:space="preserve">peticionaria, 11 han sido </w:t>
      </w:r>
      <w:r w:rsidR="008710A4" w:rsidRPr="0008317C">
        <w:rPr>
          <w:rFonts w:ascii="Cambria" w:hAnsi="Cambria"/>
          <w:sz w:val="20"/>
          <w:szCs w:val="20"/>
          <w:lang w:val="es"/>
        </w:rPr>
        <w:t>enviados</w:t>
      </w:r>
      <w:r w:rsidRPr="0008317C">
        <w:rPr>
          <w:rFonts w:ascii="Cambria" w:hAnsi="Cambria"/>
          <w:sz w:val="20"/>
          <w:szCs w:val="20"/>
          <w:lang w:val="es"/>
        </w:rPr>
        <w:t xml:space="preserve"> de</w:t>
      </w:r>
      <w:r w:rsidR="008710A4" w:rsidRPr="0008317C">
        <w:rPr>
          <w:rFonts w:ascii="Cambria" w:hAnsi="Cambria"/>
          <w:sz w:val="20"/>
          <w:szCs w:val="20"/>
          <w:lang w:val="es"/>
        </w:rPr>
        <w:t>sde</w:t>
      </w:r>
      <w:r w:rsidRPr="0008317C">
        <w:rPr>
          <w:rFonts w:ascii="Cambria" w:hAnsi="Cambria"/>
          <w:sz w:val="20"/>
          <w:szCs w:val="20"/>
          <w:lang w:val="es"/>
        </w:rPr>
        <w:t xml:space="preserve"> ADX hacia penitenciarías de menor seguridad</w:t>
      </w:r>
      <w:r w:rsidRPr="0008317C">
        <w:rPr>
          <w:rStyle w:val="FootnoteReference"/>
          <w:rFonts w:ascii="Cambria" w:hAnsi="Cambria"/>
          <w:sz w:val="20"/>
          <w:szCs w:val="20"/>
          <w:lang w:val="es"/>
        </w:rPr>
        <w:footnoteReference w:id="12"/>
      </w:r>
      <w:r w:rsidRPr="0008317C">
        <w:rPr>
          <w:rFonts w:ascii="Cambria" w:hAnsi="Cambria"/>
          <w:sz w:val="20"/>
          <w:szCs w:val="20"/>
          <w:lang w:val="es"/>
        </w:rPr>
        <w:t>.</w:t>
      </w:r>
    </w:p>
    <w:p w14:paraId="7B5FA170" w14:textId="1BFCBAF2" w:rsidR="006A273D" w:rsidRPr="0008317C" w:rsidRDefault="006A273D"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Cambria" w:hAnsi="Cambria"/>
          <w:sz w:val="20"/>
          <w:szCs w:val="20"/>
          <w:lang w:val="es"/>
        </w:rPr>
        <w:t xml:space="preserve">El Estado también sostiene que los peticionarios no agotaron los recursos judiciales y administrativos internos, por lo cual la petición es inadmisible. Aduce que seis de las presuntas víctimas no agotaron el </w:t>
      </w:r>
      <w:r w:rsidR="005E40B8" w:rsidRPr="0008317C">
        <w:rPr>
          <w:rFonts w:ascii="Cambria" w:hAnsi="Cambria"/>
          <w:sz w:val="20"/>
          <w:szCs w:val="20"/>
          <w:lang w:val="es"/>
        </w:rPr>
        <w:t xml:space="preserve">procedimiento administrativo </w:t>
      </w:r>
      <w:r w:rsidRPr="0008317C">
        <w:rPr>
          <w:rFonts w:ascii="Cambria" w:hAnsi="Cambria"/>
          <w:sz w:val="20"/>
          <w:szCs w:val="20"/>
          <w:lang w:val="es"/>
        </w:rPr>
        <w:t xml:space="preserve">de tres pasos disponible para </w:t>
      </w:r>
      <w:r w:rsidR="005E40B8" w:rsidRPr="0008317C">
        <w:rPr>
          <w:rFonts w:ascii="Cambria" w:hAnsi="Cambria"/>
          <w:sz w:val="20"/>
          <w:szCs w:val="20"/>
          <w:lang w:val="es"/>
        </w:rPr>
        <w:t xml:space="preserve">agravios presentados por </w:t>
      </w:r>
      <w:r w:rsidR="007F62D0">
        <w:rPr>
          <w:rFonts w:ascii="Cambria" w:hAnsi="Cambria"/>
          <w:sz w:val="20"/>
          <w:szCs w:val="20"/>
          <w:lang w:val="es"/>
        </w:rPr>
        <w:t>reclusos</w:t>
      </w:r>
      <w:r w:rsidRPr="0008317C">
        <w:rPr>
          <w:rFonts w:ascii="Cambria" w:hAnsi="Cambria"/>
          <w:sz w:val="20"/>
          <w:szCs w:val="20"/>
          <w:lang w:val="es"/>
        </w:rPr>
        <w:t xml:space="preserve">, </w:t>
      </w:r>
      <w:r w:rsidR="008710A4" w:rsidRPr="0008317C">
        <w:rPr>
          <w:rFonts w:ascii="Cambria" w:hAnsi="Cambria"/>
          <w:sz w:val="20"/>
          <w:szCs w:val="20"/>
          <w:lang w:val="es"/>
        </w:rPr>
        <w:t>el cual</w:t>
      </w:r>
      <w:r w:rsidRPr="0008317C">
        <w:rPr>
          <w:rFonts w:ascii="Cambria" w:hAnsi="Cambria"/>
          <w:sz w:val="20"/>
          <w:szCs w:val="20"/>
          <w:lang w:val="es"/>
        </w:rPr>
        <w:t xml:space="preserve"> prevé demandas constitucionales</w:t>
      </w:r>
      <w:r w:rsidRPr="0008317C">
        <w:rPr>
          <w:rStyle w:val="FootnoteReference"/>
          <w:rFonts w:ascii="Cambria" w:hAnsi="Cambria"/>
          <w:sz w:val="20"/>
          <w:szCs w:val="20"/>
          <w:lang w:val="es"/>
        </w:rPr>
        <w:footnoteReference w:id="13"/>
      </w:r>
      <w:r w:rsidRPr="0008317C">
        <w:rPr>
          <w:rFonts w:ascii="Cambria" w:hAnsi="Cambria"/>
          <w:sz w:val="20"/>
          <w:szCs w:val="20"/>
          <w:lang w:val="es"/>
        </w:rPr>
        <w:t xml:space="preserve">, ya sea porque no presentaron un reclamo administrativo o porque se </w:t>
      </w:r>
      <w:r w:rsidR="005E40B8" w:rsidRPr="0008317C">
        <w:rPr>
          <w:rFonts w:ascii="Cambria" w:hAnsi="Cambria"/>
          <w:sz w:val="20"/>
          <w:szCs w:val="20"/>
          <w:lang w:val="es"/>
        </w:rPr>
        <w:t>negaron</w:t>
      </w:r>
      <w:r w:rsidRPr="0008317C">
        <w:rPr>
          <w:rFonts w:ascii="Cambria" w:hAnsi="Cambria"/>
          <w:sz w:val="20"/>
          <w:szCs w:val="20"/>
          <w:lang w:val="es"/>
        </w:rPr>
        <w:t xml:space="preserve"> a apelar una </w:t>
      </w:r>
      <w:r w:rsidR="005E40B8" w:rsidRPr="0008317C">
        <w:rPr>
          <w:rFonts w:ascii="Cambria" w:hAnsi="Cambria"/>
          <w:sz w:val="20"/>
          <w:szCs w:val="20"/>
          <w:lang w:val="es"/>
        </w:rPr>
        <w:t>decisión</w:t>
      </w:r>
      <w:r w:rsidRPr="0008317C">
        <w:rPr>
          <w:rFonts w:ascii="Cambria" w:hAnsi="Cambria"/>
          <w:sz w:val="20"/>
          <w:szCs w:val="20"/>
          <w:lang w:val="es"/>
        </w:rPr>
        <w:t xml:space="preserve"> </w:t>
      </w:r>
      <w:r w:rsidR="005E40B8" w:rsidRPr="0008317C">
        <w:rPr>
          <w:rFonts w:ascii="Cambria" w:hAnsi="Cambria"/>
          <w:sz w:val="20"/>
          <w:szCs w:val="20"/>
          <w:lang w:val="es"/>
        </w:rPr>
        <w:t>des</w:t>
      </w:r>
      <w:r w:rsidRPr="0008317C">
        <w:rPr>
          <w:rFonts w:ascii="Cambria" w:hAnsi="Cambria"/>
          <w:sz w:val="20"/>
          <w:szCs w:val="20"/>
          <w:lang w:val="es"/>
        </w:rPr>
        <w:t>favorable del director de la prisión o del director regional</w:t>
      </w:r>
      <w:r w:rsidRPr="0008317C">
        <w:rPr>
          <w:rStyle w:val="FootnoteReference"/>
          <w:rFonts w:ascii="Cambria" w:hAnsi="Cambria"/>
          <w:sz w:val="20"/>
          <w:szCs w:val="20"/>
          <w:lang w:val="es"/>
        </w:rPr>
        <w:footnoteReference w:id="14"/>
      </w:r>
      <w:r w:rsidRPr="0008317C">
        <w:rPr>
          <w:rFonts w:ascii="Cambria" w:hAnsi="Cambria"/>
          <w:sz w:val="20"/>
          <w:szCs w:val="20"/>
          <w:lang w:val="es"/>
        </w:rPr>
        <w:t>. El Estado agrega que los reclusos también pueden interponer recursos judiciales ante los tribunales federales estadounidenses para obtener las reparaciones correspond</w:t>
      </w:r>
      <w:r w:rsidR="005E40B8" w:rsidRPr="0008317C">
        <w:rPr>
          <w:rFonts w:ascii="Cambria" w:hAnsi="Cambria"/>
          <w:sz w:val="20"/>
          <w:szCs w:val="20"/>
          <w:lang w:val="es"/>
        </w:rPr>
        <w:t>ientes</w:t>
      </w:r>
      <w:r w:rsidRPr="0008317C">
        <w:rPr>
          <w:rFonts w:ascii="Cambria" w:hAnsi="Cambria"/>
          <w:sz w:val="20"/>
          <w:szCs w:val="20"/>
          <w:lang w:val="es"/>
        </w:rPr>
        <w:t xml:space="preserve">. El Estado sostiene que, con frecuencia, </w:t>
      </w:r>
      <w:r w:rsidR="005E40B8" w:rsidRPr="0008317C">
        <w:rPr>
          <w:rFonts w:ascii="Cambria" w:hAnsi="Cambria"/>
          <w:sz w:val="20"/>
          <w:szCs w:val="20"/>
          <w:lang w:val="es"/>
        </w:rPr>
        <w:t>dichos</w:t>
      </w:r>
      <w:r w:rsidRPr="0008317C">
        <w:rPr>
          <w:rFonts w:ascii="Cambria" w:hAnsi="Cambria"/>
          <w:sz w:val="20"/>
          <w:szCs w:val="20"/>
          <w:lang w:val="es"/>
        </w:rPr>
        <w:t xml:space="preserve"> recursos son útiles para reclusos que no cuentan con </w:t>
      </w:r>
      <w:r w:rsidR="005E40B8" w:rsidRPr="0008317C">
        <w:rPr>
          <w:rFonts w:ascii="Cambria" w:hAnsi="Cambria"/>
          <w:sz w:val="20"/>
          <w:szCs w:val="20"/>
          <w:lang w:val="es"/>
        </w:rPr>
        <w:t>asistencia legal</w:t>
      </w:r>
      <w:r w:rsidRPr="0008317C">
        <w:rPr>
          <w:rFonts w:ascii="Cambria" w:hAnsi="Cambria"/>
          <w:sz w:val="20"/>
          <w:szCs w:val="20"/>
          <w:lang w:val="es"/>
        </w:rPr>
        <w:t>, y que el hecho de que las presuntas víctimas hayan tenido acceso a la representación legal en este asunto ante la Comisión demuestra que efectivamente recibieron asistencia legal. Las presuntas víctimas no son eximidas de agotar los recursos judiciales internos simplemente porque no cuent</w:t>
      </w:r>
      <w:r w:rsidR="005E40B8" w:rsidRPr="0008317C">
        <w:rPr>
          <w:rFonts w:ascii="Cambria" w:hAnsi="Cambria"/>
          <w:sz w:val="20"/>
          <w:szCs w:val="20"/>
          <w:lang w:val="es"/>
        </w:rPr>
        <w:t>a</w:t>
      </w:r>
      <w:r w:rsidRPr="0008317C">
        <w:rPr>
          <w:rFonts w:ascii="Cambria" w:hAnsi="Cambria"/>
          <w:sz w:val="20"/>
          <w:szCs w:val="20"/>
          <w:lang w:val="es"/>
        </w:rPr>
        <w:t>n con la asistencia de abogado</w:t>
      </w:r>
      <w:r w:rsidR="005E40B8" w:rsidRPr="0008317C">
        <w:rPr>
          <w:rFonts w:ascii="Cambria" w:hAnsi="Cambria"/>
          <w:sz w:val="20"/>
          <w:szCs w:val="20"/>
          <w:lang w:val="es"/>
        </w:rPr>
        <w:t>s</w:t>
      </w:r>
      <w:r w:rsidRPr="0008317C">
        <w:rPr>
          <w:rFonts w:ascii="Cambria" w:hAnsi="Cambria"/>
          <w:sz w:val="20"/>
          <w:szCs w:val="20"/>
          <w:lang w:val="es"/>
        </w:rPr>
        <w:t>. Según los registros de ADX, seis de las presuntas víctimas</w:t>
      </w:r>
      <w:r w:rsidRPr="0008317C">
        <w:rPr>
          <w:rStyle w:val="FootnoteReference"/>
          <w:rFonts w:ascii="Cambria" w:hAnsi="Cambria"/>
          <w:sz w:val="20"/>
          <w:szCs w:val="20"/>
          <w:lang w:val="es"/>
        </w:rPr>
        <w:footnoteReference w:id="15"/>
      </w:r>
      <w:r w:rsidRPr="0008317C">
        <w:rPr>
          <w:rFonts w:ascii="Cambria" w:hAnsi="Cambria"/>
          <w:sz w:val="20"/>
          <w:szCs w:val="20"/>
          <w:lang w:val="es"/>
        </w:rPr>
        <w:t xml:space="preserve"> se negaron a presentar </w:t>
      </w:r>
      <w:r w:rsidR="005E40B8" w:rsidRPr="0008317C">
        <w:rPr>
          <w:rFonts w:ascii="Cambria" w:hAnsi="Cambria"/>
          <w:sz w:val="20"/>
          <w:szCs w:val="20"/>
          <w:lang w:val="es"/>
        </w:rPr>
        <w:t>dichos</w:t>
      </w:r>
      <w:r w:rsidRPr="0008317C">
        <w:rPr>
          <w:rFonts w:ascii="Cambria" w:hAnsi="Cambria"/>
          <w:sz w:val="20"/>
          <w:szCs w:val="20"/>
          <w:lang w:val="es"/>
        </w:rPr>
        <w:t xml:space="preserve"> recursos judiciales y, de las tres restantes, el señor Mauchlin es parte en causas civiles referidas a las condiciones de </w:t>
      </w:r>
      <w:r w:rsidR="001F30BA">
        <w:rPr>
          <w:rFonts w:ascii="Cambria" w:hAnsi="Cambria"/>
          <w:sz w:val="20"/>
          <w:szCs w:val="20"/>
          <w:lang w:val="es"/>
        </w:rPr>
        <w:t>confinamiento</w:t>
      </w:r>
      <w:r w:rsidRPr="0008317C">
        <w:rPr>
          <w:rFonts w:ascii="Cambria" w:hAnsi="Cambria"/>
          <w:sz w:val="20"/>
          <w:szCs w:val="20"/>
          <w:lang w:val="es"/>
        </w:rPr>
        <w:t xml:space="preserve"> en ADX, </w:t>
      </w:r>
      <w:r w:rsidR="00953C44">
        <w:rPr>
          <w:rFonts w:ascii="Cambria" w:hAnsi="Cambria"/>
          <w:sz w:val="20"/>
          <w:szCs w:val="20"/>
          <w:lang w:val="es"/>
        </w:rPr>
        <w:t>actualmente</w:t>
      </w:r>
      <w:r w:rsidRPr="0008317C">
        <w:rPr>
          <w:rFonts w:ascii="Cambria" w:hAnsi="Cambria"/>
          <w:sz w:val="20"/>
          <w:szCs w:val="20"/>
          <w:lang w:val="es"/>
        </w:rPr>
        <w:t xml:space="preserve"> en </w:t>
      </w:r>
      <w:r w:rsidR="00627950">
        <w:rPr>
          <w:rFonts w:ascii="Cambria" w:hAnsi="Cambria"/>
          <w:sz w:val="20"/>
          <w:szCs w:val="20"/>
          <w:lang w:val="es"/>
        </w:rPr>
        <w:t>trámite</w:t>
      </w:r>
      <w:r w:rsidRPr="0008317C">
        <w:rPr>
          <w:rFonts w:ascii="Cambria" w:hAnsi="Cambria"/>
          <w:sz w:val="20"/>
          <w:szCs w:val="20"/>
          <w:lang w:val="es"/>
        </w:rPr>
        <w:t xml:space="preserve"> ante los tribunales federales estadounidenses. En cuanto al señor Mallet, en varias ocasiones éste interpuso recursos judiciales ante los tribunales federales</w:t>
      </w:r>
      <w:r w:rsidR="005E40B8" w:rsidRPr="0008317C">
        <w:rPr>
          <w:rFonts w:ascii="Cambria" w:hAnsi="Cambria"/>
          <w:sz w:val="20"/>
          <w:szCs w:val="20"/>
          <w:lang w:val="es"/>
        </w:rPr>
        <w:t xml:space="preserve"> estadounidenses</w:t>
      </w:r>
      <w:r w:rsidRPr="0008317C">
        <w:rPr>
          <w:rFonts w:ascii="Cambria" w:hAnsi="Cambria"/>
          <w:sz w:val="20"/>
          <w:szCs w:val="20"/>
          <w:lang w:val="es"/>
        </w:rPr>
        <w:t>, aunque se desconoce si tenga algún litigio federal pendiente</w:t>
      </w:r>
      <w:r w:rsidR="005E40B8" w:rsidRPr="0008317C">
        <w:rPr>
          <w:rFonts w:ascii="Cambria" w:hAnsi="Cambria"/>
          <w:sz w:val="20"/>
          <w:szCs w:val="20"/>
          <w:lang w:val="es"/>
        </w:rPr>
        <w:t xml:space="preserve"> de resolución</w:t>
      </w:r>
      <w:r w:rsidRPr="0008317C">
        <w:rPr>
          <w:rFonts w:ascii="Cambria" w:hAnsi="Cambria"/>
          <w:sz w:val="20"/>
          <w:szCs w:val="20"/>
          <w:lang w:val="es"/>
        </w:rPr>
        <w:t>.</w:t>
      </w:r>
      <w:r w:rsidR="00887874" w:rsidRPr="0008317C">
        <w:rPr>
          <w:rFonts w:ascii="Cambria" w:hAnsi="Cambria"/>
          <w:sz w:val="20"/>
          <w:szCs w:val="20"/>
          <w:lang w:val="es"/>
        </w:rPr>
        <w:t xml:space="preserve"> Por lo tanto</w:t>
      </w:r>
      <w:r w:rsidRPr="0008317C">
        <w:rPr>
          <w:rFonts w:ascii="Cambria" w:hAnsi="Cambria"/>
          <w:sz w:val="20"/>
          <w:szCs w:val="20"/>
          <w:lang w:val="es"/>
        </w:rPr>
        <w:t xml:space="preserve">, </w:t>
      </w:r>
      <w:r w:rsidR="00253479" w:rsidRPr="0008317C">
        <w:rPr>
          <w:rFonts w:ascii="Cambria" w:hAnsi="Cambria"/>
          <w:sz w:val="20"/>
          <w:szCs w:val="20"/>
          <w:lang w:val="es"/>
        </w:rPr>
        <w:t>ninguno de los</w:t>
      </w:r>
      <w:r w:rsidRPr="0008317C">
        <w:rPr>
          <w:rFonts w:ascii="Cambria" w:hAnsi="Cambria"/>
          <w:sz w:val="20"/>
          <w:szCs w:val="20"/>
          <w:lang w:val="es"/>
        </w:rPr>
        <w:t xml:space="preserve"> 11 peticionarios </w:t>
      </w:r>
      <w:r w:rsidR="00253479" w:rsidRPr="0008317C">
        <w:rPr>
          <w:rFonts w:ascii="Cambria" w:hAnsi="Cambria"/>
          <w:sz w:val="20"/>
          <w:szCs w:val="20"/>
          <w:lang w:val="es"/>
        </w:rPr>
        <w:t>agotó</w:t>
      </w:r>
      <w:r w:rsidRPr="0008317C">
        <w:rPr>
          <w:rFonts w:ascii="Cambria" w:hAnsi="Cambria"/>
          <w:sz w:val="20"/>
          <w:szCs w:val="20"/>
          <w:lang w:val="es"/>
        </w:rPr>
        <w:t xml:space="preserve"> los recursos internos.</w:t>
      </w:r>
    </w:p>
    <w:p w14:paraId="1EC14A17" w14:textId="77C484A9" w:rsidR="006A273D" w:rsidRPr="0008317C" w:rsidRDefault="006A273D"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Cambria" w:hAnsi="Cambria"/>
          <w:sz w:val="20"/>
          <w:szCs w:val="20"/>
          <w:lang w:val="es"/>
        </w:rPr>
        <w:t xml:space="preserve">Además, el Estado aduce que la petición no </w:t>
      </w:r>
      <w:r w:rsidR="00C003F0" w:rsidRPr="0008317C">
        <w:rPr>
          <w:rFonts w:ascii="Cambria" w:hAnsi="Cambria"/>
          <w:sz w:val="20"/>
          <w:szCs w:val="20"/>
          <w:lang w:val="es"/>
        </w:rPr>
        <w:t>presenta</w:t>
      </w:r>
      <w:r w:rsidRPr="0008317C">
        <w:rPr>
          <w:rFonts w:ascii="Cambria" w:hAnsi="Cambria"/>
          <w:sz w:val="20"/>
          <w:szCs w:val="20"/>
          <w:lang w:val="es"/>
        </w:rPr>
        <w:t xml:space="preserve"> hechos que caractericen violaciones de la Declaración Americana conforme al artículo 34(a) del Reglamento</w:t>
      </w:r>
      <w:r w:rsidR="00C003F0" w:rsidRPr="0008317C">
        <w:rPr>
          <w:rFonts w:ascii="Cambria" w:hAnsi="Cambria"/>
          <w:sz w:val="20"/>
          <w:szCs w:val="20"/>
          <w:lang w:val="es"/>
        </w:rPr>
        <w:t xml:space="preserve"> de la Comisión</w:t>
      </w:r>
      <w:r w:rsidRPr="0008317C">
        <w:rPr>
          <w:rFonts w:ascii="Cambria" w:hAnsi="Cambria"/>
          <w:sz w:val="20"/>
          <w:szCs w:val="20"/>
          <w:lang w:val="es"/>
        </w:rPr>
        <w:t xml:space="preserve">. El Estado sostiene que las presuntas víctimas son elegibles para participar en el Programa y que para ser elegibles no necesitan probar que han mitigado los motivos de su encarcelación, puesto que la clave </w:t>
      </w:r>
      <w:r w:rsidR="00A04016" w:rsidRPr="0008317C">
        <w:rPr>
          <w:rFonts w:ascii="Cambria" w:hAnsi="Cambria"/>
          <w:sz w:val="20"/>
          <w:szCs w:val="20"/>
          <w:lang w:val="es"/>
        </w:rPr>
        <w:t>reside</w:t>
      </w:r>
      <w:r w:rsidRPr="0008317C">
        <w:rPr>
          <w:rFonts w:ascii="Cambria" w:hAnsi="Cambria"/>
          <w:sz w:val="20"/>
          <w:szCs w:val="20"/>
          <w:lang w:val="es"/>
        </w:rPr>
        <w:t xml:space="preserve"> en que el recluso pueda desenvolverse de </w:t>
      </w:r>
      <w:r w:rsidR="00A04016" w:rsidRPr="0008317C">
        <w:rPr>
          <w:rFonts w:ascii="Cambria" w:hAnsi="Cambria"/>
          <w:sz w:val="20"/>
          <w:szCs w:val="20"/>
          <w:lang w:val="es"/>
        </w:rPr>
        <w:t>manera</w:t>
      </w:r>
      <w:r w:rsidRPr="0008317C">
        <w:rPr>
          <w:rFonts w:ascii="Cambria" w:hAnsi="Cambria"/>
          <w:sz w:val="20"/>
          <w:szCs w:val="20"/>
          <w:lang w:val="es"/>
        </w:rPr>
        <w:t xml:space="preserve"> segura en una unidad </w:t>
      </w:r>
      <w:r w:rsidR="00A04016" w:rsidRPr="0008317C">
        <w:rPr>
          <w:rFonts w:ascii="Cambria" w:hAnsi="Cambria"/>
          <w:sz w:val="20"/>
          <w:szCs w:val="20"/>
          <w:lang w:val="es"/>
        </w:rPr>
        <w:t>con menos restricciones</w:t>
      </w:r>
      <w:r w:rsidRPr="0008317C">
        <w:rPr>
          <w:rFonts w:ascii="Cambria" w:hAnsi="Cambria"/>
          <w:sz w:val="20"/>
          <w:szCs w:val="20"/>
          <w:lang w:val="es"/>
        </w:rPr>
        <w:t xml:space="preserve"> sin ser una amenaza a la seguridad. El Estado señala que</w:t>
      </w:r>
      <w:r w:rsidR="00A04016" w:rsidRPr="0008317C">
        <w:rPr>
          <w:rFonts w:ascii="Cambria" w:hAnsi="Cambria"/>
          <w:sz w:val="20"/>
          <w:szCs w:val="20"/>
          <w:lang w:val="es"/>
        </w:rPr>
        <w:t>,</w:t>
      </w:r>
      <w:r w:rsidRPr="0008317C">
        <w:rPr>
          <w:rFonts w:ascii="Cambria" w:hAnsi="Cambria"/>
          <w:sz w:val="20"/>
          <w:szCs w:val="20"/>
          <w:lang w:val="es"/>
        </w:rPr>
        <w:t xml:space="preserve"> de las 23 presuntas víctimas en algún momento vinculadas con la petición, 12 fueron </w:t>
      </w:r>
      <w:r w:rsidR="00A04016" w:rsidRPr="0008317C">
        <w:rPr>
          <w:rFonts w:ascii="Cambria" w:hAnsi="Cambria"/>
          <w:sz w:val="20"/>
          <w:szCs w:val="20"/>
          <w:lang w:val="es"/>
        </w:rPr>
        <w:t>retiradas de</w:t>
      </w:r>
      <w:r w:rsidRPr="0008317C">
        <w:rPr>
          <w:rFonts w:ascii="Cambria" w:hAnsi="Cambria"/>
          <w:sz w:val="20"/>
          <w:szCs w:val="20"/>
          <w:lang w:val="es"/>
        </w:rPr>
        <w:t xml:space="preserve"> ADX, entre ellos individuos encarcelados por delitos vinculados al terrorismo. Además, el Estado aduce que la petición no </w:t>
      </w:r>
      <w:r w:rsidR="00627950">
        <w:rPr>
          <w:rFonts w:ascii="Cambria" w:hAnsi="Cambria"/>
          <w:sz w:val="20"/>
          <w:szCs w:val="20"/>
          <w:lang w:val="es"/>
        </w:rPr>
        <w:t>menciona</w:t>
      </w:r>
      <w:r w:rsidRPr="0008317C">
        <w:rPr>
          <w:rFonts w:ascii="Cambria" w:hAnsi="Cambria"/>
          <w:sz w:val="20"/>
          <w:szCs w:val="20"/>
          <w:lang w:val="es"/>
        </w:rPr>
        <w:t xml:space="preserve"> hechos que caractericen violaciones </w:t>
      </w:r>
      <w:r w:rsidR="00A04016" w:rsidRPr="0008317C">
        <w:rPr>
          <w:rFonts w:ascii="Cambria" w:hAnsi="Cambria"/>
          <w:sz w:val="20"/>
          <w:szCs w:val="20"/>
          <w:lang w:val="es"/>
        </w:rPr>
        <w:t>por</w:t>
      </w:r>
      <w:r w:rsidRPr="0008317C">
        <w:rPr>
          <w:rFonts w:ascii="Cambria" w:hAnsi="Cambria"/>
          <w:sz w:val="20"/>
          <w:szCs w:val="20"/>
          <w:lang w:val="es"/>
        </w:rPr>
        <w:t xml:space="preserve"> las condiciones de </w:t>
      </w:r>
      <w:r w:rsidR="00627950">
        <w:rPr>
          <w:rFonts w:ascii="Cambria" w:hAnsi="Cambria"/>
          <w:sz w:val="20"/>
          <w:szCs w:val="20"/>
          <w:lang w:val="es"/>
        </w:rPr>
        <w:t>confinamiento</w:t>
      </w:r>
      <w:r w:rsidRPr="0008317C">
        <w:rPr>
          <w:rFonts w:ascii="Cambria" w:hAnsi="Cambria"/>
          <w:sz w:val="20"/>
          <w:szCs w:val="20"/>
          <w:lang w:val="es"/>
        </w:rPr>
        <w:t xml:space="preserve">, </w:t>
      </w:r>
      <w:r w:rsidR="00A04016" w:rsidRPr="0008317C">
        <w:rPr>
          <w:rFonts w:ascii="Cambria" w:hAnsi="Cambria"/>
          <w:sz w:val="20"/>
          <w:szCs w:val="20"/>
          <w:lang w:val="es"/>
        </w:rPr>
        <w:t>incluidas</w:t>
      </w:r>
      <w:r w:rsidRPr="0008317C">
        <w:rPr>
          <w:rFonts w:ascii="Cambria" w:hAnsi="Cambria"/>
          <w:sz w:val="20"/>
          <w:szCs w:val="20"/>
          <w:lang w:val="es"/>
        </w:rPr>
        <w:t xml:space="preserve"> las oportunidades de recreación y las interacciones sociales</w:t>
      </w:r>
      <w:r w:rsidRPr="0008317C">
        <w:rPr>
          <w:rStyle w:val="FootnoteReference"/>
          <w:rFonts w:ascii="Cambria" w:hAnsi="Cambria"/>
          <w:sz w:val="20"/>
          <w:szCs w:val="20"/>
          <w:lang w:val="es"/>
        </w:rPr>
        <w:footnoteReference w:id="16"/>
      </w:r>
      <w:r w:rsidRPr="0008317C">
        <w:rPr>
          <w:rFonts w:ascii="Cambria" w:hAnsi="Cambria"/>
          <w:sz w:val="20"/>
          <w:szCs w:val="20"/>
          <w:lang w:val="es"/>
        </w:rPr>
        <w:t xml:space="preserve">, o del servicio de cuidado de la salud mental </w:t>
      </w:r>
      <w:r w:rsidR="00A04016" w:rsidRPr="0008317C">
        <w:rPr>
          <w:rFonts w:ascii="Cambria" w:hAnsi="Cambria"/>
          <w:sz w:val="20"/>
          <w:szCs w:val="20"/>
          <w:lang w:val="es"/>
        </w:rPr>
        <w:t>que se brinda</w:t>
      </w:r>
      <w:r w:rsidRPr="0008317C">
        <w:rPr>
          <w:rFonts w:ascii="Cambria" w:hAnsi="Cambria"/>
          <w:sz w:val="20"/>
          <w:szCs w:val="20"/>
          <w:lang w:val="es"/>
        </w:rPr>
        <w:t xml:space="preserve"> </w:t>
      </w:r>
      <w:r w:rsidR="00A04016" w:rsidRPr="0008317C">
        <w:rPr>
          <w:rFonts w:ascii="Cambria" w:hAnsi="Cambria"/>
          <w:sz w:val="20"/>
          <w:szCs w:val="20"/>
          <w:lang w:val="es"/>
        </w:rPr>
        <w:t>a</w:t>
      </w:r>
      <w:r w:rsidRPr="0008317C">
        <w:rPr>
          <w:rFonts w:ascii="Cambria" w:hAnsi="Cambria"/>
          <w:sz w:val="20"/>
          <w:szCs w:val="20"/>
          <w:lang w:val="es"/>
        </w:rPr>
        <w:t xml:space="preserve"> los reclusos</w:t>
      </w:r>
      <w:r w:rsidRPr="0008317C">
        <w:rPr>
          <w:rStyle w:val="FootnoteReference"/>
          <w:rFonts w:ascii="Cambria" w:hAnsi="Cambria"/>
          <w:sz w:val="20"/>
          <w:szCs w:val="20"/>
          <w:lang w:val="es"/>
        </w:rPr>
        <w:footnoteReference w:id="17"/>
      </w:r>
      <w:r w:rsidRPr="0008317C">
        <w:rPr>
          <w:rFonts w:ascii="Cambria" w:hAnsi="Cambria"/>
          <w:sz w:val="20"/>
          <w:szCs w:val="20"/>
          <w:lang w:val="es"/>
        </w:rPr>
        <w:t>.</w:t>
      </w:r>
    </w:p>
    <w:p w14:paraId="78440654" w14:textId="77777777" w:rsidR="006A273D" w:rsidRPr="0008317C" w:rsidRDefault="006A273D" w:rsidP="006A273D">
      <w:pPr>
        <w:spacing w:before="120" w:after="120"/>
        <w:ind w:firstLine="720"/>
        <w:jc w:val="both"/>
        <w:rPr>
          <w:rFonts w:ascii="Cambria" w:hAnsi="Cambria"/>
          <w:sz w:val="20"/>
          <w:szCs w:val="20"/>
          <w:lang w:val="es-ES"/>
        </w:rPr>
      </w:pPr>
      <w:r w:rsidRPr="0008317C">
        <w:rPr>
          <w:rFonts w:asciiTheme="majorHAnsi" w:hAnsiTheme="majorHAnsi"/>
          <w:b/>
          <w:bCs/>
          <w:sz w:val="20"/>
          <w:szCs w:val="20"/>
          <w:u w:color="000000"/>
          <w:lang w:val="es"/>
        </w:rPr>
        <w:t>VI.</w:t>
      </w:r>
      <w:r w:rsidRPr="0008317C">
        <w:rPr>
          <w:rFonts w:asciiTheme="majorHAnsi" w:hAnsiTheme="majorHAnsi"/>
          <w:b/>
          <w:bCs/>
          <w:sz w:val="20"/>
          <w:szCs w:val="20"/>
          <w:u w:color="000000"/>
          <w:lang w:val="es"/>
        </w:rPr>
        <w:tab/>
      </w:r>
      <w:r w:rsidRPr="0008317C">
        <w:rPr>
          <w:rFonts w:asciiTheme="majorHAnsi" w:hAnsiTheme="majorHAnsi"/>
          <w:b/>
          <w:bCs/>
          <w:sz w:val="20"/>
          <w:szCs w:val="20"/>
          <w:lang w:val="es"/>
        </w:rPr>
        <w:t>AGOTAMIENTO DE LOS RECURSOS INTERNOS Y PLAZO DE PRESENTACIÓN</w:t>
      </w:r>
      <w:r w:rsidRPr="0008317C">
        <w:rPr>
          <w:rFonts w:asciiTheme="majorHAnsi" w:hAnsiTheme="majorHAnsi"/>
          <w:b/>
          <w:bCs/>
          <w:sz w:val="20"/>
          <w:szCs w:val="20"/>
          <w:u w:color="000000"/>
          <w:lang w:val="es"/>
        </w:rPr>
        <w:t xml:space="preserve"> </w:t>
      </w:r>
    </w:p>
    <w:p w14:paraId="64B3CAA3" w14:textId="0FB7DAE5" w:rsidR="006A273D" w:rsidRPr="0008317C" w:rsidRDefault="006A273D" w:rsidP="002114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Cambria" w:hAnsi="Cambria"/>
          <w:sz w:val="20"/>
          <w:szCs w:val="20"/>
          <w:lang w:val="es"/>
        </w:rPr>
        <w:t xml:space="preserve">La Comisión observa que la petición alega que los recursos administrativos existentes que permiten a las presuntas víctimas </w:t>
      </w:r>
      <w:r w:rsidR="000B7CF6" w:rsidRPr="0008317C">
        <w:rPr>
          <w:rFonts w:ascii="Cambria" w:hAnsi="Cambria"/>
          <w:sz w:val="20"/>
          <w:szCs w:val="20"/>
          <w:lang w:val="es"/>
        </w:rPr>
        <w:t>presentar</w:t>
      </w:r>
      <w:r w:rsidRPr="0008317C">
        <w:rPr>
          <w:rFonts w:ascii="Cambria" w:hAnsi="Cambria"/>
          <w:sz w:val="20"/>
          <w:szCs w:val="20"/>
          <w:lang w:val="es"/>
        </w:rPr>
        <w:t xml:space="preserve"> agravios relacionados con las condiciones carcelarias no garantizan el debido proceso y que se observaron prácticas parciales y discriminatorias. </w:t>
      </w:r>
      <w:r w:rsidR="00211457" w:rsidRPr="00211457">
        <w:rPr>
          <w:rFonts w:ascii="Cambria" w:hAnsi="Cambria"/>
          <w:sz w:val="20"/>
          <w:szCs w:val="20"/>
          <w:lang w:val="es"/>
        </w:rPr>
        <w:t xml:space="preserve">También señala la tasa </w:t>
      </w:r>
      <w:r w:rsidR="00211457" w:rsidRPr="00211457">
        <w:rPr>
          <w:rFonts w:ascii="Cambria" w:hAnsi="Cambria"/>
          <w:sz w:val="20"/>
          <w:szCs w:val="20"/>
          <w:lang w:val="es"/>
        </w:rPr>
        <w:lastRenderedPageBreak/>
        <w:t xml:space="preserve">de éxito extremadamente baja de los recursos administrativos presentados por los reclusos en ADX Florence. Además, el peticionario alega temor a represalias </w:t>
      </w:r>
      <w:r w:rsidR="00211457" w:rsidRPr="0008317C">
        <w:rPr>
          <w:rFonts w:ascii="Cambria" w:hAnsi="Cambria"/>
          <w:sz w:val="20"/>
          <w:szCs w:val="20"/>
          <w:lang w:val="es"/>
        </w:rPr>
        <w:t>el temor a las represalias por la interposición de recursos</w:t>
      </w:r>
      <w:r w:rsidR="00211457" w:rsidRPr="00211457">
        <w:rPr>
          <w:rFonts w:ascii="Cambria" w:hAnsi="Cambria"/>
          <w:sz w:val="20"/>
          <w:szCs w:val="20"/>
          <w:lang w:val="es"/>
        </w:rPr>
        <w:t xml:space="preserve"> y denuncia que se otorga una gran discreción al alcaide de la prisión. Además, el peticionario indica que los procedimientos de ADX contemplan un mínimo de 36 meses para que un interno progrese con éxito a través del programa Step-Down y </w:t>
      </w:r>
      <w:r w:rsidR="00211457">
        <w:rPr>
          <w:rFonts w:ascii="Cambria" w:hAnsi="Cambria"/>
          <w:sz w:val="20"/>
          <w:szCs w:val="20"/>
          <w:lang w:val="es"/>
        </w:rPr>
        <w:t>salga de</w:t>
      </w:r>
      <w:r w:rsidR="00211457" w:rsidRPr="00211457">
        <w:rPr>
          <w:rFonts w:ascii="Cambria" w:hAnsi="Cambria"/>
          <w:sz w:val="20"/>
          <w:szCs w:val="20"/>
          <w:lang w:val="es"/>
        </w:rPr>
        <w:t xml:space="preserve"> ADX, con un mínimo de doce meses en confinamiento solitario. Finalmente, el peticionario sostiene que algunos de los criterios aplicados en tales remedios imponen una carga</w:t>
      </w:r>
      <w:r w:rsidR="00211457">
        <w:rPr>
          <w:rFonts w:ascii="Cambria" w:hAnsi="Cambria"/>
          <w:sz w:val="20"/>
          <w:szCs w:val="20"/>
          <w:lang w:val="es"/>
        </w:rPr>
        <w:t xml:space="preserve"> </w:t>
      </w:r>
      <w:r w:rsidR="00144437">
        <w:rPr>
          <w:rFonts w:ascii="Cambria" w:hAnsi="Cambria"/>
          <w:sz w:val="20"/>
          <w:szCs w:val="20"/>
          <w:lang w:val="es"/>
        </w:rPr>
        <w:t>demasiada</w:t>
      </w:r>
      <w:r w:rsidR="00211457">
        <w:rPr>
          <w:rFonts w:ascii="Cambria" w:hAnsi="Cambria"/>
          <w:sz w:val="20"/>
          <w:szCs w:val="20"/>
          <w:lang w:val="es"/>
        </w:rPr>
        <w:t xml:space="preserve"> grande</w:t>
      </w:r>
      <w:r w:rsidR="00211457" w:rsidRPr="00211457">
        <w:rPr>
          <w:rFonts w:ascii="Cambria" w:hAnsi="Cambria"/>
          <w:sz w:val="20"/>
          <w:szCs w:val="20"/>
          <w:lang w:val="es"/>
        </w:rPr>
        <w:t xml:space="preserve"> a los reclusos.</w:t>
      </w:r>
      <w:r w:rsidRPr="0008317C">
        <w:rPr>
          <w:rFonts w:ascii="Cambria" w:hAnsi="Cambria"/>
          <w:sz w:val="20"/>
          <w:szCs w:val="20"/>
          <w:lang w:val="es"/>
        </w:rPr>
        <w:t xml:space="preserve"> La Comisión considera que</w:t>
      </w:r>
      <w:r w:rsidR="000B7CF6" w:rsidRPr="0008317C">
        <w:rPr>
          <w:rFonts w:ascii="Cambria" w:hAnsi="Cambria"/>
          <w:sz w:val="20"/>
          <w:szCs w:val="20"/>
          <w:lang w:val="es"/>
        </w:rPr>
        <w:t>,</w:t>
      </w:r>
      <w:r w:rsidRPr="0008317C">
        <w:rPr>
          <w:rFonts w:ascii="Cambria" w:hAnsi="Cambria"/>
          <w:sz w:val="20"/>
          <w:szCs w:val="20"/>
          <w:lang w:val="es"/>
        </w:rPr>
        <w:t xml:space="preserve"> teniendo en cuenta los elementos disponibles y los alegatos de las partes, dichos recursos no </w:t>
      </w:r>
      <w:r w:rsidR="000B7CF6" w:rsidRPr="0008317C">
        <w:rPr>
          <w:rFonts w:ascii="Cambria" w:hAnsi="Cambria"/>
          <w:sz w:val="20"/>
          <w:szCs w:val="20"/>
          <w:lang w:val="es"/>
        </w:rPr>
        <w:t>garantizan,</w:t>
      </w:r>
      <w:r w:rsidRPr="0008317C">
        <w:rPr>
          <w:rFonts w:ascii="Cambria" w:hAnsi="Cambria"/>
          <w:sz w:val="20"/>
          <w:szCs w:val="20"/>
          <w:lang w:val="es"/>
        </w:rPr>
        <w:t xml:space="preserve"> </w:t>
      </w:r>
      <w:r w:rsidRPr="0008317C">
        <w:rPr>
          <w:rFonts w:ascii="Cambria" w:hAnsi="Cambria"/>
          <w:i/>
          <w:iCs/>
          <w:sz w:val="20"/>
          <w:szCs w:val="20"/>
          <w:lang w:val="es"/>
        </w:rPr>
        <w:t>prima facie</w:t>
      </w:r>
      <w:r w:rsidR="000B7CF6" w:rsidRPr="0008317C">
        <w:rPr>
          <w:rFonts w:ascii="Cambria" w:hAnsi="Cambria"/>
          <w:sz w:val="20"/>
          <w:szCs w:val="20"/>
          <w:lang w:val="es"/>
        </w:rPr>
        <w:t>, el</w:t>
      </w:r>
      <w:r w:rsidRPr="0008317C">
        <w:rPr>
          <w:rFonts w:ascii="Cambria" w:hAnsi="Cambria"/>
          <w:sz w:val="20"/>
          <w:szCs w:val="20"/>
          <w:lang w:val="es"/>
        </w:rPr>
        <w:t xml:space="preserve"> debido proceso </w:t>
      </w:r>
      <w:r w:rsidR="000B7CF6" w:rsidRPr="0008317C">
        <w:rPr>
          <w:rFonts w:ascii="Cambria" w:hAnsi="Cambria"/>
          <w:sz w:val="20"/>
          <w:szCs w:val="20"/>
          <w:lang w:val="es"/>
        </w:rPr>
        <w:t>para</w:t>
      </w:r>
      <w:r w:rsidRPr="0008317C">
        <w:rPr>
          <w:rFonts w:ascii="Cambria" w:hAnsi="Cambria"/>
          <w:sz w:val="20"/>
          <w:szCs w:val="20"/>
          <w:lang w:val="es"/>
        </w:rPr>
        <w:t xml:space="preserve"> las presuntas víctimas. Por lo tanto, la Comisión concluye que en este caso </w:t>
      </w:r>
      <w:r w:rsidR="000B7CF6" w:rsidRPr="0008317C">
        <w:rPr>
          <w:rFonts w:ascii="Cambria" w:hAnsi="Cambria"/>
          <w:sz w:val="20"/>
          <w:szCs w:val="20"/>
          <w:lang w:val="es"/>
        </w:rPr>
        <w:t>corresponde aplicar</w:t>
      </w:r>
      <w:r w:rsidRPr="0008317C">
        <w:rPr>
          <w:rFonts w:ascii="Cambria" w:hAnsi="Cambria"/>
          <w:sz w:val="20"/>
          <w:szCs w:val="20"/>
          <w:lang w:val="es"/>
        </w:rPr>
        <w:t xml:space="preserve"> la excepción que figura en el artículo 31(2)(a) de su Reglamento. En este sentido, la CIDH nota que la supuesta falta de debido proceso deberá analizarse, en lo pertinente, en el informe que adopte la Comisión sobre el fondo, a fin de constatar si efectivamente se configuran violaciones a la Convención.</w:t>
      </w:r>
    </w:p>
    <w:p w14:paraId="6071AE72" w14:textId="054E6624" w:rsidR="006A273D" w:rsidRPr="0008317C" w:rsidRDefault="006A273D"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Cambria" w:hAnsi="Cambria"/>
          <w:sz w:val="20"/>
          <w:szCs w:val="20"/>
          <w:lang w:val="es"/>
        </w:rPr>
        <w:t xml:space="preserve">Respecto de los recursos en la vía civil para </w:t>
      </w:r>
      <w:r w:rsidR="00A36DCF" w:rsidRPr="0008317C">
        <w:rPr>
          <w:rFonts w:ascii="Cambria" w:hAnsi="Cambria"/>
          <w:sz w:val="20"/>
          <w:szCs w:val="20"/>
          <w:lang w:val="es"/>
        </w:rPr>
        <w:t>reclamar por</w:t>
      </w:r>
      <w:r w:rsidRPr="0008317C">
        <w:rPr>
          <w:rFonts w:ascii="Cambria" w:hAnsi="Cambria"/>
          <w:sz w:val="20"/>
          <w:szCs w:val="20"/>
          <w:lang w:val="es"/>
        </w:rPr>
        <w:t xml:space="preserve"> las condiciones de detención de las presuntas víctimas, la Comisión considera que las peticiones referidas a cuestiones legales de la naturaleza de</w:t>
      </w:r>
      <w:r w:rsidR="000B7CF6" w:rsidRPr="0008317C">
        <w:rPr>
          <w:rFonts w:ascii="Cambria" w:hAnsi="Cambria"/>
          <w:sz w:val="20"/>
          <w:szCs w:val="20"/>
          <w:lang w:val="es"/>
        </w:rPr>
        <w:t xml:space="preserve"> las</w:t>
      </w:r>
      <w:r w:rsidRPr="0008317C">
        <w:rPr>
          <w:rFonts w:ascii="Cambria" w:hAnsi="Cambria"/>
          <w:sz w:val="20"/>
          <w:szCs w:val="20"/>
          <w:lang w:val="es"/>
        </w:rPr>
        <w:t xml:space="preserve"> </w:t>
      </w:r>
      <w:r w:rsidR="000B7CF6" w:rsidRPr="0008317C">
        <w:rPr>
          <w:rFonts w:ascii="Cambria" w:hAnsi="Cambria"/>
          <w:sz w:val="20"/>
          <w:szCs w:val="20"/>
          <w:lang w:val="es"/>
        </w:rPr>
        <w:t>incluidas</w:t>
      </w:r>
      <w:r w:rsidRPr="0008317C">
        <w:rPr>
          <w:rFonts w:ascii="Cambria" w:hAnsi="Cambria"/>
          <w:sz w:val="20"/>
          <w:szCs w:val="20"/>
          <w:lang w:val="es"/>
        </w:rPr>
        <w:t xml:space="preserve"> </w:t>
      </w:r>
      <w:r w:rsidR="000B7CF6" w:rsidRPr="0008317C">
        <w:rPr>
          <w:rFonts w:ascii="Cambria" w:hAnsi="Cambria"/>
          <w:sz w:val="20"/>
          <w:szCs w:val="20"/>
          <w:lang w:val="es"/>
        </w:rPr>
        <w:t xml:space="preserve">en la </w:t>
      </w:r>
      <w:r w:rsidRPr="0008317C">
        <w:rPr>
          <w:rFonts w:ascii="Cambria" w:hAnsi="Cambria"/>
          <w:sz w:val="20"/>
          <w:szCs w:val="20"/>
          <w:lang w:val="es"/>
        </w:rPr>
        <w:t>presente petición, como el derecho al debido proceso, el derecho a la integridad persona</w:t>
      </w:r>
      <w:r w:rsidR="000B7CF6" w:rsidRPr="0008317C">
        <w:rPr>
          <w:rFonts w:ascii="Cambria" w:hAnsi="Cambria"/>
          <w:sz w:val="20"/>
          <w:szCs w:val="20"/>
          <w:lang w:val="es"/>
        </w:rPr>
        <w:t>l</w:t>
      </w:r>
      <w:r w:rsidRPr="0008317C">
        <w:rPr>
          <w:rFonts w:ascii="Cambria" w:hAnsi="Cambria"/>
          <w:sz w:val="20"/>
          <w:szCs w:val="20"/>
          <w:lang w:val="es"/>
        </w:rPr>
        <w:t xml:space="preserve"> y las condiciones de reclusión, son de una complejidad procesal y sustantiva tal que</w:t>
      </w:r>
      <w:r w:rsidR="00CD61B6" w:rsidRPr="0008317C">
        <w:rPr>
          <w:rFonts w:ascii="Cambria" w:hAnsi="Cambria"/>
          <w:sz w:val="20"/>
          <w:szCs w:val="20"/>
          <w:lang w:val="es"/>
        </w:rPr>
        <w:t xml:space="preserve"> un recluso</w:t>
      </w:r>
      <w:r w:rsidRPr="0008317C">
        <w:rPr>
          <w:rFonts w:ascii="Cambria" w:hAnsi="Cambria"/>
          <w:sz w:val="20"/>
          <w:szCs w:val="20"/>
          <w:lang w:val="es"/>
        </w:rPr>
        <w:t xml:space="preserve"> no</w:t>
      </w:r>
      <w:r w:rsidR="00CD61B6" w:rsidRPr="0008317C">
        <w:rPr>
          <w:rFonts w:ascii="Cambria" w:hAnsi="Cambria"/>
          <w:sz w:val="20"/>
          <w:szCs w:val="20"/>
          <w:lang w:val="es"/>
        </w:rPr>
        <w:t xml:space="preserve"> l</w:t>
      </w:r>
      <w:r w:rsidR="00BF3D92">
        <w:rPr>
          <w:rFonts w:ascii="Cambria" w:hAnsi="Cambria"/>
          <w:sz w:val="20"/>
          <w:szCs w:val="20"/>
          <w:lang w:val="es"/>
        </w:rPr>
        <w:t>a</w:t>
      </w:r>
      <w:r w:rsidR="00CD61B6" w:rsidRPr="0008317C">
        <w:rPr>
          <w:rFonts w:ascii="Cambria" w:hAnsi="Cambria"/>
          <w:sz w:val="20"/>
          <w:szCs w:val="20"/>
          <w:lang w:val="es"/>
        </w:rPr>
        <w:t>s</w:t>
      </w:r>
      <w:r w:rsidRPr="0008317C">
        <w:rPr>
          <w:rFonts w:ascii="Cambria" w:hAnsi="Cambria"/>
          <w:sz w:val="20"/>
          <w:szCs w:val="20"/>
          <w:lang w:val="es"/>
        </w:rPr>
        <w:t xml:space="preserve"> puede interponer o presentar sin </w:t>
      </w:r>
      <w:r w:rsidR="00BF3D92">
        <w:rPr>
          <w:rFonts w:ascii="Cambria" w:hAnsi="Cambria"/>
          <w:sz w:val="20"/>
          <w:szCs w:val="20"/>
          <w:lang w:val="es"/>
        </w:rPr>
        <w:t>la asistencia de</w:t>
      </w:r>
      <w:r w:rsidRPr="0008317C">
        <w:rPr>
          <w:rFonts w:ascii="Cambria" w:hAnsi="Cambria"/>
          <w:sz w:val="20"/>
          <w:szCs w:val="20"/>
          <w:lang w:val="es"/>
        </w:rPr>
        <w:t xml:space="preserve"> un representante legal</w:t>
      </w:r>
      <w:r w:rsidRPr="0008317C">
        <w:rPr>
          <w:rStyle w:val="FootnoteReference"/>
          <w:rFonts w:ascii="Cambria" w:hAnsi="Cambria"/>
          <w:sz w:val="20"/>
          <w:szCs w:val="20"/>
          <w:lang w:val="es"/>
        </w:rPr>
        <w:footnoteReference w:id="18"/>
      </w:r>
      <w:r w:rsidRPr="0008317C">
        <w:rPr>
          <w:rFonts w:ascii="Cambria" w:hAnsi="Cambria"/>
          <w:sz w:val="20"/>
          <w:szCs w:val="20"/>
          <w:lang w:val="es"/>
        </w:rPr>
        <w:t>. Teniendo en cuenta la información disponible, la Comisión considera que la falta de disponibilidad de asistencia legal estatal para las presuntas víctimas, pese a su situación de indigencia, en el contexto de una demanda constitucional</w:t>
      </w:r>
      <w:r w:rsidR="00144437">
        <w:rPr>
          <w:rFonts w:ascii="Cambria" w:hAnsi="Cambria"/>
          <w:sz w:val="20"/>
          <w:szCs w:val="20"/>
          <w:lang w:val="es"/>
        </w:rPr>
        <w:t>,</w:t>
      </w:r>
      <w:r w:rsidRPr="0008317C">
        <w:rPr>
          <w:rFonts w:ascii="Cambria" w:hAnsi="Cambria"/>
          <w:sz w:val="20"/>
          <w:szCs w:val="20"/>
          <w:lang w:val="es"/>
        </w:rPr>
        <w:t xml:space="preserve"> habría impedido, </w:t>
      </w:r>
      <w:r w:rsidRPr="0008317C">
        <w:rPr>
          <w:rFonts w:ascii="Cambria" w:hAnsi="Cambria"/>
          <w:i/>
          <w:iCs/>
          <w:sz w:val="20"/>
          <w:szCs w:val="20"/>
          <w:lang w:val="es"/>
        </w:rPr>
        <w:t>prima facie</w:t>
      </w:r>
      <w:r w:rsidRPr="0008317C">
        <w:rPr>
          <w:rFonts w:ascii="Cambria" w:hAnsi="Cambria"/>
          <w:sz w:val="20"/>
          <w:szCs w:val="20"/>
          <w:lang w:val="es"/>
        </w:rPr>
        <w:t xml:space="preserve">, a los peticionarios agotar los recursos judiciales internos respecto de este proceso y que, por lo tanto, en este caso </w:t>
      </w:r>
      <w:r w:rsidR="00C036C6" w:rsidRPr="0008317C">
        <w:rPr>
          <w:rFonts w:ascii="Cambria" w:hAnsi="Cambria"/>
          <w:sz w:val="20"/>
          <w:szCs w:val="20"/>
          <w:lang w:val="es"/>
        </w:rPr>
        <w:t>se debe</w:t>
      </w:r>
      <w:r w:rsidRPr="0008317C">
        <w:rPr>
          <w:rFonts w:ascii="Cambria" w:hAnsi="Cambria"/>
          <w:sz w:val="20"/>
          <w:szCs w:val="20"/>
          <w:lang w:val="es"/>
        </w:rPr>
        <w:t xml:space="preserve"> aplicar la excepción al agotamiento de los recursos internos establecida en el artículo 31(2)(b) del Reglamento.</w:t>
      </w:r>
    </w:p>
    <w:p w14:paraId="043E4673" w14:textId="2A2D4E40" w:rsidR="006A273D" w:rsidRPr="0008317C" w:rsidRDefault="006A273D"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Cambria" w:hAnsi="Cambria"/>
          <w:sz w:val="20"/>
          <w:szCs w:val="20"/>
          <w:lang w:val="es"/>
        </w:rPr>
        <w:t>En vista del contexto y las características del presente caso y del carácter continuado de las violaciones alegadas, la Comisión considera que la petición fue presentada en</w:t>
      </w:r>
      <w:r w:rsidR="00C036C6" w:rsidRPr="0008317C">
        <w:rPr>
          <w:rFonts w:ascii="Cambria" w:hAnsi="Cambria"/>
          <w:sz w:val="20"/>
          <w:szCs w:val="20"/>
          <w:lang w:val="es"/>
        </w:rPr>
        <w:t xml:space="preserve"> un</w:t>
      </w:r>
      <w:r w:rsidRPr="0008317C">
        <w:rPr>
          <w:rFonts w:ascii="Cambria" w:hAnsi="Cambria"/>
          <w:sz w:val="20"/>
          <w:szCs w:val="20"/>
          <w:lang w:val="es"/>
        </w:rPr>
        <w:t xml:space="preserve"> </w:t>
      </w:r>
      <w:r w:rsidR="00C036C6" w:rsidRPr="0008317C">
        <w:rPr>
          <w:rFonts w:ascii="Cambria" w:hAnsi="Cambria"/>
          <w:sz w:val="20"/>
          <w:szCs w:val="20"/>
          <w:lang w:val="es"/>
        </w:rPr>
        <w:t>plazo</w:t>
      </w:r>
      <w:r w:rsidRPr="0008317C">
        <w:rPr>
          <w:rFonts w:ascii="Cambria" w:hAnsi="Cambria"/>
          <w:sz w:val="20"/>
          <w:szCs w:val="20"/>
          <w:lang w:val="es"/>
        </w:rPr>
        <w:t xml:space="preserve"> razonable y que, por ende, </w:t>
      </w:r>
      <w:r w:rsidR="00CD61B6" w:rsidRPr="0008317C">
        <w:rPr>
          <w:rFonts w:ascii="Cambria" w:hAnsi="Cambria"/>
          <w:sz w:val="20"/>
          <w:szCs w:val="20"/>
          <w:lang w:val="es"/>
        </w:rPr>
        <w:t>satisface</w:t>
      </w:r>
      <w:r w:rsidR="00C036C6" w:rsidRPr="0008317C">
        <w:rPr>
          <w:rFonts w:ascii="Cambria" w:hAnsi="Cambria"/>
          <w:sz w:val="20"/>
          <w:szCs w:val="20"/>
          <w:lang w:val="es"/>
        </w:rPr>
        <w:t xml:space="preserve"> </w:t>
      </w:r>
      <w:r w:rsidRPr="0008317C">
        <w:rPr>
          <w:rFonts w:ascii="Cambria" w:hAnsi="Cambria"/>
          <w:sz w:val="20"/>
          <w:szCs w:val="20"/>
          <w:lang w:val="es"/>
        </w:rPr>
        <w:t>el requisito de admisibilidad.</w:t>
      </w:r>
      <w:r w:rsidR="00C036C6" w:rsidRPr="0008317C">
        <w:rPr>
          <w:rFonts w:ascii="Cambria" w:hAnsi="Cambria"/>
          <w:sz w:val="20"/>
          <w:szCs w:val="20"/>
          <w:lang w:val="es"/>
        </w:rPr>
        <w:t xml:space="preserve"> </w:t>
      </w:r>
    </w:p>
    <w:p w14:paraId="642166FE" w14:textId="77777777" w:rsidR="006A273D" w:rsidRPr="0008317C" w:rsidRDefault="006A273D" w:rsidP="006A273D">
      <w:pPr>
        <w:pStyle w:val="ListParagraph"/>
        <w:spacing w:before="120" w:after="120"/>
        <w:jc w:val="both"/>
        <w:rPr>
          <w:rFonts w:asciiTheme="majorHAnsi" w:hAnsiTheme="majorHAnsi"/>
          <w:b/>
          <w:color w:val="auto"/>
          <w:sz w:val="20"/>
          <w:szCs w:val="20"/>
          <w:lang w:val="es-ES"/>
        </w:rPr>
      </w:pPr>
      <w:r w:rsidRPr="0008317C">
        <w:rPr>
          <w:rFonts w:asciiTheme="majorHAnsi" w:hAnsiTheme="majorHAnsi"/>
          <w:b/>
          <w:bCs/>
          <w:color w:val="auto"/>
          <w:sz w:val="20"/>
          <w:szCs w:val="20"/>
          <w:lang w:val="es"/>
        </w:rPr>
        <w:t>VII.</w:t>
      </w:r>
      <w:r w:rsidRPr="0008317C">
        <w:rPr>
          <w:rFonts w:asciiTheme="majorHAnsi" w:hAnsiTheme="majorHAnsi"/>
          <w:b/>
          <w:bCs/>
          <w:color w:val="auto"/>
          <w:sz w:val="20"/>
          <w:szCs w:val="20"/>
          <w:lang w:val="es"/>
        </w:rPr>
        <w:tab/>
        <w:t>CARACTERIZACIÓN DE LOS HECHOS ALEGADOS</w:t>
      </w:r>
    </w:p>
    <w:p w14:paraId="70790778" w14:textId="036D6C5D" w:rsidR="006A273D" w:rsidRPr="0008317C" w:rsidRDefault="0078158A" w:rsidP="006A2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 xml:space="preserve">La Comisión observa que la presente petición incluye alegatos referidos a las condiciones de detención inhumanas y las </w:t>
      </w:r>
      <w:r w:rsidR="00622EC4">
        <w:rPr>
          <w:rFonts w:ascii="Cambria" w:hAnsi="Cambria"/>
          <w:sz w:val="20"/>
          <w:szCs w:val="20"/>
          <w:lang w:val="es"/>
        </w:rPr>
        <w:t>características</w:t>
      </w:r>
      <w:r>
        <w:rPr>
          <w:rFonts w:ascii="Cambria" w:hAnsi="Cambria"/>
          <w:sz w:val="20"/>
          <w:szCs w:val="20"/>
          <w:lang w:val="es"/>
        </w:rPr>
        <w:t xml:space="preserve"> de reclusión de las presuntas víctimas, </w:t>
      </w:r>
      <w:r w:rsidR="001E664F" w:rsidRPr="0008317C">
        <w:rPr>
          <w:rFonts w:ascii="Cambria" w:hAnsi="Cambria"/>
          <w:sz w:val="20"/>
          <w:szCs w:val="20"/>
          <w:lang w:val="es"/>
        </w:rPr>
        <w:t>sin</w:t>
      </w:r>
      <w:r w:rsidR="00144437">
        <w:rPr>
          <w:rFonts w:ascii="Cambria" w:hAnsi="Cambria"/>
          <w:sz w:val="20"/>
          <w:szCs w:val="20"/>
          <w:lang w:val="es"/>
        </w:rPr>
        <w:t xml:space="preserve"> que existe</w:t>
      </w:r>
      <w:r w:rsidR="001E664F" w:rsidRPr="0008317C">
        <w:rPr>
          <w:rFonts w:ascii="Cambria" w:hAnsi="Cambria"/>
          <w:sz w:val="20"/>
          <w:szCs w:val="20"/>
          <w:lang w:val="es"/>
        </w:rPr>
        <w:t xml:space="preserve"> la oportunidad de revisar su </w:t>
      </w:r>
      <w:r w:rsidR="00D4155D">
        <w:rPr>
          <w:rFonts w:ascii="Cambria" w:hAnsi="Cambria"/>
          <w:sz w:val="20"/>
          <w:szCs w:val="20"/>
          <w:lang w:val="es"/>
        </w:rPr>
        <w:t>situación</w:t>
      </w:r>
      <w:r w:rsidR="001E664F">
        <w:rPr>
          <w:rFonts w:ascii="Cambria" w:hAnsi="Cambria"/>
          <w:sz w:val="20"/>
          <w:szCs w:val="20"/>
          <w:lang w:val="es"/>
        </w:rPr>
        <w:t>,</w:t>
      </w:r>
      <w:r>
        <w:rPr>
          <w:rFonts w:ascii="Cambria" w:hAnsi="Cambria"/>
          <w:sz w:val="20"/>
          <w:szCs w:val="20"/>
          <w:lang w:val="es"/>
        </w:rPr>
        <w:t xml:space="preserve"> como también a la falta de </w:t>
      </w:r>
      <w:r w:rsidR="001E664F">
        <w:rPr>
          <w:rFonts w:ascii="Cambria" w:hAnsi="Cambria"/>
          <w:sz w:val="20"/>
          <w:szCs w:val="20"/>
          <w:lang w:val="es"/>
        </w:rPr>
        <w:t>debido proceso</w:t>
      </w:r>
      <w:r>
        <w:rPr>
          <w:rFonts w:ascii="Cambria" w:hAnsi="Cambria"/>
          <w:sz w:val="20"/>
          <w:szCs w:val="20"/>
          <w:lang w:val="es"/>
        </w:rPr>
        <w:t xml:space="preserve"> y el trato diferenciado. En vista de estas consideraciones y tras </w:t>
      </w:r>
      <w:r w:rsidR="001E664F">
        <w:rPr>
          <w:rFonts w:ascii="Cambria" w:hAnsi="Cambria"/>
          <w:sz w:val="20"/>
          <w:szCs w:val="20"/>
          <w:lang w:val="es"/>
        </w:rPr>
        <w:t>analizar</w:t>
      </w:r>
      <w:r>
        <w:rPr>
          <w:rFonts w:ascii="Cambria" w:hAnsi="Cambria"/>
          <w:sz w:val="20"/>
          <w:szCs w:val="20"/>
          <w:lang w:val="es"/>
        </w:rPr>
        <w:t xml:space="preserve"> los elementos de hecho y de derecho presentado</w:t>
      </w:r>
      <w:r w:rsidR="001E664F">
        <w:rPr>
          <w:rFonts w:ascii="Cambria" w:hAnsi="Cambria"/>
          <w:sz w:val="20"/>
          <w:szCs w:val="20"/>
          <w:lang w:val="es"/>
        </w:rPr>
        <w:t>s</w:t>
      </w:r>
      <w:r>
        <w:rPr>
          <w:rFonts w:ascii="Cambria" w:hAnsi="Cambria"/>
          <w:sz w:val="20"/>
          <w:szCs w:val="20"/>
          <w:lang w:val="es"/>
        </w:rPr>
        <w:t xml:space="preserve"> por las partes, la Comisión estima que los alegatos del peticionario no resultan manifiestamente infundados </w:t>
      </w:r>
      <w:r w:rsidR="001E664F">
        <w:rPr>
          <w:rFonts w:ascii="Cambria" w:hAnsi="Cambria"/>
          <w:sz w:val="20"/>
          <w:szCs w:val="20"/>
          <w:lang w:val="es"/>
        </w:rPr>
        <w:t>y r</w:t>
      </w:r>
      <w:r>
        <w:rPr>
          <w:rFonts w:ascii="Cambria" w:hAnsi="Cambria"/>
          <w:sz w:val="20"/>
          <w:szCs w:val="20"/>
          <w:lang w:val="es"/>
        </w:rPr>
        <w:t>equieren un análisis de fondo,</w:t>
      </w:r>
      <w:r w:rsidR="001E664F">
        <w:rPr>
          <w:rFonts w:ascii="Cambria" w:hAnsi="Cambria"/>
          <w:sz w:val="20"/>
          <w:szCs w:val="20"/>
          <w:lang w:val="es"/>
        </w:rPr>
        <w:t xml:space="preserve"> pues</w:t>
      </w:r>
      <w:r>
        <w:rPr>
          <w:rFonts w:ascii="Cambria" w:hAnsi="Cambria"/>
          <w:sz w:val="20"/>
          <w:szCs w:val="20"/>
          <w:lang w:val="es"/>
        </w:rPr>
        <w:t xml:space="preserve"> los hechos alegados, s</w:t>
      </w:r>
      <w:r w:rsidR="006A273D" w:rsidRPr="0008317C">
        <w:rPr>
          <w:rFonts w:ascii="Cambria" w:hAnsi="Cambria"/>
          <w:sz w:val="20"/>
          <w:szCs w:val="20"/>
          <w:lang w:val="es"/>
        </w:rPr>
        <w:t xml:space="preserve">i se </w:t>
      </w:r>
      <w:r w:rsidR="001E664F">
        <w:rPr>
          <w:rFonts w:ascii="Cambria" w:hAnsi="Cambria"/>
          <w:sz w:val="20"/>
          <w:szCs w:val="20"/>
          <w:lang w:val="es"/>
        </w:rPr>
        <w:t>corroboran como ciertos</w:t>
      </w:r>
      <w:r w:rsidR="006A273D" w:rsidRPr="0008317C">
        <w:rPr>
          <w:rFonts w:ascii="Cambria" w:hAnsi="Cambria"/>
          <w:sz w:val="20"/>
          <w:szCs w:val="20"/>
          <w:lang w:val="es"/>
        </w:rPr>
        <w:t>,</w:t>
      </w:r>
      <w:r w:rsidR="00CD61B6" w:rsidRPr="0008317C">
        <w:rPr>
          <w:rFonts w:ascii="Cambria" w:hAnsi="Cambria"/>
          <w:sz w:val="20"/>
          <w:szCs w:val="20"/>
          <w:lang w:val="es"/>
        </w:rPr>
        <w:t xml:space="preserve"> </w:t>
      </w:r>
      <w:r w:rsidR="006A273D" w:rsidRPr="0008317C">
        <w:rPr>
          <w:rFonts w:ascii="Cambria" w:hAnsi="Cambria"/>
          <w:sz w:val="20"/>
          <w:szCs w:val="20"/>
          <w:lang w:val="es"/>
        </w:rPr>
        <w:t xml:space="preserve">podrían configurar violaciones de los derechos protegidos en los artículos I (vida, libertad, seguridad e integridad), II (igualdad ante la ley), XI (preservación de la salud y bienestar), </w:t>
      </w:r>
      <w:r w:rsidR="001E664F">
        <w:rPr>
          <w:rFonts w:ascii="Cambria" w:hAnsi="Cambria"/>
          <w:sz w:val="20"/>
          <w:szCs w:val="20"/>
          <w:lang w:val="es"/>
        </w:rPr>
        <w:t xml:space="preserve">XVII (reconocimiento de la personalidad jurídica y de los derechos civiles), </w:t>
      </w:r>
      <w:r w:rsidR="006A273D" w:rsidRPr="0008317C">
        <w:rPr>
          <w:rFonts w:ascii="Cambria" w:hAnsi="Cambria"/>
          <w:sz w:val="20"/>
          <w:szCs w:val="20"/>
          <w:lang w:val="es"/>
        </w:rPr>
        <w:t>XVIII (justicia), XXIV (petición), XXV (protección contra la detención arbitraria) y XXVI (proceso regular) de la Declaración Americana.</w:t>
      </w:r>
    </w:p>
    <w:p w14:paraId="6E2087B1" w14:textId="77777777" w:rsidR="006A273D" w:rsidRPr="0008317C" w:rsidRDefault="006A273D" w:rsidP="006A273D">
      <w:pPr>
        <w:pStyle w:val="ListParagraph"/>
        <w:spacing w:before="120" w:after="120"/>
        <w:jc w:val="both"/>
        <w:rPr>
          <w:rFonts w:asciiTheme="majorHAnsi" w:hAnsiTheme="majorHAnsi"/>
          <w:b/>
          <w:bCs/>
          <w:color w:val="auto"/>
          <w:sz w:val="20"/>
          <w:szCs w:val="20"/>
        </w:rPr>
      </w:pPr>
      <w:r w:rsidRPr="0008317C">
        <w:rPr>
          <w:rFonts w:asciiTheme="majorHAnsi" w:hAnsiTheme="majorHAnsi"/>
          <w:b/>
          <w:bCs/>
          <w:color w:val="auto"/>
          <w:sz w:val="20"/>
          <w:szCs w:val="20"/>
          <w:lang w:val="es"/>
        </w:rPr>
        <w:t xml:space="preserve">VIII. </w:t>
      </w:r>
      <w:r w:rsidRPr="0008317C">
        <w:rPr>
          <w:rFonts w:asciiTheme="majorHAnsi" w:hAnsiTheme="majorHAnsi"/>
          <w:b/>
          <w:bCs/>
          <w:color w:val="auto"/>
          <w:sz w:val="20"/>
          <w:szCs w:val="20"/>
          <w:lang w:val="es"/>
        </w:rPr>
        <w:tab/>
        <w:t>DECISIÓN</w:t>
      </w:r>
    </w:p>
    <w:p w14:paraId="7102904D" w14:textId="729545BC" w:rsidR="006A273D" w:rsidRPr="0008317C" w:rsidRDefault="006A273D" w:rsidP="006A273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Theme="majorHAnsi" w:hAnsiTheme="majorHAnsi"/>
          <w:sz w:val="20"/>
          <w:szCs w:val="20"/>
          <w:lang w:val="es"/>
        </w:rPr>
        <w:t xml:space="preserve">Declarar admisible la presente petición respecto de los artículos I, II, XI, </w:t>
      </w:r>
      <w:r w:rsidR="001E664F">
        <w:rPr>
          <w:rFonts w:asciiTheme="majorHAnsi" w:hAnsiTheme="majorHAnsi"/>
          <w:sz w:val="20"/>
          <w:szCs w:val="20"/>
          <w:lang w:val="es"/>
        </w:rPr>
        <w:t xml:space="preserve">XVII, </w:t>
      </w:r>
      <w:r w:rsidRPr="0008317C">
        <w:rPr>
          <w:rFonts w:asciiTheme="majorHAnsi" w:hAnsiTheme="majorHAnsi"/>
          <w:sz w:val="20"/>
          <w:szCs w:val="20"/>
          <w:lang w:val="es"/>
        </w:rPr>
        <w:t>XVIII, XXIV, XXV y XXVI de la Declaración Americana; y</w:t>
      </w:r>
    </w:p>
    <w:p w14:paraId="0A66D5AF" w14:textId="77777777" w:rsidR="006A273D" w:rsidRPr="0008317C" w:rsidRDefault="006A273D" w:rsidP="00D166A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08317C">
        <w:rPr>
          <w:rFonts w:asciiTheme="majorHAnsi" w:hAnsiTheme="majorHAnsi"/>
          <w:sz w:val="20"/>
          <w:szCs w:val="20"/>
          <w:lang w:val="es"/>
        </w:rPr>
        <w:t>Notificar a las partes la presente decisión; continuar con el análisis del fondo de la cuestión; y publicar esta decisión e incluirla en su Informe Anual a la Asamblea General de la Organización de los Estados Americanos.</w:t>
      </w:r>
    </w:p>
    <w:p w14:paraId="40E38EBD" w14:textId="731187AE" w:rsidR="00D166AE" w:rsidRPr="00A37B82" w:rsidRDefault="00D166AE" w:rsidP="00D166A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482A233" w14:textId="77777777" w:rsidR="00722C9F" w:rsidRPr="00D166AE" w:rsidRDefault="00722C9F" w:rsidP="00D166AE">
      <w:pPr>
        <w:suppressAutoHyphens/>
        <w:ind w:firstLine="720"/>
        <w:jc w:val="both"/>
        <w:rPr>
          <w:rFonts w:ascii="Cambria" w:hAnsi="Cambria" w:cs="Calibri"/>
          <w:sz w:val="20"/>
          <w:szCs w:val="20"/>
          <w:lang w:val="es-CL"/>
        </w:rPr>
      </w:pPr>
    </w:p>
    <w:sectPr w:rsidR="00722C9F" w:rsidRPr="00D166A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D3D49" w14:textId="77777777" w:rsidR="00260FF1" w:rsidRDefault="00260FF1">
      <w:r>
        <w:separator/>
      </w:r>
    </w:p>
  </w:endnote>
  <w:endnote w:type="continuationSeparator" w:id="0">
    <w:p w14:paraId="31CF5E88" w14:textId="77777777" w:rsidR="00260FF1" w:rsidRDefault="0026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E471C" w14:textId="77777777" w:rsidR="0016317A" w:rsidRDefault="00163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6B788FB4"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6317A">
          <w:rPr>
            <w:noProof/>
            <w:sz w:val="16"/>
            <w:szCs w:val="22"/>
          </w:rPr>
          <w:t>5</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26F24" w14:textId="77777777" w:rsidR="00260FF1" w:rsidRPr="000F35ED" w:rsidRDefault="00260FF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B7CB1E8" w14:textId="77777777" w:rsidR="00260FF1" w:rsidRPr="000F35ED" w:rsidRDefault="00260FF1" w:rsidP="000F35ED">
      <w:pPr>
        <w:rPr>
          <w:rFonts w:asciiTheme="majorHAnsi" w:hAnsiTheme="majorHAnsi"/>
          <w:sz w:val="16"/>
          <w:szCs w:val="16"/>
        </w:rPr>
      </w:pPr>
      <w:r w:rsidRPr="000F35ED">
        <w:rPr>
          <w:rFonts w:asciiTheme="majorHAnsi" w:hAnsiTheme="majorHAnsi"/>
          <w:sz w:val="16"/>
          <w:szCs w:val="16"/>
        </w:rPr>
        <w:separator/>
      </w:r>
    </w:p>
    <w:p w14:paraId="69C1D9E2" w14:textId="77777777" w:rsidR="00260FF1" w:rsidRPr="000F35ED" w:rsidRDefault="00260FF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D89E85C" w14:textId="77777777" w:rsidR="00260FF1" w:rsidRPr="000F35ED" w:rsidRDefault="00260FF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3D79E82" w14:textId="629B7C5B" w:rsidR="001F70D8" w:rsidRPr="00A27902" w:rsidRDefault="001F70D8" w:rsidP="00252F40">
      <w:pPr>
        <w:pStyle w:val="FootnoteText"/>
        <w:jc w:val="both"/>
        <w:rPr>
          <w:rFonts w:asciiTheme="majorHAnsi" w:hAnsiTheme="majorHAnsi"/>
          <w:sz w:val="16"/>
          <w:szCs w:val="16"/>
          <w:lang w:val="es-ES"/>
        </w:rPr>
      </w:pPr>
      <w:r w:rsidRPr="00893008">
        <w:rPr>
          <w:rStyle w:val="FootnoteReference"/>
          <w:rFonts w:asciiTheme="majorHAnsi" w:hAnsiTheme="majorHAnsi"/>
          <w:sz w:val="16"/>
          <w:szCs w:val="16"/>
        </w:rPr>
        <w:footnoteRef/>
      </w:r>
      <w:r w:rsidRPr="00893008">
        <w:rPr>
          <w:rFonts w:asciiTheme="majorHAnsi" w:hAnsiTheme="majorHAnsi"/>
          <w:sz w:val="16"/>
          <w:szCs w:val="16"/>
          <w:lang w:val="es-ES"/>
        </w:rPr>
        <w:t xml:space="preserve"> Inicialmente </w:t>
      </w:r>
      <w:r w:rsidR="00252F40" w:rsidRPr="00893008">
        <w:rPr>
          <w:rFonts w:asciiTheme="majorHAnsi" w:hAnsiTheme="majorHAnsi"/>
          <w:sz w:val="16"/>
          <w:szCs w:val="16"/>
          <w:lang w:val="es-ES"/>
        </w:rPr>
        <w:t xml:space="preserve">la parte peticionaria </w:t>
      </w:r>
      <w:r w:rsidRPr="00893008">
        <w:rPr>
          <w:rFonts w:asciiTheme="majorHAnsi" w:hAnsiTheme="majorHAnsi"/>
          <w:sz w:val="16"/>
          <w:szCs w:val="16"/>
          <w:lang w:val="es-ES"/>
        </w:rPr>
        <w:t xml:space="preserve">presentó la petición en nombre de </w:t>
      </w:r>
      <w:proofErr w:type="spellStart"/>
      <w:r w:rsidRPr="00893008">
        <w:rPr>
          <w:rFonts w:asciiTheme="majorHAnsi" w:hAnsiTheme="majorHAnsi"/>
          <w:sz w:val="16"/>
          <w:szCs w:val="16"/>
          <w:lang w:val="es-ES"/>
        </w:rPr>
        <w:t>Zaid</w:t>
      </w:r>
      <w:proofErr w:type="spellEnd"/>
      <w:r w:rsidRPr="00893008">
        <w:rPr>
          <w:rFonts w:asciiTheme="majorHAnsi" w:hAnsiTheme="majorHAnsi"/>
          <w:sz w:val="16"/>
          <w:szCs w:val="16"/>
          <w:lang w:val="es-ES"/>
        </w:rPr>
        <w:t xml:space="preserve"> </w:t>
      </w:r>
      <w:proofErr w:type="spellStart"/>
      <w:r w:rsidRPr="00893008">
        <w:rPr>
          <w:rFonts w:asciiTheme="majorHAnsi" w:hAnsiTheme="majorHAnsi"/>
          <w:sz w:val="16"/>
          <w:szCs w:val="16"/>
          <w:lang w:val="es-ES"/>
        </w:rPr>
        <w:t>Safarini</w:t>
      </w:r>
      <w:proofErr w:type="spellEnd"/>
      <w:r w:rsidRPr="00893008">
        <w:rPr>
          <w:rFonts w:asciiTheme="majorHAnsi" w:hAnsiTheme="majorHAnsi"/>
          <w:sz w:val="16"/>
          <w:szCs w:val="16"/>
          <w:lang w:val="es-ES"/>
        </w:rPr>
        <w:t xml:space="preserve"> y otros reclusos</w:t>
      </w:r>
      <w:r w:rsidR="00252F40" w:rsidRPr="00893008">
        <w:rPr>
          <w:rFonts w:asciiTheme="majorHAnsi" w:hAnsiTheme="majorHAnsi"/>
          <w:sz w:val="16"/>
          <w:szCs w:val="16"/>
          <w:lang w:val="es-ES"/>
        </w:rPr>
        <w:t xml:space="preserve"> de la prisión ADX. Sin embargo, en una comunicación con fecha del 26 de junio de 2018, la petición menciona a los siguientes reclusos como presuntas víctimas: </w:t>
      </w:r>
      <w:proofErr w:type="spellStart"/>
      <w:r w:rsidR="00252F40" w:rsidRPr="00893008">
        <w:rPr>
          <w:rFonts w:asciiTheme="majorHAnsi" w:hAnsiTheme="majorHAnsi"/>
          <w:sz w:val="16"/>
          <w:szCs w:val="16"/>
          <w:lang w:val="es-ES"/>
        </w:rPr>
        <w:t>Delroy</w:t>
      </w:r>
      <w:proofErr w:type="spellEnd"/>
      <w:r w:rsidR="00252F40" w:rsidRPr="00893008">
        <w:rPr>
          <w:rFonts w:asciiTheme="majorHAnsi" w:hAnsiTheme="majorHAnsi"/>
          <w:sz w:val="16"/>
          <w:szCs w:val="16"/>
          <w:lang w:val="es-ES"/>
        </w:rPr>
        <w:t xml:space="preserve"> Edwards, Donald </w:t>
      </w:r>
      <w:proofErr w:type="spellStart"/>
      <w:r w:rsidR="00252F40" w:rsidRPr="00893008">
        <w:rPr>
          <w:rFonts w:asciiTheme="majorHAnsi" w:hAnsiTheme="majorHAnsi"/>
          <w:sz w:val="16"/>
          <w:szCs w:val="16"/>
          <w:lang w:val="es-ES"/>
        </w:rPr>
        <w:t>Heisler</w:t>
      </w:r>
      <w:proofErr w:type="spellEnd"/>
      <w:r w:rsidR="00252F40" w:rsidRPr="00893008">
        <w:rPr>
          <w:rFonts w:asciiTheme="majorHAnsi" w:hAnsiTheme="majorHAnsi"/>
          <w:sz w:val="16"/>
          <w:szCs w:val="16"/>
          <w:lang w:val="es-ES"/>
        </w:rPr>
        <w:t xml:space="preserve">, David </w:t>
      </w:r>
      <w:proofErr w:type="spellStart"/>
      <w:r w:rsidR="00252F40" w:rsidRPr="00893008">
        <w:rPr>
          <w:rFonts w:asciiTheme="majorHAnsi" w:hAnsiTheme="majorHAnsi"/>
          <w:sz w:val="16"/>
          <w:szCs w:val="16"/>
          <w:lang w:val="es-ES"/>
        </w:rPr>
        <w:t>Spicer</w:t>
      </w:r>
      <w:proofErr w:type="spellEnd"/>
      <w:r w:rsidR="00252F40" w:rsidRPr="00893008">
        <w:rPr>
          <w:rFonts w:asciiTheme="majorHAnsi" w:hAnsiTheme="majorHAnsi"/>
          <w:sz w:val="16"/>
          <w:szCs w:val="16"/>
          <w:lang w:val="es-ES"/>
        </w:rPr>
        <w:t xml:space="preserve">, Greg Murray, </w:t>
      </w:r>
      <w:proofErr w:type="spellStart"/>
      <w:r w:rsidR="00252F40" w:rsidRPr="00893008">
        <w:rPr>
          <w:rFonts w:asciiTheme="majorHAnsi" w:hAnsiTheme="majorHAnsi"/>
          <w:sz w:val="16"/>
          <w:szCs w:val="16"/>
          <w:lang w:val="es-ES"/>
        </w:rPr>
        <w:t>Dawane</w:t>
      </w:r>
      <w:proofErr w:type="spellEnd"/>
      <w:r w:rsidR="00252F40" w:rsidRPr="00893008">
        <w:rPr>
          <w:rFonts w:asciiTheme="majorHAnsi" w:hAnsiTheme="majorHAnsi"/>
          <w:sz w:val="16"/>
          <w:szCs w:val="16"/>
          <w:lang w:val="es-ES"/>
        </w:rPr>
        <w:t xml:space="preserve"> </w:t>
      </w:r>
      <w:proofErr w:type="spellStart"/>
      <w:r w:rsidR="00252F40" w:rsidRPr="00893008">
        <w:rPr>
          <w:rFonts w:asciiTheme="majorHAnsi" w:hAnsiTheme="majorHAnsi"/>
          <w:sz w:val="16"/>
          <w:szCs w:val="16"/>
          <w:lang w:val="es-ES"/>
        </w:rPr>
        <w:t>Mallett</w:t>
      </w:r>
      <w:proofErr w:type="spellEnd"/>
      <w:r w:rsidR="00252F40" w:rsidRPr="00893008">
        <w:rPr>
          <w:rFonts w:asciiTheme="majorHAnsi" w:hAnsiTheme="majorHAnsi"/>
          <w:sz w:val="16"/>
          <w:szCs w:val="16"/>
          <w:lang w:val="es-ES"/>
        </w:rPr>
        <w:t xml:space="preserve">, Rubén Castro, Peter </w:t>
      </w:r>
      <w:proofErr w:type="spellStart"/>
      <w:r w:rsidR="00252F40" w:rsidRPr="00893008">
        <w:rPr>
          <w:rFonts w:asciiTheme="majorHAnsi" w:hAnsiTheme="majorHAnsi"/>
          <w:sz w:val="16"/>
          <w:szCs w:val="16"/>
          <w:lang w:val="es-ES"/>
        </w:rPr>
        <w:t>Mauchlin</w:t>
      </w:r>
      <w:proofErr w:type="spellEnd"/>
      <w:r w:rsidR="00252F40" w:rsidRPr="00893008">
        <w:rPr>
          <w:rFonts w:asciiTheme="majorHAnsi" w:hAnsiTheme="majorHAnsi"/>
          <w:sz w:val="16"/>
          <w:szCs w:val="16"/>
          <w:lang w:val="es-ES"/>
        </w:rPr>
        <w:t xml:space="preserve"> y Jeff Fort. El 20 de noviembre de 2018 indicó que Rubén Castro desistía de la petición.</w:t>
      </w:r>
      <w:r w:rsidRPr="00A27902">
        <w:rPr>
          <w:rFonts w:asciiTheme="majorHAnsi" w:hAnsiTheme="majorHAnsi"/>
          <w:sz w:val="16"/>
          <w:szCs w:val="16"/>
          <w:lang w:val="es-ES"/>
        </w:rPr>
        <w:t xml:space="preserve"> </w:t>
      </w:r>
    </w:p>
  </w:footnote>
  <w:footnote w:id="3">
    <w:p w14:paraId="7766A0FB" w14:textId="02B03FAE" w:rsidR="001F70D8" w:rsidRPr="00A27902" w:rsidRDefault="001F70D8" w:rsidP="006A273D">
      <w:pPr>
        <w:pStyle w:val="FootnoteText"/>
        <w:jc w:val="both"/>
        <w:rPr>
          <w:rFonts w:asciiTheme="majorHAnsi" w:hAnsiTheme="majorHAnsi"/>
          <w:sz w:val="16"/>
          <w:szCs w:val="16"/>
          <w:lang w:val="es-ES"/>
        </w:rPr>
      </w:pPr>
      <w:r w:rsidRPr="00A27902">
        <w:rPr>
          <w:rStyle w:val="FootnoteReference"/>
          <w:rFonts w:asciiTheme="majorHAnsi" w:hAnsiTheme="majorHAnsi"/>
          <w:sz w:val="16"/>
          <w:szCs w:val="16"/>
        </w:rPr>
        <w:footnoteRef/>
      </w:r>
      <w:r w:rsidRPr="00A27902">
        <w:rPr>
          <w:rFonts w:asciiTheme="majorHAnsi" w:hAnsiTheme="majorHAnsi"/>
          <w:sz w:val="16"/>
          <w:szCs w:val="16"/>
          <w:lang w:val="es-ES"/>
        </w:rPr>
        <w:t xml:space="preserve"> En adelante, “la Declaración Americana” o “la Declaración”.</w:t>
      </w:r>
    </w:p>
  </w:footnote>
  <w:footnote w:id="4">
    <w:p w14:paraId="2551BE75" w14:textId="77777777" w:rsidR="0099258D" w:rsidRPr="00A27902" w:rsidRDefault="0099258D" w:rsidP="006A273D">
      <w:pPr>
        <w:pStyle w:val="FootnoteText"/>
        <w:jc w:val="both"/>
        <w:rPr>
          <w:rFonts w:asciiTheme="majorHAnsi" w:hAnsiTheme="majorHAnsi"/>
          <w:sz w:val="16"/>
          <w:szCs w:val="16"/>
          <w:lang w:val="es-ES"/>
        </w:rPr>
      </w:pPr>
      <w:r w:rsidRPr="00A27902">
        <w:rPr>
          <w:rStyle w:val="FootnoteReference"/>
          <w:rFonts w:asciiTheme="majorHAnsi" w:hAnsiTheme="majorHAnsi"/>
          <w:sz w:val="16"/>
          <w:szCs w:val="16"/>
        </w:rPr>
        <w:footnoteRef/>
      </w:r>
      <w:r w:rsidRPr="00A27902">
        <w:rPr>
          <w:rFonts w:asciiTheme="majorHAnsi" w:hAnsiTheme="majorHAnsi"/>
          <w:sz w:val="16"/>
          <w:szCs w:val="16"/>
          <w:lang w:val="es-ES"/>
        </w:rPr>
        <w:t xml:space="preserve"> Las observaciones de cada parte fueron debidamente trasladadas a la parte contraria.</w:t>
      </w:r>
    </w:p>
  </w:footnote>
  <w:footnote w:id="5">
    <w:p w14:paraId="262049DB" w14:textId="57986667"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w:t>
      </w:r>
      <w:r w:rsidR="00C95F9A" w:rsidRPr="00C95F9A">
        <w:rPr>
          <w:rFonts w:ascii="Cambria" w:hAnsi="Cambria"/>
          <w:sz w:val="16"/>
          <w:szCs w:val="16"/>
          <w:lang w:val="es"/>
        </w:rPr>
        <w:t xml:space="preserve">En este sentido, </w:t>
      </w:r>
      <w:r w:rsidR="00C95F9A">
        <w:rPr>
          <w:rFonts w:ascii="Cambria" w:hAnsi="Cambria"/>
          <w:sz w:val="16"/>
          <w:szCs w:val="16"/>
          <w:lang w:val="es"/>
        </w:rPr>
        <w:t>la parte peticionaria indica</w:t>
      </w:r>
      <w:r w:rsidR="00C95F9A" w:rsidRPr="00C95F9A">
        <w:rPr>
          <w:rFonts w:ascii="Cambria" w:hAnsi="Cambria"/>
          <w:sz w:val="16"/>
          <w:szCs w:val="16"/>
          <w:lang w:val="es"/>
        </w:rPr>
        <w:t xml:space="preserve"> que en las horas posteriores a los atentados del 11-S, la Oficina Federal de Prisiones puso en detención administrativa a muchos reclusos árabes y musulmanes “condenados por, acusados de, relacionados con o de alguna forma vinculados a actividades terroristas”</w:t>
      </w:r>
      <w:r w:rsidR="004F09E2">
        <w:rPr>
          <w:rFonts w:ascii="Cambria" w:hAnsi="Cambria"/>
          <w:sz w:val="16"/>
          <w:szCs w:val="16"/>
          <w:lang w:val="es"/>
        </w:rPr>
        <w:t xml:space="preserve"> y</w:t>
      </w:r>
      <w:r w:rsidR="00C95F9A" w:rsidRPr="00C95F9A">
        <w:rPr>
          <w:rFonts w:ascii="Cambria" w:hAnsi="Cambria"/>
          <w:sz w:val="16"/>
          <w:szCs w:val="16"/>
          <w:lang w:val="es"/>
        </w:rPr>
        <w:t xml:space="preserve"> los trasladó sumariamente a la prisión ADX.</w:t>
      </w:r>
      <w:r w:rsidR="00C95F9A">
        <w:rPr>
          <w:rFonts w:ascii="Cambria" w:hAnsi="Cambria"/>
          <w:lang w:val="es"/>
        </w:rPr>
        <w:t xml:space="preserve"> </w:t>
      </w:r>
      <w:r w:rsidR="00C95F9A">
        <w:rPr>
          <w:rFonts w:asciiTheme="majorHAnsi" w:hAnsiTheme="majorHAnsi"/>
          <w:sz w:val="16"/>
          <w:szCs w:val="16"/>
          <w:lang w:val="es"/>
        </w:rPr>
        <w:t>A</w:t>
      </w:r>
      <w:r>
        <w:rPr>
          <w:rFonts w:asciiTheme="majorHAnsi" w:hAnsiTheme="majorHAnsi"/>
          <w:sz w:val="16"/>
          <w:szCs w:val="16"/>
          <w:lang w:val="es"/>
        </w:rPr>
        <w:t>lega</w:t>
      </w:r>
      <w:r w:rsidR="00C95F9A">
        <w:rPr>
          <w:rFonts w:asciiTheme="majorHAnsi" w:hAnsiTheme="majorHAnsi"/>
          <w:sz w:val="16"/>
          <w:szCs w:val="16"/>
          <w:lang w:val="es"/>
        </w:rPr>
        <w:t>, además,</w:t>
      </w:r>
      <w:r>
        <w:rPr>
          <w:rFonts w:asciiTheme="majorHAnsi" w:hAnsiTheme="majorHAnsi"/>
          <w:sz w:val="16"/>
          <w:szCs w:val="16"/>
          <w:lang w:val="es"/>
        </w:rPr>
        <w:t xml:space="preserve"> que hasta antes del 11-S algunos de </w:t>
      </w:r>
      <w:r w:rsidR="001756A3">
        <w:rPr>
          <w:rFonts w:asciiTheme="majorHAnsi" w:hAnsiTheme="majorHAnsi"/>
          <w:sz w:val="16"/>
          <w:szCs w:val="16"/>
          <w:lang w:val="es"/>
        </w:rPr>
        <w:t>estos</w:t>
      </w:r>
      <w:r>
        <w:rPr>
          <w:rFonts w:asciiTheme="majorHAnsi" w:hAnsiTheme="majorHAnsi"/>
          <w:sz w:val="16"/>
          <w:szCs w:val="16"/>
          <w:lang w:val="es"/>
        </w:rPr>
        <w:t xml:space="preserve"> reclusos habían vivido en prisiones de menor seguridad y</w:t>
      </w:r>
      <w:r w:rsidR="001756A3">
        <w:rPr>
          <w:rFonts w:asciiTheme="majorHAnsi" w:hAnsiTheme="majorHAnsi"/>
          <w:sz w:val="16"/>
          <w:szCs w:val="16"/>
          <w:lang w:val="es"/>
        </w:rPr>
        <w:t xml:space="preserve"> que</w:t>
      </w:r>
      <w:r>
        <w:rPr>
          <w:rFonts w:asciiTheme="majorHAnsi" w:hAnsiTheme="majorHAnsi"/>
          <w:sz w:val="16"/>
          <w:szCs w:val="16"/>
          <w:lang w:val="es"/>
        </w:rPr>
        <w:t xml:space="preserve"> jamás</w:t>
      </w:r>
      <w:r w:rsidR="001756A3">
        <w:rPr>
          <w:rFonts w:asciiTheme="majorHAnsi" w:hAnsiTheme="majorHAnsi"/>
          <w:sz w:val="16"/>
          <w:szCs w:val="16"/>
          <w:lang w:val="es"/>
        </w:rPr>
        <w:t xml:space="preserve"> habían</w:t>
      </w:r>
      <w:r>
        <w:rPr>
          <w:rFonts w:asciiTheme="majorHAnsi" w:hAnsiTheme="majorHAnsi"/>
          <w:sz w:val="16"/>
          <w:szCs w:val="16"/>
          <w:lang w:val="es"/>
        </w:rPr>
        <w:t xml:space="preserve"> sido considerados una amenaza grave a la seguridad.</w:t>
      </w:r>
    </w:p>
  </w:footnote>
  <w:footnote w:id="6">
    <w:p w14:paraId="3FBE21A3" w14:textId="5F3979E0"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sidR="001756A3">
        <w:rPr>
          <w:rFonts w:asciiTheme="majorHAnsi" w:hAnsiTheme="majorHAnsi"/>
          <w:sz w:val="16"/>
          <w:szCs w:val="16"/>
          <w:lang w:val="es"/>
        </w:rPr>
        <w:t xml:space="preserve"> </w:t>
      </w:r>
      <w:r>
        <w:rPr>
          <w:rFonts w:asciiTheme="majorHAnsi" w:hAnsiTheme="majorHAnsi"/>
          <w:sz w:val="16"/>
          <w:szCs w:val="16"/>
          <w:lang w:val="es"/>
        </w:rPr>
        <w:t xml:space="preserve">El Programa exige que, para </w:t>
      </w:r>
      <w:r w:rsidR="001401AD">
        <w:rPr>
          <w:rFonts w:asciiTheme="majorHAnsi" w:hAnsiTheme="majorHAnsi"/>
          <w:sz w:val="16"/>
          <w:szCs w:val="16"/>
          <w:lang w:val="es"/>
        </w:rPr>
        <w:t>ser elegibles</w:t>
      </w:r>
      <w:r>
        <w:rPr>
          <w:rFonts w:asciiTheme="majorHAnsi" w:hAnsiTheme="majorHAnsi"/>
          <w:sz w:val="16"/>
          <w:szCs w:val="16"/>
          <w:lang w:val="es"/>
        </w:rPr>
        <w:t xml:space="preserve">, los reclusos muestren una conducta </w:t>
      </w:r>
      <w:r w:rsidR="001401AD">
        <w:rPr>
          <w:rFonts w:asciiTheme="majorHAnsi" w:hAnsiTheme="majorHAnsi"/>
          <w:sz w:val="16"/>
          <w:szCs w:val="16"/>
          <w:lang w:val="es"/>
        </w:rPr>
        <w:t>intachable</w:t>
      </w:r>
      <w:r>
        <w:rPr>
          <w:rFonts w:asciiTheme="majorHAnsi" w:hAnsiTheme="majorHAnsi"/>
          <w:sz w:val="16"/>
          <w:szCs w:val="16"/>
          <w:lang w:val="es"/>
        </w:rPr>
        <w:t xml:space="preserve"> por un mínimo de 12 meses y </w:t>
      </w:r>
      <w:r w:rsidR="001401AD">
        <w:rPr>
          <w:rFonts w:asciiTheme="majorHAnsi" w:hAnsiTheme="majorHAnsi"/>
          <w:sz w:val="16"/>
          <w:szCs w:val="16"/>
          <w:lang w:val="es"/>
        </w:rPr>
        <w:t>prueben</w:t>
      </w:r>
      <w:r>
        <w:rPr>
          <w:rFonts w:asciiTheme="majorHAnsi" w:hAnsiTheme="majorHAnsi"/>
          <w:sz w:val="16"/>
          <w:szCs w:val="16"/>
          <w:lang w:val="es"/>
        </w:rPr>
        <w:t xml:space="preserve"> </w:t>
      </w:r>
      <w:r w:rsidR="001401AD">
        <w:rPr>
          <w:rFonts w:asciiTheme="majorHAnsi" w:hAnsiTheme="majorHAnsi"/>
          <w:sz w:val="16"/>
          <w:szCs w:val="16"/>
          <w:lang w:val="es"/>
        </w:rPr>
        <w:t>haber participado</w:t>
      </w:r>
      <w:r>
        <w:rPr>
          <w:rFonts w:asciiTheme="majorHAnsi" w:hAnsiTheme="majorHAnsi"/>
          <w:sz w:val="16"/>
          <w:szCs w:val="16"/>
          <w:lang w:val="es"/>
        </w:rPr>
        <w:t xml:space="preserve"> </w:t>
      </w:r>
      <w:r w:rsidR="001401AD">
        <w:rPr>
          <w:rFonts w:asciiTheme="majorHAnsi" w:hAnsiTheme="majorHAnsi"/>
          <w:sz w:val="16"/>
          <w:szCs w:val="16"/>
          <w:lang w:val="es"/>
        </w:rPr>
        <w:t>y finalizado</w:t>
      </w:r>
      <w:r>
        <w:rPr>
          <w:rFonts w:asciiTheme="majorHAnsi" w:hAnsiTheme="majorHAnsi"/>
          <w:sz w:val="16"/>
          <w:szCs w:val="16"/>
          <w:lang w:val="es"/>
        </w:rPr>
        <w:t xml:space="preserve"> todos los programas recomendados por el equipo </w:t>
      </w:r>
      <w:r w:rsidR="001401AD">
        <w:rPr>
          <w:rFonts w:asciiTheme="majorHAnsi" w:hAnsiTheme="majorHAnsi"/>
          <w:sz w:val="16"/>
          <w:szCs w:val="16"/>
          <w:lang w:val="es"/>
        </w:rPr>
        <w:t>encargado</w:t>
      </w:r>
      <w:r>
        <w:rPr>
          <w:rFonts w:asciiTheme="majorHAnsi" w:hAnsiTheme="majorHAnsi"/>
          <w:sz w:val="16"/>
          <w:szCs w:val="16"/>
          <w:lang w:val="es"/>
        </w:rPr>
        <w:t xml:space="preserve"> de</w:t>
      </w:r>
      <w:r w:rsidR="001401AD">
        <w:rPr>
          <w:rFonts w:asciiTheme="majorHAnsi" w:hAnsiTheme="majorHAnsi"/>
          <w:sz w:val="16"/>
          <w:szCs w:val="16"/>
          <w:lang w:val="es"/>
        </w:rPr>
        <w:t xml:space="preserve"> la</w:t>
      </w:r>
      <w:r>
        <w:rPr>
          <w:rFonts w:asciiTheme="majorHAnsi" w:hAnsiTheme="majorHAnsi"/>
          <w:sz w:val="16"/>
          <w:szCs w:val="16"/>
          <w:lang w:val="es"/>
        </w:rPr>
        <w:t xml:space="preserve"> unidad.</w:t>
      </w:r>
    </w:p>
  </w:footnote>
  <w:footnote w:id="7">
    <w:p w14:paraId="7C1D4433" w14:textId="77777777" w:rsidR="006A273D" w:rsidRPr="006A273D"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En la petición se menciona la decisión de la Corte Interamericana de Derechos Humanos en el caso </w:t>
      </w:r>
      <w:r>
        <w:rPr>
          <w:rFonts w:asciiTheme="majorHAnsi" w:hAnsiTheme="majorHAnsi"/>
          <w:i/>
          <w:iCs/>
          <w:sz w:val="16"/>
          <w:szCs w:val="16"/>
          <w:lang w:val="es"/>
        </w:rPr>
        <w:t>Velasquez Rodriguez v. Honduras</w:t>
      </w:r>
      <w:r>
        <w:rPr>
          <w:rFonts w:asciiTheme="majorHAnsi" w:hAnsiTheme="majorHAnsi"/>
          <w:sz w:val="16"/>
          <w:szCs w:val="16"/>
          <w:lang w:val="es"/>
        </w:rPr>
        <w:t>, Méritos, 29 de julio de 1998, párr. 187.</w:t>
      </w:r>
    </w:p>
  </w:footnote>
  <w:footnote w:id="8">
    <w:p w14:paraId="09CE5E81" w14:textId="5559A1FF"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La petición indica que entre marzo de 2016 y febrero de 2017 un total de 3</w:t>
      </w:r>
      <w:r w:rsidR="00D7013E">
        <w:rPr>
          <w:rFonts w:asciiTheme="majorHAnsi" w:hAnsiTheme="majorHAnsi"/>
          <w:sz w:val="16"/>
          <w:szCs w:val="16"/>
          <w:lang w:val="es"/>
        </w:rPr>
        <w:t> </w:t>
      </w:r>
      <w:r>
        <w:rPr>
          <w:rFonts w:asciiTheme="majorHAnsi" w:hAnsiTheme="majorHAnsi"/>
          <w:sz w:val="16"/>
          <w:szCs w:val="16"/>
          <w:lang w:val="es"/>
        </w:rPr>
        <w:t xml:space="preserve">522 solicitudes de </w:t>
      </w:r>
      <w:r w:rsidR="004A568F">
        <w:rPr>
          <w:rFonts w:asciiTheme="majorHAnsi" w:hAnsiTheme="majorHAnsi"/>
          <w:sz w:val="16"/>
          <w:szCs w:val="16"/>
          <w:lang w:val="es"/>
        </w:rPr>
        <w:t xml:space="preserve">interposición de </w:t>
      </w:r>
      <w:r>
        <w:rPr>
          <w:rFonts w:asciiTheme="majorHAnsi" w:hAnsiTheme="majorHAnsi"/>
          <w:sz w:val="16"/>
          <w:szCs w:val="16"/>
          <w:lang w:val="es"/>
        </w:rPr>
        <w:t>recursos administrativos fueron presentadas por reclusos de ADX Florence, de las que 10 fueron registradas como “otorgadas” (0,2</w:t>
      </w:r>
      <w:r w:rsidR="00D91629">
        <w:rPr>
          <w:rFonts w:asciiTheme="majorHAnsi" w:hAnsiTheme="majorHAnsi"/>
          <w:sz w:val="16"/>
          <w:szCs w:val="16"/>
          <w:lang w:val="es"/>
        </w:rPr>
        <w:t> </w:t>
      </w:r>
      <w:r>
        <w:rPr>
          <w:rFonts w:asciiTheme="majorHAnsi" w:hAnsiTheme="majorHAnsi"/>
          <w:sz w:val="16"/>
          <w:szCs w:val="16"/>
          <w:lang w:val="es"/>
        </w:rPr>
        <w:t>%).</w:t>
      </w:r>
    </w:p>
  </w:footnote>
  <w:footnote w:id="9">
    <w:p w14:paraId="4D0C25A6" w14:textId="77777777"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La parte peticionaria señala que la posibilidad de que las presuntas víctimas agoten los recursos internos suele quedar sujeta a la discreción de las autoridades carcelarias, cuya acción o inacción suele provocar que los reclusos no logren cumplir con los plazos judiciales o administrativos.</w:t>
      </w:r>
    </w:p>
  </w:footnote>
  <w:footnote w:id="10">
    <w:p w14:paraId="660D2047" w14:textId="77777777"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Consultar Informe N</w:t>
      </w:r>
      <w:proofErr w:type="gramStart"/>
      <w:r>
        <w:rPr>
          <w:rFonts w:asciiTheme="majorHAnsi" w:hAnsiTheme="majorHAnsi"/>
          <w:sz w:val="16"/>
          <w:szCs w:val="16"/>
          <w:lang w:val="es"/>
        </w:rPr>
        <w:t>.º</w:t>
      </w:r>
      <w:proofErr w:type="gramEnd"/>
      <w:r>
        <w:rPr>
          <w:rFonts w:asciiTheme="majorHAnsi" w:hAnsiTheme="majorHAnsi"/>
          <w:sz w:val="16"/>
          <w:szCs w:val="16"/>
          <w:lang w:val="es"/>
        </w:rPr>
        <w:t xml:space="preserve"> 48/01, Caso 12.067, Michael Edwards; Caso 12.068, Omar Hall; Caso 12.086, Brian </w:t>
      </w:r>
      <w:proofErr w:type="spellStart"/>
      <w:r>
        <w:rPr>
          <w:rFonts w:asciiTheme="majorHAnsi" w:hAnsiTheme="majorHAnsi"/>
          <w:sz w:val="16"/>
          <w:szCs w:val="16"/>
          <w:lang w:val="es"/>
        </w:rPr>
        <w:t>Schroeter</w:t>
      </w:r>
      <w:proofErr w:type="spellEnd"/>
      <w:r>
        <w:rPr>
          <w:rFonts w:asciiTheme="majorHAnsi" w:hAnsiTheme="majorHAnsi"/>
          <w:sz w:val="16"/>
          <w:szCs w:val="16"/>
          <w:lang w:val="es"/>
        </w:rPr>
        <w:t xml:space="preserve"> y Jerónimo </w:t>
      </w:r>
      <w:proofErr w:type="spellStart"/>
      <w:r>
        <w:rPr>
          <w:rFonts w:asciiTheme="majorHAnsi" w:hAnsiTheme="majorHAnsi"/>
          <w:sz w:val="16"/>
          <w:szCs w:val="16"/>
          <w:lang w:val="es"/>
        </w:rPr>
        <w:t>Bowleg</w:t>
      </w:r>
      <w:proofErr w:type="spellEnd"/>
      <w:r>
        <w:rPr>
          <w:rFonts w:asciiTheme="majorHAnsi" w:hAnsiTheme="majorHAnsi"/>
          <w:sz w:val="16"/>
          <w:szCs w:val="16"/>
          <w:lang w:val="es"/>
        </w:rPr>
        <w:t xml:space="preserve">, Bahamas, 4 de abril de 2001 e Informe N.º 56/02, Caso 12.158, </w:t>
      </w:r>
      <w:proofErr w:type="spellStart"/>
      <w:r>
        <w:rPr>
          <w:rFonts w:asciiTheme="majorHAnsi" w:hAnsiTheme="majorHAnsi"/>
          <w:sz w:val="16"/>
          <w:szCs w:val="16"/>
          <w:lang w:val="es"/>
        </w:rPr>
        <w:t>Benedict</w:t>
      </w:r>
      <w:proofErr w:type="spellEnd"/>
      <w:r>
        <w:rPr>
          <w:rFonts w:asciiTheme="majorHAnsi" w:hAnsiTheme="majorHAnsi"/>
          <w:sz w:val="16"/>
          <w:szCs w:val="16"/>
          <w:lang w:val="es"/>
        </w:rPr>
        <w:t xml:space="preserve"> </w:t>
      </w:r>
      <w:proofErr w:type="spellStart"/>
      <w:r>
        <w:rPr>
          <w:rFonts w:asciiTheme="majorHAnsi" w:hAnsiTheme="majorHAnsi"/>
          <w:sz w:val="16"/>
          <w:szCs w:val="16"/>
          <w:lang w:val="es"/>
        </w:rPr>
        <w:t>Jacobs</w:t>
      </w:r>
      <w:proofErr w:type="spellEnd"/>
      <w:r>
        <w:rPr>
          <w:rFonts w:asciiTheme="majorHAnsi" w:hAnsiTheme="majorHAnsi"/>
          <w:sz w:val="16"/>
          <w:szCs w:val="16"/>
          <w:lang w:val="es"/>
        </w:rPr>
        <w:t xml:space="preserve"> vs. </w:t>
      </w:r>
      <w:proofErr w:type="spellStart"/>
      <w:r>
        <w:rPr>
          <w:rFonts w:asciiTheme="majorHAnsi" w:hAnsiTheme="majorHAnsi"/>
          <w:sz w:val="16"/>
          <w:szCs w:val="16"/>
          <w:lang w:val="es"/>
        </w:rPr>
        <w:t>Grenada</w:t>
      </w:r>
      <w:proofErr w:type="spellEnd"/>
      <w:r>
        <w:rPr>
          <w:rFonts w:asciiTheme="majorHAnsi" w:hAnsiTheme="majorHAnsi"/>
          <w:sz w:val="16"/>
          <w:szCs w:val="16"/>
          <w:lang w:val="es"/>
        </w:rPr>
        <w:t>, Comisión I.D.H., Doc. 5 rev.1 en 601, OEA/</w:t>
      </w:r>
      <w:proofErr w:type="spellStart"/>
      <w:r>
        <w:rPr>
          <w:rFonts w:asciiTheme="majorHAnsi" w:hAnsiTheme="majorHAnsi"/>
          <w:sz w:val="16"/>
          <w:szCs w:val="16"/>
          <w:lang w:val="es"/>
        </w:rPr>
        <w:t>Ser.L</w:t>
      </w:r>
      <w:proofErr w:type="spellEnd"/>
      <w:r>
        <w:rPr>
          <w:rFonts w:asciiTheme="majorHAnsi" w:hAnsiTheme="majorHAnsi"/>
          <w:sz w:val="16"/>
          <w:szCs w:val="16"/>
          <w:lang w:val="es"/>
        </w:rPr>
        <w:t xml:space="preserve">/V/II.117 Doc. 1 </w:t>
      </w:r>
      <w:proofErr w:type="spellStart"/>
      <w:r>
        <w:rPr>
          <w:rFonts w:asciiTheme="majorHAnsi" w:hAnsiTheme="majorHAnsi"/>
          <w:sz w:val="16"/>
          <w:szCs w:val="16"/>
          <w:lang w:val="es"/>
        </w:rPr>
        <w:t>rev.</w:t>
      </w:r>
      <w:proofErr w:type="spellEnd"/>
      <w:r>
        <w:rPr>
          <w:rFonts w:asciiTheme="majorHAnsi" w:hAnsiTheme="majorHAnsi"/>
          <w:sz w:val="16"/>
          <w:szCs w:val="16"/>
          <w:lang w:val="es"/>
        </w:rPr>
        <w:t xml:space="preserve"> 1, 7 de marzo de 2003.</w:t>
      </w:r>
      <w:r>
        <w:rPr>
          <w:lang w:val="es"/>
        </w:rPr>
        <w:t xml:space="preserve"> </w:t>
      </w:r>
    </w:p>
  </w:footnote>
  <w:footnote w:id="11">
    <w:p w14:paraId="209C2EDE" w14:textId="77777777"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La petición se refiere en específico a la dificultad para planificar visitas y programar entrevistas personales y a la imposibilidad de comunicarse por correo postal e intercambiar documentación judicial, tanto de forma personal como telefónica. </w:t>
      </w:r>
    </w:p>
  </w:footnote>
  <w:footnote w:id="12">
    <w:p w14:paraId="22BEC3C8" w14:textId="77777777"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Todas las presuntas víctimas incluidas en la lista de víctimas definitiva que presentó la parte peticionaria aún se encontraban en ADX en aquel momento.</w:t>
      </w:r>
    </w:p>
  </w:footnote>
  <w:footnote w:id="13">
    <w:p w14:paraId="0B698DED" w14:textId="51AE5C32"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El Estado señala que las solicitudes de reparaci</w:t>
      </w:r>
      <w:r w:rsidR="005E40B8">
        <w:rPr>
          <w:rFonts w:asciiTheme="majorHAnsi" w:hAnsiTheme="majorHAnsi"/>
          <w:sz w:val="16"/>
          <w:szCs w:val="16"/>
          <w:lang w:val="es"/>
        </w:rPr>
        <w:t>ón</w:t>
      </w:r>
      <w:r>
        <w:rPr>
          <w:rFonts w:asciiTheme="majorHAnsi" w:hAnsiTheme="majorHAnsi"/>
          <w:sz w:val="16"/>
          <w:szCs w:val="16"/>
          <w:lang w:val="es"/>
        </w:rPr>
        <w:t xml:space="preserve"> administrativa recibidas mediante este procedimiento incluyen </w:t>
      </w:r>
      <w:r w:rsidR="005E40B8">
        <w:rPr>
          <w:rFonts w:asciiTheme="majorHAnsi" w:hAnsiTheme="majorHAnsi"/>
          <w:sz w:val="16"/>
          <w:szCs w:val="16"/>
          <w:lang w:val="es"/>
        </w:rPr>
        <w:t>demandas</w:t>
      </w:r>
      <w:r>
        <w:rPr>
          <w:rFonts w:asciiTheme="majorHAnsi" w:hAnsiTheme="majorHAnsi"/>
          <w:sz w:val="16"/>
          <w:szCs w:val="16"/>
          <w:lang w:val="es"/>
        </w:rPr>
        <w:t xml:space="preserve"> contra recomendaciones hechas por el Programa.</w:t>
      </w:r>
    </w:p>
  </w:footnote>
  <w:footnote w:id="14">
    <w:p w14:paraId="6B766E66" w14:textId="165BAF37"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El Estado señala que entre el 1 de enero de 2012 y el 15 de agosto de 2016, los señores Castro y Edwards no solicitaron la presentación de recursos administrativos sobre las cuestiones referidas en la presente petición. Los señores </w:t>
      </w:r>
      <w:proofErr w:type="spellStart"/>
      <w:r>
        <w:rPr>
          <w:rFonts w:asciiTheme="majorHAnsi" w:hAnsiTheme="majorHAnsi"/>
          <w:sz w:val="16"/>
          <w:szCs w:val="16"/>
          <w:lang w:val="es"/>
        </w:rPr>
        <w:t>Heisler</w:t>
      </w:r>
      <w:proofErr w:type="spellEnd"/>
      <w:r>
        <w:rPr>
          <w:rFonts w:asciiTheme="majorHAnsi" w:hAnsiTheme="majorHAnsi"/>
          <w:sz w:val="16"/>
          <w:szCs w:val="16"/>
          <w:lang w:val="es"/>
        </w:rPr>
        <w:t xml:space="preserve"> y Murray solicitaron la presentación de un recurso administrativo respecto de determinados reclamos </w:t>
      </w:r>
      <w:r w:rsidR="005E40B8">
        <w:rPr>
          <w:rFonts w:asciiTheme="majorHAnsi" w:hAnsiTheme="majorHAnsi"/>
          <w:sz w:val="16"/>
          <w:szCs w:val="16"/>
          <w:lang w:val="es"/>
        </w:rPr>
        <w:t>sobre</w:t>
      </w:r>
      <w:r>
        <w:rPr>
          <w:rFonts w:asciiTheme="majorHAnsi" w:hAnsiTheme="majorHAnsi"/>
          <w:sz w:val="16"/>
          <w:szCs w:val="16"/>
          <w:lang w:val="es"/>
        </w:rPr>
        <w:t xml:space="preserve"> salud mental, pero se negaron a apelar. El señor </w:t>
      </w:r>
      <w:proofErr w:type="spellStart"/>
      <w:r>
        <w:rPr>
          <w:rFonts w:asciiTheme="majorHAnsi" w:hAnsiTheme="majorHAnsi"/>
          <w:sz w:val="16"/>
          <w:szCs w:val="16"/>
          <w:lang w:val="es"/>
        </w:rPr>
        <w:t>Mauchlin</w:t>
      </w:r>
      <w:proofErr w:type="spellEnd"/>
      <w:r>
        <w:rPr>
          <w:rFonts w:asciiTheme="majorHAnsi" w:hAnsiTheme="majorHAnsi"/>
          <w:sz w:val="16"/>
          <w:szCs w:val="16"/>
          <w:lang w:val="es"/>
        </w:rPr>
        <w:t xml:space="preserve"> solicitó la presentación de un recurso administrativo contra la denegación de ingreso al Programa </w:t>
      </w:r>
      <w:proofErr w:type="spellStart"/>
      <w:r>
        <w:rPr>
          <w:rFonts w:asciiTheme="majorHAnsi" w:hAnsiTheme="majorHAnsi"/>
          <w:sz w:val="16"/>
          <w:szCs w:val="16"/>
          <w:lang w:val="es"/>
        </w:rPr>
        <w:t>Step</w:t>
      </w:r>
      <w:proofErr w:type="spellEnd"/>
      <w:r>
        <w:rPr>
          <w:rFonts w:asciiTheme="majorHAnsi" w:hAnsiTheme="majorHAnsi"/>
          <w:sz w:val="16"/>
          <w:szCs w:val="16"/>
          <w:lang w:val="es"/>
        </w:rPr>
        <w:t xml:space="preserve"> Down, pero se negó a apelar.</w:t>
      </w:r>
    </w:p>
  </w:footnote>
  <w:footnote w:id="15">
    <w:p w14:paraId="39762CD3" w14:textId="77777777" w:rsidR="006A273D" w:rsidRPr="000104A1" w:rsidRDefault="006A273D" w:rsidP="006A273D">
      <w:pPr>
        <w:pStyle w:val="FootnoteText"/>
        <w:jc w:val="both"/>
        <w:rPr>
          <w:rFonts w:asciiTheme="majorHAnsi" w:hAnsiTheme="majorHAnsi"/>
          <w:sz w:val="16"/>
          <w:szCs w:val="16"/>
        </w:rPr>
      </w:pPr>
      <w:r>
        <w:rPr>
          <w:rStyle w:val="FootnoteReference"/>
          <w:rFonts w:asciiTheme="majorHAnsi" w:hAnsiTheme="majorHAnsi"/>
          <w:sz w:val="16"/>
          <w:szCs w:val="16"/>
          <w:lang w:val="es"/>
        </w:rPr>
        <w:footnoteRef/>
      </w:r>
      <w:r w:rsidRPr="00EA7CE2">
        <w:rPr>
          <w:rFonts w:asciiTheme="majorHAnsi" w:hAnsiTheme="majorHAnsi"/>
          <w:sz w:val="16"/>
          <w:szCs w:val="16"/>
        </w:rPr>
        <w:t xml:space="preserve"> </w:t>
      </w:r>
      <w:proofErr w:type="spellStart"/>
      <w:r w:rsidRPr="00EA7CE2">
        <w:rPr>
          <w:rFonts w:asciiTheme="majorHAnsi" w:hAnsiTheme="majorHAnsi"/>
          <w:sz w:val="16"/>
          <w:szCs w:val="16"/>
        </w:rPr>
        <w:t>Delroy</w:t>
      </w:r>
      <w:proofErr w:type="spellEnd"/>
      <w:r w:rsidRPr="00EA7CE2">
        <w:rPr>
          <w:rFonts w:asciiTheme="majorHAnsi" w:hAnsiTheme="majorHAnsi"/>
          <w:sz w:val="16"/>
          <w:szCs w:val="16"/>
        </w:rPr>
        <w:t xml:space="preserve"> Edwards, Jeff Fort, Donald </w:t>
      </w:r>
      <w:proofErr w:type="spellStart"/>
      <w:r w:rsidRPr="00EA7CE2">
        <w:rPr>
          <w:rFonts w:asciiTheme="majorHAnsi" w:hAnsiTheme="majorHAnsi"/>
          <w:sz w:val="16"/>
          <w:szCs w:val="16"/>
        </w:rPr>
        <w:t>Heisler</w:t>
      </w:r>
      <w:proofErr w:type="spellEnd"/>
      <w:r w:rsidRPr="00EA7CE2">
        <w:rPr>
          <w:rFonts w:asciiTheme="majorHAnsi" w:hAnsiTheme="majorHAnsi"/>
          <w:sz w:val="16"/>
          <w:szCs w:val="16"/>
        </w:rPr>
        <w:t>, Greg Murray y David Spicer.</w:t>
      </w:r>
    </w:p>
  </w:footnote>
  <w:footnote w:id="16">
    <w:p w14:paraId="05A2788B" w14:textId="77777777"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El Estado señala además que el Tribunal Europeo de Derechos Humanos determinó que las condiciones de confinamiento en el área de mayor restricción de ADX, si se consideran los resguardos existentes, no constituyen tortura o maltrato a los fines de las obligaciones emanadas del Convención Europea de los Derechos Humanos en el caso </w:t>
      </w:r>
      <w:r>
        <w:rPr>
          <w:rFonts w:asciiTheme="majorHAnsi" w:hAnsiTheme="majorHAnsi"/>
          <w:i/>
          <w:iCs/>
          <w:sz w:val="16"/>
          <w:szCs w:val="16"/>
          <w:lang w:val="es"/>
        </w:rPr>
        <w:t xml:space="preserve">Babar Ahmad and </w:t>
      </w:r>
      <w:proofErr w:type="spellStart"/>
      <w:r>
        <w:rPr>
          <w:rFonts w:asciiTheme="majorHAnsi" w:hAnsiTheme="majorHAnsi"/>
          <w:i/>
          <w:iCs/>
          <w:sz w:val="16"/>
          <w:szCs w:val="16"/>
          <w:lang w:val="es"/>
        </w:rPr>
        <w:t>Others</w:t>
      </w:r>
      <w:proofErr w:type="spellEnd"/>
      <w:r>
        <w:rPr>
          <w:rFonts w:asciiTheme="majorHAnsi" w:hAnsiTheme="majorHAnsi"/>
          <w:i/>
          <w:iCs/>
          <w:sz w:val="16"/>
          <w:szCs w:val="16"/>
          <w:lang w:val="es"/>
        </w:rPr>
        <w:t xml:space="preserve"> v. UK.</w:t>
      </w:r>
    </w:p>
  </w:footnote>
  <w:footnote w:id="17">
    <w:p w14:paraId="44F71076" w14:textId="7A283F70"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La Oficina</w:t>
      </w:r>
      <w:r w:rsidR="000B7CF6">
        <w:rPr>
          <w:rFonts w:asciiTheme="majorHAnsi" w:hAnsiTheme="majorHAnsi"/>
          <w:sz w:val="16"/>
          <w:szCs w:val="16"/>
          <w:lang w:val="es"/>
        </w:rPr>
        <w:t xml:space="preserve"> Federal de Prisiones</w:t>
      </w:r>
      <w:r>
        <w:rPr>
          <w:rFonts w:asciiTheme="majorHAnsi" w:hAnsiTheme="majorHAnsi"/>
          <w:sz w:val="16"/>
          <w:szCs w:val="16"/>
          <w:lang w:val="es"/>
        </w:rPr>
        <w:t xml:space="preserve"> emplea un abordaje triple, que incluye la creación de unidades específicamente</w:t>
      </w:r>
      <w:r w:rsidR="000B7CF6">
        <w:rPr>
          <w:rFonts w:asciiTheme="majorHAnsi" w:hAnsiTheme="majorHAnsi"/>
          <w:sz w:val="16"/>
          <w:szCs w:val="16"/>
          <w:lang w:val="es"/>
        </w:rPr>
        <w:t xml:space="preserve"> diseñadas para la seguridad</w:t>
      </w:r>
      <w:r>
        <w:rPr>
          <w:rFonts w:asciiTheme="majorHAnsi" w:hAnsiTheme="majorHAnsi"/>
          <w:sz w:val="16"/>
          <w:szCs w:val="16"/>
          <w:lang w:val="es"/>
        </w:rPr>
        <w:t xml:space="preserve"> </w:t>
      </w:r>
      <w:r w:rsidR="000B7CF6">
        <w:rPr>
          <w:rFonts w:asciiTheme="majorHAnsi" w:hAnsiTheme="majorHAnsi"/>
          <w:sz w:val="16"/>
          <w:szCs w:val="16"/>
          <w:lang w:val="es"/>
        </w:rPr>
        <w:t>de los</w:t>
      </w:r>
      <w:r>
        <w:rPr>
          <w:rFonts w:asciiTheme="majorHAnsi" w:hAnsiTheme="majorHAnsi"/>
          <w:sz w:val="16"/>
          <w:szCs w:val="16"/>
          <w:lang w:val="es"/>
        </w:rPr>
        <w:t xml:space="preserve"> pacientes psiquiátricos y la provisión de mejores servicios de salud mental para los reclusos en ADX.</w:t>
      </w:r>
    </w:p>
  </w:footnote>
  <w:footnote w:id="18">
    <w:p w14:paraId="7B4EDD02" w14:textId="6621EC34" w:rsidR="006A273D" w:rsidRPr="00EA7CE2" w:rsidRDefault="006A273D" w:rsidP="006A273D">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CIDH, Informe N</w:t>
      </w:r>
      <w:proofErr w:type="gramStart"/>
      <w:r>
        <w:rPr>
          <w:rFonts w:asciiTheme="majorHAnsi" w:hAnsiTheme="majorHAnsi"/>
          <w:sz w:val="16"/>
          <w:szCs w:val="16"/>
          <w:lang w:val="es"/>
        </w:rPr>
        <w:t>.º</w:t>
      </w:r>
      <w:proofErr w:type="gramEnd"/>
      <w:r>
        <w:rPr>
          <w:rFonts w:asciiTheme="majorHAnsi" w:hAnsiTheme="majorHAnsi"/>
          <w:sz w:val="16"/>
          <w:szCs w:val="16"/>
          <w:lang w:val="es"/>
        </w:rPr>
        <w:t xml:space="preserve"> 48/01, Caso 12.067, Michael Edwards; Caso 12.068, Omar Hall; Caso 12.086, Brian </w:t>
      </w:r>
      <w:proofErr w:type="spellStart"/>
      <w:r>
        <w:rPr>
          <w:rFonts w:asciiTheme="majorHAnsi" w:hAnsiTheme="majorHAnsi"/>
          <w:sz w:val="16"/>
          <w:szCs w:val="16"/>
          <w:lang w:val="es"/>
        </w:rPr>
        <w:t>Schroeter</w:t>
      </w:r>
      <w:proofErr w:type="spellEnd"/>
      <w:r>
        <w:rPr>
          <w:rFonts w:asciiTheme="majorHAnsi" w:hAnsiTheme="majorHAnsi"/>
          <w:sz w:val="16"/>
          <w:szCs w:val="16"/>
          <w:lang w:val="es"/>
        </w:rPr>
        <w:t xml:space="preserve"> y Jerónimo </w:t>
      </w:r>
      <w:proofErr w:type="spellStart"/>
      <w:r>
        <w:rPr>
          <w:rFonts w:asciiTheme="majorHAnsi" w:hAnsiTheme="majorHAnsi"/>
          <w:sz w:val="16"/>
          <w:szCs w:val="16"/>
          <w:lang w:val="es"/>
        </w:rPr>
        <w:t>Bowleg</w:t>
      </w:r>
      <w:proofErr w:type="spellEnd"/>
      <w:r>
        <w:rPr>
          <w:rFonts w:asciiTheme="majorHAnsi" w:hAnsiTheme="majorHAnsi"/>
          <w:sz w:val="16"/>
          <w:szCs w:val="16"/>
          <w:lang w:val="es"/>
        </w:rPr>
        <w:t>, Bahamas, 4 de abril de 2001.</w:t>
      </w:r>
      <w:r>
        <w:rPr>
          <w:lang w:val="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260FF1"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706E" w14:textId="77777777" w:rsidR="0016317A" w:rsidRDefault="00163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23442C8"/>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DFF"/>
    <w:rsid w:val="000121EF"/>
    <w:rsid w:val="0001560F"/>
    <w:rsid w:val="0001788C"/>
    <w:rsid w:val="000337EF"/>
    <w:rsid w:val="00040C3A"/>
    <w:rsid w:val="000419AD"/>
    <w:rsid w:val="00046260"/>
    <w:rsid w:val="00050465"/>
    <w:rsid w:val="00067E96"/>
    <w:rsid w:val="000716C5"/>
    <w:rsid w:val="00075E23"/>
    <w:rsid w:val="0008317C"/>
    <w:rsid w:val="0009344A"/>
    <w:rsid w:val="000A392E"/>
    <w:rsid w:val="000A575F"/>
    <w:rsid w:val="000A785C"/>
    <w:rsid w:val="000B7CF6"/>
    <w:rsid w:val="000C0F58"/>
    <w:rsid w:val="000C10B8"/>
    <w:rsid w:val="000C521D"/>
    <w:rsid w:val="000C5F6A"/>
    <w:rsid w:val="000D10DB"/>
    <w:rsid w:val="000E5EB5"/>
    <w:rsid w:val="000F35ED"/>
    <w:rsid w:val="001026DD"/>
    <w:rsid w:val="00103B60"/>
    <w:rsid w:val="00107131"/>
    <w:rsid w:val="0010736F"/>
    <w:rsid w:val="001136CF"/>
    <w:rsid w:val="00113F73"/>
    <w:rsid w:val="00121CC2"/>
    <w:rsid w:val="00127915"/>
    <w:rsid w:val="00133EE5"/>
    <w:rsid w:val="0013583B"/>
    <w:rsid w:val="0013619C"/>
    <w:rsid w:val="001377EB"/>
    <w:rsid w:val="001401AD"/>
    <w:rsid w:val="00144437"/>
    <w:rsid w:val="00157768"/>
    <w:rsid w:val="0016317A"/>
    <w:rsid w:val="00167A34"/>
    <w:rsid w:val="00171A7E"/>
    <w:rsid w:val="001756A3"/>
    <w:rsid w:val="001809DA"/>
    <w:rsid w:val="00190528"/>
    <w:rsid w:val="001939D5"/>
    <w:rsid w:val="00193E47"/>
    <w:rsid w:val="00196F20"/>
    <w:rsid w:val="001A7870"/>
    <w:rsid w:val="001B31B5"/>
    <w:rsid w:val="001B3A00"/>
    <w:rsid w:val="001C1B41"/>
    <w:rsid w:val="001C6B8C"/>
    <w:rsid w:val="001D65EF"/>
    <w:rsid w:val="001E49E7"/>
    <w:rsid w:val="001E5DAB"/>
    <w:rsid w:val="001E664F"/>
    <w:rsid w:val="001F30BA"/>
    <w:rsid w:val="001F70D8"/>
    <w:rsid w:val="001F7201"/>
    <w:rsid w:val="001F76DC"/>
    <w:rsid w:val="002031A3"/>
    <w:rsid w:val="00207299"/>
    <w:rsid w:val="00210EC0"/>
    <w:rsid w:val="00211457"/>
    <w:rsid w:val="0021484C"/>
    <w:rsid w:val="00217784"/>
    <w:rsid w:val="00217C73"/>
    <w:rsid w:val="00223347"/>
    <w:rsid w:val="00223A29"/>
    <w:rsid w:val="002250A3"/>
    <w:rsid w:val="00231998"/>
    <w:rsid w:val="00235217"/>
    <w:rsid w:val="0024549B"/>
    <w:rsid w:val="00246D1F"/>
    <w:rsid w:val="00247403"/>
    <w:rsid w:val="00247542"/>
    <w:rsid w:val="00252F40"/>
    <w:rsid w:val="00253479"/>
    <w:rsid w:val="00260FF1"/>
    <w:rsid w:val="00266B61"/>
    <w:rsid w:val="0026712A"/>
    <w:rsid w:val="002704DB"/>
    <w:rsid w:val="002A0AAE"/>
    <w:rsid w:val="002A5820"/>
    <w:rsid w:val="002B0C4E"/>
    <w:rsid w:val="002D2B26"/>
    <w:rsid w:val="002D5DFD"/>
    <w:rsid w:val="002D7EA2"/>
    <w:rsid w:val="002E187C"/>
    <w:rsid w:val="002E1A2F"/>
    <w:rsid w:val="00301545"/>
    <w:rsid w:val="00302733"/>
    <w:rsid w:val="00312CCC"/>
    <w:rsid w:val="00314078"/>
    <w:rsid w:val="0031535D"/>
    <w:rsid w:val="003164B7"/>
    <w:rsid w:val="003203FB"/>
    <w:rsid w:val="003239B8"/>
    <w:rsid w:val="0032427A"/>
    <w:rsid w:val="0033169F"/>
    <w:rsid w:val="00335E12"/>
    <w:rsid w:val="00337F78"/>
    <w:rsid w:val="00344977"/>
    <w:rsid w:val="00346C95"/>
    <w:rsid w:val="00356185"/>
    <w:rsid w:val="00360380"/>
    <w:rsid w:val="00364C3F"/>
    <w:rsid w:val="00365F8B"/>
    <w:rsid w:val="00370BFD"/>
    <w:rsid w:val="00374E78"/>
    <w:rsid w:val="0037519E"/>
    <w:rsid w:val="00380585"/>
    <w:rsid w:val="0038168A"/>
    <w:rsid w:val="0038296C"/>
    <w:rsid w:val="0038518C"/>
    <w:rsid w:val="00386CF0"/>
    <w:rsid w:val="003A7451"/>
    <w:rsid w:val="003B2204"/>
    <w:rsid w:val="003B46FB"/>
    <w:rsid w:val="003B6B4F"/>
    <w:rsid w:val="003B70FB"/>
    <w:rsid w:val="003C093F"/>
    <w:rsid w:val="003C676B"/>
    <w:rsid w:val="003D3BC2"/>
    <w:rsid w:val="003E05E8"/>
    <w:rsid w:val="003E2C82"/>
    <w:rsid w:val="003E6CA1"/>
    <w:rsid w:val="004065A8"/>
    <w:rsid w:val="00414671"/>
    <w:rsid w:val="004165C2"/>
    <w:rsid w:val="004201AC"/>
    <w:rsid w:val="0042221B"/>
    <w:rsid w:val="0043200A"/>
    <w:rsid w:val="004403A2"/>
    <w:rsid w:val="00440B44"/>
    <w:rsid w:val="00441ECB"/>
    <w:rsid w:val="00445193"/>
    <w:rsid w:val="00447897"/>
    <w:rsid w:val="00447BBF"/>
    <w:rsid w:val="004504B2"/>
    <w:rsid w:val="0045247F"/>
    <w:rsid w:val="00454503"/>
    <w:rsid w:val="00462C1B"/>
    <w:rsid w:val="00467B7E"/>
    <w:rsid w:val="00473BB4"/>
    <w:rsid w:val="00477592"/>
    <w:rsid w:val="00486F1C"/>
    <w:rsid w:val="0049419D"/>
    <w:rsid w:val="0049465D"/>
    <w:rsid w:val="004A568F"/>
    <w:rsid w:val="004A6A54"/>
    <w:rsid w:val="004C20D2"/>
    <w:rsid w:val="004C2312"/>
    <w:rsid w:val="004C4B62"/>
    <w:rsid w:val="004C54C9"/>
    <w:rsid w:val="004D4ABA"/>
    <w:rsid w:val="004D6025"/>
    <w:rsid w:val="004D78C1"/>
    <w:rsid w:val="004E1619"/>
    <w:rsid w:val="004E2649"/>
    <w:rsid w:val="004F09E2"/>
    <w:rsid w:val="004F7707"/>
    <w:rsid w:val="00501399"/>
    <w:rsid w:val="00504B82"/>
    <w:rsid w:val="0050633D"/>
    <w:rsid w:val="00507951"/>
    <w:rsid w:val="00507BC4"/>
    <w:rsid w:val="005128E4"/>
    <w:rsid w:val="005133DB"/>
    <w:rsid w:val="00515707"/>
    <w:rsid w:val="0051652D"/>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15FE"/>
    <w:rsid w:val="005A24ED"/>
    <w:rsid w:val="005A28CC"/>
    <w:rsid w:val="005A6D0E"/>
    <w:rsid w:val="005B226B"/>
    <w:rsid w:val="005B52B0"/>
    <w:rsid w:val="005B6806"/>
    <w:rsid w:val="005C0010"/>
    <w:rsid w:val="005C4225"/>
    <w:rsid w:val="005C5CCF"/>
    <w:rsid w:val="005E40B8"/>
    <w:rsid w:val="005E5869"/>
    <w:rsid w:val="005F0DAD"/>
    <w:rsid w:val="005F0F33"/>
    <w:rsid w:val="00600DEB"/>
    <w:rsid w:val="0060356B"/>
    <w:rsid w:val="00606CDA"/>
    <w:rsid w:val="006127D6"/>
    <w:rsid w:val="00613C8A"/>
    <w:rsid w:val="006218E4"/>
    <w:rsid w:val="00622697"/>
    <w:rsid w:val="00622EC4"/>
    <w:rsid w:val="00623690"/>
    <w:rsid w:val="00623C62"/>
    <w:rsid w:val="00627950"/>
    <w:rsid w:val="00627C9F"/>
    <w:rsid w:val="00627DA9"/>
    <w:rsid w:val="006311E9"/>
    <w:rsid w:val="00632354"/>
    <w:rsid w:val="00642810"/>
    <w:rsid w:val="00652333"/>
    <w:rsid w:val="006531AB"/>
    <w:rsid w:val="00663E46"/>
    <w:rsid w:val="006648B2"/>
    <w:rsid w:val="006652A5"/>
    <w:rsid w:val="00666370"/>
    <w:rsid w:val="006731B9"/>
    <w:rsid w:val="0068009E"/>
    <w:rsid w:val="00692219"/>
    <w:rsid w:val="006A0DC2"/>
    <w:rsid w:val="006A17D2"/>
    <w:rsid w:val="006A2421"/>
    <w:rsid w:val="006A273D"/>
    <w:rsid w:val="006A3251"/>
    <w:rsid w:val="006A73E6"/>
    <w:rsid w:val="006B2D5C"/>
    <w:rsid w:val="006C4EB1"/>
    <w:rsid w:val="006D421B"/>
    <w:rsid w:val="006E0166"/>
    <w:rsid w:val="006E2CC0"/>
    <w:rsid w:val="006E7B34"/>
    <w:rsid w:val="006F00E7"/>
    <w:rsid w:val="006F084F"/>
    <w:rsid w:val="006F1C9E"/>
    <w:rsid w:val="006F5ACD"/>
    <w:rsid w:val="00706149"/>
    <w:rsid w:val="007067C6"/>
    <w:rsid w:val="0070697F"/>
    <w:rsid w:val="00710CE8"/>
    <w:rsid w:val="00711C21"/>
    <w:rsid w:val="007160BD"/>
    <w:rsid w:val="007218F1"/>
    <w:rsid w:val="0072199C"/>
    <w:rsid w:val="00722C9F"/>
    <w:rsid w:val="007253B8"/>
    <w:rsid w:val="0073741F"/>
    <w:rsid w:val="00742890"/>
    <w:rsid w:val="00742E25"/>
    <w:rsid w:val="007459F8"/>
    <w:rsid w:val="00756F85"/>
    <w:rsid w:val="0076643F"/>
    <w:rsid w:val="00777F63"/>
    <w:rsid w:val="0078158A"/>
    <w:rsid w:val="0078681C"/>
    <w:rsid w:val="007A0CDE"/>
    <w:rsid w:val="007A5817"/>
    <w:rsid w:val="007B05C4"/>
    <w:rsid w:val="007B60E9"/>
    <w:rsid w:val="007B6CC3"/>
    <w:rsid w:val="007C3334"/>
    <w:rsid w:val="007C4150"/>
    <w:rsid w:val="007D2B98"/>
    <w:rsid w:val="007D48DE"/>
    <w:rsid w:val="007E21BC"/>
    <w:rsid w:val="007E7C82"/>
    <w:rsid w:val="007F203C"/>
    <w:rsid w:val="007F588D"/>
    <w:rsid w:val="007F62D0"/>
    <w:rsid w:val="00802833"/>
    <w:rsid w:val="00803F1C"/>
    <w:rsid w:val="0080600E"/>
    <w:rsid w:val="0080687A"/>
    <w:rsid w:val="00815E9B"/>
    <w:rsid w:val="00817612"/>
    <w:rsid w:val="008338A4"/>
    <w:rsid w:val="00834D49"/>
    <w:rsid w:val="00837C45"/>
    <w:rsid w:val="00844730"/>
    <w:rsid w:val="0084473C"/>
    <w:rsid w:val="008457C2"/>
    <w:rsid w:val="00853ADE"/>
    <w:rsid w:val="008560DD"/>
    <w:rsid w:val="00857A82"/>
    <w:rsid w:val="00861D6D"/>
    <w:rsid w:val="00866F3B"/>
    <w:rsid w:val="008710A4"/>
    <w:rsid w:val="00873836"/>
    <w:rsid w:val="00876D62"/>
    <w:rsid w:val="00883BDD"/>
    <w:rsid w:val="00885737"/>
    <w:rsid w:val="00887874"/>
    <w:rsid w:val="00890650"/>
    <w:rsid w:val="00890AD8"/>
    <w:rsid w:val="00893008"/>
    <w:rsid w:val="00893CA2"/>
    <w:rsid w:val="008948FF"/>
    <w:rsid w:val="00897E12"/>
    <w:rsid w:val="008A7E0F"/>
    <w:rsid w:val="008B12F5"/>
    <w:rsid w:val="008B20E6"/>
    <w:rsid w:val="008D00AC"/>
    <w:rsid w:val="008D0A5C"/>
    <w:rsid w:val="008D768D"/>
    <w:rsid w:val="008E3759"/>
    <w:rsid w:val="008E3BFE"/>
    <w:rsid w:val="008E6CE0"/>
    <w:rsid w:val="008F1912"/>
    <w:rsid w:val="008F22E7"/>
    <w:rsid w:val="0090270B"/>
    <w:rsid w:val="009041DC"/>
    <w:rsid w:val="00917B5A"/>
    <w:rsid w:val="00920A58"/>
    <w:rsid w:val="00920A8C"/>
    <w:rsid w:val="009223E3"/>
    <w:rsid w:val="009225CF"/>
    <w:rsid w:val="00931F51"/>
    <w:rsid w:val="00933F6A"/>
    <w:rsid w:val="00934A2C"/>
    <w:rsid w:val="00934B2B"/>
    <w:rsid w:val="009464CA"/>
    <w:rsid w:val="00953C44"/>
    <w:rsid w:val="009559CD"/>
    <w:rsid w:val="00960625"/>
    <w:rsid w:val="009629C7"/>
    <w:rsid w:val="0096706E"/>
    <w:rsid w:val="0096709F"/>
    <w:rsid w:val="00974491"/>
    <w:rsid w:val="00975C4E"/>
    <w:rsid w:val="00981FBA"/>
    <w:rsid w:val="00986116"/>
    <w:rsid w:val="0099258D"/>
    <w:rsid w:val="00997BC5"/>
    <w:rsid w:val="009A4F41"/>
    <w:rsid w:val="009B381B"/>
    <w:rsid w:val="009C42F3"/>
    <w:rsid w:val="009C7E1B"/>
    <w:rsid w:val="009D1753"/>
    <w:rsid w:val="009D7611"/>
    <w:rsid w:val="009E0B61"/>
    <w:rsid w:val="009E53DE"/>
    <w:rsid w:val="009E7246"/>
    <w:rsid w:val="009F540D"/>
    <w:rsid w:val="00A04016"/>
    <w:rsid w:val="00A11E44"/>
    <w:rsid w:val="00A1365F"/>
    <w:rsid w:val="00A218EF"/>
    <w:rsid w:val="00A24333"/>
    <w:rsid w:val="00A27902"/>
    <w:rsid w:val="00A328B3"/>
    <w:rsid w:val="00A36DCF"/>
    <w:rsid w:val="00A3717F"/>
    <w:rsid w:val="00A50752"/>
    <w:rsid w:val="00A50FCF"/>
    <w:rsid w:val="00A528D1"/>
    <w:rsid w:val="00A610CD"/>
    <w:rsid w:val="00A65E58"/>
    <w:rsid w:val="00A74695"/>
    <w:rsid w:val="00A758AA"/>
    <w:rsid w:val="00AA09A2"/>
    <w:rsid w:val="00AA1E83"/>
    <w:rsid w:val="00AA7996"/>
    <w:rsid w:val="00AC19CB"/>
    <w:rsid w:val="00AE092B"/>
    <w:rsid w:val="00AE33F9"/>
    <w:rsid w:val="00AE5488"/>
    <w:rsid w:val="00AE6F91"/>
    <w:rsid w:val="00AE7900"/>
    <w:rsid w:val="00AF5571"/>
    <w:rsid w:val="00B07341"/>
    <w:rsid w:val="00B10D88"/>
    <w:rsid w:val="00B165FF"/>
    <w:rsid w:val="00B254A3"/>
    <w:rsid w:val="00B259EF"/>
    <w:rsid w:val="00B30539"/>
    <w:rsid w:val="00B314DB"/>
    <w:rsid w:val="00B361F2"/>
    <w:rsid w:val="00B3718B"/>
    <w:rsid w:val="00B44E2A"/>
    <w:rsid w:val="00B4632A"/>
    <w:rsid w:val="00B46C68"/>
    <w:rsid w:val="00B530F1"/>
    <w:rsid w:val="00B532AA"/>
    <w:rsid w:val="00B57514"/>
    <w:rsid w:val="00B60C16"/>
    <w:rsid w:val="00B643B4"/>
    <w:rsid w:val="00B73438"/>
    <w:rsid w:val="00BA276C"/>
    <w:rsid w:val="00BB1558"/>
    <w:rsid w:val="00BB306F"/>
    <w:rsid w:val="00BC1EE3"/>
    <w:rsid w:val="00BD4B89"/>
    <w:rsid w:val="00BD5460"/>
    <w:rsid w:val="00BD5922"/>
    <w:rsid w:val="00BF02CB"/>
    <w:rsid w:val="00BF3D92"/>
    <w:rsid w:val="00BF561B"/>
    <w:rsid w:val="00BF6FD8"/>
    <w:rsid w:val="00C003F0"/>
    <w:rsid w:val="00C00A6F"/>
    <w:rsid w:val="00C03680"/>
    <w:rsid w:val="00C036C6"/>
    <w:rsid w:val="00C05296"/>
    <w:rsid w:val="00C054DF"/>
    <w:rsid w:val="00C057EC"/>
    <w:rsid w:val="00C21762"/>
    <w:rsid w:val="00C21FEF"/>
    <w:rsid w:val="00C225C4"/>
    <w:rsid w:val="00C24543"/>
    <w:rsid w:val="00C256A2"/>
    <w:rsid w:val="00C26D0A"/>
    <w:rsid w:val="00C450AE"/>
    <w:rsid w:val="00C51515"/>
    <w:rsid w:val="00C53201"/>
    <w:rsid w:val="00C5660B"/>
    <w:rsid w:val="00C66B72"/>
    <w:rsid w:val="00C725B5"/>
    <w:rsid w:val="00C74927"/>
    <w:rsid w:val="00C765B7"/>
    <w:rsid w:val="00C76649"/>
    <w:rsid w:val="00C85BEA"/>
    <w:rsid w:val="00C87AC4"/>
    <w:rsid w:val="00C9567A"/>
    <w:rsid w:val="00C95F9A"/>
    <w:rsid w:val="00CB212D"/>
    <w:rsid w:val="00CB2660"/>
    <w:rsid w:val="00CB2E5A"/>
    <w:rsid w:val="00CB53F1"/>
    <w:rsid w:val="00CC09CB"/>
    <w:rsid w:val="00CC0AD2"/>
    <w:rsid w:val="00CC5E90"/>
    <w:rsid w:val="00CD046C"/>
    <w:rsid w:val="00CD19F7"/>
    <w:rsid w:val="00CD61B6"/>
    <w:rsid w:val="00CE076C"/>
    <w:rsid w:val="00CE2A41"/>
    <w:rsid w:val="00CE5199"/>
    <w:rsid w:val="00CE66D5"/>
    <w:rsid w:val="00CF637A"/>
    <w:rsid w:val="00D059DE"/>
    <w:rsid w:val="00D05ABD"/>
    <w:rsid w:val="00D13FCE"/>
    <w:rsid w:val="00D14F60"/>
    <w:rsid w:val="00D166AE"/>
    <w:rsid w:val="00D24B9E"/>
    <w:rsid w:val="00D306D1"/>
    <w:rsid w:val="00D30800"/>
    <w:rsid w:val="00D34786"/>
    <w:rsid w:val="00D37BFC"/>
    <w:rsid w:val="00D4155D"/>
    <w:rsid w:val="00D4529C"/>
    <w:rsid w:val="00D45905"/>
    <w:rsid w:val="00D47A8E"/>
    <w:rsid w:val="00D52D14"/>
    <w:rsid w:val="00D64F28"/>
    <w:rsid w:val="00D7013E"/>
    <w:rsid w:val="00D712D3"/>
    <w:rsid w:val="00D71422"/>
    <w:rsid w:val="00D72DC6"/>
    <w:rsid w:val="00D7558D"/>
    <w:rsid w:val="00D81471"/>
    <w:rsid w:val="00D81D92"/>
    <w:rsid w:val="00D876F9"/>
    <w:rsid w:val="00D91629"/>
    <w:rsid w:val="00DA2715"/>
    <w:rsid w:val="00DA671F"/>
    <w:rsid w:val="00DA7B5F"/>
    <w:rsid w:val="00DB42D0"/>
    <w:rsid w:val="00DC11E7"/>
    <w:rsid w:val="00DC7023"/>
    <w:rsid w:val="00DC769A"/>
    <w:rsid w:val="00DD0231"/>
    <w:rsid w:val="00DD26CE"/>
    <w:rsid w:val="00DD3D86"/>
    <w:rsid w:val="00DE02AB"/>
    <w:rsid w:val="00DF05F0"/>
    <w:rsid w:val="00DF1EC4"/>
    <w:rsid w:val="00DF785D"/>
    <w:rsid w:val="00E0340B"/>
    <w:rsid w:val="00E04A90"/>
    <w:rsid w:val="00E0551F"/>
    <w:rsid w:val="00E069A1"/>
    <w:rsid w:val="00E1575C"/>
    <w:rsid w:val="00E219C7"/>
    <w:rsid w:val="00E25F59"/>
    <w:rsid w:val="00E2743A"/>
    <w:rsid w:val="00E4118C"/>
    <w:rsid w:val="00E43157"/>
    <w:rsid w:val="00E44035"/>
    <w:rsid w:val="00E461CE"/>
    <w:rsid w:val="00E47256"/>
    <w:rsid w:val="00E50BE8"/>
    <w:rsid w:val="00E534DF"/>
    <w:rsid w:val="00E6386B"/>
    <w:rsid w:val="00E720CA"/>
    <w:rsid w:val="00E75E2E"/>
    <w:rsid w:val="00E84EB5"/>
    <w:rsid w:val="00E85662"/>
    <w:rsid w:val="00E8734F"/>
    <w:rsid w:val="00E8789F"/>
    <w:rsid w:val="00E91F8C"/>
    <w:rsid w:val="00E9500A"/>
    <w:rsid w:val="00E973B4"/>
    <w:rsid w:val="00E97B71"/>
    <w:rsid w:val="00EA2CAA"/>
    <w:rsid w:val="00EA3D34"/>
    <w:rsid w:val="00EA4186"/>
    <w:rsid w:val="00EB454D"/>
    <w:rsid w:val="00EC33A0"/>
    <w:rsid w:val="00EC3C2F"/>
    <w:rsid w:val="00ED0C98"/>
    <w:rsid w:val="00ED549D"/>
    <w:rsid w:val="00ED76BE"/>
    <w:rsid w:val="00EE00E9"/>
    <w:rsid w:val="00EE2417"/>
    <w:rsid w:val="00EE28EE"/>
    <w:rsid w:val="00EE326D"/>
    <w:rsid w:val="00EF619B"/>
    <w:rsid w:val="00F00B55"/>
    <w:rsid w:val="00F02AD1"/>
    <w:rsid w:val="00F02C97"/>
    <w:rsid w:val="00F23E85"/>
    <w:rsid w:val="00F253CC"/>
    <w:rsid w:val="00F34AFF"/>
    <w:rsid w:val="00F37106"/>
    <w:rsid w:val="00F432B4"/>
    <w:rsid w:val="00F519CF"/>
    <w:rsid w:val="00F548D4"/>
    <w:rsid w:val="00F55B4E"/>
    <w:rsid w:val="00F56253"/>
    <w:rsid w:val="00F56BA5"/>
    <w:rsid w:val="00F60E22"/>
    <w:rsid w:val="00F717C2"/>
    <w:rsid w:val="00F730D3"/>
    <w:rsid w:val="00F81395"/>
    <w:rsid w:val="00F81BB8"/>
    <w:rsid w:val="00F917D1"/>
    <w:rsid w:val="00F9653B"/>
    <w:rsid w:val="00FA318C"/>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9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C00BABF2EA4BDC95125B72D2BF8292"/>
        <w:category>
          <w:name w:val="General"/>
          <w:gallery w:val="placeholder"/>
        </w:category>
        <w:types>
          <w:type w:val="bbPlcHdr"/>
        </w:types>
        <w:behaviors>
          <w:behavior w:val="content"/>
        </w:behaviors>
        <w:guid w:val="{F82E19EA-309D-428C-B050-E252E5BE1B8F}"/>
      </w:docPartPr>
      <w:docPartBody>
        <w:p w:rsidR="009E7D65" w:rsidRDefault="005342BA" w:rsidP="005342BA">
          <w:pPr>
            <w:pStyle w:val="3CC00BABF2EA4BDC95125B72D2BF829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192862"/>
    <w:rsid w:val="00200821"/>
    <w:rsid w:val="00233774"/>
    <w:rsid w:val="00394049"/>
    <w:rsid w:val="003F5031"/>
    <w:rsid w:val="004F2DF8"/>
    <w:rsid w:val="005050CC"/>
    <w:rsid w:val="005342BA"/>
    <w:rsid w:val="00570B45"/>
    <w:rsid w:val="005C0C44"/>
    <w:rsid w:val="005F1A2F"/>
    <w:rsid w:val="0060264A"/>
    <w:rsid w:val="00632059"/>
    <w:rsid w:val="0067227E"/>
    <w:rsid w:val="007200C3"/>
    <w:rsid w:val="0073427B"/>
    <w:rsid w:val="00782223"/>
    <w:rsid w:val="009A261B"/>
    <w:rsid w:val="009E7D65"/>
    <w:rsid w:val="00A56429"/>
    <w:rsid w:val="00AC0348"/>
    <w:rsid w:val="00AC15A4"/>
    <w:rsid w:val="00B0336C"/>
    <w:rsid w:val="00BE0535"/>
    <w:rsid w:val="00D223B1"/>
    <w:rsid w:val="00D435D1"/>
    <w:rsid w:val="00DE7283"/>
    <w:rsid w:val="00E114B9"/>
    <w:rsid w:val="00E32515"/>
    <w:rsid w:val="00EF1061"/>
    <w:rsid w:val="00F00D2F"/>
    <w:rsid w:val="00F128DF"/>
    <w:rsid w:val="00F4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B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E8600-6157-4C34-B58B-3C9AA1B9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3149</Words>
  <Characters>16505</Characters>
  <Application>Microsoft Office Word</Application>
  <DocSecurity>0</DocSecurity>
  <Lines>317</Lines>
  <Paragraphs>133</Paragraphs>
  <ScaleCrop>false</ScaleCrop>
  <Company/>
  <LinksUpToDate>false</LinksUpToDate>
  <CharactersWithSpaces>19521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76/20</dc:title>
  <dc:creator/>
  <cp:lastModifiedBy/>
  <cp:revision>1</cp:revision>
  <dcterms:created xsi:type="dcterms:W3CDTF">2020-06-26T13:48:00Z</dcterms:created>
  <dcterms:modified xsi:type="dcterms:W3CDTF">2020-06-26T13:48:00Z</dcterms:modified>
</cp:coreProperties>
</file>