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F1E" w:rsidRPr="000C152D" w:rsidRDefault="005E4160" w:rsidP="00627C9F">
      <w:pPr>
        <w:jc w:val="both"/>
        <w:rPr>
          <w:rFonts w:asciiTheme="majorHAnsi" w:hAnsiTheme="majorHAnsi" w:cs="Univers"/>
          <w:b/>
          <w:bCs/>
          <w:sz w:val="22"/>
          <w:szCs w:val="22"/>
          <w:lang w:val="es-CO"/>
        </w:rPr>
      </w:pPr>
      <w:r w:rsidRPr="000C152D">
        <w:rPr>
          <w:rFonts w:asciiTheme="majorHAnsi" w:hAnsiTheme="majorHAnsi"/>
          <w:noProof/>
          <w:sz w:val="22"/>
          <w:szCs w:val="22"/>
        </w:rPr>
        <mc:AlternateContent>
          <mc:Choice Requires="wps">
            <w:drawing>
              <wp:anchor distT="0" distB="0" distL="114300" distR="114300" simplePos="0" relativeHeight="251688960" behindDoc="0" locked="0" layoutInCell="1" allowOverlap="1" wp14:anchorId="0E2F980C" wp14:editId="3E60297F">
                <wp:simplePos x="0" y="0"/>
                <wp:positionH relativeFrom="column">
                  <wp:posOffset>1224643</wp:posOffset>
                </wp:positionH>
                <wp:positionV relativeFrom="paragraph">
                  <wp:posOffset>-447675</wp:posOffset>
                </wp:positionV>
                <wp:extent cx="4486275" cy="7524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5B" w:rsidRDefault="000D205B">
                            <w:r>
                              <w:rPr>
                                <w:noProof/>
                              </w:rPr>
                              <w:drawing>
                                <wp:inline distT="0" distB="0" distL="0" distR="0" wp14:anchorId="21D237EF" wp14:editId="18B88226">
                                  <wp:extent cx="2647666" cy="509676"/>
                                  <wp:effectExtent l="0" t="0" r="635" b="5080"/>
                                  <wp:docPr id="26" name="Picture 2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F980C" id="_x0000_t202" coordsize="21600,21600" o:spt="202" path="m,l,21600r21600,l21600,xe">
                <v:stroke joinstyle="miter"/>
                <v:path gradientshapeok="t" o:connecttype="rect"/>
              </v:shapetype>
              <v:shape id="Text Box 6" o:spid="_x0000_s1026" type="#_x0000_t202" style="position:absolute;left:0;text-align:left;margin-left:96.45pt;margin-top:-35.25pt;width:353.25pt;height:5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" filled="f" stroked="f" strokeweight=".5pt">
                <v:path arrowok="t"/>
                <v:textbox>
                  <w:txbxContent>
                    <w:p w:rsidR="000D205B" w:rsidRDefault="000D205B">
                      <w:r>
                        <w:rPr>
                          <w:noProof/>
                        </w:rPr>
                        <w:drawing>
                          <wp:inline distT="0" distB="0" distL="0" distR="0" wp14:anchorId="21D237EF" wp14:editId="18B88226">
                            <wp:extent cx="2647666" cy="509676"/>
                            <wp:effectExtent l="0" t="0" r="635" b="5080"/>
                            <wp:docPr id="26" name="Picture 2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v:textbox>
              </v:shape>
            </w:pict>
          </mc:Fallback>
        </mc:AlternateContent>
      </w:r>
      <w:r w:rsidR="00596EBE" w:rsidRPr="000C152D">
        <w:rPr>
          <w:rFonts w:asciiTheme="majorHAnsi" w:hAnsiTheme="majorHAnsi"/>
          <w:noProof/>
          <w:sz w:val="22"/>
          <w:szCs w:val="22"/>
        </w:rPr>
        <mc:AlternateContent>
          <mc:Choice Requires="wps">
            <w:drawing>
              <wp:anchor distT="0" distB="0" distL="114300" distR="114300" simplePos="0" relativeHeight="251698176" behindDoc="0" locked="0" layoutInCell="1" allowOverlap="1" wp14:anchorId="361D80B1" wp14:editId="24DEDF2B">
                <wp:simplePos x="0" y="0"/>
                <wp:positionH relativeFrom="column">
                  <wp:posOffset>-295547</wp:posOffset>
                </wp:positionH>
                <wp:positionV relativeFrom="paragraph">
                  <wp:posOffset>-427808</wp:posOffset>
                </wp:positionV>
                <wp:extent cx="1409700" cy="8977630"/>
                <wp:effectExtent l="0" t="0" r="0" b="0"/>
                <wp:wrapNone/>
                <wp:docPr id="28" name="Rectangle 28"/>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205B" w:rsidRPr="00596EBE" w:rsidRDefault="000D205B" w:rsidP="00596EBE">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D80B1" id="Rectangle 28" o:spid="_x0000_s1027" style="position:absolute;left:0;text-align:left;margin-left:-23.25pt;margin-top:-33.7pt;width:111pt;height:70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" fillcolor="#4a7194" stroked="f" strokeweight="2pt">
                <v:textbox>
                  <w:txbxContent>
                    <w:p w:rsidR="000D205B" w:rsidRPr="00596EBE" w:rsidRDefault="000D205B" w:rsidP="00596EBE">
                      <w:pPr>
                        <w:rPr>
                          <w:lang w:val="es-ES"/>
                        </w:rPr>
                      </w:pPr>
                    </w:p>
                  </w:txbxContent>
                </v:textbox>
              </v:rect>
            </w:pict>
          </mc:Fallback>
        </mc:AlternateContent>
      </w:r>
    </w:p>
    <w:p w:rsidR="00D03F1E" w:rsidRPr="000C152D" w:rsidRDefault="00D03F1E" w:rsidP="00040C3A">
      <w:pPr>
        <w:tabs>
          <w:tab w:val="center" w:pos="5400"/>
        </w:tabs>
        <w:suppressAutoHyphens/>
        <w:jc w:val="both"/>
        <w:rPr>
          <w:rFonts w:asciiTheme="majorHAnsi" w:hAnsiTheme="majorHAnsi"/>
          <w:sz w:val="22"/>
          <w:szCs w:val="22"/>
          <w:lang w:val="es-CO"/>
        </w:rPr>
      </w:pPr>
    </w:p>
    <w:p w:rsidR="00D03F1E" w:rsidRPr="000C152D" w:rsidRDefault="00D03F1E" w:rsidP="00040C3A">
      <w:pPr>
        <w:tabs>
          <w:tab w:val="center" w:pos="5400"/>
        </w:tabs>
        <w:suppressAutoHyphens/>
        <w:jc w:val="both"/>
        <w:rPr>
          <w:rFonts w:asciiTheme="majorHAnsi" w:hAnsiTheme="majorHAnsi"/>
          <w:sz w:val="22"/>
          <w:szCs w:val="22"/>
          <w:lang w:val="es-CO"/>
        </w:rPr>
      </w:pPr>
    </w:p>
    <w:p w:rsidR="00D03F1E" w:rsidRPr="000C152D" w:rsidRDefault="00D03F1E" w:rsidP="00040C3A">
      <w:pPr>
        <w:tabs>
          <w:tab w:val="center" w:pos="5400"/>
        </w:tabs>
        <w:suppressAutoHyphens/>
        <w:rPr>
          <w:rFonts w:asciiTheme="majorHAnsi" w:hAnsiTheme="majorHAnsi"/>
          <w:sz w:val="22"/>
          <w:szCs w:val="22"/>
          <w:lang w:val="es-CO"/>
        </w:rPr>
      </w:pPr>
    </w:p>
    <w:p w:rsidR="00D03F1E" w:rsidRPr="000C152D" w:rsidRDefault="00D03F1E" w:rsidP="00040C3A">
      <w:pPr>
        <w:tabs>
          <w:tab w:val="center" w:pos="5400"/>
        </w:tabs>
        <w:suppressAutoHyphens/>
        <w:rPr>
          <w:rFonts w:asciiTheme="majorHAnsi" w:hAnsiTheme="majorHAnsi"/>
          <w:sz w:val="22"/>
          <w:szCs w:val="22"/>
          <w:lang w:val="es-CO"/>
        </w:rPr>
      </w:pPr>
    </w:p>
    <w:p w:rsidR="00D03F1E" w:rsidRPr="000C152D" w:rsidRDefault="00D03F1E" w:rsidP="00040C3A">
      <w:pPr>
        <w:tabs>
          <w:tab w:val="center" w:pos="5400"/>
        </w:tabs>
        <w:suppressAutoHyphens/>
        <w:rPr>
          <w:rFonts w:asciiTheme="majorHAnsi" w:hAnsiTheme="majorHAnsi"/>
          <w:sz w:val="22"/>
          <w:szCs w:val="22"/>
          <w:lang w:val="es-CO"/>
        </w:rPr>
      </w:pPr>
    </w:p>
    <w:p w:rsidR="00D03F1E" w:rsidRPr="000C152D" w:rsidRDefault="00D03F1E" w:rsidP="005128E4">
      <w:pPr>
        <w:tabs>
          <w:tab w:val="center" w:pos="5400"/>
        </w:tabs>
        <w:suppressAutoHyphens/>
        <w:jc w:val="center"/>
        <w:rPr>
          <w:rFonts w:asciiTheme="majorHAnsi" w:hAnsiTheme="majorHAnsi"/>
          <w:sz w:val="22"/>
          <w:szCs w:val="22"/>
          <w:lang w:val="es-CO"/>
        </w:rPr>
      </w:pPr>
    </w:p>
    <w:p w:rsidR="00D03F1E" w:rsidRPr="000C152D" w:rsidRDefault="00596EBE" w:rsidP="005128E4">
      <w:pPr>
        <w:tabs>
          <w:tab w:val="center" w:pos="5400"/>
        </w:tabs>
        <w:suppressAutoHyphens/>
        <w:jc w:val="center"/>
        <w:rPr>
          <w:rFonts w:asciiTheme="majorHAnsi" w:hAnsiTheme="majorHAnsi"/>
          <w:sz w:val="22"/>
          <w:szCs w:val="22"/>
          <w:lang w:val="es-CO"/>
        </w:rPr>
      </w:pPr>
      <w:r w:rsidRPr="000C152D">
        <w:rPr>
          <w:rFonts w:asciiTheme="majorHAnsi" w:hAnsiTheme="majorHAnsi"/>
          <w:noProof/>
          <w:sz w:val="22"/>
          <w:szCs w:val="22"/>
        </w:rPr>
        <mc:AlternateContent>
          <mc:Choice Requires="wps">
            <w:drawing>
              <wp:anchor distT="0" distB="0" distL="114300" distR="114300" simplePos="0" relativeHeight="251696128" behindDoc="0" locked="0" layoutInCell="1" allowOverlap="1" wp14:anchorId="38D4C99C" wp14:editId="51ACDCE3">
                <wp:simplePos x="0" y="0"/>
                <wp:positionH relativeFrom="column">
                  <wp:posOffset>-212148</wp:posOffset>
                </wp:positionH>
                <wp:positionV relativeFrom="paragraph">
                  <wp:posOffset>176184</wp:posOffset>
                </wp:positionV>
                <wp:extent cx="1334135" cy="137731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txbx>
                        <w:txbxContent>
                          <w:p w:rsidR="000D205B" w:rsidRPr="00466D0B" w:rsidRDefault="000D205B" w:rsidP="00596EBE">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OEA/Ser.L/V/II.1</w:t>
                            </w:r>
                            <w:r w:rsidRPr="00466D0B">
                              <w:rPr>
                                <w:rFonts w:asciiTheme="minorHAnsi" w:hAnsiTheme="minorHAnsi"/>
                                <w:color w:val="FF0000"/>
                                <w:sz w:val="22"/>
                                <w:lang w:val="pt-BR"/>
                              </w:rPr>
                              <w:t>XX</w:t>
                            </w:r>
                          </w:p>
                          <w:p w:rsidR="000D205B" w:rsidRPr="00466D0B" w:rsidRDefault="000D205B" w:rsidP="00596EBE">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Pr="00466D0B">
                              <w:rPr>
                                <w:rFonts w:asciiTheme="minorHAnsi" w:hAnsiTheme="minorHAnsi"/>
                                <w:color w:val="FF0000"/>
                                <w:sz w:val="22"/>
                                <w:lang w:val="pt-BR"/>
                              </w:rPr>
                              <w:t>XX</w:t>
                            </w:r>
                          </w:p>
                          <w:p w:rsidR="000D205B" w:rsidRPr="004B7EB6" w:rsidRDefault="000D205B" w:rsidP="00596EBE">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Pr="000C4365">
                              <w:rPr>
                                <w:rFonts w:asciiTheme="minorHAnsi" w:hAnsiTheme="minorHAnsi"/>
                                <w:color w:val="FF0000"/>
                                <w:sz w:val="22"/>
                              </w:rPr>
                              <w:t>Month day</w:t>
                            </w:r>
                            <w:r>
                              <w:rPr>
                                <w:rFonts w:asciiTheme="minorHAnsi" w:hAnsiTheme="minorHAnsi"/>
                                <w:color w:val="FFFFFF" w:themeColor="background1"/>
                                <w:sz w:val="22"/>
                              </w:rPr>
                              <w:t>, 2020</w:t>
                            </w:r>
                          </w:p>
                          <w:p w:rsidR="000D205B" w:rsidRPr="004B7EB6" w:rsidRDefault="000D205B" w:rsidP="00596EBE">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5C34B3">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4C99C" id="Text Box 27" o:spid="_x0000_s1028" type="#_x0000_t202" style="position:absolute;left:0;text-align:left;margin-left:-16.7pt;margin-top:13.85pt;width:105.05pt;height:108.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" filled="f" stroked="f" strokeweight=".5pt">
                <v:path arrowok="t"/>
                <v:textbox>
                  <w:txbxContent>
                    <w:p w:rsidR="000D205B" w:rsidRPr="00466D0B" w:rsidRDefault="000D205B" w:rsidP="00596EBE">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OEA/Ser.L/V/II.1</w:t>
                      </w:r>
                      <w:r w:rsidRPr="00466D0B">
                        <w:rPr>
                          <w:rFonts w:asciiTheme="minorHAnsi" w:hAnsiTheme="minorHAnsi"/>
                          <w:color w:val="FF0000"/>
                          <w:sz w:val="22"/>
                          <w:lang w:val="pt-BR"/>
                        </w:rPr>
                        <w:t>XX</w:t>
                      </w:r>
                    </w:p>
                    <w:p w:rsidR="000D205B" w:rsidRPr="00466D0B" w:rsidRDefault="000D205B" w:rsidP="00596EBE">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Pr="00466D0B">
                        <w:rPr>
                          <w:rFonts w:asciiTheme="minorHAnsi" w:hAnsiTheme="minorHAnsi"/>
                          <w:color w:val="FF0000"/>
                          <w:sz w:val="22"/>
                          <w:lang w:val="pt-BR"/>
                        </w:rPr>
                        <w:t>XX</w:t>
                      </w:r>
                    </w:p>
                    <w:p w:rsidR="000D205B" w:rsidRPr="004B7EB6" w:rsidRDefault="000D205B" w:rsidP="00596EBE">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Pr="000C4365">
                        <w:rPr>
                          <w:rFonts w:asciiTheme="minorHAnsi" w:hAnsiTheme="minorHAnsi"/>
                          <w:color w:val="FF0000"/>
                          <w:sz w:val="22"/>
                        </w:rPr>
                        <w:t>Month day</w:t>
                      </w:r>
                      <w:r>
                        <w:rPr>
                          <w:rFonts w:asciiTheme="minorHAnsi" w:hAnsiTheme="minorHAnsi"/>
                          <w:color w:val="FFFFFF" w:themeColor="background1"/>
                          <w:sz w:val="22"/>
                        </w:rPr>
                        <w:t>, 2020</w:t>
                      </w:r>
                    </w:p>
                    <w:p w:rsidR="000D205B" w:rsidRPr="004B7EB6" w:rsidRDefault="000D205B" w:rsidP="00596EBE">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5C34B3">
                        <w:rPr>
                          <w:rFonts w:asciiTheme="minorHAnsi" w:hAnsiTheme="minorHAnsi"/>
                          <w:color w:val="FFFFFF" w:themeColor="background1"/>
                          <w:sz w:val="22"/>
                        </w:rPr>
                        <w:t>English</w:t>
                      </w:r>
                    </w:p>
                  </w:txbxContent>
                </v:textbox>
              </v:shape>
            </w:pict>
          </mc:Fallback>
        </mc:AlternateContent>
      </w:r>
    </w:p>
    <w:p w:rsidR="00D03F1E" w:rsidRPr="000C152D" w:rsidRDefault="00D03F1E" w:rsidP="005128E4">
      <w:pPr>
        <w:tabs>
          <w:tab w:val="center" w:pos="5400"/>
        </w:tabs>
        <w:suppressAutoHyphens/>
        <w:jc w:val="center"/>
        <w:rPr>
          <w:rFonts w:asciiTheme="majorHAnsi" w:hAnsiTheme="majorHAnsi"/>
          <w:sz w:val="22"/>
          <w:szCs w:val="22"/>
          <w:lang w:val="es-CO"/>
        </w:rPr>
      </w:pPr>
    </w:p>
    <w:p w:rsidR="00D03F1E" w:rsidRPr="000C152D" w:rsidRDefault="00D03F1E" w:rsidP="005128E4">
      <w:pPr>
        <w:tabs>
          <w:tab w:val="center" w:pos="5400"/>
        </w:tabs>
        <w:suppressAutoHyphens/>
        <w:jc w:val="center"/>
        <w:rPr>
          <w:rFonts w:asciiTheme="majorHAnsi" w:hAnsiTheme="majorHAnsi"/>
          <w:sz w:val="22"/>
          <w:szCs w:val="22"/>
          <w:lang w:val="es-CO"/>
        </w:rPr>
      </w:pPr>
    </w:p>
    <w:p w:rsidR="00D03F1E" w:rsidRPr="000C152D" w:rsidRDefault="00D03F1E" w:rsidP="005128E4">
      <w:pPr>
        <w:tabs>
          <w:tab w:val="center" w:pos="5400"/>
        </w:tabs>
        <w:suppressAutoHyphens/>
        <w:jc w:val="center"/>
        <w:rPr>
          <w:rFonts w:asciiTheme="majorHAnsi" w:hAnsiTheme="majorHAnsi"/>
          <w:sz w:val="22"/>
          <w:szCs w:val="22"/>
          <w:lang w:val="es-CO"/>
        </w:rPr>
      </w:pPr>
      <w:bookmarkStart w:id="0" w:name="_GoBack"/>
      <w:bookmarkEnd w:id="0"/>
    </w:p>
    <w:p w:rsidR="00D03F1E" w:rsidRPr="000C152D" w:rsidRDefault="00D03F1E" w:rsidP="00040C3A">
      <w:pPr>
        <w:tabs>
          <w:tab w:val="center" w:pos="5400"/>
        </w:tabs>
        <w:suppressAutoHyphens/>
        <w:jc w:val="center"/>
        <w:rPr>
          <w:rFonts w:asciiTheme="majorHAnsi" w:hAnsiTheme="majorHAnsi"/>
          <w:sz w:val="22"/>
          <w:szCs w:val="22"/>
          <w:lang w:val="es-CO"/>
        </w:rPr>
      </w:pPr>
    </w:p>
    <w:p w:rsidR="00D03F1E" w:rsidRPr="000C152D" w:rsidRDefault="00D03F1E" w:rsidP="00040C3A">
      <w:pPr>
        <w:tabs>
          <w:tab w:val="center" w:pos="5400"/>
        </w:tabs>
        <w:suppressAutoHyphens/>
        <w:jc w:val="center"/>
        <w:rPr>
          <w:rFonts w:asciiTheme="majorHAnsi" w:hAnsiTheme="majorHAnsi"/>
          <w:sz w:val="22"/>
          <w:szCs w:val="22"/>
          <w:lang w:val="es-CO"/>
        </w:rPr>
      </w:pPr>
    </w:p>
    <w:p w:rsidR="00D03F1E" w:rsidRPr="000C152D" w:rsidRDefault="00D03F1E" w:rsidP="00040C3A">
      <w:pPr>
        <w:tabs>
          <w:tab w:val="center" w:pos="5400"/>
        </w:tabs>
        <w:suppressAutoHyphens/>
        <w:jc w:val="center"/>
        <w:rPr>
          <w:rFonts w:asciiTheme="majorHAnsi" w:hAnsiTheme="majorHAnsi"/>
          <w:sz w:val="22"/>
          <w:szCs w:val="22"/>
          <w:lang w:val="es-CO"/>
        </w:rPr>
      </w:pPr>
    </w:p>
    <w:p w:rsidR="00D03F1E" w:rsidRPr="000C152D" w:rsidRDefault="005E4160" w:rsidP="00040C3A">
      <w:pPr>
        <w:tabs>
          <w:tab w:val="center" w:pos="5400"/>
        </w:tabs>
        <w:suppressAutoHyphens/>
        <w:jc w:val="center"/>
        <w:rPr>
          <w:rFonts w:asciiTheme="majorHAnsi" w:hAnsiTheme="majorHAnsi"/>
          <w:sz w:val="22"/>
          <w:szCs w:val="22"/>
          <w:lang w:val="es-CO"/>
        </w:rPr>
      </w:pPr>
      <w:r>
        <w:rPr>
          <w:rFonts w:asciiTheme="majorHAnsi" w:hAnsiTheme="majorHAnsi"/>
          <w:noProof/>
          <w:sz w:val="22"/>
          <w:szCs w:val="22"/>
        </w:rPr>
        <mc:AlternateContent>
          <mc:Choice Requires="wps">
            <w:drawing>
              <wp:anchor distT="0" distB="0" distL="114300" distR="114300" simplePos="0" relativeHeight="251700224" behindDoc="0" locked="0" layoutInCell="1" allowOverlap="1" wp14:anchorId="72FDF4B7" wp14:editId="13A1F2B7">
                <wp:simplePos x="0" y="0"/>
                <wp:positionH relativeFrom="column">
                  <wp:posOffset>-218349</wp:posOffset>
                </wp:positionH>
                <wp:positionV relativeFrom="paragraph">
                  <wp:posOffset>126818</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txbx>
                        <w:txbxContent>
                          <w:p w:rsidR="005E4160" w:rsidRPr="008C3D76" w:rsidRDefault="005E4160" w:rsidP="005E4160">
                            <w:pPr>
                              <w:jc w:val="right"/>
                              <w:rPr>
                                <w:rFonts w:asciiTheme="minorHAnsi" w:hAnsiTheme="minorHAnsi"/>
                                <w:color w:val="FFFFFF" w:themeColor="background1"/>
                                <w:sz w:val="22"/>
                                <w:lang w:val="pt-BR"/>
                              </w:rPr>
                            </w:pPr>
                            <w:r w:rsidRPr="008C3D76">
                              <w:rPr>
                                <w:rFonts w:asciiTheme="minorHAnsi" w:hAnsiTheme="minorHAnsi"/>
                                <w:color w:val="FFFFFF" w:themeColor="background1"/>
                                <w:sz w:val="22"/>
                                <w:lang w:val="pt-BR"/>
                              </w:rPr>
                              <w:t>OEA/Ser.L/V/II.</w:t>
                            </w:r>
                          </w:p>
                          <w:p w:rsidR="005E4160" w:rsidRPr="008C3D76" w:rsidRDefault="005E4160" w:rsidP="005E4160">
                            <w:pPr>
                              <w:jc w:val="right"/>
                              <w:rPr>
                                <w:rFonts w:asciiTheme="minorHAnsi" w:hAnsiTheme="minorHAnsi"/>
                                <w:color w:val="FFFFFF" w:themeColor="background1"/>
                                <w:sz w:val="22"/>
                                <w:lang w:val="pt-BR"/>
                              </w:rPr>
                            </w:pPr>
                            <w:r w:rsidRPr="008C3D76">
                              <w:rPr>
                                <w:rFonts w:asciiTheme="minorHAnsi" w:hAnsiTheme="minorHAnsi"/>
                                <w:color w:val="FFFFFF" w:themeColor="background1"/>
                                <w:sz w:val="22"/>
                                <w:lang w:val="pt-BR"/>
                              </w:rPr>
                              <w:t>Doc. 113</w:t>
                            </w:r>
                          </w:p>
                          <w:p w:rsidR="005E4160" w:rsidRPr="004B7EB6" w:rsidRDefault="005E4160" w:rsidP="005E4160">
                            <w:pPr>
                              <w:jc w:val="right"/>
                              <w:rPr>
                                <w:rFonts w:asciiTheme="minorHAnsi" w:hAnsiTheme="minorHAnsi"/>
                                <w:color w:val="FFFFFF" w:themeColor="background1"/>
                                <w:sz w:val="22"/>
                              </w:rPr>
                            </w:pPr>
                            <w:r w:rsidRPr="008C3D76">
                              <w:rPr>
                                <w:rFonts w:asciiTheme="minorHAnsi" w:hAnsiTheme="minorHAnsi"/>
                                <w:color w:val="FFFFFF" w:themeColor="background1"/>
                                <w:sz w:val="22"/>
                                <w:lang w:val="pt-BR"/>
                              </w:rPr>
                              <w:t xml:space="preserve"> </w:t>
                            </w:r>
                            <w:r>
                              <w:rPr>
                                <w:rFonts w:asciiTheme="minorHAnsi" w:hAnsiTheme="minorHAnsi"/>
                                <w:color w:val="FFFFFF" w:themeColor="background1"/>
                                <w:sz w:val="22"/>
                              </w:rPr>
                              <w:t xml:space="preserve">24 </w:t>
                            </w:r>
                            <w:proofErr w:type="spellStart"/>
                            <w:r>
                              <w:rPr>
                                <w:rFonts w:asciiTheme="minorHAnsi" w:hAnsiTheme="minorHAnsi"/>
                                <w:color w:val="FFFFFF" w:themeColor="background1"/>
                                <w:sz w:val="22"/>
                              </w:rPr>
                              <w:t>abril</w:t>
                            </w:r>
                            <w:proofErr w:type="spellEnd"/>
                            <w:r>
                              <w:rPr>
                                <w:rFonts w:asciiTheme="minorHAnsi" w:hAnsiTheme="minorHAnsi"/>
                                <w:color w:val="FFFFFF" w:themeColor="background1"/>
                                <w:sz w:val="22"/>
                              </w:rPr>
                              <w:t xml:space="preserve"> 2020</w:t>
                            </w:r>
                          </w:p>
                          <w:p w:rsidR="005E4160" w:rsidRPr="004B7EB6" w:rsidRDefault="005E4160" w:rsidP="005E4160">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proofErr w:type="spellStart"/>
                            <w:r>
                              <w:rPr>
                                <w:rFonts w:asciiTheme="minorHAnsi" w:hAnsiTheme="minorHAnsi"/>
                                <w:color w:val="FFFFFF" w:themeColor="background1"/>
                                <w:sz w:val="22"/>
                              </w:rPr>
                              <w:t>inglés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DF4B7" id="Text Box 8" o:spid="_x0000_s1029" type="#_x0000_t202" style="position:absolute;left:0;text-align:left;margin-left:-17.2pt;margin-top:10pt;width:105.05pt;height:10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" filled="f" stroked="f" strokeweight=".5pt">
                <v:path arrowok="t"/>
                <v:textbox>
                  <w:txbxContent>
                    <w:p w:rsidR="005E4160" w:rsidRPr="008C3D76" w:rsidRDefault="005E4160" w:rsidP="005E4160">
                      <w:pPr>
                        <w:jc w:val="right"/>
                        <w:rPr>
                          <w:rFonts w:asciiTheme="minorHAnsi" w:hAnsiTheme="minorHAnsi"/>
                          <w:color w:val="FFFFFF" w:themeColor="background1"/>
                          <w:sz w:val="22"/>
                          <w:lang w:val="pt-BR"/>
                        </w:rPr>
                      </w:pPr>
                      <w:r w:rsidRPr="008C3D76">
                        <w:rPr>
                          <w:rFonts w:asciiTheme="minorHAnsi" w:hAnsiTheme="minorHAnsi"/>
                          <w:color w:val="FFFFFF" w:themeColor="background1"/>
                          <w:sz w:val="22"/>
                          <w:lang w:val="pt-BR"/>
                        </w:rPr>
                        <w:t>OEA/Ser.L/V/II.</w:t>
                      </w:r>
                    </w:p>
                    <w:p w:rsidR="005E4160" w:rsidRPr="008C3D76" w:rsidRDefault="005E4160" w:rsidP="005E4160">
                      <w:pPr>
                        <w:jc w:val="right"/>
                        <w:rPr>
                          <w:rFonts w:asciiTheme="minorHAnsi" w:hAnsiTheme="minorHAnsi"/>
                          <w:color w:val="FFFFFF" w:themeColor="background1"/>
                          <w:sz w:val="22"/>
                          <w:lang w:val="pt-BR"/>
                        </w:rPr>
                      </w:pPr>
                      <w:r w:rsidRPr="008C3D76">
                        <w:rPr>
                          <w:rFonts w:asciiTheme="minorHAnsi" w:hAnsiTheme="minorHAnsi"/>
                          <w:color w:val="FFFFFF" w:themeColor="background1"/>
                          <w:sz w:val="22"/>
                          <w:lang w:val="pt-BR"/>
                        </w:rPr>
                        <w:t>Doc. 113</w:t>
                      </w:r>
                    </w:p>
                    <w:p w:rsidR="005E4160" w:rsidRPr="004B7EB6" w:rsidRDefault="005E4160" w:rsidP="005E4160">
                      <w:pPr>
                        <w:jc w:val="right"/>
                        <w:rPr>
                          <w:rFonts w:asciiTheme="minorHAnsi" w:hAnsiTheme="minorHAnsi"/>
                          <w:color w:val="FFFFFF" w:themeColor="background1"/>
                          <w:sz w:val="22"/>
                        </w:rPr>
                      </w:pPr>
                      <w:r w:rsidRPr="008C3D76">
                        <w:rPr>
                          <w:rFonts w:asciiTheme="minorHAnsi" w:hAnsiTheme="minorHAnsi"/>
                          <w:color w:val="FFFFFF" w:themeColor="background1"/>
                          <w:sz w:val="22"/>
                          <w:lang w:val="pt-BR"/>
                        </w:rPr>
                        <w:t xml:space="preserve"> </w:t>
                      </w:r>
                      <w:r>
                        <w:rPr>
                          <w:rFonts w:asciiTheme="minorHAnsi" w:hAnsiTheme="minorHAnsi"/>
                          <w:color w:val="FFFFFF" w:themeColor="background1"/>
                          <w:sz w:val="22"/>
                        </w:rPr>
                        <w:t xml:space="preserve">24 </w:t>
                      </w:r>
                      <w:proofErr w:type="spellStart"/>
                      <w:r>
                        <w:rPr>
                          <w:rFonts w:asciiTheme="minorHAnsi" w:hAnsiTheme="minorHAnsi"/>
                          <w:color w:val="FFFFFF" w:themeColor="background1"/>
                          <w:sz w:val="22"/>
                        </w:rPr>
                        <w:t>abril</w:t>
                      </w:r>
                      <w:proofErr w:type="spellEnd"/>
                      <w:r>
                        <w:rPr>
                          <w:rFonts w:asciiTheme="minorHAnsi" w:hAnsiTheme="minorHAnsi"/>
                          <w:color w:val="FFFFFF" w:themeColor="background1"/>
                          <w:sz w:val="22"/>
                        </w:rPr>
                        <w:t xml:space="preserve"> 2020</w:t>
                      </w:r>
                    </w:p>
                    <w:p w:rsidR="005E4160" w:rsidRPr="004B7EB6" w:rsidRDefault="005E4160" w:rsidP="005E4160">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proofErr w:type="spellStart"/>
                      <w:r>
                        <w:rPr>
                          <w:rFonts w:asciiTheme="minorHAnsi" w:hAnsiTheme="minorHAnsi"/>
                          <w:color w:val="FFFFFF" w:themeColor="background1"/>
                          <w:sz w:val="22"/>
                        </w:rPr>
                        <w:t>inglés</w:t>
                      </w:r>
                      <w:proofErr w:type="spellEnd"/>
                    </w:p>
                  </w:txbxContent>
                </v:textbox>
              </v:shape>
            </w:pict>
          </mc:Fallback>
        </mc:AlternateContent>
      </w:r>
      <w:r w:rsidR="00D03F1E" w:rsidRPr="000C152D">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47C13D4E" wp14:editId="5B59C5E8">
                <wp:simplePos x="0" y="0"/>
                <wp:positionH relativeFrom="column">
                  <wp:posOffset>1209675</wp:posOffset>
                </wp:positionH>
                <wp:positionV relativeFrom="paragraph">
                  <wp:posOffset>79375</wp:posOffset>
                </wp:positionV>
                <wp:extent cx="4333875" cy="235077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5B" w:rsidRPr="001F607C" w:rsidRDefault="005E4160" w:rsidP="004C23D6">
                            <w:pPr>
                              <w:spacing w:line="276" w:lineRule="auto"/>
                              <w:rPr>
                                <w:rFonts w:asciiTheme="majorHAnsi" w:hAnsiTheme="majorHAnsi" w:cs="Arial"/>
                                <w:b/>
                                <w:bCs/>
                                <w:color w:val="0D0D0D" w:themeColor="text1" w:themeTint="F2"/>
                                <w:sz w:val="36"/>
                                <w:szCs w:val="40"/>
                                <w:lang w:val="es-US"/>
                              </w:rPr>
                            </w:pPr>
                            <w:r>
                              <w:rPr>
                                <w:rFonts w:asciiTheme="majorHAnsi" w:hAnsiTheme="majorHAnsi" w:cs="Arial"/>
                                <w:b/>
                                <w:bCs/>
                                <w:color w:val="0D0D0D" w:themeColor="text1" w:themeTint="F2"/>
                                <w:sz w:val="36"/>
                                <w:szCs w:val="40"/>
                                <w:lang w:val="es-US"/>
                              </w:rPr>
                              <w:t>INFORME No. 103</w:t>
                            </w:r>
                            <w:r w:rsidR="000D205B" w:rsidRPr="001F607C">
                              <w:rPr>
                                <w:rFonts w:asciiTheme="majorHAnsi" w:hAnsiTheme="majorHAnsi" w:cs="Arial"/>
                                <w:b/>
                                <w:bCs/>
                                <w:color w:val="0D0D0D" w:themeColor="text1" w:themeTint="F2"/>
                                <w:sz w:val="36"/>
                                <w:szCs w:val="40"/>
                                <w:lang w:val="es-US"/>
                              </w:rPr>
                              <w:t>/20</w:t>
                            </w:r>
                          </w:p>
                          <w:p w:rsidR="000D205B" w:rsidRPr="001F607C" w:rsidRDefault="000D205B" w:rsidP="004C23D6">
                            <w:pPr>
                              <w:spacing w:line="276" w:lineRule="auto"/>
                              <w:rPr>
                                <w:rFonts w:asciiTheme="majorHAnsi" w:hAnsiTheme="majorHAnsi" w:cs="Arial"/>
                                <w:b/>
                                <w:bCs/>
                                <w:color w:val="0D0D0D" w:themeColor="text1" w:themeTint="F2"/>
                                <w:sz w:val="36"/>
                                <w:szCs w:val="40"/>
                                <w:lang w:val="es-US"/>
                              </w:rPr>
                            </w:pPr>
                            <w:r w:rsidRPr="001F607C">
                              <w:rPr>
                                <w:rFonts w:asciiTheme="majorHAnsi" w:hAnsiTheme="majorHAnsi" w:cs="Arial"/>
                                <w:b/>
                                <w:bCs/>
                                <w:color w:val="0D0D0D" w:themeColor="text1" w:themeTint="F2"/>
                                <w:sz w:val="36"/>
                                <w:szCs w:val="40"/>
                                <w:lang w:val="es-US"/>
                              </w:rPr>
                              <w:t>PETICIÓN 417-12</w:t>
                            </w:r>
                          </w:p>
                          <w:p w:rsidR="000D205B" w:rsidRPr="001F607C" w:rsidRDefault="000D205B" w:rsidP="004C23D6">
                            <w:pPr>
                              <w:spacing w:line="276" w:lineRule="auto"/>
                              <w:rPr>
                                <w:rFonts w:asciiTheme="majorHAnsi" w:hAnsiTheme="majorHAnsi" w:cs="Arial"/>
                                <w:color w:val="0D0D0D" w:themeColor="text1" w:themeTint="F2"/>
                                <w:szCs w:val="22"/>
                                <w:lang w:val="es-US"/>
                              </w:rPr>
                            </w:pPr>
                            <w:r w:rsidRPr="001F607C">
                              <w:rPr>
                                <w:rFonts w:asciiTheme="majorHAnsi" w:hAnsiTheme="majorHAnsi" w:cs="Arial"/>
                                <w:color w:val="0D0D0D" w:themeColor="text1" w:themeTint="F2"/>
                                <w:szCs w:val="22"/>
                                <w:lang w:val="es-US"/>
                              </w:rPr>
                              <w:t xml:space="preserve">INFORME DE ADMISIBILIDAD </w:t>
                            </w:r>
                          </w:p>
                          <w:p w:rsidR="000D205B" w:rsidRPr="001F607C" w:rsidRDefault="000D205B" w:rsidP="004C23D6">
                            <w:pPr>
                              <w:spacing w:line="276" w:lineRule="auto"/>
                              <w:rPr>
                                <w:rFonts w:asciiTheme="majorHAnsi" w:hAnsiTheme="majorHAnsi" w:cs="Arial"/>
                                <w:color w:val="0D0D0D" w:themeColor="text1" w:themeTint="F2"/>
                                <w:szCs w:val="22"/>
                                <w:lang w:val="es-US"/>
                              </w:rPr>
                            </w:pPr>
                          </w:p>
                          <w:p w:rsidR="000D205B" w:rsidRPr="001F607C" w:rsidRDefault="00B32573" w:rsidP="004C23D6">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THAHE MOHAMMED SABAR</w:t>
                            </w:r>
                            <w:r w:rsidR="000D205B" w:rsidRPr="001F607C">
                              <w:rPr>
                                <w:rFonts w:asciiTheme="majorHAnsi" w:hAnsiTheme="majorHAnsi" w:cs="Arial"/>
                                <w:color w:val="0D0D0D" w:themeColor="text1" w:themeTint="F2"/>
                                <w:szCs w:val="22"/>
                                <w:lang w:val="es-US"/>
                              </w:rPr>
                              <w:t xml:space="preserve"> </w:t>
                            </w:r>
                            <w:r w:rsidR="00A52C33" w:rsidRPr="001F607C">
                              <w:rPr>
                                <w:rFonts w:asciiTheme="majorHAnsi" w:hAnsiTheme="majorHAnsi" w:cs="Arial"/>
                                <w:color w:val="0D0D0D" w:themeColor="text1" w:themeTint="F2"/>
                                <w:szCs w:val="22"/>
                                <w:lang w:val="es-US"/>
                              </w:rPr>
                              <w:t>Y OTROS</w:t>
                            </w:r>
                          </w:p>
                          <w:p w:rsidR="000D205B" w:rsidRPr="001F607C" w:rsidRDefault="000D205B" w:rsidP="004C23D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r w:rsidRPr="001F607C">
                              <w:rPr>
                                <w:rFonts w:ascii="Cambria" w:hAnsi="Cambria" w:cs="Arial"/>
                                <w:color w:val="0D0D0D"/>
                                <w:szCs w:val="22"/>
                                <w:lang w:val="es-US"/>
                              </w:rPr>
                              <w:t>ESTADOS UNIDOS DE AMÉRICA</w:t>
                            </w:r>
                          </w:p>
                          <w:p w:rsidR="000D205B" w:rsidRPr="001F607C" w:rsidRDefault="000D205B" w:rsidP="004C23D6">
                            <w:pPr>
                              <w:spacing w:line="276" w:lineRule="auto"/>
                              <w:rPr>
                                <w:rFonts w:asciiTheme="majorHAnsi" w:hAnsiTheme="majorHAnsi"/>
                                <w:color w:val="0D0D0D" w:themeColor="text1" w:themeTint="F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13D4E" id="Text Box 12" o:spid="_x0000_s1030" type="#_x0000_t202" style="position:absolute;left:0;text-align:left;margin-left:95.25pt;margin-top:6.25pt;width:341.25pt;height:18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" filled="f" stroked="f" strokeweight=".5pt">
                <v:path arrowok="t"/>
                <v:textbox>
                  <w:txbxContent>
                    <w:p w:rsidR="000D205B" w:rsidRPr="001F607C" w:rsidRDefault="005E4160" w:rsidP="004C23D6">
                      <w:pPr>
                        <w:spacing w:line="276" w:lineRule="auto"/>
                        <w:rPr>
                          <w:rFonts w:asciiTheme="majorHAnsi" w:hAnsiTheme="majorHAnsi" w:cs="Arial"/>
                          <w:b/>
                          <w:bCs/>
                          <w:color w:val="0D0D0D" w:themeColor="text1" w:themeTint="F2"/>
                          <w:sz w:val="36"/>
                          <w:szCs w:val="40"/>
                          <w:lang w:val="es-US"/>
                        </w:rPr>
                      </w:pPr>
                      <w:r>
                        <w:rPr>
                          <w:rFonts w:asciiTheme="majorHAnsi" w:hAnsiTheme="majorHAnsi" w:cs="Arial"/>
                          <w:b/>
                          <w:bCs/>
                          <w:color w:val="0D0D0D" w:themeColor="text1" w:themeTint="F2"/>
                          <w:sz w:val="36"/>
                          <w:szCs w:val="40"/>
                          <w:lang w:val="es-US"/>
                        </w:rPr>
                        <w:t>INFORME No. 103</w:t>
                      </w:r>
                      <w:r w:rsidR="000D205B" w:rsidRPr="001F607C">
                        <w:rPr>
                          <w:rFonts w:asciiTheme="majorHAnsi" w:hAnsiTheme="majorHAnsi" w:cs="Arial"/>
                          <w:b/>
                          <w:bCs/>
                          <w:color w:val="0D0D0D" w:themeColor="text1" w:themeTint="F2"/>
                          <w:sz w:val="36"/>
                          <w:szCs w:val="40"/>
                          <w:lang w:val="es-US"/>
                        </w:rPr>
                        <w:t>/20</w:t>
                      </w:r>
                    </w:p>
                    <w:p w:rsidR="000D205B" w:rsidRPr="001F607C" w:rsidRDefault="000D205B" w:rsidP="004C23D6">
                      <w:pPr>
                        <w:spacing w:line="276" w:lineRule="auto"/>
                        <w:rPr>
                          <w:rFonts w:asciiTheme="majorHAnsi" w:hAnsiTheme="majorHAnsi" w:cs="Arial"/>
                          <w:b/>
                          <w:bCs/>
                          <w:color w:val="0D0D0D" w:themeColor="text1" w:themeTint="F2"/>
                          <w:sz w:val="36"/>
                          <w:szCs w:val="40"/>
                          <w:lang w:val="es-US"/>
                        </w:rPr>
                      </w:pPr>
                      <w:r w:rsidRPr="001F607C">
                        <w:rPr>
                          <w:rFonts w:asciiTheme="majorHAnsi" w:hAnsiTheme="majorHAnsi" w:cs="Arial"/>
                          <w:b/>
                          <w:bCs/>
                          <w:color w:val="0D0D0D" w:themeColor="text1" w:themeTint="F2"/>
                          <w:sz w:val="36"/>
                          <w:szCs w:val="40"/>
                          <w:lang w:val="es-US"/>
                        </w:rPr>
                        <w:t>PETICIÓN 417-12</w:t>
                      </w:r>
                    </w:p>
                    <w:p w:rsidR="000D205B" w:rsidRPr="001F607C" w:rsidRDefault="000D205B" w:rsidP="004C23D6">
                      <w:pPr>
                        <w:spacing w:line="276" w:lineRule="auto"/>
                        <w:rPr>
                          <w:rFonts w:asciiTheme="majorHAnsi" w:hAnsiTheme="majorHAnsi" w:cs="Arial"/>
                          <w:color w:val="0D0D0D" w:themeColor="text1" w:themeTint="F2"/>
                          <w:szCs w:val="22"/>
                          <w:lang w:val="es-US"/>
                        </w:rPr>
                      </w:pPr>
                      <w:r w:rsidRPr="001F607C">
                        <w:rPr>
                          <w:rFonts w:asciiTheme="majorHAnsi" w:hAnsiTheme="majorHAnsi" w:cs="Arial"/>
                          <w:color w:val="0D0D0D" w:themeColor="text1" w:themeTint="F2"/>
                          <w:szCs w:val="22"/>
                          <w:lang w:val="es-US"/>
                        </w:rPr>
                        <w:t xml:space="preserve">INFORME DE ADMISIBILIDAD </w:t>
                      </w:r>
                    </w:p>
                    <w:p w:rsidR="000D205B" w:rsidRPr="001F607C" w:rsidRDefault="000D205B" w:rsidP="004C23D6">
                      <w:pPr>
                        <w:spacing w:line="276" w:lineRule="auto"/>
                        <w:rPr>
                          <w:rFonts w:asciiTheme="majorHAnsi" w:hAnsiTheme="majorHAnsi" w:cs="Arial"/>
                          <w:color w:val="0D0D0D" w:themeColor="text1" w:themeTint="F2"/>
                          <w:szCs w:val="22"/>
                          <w:lang w:val="es-US"/>
                        </w:rPr>
                      </w:pPr>
                    </w:p>
                    <w:p w:rsidR="000D205B" w:rsidRPr="001F607C" w:rsidRDefault="00B32573" w:rsidP="004C23D6">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THAHE MOHAMMED SABAR</w:t>
                      </w:r>
                      <w:r w:rsidR="000D205B" w:rsidRPr="001F607C">
                        <w:rPr>
                          <w:rFonts w:asciiTheme="majorHAnsi" w:hAnsiTheme="majorHAnsi" w:cs="Arial"/>
                          <w:color w:val="0D0D0D" w:themeColor="text1" w:themeTint="F2"/>
                          <w:szCs w:val="22"/>
                          <w:lang w:val="es-US"/>
                        </w:rPr>
                        <w:t xml:space="preserve"> </w:t>
                      </w:r>
                      <w:r w:rsidR="00A52C33" w:rsidRPr="001F607C">
                        <w:rPr>
                          <w:rFonts w:asciiTheme="majorHAnsi" w:hAnsiTheme="majorHAnsi" w:cs="Arial"/>
                          <w:color w:val="0D0D0D" w:themeColor="text1" w:themeTint="F2"/>
                          <w:szCs w:val="22"/>
                          <w:lang w:val="es-US"/>
                        </w:rPr>
                        <w:t>Y OTROS</w:t>
                      </w:r>
                    </w:p>
                    <w:p w:rsidR="000D205B" w:rsidRPr="001F607C" w:rsidRDefault="000D205B" w:rsidP="004C23D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r w:rsidRPr="001F607C">
                        <w:rPr>
                          <w:rFonts w:ascii="Cambria" w:hAnsi="Cambria" w:cs="Arial"/>
                          <w:color w:val="0D0D0D"/>
                          <w:szCs w:val="22"/>
                          <w:lang w:val="es-US"/>
                        </w:rPr>
                        <w:t>ESTADOS UNIDOS DE AMÉRICA</w:t>
                      </w:r>
                    </w:p>
                    <w:p w:rsidR="000D205B" w:rsidRPr="001F607C" w:rsidRDefault="000D205B" w:rsidP="004C23D6">
                      <w:pPr>
                        <w:spacing w:line="276" w:lineRule="auto"/>
                        <w:rPr>
                          <w:rFonts w:asciiTheme="majorHAnsi" w:hAnsiTheme="majorHAnsi"/>
                          <w:color w:val="0D0D0D" w:themeColor="text1" w:themeTint="F2"/>
                          <w:lang w:val="es-US"/>
                        </w:rPr>
                      </w:pPr>
                    </w:p>
                  </w:txbxContent>
                </v:textbox>
              </v:shape>
            </w:pict>
          </mc:Fallback>
        </mc:AlternateContent>
      </w:r>
      <w:r w:rsidR="00D03F1E" w:rsidRPr="000C152D">
        <w:rPr>
          <w:rFonts w:asciiTheme="majorHAnsi" w:hAnsiTheme="majorHAnsi"/>
          <w:noProof/>
          <w:sz w:val="22"/>
          <w:szCs w:val="22"/>
        </w:rPr>
        <mc:AlternateContent>
          <mc:Choice Requires="wps">
            <w:drawing>
              <wp:anchor distT="0" distB="0" distL="114300" distR="114300" simplePos="0" relativeHeight="251687936" behindDoc="0" locked="0" layoutInCell="1" allowOverlap="1" wp14:anchorId="1E0A36B1" wp14:editId="08E0DCE0">
                <wp:simplePos x="0" y="0"/>
                <wp:positionH relativeFrom="column">
                  <wp:posOffset>-371475</wp:posOffset>
                </wp:positionH>
                <wp:positionV relativeFrom="paragraph">
                  <wp:posOffset>127000</wp:posOffset>
                </wp:positionV>
                <wp:extent cx="1334135" cy="137731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5B" w:rsidRPr="00466D0B" w:rsidRDefault="000D205B" w:rsidP="004C23D6">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OEA/Ser.L/V/II.1</w:t>
                            </w:r>
                            <w:r w:rsidRPr="00466D0B">
                              <w:rPr>
                                <w:rFonts w:asciiTheme="minorHAnsi" w:hAnsiTheme="minorHAnsi"/>
                                <w:color w:val="FF0000"/>
                                <w:sz w:val="22"/>
                                <w:lang w:val="pt-BR"/>
                              </w:rPr>
                              <w:t>XX</w:t>
                            </w:r>
                          </w:p>
                          <w:p w:rsidR="000D205B" w:rsidRPr="00466D0B" w:rsidRDefault="000D205B" w:rsidP="004C23D6">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Pr="00466D0B">
                              <w:rPr>
                                <w:rFonts w:asciiTheme="minorHAnsi" w:hAnsiTheme="minorHAnsi"/>
                                <w:color w:val="FF0000"/>
                                <w:sz w:val="22"/>
                                <w:lang w:val="pt-BR"/>
                              </w:rPr>
                              <w:t>XX</w:t>
                            </w:r>
                          </w:p>
                          <w:p w:rsidR="000D205B" w:rsidRPr="004B7EB6" w:rsidRDefault="000D205B" w:rsidP="004C23D6">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Pr="000C4365">
                              <w:rPr>
                                <w:rFonts w:asciiTheme="minorHAnsi" w:hAnsiTheme="minorHAnsi"/>
                                <w:color w:val="FF0000"/>
                                <w:sz w:val="22"/>
                              </w:rPr>
                              <w:t>Month day</w:t>
                            </w:r>
                            <w:r>
                              <w:rPr>
                                <w:rFonts w:asciiTheme="minorHAnsi" w:hAnsiTheme="minorHAnsi"/>
                                <w:color w:val="FFFFFF" w:themeColor="background1"/>
                                <w:sz w:val="22"/>
                              </w:rPr>
                              <w:t>, 2020</w:t>
                            </w:r>
                          </w:p>
                          <w:p w:rsidR="000D205B" w:rsidRPr="004B7EB6" w:rsidRDefault="000D205B" w:rsidP="004C23D6">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5C34B3">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A36B1" id="Text Box 13" o:spid="_x0000_s1031" type="#_x0000_t202" style="position:absolute;left:0;text-align:left;margin-left:-29.25pt;margin-top:10pt;width:105.05pt;height:10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" filled="f" stroked="f" strokeweight=".5pt">
                <v:path arrowok="t"/>
                <v:textbox>
                  <w:txbxContent>
                    <w:p w:rsidR="000D205B" w:rsidRPr="00466D0B" w:rsidRDefault="000D205B" w:rsidP="004C23D6">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OEA/Ser.L/V/II.1</w:t>
                      </w:r>
                      <w:r w:rsidRPr="00466D0B">
                        <w:rPr>
                          <w:rFonts w:asciiTheme="minorHAnsi" w:hAnsiTheme="minorHAnsi"/>
                          <w:color w:val="FF0000"/>
                          <w:sz w:val="22"/>
                          <w:lang w:val="pt-BR"/>
                        </w:rPr>
                        <w:t>XX</w:t>
                      </w:r>
                    </w:p>
                    <w:p w:rsidR="000D205B" w:rsidRPr="00466D0B" w:rsidRDefault="000D205B" w:rsidP="004C23D6">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Pr="00466D0B">
                        <w:rPr>
                          <w:rFonts w:asciiTheme="minorHAnsi" w:hAnsiTheme="minorHAnsi"/>
                          <w:color w:val="FF0000"/>
                          <w:sz w:val="22"/>
                          <w:lang w:val="pt-BR"/>
                        </w:rPr>
                        <w:t>XX</w:t>
                      </w:r>
                    </w:p>
                    <w:p w:rsidR="000D205B" w:rsidRPr="004B7EB6" w:rsidRDefault="000D205B" w:rsidP="004C23D6">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Pr="000C4365">
                        <w:rPr>
                          <w:rFonts w:asciiTheme="minorHAnsi" w:hAnsiTheme="minorHAnsi"/>
                          <w:color w:val="FF0000"/>
                          <w:sz w:val="22"/>
                        </w:rPr>
                        <w:t>Month day</w:t>
                      </w:r>
                      <w:r>
                        <w:rPr>
                          <w:rFonts w:asciiTheme="minorHAnsi" w:hAnsiTheme="minorHAnsi"/>
                          <w:color w:val="FFFFFF" w:themeColor="background1"/>
                          <w:sz w:val="22"/>
                        </w:rPr>
                        <w:t>, 2020</w:t>
                      </w:r>
                    </w:p>
                    <w:p w:rsidR="000D205B" w:rsidRPr="004B7EB6" w:rsidRDefault="000D205B" w:rsidP="004C23D6">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5C34B3">
                        <w:rPr>
                          <w:rFonts w:asciiTheme="minorHAnsi" w:hAnsiTheme="minorHAnsi"/>
                          <w:color w:val="FFFFFF" w:themeColor="background1"/>
                          <w:sz w:val="22"/>
                        </w:rPr>
                        <w:t>English</w:t>
                      </w:r>
                    </w:p>
                  </w:txbxContent>
                </v:textbox>
              </v:shape>
            </w:pict>
          </mc:Fallback>
        </mc:AlternateContent>
      </w:r>
    </w:p>
    <w:p w:rsidR="00D03F1E" w:rsidRPr="000C152D" w:rsidRDefault="00D03F1E" w:rsidP="00040C3A">
      <w:pPr>
        <w:tabs>
          <w:tab w:val="center" w:pos="5400"/>
        </w:tabs>
        <w:suppressAutoHyphens/>
        <w:jc w:val="center"/>
        <w:rPr>
          <w:rFonts w:asciiTheme="majorHAnsi" w:hAnsiTheme="majorHAnsi"/>
          <w:sz w:val="22"/>
          <w:szCs w:val="22"/>
          <w:lang w:val="es-CO"/>
        </w:rPr>
      </w:pPr>
    </w:p>
    <w:p w:rsidR="00D03F1E" w:rsidRPr="000C152D" w:rsidRDefault="00D03F1E" w:rsidP="00040C3A">
      <w:pPr>
        <w:tabs>
          <w:tab w:val="center" w:pos="5400"/>
        </w:tabs>
        <w:suppressAutoHyphens/>
        <w:jc w:val="center"/>
        <w:rPr>
          <w:rFonts w:asciiTheme="majorHAnsi" w:hAnsiTheme="majorHAnsi" w:cs="Arial"/>
          <w:sz w:val="22"/>
          <w:szCs w:val="22"/>
          <w:lang w:val="es-CO"/>
        </w:rPr>
      </w:pPr>
    </w:p>
    <w:p w:rsidR="00D03F1E" w:rsidRPr="000C152D" w:rsidRDefault="00D03F1E" w:rsidP="00040C3A">
      <w:pPr>
        <w:tabs>
          <w:tab w:val="center" w:pos="5400"/>
        </w:tabs>
        <w:suppressAutoHyphens/>
        <w:jc w:val="center"/>
        <w:rPr>
          <w:rFonts w:asciiTheme="majorHAnsi" w:hAnsiTheme="majorHAnsi"/>
          <w:sz w:val="22"/>
          <w:szCs w:val="22"/>
          <w:lang w:val="es-CO"/>
        </w:rPr>
      </w:pPr>
    </w:p>
    <w:p w:rsidR="00D03F1E" w:rsidRPr="000C152D" w:rsidRDefault="00D03F1E" w:rsidP="00040C3A">
      <w:pPr>
        <w:tabs>
          <w:tab w:val="center" w:pos="5400"/>
        </w:tabs>
        <w:suppressAutoHyphens/>
        <w:jc w:val="center"/>
        <w:rPr>
          <w:rFonts w:asciiTheme="majorHAnsi" w:hAnsiTheme="majorHAnsi"/>
          <w:sz w:val="22"/>
          <w:szCs w:val="22"/>
          <w:lang w:val="es-CO"/>
        </w:rPr>
      </w:pPr>
    </w:p>
    <w:p w:rsidR="00D03F1E" w:rsidRPr="000C152D" w:rsidRDefault="00D03F1E" w:rsidP="00040C3A">
      <w:pPr>
        <w:tabs>
          <w:tab w:val="center" w:pos="5400"/>
        </w:tabs>
        <w:suppressAutoHyphens/>
        <w:jc w:val="center"/>
        <w:rPr>
          <w:rFonts w:asciiTheme="majorHAnsi" w:hAnsiTheme="majorHAnsi"/>
          <w:sz w:val="22"/>
          <w:szCs w:val="22"/>
          <w:lang w:val="es-CO"/>
        </w:rPr>
      </w:pPr>
    </w:p>
    <w:p w:rsidR="00D03F1E" w:rsidRPr="000C152D" w:rsidRDefault="00D03F1E" w:rsidP="00040C3A">
      <w:pPr>
        <w:tabs>
          <w:tab w:val="center" w:pos="5400"/>
        </w:tabs>
        <w:suppressAutoHyphens/>
        <w:jc w:val="center"/>
        <w:rPr>
          <w:rFonts w:asciiTheme="majorHAnsi" w:hAnsiTheme="majorHAnsi"/>
          <w:sz w:val="22"/>
          <w:szCs w:val="22"/>
          <w:lang w:val="es-CO"/>
        </w:rPr>
      </w:pPr>
    </w:p>
    <w:p w:rsidR="00D03F1E" w:rsidRPr="000C152D" w:rsidRDefault="00D03F1E" w:rsidP="00040C3A">
      <w:pPr>
        <w:tabs>
          <w:tab w:val="center" w:pos="5400"/>
        </w:tabs>
        <w:suppressAutoHyphens/>
        <w:jc w:val="center"/>
        <w:rPr>
          <w:rFonts w:asciiTheme="majorHAnsi" w:hAnsiTheme="majorHAnsi"/>
          <w:sz w:val="22"/>
          <w:szCs w:val="22"/>
          <w:lang w:val="es-CO"/>
        </w:rPr>
      </w:pPr>
    </w:p>
    <w:p w:rsidR="00D03F1E" w:rsidRPr="000C152D" w:rsidRDefault="00D03F1E" w:rsidP="00040C3A">
      <w:pPr>
        <w:tabs>
          <w:tab w:val="center" w:pos="5400"/>
        </w:tabs>
        <w:suppressAutoHyphens/>
        <w:jc w:val="center"/>
        <w:rPr>
          <w:rFonts w:asciiTheme="majorHAnsi" w:hAnsiTheme="majorHAnsi"/>
          <w:sz w:val="22"/>
          <w:szCs w:val="22"/>
          <w:lang w:val="es-CO"/>
        </w:rPr>
      </w:pPr>
    </w:p>
    <w:p w:rsidR="00D03F1E" w:rsidRPr="000C152D" w:rsidRDefault="00D03F1E" w:rsidP="00040C3A">
      <w:pPr>
        <w:tabs>
          <w:tab w:val="center" w:pos="5400"/>
        </w:tabs>
        <w:suppressAutoHyphens/>
        <w:jc w:val="center"/>
        <w:rPr>
          <w:rFonts w:asciiTheme="majorHAnsi" w:hAnsiTheme="majorHAnsi"/>
          <w:sz w:val="22"/>
          <w:szCs w:val="22"/>
          <w:lang w:val="es-CO"/>
        </w:rPr>
      </w:pPr>
    </w:p>
    <w:p w:rsidR="00D03F1E" w:rsidRPr="000C152D" w:rsidRDefault="00D03F1E" w:rsidP="00040C3A">
      <w:pPr>
        <w:tabs>
          <w:tab w:val="center" w:pos="5400"/>
        </w:tabs>
        <w:suppressAutoHyphens/>
        <w:jc w:val="center"/>
        <w:rPr>
          <w:rFonts w:asciiTheme="majorHAnsi" w:hAnsiTheme="majorHAnsi"/>
          <w:sz w:val="22"/>
          <w:szCs w:val="22"/>
          <w:lang w:val="es-CO"/>
        </w:rPr>
      </w:pPr>
    </w:p>
    <w:p w:rsidR="00D03F1E" w:rsidRPr="000C152D" w:rsidRDefault="00D03F1E" w:rsidP="00040C3A">
      <w:pPr>
        <w:tabs>
          <w:tab w:val="center" w:pos="5400"/>
        </w:tabs>
        <w:suppressAutoHyphens/>
        <w:jc w:val="center"/>
        <w:rPr>
          <w:rFonts w:asciiTheme="majorHAnsi" w:hAnsiTheme="majorHAnsi"/>
          <w:sz w:val="22"/>
          <w:szCs w:val="22"/>
          <w:lang w:val="es-CO"/>
        </w:rPr>
      </w:pPr>
    </w:p>
    <w:p w:rsidR="00D03F1E" w:rsidRPr="000C152D" w:rsidRDefault="00D03F1E" w:rsidP="00040C3A">
      <w:pPr>
        <w:tabs>
          <w:tab w:val="center" w:pos="5400"/>
        </w:tabs>
        <w:suppressAutoHyphens/>
        <w:jc w:val="center"/>
        <w:rPr>
          <w:rFonts w:asciiTheme="majorHAnsi" w:hAnsiTheme="majorHAnsi"/>
          <w:sz w:val="22"/>
          <w:szCs w:val="22"/>
          <w:lang w:val="es-CO"/>
        </w:rPr>
      </w:pPr>
    </w:p>
    <w:p w:rsidR="00D03F1E" w:rsidRPr="000C152D" w:rsidRDefault="00D03F1E" w:rsidP="00040C3A">
      <w:pPr>
        <w:tabs>
          <w:tab w:val="center" w:pos="5400"/>
        </w:tabs>
        <w:suppressAutoHyphens/>
        <w:jc w:val="center"/>
        <w:rPr>
          <w:rFonts w:asciiTheme="majorHAnsi" w:hAnsiTheme="majorHAnsi"/>
          <w:sz w:val="22"/>
          <w:szCs w:val="22"/>
          <w:lang w:val="es-CO"/>
        </w:rPr>
      </w:pPr>
    </w:p>
    <w:p w:rsidR="00D03F1E" w:rsidRPr="000C152D" w:rsidRDefault="00D03F1E" w:rsidP="00040C3A">
      <w:pPr>
        <w:tabs>
          <w:tab w:val="center" w:pos="5400"/>
        </w:tabs>
        <w:suppressAutoHyphens/>
        <w:jc w:val="center"/>
        <w:rPr>
          <w:rFonts w:asciiTheme="majorHAnsi" w:hAnsiTheme="majorHAnsi"/>
          <w:sz w:val="18"/>
          <w:szCs w:val="22"/>
          <w:lang w:val="es-CO"/>
        </w:rPr>
      </w:pPr>
    </w:p>
    <w:p w:rsidR="00D03F1E" w:rsidRPr="000C152D" w:rsidRDefault="00D03F1E" w:rsidP="00040C3A">
      <w:pPr>
        <w:tabs>
          <w:tab w:val="center" w:pos="5400"/>
        </w:tabs>
        <w:suppressAutoHyphens/>
        <w:jc w:val="center"/>
        <w:rPr>
          <w:rFonts w:asciiTheme="majorHAnsi" w:hAnsiTheme="majorHAnsi"/>
          <w:sz w:val="18"/>
          <w:szCs w:val="22"/>
          <w:lang w:val="es-CO"/>
        </w:rPr>
      </w:pPr>
    </w:p>
    <w:p w:rsidR="00D03F1E" w:rsidRPr="000C152D" w:rsidRDefault="00D03F1E" w:rsidP="00040C3A">
      <w:pPr>
        <w:tabs>
          <w:tab w:val="center" w:pos="5400"/>
        </w:tabs>
        <w:suppressAutoHyphens/>
        <w:jc w:val="center"/>
        <w:rPr>
          <w:rFonts w:asciiTheme="majorHAnsi" w:hAnsiTheme="majorHAnsi"/>
          <w:sz w:val="18"/>
          <w:szCs w:val="22"/>
          <w:lang w:val="es-CO"/>
        </w:rPr>
      </w:pPr>
    </w:p>
    <w:p w:rsidR="00D03F1E" w:rsidRPr="000C152D" w:rsidRDefault="00D03F1E" w:rsidP="00040C3A">
      <w:pPr>
        <w:tabs>
          <w:tab w:val="center" w:pos="5400"/>
        </w:tabs>
        <w:suppressAutoHyphens/>
        <w:jc w:val="center"/>
        <w:rPr>
          <w:rFonts w:asciiTheme="majorHAnsi" w:hAnsiTheme="majorHAnsi"/>
          <w:sz w:val="18"/>
          <w:szCs w:val="22"/>
          <w:lang w:val="es-CO"/>
        </w:rPr>
      </w:pPr>
    </w:p>
    <w:p w:rsidR="00D03F1E" w:rsidRPr="000C152D" w:rsidRDefault="00D03F1E" w:rsidP="00040C3A">
      <w:pPr>
        <w:tabs>
          <w:tab w:val="center" w:pos="5400"/>
        </w:tabs>
        <w:suppressAutoHyphens/>
        <w:jc w:val="center"/>
        <w:rPr>
          <w:rFonts w:asciiTheme="majorHAnsi" w:hAnsiTheme="majorHAnsi"/>
          <w:sz w:val="18"/>
          <w:szCs w:val="22"/>
          <w:lang w:val="es-CO"/>
        </w:rPr>
      </w:pPr>
    </w:p>
    <w:p w:rsidR="00D03F1E" w:rsidRPr="000C152D" w:rsidRDefault="00D03F1E" w:rsidP="00040C3A">
      <w:pPr>
        <w:tabs>
          <w:tab w:val="center" w:pos="5400"/>
        </w:tabs>
        <w:suppressAutoHyphens/>
        <w:jc w:val="center"/>
        <w:rPr>
          <w:rFonts w:asciiTheme="majorHAnsi" w:hAnsiTheme="majorHAnsi"/>
          <w:sz w:val="18"/>
          <w:szCs w:val="22"/>
          <w:lang w:val="es-CO"/>
        </w:rPr>
      </w:pPr>
    </w:p>
    <w:p w:rsidR="00D03F1E" w:rsidRPr="000C152D" w:rsidRDefault="00D03F1E" w:rsidP="00040C3A">
      <w:pPr>
        <w:tabs>
          <w:tab w:val="center" w:pos="5400"/>
        </w:tabs>
        <w:suppressAutoHyphens/>
        <w:jc w:val="center"/>
        <w:rPr>
          <w:rFonts w:asciiTheme="majorHAnsi" w:hAnsiTheme="majorHAnsi"/>
          <w:sz w:val="18"/>
          <w:szCs w:val="22"/>
          <w:lang w:val="es-CO"/>
        </w:rPr>
      </w:pPr>
    </w:p>
    <w:p w:rsidR="00D03F1E" w:rsidRPr="000C152D" w:rsidRDefault="00D03F1E" w:rsidP="00040C3A">
      <w:pPr>
        <w:tabs>
          <w:tab w:val="center" w:pos="5400"/>
        </w:tabs>
        <w:suppressAutoHyphens/>
        <w:jc w:val="center"/>
        <w:rPr>
          <w:rFonts w:asciiTheme="majorHAnsi" w:hAnsiTheme="majorHAnsi"/>
          <w:sz w:val="18"/>
          <w:szCs w:val="22"/>
          <w:lang w:val="es-CO"/>
        </w:rPr>
      </w:pPr>
    </w:p>
    <w:p w:rsidR="00D03F1E" w:rsidRPr="000C152D" w:rsidRDefault="00D03F1E" w:rsidP="00040C3A">
      <w:pPr>
        <w:tabs>
          <w:tab w:val="center" w:pos="5400"/>
        </w:tabs>
        <w:suppressAutoHyphens/>
        <w:jc w:val="center"/>
        <w:rPr>
          <w:rFonts w:asciiTheme="majorHAnsi" w:hAnsiTheme="majorHAnsi"/>
          <w:sz w:val="18"/>
          <w:szCs w:val="22"/>
          <w:lang w:val="es-CO"/>
        </w:rPr>
      </w:pPr>
    </w:p>
    <w:p w:rsidR="00D03F1E" w:rsidRPr="000C152D" w:rsidRDefault="00D03F1E" w:rsidP="00040C3A">
      <w:pPr>
        <w:tabs>
          <w:tab w:val="center" w:pos="5400"/>
        </w:tabs>
        <w:suppressAutoHyphens/>
        <w:jc w:val="center"/>
        <w:rPr>
          <w:rFonts w:asciiTheme="majorHAnsi" w:hAnsiTheme="majorHAnsi"/>
          <w:sz w:val="18"/>
          <w:szCs w:val="22"/>
          <w:lang w:val="es-CO"/>
        </w:rPr>
      </w:pPr>
    </w:p>
    <w:p w:rsidR="00D03F1E" w:rsidRPr="000C152D" w:rsidRDefault="00D03F1E" w:rsidP="00040C3A">
      <w:pPr>
        <w:tabs>
          <w:tab w:val="center" w:pos="5400"/>
        </w:tabs>
        <w:suppressAutoHyphens/>
        <w:jc w:val="center"/>
        <w:rPr>
          <w:rFonts w:asciiTheme="majorHAnsi" w:hAnsiTheme="majorHAnsi"/>
          <w:sz w:val="18"/>
          <w:szCs w:val="22"/>
          <w:lang w:val="es-CO"/>
        </w:rPr>
      </w:pPr>
    </w:p>
    <w:p w:rsidR="00D03F1E" w:rsidRPr="000C152D" w:rsidRDefault="00D03F1E" w:rsidP="00040C3A">
      <w:pPr>
        <w:tabs>
          <w:tab w:val="center" w:pos="5400"/>
        </w:tabs>
        <w:suppressAutoHyphens/>
        <w:jc w:val="center"/>
        <w:rPr>
          <w:rFonts w:asciiTheme="majorHAnsi" w:hAnsiTheme="majorHAnsi"/>
          <w:sz w:val="18"/>
          <w:szCs w:val="22"/>
          <w:lang w:val="es-CO"/>
        </w:rPr>
      </w:pPr>
    </w:p>
    <w:p w:rsidR="00D03F1E" w:rsidRPr="000C152D" w:rsidRDefault="00D03F1E" w:rsidP="00040C3A">
      <w:pPr>
        <w:tabs>
          <w:tab w:val="center" w:pos="5400"/>
        </w:tabs>
        <w:suppressAutoHyphens/>
        <w:jc w:val="center"/>
        <w:rPr>
          <w:rFonts w:asciiTheme="majorHAnsi" w:hAnsiTheme="majorHAnsi"/>
          <w:sz w:val="18"/>
          <w:szCs w:val="22"/>
          <w:lang w:val="es-CO"/>
        </w:rPr>
      </w:pPr>
      <w:r w:rsidRPr="000C152D">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586362C" wp14:editId="78D903AF">
                <wp:simplePos x="0" y="0"/>
                <wp:positionH relativeFrom="column">
                  <wp:posOffset>1207135</wp:posOffset>
                </wp:positionH>
                <wp:positionV relativeFrom="paragraph">
                  <wp:posOffset>67945</wp:posOffset>
                </wp:positionV>
                <wp:extent cx="4595495" cy="5048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5B" w:rsidRPr="00433273" w:rsidRDefault="000D205B" w:rsidP="004165C2">
                            <w:pPr>
                              <w:tabs>
                                <w:tab w:val="center" w:pos="5400"/>
                              </w:tabs>
                              <w:suppressAutoHyphens/>
                              <w:spacing w:before="60"/>
                              <w:rPr>
                                <w:rFonts w:asciiTheme="majorHAnsi" w:hAnsiTheme="majorHAnsi"/>
                                <w:color w:val="0D0D0D" w:themeColor="text1" w:themeTint="F2"/>
                                <w:sz w:val="18"/>
                                <w:szCs w:val="22"/>
                                <w:lang w:val="es-ES"/>
                              </w:rPr>
                            </w:pPr>
                            <w:r w:rsidRPr="00433273">
                              <w:rPr>
                                <w:rFonts w:asciiTheme="majorHAnsi" w:hAnsiTheme="majorHAnsi"/>
                                <w:color w:val="0D0D0D" w:themeColor="text1" w:themeTint="F2"/>
                                <w:sz w:val="18"/>
                                <w:szCs w:val="20"/>
                                <w:lang w:val="es-ES"/>
                              </w:rPr>
                              <w:t>Aprobado</w:t>
                            </w:r>
                            <w:r w:rsidR="005E4160">
                              <w:rPr>
                                <w:rFonts w:asciiTheme="majorHAnsi" w:hAnsiTheme="majorHAnsi"/>
                                <w:color w:val="0D0D0D" w:themeColor="text1" w:themeTint="F2"/>
                                <w:sz w:val="18"/>
                                <w:szCs w:val="20"/>
                                <w:lang w:val="es-ES"/>
                              </w:rPr>
                              <w:t xml:space="preserve"> </w:t>
                            </w:r>
                            <w:proofErr w:type="spellStart"/>
                            <w:r w:rsidR="005E4160">
                              <w:rPr>
                                <w:rFonts w:asciiTheme="majorHAnsi" w:hAnsiTheme="majorHAnsi"/>
                                <w:color w:val="0D0D0D" w:themeColor="text1" w:themeTint="F2"/>
                                <w:sz w:val="18"/>
                                <w:szCs w:val="20"/>
                                <w:lang w:val="es-ES"/>
                              </w:rPr>
                              <w:t>electronicamente</w:t>
                            </w:r>
                            <w:proofErr w:type="spellEnd"/>
                            <w:r w:rsidRPr="00433273">
                              <w:rPr>
                                <w:rFonts w:asciiTheme="majorHAnsi" w:hAnsiTheme="majorHAnsi"/>
                                <w:color w:val="0D0D0D" w:themeColor="text1" w:themeTint="F2"/>
                                <w:sz w:val="18"/>
                                <w:szCs w:val="20"/>
                                <w:lang w:val="es-ES"/>
                              </w:rPr>
                              <w:t xml:space="preserve"> por la Comisión el </w:t>
                            </w:r>
                            <w:r w:rsidR="005E4160">
                              <w:rPr>
                                <w:rFonts w:asciiTheme="majorHAnsi" w:hAnsiTheme="majorHAnsi"/>
                                <w:color w:val="0D0D0D" w:themeColor="text1" w:themeTint="F2"/>
                                <w:sz w:val="18"/>
                                <w:szCs w:val="20"/>
                                <w:lang w:val="es-ES"/>
                              </w:rPr>
                              <w:t>24</w:t>
                            </w:r>
                            <w:r w:rsidRPr="00433273">
                              <w:rPr>
                                <w:rFonts w:asciiTheme="majorHAnsi" w:hAnsiTheme="majorHAnsi"/>
                                <w:color w:val="0D0D0D" w:themeColor="text1" w:themeTint="F2"/>
                                <w:sz w:val="18"/>
                                <w:szCs w:val="20"/>
                                <w:lang w:val="es-ES"/>
                              </w:rPr>
                              <w:t xml:space="preserve"> de </w:t>
                            </w:r>
                            <w:r w:rsidR="005E4160">
                              <w:rPr>
                                <w:rFonts w:asciiTheme="majorHAnsi" w:hAnsiTheme="majorHAnsi"/>
                                <w:color w:val="0D0D0D" w:themeColor="text1" w:themeTint="F2"/>
                                <w:sz w:val="18"/>
                                <w:szCs w:val="20"/>
                                <w:lang w:val="es-ES"/>
                              </w:rPr>
                              <w:t>abril</w:t>
                            </w:r>
                            <w:r w:rsidRPr="00433273">
                              <w:rPr>
                                <w:rFonts w:asciiTheme="majorHAnsi" w:hAnsiTheme="majorHAnsi"/>
                                <w:color w:val="0D0D0D" w:themeColor="text1" w:themeTint="F2"/>
                                <w:sz w:val="18"/>
                                <w:szCs w:val="20"/>
                                <w:lang w:val="es-ES"/>
                              </w:rPr>
                              <w:t xml:space="preserve"> de 2020</w:t>
                            </w:r>
                            <w:r w:rsidR="00977BC3">
                              <w:rPr>
                                <w:rFonts w:asciiTheme="majorHAnsi" w:hAnsiTheme="majorHAnsi"/>
                                <w:color w:val="0D0D0D" w:themeColor="text1" w:themeTint="F2"/>
                                <w:sz w:val="18"/>
                                <w:szCs w:val="20"/>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362C" id="Text Box 14" o:spid="_x0000_s1032" type="#_x0000_t202" style="position:absolute;left:0;text-align:left;margin-left:95.05pt;margin-top:5.35pt;width:361.8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" filled="f" stroked="f" strokeweight=".5pt">
                <v:path arrowok="t"/>
                <v:textbox>
                  <w:txbxContent>
                    <w:p w:rsidR="000D205B" w:rsidRPr="00433273" w:rsidRDefault="000D205B" w:rsidP="004165C2">
                      <w:pPr>
                        <w:tabs>
                          <w:tab w:val="center" w:pos="5400"/>
                        </w:tabs>
                        <w:suppressAutoHyphens/>
                        <w:spacing w:before="60"/>
                        <w:rPr>
                          <w:rFonts w:asciiTheme="majorHAnsi" w:hAnsiTheme="majorHAnsi"/>
                          <w:color w:val="0D0D0D" w:themeColor="text1" w:themeTint="F2"/>
                          <w:sz w:val="18"/>
                          <w:szCs w:val="22"/>
                          <w:lang w:val="es-ES"/>
                        </w:rPr>
                      </w:pPr>
                      <w:r w:rsidRPr="00433273">
                        <w:rPr>
                          <w:rFonts w:asciiTheme="majorHAnsi" w:hAnsiTheme="majorHAnsi"/>
                          <w:color w:val="0D0D0D" w:themeColor="text1" w:themeTint="F2"/>
                          <w:sz w:val="18"/>
                          <w:szCs w:val="20"/>
                          <w:lang w:val="es-ES"/>
                        </w:rPr>
                        <w:t>Aprobado</w:t>
                      </w:r>
                      <w:r w:rsidR="005E4160">
                        <w:rPr>
                          <w:rFonts w:asciiTheme="majorHAnsi" w:hAnsiTheme="majorHAnsi"/>
                          <w:color w:val="0D0D0D" w:themeColor="text1" w:themeTint="F2"/>
                          <w:sz w:val="18"/>
                          <w:szCs w:val="20"/>
                          <w:lang w:val="es-ES"/>
                        </w:rPr>
                        <w:t xml:space="preserve"> </w:t>
                      </w:r>
                      <w:proofErr w:type="spellStart"/>
                      <w:r w:rsidR="005E4160">
                        <w:rPr>
                          <w:rFonts w:asciiTheme="majorHAnsi" w:hAnsiTheme="majorHAnsi"/>
                          <w:color w:val="0D0D0D" w:themeColor="text1" w:themeTint="F2"/>
                          <w:sz w:val="18"/>
                          <w:szCs w:val="20"/>
                          <w:lang w:val="es-ES"/>
                        </w:rPr>
                        <w:t>electronicamente</w:t>
                      </w:r>
                      <w:proofErr w:type="spellEnd"/>
                      <w:r w:rsidRPr="00433273">
                        <w:rPr>
                          <w:rFonts w:asciiTheme="majorHAnsi" w:hAnsiTheme="majorHAnsi"/>
                          <w:color w:val="0D0D0D" w:themeColor="text1" w:themeTint="F2"/>
                          <w:sz w:val="18"/>
                          <w:szCs w:val="20"/>
                          <w:lang w:val="es-ES"/>
                        </w:rPr>
                        <w:t xml:space="preserve"> por la Comisión el </w:t>
                      </w:r>
                      <w:r w:rsidR="005E4160">
                        <w:rPr>
                          <w:rFonts w:asciiTheme="majorHAnsi" w:hAnsiTheme="majorHAnsi"/>
                          <w:color w:val="0D0D0D" w:themeColor="text1" w:themeTint="F2"/>
                          <w:sz w:val="18"/>
                          <w:szCs w:val="20"/>
                          <w:lang w:val="es-ES"/>
                        </w:rPr>
                        <w:t>24</w:t>
                      </w:r>
                      <w:r w:rsidRPr="00433273">
                        <w:rPr>
                          <w:rFonts w:asciiTheme="majorHAnsi" w:hAnsiTheme="majorHAnsi"/>
                          <w:color w:val="0D0D0D" w:themeColor="text1" w:themeTint="F2"/>
                          <w:sz w:val="18"/>
                          <w:szCs w:val="20"/>
                          <w:lang w:val="es-ES"/>
                        </w:rPr>
                        <w:t xml:space="preserve"> de </w:t>
                      </w:r>
                      <w:r w:rsidR="005E4160">
                        <w:rPr>
                          <w:rFonts w:asciiTheme="majorHAnsi" w:hAnsiTheme="majorHAnsi"/>
                          <w:color w:val="0D0D0D" w:themeColor="text1" w:themeTint="F2"/>
                          <w:sz w:val="18"/>
                          <w:szCs w:val="20"/>
                          <w:lang w:val="es-ES"/>
                        </w:rPr>
                        <w:t>abril</w:t>
                      </w:r>
                      <w:r w:rsidRPr="00433273">
                        <w:rPr>
                          <w:rFonts w:asciiTheme="majorHAnsi" w:hAnsiTheme="majorHAnsi"/>
                          <w:color w:val="0D0D0D" w:themeColor="text1" w:themeTint="F2"/>
                          <w:sz w:val="18"/>
                          <w:szCs w:val="20"/>
                          <w:lang w:val="es-ES"/>
                        </w:rPr>
                        <w:t xml:space="preserve"> de 2020</w:t>
                      </w:r>
                      <w:r w:rsidR="00977BC3">
                        <w:rPr>
                          <w:rFonts w:asciiTheme="majorHAnsi" w:hAnsiTheme="majorHAnsi"/>
                          <w:color w:val="0D0D0D" w:themeColor="text1" w:themeTint="F2"/>
                          <w:sz w:val="18"/>
                          <w:szCs w:val="20"/>
                          <w:lang w:val="es-ES"/>
                        </w:rPr>
                        <w:t>.</w:t>
                      </w:r>
                    </w:p>
                  </w:txbxContent>
                </v:textbox>
              </v:shape>
            </w:pict>
          </mc:Fallback>
        </mc:AlternateContent>
      </w:r>
    </w:p>
    <w:p w:rsidR="00D03F1E" w:rsidRPr="000C152D" w:rsidRDefault="00D03F1E" w:rsidP="00040C3A">
      <w:pPr>
        <w:tabs>
          <w:tab w:val="center" w:pos="5400"/>
        </w:tabs>
        <w:suppressAutoHyphens/>
        <w:jc w:val="center"/>
        <w:rPr>
          <w:rFonts w:asciiTheme="majorHAnsi" w:hAnsiTheme="majorHAnsi"/>
          <w:sz w:val="18"/>
          <w:szCs w:val="22"/>
          <w:lang w:val="es-CO"/>
        </w:rPr>
      </w:pPr>
    </w:p>
    <w:p w:rsidR="00D03F1E" w:rsidRPr="000C152D" w:rsidRDefault="00D03F1E" w:rsidP="00040C3A">
      <w:pPr>
        <w:tabs>
          <w:tab w:val="center" w:pos="5400"/>
        </w:tabs>
        <w:suppressAutoHyphens/>
        <w:jc w:val="center"/>
        <w:rPr>
          <w:rFonts w:asciiTheme="majorHAnsi" w:hAnsiTheme="majorHAnsi"/>
          <w:sz w:val="18"/>
          <w:szCs w:val="22"/>
          <w:lang w:val="es-CO"/>
        </w:rPr>
      </w:pPr>
    </w:p>
    <w:p w:rsidR="00D03F1E" w:rsidRPr="000C152D" w:rsidRDefault="00D03F1E" w:rsidP="00040C3A">
      <w:pPr>
        <w:tabs>
          <w:tab w:val="center" w:pos="5400"/>
        </w:tabs>
        <w:suppressAutoHyphens/>
        <w:jc w:val="center"/>
        <w:rPr>
          <w:rFonts w:asciiTheme="majorHAnsi" w:hAnsiTheme="majorHAnsi"/>
          <w:sz w:val="18"/>
          <w:szCs w:val="22"/>
          <w:lang w:val="es-CO"/>
        </w:rPr>
      </w:pPr>
    </w:p>
    <w:p w:rsidR="00D03F1E" w:rsidRPr="000C152D" w:rsidRDefault="00D03F1E" w:rsidP="00040C3A">
      <w:pPr>
        <w:tabs>
          <w:tab w:val="center" w:pos="5400"/>
        </w:tabs>
        <w:suppressAutoHyphens/>
        <w:jc w:val="center"/>
        <w:rPr>
          <w:rFonts w:asciiTheme="majorHAnsi" w:hAnsiTheme="majorHAnsi"/>
          <w:sz w:val="18"/>
          <w:szCs w:val="22"/>
          <w:lang w:val="es-CO"/>
        </w:rPr>
      </w:pPr>
    </w:p>
    <w:p w:rsidR="00D03F1E" w:rsidRPr="000C152D" w:rsidRDefault="00D03F1E" w:rsidP="00040C3A">
      <w:pPr>
        <w:tabs>
          <w:tab w:val="center" w:pos="5400"/>
        </w:tabs>
        <w:suppressAutoHyphens/>
        <w:jc w:val="center"/>
        <w:rPr>
          <w:rFonts w:asciiTheme="majorHAnsi" w:hAnsiTheme="majorHAnsi"/>
          <w:sz w:val="18"/>
          <w:szCs w:val="22"/>
          <w:lang w:val="es-CO"/>
        </w:rPr>
      </w:pPr>
      <w:r w:rsidRPr="000C152D">
        <w:rPr>
          <w:rFonts w:asciiTheme="majorHAnsi" w:hAnsiTheme="majorHAnsi"/>
          <w:noProof/>
          <w:sz w:val="18"/>
          <w:szCs w:val="22"/>
        </w:rPr>
        <mc:AlternateContent>
          <mc:Choice Requires="wps">
            <w:drawing>
              <wp:anchor distT="0" distB="0" distL="114300" distR="114300" simplePos="0" relativeHeight="251689984" behindDoc="0" locked="0" layoutInCell="1" allowOverlap="1" wp14:anchorId="386F3847" wp14:editId="1DCEBE42">
                <wp:simplePos x="0" y="0"/>
                <wp:positionH relativeFrom="column">
                  <wp:posOffset>1209675</wp:posOffset>
                </wp:positionH>
                <wp:positionV relativeFrom="paragraph">
                  <wp:posOffset>92075</wp:posOffset>
                </wp:positionV>
                <wp:extent cx="4824095" cy="6096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5B" w:rsidRPr="0041799B" w:rsidRDefault="000D205B" w:rsidP="004C23D6">
                            <w:pPr>
                              <w:spacing w:line="276" w:lineRule="auto"/>
                              <w:rPr>
                                <w:rFonts w:asciiTheme="majorHAnsi" w:hAnsiTheme="majorHAnsi" w:cs="Arial"/>
                                <w:color w:val="0D0D0D" w:themeColor="text1" w:themeTint="F2"/>
                                <w:sz w:val="16"/>
                                <w:szCs w:val="22"/>
                                <w:highlight w:val="yellow"/>
                                <w:lang w:val="es-CO"/>
                              </w:rPr>
                            </w:pPr>
                            <w:r w:rsidRPr="00DB5299">
                              <w:rPr>
                                <w:rFonts w:asciiTheme="majorHAnsi" w:hAnsiTheme="majorHAnsi"/>
                                <w:b/>
                                <w:color w:val="595959" w:themeColor="text1" w:themeTint="A6"/>
                                <w:sz w:val="18"/>
                                <w:lang w:val="pt-BR"/>
                              </w:rPr>
                              <w:t xml:space="preserve">Citar como: </w:t>
                            </w:r>
                            <w:r w:rsidRPr="00DB5299">
                              <w:rPr>
                                <w:rFonts w:asciiTheme="majorHAnsi" w:hAnsiTheme="majorHAnsi"/>
                                <w:color w:val="595959" w:themeColor="text1" w:themeTint="A6"/>
                                <w:sz w:val="18"/>
                                <w:lang w:val="pt-BR"/>
                              </w:rPr>
                              <w:t xml:space="preserve">CIDH, Informe No. </w:t>
                            </w:r>
                            <w:r w:rsidR="005E4160">
                              <w:rPr>
                                <w:rFonts w:asciiTheme="majorHAnsi" w:hAnsiTheme="majorHAnsi"/>
                                <w:color w:val="595959" w:themeColor="text1" w:themeTint="A6"/>
                                <w:sz w:val="18"/>
                                <w:lang w:val="es-US"/>
                              </w:rPr>
                              <w:t>103</w:t>
                            </w:r>
                            <w:r w:rsidRPr="001F607C">
                              <w:rPr>
                                <w:rFonts w:asciiTheme="majorHAnsi" w:hAnsiTheme="majorHAnsi"/>
                                <w:color w:val="595959" w:themeColor="text1" w:themeTint="A6"/>
                                <w:sz w:val="18"/>
                                <w:lang w:val="es-US"/>
                              </w:rPr>
                              <w:t>/</w:t>
                            </w:r>
                            <w:r w:rsidR="005E4160">
                              <w:rPr>
                                <w:rFonts w:asciiTheme="majorHAnsi" w:hAnsiTheme="majorHAnsi"/>
                                <w:color w:val="595959" w:themeColor="text1" w:themeTint="A6"/>
                                <w:sz w:val="18"/>
                                <w:lang w:val="es-US"/>
                              </w:rPr>
                              <w:t>20</w:t>
                            </w:r>
                            <w:r w:rsidRPr="001F607C">
                              <w:rPr>
                                <w:rFonts w:asciiTheme="majorHAnsi" w:hAnsiTheme="majorHAnsi"/>
                                <w:color w:val="595959" w:themeColor="text1" w:themeTint="A6"/>
                                <w:sz w:val="18"/>
                                <w:lang w:val="es-US"/>
                              </w:rPr>
                              <w:t xml:space="preserve">, Petición 417-12. Admisibilidad. </w:t>
                            </w:r>
                            <w:proofErr w:type="spellStart"/>
                            <w:r w:rsidRPr="00A52C33">
                              <w:rPr>
                                <w:rFonts w:asciiTheme="majorHAnsi" w:hAnsiTheme="majorHAnsi" w:cs="Arial"/>
                                <w:color w:val="595959" w:themeColor="text1" w:themeTint="A6"/>
                                <w:sz w:val="18"/>
                                <w:szCs w:val="22"/>
                                <w:lang w:val="es-US"/>
                              </w:rPr>
                              <w:t>Thahe</w:t>
                            </w:r>
                            <w:proofErr w:type="spellEnd"/>
                            <w:r w:rsidRPr="00A52C33">
                              <w:rPr>
                                <w:rFonts w:asciiTheme="majorHAnsi" w:hAnsiTheme="majorHAnsi" w:cs="Arial"/>
                                <w:color w:val="595959" w:themeColor="text1" w:themeTint="A6"/>
                                <w:sz w:val="18"/>
                                <w:szCs w:val="22"/>
                                <w:lang w:val="es-US"/>
                              </w:rPr>
                              <w:t xml:space="preserve"> Mohammed </w:t>
                            </w:r>
                            <w:proofErr w:type="spellStart"/>
                            <w:r w:rsidRPr="00A52C33">
                              <w:rPr>
                                <w:rFonts w:asciiTheme="majorHAnsi" w:hAnsiTheme="majorHAnsi" w:cs="Arial"/>
                                <w:color w:val="595959" w:themeColor="text1" w:themeTint="A6"/>
                                <w:sz w:val="18"/>
                                <w:szCs w:val="22"/>
                                <w:lang w:val="es-US"/>
                              </w:rPr>
                              <w:t>Sabar</w:t>
                            </w:r>
                            <w:proofErr w:type="spellEnd"/>
                            <w:r w:rsidRPr="00A52C33">
                              <w:rPr>
                                <w:rFonts w:asciiTheme="majorHAnsi" w:hAnsiTheme="majorHAnsi" w:cs="Arial"/>
                                <w:color w:val="595959" w:themeColor="text1" w:themeTint="A6"/>
                                <w:sz w:val="18"/>
                                <w:szCs w:val="22"/>
                                <w:lang w:val="es-US"/>
                              </w:rPr>
                              <w:t xml:space="preserve">, </w:t>
                            </w:r>
                            <w:r w:rsidR="00A52C33" w:rsidRPr="00A52C33">
                              <w:rPr>
                                <w:rFonts w:asciiTheme="majorHAnsi" w:hAnsiTheme="majorHAnsi" w:cs="Arial"/>
                                <w:color w:val="595959" w:themeColor="text1" w:themeTint="A6"/>
                                <w:sz w:val="18"/>
                                <w:szCs w:val="22"/>
                                <w:lang w:val="es-US"/>
                              </w:rPr>
                              <w:t>y otros</w:t>
                            </w:r>
                            <w:r w:rsidRPr="00A52C33">
                              <w:rPr>
                                <w:rFonts w:asciiTheme="majorHAnsi" w:hAnsiTheme="majorHAnsi"/>
                                <w:color w:val="595959" w:themeColor="text1" w:themeTint="A6"/>
                                <w:sz w:val="18"/>
                                <w:lang w:val="es-US"/>
                              </w:rPr>
                              <w:t xml:space="preserve">. </w:t>
                            </w:r>
                            <w:r w:rsidRPr="0041799B">
                              <w:rPr>
                                <w:rFonts w:asciiTheme="majorHAnsi" w:hAnsiTheme="majorHAnsi"/>
                                <w:color w:val="595959" w:themeColor="text1" w:themeTint="A6"/>
                                <w:sz w:val="18"/>
                                <w:lang w:val="es-CO"/>
                              </w:rPr>
                              <w:t xml:space="preserve">Estados Unidos de América. </w:t>
                            </w:r>
                            <w:r w:rsidR="005E4160">
                              <w:rPr>
                                <w:rFonts w:asciiTheme="majorHAnsi" w:hAnsiTheme="majorHAnsi"/>
                                <w:color w:val="595959" w:themeColor="text1" w:themeTint="A6"/>
                                <w:sz w:val="18"/>
                                <w:lang w:val="es-CO"/>
                              </w:rPr>
                              <w:t>24 de abril de 2020</w:t>
                            </w:r>
                            <w:r w:rsidRPr="0041799B">
                              <w:rPr>
                                <w:rFonts w:asciiTheme="majorHAnsi" w:hAnsiTheme="majorHAnsi"/>
                                <w:color w:val="595959" w:themeColor="text1" w:themeTint="A6"/>
                                <w:sz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F3847" id="Text Box 16" o:spid="_x0000_s1033" type="#_x0000_t202" style="position:absolute;left:0;text-align:left;margin-left:95.25pt;margin-top:7.25pt;width:379.8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" filled="f" stroked="f" strokeweight=".5pt">
                <v:path arrowok="t"/>
                <v:textbox>
                  <w:txbxContent>
                    <w:p w:rsidR="000D205B" w:rsidRPr="0041799B" w:rsidRDefault="000D205B" w:rsidP="004C23D6">
                      <w:pPr>
                        <w:spacing w:line="276" w:lineRule="auto"/>
                        <w:rPr>
                          <w:rFonts w:asciiTheme="majorHAnsi" w:hAnsiTheme="majorHAnsi" w:cs="Arial"/>
                          <w:color w:val="0D0D0D" w:themeColor="text1" w:themeTint="F2"/>
                          <w:sz w:val="16"/>
                          <w:szCs w:val="22"/>
                          <w:highlight w:val="yellow"/>
                          <w:lang w:val="es-CO"/>
                        </w:rPr>
                      </w:pPr>
                      <w:r w:rsidRPr="00DB5299">
                        <w:rPr>
                          <w:rFonts w:asciiTheme="majorHAnsi" w:hAnsiTheme="majorHAnsi"/>
                          <w:b/>
                          <w:color w:val="595959" w:themeColor="text1" w:themeTint="A6"/>
                          <w:sz w:val="18"/>
                          <w:lang w:val="pt-BR"/>
                        </w:rPr>
                        <w:t xml:space="preserve">Citar como: </w:t>
                      </w:r>
                      <w:r w:rsidRPr="00DB5299">
                        <w:rPr>
                          <w:rFonts w:asciiTheme="majorHAnsi" w:hAnsiTheme="majorHAnsi"/>
                          <w:color w:val="595959" w:themeColor="text1" w:themeTint="A6"/>
                          <w:sz w:val="18"/>
                          <w:lang w:val="pt-BR"/>
                        </w:rPr>
                        <w:t xml:space="preserve">CIDH, Informe No. </w:t>
                      </w:r>
                      <w:r w:rsidR="005E4160">
                        <w:rPr>
                          <w:rFonts w:asciiTheme="majorHAnsi" w:hAnsiTheme="majorHAnsi"/>
                          <w:color w:val="595959" w:themeColor="text1" w:themeTint="A6"/>
                          <w:sz w:val="18"/>
                          <w:lang w:val="es-US"/>
                        </w:rPr>
                        <w:t>103</w:t>
                      </w:r>
                      <w:r w:rsidRPr="001F607C">
                        <w:rPr>
                          <w:rFonts w:asciiTheme="majorHAnsi" w:hAnsiTheme="majorHAnsi"/>
                          <w:color w:val="595959" w:themeColor="text1" w:themeTint="A6"/>
                          <w:sz w:val="18"/>
                          <w:lang w:val="es-US"/>
                        </w:rPr>
                        <w:t>/</w:t>
                      </w:r>
                      <w:r w:rsidR="005E4160">
                        <w:rPr>
                          <w:rFonts w:asciiTheme="majorHAnsi" w:hAnsiTheme="majorHAnsi"/>
                          <w:color w:val="595959" w:themeColor="text1" w:themeTint="A6"/>
                          <w:sz w:val="18"/>
                          <w:lang w:val="es-US"/>
                        </w:rPr>
                        <w:t>20</w:t>
                      </w:r>
                      <w:r w:rsidRPr="001F607C">
                        <w:rPr>
                          <w:rFonts w:asciiTheme="majorHAnsi" w:hAnsiTheme="majorHAnsi"/>
                          <w:color w:val="595959" w:themeColor="text1" w:themeTint="A6"/>
                          <w:sz w:val="18"/>
                          <w:lang w:val="es-US"/>
                        </w:rPr>
                        <w:t xml:space="preserve">, Petición 417-12. Admisibilidad. </w:t>
                      </w:r>
                      <w:proofErr w:type="spellStart"/>
                      <w:r w:rsidRPr="00A52C33">
                        <w:rPr>
                          <w:rFonts w:asciiTheme="majorHAnsi" w:hAnsiTheme="majorHAnsi" w:cs="Arial"/>
                          <w:color w:val="595959" w:themeColor="text1" w:themeTint="A6"/>
                          <w:sz w:val="18"/>
                          <w:szCs w:val="22"/>
                          <w:lang w:val="es-US"/>
                        </w:rPr>
                        <w:t>Thahe</w:t>
                      </w:r>
                      <w:proofErr w:type="spellEnd"/>
                      <w:r w:rsidRPr="00A52C33">
                        <w:rPr>
                          <w:rFonts w:asciiTheme="majorHAnsi" w:hAnsiTheme="majorHAnsi" w:cs="Arial"/>
                          <w:color w:val="595959" w:themeColor="text1" w:themeTint="A6"/>
                          <w:sz w:val="18"/>
                          <w:szCs w:val="22"/>
                          <w:lang w:val="es-US"/>
                        </w:rPr>
                        <w:t xml:space="preserve"> Mohammed </w:t>
                      </w:r>
                      <w:proofErr w:type="spellStart"/>
                      <w:r w:rsidRPr="00A52C33">
                        <w:rPr>
                          <w:rFonts w:asciiTheme="majorHAnsi" w:hAnsiTheme="majorHAnsi" w:cs="Arial"/>
                          <w:color w:val="595959" w:themeColor="text1" w:themeTint="A6"/>
                          <w:sz w:val="18"/>
                          <w:szCs w:val="22"/>
                          <w:lang w:val="es-US"/>
                        </w:rPr>
                        <w:t>Sabar</w:t>
                      </w:r>
                      <w:proofErr w:type="spellEnd"/>
                      <w:r w:rsidRPr="00A52C33">
                        <w:rPr>
                          <w:rFonts w:asciiTheme="majorHAnsi" w:hAnsiTheme="majorHAnsi" w:cs="Arial"/>
                          <w:color w:val="595959" w:themeColor="text1" w:themeTint="A6"/>
                          <w:sz w:val="18"/>
                          <w:szCs w:val="22"/>
                          <w:lang w:val="es-US"/>
                        </w:rPr>
                        <w:t xml:space="preserve">, </w:t>
                      </w:r>
                      <w:r w:rsidR="00A52C33" w:rsidRPr="00A52C33">
                        <w:rPr>
                          <w:rFonts w:asciiTheme="majorHAnsi" w:hAnsiTheme="majorHAnsi" w:cs="Arial"/>
                          <w:color w:val="595959" w:themeColor="text1" w:themeTint="A6"/>
                          <w:sz w:val="18"/>
                          <w:szCs w:val="22"/>
                          <w:lang w:val="es-US"/>
                        </w:rPr>
                        <w:t>y otros</w:t>
                      </w:r>
                      <w:r w:rsidRPr="00A52C33">
                        <w:rPr>
                          <w:rFonts w:asciiTheme="majorHAnsi" w:hAnsiTheme="majorHAnsi"/>
                          <w:color w:val="595959" w:themeColor="text1" w:themeTint="A6"/>
                          <w:sz w:val="18"/>
                          <w:lang w:val="es-US"/>
                        </w:rPr>
                        <w:t xml:space="preserve">. </w:t>
                      </w:r>
                      <w:r w:rsidRPr="0041799B">
                        <w:rPr>
                          <w:rFonts w:asciiTheme="majorHAnsi" w:hAnsiTheme="majorHAnsi"/>
                          <w:color w:val="595959" w:themeColor="text1" w:themeTint="A6"/>
                          <w:sz w:val="18"/>
                          <w:lang w:val="es-CO"/>
                        </w:rPr>
                        <w:t xml:space="preserve">Estados Unidos de América. </w:t>
                      </w:r>
                      <w:r w:rsidR="005E4160">
                        <w:rPr>
                          <w:rFonts w:asciiTheme="majorHAnsi" w:hAnsiTheme="majorHAnsi"/>
                          <w:color w:val="595959" w:themeColor="text1" w:themeTint="A6"/>
                          <w:sz w:val="18"/>
                          <w:lang w:val="es-CO"/>
                        </w:rPr>
                        <w:t>24 de abril de 2020</w:t>
                      </w:r>
                      <w:r w:rsidRPr="0041799B">
                        <w:rPr>
                          <w:rFonts w:asciiTheme="majorHAnsi" w:hAnsiTheme="majorHAnsi"/>
                          <w:color w:val="595959" w:themeColor="text1" w:themeTint="A6"/>
                          <w:sz w:val="18"/>
                          <w:lang w:val="es-CO"/>
                        </w:rPr>
                        <w:t>.</w:t>
                      </w:r>
                    </w:p>
                  </w:txbxContent>
                </v:textbox>
              </v:shape>
            </w:pict>
          </mc:Fallback>
        </mc:AlternateContent>
      </w:r>
    </w:p>
    <w:p w:rsidR="00D03F1E" w:rsidRPr="000C152D" w:rsidRDefault="00D03F1E" w:rsidP="00040C3A">
      <w:pPr>
        <w:tabs>
          <w:tab w:val="center" w:pos="5400"/>
        </w:tabs>
        <w:suppressAutoHyphens/>
        <w:jc w:val="center"/>
        <w:rPr>
          <w:rFonts w:asciiTheme="majorHAnsi" w:hAnsiTheme="majorHAnsi"/>
          <w:sz w:val="18"/>
          <w:szCs w:val="22"/>
          <w:lang w:val="es-CO"/>
        </w:rPr>
      </w:pPr>
    </w:p>
    <w:p w:rsidR="00D03F1E" w:rsidRPr="000C152D" w:rsidRDefault="00D03F1E" w:rsidP="00040C3A">
      <w:pPr>
        <w:tabs>
          <w:tab w:val="center" w:pos="5400"/>
        </w:tabs>
        <w:suppressAutoHyphens/>
        <w:jc w:val="center"/>
        <w:rPr>
          <w:rFonts w:asciiTheme="majorHAnsi" w:hAnsiTheme="majorHAnsi"/>
          <w:sz w:val="18"/>
          <w:szCs w:val="22"/>
          <w:lang w:val="es-CO"/>
        </w:rPr>
      </w:pPr>
    </w:p>
    <w:p w:rsidR="00D03F1E" w:rsidRPr="000C152D" w:rsidRDefault="00D03F1E" w:rsidP="004C23D6">
      <w:pPr>
        <w:tabs>
          <w:tab w:val="center" w:pos="5400"/>
        </w:tabs>
        <w:suppressAutoHyphens/>
        <w:jc w:val="center"/>
        <w:rPr>
          <w:rFonts w:asciiTheme="majorHAnsi" w:hAnsiTheme="majorHAnsi"/>
          <w:sz w:val="18"/>
          <w:szCs w:val="22"/>
          <w:lang w:val="es-CO"/>
        </w:rPr>
      </w:pPr>
    </w:p>
    <w:p w:rsidR="00D03F1E" w:rsidRPr="000C152D" w:rsidRDefault="005E4160" w:rsidP="004C23D6">
      <w:pPr>
        <w:tabs>
          <w:tab w:val="center" w:pos="5400"/>
        </w:tabs>
        <w:suppressAutoHyphens/>
        <w:jc w:val="center"/>
        <w:rPr>
          <w:rFonts w:asciiTheme="majorHAnsi" w:hAnsiTheme="majorHAnsi"/>
          <w:sz w:val="18"/>
          <w:szCs w:val="22"/>
          <w:lang w:val="es-CO"/>
        </w:rPr>
      </w:pPr>
      <w:r>
        <w:rPr>
          <w:rFonts w:asciiTheme="majorHAnsi" w:hAnsiTheme="majorHAnsi"/>
          <w:noProof/>
          <w:sz w:val="22"/>
          <w:szCs w:val="22"/>
        </w:rPr>
        <mc:AlternateContent>
          <mc:Choice Requires="wps">
            <w:drawing>
              <wp:anchor distT="0" distB="0" distL="114300" distR="114300" simplePos="0" relativeHeight="251702272" behindDoc="0" locked="0" layoutInCell="1" allowOverlap="1" wp14:anchorId="1849D7FE" wp14:editId="63EFF839">
                <wp:simplePos x="0" y="0"/>
                <wp:positionH relativeFrom="column">
                  <wp:posOffset>-212271</wp:posOffset>
                </wp:positionH>
                <wp:positionV relativeFrom="paragraph">
                  <wp:posOffset>772885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5E4160" w:rsidRPr="004B7EB6" w:rsidRDefault="005E4160" w:rsidP="005E4160">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9D7FE" id="Text Box 3" o:spid="_x0000_s1034" type="#_x0000_t202" style="position:absolute;left:0;text-align:left;margin-left:-16.7pt;margin-top:60.85pt;width:93pt;height:2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" filled="f" stroked="f" strokeweight=".5pt">
                <v:path arrowok="t"/>
                <v:textbox>
                  <w:txbxContent>
                    <w:p w:rsidR="005E4160" w:rsidRPr="004B7EB6" w:rsidRDefault="005E4160" w:rsidP="005E4160">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Pr="000C152D">
        <w:rPr>
          <w:rFonts w:asciiTheme="majorHAnsi" w:hAnsiTheme="majorHAnsi"/>
          <w:noProof/>
          <w:sz w:val="22"/>
          <w:szCs w:val="22"/>
        </w:rPr>
        <mc:AlternateContent>
          <mc:Choice Requires="wps">
            <w:drawing>
              <wp:anchor distT="0" distB="0" distL="114300" distR="114300" simplePos="0" relativeHeight="251691008" behindDoc="0" locked="0" layoutInCell="1" allowOverlap="1" wp14:anchorId="29A23881" wp14:editId="4F5E6AD4">
                <wp:simplePos x="0" y="0"/>
                <wp:positionH relativeFrom="column">
                  <wp:posOffset>1208314</wp:posOffset>
                </wp:positionH>
                <wp:positionV relativeFrom="paragraph">
                  <wp:posOffset>688432</wp:posOffset>
                </wp:positionV>
                <wp:extent cx="3652157" cy="518432"/>
                <wp:effectExtent l="0" t="0" r="571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2157" cy="5184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5B" w:rsidRDefault="002D043D">
                            <w:r>
                              <w:rPr>
                                <w:noProof/>
                                <w:color w:val="FFFFFF" w:themeColor="background1"/>
                              </w:rPr>
                              <w:drawing>
                                <wp:inline distT="0" distB="0" distL="0" distR="0" wp14:anchorId="2088D8C4" wp14:editId="3CF0A37B">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23881" id="Text Box 18" o:spid="_x0000_s1035" type="#_x0000_t202" style="position:absolute;left:0;text-align:left;margin-left:95.15pt;margin-top:54.2pt;width:287.55pt;height:4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" fillcolor="white [3201]" stroked="f" strokeweight=".5pt">
                <v:path arrowok="t"/>
                <v:textbox>
                  <w:txbxContent>
                    <w:p w:rsidR="000D205B" w:rsidRDefault="002D043D">
                      <w:r>
                        <w:rPr>
                          <w:noProof/>
                          <w:color w:val="FFFFFF" w:themeColor="background1"/>
                        </w:rPr>
                        <w:drawing>
                          <wp:inline distT="0" distB="0" distL="0" distR="0" wp14:anchorId="2088D8C4" wp14:editId="3CF0A37B">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D03F1E" w:rsidRPr="000C152D">
        <w:rPr>
          <w:rFonts w:asciiTheme="majorHAnsi" w:hAnsiTheme="majorHAnsi"/>
          <w:noProof/>
          <w:sz w:val="22"/>
          <w:szCs w:val="22"/>
        </w:rPr>
        <mc:AlternateContent>
          <mc:Choice Requires="wps">
            <w:drawing>
              <wp:anchor distT="0" distB="0" distL="114300" distR="114300" simplePos="0" relativeHeight="251692032" behindDoc="0" locked="0" layoutInCell="1" allowOverlap="1" wp14:anchorId="1F65A1E0" wp14:editId="18FFD52F">
                <wp:simplePos x="0" y="0"/>
                <wp:positionH relativeFrom="column">
                  <wp:posOffset>-299085</wp:posOffset>
                </wp:positionH>
                <wp:positionV relativeFrom="paragraph">
                  <wp:posOffset>859155</wp:posOffset>
                </wp:positionV>
                <wp:extent cx="1181100" cy="33274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5B" w:rsidRPr="004B7EB6" w:rsidRDefault="000D205B" w:rsidP="004C23D6">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5A1E0" id="Text Box 17" o:spid="_x0000_s1036" type="#_x0000_t202" style="position:absolute;left:0;text-align:left;margin-left:-23.55pt;margin-top:67.65pt;width:93pt;height:2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" filled="f" stroked="f" strokeweight=".5pt">
                <v:path arrowok="t"/>
                <v:textbox>
                  <w:txbxContent>
                    <w:p w:rsidR="000D205B" w:rsidRPr="004B7EB6" w:rsidRDefault="000D205B" w:rsidP="004C23D6">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D03F1E" w:rsidRPr="000C152D" w:rsidRDefault="00D03F1E" w:rsidP="004C23D6">
      <w:pPr>
        <w:tabs>
          <w:tab w:val="center" w:pos="5400"/>
        </w:tabs>
        <w:suppressAutoHyphens/>
        <w:jc w:val="center"/>
        <w:rPr>
          <w:rFonts w:asciiTheme="majorHAnsi" w:hAnsiTheme="majorHAnsi"/>
          <w:sz w:val="18"/>
          <w:szCs w:val="22"/>
          <w:lang w:val="es-CO"/>
        </w:rPr>
        <w:sectPr w:rsidR="00D03F1E" w:rsidRPr="000C152D" w:rsidSect="005E4160">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1"/>
          <w:cols w:space="720"/>
          <w:titlePg/>
          <w:docGrid w:linePitch="326"/>
        </w:sectPr>
      </w:pPr>
    </w:p>
    <w:p w:rsidR="00D03F1E" w:rsidRPr="000C152D" w:rsidRDefault="00D03F1E" w:rsidP="004C23D6">
      <w:pPr>
        <w:spacing w:after="240"/>
        <w:ind w:firstLine="720"/>
        <w:jc w:val="both"/>
        <w:rPr>
          <w:rFonts w:asciiTheme="majorHAnsi" w:hAnsiTheme="majorHAnsi"/>
          <w:b/>
          <w:bCs/>
          <w:sz w:val="20"/>
          <w:szCs w:val="20"/>
          <w:lang w:val="es-CO"/>
        </w:rPr>
      </w:pPr>
      <w:r w:rsidRPr="000C152D">
        <w:rPr>
          <w:rFonts w:asciiTheme="majorHAnsi" w:hAnsiTheme="majorHAnsi"/>
          <w:b/>
          <w:bCs/>
          <w:sz w:val="20"/>
          <w:szCs w:val="20"/>
          <w:lang w:val="es-CO"/>
        </w:rPr>
        <w:lastRenderedPageBreak/>
        <w:t>I.</w:t>
      </w:r>
      <w:r w:rsidRPr="000C152D">
        <w:rPr>
          <w:rFonts w:asciiTheme="majorHAnsi" w:hAnsiTheme="majorHAnsi"/>
          <w:b/>
          <w:bCs/>
          <w:sz w:val="20"/>
          <w:szCs w:val="20"/>
          <w:lang w:val="es-CO"/>
        </w:rPr>
        <w:tab/>
      </w:r>
      <w:r w:rsidR="00433273" w:rsidRPr="000C152D">
        <w:rPr>
          <w:rFonts w:asciiTheme="majorHAnsi" w:hAnsiTheme="majorHAnsi"/>
          <w:b/>
          <w:bCs/>
          <w:sz w:val="19"/>
          <w:szCs w:val="19"/>
          <w:lang w:val="es-CO"/>
        </w:rPr>
        <w:t>DATOS DE LA PETICIÓN</w:t>
      </w:r>
      <w:r w:rsidRPr="000C152D">
        <w:rPr>
          <w:rFonts w:asciiTheme="majorHAnsi" w:hAnsiTheme="majorHAnsi"/>
          <w:b/>
          <w:bCs/>
          <w:sz w:val="20"/>
          <w:szCs w:val="20"/>
          <w:lang w:val="es-CO"/>
        </w:rPr>
        <w:t xml:space="preserve"> </w:t>
      </w:r>
    </w:p>
    <w:tbl>
      <w:tblPr>
        <w:tblW w:w="927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670"/>
      </w:tblGrid>
      <w:tr w:rsidR="000C152D" w:rsidRPr="000C152D" w:rsidTr="000C152D">
        <w:tc>
          <w:tcPr>
            <w:tcW w:w="3600" w:type="dxa"/>
            <w:tcBorders>
              <w:top w:val="single" w:sz="4" w:space="0" w:color="auto"/>
              <w:bottom w:val="single" w:sz="6" w:space="0" w:color="auto"/>
            </w:tcBorders>
            <w:shd w:val="clear" w:color="auto" w:fill="386294"/>
            <w:vAlign w:val="center"/>
          </w:tcPr>
          <w:p w:rsidR="000C152D" w:rsidRPr="000C152D" w:rsidRDefault="000C152D" w:rsidP="005E4160">
            <w:pPr>
              <w:jc w:val="center"/>
              <w:rPr>
                <w:rFonts w:ascii="Cambria" w:hAnsi="Cambria"/>
                <w:b/>
                <w:bCs/>
                <w:color w:val="FFFFFF"/>
                <w:sz w:val="19"/>
                <w:szCs w:val="19"/>
                <w:lang w:val="es-CO"/>
              </w:rPr>
            </w:pPr>
            <w:r w:rsidRPr="000C152D">
              <w:rPr>
                <w:rFonts w:ascii="Cambria" w:hAnsi="Cambria"/>
                <w:b/>
                <w:bCs/>
                <w:color w:val="FFFFFF"/>
                <w:sz w:val="19"/>
                <w:szCs w:val="19"/>
                <w:lang w:val="es-CO"/>
              </w:rPr>
              <w:t>Parte peticionaria:</w:t>
            </w:r>
          </w:p>
        </w:tc>
        <w:tc>
          <w:tcPr>
            <w:tcW w:w="5670" w:type="dxa"/>
            <w:vAlign w:val="center"/>
          </w:tcPr>
          <w:p w:rsidR="000C152D" w:rsidRPr="006816C2" w:rsidRDefault="000C152D" w:rsidP="000C152D">
            <w:pPr>
              <w:rPr>
                <w:rFonts w:ascii="Cambria" w:hAnsi="Cambria"/>
                <w:b/>
                <w:bCs/>
                <w:color w:val="FFFFFF"/>
                <w:sz w:val="19"/>
                <w:szCs w:val="19"/>
                <w:lang w:val="es-CO"/>
              </w:rPr>
            </w:pPr>
            <w:r w:rsidRPr="006816C2">
              <w:rPr>
                <w:rFonts w:ascii="Cambria" w:hAnsi="Cambria"/>
                <w:bCs/>
                <w:sz w:val="20"/>
                <w:szCs w:val="20"/>
                <w:lang w:val="es-CO"/>
              </w:rPr>
              <w:t>American Civil Liberties Union (ACLU)</w:t>
            </w:r>
          </w:p>
        </w:tc>
      </w:tr>
      <w:tr w:rsidR="000C152D" w:rsidRPr="00977BC3" w:rsidTr="000C152D">
        <w:tc>
          <w:tcPr>
            <w:tcW w:w="3600" w:type="dxa"/>
            <w:tcBorders>
              <w:top w:val="single" w:sz="6" w:space="0" w:color="auto"/>
              <w:bottom w:val="single" w:sz="6" w:space="0" w:color="auto"/>
            </w:tcBorders>
            <w:shd w:val="clear" w:color="auto" w:fill="386294"/>
            <w:vAlign w:val="center"/>
          </w:tcPr>
          <w:p w:rsidR="000C152D" w:rsidRPr="000C152D" w:rsidRDefault="000C152D" w:rsidP="005E4160">
            <w:pPr>
              <w:jc w:val="center"/>
              <w:rPr>
                <w:rFonts w:ascii="Cambria" w:hAnsi="Cambria"/>
                <w:b/>
                <w:bCs/>
                <w:color w:val="FFFFFF"/>
                <w:sz w:val="19"/>
                <w:szCs w:val="19"/>
                <w:lang w:val="es-CO"/>
              </w:rPr>
            </w:pPr>
            <w:r w:rsidRPr="000C152D">
              <w:rPr>
                <w:rFonts w:ascii="Cambria" w:hAnsi="Cambria"/>
                <w:b/>
                <w:bCs/>
                <w:color w:val="FFFFFF"/>
                <w:sz w:val="19"/>
                <w:szCs w:val="19"/>
                <w:lang w:val="es-CO"/>
              </w:rPr>
              <w:t>Presunta víctima:</w:t>
            </w:r>
          </w:p>
        </w:tc>
        <w:tc>
          <w:tcPr>
            <w:tcW w:w="5670" w:type="dxa"/>
            <w:vAlign w:val="center"/>
          </w:tcPr>
          <w:p w:rsidR="000C152D" w:rsidRPr="000C152D" w:rsidRDefault="000C152D" w:rsidP="000C152D">
            <w:pPr>
              <w:rPr>
                <w:rFonts w:ascii="Cambria" w:hAnsi="Cambria"/>
                <w:b/>
                <w:bCs/>
                <w:color w:val="FFFFFF"/>
                <w:sz w:val="19"/>
                <w:szCs w:val="19"/>
                <w:lang w:val="es-CO"/>
              </w:rPr>
            </w:pPr>
            <w:r w:rsidRPr="000C152D">
              <w:rPr>
                <w:rFonts w:asciiTheme="majorHAnsi" w:hAnsiTheme="majorHAnsi" w:cs="Arial"/>
                <w:sz w:val="20"/>
                <w:szCs w:val="22"/>
                <w:lang w:val="es-CO"/>
              </w:rPr>
              <w:t>Thahe Mohammed Sabar y otros</w:t>
            </w:r>
            <w:r w:rsidRPr="000C152D">
              <w:rPr>
                <w:rStyle w:val="FootnoteReference"/>
                <w:rFonts w:asciiTheme="majorHAnsi" w:hAnsiTheme="majorHAnsi"/>
                <w:sz w:val="20"/>
                <w:szCs w:val="22"/>
                <w:lang w:val="es-CO"/>
              </w:rPr>
              <w:footnoteReference w:id="2"/>
            </w:r>
          </w:p>
        </w:tc>
      </w:tr>
      <w:tr w:rsidR="000C152D" w:rsidRPr="000C152D" w:rsidTr="000C152D">
        <w:tc>
          <w:tcPr>
            <w:tcW w:w="3600" w:type="dxa"/>
            <w:tcBorders>
              <w:top w:val="single" w:sz="6" w:space="0" w:color="auto"/>
              <w:bottom w:val="single" w:sz="6" w:space="0" w:color="auto"/>
            </w:tcBorders>
            <w:shd w:val="clear" w:color="auto" w:fill="386294"/>
            <w:vAlign w:val="center"/>
          </w:tcPr>
          <w:p w:rsidR="000C152D" w:rsidRPr="000C152D" w:rsidRDefault="000C152D" w:rsidP="005E4160">
            <w:pPr>
              <w:jc w:val="center"/>
              <w:rPr>
                <w:rFonts w:ascii="Cambria" w:hAnsi="Cambria"/>
                <w:b/>
                <w:bCs/>
                <w:color w:val="FFFFFF"/>
                <w:sz w:val="19"/>
                <w:szCs w:val="19"/>
                <w:lang w:val="es-CO"/>
              </w:rPr>
            </w:pPr>
            <w:r w:rsidRPr="000C152D">
              <w:rPr>
                <w:rFonts w:ascii="Cambria" w:hAnsi="Cambria"/>
                <w:b/>
                <w:bCs/>
                <w:color w:val="FFFFFF"/>
                <w:sz w:val="19"/>
                <w:szCs w:val="19"/>
                <w:lang w:val="es-CO"/>
              </w:rPr>
              <w:t>Estado denunciado:</w:t>
            </w:r>
          </w:p>
        </w:tc>
        <w:tc>
          <w:tcPr>
            <w:tcW w:w="5670" w:type="dxa"/>
            <w:vAlign w:val="center"/>
          </w:tcPr>
          <w:p w:rsidR="000C152D" w:rsidRPr="000C152D" w:rsidRDefault="000C152D" w:rsidP="000C152D">
            <w:pPr>
              <w:rPr>
                <w:rFonts w:ascii="Cambria" w:hAnsi="Cambria"/>
                <w:b/>
                <w:bCs/>
                <w:color w:val="FFFFFF"/>
                <w:sz w:val="19"/>
                <w:szCs w:val="19"/>
                <w:lang w:val="es-CO"/>
              </w:rPr>
            </w:pPr>
            <w:r w:rsidRPr="000C152D">
              <w:rPr>
                <w:rFonts w:ascii="Cambria" w:hAnsi="Cambria"/>
                <w:bCs/>
                <w:sz w:val="20"/>
                <w:szCs w:val="20"/>
                <w:lang w:val="es-CO"/>
              </w:rPr>
              <w:t>Estados Unidos de América</w:t>
            </w:r>
            <w:r w:rsidRPr="000C152D">
              <w:rPr>
                <w:rStyle w:val="FootnoteReference"/>
                <w:rFonts w:ascii="Cambria" w:hAnsi="Cambria"/>
                <w:bCs/>
                <w:sz w:val="20"/>
                <w:szCs w:val="20"/>
                <w:lang w:val="es-CO"/>
              </w:rPr>
              <w:footnoteReference w:id="3"/>
            </w:r>
          </w:p>
        </w:tc>
      </w:tr>
      <w:tr w:rsidR="000C152D" w:rsidRPr="00977BC3" w:rsidTr="000C152D">
        <w:tc>
          <w:tcPr>
            <w:tcW w:w="3600" w:type="dxa"/>
            <w:tcBorders>
              <w:top w:val="single" w:sz="6" w:space="0" w:color="auto"/>
              <w:bottom w:val="single" w:sz="6" w:space="0" w:color="auto"/>
            </w:tcBorders>
            <w:shd w:val="clear" w:color="auto" w:fill="386294"/>
            <w:vAlign w:val="center"/>
          </w:tcPr>
          <w:p w:rsidR="000C152D" w:rsidRPr="000C152D" w:rsidRDefault="000C152D" w:rsidP="005E4160">
            <w:pPr>
              <w:jc w:val="center"/>
              <w:rPr>
                <w:rFonts w:ascii="Cambria" w:hAnsi="Cambria"/>
                <w:b/>
                <w:bCs/>
                <w:color w:val="FFFFFF"/>
                <w:sz w:val="19"/>
                <w:szCs w:val="19"/>
                <w:lang w:val="es-CO"/>
              </w:rPr>
            </w:pPr>
            <w:r w:rsidRPr="000C152D">
              <w:rPr>
                <w:rFonts w:ascii="Cambria" w:hAnsi="Cambria"/>
                <w:b/>
                <w:bCs/>
                <w:color w:val="FFFFFF"/>
                <w:sz w:val="19"/>
                <w:szCs w:val="19"/>
                <w:lang w:val="es-CO"/>
              </w:rPr>
              <w:t>Derechos invocados:</w:t>
            </w:r>
          </w:p>
        </w:tc>
        <w:tc>
          <w:tcPr>
            <w:tcW w:w="5670" w:type="dxa"/>
            <w:vAlign w:val="center"/>
          </w:tcPr>
          <w:p w:rsidR="000C152D" w:rsidRPr="000C152D" w:rsidRDefault="000C152D" w:rsidP="000C152D">
            <w:pPr>
              <w:rPr>
                <w:rFonts w:ascii="Cambria" w:hAnsi="Cambria"/>
                <w:b/>
                <w:bCs/>
                <w:color w:val="FFFFFF"/>
                <w:sz w:val="19"/>
                <w:szCs w:val="19"/>
                <w:lang w:val="es-CO"/>
              </w:rPr>
            </w:pPr>
            <w:r w:rsidRPr="000C152D">
              <w:rPr>
                <w:sz w:val="20"/>
                <w:szCs w:val="20"/>
                <w:lang w:val="es-CO"/>
              </w:rPr>
              <w:t>Artículos I (vida, libertad y seguridad personal), XVII (reconocimiento de la personalidad jurídica y de los derechos civiles),  XVIII (derecho de justicia) y XXV (protección contra la detención arbitraria) de la Declaración Americana de los Derechos y Deberes del Hombre</w:t>
            </w:r>
            <w:r w:rsidRPr="000C152D">
              <w:rPr>
                <w:rStyle w:val="FootnoteReference"/>
                <w:sz w:val="20"/>
                <w:szCs w:val="20"/>
                <w:lang w:val="es-CO"/>
              </w:rPr>
              <w:footnoteReference w:id="4"/>
            </w:r>
            <w:r w:rsidRPr="000C152D">
              <w:rPr>
                <w:sz w:val="20"/>
                <w:szCs w:val="20"/>
                <w:lang w:val="es-CO"/>
              </w:rPr>
              <w:t xml:space="preserve">.  </w:t>
            </w:r>
          </w:p>
        </w:tc>
      </w:tr>
    </w:tbl>
    <w:p w:rsidR="00D03F1E" w:rsidRPr="000C152D" w:rsidRDefault="00D03F1E" w:rsidP="004C23D6">
      <w:pPr>
        <w:spacing w:before="240" w:after="240"/>
        <w:ind w:firstLine="720"/>
        <w:jc w:val="both"/>
        <w:rPr>
          <w:rFonts w:asciiTheme="majorHAnsi" w:hAnsiTheme="majorHAnsi"/>
          <w:b/>
          <w:bCs/>
          <w:sz w:val="20"/>
          <w:szCs w:val="20"/>
          <w:lang w:val="es-CO"/>
        </w:rPr>
      </w:pPr>
      <w:r w:rsidRPr="000C152D">
        <w:rPr>
          <w:rFonts w:asciiTheme="majorHAnsi" w:hAnsiTheme="majorHAnsi"/>
          <w:b/>
          <w:bCs/>
          <w:sz w:val="20"/>
          <w:szCs w:val="20"/>
          <w:lang w:val="es-CO"/>
        </w:rPr>
        <w:t>II.</w:t>
      </w:r>
      <w:r w:rsidRPr="000C152D">
        <w:rPr>
          <w:rFonts w:asciiTheme="majorHAnsi" w:hAnsiTheme="majorHAnsi"/>
          <w:b/>
          <w:bCs/>
          <w:sz w:val="20"/>
          <w:szCs w:val="20"/>
          <w:lang w:val="es-CO"/>
        </w:rPr>
        <w:tab/>
      </w:r>
      <w:r w:rsidR="003C3A39" w:rsidRPr="000C152D">
        <w:rPr>
          <w:rFonts w:asciiTheme="majorHAnsi" w:hAnsiTheme="majorHAnsi"/>
          <w:b/>
          <w:bCs/>
          <w:sz w:val="20"/>
          <w:szCs w:val="20"/>
          <w:lang w:val="es-CO"/>
        </w:rPr>
        <w:t>TRÁMITES ANTE LA CIDH</w:t>
      </w:r>
      <w:r w:rsidR="003C3A39" w:rsidRPr="000C152D">
        <w:rPr>
          <w:rStyle w:val="FootnoteReference"/>
          <w:rFonts w:asciiTheme="majorHAnsi" w:hAnsiTheme="majorHAnsi"/>
          <w:b/>
          <w:bCs/>
          <w:sz w:val="20"/>
          <w:szCs w:val="20"/>
          <w:vertAlign w:val="baseline"/>
          <w:lang w:val="es-CO"/>
        </w:rPr>
        <w:t xml:space="preserve"> </w:t>
      </w:r>
      <w:r w:rsidRPr="000C152D">
        <w:rPr>
          <w:rStyle w:val="FootnoteReference"/>
          <w:rFonts w:ascii="Cambria" w:hAnsi="Cambria"/>
          <w:b/>
          <w:sz w:val="20"/>
          <w:szCs w:val="20"/>
          <w:lang w:val="es-CO"/>
        </w:rPr>
        <w:footnoteReference w:id="5"/>
      </w:r>
    </w:p>
    <w:tbl>
      <w:tblPr>
        <w:tblW w:w="927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670"/>
      </w:tblGrid>
      <w:tr w:rsidR="000C152D" w:rsidRPr="000C152D" w:rsidTr="000C152D">
        <w:tc>
          <w:tcPr>
            <w:tcW w:w="3600" w:type="dxa"/>
            <w:tcBorders>
              <w:top w:val="single" w:sz="6" w:space="0" w:color="auto"/>
              <w:bottom w:val="single" w:sz="6" w:space="0" w:color="auto"/>
            </w:tcBorders>
            <w:shd w:val="clear" w:color="auto" w:fill="386294"/>
            <w:vAlign w:val="center"/>
          </w:tcPr>
          <w:p w:rsidR="000C152D" w:rsidRPr="000C152D" w:rsidRDefault="000C152D" w:rsidP="005E4160">
            <w:pPr>
              <w:jc w:val="center"/>
              <w:rPr>
                <w:rFonts w:ascii="Cambria" w:hAnsi="Cambria"/>
                <w:b/>
                <w:bCs/>
                <w:color w:val="FFFFFF"/>
                <w:sz w:val="19"/>
                <w:szCs w:val="19"/>
                <w:lang w:val="es-CO"/>
              </w:rPr>
            </w:pPr>
            <w:r w:rsidRPr="000C152D">
              <w:rPr>
                <w:rFonts w:ascii="Cambria" w:hAnsi="Cambria"/>
                <w:b/>
                <w:bCs/>
                <w:color w:val="FFFFFF"/>
                <w:sz w:val="19"/>
                <w:szCs w:val="19"/>
                <w:lang w:val="es-CO"/>
              </w:rPr>
              <w:t>Presentación de la petición:</w:t>
            </w:r>
          </w:p>
        </w:tc>
        <w:tc>
          <w:tcPr>
            <w:tcW w:w="5670" w:type="dxa"/>
            <w:vAlign w:val="center"/>
          </w:tcPr>
          <w:p w:rsidR="000C152D" w:rsidRPr="000C152D" w:rsidRDefault="000C152D" w:rsidP="000C152D">
            <w:pPr>
              <w:rPr>
                <w:rFonts w:ascii="Cambria" w:hAnsi="Cambria"/>
                <w:b/>
                <w:bCs/>
                <w:color w:val="FFFFFF"/>
                <w:sz w:val="19"/>
                <w:szCs w:val="19"/>
                <w:lang w:val="es-CO"/>
              </w:rPr>
            </w:pPr>
            <w:r w:rsidRPr="000C152D">
              <w:rPr>
                <w:rFonts w:ascii="Cambria" w:hAnsi="Cambria"/>
                <w:bCs/>
                <w:sz w:val="20"/>
                <w:szCs w:val="20"/>
                <w:lang w:val="es-CO"/>
              </w:rPr>
              <w:t>19 de marzo de 2012</w:t>
            </w:r>
          </w:p>
        </w:tc>
      </w:tr>
      <w:tr w:rsidR="000C152D" w:rsidRPr="000C152D" w:rsidTr="000C152D">
        <w:tc>
          <w:tcPr>
            <w:tcW w:w="3600" w:type="dxa"/>
            <w:tcBorders>
              <w:top w:val="single" w:sz="6" w:space="0" w:color="auto"/>
              <w:bottom w:val="single" w:sz="6" w:space="0" w:color="auto"/>
            </w:tcBorders>
            <w:shd w:val="clear" w:color="auto" w:fill="386294"/>
            <w:vAlign w:val="center"/>
          </w:tcPr>
          <w:p w:rsidR="000C152D" w:rsidRPr="000C152D" w:rsidRDefault="000C152D" w:rsidP="005E4160">
            <w:pPr>
              <w:jc w:val="center"/>
              <w:rPr>
                <w:rFonts w:ascii="Cambria" w:hAnsi="Cambria"/>
                <w:b/>
                <w:bCs/>
                <w:color w:val="FFFFFF"/>
                <w:sz w:val="19"/>
                <w:szCs w:val="19"/>
                <w:lang w:val="es-CO"/>
              </w:rPr>
            </w:pPr>
            <w:r w:rsidRPr="000C152D">
              <w:rPr>
                <w:rFonts w:ascii="Cambria" w:hAnsi="Cambria"/>
                <w:b/>
                <w:bCs/>
                <w:color w:val="FFFFFF"/>
                <w:sz w:val="19"/>
                <w:szCs w:val="19"/>
                <w:lang w:val="es-CO"/>
              </w:rPr>
              <w:t>Información adicional recibida durante la etapa de estudio:</w:t>
            </w:r>
          </w:p>
        </w:tc>
        <w:tc>
          <w:tcPr>
            <w:tcW w:w="5670" w:type="dxa"/>
            <w:vAlign w:val="center"/>
          </w:tcPr>
          <w:p w:rsidR="000C152D" w:rsidRPr="000C152D" w:rsidRDefault="000C152D" w:rsidP="000C152D">
            <w:pPr>
              <w:rPr>
                <w:rFonts w:ascii="Cambria" w:hAnsi="Cambria"/>
                <w:b/>
                <w:bCs/>
                <w:color w:val="FFFFFF"/>
                <w:sz w:val="19"/>
                <w:szCs w:val="19"/>
                <w:lang w:val="es-CO"/>
              </w:rPr>
            </w:pPr>
            <w:r w:rsidRPr="000C152D">
              <w:rPr>
                <w:rFonts w:ascii="Cambria" w:hAnsi="Cambria"/>
                <w:bCs/>
                <w:sz w:val="20"/>
                <w:szCs w:val="20"/>
                <w:lang w:val="es-CO"/>
              </w:rPr>
              <w:t xml:space="preserve">20 de diciembre de 2012 </w:t>
            </w:r>
          </w:p>
        </w:tc>
      </w:tr>
      <w:tr w:rsidR="000C152D" w:rsidRPr="000C152D" w:rsidTr="000C152D">
        <w:tc>
          <w:tcPr>
            <w:tcW w:w="3600" w:type="dxa"/>
            <w:tcBorders>
              <w:top w:val="single" w:sz="6" w:space="0" w:color="auto"/>
              <w:bottom w:val="single" w:sz="6" w:space="0" w:color="auto"/>
            </w:tcBorders>
            <w:shd w:val="clear" w:color="auto" w:fill="386294"/>
            <w:vAlign w:val="center"/>
          </w:tcPr>
          <w:p w:rsidR="000C152D" w:rsidRPr="000C152D" w:rsidRDefault="000C152D" w:rsidP="005E4160">
            <w:pPr>
              <w:jc w:val="center"/>
              <w:rPr>
                <w:rFonts w:ascii="Cambria" w:hAnsi="Cambria"/>
                <w:b/>
                <w:bCs/>
                <w:color w:val="FFFFFF"/>
                <w:sz w:val="19"/>
                <w:szCs w:val="19"/>
                <w:lang w:val="es-CO"/>
              </w:rPr>
            </w:pPr>
            <w:r w:rsidRPr="000C152D">
              <w:rPr>
                <w:rFonts w:ascii="Cambria" w:hAnsi="Cambria"/>
                <w:b/>
                <w:color w:val="FFFFFF"/>
                <w:sz w:val="19"/>
                <w:szCs w:val="19"/>
                <w:lang w:val="es-CO"/>
              </w:rPr>
              <w:t>Notificación de la petición al Estado:</w:t>
            </w:r>
          </w:p>
        </w:tc>
        <w:tc>
          <w:tcPr>
            <w:tcW w:w="5670" w:type="dxa"/>
            <w:vAlign w:val="center"/>
          </w:tcPr>
          <w:p w:rsidR="000C152D" w:rsidRPr="000C152D" w:rsidRDefault="000C152D" w:rsidP="000C152D">
            <w:pPr>
              <w:rPr>
                <w:rFonts w:ascii="Cambria" w:hAnsi="Cambria"/>
                <w:b/>
                <w:bCs/>
                <w:color w:val="FFFFFF"/>
                <w:sz w:val="19"/>
                <w:szCs w:val="19"/>
                <w:lang w:val="es-CO"/>
              </w:rPr>
            </w:pPr>
            <w:r w:rsidRPr="000C152D">
              <w:rPr>
                <w:rFonts w:ascii="Cambria" w:hAnsi="Cambria"/>
                <w:bCs/>
                <w:sz w:val="20"/>
                <w:szCs w:val="20"/>
                <w:lang w:val="es-CO"/>
              </w:rPr>
              <w:t>13 de enero de 2016</w:t>
            </w:r>
          </w:p>
        </w:tc>
      </w:tr>
      <w:tr w:rsidR="000C152D" w:rsidRPr="000C152D" w:rsidTr="000C152D">
        <w:tc>
          <w:tcPr>
            <w:tcW w:w="3600" w:type="dxa"/>
            <w:tcBorders>
              <w:top w:val="single" w:sz="6" w:space="0" w:color="auto"/>
              <w:bottom w:val="single" w:sz="6" w:space="0" w:color="auto"/>
            </w:tcBorders>
            <w:shd w:val="clear" w:color="auto" w:fill="386294"/>
            <w:vAlign w:val="center"/>
          </w:tcPr>
          <w:p w:rsidR="000C152D" w:rsidRPr="000C152D" w:rsidRDefault="000C152D" w:rsidP="005E4160">
            <w:pPr>
              <w:jc w:val="center"/>
              <w:rPr>
                <w:rFonts w:ascii="Cambria" w:hAnsi="Cambria"/>
                <w:b/>
                <w:bCs/>
                <w:color w:val="FFFFFF"/>
                <w:sz w:val="19"/>
                <w:szCs w:val="19"/>
                <w:lang w:val="es-CO"/>
              </w:rPr>
            </w:pPr>
            <w:r w:rsidRPr="000C152D">
              <w:rPr>
                <w:rFonts w:ascii="Cambria" w:hAnsi="Cambria"/>
                <w:b/>
                <w:color w:val="FFFFFF"/>
                <w:sz w:val="19"/>
                <w:szCs w:val="19"/>
                <w:lang w:val="es-CO"/>
              </w:rPr>
              <w:t>Primera respuesta del Estado:</w:t>
            </w:r>
          </w:p>
        </w:tc>
        <w:tc>
          <w:tcPr>
            <w:tcW w:w="5670" w:type="dxa"/>
            <w:vAlign w:val="center"/>
          </w:tcPr>
          <w:p w:rsidR="000C152D" w:rsidRPr="000C152D" w:rsidRDefault="000C152D" w:rsidP="000C152D">
            <w:pPr>
              <w:rPr>
                <w:rFonts w:ascii="Cambria" w:hAnsi="Cambria"/>
                <w:b/>
                <w:bCs/>
                <w:color w:val="FFFFFF"/>
                <w:sz w:val="19"/>
                <w:szCs w:val="19"/>
                <w:lang w:val="es-CO"/>
              </w:rPr>
            </w:pPr>
            <w:r w:rsidRPr="000C152D">
              <w:rPr>
                <w:rFonts w:ascii="Cambria" w:hAnsi="Cambria"/>
                <w:bCs/>
                <w:sz w:val="20"/>
                <w:szCs w:val="20"/>
                <w:lang w:val="es-CO"/>
              </w:rPr>
              <w:t>4 de agosto de 2016</w:t>
            </w:r>
          </w:p>
        </w:tc>
      </w:tr>
      <w:tr w:rsidR="000C152D" w:rsidRPr="000C152D" w:rsidTr="000C152D">
        <w:tc>
          <w:tcPr>
            <w:tcW w:w="3600" w:type="dxa"/>
            <w:tcBorders>
              <w:top w:val="single" w:sz="6" w:space="0" w:color="auto"/>
              <w:bottom w:val="single" w:sz="6" w:space="0" w:color="auto"/>
            </w:tcBorders>
            <w:shd w:val="clear" w:color="auto" w:fill="386294"/>
            <w:vAlign w:val="center"/>
          </w:tcPr>
          <w:p w:rsidR="000C152D" w:rsidRPr="000C152D" w:rsidRDefault="000C152D" w:rsidP="005E4160">
            <w:pPr>
              <w:jc w:val="center"/>
              <w:rPr>
                <w:rFonts w:ascii="Cambria" w:hAnsi="Cambria"/>
                <w:b/>
                <w:bCs/>
                <w:color w:val="FFFFFF"/>
                <w:sz w:val="19"/>
                <w:szCs w:val="19"/>
                <w:lang w:val="es-CO"/>
              </w:rPr>
            </w:pPr>
            <w:r w:rsidRPr="000C152D">
              <w:rPr>
                <w:rFonts w:ascii="Cambria" w:hAnsi="Cambria"/>
                <w:b/>
                <w:bCs/>
                <w:color w:val="FFFFFF"/>
                <w:sz w:val="19"/>
                <w:szCs w:val="19"/>
                <w:lang w:val="es-CO"/>
              </w:rPr>
              <w:t>Observaciones adicionales de la parte peticionaria:</w:t>
            </w:r>
          </w:p>
        </w:tc>
        <w:tc>
          <w:tcPr>
            <w:tcW w:w="5670" w:type="dxa"/>
            <w:vAlign w:val="center"/>
          </w:tcPr>
          <w:p w:rsidR="000C152D" w:rsidRPr="000C152D" w:rsidRDefault="000C152D" w:rsidP="000C152D">
            <w:pPr>
              <w:rPr>
                <w:rFonts w:ascii="Cambria" w:hAnsi="Cambria"/>
                <w:b/>
                <w:bCs/>
                <w:color w:val="FFFFFF"/>
                <w:sz w:val="19"/>
                <w:szCs w:val="19"/>
                <w:lang w:val="es-CO"/>
              </w:rPr>
            </w:pPr>
            <w:r w:rsidRPr="000C152D">
              <w:rPr>
                <w:rFonts w:ascii="Cambria" w:hAnsi="Cambria"/>
                <w:bCs/>
                <w:sz w:val="20"/>
                <w:szCs w:val="20"/>
                <w:lang w:val="es-CO"/>
              </w:rPr>
              <w:t>6 de noviembre de 2017</w:t>
            </w:r>
          </w:p>
        </w:tc>
      </w:tr>
    </w:tbl>
    <w:p w:rsidR="00D03F1E" w:rsidRPr="000C152D" w:rsidRDefault="003C3A39" w:rsidP="004C23D6">
      <w:pPr>
        <w:spacing w:before="240" w:after="240"/>
        <w:ind w:firstLine="720"/>
        <w:jc w:val="both"/>
        <w:rPr>
          <w:rFonts w:asciiTheme="majorHAnsi" w:hAnsiTheme="majorHAnsi"/>
          <w:b/>
          <w:bCs/>
          <w:sz w:val="20"/>
          <w:szCs w:val="20"/>
          <w:lang w:val="es-CO"/>
        </w:rPr>
      </w:pPr>
      <w:r w:rsidRPr="000C152D">
        <w:rPr>
          <w:rFonts w:asciiTheme="majorHAnsi" w:hAnsiTheme="majorHAnsi"/>
          <w:b/>
          <w:bCs/>
          <w:sz w:val="20"/>
          <w:szCs w:val="20"/>
          <w:lang w:val="es-CO"/>
        </w:rPr>
        <w:t xml:space="preserve">III. </w:t>
      </w:r>
      <w:r w:rsidRPr="000C152D">
        <w:rPr>
          <w:rFonts w:asciiTheme="majorHAnsi" w:hAnsiTheme="majorHAnsi"/>
          <w:b/>
          <w:bCs/>
          <w:sz w:val="20"/>
          <w:szCs w:val="20"/>
          <w:lang w:val="es-CO"/>
        </w:rPr>
        <w:tab/>
        <w:t>COMPETENCIA</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592"/>
      </w:tblGrid>
      <w:tr w:rsidR="000C152D" w:rsidRPr="000C152D" w:rsidTr="00013C35">
        <w:trPr>
          <w:cantSplit/>
        </w:trPr>
        <w:tc>
          <w:tcPr>
            <w:tcW w:w="3600" w:type="dxa"/>
            <w:tcBorders>
              <w:top w:val="single" w:sz="4" w:space="0" w:color="auto"/>
              <w:bottom w:val="single" w:sz="6" w:space="0" w:color="auto"/>
            </w:tcBorders>
            <w:shd w:val="clear" w:color="auto" w:fill="386294"/>
            <w:vAlign w:val="center"/>
          </w:tcPr>
          <w:p w:rsidR="000C152D" w:rsidRPr="000C152D" w:rsidRDefault="000C152D" w:rsidP="005E4160">
            <w:pPr>
              <w:jc w:val="center"/>
              <w:rPr>
                <w:rFonts w:ascii="Cambria" w:hAnsi="Cambria"/>
                <w:b/>
                <w:bCs/>
                <w:i/>
                <w:color w:val="FFFFFF"/>
                <w:sz w:val="19"/>
                <w:szCs w:val="19"/>
                <w:lang w:val="es-CO"/>
              </w:rPr>
            </w:pPr>
            <w:r w:rsidRPr="000C152D">
              <w:rPr>
                <w:rFonts w:ascii="Cambria" w:hAnsi="Cambria"/>
                <w:b/>
                <w:bCs/>
                <w:color w:val="FFFFFF"/>
                <w:sz w:val="19"/>
                <w:szCs w:val="19"/>
                <w:lang w:val="es-CO"/>
              </w:rPr>
              <w:t>Competencia</w:t>
            </w:r>
            <w:r w:rsidRPr="000C152D">
              <w:rPr>
                <w:rFonts w:ascii="Cambria" w:hAnsi="Cambria"/>
                <w:b/>
                <w:bCs/>
                <w:i/>
                <w:color w:val="FFFFFF"/>
                <w:sz w:val="19"/>
                <w:szCs w:val="19"/>
                <w:lang w:val="es-CO"/>
              </w:rPr>
              <w:t xml:space="preserve"> Ratione personae:</w:t>
            </w:r>
          </w:p>
        </w:tc>
        <w:tc>
          <w:tcPr>
            <w:tcW w:w="5592" w:type="dxa"/>
            <w:vAlign w:val="center"/>
          </w:tcPr>
          <w:p w:rsidR="000C152D" w:rsidRPr="000C152D" w:rsidRDefault="000C152D" w:rsidP="000C152D">
            <w:pPr>
              <w:rPr>
                <w:rFonts w:ascii="Cambria" w:hAnsi="Cambria"/>
                <w:bCs/>
                <w:color w:val="FFFFFF"/>
                <w:sz w:val="19"/>
                <w:szCs w:val="19"/>
                <w:lang w:val="es-CO"/>
              </w:rPr>
            </w:pPr>
            <w:r w:rsidRPr="000C152D">
              <w:rPr>
                <w:rFonts w:asciiTheme="majorHAnsi" w:hAnsiTheme="majorHAnsi"/>
                <w:bCs/>
                <w:sz w:val="20"/>
                <w:szCs w:val="20"/>
                <w:lang w:val="es-CO"/>
              </w:rPr>
              <w:t xml:space="preserve">Sí </w:t>
            </w:r>
          </w:p>
        </w:tc>
      </w:tr>
      <w:tr w:rsidR="000C152D" w:rsidRPr="000C152D" w:rsidTr="00013C35">
        <w:trPr>
          <w:cantSplit/>
        </w:trPr>
        <w:tc>
          <w:tcPr>
            <w:tcW w:w="3600" w:type="dxa"/>
            <w:tcBorders>
              <w:top w:val="single" w:sz="6" w:space="0" w:color="auto"/>
              <w:bottom w:val="single" w:sz="6" w:space="0" w:color="auto"/>
            </w:tcBorders>
            <w:shd w:val="clear" w:color="auto" w:fill="386294"/>
            <w:vAlign w:val="center"/>
          </w:tcPr>
          <w:p w:rsidR="000C152D" w:rsidRPr="000C152D" w:rsidRDefault="000C152D" w:rsidP="005E4160">
            <w:pPr>
              <w:jc w:val="center"/>
              <w:rPr>
                <w:rFonts w:ascii="Cambria" w:hAnsi="Cambria"/>
                <w:b/>
                <w:bCs/>
                <w:color w:val="FFFFFF"/>
                <w:sz w:val="19"/>
                <w:szCs w:val="19"/>
                <w:lang w:val="es-CO"/>
              </w:rPr>
            </w:pPr>
            <w:r w:rsidRPr="000C152D">
              <w:rPr>
                <w:rFonts w:ascii="Cambria" w:hAnsi="Cambria"/>
                <w:b/>
                <w:bCs/>
                <w:color w:val="FFFFFF"/>
                <w:sz w:val="19"/>
                <w:szCs w:val="19"/>
                <w:lang w:val="es-CO"/>
              </w:rPr>
              <w:t>Competencia</w:t>
            </w:r>
            <w:r w:rsidRPr="000C152D">
              <w:rPr>
                <w:rFonts w:ascii="Cambria" w:hAnsi="Cambria"/>
                <w:b/>
                <w:bCs/>
                <w:i/>
                <w:color w:val="FFFFFF"/>
                <w:sz w:val="19"/>
                <w:szCs w:val="19"/>
                <w:lang w:val="es-CO"/>
              </w:rPr>
              <w:t xml:space="preserve"> Ratione loci</w:t>
            </w:r>
            <w:r w:rsidRPr="000C152D">
              <w:rPr>
                <w:rFonts w:ascii="Cambria" w:hAnsi="Cambria"/>
                <w:b/>
                <w:bCs/>
                <w:color w:val="FFFFFF"/>
                <w:sz w:val="19"/>
                <w:szCs w:val="19"/>
                <w:lang w:val="es-CO"/>
              </w:rPr>
              <w:t>:</w:t>
            </w:r>
          </w:p>
        </w:tc>
        <w:tc>
          <w:tcPr>
            <w:tcW w:w="5592" w:type="dxa"/>
            <w:vAlign w:val="center"/>
          </w:tcPr>
          <w:p w:rsidR="000C152D" w:rsidRPr="000C152D" w:rsidRDefault="000C152D" w:rsidP="000C152D">
            <w:pPr>
              <w:rPr>
                <w:rFonts w:ascii="Cambria" w:hAnsi="Cambria"/>
                <w:b/>
                <w:bCs/>
                <w:color w:val="FFFFFF"/>
                <w:sz w:val="19"/>
                <w:szCs w:val="19"/>
                <w:lang w:val="es-CO"/>
              </w:rPr>
            </w:pPr>
            <w:r w:rsidRPr="000C152D">
              <w:rPr>
                <w:rFonts w:asciiTheme="majorHAnsi" w:hAnsiTheme="majorHAnsi"/>
                <w:bCs/>
                <w:sz w:val="20"/>
                <w:szCs w:val="20"/>
                <w:lang w:val="es-CO"/>
              </w:rPr>
              <w:t>Sí</w:t>
            </w:r>
          </w:p>
        </w:tc>
      </w:tr>
      <w:tr w:rsidR="000C152D" w:rsidRPr="000C152D" w:rsidTr="00013C35">
        <w:trPr>
          <w:cantSplit/>
          <w:trHeight w:val="65"/>
        </w:trPr>
        <w:tc>
          <w:tcPr>
            <w:tcW w:w="3600" w:type="dxa"/>
            <w:tcBorders>
              <w:top w:val="single" w:sz="6" w:space="0" w:color="auto"/>
              <w:bottom w:val="single" w:sz="6" w:space="0" w:color="auto"/>
            </w:tcBorders>
            <w:shd w:val="clear" w:color="auto" w:fill="386294"/>
            <w:vAlign w:val="center"/>
          </w:tcPr>
          <w:p w:rsidR="000C152D" w:rsidRPr="000C152D" w:rsidRDefault="000C152D" w:rsidP="005E4160">
            <w:pPr>
              <w:jc w:val="center"/>
              <w:rPr>
                <w:rFonts w:ascii="Cambria" w:hAnsi="Cambria"/>
                <w:b/>
                <w:bCs/>
                <w:color w:val="FFFFFF"/>
                <w:sz w:val="19"/>
                <w:szCs w:val="19"/>
                <w:lang w:val="es-CO"/>
              </w:rPr>
            </w:pPr>
            <w:r w:rsidRPr="000C152D">
              <w:rPr>
                <w:rFonts w:ascii="Cambria" w:hAnsi="Cambria"/>
                <w:b/>
                <w:bCs/>
                <w:color w:val="FFFFFF"/>
                <w:sz w:val="19"/>
                <w:szCs w:val="19"/>
                <w:lang w:val="es-CO"/>
              </w:rPr>
              <w:t>Competencia</w:t>
            </w:r>
            <w:r w:rsidRPr="000C152D">
              <w:rPr>
                <w:rFonts w:ascii="Cambria" w:hAnsi="Cambria"/>
                <w:b/>
                <w:bCs/>
                <w:i/>
                <w:color w:val="FFFFFF"/>
                <w:sz w:val="19"/>
                <w:szCs w:val="19"/>
                <w:lang w:val="es-CO"/>
              </w:rPr>
              <w:t xml:space="preserve"> Ratione temporis</w:t>
            </w:r>
            <w:r w:rsidRPr="000C152D">
              <w:rPr>
                <w:rFonts w:ascii="Cambria" w:hAnsi="Cambria"/>
                <w:b/>
                <w:bCs/>
                <w:color w:val="FFFFFF"/>
                <w:sz w:val="19"/>
                <w:szCs w:val="19"/>
                <w:lang w:val="es-CO"/>
              </w:rPr>
              <w:t>:</w:t>
            </w:r>
          </w:p>
        </w:tc>
        <w:tc>
          <w:tcPr>
            <w:tcW w:w="5592" w:type="dxa"/>
            <w:vAlign w:val="center"/>
          </w:tcPr>
          <w:p w:rsidR="000C152D" w:rsidRPr="000C152D" w:rsidRDefault="000C152D" w:rsidP="000C152D">
            <w:pPr>
              <w:rPr>
                <w:rFonts w:ascii="Cambria" w:hAnsi="Cambria"/>
                <w:b/>
                <w:bCs/>
                <w:color w:val="FFFFFF"/>
                <w:sz w:val="19"/>
                <w:szCs w:val="19"/>
                <w:lang w:val="es-CO"/>
              </w:rPr>
            </w:pPr>
            <w:r w:rsidRPr="000C152D">
              <w:rPr>
                <w:rFonts w:asciiTheme="majorHAnsi" w:hAnsiTheme="majorHAnsi"/>
                <w:bCs/>
                <w:sz w:val="20"/>
                <w:szCs w:val="20"/>
                <w:lang w:val="es-CO"/>
              </w:rPr>
              <w:t>Sí</w:t>
            </w:r>
          </w:p>
        </w:tc>
      </w:tr>
      <w:tr w:rsidR="000C152D" w:rsidRPr="00977BC3" w:rsidTr="00013C35">
        <w:trPr>
          <w:cantSplit/>
        </w:trPr>
        <w:tc>
          <w:tcPr>
            <w:tcW w:w="3600" w:type="dxa"/>
            <w:tcBorders>
              <w:top w:val="single" w:sz="6" w:space="0" w:color="auto"/>
              <w:bottom w:val="single" w:sz="6" w:space="0" w:color="auto"/>
            </w:tcBorders>
            <w:shd w:val="clear" w:color="auto" w:fill="386294"/>
            <w:vAlign w:val="center"/>
          </w:tcPr>
          <w:p w:rsidR="000C152D" w:rsidRPr="000C152D" w:rsidRDefault="000C152D" w:rsidP="005E4160">
            <w:pPr>
              <w:jc w:val="center"/>
              <w:rPr>
                <w:rFonts w:ascii="Cambria" w:hAnsi="Cambria"/>
                <w:b/>
                <w:bCs/>
                <w:color w:val="FFFFFF"/>
                <w:sz w:val="19"/>
                <w:szCs w:val="19"/>
                <w:lang w:val="es-CO"/>
              </w:rPr>
            </w:pPr>
            <w:r w:rsidRPr="000C152D">
              <w:rPr>
                <w:rFonts w:ascii="Cambria" w:hAnsi="Cambria"/>
                <w:b/>
                <w:bCs/>
                <w:color w:val="FFFFFF"/>
                <w:sz w:val="19"/>
                <w:szCs w:val="19"/>
                <w:lang w:val="es-CO"/>
              </w:rPr>
              <w:t>Competencia</w:t>
            </w:r>
            <w:r w:rsidRPr="000C152D">
              <w:rPr>
                <w:rFonts w:ascii="Cambria" w:hAnsi="Cambria"/>
                <w:b/>
                <w:bCs/>
                <w:i/>
                <w:color w:val="FFFFFF"/>
                <w:sz w:val="19"/>
                <w:szCs w:val="19"/>
                <w:lang w:val="es-CO"/>
              </w:rPr>
              <w:t xml:space="preserve"> Ratione materiae</w:t>
            </w:r>
            <w:r w:rsidRPr="000C152D">
              <w:rPr>
                <w:rFonts w:ascii="Cambria" w:hAnsi="Cambria"/>
                <w:b/>
                <w:bCs/>
                <w:color w:val="FFFFFF"/>
                <w:sz w:val="19"/>
                <w:szCs w:val="19"/>
                <w:lang w:val="es-CO"/>
              </w:rPr>
              <w:t>:</w:t>
            </w:r>
          </w:p>
        </w:tc>
        <w:tc>
          <w:tcPr>
            <w:tcW w:w="5592" w:type="dxa"/>
            <w:vAlign w:val="center"/>
          </w:tcPr>
          <w:p w:rsidR="000C152D" w:rsidRPr="000C152D" w:rsidRDefault="000C152D" w:rsidP="000C152D">
            <w:pPr>
              <w:rPr>
                <w:rFonts w:ascii="Cambria" w:hAnsi="Cambria"/>
                <w:b/>
                <w:bCs/>
                <w:color w:val="FFFFFF"/>
                <w:sz w:val="19"/>
                <w:szCs w:val="19"/>
                <w:lang w:val="es-CO"/>
              </w:rPr>
            </w:pPr>
            <w:r w:rsidRPr="000C152D">
              <w:rPr>
                <w:rFonts w:asciiTheme="majorHAnsi" w:hAnsiTheme="majorHAnsi"/>
                <w:bCs/>
                <w:sz w:val="20"/>
                <w:szCs w:val="20"/>
                <w:lang w:val="es-CO"/>
              </w:rPr>
              <w:t xml:space="preserve">Sí, </w:t>
            </w:r>
            <w:r w:rsidRPr="000C152D">
              <w:rPr>
                <w:rFonts w:asciiTheme="majorHAnsi" w:hAnsiTheme="majorHAnsi"/>
                <w:bCs/>
                <w:sz w:val="19"/>
                <w:szCs w:val="19"/>
                <w:lang w:val="es-CO"/>
              </w:rPr>
              <w:t>Declaración Americana (ratificación de la Carta de la OEA el 19 de junio de 1951)</w:t>
            </w:r>
          </w:p>
        </w:tc>
      </w:tr>
    </w:tbl>
    <w:p w:rsidR="00D03F1E" w:rsidRPr="000C152D" w:rsidRDefault="00D03F1E" w:rsidP="004C23D6">
      <w:pPr>
        <w:spacing w:before="240" w:after="240"/>
        <w:ind w:firstLine="720"/>
        <w:jc w:val="both"/>
        <w:rPr>
          <w:rFonts w:asciiTheme="majorHAnsi" w:hAnsiTheme="majorHAnsi"/>
          <w:b/>
          <w:bCs/>
          <w:sz w:val="20"/>
          <w:szCs w:val="20"/>
          <w:lang w:val="es-CO"/>
        </w:rPr>
      </w:pPr>
      <w:r w:rsidRPr="000C152D">
        <w:rPr>
          <w:rFonts w:asciiTheme="majorHAnsi" w:hAnsiTheme="majorHAnsi"/>
          <w:b/>
          <w:bCs/>
          <w:sz w:val="20"/>
          <w:szCs w:val="20"/>
          <w:lang w:val="es-CO"/>
        </w:rPr>
        <w:t xml:space="preserve">IV. </w:t>
      </w:r>
      <w:r w:rsidRPr="000C152D">
        <w:rPr>
          <w:rFonts w:asciiTheme="majorHAnsi" w:hAnsiTheme="majorHAnsi"/>
          <w:b/>
          <w:bCs/>
          <w:sz w:val="20"/>
          <w:szCs w:val="20"/>
          <w:lang w:val="es-CO"/>
        </w:rPr>
        <w:tab/>
      </w:r>
      <w:r w:rsidR="003C3A39" w:rsidRPr="000C152D">
        <w:rPr>
          <w:rFonts w:asciiTheme="majorHAnsi" w:hAnsiTheme="majorHAnsi"/>
          <w:b/>
          <w:bCs/>
          <w:sz w:val="20"/>
          <w:szCs w:val="20"/>
          <w:lang w:val="es-CO"/>
        </w:rPr>
        <w:t>DUPLICACIÓN DE PROCEDIMIENTOS Y COSA JUZGADA INTERNACIONAL, CARACTERIZACIÓN, AGOTAMIENTO DE LOS RECURSOS INTERNOS Y PLAZO DE PRESENTACIÓN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591"/>
      </w:tblGrid>
      <w:tr w:rsidR="000C152D" w:rsidRPr="000C152D" w:rsidTr="000C4FAF">
        <w:trPr>
          <w:cantSplit/>
        </w:trPr>
        <w:tc>
          <w:tcPr>
            <w:tcW w:w="3600" w:type="dxa"/>
            <w:tcBorders>
              <w:top w:val="single" w:sz="4" w:space="0" w:color="auto"/>
              <w:bottom w:val="single" w:sz="6" w:space="0" w:color="auto"/>
            </w:tcBorders>
            <w:shd w:val="clear" w:color="auto" w:fill="386294"/>
            <w:vAlign w:val="center"/>
          </w:tcPr>
          <w:p w:rsidR="000C152D" w:rsidRPr="000C152D" w:rsidRDefault="000C152D" w:rsidP="000C152D">
            <w:pPr>
              <w:jc w:val="both"/>
              <w:rPr>
                <w:rFonts w:ascii="Cambria" w:hAnsi="Cambria"/>
                <w:b/>
                <w:bCs/>
                <w:color w:val="FFFFFF"/>
                <w:sz w:val="19"/>
                <w:szCs w:val="19"/>
                <w:lang w:val="es-CO"/>
              </w:rPr>
            </w:pPr>
            <w:r w:rsidRPr="000C152D">
              <w:rPr>
                <w:rFonts w:ascii="Cambria" w:hAnsi="Cambria"/>
                <w:b/>
                <w:bCs/>
                <w:color w:val="FFFFFF"/>
                <w:sz w:val="19"/>
                <w:szCs w:val="19"/>
                <w:lang w:val="es-CO"/>
              </w:rPr>
              <w:t>Duplicación de procedimientos y cosa juzgada internacional:</w:t>
            </w:r>
          </w:p>
        </w:tc>
        <w:tc>
          <w:tcPr>
            <w:tcW w:w="5591" w:type="dxa"/>
            <w:vAlign w:val="center"/>
          </w:tcPr>
          <w:p w:rsidR="000C152D" w:rsidRPr="000C152D" w:rsidRDefault="000C152D" w:rsidP="000C152D">
            <w:pPr>
              <w:rPr>
                <w:rFonts w:ascii="Cambria" w:hAnsi="Cambria"/>
                <w:b/>
                <w:bCs/>
                <w:color w:val="FFFFFF"/>
                <w:sz w:val="19"/>
                <w:szCs w:val="19"/>
                <w:lang w:val="es-CO"/>
              </w:rPr>
            </w:pPr>
            <w:r w:rsidRPr="000C152D">
              <w:rPr>
                <w:rFonts w:ascii="Cambria" w:hAnsi="Cambria"/>
                <w:bCs/>
                <w:sz w:val="20"/>
                <w:szCs w:val="20"/>
                <w:lang w:val="es-CO"/>
              </w:rPr>
              <w:t>No</w:t>
            </w:r>
          </w:p>
        </w:tc>
      </w:tr>
      <w:tr w:rsidR="000C152D" w:rsidRPr="00977BC3" w:rsidTr="000C4FAF">
        <w:trPr>
          <w:cantSplit/>
        </w:trPr>
        <w:tc>
          <w:tcPr>
            <w:tcW w:w="3600" w:type="dxa"/>
            <w:tcBorders>
              <w:top w:val="single" w:sz="4" w:space="0" w:color="auto"/>
              <w:bottom w:val="single" w:sz="6" w:space="0" w:color="auto"/>
            </w:tcBorders>
            <w:shd w:val="clear" w:color="auto" w:fill="386294"/>
            <w:vAlign w:val="center"/>
          </w:tcPr>
          <w:p w:rsidR="000C152D" w:rsidRPr="000C152D" w:rsidRDefault="000C152D" w:rsidP="0041799B">
            <w:pPr>
              <w:jc w:val="both"/>
              <w:rPr>
                <w:rFonts w:ascii="Cambria" w:hAnsi="Cambria"/>
                <w:b/>
                <w:bCs/>
                <w:i/>
                <w:color w:val="FFFFFF"/>
                <w:sz w:val="19"/>
                <w:szCs w:val="19"/>
                <w:lang w:val="es-CO"/>
              </w:rPr>
            </w:pPr>
            <w:r w:rsidRPr="000C152D">
              <w:rPr>
                <w:rFonts w:ascii="Cambria" w:hAnsi="Cambria"/>
                <w:b/>
                <w:bCs/>
                <w:color w:val="FFFFFF"/>
                <w:sz w:val="19"/>
                <w:szCs w:val="19"/>
                <w:lang w:val="es-CO"/>
              </w:rPr>
              <w:t>Derechos declarados admisible</w:t>
            </w:r>
            <w:r w:rsidR="0041799B">
              <w:rPr>
                <w:rFonts w:ascii="Cambria" w:hAnsi="Cambria"/>
                <w:b/>
                <w:bCs/>
                <w:color w:val="FFFFFF"/>
                <w:sz w:val="19"/>
                <w:szCs w:val="19"/>
                <w:lang w:val="es-CO"/>
              </w:rPr>
              <w:t>s:</w:t>
            </w:r>
          </w:p>
        </w:tc>
        <w:tc>
          <w:tcPr>
            <w:tcW w:w="5591" w:type="dxa"/>
            <w:vAlign w:val="center"/>
          </w:tcPr>
          <w:p w:rsidR="000C152D" w:rsidRPr="000C152D" w:rsidRDefault="000C152D" w:rsidP="000C152D">
            <w:pPr>
              <w:rPr>
                <w:rFonts w:ascii="Cambria" w:hAnsi="Cambria"/>
                <w:b/>
                <w:bCs/>
                <w:i/>
                <w:color w:val="FFFFFF"/>
                <w:sz w:val="19"/>
                <w:szCs w:val="19"/>
                <w:lang w:val="es-CO"/>
              </w:rPr>
            </w:pPr>
            <w:r w:rsidRPr="000C152D">
              <w:rPr>
                <w:sz w:val="20"/>
                <w:szCs w:val="20"/>
                <w:lang w:val="es-CO"/>
              </w:rPr>
              <w:t xml:space="preserve">Artículos I (vida, libertad y seguridad personal), XVII (reconocimiento de la personalidad jurídica y de los derechos civiles),  XVIII (derecho de justicia) y XXV (protección contra la detención arbitraria) </w:t>
            </w:r>
            <w:r w:rsidR="006200AC">
              <w:rPr>
                <w:sz w:val="20"/>
                <w:szCs w:val="20"/>
                <w:lang w:val="es-CO"/>
              </w:rPr>
              <w:t xml:space="preserve">y XXVI (derecho a proceso regular) </w:t>
            </w:r>
            <w:r w:rsidRPr="000C152D">
              <w:rPr>
                <w:sz w:val="20"/>
                <w:szCs w:val="20"/>
                <w:lang w:val="es-CO"/>
              </w:rPr>
              <w:t>de la Declaración Americana</w:t>
            </w:r>
          </w:p>
        </w:tc>
      </w:tr>
      <w:tr w:rsidR="000C152D" w:rsidRPr="000C152D" w:rsidTr="000C4FAF">
        <w:trPr>
          <w:cantSplit/>
        </w:trPr>
        <w:tc>
          <w:tcPr>
            <w:tcW w:w="3600" w:type="dxa"/>
            <w:tcBorders>
              <w:top w:val="single" w:sz="6" w:space="0" w:color="auto"/>
              <w:bottom w:val="single" w:sz="6" w:space="0" w:color="auto"/>
            </w:tcBorders>
            <w:shd w:val="clear" w:color="auto" w:fill="386294"/>
            <w:vAlign w:val="center"/>
          </w:tcPr>
          <w:p w:rsidR="000C152D" w:rsidRPr="000C152D" w:rsidRDefault="000C152D" w:rsidP="000C152D">
            <w:pPr>
              <w:jc w:val="both"/>
              <w:rPr>
                <w:rFonts w:ascii="Cambria" w:hAnsi="Cambria"/>
                <w:b/>
                <w:bCs/>
                <w:color w:val="FFFFFF"/>
                <w:sz w:val="19"/>
                <w:szCs w:val="19"/>
                <w:lang w:val="es-CO"/>
              </w:rPr>
            </w:pPr>
            <w:r w:rsidRPr="000C152D">
              <w:rPr>
                <w:rFonts w:ascii="Cambria" w:hAnsi="Cambria"/>
                <w:b/>
                <w:bCs/>
                <w:color w:val="FFFFFF"/>
                <w:sz w:val="19"/>
                <w:szCs w:val="19"/>
                <w:lang w:val="es-CO"/>
              </w:rPr>
              <w:t>Agotamiento de recursos internos o procedencia de una excepción:</w:t>
            </w:r>
          </w:p>
        </w:tc>
        <w:tc>
          <w:tcPr>
            <w:tcW w:w="5591" w:type="dxa"/>
            <w:vAlign w:val="center"/>
          </w:tcPr>
          <w:p w:rsidR="000C152D" w:rsidRPr="000C152D" w:rsidRDefault="000C152D" w:rsidP="000C152D">
            <w:pPr>
              <w:rPr>
                <w:rFonts w:ascii="Cambria" w:hAnsi="Cambria"/>
                <w:b/>
                <w:bCs/>
                <w:color w:val="FFFFFF"/>
                <w:sz w:val="19"/>
                <w:szCs w:val="19"/>
                <w:lang w:val="es-CO"/>
              </w:rPr>
            </w:pPr>
            <w:r w:rsidRPr="000C152D">
              <w:rPr>
                <w:sz w:val="20"/>
                <w:szCs w:val="20"/>
                <w:lang w:val="es-CO"/>
              </w:rPr>
              <w:t>Sí</w:t>
            </w:r>
          </w:p>
        </w:tc>
      </w:tr>
      <w:tr w:rsidR="000C152D" w:rsidRPr="000C152D" w:rsidTr="000C4FAF">
        <w:trPr>
          <w:cantSplit/>
        </w:trPr>
        <w:tc>
          <w:tcPr>
            <w:tcW w:w="3600" w:type="dxa"/>
            <w:tcBorders>
              <w:top w:val="single" w:sz="6" w:space="0" w:color="auto"/>
              <w:bottom w:val="single" w:sz="6" w:space="0" w:color="auto"/>
            </w:tcBorders>
            <w:shd w:val="clear" w:color="auto" w:fill="386294"/>
            <w:vAlign w:val="center"/>
          </w:tcPr>
          <w:p w:rsidR="000C152D" w:rsidRPr="000C152D" w:rsidRDefault="000C152D" w:rsidP="000C152D">
            <w:pPr>
              <w:jc w:val="both"/>
              <w:rPr>
                <w:rFonts w:ascii="Cambria" w:hAnsi="Cambria"/>
                <w:b/>
                <w:bCs/>
                <w:color w:val="FFFFFF"/>
                <w:sz w:val="19"/>
                <w:szCs w:val="19"/>
                <w:lang w:val="es-CO"/>
              </w:rPr>
            </w:pPr>
            <w:r w:rsidRPr="000C152D">
              <w:rPr>
                <w:rFonts w:ascii="Cambria" w:hAnsi="Cambria"/>
                <w:b/>
                <w:bCs/>
                <w:color w:val="FFFFFF"/>
                <w:sz w:val="19"/>
                <w:szCs w:val="19"/>
                <w:lang w:val="es-CO"/>
              </w:rPr>
              <w:t>Presentación dentro de plazo:</w:t>
            </w:r>
          </w:p>
        </w:tc>
        <w:tc>
          <w:tcPr>
            <w:tcW w:w="5591" w:type="dxa"/>
            <w:vAlign w:val="center"/>
          </w:tcPr>
          <w:p w:rsidR="000C152D" w:rsidRPr="000C152D" w:rsidRDefault="000C152D" w:rsidP="000C152D">
            <w:pPr>
              <w:rPr>
                <w:rFonts w:ascii="Cambria" w:hAnsi="Cambria"/>
                <w:b/>
                <w:bCs/>
                <w:color w:val="FFFFFF"/>
                <w:sz w:val="19"/>
                <w:szCs w:val="19"/>
                <w:lang w:val="es-CO"/>
              </w:rPr>
            </w:pPr>
            <w:r w:rsidRPr="000C152D">
              <w:rPr>
                <w:rFonts w:asciiTheme="majorHAnsi" w:hAnsiTheme="majorHAnsi"/>
                <w:bCs/>
                <w:sz w:val="20"/>
                <w:szCs w:val="20"/>
                <w:lang w:val="es-CO"/>
              </w:rPr>
              <w:t>Sí</w:t>
            </w:r>
          </w:p>
        </w:tc>
      </w:tr>
    </w:tbl>
    <w:p w:rsidR="00D03F1E" w:rsidRPr="000C152D" w:rsidRDefault="00D03F1E" w:rsidP="004C23D6">
      <w:pPr>
        <w:spacing w:before="240" w:after="240"/>
        <w:ind w:firstLine="720"/>
        <w:jc w:val="both"/>
        <w:rPr>
          <w:rFonts w:asciiTheme="majorHAnsi" w:hAnsiTheme="majorHAnsi"/>
          <w:b/>
          <w:sz w:val="20"/>
          <w:szCs w:val="20"/>
          <w:lang w:val="es-CO"/>
        </w:rPr>
      </w:pPr>
      <w:r w:rsidRPr="000C152D">
        <w:rPr>
          <w:rFonts w:asciiTheme="majorHAnsi" w:hAnsiTheme="majorHAnsi"/>
          <w:b/>
          <w:sz w:val="20"/>
          <w:szCs w:val="20"/>
          <w:lang w:val="es-CO"/>
        </w:rPr>
        <w:t xml:space="preserve">V. </w:t>
      </w:r>
      <w:r w:rsidRPr="000C152D">
        <w:rPr>
          <w:rFonts w:asciiTheme="majorHAnsi" w:hAnsiTheme="majorHAnsi"/>
          <w:b/>
          <w:sz w:val="20"/>
          <w:szCs w:val="20"/>
          <w:lang w:val="es-CO"/>
        </w:rPr>
        <w:tab/>
      </w:r>
      <w:r w:rsidR="003C3A39" w:rsidRPr="000C152D">
        <w:rPr>
          <w:rFonts w:asciiTheme="majorHAnsi" w:hAnsiTheme="majorHAnsi"/>
          <w:b/>
          <w:sz w:val="20"/>
          <w:szCs w:val="20"/>
          <w:lang w:val="es-CO"/>
        </w:rPr>
        <w:t>HECHOS ALEGADOS</w:t>
      </w:r>
    </w:p>
    <w:p w:rsidR="00D03F1E" w:rsidRPr="000C152D" w:rsidRDefault="004D0C2F" w:rsidP="006E6112">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0C152D">
        <w:rPr>
          <w:rFonts w:ascii="Cambria" w:hAnsi="Cambria"/>
          <w:sz w:val="20"/>
          <w:szCs w:val="20"/>
          <w:lang w:val="es-CO"/>
        </w:rPr>
        <w:t>La parte peticionaria</w:t>
      </w:r>
      <w:r w:rsidR="003C3A39" w:rsidRPr="000C152D">
        <w:rPr>
          <w:rFonts w:ascii="Cambria" w:hAnsi="Cambria"/>
          <w:sz w:val="20"/>
          <w:szCs w:val="20"/>
          <w:lang w:val="es-CO"/>
        </w:rPr>
        <w:t xml:space="preserve"> expresa que las presuntas víctimas, ciudadanas de Afganistán e Irak, fueron detenidas por fuerzas militares estadounidenses en dichos países</w:t>
      </w:r>
      <w:r w:rsidR="00BB6842">
        <w:rPr>
          <w:rFonts w:ascii="Cambria" w:hAnsi="Cambria"/>
          <w:sz w:val="20"/>
          <w:szCs w:val="20"/>
          <w:lang w:val="es-CO"/>
        </w:rPr>
        <w:t xml:space="preserve"> </w:t>
      </w:r>
      <w:r w:rsidR="003C3A39" w:rsidRPr="000C152D">
        <w:rPr>
          <w:rFonts w:ascii="Cambria" w:hAnsi="Cambria"/>
          <w:sz w:val="20"/>
          <w:szCs w:val="20"/>
          <w:lang w:val="es-CO"/>
        </w:rPr>
        <w:t xml:space="preserve">y sometidas a actos de tortura y a otros tratos abusivos perpetrados por funcionarios </w:t>
      </w:r>
      <w:r w:rsidR="00A842B5" w:rsidRPr="000C152D">
        <w:rPr>
          <w:rFonts w:ascii="Cambria" w:hAnsi="Cambria"/>
          <w:sz w:val="20"/>
          <w:szCs w:val="20"/>
          <w:lang w:val="es-CO"/>
        </w:rPr>
        <w:t>estadounidenses</w:t>
      </w:r>
      <w:r w:rsidR="003C3A39" w:rsidRPr="000C152D">
        <w:rPr>
          <w:rFonts w:ascii="Cambria" w:hAnsi="Cambria"/>
          <w:sz w:val="20"/>
          <w:szCs w:val="20"/>
          <w:lang w:val="es-CO"/>
        </w:rPr>
        <w:t xml:space="preserve"> </w:t>
      </w:r>
      <w:r w:rsidR="00A842B5" w:rsidRPr="000C152D">
        <w:rPr>
          <w:rFonts w:ascii="Cambria" w:hAnsi="Cambria"/>
          <w:sz w:val="20"/>
          <w:szCs w:val="20"/>
          <w:lang w:val="es-CO"/>
        </w:rPr>
        <w:t xml:space="preserve">en </w:t>
      </w:r>
      <w:r w:rsidR="003C3A39" w:rsidRPr="000C152D">
        <w:rPr>
          <w:rFonts w:ascii="Cambria" w:hAnsi="Cambria"/>
          <w:sz w:val="20"/>
          <w:szCs w:val="20"/>
          <w:lang w:val="es-CO"/>
        </w:rPr>
        <w:t>centros de detención</w:t>
      </w:r>
      <w:r w:rsidR="00A842B5" w:rsidRPr="000C152D">
        <w:rPr>
          <w:rFonts w:ascii="Cambria" w:hAnsi="Cambria"/>
          <w:sz w:val="20"/>
          <w:szCs w:val="20"/>
          <w:lang w:val="es-CO"/>
        </w:rPr>
        <w:t xml:space="preserve"> operados por EE.UU.</w:t>
      </w:r>
      <w:r w:rsidR="003C3A39" w:rsidRPr="000C152D">
        <w:rPr>
          <w:rFonts w:ascii="Cambria" w:hAnsi="Cambria"/>
          <w:sz w:val="20"/>
          <w:szCs w:val="20"/>
          <w:lang w:val="es-CO"/>
        </w:rPr>
        <w:t xml:space="preserve"> en esos dos países de Oriente Medio</w:t>
      </w:r>
      <w:r w:rsidR="00A842B5" w:rsidRPr="000C152D">
        <w:rPr>
          <w:rFonts w:ascii="Cambria" w:hAnsi="Cambria"/>
          <w:sz w:val="20"/>
          <w:szCs w:val="20"/>
          <w:lang w:val="es-CO"/>
        </w:rPr>
        <w:t xml:space="preserve"> durante 2003 y 2004</w:t>
      </w:r>
      <w:r w:rsidR="003C3A39" w:rsidRPr="000C152D">
        <w:rPr>
          <w:rFonts w:ascii="Cambria" w:hAnsi="Cambria"/>
          <w:sz w:val="20"/>
          <w:szCs w:val="20"/>
          <w:lang w:val="es-CO"/>
        </w:rPr>
        <w:t xml:space="preserve">. </w:t>
      </w:r>
      <w:r w:rsidRPr="000C152D">
        <w:rPr>
          <w:rFonts w:ascii="Cambria" w:hAnsi="Cambria"/>
          <w:sz w:val="20"/>
          <w:szCs w:val="20"/>
          <w:lang w:val="es-CO"/>
        </w:rPr>
        <w:t>A</w:t>
      </w:r>
      <w:r w:rsidR="003C3A39" w:rsidRPr="000C152D">
        <w:rPr>
          <w:rFonts w:ascii="Cambria" w:hAnsi="Cambria"/>
          <w:sz w:val="20"/>
          <w:szCs w:val="20"/>
          <w:lang w:val="es-CO"/>
        </w:rPr>
        <w:t xml:space="preserve">duce que en dichos centros ese tipo de trato </w:t>
      </w:r>
      <w:r w:rsidR="003C3A39" w:rsidRPr="000C152D">
        <w:rPr>
          <w:rFonts w:ascii="Cambria" w:hAnsi="Cambria"/>
          <w:sz w:val="20"/>
          <w:szCs w:val="20"/>
          <w:lang w:val="es-CO"/>
        </w:rPr>
        <w:lastRenderedPageBreak/>
        <w:t xml:space="preserve">era generalizado y sistémico, además de ser </w:t>
      </w:r>
      <w:r w:rsidR="00A842B5" w:rsidRPr="000C152D">
        <w:rPr>
          <w:rFonts w:ascii="Cambria" w:hAnsi="Cambria"/>
          <w:sz w:val="20"/>
          <w:szCs w:val="20"/>
          <w:lang w:val="es-CO"/>
        </w:rPr>
        <w:t xml:space="preserve">consecuencia directa de políticas y prácticas promulgadas e implantadas por el gobierno de EE.UU. Se alega además que el Estado </w:t>
      </w:r>
      <w:r w:rsidR="00BB6842">
        <w:rPr>
          <w:rFonts w:ascii="Cambria" w:hAnsi="Cambria"/>
          <w:sz w:val="20"/>
          <w:szCs w:val="20"/>
          <w:lang w:val="es-CO"/>
        </w:rPr>
        <w:t>no realizó</w:t>
      </w:r>
      <w:r w:rsidR="00A842B5" w:rsidRPr="000C152D">
        <w:rPr>
          <w:rFonts w:ascii="Cambria" w:hAnsi="Cambria"/>
          <w:sz w:val="20"/>
          <w:szCs w:val="20"/>
          <w:lang w:val="es-CO"/>
        </w:rPr>
        <w:t xml:space="preserve"> investigaciones penales, no hizo que los responsables rindieran cuentas por dichos actos ni proporcionó ningún tipo de resarcimiento a las presuntas víctimas. </w:t>
      </w:r>
    </w:p>
    <w:p w:rsidR="00D03F1E" w:rsidRPr="000C152D" w:rsidRDefault="00D03F1E" w:rsidP="004C23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u w:val="single"/>
          <w:lang w:val="es-CO"/>
        </w:rPr>
      </w:pPr>
      <w:r w:rsidRPr="000C152D">
        <w:rPr>
          <w:rFonts w:asciiTheme="majorHAnsi" w:hAnsiTheme="majorHAnsi" w:cs="Arial"/>
          <w:sz w:val="20"/>
          <w:szCs w:val="22"/>
          <w:u w:val="single"/>
          <w:lang w:val="es-CO"/>
        </w:rPr>
        <w:t>Alega</w:t>
      </w:r>
      <w:r w:rsidR="00A842B5" w:rsidRPr="000C152D">
        <w:rPr>
          <w:rFonts w:asciiTheme="majorHAnsi" w:hAnsiTheme="majorHAnsi" w:cs="Arial"/>
          <w:sz w:val="20"/>
          <w:szCs w:val="22"/>
          <w:u w:val="single"/>
          <w:lang w:val="es-CO"/>
        </w:rPr>
        <w:t>ciones relativas a</w:t>
      </w:r>
      <w:r w:rsidRPr="000C152D">
        <w:rPr>
          <w:rFonts w:asciiTheme="majorHAnsi" w:hAnsiTheme="majorHAnsi" w:cs="Arial"/>
          <w:sz w:val="20"/>
          <w:szCs w:val="22"/>
          <w:u w:val="single"/>
          <w:lang w:val="es-CO"/>
        </w:rPr>
        <w:t xml:space="preserve"> Thahe Mohammed Sabbar</w:t>
      </w:r>
      <w:r w:rsidRPr="000C152D">
        <w:rPr>
          <w:rFonts w:ascii="Cambria" w:hAnsi="Cambria"/>
          <w:sz w:val="20"/>
          <w:szCs w:val="20"/>
          <w:u w:val="single"/>
          <w:lang w:val="es-CO"/>
        </w:rPr>
        <w:t xml:space="preserve"> </w:t>
      </w:r>
    </w:p>
    <w:p w:rsidR="00D03F1E" w:rsidRPr="000C152D" w:rsidRDefault="00A842B5" w:rsidP="001F607C">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0C152D">
        <w:rPr>
          <w:rFonts w:ascii="Cambria" w:hAnsi="Cambria"/>
          <w:sz w:val="20"/>
          <w:szCs w:val="20"/>
          <w:lang w:val="es-CO"/>
        </w:rPr>
        <w:t xml:space="preserve">De julio de 2003 a enero de 2004 Sabbar fue privado de la libertad en varias localidades iraquíes, incluidas el Camp Bucca y la cárcel de Abu Graib. Durante su detención miembros de las fuerzas </w:t>
      </w:r>
      <w:r w:rsidR="00BB6842">
        <w:rPr>
          <w:rFonts w:ascii="Cambria" w:hAnsi="Cambria"/>
          <w:sz w:val="20"/>
          <w:szCs w:val="20"/>
          <w:lang w:val="es-CO"/>
        </w:rPr>
        <w:t>armadas</w:t>
      </w:r>
      <w:r w:rsidRPr="000C152D">
        <w:rPr>
          <w:rFonts w:ascii="Cambria" w:hAnsi="Cambria"/>
          <w:sz w:val="20"/>
          <w:szCs w:val="20"/>
          <w:lang w:val="es-CO"/>
        </w:rPr>
        <w:t xml:space="preserve"> estadounidenses lo golpearon y torturaron con pistolas, </w:t>
      </w:r>
      <w:r w:rsidR="00681620" w:rsidRPr="000C152D">
        <w:rPr>
          <w:rFonts w:ascii="Cambria" w:hAnsi="Cambria"/>
          <w:sz w:val="20"/>
          <w:szCs w:val="20"/>
          <w:lang w:val="es-CO"/>
        </w:rPr>
        <w:t>bastones de madera y</w:t>
      </w:r>
      <w:r w:rsidR="001F607C">
        <w:rPr>
          <w:rFonts w:ascii="Cambria" w:hAnsi="Cambria"/>
          <w:sz w:val="20"/>
          <w:szCs w:val="20"/>
          <w:lang w:val="es-CO"/>
        </w:rPr>
        <w:t xml:space="preserve"> </w:t>
      </w:r>
      <w:r w:rsidR="001F607C" w:rsidRPr="001F607C">
        <w:rPr>
          <w:rFonts w:ascii="Cambria" w:hAnsi="Cambria"/>
          <w:sz w:val="20"/>
          <w:szCs w:val="20"/>
          <w:lang w:val="es-CO"/>
        </w:rPr>
        <w:t>dispositivos de descarga eléctrica</w:t>
      </w:r>
      <w:r w:rsidR="00681620" w:rsidRPr="000C152D">
        <w:rPr>
          <w:rFonts w:ascii="Cambria" w:hAnsi="Cambria"/>
          <w:sz w:val="20"/>
          <w:szCs w:val="20"/>
          <w:lang w:val="es-CO"/>
        </w:rPr>
        <w:t xml:space="preserve">. Se lo encadenó </w:t>
      </w:r>
      <w:r w:rsidR="006E6112">
        <w:rPr>
          <w:rFonts w:ascii="Cambria" w:hAnsi="Cambria"/>
          <w:sz w:val="20"/>
          <w:szCs w:val="20"/>
          <w:lang w:val="es-CO"/>
        </w:rPr>
        <w:t xml:space="preserve">con grilletes </w:t>
      </w:r>
      <w:r w:rsidR="00681620" w:rsidRPr="000C152D">
        <w:rPr>
          <w:rFonts w:ascii="Cambria" w:hAnsi="Cambria"/>
          <w:sz w:val="20"/>
          <w:szCs w:val="20"/>
          <w:lang w:val="es-CO"/>
        </w:rPr>
        <w:t xml:space="preserve">a un cerco durante largos periodos en entornos con temperaturas superiores a los 48 grados centígrados. Fue agredido sexualmente por efectivos militares estadounidenses: en una ocasión uno o más soldados le insertaron los dedos en el ano, le asieron las nalgas y se las toquetearon al tiempo que proferían gemidos y se mofaban de él en presencia de otros soldados, entre los que se encontraba </w:t>
      </w:r>
      <w:r w:rsidR="006E6112">
        <w:rPr>
          <w:rFonts w:ascii="Cambria" w:hAnsi="Cambria"/>
          <w:sz w:val="20"/>
          <w:szCs w:val="20"/>
          <w:lang w:val="es-CO"/>
        </w:rPr>
        <w:t>personal</w:t>
      </w:r>
      <w:r w:rsidR="00681620" w:rsidRPr="000C152D">
        <w:rPr>
          <w:rFonts w:ascii="Cambria" w:hAnsi="Cambria"/>
          <w:sz w:val="20"/>
          <w:szCs w:val="20"/>
          <w:lang w:val="es-CO"/>
        </w:rPr>
        <w:t xml:space="preserve"> del sexo femenino, con el objeto de degradarlo y humillarlo. Los soldados realizaron simulacros de ejecuciones con Sabbar y otros detenidos, obligándolos a colocarse de pie contra un muro frente a un escuadrón de fusilamiento. Se amenazó a la presunta víctima con que sería enviada al centro de detención de Guantánamo, y que allí se la mataría. Resultaba habitual que se la privara de alimentos</w:t>
      </w:r>
      <w:r w:rsidR="006E6112">
        <w:rPr>
          <w:rFonts w:ascii="Cambria" w:hAnsi="Cambria"/>
          <w:sz w:val="20"/>
          <w:szCs w:val="20"/>
          <w:lang w:val="es-CO"/>
        </w:rPr>
        <w:t>,</w:t>
      </w:r>
      <w:r w:rsidR="00681620" w:rsidRPr="000C152D">
        <w:rPr>
          <w:rFonts w:ascii="Cambria" w:hAnsi="Cambria"/>
          <w:sz w:val="20"/>
          <w:szCs w:val="20"/>
          <w:lang w:val="es-CO"/>
        </w:rPr>
        <w:t xml:space="preserve"> y en ocasiones se le </w:t>
      </w:r>
      <w:r w:rsidR="00E1340B" w:rsidRPr="000C152D">
        <w:rPr>
          <w:rFonts w:ascii="Cambria" w:hAnsi="Cambria"/>
          <w:sz w:val="20"/>
          <w:szCs w:val="20"/>
          <w:lang w:val="es-CO"/>
        </w:rPr>
        <w:t>daba comida en mal estado que la</w:t>
      </w:r>
      <w:r w:rsidR="00681620" w:rsidRPr="000C152D">
        <w:rPr>
          <w:rFonts w:ascii="Cambria" w:hAnsi="Cambria"/>
          <w:sz w:val="20"/>
          <w:szCs w:val="20"/>
          <w:lang w:val="es-CO"/>
        </w:rPr>
        <w:t xml:space="preserve"> enfermaba. Se alega asimismo que no se le permitió acceder al baño. Los peticionarios indican que por causa del abuso físico, sexual y psicológico Sabbar </w:t>
      </w:r>
      <w:r w:rsidR="006E6112">
        <w:rPr>
          <w:rFonts w:ascii="Cambria" w:hAnsi="Cambria"/>
          <w:sz w:val="20"/>
          <w:szCs w:val="20"/>
          <w:lang w:val="es-CO"/>
        </w:rPr>
        <w:t>sufre de</w:t>
      </w:r>
      <w:r w:rsidR="00681620" w:rsidRPr="000C152D">
        <w:rPr>
          <w:rFonts w:ascii="Cambria" w:hAnsi="Cambria"/>
          <w:sz w:val="20"/>
          <w:szCs w:val="20"/>
          <w:lang w:val="es-CO"/>
        </w:rPr>
        <w:t xml:space="preserve"> incontinencia, impotencia y pesadillas. </w:t>
      </w:r>
    </w:p>
    <w:p w:rsidR="00D03F1E" w:rsidRPr="000C152D" w:rsidRDefault="00E1340B" w:rsidP="004C23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u w:val="single"/>
          <w:lang w:val="es-CO"/>
        </w:rPr>
      </w:pPr>
      <w:r w:rsidRPr="000C152D">
        <w:rPr>
          <w:rFonts w:asciiTheme="majorHAnsi" w:hAnsiTheme="majorHAnsi" w:cs="Arial"/>
          <w:sz w:val="20"/>
          <w:szCs w:val="22"/>
          <w:u w:val="single"/>
          <w:lang w:val="es-CO"/>
        </w:rPr>
        <w:t>Alegaciones relativas a</w:t>
      </w:r>
      <w:r w:rsidR="00D03F1E" w:rsidRPr="000C152D">
        <w:rPr>
          <w:rFonts w:asciiTheme="majorHAnsi" w:hAnsiTheme="majorHAnsi" w:cs="Arial"/>
          <w:sz w:val="20"/>
          <w:szCs w:val="22"/>
          <w:u w:val="single"/>
          <w:lang w:val="es-CO"/>
        </w:rPr>
        <w:t xml:space="preserve"> </w:t>
      </w:r>
      <w:r w:rsidR="00D03F1E" w:rsidRPr="000C152D">
        <w:rPr>
          <w:sz w:val="20"/>
          <w:szCs w:val="20"/>
          <w:u w:val="single"/>
          <w:lang w:val="es-CO"/>
        </w:rPr>
        <w:t>Sherzad Kamal Khalid</w:t>
      </w:r>
    </w:p>
    <w:p w:rsidR="00D03F1E" w:rsidRPr="006E6112" w:rsidRDefault="00294F1A" w:rsidP="006E6112">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0C152D">
        <w:rPr>
          <w:rFonts w:ascii="Cambria" w:hAnsi="Cambria"/>
          <w:sz w:val="20"/>
          <w:szCs w:val="20"/>
          <w:lang w:val="es-CO"/>
        </w:rPr>
        <w:t xml:space="preserve">Durante su periodo de detención, de julio a septiembre de 2003, </w:t>
      </w:r>
      <w:r w:rsidR="00E1340B" w:rsidRPr="000C152D">
        <w:rPr>
          <w:rFonts w:ascii="Cambria" w:hAnsi="Cambria"/>
          <w:sz w:val="20"/>
          <w:szCs w:val="20"/>
          <w:lang w:val="es-CO"/>
        </w:rPr>
        <w:t xml:space="preserve">Khalid fue objeto de golpizas graves y frecuentes, de actos de abuso sexual y de otros tratos crueles. Se alega que el abuso físico implicó fuertes palizas antes de las interrogaciones, además de propiciársele repetidas patadas y golpes de puño durante varias horas mientas se encontraba encapuchado, encadenado y sentado en el suelo: en una ocasión debió pasar por ante un grupo de entre diez y veinte soldados uniformados que lo apalearon, además de haber sido obligado a permanecer varios días en una “carpa del silencio” en donde cada vez que comenzaba a quedarse dormido se le </w:t>
      </w:r>
      <w:r w:rsidR="006E6112">
        <w:rPr>
          <w:rFonts w:ascii="Cambria" w:hAnsi="Cambria"/>
          <w:sz w:val="20"/>
          <w:szCs w:val="20"/>
          <w:lang w:val="es-CO"/>
        </w:rPr>
        <w:t>asestaban</w:t>
      </w:r>
      <w:r w:rsidR="00E1340B" w:rsidRPr="000C152D">
        <w:rPr>
          <w:rFonts w:ascii="Cambria" w:hAnsi="Cambria"/>
          <w:sz w:val="20"/>
          <w:szCs w:val="20"/>
          <w:lang w:val="es-CO"/>
        </w:rPr>
        <w:t xml:space="preserve"> fuertes golpes. Presuntamente los actos de abuso sexual implica</w:t>
      </w:r>
      <w:r w:rsidR="006E6112">
        <w:rPr>
          <w:rFonts w:ascii="Cambria" w:hAnsi="Cambria"/>
          <w:sz w:val="20"/>
          <w:szCs w:val="20"/>
          <w:lang w:val="es-CO"/>
        </w:rPr>
        <w:t>ron</w:t>
      </w:r>
      <w:r w:rsidR="00E1340B" w:rsidRPr="006E6112">
        <w:rPr>
          <w:rFonts w:ascii="Cambria" w:hAnsi="Cambria"/>
          <w:sz w:val="20"/>
          <w:szCs w:val="20"/>
          <w:lang w:val="es-CO"/>
        </w:rPr>
        <w:t xml:space="preserve"> agresiones en las que se le asían las nalgas y el trasero, se blandía ante él un palo de madera con la amenaza de que se lo utilizaría para sodomizarlo y que eso se le haría todas las noches, así como simulacros de violación en los que </w:t>
      </w:r>
      <w:r w:rsidR="00BB6842" w:rsidRPr="006E6112">
        <w:rPr>
          <w:rFonts w:ascii="Cambria" w:hAnsi="Cambria"/>
          <w:sz w:val="20"/>
          <w:szCs w:val="20"/>
          <w:lang w:val="es-CO"/>
        </w:rPr>
        <w:t xml:space="preserve">se </w:t>
      </w:r>
      <w:r w:rsidR="00E1340B" w:rsidRPr="006E6112">
        <w:rPr>
          <w:rFonts w:ascii="Cambria" w:hAnsi="Cambria"/>
          <w:sz w:val="20"/>
          <w:szCs w:val="20"/>
          <w:lang w:val="es-CO"/>
        </w:rPr>
        <w:t xml:space="preserve">le asían las nalgas y se presionaba una botella de agua contra </w:t>
      </w:r>
      <w:r w:rsidRPr="006E6112">
        <w:rPr>
          <w:rFonts w:ascii="Cambria" w:hAnsi="Cambria"/>
          <w:sz w:val="20"/>
          <w:szCs w:val="20"/>
          <w:lang w:val="es-CO"/>
        </w:rPr>
        <w:t>el asiento de</w:t>
      </w:r>
      <w:r w:rsidR="006E6112">
        <w:rPr>
          <w:rFonts w:ascii="Cambria" w:hAnsi="Cambria"/>
          <w:sz w:val="20"/>
          <w:szCs w:val="20"/>
          <w:lang w:val="es-CO"/>
        </w:rPr>
        <w:t xml:space="preserve"> su</w:t>
      </w:r>
      <w:r w:rsidRPr="006E6112">
        <w:rPr>
          <w:rFonts w:ascii="Cambria" w:hAnsi="Cambria"/>
          <w:sz w:val="20"/>
          <w:szCs w:val="20"/>
          <w:lang w:val="es-CO"/>
        </w:rPr>
        <w:t xml:space="preserve"> pantalón. Se alega que la vida de Khaleb se vio amenazada durante todo el periodo de su detención; fue sometido a simulacros de ejecución dirigidos a extraerle confesiones coercitivamente, con soldados que le acercaban una pistola a la cabeza y lo colocaban </w:t>
      </w:r>
      <w:r w:rsidR="002B40C8" w:rsidRPr="006E6112">
        <w:rPr>
          <w:rFonts w:ascii="Cambria" w:hAnsi="Cambria"/>
          <w:sz w:val="20"/>
          <w:szCs w:val="20"/>
          <w:lang w:val="es-CO"/>
        </w:rPr>
        <w:t>frente a</w:t>
      </w:r>
      <w:r w:rsidRPr="006E6112">
        <w:rPr>
          <w:rFonts w:ascii="Cambria" w:hAnsi="Cambria"/>
          <w:sz w:val="20"/>
          <w:szCs w:val="20"/>
          <w:lang w:val="es-CO"/>
        </w:rPr>
        <w:t xml:space="preserve"> un falso escuadrón de fusilamiento con disparos </w:t>
      </w:r>
      <w:r w:rsidR="006E6112">
        <w:rPr>
          <w:rFonts w:ascii="Cambria" w:hAnsi="Cambria"/>
          <w:sz w:val="20"/>
          <w:szCs w:val="20"/>
          <w:lang w:val="es-CO"/>
        </w:rPr>
        <w:t>apócrifos</w:t>
      </w:r>
      <w:r w:rsidRPr="006E6112">
        <w:rPr>
          <w:rFonts w:ascii="Cambria" w:hAnsi="Cambria"/>
          <w:sz w:val="20"/>
          <w:szCs w:val="20"/>
          <w:lang w:val="es-CO"/>
        </w:rPr>
        <w:t xml:space="preserve">. Era habitual que se privara del sueño a la presunta víctima, así como de alimentos y </w:t>
      </w:r>
      <w:r w:rsidR="002B40C8" w:rsidRPr="006E6112">
        <w:rPr>
          <w:rFonts w:ascii="Cambria" w:hAnsi="Cambria"/>
          <w:sz w:val="20"/>
          <w:szCs w:val="20"/>
          <w:lang w:val="es-CO"/>
        </w:rPr>
        <w:t xml:space="preserve">de </w:t>
      </w:r>
      <w:r w:rsidRPr="006E6112">
        <w:rPr>
          <w:rFonts w:ascii="Cambria" w:hAnsi="Cambria"/>
          <w:sz w:val="20"/>
          <w:szCs w:val="20"/>
          <w:lang w:val="es-CO"/>
        </w:rPr>
        <w:t xml:space="preserve">agua. En una situación semejante a la de Sabbar, se sostiene que a Khaleb se le proporcionó comida en mal estado, lo cual lo enfermó, además de negársele el acceso al baño. En una ocasión se lo encadenó con grilletes </w:t>
      </w:r>
      <w:r w:rsidR="002B40C8" w:rsidRPr="006E6112">
        <w:rPr>
          <w:rFonts w:ascii="Cambria" w:hAnsi="Cambria"/>
          <w:sz w:val="20"/>
          <w:szCs w:val="20"/>
          <w:lang w:val="es-CO"/>
        </w:rPr>
        <w:t xml:space="preserve">a un cerco </w:t>
      </w:r>
      <w:r w:rsidRPr="006E6112">
        <w:rPr>
          <w:rFonts w:ascii="Cambria" w:hAnsi="Cambria"/>
          <w:sz w:val="20"/>
          <w:szCs w:val="20"/>
          <w:lang w:val="es-CO"/>
        </w:rPr>
        <w:t xml:space="preserve">con las manos en la espalda y se lo obligó a mantenerse de pie durante horas con temperaturas que superaban los 48 grados centígrados y sin acceso a agua </w:t>
      </w:r>
      <w:r w:rsidR="006E6112">
        <w:rPr>
          <w:rFonts w:ascii="Cambria" w:hAnsi="Cambria"/>
          <w:sz w:val="20"/>
          <w:szCs w:val="20"/>
          <w:lang w:val="es-CO"/>
        </w:rPr>
        <w:t>ni</w:t>
      </w:r>
      <w:r w:rsidRPr="006E6112">
        <w:rPr>
          <w:rFonts w:ascii="Cambria" w:hAnsi="Cambria"/>
          <w:sz w:val="20"/>
          <w:szCs w:val="20"/>
          <w:lang w:val="es-CO"/>
        </w:rPr>
        <w:t xml:space="preserve"> a alimentos. </w:t>
      </w:r>
    </w:p>
    <w:p w:rsidR="00D03F1E" w:rsidRPr="000C152D" w:rsidRDefault="002B40C8" w:rsidP="004C23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u w:val="single"/>
          <w:lang w:val="es-CO"/>
        </w:rPr>
      </w:pPr>
      <w:r w:rsidRPr="000C152D">
        <w:rPr>
          <w:rFonts w:asciiTheme="majorHAnsi" w:hAnsiTheme="majorHAnsi" w:cs="Arial"/>
          <w:sz w:val="20"/>
          <w:szCs w:val="22"/>
          <w:u w:val="single"/>
          <w:lang w:val="es-CO"/>
        </w:rPr>
        <w:t>Alegaciones relativas a</w:t>
      </w:r>
      <w:r w:rsidR="00D03F1E" w:rsidRPr="000C152D">
        <w:rPr>
          <w:rFonts w:asciiTheme="majorHAnsi" w:hAnsiTheme="majorHAnsi" w:cs="Arial"/>
          <w:sz w:val="20"/>
          <w:szCs w:val="22"/>
          <w:u w:val="single"/>
          <w:lang w:val="es-CO"/>
        </w:rPr>
        <w:t xml:space="preserve"> Mehboob Ahmad</w:t>
      </w:r>
    </w:p>
    <w:p w:rsidR="00D03F1E" w:rsidRPr="000C152D" w:rsidRDefault="002B40C8" w:rsidP="006E6112">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0C152D">
        <w:rPr>
          <w:rFonts w:ascii="Cambria" w:hAnsi="Cambria"/>
          <w:sz w:val="20"/>
          <w:szCs w:val="20"/>
          <w:lang w:val="es-CO"/>
        </w:rPr>
        <w:t>Ahmad estuvo detenid</w:t>
      </w:r>
      <w:r w:rsidR="006F7C0B" w:rsidRPr="000C152D">
        <w:rPr>
          <w:rFonts w:ascii="Cambria" w:hAnsi="Cambria"/>
          <w:sz w:val="20"/>
          <w:szCs w:val="20"/>
          <w:lang w:val="es-CO"/>
        </w:rPr>
        <w:t>o desde junio a noviembre de 200</w:t>
      </w:r>
      <w:r w:rsidRPr="000C152D">
        <w:rPr>
          <w:rFonts w:ascii="Cambria" w:hAnsi="Cambria"/>
          <w:sz w:val="20"/>
          <w:szCs w:val="20"/>
          <w:lang w:val="es-CO"/>
        </w:rPr>
        <w:t xml:space="preserve">3 en varias localidades de </w:t>
      </w:r>
      <w:r w:rsidR="006F7C0B" w:rsidRPr="000C152D">
        <w:rPr>
          <w:rFonts w:ascii="Cambria" w:hAnsi="Cambria"/>
          <w:sz w:val="20"/>
          <w:szCs w:val="20"/>
          <w:lang w:val="es-CO"/>
        </w:rPr>
        <w:t>Afganistán</w:t>
      </w:r>
      <w:r w:rsidRPr="000C152D">
        <w:rPr>
          <w:rFonts w:ascii="Cambria" w:hAnsi="Cambria"/>
          <w:sz w:val="20"/>
          <w:szCs w:val="20"/>
          <w:lang w:val="es-CO"/>
        </w:rPr>
        <w:t xml:space="preserve">, tales como la base militar de Gardez y la base </w:t>
      </w:r>
      <w:r w:rsidR="00BB6842" w:rsidRPr="000C152D">
        <w:rPr>
          <w:rFonts w:ascii="Cambria" w:hAnsi="Cambria"/>
          <w:sz w:val="20"/>
          <w:szCs w:val="20"/>
          <w:lang w:val="es-CO"/>
        </w:rPr>
        <w:t>a</w:t>
      </w:r>
      <w:r w:rsidR="00BB6842">
        <w:rPr>
          <w:rFonts w:ascii="Cambria" w:hAnsi="Cambria"/>
          <w:sz w:val="20"/>
          <w:szCs w:val="20"/>
          <w:lang w:val="es-CO"/>
        </w:rPr>
        <w:t>é</w:t>
      </w:r>
      <w:r w:rsidR="00BB6842" w:rsidRPr="000C152D">
        <w:rPr>
          <w:rFonts w:ascii="Cambria" w:hAnsi="Cambria"/>
          <w:sz w:val="20"/>
          <w:szCs w:val="20"/>
          <w:lang w:val="es-CO"/>
        </w:rPr>
        <w:t>rea</w:t>
      </w:r>
      <w:r w:rsidRPr="000C152D">
        <w:rPr>
          <w:rFonts w:ascii="Cambria" w:hAnsi="Cambria"/>
          <w:sz w:val="20"/>
          <w:szCs w:val="20"/>
          <w:lang w:val="es-CO"/>
        </w:rPr>
        <w:t xml:space="preserve"> de Bagram. </w:t>
      </w:r>
      <w:r w:rsidR="006E6112">
        <w:rPr>
          <w:rFonts w:ascii="Cambria" w:hAnsi="Cambria"/>
          <w:sz w:val="20"/>
          <w:szCs w:val="20"/>
          <w:lang w:val="es-CO"/>
        </w:rPr>
        <w:t>La parte peticionaria</w:t>
      </w:r>
      <w:r w:rsidRPr="000C152D">
        <w:rPr>
          <w:rFonts w:ascii="Cambria" w:hAnsi="Cambria"/>
          <w:sz w:val="20"/>
          <w:szCs w:val="20"/>
          <w:lang w:val="es-CO"/>
        </w:rPr>
        <w:t xml:space="preserve"> alega que Ahmad fue objeto de actos de tortura, tales como golpizas mientras se encontraba </w:t>
      </w:r>
      <w:r w:rsidR="00BB6842">
        <w:rPr>
          <w:rFonts w:ascii="Cambria" w:hAnsi="Cambria"/>
          <w:sz w:val="20"/>
          <w:szCs w:val="20"/>
          <w:lang w:val="es-CO"/>
        </w:rPr>
        <w:t>suspendido</w:t>
      </w:r>
      <w:r w:rsidRPr="000C152D">
        <w:rPr>
          <w:rFonts w:ascii="Cambria" w:hAnsi="Cambria"/>
          <w:sz w:val="20"/>
          <w:szCs w:val="20"/>
          <w:lang w:val="es-CO"/>
        </w:rPr>
        <w:t xml:space="preserve"> del techo </w:t>
      </w:r>
      <w:r w:rsidR="00BB6842">
        <w:rPr>
          <w:rFonts w:ascii="Cambria" w:hAnsi="Cambria"/>
          <w:sz w:val="20"/>
          <w:szCs w:val="20"/>
          <w:lang w:val="es-CO"/>
        </w:rPr>
        <w:t>mediante</w:t>
      </w:r>
      <w:r w:rsidRPr="000C152D">
        <w:rPr>
          <w:rFonts w:ascii="Cambria" w:hAnsi="Cambria"/>
          <w:sz w:val="20"/>
          <w:szCs w:val="20"/>
          <w:lang w:val="es-CO"/>
        </w:rPr>
        <w:t xml:space="preserve"> cadenas y boca abajo. Fue traumatizado sexual y psicológicamente: se lo obligó a quitarse la ropa y a permanecer desnudo durante l</w:t>
      </w:r>
      <w:r w:rsidR="0057253F" w:rsidRPr="000C152D">
        <w:rPr>
          <w:rFonts w:ascii="Cambria" w:hAnsi="Cambria"/>
          <w:sz w:val="20"/>
          <w:szCs w:val="20"/>
          <w:lang w:val="es-CO"/>
        </w:rPr>
        <w:t xml:space="preserve">argos periodos, se </w:t>
      </w:r>
      <w:r w:rsidR="009C1C54" w:rsidRPr="000C152D">
        <w:rPr>
          <w:rFonts w:ascii="Cambria" w:hAnsi="Cambria"/>
          <w:sz w:val="20"/>
          <w:szCs w:val="20"/>
          <w:lang w:val="es-CO"/>
        </w:rPr>
        <w:t>lo sometió a inserciones anales</w:t>
      </w:r>
      <w:r w:rsidR="0057253F" w:rsidRPr="000C152D">
        <w:rPr>
          <w:rFonts w:ascii="Cambria" w:hAnsi="Cambria"/>
          <w:sz w:val="20"/>
          <w:szCs w:val="20"/>
          <w:lang w:val="es-CO"/>
        </w:rPr>
        <w:t>, se lo amenazó con que un perro lo iba a lastimar y fue ob</w:t>
      </w:r>
      <w:r w:rsidR="006F7C0B" w:rsidRPr="000C152D">
        <w:rPr>
          <w:rFonts w:ascii="Cambria" w:hAnsi="Cambria"/>
          <w:sz w:val="20"/>
          <w:szCs w:val="20"/>
          <w:lang w:val="es-CO"/>
        </w:rPr>
        <w:t>j</w:t>
      </w:r>
      <w:r w:rsidR="0057253F" w:rsidRPr="000C152D">
        <w:rPr>
          <w:rFonts w:ascii="Cambria" w:hAnsi="Cambria"/>
          <w:sz w:val="20"/>
          <w:szCs w:val="20"/>
          <w:lang w:val="es-CO"/>
        </w:rPr>
        <w:t xml:space="preserve">eto de la burla de los soldados, que incluso le dijeron que violarían a su esposa. </w:t>
      </w:r>
      <w:r w:rsidR="006E6112">
        <w:rPr>
          <w:rFonts w:ascii="Cambria" w:hAnsi="Cambria"/>
          <w:sz w:val="20"/>
          <w:szCs w:val="20"/>
          <w:lang w:val="es-CO"/>
        </w:rPr>
        <w:t>Ahmad sostiene</w:t>
      </w:r>
      <w:r w:rsidR="0057253F" w:rsidRPr="000C152D">
        <w:rPr>
          <w:rFonts w:ascii="Cambria" w:hAnsi="Cambria"/>
          <w:sz w:val="20"/>
          <w:szCs w:val="20"/>
          <w:lang w:val="es-CO"/>
        </w:rPr>
        <w:t xml:space="preserve"> asimismo haber sufrido privación de los sentidos, ya que se le obligó a llevar auriculares con cancelación de sonido, así como anteojos con vidrios negros y opacos, además de prohibírsele hablar con cualquier otra persona durante los cinco meses de su detención. Alega haber recibido las mismas amenazas de que sería enviado a Guantánamo. </w:t>
      </w:r>
    </w:p>
    <w:p w:rsidR="00D03F1E" w:rsidRPr="000C152D" w:rsidRDefault="0057253F" w:rsidP="004C23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u w:val="single"/>
          <w:lang w:val="es-CO"/>
        </w:rPr>
      </w:pPr>
      <w:r w:rsidRPr="000C152D">
        <w:rPr>
          <w:rFonts w:asciiTheme="majorHAnsi" w:hAnsiTheme="majorHAnsi" w:cs="Arial"/>
          <w:sz w:val="20"/>
          <w:szCs w:val="22"/>
          <w:u w:val="single"/>
          <w:lang w:val="es-CO"/>
        </w:rPr>
        <w:lastRenderedPageBreak/>
        <w:t>Alegaciones relativas a</w:t>
      </w:r>
      <w:r w:rsidR="00D03F1E" w:rsidRPr="000C152D">
        <w:rPr>
          <w:rFonts w:asciiTheme="majorHAnsi" w:hAnsiTheme="majorHAnsi" w:cs="Arial"/>
          <w:sz w:val="20"/>
          <w:szCs w:val="22"/>
          <w:u w:val="single"/>
          <w:lang w:val="es-CO"/>
        </w:rPr>
        <w:t xml:space="preserve"> </w:t>
      </w:r>
      <w:r w:rsidR="00D03F1E" w:rsidRPr="000C152D">
        <w:rPr>
          <w:sz w:val="20"/>
          <w:szCs w:val="20"/>
          <w:u w:val="single"/>
          <w:lang w:val="es-CO"/>
        </w:rPr>
        <w:t>Said Nabi Siddiqi</w:t>
      </w:r>
    </w:p>
    <w:p w:rsidR="00D03F1E" w:rsidRPr="000C152D" w:rsidRDefault="0057253F" w:rsidP="006E6112">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0C152D">
        <w:rPr>
          <w:rFonts w:ascii="Cambria" w:hAnsi="Cambria"/>
          <w:sz w:val="20"/>
          <w:szCs w:val="20"/>
          <w:lang w:val="es-CO"/>
        </w:rPr>
        <w:t xml:space="preserve">Siddiqui fue detenido por fuerzas militares estadounidenses y privado de la libertad en varios centros de detención en Kandahar y Bagram de julio a agosto de 2003. Durante sus dos meses de detención </w:t>
      </w:r>
      <w:r w:rsidR="00C665BA" w:rsidRPr="000C152D">
        <w:rPr>
          <w:rFonts w:ascii="Cambria" w:hAnsi="Cambria"/>
          <w:sz w:val="20"/>
          <w:szCs w:val="20"/>
          <w:lang w:val="es-CO"/>
        </w:rPr>
        <w:t>fue obligado a mantener posturas físicas dolorosas y abusivas por largos periodos durante las interrogaciones que se le efectuaban, incluidos tratos crueles como el de presuntamente sostener un trozo de madera de casi siete kilos con una mano esposada y quedarse en posición de flexión de brazos mientras se lo empapaba con agua: si no lograba mantenerse en posición se lo golpeaba. Sostiene que durante dos semanas se lo interrogó todas las noches</w:t>
      </w:r>
      <w:r w:rsidR="006E6112">
        <w:rPr>
          <w:rFonts w:ascii="Cambria" w:hAnsi="Cambria"/>
          <w:sz w:val="20"/>
          <w:szCs w:val="20"/>
          <w:lang w:val="es-CO"/>
        </w:rPr>
        <w:t xml:space="preserve"> mientras se hallaba esposado </w:t>
      </w:r>
      <w:r w:rsidR="00C665BA" w:rsidRPr="000C152D">
        <w:rPr>
          <w:rFonts w:ascii="Cambria" w:hAnsi="Cambria"/>
          <w:sz w:val="20"/>
          <w:szCs w:val="20"/>
          <w:lang w:val="es-CO"/>
        </w:rPr>
        <w:t xml:space="preserve">con los ojos vendados. Alega humillación sexual </w:t>
      </w:r>
      <w:r w:rsidR="009C1C54" w:rsidRPr="000C152D">
        <w:rPr>
          <w:rFonts w:ascii="Cambria" w:hAnsi="Cambria"/>
          <w:sz w:val="20"/>
          <w:szCs w:val="20"/>
          <w:lang w:val="es-CO"/>
        </w:rPr>
        <w:t>al haber sido</w:t>
      </w:r>
      <w:r w:rsidR="00C665BA" w:rsidRPr="000C152D">
        <w:rPr>
          <w:rFonts w:ascii="Cambria" w:hAnsi="Cambria"/>
          <w:sz w:val="20"/>
          <w:szCs w:val="20"/>
          <w:lang w:val="es-CO"/>
        </w:rPr>
        <w:t xml:space="preserve"> desnudado, fotografiado </w:t>
      </w:r>
      <w:r w:rsidR="009C1C54" w:rsidRPr="000C152D">
        <w:rPr>
          <w:rFonts w:ascii="Cambria" w:hAnsi="Cambria"/>
          <w:sz w:val="20"/>
          <w:szCs w:val="20"/>
          <w:lang w:val="es-CO"/>
        </w:rPr>
        <w:t>y sometido a inserciones anales</w:t>
      </w:r>
      <w:r w:rsidR="00C665BA" w:rsidRPr="000C152D">
        <w:rPr>
          <w:rFonts w:ascii="Cambria" w:hAnsi="Cambria"/>
          <w:sz w:val="20"/>
          <w:szCs w:val="20"/>
          <w:lang w:val="es-CO"/>
        </w:rPr>
        <w:t xml:space="preserve"> y por habérsele dicho reiteradas veces que su esposa era </w:t>
      </w:r>
      <w:r w:rsidR="009057DF" w:rsidRPr="000C152D">
        <w:rPr>
          <w:rFonts w:ascii="Cambria" w:hAnsi="Cambria"/>
          <w:sz w:val="20"/>
          <w:szCs w:val="20"/>
          <w:lang w:val="es-CO"/>
        </w:rPr>
        <w:t>una puta</w:t>
      </w:r>
      <w:r w:rsidR="00C665BA" w:rsidRPr="000C152D">
        <w:rPr>
          <w:rFonts w:ascii="Cambria" w:hAnsi="Cambria"/>
          <w:sz w:val="20"/>
          <w:szCs w:val="20"/>
          <w:lang w:val="es-CO"/>
        </w:rPr>
        <w:t xml:space="preserve"> y que su hija era una mendiga callejera.  Indica haber sido insultado por los soldados</w:t>
      </w:r>
      <w:r w:rsidR="009057DF" w:rsidRPr="000C152D">
        <w:rPr>
          <w:rFonts w:ascii="Cambria" w:hAnsi="Cambria"/>
          <w:sz w:val="20"/>
          <w:szCs w:val="20"/>
          <w:lang w:val="es-CO"/>
        </w:rPr>
        <w:t xml:space="preserve"> y apedreado cuando se encontraba haciendo sus necesidades en el baño. Expresa además que se le quitó el inhalador para el asma, se lo privó del sueño y se lo expuso a condiciones meteorológicas extremas y a elementos en el ambiente </w:t>
      </w:r>
      <w:r w:rsidR="00E97F58">
        <w:rPr>
          <w:rFonts w:ascii="Cambria" w:hAnsi="Cambria"/>
          <w:sz w:val="20"/>
          <w:szCs w:val="20"/>
          <w:lang w:val="es-CO"/>
        </w:rPr>
        <w:t xml:space="preserve">cuando </w:t>
      </w:r>
      <w:r w:rsidR="009057DF" w:rsidRPr="000C152D">
        <w:rPr>
          <w:rFonts w:ascii="Cambria" w:hAnsi="Cambria"/>
          <w:sz w:val="20"/>
          <w:szCs w:val="20"/>
          <w:lang w:val="es-CO"/>
        </w:rPr>
        <w:t xml:space="preserve">estuvo detenido al aire libre sin protección. </w:t>
      </w:r>
    </w:p>
    <w:p w:rsidR="00D03F1E" w:rsidRPr="000C152D" w:rsidRDefault="006F7C0B" w:rsidP="004C23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u w:val="single"/>
          <w:lang w:val="es-CO"/>
        </w:rPr>
      </w:pPr>
      <w:r w:rsidRPr="000C152D">
        <w:rPr>
          <w:rFonts w:asciiTheme="majorHAnsi" w:hAnsiTheme="majorHAnsi" w:cs="Arial"/>
          <w:sz w:val="20"/>
          <w:szCs w:val="22"/>
          <w:u w:val="single"/>
          <w:lang w:val="es-CO"/>
        </w:rPr>
        <w:t xml:space="preserve">Alegaciones relativas a </w:t>
      </w:r>
      <w:r w:rsidR="00D03F1E" w:rsidRPr="000C152D">
        <w:rPr>
          <w:sz w:val="20"/>
          <w:szCs w:val="20"/>
          <w:u w:val="single"/>
          <w:lang w:val="es-CO"/>
        </w:rPr>
        <w:t>Haji Abdul Rahman</w:t>
      </w:r>
    </w:p>
    <w:p w:rsidR="00D03F1E" w:rsidRPr="000C152D" w:rsidRDefault="006F7C0B" w:rsidP="006E6112">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0C152D">
        <w:rPr>
          <w:rFonts w:ascii="Cambria" w:hAnsi="Cambria"/>
          <w:sz w:val="20"/>
          <w:szCs w:val="20"/>
          <w:lang w:val="es-CO"/>
        </w:rPr>
        <w:t xml:space="preserve">Rahman fue detenido por fuerzas militares estadounidenses y privado de la libertad desde diciembre de 2003 a mayo de 2004 en </w:t>
      </w:r>
      <w:r w:rsidR="000A7AD8" w:rsidRPr="000C152D">
        <w:rPr>
          <w:rFonts w:ascii="Cambria" w:hAnsi="Cambria"/>
          <w:sz w:val="20"/>
          <w:szCs w:val="20"/>
          <w:lang w:val="es-CO"/>
        </w:rPr>
        <w:t>centros</w:t>
      </w:r>
      <w:r w:rsidR="009C1C54" w:rsidRPr="000C152D">
        <w:rPr>
          <w:rFonts w:ascii="Cambria" w:hAnsi="Cambria"/>
          <w:sz w:val="20"/>
          <w:szCs w:val="20"/>
          <w:lang w:val="es-CO"/>
        </w:rPr>
        <w:t xml:space="preserve"> ubicados en </w:t>
      </w:r>
      <w:r w:rsidR="000A7AD8" w:rsidRPr="000C152D">
        <w:rPr>
          <w:rFonts w:ascii="Cambria" w:hAnsi="Cambria"/>
          <w:sz w:val="20"/>
          <w:szCs w:val="20"/>
          <w:lang w:val="es-CO"/>
        </w:rPr>
        <w:t>diversas</w:t>
      </w:r>
      <w:r w:rsidR="009C1C54" w:rsidRPr="000C152D">
        <w:rPr>
          <w:rFonts w:ascii="Cambria" w:hAnsi="Cambria"/>
          <w:sz w:val="20"/>
          <w:szCs w:val="20"/>
          <w:lang w:val="es-CO"/>
        </w:rPr>
        <w:t xml:space="preserve"> localidades </w:t>
      </w:r>
      <w:r w:rsidRPr="000C152D">
        <w:rPr>
          <w:rFonts w:ascii="Cambria" w:hAnsi="Cambria"/>
          <w:sz w:val="20"/>
          <w:szCs w:val="20"/>
          <w:lang w:val="es-CO"/>
        </w:rPr>
        <w:t xml:space="preserve">de Afganistán, tales como la base militar de Gardez y la base </w:t>
      </w:r>
      <w:r w:rsidR="009C1C54" w:rsidRPr="000C152D">
        <w:rPr>
          <w:rFonts w:ascii="Cambria" w:hAnsi="Cambria"/>
          <w:sz w:val="20"/>
          <w:szCs w:val="20"/>
          <w:lang w:val="es-CO"/>
        </w:rPr>
        <w:t>aérea</w:t>
      </w:r>
      <w:r w:rsidRPr="000C152D">
        <w:rPr>
          <w:rFonts w:ascii="Cambria" w:hAnsi="Cambria"/>
          <w:sz w:val="20"/>
          <w:szCs w:val="20"/>
          <w:lang w:val="es-CO"/>
        </w:rPr>
        <w:t xml:space="preserve"> de Bagram. </w:t>
      </w:r>
      <w:r w:rsidR="004D0C2F" w:rsidRPr="000C152D">
        <w:rPr>
          <w:rFonts w:ascii="Cambria" w:hAnsi="Cambria"/>
          <w:sz w:val="20"/>
          <w:szCs w:val="20"/>
          <w:lang w:val="es-CO"/>
        </w:rPr>
        <w:t>La parte</w:t>
      </w:r>
      <w:r w:rsidRPr="000C152D">
        <w:rPr>
          <w:rFonts w:ascii="Cambria" w:hAnsi="Cambria"/>
          <w:sz w:val="20"/>
          <w:szCs w:val="20"/>
          <w:lang w:val="es-CO"/>
        </w:rPr>
        <w:t xml:space="preserve"> peticionari</w:t>
      </w:r>
      <w:r w:rsidR="004D0C2F" w:rsidRPr="000C152D">
        <w:rPr>
          <w:rFonts w:ascii="Cambria" w:hAnsi="Cambria"/>
          <w:sz w:val="20"/>
          <w:szCs w:val="20"/>
          <w:lang w:val="es-CO"/>
        </w:rPr>
        <w:t>a</w:t>
      </w:r>
      <w:r w:rsidRPr="000C152D">
        <w:rPr>
          <w:rFonts w:ascii="Cambria" w:hAnsi="Cambria"/>
          <w:sz w:val="20"/>
          <w:szCs w:val="20"/>
          <w:lang w:val="es-CO"/>
        </w:rPr>
        <w:t xml:space="preserve"> </w:t>
      </w:r>
      <w:r w:rsidR="009C1C54" w:rsidRPr="000C152D">
        <w:rPr>
          <w:rFonts w:ascii="Cambria" w:hAnsi="Cambria"/>
          <w:sz w:val="20"/>
          <w:szCs w:val="20"/>
          <w:lang w:val="es-CO"/>
        </w:rPr>
        <w:t xml:space="preserve">alega que la presunta víctima sufrió graves traumas físicos y psicológicos: se la obligó a colocarse anteojos que bloqueaban toda posibilidad de visualización, debió soportar dolorosos </w:t>
      </w:r>
      <w:r w:rsidR="000A7AD8" w:rsidRPr="000C152D">
        <w:rPr>
          <w:rFonts w:ascii="Cambria" w:hAnsi="Cambria"/>
          <w:sz w:val="20"/>
          <w:szCs w:val="20"/>
          <w:lang w:val="es-CO"/>
        </w:rPr>
        <w:t xml:space="preserve">sistemas de sujeción, llevar auriculares que cancelaban todo tipo de sonido, además de mantenerse arrodillado con las manos encadenadas, lo cual </w:t>
      </w:r>
      <w:r w:rsidR="005D07FA" w:rsidRPr="000C152D">
        <w:rPr>
          <w:rFonts w:ascii="Cambria" w:hAnsi="Cambria"/>
          <w:sz w:val="20"/>
          <w:szCs w:val="20"/>
          <w:lang w:val="es-CO"/>
        </w:rPr>
        <w:t xml:space="preserve">le </w:t>
      </w:r>
      <w:r w:rsidR="000A7AD8" w:rsidRPr="000C152D">
        <w:rPr>
          <w:rFonts w:ascii="Cambria" w:hAnsi="Cambria"/>
          <w:sz w:val="20"/>
          <w:szCs w:val="20"/>
          <w:lang w:val="es-CO"/>
        </w:rPr>
        <w:t>generaba tironeo y jaloneos en las muñecas y hombros. Se lo puso en confinamiento solitario</w:t>
      </w:r>
      <w:r w:rsidR="005D07FA" w:rsidRPr="000C152D">
        <w:rPr>
          <w:rFonts w:ascii="Cambria" w:hAnsi="Cambria"/>
          <w:sz w:val="20"/>
          <w:szCs w:val="20"/>
          <w:lang w:val="es-CO"/>
        </w:rPr>
        <w:t xml:space="preserve"> durante quince días, fue objeto de privación del sueño y se lo mantuvo detenido en una zona con iluminación encandiladora y ruidos fuertísimos. También sufrió abusos sexuales al habérselo desnudado y sometido a inserciones anales en múltiples ocasiones. Reiteradas veces se le tomaron fotografías desnudo.   </w:t>
      </w:r>
    </w:p>
    <w:p w:rsidR="00D03F1E" w:rsidRPr="000C152D" w:rsidRDefault="00596F00" w:rsidP="004C23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u w:val="single"/>
          <w:lang w:val="es-CO"/>
        </w:rPr>
      </w:pPr>
      <w:r w:rsidRPr="000C152D">
        <w:rPr>
          <w:rFonts w:asciiTheme="majorHAnsi" w:hAnsiTheme="majorHAnsi" w:cs="Arial"/>
          <w:sz w:val="20"/>
          <w:szCs w:val="22"/>
          <w:u w:val="single"/>
          <w:lang w:val="es-CO"/>
        </w:rPr>
        <w:t>Alegaciones relativas a la admisibilidad</w:t>
      </w:r>
      <w:r w:rsidR="00D03F1E" w:rsidRPr="000C152D">
        <w:rPr>
          <w:rFonts w:ascii="Cambria" w:hAnsi="Cambria"/>
          <w:sz w:val="20"/>
          <w:szCs w:val="20"/>
          <w:u w:val="single"/>
          <w:lang w:val="es-CO"/>
        </w:rPr>
        <w:t xml:space="preserve"> </w:t>
      </w:r>
      <w:r w:rsidRPr="000C152D">
        <w:rPr>
          <w:rFonts w:ascii="Cambria" w:hAnsi="Cambria"/>
          <w:sz w:val="20"/>
          <w:szCs w:val="20"/>
          <w:u w:val="single"/>
          <w:lang w:val="es-CO"/>
        </w:rPr>
        <w:t xml:space="preserve">de la petición </w:t>
      </w:r>
    </w:p>
    <w:p w:rsidR="00D03F1E" w:rsidRPr="000C152D" w:rsidRDefault="00D15D27" w:rsidP="006E6112">
      <w:pPr>
        <w:pStyle w:val="ListParagraph"/>
        <w:numPr>
          <w:ilvl w:val="0"/>
          <w:numId w:val="120"/>
        </w:numPr>
        <w:jc w:val="both"/>
        <w:rPr>
          <w:rFonts w:eastAsia="Arial Unicode MS" w:cs="Times New Roman"/>
          <w:color w:val="auto"/>
          <w:sz w:val="20"/>
          <w:szCs w:val="20"/>
          <w:lang w:val="es-CO" w:eastAsia="en-US"/>
        </w:rPr>
      </w:pPr>
      <w:r w:rsidRPr="00E97F58">
        <w:rPr>
          <w:rFonts w:eastAsia="Arial Unicode MS" w:cs="Times New Roman"/>
          <w:color w:val="auto"/>
          <w:sz w:val="20"/>
          <w:szCs w:val="20"/>
          <w:lang w:val="es-CO" w:eastAsia="en-US"/>
        </w:rPr>
        <w:t>Los peticionarios alegan</w:t>
      </w:r>
      <w:r w:rsidRPr="000C152D">
        <w:rPr>
          <w:rFonts w:eastAsia="Arial Unicode MS" w:cs="Times New Roman"/>
          <w:color w:val="auto"/>
          <w:sz w:val="20"/>
          <w:szCs w:val="20"/>
          <w:lang w:val="es-CO" w:eastAsia="en-US"/>
        </w:rPr>
        <w:t xml:space="preserve"> </w:t>
      </w:r>
      <w:r w:rsidR="00E97F58">
        <w:rPr>
          <w:rFonts w:eastAsia="Arial Unicode MS" w:cs="Times New Roman"/>
          <w:color w:val="auto"/>
          <w:sz w:val="20"/>
          <w:szCs w:val="20"/>
          <w:lang w:val="es-CO" w:eastAsia="en-US"/>
        </w:rPr>
        <w:t>que agotaron</w:t>
      </w:r>
      <w:r w:rsidRPr="000C152D">
        <w:rPr>
          <w:rFonts w:eastAsia="Arial Unicode MS" w:cs="Times New Roman"/>
          <w:color w:val="auto"/>
          <w:sz w:val="20"/>
          <w:szCs w:val="20"/>
          <w:lang w:val="es-CO" w:eastAsia="en-US"/>
        </w:rPr>
        <w:t xml:space="preserve"> los recursos internos o que deberían quedar eximidos de hacerlo. Sostienen que se realizaron varios intentos dirigidos a obtener resarcimiento en el foro civil mediante acciones judiciales en contra de determinados </w:t>
      </w:r>
      <w:r w:rsidR="00CD4207" w:rsidRPr="000C152D">
        <w:rPr>
          <w:rFonts w:eastAsia="Arial Unicode MS" w:cs="Times New Roman"/>
          <w:color w:val="auto"/>
          <w:sz w:val="20"/>
          <w:szCs w:val="20"/>
          <w:lang w:val="es-CO" w:eastAsia="en-US"/>
        </w:rPr>
        <w:t>jefes</w:t>
      </w:r>
      <w:r w:rsidRPr="000C152D">
        <w:rPr>
          <w:rFonts w:eastAsia="Arial Unicode MS" w:cs="Times New Roman"/>
          <w:color w:val="auto"/>
          <w:sz w:val="20"/>
          <w:szCs w:val="20"/>
          <w:lang w:val="es-CO" w:eastAsia="en-US"/>
        </w:rPr>
        <w:t xml:space="preserve"> de las fuerzas </w:t>
      </w:r>
      <w:r w:rsidR="00CD4207" w:rsidRPr="000C152D">
        <w:rPr>
          <w:rFonts w:eastAsia="Arial Unicode MS" w:cs="Times New Roman"/>
          <w:color w:val="auto"/>
          <w:sz w:val="20"/>
          <w:szCs w:val="20"/>
          <w:lang w:val="es-CO" w:eastAsia="en-US"/>
        </w:rPr>
        <w:t>armadas</w:t>
      </w:r>
      <w:r w:rsidRPr="000C152D">
        <w:rPr>
          <w:rFonts w:eastAsia="Arial Unicode MS" w:cs="Times New Roman"/>
          <w:color w:val="auto"/>
          <w:sz w:val="20"/>
          <w:szCs w:val="20"/>
          <w:lang w:val="es-CO" w:eastAsia="en-US"/>
        </w:rPr>
        <w:t xml:space="preserve"> de EE.UU. de conformidad con el derecho internacional y el derecho constitucional </w:t>
      </w:r>
      <w:r w:rsidR="006E6112">
        <w:rPr>
          <w:rFonts w:eastAsia="Arial Unicode MS" w:cs="Times New Roman"/>
          <w:color w:val="auto"/>
          <w:sz w:val="20"/>
          <w:szCs w:val="20"/>
          <w:lang w:val="es-CO" w:eastAsia="en-US"/>
        </w:rPr>
        <w:t>estadounidense</w:t>
      </w:r>
      <w:r w:rsidRPr="000C152D">
        <w:rPr>
          <w:rFonts w:eastAsia="Arial Unicode MS" w:cs="Times New Roman"/>
          <w:color w:val="auto"/>
          <w:sz w:val="20"/>
          <w:szCs w:val="20"/>
          <w:lang w:val="es-CO" w:eastAsia="en-US"/>
        </w:rPr>
        <w:t xml:space="preserve"> en materia de tratos crueles, inhumanos y degradantes. Las presuntas víctimas han procurado reparaciones en el sistema de justicia federal </w:t>
      </w:r>
      <w:r w:rsidR="006E6112">
        <w:rPr>
          <w:rFonts w:eastAsia="Arial Unicode MS" w:cs="Times New Roman"/>
          <w:color w:val="auto"/>
          <w:sz w:val="20"/>
          <w:szCs w:val="20"/>
          <w:lang w:val="es-CO" w:eastAsia="en-US"/>
        </w:rPr>
        <w:t>del Estado</w:t>
      </w:r>
      <w:r w:rsidRPr="000C152D">
        <w:rPr>
          <w:rFonts w:eastAsia="Arial Unicode MS" w:cs="Times New Roman"/>
          <w:color w:val="auto"/>
          <w:sz w:val="20"/>
          <w:szCs w:val="20"/>
          <w:lang w:val="es-CO" w:eastAsia="en-US"/>
        </w:rPr>
        <w:t xml:space="preserve"> por medio de acciones incoadas en cuatro jurisdicciones diferentes en las que alegaron que la</w:t>
      </w:r>
      <w:r w:rsidR="0052442A" w:rsidRPr="000C152D">
        <w:rPr>
          <w:rFonts w:eastAsia="Arial Unicode MS" w:cs="Times New Roman"/>
          <w:color w:val="auto"/>
          <w:sz w:val="20"/>
          <w:szCs w:val="20"/>
          <w:lang w:val="es-CO" w:eastAsia="en-US"/>
        </w:rPr>
        <w:t>s ó</w:t>
      </w:r>
      <w:r w:rsidRPr="000C152D">
        <w:rPr>
          <w:rFonts w:eastAsia="Arial Unicode MS" w:cs="Times New Roman"/>
          <w:color w:val="auto"/>
          <w:sz w:val="20"/>
          <w:szCs w:val="20"/>
          <w:lang w:val="es-CO" w:eastAsia="en-US"/>
        </w:rPr>
        <w:t>rden</w:t>
      </w:r>
      <w:r w:rsidR="0052442A" w:rsidRPr="000C152D">
        <w:rPr>
          <w:rFonts w:eastAsia="Arial Unicode MS" w:cs="Times New Roman"/>
          <w:color w:val="auto"/>
          <w:sz w:val="20"/>
          <w:szCs w:val="20"/>
          <w:lang w:val="es-CO" w:eastAsia="en-US"/>
        </w:rPr>
        <w:t>es</w:t>
      </w:r>
      <w:r w:rsidRPr="000C152D">
        <w:rPr>
          <w:rFonts w:eastAsia="Arial Unicode MS" w:cs="Times New Roman"/>
          <w:color w:val="auto"/>
          <w:sz w:val="20"/>
          <w:szCs w:val="20"/>
          <w:lang w:val="es-CO" w:eastAsia="en-US"/>
        </w:rPr>
        <w:t xml:space="preserve"> de tortura</w:t>
      </w:r>
      <w:r w:rsidR="0052442A" w:rsidRPr="000C152D">
        <w:rPr>
          <w:rFonts w:eastAsia="Arial Unicode MS" w:cs="Times New Roman"/>
          <w:color w:val="auto"/>
          <w:sz w:val="20"/>
          <w:szCs w:val="20"/>
          <w:lang w:val="es-CO" w:eastAsia="en-US"/>
        </w:rPr>
        <w:t xml:space="preserve"> que sufrieron</w:t>
      </w:r>
      <w:r w:rsidRPr="000C152D">
        <w:rPr>
          <w:rFonts w:eastAsia="Arial Unicode MS" w:cs="Times New Roman"/>
          <w:color w:val="auto"/>
          <w:sz w:val="20"/>
          <w:szCs w:val="20"/>
          <w:lang w:val="es-CO" w:eastAsia="en-US"/>
        </w:rPr>
        <w:t xml:space="preserve"> había</w:t>
      </w:r>
      <w:r w:rsidR="0052442A" w:rsidRPr="000C152D">
        <w:rPr>
          <w:rFonts w:eastAsia="Arial Unicode MS" w:cs="Times New Roman"/>
          <w:color w:val="auto"/>
          <w:sz w:val="20"/>
          <w:szCs w:val="20"/>
          <w:lang w:val="es-CO" w:eastAsia="en-US"/>
        </w:rPr>
        <w:t>n</w:t>
      </w:r>
      <w:r w:rsidRPr="000C152D">
        <w:rPr>
          <w:rFonts w:eastAsia="Arial Unicode MS" w:cs="Times New Roman"/>
          <w:color w:val="auto"/>
          <w:sz w:val="20"/>
          <w:szCs w:val="20"/>
          <w:lang w:val="es-CO" w:eastAsia="en-US"/>
        </w:rPr>
        <w:t xml:space="preserve"> procedido de los más altos niveles del gobierno</w:t>
      </w:r>
      <w:r w:rsidR="0052442A" w:rsidRPr="000C152D">
        <w:rPr>
          <w:rFonts w:eastAsia="Arial Unicode MS" w:cs="Times New Roman"/>
          <w:color w:val="auto"/>
          <w:sz w:val="20"/>
          <w:szCs w:val="20"/>
          <w:lang w:val="es-CO" w:eastAsia="en-US"/>
        </w:rPr>
        <w:t xml:space="preserve">, quienes la habían condonado, en el marco de una política sistémica de abuso de los detenidos en los centros operados por Estados Unidos en Afganistán e Irak.  Las acciones se acumularon y se asignaron al Tribunal de Distrito </w:t>
      </w:r>
      <w:r w:rsidR="00E97F58">
        <w:rPr>
          <w:rFonts w:eastAsia="Arial Unicode MS" w:cs="Times New Roman"/>
          <w:color w:val="auto"/>
          <w:sz w:val="20"/>
          <w:szCs w:val="20"/>
          <w:lang w:val="es-CO" w:eastAsia="en-US"/>
        </w:rPr>
        <w:t>de</w:t>
      </w:r>
      <w:r w:rsidR="0052442A" w:rsidRPr="000C152D">
        <w:rPr>
          <w:rFonts w:eastAsia="Arial Unicode MS" w:cs="Times New Roman"/>
          <w:color w:val="auto"/>
          <w:sz w:val="20"/>
          <w:szCs w:val="20"/>
          <w:lang w:val="es-CO" w:eastAsia="en-US"/>
        </w:rPr>
        <w:t xml:space="preserve"> Washington, D.C.</w:t>
      </w:r>
      <w:r w:rsidR="00396ED4" w:rsidRPr="000C152D">
        <w:rPr>
          <w:rFonts w:eastAsia="Arial Unicode MS" w:cs="Times New Roman"/>
          <w:color w:val="auto"/>
          <w:sz w:val="20"/>
          <w:szCs w:val="20"/>
          <w:lang w:val="es-CO" w:eastAsia="en-US"/>
        </w:rPr>
        <w:t xml:space="preserve"> </w:t>
      </w:r>
      <w:r w:rsidR="0052442A" w:rsidRPr="000C152D">
        <w:rPr>
          <w:rFonts w:eastAsia="Arial Unicode MS" w:cs="Times New Roman"/>
          <w:color w:val="auto"/>
          <w:sz w:val="20"/>
          <w:szCs w:val="20"/>
          <w:lang w:val="es-CO" w:eastAsia="en-US"/>
        </w:rPr>
        <w:t>Se explica que el Tribunal de Distrito aceptó los argumentos de las demandadas de que</w:t>
      </w:r>
      <w:r w:rsidR="0086161A">
        <w:rPr>
          <w:rFonts w:eastAsia="Arial Unicode MS" w:cs="Times New Roman"/>
          <w:color w:val="auto"/>
          <w:sz w:val="20"/>
          <w:szCs w:val="20"/>
          <w:lang w:val="es-CO" w:eastAsia="en-US"/>
        </w:rPr>
        <w:t>,</w:t>
      </w:r>
      <w:r w:rsidR="0052442A" w:rsidRPr="000C152D">
        <w:rPr>
          <w:rFonts w:eastAsia="Arial Unicode MS" w:cs="Times New Roman"/>
          <w:color w:val="auto"/>
          <w:sz w:val="20"/>
          <w:szCs w:val="20"/>
          <w:lang w:val="es-CO" w:eastAsia="en-US"/>
        </w:rPr>
        <w:t xml:space="preserve"> dado que </w:t>
      </w:r>
      <w:r w:rsidR="00E97F58">
        <w:rPr>
          <w:rFonts w:eastAsia="Arial Unicode MS" w:cs="Times New Roman"/>
          <w:color w:val="auto"/>
          <w:sz w:val="20"/>
          <w:szCs w:val="20"/>
          <w:lang w:val="es-CO" w:eastAsia="en-US"/>
        </w:rPr>
        <w:t xml:space="preserve">las </w:t>
      </w:r>
      <w:r w:rsidR="0052442A" w:rsidRPr="000C152D">
        <w:rPr>
          <w:rFonts w:eastAsia="Arial Unicode MS" w:cs="Times New Roman"/>
          <w:color w:val="auto"/>
          <w:sz w:val="20"/>
          <w:szCs w:val="20"/>
          <w:lang w:val="es-CO" w:eastAsia="en-US"/>
        </w:rPr>
        <w:t>presuntas víctimas eran extranjeros no residentes</w:t>
      </w:r>
      <w:r w:rsidR="0086161A">
        <w:rPr>
          <w:rFonts w:eastAsia="Arial Unicode MS" w:cs="Times New Roman"/>
          <w:color w:val="auto"/>
          <w:sz w:val="20"/>
          <w:szCs w:val="20"/>
          <w:lang w:val="es-CO" w:eastAsia="en-US"/>
        </w:rPr>
        <w:t>,</w:t>
      </w:r>
      <w:r w:rsidR="0052442A" w:rsidRPr="000C152D">
        <w:rPr>
          <w:rFonts w:eastAsia="Arial Unicode MS" w:cs="Times New Roman"/>
          <w:color w:val="auto"/>
          <w:sz w:val="20"/>
          <w:szCs w:val="20"/>
          <w:lang w:val="es-CO" w:eastAsia="en-US"/>
        </w:rPr>
        <w:t xml:space="preserve"> no </w:t>
      </w:r>
      <w:r w:rsidR="00E97F58">
        <w:rPr>
          <w:rFonts w:eastAsia="Arial Unicode MS" w:cs="Times New Roman"/>
          <w:color w:val="auto"/>
          <w:sz w:val="20"/>
          <w:szCs w:val="20"/>
          <w:lang w:val="es-CO" w:eastAsia="en-US"/>
        </w:rPr>
        <w:t>gozaban de la protección de</w:t>
      </w:r>
      <w:r w:rsidR="0052442A" w:rsidRPr="000C152D">
        <w:rPr>
          <w:rFonts w:eastAsia="Arial Unicode MS" w:cs="Times New Roman"/>
          <w:color w:val="auto"/>
          <w:sz w:val="20"/>
          <w:szCs w:val="20"/>
          <w:lang w:val="es-CO" w:eastAsia="en-US"/>
        </w:rPr>
        <w:t xml:space="preserve"> la </w:t>
      </w:r>
      <w:r w:rsidR="0086161A">
        <w:rPr>
          <w:rFonts w:eastAsia="Arial Unicode MS" w:cs="Times New Roman"/>
          <w:color w:val="auto"/>
          <w:sz w:val="20"/>
          <w:szCs w:val="20"/>
          <w:lang w:val="es-CO" w:eastAsia="en-US"/>
        </w:rPr>
        <w:t xml:space="preserve">Constitución de Estados Unidos, </w:t>
      </w:r>
      <w:r w:rsidR="00396ED4" w:rsidRPr="000C152D">
        <w:rPr>
          <w:rFonts w:eastAsia="Arial Unicode MS" w:cs="Times New Roman"/>
          <w:color w:val="auto"/>
          <w:sz w:val="20"/>
          <w:szCs w:val="20"/>
          <w:lang w:val="es-CO" w:eastAsia="en-US"/>
        </w:rPr>
        <w:t xml:space="preserve">que </w:t>
      </w:r>
      <w:r w:rsidR="0052442A" w:rsidRPr="000C152D">
        <w:rPr>
          <w:rFonts w:eastAsia="Arial Unicode MS" w:cs="Times New Roman"/>
          <w:color w:val="auto"/>
          <w:sz w:val="20"/>
          <w:szCs w:val="20"/>
          <w:lang w:val="es-CO" w:eastAsia="en-US"/>
        </w:rPr>
        <w:t xml:space="preserve">los demandados (funcionarios gubernamentales) tenían derecho a una “inmunidad calificada” en el caso de supuestas vulneraciones de derechos que no se hallaban claramente establecidas en la legislación estadounidense y, por último, </w:t>
      </w:r>
      <w:r w:rsidR="00396ED4" w:rsidRPr="000C152D">
        <w:rPr>
          <w:rFonts w:eastAsia="Arial Unicode MS" w:cs="Times New Roman"/>
          <w:color w:val="auto"/>
          <w:sz w:val="20"/>
          <w:szCs w:val="20"/>
          <w:lang w:val="es-CO" w:eastAsia="en-US"/>
        </w:rPr>
        <w:t xml:space="preserve">que la presunta conducta ilegal estaba “dentro del ámbito” de las </w:t>
      </w:r>
      <w:r w:rsidR="0086161A">
        <w:rPr>
          <w:rFonts w:eastAsia="Arial Unicode MS" w:cs="Times New Roman"/>
          <w:color w:val="auto"/>
          <w:sz w:val="20"/>
          <w:szCs w:val="20"/>
          <w:lang w:val="es-CO" w:eastAsia="en-US"/>
        </w:rPr>
        <w:t>competencias</w:t>
      </w:r>
      <w:r w:rsidR="00396ED4" w:rsidRPr="000C152D">
        <w:rPr>
          <w:rFonts w:eastAsia="Arial Unicode MS" w:cs="Times New Roman"/>
          <w:color w:val="auto"/>
          <w:sz w:val="20"/>
          <w:szCs w:val="20"/>
          <w:lang w:val="es-CO" w:eastAsia="en-US"/>
        </w:rPr>
        <w:t xml:space="preserve"> laborales de dichos funcionarios. </w:t>
      </w:r>
      <w:r w:rsidR="004D0C2F" w:rsidRPr="000C152D">
        <w:rPr>
          <w:rFonts w:eastAsia="Arial Unicode MS" w:cs="Times New Roman"/>
          <w:color w:val="auto"/>
          <w:sz w:val="20"/>
          <w:szCs w:val="20"/>
          <w:lang w:val="es-CO" w:eastAsia="en-US"/>
        </w:rPr>
        <w:t>La parte</w:t>
      </w:r>
      <w:r w:rsidR="00396ED4" w:rsidRPr="000C152D">
        <w:rPr>
          <w:rFonts w:eastAsia="Arial Unicode MS" w:cs="Times New Roman"/>
          <w:color w:val="auto"/>
          <w:sz w:val="20"/>
          <w:szCs w:val="20"/>
          <w:lang w:val="es-CO" w:eastAsia="en-US"/>
        </w:rPr>
        <w:t xml:space="preserve"> peticionari</w:t>
      </w:r>
      <w:r w:rsidR="004D0C2F" w:rsidRPr="000C152D">
        <w:rPr>
          <w:rFonts w:eastAsia="Arial Unicode MS" w:cs="Times New Roman"/>
          <w:color w:val="auto"/>
          <w:sz w:val="20"/>
          <w:szCs w:val="20"/>
          <w:lang w:val="es-CO" w:eastAsia="en-US"/>
        </w:rPr>
        <w:t>a</w:t>
      </w:r>
      <w:r w:rsidR="00396ED4" w:rsidRPr="000C152D">
        <w:rPr>
          <w:rFonts w:eastAsia="Arial Unicode MS" w:cs="Times New Roman"/>
          <w:color w:val="auto"/>
          <w:sz w:val="20"/>
          <w:szCs w:val="20"/>
          <w:lang w:val="es-CO" w:eastAsia="en-US"/>
        </w:rPr>
        <w:t xml:space="preserve"> explica que el Tribunal de Distrito para el Distrito de Columbia desestimó la </w:t>
      </w:r>
      <w:r w:rsidR="0086161A">
        <w:rPr>
          <w:rFonts w:eastAsia="Arial Unicode MS" w:cs="Times New Roman"/>
          <w:color w:val="auto"/>
          <w:sz w:val="20"/>
          <w:szCs w:val="20"/>
          <w:lang w:val="es-CO" w:eastAsia="en-US"/>
        </w:rPr>
        <w:t>demanda</w:t>
      </w:r>
      <w:r w:rsidR="00396ED4" w:rsidRPr="000C152D">
        <w:rPr>
          <w:rFonts w:eastAsia="Arial Unicode MS" w:cs="Times New Roman"/>
          <w:color w:val="auto"/>
          <w:sz w:val="20"/>
          <w:szCs w:val="20"/>
          <w:lang w:val="es-CO" w:eastAsia="en-US"/>
        </w:rPr>
        <w:t>. Dicha desestimación quedó confirmada por el Tribunal de Apelaciones. El 9 de noviembre de 2011 el mencionado Tribunal de Apelaciones rechazó la solicitud de reconsideración</w:t>
      </w:r>
      <w:r w:rsidR="00E75EEF" w:rsidRPr="000C152D">
        <w:rPr>
          <w:rFonts w:eastAsia="Arial Unicode MS" w:cs="Times New Roman"/>
          <w:color w:val="auto"/>
          <w:sz w:val="20"/>
          <w:szCs w:val="20"/>
          <w:lang w:val="es-CO" w:eastAsia="en-US"/>
        </w:rPr>
        <w:t xml:space="preserve"> </w:t>
      </w:r>
      <w:r w:rsidR="00396ED4" w:rsidRPr="000C152D">
        <w:rPr>
          <w:rFonts w:eastAsia="Arial Unicode MS" w:cs="Times New Roman"/>
          <w:color w:val="auto"/>
          <w:sz w:val="20"/>
          <w:szCs w:val="20"/>
          <w:lang w:val="es-CO" w:eastAsia="en-US"/>
        </w:rPr>
        <w:t>de sentencia</w:t>
      </w:r>
      <w:r w:rsidR="0086161A">
        <w:rPr>
          <w:rFonts w:eastAsia="Arial Unicode MS" w:cs="Times New Roman"/>
          <w:color w:val="auto"/>
          <w:sz w:val="20"/>
          <w:szCs w:val="20"/>
          <w:lang w:val="es-CO" w:eastAsia="en-US"/>
        </w:rPr>
        <w:t>, lo cual –según se alega– despojó</w:t>
      </w:r>
      <w:r w:rsidR="00396ED4" w:rsidRPr="000C152D">
        <w:rPr>
          <w:rFonts w:eastAsia="Arial Unicode MS" w:cs="Times New Roman"/>
          <w:color w:val="auto"/>
          <w:sz w:val="20"/>
          <w:szCs w:val="20"/>
          <w:lang w:val="es-CO" w:eastAsia="en-US"/>
        </w:rPr>
        <w:t xml:space="preserve"> a los peticionarios de </w:t>
      </w:r>
      <w:r w:rsidR="00E75EEF" w:rsidRPr="000C152D">
        <w:rPr>
          <w:rFonts w:eastAsia="Arial Unicode MS" w:cs="Times New Roman"/>
          <w:color w:val="auto"/>
          <w:sz w:val="20"/>
          <w:szCs w:val="20"/>
          <w:lang w:val="es-CO" w:eastAsia="en-US"/>
        </w:rPr>
        <w:t xml:space="preserve">todo </w:t>
      </w:r>
      <w:r w:rsidR="00396ED4" w:rsidRPr="000C152D">
        <w:rPr>
          <w:rFonts w:eastAsia="Arial Unicode MS" w:cs="Times New Roman"/>
          <w:color w:val="auto"/>
          <w:sz w:val="20"/>
          <w:szCs w:val="20"/>
          <w:lang w:val="es-CO" w:eastAsia="en-US"/>
        </w:rPr>
        <w:t xml:space="preserve">recurso efectivo ante los tribunales estadounidenses. Los peticionarios no </w:t>
      </w:r>
      <w:r w:rsidR="00E75EEF" w:rsidRPr="000C152D">
        <w:rPr>
          <w:rFonts w:eastAsia="Arial Unicode MS" w:cs="Times New Roman"/>
          <w:color w:val="auto"/>
          <w:sz w:val="20"/>
          <w:szCs w:val="20"/>
          <w:lang w:val="es-CO" w:eastAsia="en-US"/>
        </w:rPr>
        <w:t>presentaron un recurso de revisión (</w:t>
      </w:r>
      <w:r w:rsidR="00E75EEF" w:rsidRPr="000C152D">
        <w:rPr>
          <w:rFonts w:eastAsia="Arial Unicode MS" w:cs="Times New Roman"/>
          <w:i/>
          <w:color w:val="auto"/>
          <w:sz w:val="20"/>
          <w:szCs w:val="20"/>
          <w:lang w:val="es-CO" w:eastAsia="en-US"/>
        </w:rPr>
        <w:t>writ of certiorari</w:t>
      </w:r>
      <w:r w:rsidR="00E75EEF" w:rsidRPr="000C152D">
        <w:rPr>
          <w:rFonts w:eastAsia="Arial Unicode MS" w:cs="Times New Roman"/>
          <w:color w:val="auto"/>
          <w:sz w:val="20"/>
          <w:szCs w:val="20"/>
          <w:lang w:val="es-CO" w:eastAsia="en-US"/>
        </w:rPr>
        <w:t>) ante la Corte Suprema dado que habría sido fútil.</w:t>
      </w:r>
      <w:r w:rsidR="004D0C2F" w:rsidRPr="000C152D">
        <w:rPr>
          <w:rFonts w:eastAsia="Arial Unicode MS" w:cs="Times New Roman"/>
          <w:color w:val="auto"/>
          <w:sz w:val="20"/>
          <w:szCs w:val="20"/>
          <w:lang w:val="es-CO" w:eastAsia="en-US"/>
        </w:rPr>
        <w:t xml:space="preserve"> La parte</w:t>
      </w:r>
      <w:r w:rsidR="00E75EEF" w:rsidRPr="000C152D">
        <w:rPr>
          <w:rFonts w:eastAsia="Arial Unicode MS" w:cs="Times New Roman"/>
          <w:color w:val="auto"/>
          <w:sz w:val="20"/>
          <w:szCs w:val="20"/>
          <w:lang w:val="es-CO" w:eastAsia="en-US"/>
        </w:rPr>
        <w:t xml:space="preserve"> </w:t>
      </w:r>
      <w:r w:rsidR="004D0C2F" w:rsidRPr="000C152D">
        <w:rPr>
          <w:rFonts w:eastAsia="Arial Unicode MS" w:cs="Times New Roman"/>
          <w:color w:val="auto"/>
          <w:sz w:val="20"/>
          <w:szCs w:val="20"/>
          <w:lang w:val="es-CO" w:eastAsia="en-US"/>
        </w:rPr>
        <w:t>peticionaria</w:t>
      </w:r>
      <w:r w:rsidR="00E75EEF" w:rsidRPr="000C152D">
        <w:rPr>
          <w:rFonts w:eastAsia="Arial Unicode MS" w:cs="Times New Roman"/>
          <w:color w:val="auto"/>
          <w:sz w:val="20"/>
          <w:szCs w:val="20"/>
          <w:lang w:val="es-CO" w:eastAsia="en-US"/>
        </w:rPr>
        <w:t xml:space="preserve"> </w:t>
      </w:r>
      <w:r w:rsidR="0086161A">
        <w:rPr>
          <w:rFonts w:eastAsia="Arial Unicode MS" w:cs="Times New Roman"/>
          <w:color w:val="auto"/>
          <w:sz w:val="20"/>
          <w:szCs w:val="20"/>
          <w:lang w:val="es-CO" w:eastAsia="en-US"/>
        </w:rPr>
        <w:t>sostiene</w:t>
      </w:r>
      <w:r w:rsidR="00E75EEF" w:rsidRPr="000C152D">
        <w:rPr>
          <w:rFonts w:eastAsia="Arial Unicode MS" w:cs="Times New Roman"/>
          <w:color w:val="auto"/>
          <w:sz w:val="20"/>
          <w:szCs w:val="20"/>
          <w:lang w:val="es-CO" w:eastAsia="en-US"/>
        </w:rPr>
        <w:t xml:space="preserve"> que los demás recursos administrativos que ofrecía el sistema judicial estadounidense no resultaban ni adecuados ni efectivos a efectos de rectificar las vulneraciones de los derechos humanos mencionados. En particular, </w:t>
      </w:r>
      <w:r w:rsidR="006141BA" w:rsidRPr="000C152D">
        <w:rPr>
          <w:rFonts w:eastAsia="Arial Unicode MS" w:cs="Times New Roman"/>
          <w:color w:val="auto"/>
          <w:sz w:val="20"/>
          <w:szCs w:val="20"/>
          <w:lang w:val="es-CO" w:eastAsia="en-US"/>
        </w:rPr>
        <w:t xml:space="preserve">la Ley Federal de Reclamaciones </w:t>
      </w:r>
      <w:r w:rsidR="007D78E2" w:rsidRPr="000C152D">
        <w:rPr>
          <w:rFonts w:eastAsia="Arial Unicode MS" w:cs="Times New Roman"/>
          <w:color w:val="auto"/>
          <w:sz w:val="20"/>
          <w:szCs w:val="20"/>
          <w:lang w:val="es-CO" w:eastAsia="en-US"/>
        </w:rPr>
        <w:t>por</w:t>
      </w:r>
      <w:r w:rsidR="006141BA" w:rsidRPr="000C152D">
        <w:rPr>
          <w:rFonts w:eastAsia="Arial Unicode MS" w:cs="Times New Roman"/>
          <w:color w:val="auto"/>
          <w:sz w:val="20"/>
          <w:szCs w:val="20"/>
          <w:lang w:val="es-CO" w:eastAsia="en-US"/>
        </w:rPr>
        <w:t xml:space="preserve"> Daños y Perjuicios impide la interposición de acciones contra Estados Unidos por conductas agraviosas “</w:t>
      </w:r>
      <w:r w:rsidR="007D78E2" w:rsidRPr="000C152D">
        <w:rPr>
          <w:rFonts w:eastAsia="Arial Unicode MS" w:cs="Times New Roman"/>
          <w:color w:val="auto"/>
          <w:sz w:val="20"/>
          <w:szCs w:val="20"/>
          <w:lang w:val="es-CO" w:eastAsia="en-US"/>
        </w:rPr>
        <w:t>flagrantes</w:t>
      </w:r>
      <w:r w:rsidR="006141BA" w:rsidRPr="000C152D">
        <w:rPr>
          <w:rFonts w:eastAsia="Arial Unicode MS" w:cs="Times New Roman"/>
          <w:color w:val="auto"/>
          <w:sz w:val="20"/>
          <w:szCs w:val="20"/>
          <w:lang w:val="es-CO" w:eastAsia="en-US"/>
        </w:rPr>
        <w:t xml:space="preserve">”, en tanto que la </w:t>
      </w:r>
      <w:r w:rsidR="0034147C" w:rsidRPr="000C152D">
        <w:rPr>
          <w:rFonts w:eastAsia="Arial Unicode MS" w:cs="Times New Roman"/>
          <w:color w:val="auto"/>
          <w:sz w:val="20"/>
          <w:szCs w:val="20"/>
          <w:lang w:val="es-CO" w:eastAsia="en-US"/>
        </w:rPr>
        <w:t xml:space="preserve">Ley Relativa a la Demanda por Extranjeros de Daños y Perjuicios no le confiere a los peticionarios recurso alguno por la presunta </w:t>
      </w:r>
      <w:r w:rsidR="007D78E2" w:rsidRPr="000C152D">
        <w:rPr>
          <w:rFonts w:eastAsia="Arial Unicode MS" w:cs="Times New Roman"/>
          <w:color w:val="auto"/>
          <w:sz w:val="20"/>
          <w:szCs w:val="20"/>
          <w:lang w:val="es-CO" w:eastAsia="en-US"/>
        </w:rPr>
        <w:t>transgresión</w:t>
      </w:r>
      <w:r w:rsidR="0034147C" w:rsidRPr="000C152D">
        <w:rPr>
          <w:rFonts w:eastAsia="Arial Unicode MS" w:cs="Times New Roman"/>
          <w:color w:val="auto"/>
          <w:sz w:val="20"/>
          <w:szCs w:val="20"/>
          <w:lang w:val="es-CO" w:eastAsia="en-US"/>
        </w:rPr>
        <w:t xml:space="preserve"> de sus derechos. </w:t>
      </w:r>
      <w:r w:rsidR="007D78E2" w:rsidRPr="000C152D">
        <w:rPr>
          <w:rFonts w:eastAsia="Arial Unicode MS" w:cs="Times New Roman"/>
          <w:color w:val="auto"/>
          <w:sz w:val="20"/>
          <w:szCs w:val="20"/>
          <w:lang w:val="es-CO" w:eastAsia="en-US"/>
        </w:rPr>
        <w:t>Además, informan que las</w:t>
      </w:r>
      <w:r w:rsidR="0086161A">
        <w:rPr>
          <w:rFonts w:eastAsia="Arial Unicode MS" w:cs="Times New Roman"/>
          <w:color w:val="auto"/>
          <w:sz w:val="20"/>
          <w:szCs w:val="20"/>
          <w:lang w:val="es-CO" w:eastAsia="en-US"/>
        </w:rPr>
        <w:t xml:space="preserve"> </w:t>
      </w:r>
      <w:r w:rsidR="0086161A">
        <w:rPr>
          <w:rFonts w:eastAsia="Arial Unicode MS" w:cs="Times New Roman"/>
          <w:color w:val="auto"/>
          <w:sz w:val="20"/>
          <w:szCs w:val="20"/>
          <w:lang w:val="es-CO" w:eastAsia="en-US"/>
        </w:rPr>
        <w:lastRenderedPageBreak/>
        <w:t>presuntas víctimas</w:t>
      </w:r>
      <w:r w:rsidR="004D0C2F" w:rsidRPr="000C152D">
        <w:rPr>
          <w:rFonts w:eastAsia="Arial Unicode MS" w:cs="Times New Roman"/>
          <w:color w:val="auto"/>
          <w:sz w:val="20"/>
          <w:szCs w:val="20"/>
          <w:lang w:val="es-CO" w:eastAsia="en-US"/>
        </w:rPr>
        <w:t xml:space="preserve"> </w:t>
      </w:r>
      <w:r w:rsidR="007D78E2" w:rsidRPr="000C152D">
        <w:rPr>
          <w:rFonts w:eastAsia="Arial Unicode MS" w:cs="Times New Roman"/>
          <w:color w:val="auto"/>
          <w:sz w:val="20"/>
          <w:szCs w:val="20"/>
          <w:lang w:val="es-CO" w:eastAsia="en-US"/>
        </w:rPr>
        <w:t xml:space="preserve">Sabbar, Khalid, Sidiqi y Rahman entablaron demandas al amparo de la Ley Relativa a la Demanda por Extranjeros de Daños y Perjuicios, </w:t>
      </w:r>
      <w:r w:rsidR="004D0C2F" w:rsidRPr="000C152D">
        <w:rPr>
          <w:rFonts w:eastAsia="Arial Unicode MS" w:cs="Times New Roman"/>
          <w:color w:val="auto"/>
          <w:sz w:val="20"/>
          <w:szCs w:val="20"/>
          <w:lang w:val="es-CO" w:eastAsia="en-US"/>
        </w:rPr>
        <w:t>y</w:t>
      </w:r>
      <w:r w:rsidR="007D78E2" w:rsidRPr="000C152D">
        <w:rPr>
          <w:rFonts w:eastAsia="Arial Unicode MS" w:cs="Times New Roman"/>
          <w:color w:val="auto"/>
          <w:sz w:val="20"/>
          <w:szCs w:val="20"/>
          <w:lang w:val="es-CO" w:eastAsia="en-US"/>
        </w:rPr>
        <w:t xml:space="preserve"> que las acciones de Sabbar y Khalid</w:t>
      </w:r>
      <w:r w:rsidR="004D0C2F" w:rsidRPr="000C152D">
        <w:rPr>
          <w:rFonts w:eastAsia="Arial Unicode MS" w:cs="Times New Roman"/>
          <w:color w:val="auto"/>
          <w:sz w:val="20"/>
          <w:szCs w:val="20"/>
          <w:lang w:val="es-CO" w:eastAsia="en-US"/>
        </w:rPr>
        <w:t xml:space="preserve"> fueron rechazadas de plano después de que la Comisión de Demandas Extranjeras “no hallara pruebas que demostraran maltratos o detenciones de carácter ilícito” durante el periodo en el que estuvieron privados de su libertad. Las demandas de Sidiqi y de Rahman no se han resuelto y continúan tramitándose. </w:t>
      </w:r>
    </w:p>
    <w:p w:rsidR="00D03F1E" w:rsidRPr="000C152D" w:rsidRDefault="00D03F1E" w:rsidP="004C23D6">
      <w:pPr>
        <w:pStyle w:val="ListParagraph"/>
        <w:jc w:val="both"/>
        <w:rPr>
          <w:rFonts w:eastAsia="Arial Unicode MS" w:cs="Times New Roman"/>
          <w:color w:val="auto"/>
          <w:sz w:val="20"/>
          <w:szCs w:val="20"/>
          <w:lang w:val="es-CO" w:eastAsia="en-US"/>
        </w:rPr>
      </w:pPr>
    </w:p>
    <w:p w:rsidR="00D03F1E" w:rsidRPr="000C152D" w:rsidRDefault="004D0C2F" w:rsidP="006E6112">
      <w:pPr>
        <w:pStyle w:val="ListParagraph"/>
        <w:numPr>
          <w:ilvl w:val="0"/>
          <w:numId w:val="120"/>
        </w:numPr>
        <w:jc w:val="both"/>
        <w:rPr>
          <w:rFonts w:eastAsia="Arial Unicode MS" w:cs="Times New Roman"/>
          <w:color w:val="auto"/>
          <w:sz w:val="20"/>
          <w:szCs w:val="20"/>
          <w:lang w:val="es-CO" w:eastAsia="en-US"/>
        </w:rPr>
      </w:pPr>
      <w:r w:rsidRPr="00E640F9">
        <w:rPr>
          <w:rFonts w:eastAsia="Arial Unicode MS" w:cs="Times New Roman"/>
          <w:color w:val="auto"/>
          <w:sz w:val="20"/>
          <w:szCs w:val="20"/>
          <w:lang w:val="es-CO" w:eastAsia="en-US"/>
        </w:rPr>
        <w:t>Los peticionarios alegan que</w:t>
      </w:r>
      <w:r w:rsidRPr="000C152D">
        <w:rPr>
          <w:rFonts w:eastAsia="Arial Unicode MS" w:cs="Times New Roman"/>
          <w:color w:val="auto"/>
          <w:sz w:val="20"/>
          <w:szCs w:val="20"/>
          <w:lang w:val="es-CO" w:eastAsia="en-US"/>
        </w:rPr>
        <w:t xml:space="preserve"> en todos los momentos pertinentes las presuntas víctimas se encontraron bajo la “autoridad y el control” de Estados Unidos, y que sus derechos </w:t>
      </w:r>
      <w:r w:rsidR="0073584F">
        <w:rPr>
          <w:rFonts w:eastAsia="Arial Unicode MS" w:cs="Times New Roman"/>
          <w:color w:val="auto"/>
          <w:sz w:val="20"/>
          <w:szCs w:val="20"/>
          <w:lang w:val="es-CO" w:eastAsia="en-US"/>
        </w:rPr>
        <w:t>estaban salvaguardados por</w:t>
      </w:r>
      <w:r w:rsidRPr="000C152D">
        <w:rPr>
          <w:rFonts w:eastAsia="Arial Unicode MS" w:cs="Times New Roman"/>
          <w:color w:val="auto"/>
          <w:sz w:val="20"/>
          <w:szCs w:val="20"/>
          <w:lang w:val="es-CO" w:eastAsia="en-US"/>
        </w:rPr>
        <w:t xml:space="preserve"> la Declaración Americana cuando fueron transgredidos. Se sostiene además el carácter continuo de algunas de las vulneraciones dado que Estados Unidos no ha proporcionado recursos efectivos para </w:t>
      </w:r>
      <w:r w:rsidR="0086161A">
        <w:rPr>
          <w:rFonts w:eastAsia="Arial Unicode MS" w:cs="Times New Roman"/>
          <w:color w:val="auto"/>
          <w:sz w:val="20"/>
          <w:szCs w:val="20"/>
          <w:lang w:val="es-CO" w:eastAsia="en-US"/>
        </w:rPr>
        <w:t>la reparación</w:t>
      </w:r>
      <w:r w:rsidRPr="000C152D">
        <w:rPr>
          <w:rFonts w:eastAsia="Arial Unicode MS" w:cs="Times New Roman"/>
          <w:color w:val="auto"/>
          <w:sz w:val="20"/>
          <w:szCs w:val="20"/>
          <w:lang w:val="es-CO" w:eastAsia="en-US"/>
        </w:rPr>
        <w:t xml:space="preserve"> de los perjuicios causados. La parte peticionaria </w:t>
      </w:r>
      <w:r w:rsidR="0072601D">
        <w:rPr>
          <w:rFonts w:eastAsia="Arial Unicode MS" w:cs="Times New Roman"/>
          <w:color w:val="auto"/>
          <w:sz w:val="20"/>
          <w:szCs w:val="20"/>
          <w:lang w:val="es-CO" w:eastAsia="en-US"/>
        </w:rPr>
        <w:t>afirma</w:t>
      </w:r>
      <w:r w:rsidRPr="000C152D">
        <w:rPr>
          <w:rFonts w:eastAsia="Arial Unicode MS" w:cs="Times New Roman"/>
          <w:color w:val="auto"/>
          <w:sz w:val="20"/>
          <w:szCs w:val="20"/>
          <w:lang w:val="es-CO" w:eastAsia="en-US"/>
        </w:rPr>
        <w:t xml:space="preserve"> la competencia territorial respecto de las reclamaciones </w:t>
      </w:r>
      <w:r w:rsidR="0072601D">
        <w:rPr>
          <w:rFonts w:eastAsia="Arial Unicode MS" w:cs="Times New Roman"/>
          <w:color w:val="auto"/>
          <w:sz w:val="20"/>
          <w:szCs w:val="20"/>
          <w:lang w:val="es-CO" w:eastAsia="en-US"/>
        </w:rPr>
        <w:t xml:space="preserve">mediante </w:t>
      </w:r>
      <w:r w:rsidRPr="000C152D">
        <w:rPr>
          <w:rFonts w:eastAsia="Arial Unicode MS" w:cs="Times New Roman"/>
          <w:color w:val="auto"/>
          <w:sz w:val="20"/>
          <w:szCs w:val="20"/>
          <w:lang w:val="es-CO" w:eastAsia="en-US"/>
        </w:rPr>
        <w:t xml:space="preserve">la aplicación extraterritorial de los derechos, protecciones y obligaciones debido a que el Estado en cuestión ejerce su “autoridad y control” habida cuenta de que los bienes jurídicos resguardados por la Declaración y el deber concomitante de EE.UU. no son objeto de limitaciones geográficas. </w:t>
      </w:r>
      <w:r w:rsidR="00CD4207" w:rsidRPr="000C152D">
        <w:rPr>
          <w:rFonts w:eastAsia="Arial Unicode MS" w:cs="Times New Roman"/>
          <w:color w:val="auto"/>
          <w:sz w:val="20"/>
          <w:szCs w:val="20"/>
          <w:lang w:val="es-CO" w:eastAsia="en-US"/>
        </w:rPr>
        <w:t>Como prueba de la existencia de dicha “autoridad y control” la parte peticionaria hace referencia a los centros</w:t>
      </w:r>
      <w:r w:rsidR="0072601D">
        <w:rPr>
          <w:rFonts w:eastAsia="Arial Unicode MS" w:cs="Times New Roman"/>
          <w:color w:val="auto"/>
          <w:sz w:val="20"/>
          <w:szCs w:val="20"/>
          <w:lang w:val="es-CO" w:eastAsia="en-US"/>
        </w:rPr>
        <w:t xml:space="preserve"> militares</w:t>
      </w:r>
      <w:r w:rsidR="00CD4207" w:rsidRPr="000C152D">
        <w:rPr>
          <w:rFonts w:eastAsia="Arial Unicode MS" w:cs="Times New Roman"/>
          <w:color w:val="auto"/>
          <w:sz w:val="20"/>
          <w:szCs w:val="20"/>
          <w:lang w:val="es-CO" w:eastAsia="en-US"/>
        </w:rPr>
        <w:t xml:space="preserve"> de detención operados por </w:t>
      </w:r>
      <w:r w:rsidR="0073584F">
        <w:rPr>
          <w:rFonts w:eastAsia="Arial Unicode MS" w:cs="Times New Roman"/>
          <w:color w:val="auto"/>
          <w:sz w:val="20"/>
          <w:szCs w:val="20"/>
          <w:lang w:val="es-CO" w:eastAsia="en-US"/>
        </w:rPr>
        <w:t>el Estado</w:t>
      </w:r>
      <w:r w:rsidR="00CD4207" w:rsidRPr="000C152D">
        <w:rPr>
          <w:rFonts w:eastAsia="Arial Unicode MS" w:cs="Times New Roman"/>
          <w:color w:val="auto"/>
          <w:sz w:val="20"/>
          <w:szCs w:val="20"/>
          <w:lang w:val="es-CO" w:eastAsia="en-US"/>
        </w:rPr>
        <w:t xml:space="preserve"> que le asignaron a cada una de las víctimas un número de det</w:t>
      </w:r>
      <w:r w:rsidR="0072601D">
        <w:rPr>
          <w:rFonts w:eastAsia="Arial Unicode MS" w:cs="Times New Roman"/>
          <w:color w:val="auto"/>
          <w:sz w:val="20"/>
          <w:szCs w:val="20"/>
          <w:lang w:val="es-CO" w:eastAsia="en-US"/>
        </w:rPr>
        <w:t>enido expedido por las fuerzas armadas estadounidenses,</w:t>
      </w:r>
      <w:r w:rsidR="00CD4207" w:rsidRPr="000C152D">
        <w:rPr>
          <w:rFonts w:eastAsia="Arial Unicode MS" w:cs="Times New Roman"/>
          <w:color w:val="auto"/>
          <w:sz w:val="20"/>
          <w:szCs w:val="20"/>
          <w:lang w:val="es-CO" w:eastAsia="en-US"/>
        </w:rPr>
        <w:t xml:space="preserve"> así como las restricciones al acceso a los detenidos que únicamente podía lograrse con la autorización expresa del personal militar. </w:t>
      </w:r>
    </w:p>
    <w:p w:rsidR="00D03F1E" w:rsidRPr="000C152D" w:rsidRDefault="00D03F1E" w:rsidP="004C23D6">
      <w:pPr>
        <w:pStyle w:val="ListParagraph"/>
        <w:jc w:val="both"/>
        <w:rPr>
          <w:rFonts w:eastAsia="Arial Unicode MS" w:cs="Times New Roman"/>
          <w:color w:val="auto"/>
          <w:sz w:val="20"/>
          <w:szCs w:val="20"/>
          <w:lang w:val="es-CO" w:eastAsia="en-US"/>
        </w:rPr>
      </w:pPr>
    </w:p>
    <w:p w:rsidR="00D03F1E" w:rsidRPr="000C152D" w:rsidRDefault="00CD4207" w:rsidP="006E6112">
      <w:pPr>
        <w:pStyle w:val="ListParagraph"/>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sz w:val="20"/>
          <w:szCs w:val="20"/>
          <w:lang w:val="es-CO"/>
        </w:rPr>
      </w:pPr>
      <w:r w:rsidRPr="000C152D">
        <w:rPr>
          <w:rFonts w:eastAsia="Arial Unicode MS" w:cs="Times New Roman"/>
          <w:color w:val="auto"/>
          <w:sz w:val="20"/>
          <w:szCs w:val="20"/>
          <w:lang w:val="es-CO" w:eastAsia="en-US"/>
        </w:rPr>
        <w:t xml:space="preserve">La parte peticionaria alega que a pesar de los diversos informes gubernamentales que fundamentan la reclamación no se ha realizado una investigación penal integral de las políticas y prácticas de tortura y trato inhumano. Aduce además que ninguno de los oficiales de los altos rangos militares estadounidenses </w:t>
      </w:r>
      <w:r w:rsidR="0072601D">
        <w:rPr>
          <w:rFonts w:eastAsia="Arial Unicode MS" w:cs="Times New Roman"/>
          <w:color w:val="auto"/>
          <w:sz w:val="20"/>
          <w:szCs w:val="20"/>
          <w:lang w:val="es-CO" w:eastAsia="en-US"/>
        </w:rPr>
        <w:t>ha sido</w:t>
      </w:r>
      <w:r w:rsidRPr="000C152D">
        <w:rPr>
          <w:rFonts w:eastAsia="Arial Unicode MS" w:cs="Times New Roman"/>
          <w:color w:val="auto"/>
          <w:sz w:val="20"/>
          <w:szCs w:val="20"/>
          <w:lang w:val="es-CO" w:eastAsia="en-US"/>
        </w:rPr>
        <w:t xml:space="preserve"> objeto de cargos penales por haber ordenado o condonado ese tipo de trato y que a ninguno de los principales actores que lo autorizaron se le </w:t>
      </w:r>
      <w:r w:rsidR="0072601D">
        <w:rPr>
          <w:rFonts w:eastAsia="Arial Unicode MS" w:cs="Times New Roman"/>
          <w:color w:val="auto"/>
          <w:sz w:val="20"/>
          <w:szCs w:val="20"/>
          <w:lang w:val="es-CO" w:eastAsia="en-US"/>
        </w:rPr>
        <w:t>aplicaron</w:t>
      </w:r>
      <w:r w:rsidRPr="000C152D">
        <w:rPr>
          <w:rFonts w:eastAsia="Arial Unicode MS" w:cs="Times New Roman"/>
          <w:color w:val="auto"/>
          <w:sz w:val="20"/>
          <w:szCs w:val="20"/>
          <w:lang w:val="es-CO" w:eastAsia="en-US"/>
        </w:rPr>
        <w:t xml:space="preserve"> sanciones administrativas. Se indica que</w:t>
      </w:r>
      <w:r w:rsidR="0073584F" w:rsidRPr="0073584F">
        <w:rPr>
          <w:rFonts w:eastAsia="Arial Unicode MS" w:cs="Times New Roman"/>
          <w:color w:val="auto"/>
          <w:sz w:val="20"/>
          <w:szCs w:val="20"/>
          <w:lang w:val="es-CO" w:eastAsia="en-US"/>
        </w:rPr>
        <w:t xml:space="preserve"> </w:t>
      </w:r>
      <w:r w:rsidR="0073584F" w:rsidRPr="000C152D">
        <w:rPr>
          <w:rFonts w:eastAsia="Arial Unicode MS" w:cs="Times New Roman"/>
          <w:color w:val="auto"/>
          <w:sz w:val="20"/>
          <w:szCs w:val="20"/>
          <w:lang w:val="es-CO" w:eastAsia="en-US"/>
        </w:rPr>
        <w:t>se interpusieron cuatro demandas independientes en cuatro jurisdicciones distintas</w:t>
      </w:r>
      <w:r w:rsidRPr="000C152D">
        <w:rPr>
          <w:rFonts w:eastAsia="Arial Unicode MS" w:cs="Times New Roman"/>
          <w:color w:val="auto"/>
          <w:sz w:val="20"/>
          <w:szCs w:val="20"/>
          <w:lang w:val="es-CO" w:eastAsia="en-US"/>
        </w:rPr>
        <w:t xml:space="preserve"> a fin de procurar reparaciones por los actos de tortura y </w:t>
      </w:r>
      <w:r w:rsidR="0073584F">
        <w:rPr>
          <w:rFonts w:eastAsia="Arial Unicode MS" w:cs="Times New Roman"/>
          <w:color w:val="auto"/>
          <w:sz w:val="20"/>
          <w:szCs w:val="20"/>
          <w:lang w:val="es-CO" w:eastAsia="en-US"/>
        </w:rPr>
        <w:t>de</w:t>
      </w:r>
      <w:r w:rsidR="0072601D">
        <w:rPr>
          <w:rFonts w:eastAsia="Arial Unicode MS" w:cs="Times New Roman"/>
          <w:color w:val="auto"/>
          <w:sz w:val="20"/>
          <w:szCs w:val="20"/>
          <w:lang w:val="es-CO" w:eastAsia="en-US"/>
        </w:rPr>
        <w:t xml:space="preserve"> </w:t>
      </w:r>
      <w:r w:rsidRPr="000C152D">
        <w:rPr>
          <w:rFonts w:eastAsia="Arial Unicode MS" w:cs="Times New Roman"/>
          <w:color w:val="auto"/>
          <w:sz w:val="20"/>
          <w:szCs w:val="20"/>
          <w:lang w:val="es-CO" w:eastAsia="en-US"/>
        </w:rPr>
        <w:t>trato cruel, inhumano y degradante sufridos por las presuntas víctimas.</w:t>
      </w:r>
      <w:r w:rsidR="00C75E0D" w:rsidRPr="000C152D">
        <w:rPr>
          <w:rFonts w:eastAsia="Arial Unicode MS" w:cs="Times New Roman"/>
          <w:color w:val="auto"/>
          <w:sz w:val="20"/>
          <w:szCs w:val="20"/>
          <w:lang w:val="es-CO" w:eastAsia="en-US"/>
        </w:rPr>
        <w:t xml:space="preserve"> </w:t>
      </w:r>
      <w:r w:rsidRPr="000C152D">
        <w:rPr>
          <w:rFonts w:eastAsia="Arial Unicode MS" w:cs="Times New Roman"/>
          <w:color w:val="auto"/>
          <w:sz w:val="20"/>
          <w:szCs w:val="20"/>
          <w:lang w:val="es-CO" w:eastAsia="en-US"/>
        </w:rPr>
        <w:t xml:space="preserve">En 2005 se produjo la acumulación de esas cuatro causas, que fueron asignadas al Tribunal de Distrito de Washington, D.C. Los peticionarios demandaron a quien ese momento </w:t>
      </w:r>
      <w:r w:rsidR="00512BE4" w:rsidRPr="000C152D">
        <w:rPr>
          <w:rFonts w:eastAsia="Arial Unicode MS" w:cs="Times New Roman"/>
          <w:color w:val="auto"/>
          <w:sz w:val="20"/>
          <w:szCs w:val="20"/>
          <w:lang w:val="es-CO" w:eastAsia="en-US"/>
        </w:rPr>
        <w:t xml:space="preserve">era el Secretario de Estado y a funcionarios de alto rango; las acciones de incoaron al amparo de la Constitución de Estados Unidos, del derecho internacional consuetudinario –conforme se lo reconoce en la Ley de Reparación de Agravios a Ciudadanos Extranjeros, 28 U.S.C. 1350– y </w:t>
      </w:r>
      <w:r w:rsidR="00C75E0D" w:rsidRPr="000C152D">
        <w:rPr>
          <w:rFonts w:eastAsia="Arial Unicode MS" w:cs="Times New Roman"/>
          <w:color w:val="auto"/>
          <w:sz w:val="20"/>
          <w:szCs w:val="20"/>
          <w:lang w:val="es-CO" w:eastAsia="en-US"/>
        </w:rPr>
        <w:t>d</w:t>
      </w:r>
      <w:r w:rsidR="00512BE4" w:rsidRPr="000C152D">
        <w:rPr>
          <w:rFonts w:eastAsia="Arial Unicode MS" w:cs="Times New Roman"/>
          <w:color w:val="auto"/>
          <w:sz w:val="20"/>
          <w:szCs w:val="20"/>
          <w:lang w:val="es-CO" w:eastAsia="en-US"/>
        </w:rPr>
        <w:t>el Cuarto Convenio de Ginebra relativo a la Protección de Personas Civiles en Tiempo de Guerra. La parte peticionaria manifiesta que los tribunales estadounidenses</w:t>
      </w:r>
      <w:r w:rsidR="00C75E0D" w:rsidRPr="000C152D">
        <w:rPr>
          <w:rFonts w:eastAsia="Arial Unicode MS" w:cs="Times New Roman"/>
          <w:color w:val="auto"/>
          <w:sz w:val="20"/>
          <w:szCs w:val="20"/>
          <w:lang w:val="es-CO" w:eastAsia="en-US"/>
        </w:rPr>
        <w:t xml:space="preserve"> determinaron que dichos funcionarios tienen inmunidad judicial y que los extranjeros no residentes no se </w:t>
      </w:r>
      <w:r w:rsidR="0072601D">
        <w:rPr>
          <w:rFonts w:eastAsia="Arial Unicode MS" w:cs="Times New Roman"/>
          <w:color w:val="auto"/>
          <w:sz w:val="20"/>
          <w:szCs w:val="20"/>
          <w:lang w:val="es-CO" w:eastAsia="en-US"/>
        </w:rPr>
        <w:t>encuentran</w:t>
      </w:r>
      <w:r w:rsidR="00C75E0D" w:rsidRPr="000C152D">
        <w:rPr>
          <w:rFonts w:eastAsia="Arial Unicode MS" w:cs="Times New Roman"/>
          <w:color w:val="auto"/>
          <w:sz w:val="20"/>
          <w:szCs w:val="20"/>
          <w:lang w:val="es-CO" w:eastAsia="en-US"/>
        </w:rPr>
        <w:t xml:space="preserve"> protegidos por la Constitución de Estados Unidos. El Tribunal de Distrito aceptó esos argumentos y desestimó la </w:t>
      </w:r>
      <w:r w:rsidR="0072601D">
        <w:rPr>
          <w:rFonts w:eastAsia="Arial Unicode MS" w:cs="Times New Roman"/>
          <w:color w:val="auto"/>
          <w:sz w:val="20"/>
          <w:szCs w:val="20"/>
          <w:lang w:val="es-CO" w:eastAsia="en-US"/>
        </w:rPr>
        <w:t>demanda</w:t>
      </w:r>
      <w:r w:rsidR="00C75E0D" w:rsidRPr="000C152D">
        <w:rPr>
          <w:rFonts w:eastAsia="Arial Unicode MS" w:cs="Times New Roman"/>
          <w:color w:val="auto"/>
          <w:sz w:val="20"/>
          <w:szCs w:val="20"/>
          <w:lang w:val="es-CO" w:eastAsia="en-US"/>
        </w:rPr>
        <w:t xml:space="preserve"> sin entrar a considerar el fondo. Al recurrirse </w:t>
      </w:r>
      <w:r w:rsidR="0072601D">
        <w:rPr>
          <w:rFonts w:eastAsia="Arial Unicode MS" w:cs="Times New Roman"/>
          <w:color w:val="auto"/>
          <w:sz w:val="20"/>
          <w:szCs w:val="20"/>
          <w:lang w:val="es-CO" w:eastAsia="en-US"/>
        </w:rPr>
        <w:t>a la instancia de alzada</w:t>
      </w:r>
      <w:r w:rsidR="00C75E0D" w:rsidRPr="000C152D">
        <w:rPr>
          <w:rFonts w:eastAsia="Arial Unicode MS" w:cs="Times New Roman"/>
          <w:color w:val="auto"/>
          <w:sz w:val="20"/>
          <w:szCs w:val="20"/>
          <w:lang w:val="es-CO" w:eastAsia="en-US"/>
        </w:rPr>
        <w:t xml:space="preserve"> el Tribunal de Apelaciones del Distrito de Columbia confirmó</w:t>
      </w:r>
      <w:r w:rsidR="00791B02" w:rsidRPr="000C152D">
        <w:rPr>
          <w:rFonts w:eastAsia="Arial Unicode MS" w:cs="Times New Roman"/>
          <w:color w:val="auto"/>
          <w:sz w:val="20"/>
          <w:szCs w:val="20"/>
          <w:lang w:val="es-CO" w:eastAsia="en-US"/>
        </w:rPr>
        <w:t xml:space="preserve"> la desestimación dictada por el a quo. Los peticionarios presentaron un recurso ante el Tribunal de Apelaciones a fin de que reconsiderara la decisión y solicitaron que todos los magistrados de dicho tribunal entendieran en la causa, lo cual fue rechazado el 19 de septiembre de 2011. La parte peticionaria aduce que las víctimas y los sobrevivientes no tienen la oportunidad de que se dé trámite a sus causas ni de obtener otra forma de resarcimiento por la vulneración de sus derechos. Se indica </w:t>
      </w:r>
      <w:r w:rsidR="00D44552" w:rsidRPr="000C152D">
        <w:rPr>
          <w:rFonts w:eastAsia="Arial Unicode MS" w:cs="Times New Roman"/>
          <w:color w:val="auto"/>
          <w:sz w:val="20"/>
          <w:szCs w:val="20"/>
          <w:lang w:val="es-CO" w:eastAsia="en-US"/>
        </w:rPr>
        <w:t xml:space="preserve">que al no haber considerado el fondo de las causas de los peticionarios </w:t>
      </w:r>
      <w:r w:rsidR="00791B02" w:rsidRPr="000C152D">
        <w:rPr>
          <w:rFonts w:eastAsia="Arial Unicode MS" w:cs="Times New Roman"/>
          <w:color w:val="auto"/>
          <w:sz w:val="20"/>
          <w:szCs w:val="20"/>
          <w:lang w:val="es-CO" w:eastAsia="en-US"/>
        </w:rPr>
        <w:t>los tribunales estadounidenses</w:t>
      </w:r>
      <w:r w:rsidR="00D44552" w:rsidRPr="000C152D">
        <w:rPr>
          <w:rFonts w:eastAsia="Arial Unicode MS" w:cs="Times New Roman"/>
          <w:color w:val="auto"/>
          <w:sz w:val="20"/>
          <w:szCs w:val="20"/>
          <w:lang w:val="es-CO" w:eastAsia="en-US"/>
        </w:rPr>
        <w:t xml:space="preserve"> vulneraron sus derechos a las garantías judiciales. </w:t>
      </w:r>
      <w:r w:rsidR="0073584F">
        <w:rPr>
          <w:rFonts w:eastAsia="Arial Unicode MS" w:cs="Times New Roman"/>
          <w:color w:val="auto"/>
          <w:sz w:val="20"/>
          <w:szCs w:val="20"/>
          <w:lang w:val="es-CO" w:eastAsia="en-US"/>
        </w:rPr>
        <w:t xml:space="preserve"> </w:t>
      </w:r>
    </w:p>
    <w:p w:rsidR="00D44552" w:rsidRPr="000C152D" w:rsidRDefault="009F1D04" w:rsidP="006E6112">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Pr>
          <w:rFonts w:ascii="Cambria" w:hAnsi="Cambria"/>
          <w:sz w:val="20"/>
          <w:szCs w:val="20"/>
          <w:lang w:val="es-CO"/>
        </w:rPr>
        <w:t>Por su parte el</w:t>
      </w:r>
      <w:r w:rsidR="00D44552" w:rsidRPr="000C152D">
        <w:rPr>
          <w:rFonts w:ascii="Cambria" w:hAnsi="Cambria"/>
          <w:sz w:val="20"/>
          <w:szCs w:val="20"/>
          <w:lang w:val="es-CO"/>
        </w:rPr>
        <w:t xml:space="preserve"> Estado alega que, dado que la Declaración Americana no tiene carácter vinculante, toda presunta vulneración implica una alegación de que un país no ha cumplido su compromiso político de atenerse a dicho instrumento. Aduce que la Comisión carece de competencia para dictar una decisión vinculante para Estados Unidos, incluso respecto de asuntos que surgen de la Declaración Americana, de tratados internacionales de derechos humanos o del derecho internacional consuetudinario. Sostiene además</w:t>
      </w:r>
      <w:r>
        <w:rPr>
          <w:rFonts w:ascii="Cambria" w:hAnsi="Cambria"/>
          <w:sz w:val="20"/>
          <w:szCs w:val="20"/>
          <w:lang w:val="es-CO"/>
        </w:rPr>
        <w:t xml:space="preserve"> que</w:t>
      </w:r>
      <w:r w:rsidR="00D44552" w:rsidRPr="000C152D">
        <w:rPr>
          <w:rFonts w:ascii="Cambria" w:hAnsi="Cambria"/>
          <w:sz w:val="20"/>
          <w:szCs w:val="20"/>
          <w:lang w:val="es-CO"/>
        </w:rPr>
        <w:t xml:space="preserve"> el Estatuto y el Reglamento de la Comisión no le otorgan competencia para considerar asuntos de derecho internacional humanitario</w:t>
      </w:r>
      <w:r w:rsidR="00A9642E" w:rsidRPr="000C152D">
        <w:rPr>
          <w:rFonts w:ascii="Cambria" w:hAnsi="Cambria"/>
          <w:sz w:val="20"/>
          <w:szCs w:val="20"/>
          <w:lang w:val="es-CO"/>
        </w:rPr>
        <w:t xml:space="preserve"> y </w:t>
      </w:r>
      <w:r>
        <w:rPr>
          <w:rFonts w:ascii="Cambria" w:hAnsi="Cambria"/>
          <w:sz w:val="20"/>
          <w:szCs w:val="20"/>
          <w:lang w:val="es-CO"/>
        </w:rPr>
        <w:t xml:space="preserve">que la CIDH </w:t>
      </w:r>
      <w:r w:rsidR="00A9642E" w:rsidRPr="000C152D">
        <w:rPr>
          <w:rFonts w:ascii="Cambria" w:hAnsi="Cambria"/>
          <w:sz w:val="20"/>
          <w:szCs w:val="20"/>
          <w:lang w:val="es-CO"/>
        </w:rPr>
        <w:t xml:space="preserve">no tiene la posibilidad de incorporar </w:t>
      </w:r>
      <w:r>
        <w:rPr>
          <w:rFonts w:ascii="Cambria" w:hAnsi="Cambria"/>
          <w:sz w:val="20"/>
          <w:szCs w:val="20"/>
          <w:lang w:val="es-CO"/>
        </w:rPr>
        <w:t>esos</w:t>
      </w:r>
      <w:r w:rsidR="00A9642E" w:rsidRPr="000C152D">
        <w:rPr>
          <w:rFonts w:ascii="Cambria" w:hAnsi="Cambria"/>
          <w:sz w:val="20"/>
          <w:szCs w:val="20"/>
          <w:lang w:val="es-CO"/>
        </w:rPr>
        <w:t xml:space="preserve"> principios en la Declaración Americana. El Estado sostiene que el derecho internacional humanitario constituye una </w:t>
      </w:r>
      <w:r w:rsidR="00A9642E" w:rsidRPr="000C152D">
        <w:rPr>
          <w:rFonts w:ascii="Cambria" w:hAnsi="Cambria"/>
          <w:i/>
          <w:sz w:val="20"/>
          <w:szCs w:val="20"/>
          <w:lang w:val="es-CO"/>
        </w:rPr>
        <w:t>lex specialis</w:t>
      </w:r>
      <w:r w:rsidR="00A9642E" w:rsidRPr="000C152D">
        <w:rPr>
          <w:rFonts w:ascii="Cambria" w:hAnsi="Cambria"/>
          <w:sz w:val="20"/>
          <w:szCs w:val="20"/>
          <w:lang w:val="es-CO"/>
        </w:rPr>
        <w:t xml:space="preserve"> en situaciones de conflictos armados, y que los estados miembros de la Organización de los Estados Americanos no le han conferido a la Comisión ni competencia ni facultades para interpretar y aplicar el derecho internacional humanitario en sus actuaciones. </w:t>
      </w:r>
    </w:p>
    <w:p w:rsidR="00D03F1E" w:rsidRPr="000C152D" w:rsidRDefault="00A9642E" w:rsidP="006E6112">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0C152D">
        <w:rPr>
          <w:rFonts w:ascii="Cambria" w:hAnsi="Cambria"/>
          <w:sz w:val="20"/>
          <w:szCs w:val="20"/>
          <w:lang w:val="es-CO"/>
        </w:rPr>
        <w:lastRenderedPageBreak/>
        <w:t xml:space="preserve">El Estado alega asimismo que los peticionarios no han demostrado el agotamiento de los recursos administrativos disponibles conforme lo exige la Ley Federal de Reclamaciones por Daños y Perjuicios, lo que resulta necesario para </w:t>
      </w:r>
      <w:r w:rsidR="00E44CB3">
        <w:rPr>
          <w:rFonts w:ascii="Cambria" w:hAnsi="Cambria"/>
          <w:sz w:val="20"/>
          <w:szCs w:val="20"/>
          <w:lang w:val="es-CO"/>
        </w:rPr>
        <w:t>la interposición</w:t>
      </w:r>
      <w:r w:rsidRPr="000C152D">
        <w:rPr>
          <w:rFonts w:ascii="Cambria" w:hAnsi="Cambria"/>
          <w:sz w:val="20"/>
          <w:szCs w:val="20"/>
          <w:lang w:val="es-CO"/>
        </w:rPr>
        <w:t xml:space="preserve"> adecuada</w:t>
      </w:r>
      <w:r w:rsidR="00E44CB3">
        <w:rPr>
          <w:rFonts w:ascii="Cambria" w:hAnsi="Cambria"/>
          <w:sz w:val="20"/>
          <w:szCs w:val="20"/>
          <w:lang w:val="es-CO"/>
        </w:rPr>
        <w:t xml:space="preserve"> de recursos ante</w:t>
      </w:r>
      <w:r w:rsidRPr="000C152D">
        <w:rPr>
          <w:rFonts w:ascii="Cambria" w:hAnsi="Cambria"/>
          <w:sz w:val="20"/>
          <w:szCs w:val="20"/>
          <w:lang w:val="es-CO"/>
        </w:rPr>
        <w:t xml:space="preserve"> los tribunales federales. El Estado alude a la posibilidad de arreglo prevista en la Ley Relativa a la Demanda por Extranjeros de Daños y Perjuicios, que </w:t>
      </w:r>
      <w:r w:rsidR="0073584F">
        <w:rPr>
          <w:rFonts w:ascii="Cambria" w:hAnsi="Cambria"/>
          <w:sz w:val="20"/>
          <w:szCs w:val="20"/>
          <w:lang w:val="es-CO"/>
        </w:rPr>
        <w:t>autoriza</w:t>
      </w:r>
      <w:r w:rsidRPr="000C152D">
        <w:rPr>
          <w:rFonts w:ascii="Cambria" w:hAnsi="Cambria"/>
          <w:sz w:val="20"/>
          <w:szCs w:val="20"/>
          <w:lang w:val="es-CO"/>
        </w:rPr>
        <w:t xml:space="preserve"> al Departamento de Defensa a resolver reclamaciones mediante procesos administrativos: el Secretario de Defensa</w:t>
      </w:r>
      <w:r w:rsidR="004301FA" w:rsidRPr="000C152D">
        <w:rPr>
          <w:rFonts w:ascii="Cambria" w:hAnsi="Cambria"/>
          <w:sz w:val="20"/>
          <w:szCs w:val="20"/>
          <w:lang w:val="es-CO"/>
        </w:rPr>
        <w:t xml:space="preserve"> está </w:t>
      </w:r>
      <w:r w:rsidR="00E44CB3">
        <w:rPr>
          <w:rFonts w:ascii="Cambria" w:hAnsi="Cambria"/>
          <w:sz w:val="20"/>
          <w:szCs w:val="20"/>
          <w:lang w:val="es-CO"/>
        </w:rPr>
        <w:t>facultado para</w:t>
      </w:r>
      <w:r w:rsidR="004301FA" w:rsidRPr="000C152D">
        <w:rPr>
          <w:rFonts w:ascii="Cambria" w:hAnsi="Cambria"/>
          <w:sz w:val="20"/>
          <w:szCs w:val="20"/>
          <w:lang w:val="es-CO"/>
        </w:rPr>
        <w:t xml:space="preserve"> resolver reclamaciones de habitantes de otros países relativas a lesiones personales o muerte por un monto de hasta 100.000 dólares (el cual puede ser superior si media una coordinación al efecto con el Departamento del Tesoro). El Estado explica que las acciones incoadas al amparo de la Ley Relativa a la Demanda por Extranjeros de Daños y Perjuicios pueden surgir de los actos u omisiones de carácter culposo o ilícito de integrantes de las fuerzas armadas estadounidenses o de actividades no bélicas ejecutadas por fuerzas de EE.UU. El Estado señala además que en otra causa tramitada ante el Tribunal Federal de Apelaciones del Circuito del Distrito de Columbia el Servicio de Reclamaciones del Ejército de Estados Unidos confirmó que indemnizaría a los detenidos que establecieran reclamaciones legítimas de resarcimiento al amparo de la Ley Relativa a la Demanda por Extranjeros de Daños y Perjuicios. Asimismo, el Estado aduce no tener conocimiento de gestiones dirigidas al agotamiento de los recursos administrativos conforme lo exige la ley ni de diligencias para volver a presentar reclamaciones bajo el derecho internacional si </w:t>
      </w:r>
      <w:r w:rsidR="002D297F" w:rsidRPr="000C152D">
        <w:rPr>
          <w:rFonts w:ascii="Cambria" w:hAnsi="Cambria"/>
          <w:sz w:val="20"/>
          <w:szCs w:val="20"/>
          <w:lang w:val="es-CO"/>
        </w:rPr>
        <w:t xml:space="preserve">es que los peticionarios </w:t>
      </w:r>
      <w:r w:rsidR="004301FA" w:rsidRPr="000C152D">
        <w:rPr>
          <w:rFonts w:ascii="Cambria" w:hAnsi="Cambria"/>
          <w:sz w:val="20"/>
          <w:szCs w:val="20"/>
          <w:lang w:val="es-CO"/>
        </w:rPr>
        <w:t>lograron agotar los mencionados recursos, habida cuenta de que dichas r</w:t>
      </w:r>
      <w:r w:rsidR="002D297F" w:rsidRPr="000C152D">
        <w:rPr>
          <w:rFonts w:ascii="Cambria" w:hAnsi="Cambria"/>
          <w:sz w:val="20"/>
          <w:szCs w:val="20"/>
          <w:lang w:val="es-CO"/>
        </w:rPr>
        <w:t xml:space="preserve">eclamaciones fueron desestimadas sin efecto de cosa juzgada. </w:t>
      </w:r>
    </w:p>
    <w:p w:rsidR="00D03F1E" w:rsidRPr="000C152D" w:rsidRDefault="00D03F1E" w:rsidP="004C23D6">
      <w:pPr>
        <w:spacing w:before="240" w:after="240"/>
        <w:ind w:firstLine="720"/>
        <w:jc w:val="both"/>
        <w:rPr>
          <w:rFonts w:ascii="Cambria" w:hAnsi="Cambria"/>
          <w:sz w:val="20"/>
          <w:szCs w:val="20"/>
          <w:lang w:val="es-CO"/>
        </w:rPr>
      </w:pPr>
      <w:r w:rsidRPr="000C152D">
        <w:rPr>
          <w:rFonts w:asciiTheme="majorHAnsi" w:eastAsia="Cambria" w:hAnsiTheme="majorHAnsi" w:cs="Cambria"/>
          <w:b/>
          <w:bCs/>
          <w:color w:val="000000"/>
          <w:sz w:val="20"/>
          <w:szCs w:val="20"/>
          <w:u w:color="000000"/>
          <w:lang w:val="es-CO" w:eastAsia="es-ES"/>
        </w:rPr>
        <w:t>VI.</w:t>
      </w:r>
      <w:r w:rsidRPr="000C152D">
        <w:rPr>
          <w:rFonts w:asciiTheme="majorHAnsi" w:eastAsia="Cambria" w:hAnsiTheme="majorHAnsi" w:cs="Cambria"/>
          <w:b/>
          <w:bCs/>
          <w:color w:val="000000"/>
          <w:sz w:val="20"/>
          <w:szCs w:val="20"/>
          <w:u w:color="000000"/>
          <w:lang w:val="es-CO" w:eastAsia="es-ES"/>
        </w:rPr>
        <w:tab/>
      </w:r>
      <w:r w:rsidR="002724BD" w:rsidRPr="000C152D">
        <w:rPr>
          <w:rFonts w:asciiTheme="majorHAnsi" w:eastAsia="Cambria" w:hAnsiTheme="majorHAnsi" w:cs="Cambria"/>
          <w:b/>
          <w:bCs/>
          <w:color w:val="000000"/>
          <w:sz w:val="20"/>
          <w:szCs w:val="20"/>
          <w:u w:color="000000"/>
          <w:lang w:val="es-CO" w:eastAsia="es-ES"/>
        </w:rPr>
        <w:t>ANÁLISIS DE AGOTAMIENTO DE LOS RECURSOS INTERNOS Y PLAZO DE PRESENTACIÓN</w:t>
      </w:r>
    </w:p>
    <w:p w:rsidR="00D03F1E" w:rsidRPr="000C152D" w:rsidRDefault="00940CE3" w:rsidP="006E6112">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0C152D">
        <w:rPr>
          <w:rFonts w:asciiTheme="majorHAnsi" w:hAnsiTheme="majorHAnsi"/>
          <w:sz w:val="20"/>
          <w:szCs w:val="20"/>
          <w:lang w:val="es-CO"/>
        </w:rPr>
        <w:t xml:space="preserve">Los peticionarios alegan haber agotado los recursos internos o que deberían quedar eximidos de hacerlo. Las presuntas víctimas han procurado reparaciones en el sistema de justicia federal estadounidense por medio de acciones incoadas en cuatro jurisdicciones diferentes. Las acciones se acumularon y se asignaron al Tribunal de Distrito </w:t>
      </w:r>
      <w:r w:rsidR="00A57870">
        <w:rPr>
          <w:rFonts w:asciiTheme="majorHAnsi" w:hAnsiTheme="majorHAnsi"/>
          <w:sz w:val="20"/>
          <w:szCs w:val="20"/>
          <w:lang w:val="es-CO"/>
        </w:rPr>
        <w:t>de</w:t>
      </w:r>
      <w:r w:rsidRPr="000C152D">
        <w:rPr>
          <w:rFonts w:asciiTheme="majorHAnsi" w:hAnsiTheme="majorHAnsi"/>
          <w:sz w:val="20"/>
          <w:szCs w:val="20"/>
          <w:lang w:val="es-CO"/>
        </w:rPr>
        <w:t xml:space="preserve"> Washington, D.C. El Tribunal de Distrito del Distrito de </w:t>
      </w:r>
      <w:r w:rsidR="00A57870">
        <w:rPr>
          <w:rFonts w:asciiTheme="majorHAnsi" w:hAnsiTheme="majorHAnsi"/>
          <w:sz w:val="20"/>
          <w:szCs w:val="20"/>
          <w:lang w:val="es-CO"/>
        </w:rPr>
        <w:t>Columbia desestimó la demanda. D</w:t>
      </w:r>
      <w:r w:rsidRPr="000C152D">
        <w:rPr>
          <w:rFonts w:asciiTheme="majorHAnsi" w:hAnsiTheme="majorHAnsi"/>
          <w:sz w:val="20"/>
          <w:szCs w:val="20"/>
          <w:lang w:val="es-CO"/>
        </w:rPr>
        <w:t>icha desestimación fue confirmada por el Tribunal de Apelaciones</w:t>
      </w:r>
      <w:r w:rsidR="00A57870">
        <w:rPr>
          <w:rFonts w:asciiTheme="majorHAnsi" w:hAnsiTheme="majorHAnsi"/>
          <w:sz w:val="20"/>
          <w:szCs w:val="20"/>
          <w:lang w:val="es-CO"/>
        </w:rPr>
        <w:t xml:space="preserve">, el cual rechazó el recurso de reconsideración </w:t>
      </w:r>
      <w:r w:rsidRPr="000C152D">
        <w:rPr>
          <w:rFonts w:asciiTheme="majorHAnsi" w:hAnsiTheme="majorHAnsi"/>
          <w:sz w:val="20"/>
          <w:szCs w:val="20"/>
          <w:lang w:val="es-CO"/>
        </w:rPr>
        <w:t>el 9 de noviembre de 2011. Los peticionarios aducen que el Estado no demostró que los recursos de la Ley Federal de Reclamaciones por Daños y Perjuicios y de la Ley Relativa a la Demanda por Extranjeros de Daños y Perjuicios eran adecuados y efectivos como mecanismos de resarcimiento de las presuntas vulneraciones de sus derechos. Por su parte el Estado alega que los peticionarios no procuraron ni agotaron los recursos adminis</w:t>
      </w:r>
      <w:r w:rsidR="00B92C46">
        <w:rPr>
          <w:rFonts w:asciiTheme="majorHAnsi" w:hAnsiTheme="majorHAnsi"/>
          <w:sz w:val="20"/>
          <w:szCs w:val="20"/>
          <w:lang w:val="es-CO"/>
        </w:rPr>
        <w:t>trativos disponibles –</w:t>
      </w:r>
      <w:r w:rsidRPr="000C152D">
        <w:rPr>
          <w:rFonts w:asciiTheme="majorHAnsi" w:hAnsiTheme="majorHAnsi"/>
          <w:sz w:val="20"/>
          <w:szCs w:val="20"/>
          <w:lang w:val="es-CO"/>
        </w:rPr>
        <w:t>mediante</w:t>
      </w:r>
      <w:r w:rsidR="00B92C46">
        <w:rPr>
          <w:rFonts w:asciiTheme="majorHAnsi" w:hAnsiTheme="majorHAnsi"/>
          <w:sz w:val="20"/>
          <w:szCs w:val="20"/>
          <w:lang w:val="es-CO"/>
        </w:rPr>
        <w:t xml:space="preserve"> </w:t>
      </w:r>
      <w:r w:rsidR="00CB76FB" w:rsidRPr="000C152D">
        <w:rPr>
          <w:rFonts w:asciiTheme="majorHAnsi" w:hAnsiTheme="majorHAnsi"/>
          <w:sz w:val="20"/>
          <w:szCs w:val="20"/>
          <w:lang w:val="es-CO"/>
        </w:rPr>
        <w:t>la interposición de una</w:t>
      </w:r>
      <w:r w:rsidRPr="000C152D">
        <w:rPr>
          <w:rFonts w:asciiTheme="majorHAnsi" w:hAnsiTheme="majorHAnsi"/>
          <w:sz w:val="20"/>
          <w:szCs w:val="20"/>
          <w:lang w:val="es-CO"/>
        </w:rPr>
        <w:t xml:space="preserve"> demanda al amparo de la Ley Federal de Reclamaciones por Daños y Perjuicios y de la Ley Relativa a la Demanda por Extranjeros de Daños y Perjuicios</w:t>
      </w:r>
      <w:r w:rsidR="00B92C46">
        <w:rPr>
          <w:rFonts w:asciiTheme="majorHAnsi" w:hAnsiTheme="majorHAnsi"/>
          <w:sz w:val="20"/>
          <w:szCs w:val="20"/>
          <w:lang w:val="es-CO"/>
        </w:rPr>
        <w:t>–</w:t>
      </w:r>
      <w:r w:rsidRPr="000C152D">
        <w:rPr>
          <w:rFonts w:asciiTheme="majorHAnsi" w:hAnsiTheme="majorHAnsi"/>
          <w:sz w:val="20"/>
          <w:szCs w:val="20"/>
          <w:lang w:val="es-CO"/>
        </w:rPr>
        <w:t xml:space="preserve"> a fin de lograr una indemnización</w:t>
      </w:r>
      <w:r w:rsidR="00CB76FB" w:rsidRPr="000C152D">
        <w:rPr>
          <w:rFonts w:asciiTheme="majorHAnsi" w:hAnsiTheme="majorHAnsi"/>
          <w:sz w:val="20"/>
          <w:szCs w:val="20"/>
          <w:lang w:val="es-CO"/>
        </w:rPr>
        <w:t xml:space="preserve"> por lesiones personales</w:t>
      </w:r>
      <w:r w:rsidR="00B92C46">
        <w:rPr>
          <w:rFonts w:asciiTheme="majorHAnsi" w:hAnsiTheme="majorHAnsi"/>
          <w:sz w:val="20"/>
          <w:szCs w:val="20"/>
          <w:lang w:val="es-CO"/>
        </w:rPr>
        <w:t>,</w:t>
      </w:r>
      <w:r w:rsidR="00CB76FB" w:rsidRPr="000C152D">
        <w:rPr>
          <w:rFonts w:asciiTheme="majorHAnsi" w:hAnsiTheme="majorHAnsi"/>
          <w:sz w:val="20"/>
          <w:szCs w:val="20"/>
          <w:lang w:val="es-CO"/>
        </w:rPr>
        <w:t xml:space="preserve"> y que optaron por no presentar recursos de casación ante la Corte Suprema de Justicia de Estados Unidos. </w:t>
      </w:r>
    </w:p>
    <w:p w:rsidR="00D03F1E" w:rsidRPr="000C152D" w:rsidRDefault="00CB76FB" w:rsidP="006E6112">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0C152D">
        <w:rPr>
          <w:rFonts w:asciiTheme="majorHAnsi" w:hAnsiTheme="majorHAnsi" w:cs="Arial"/>
          <w:sz w:val="20"/>
          <w:szCs w:val="20"/>
          <w:lang w:val="es-CO"/>
        </w:rPr>
        <w:t>En cuanto al recurso administrativo a que se refiere el Estado, en casos similares la Comisión ha determinado que</w:t>
      </w:r>
      <w:r w:rsidR="00A57870">
        <w:rPr>
          <w:rFonts w:asciiTheme="majorHAnsi" w:hAnsiTheme="majorHAnsi" w:cs="Arial"/>
          <w:sz w:val="20"/>
          <w:szCs w:val="20"/>
          <w:lang w:val="es-CO"/>
        </w:rPr>
        <w:t xml:space="preserve"> en general</w:t>
      </w:r>
      <w:r w:rsidRPr="000C152D">
        <w:rPr>
          <w:rFonts w:asciiTheme="majorHAnsi" w:hAnsiTheme="majorHAnsi" w:cs="Arial"/>
          <w:sz w:val="20"/>
          <w:szCs w:val="20"/>
          <w:lang w:val="es-CO"/>
        </w:rPr>
        <w:t xml:space="preserve"> ese trámite</w:t>
      </w:r>
      <w:r w:rsidR="00A57870" w:rsidRPr="00A57870">
        <w:rPr>
          <w:rFonts w:asciiTheme="majorHAnsi" w:hAnsiTheme="majorHAnsi" w:cs="Arial"/>
          <w:sz w:val="20"/>
          <w:szCs w:val="20"/>
          <w:lang w:val="es-CO"/>
        </w:rPr>
        <w:t xml:space="preserve"> </w:t>
      </w:r>
      <w:r w:rsidR="00A57870" w:rsidRPr="000C152D">
        <w:rPr>
          <w:rFonts w:asciiTheme="majorHAnsi" w:hAnsiTheme="majorHAnsi" w:cs="Arial"/>
          <w:sz w:val="20"/>
          <w:szCs w:val="20"/>
          <w:lang w:val="es-CO"/>
        </w:rPr>
        <w:t>por sí solo</w:t>
      </w:r>
      <w:r w:rsidRPr="000C152D">
        <w:rPr>
          <w:rFonts w:asciiTheme="majorHAnsi" w:hAnsiTheme="majorHAnsi" w:cs="Arial"/>
          <w:sz w:val="20"/>
          <w:szCs w:val="20"/>
          <w:lang w:val="es-CO"/>
        </w:rPr>
        <w:t xml:space="preserve"> no constituye un mecanismo adecuado de reparación de vulneraciones de derechos humanos, por lo que no existe necesidad de agotarlo en casos como </w:t>
      </w:r>
      <w:r w:rsidR="00B92C46">
        <w:rPr>
          <w:rFonts w:asciiTheme="majorHAnsi" w:hAnsiTheme="majorHAnsi" w:cs="Arial"/>
          <w:sz w:val="20"/>
          <w:szCs w:val="20"/>
          <w:lang w:val="es-CO"/>
        </w:rPr>
        <w:t>el de marras</w:t>
      </w:r>
      <w:r w:rsidRPr="000C152D">
        <w:rPr>
          <w:rFonts w:asciiTheme="majorHAnsi" w:hAnsiTheme="majorHAnsi" w:cs="Arial"/>
          <w:sz w:val="20"/>
          <w:szCs w:val="20"/>
          <w:lang w:val="es-CO"/>
        </w:rPr>
        <w:t>.  Asimismo, la Comisión ha reiterado que de acuerdo con los estándares internacionales aplicables a casos como el presente en los que se alegan graves violaciones a los derechos humanos, como la tortura, el recurso adecuado y efectivo es precisamente el inicio y desarrollo de una investigación penal eficaz</w:t>
      </w:r>
      <w:r w:rsidR="00A57870">
        <w:rPr>
          <w:rFonts w:asciiTheme="majorHAnsi" w:hAnsiTheme="majorHAnsi" w:cs="Arial"/>
          <w:sz w:val="20"/>
          <w:szCs w:val="20"/>
          <w:lang w:val="es-CO"/>
        </w:rPr>
        <w:t xml:space="preserve"> de oficio </w:t>
      </w:r>
      <w:r w:rsidRPr="000C152D">
        <w:rPr>
          <w:rFonts w:asciiTheme="majorHAnsi" w:hAnsiTheme="majorHAnsi" w:cs="Arial"/>
          <w:sz w:val="20"/>
          <w:szCs w:val="20"/>
          <w:lang w:val="es-CO"/>
        </w:rPr>
        <w:t>desti</w:t>
      </w:r>
      <w:r w:rsidR="00B92C46">
        <w:rPr>
          <w:rFonts w:asciiTheme="majorHAnsi" w:hAnsiTheme="majorHAnsi" w:cs="Arial"/>
          <w:sz w:val="20"/>
          <w:szCs w:val="20"/>
          <w:lang w:val="es-CO"/>
        </w:rPr>
        <w:t xml:space="preserve">nada a esclarecer los hechos y, </w:t>
      </w:r>
      <w:r w:rsidRPr="000C152D">
        <w:rPr>
          <w:rFonts w:asciiTheme="majorHAnsi" w:hAnsiTheme="majorHAnsi" w:cs="Arial"/>
          <w:sz w:val="20"/>
          <w:szCs w:val="20"/>
          <w:lang w:val="es-CO"/>
        </w:rPr>
        <w:t>de ser el caso, individualizar a los responsables y establecer las responsabilidades correspondientes</w:t>
      </w:r>
      <w:r w:rsidR="00D03F1E" w:rsidRPr="000C152D">
        <w:rPr>
          <w:rStyle w:val="FootnoteReference"/>
          <w:rFonts w:asciiTheme="majorHAnsi" w:hAnsiTheme="majorHAnsi"/>
          <w:sz w:val="20"/>
          <w:szCs w:val="20"/>
          <w:lang w:val="es-CO"/>
        </w:rPr>
        <w:footnoteReference w:id="6"/>
      </w:r>
      <w:r w:rsidR="00D03F1E" w:rsidRPr="000C152D">
        <w:rPr>
          <w:rFonts w:asciiTheme="majorHAnsi" w:hAnsiTheme="majorHAnsi" w:cs="Arial"/>
          <w:sz w:val="20"/>
          <w:szCs w:val="20"/>
          <w:lang w:val="es-CO"/>
        </w:rPr>
        <w:t>.</w:t>
      </w:r>
    </w:p>
    <w:p w:rsidR="00D03F1E" w:rsidRPr="000C152D" w:rsidRDefault="000D205B" w:rsidP="006E6112">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0C152D">
        <w:rPr>
          <w:rFonts w:ascii="Cambria" w:hAnsi="Cambria"/>
          <w:sz w:val="20"/>
          <w:szCs w:val="20"/>
          <w:lang w:val="es-CO"/>
        </w:rPr>
        <w:t xml:space="preserve">La Comisión observa que la parte peticionaria ejerció los recursos judiciales disponibles que consideraba idóneos, entre los que se </w:t>
      </w:r>
      <w:r w:rsidR="00A57870">
        <w:rPr>
          <w:rFonts w:ascii="Cambria" w:hAnsi="Cambria"/>
          <w:sz w:val="20"/>
          <w:szCs w:val="20"/>
          <w:lang w:val="es-CO"/>
        </w:rPr>
        <w:t>encontraban</w:t>
      </w:r>
      <w:r w:rsidRPr="000C152D">
        <w:rPr>
          <w:rFonts w:ascii="Cambria" w:hAnsi="Cambria"/>
          <w:sz w:val="20"/>
          <w:szCs w:val="20"/>
          <w:lang w:val="es-CO"/>
        </w:rPr>
        <w:t xml:space="preserve"> las cuatro demandas civiles. En otras ocasiones la Comisión ha observado que “el requisito de agotamiento de los recursos internos no significa que las presuntas víctimas tengan la obligación de agotar todos los recursos que tengan disponibles”, lo que implica que no es necesario agotar los recursos extraordinarios. En consecuencia y en cuanto a la sentencia del Tribunal de Apelaciones, la Comisión considera que las presuntas víctimas no estaban obligadas a interponer el recurso denominado </w:t>
      </w:r>
      <w:r w:rsidRPr="000C152D">
        <w:rPr>
          <w:rFonts w:ascii="Cambria" w:hAnsi="Cambria"/>
          <w:i/>
          <w:sz w:val="20"/>
          <w:szCs w:val="20"/>
          <w:lang w:val="es-CO"/>
        </w:rPr>
        <w:t>writ of certiorari</w:t>
      </w:r>
      <w:r w:rsidRPr="000C152D">
        <w:rPr>
          <w:rFonts w:ascii="Cambria" w:hAnsi="Cambria"/>
          <w:sz w:val="20"/>
          <w:szCs w:val="20"/>
          <w:lang w:val="es-CO"/>
        </w:rPr>
        <w:t xml:space="preserve"> (de carácter extraordinario) para dar cumplimiento a los requisitos del artículo 31</w:t>
      </w:r>
      <w:r w:rsidR="00B92C46">
        <w:rPr>
          <w:rFonts w:ascii="Cambria" w:hAnsi="Cambria"/>
          <w:sz w:val="20"/>
          <w:szCs w:val="20"/>
          <w:lang w:val="es-CO"/>
        </w:rPr>
        <w:t>(</w:t>
      </w:r>
      <w:r w:rsidRPr="000C152D">
        <w:rPr>
          <w:rFonts w:ascii="Cambria" w:hAnsi="Cambria"/>
          <w:sz w:val="20"/>
          <w:szCs w:val="20"/>
          <w:lang w:val="es-CO"/>
        </w:rPr>
        <w:t>1</w:t>
      </w:r>
      <w:r w:rsidR="00B92C46">
        <w:rPr>
          <w:rFonts w:ascii="Cambria" w:hAnsi="Cambria"/>
          <w:sz w:val="20"/>
          <w:szCs w:val="20"/>
          <w:lang w:val="es-CO"/>
        </w:rPr>
        <w:t>)</w:t>
      </w:r>
      <w:r w:rsidRPr="000C152D">
        <w:rPr>
          <w:rFonts w:ascii="Cambria" w:hAnsi="Cambria"/>
          <w:sz w:val="20"/>
          <w:szCs w:val="20"/>
          <w:lang w:val="es-CO"/>
        </w:rPr>
        <w:t xml:space="preserve"> de su </w:t>
      </w:r>
      <w:r w:rsidRPr="000C152D">
        <w:rPr>
          <w:rFonts w:ascii="Cambria" w:hAnsi="Cambria"/>
          <w:sz w:val="20"/>
          <w:szCs w:val="20"/>
          <w:lang w:val="es-CO"/>
        </w:rPr>
        <w:lastRenderedPageBreak/>
        <w:t>Reglamento</w:t>
      </w:r>
      <w:r w:rsidR="00D03F1E" w:rsidRPr="000C152D">
        <w:rPr>
          <w:rStyle w:val="FootnoteReference"/>
          <w:rFonts w:ascii="Cambria" w:hAnsi="Cambria"/>
          <w:sz w:val="20"/>
          <w:szCs w:val="20"/>
          <w:lang w:val="es-CO"/>
        </w:rPr>
        <w:footnoteReference w:id="7"/>
      </w:r>
      <w:r w:rsidR="00D03F1E" w:rsidRPr="000C152D">
        <w:rPr>
          <w:rFonts w:ascii="Cambria" w:hAnsi="Cambria"/>
          <w:sz w:val="20"/>
          <w:szCs w:val="20"/>
          <w:lang w:val="es-CO"/>
        </w:rPr>
        <w:t>.</w:t>
      </w:r>
      <w:r w:rsidRPr="000C152D">
        <w:rPr>
          <w:rFonts w:ascii="Cambria" w:hAnsi="Cambria"/>
          <w:sz w:val="20"/>
          <w:szCs w:val="20"/>
          <w:lang w:val="es-CO"/>
        </w:rPr>
        <w:t xml:space="preserve"> En consecuencia, la Comisión considera que la sentencia judicial definitiva se dictó el 9 de noviembre de 2011 y que la petición ante la CIDH se presentó el 19 de marzo de 2012, por lo que estima que la petición se presentó dentro del plazo de seis meses previsto en el artículo 32</w:t>
      </w:r>
      <w:r w:rsidR="00B92C46">
        <w:rPr>
          <w:rFonts w:ascii="Cambria" w:hAnsi="Cambria"/>
          <w:sz w:val="20"/>
          <w:szCs w:val="20"/>
          <w:lang w:val="es-CO"/>
        </w:rPr>
        <w:t>(</w:t>
      </w:r>
      <w:r w:rsidRPr="000C152D">
        <w:rPr>
          <w:rFonts w:ascii="Cambria" w:hAnsi="Cambria"/>
          <w:sz w:val="20"/>
          <w:szCs w:val="20"/>
          <w:lang w:val="es-CO"/>
        </w:rPr>
        <w:t>1</w:t>
      </w:r>
      <w:r w:rsidR="00B92C46">
        <w:rPr>
          <w:rFonts w:ascii="Cambria" w:hAnsi="Cambria"/>
          <w:sz w:val="20"/>
          <w:szCs w:val="20"/>
          <w:lang w:val="es-CO"/>
        </w:rPr>
        <w:t>)</w:t>
      </w:r>
      <w:r w:rsidRPr="000C152D">
        <w:rPr>
          <w:rFonts w:ascii="Cambria" w:hAnsi="Cambria"/>
          <w:sz w:val="20"/>
          <w:szCs w:val="20"/>
          <w:lang w:val="es-CO"/>
        </w:rPr>
        <w:t xml:space="preserve"> de su Reglamento.</w:t>
      </w:r>
    </w:p>
    <w:p w:rsidR="00D03F1E" w:rsidRPr="000C152D" w:rsidRDefault="00D03F1E" w:rsidP="004C23D6">
      <w:pPr>
        <w:pStyle w:val="ListParagraph"/>
        <w:spacing w:before="240" w:after="240"/>
        <w:jc w:val="both"/>
        <w:rPr>
          <w:rFonts w:asciiTheme="majorHAnsi" w:hAnsiTheme="majorHAnsi"/>
          <w:b/>
          <w:sz w:val="20"/>
          <w:szCs w:val="20"/>
          <w:lang w:val="es-CO"/>
        </w:rPr>
      </w:pPr>
      <w:r w:rsidRPr="000C152D">
        <w:rPr>
          <w:rFonts w:asciiTheme="majorHAnsi" w:hAnsiTheme="majorHAnsi"/>
          <w:b/>
          <w:bCs/>
          <w:sz w:val="20"/>
          <w:szCs w:val="20"/>
          <w:lang w:val="es-CO"/>
        </w:rPr>
        <w:t>VII.</w:t>
      </w:r>
      <w:r w:rsidRPr="000C152D">
        <w:rPr>
          <w:rFonts w:asciiTheme="majorHAnsi" w:hAnsiTheme="majorHAnsi"/>
          <w:b/>
          <w:bCs/>
          <w:sz w:val="20"/>
          <w:szCs w:val="20"/>
          <w:lang w:val="es-CO"/>
        </w:rPr>
        <w:tab/>
      </w:r>
      <w:r w:rsidR="000D205B" w:rsidRPr="000C152D">
        <w:rPr>
          <w:rFonts w:asciiTheme="majorHAnsi" w:hAnsiTheme="majorHAnsi"/>
          <w:b/>
          <w:bCs/>
          <w:sz w:val="20"/>
          <w:szCs w:val="20"/>
          <w:lang w:val="es-CO"/>
        </w:rPr>
        <w:t>ANÁLISIS DE CARACTERIZACIÓN DE LOS HECHOS ALEGADOS</w:t>
      </w:r>
    </w:p>
    <w:p w:rsidR="00D03F1E" w:rsidRPr="000C152D" w:rsidRDefault="000D205B" w:rsidP="006E6112">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CO"/>
        </w:rPr>
      </w:pPr>
      <w:r w:rsidRPr="000C152D">
        <w:rPr>
          <w:sz w:val="20"/>
          <w:szCs w:val="20"/>
          <w:lang w:val="es-CO"/>
        </w:rPr>
        <w:t>En este caso los peticionarios alegan que el Estado es responsable de la vulneración de los artículos I, XVII, XVIII, XXV y XXVI de la Declaración Americana, fundamentándose principalmente en los actos de tortura física y psicológica y en el trato cruel, inhumano y degradante que supuestamente sufrieron las presuntas víctimas durante su detención mientras se hallaban bajo el control de</w:t>
      </w:r>
      <w:r w:rsidR="00B92C46">
        <w:rPr>
          <w:sz w:val="20"/>
          <w:szCs w:val="20"/>
          <w:lang w:val="es-CO"/>
        </w:rPr>
        <w:t>l Estado</w:t>
      </w:r>
      <w:r w:rsidRPr="000C152D">
        <w:rPr>
          <w:sz w:val="20"/>
          <w:szCs w:val="20"/>
          <w:lang w:val="es-CO"/>
        </w:rPr>
        <w:t xml:space="preserve">, así como en la falta de recursos judiciales adecuados y efectivos para abordar las violaciones de las que alegan haber sido objeto. </w:t>
      </w:r>
      <w:r w:rsidR="00B92C46">
        <w:rPr>
          <w:sz w:val="20"/>
          <w:szCs w:val="20"/>
          <w:lang w:val="es-CO"/>
        </w:rPr>
        <w:t>Estados Unidos</w:t>
      </w:r>
      <w:r w:rsidRPr="000C152D">
        <w:rPr>
          <w:sz w:val="20"/>
          <w:szCs w:val="20"/>
          <w:lang w:val="es-CO"/>
        </w:rPr>
        <w:t xml:space="preserve"> ha aducido que a) la Declaración Americana no genera obligaciones jurídicamente vinculantes y que la Comisión no es competente para determinar la vulneración de las disposiciones de dicho instrumento (en contra del Estado) y b) que la Comisión carece de competencia y de facultades para interpretar y aplicar el derecho internacional humanitario.  </w:t>
      </w:r>
    </w:p>
    <w:p w:rsidR="00D03F1E" w:rsidRPr="000C152D" w:rsidRDefault="0041516D" w:rsidP="006E6112">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0C152D">
        <w:rPr>
          <w:rFonts w:ascii="Cambria" w:hAnsi="Cambria"/>
          <w:sz w:val="20"/>
          <w:szCs w:val="20"/>
          <w:lang w:val="es-CO"/>
        </w:rPr>
        <w:t xml:space="preserve">De acuerdo con la práctica y la jurisprudencia de larga data del sistema interamericano de derechos humanos, la Declaración Americana de los Derechos y Deberes del Hombre es una fuente de obligaciones internacionales para Estados Unidos y para los demás Estados miembros de la OEA que no son partes de la Convención Americana sobre Derechos Humanos. Se entiende que esas obligaciones derivan de los compromisos asumidos por los Estados miembros en materia de derechos humanos en la Carta de la OEA, que los Estados miembros convinieron </w:t>
      </w:r>
      <w:r w:rsidR="00180C98">
        <w:rPr>
          <w:rFonts w:ascii="Cambria" w:hAnsi="Cambria"/>
          <w:sz w:val="20"/>
          <w:szCs w:val="20"/>
          <w:lang w:val="es-CO"/>
        </w:rPr>
        <w:t xml:space="preserve">que </w:t>
      </w:r>
      <w:r w:rsidRPr="000C152D">
        <w:rPr>
          <w:rFonts w:ascii="Cambria" w:hAnsi="Cambria"/>
          <w:sz w:val="20"/>
          <w:szCs w:val="20"/>
          <w:lang w:val="es-CO"/>
        </w:rPr>
        <w:t>están contenidos y definidos en la Declaración Americana</w:t>
      </w:r>
      <w:r w:rsidR="00180C98">
        <w:rPr>
          <w:rFonts w:ascii="Cambria" w:hAnsi="Cambria"/>
          <w:sz w:val="20"/>
          <w:szCs w:val="20"/>
          <w:lang w:val="es-CO"/>
        </w:rPr>
        <w:t>,</w:t>
      </w:r>
      <w:r w:rsidRPr="000C152D">
        <w:rPr>
          <w:rFonts w:ascii="Cambria" w:hAnsi="Cambria"/>
          <w:sz w:val="20"/>
          <w:szCs w:val="20"/>
          <w:lang w:val="es-CO"/>
        </w:rPr>
        <w:t xml:space="preserve"> </w:t>
      </w:r>
      <w:r w:rsidR="00180C98">
        <w:rPr>
          <w:rFonts w:ascii="Cambria" w:hAnsi="Cambria"/>
          <w:sz w:val="20"/>
          <w:szCs w:val="20"/>
          <w:lang w:val="es-CO"/>
        </w:rPr>
        <w:t xml:space="preserve"> así como</w:t>
      </w:r>
      <w:r w:rsidRPr="000C152D">
        <w:rPr>
          <w:rFonts w:ascii="Cambria" w:hAnsi="Cambria"/>
          <w:sz w:val="20"/>
          <w:szCs w:val="20"/>
          <w:lang w:val="es-CO"/>
        </w:rPr>
        <w:t xml:space="preserve"> del carácter jurídico consuetudinario de los derechos protegidos en las disposiciones básicas de la Declaración</w:t>
      </w:r>
      <w:r w:rsidR="00180C98">
        <w:rPr>
          <w:rFonts w:ascii="Cambria" w:hAnsi="Cambria"/>
          <w:sz w:val="20"/>
          <w:szCs w:val="20"/>
          <w:lang w:val="es-CO"/>
        </w:rPr>
        <w:t>,</w:t>
      </w:r>
      <w:r w:rsidRPr="000C152D">
        <w:rPr>
          <w:lang w:val="es-CO"/>
        </w:rPr>
        <w:t xml:space="preserve"> </w:t>
      </w:r>
      <w:r w:rsidRPr="000C152D">
        <w:rPr>
          <w:rFonts w:ascii="Cambria" w:hAnsi="Cambria"/>
          <w:sz w:val="20"/>
          <w:szCs w:val="20"/>
          <w:lang w:val="es-CO"/>
        </w:rPr>
        <w:t>por lo cual la Comisión está facultada por los artículos 18 y 20 de su Estatuto</w:t>
      </w:r>
      <w:r w:rsidRPr="000C152D">
        <w:rPr>
          <w:lang w:val="es-CO"/>
        </w:rPr>
        <w:t xml:space="preserve"> </w:t>
      </w:r>
      <w:r w:rsidRPr="000C152D">
        <w:rPr>
          <w:rFonts w:ascii="Cambria" w:hAnsi="Cambria"/>
          <w:sz w:val="20"/>
          <w:szCs w:val="20"/>
          <w:lang w:val="es-CO"/>
        </w:rPr>
        <w:t>para recibir y evaluar alegaciones de incumplimiento de estos compromisos por los Estados. Por lo tanto, es pertinente caracterizar el incumplimiento por un Estado miembro de las garantías de los derechos consagrados en la Declaración Americana como una violación de las obligaciones que le impone el derecho internacional de derechos humanos, con lo cual la Comisión rechaza la afirmación del Estado de que la Declaración Americana no crea obligaciones jurídicas para los Estados miembros de la OEA.</w:t>
      </w:r>
      <w:r w:rsidR="00236CD4" w:rsidRPr="000C152D">
        <w:rPr>
          <w:rFonts w:ascii="Cambria" w:hAnsi="Cambria"/>
          <w:sz w:val="20"/>
          <w:szCs w:val="20"/>
          <w:lang w:val="es-CO"/>
        </w:rPr>
        <w:t xml:space="preserve"> Asimismo, en cuanto a la aplicación extraterritorial de la Declaración Americana, la CIDH ha sostenido </w:t>
      </w:r>
      <w:r w:rsidR="00C15688">
        <w:rPr>
          <w:rFonts w:ascii="Cambria" w:hAnsi="Cambria"/>
          <w:sz w:val="20"/>
          <w:szCs w:val="20"/>
          <w:lang w:val="es-CO"/>
        </w:rPr>
        <w:t xml:space="preserve">en forma consistente </w:t>
      </w:r>
      <w:r w:rsidR="00236CD4" w:rsidRPr="000C152D">
        <w:rPr>
          <w:rFonts w:ascii="Cambria" w:hAnsi="Cambria"/>
          <w:sz w:val="20"/>
          <w:szCs w:val="20"/>
          <w:lang w:val="es-CO"/>
        </w:rPr>
        <w:t xml:space="preserve">que aun cuando el deber del Estado de proteger los derechos de cualquier persona tiene una base territorial, en determinadas circunstancias ese deber puede referirse a conductas con un </w:t>
      </w:r>
      <w:r w:rsidR="00236CD4" w:rsidRPr="000C152D">
        <w:rPr>
          <w:rFonts w:ascii="Cambria" w:hAnsi="Cambria"/>
          <w:i/>
          <w:sz w:val="20"/>
          <w:szCs w:val="20"/>
          <w:lang w:val="es-CO"/>
        </w:rPr>
        <w:t>locus</w:t>
      </w:r>
      <w:r w:rsidR="00236CD4" w:rsidRPr="000C152D">
        <w:rPr>
          <w:rFonts w:ascii="Cambria" w:hAnsi="Cambria"/>
          <w:sz w:val="20"/>
          <w:szCs w:val="20"/>
          <w:lang w:val="es-CO"/>
        </w:rPr>
        <w:t xml:space="preserve"> extraterritorial cuando la persona concernida se encuentra presente en el territorio de un Estado pero sujeta al control de otro Estado, generalmente a través de actos de los agentes de este último en el extranjero. En estos casos, debe determinarse si la presunta víctima se encuentra o no sujeta a la autoridad y control del Estado actuante</w:t>
      </w:r>
      <w:r w:rsidR="00D03F1E" w:rsidRPr="000C152D">
        <w:rPr>
          <w:rStyle w:val="FootnoteReference"/>
          <w:rFonts w:ascii="Cambria" w:hAnsi="Cambria"/>
          <w:sz w:val="20"/>
          <w:szCs w:val="20"/>
          <w:lang w:val="es-CO"/>
        </w:rPr>
        <w:footnoteReference w:id="8"/>
      </w:r>
      <w:r w:rsidR="00236CD4" w:rsidRPr="000C152D">
        <w:rPr>
          <w:rFonts w:ascii="Cambria" w:hAnsi="Cambria"/>
          <w:sz w:val="20"/>
          <w:szCs w:val="20"/>
          <w:lang w:val="es-CO"/>
        </w:rPr>
        <w:t>.</w:t>
      </w:r>
      <w:r w:rsidR="000D205B" w:rsidRPr="000C152D">
        <w:rPr>
          <w:rFonts w:ascii="Cambria" w:hAnsi="Cambria"/>
          <w:sz w:val="20"/>
          <w:szCs w:val="20"/>
          <w:lang w:val="es-CO"/>
        </w:rPr>
        <w:tab/>
      </w:r>
      <w:r w:rsidR="000D205B" w:rsidRPr="000C152D">
        <w:rPr>
          <w:rFonts w:ascii="Cambria" w:hAnsi="Cambria"/>
          <w:sz w:val="20"/>
          <w:szCs w:val="20"/>
          <w:lang w:val="es-CO"/>
        </w:rPr>
        <w:tab/>
      </w:r>
      <w:r w:rsidR="000D205B" w:rsidRPr="000C152D">
        <w:rPr>
          <w:rFonts w:ascii="Cambria" w:hAnsi="Cambria"/>
          <w:sz w:val="20"/>
          <w:szCs w:val="20"/>
          <w:lang w:val="es-CO"/>
        </w:rPr>
        <w:tab/>
      </w:r>
    </w:p>
    <w:p w:rsidR="00D03F1E" w:rsidRPr="000C152D" w:rsidRDefault="00180C98" w:rsidP="006E6112">
      <w:pPr>
        <w:pStyle w:val="Default"/>
        <w:numPr>
          <w:ilvl w:val="0"/>
          <w:numId w:val="120"/>
        </w:numPr>
        <w:jc w:val="both"/>
        <w:rPr>
          <w:lang w:val="es-CO"/>
        </w:rPr>
      </w:pPr>
      <w:r>
        <w:rPr>
          <w:sz w:val="20"/>
          <w:szCs w:val="20"/>
          <w:lang w:val="es-CO"/>
        </w:rPr>
        <w:t xml:space="preserve">En términos de la ley </w:t>
      </w:r>
      <w:r w:rsidR="00236CD4" w:rsidRPr="000C152D">
        <w:rPr>
          <w:sz w:val="20"/>
          <w:szCs w:val="20"/>
          <w:lang w:val="es-CO"/>
        </w:rPr>
        <w:t>aplicable al presente caso, los peticionarios manifestaron que sus denuncias estaban regidas por las disposiciones de la Declaración Americana. Estados Unidos sostuvo que la situación denunciada estaba regida totalmente por el derecho internacional humanitario, conjunto de normas para cuya aplicación la Comisión carece de jurisdicción o de experiencia especializada. De acuerdo con el marco normativo del sistema, cuando examina casos individuales relacionados con países que no son partes de la Convención Americana, la Comisión utiliza la Declaración Americana como la principal fuente de obligaciones internacionales y de ley aplicable</w:t>
      </w:r>
      <w:r w:rsidR="00D03F1E" w:rsidRPr="000C152D">
        <w:rPr>
          <w:rStyle w:val="FootnoteReference"/>
          <w:sz w:val="20"/>
          <w:szCs w:val="20"/>
          <w:lang w:val="es-CO"/>
        </w:rPr>
        <w:footnoteReference w:id="9"/>
      </w:r>
      <w:r w:rsidR="00D03F1E" w:rsidRPr="000C152D">
        <w:rPr>
          <w:sz w:val="20"/>
          <w:szCs w:val="20"/>
          <w:lang w:val="es-CO"/>
        </w:rPr>
        <w:t>.</w:t>
      </w:r>
      <w:r w:rsidR="00236CD4" w:rsidRPr="000C152D">
        <w:rPr>
          <w:sz w:val="20"/>
          <w:szCs w:val="20"/>
          <w:lang w:val="es-CO"/>
        </w:rPr>
        <w:t xml:space="preserve"> Ello no significa, como sostiene Estados Unidos, que la Comisión no puede hacer referencia a otras fuentes </w:t>
      </w:r>
      <w:r w:rsidR="00236CD4" w:rsidRPr="000C152D">
        <w:rPr>
          <w:sz w:val="20"/>
          <w:szCs w:val="20"/>
          <w:lang w:val="es-CO"/>
        </w:rPr>
        <w:lastRenderedPageBreak/>
        <w:t>legales en el cumplimiento de su mandato, incluido el derecho internacional humanitario.</w:t>
      </w:r>
      <w:r w:rsidR="00236CD4" w:rsidRPr="000C152D">
        <w:rPr>
          <w:lang w:val="es-CO"/>
        </w:rPr>
        <w:tab/>
      </w:r>
      <w:r w:rsidR="00236CD4" w:rsidRPr="000C152D">
        <w:rPr>
          <w:sz w:val="20"/>
          <w:szCs w:val="20"/>
          <w:lang w:val="es-CO"/>
        </w:rPr>
        <w:t>Su Estatuto obliga a la Comisión a examinar denuncias que alegan la violación de un derecho protegido en el marco de la Declaración; el hecho de que la resolución de tal denuncia pueda requerir referencia a otro tratado no impide la jurisdicción</w:t>
      </w:r>
      <w:r>
        <w:rPr>
          <w:sz w:val="20"/>
          <w:szCs w:val="20"/>
          <w:lang w:val="es-CO"/>
        </w:rPr>
        <w:t>.</w:t>
      </w:r>
    </w:p>
    <w:p w:rsidR="00D03F1E" w:rsidRPr="000C152D" w:rsidRDefault="00D03F1E" w:rsidP="004C23D6">
      <w:pPr>
        <w:pStyle w:val="Default"/>
        <w:ind w:left="720"/>
        <w:jc w:val="both"/>
        <w:rPr>
          <w:lang w:val="es-CO"/>
        </w:rPr>
      </w:pPr>
    </w:p>
    <w:p w:rsidR="00236CD4" w:rsidRPr="000C152D" w:rsidRDefault="00236CD4" w:rsidP="006E6112">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0C152D">
        <w:rPr>
          <w:rFonts w:ascii="Cambria" w:hAnsi="Cambria"/>
          <w:sz w:val="20"/>
          <w:szCs w:val="20"/>
          <w:lang w:val="es-CO"/>
        </w:rPr>
        <w:t>La Comisión concluye que</w:t>
      </w:r>
      <w:r w:rsidR="00D842F4">
        <w:rPr>
          <w:rFonts w:ascii="Cambria" w:hAnsi="Cambria"/>
          <w:sz w:val="20"/>
          <w:szCs w:val="20"/>
          <w:lang w:val="es-CO"/>
        </w:rPr>
        <w:t>,</w:t>
      </w:r>
      <w:r w:rsidRPr="000C152D">
        <w:rPr>
          <w:rFonts w:ascii="Cambria" w:hAnsi="Cambria"/>
          <w:sz w:val="20"/>
          <w:szCs w:val="20"/>
          <w:lang w:val="es-CO"/>
        </w:rPr>
        <w:t xml:space="preserve"> de ser ciertos los alegatos presentados</w:t>
      </w:r>
      <w:r w:rsidR="00D842F4">
        <w:rPr>
          <w:rFonts w:ascii="Cambria" w:hAnsi="Cambria"/>
          <w:sz w:val="20"/>
          <w:szCs w:val="20"/>
          <w:lang w:val="es-CO"/>
        </w:rPr>
        <w:t>,</w:t>
      </w:r>
      <w:r w:rsidRPr="000C152D">
        <w:rPr>
          <w:rFonts w:ascii="Cambria" w:hAnsi="Cambria"/>
          <w:sz w:val="20"/>
          <w:szCs w:val="20"/>
          <w:lang w:val="es-CO"/>
        </w:rPr>
        <w:t xml:space="preserve"> la petición no resulta “manifiestamente infundada” ni puede afirmarse que es “evidente su total improcedencia”.  En consecuencia, de ser probados, los hechos alegados podrían establecer una posible violación de los derechos protegidos por los artículos I (vida, libertad y seguridad personal), XVII (reconocimiento de la personalidad jurídica y de los derechos civiles),  XVIII (derecho de justicia), XXV (protección contra la detención arbitraria) y XXVI (derecho a proceso regular) de la Declaración Americana de los Derechos y Deberes del Hombre</w:t>
      </w:r>
      <w:r w:rsidR="00180C98">
        <w:rPr>
          <w:rFonts w:ascii="Cambria" w:hAnsi="Cambria"/>
          <w:sz w:val="20"/>
          <w:szCs w:val="20"/>
          <w:lang w:val="es-CO"/>
        </w:rPr>
        <w:t>.</w:t>
      </w:r>
    </w:p>
    <w:p w:rsidR="00D03F1E" w:rsidRPr="000C152D" w:rsidRDefault="00236CD4" w:rsidP="004C23D6">
      <w:pPr>
        <w:pStyle w:val="ListParagraph"/>
        <w:spacing w:before="240" w:after="240"/>
        <w:jc w:val="both"/>
        <w:rPr>
          <w:rFonts w:asciiTheme="majorHAnsi" w:hAnsiTheme="majorHAnsi"/>
          <w:b/>
          <w:bCs/>
          <w:sz w:val="20"/>
          <w:szCs w:val="20"/>
          <w:lang w:val="es-CO"/>
        </w:rPr>
      </w:pPr>
      <w:r w:rsidRPr="000C152D">
        <w:rPr>
          <w:rFonts w:asciiTheme="majorHAnsi" w:hAnsiTheme="majorHAnsi"/>
          <w:b/>
          <w:bCs/>
          <w:sz w:val="20"/>
          <w:szCs w:val="20"/>
          <w:lang w:val="es-CO"/>
        </w:rPr>
        <w:t xml:space="preserve">VIII. </w:t>
      </w:r>
      <w:r w:rsidRPr="000C152D">
        <w:rPr>
          <w:rFonts w:asciiTheme="majorHAnsi" w:hAnsiTheme="majorHAnsi"/>
          <w:b/>
          <w:bCs/>
          <w:sz w:val="20"/>
          <w:szCs w:val="20"/>
          <w:lang w:val="es-CO"/>
        </w:rPr>
        <w:tab/>
        <w:t>DECISIÓ</w:t>
      </w:r>
      <w:r w:rsidR="00D03F1E" w:rsidRPr="000C152D">
        <w:rPr>
          <w:rFonts w:asciiTheme="majorHAnsi" w:hAnsiTheme="majorHAnsi"/>
          <w:b/>
          <w:bCs/>
          <w:sz w:val="20"/>
          <w:szCs w:val="20"/>
          <w:lang w:val="es-CO"/>
        </w:rPr>
        <w:t>N</w:t>
      </w:r>
    </w:p>
    <w:p w:rsidR="00D03F1E" w:rsidRPr="000C152D" w:rsidRDefault="00236CD4" w:rsidP="00236CD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0C152D">
        <w:rPr>
          <w:sz w:val="20"/>
          <w:szCs w:val="20"/>
          <w:lang w:val="es-CO"/>
        </w:rPr>
        <w:t>Declarar admisible la presente petición en relación con los artículos I, XVII, XVIII, XXV y XXVI de la Declaración Americana.</w:t>
      </w:r>
    </w:p>
    <w:p w:rsidR="00D03F1E" w:rsidRPr="005E4160" w:rsidRDefault="00236CD4" w:rsidP="00A7788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Times New Roman" w:hAnsi="Cambria"/>
          <w:sz w:val="20"/>
          <w:szCs w:val="20"/>
          <w:lang w:val="es-CO"/>
        </w:rPr>
      </w:pPr>
      <w:r w:rsidRPr="005E4160">
        <w:rPr>
          <w:rFonts w:ascii="Cambria" w:eastAsia="Times New Roman" w:hAnsi="Cambria"/>
          <w:sz w:val="20"/>
          <w:szCs w:val="20"/>
          <w:lang w:val="es-CO"/>
        </w:rPr>
        <w:t>Notificar a las partes de la presente decisión, continuar con el análisis sobre el fondo y publicar esta decisión e incluirla en su Informe Anual a la Asamblea General de la Organización de los Estados Americanos</w:t>
      </w:r>
      <w:r w:rsidR="00D03F1E" w:rsidRPr="005E4160">
        <w:rPr>
          <w:rFonts w:asciiTheme="majorHAnsi" w:hAnsiTheme="majorHAnsi"/>
          <w:sz w:val="20"/>
          <w:szCs w:val="20"/>
          <w:lang w:val="es-CO"/>
        </w:rPr>
        <w:t>.</w:t>
      </w:r>
    </w:p>
    <w:p w:rsidR="005E4160" w:rsidRPr="005E4160" w:rsidRDefault="005E4160" w:rsidP="005E41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Times New Roman" w:hAnsi="Cambria"/>
          <w:sz w:val="20"/>
          <w:szCs w:val="20"/>
          <w:lang w:val="es-CO"/>
        </w:rPr>
      </w:pPr>
      <w:r>
        <w:rPr>
          <w:rFonts w:ascii="Cambria" w:eastAsia="Times New Roman" w:hAnsi="Cambria"/>
          <w:sz w:val="20"/>
          <w:szCs w:val="20"/>
          <w:lang w:val="es-CO"/>
        </w:rPr>
        <w:tab/>
      </w:r>
      <w:r w:rsidRPr="005E4160">
        <w:rPr>
          <w:rFonts w:ascii="Cambria" w:eastAsia="Times New Roman" w:hAnsi="Cambria"/>
          <w:sz w:val="20"/>
          <w:szCs w:val="20"/>
          <w:lang w:val="es-CO"/>
        </w:rPr>
        <w:t xml:space="preserve">Aprobado por la Comisión Interamericana de Derechos Humanos a los </w:t>
      </w:r>
      <w:r>
        <w:rPr>
          <w:rFonts w:ascii="Cambria" w:eastAsia="Times New Roman" w:hAnsi="Cambria"/>
          <w:sz w:val="20"/>
          <w:szCs w:val="20"/>
          <w:lang w:val="es-CO"/>
        </w:rPr>
        <w:t>24</w:t>
      </w:r>
      <w:r w:rsidRPr="005E4160">
        <w:rPr>
          <w:rFonts w:ascii="Cambria" w:eastAsia="Times New Roman" w:hAnsi="Cambria"/>
          <w:sz w:val="20"/>
          <w:szCs w:val="20"/>
          <w:lang w:val="es-CO"/>
        </w:rPr>
        <w:t xml:space="preserve"> días del mes de </w:t>
      </w:r>
      <w:r>
        <w:rPr>
          <w:rFonts w:ascii="Cambria" w:eastAsia="Times New Roman" w:hAnsi="Cambria"/>
          <w:sz w:val="20"/>
          <w:szCs w:val="20"/>
          <w:lang w:val="es-CO"/>
        </w:rPr>
        <w:t>abril</w:t>
      </w:r>
      <w:r w:rsidRPr="005E4160">
        <w:rPr>
          <w:rFonts w:ascii="Cambria" w:eastAsia="Times New Roman" w:hAnsi="Cambria"/>
          <w:sz w:val="20"/>
          <w:szCs w:val="20"/>
          <w:lang w:val="es-CO"/>
        </w:rPr>
        <w:t xml:space="preserve"> de 2020.  (Firmado): Joel Hernández, Presidente; Antonia Urrejola, Primera Vicepresidenta; </w:t>
      </w:r>
      <w:proofErr w:type="spellStart"/>
      <w:r w:rsidRPr="005E4160">
        <w:rPr>
          <w:rFonts w:ascii="Cambria" w:eastAsia="Times New Roman" w:hAnsi="Cambria"/>
          <w:sz w:val="20"/>
          <w:szCs w:val="20"/>
          <w:lang w:val="es-CO"/>
        </w:rPr>
        <w:t>Flávia</w:t>
      </w:r>
      <w:proofErr w:type="spellEnd"/>
      <w:r w:rsidRPr="005E4160">
        <w:rPr>
          <w:rFonts w:ascii="Cambria" w:eastAsia="Times New Roman" w:hAnsi="Cambria"/>
          <w:sz w:val="20"/>
          <w:szCs w:val="20"/>
          <w:lang w:val="es-CO"/>
        </w:rPr>
        <w:t xml:space="preserve"> </w:t>
      </w:r>
      <w:proofErr w:type="spellStart"/>
      <w:r w:rsidRPr="005E4160">
        <w:rPr>
          <w:rFonts w:ascii="Cambria" w:eastAsia="Times New Roman" w:hAnsi="Cambria"/>
          <w:sz w:val="20"/>
          <w:szCs w:val="20"/>
          <w:lang w:val="es-CO"/>
        </w:rPr>
        <w:t>Piovesan</w:t>
      </w:r>
      <w:proofErr w:type="spellEnd"/>
      <w:r w:rsidRPr="005E4160">
        <w:rPr>
          <w:rFonts w:ascii="Cambria" w:eastAsia="Times New Roman" w:hAnsi="Cambria"/>
          <w:sz w:val="20"/>
          <w:szCs w:val="20"/>
          <w:lang w:val="es-CO"/>
        </w:rPr>
        <w:t xml:space="preserve">, Segunda Vicepresidenta; Margarette May Macaulay, Esmeralda </w:t>
      </w:r>
      <w:r>
        <w:rPr>
          <w:rFonts w:ascii="Cambria" w:eastAsia="Times New Roman" w:hAnsi="Cambria"/>
          <w:sz w:val="20"/>
          <w:szCs w:val="20"/>
          <w:lang w:val="es-CO"/>
        </w:rPr>
        <w:t xml:space="preserve">E. Arosemena Bernal de </w:t>
      </w:r>
      <w:proofErr w:type="spellStart"/>
      <w:r>
        <w:rPr>
          <w:rFonts w:ascii="Cambria" w:eastAsia="Times New Roman" w:hAnsi="Cambria"/>
          <w:sz w:val="20"/>
          <w:szCs w:val="20"/>
          <w:lang w:val="es-CO"/>
        </w:rPr>
        <w:t>Troitiño</w:t>
      </w:r>
      <w:proofErr w:type="spellEnd"/>
      <w:r>
        <w:rPr>
          <w:rFonts w:ascii="Cambria" w:eastAsia="Times New Roman" w:hAnsi="Cambria"/>
          <w:sz w:val="20"/>
          <w:szCs w:val="20"/>
          <w:lang w:val="es-CO"/>
        </w:rPr>
        <w:t xml:space="preserve"> y</w:t>
      </w:r>
      <w:r w:rsidRPr="005E4160">
        <w:rPr>
          <w:rFonts w:ascii="Cambria" w:eastAsia="Times New Roman" w:hAnsi="Cambria"/>
          <w:sz w:val="20"/>
          <w:szCs w:val="20"/>
          <w:lang w:val="es-CO"/>
        </w:rPr>
        <w:t xml:space="preserve"> Julissa Mantilla Falcón, Miembros de la Comisión.</w:t>
      </w:r>
    </w:p>
    <w:sectPr w:rsidR="005E4160" w:rsidRPr="005E4160" w:rsidSect="00934A2C">
      <w:footnotePr>
        <w:numRestart w:val="eachSect"/>
      </w:footnotePr>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3B" w:rsidRDefault="0001483B">
      <w:r>
        <w:separator/>
      </w:r>
    </w:p>
  </w:endnote>
  <w:endnote w:type="continuationSeparator" w:id="0">
    <w:p w:rsidR="0001483B" w:rsidRDefault="0001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56" w:rsidRDefault="00847C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0D205B" w:rsidRPr="006311DA" w:rsidRDefault="000D205B">
        <w:pPr>
          <w:pStyle w:val="Footer"/>
          <w:jc w:val="center"/>
          <w:rPr>
            <w:sz w:val="16"/>
          </w:rPr>
        </w:pPr>
        <w:r>
          <w:rPr>
            <w:noProof/>
            <w:sz w:val="16"/>
          </w:rPr>
          <w:fldChar w:fldCharType="begin"/>
        </w:r>
        <w:r>
          <w:rPr>
            <w:noProof/>
            <w:sz w:val="16"/>
          </w:rPr>
          <w:instrText xml:space="preserve"> PAGE   \* MERGEFORMAT </w:instrText>
        </w:r>
        <w:r>
          <w:rPr>
            <w:noProof/>
            <w:sz w:val="16"/>
          </w:rPr>
          <w:fldChar w:fldCharType="separate"/>
        </w:r>
        <w:r w:rsidR="00847C56">
          <w:rPr>
            <w:noProof/>
            <w:sz w:val="16"/>
          </w:rPr>
          <w:t>5</w:t>
        </w:r>
        <w:r>
          <w:rPr>
            <w:noProof/>
            <w:sz w:val="16"/>
          </w:rPr>
          <w:fldChar w:fldCharType="end"/>
        </w:r>
      </w:p>
    </w:sdtContent>
  </w:sdt>
  <w:p w:rsidR="000D205B" w:rsidRDefault="000D20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05B" w:rsidRDefault="000D205B">
    <w:pPr>
      <w:pStyle w:val="Footer"/>
      <w:jc w:val="center"/>
    </w:pPr>
  </w:p>
  <w:p w:rsidR="000D205B" w:rsidRDefault="000D2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3B" w:rsidRPr="000F35ED" w:rsidRDefault="0001483B">
      <w:pPr>
        <w:rPr>
          <w:rFonts w:asciiTheme="majorHAnsi" w:hAnsiTheme="majorHAnsi"/>
          <w:sz w:val="16"/>
          <w:szCs w:val="16"/>
        </w:rPr>
      </w:pPr>
      <w:r>
        <w:rPr>
          <w:rFonts w:asciiTheme="majorHAnsi" w:hAnsiTheme="majorHAnsi"/>
          <w:sz w:val="16"/>
          <w:szCs w:val="16"/>
        </w:rPr>
        <w:separator/>
      </w:r>
    </w:p>
  </w:footnote>
  <w:footnote w:type="continuationSeparator" w:id="0">
    <w:p w:rsidR="0001483B" w:rsidRPr="000F35ED" w:rsidRDefault="0001483B" w:rsidP="000F35ED">
      <w:pPr>
        <w:rPr>
          <w:rFonts w:asciiTheme="majorHAnsi" w:hAnsiTheme="majorHAnsi"/>
          <w:sz w:val="16"/>
          <w:szCs w:val="16"/>
        </w:rPr>
      </w:pPr>
      <w:r>
        <w:rPr>
          <w:rFonts w:asciiTheme="majorHAnsi" w:hAnsiTheme="majorHAnsi"/>
          <w:sz w:val="16"/>
          <w:szCs w:val="16"/>
        </w:rPr>
        <w:separator/>
      </w:r>
    </w:p>
    <w:p w:rsidR="0001483B" w:rsidRPr="000F35ED" w:rsidRDefault="0001483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continuación</w:t>
      </w:r>
      <w:proofErr w:type="spellEnd"/>
      <w:proofErr w:type="gramEnd"/>
      <w:r>
        <w:rPr>
          <w:rFonts w:asciiTheme="majorHAnsi" w:hAnsiTheme="majorHAnsi"/>
          <w:sz w:val="16"/>
          <w:szCs w:val="16"/>
        </w:rPr>
        <w:t>]</w:t>
      </w:r>
    </w:p>
  </w:footnote>
  <w:footnote w:type="continuationNotice" w:id="1">
    <w:p w:rsidR="0001483B" w:rsidRPr="000F35ED" w:rsidRDefault="0001483B" w:rsidP="000F35ED">
      <w:pPr>
        <w:jc w:val="right"/>
        <w:rPr>
          <w:rFonts w:asciiTheme="majorHAnsi" w:hAnsiTheme="majorHAnsi"/>
          <w:sz w:val="16"/>
          <w:szCs w:val="16"/>
        </w:rPr>
      </w:pPr>
      <w:r>
        <w:rPr>
          <w:rFonts w:asciiTheme="majorHAnsi" w:hAnsiTheme="majorHAnsi"/>
          <w:sz w:val="16"/>
          <w:szCs w:val="16"/>
        </w:rPr>
        <w:t>[</w:t>
      </w:r>
      <w:proofErr w:type="spellStart"/>
      <w:proofErr w:type="gramStart"/>
      <w:r>
        <w:rPr>
          <w:rFonts w:asciiTheme="majorHAnsi" w:hAnsiTheme="majorHAnsi"/>
          <w:sz w:val="16"/>
          <w:szCs w:val="16"/>
        </w:rPr>
        <w:t>continúa</w:t>
      </w:r>
      <w:proofErr w:type="spellEnd"/>
      <w:proofErr w:type="gramEnd"/>
      <w:r>
        <w:rPr>
          <w:rFonts w:asciiTheme="majorHAnsi" w:hAnsiTheme="majorHAnsi"/>
          <w:sz w:val="16"/>
          <w:szCs w:val="16"/>
        </w:rPr>
        <w:t>…]</w:t>
      </w:r>
    </w:p>
  </w:footnote>
  <w:footnote w:id="2">
    <w:p w:rsidR="000C152D" w:rsidRPr="00FB509F" w:rsidRDefault="000C152D" w:rsidP="003C3A39">
      <w:pPr>
        <w:spacing w:line="276" w:lineRule="auto"/>
        <w:ind w:left="720"/>
        <w:rPr>
          <w:rFonts w:ascii="Cambria" w:hAnsi="Cambria" w:cs="Arial"/>
          <w:sz w:val="16"/>
          <w:szCs w:val="16"/>
          <w:lang w:val="es-ES"/>
        </w:rPr>
      </w:pPr>
      <w:r w:rsidRPr="002A6BD9">
        <w:rPr>
          <w:rStyle w:val="FootnoteReference"/>
          <w:rFonts w:ascii="Cambria" w:hAnsi="Cambria"/>
          <w:sz w:val="16"/>
          <w:szCs w:val="16"/>
        </w:rPr>
        <w:footnoteRef/>
      </w:r>
      <w:r w:rsidRPr="00FB509F">
        <w:rPr>
          <w:rFonts w:ascii="Cambria" w:hAnsi="Cambria"/>
          <w:sz w:val="16"/>
          <w:szCs w:val="16"/>
          <w:lang w:val="es-ES"/>
        </w:rPr>
        <w:t xml:space="preserve"> Las siguientes personas son las pres</w:t>
      </w:r>
      <w:r>
        <w:rPr>
          <w:rFonts w:ascii="Cambria" w:hAnsi="Cambria"/>
          <w:sz w:val="16"/>
          <w:szCs w:val="16"/>
          <w:lang w:val="es-ES"/>
        </w:rPr>
        <w:t>untas víctimas de esta petición</w:t>
      </w:r>
      <w:r w:rsidRPr="00FB509F">
        <w:rPr>
          <w:rFonts w:ascii="Cambria" w:hAnsi="Cambria"/>
          <w:sz w:val="16"/>
          <w:szCs w:val="16"/>
          <w:lang w:val="es-ES"/>
        </w:rPr>
        <w:t xml:space="preserve">: </w:t>
      </w:r>
      <w:proofErr w:type="spellStart"/>
      <w:r w:rsidRPr="00FB509F">
        <w:rPr>
          <w:rFonts w:ascii="Cambria" w:hAnsi="Cambria" w:cs="Arial"/>
          <w:sz w:val="16"/>
          <w:szCs w:val="16"/>
          <w:lang w:val="es-ES"/>
        </w:rPr>
        <w:t>Thahe</w:t>
      </w:r>
      <w:proofErr w:type="spellEnd"/>
      <w:r w:rsidRPr="00FB509F">
        <w:rPr>
          <w:rFonts w:ascii="Cambria" w:hAnsi="Cambria" w:cs="Arial"/>
          <w:sz w:val="16"/>
          <w:szCs w:val="16"/>
          <w:lang w:val="es-ES"/>
        </w:rPr>
        <w:t xml:space="preserve"> Mohammed </w:t>
      </w:r>
      <w:proofErr w:type="spellStart"/>
      <w:r w:rsidRPr="00FB509F">
        <w:rPr>
          <w:rFonts w:ascii="Cambria" w:hAnsi="Cambria" w:cs="Arial"/>
          <w:sz w:val="16"/>
          <w:szCs w:val="16"/>
          <w:lang w:val="es-ES"/>
        </w:rPr>
        <w:t>Sabar</w:t>
      </w:r>
      <w:proofErr w:type="spellEnd"/>
      <w:r w:rsidRPr="00FB509F">
        <w:rPr>
          <w:rFonts w:ascii="Cambria" w:hAnsi="Cambria" w:cs="Arial"/>
          <w:sz w:val="16"/>
          <w:szCs w:val="16"/>
          <w:lang w:val="es-ES"/>
        </w:rPr>
        <w:t xml:space="preserve"> </w:t>
      </w:r>
      <w:r>
        <w:rPr>
          <w:rFonts w:ascii="Cambria" w:hAnsi="Cambria" w:cs="Arial"/>
          <w:sz w:val="16"/>
          <w:szCs w:val="16"/>
          <w:lang w:val="es-ES"/>
        </w:rPr>
        <w:t>y otros,</w:t>
      </w:r>
      <w:r w:rsidRPr="00FB509F">
        <w:rPr>
          <w:rFonts w:ascii="Cambria" w:hAnsi="Cambria" w:cs="Arial"/>
          <w:sz w:val="16"/>
          <w:szCs w:val="16"/>
          <w:lang w:val="es-ES"/>
        </w:rPr>
        <w:t xml:space="preserve"> </w:t>
      </w:r>
      <w:proofErr w:type="spellStart"/>
      <w:r w:rsidRPr="00FB509F">
        <w:rPr>
          <w:rFonts w:ascii="Cambria" w:hAnsi="Cambria" w:cs="Arial"/>
          <w:sz w:val="16"/>
          <w:szCs w:val="16"/>
          <w:lang w:val="es-ES"/>
        </w:rPr>
        <w:t>Sherzad</w:t>
      </w:r>
      <w:proofErr w:type="spellEnd"/>
      <w:r w:rsidRPr="00FB509F">
        <w:rPr>
          <w:rFonts w:ascii="Cambria" w:hAnsi="Cambria" w:cs="Arial"/>
          <w:sz w:val="16"/>
          <w:szCs w:val="16"/>
          <w:lang w:val="es-ES"/>
        </w:rPr>
        <w:t xml:space="preserve"> </w:t>
      </w:r>
      <w:proofErr w:type="spellStart"/>
      <w:r w:rsidRPr="00FB509F">
        <w:rPr>
          <w:rFonts w:ascii="Cambria" w:hAnsi="Cambria" w:cs="Arial"/>
          <w:sz w:val="16"/>
          <w:szCs w:val="16"/>
          <w:lang w:val="es-ES"/>
        </w:rPr>
        <w:t>Kamal</w:t>
      </w:r>
      <w:proofErr w:type="spellEnd"/>
      <w:r w:rsidRPr="00FB509F">
        <w:rPr>
          <w:rFonts w:ascii="Cambria" w:hAnsi="Cambria" w:cs="Arial"/>
          <w:sz w:val="16"/>
          <w:szCs w:val="16"/>
          <w:lang w:val="es-ES"/>
        </w:rPr>
        <w:t xml:space="preserve"> </w:t>
      </w:r>
      <w:proofErr w:type="spellStart"/>
      <w:r w:rsidRPr="00FB509F">
        <w:rPr>
          <w:rFonts w:ascii="Cambria" w:hAnsi="Cambria" w:cs="Arial"/>
          <w:sz w:val="16"/>
          <w:szCs w:val="16"/>
          <w:lang w:val="es-ES"/>
        </w:rPr>
        <w:t>Khalid</w:t>
      </w:r>
      <w:proofErr w:type="spellEnd"/>
      <w:r w:rsidRPr="00FB509F">
        <w:rPr>
          <w:rFonts w:ascii="Cambria" w:hAnsi="Cambria" w:cs="Arial"/>
          <w:sz w:val="16"/>
          <w:szCs w:val="16"/>
          <w:lang w:val="es-ES"/>
        </w:rPr>
        <w:t xml:space="preserve">, </w:t>
      </w:r>
      <w:proofErr w:type="spellStart"/>
      <w:r w:rsidRPr="00FB509F">
        <w:rPr>
          <w:rFonts w:ascii="Cambria" w:hAnsi="Cambria" w:cs="Arial"/>
          <w:sz w:val="16"/>
          <w:szCs w:val="16"/>
          <w:lang w:val="es-ES"/>
        </w:rPr>
        <w:t>Mehboob</w:t>
      </w:r>
      <w:proofErr w:type="spellEnd"/>
      <w:r w:rsidRPr="00FB509F">
        <w:rPr>
          <w:rFonts w:ascii="Cambria" w:hAnsi="Cambria" w:cs="Arial"/>
          <w:sz w:val="16"/>
          <w:szCs w:val="16"/>
          <w:lang w:val="es-ES"/>
        </w:rPr>
        <w:t xml:space="preserve"> Ahmad, Said </w:t>
      </w:r>
      <w:proofErr w:type="spellStart"/>
      <w:r w:rsidRPr="00FB509F">
        <w:rPr>
          <w:rFonts w:ascii="Cambria" w:hAnsi="Cambria" w:cs="Arial"/>
          <w:sz w:val="16"/>
          <w:szCs w:val="16"/>
          <w:lang w:val="es-ES"/>
        </w:rPr>
        <w:t>Nabi</w:t>
      </w:r>
      <w:proofErr w:type="spellEnd"/>
      <w:r w:rsidRPr="00FB509F">
        <w:rPr>
          <w:rFonts w:ascii="Cambria" w:hAnsi="Cambria" w:cs="Arial"/>
          <w:sz w:val="16"/>
          <w:szCs w:val="16"/>
          <w:lang w:val="es-ES"/>
        </w:rPr>
        <w:t xml:space="preserve"> </w:t>
      </w:r>
      <w:proofErr w:type="spellStart"/>
      <w:r w:rsidRPr="00FB509F">
        <w:rPr>
          <w:rFonts w:ascii="Cambria" w:hAnsi="Cambria" w:cs="Arial"/>
          <w:sz w:val="16"/>
          <w:szCs w:val="16"/>
          <w:lang w:val="es-ES"/>
        </w:rPr>
        <w:t>Siddiqi</w:t>
      </w:r>
      <w:proofErr w:type="spellEnd"/>
      <w:r w:rsidRPr="00FB509F">
        <w:rPr>
          <w:rFonts w:ascii="Cambria" w:hAnsi="Cambria" w:cs="Arial"/>
          <w:sz w:val="16"/>
          <w:szCs w:val="16"/>
          <w:lang w:val="es-ES"/>
        </w:rPr>
        <w:t xml:space="preserve"> y </w:t>
      </w:r>
      <w:proofErr w:type="spellStart"/>
      <w:r w:rsidRPr="00FB509F">
        <w:rPr>
          <w:rFonts w:ascii="Cambria" w:hAnsi="Cambria" w:cs="Arial"/>
          <w:sz w:val="16"/>
          <w:szCs w:val="16"/>
          <w:lang w:val="es-ES"/>
        </w:rPr>
        <w:t>Haji</w:t>
      </w:r>
      <w:proofErr w:type="spellEnd"/>
      <w:r w:rsidRPr="00FB509F">
        <w:rPr>
          <w:rFonts w:ascii="Cambria" w:hAnsi="Cambria" w:cs="Arial"/>
          <w:sz w:val="16"/>
          <w:szCs w:val="16"/>
          <w:lang w:val="es-ES"/>
        </w:rPr>
        <w:t xml:space="preserve"> </w:t>
      </w:r>
      <w:proofErr w:type="spellStart"/>
      <w:r w:rsidRPr="00FB509F">
        <w:rPr>
          <w:rFonts w:ascii="Cambria" w:hAnsi="Cambria" w:cs="Arial"/>
          <w:sz w:val="16"/>
          <w:szCs w:val="16"/>
          <w:lang w:val="es-ES"/>
        </w:rPr>
        <w:t>Rahman</w:t>
      </w:r>
      <w:proofErr w:type="spellEnd"/>
      <w:r w:rsidR="000B5C18">
        <w:rPr>
          <w:rFonts w:ascii="Cambria" w:hAnsi="Cambria" w:cs="Arial"/>
          <w:sz w:val="16"/>
          <w:szCs w:val="16"/>
          <w:lang w:val="es-ES"/>
        </w:rPr>
        <w:t>.</w:t>
      </w:r>
    </w:p>
  </w:footnote>
  <w:footnote w:id="3">
    <w:p w:rsidR="000C152D" w:rsidRPr="00FB509F" w:rsidRDefault="000C152D" w:rsidP="003C3A39">
      <w:pPr>
        <w:pStyle w:val="FootnoteText"/>
        <w:ind w:firstLine="720"/>
        <w:jc w:val="both"/>
        <w:rPr>
          <w:rFonts w:ascii="Cambria" w:hAnsi="Cambria"/>
          <w:sz w:val="16"/>
          <w:szCs w:val="16"/>
          <w:lang w:val="es-ES"/>
        </w:rPr>
      </w:pPr>
      <w:r w:rsidRPr="002A6BD9">
        <w:rPr>
          <w:rStyle w:val="FootnoteReference"/>
          <w:rFonts w:ascii="Cambria" w:hAnsi="Cambria"/>
          <w:sz w:val="16"/>
          <w:szCs w:val="16"/>
        </w:rPr>
        <w:footnoteRef/>
      </w:r>
      <w:r w:rsidRPr="00FB509F">
        <w:rPr>
          <w:rFonts w:ascii="Cambria" w:hAnsi="Cambria"/>
          <w:sz w:val="16"/>
          <w:szCs w:val="16"/>
          <w:lang w:val="es-ES"/>
        </w:rPr>
        <w:t xml:space="preserve"> En </w:t>
      </w:r>
      <w:r>
        <w:rPr>
          <w:rFonts w:ascii="Cambria" w:hAnsi="Cambria"/>
          <w:sz w:val="16"/>
          <w:szCs w:val="16"/>
          <w:lang w:val="es-ES"/>
        </w:rPr>
        <w:t>a</w:t>
      </w:r>
      <w:r w:rsidRPr="00FB509F">
        <w:rPr>
          <w:rFonts w:ascii="Cambria" w:hAnsi="Cambria"/>
          <w:sz w:val="16"/>
          <w:szCs w:val="16"/>
          <w:lang w:val="es-ES"/>
        </w:rPr>
        <w:t>delante, “EE.UU.” o “Estados Unidos”</w:t>
      </w:r>
      <w:r>
        <w:rPr>
          <w:rFonts w:ascii="Cambria" w:hAnsi="Cambria"/>
          <w:sz w:val="16"/>
          <w:szCs w:val="16"/>
          <w:lang w:val="es-ES"/>
        </w:rPr>
        <w:t>.</w:t>
      </w:r>
    </w:p>
  </w:footnote>
  <w:footnote w:id="4">
    <w:p w:rsidR="000C152D" w:rsidRPr="00FB509F" w:rsidRDefault="000C152D" w:rsidP="003C3A39">
      <w:pPr>
        <w:pStyle w:val="FootnoteText"/>
        <w:ind w:left="720"/>
        <w:rPr>
          <w:rFonts w:ascii="Cambria" w:hAnsi="Cambria"/>
          <w:sz w:val="16"/>
          <w:szCs w:val="16"/>
          <w:lang w:val="es-ES"/>
        </w:rPr>
      </w:pPr>
      <w:r w:rsidRPr="002A6BD9">
        <w:rPr>
          <w:rStyle w:val="FootnoteReference"/>
          <w:rFonts w:ascii="Cambria" w:hAnsi="Cambria"/>
          <w:sz w:val="16"/>
          <w:szCs w:val="16"/>
        </w:rPr>
        <w:footnoteRef/>
      </w:r>
      <w:r w:rsidRPr="00FB509F">
        <w:rPr>
          <w:rFonts w:ascii="Cambria" w:hAnsi="Cambria"/>
          <w:sz w:val="16"/>
          <w:szCs w:val="16"/>
          <w:lang w:val="es-ES"/>
        </w:rPr>
        <w:t xml:space="preserve"> En adelante, la “Declaración Americana”.</w:t>
      </w:r>
    </w:p>
  </w:footnote>
  <w:footnote w:id="5">
    <w:p w:rsidR="000D205B" w:rsidRPr="00FB509F" w:rsidRDefault="000D205B" w:rsidP="004C23D6">
      <w:pPr>
        <w:pStyle w:val="FootnoteText"/>
        <w:ind w:firstLine="720"/>
        <w:jc w:val="both"/>
        <w:rPr>
          <w:rFonts w:ascii="Cambria" w:hAnsi="Cambria"/>
          <w:sz w:val="16"/>
          <w:szCs w:val="16"/>
          <w:lang w:val="es-ES"/>
        </w:rPr>
      </w:pPr>
      <w:r w:rsidRPr="002A6BD9">
        <w:rPr>
          <w:rStyle w:val="FootnoteReference"/>
          <w:rFonts w:ascii="Cambria" w:hAnsi="Cambria"/>
          <w:sz w:val="16"/>
          <w:szCs w:val="16"/>
        </w:rPr>
        <w:footnoteRef/>
      </w:r>
      <w:r w:rsidRPr="00FB509F">
        <w:rPr>
          <w:rFonts w:ascii="Cambria" w:hAnsi="Cambria"/>
          <w:sz w:val="16"/>
          <w:szCs w:val="16"/>
          <w:lang w:val="es-ES"/>
        </w:rPr>
        <w:t xml:space="preserve"> </w:t>
      </w:r>
      <w:r w:rsidR="00FB509F" w:rsidRPr="00FB509F">
        <w:rPr>
          <w:rFonts w:ascii="Cambria" w:hAnsi="Cambria"/>
          <w:sz w:val="16"/>
          <w:szCs w:val="16"/>
          <w:lang w:val="es-ES"/>
        </w:rPr>
        <w:t>Las observaciones de cada parte fueron debidamente trasladadas a la parte contraria</w:t>
      </w:r>
      <w:r w:rsidRPr="00FB509F">
        <w:rPr>
          <w:rFonts w:ascii="Cambria" w:hAnsi="Cambria"/>
          <w:sz w:val="16"/>
          <w:szCs w:val="16"/>
          <w:lang w:val="es-ES"/>
        </w:rPr>
        <w:t>.</w:t>
      </w:r>
    </w:p>
  </w:footnote>
  <w:footnote w:id="6">
    <w:p w:rsidR="000D205B" w:rsidRPr="00FB509F" w:rsidRDefault="000D205B" w:rsidP="004C23D6">
      <w:pPr>
        <w:pStyle w:val="FootnoteText"/>
        <w:rPr>
          <w:rFonts w:ascii="Cambria" w:hAnsi="Cambria"/>
          <w:sz w:val="16"/>
          <w:szCs w:val="16"/>
          <w:lang w:val="es-ES"/>
        </w:rPr>
      </w:pPr>
      <w:r w:rsidRPr="002A6BD9">
        <w:rPr>
          <w:rStyle w:val="FootnoteReference"/>
          <w:rFonts w:ascii="Cambria" w:hAnsi="Cambria"/>
          <w:sz w:val="16"/>
          <w:szCs w:val="16"/>
        </w:rPr>
        <w:footnoteRef/>
      </w:r>
      <w:r w:rsidRPr="0012369A">
        <w:rPr>
          <w:rFonts w:ascii="Cambria" w:hAnsi="Cambria"/>
          <w:sz w:val="16"/>
          <w:szCs w:val="16"/>
          <w:lang w:val="es-US"/>
        </w:rPr>
        <w:t xml:space="preserve"> </w:t>
      </w:r>
      <w:r w:rsidR="00FB509F">
        <w:rPr>
          <w:rFonts w:ascii="Cambria" w:hAnsi="Cambria"/>
          <w:sz w:val="16"/>
          <w:szCs w:val="16"/>
          <w:lang w:val="es-US"/>
        </w:rPr>
        <w:t>CIDH</w:t>
      </w:r>
      <w:r w:rsidRPr="0012369A">
        <w:rPr>
          <w:rFonts w:ascii="Cambria" w:hAnsi="Cambria"/>
          <w:sz w:val="16"/>
          <w:szCs w:val="16"/>
          <w:lang w:val="es-US"/>
        </w:rPr>
        <w:t xml:space="preserve">, </w:t>
      </w:r>
      <w:r w:rsidR="00FB509F">
        <w:rPr>
          <w:rFonts w:ascii="Cambria" w:hAnsi="Cambria"/>
          <w:sz w:val="16"/>
          <w:szCs w:val="16"/>
          <w:lang w:val="es-US"/>
        </w:rPr>
        <w:t>Informe</w:t>
      </w:r>
      <w:r w:rsidRPr="0012369A">
        <w:rPr>
          <w:rFonts w:ascii="Cambria" w:hAnsi="Cambria"/>
          <w:sz w:val="16"/>
          <w:szCs w:val="16"/>
          <w:lang w:val="es-US"/>
        </w:rPr>
        <w:t xml:space="preserve"> No. 156/17. Admis</w:t>
      </w:r>
      <w:r w:rsidR="00FB509F">
        <w:rPr>
          <w:rFonts w:ascii="Cambria" w:hAnsi="Cambria"/>
          <w:sz w:val="16"/>
          <w:szCs w:val="16"/>
          <w:lang w:val="es-US"/>
        </w:rPr>
        <w:t>ibilidad</w:t>
      </w:r>
      <w:r w:rsidRPr="0012369A">
        <w:rPr>
          <w:rFonts w:ascii="Cambria" w:hAnsi="Cambria"/>
          <w:sz w:val="16"/>
          <w:szCs w:val="16"/>
          <w:lang w:val="es-US"/>
        </w:rPr>
        <w:t>. Carlos Alfonso Fonseca Murillo</w:t>
      </w:r>
      <w:r w:rsidRPr="005E4160">
        <w:rPr>
          <w:rFonts w:ascii="Cambria" w:hAnsi="Cambria"/>
          <w:sz w:val="16"/>
          <w:szCs w:val="16"/>
          <w:lang w:val="es-US"/>
        </w:rPr>
        <w:t xml:space="preserve">. Ecuador. </w:t>
      </w:r>
      <w:r w:rsidRPr="005E4160">
        <w:rPr>
          <w:rFonts w:ascii="Cambria" w:hAnsi="Cambria"/>
          <w:sz w:val="16"/>
          <w:szCs w:val="16"/>
          <w:lang w:val="es-ES"/>
        </w:rPr>
        <w:t>30</w:t>
      </w:r>
      <w:r w:rsidR="00FB509F" w:rsidRPr="005E4160">
        <w:rPr>
          <w:rFonts w:ascii="Cambria" w:hAnsi="Cambria"/>
          <w:sz w:val="16"/>
          <w:szCs w:val="16"/>
          <w:lang w:val="es-ES"/>
        </w:rPr>
        <w:t xml:space="preserve"> de noviembre de</w:t>
      </w:r>
      <w:r w:rsidRPr="005E4160">
        <w:rPr>
          <w:rFonts w:ascii="Cambria" w:hAnsi="Cambria"/>
          <w:sz w:val="16"/>
          <w:szCs w:val="16"/>
          <w:lang w:val="es-ES"/>
        </w:rPr>
        <w:t xml:space="preserve"> 2017, </w:t>
      </w:r>
      <w:r w:rsidR="00FB509F" w:rsidRPr="005E4160">
        <w:rPr>
          <w:rFonts w:ascii="Cambria" w:hAnsi="Cambria"/>
          <w:sz w:val="16"/>
          <w:szCs w:val="16"/>
          <w:lang w:val="es-ES"/>
        </w:rPr>
        <w:t>párrafo</w:t>
      </w:r>
      <w:r w:rsidRPr="005E4160">
        <w:rPr>
          <w:rFonts w:ascii="Cambria" w:hAnsi="Cambria"/>
          <w:sz w:val="16"/>
          <w:szCs w:val="16"/>
          <w:lang w:val="es-ES"/>
        </w:rPr>
        <w:t xml:space="preserve"> 13; </w:t>
      </w:r>
      <w:r w:rsidR="00FB509F" w:rsidRPr="005E4160">
        <w:rPr>
          <w:rFonts w:ascii="Cambria" w:hAnsi="Cambria"/>
          <w:sz w:val="16"/>
          <w:szCs w:val="16"/>
          <w:lang w:val="es-ES"/>
        </w:rPr>
        <w:t>CIDH</w:t>
      </w:r>
      <w:r w:rsidRPr="005E4160">
        <w:rPr>
          <w:rFonts w:ascii="Cambria" w:hAnsi="Cambria"/>
          <w:sz w:val="16"/>
          <w:szCs w:val="16"/>
          <w:lang w:val="es-ES"/>
        </w:rPr>
        <w:t xml:space="preserve">, </w:t>
      </w:r>
      <w:r w:rsidR="00FB509F" w:rsidRPr="005E4160">
        <w:rPr>
          <w:rFonts w:ascii="Cambria" w:hAnsi="Cambria"/>
          <w:sz w:val="16"/>
          <w:szCs w:val="16"/>
          <w:lang w:val="es-ES"/>
        </w:rPr>
        <w:t>Informe</w:t>
      </w:r>
      <w:r w:rsidRPr="005E4160">
        <w:rPr>
          <w:rFonts w:ascii="Cambria" w:hAnsi="Cambria"/>
          <w:sz w:val="16"/>
          <w:szCs w:val="16"/>
          <w:lang w:val="es-ES"/>
        </w:rPr>
        <w:t xml:space="preserve"> No. 38/18, </w:t>
      </w:r>
      <w:r w:rsidR="00FB509F" w:rsidRPr="005E4160">
        <w:rPr>
          <w:rFonts w:ascii="Cambria" w:hAnsi="Cambria"/>
          <w:sz w:val="16"/>
          <w:szCs w:val="16"/>
          <w:lang w:val="es-ES"/>
        </w:rPr>
        <w:t>Petición</w:t>
      </w:r>
      <w:r w:rsidRPr="005E4160">
        <w:rPr>
          <w:rFonts w:ascii="Cambria" w:hAnsi="Cambria"/>
          <w:sz w:val="16"/>
          <w:szCs w:val="16"/>
          <w:lang w:val="es-ES"/>
        </w:rPr>
        <w:t xml:space="preserve"> 140-09, </w:t>
      </w:r>
      <w:r w:rsidR="00FB509F" w:rsidRPr="005E4160">
        <w:rPr>
          <w:rFonts w:ascii="Cambria" w:hAnsi="Cambria"/>
          <w:sz w:val="16"/>
          <w:szCs w:val="16"/>
          <w:lang w:val="es-ES"/>
        </w:rPr>
        <w:t>María</w:t>
      </w:r>
      <w:r w:rsidRPr="005E4160">
        <w:rPr>
          <w:rFonts w:ascii="Cambria" w:hAnsi="Cambria"/>
          <w:sz w:val="16"/>
          <w:szCs w:val="16"/>
          <w:lang w:val="es-ES"/>
        </w:rPr>
        <w:t xml:space="preserve"> G</w:t>
      </w:r>
      <w:r w:rsidR="00FB509F" w:rsidRPr="005E4160">
        <w:rPr>
          <w:rFonts w:ascii="Cambria" w:hAnsi="Cambria"/>
          <w:sz w:val="16"/>
          <w:szCs w:val="16"/>
          <w:lang w:val="es-ES"/>
        </w:rPr>
        <w:t>.</w:t>
      </w:r>
      <w:r w:rsidRPr="005E4160">
        <w:rPr>
          <w:rFonts w:ascii="Cambria" w:hAnsi="Cambria"/>
          <w:sz w:val="16"/>
          <w:szCs w:val="16"/>
          <w:lang w:val="es-ES"/>
        </w:rPr>
        <w:t xml:space="preserve"> </w:t>
      </w:r>
      <w:r w:rsidR="00FB509F" w:rsidRPr="005E4160">
        <w:rPr>
          <w:rFonts w:ascii="Cambria" w:hAnsi="Cambria"/>
          <w:sz w:val="16"/>
          <w:szCs w:val="16"/>
          <w:lang w:val="es-ES"/>
        </w:rPr>
        <w:t>y Familia</w:t>
      </w:r>
      <w:r w:rsidRPr="005E4160">
        <w:rPr>
          <w:rFonts w:ascii="Cambria" w:hAnsi="Cambria"/>
          <w:sz w:val="16"/>
          <w:szCs w:val="16"/>
          <w:lang w:val="es-ES"/>
        </w:rPr>
        <w:t>.</w:t>
      </w:r>
    </w:p>
  </w:footnote>
  <w:footnote w:id="7">
    <w:p w:rsidR="000D205B" w:rsidRPr="00FB509F" w:rsidRDefault="000D205B">
      <w:pPr>
        <w:pStyle w:val="FootnoteText"/>
        <w:rPr>
          <w:rFonts w:ascii="Cambria" w:hAnsi="Cambria"/>
          <w:sz w:val="16"/>
          <w:szCs w:val="16"/>
          <w:lang w:val="es-ES"/>
        </w:rPr>
      </w:pPr>
      <w:r w:rsidRPr="002A6BD9">
        <w:rPr>
          <w:rStyle w:val="FootnoteReference"/>
          <w:rFonts w:ascii="Cambria" w:hAnsi="Cambria"/>
          <w:sz w:val="16"/>
          <w:szCs w:val="16"/>
        </w:rPr>
        <w:footnoteRef/>
      </w:r>
      <w:r w:rsidRPr="00777F4E">
        <w:rPr>
          <w:rFonts w:ascii="Cambria" w:hAnsi="Cambria"/>
          <w:sz w:val="16"/>
          <w:szCs w:val="16"/>
          <w:lang w:val="es-US"/>
        </w:rPr>
        <w:t xml:space="preserve"> </w:t>
      </w:r>
      <w:r w:rsidR="00FB509F" w:rsidRPr="00777F4E">
        <w:rPr>
          <w:rFonts w:ascii="Cambria" w:hAnsi="Cambria"/>
          <w:sz w:val="16"/>
          <w:szCs w:val="16"/>
          <w:lang w:val="es-US"/>
        </w:rPr>
        <w:t>CIDH</w:t>
      </w:r>
      <w:r w:rsidRPr="00777F4E">
        <w:rPr>
          <w:rFonts w:ascii="Cambria" w:hAnsi="Cambria"/>
          <w:sz w:val="16"/>
          <w:szCs w:val="16"/>
          <w:lang w:val="es-US"/>
        </w:rPr>
        <w:t xml:space="preserve">, </w:t>
      </w:r>
      <w:r w:rsidR="00FB509F" w:rsidRPr="00777F4E">
        <w:rPr>
          <w:rFonts w:ascii="Cambria" w:hAnsi="Cambria"/>
          <w:sz w:val="16"/>
          <w:szCs w:val="16"/>
          <w:lang w:val="es-US"/>
        </w:rPr>
        <w:t>Informe</w:t>
      </w:r>
      <w:r w:rsidRPr="00777F4E">
        <w:rPr>
          <w:rFonts w:ascii="Cambria" w:hAnsi="Cambria"/>
          <w:sz w:val="16"/>
          <w:szCs w:val="16"/>
          <w:lang w:val="es-US"/>
        </w:rPr>
        <w:t xml:space="preserve"> No. 18/12. </w:t>
      </w:r>
      <w:r w:rsidR="00FB509F" w:rsidRPr="00FB509F">
        <w:rPr>
          <w:rFonts w:ascii="Cambria" w:hAnsi="Cambria"/>
          <w:sz w:val="16"/>
          <w:szCs w:val="16"/>
          <w:lang w:val="es-ES"/>
        </w:rPr>
        <w:t>Petició</w:t>
      </w:r>
      <w:r w:rsidRPr="00FB509F">
        <w:rPr>
          <w:rFonts w:ascii="Cambria" w:hAnsi="Cambria"/>
          <w:sz w:val="16"/>
          <w:szCs w:val="16"/>
          <w:lang w:val="es-ES"/>
        </w:rPr>
        <w:t>n 161-06, Admis</w:t>
      </w:r>
      <w:r w:rsidR="00FB509F" w:rsidRPr="00FB509F">
        <w:rPr>
          <w:rFonts w:ascii="Cambria" w:hAnsi="Cambria"/>
          <w:sz w:val="16"/>
          <w:szCs w:val="16"/>
          <w:lang w:val="es-ES"/>
        </w:rPr>
        <w:t>ibilidad</w:t>
      </w:r>
      <w:r w:rsidRPr="00FB509F">
        <w:rPr>
          <w:rFonts w:ascii="Cambria" w:hAnsi="Cambria"/>
          <w:sz w:val="16"/>
          <w:szCs w:val="16"/>
          <w:lang w:val="es-ES"/>
        </w:rPr>
        <w:t xml:space="preserve">, </w:t>
      </w:r>
      <w:r w:rsidR="00FB509F" w:rsidRPr="00FB509F">
        <w:rPr>
          <w:rFonts w:ascii="Cambria" w:hAnsi="Cambria"/>
          <w:sz w:val="16"/>
          <w:szCs w:val="16"/>
          <w:lang w:val="es-ES"/>
        </w:rPr>
        <w:t>Adolescentes condenados a cadena perpetua sin libertad condicional</w:t>
      </w:r>
      <w:r w:rsidRPr="00FB509F">
        <w:rPr>
          <w:rFonts w:ascii="Cambria" w:hAnsi="Cambria"/>
          <w:sz w:val="16"/>
          <w:szCs w:val="16"/>
          <w:lang w:val="es-ES"/>
        </w:rPr>
        <w:t xml:space="preserve">, </w:t>
      </w:r>
      <w:r w:rsidR="00FB509F" w:rsidRPr="00FB509F">
        <w:rPr>
          <w:rFonts w:ascii="Cambria" w:hAnsi="Cambria"/>
          <w:sz w:val="16"/>
          <w:szCs w:val="16"/>
          <w:lang w:val="es-ES"/>
        </w:rPr>
        <w:t xml:space="preserve">Estados </w:t>
      </w:r>
      <w:r w:rsidRPr="00FB509F">
        <w:rPr>
          <w:rFonts w:ascii="Cambria" w:hAnsi="Cambria"/>
          <w:sz w:val="16"/>
          <w:szCs w:val="16"/>
          <w:lang w:val="es-ES"/>
        </w:rPr>
        <w:t>Uni</w:t>
      </w:r>
      <w:r w:rsidR="00FB509F">
        <w:rPr>
          <w:rFonts w:ascii="Cambria" w:hAnsi="Cambria"/>
          <w:sz w:val="16"/>
          <w:szCs w:val="16"/>
          <w:lang w:val="es-ES"/>
        </w:rPr>
        <w:t>dos</w:t>
      </w:r>
      <w:r w:rsidRPr="00FB509F">
        <w:rPr>
          <w:rFonts w:ascii="Cambria" w:hAnsi="Cambria"/>
          <w:sz w:val="16"/>
          <w:szCs w:val="16"/>
          <w:lang w:val="es-ES"/>
        </w:rPr>
        <w:t xml:space="preserve">, </w:t>
      </w:r>
      <w:r w:rsidR="00FB509F">
        <w:rPr>
          <w:rFonts w:ascii="Cambria" w:hAnsi="Cambria"/>
          <w:sz w:val="16"/>
          <w:szCs w:val="16"/>
          <w:lang w:val="es-ES"/>
        </w:rPr>
        <w:t>20 de marzo de 2012, párrafos 58-</w:t>
      </w:r>
      <w:r w:rsidRPr="00FB509F">
        <w:rPr>
          <w:rFonts w:ascii="Cambria" w:hAnsi="Cambria"/>
          <w:sz w:val="16"/>
          <w:szCs w:val="16"/>
          <w:lang w:val="es-ES"/>
        </w:rPr>
        <w:t>59.</w:t>
      </w:r>
      <w:r w:rsidR="00FB509F" w:rsidRPr="00FB509F">
        <w:rPr>
          <w:rFonts w:ascii="Cambria" w:hAnsi="Cambria"/>
          <w:sz w:val="16"/>
          <w:szCs w:val="16"/>
          <w:lang w:val="es-ES"/>
        </w:rPr>
        <w:t xml:space="preserve"> </w:t>
      </w:r>
    </w:p>
  </w:footnote>
  <w:footnote w:id="8">
    <w:p w:rsidR="000D205B" w:rsidRPr="00FB509F" w:rsidRDefault="000D205B" w:rsidP="004C23D6">
      <w:pPr>
        <w:pStyle w:val="FootnoteText"/>
        <w:jc w:val="both"/>
        <w:rPr>
          <w:rFonts w:ascii="Cambria" w:hAnsi="Cambria"/>
          <w:sz w:val="16"/>
          <w:szCs w:val="16"/>
          <w:lang w:val="es-ES"/>
        </w:rPr>
      </w:pPr>
      <w:r w:rsidRPr="002A6BD9">
        <w:rPr>
          <w:rStyle w:val="FootnoteReference"/>
          <w:rFonts w:ascii="Cambria" w:hAnsi="Cambria"/>
          <w:sz w:val="16"/>
          <w:szCs w:val="16"/>
        </w:rPr>
        <w:footnoteRef/>
      </w:r>
      <w:r w:rsidRPr="00FB509F">
        <w:rPr>
          <w:rFonts w:ascii="Cambria" w:hAnsi="Cambria"/>
          <w:sz w:val="16"/>
          <w:szCs w:val="16"/>
          <w:lang w:val="es-ES"/>
        </w:rPr>
        <w:t xml:space="preserve"> </w:t>
      </w:r>
      <w:r w:rsidR="00FB509F" w:rsidRPr="00FB509F">
        <w:rPr>
          <w:rFonts w:ascii="Cambria" w:hAnsi="Cambria"/>
          <w:sz w:val="16"/>
          <w:szCs w:val="16"/>
          <w:lang w:val="es-ES"/>
        </w:rPr>
        <w:t>CIDH</w:t>
      </w:r>
      <w:r w:rsidRPr="00FB509F">
        <w:rPr>
          <w:rFonts w:ascii="Cambria" w:hAnsi="Cambria"/>
          <w:sz w:val="16"/>
          <w:szCs w:val="16"/>
          <w:lang w:val="es-ES"/>
        </w:rPr>
        <w:t xml:space="preserve">, </w:t>
      </w:r>
      <w:r w:rsidR="00FB509F" w:rsidRPr="00FB509F">
        <w:rPr>
          <w:rFonts w:ascii="Cambria" w:hAnsi="Cambria"/>
          <w:sz w:val="16"/>
          <w:szCs w:val="16"/>
          <w:lang w:val="es-ES"/>
        </w:rPr>
        <w:t>Informe 17/12, Petició</w:t>
      </w:r>
      <w:r w:rsidRPr="00FB509F">
        <w:rPr>
          <w:rFonts w:ascii="Cambria" w:hAnsi="Cambria"/>
          <w:sz w:val="16"/>
          <w:szCs w:val="16"/>
          <w:lang w:val="es-ES"/>
        </w:rPr>
        <w:t xml:space="preserve">n 900-08, </w:t>
      </w:r>
      <w:proofErr w:type="spellStart"/>
      <w:r w:rsidRPr="00FB509F">
        <w:rPr>
          <w:rFonts w:ascii="Cambria" w:hAnsi="Cambria"/>
          <w:sz w:val="16"/>
          <w:szCs w:val="16"/>
          <w:lang w:val="es-ES"/>
        </w:rPr>
        <w:t>Djamel</w:t>
      </w:r>
      <w:proofErr w:type="spellEnd"/>
      <w:r w:rsidRPr="00FB509F">
        <w:rPr>
          <w:rFonts w:ascii="Cambria" w:hAnsi="Cambria"/>
          <w:sz w:val="16"/>
          <w:szCs w:val="16"/>
          <w:lang w:val="es-ES"/>
        </w:rPr>
        <w:t xml:space="preserve"> </w:t>
      </w:r>
      <w:proofErr w:type="spellStart"/>
      <w:r w:rsidRPr="00FB509F">
        <w:rPr>
          <w:rFonts w:ascii="Cambria" w:hAnsi="Cambria"/>
          <w:sz w:val="16"/>
          <w:szCs w:val="16"/>
          <w:lang w:val="es-ES"/>
        </w:rPr>
        <w:t>Ameziane</w:t>
      </w:r>
      <w:proofErr w:type="spellEnd"/>
      <w:r w:rsidRPr="00FB509F">
        <w:rPr>
          <w:rFonts w:ascii="Cambria" w:hAnsi="Cambria"/>
          <w:sz w:val="16"/>
          <w:szCs w:val="16"/>
          <w:lang w:val="es-ES"/>
        </w:rPr>
        <w:t xml:space="preserve"> (</w:t>
      </w:r>
      <w:r w:rsidR="00FB509F" w:rsidRPr="00FB509F">
        <w:rPr>
          <w:rFonts w:ascii="Cambria" w:hAnsi="Cambria"/>
          <w:sz w:val="16"/>
          <w:szCs w:val="16"/>
          <w:lang w:val="es-ES"/>
        </w:rPr>
        <w:t>Estados Unidos</w:t>
      </w:r>
      <w:r w:rsidRPr="00FB509F">
        <w:rPr>
          <w:rFonts w:ascii="Cambria" w:hAnsi="Cambria"/>
          <w:sz w:val="16"/>
          <w:szCs w:val="16"/>
          <w:lang w:val="es-ES"/>
        </w:rPr>
        <w:t>), 20</w:t>
      </w:r>
      <w:r w:rsidR="00FB509F">
        <w:rPr>
          <w:rFonts w:ascii="Cambria" w:hAnsi="Cambria"/>
          <w:sz w:val="16"/>
          <w:szCs w:val="16"/>
          <w:lang w:val="es-ES"/>
        </w:rPr>
        <w:t xml:space="preserve"> de marzo de 2012, párrafo</w:t>
      </w:r>
      <w:r w:rsidRPr="00FB509F">
        <w:rPr>
          <w:rFonts w:ascii="Cambria" w:hAnsi="Cambria"/>
          <w:sz w:val="16"/>
          <w:szCs w:val="16"/>
          <w:lang w:val="es-ES"/>
        </w:rPr>
        <w:t xml:space="preserve"> 30; </w:t>
      </w:r>
      <w:r w:rsidR="00FB509F">
        <w:rPr>
          <w:rFonts w:ascii="Cambria" w:hAnsi="Cambria"/>
          <w:sz w:val="16"/>
          <w:szCs w:val="16"/>
          <w:lang w:val="es-ES"/>
        </w:rPr>
        <w:t>CIDH</w:t>
      </w:r>
      <w:r w:rsidRPr="00FB509F">
        <w:rPr>
          <w:rFonts w:ascii="Cambria" w:hAnsi="Cambria"/>
          <w:sz w:val="16"/>
          <w:szCs w:val="16"/>
          <w:lang w:val="es-ES"/>
        </w:rPr>
        <w:t xml:space="preserve">, </w:t>
      </w:r>
      <w:r w:rsidR="00FB509F">
        <w:rPr>
          <w:rFonts w:ascii="Cambria" w:hAnsi="Cambria"/>
          <w:sz w:val="16"/>
          <w:szCs w:val="16"/>
          <w:lang w:val="es-ES"/>
        </w:rPr>
        <w:t>Informe</w:t>
      </w:r>
      <w:r w:rsidRPr="00FB509F">
        <w:rPr>
          <w:rFonts w:ascii="Cambria" w:hAnsi="Cambria"/>
          <w:sz w:val="16"/>
          <w:szCs w:val="16"/>
          <w:lang w:val="es-ES"/>
        </w:rPr>
        <w:t xml:space="preserve"> No. 109/99, Case 10.951 </w:t>
      </w:r>
      <w:proofErr w:type="spellStart"/>
      <w:r w:rsidRPr="00FB509F">
        <w:rPr>
          <w:rFonts w:ascii="Cambria" w:hAnsi="Cambria"/>
          <w:sz w:val="16"/>
          <w:szCs w:val="16"/>
          <w:lang w:val="es-ES"/>
        </w:rPr>
        <w:t>Coard</w:t>
      </w:r>
      <w:proofErr w:type="spellEnd"/>
      <w:r w:rsidRPr="00FB509F">
        <w:rPr>
          <w:rFonts w:ascii="Cambria" w:hAnsi="Cambria"/>
          <w:sz w:val="16"/>
          <w:szCs w:val="16"/>
          <w:lang w:val="es-ES"/>
        </w:rPr>
        <w:t xml:space="preserve"> </w:t>
      </w:r>
      <w:r w:rsidR="00FB509F">
        <w:rPr>
          <w:rFonts w:ascii="Cambria" w:hAnsi="Cambria"/>
          <w:sz w:val="16"/>
          <w:szCs w:val="16"/>
          <w:lang w:val="es-ES"/>
        </w:rPr>
        <w:t>y otros</w:t>
      </w:r>
      <w:r w:rsidRPr="00FB509F">
        <w:rPr>
          <w:rFonts w:ascii="Cambria" w:hAnsi="Cambria"/>
          <w:sz w:val="16"/>
          <w:szCs w:val="16"/>
          <w:lang w:val="es-ES"/>
        </w:rPr>
        <w:t xml:space="preserve">, </w:t>
      </w:r>
      <w:r w:rsidR="00FB509F">
        <w:rPr>
          <w:rFonts w:ascii="Cambria" w:hAnsi="Cambria"/>
          <w:sz w:val="16"/>
          <w:szCs w:val="16"/>
          <w:lang w:val="es-ES"/>
        </w:rPr>
        <w:t>Estados Unidos</w:t>
      </w:r>
      <w:r w:rsidRPr="00FB509F">
        <w:rPr>
          <w:rFonts w:ascii="Cambria" w:hAnsi="Cambria"/>
          <w:sz w:val="16"/>
          <w:szCs w:val="16"/>
          <w:lang w:val="es-ES"/>
        </w:rPr>
        <w:t xml:space="preserve">, </w:t>
      </w:r>
      <w:r w:rsidR="00FB509F">
        <w:rPr>
          <w:rFonts w:ascii="Cambria" w:hAnsi="Cambria"/>
          <w:sz w:val="16"/>
          <w:szCs w:val="16"/>
          <w:lang w:val="es-ES"/>
        </w:rPr>
        <w:t>Fondo</w:t>
      </w:r>
      <w:r w:rsidRPr="00FB509F">
        <w:rPr>
          <w:rFonts w:ascii="Cambria" w:hAnsi="Cambria"/>
          <w:sz w:val="16"/>
          <w:szCs w:val="16"/>
          <w:lang w:val="es-ES"/>
        </w:rPr>
        <w:t>, 29</w:t>
      </w:r>
      <w:r w:rsidR="00FB509F">
        <w:rPr>
          <w:rFonts w:ascii="Cambria" w:hAnsi="Cambria"/>
          <w:sz w:val="16"/>
          <w:szCs w:val="16"/>
          <w:lang w:val="es-ES"/>
        </w:rPr>
        <w:t xml:space="preserve"> de septiembre de</w:t>
      </w:r>
      <w:r w:rsidRPr="00FB509F">
        <w:rPr>
          <w:rFonts w:ascii="Cambria" w:hAnsi="Cambria"/>
          <w:sz w:val="16"/>
          <w:szCs w:val="16"/>
          <w:lang w:val="es-ES"/>
        </w:rPr>
        <w:t xml:space="preserve"> 1999, p</w:t>
      </w:r>
      <w:r w:rsidR="00FB509F">
        <w:rPr>
          <w:rFonts w:ascii="Cambria" w:hAnsi="Cambria"/>
          <w:sz w:val="16"/>
          <w:szCs w:val="16"/>
          <w:lang w:val="es-ES"/>
        </w:rPr>
        <w:t>árrafo</w:t>
      </w:r>
      <w:r w:rsidRPr="00FB509F">
        <w:rPr>
          <w:rFonts w:ascii="Cambria" w:hAnsi="Cambria"/>
          <w:sz w:val="16"/>
          <w:szCs w:val="16"/>
          <w:lang w:val="es-ES"/>
        </w:rPr>
        <w:t xml:space="preserve"> </w:t>
      </w:r>
      <w:r w:rsidRPr="002A6BD9">
        <w:rPr>
          <w:rFonts w:ascii="Cambria" w:hAnsi="Cambria"/>
          <w:sz w:val="16"/>
          <w:szCs w:val="16"/>
          <w:lang w:val="es-VE"/>
        </w:rPr>
        <w:t xml:space="preserve">37; </w:t>
      </w:r>
      <w:r w:rsidR="00FB509F">
        <w:rPr>
          <w:rFonts w:ascii="Cambria" w:hAnsi="Cambria"/>
          <w:sz w:val="16"/>
          <w:szCs w:val="16"/>
          <w:lang w:val="es-VE"/>
        </w:rPr>
        <w:t>CIDH</w:t>
      </w:r>
      <w:r w:rsidRPr="002A6BD9">
        <w:rPr>
          <w:rFonts w:ascii="Cambria" w:hAnsi="Cambria"/>
          <w:sz w:val="16"/>
          <w:szCs w:val="16"/>
          <w:lang w:val="es-VE"/>
        </w:rPr>
        <w:t xml:space="preserve">, </w:t>
      </w:r>
      <w:r w:rsidR="00FB509F">
        <w:rPr>
          <w:rFonts w:ascii="Cambria" w:hAnsi="Cambria"/>
          <w:sz w:val="16"/>
          <w:szCs w:val="16"/>
          <w:lang w:val="es-VE"/>
        </w:rPr>
        <w:t>Informe</w:t>
      </w:r>
      <w:r w:rsidRPr="002A6BD9">
        <w:rPr>
          <w:rFonts w:ascii="Cambria" w:hAnsi="Cambria"/>
          <w:sz w:val="16"/>
          <w:szCs w:val="16"/>
          <w:lang w:val="es-VE"/>
        </w:rPr>
        <w:t xml:space="preserve"> No. 86/99, Cas</w:t>
      </w:r>
      <w:r w:rsidR="00FB509F">
        <w:rPr>
          <w:rFonts w:ascii="Cambria" w:hAnsi="Cambria"/>
          <w:sz w:val="16"/>
          <w:szCs w:val="16"/>
          <w:lang w:val="es-VE"/>
        </w:rPr>
        <w:t>o</w:t>
      </w:r>
      <w:r w:rsidRPr="002A6BD9">
        <w:rPr>
          <w:rFonts w:ascii="Cambria" w:hAnsi="Cambria"/>
          <w:sz w:val="16"/>
          <w:szCs w:val="16"/>
          <w:lang w:val="es-VE"/>
        </w:rPr>
        <w:t xml:space="preserve"> 11.589 Armando </w:t>
      </w:r>
      <w:proofErr w:type="spellStart"/>
      <w:r w:rsidRPr="002A6BD9">
        <w:rPr>
          <w:rFonts w:ascii="Cambria" w:hAnsi="Cambria"/>
          <w:sz w:val="16"/>
          <w:szCs w:val="16"/>
          <w:lang w:val="es-VE"/>
        </w:rPr>
        <w:t>Alejandre</w:t>
      </w:r>
      <w:proofErr w:type="spellEnd"/>
      <w:r w:rsidRPr="002A6BD9">
        <w:rPr>
          <w:rFonts w:ascii="Cambria" w:hAnsi="Cambria"/>
          <w:sz w:val="16"/>
          <w:szCs w:val="16"/>
          <w:lang w:val="es-VE"/>
        </w:rPr>
        <w:t xml:space="preserve"> Jr., Carlos Costa, Mario de la Peña y Pablo Morales, Cuba, 29</w:t>
      </w:r>
      <w:r w:rsidR="00FB509F">
        <w:rPr>
          <w:rFonts w:ascii="Cambria" w:hAnsi="Cambria"/>
          <w:sz w:val="16"/>
          <w:szCs w:val="16"/>
          <w:lang w:val="es-VE"/>
        </w:rPr>
        <w:t xml:space="preserve"> de septiembre de</w:t>
      </w:r>
      <w:r w:rsidRPr="002A6BD9">
        <w:rPr>
          <w:rFonts w:ascii="Cambria" w:hAnsi="Cambria"/>
          <w:sz w:val="16"/>
          <w:szCs w:val="16"/>
          <w:lang w:val="es-VE"/>
        </w:rPr>
        <w:t xml:space="preserve"> 1999, </w:t>
      </w:r>
      <w:r w:rsidR="00FB509F">
        <w:rPr>
          <w:rFonts w:ascii="Cambria" w:hAnsi="Cambria"/>
          <w:sz w:val="16"/>
          <w:szCs w:val="16"/>
          <w:lang w:val="es-ES"/>
        </w:rPr>
        <w:t>párrafo</w:t>
      </w:r>
      <w:r w:rsidRPr="002A6BD9">
        <w:rPr>
          <w:rFonts w:ascii="Cambria" w:hAnsi="Cambria"/>
          <w:sz w:val="16"/>
          <w:szCs w:val="16"/>
          <w:lang w:val="es-VE"/>
        </w:rPr>
        <w:t xml:space="preserve"> </w:t>
      </w:r>
      <w:r w:rsidRPr="00FB509F">
        <w:rPr>
          <w:rFonts w:ascii="Cambria" w:hAnsi="Cambria"/>
          <w:sz w:val="16"/>
          <w:szCs w:val="16"/>
          <w:lang w:val="es-ES"/>
        </w:rPr>
        <w:t xml:space="preserve">23.  </w:t>
      </w:r>
    </w:p>
  </w:footnote>
  <w:footnote w:id="9">
    <w:p w:rsidR="000D205B" w:rsidRPr="00FB509F" w:rsidRDefault="000D205B" w:rsidP="004C23D6">
      <w:pPr>
        <w:pStyle w:val="FootnoteText"/>
        <w:jc w:val="both"/>
        <w:rPr>
          <w:rFonts w:ascii="Cambria" w:hAnsi="Cambria"/>
          <w:sz w:val="16"/>
          <w:szCs w:val="16"/>
          <w:lang w:val="es-ES"/>
        </w:rPr>
      </w:pPr>
      <w:r w:rsidRPr="002D043D">
        <w:rPr>
          <w:rStyle w:val="FootnoteReference"/>
          <w:rFonts w:ascii="Cambria" w:hAnsi="Cambria"/>
          <w:sz w:val="16"/>
          <w:szCs w:val="16"/>
        </w:rPr>
        <w:footnoteRef/>
      </w:r>
      <w:r w:rsidRPr="002D043D">
        <w:rPr>
          <w:rFonts w:ascii="Cambria" w:hAnsi="Cambria"/>
          <w:sz w:val="16"/>
          <w:szCs w:val="16"/>
          <w:lang w:val="es-ES"/>
        </w:rPr>
        <w:t xml:space="preserve"> </w:t>
      </w:r>
      <w:proofErr w:type="spellStart"/>
      <w:r w:rsidR="003B5E91" w:rsidRPr="002D043D">
        <w:rPr>
          <w:rFonts w:ascii="Cambria" w:hAnsi="Cambria"/>
          <w:sz w:val="16"/>
          <w:szCs w:val="16"/>
          <w:lang w:val="es-ES"/>
        </w:rPr>
        <w:t>CorteIDH</w:t>
      </w:r>
      <w:proofErr w:type="spellEnd"/>
      <w:r w:rsidR="003B5E91" w:rsidRPr="002D043D">
        <w:rPr>
          <w:rFonts w:ascii="Cambria" w:hAnsi="Cambria"/>
          <w:sz w:val="16"/>
          <w:szCs w:val="16"/>
          <w:lang w:val="es-ES"/>
        </w:rPr>
        <w:t>, Opinión Consultiva OC-10/89, 14 de julio de 1989, “Interpretación de la Declaración Americana de los Derechos y Deberes del Hombre en el marco del artículo 64 de la Convención Americana sobre Derechos Humanos”, Serie A No. 10., párrafos</w:t>
      </w:r>
      <w:r w:rsidRPr="002D043D">
        <w:rPr>
          <w:rFonts w:ascii="Cambria" w:hAnsi="Cambria"/>
          <w:sz w:val="16"/>
          <w:szCs w:val="16"/>
          <w:lang w:val="es-ES"/>
        </w:rPr>
        <w:t xml:space="preserve"> 43 – 46. </w:t>
      </w:r>
      <w:r w:rsidR="00FB509F" w:rsidRPr="002D043D">
        <w:rPr>
          <w:sz w:val="16"/>
          <w:szCs w:val="16"/>
          <w:lang w:val="es-ES"/>
        </w:rPr>
        <w:t>Además, Estados Unidos ha sido miembro de la Organización de los Estados Americanos desde 1951, fecha de depósito de su instrumento de ratificación de la Carta de la OEA. Por lo tanto, Estados Unidos está sometido a las obligaciones derivadas de la Carta de la OEA, el artículo 20 del Estatuto de la CIDH, la Declaración Americana de Derechos y Deberes del Hombre, y el artículo 51 de su Reglamento. Al respecto, de conformidad con el mandato otorgado por los Estad</w:t>
      </w:r>
      <w:r w:rsidR="000B5C18" w:rsidRPr="002D043D">
        <w:rPr>
          <w:sz w:val="16"/>
          <w:szCs w:val="16"/>
          <w:lang w:val="es-ES"/>
        </w:rPr>
        <w:t>os a la CIDH bajo el artículo 20</w:t>
      </w:r>
      <w:r w:rsidR="00FB509F" w:rsidRPr="002D043D">
        <w:rPr>
          <w:sz w:val="16"/>
          <w:szCs w:val="16"/>
          <w:lang w:val="es-ES"/>
        </w:rPr>
        <w:t xml:space="preserve"> de su Estatuto, la Comisión tiene la facultad, en relación con los Estados Miembros que no son parte de la Convención Americana sobre Derechos Humanos, de examinar las peticiones que se le presenten, así como de realizar recomendaciones a los Estados para alcanzar la efectiva observancia de los derechos humanos fundamentales.</w:t>
      </w:r>
      <w:r w:rsidR="00FB509F" w:rsidRPr="002D043D">
        <w:rPr>
          <w:rFonts w:ascii="Times New Roman" w:eastAsia="Arial Unicode MS" w:hAnsi="Times New Roman" w:cs="Times New Roman"/>
          <w:color w:val="auto"/>
          <w:sz w:val="24"/>
          <w:szCs w:val="24"/>
          <w:lang w:val="es-ES" w:eastAsia="en-US"/>
        </w:rPr>
        <w:t xml:space="preserve"> </w:t>
      </w:r>
      <w:r w:rsidR="00FB509F" w:rsidRPr="002D043D">
        <w:rPr>
          <w:sz w:val="16"/>
          <w:szCs w:val="16"/>
          <w:lang w:val="es-ES"/>
        </w:rPr>
        <w:t>Más aún, dadas las obligaciones básicas de derechos humanos establecidas en la Carta de la OEA, así como el mandato de la Comisión de monitorear el cumplimiento de los Estados Miembros con las obligaciones relativas a derechos humanos establecidas también en la Carta, los Estados Miembros de la OEA deben cumplir de</w:t>
      </w:r>
      <w:r w:rsidR="00FB509F" w:rsidRPr="002D043D">
        <w:rPr>
          <w:rFonts w:ascii="Times New Roman" w:eastAsia="Arial Unicode MS" w:hAnsi="Times New Roman" w:cs="Times New Roman"/>
          <w:color w:val="auto"/>
          <w:sz w:val="24"/>
          <w:szCs w:val="24"/>
          <w:lang w:val="es-ES" w:eastAsia="en-US"/>
        </w:rPr>
        <w:t xml:space="preserve"> </w:t>
      </w:r>
      <w:r w:rsidR="00FB509F" w:rsidRPr="002D043D">
        <w:rPr>
          <w:sz w:val="16"/>
          <w:szCs w:val="16"/>
          <w:lang w:val="es-ES"/>
        </w:rPr>
        <w:t>buena fe las recomendaciones de la Comisión.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05B" w:rsidRDefault="000D205B" w:rsidP="004C23D6">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D205B" w:rsidRDefault="000D2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05B" w:rsidRDefault="000D205B" w:rsidP="004C23D6">
    <w:pPr>
      <w:pStyle w:val="Header"/>
      <w:tabs>
        <w:tab w:val="clear" w:pos="4320"/>
        <w:tab w:val="clear" w:pos="8640"/>
      </w:tabs>
      <w:jc w:val="center"/>
      <w:rPr>
        <w:sz w:val="22"/>
        <w:szCs w:val="22"/>
      </w:rPr>
    </w:pPr>
    <w:r>
      <w:rPr>
        <w:noProof/>
        <w:sz w:val="22"/>
        <w:szCs w:val="22"/>
      </w:rPr>
      <w:drawing>
        <wp:inline distT="0" distB="0" distL="0" distR="0" wp14:anchorId="4190BEB8" wp14:editId="68F17561">
          <wp:extent cx="1972237" cy="104775"/>
          <wp:effectExtent l="0" t="0" r="9525" b="0"/>
          <wp:docPr id="33" name="Picture 3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D205B" w:rsidRPr="00EC7D62" w:rsidRDefault="0001483B" w:rsidP="004C23D6">
    <w:pPr>
      <w:pStyle w:val="Header"/>
      <w:tabs>
        <w:tab w:val="clear" w:pos="4320"/>
        <w:tab w:val="clear" w:pos="8640"/>
      </w:tabs>
      <w:jc w:val="center"/>
      <w:rPr>
        <w:sz w:val="22"/>
        <w:szCs w:val="22"/>
      </w:rPr>
    </w:pPr>
    <w:r>
      <w:rPr>
        <w:sz w:val="22"/>
        <w:szCs w:val="22"/>
      </w:rPr>
      <w:pict w14:anchorId="1F97BD4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56" w:rsidRDefault="00847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CEC6372"/>
    <w:multiLevelType w:val="multilevel"/>
    <w:tmpl w:val="A0E63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C44E8E32"/>
    <w:lvl w:ilvl="0" w:tplc="9C920B28">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7A36FA5"/>
    <w:multiLevelType w:val="hybridMultilevel"/>
    <w:tmpl w:val="C2643162"/>
    <w:lvl w:ilvl="0" w:tplc="8D06BB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B77B73"/>
    <w:multiLevelType w:val="multilevel"/>
    <w:tmpl w:val="786E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3"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B4410D"/>
    <w:multiLevelType w:val="hybridMultilevel"/>
    <w:tmpl w:val="328C8198"/>
    <w:lvl w:ilvl="0" w:tplc="EDF2DE2E">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6" w15:restartNumberingAfterBreak="0">
    <w:nsid w:val="3EC95928"/>
    <w:multiLevelType w:val="multilevel"/>
    <w:tmpl w:val="2A206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76B7C22"/>
    <w:multiLevelType w:val="hybridMultilevel"/>
    <w:tmpl w:val="274272F6"/>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128180F"/>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61902240"/>
    <w:multiLevelType w:val="multilevel"/>
    <w:tmpl w:val="3A7CEF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381127C"/>
    <w:multiLevelType w:val="hybridMultilevel"/>
    <w:tmpl w:val="D7520C72"/>
    <w:lvl w:ilvl="0" w:tplc="BE2E77F6">
      <w:start w:val="1"/>
      <w:numFmt w:val="decimal"/>
      <w:lvlText w:val="%1."/>
      <w:lvlJc w:val="left"/>
      <w:pPr>
        <w:tabs>
          <w:tab w:val="num" w:pos="720"/>
        </w:tabs>
        <w:ind w:left="0" w:firstLine="720"/>
      </w:pPr>
      <w:rPr>
        <w:rFonts w:ascii="Cambria" w:hAnsi="Cambria" w:hint="default"/>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63"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6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B41352"/>
    <w:multiLevelType w:val="multilevel"/>
    <w:tmpl w:val="E0106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73D3447F"/>
    <w:multiLevelType w:val="hybridMultilevel"/>
    <w:tmpl w:val="D1AEADBA"/>
    <w:lvl w:ilvl="0" w:tplc="23BAF08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7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3"/>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9"/>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4"/>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71"/>
  </w:num>
  <w:num w:numId="8">
    <w:abstractNumId w:val="26"/>
  </w:num>
  <w:num w:numId="9">
    <w:abstractNumId w:val="60"/>
  </w:num>
  <w:num w:numId="10">
    <w:abstractNumId w:val="19"/>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2"/>
  </w:num>
  <w:num w:numId="12">
    <w:abstractNumId w:val="69"/>
  </w:num>
  <w:num w:numId="13">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2"/>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5"/>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6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1"/>
  </w:num>
  <w:num w:numId="21">
    <w:abstractNumId w:val="4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8"/>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4"/>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5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7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7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7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2"/>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7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7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6"/>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7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50"/>
  </w:num>
  <w:num w:numId="53">
    <w:abstractNumId w:val="0"/>
  </w:num>
  <w:num w:numId="54">
    <w:abstractNumId w:val="45"/>
  </w:num>
  <w:num w:numId="55">
    <w:abstractNumId w:val="46"/>
  </w:num>
  <w:num w:numId="56">
    <w:abstractNumId w:val="53"/>
  </w:num>
  <w:num w:numId="57">
    <w:abstractNumId w:val="1"/>
  </w:num>
  <w:num w:numId="58">
    <w:abstractNumId w:val="2"/>
  </w:num>
  <w:num w:numId="59">
    <w:abstractNumId w:val="12"/>
  </w:num>
  <w:num w:numId="60">
    <w:abstractNumId w:val="13"/>
  </w:num>
  <w:num w:numId="61">
    <w:abstractNumId w:val="14"/>
  </w:num>
  <w:num w:numId="62">
    <w:abstractNumId w:val="15"/>
  </w:num>
  <w:num w:numId="63">
    <w:abstractNumId w:val="16"/>
  </w:num>
  <w:num w:numId="64">
    <w:abstractNumId w:val="18"/>
  </w:num>
  <w:num w:numId="65">
    <w:abstractNumId w:val="19"/>
  </w:num>
  <w:num w:numId="66">
    <w:abstractNumId w:val="20"/>
  </w:num>
  <w:num w:numId="67">
    <w:abstractNumId w:val="21"/>
  </w:num>
  <w:num w:numId="68">
    <w:abstractNumId w:val="23"/>
  </w:num>
  <w:num w:numId="69">
    <w:abstractNumId w:val="24"/>
  </w:num>
  <w:num w:numId="70">
    <w:abstractNumId w:val="27"/>
  </w:num>
  <w:num w:numId="71">
    <w:abstractNumId w:val="28"/>
  </w:num>
  <w:num w:numId="72">
    <w:abstractNumId w:val="29"/>
  </w:num>
  <w:num w:numId="73">
    <w:abstractNumId w:val="31"/>
  </w:num>
  <w:num w:numId="74">
    <w:abstractNumId w:val="33"/>
  </w:num>
  <w:num w:numId="75">
    <w:abstractNumId w:val="37"/>
  </w:num>
  <w:num w:numId="76">
    <w:abstractNumId w:val="38"/>
  </w:num>
  <w:num w:numId="77">
    <w:abstractNumId w:val="39"/>
  </w:num>
  <w:num w:numId="78">
    <w:abstractNumId w:val="40"/>
  </w:num>
  <w:num w:numId="79">
    <w:abstractNumId w:val="41"/>
  </w:num>
  <w:num w:numId="80">
    <w:abstractNumId w:val="42"/>
  </w:num>
  <w:num w:numId="81">
    <w:abstractNumId w:val="43"/>
  </w:num>
  <w:num w:numId="82">
    <w:abstractNumId w:val="47"/>
  </w:num>
  <w:num w:numId="83">
    <w:abstractNumId w:val="48"/>
  </w:num>
  <w:num w:numId="84">
    <w:abstractNumId w:val="56"/>
  </w:num>
  <w:num w:numId="85">
    <w:abstractNumId w:val="61"/>
  </w:num>
  <w:num w:numId="86">
    <w:abstractNumId w:val="64"/>
  </w:num>
  <w:num w:numId="87">
    <w:abstractNumId w:val="68"/>
  </w:num>
  <w:num w:numId="88">
    <w:abstractNumId w:val="70"/>
  </w:num>
  <w:num w:numId="89">
    <w:abstractNumId w:val="72"/>
  </w:num>
  <w:num w:numId="90">
    <w:abstractNumId w:val="73"/>
  </w:num>
  <w:num w:numId="91">
    <w:abstractNumId w:val="74"/>
  </w:num>
  <w:num w:numId="92">
    <w:abstractNumId w:val="75"/>
  </w:num>
  <w:num w:numId="93">
    <w:abstractNumId w:val="77"/>
  </w:num>
  <w:num w:numId="94">
    <w:abstractNumId w:val="25"/>
  </w:num>
  <w:num w:numId="95">
    <w:abstractNumId w:val="49"/>
  </w:num>
  <w:num w:numId="96">
    <w:abstractNumId w:val="65"/>
  </w:num>
  <w:num w:numId="97">
    <w:abstractNumId w:val="62"/>
  </w:num>
  <w:num w:numId="98">
    <w:abstractNumId w:val="54"/>
  </w:num>
  <w:num w:numId="99">
    <w:abstractNumId w:val="44"/>
  </w:num>
  <w:num w:numId="100">
    <w:abstractNumId w:val="3"/>
  </w:num>
  <w:num w:numId="101">
    <w:abstractNumId w:val="30"/>
  </w:num>
  <w:num w:numId="102">
    <w:abstractNumId w:val="58"/>
  </w:num>
  <w:num w:numId="103">
    <w:abstractNumId w:val="7"/>
  </w:num>
  <w:num w:numId="104">
    <w:abstractNumId w:val="76"/>
  </w:num>
  <w:num w:numId="105">
    <w:abstractNumId w:val="63"/>
  </w:num>
  <w:num w:numId="106">
    <w:abstractNumId w:val="4"/>
  </w:num>
  <w:num w:numId="107">
    <w:abstractNumId w:val="34"/>
  </w:num>
  <w:num w:numId="108">
    <w:abstractNumId w:val="17"/>
  </w:num>
  <w:num w:numId="109">
    <w:abstractNumId w:val="51"/>
  </w:num>
  <w:num w:numId="110">
    <w:abstractNumId w:val="55"/>
  </w:num>
  <w:num w:numId="111">
    <w:abstractNumId w:val="5"/>
  </w:num>
  <w:num w:numId="112">
    <w:abstractNumId w:val="66"/>
  </w:num>
  <w:num w:numId="113">
    <w:abstractNumId w:val="35"/>
  </w:num>
  <w:num w:numId="114">
    <w:abstractNumId w:val="10"/>
  </w:num>
  <w:num w:numId="115">
    <w:abstractNumId w:val="67"/>
  </w:num>
  <w:num w:numId="116">
    <w:abstractNumId w:val="9"/>
  </w:num>
  <w:num w:numId="117">
    <w:abstractNumId w:val="57"/>
  </w:num>
  <w:num w:numId="118">
    <w:abstractNumId w:val="36"/>
  </w:num>
  <w:num w:numId="119">
    <w:abstractNumId w:val="52"/>
  </w:num>
  <w:num w:numId="120">
    <w:abstractNumId w:val="5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04F"/>
    <w:rsid w:val="00006E1F"/>
    <w:rsid w:val="000070D7"/>
    <w:rsid w:val="000118E1"/>
    <w:rsid w:val="0001483B"/>
    <w:rsid w:val="000155E2"/>
    <w:rsid w:val="0001599B"/>
    <w:rsid w:val="00017077"/>
    <w:rsid w:val="0001788C"/>
    <w:rsid w:val="0002149D"/>
    <w:rsid w:val="000242E8"/>
    <w:rsid w:val="000254A1"/>
    <w:rsid w:val="0002571A"/>
    <w:rsid w:val="00026F6B"/>
    <w:rsid w:val="000272F4"/>
    <w:rsid w:val="00032611"/>
    <w:rsid w:val="00032DA8"/>
    <w:rsid w:val="000337EF"/>
    <w:rsid w:val="00034C03"/>
    <w:rsid w:val="00040C3A"/>
    <w:rsid w:val="000419AD"/>
    <w:rsid w:val="000433C9"/>
    <w:rsid w:val="00045070"/>
    <w:rsid w:val="00045A48"/>
    <w:rsid w:val="000507B9"/>
    <w:rsid w:val="000523C6"/>
    <w:rsid w:val="00052F37"/>
    <w:rsid w:val="00054941"/>
    <w:rsid w:val="00064A9D"/>
    <w:rsid w:val="00067B31"/>
    <w:rsid w:val="0007009B"/>
    <w:rsid w:val="00071067"/>
    <w:rsid w:val="000716C5"/>
    <w:rsid w:val="00071DD0"/>
    <w:rsid w:val="00073766"/>
    <w:rsid w:val="00075E23"/>
    <w:rsid w:val="000803AC"/>
    <w:rsid w:val="000826DC"/>
    <w:rsid w:val="00083999"/>
    <w:rsid w:val="00085E2B"/>
    <w:rsid w:val="0009344A"/>
    <w:rsid w:val="00095DB6"/>
    <w:rsid w:val="000961CE"/>
    <w:rsid w:val="0009785E"/>
    <w:rsid w:val="000A15ED"/>
    <w:rsid w:val="000A1AD4"/>
    <w:rsid w:val="000A248B"/>
    <w:rsid w:val="000A392E"/>
    <w:rsid w:val="000A575F"/>
    <w:rsid w:val="000A7AD8"/>
    <w:rsid w:val="000A7EF9"/>
    <w:rsid w:val="000B4F8B"/>
    <w:rsid w:val="000B5C18"/>
    <w:rsid w:val="000C152D"/>
    <w:rsid w:val="000C2959"/>
    <w:rsid w:val="000C2C39"/>
    <w:rsid w:val="000D0563"/>
    <w:rsid w:val="000D05CB"/>
    <w:rsid w:val="000D0751"/>
    <w:rsid w:val="000D10DB"/>
    <w:rsid w:val="000D205B"/>
    <w:rsid w:val="000D2779"/>
    <w:rsid w:val="000D6780"/>
    <w:rsid w:val="000E098F"/>
    <w:rsid w:val="000E5EB5"/>
    <w:rsid w:val="000E67A7"/>
    <w:rsid w:val="000F35ED"/>
    <w:rsid w:val="000F3BB2"/>
    <w:rsid w:val="000F5F84"/>
    <w:rsid w:val="00100E67"/>
    <w:rsid w:val="001012EA"/>
    <w:rsid w:val="00101DB1"/>
    <w:rsid w:val="00107131"/>
    <w:rsid w:val="0010736F"/>
    <w:rsid w:val="00113478"/>
    <w:rsid w:val="00113F73"/>
    <w:rsid w:val="0011507B"/>
    <w:rsid w:val="001151FD"/>
    <w:rsid w:val="00121CC2"/>
    <w:rsid w:val="00125B63"/>
    <w:rsid w:val="00133EE5"/>
    <w:rsid w:val="00141032"/>
    <w:rsid w:val="001506EB"/>
    <w:rsid w:val="00150B24"/>
    <w:rsid w:val="00160A9F"/>
    <w:rsid w:val="00167A34"/>
    <w:rsid w:val="00170472"/>
    <w:rsid w:val="00172762"/>
    <w:rsid w:val="0017403B"/>
    <w:rsid w:val="0018079C"/>
    <w:rsid w:val="00180C98"/>
    <w:rsid w:val="00180E49"/>
    <w:rsid w:val="00180FA4"/>
    <w:rsid w:val="0018217E"/>
    <w:rsid w:val="00185BAD"/>
    <w:rsid w:val="00186A4C"/>
    <w:rsid w:val="001A3A7A"/>
    <w:rsid w:val="001A7870"/>
    <w:rsid w:val="001B3A00"/>
    <w:rsid w:val="001B5B5A"/>
    <w:rsid w:val="001B71EE"/>
    <w:rsid w:val="001B7D29"/>
    <w:rsid w:val="001B7D97"/>
    <w:rsid w:val="001C0284"/>
    <w:rsid w:val="001C1511"/>
    <w:rsid w:val="001C1B41"/>
    <w:rsid w:val="001C5D6D"/>
    <w:rsid w:val="001D394F"/>
    <w:rsid w:val="001D4687"/>
    <w:rsid w:val="001D65EF"/>
    <w:rsid w:val="001E1EDB"/>
    <w:rsid w:val="001E4921"/>
    <w:rsid w:val="001E49E7"/>
    <w:rsid w:val="001E5E77"/>
    <w:rsid w:val="001F3990"/>
    <w:rsid w:val="001F607C"/>
    <w:rsid w:val="001F7201"/>
    <w:rsid w:val="00203A62"/>
    <w:rsid w:val="00212110"/>
    <w:rsid w:val="002153D1"/>
    <w:rsid w:val="002169F8"/>
    <w:rsid w:val="00222428"/>
    <w:rsid w:val="00223529"/>
    <w:rsid w:val="00223A29"/>
    <w:rsid w:val="00224D23"/>
    <w:rsid w:val="002250A3"/>
    <w:rsid w:val="002333A7"/>
    <w:rsid w:val="00235217"/>
    <w:rsid w:val="00236CD4"/>
    <w:rsid w:val="00242D96"/>
    <w:rsid w:val="00242F4F"/>
    <w:rsid w:val="00244450"/>
    <w:rsid w:val="00246D1F"/>
    <w:rsid w:val="00247403"/>
    <w:rsid w:val="00247542"/>
    <w:rsid w:val="00247AF1"/>
    <w:rsid w:val="00252323"/>
    <w:rsid w:val="00253CBD"/>
    <w:rsid w:val="00253E11"/>
    <w:rsid w:val="00263B94"/>
    <w:rsid w:val="0026444A"/>
    <w:rsid w:val="002667F7"/>
    <w:rsid w:val="00266B61"/>
    <w:rsid w:val="0026712A"/>
    <w:rsid w:val="002677FF"/>
    <w:rsid w:val="002704DB"/>
    <w:rsid w:val="002724BD"/>
    <w:rsid w:val="00276D51"/>
    <w:rsid w:val="00282EA2"/>
    <w:rsid w:val="00285AB7"/>
    <w:rsid w:val="00287765"/>
    <w:rsid w:val="00290300"/>
    <w:rsid w:val="00294F1A"/>
    <w:rsid w:val="002A0AAE"/>
    <w:rsid w:val="002A115F"/>
    <w:rsid w:val="002A2E08"/>
    <w:rsid w:val="002A5820"/>
    <w:rsid w:val="002B0981"/>
    <w:rsid w:val="002B177F"/>
    <w:rsid w:val="002B29E9"/>
    <w:rsid w:val="002B40C8"/>
    <w:rsid w:val="002B4758"/>
    <w:rsid w:val="002B4FFF"/>
    <w:rsid w:val="002B7B52"/>
    <w:rsid w:val="002C3768"/>
    <w:rsid w:val="002C67DB"/>
    <w:rsid w:val="002D043D"/>
    <w:rsid w:val="002D1A5D"/>
    <w:rsid w:val="002D2047"/>
    <w:rsid w:val="002D233C"/>
    <w:rsid w:val="002D297F"/>
    <w:rsid w:val="002D2B26"/>
    <w:rsid w:val="002D6743"/>
    <w:rsid w:val="002D7842"/>
    <w:rsid w:val="002D7EA2"/>
    <w:rsid w:val="002E0CCF"/>
    <w:rsid w:val="002E187C"/>
    <w:rsid w:val="002E35D3"/>
    <w:rsid w:val="002E48F9"/>
    <w:rsid w:val="002F1561"/>
    <w:rsid w:val="00302733"/>
    <w:rsid w:val="003041D1"/>
    <w:rsid w:val="00306C4E"/>
    <w:rsid w:val="00314078"/>
    <w:rsid w:val="0031535D"/>
    <w:rsid w:val="003154A8"/>
    <w:rsid w:val="00315E94"/>
    <w:rsid w:val="00317DE7"/>
    <w:rsid w:val="003239B8"/>
    <w:rsid w:val="0033169F"/>
    <w:rsid w:val="0033276A"/>
    <w:rsid w:val="00333AC3"/>
    <w:rsid w:val="003401B7"/>
    <w:rsid w:val="0034147C"/>
    <w:rsid w:val="00343F22"/>
    <w:rsid w:val="00344977"/>
    <w:rsid w:val="00346C95"/>
    <w:rsid w:val="003503D5"/>
    <w:rsid w:val="00354FBF"/>
    <w:rsid w:val="00356185"/>
    <w:rsid w:val="00360380"/>
    <w:rsid w:val="00363239"/>
    <w:rsid w:val="003648AC"/>
    <w:rsid w:val="00370348"/>
    <w:rsid w:val="0037519E"/>
    <w:rsid w:val="00382F0D"/>
    <w:rsid w:val="00383425"/>
    <w:rsid w:val="0038617A"/>
    <w:rsid w:val="00386CF0"/>
    <w:rsid w:val="003918CD"/>
    <w:rsid w:val="00393A1E"/>
    <w:rsid w:val="00396ED4"/>
    <w:rsid w:val="003A19C7"/>
    <w:rsid w:val="003A75C5"/>
    <w:rsid w:val="003B3116"/>
    <w:rsid w:val="003B4D3E"/>
    <w:rsid w:val="003B5524"/>
    <w:rsid w:val="003B5E91"/>
    <w:rsid w:val="003B70FB"/>
    <w:rsid w:val="003C1CD7"/>
    <w:rsid w:val="003C23B9"/>
    <w:rsid w:val="003C3A39"/>
    <w:rsid w:val="003C5B92"/>
    <w:rsid w:val="003C676B"/>
    <w:rsid w:val="003D26F7"/>
    <w:rsid w:val="003D3BC2"/>
    <w:rsid w:val="003E4F64"/>
    <w:rsid w:val="003E6CA1"/>
    <w:rsid w:val="003E74E3"/>
    <w:rsid w:val="003E7FD5"/>
    <w:rsid w:val="003F1E0B"/>
    <w:rsid w:val="003F40FB"/>
    <w:rsid w:val="003F598E"/>
    <w:rsid w:val="004005AB"/>
    <w:rsid w:val="00405139"/>
    <w:rsid w:val="004065A8"/>
    <w:rsid w:val="00412BC5"/>
    <w:rsid w:val="0041397A"/>
    <w:rsid w:val="0041516D"/>
    <w:rsid w:val="004165C2"/>
    <w:rsid w:val="0041799B"/>
    <w:rsid w:val="00421BAD"/>
    <w:rsid w:val="00421D1F"/>
    <w:rsid w:val="0042359E"/>
    <w:rsid w:val="0043018E"/>
    <w:rsid w:val="004301E2"/>
    <w:rsid w:val="004301FA"/>
    <w:rsid w:val="00430FD7"/>
    <w:rsid w:val="00433273"/>
    <w:rsid w:val="00433C40"/>
    <w:rsid w:val="00441ECB"/>
    <w:rsid w:val="00442945"/>
    <w:rsid w:val="004436BE"/>
    <w:rsid w:val="00445193"/>
    <w:rsid w:val="004514C6"/>
    <w:rsid w:val="00460534"/>
    <w:rsid w:val="00462C1B"/>
    <w:rsid w:val="0046748E"/>
    <w:rsid w:val="00467B7E"/>
    <w:rsid w:val="004725AC"/>
    <w:rsid w:val="00473BB4"/>
    <w:rsid w:val="00477592"/>
    <w:rsid w:val="00481F51"/>
    <w:rsid w:val="00486F1C"/>
    <w:rsid w:val="00486FDA"/>
    <w:rsid w:val="00493B8F"/>
    <w:rsid w:val="0049419D"/>
    <w:rsid w:val="0049484B"/>
    <w:rsid w:val="004953C8"/>
    <w:rsid w:val="00496217"/>
    <w:rsid w:val="00496FB2"/>
    <w:rsid w:val="004A14D4"/>
    <w:rsid w:val="004A6111"/>
    <w:rsid w:val="004A6A54"/>
    <w:rsid w:val="004B05DC"/>
    <w:rsid w:val="004B0E00"/>
    <w:rsid w:val="004B11B4"/>
    <w:rsid w:val="004B5F70"/>
    <w:rsid w:val="004B6D9D"/>
    <w:rsid w:val="004C13C9"/>
    <w:rsid w:val="004C170D"/>
    <w:rsid w:val="004C20D2"/>
    <w:rsid w:val="004C2312"/>
    <w:rsid w:val="004C23D6"/>
    <w:rsid w:val="004C4B62"/>
    <w:rsid w:val="004C4F2E"/>
    <w:rsid w:val="004C54C9"/>
    <w:rsid w:val="004C7E52"/>
    <w:rsid w:val="004D0C2F"/>
    <w:rsid w:val="004D40B3"/>
    <w:rsid w:val="004D462F"/>
    <w:rsid w:val="004D4ABA"/>
    <w:rsid w:val="004D5F38"/>
    <w:rsid w:val="004D6025"/>
    <w:rsid w:val="004E2649"/>
    <w:rsid w:val="004E396D"/>
    <w:rsid w:val="00501399"/>
    <w:rsid w:val="005015D7"/>
    <w:rsid w:val="00503283"/>
    <w:rsid w:val="00504512"/>
    <w:rsid w:val="0050633D"/>
    <w:rsid w:val="00507793"/>
    <w:rsid w:val="00507BC4"/>
    <w:rsid w:val="005128E4"/>
    <w:rsid w:val="005129AF"/>
    <w:rsid w:val="00512BE4"/>
    <w:rsid w:val="005133DB"/>
    <w:rsid w:val="00514564"/>
    <w:rsid w:val="00521052"/>
    <w:rsid w:val="0052442A"/>
    <w:rsid w:val="00525560"/>
    <w:rsid w:val="00526EA8"/>
    <w:rsid w:val="00533C68"/>
    <w:rsid w:val="0053683C"/>
    <w:rsid w:val="00542EE1"/>
    <w:rsid w:val="0054399E"/>
    <w:rsid w:val="00544C49"/>
    <w:rsid w:val="005516A1"/>
    <w:rsid w:val="005532D6"/>
    <w:rsid w:val="005537DC"/>
    <w:rsid w:val="00554561"/>
    <w:rsid w:val="005614C2"/>
    <w:rsid w:val="00563557"/>
    <w:rsid w:val="00563F13"/>
    <w:rsid w:val="005653DB"/>
    <w:rsid w:val="00566C6E"/>
    <w:rsid w:val="00567EBE"/>
    <w:rsid w:val="00570430"/>
    <w:rsid w:val="0057253F"/>
    <w:rsid w:val="0057402A"/>
    <w:rsid w:val="005771D0"/>
    <w:rsid w:val="00580812"/>
    <w:rsid w:val="00580B28"/>
    <w:rsid w:val="00584321"/>
    <w:rsid w:val="00586D41"/>
    <w:rsid w:val="00587C43"/>
    <w:rsid w:val="0059191A"/>
    <w:rsid w:val="005921FF"/>
    <w:rsid w:val="00596EBE"/>
    <w:rsid w:val="00596F00"/>
    <w:rsid w:val="005A019B"/>
    <w:rsid w:val="005A24ED"/>
    <w:rsid w:val="005A2949"/>
    <w:rsid w:val="005A6D0E"/>
    <w:rsid w:val="005B52B0"/>
    <w:rsid w:val="005B6806"/>
    <w:rsid w:val="005B6FD2"/>
    <w:rsid w:val="005C4225"/>
    <w:rsid w:val="005C5C6E"/>
    <w:rsid w:val="005C784E"/>
    <w:rsid w:val="005C7E58"/>
    <w:rsid w:val="005D07FA"/>
    <w:rsid w:val="005D6ABD"/>
    <w:rsid w:val="005E0A5A"/>
    <w:rsid w:val="005E4160"/>
    <w:rsid w:val="005F0DAD"/>
    <w:rsid w:val="005F0F33"/>
    <w:rsid w:val="005F51B5"/>
    <w:rsid w:val="00600DEB"/>
    <w:rsid w:val="00602081"/>
    <w:rsid w:val="00602839"/>
    <w:rsid w:val="00603582"/>
    <w:rsid w:val="00605665"/>
    <w:rsid w:val="006061FE"/>
    <w:rsid w:val="00611234"/>
    <w:rsid w:val="006141BA"/>
    <w:rsid w:val="006148D5"/>
    <w:rsid w:val="006200AC"/>
    <w:rsid w:val="0062050D"/>
    <w:rsid w:val="0062313A"/>
    <w:rsid w:val="00623F93"/>
    <w:rsid w:val="006255C9"/>
    <w:rsid w:val="00625CB5"/>
    <w:rsid w:val="006278AA"/>
    <w:rsid w:val="00627C9F"/>
    <w:rsid w:val="00630587"/>
    <w:rsid w:val="006311E9"/>
    <w:rsid w:val="00632354"/>
    <w:rsid w:val="006356A4"/>
    <w:rsid w:val="00641133"/>
    <w:rsid w:val="00642810"/>
    <w:rsid w:val="006433A3"/>
    <w:rsid w:val="006443F8"/>
    <w:rsid w:val="00644478"/>
    <w:rsid w:val="006457AC"/>
    <w:rsid w:val="00645AF5"/>
    <w:rsid w:val="006468FE"/>
    <w:rsid w:val="00646EB1"/>
    <w:rsid w:val="00652333"/>
    <w:rsid w:val="006576A3"/>
    <w:rsid w:val="00657D46"/>
    <w:rsid w:val="00657FB5"/>
    <w:rsid w:val="00663DE8"/>
    <w:rsid w:val="006660F9"/>
    <w:rsid w:val="0068009E"/>
    <w:rsid w:val="00681620"/>
    <w:rsid w:val="006816C2"/>
    <w:rsid w:val="006855CE"/>
    <w:rsid w:val="00686097"/>
    <w:rsid w:val="00687864"/>
    <w:rsid w:val="006906A8"/>
    <w:rsid w:val="00692219"/>
    <w:rsid w:val="00695AB0"/>
    <w:rsid w:val="00695FC2"/>
    <w:rsid w:val="006962D0"/>
    <w:rsid w:val="00697AC9"/>
    <w:rsid w:val="006A17D2"/>
    <w:rsid w:val="006A3F40"/>
    <w:rsid w:val="006A73E6"/>
    <w:rsid w:val="006B2D2E"/>
    <w:rsid w:val="006B2D5C"/>
    <w:rsid w:val="006C0EE2"/>
    <w:rsid w:val="006C1046"/>
    <w:rsid w:val="006C4DB9"/>
    <w:rsid w:val="006C4EB1"/>
    <w:rsid w:val="006C7ACD"/>
    <w:rsid w:val="006D0139"/>
    <w:rsid w:val="006D09FB"/>
    <w:rsid w:val="006D0D49"/>
    <w:rsid w:val="006D2E09"/>
    <w:rsid w:val="006D7679"/>
    <w:rsid w:val="006E0166"/>
    <w:rsid w:val="006E2F94"/>
    <w:rsid w:val="006E2FC8"/>
    <w:rsid w:val="006E2FFB"/>
    <w:rsid w:val="006E3CE7"/>
    <w:rsid w:val="006E6112"/>
    <w:rsid w:val="006E757E"/>
    <w:rsid w:val="006E7B34"/>
    <w:rsid w:val="006F3210"/>
    <w:rsid w:val="006F76FB"/>
    <w:rsid w:val="006F7C0B"/>
    <w:rsid w:val="007004A8"/>
    <w:rsid w:val="0070278C"/>
    <w:rsid w:val="00705571"/>
    <w:rsid w:val="0070697F"/>
    <w:rsid w:val="00707E7F"/>
    <w:rsid w:val="007114DD"/>
    <w:rsid w:val="0071467B"/>
    <w:rsid w:val="0071701C"/>
    <w:rsid w:val="00720E78"/>
    <w:rsid w:val="0072199C"/>
    <w:rsid w:val="00722C9F"/>
    <w:rsid w:val="007249F4"/>
    <w:rsid w:val="007253B8"/>
    <w:rsid w:val="0072601D"/>
    <w:rsid w:val="0073584F"/>
    <w:rsid w:val="0073741F"/>
    <w:rsid w:val="007455F6"/>
    <w:rsid w:val="00745BA8"/>
    <w:rsid w:val="00750AD5"/>
    <w:rsid w:val="00755FBA"/>
    <w:rsid w:val="00756ECA"/>
    <w:rsid w:val="00760794"/>
    <w:rsid w:val="00761027"/>
    <w:rsid w:val="007629DF"/>
    <w:rsid w:val="00765771"/>
    <w:rsid w:val="0076643F"/>
    <w:rsid w:val="007705F4"/>
    <w:rsid w:val="007737FC"/>
    <w:rsid w:val="00774C01"/>
    <w:rsid w:val="00776433"/>
    <w:rsid w:val="00777F4E"/>
    <w:rsid w:val="00777F63"/>
    <w:rsid w:val="007801CC"/>
    <w:rsid w:val="00780E4D"/>
    <w:rsid w:val="00781D37"/>
    <w:rsid w:val="00784EB3"/>
    <w:rsid w:val="00791490"/>
    <w:rsid w:val="00791B02"/>
    <w:rsid w:val="007970BE"/>
    <w:rsid w:val="007A44E0"/>
    <w:rsid w:val="007A5817"/>
    <w:rsid w:val="007A5983"/>
    <w:rsid w:val="007A616A"/>
    <w:rsid w:val="007A622D"/>
    <w:rsid w:val="007A6521"/>
    <w:rsid w:val="007A6634"/>
    <w:rsid w:val="007B05C4"/>
    <w:rsid w:val="007B0D17"/>
    <w:rsid w:val="007B128C"/>
    <w:rsid w:val="007B5C03"/>
    <w:rsid w:val="007B60E9"/>
    <w:rsid w:val="007B6CC3"/>
    <w:rsid w:val="007B76B5"/>
    <w:rsid w:val="007B76D3"/>
    <w:rsid w:val="007C3334"/>
    <w:rsid w:val="007C38E2"/>
    <w:rsid w:val="007D0BA1"/>
    <w:rsid w:val="007D2B98"/>
    <w:rsid w:val="007D3C27"/>
    <w:rsid w:val="007D78E2"/>
    <w:rsid w:val="007D7F56"/>
    <w:rsid w:val="007E21BC"/>
    <w:rsid w:val="007E4535"/>
    <w:rsid w:val="007E59FD"/>
    <w:rsid w:val="007E7C82"/>
    <w:rsid w:val="007F040B"/>
    <w:rsid w:val="007F193E"/>
    <w:rsid w:val="007F27C7"/>
    <w:rsid w:val="007F588D"/>
    <w:rsid w:val="00803F1C"/>
    <w:rsid w:val="0080600E"/>
    <w:rsid w:val="00807FA7"/>
    <w:rsid w:val="008114B5"/>
    <w:rsid w:val="00811EC9"/>
    <w:rsid w:val="00812795"/>
    <w:rsid w:val="00812C53"/>
    <w:rsid w:val="008137EC"/>
    <w:rsid w:val="00814BE1"/>
    <w:rsid w:val="00817612"/>
    <w:rsid w:val="008338A4"/>
    <w:rsid w:val="00834D49"/>
    <w:rsid w:val="00837C45"/>
    <w:rsid w:val="00844730"/>
    <w:rsid w:val="008457C2"/>
    <w:rsid w:val="00847C56"/>
    <w:rsid w:val="008509BB"/>
    <w:rsid w:val="008513CC"/>
    <w:rsid w:val="00857A82"/>
    <w:rsid w:val="008603BE"/>
    <w:rsid w:val="0086161A"/>
    <w:rsid w:val="00867C58"/>
    <w:rsid w:val="00870760"/>
    <w:rsid w:val="00871D59"/>
    <w:rsid w:val="00873836"/>
    <w:rsid w:val="00881F6C"/>
    <w:rsid w:val="00883817"/>
    <w:rsid w:val="00884B18"/>
    <w:rsid w:val="00885255"/>
    <w:rsid w:val="00885737"/>
    <w:rsid w:val="00890650"/>
    <w:rsid w:val="00894B47"/>
    <w:rsid w:val="0089527D"/>
    <w:rsid w:val="00895C1E"/>
    <w:rsid w:val="00897E12"/>
    <w:rsid w:val="008A1807"/>
    <w:rsid w:val="008A35CA"/>
    <w:rsid w:val="008A45B1"/>
    <w:rsid w:val="008A7E0F"/>
    <w:rsid w:val="008B12F5"/>
    <w:rsid w:val="008B1CD1"/>
    <w:rsid w:val="008B2723"/>
    <w:rsid w:val="008B3541"/>
    <w:rsid w:val="008D2999"/>
    <w:rsid w:val="008D768D"/>
    <w:rsid w:val="008E3759"/>
    <w:rsid w:val="008E3BFE"/>
    <w:rsid w:val="008E46BB"/>
    <w:rsid w:val="008E51B0"/>
    <w:rsid w:val="008E6804"/>
    <w:rsid w:val="008F1912"/>
    <w:rsid w:val="008F2219"/>
    <w:rsid w:val="008F7797"/>
    <w:rsid w:val="009003AC"/>
    <w:rsid w:val="0090270B"/>
    <w:rsid w:val="009041DC"/>
    <w:rsid w:val="009057DF"/>
    <w:rsid w:val="009072CD"/>
    <w:rsid w:val="009118E8"/>
    <w:rsid w:val="00912366"/>
    <w:rsid w:val="009139EE"/>
    <w:rsid w:val="00915580"/>
    <w:rsid w:val="009158BE"/>
    <w:rsid w:val="00916724"/>
    <w:rsid w:val="00917B5A"/>
    <w:rsid w:val="00920A58"/>
    <w:rsid w:val="00920A8C"/>
    <w:rsid w:val="00923566"/>
    <w:rsid w:val="00925E5A"/>
    <w:rsid w:val="00926B40"/>
    <w:rsid w:val="00926BA5"/>
    <w:rsid w:val="009303DE"/>
    <w:rsid w:val="00934A2C"/>
    <w:rsid w:val="00935E45"/>
    <w:rsid w:val="00940CE3"/>
    <w:rsid w:val="0094611F"/>
    <w:rsid w:val="00952935"/>
    <w:rsid w:val="00952C62"/>
    <w:rsid w:val="00953057"/>
    <w:rsid w:val="009551C3"/>
    <w:rsid w:val="009578A2"/>
    <w:rsid w:val="00960C37"/>
    <w:rsid w:val="00962680"/>
    <w:rsid w:val="00963DDA"/>
    <w:rsid w:val="009643E4"/>
    <w:rsid w:val="0096521F"/>
    <w:rsid w:val="0096706E"/>
    <w:rsid w:val="009736D3"/>
    <w:rsid w:val="00974491"/>
    <w:rsid w:val="00974A19"/>
    <w:rsid w:val="00974C7B"/>
    <w:rsid w:val="00974FAB"/>
    <w:rsid w:val="00975C4E"/>
    <w:rsid w:val="00977BC3"/>
    <w:rsid w:val="00980154"/>
    <w:rsid w:val="00981FBA"/>
    <w:rsid w:val="00997BC5"/>
    <w:rsid w:val="009A45AE"/>
    <w:rsid w:val="009A4F41"/>
    <w:rsid w:val="009B1BC0"/>
    <w:rsid w:val="009B381B"/>
    <w:rsid w:val="009B6647"/>
    <w:rsid w:val="009B6F26"/>
    <w:rsid w:val="009B7CC8"/>
    <w:rsid w:val="009C1C54"/>
    <w:rsid w:val="009C26D3"/>
    <w:rsid w:val="009C4019"/>
    <w:rsid w:val="009C412B"/>
    <w:rsid w:val="009C7FD6"/>
    <w:rsid w:val="009D0057"/>
    <w:rsid w:val="009D1753"/>
    <w:rsid w:val="009D7611"/>
    <w:rsid w:val="009E0B61"/>
    <w:rsid w:val="009E161E"/>
    <w:rsid w:val="009E2F8F"/>
    <w:rsid w:val="009E53DE"/>
    <w:rsid w:val="009E6A55"/>
    <w:rsid w:val="009F1D04"/>
    <w:rsid w:val="009F2AB9"/>
    <w:rsid w:val="009F3F6F"/>
    <w:rsid w:val="009F4448"/>
    <w:rsid w:val="009F4A43"/>
    <w:rsid w:val="00A00EDA"/>
    <w:rsid w:val="00A01511"/>
    <w:rsid w:val="00A048E6"/>
    <w:rsid w:val="00A10E4E"/>
    <w:rsid w:val="00A11212"/>
    <w:rsid w:val="00A11E44"/>
    <w:rsid w:val="00A13E60"/>
    <w:rsid w:val="00A23E7A"/>
    <w:rsid w:val="00A271C5"/>
    <w:rsid w:val="00A328B3"/>
    <w:rsid w:val="00A403E8"/>
    <w:rsid w:val="00A4536F"/>
    <w:rsid w:val="00A461F1"/>
    <w:rsid w:val="00A50FCF"/>
    <w:rsid w:val="00A528D1"/>
    <w:rsid w:val="00A52C33"/>
    <w:rsid w:val="00A55C3C"/>
    <w:rsid w:val="00A57870"/>
    <w:rsid w:val="00A610CD"/>
    <w:rsid w:val="00A634F1"/>
    <w:rsid w:val="00A64AB3"/>
    <w:rsid w:val="00A74206"/>
    <w:rsid w:val="00A758AA"/>
    <w:rsid w:val="00A77FAE"/>
    <w:rsid w:val="00A8144F"/>
    <w:rsid w:val="00A83F63"/>
    <w:rsid w:val="00A842B5"/>
    <w:rsid w:val="00A9230B"/>
    <w:rsid w:val="00A9642E"/>
    <w:rsid w:val="00A97ECE"/>
    <w:rsid w:val="00AA09A2"/>
    <w:rsid w:val="00AA0F7C"/>
    <w:rsid w:val="00AA1D7F"/>
    <w:rsid w:val="00AA4513"/>
    <w:rsid w:val="00AA6571"/>
    <w:rsid w:val="00AA7996"/>
    <w:rsid w:val="00AA7B48"/>
    <w:rsid w:val="00AB4BFC"/>
    <w:rsid w:val="00AB7FAB"/>
    <w:rsid w:val="00AC03F6"/>
    <w:rsid w:val="00AC0473"/>
    <w:rsid w:val="00AC0D77"/>
    <w:rsid w:val="00AC19CB"/>
    <w:rsid w:val="00AC3D34"/>
    <w:rsid w:val="00AD2115"/>
    <w:rsid w:val="00AE124E"/>
    <w:rsid w:val="00AE1F10"/>
    <w:rsid w:val="00AE5488"/>
    <w:rsid w:val="00AE6F91"/>
    <w:rsid w:val="00AE76E7"/>
    <w:rsid w:val="00AF1C2C"/>
    <w:rsid w:val="00AF2B2C"/>
    <w:rsid w:val="00AF5571"/>
    <w:rsid w:val="00B04C8A"/>
    <w:rsid w:val="00B06F89"/>
    <w:rsid w:val="00B07341"/>
    <w:rsid w:val="00B12445"/>
    <w:rsid w:val="00B12911"/>
    <w:rsid w:val="00B16F30"/>
    <w:rsid w:val="00B30539"/>
    <w:rsid w:val="00B314DB"/>
    <w:rsid w:val="00B32573"/>
    <w:rsid w:val="00B361F2"/>
    <w:rsid w:val="00B3718B"/>
    <w:rsid w:val="00B3745F"/>
    <w:rsid w:val="00B4281E"/>
    <w:rsid w:val="00B4632A"/>
    <w:rsid w:val="00B47424"/>
    <w:rsid w:val="00B52427"/>
    <w:rsid w:val="00B52772"/>
    <w:rsid w:val="00B530F1"/>
    <w:rsid w:val="00B563B6"/>
    <w:rsid w:val="00B62949"/>
    <w:rsid w:val="00B64627"/>
    <w:rsid w:val="00B64D2A"/>
    <w:rsid w:val="00B64DC9"/>
    <w:rsid w:val="00B67EA1"/>
    <w:rsid w:val="00B71904"/>
    <w:rsid w:val="00B84B4A"/>
    <w:rsid w:val="00B92C46"/>
    <w:rsid w:val="00B92FC5"/>
    <w:rsid w:val="00B96BE3"/>
    <w:rsid w:val="00BA276C"/>
    <w:rsid w:val="00BA49CD"/>
    <w:rsid w:val="00BA50A4"/>
    <w:rsid w:val="00BA5FF1"/>
    <w:rsid w:val="00BB306F"/>
    <w:rsid w:val="00BB5093"/>
    <w:rsid w:val="00BB6842"/>
    <w:rsid w:val="00BC4886"/>
    <w:rsid w:val="00BC5779"/>
    <w:rsid w:val="00BD32CA"/>
    <w:rsid w:val="00BD4B89"/>
    <w:rsid w:val="00BD5922"/>
    <w:rsid w:val="00BD7D66"/>
    <w:rsid w:val="00BE3B83"/>
    <w:rsid w:val="00BE6B3D"/>
    <w:rsid w:val="00BF02CB"/>
    <w:rsid w:val="00BF2590"/>
    <w:rsid w:val="00BF6FD8"/>
    <w:rsid w:val="00C03680"/>
    <w:rsid w:val="00C04219"/>
    <w:rsid w:val="00C054DF"/>
    <w:rsid w:val="00C077FD"/>
    <w:rsid w:val="00C12AC1"/>
    <w:rsid w:val="00C15688"/>
    <w:rsid w:val="00C21762"/>
    <w:rsid w:val="00C21FEF"/>
    <w:rsid w:val="00C22212"/>
    <w:rsid w:val="00C24543"/>
    <w:rsid w:val="00C253F6"/>
    <w:rsid w:val="00C256A2"/>
    <w:rsid w:val="00C26AA2"/>
    <w:rsid w:val="00C31B8C"/>
    <w:rsid w:val="00C40936"/>
    <w:rsid w:val="00C4242E"/>
    <w:rsid w:val="00C44FB7"/>
    <w:rsid w:val="00C465CA"/>
    <w:rsid w:val="00C51472"/>
    <w:rsid w:val="00C51515"/>
    <w:rsid w:val="00C55925"/>
    <w:rsid w:val="00C5660B"/>
    <w:rsid w:val="00C61698"/>
    <w:rsid w:val="00C665BA"/>
    <w:rsid w:val="00C66B72"/>
    <w:rsid w:val="00C737B9"/>
    <w:rsid w:val="00C75E0D"/>
    <w:rsid w:val="00C77343"/>
    <w:rsid w:val="00C87AC4"/>
    <w:rsid w:val="00C9520E"/>
    <w:rsid w:val="00C9567A"/>
    <w:rsid w:val="00CA3E31"/>
    <w:rsid w:val="00CA4663"/>
    <w:rsid w:val="00CA6D34"/>
    <w:rsid w:val="00CA6E43"/>
    <w:rsid w:val="00CB0272"/>
    <w:rsid w:val="00CB080A"/>
    <w:rsid w:val="00CB212D"/>
    <w:rsid w:val="00CB262D"/>
    <w:rsid w:val="00CB2660"/>
    <w:rsid w:val="00CB350D"/>
    <w:rsid w:val="00CB4177"/>
    <w:rsid w:val="00CB76FB"/>
    <w:rsid w:val="00CC4730"/>
    <w:rsid w:val="00CC5E90"/>
    <w:rsid w:val="00CD0101"/>
    <w:rsid w:val="00CD046C"/>
    <w:rsid w:val="00CD4207"/>
    <w:rsid w:val="00CE076C"/>
    <w:rsid w:val="00CE38E8"/>
    <w:rsid w:val="00CE415A"/>
    <w:rsid w:val="00CE5199"/>
    <w:rsid w:val="00CE66D5"/>
    <w:rsid w:val="00CF3A40"/>
    <w:rsid w:val="00CF637A"/>
    <w:rsid w:val="00CF775E"/>
    <w:rsid w:val="00D01AA1"/>
    <w:rsid w:val="00D03F1E"/>
    <w:rsid w:val="00D04BA0"/>
    <w:rsid w:val="00D050C9"/>
    <w:rsid w:val="00D059DE"/>
    <w:rsid w:val="00D05ABD"/>
    <w:rsid w:val="00D11EB4"/>
    <w:rsid w:val="00D13FCE"/>
    <w:rsid w:val="00D145EE"/>
    <w:rsid w:val="00D15D27"/>
    <w:rsid w:val="00D21EB7"/>
    <w:rsid w:val="00D23348"/>
    <w:rsid w:val="00D24183"/>
    <w:rsid w:val="00D26190"/>
    <w:rsid w:val="00D273BF"/>
    <w:rsid w:val="00D306D1"/>
    <w:rsid w:val="00D30800"/>
    <w:rsid w:val="00D30EAC"/>
    <w:rsid w:val="00D3260B"/>
    <w:rsid w:val="00D34786"/>
    <w:rsid w:val="00D37BFC"/>
    <w:rsid w:val="00D4067F"/>
    <w:rsid w:val="00D4331D"/>
    <w:rsid w:val="00D44552"/>
    <w:rsid w:val="00D44CE1"/>
    <w:rsid w:val="00D47A8E"/>
    <w:rsid w:val="00D511E5"/>
    <w:rsid w:val="00D52D14"/>
    <w:rsid w:val="00D61671"/>
    <w:rsid w:val="00D712D3"/>
    <w:rsid w:val="00D71422"/>
    <w:rsid w:val="00D72DC6"/>
    <w:rsid w:val="00D7558D"/>
    <w:rsid w:val="00D7562B"/>
    <w:rsid w:val="00D81D92"/>
    <w:rsid w:val="00D842F4"/>
    <w:rsid w:val="00D859EC"/>
    <w:rsid w:val="00D876F9"/>
    <w:rsid w:val="00D91D12"/>
    <w:rsid w:val="00D927A5"/>
    <w:rsid w:val="00DA3A37"/>
    <w:rsid w:val="00DA7B5F"/>
    <w:rsid w:val="00DB0EBD"/>
    <w:rsid w:val="00DB3DF3"/>
    <w:rsid w:val="00DB51E0"/>
    <w:rsid w:val="00DB5299"/>
    <w:rsid w:val="00DC11E7"/>
    <w:rsid w:val="00DC24E3"/>
    <w:rsid w:val="00DC4F11"/>
    <w:rsid w:val="00DC670E"/>
    <w:rsid w:val="00DC7023"/>
    <w:rsid w:val="00DC72EB"/>
    <w:rsid w:val="00DC769A"/>
    <w:rsid w:val="00DC7716"/>
    <w:rsid w:val="00DD3D86"/>
    <w:rsid w:val="00DD4AD2"/>
    <w:rsid w:val="00DD6539"/>
    <w:rsid w:val="00DE1805"/>
    <w:rsid w:val="00DF0E9E"/>
    <w:rsid w:val="00DF1E4D"/>
    <w:rsid w:val="00DF1EC4"/>
    <w:rsid w:val="00DF5DFF"/>
    <w:rsid w:val="00DF6224"/>
    <w:rsid w:val="00DF781C"/>
    <w:rsid w:val="00E0154B"/>
    <w:rsid w:val="00E0340B"/>
    <w:rsid w:val="00E04001"/>
    <w:rsid w:val="00E04A90"/>
    <w:rsid w:val="00E0551F"/>
    <w:rsid w:val="00E1340B"/>
    <w:rsid w:val="00E170D1"/>
    <w:rsid w:val="00E1730E"/>
    <w:rsid w:val="00E219C7"/>
    <w:rsid w:val="00E22ED7"/>
    <w:rsid w:val="00E347A7"/>
    <w:rsid w:val="00E3732B"/>
    <w:rsid w:val="00E408A6"/>
    <w:rsid w:val="00E4118C"/>
    <w:rsid w:val="00E41F7F"/>
    <w:rsid w:val="00E42FC1"/>
    <w:rsid w:val="00E43157"/>
    <w:rsid w:val="00E44965"/>
    <w:rsid w:val="00E44CB3"/>
    <w:rsid w:val="00E461CE"/>
    <w:rsid w:val="00E4788E"/>
    <w:rsid w:val="00E50718"/>
    <w:rsid w:val="00E543ED"/>
    <w:rsid w:val="00E54AFF"/>
    <w:rsid w:val="00E6158D"/>
    <w:rsid w:val="00E640F9"/>
    <w:rsid w:val="00E664EC"/>
    <w:rsid w:val="00E700C2"/>
    <w:rsid w:val="00E720CA"/>
    <w:rsid w:val="00E72FCE"/>
    <w:rsid w:val="00E72FE4"/>
    <w:rsid w:val="00E73021"/>
    <w:rsid w:val="00E733DD"/>
    <w:rsid w:val="00E74F7D"/>
    <w:rsid w:val="00E75206"/>
    <w:rsid w:val="00E75EEF"/>
    <w:rsid w:val="00E7637E"/>
    <w:rsid w:val="00E83488"/>
    <w:rsid w:val="00E84EB5"/>
    <w:rsid w:val="00E85662"/>
    <w:rsid w:val="00E862D0"/>
    <w:rsid w:val="00E870C7"/>
    <w:rsid w:val="00E8789F"/>
    <w:rsid w:val="00E92886"/>
    <w:rsid w:val="00E97B71"/>
    <w:rsid w:val="00E97F58"/>
    <w:rsid w:val="00EA1897"/>
    <w:rsid w:val="00EA3D34"/>
    <w:rsid w:val="00EB3AA2"/>
    <w:rsid w:val="00EB454D"/>
    <w:rsid w:val="00EC11E4"/>
    <w:rsid w:val="00EC2FA7"/>
    <w:rsid w:val="00EC3FD9"/>
    <w:rsid w:val="00EC71D6"/>
    <w:rsid w:val="00ED0646"/>
    <w:rsid w:val="00ED39BB"/>
    <w:rsid w:val="00ED549D"/>
    <w:rsid w:val="00ED65E4"/>
    <w:rsid w:val="00ED76BE"/>
    <w:rsid w:val="00ED7979"/>
    <w:rsid w:val="00EE00E9"/>
    <w:rsid w:val="00EE30DF"/>
    <w:rsid w:val="00EE31E8"/>
    <w:rsid w:val="00EF0BA9"/>
    <w:rsid w:val="00EF0CE8"/>
    <w:rsid w:val="00EF619B"/>
    <w:rsid w:val="00F006D5"/>
    <w:rsid w:val="00F00B55"/>
    <w:rsid w:val="00F02AD1"/>
    <w:rsid w:val="00F03664"/>
    <w:rsid w:val="00F03838"/>
    <w:rsid w:val="00F107B5"/>
    <w:rsid w:val="00F15D33"/>
    <w:rsid w:val="00F16A7B"/>
    <w:rsid w:val="00F23EB8"/>
    <w:rsid w:val="00F253CC"/>
    <w:rsid w:val="00F25889"/>
    <w:rsid w:val="00F32BF6"/>
    <w:rsid w:val="00F33433"/>
    <w:rsid w:val="00F34C52"/>
    <w:rsid w:val="00F37106"/>
    <w:rsid w:val="00F41D79"/>
    <w:rsid w:val="00F519CF"/>
    <w:rsid w:val="00F521B1"/>
    <w:rsid w:val="00F56801"/>
    <w:rsid w:val="00F56BA5"/>
    <w:rsid w:val="00F60E22"/>
    <w:rsid w:val="00F62596"/>
    <w:rsid w:val="00F6600A"/>
    <w:rsid w:val="00F700D1"/>
    <w:rsid w:val="00F72884"/>
    <w:rsid w:val="00F7307D"/>
    <w:rsid w:val="00F73130"/>
    <w:rsid w:val="00F80819"/>
    <w:rsid w:val="00F81395"/>
    <w:rsid w:val="00F81BB8"/>
    <w:rsid w:val="00F8725F"/>
    <w:rsid w:val="00F9126D"/>
    <w:rsid w:val="00F917D1"/>
    <w:rsid w:val="00F9653B"/>
    <w:rsid w:val="00FA34FA"/>
    <w:rsid w:val="00FA37BD"/>
    <w:rsid w:val="00FB0951"/>
    <w:rsid w:val="00FB2AE8"/>
    <w:rsid w:val="00FB509F"/>
    <w:rsid w:val="00FB59F6"/>
    <w:rsid w:val="00FB62CF"/>
    <w:rsid w:val="00FB6362"/>
    <w:rsid w:val="00FB6F1C"/>
    <w:rsid w:val="00FB77D7"/>
    <w:rsid w:val="00FC2551"/>
    <w:rsid w:val="00FD128F"/>
    <w:rsid w:val="00FD35C5"/>
    <w:rsid w:val="00FD3C3B"/>
    <w:rsid w:val="00FD4713"/>
    <w:rsid w:val="00FE07DD"/>
    <w:rsid w:val="00FE22DD"/>
    <w:rsid w:val="00FE576C"/>
    <w:rsid w:val="00FE6B40"/>
    <w:rsid w:val="00FE6B45"/>
    <w:rsid w:val="00FE6E7C"/>
    <w:rsid w:val="00FF080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7B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styleId="CommentReference">
    <w:name w:val="annotation reference"/>
    <w:basedOn w:val="DefaultParagraphFont"/>
    <w:uiPriority w:val="99"/>
    <w:semiHidden/>
    <w:unhideWhenUsed/>
    <w:rsid w:val="005614C2"/>
    <w:rPr>
      <w:sz w:val="16"/>
      <w:szCs w:val="16"/>
    </w:rPr>
  </w:style>
  <w:style w:type="paragraph" w:styleId="CommentText">
    <w:name w:val="annotation text"/>
    <w:basedOn w:val="Normal"/>
    <w:link w:val="CommentTextChar"/>
    <w:uiPriority w:val="99"/>
    <w:semiHidden/>
    <w:unhideWhenUsed/>
    <w:rsid w:val="005614C2"/>
    <w:rPr>
      <w:sz w:val="20"/>
      <w:szCs w:val="20"/>
    </w:rPr>
  </w:style>
  <w:style w:type="character" w:customStyle="1" w:styleId="CommentTextChar">
    <w:name w:val="Comment Text Char"/>
    <w:basedOn w:val="DefaultParagraphFont"/>
    <w:link w:val="CommentText"/>
    <w:uiPriority w:val="99"/>
    <w:semiHidden/>
    <w:rsid w:val="005614C2"/>
    <w:rPr>
      <w:lang w:val="en-US" w:eastAsia="en-US"/>
    </w:rPr>
  </w:style>
  <w:style w:type="paragraph" w:styleId="CommentSubject">
    <w:name w:val="annotation subject"/>
    <w:basedOn w:val="CommentText"/>
    <w:next w:val="CommentText"/>
    <w:link w:val="CommentSubjectChar"/>
    <w:uiPriority w:val="99"/>
    <w:semiHidden/>
    <w:unhideWhenUsed/>
    <w:rsid w:val="005614C2"/>
    <w:rPr>
      <w:b/>
      <w:bCs/>
    </w:rPr>
  </w:style>
  <w:style w:type="character" w:customStyle="1" w:styleId="CommentSubjectChar">
    <w:name w:val="Comment Subject Char"/>
    <w:basedOn w:val="CommentTextChar"/>
    <w:link w:val="CommentSubject"/>
    <w:uiPriority w:val="99"/>
    <w:semiHidden/>
    <w:rsid w:val="005614C2"/>
    <w:rPr>
      <w:b/>
      <w:bCs/>
      <w:lang w:val="en-US" w:eastAsia="en-US"/>
    </w:rPr>
  </w:style>
  <w:style w:type="paragraph" w:styleId="Revision">
    <w:name w:val="Revision"/>
    <w:hidden/>
    <w:uiPriority w:val="99"/>
    <w:semiHidden/>
    <w:rsid w:val="00B4281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EndnoteReference">
    <w:name w:val="endnote reference"/>
    <w:basedOn w:val="DefaultParagraphFont"/>
    <w:uiPriority w:val="99"/>
    <w:semiHidden/>
    <w:unhideWhenUsed/>
    <w:rsid w:val="001C5D6D"/>
    <w:rPr>
      <w:vertAlign w:val="superscript"/>
    </w:rPr>
  </w:style>
  <w:style w:type="character" w:styleId="FollowedHyperlink">
    <w:name w:val="FollowedHyperlink"/>
    <w:basedOn w:val="DefaultParagraphFont"/>
    <w:uiPriority w:val="99"/>
    <w:semiHidden/>
    <w:unhideWhenUsed/>
    <w:rsid w:val="00FA3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078">
      <w:bodyDiv w:val="1"/>
      <w:marLeft w:val="0"/>
      <w:marRight w:val="0"/>
      <w:marTop w:val="0"/>
      <w:marBottom w:val="0"/>
      <w:divBdr>
        <w:top w:val="none" w:sz="0" w:space="0" w:color="auto"/>
        <w:left w:val="none" w:sz="0" w:space="0" w:color="auto"/>
        <w:bottom w:val="none" w:sz="0" w:space="0" w:color="auto"/>
        <w:right w:val="none" w:sz="0" w:space="0" w:color="auto"/>
      </w:divBdr>
    </w:div>
    <w:div w:id="162282156">
      <w:bodyDiv w:val="1"/>
      <w:marLeft w:val="0"/>
      <w:marRight w:val="0"/>
      <w:marTop w:val="0"/>
      <w:marBottom w:val="0"/>
      <w:divBdr>
        <w:top w:val="none" w:sz="0" w:space="0" w:color="auto"/>
        <w:left w:val="none" w:sz="0" w:space="0" w:color="auto"/>
        <w:bottom w:val="none" w:sz="0" w:space="0" w:color="auto"/>
        <w:right w:val="none" w:sz="0" w:space="0" w:color="auto"/>
      </w:divBdr>
    </w:div>
    <w:div w:id="307130121">
      <w:bodyDiv w:val="1"/>
      <w:marLeft w:val="0"/>
      <w:marRight w:val="0"/>
      <w:marTop w:val="0"/>
      <w:marBottom w:val="0"/>
      <w:divBdr>
        <w:top w:val="none" w:sz="0" w:space="0" w:color="auto"/>
        <w:left w:val="none" w:sz="0" w:space="0" w:color="auto"/>
        <w:bottom w:val="none" w:sz="0" w:space="0" w:color="auto"/>
        <w:right w:val="none" w:sz="0" w:space="0" w:color="auto"/>
      </w:divBdr>
    </w:div>
    <w:div w:id="307394755">
      <w:bodyDiv w:val="1"/>
      <w:marLeft w:val="0"/>
      <w:marRight w:val="0"/>
      <w:marTop w:val="0"/>
      <w:marBottom w:val="0"/>
      <w:divBdr>
        <w:top w:val="none" w:sz="0" w:space="0" w:color="auto"/>
        <w:left w:val="none" w:sz="0" w:space="0" w:color="auto"/>
        <w:bottom w:val="none" w:sz="0" w:space="0" w:color="auto"/>
        <w:right w:val="none" w:sz="0" w:space="0" w:color="auto"/>
      </w:divBdr>
    </w:div>
    <w:div w:id="317150261">
      <w:bodyDiv w:val="1"/>
      <w:marLeft w:val="0"/>
      <w:marRight w:val="0"/>
      <w:marTop w:val="0"/>
      <w:marBottom w:val="0"/>
      <w:divBdr>
        <w:top w:val="none" w:sz="0" w:space="0" w:color="auto"/>
        <w:left w:val="none" w:sz="0" w:space="0" w:color="auto"/>
        <w:bottom w:val="none" w:sz="0" w:space="0" w:color="auto"/>
        <w:right w:val="none" w:sz="0" w:space="0" w:color="auto"/>
      </w:divBdr>
    </w:div>
    <w:div w:id="461580582">
      <w:bodyDiv w:val="1"/>
      <w:marLeft w:val="0"/>
      <w:marRight w:val="0"/>
      <w:marTop w:val="0"/>
      <w:marBottom w:val="0"/>
      <w:divBdr>
        <w:top w:val="none" w:sz="0" w:space="0" w:color="auto"/>
        <w:left w:val="none" w:sz="0" w:space="0" w:color="auto"/>
        <w:bottom w:val="none" w:sz="0" w:space="0" w:color="auto"/>
        <w:right w:val="none" w:sz="0" w:space="0" w:color="auto"/>
      </w:divBdr>
    </w:div>
    <w:div w:id="467093482">
      <w:bodyDiv w:val="1"/>
      <w:marLeft w:val="0"/>
      <w:marRight w:val="0"/>
      <w:marTop w:val="0"/>
      <w:marBottom w:val="0"/>
      <w:divBdr>
        <w:top w:val="none" w:sz="0" w:space="0" w:color="auto"/>
        <w:left w:val="none" w:sz="0" w:space="0" w:color="auto"/>
        <w:bottom w:val="none" w:sz="0" w:space="0" w:color="auto"/>
        <w:right w:val="none" w:sz="0" w:space="0" w:color="auto"/>
      </w:divBdr>
    </w:div>
    <w:div w:id="486557236">
      <w:bodyDiv w:val="1"/>
      <w:marLeft w:val="0"/>
      <w:marRight w:val="0"/>
      <w:marTop w:val="0"/>
      <w:marBottom w:val="0"/>
      <w:divBdr>
        <w:top w:val="none" w:sz="0" w:space="0" w:color="auto"/>
        <w:left w:val="none" w:sz="0" w:space="0" w:color="auto"/>
        <w:bottom w:val="none" w:sz="0" w:space="0" w:color="auto"/>
        <w:right w:val="none" w:sz="0" w:space="0" w:color="auto"/>
      </w:divBdr>
    </w:div>
    <w:div w:id="577639617">
      <w:bodyDiv w:val="1"/>
      <w:marLeft w:val="0"/>
      <w:marRight w:val="0"/>
      <w:marTop w:val="0"/>
      <w:marBottom w:val="0"/>
      <w:divBdr>
        <w:top w:val="none" w:sz="0" w:space="0" w:color="auto"/>
        <w:left w:val="none" w:sz="0" w:space="0" w:color="auto"/>
        <w:bottom w:val="none" w:sz="0" w:space="0" w:color="auto"/>
        <w:right w:val="none" w:sz="0" w:space="0" w:color="auto"/>
      </w:divBdr>
      <w:divsChild>
        <w:div w:id="1948804080">
          <w:marLeft w:val="0"/>
          <w:marRight w:val="0"/>
          <w:marTop w:val="0"/>
          <w:marBottom w:val="0"/>
          <w:divBdr>
            <w:top w:val="none" w:sz="0" w:space="0" w:color="auto"/>
            <w:left w:val="none" w:sz="0" w:space="0" w:color="auto"/>
            <w:bottom w:val="none" w:sz="0" w:space="0" w:color="auto"/>
            <w:right w:val="none" w:sz="0" w:space="0" w:color="auto"/>
          </w:divBdr>
          <w:divsChild>
            <w:div w:id="665286230">
              <w:marLeft w:val="0"/>
              <w:marRight w:val="0"/>
              <w:marTop w:val="0"/>
              <w:marBottom w:val="0"/>
              <w:divBdr>
                <w:top w:val="none" w:sz="0" w:space="0" w:color="auto"/>
                <w:left w:val="none" w:sz="0" w:space="0" w:color="auto"/>
                <w:bottom w:val="none" w:sz="0" w:space="0" w:color="auto"/>
                <w:right w:val="none" w:sz="0" w:space="0" w:color="auto"/>
              </w:divBdr>
              <w:divsChild>
                <w:div w:id="15591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28091">
      <w:bodyDiv w:val="1"/>
      <w:marLeft w:val="0"/>
      <w:marRight w:val="0"/>
      <w:marTop w:val="0"/>
      <w:marBottom w:val="0"/>
      <w:divBdr>
        <w:top w:val="none" w:sz="0" w:space="0" w:color="auto"/>
        <w:left w:val="none" w:sz="0" w:space="0" w:color="auto"/>
        <w:bottom w:val="none" w:sz="0" w:space="0" w:color="auto"/>
        <w:right w:val="none" w:sz="0" w:space="0" w:color="auto"/>
      </w:divBdr>
    </w:div>
    <w:div w:id="631599085">
      <w:bodyDiv w:val="1"/>
      <w:marLeft w:val="0"/>
      <w:marRight w:val="0"/>
      <w:marTop w:val="0"/>
      <w:marBottom w:val="0"/>
      <w:divBdr>
        <w:top w:val="none" w:sz="0" w:space="0" w:color="auto"/>
        <w:left w:val="none" w:sz="0" w:space="0" w:color="auto"/>
        <w:bottom w:val="none" w:sz="0" w:space="0" w:color="auto"/>
        <w:right w:val="none" w:sz="0" w:space="0" w:color="auto"/>
      </w:divBdr>
    </w:div>
    <w:div w:id="987392714">
      <w:bodyDiv w:val="1"/>
      <w:marLeft w:val="0"/>
      <w:marRight w:val="0"/>
      <w:marTop w:val="0"/>
      <w:marBottom w:val="0"/>
      <w:divBdr>
        <w:top w:val="none" w:sz="0" w:space="0" w:color="auto"/>
        <w:left w:val="none" w:sz="0" w:space="0" w:color="auto"/>
        <w:bottom w:val="none" w:sz="0" w:space="0" w:color="auto"/>
        <w:right w:val="none" w:sz="0" w:space="0" w:color="auto"/>
      </w:divBdr>
    </w:div>
    <w:div w:id="1038705294">
      <w:bodyDiv w:val="1"/>
      <w:marLeft w:val="0"/>
      <w:marRight w:val="0"/>
      <w:marTop w:val="0"/>
      <w:marBottom w:val="0"/>
      <w:divBdr>
        <w:top w:val="none" w:sz="0" w:space="0" w:color="auto"/>
        <w:left w:val="none" w:sz="0" w:space="0" w:color="auto"/>
        <w:bottom w:val="none" w:sz="0" w:space="0" w:color="auto"/>
        <w:right w:val="none" w:sz="0" w:space="0" w:color="auto"/>
      </w:divBdr>
    </w:div>
    <w:div w:id="1181090073">
      <w:bodyDiv w:val="1"/>
      <w:marLeft w:val="0"/>
      <w:marRight w:val="0"/>
      <w:marTop w:val="0"/>
      <w:marBottom w:val="0"/>
      <w:divBdr>
        <w:top w:val="none" w:sz="0" w:space="0" w:color="auto"/>
        <w:left w:val="none" w:sz="0" w:space="0" w:color="auto"/>
        <w:bottom w:val="none" w:sz="0" w:space="0" w:color="auto"/>
        <w:right w:val="none" w:sz="0" w:space="0" w:color="auto"/>
      </w:divBdr>
    </w:div>
    <w:div w:id="1368412142">
      <w:bodyDiv w:val="1"/>
      <w:marLeft w:val="0"/>
      <w:marRight w:val="0"/>
      <w:marTop w:val="0"/>
      <w:marBottom w:val="0"/>
      <w:divBdr>
        <w:top w:val="none" w:sz="0" w:space="0" w:color="auto"/>
        <w:left w:val="none" w:sz="0" w:space="0" w:color="auto"/>
        <w:bottom w:val="none" w:sz="0" w:space="0" w:color="auto"/>
        <w:right w:val="none" w:sz="0" w:space="0" w:color="auto"/>
      </w:divBdr>
    </w:div>
    <w:div w:id="1494905038">
      <w:bodyDiv w:val="1"/>
      <w:marLeft w:val="0"/>
      <w:marRight w:val="0"/>
      <w:marTop w:val="0"/>
      <w:marBottom w:val="0"/>
      <w:divBdr>
        <w:top w:val="none" w:sz="0" w:space="0" w:color="auto"/>
        <w:left w:val="none" w:sz="0" w:space="0" w:color="auto"/>
        <w:bottom w:val="none" w:sz="0" w:space="0" w:color="auto"/>
        <w:right w:val="none" w:sz="0" w:space="0" w:color="auto"/>
      </w:divBdr>
    </w:div>
    <w:div w:id="1518930297">
      <w:bodyDiv w:val="1"/>
      <w:marLeft w:val="0"/>
      <w:marRight w:val="0"/>
      <w:marTop w:val="0"/>
      <w:marBottom w:val="0"/>
      <w:divBdr>
        <w:top w:val="none" w:sz="0" w:space="0" w:color="auto"/>
        <w:left w:val="none" w:sz="0" w:space="0" w:color="auto"/>
        <w:bottom w:val="none" w:sz="0" w:space="0" w:color="auto"/>
        <w:right w:val="none" w:sz="0" w:space="0" w:color="auto"/>
      </w:divBdr>
    </w:div>
    <w:div w:id="162261495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133B-E2E1-4711-9679-8ECE30B3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4387</Words>
  <Characters>23168</Characters>
  <Application>Microsoft Office Word</Application>
  <DocSecurity>0</DocSecurity>
  <Lines>399</Lines>
  <Paragraphs>98</Paragraphs>
  <ScaleCrop>false</ScaleCrop>
  <Company/>
  <LinksUpToDate>false</LinksUpToDate>
  <CharactersWithSpaces>27457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103/20</dc:title>
  <dc:creator/>
  <cp:lastModifiedBy/>
  <cp:revision>1</cp:revision>
  <dcterms:created xsi:type="dcterms:W3CDTF">2020-06-26T13:50:00Z</dcterms:created>
  <dcterms:modified xsi:type="dcterms:W3CDTF">2020-06-26T13:50:00Z</dcterms:modified>
</cp:coreProperties>
</file>