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8544826"/>
    <w:bookmarkStart w:id="1" w:name="_GoBack"/>
    <w:bookmarkEnd w:id="0"/>
    <w:bookmarkEnd w:id="1"/>
    <w:p w14:paraId="3C8DD2E0" w14:textId="60F5E95F" w:rsidR="00040C3A" w:rsidRPr="007A7B03" w:rsidRDefault="00FB09FC" w:rsidP="00812224">
      <w:pPr>
        <w:jc w:val="both"/>
        <w:rPr>
          <w:rFonts w:asciiTheme="majorHAnsi" w:hAnsiTheme="majorHAnsi" w:cs="Univers"/>
          <w:b/>
          <w:bCs/>
          <w:sz w:val="20"/>
          <w:szCs w:val="20"/>
          <w:lang w:val="es-419"/>
        </w:rPr>
      </w:pPr>
      <w:r w:rsidRPr="007A7B0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506CF95" wp14:editId="5E6C3C38">
                <wp:simplePos x="0" y="0"/>
                <wp:positionH relativeFrom="margin">
                  <wp:posOffset>-371475</wp:posOffset>
                </wp:positionH>
                <wp:positionV relativeFrom="paragraph">
                  <wp:posOffset>-400050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7145725" id="Rectangle 1" o:spid="_x0000_s1026" style="position:absolute;margin-left:-29.25pt;margin-top:-31.5pt;width:121.5pt;height:71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" fillcolor="#4a7194" stroked="f" strokeweight="2pt">
                <w10:wrap anchorx="margin"/>
              </v:rect>
            </w:pict>
          </mc:Fallback>
        </mc:AlternateContent>
      </w:r>
      <w:r w:rsidR="003E6CA1" w:rsidRPr="007A7B0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9A26D22" wp14:editId="6813F6F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DFB7F" w14:textId="77777777" w:rsidR="002A0CBE" w:rsidRDefault="002A0CBE" w:rsidP="00AE5488">
                            <w:bookmarkStart w:id="2" w:name="_Hlk38544824"/>
                            <w:bookmarkEnd w:id="2"/>
                            <w:r>
                              <w:rPr>
                                <w:noProof/>
                              </w:rPr>
                              <w:drawing>
                                <wp:inline distT="0" distB="0" distL="0" distR="0" wp14:anchorId="316C25C9" wp14:editId="1CF255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A26D2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5EDFB7F" w14:textId="77777777" w:rsidR="002A0CBE" w:rsidRDefault="002A0CBE" w:rsidP="00AE5488">
                      <w:bookmarkStart w:id="2" w:name="_Hlk38544824"/>
                      <w:bookmarkEnd w:id="2"/>
                      <w:r>
                        <w:rPr>
                          <w:noProof/>
                        </w:rPr>
                        <w:drawing>
                          <wp:inline distT="0" distB="0" distL="0" distR="0" wp14:anchorId="316C25C9" wp14:editId="1CF255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7DFC21A" w14:textId="77777777" w:rsidR="00040C3A" w:rsidRPr="007A7B03" w:rsidRDefault="00040C3A" w:rsidP="00812224">
      <w:pPr>
        <w:tabs>
          <w:tab w:val="center" w:pos="5400"/>
        </w:tabs>
        <w:suppressAutoHyphens/>
        <w:jc w:val="both"/>
        <w:rPr>
          <w:rFonts w:asciiTheme="majorHAnsi" w:hAnsiTheme="majorHAnsi"/>
          <w:sz w:val="20"/>
          <w:szCs w:val="20"/>
          <w:lang w:val="es-419"/>
        </w:rPr>
      </w:pPr>
    </w:p>
    <w:p w14:paraId="4E263A68" w14:textId="77777777" w:rsidR="00040C3A" w:rsidRPr="007A7B03" w:rsidRDefault="00040C3A" w:rsidP="00812224">
      <w:pPr>
        <w:tabs>
          <w:tab w:val="center" w:pos="5400"/>
        </w:tabs>
        <w:suppressAutoHyphens/>
        <w:jc w:val="both"/>
        <w:rPr>
          <w:rFonts w:asciiTheme="majorHAnsi" w:hAnsiTheme="majorHAnsi"/>
          <w:sz w:val="20"/>
          <w:szCs w:val="20"/>
          <w:lang w:val="es-419"/>
        </w:rPr>
      </w:pPr>
    </w:p>
    <w:p w14:paraId="2B9B9541" w14:textId="77777777" w:rsidR="005128E4" w:rsidRPr="007A7B03" w:rsidRDefault="005128E4" w:rsidP="00812224">
      <w:pPr>
        <w:tabs>
          <w:tab w:val="center" w:pos="5400"/>
        </w:tabs>
        <w:suppressAutoHyphens/>
        <w:rPr>
          <w:rFonts w:asciiTheme="majorHAnsi" w:hAnsiTheme="majorHAnsi"/>
          <w:sz w:val="20"/>
          <w:szCs w:val="20"/>
          <w:lang w:val="es-419"/>
        </w:rPr>
      </w:pPr>
    </w:p>
    <w:p w14:paraId="0AB9A08E" w14:textId="77777777" w:rsidR="005128E4" w:rsidRPr="007A7B03" w:rsidRDefault="005128E4" w:rsidP="00812224">
      <w:pPr>
        <w:tabs>
          <w:tab w:val="center" w:pos="5400"/>
        </w:tabs>
        <w:suppressAutoHyphens/>
        <w:rPr>
          <w:rFonts w:asciiTheme="majorHAnsi" w:hAnsiTheme="majorHAnsi"/>
          <w:sz w:val="20"/>
          <w:szCs w:val="20"/>
          <w:lang w:val="es-419"/>
        </w:rPr>
      </w:pPr>
    </w:p>
    <w:p w14:paraId="0E511512" w14:textId="77777777" w:rsidR="005128E4" w:rsidRPr="007A7B03" w:rsidRDefault="005128E4" w:rsidP="00812224">
      <w:pPr>
        <w:tabs>
          <w:tab w:val="center" w:pos="5400"/>
        </w:tabs>
        <w:suppressAutoHyphens/>
        <w:rPr>
          <w:rFonts w:asciiTheme="majorHAnsi" w:hAnsiTheme="majorHAnsi"/>
          <w:sz w:val="20"/>
          <w:szCs w:val="20"/>
          <w:lang w:val="es-419"/>
        </w:rPr>
      </w:pPr>
    </w:p>
    <w:p w14:paraId="57A210D4"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7F6C852E"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013E32B2" w14:textId="77777777" w:rsidR="005B52B0" w:rsidRPr="007A7B03" w:rsidRDefault="005B52B0" w:rsidP="00812224">
      <w:pPr>
        <w:tabs>
          <w:tab w:val="center" w:pos="5400"/>
        </w:tabs>
        <w:suppressAutoHyphens/>
        <w:jc w:val="center"/>
        <w:rPr>
          <w:rFonts w:asciiTheme="majorHAnsi" w:hAnsiTheme="majorHAnsi"/>
          <w:sz w:val="20"/>
          <w:szCs w:val="20"/>
          <w:lang w:val="es-419"/>
        </w:rPr>
      </w:pPr>
    </w:p>
    <w:p w14:paraId="4A2B893E" w14:textId="77777777" w:rsidR="005B52B0" w:rsidRPr="007A7B03" w:rsidRDefault="005B52B0" w:rsidP="00812224">
      <w:pPr>
        <w:tabs>
          <w:tab w:val="center" w:pos="5400"/>
        </w:tabs>
        <w:suppressAutoHyphens/>
        <w:jc w:val="center"/>
        <w:rPr>
          <w:rFonts w:asciiTheme="majorHAnsi" w:hAnsiTheme="majorHAnsi"/>
          <w:sz w:val="20"/>
          <w:szCs w:val="20"/>
          <w:lang w:val="es-419"/>
        </w:rPr>
      </w:pPr>
    </w:p>
    <w:p w14:paraId="033CDA4F" w14:textId="77777777" w:rsidR="005B52B0" w:rsidRPr="007A7B03" w:rsidRDefault="005B52B0" w:rsidP="00812224">
      <w:pPr>
        <w:tabs>
          <w:tab w:val="center" w:pos="5400"/>
        </w:tabs>
        <w:suppressAutoHyphens/>
        <w:jc w:val="center"/>
        <w:rPr>
          <w:rFonts w:asciiTheme="majorHAnsi" w:hAnsiTheme="majorHAnsi"/>
          <w:sz w:val="20"/>
          <w:szCs w:val="20"/>
          <w:lang w:val="es-419"/>
        </w:rPr>
      </w:pPr>
    </w:p>
    <w:p w14:paraId="508FABEA"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32C31816"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017FD9F0" w14:textId="77777777" w:rsidR="00040C3A" w:rsidRPr="007A7B03" w:rsidRDefault="003D3BC2" w:rsidP="00812224">
      <w:pPr>
        <w:tabs>
          <w:tab w:val="center" w:pos="5400"/>
        </w:tabs>
        <w:suppressAutoHyphens/>
        <w:jc w:val="center"/>
        <w:rPr>
          <w:rFonts w:asciiTheme="majorHAnsi" w:hAnsiTheme="majorHAnsi"/>
          <w:sz w:val="20"/>
          <w:szCs w:val="20"/>
          <w:lang w:val="es-419"/>
        </w:rPr>
      </w:pPr>
      <w:r w:rsidRPr="007A7B0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A2675B9" wp14:editId="507EFD7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32EC6" w14:textId="32FBDC99" w:rsidR="004F6491" w:rsidRPr="00495AD4" w:rsidRDefault="004F6491" w:rsidP="004F6491">
                            <w:pPr>
                              <w:spacing w:line="276" w:lineRule="auto"/>
                              <w:rPr>
                                <w:rFonts w:asciiTheme="majorHAnsi" w:hAnsiTheme="majorHAnsi" w:cs="Arial"/>
                                <w:b/>
                                <w:bCs/>
                                <w:color w:val="0D0D0D" w:themeColor="text1" w:themeTint="F2"/>
                                <w:sz w:val="36"/>
                                <w:szCs w:val="40"/>
                                <w:lang w:val="es-419"/>
                              </w:rPr>
                            </w:pPr>
                            <w:r w:rsidRPr="004E2649">
                              <w:rPr>
                                <w:rFonts w:asciiTheme="majorHAnsi" w:hAnsiTheme="majorHAnsi" w:cs="Arial"/>
                                <w:b/>
                                <w:bCs/>
                                <w:color w:val="0D0D0D" w:themeColor="text1" w:themeTint="F2"/>
                                <w:sz w:val="36"/>
                                <w:szCs w:val="22"/>
                                <w:lang w:val="es-ES_tradnl"/>
                              </w:rPr>
                              <w:t xml:space="preserve">INFORME </w:t>
                            </w:r>
                            <w:r w:rsidRPr="00495AD4">
                              <w:rPr>
                                <w:rFonts w:asciiTheme="majorHAnsi" w:hAnsiTheme="majorHAnsi" w:cs="Arial"/>
                                <w:b/>
                                <w:bCs/>
                                <w:color w:val="0D0D0D" w:themeColor="text1" w:themeTint="F2"/>
                                <w:sz w:val="36"/>
                                <w:szCs w:val="40"/>
                                <w:lang w:val="es-419"/>
                              </w:rPr>
                              <w:t xml:space="preserve">No. </w:t>
                            </w:r>
                            <w:r w:rsidR="00012F06">
                              <w:rPr>
                                <w:rFonts w:asciiTheme="majorHAnsi" w:hAnsiTheme="majorHAnsi" w:cs="Arial"/>
                                <w:b/>
                                <w:bCs/>
                                <w:color w:val="0D0D0D" w:themeColor="text1" w:themeTint="F2"/>
                                <w:sz w:val="36"/>
                                <w:szCs w:val="40"/>
                                <w:lang w:val="es-419"/>
                              </w:rPr>
                              <w:t>198</w:t>
                            </w:r>
                            <w:r w:rsidRPr="00495AD4">
                              <w:rPr>
                                <w:rFonts w:asciiTheme="majorHAnsi" w:hAnsiTheme="majorHAnsi" w:cs="Arial"/>
                                <w:b/>
                                <w:bCs/>
                                <w:color w:val="0D0D0D" w:themeColor="text1" w:themeTint="F2"/>
                                <w:sz w:val="36"/>
                                <w:szCs w:val="40"/>
                                <w:lang w:val="es-419"/>
                              </w:rPr>
                              <w:t>/20</w:t>
                            </w:r>
                          </w:p>
                          <w:p w14:paraId="302EAC35" w14:textId="4CC88D9A" w:rsidR="002A0CBE" w:rsidRPr="004F6491" w:rsidRDefault="004F6491" w:rsidP="00997BC5">
                            <w:pPr>
                              <w:spacing w:line="276" w:lineRule="auto"/>
                              <w:rPr>
                                <w:rFonts w:asciiTheme="majorHAnsi" w:hAnsiTheme="majorHAnsi" w:cs="Arial"/>
                                <w:b/>
                                <w:color w:val="0D0D0D" w:themeColor="text1" w:themeTint="F2"/>
                                <w:sz w:val="36"/>
                                <w:szCs w:val="22"/>
                                <w:lang w:val="es-419"/>
                              </w:rPr>
                            </w:pPr>
                            <w:r w:rsidRPr="004E2649">
                              <w:rPr>
                                <w:rFonts w:asciiTheme="majorHAnsi" w:hAnsiTheme="majorHAnsi" w:cs="Arial"/>
                                <w:b/>
                                <w:color w:val="0D0D0D" w:themeColor="text1" w:themeTint="F2"/>
                                <w:sz w:val="36"/>
                                <w:szCs w:val="22"/>
                                <w:lang w:val="es-ES_tradnl"/>
                              </w:rPr>
                              <w:t xml:space="preserve">PETICIÓN </w:t>
                            </w:r>
                            <w:r w:rsidR="002A0CBE" w:rsidRPr="004F6491">
                              <w:rPr>
                                <w:rFonts w:asciiTheme="majorHAnsi" w:hAnsiTheme="majorHAnsi" w:cs="Arial"/>
                                <w:b/>
                                <w:color w:val="0D0D0D" w:themeColor="text1" w:themeTint="F2"/>
                                <w:sz w:val="36"/>
                                <w:szCs w:val="22"/>
                                <w:lang w:val="es-419"/>
                              </w:rPr>
                              <w:t xml:space="preserve">524-16 </w:t>
                            </w:r>
                          </w:p>
                          <w:p w14:paraId="32C4556F" w14:textId="77777777" w:rsidR="004F6491" w:rsidRPr="0010736F" w:rsidRDefault="004F6491" w:rsidP="004F6491">
                            <w:pPr>
                              <w:spacing w:line="276" w:lineRule="auto"/>
                              <w:rPr>
                                <w:rFonts w:asciiTheme="majorHAnsi" w:hAnsiTheme="majorHAnsi" w:cs="Arial"/>
                                <w:color w:val="0D0D0D" w:themeColor="text1" w:themeTint="F2"/>
                                <w:szCs w:val="22"/>
                                <w:lang w:val="es-ES_tradnl"/>
                              </w:rPr>
                            </w:pPr>
                            <w:bookmarkStart w:id="3" w:name="_ftnref1"/>
                            <w:r w:rsidRPr="0010736F">
                              <w:rPr>
                                <w:rFonts w:asciiTheme="majorHAnsi" w:hAnsiTheme="majorHAnsi" w:cs="Arial"/>
                                <w:color w:val="0D0D0D" w:themeColor="text1" w:themeTint="F2"/>
                                <w:szCs w:val="22"/>
                                <w:lang w:val="es-ES_tradnl"/>
                              </w:rPr>
                              <w:t>INFORME DE ADMISIBILIDAD</w:t>
                            </w:r>
                          </w:p>
                          <w:p w14:paraId="23B7C888" w14:textId="77777777" w:rsidR="002A0CBE" w:rsidRPr="004F6491" w:rsidRDefault="002A0CBE" w:rsidP="00997BC5">
                            <w:pPr>
                              <w:spacing w:line="276" w:lineRule="auto"/>
                              <w:rPr>
                                <w:rFonts w:asciiTheme="majorHAnsi" w:hAnsiTheme="majorHAnsi" w:cs="Arial"/>
                                <w:color w:val="0D0D0D" w:themeColor="text1" w:themeTint="F2"/>
                                <w:szCs w:val="22"/>
                                <w:lang w:val="es-ES_tradnl"/>
                              </w:rPr>
                            </w:pPr>
                          </w:p>
                          <w:p w14:paraId="5C94DEE6" w14:textId="3A08BC0F" w:rsidR="002A0CBE" w:rsidRPr="004F6491" w:rsidRDefault="004D3EEA" w:rsidP="00997BC5">
                            <w:pPr>
                              <w:spacing w:line="276" w:lineRule="auto"/>
                              <w:rPr>
                                <w:rFonts w:asciiTheme="majorHAnsi" w:hAnsiTheme="majorHAnsi" w:cs="Arial"/>
                                <w:color w:val="0D0D0D" w:themeColor="text1" w:themeTint="F2"/>
                                <w:szCs w:val="22"/>
                                <w:lang w:val="es-419"/>
                              </w:rPr>
                            </w:pPr>
                            <w:r w:rsidRPr="004F6491">
                              <w:rPr>
                                <w:rFonts w:asciiTheme="majorHAnsi" w:hAnsiTheme="majorHAnsi" w:cs="Arial"/>
                                <w:color w:val="0D0D0D" w:themeColor="text1" w:themeTint="F2"/>
                                <w:szCs w:val="22"/>
                                <w:lang w:val="es-419"/>
                              </w:rPr>
                              <w:t xml:space="preserve">ANASTASIO </w:t>
                            </w:r>
                            <w:r w:rsidR="008D732E" w:rsidRPr="004F6491">
                              <w:rPr>
                                <w:rFonts w:asciiTheme="majorHAnsi" w:hAnsiTheme="majorHAnsi" w:cs="Arial"/>
                                <w:color w:val="0D0D0D" w:themeColor="text1" w:themeTint="F2"/>
                                <w:szCs w:val="22"/>
                                <w:lang w:val="es-419"/>
                              </w:rPr>
                              <w:t>HERN</w:t>
                            </w:r>
                            <w:r w:rsidR="008D732E">
                              <w:rPr>
                                <w:rFonts w:asciiTheme="majorHAnsi" w:hAnsiTheme="majorHAnsi" w:cs="Arial"/>
                                <w:color w:val="0D0D0D" w:themeColor="text1" w:themeTint="F2"/>
                                <w:szCs w:val="22"/>
                                <w:lang w:val="es-419"/>
                              </w:rPr>
                              <w:t>Á</w:t>
                            </w:r>
                            <w:r w:rsidR="008D732E" w:rsidRPr="004F6491">
                              <w:rPr>
                                <w:rFonts w:asciiTheme="majorHAnsi" w:hAnsiTheme="majorHAnsi" w:cs="Arial"/>
                                <w:color w:val="0D0D0D" w:themeColor="text1" w:themeTint="F2"/>
                                <w:szCs w:val="22"/>
                                <w:lang w:val="es-419"/>
                              </w:rPr>
                              <w:t xml:space="preserve">NDEZ </w:t>
                            </w:r>
                            <w:r w:rsidR="002A0CBE" w:rsidRPr="004F6491">
                              <w:rPr>
                                <w:rFonts w:asciiTheme="majorHAnsi" w:hAnsiTheme="majorHAnsi" w:cs="Arial"/>
                                <w:color w:val="0D0D0D" w:themeColor="text1" w:themeTint="F2"/>
                                <w:szCs w:val="22"/>
                                <w:lang w:val="es-419"/>
                              </w:rPr>
                              <w:t xml:space="preserve">ROJAS </w:t>
                            </w:r>
                            <w:r w:rsidR="004F6491" w:rsidRPr="004F6491">
                              <w:rPr>
                                <w:rFonts w:asciiTheme="majorHAnsi" w:hAnsiTheme="majorHAnsi" w:cs="Arial"/>
                                <w:color w:val="0D0D0D" w:themeColor="text1" w:themeTint="F2"/>
                                <w:szCs w:val="22"/>
                                <w:lang w:val="es-419"/>
                              </w:rPr>
                              <w:t>Y FAMIL</w:t>
                            </w:r>
                            <w:r w:rsidR="004F6491">
                              <w:rPr>
                                <w:rFonts w:asciiTheme="majorHAnsi" w:hAnsiTheme="majorHAnsi" w:cs="Arial"/>
                                <w:color w:val="0D0D0D" w:themeColor="text1" w:themeTint="F2"/>
                                <w:szCs w:val="22"/>
                                <w:lang w:val="es-419"/>
                              </w:rPr>
                              <w:t>IA</w:t>
                            </w:r>
                          </w:p>
                          <w:bookmarkEnd w:id="3"/>
                          <w:p w14:paraId="5638010F" w14:textId="5B52B7CF" w:rsidR="002A0CBE" w:rsidRPr="008D732E" w:rsidRDefault="004F6491" w:rsidP="00997BC5">
                            <w:pPr>
                              <w:spacing w:line="276" w:lineRule="auto"/>
                              <w:rPr>
                                <w:rFonts w:asciiTheme="majorHAnsi" w:hAnsiTheme="majorHAnsi" w:cs="Arial"/>
                                <w:color w:val="0D0D0D" w:themeColor="text1" w:themeTint="F2"/>
                                <w:szCs w:val="22"/>
                                <w:lang w:val="es-419"/>
                              </w:rPr>
                            </w:pPr>
                            <w:r w:rsidRPr="008D732E">
                              <w:rPr>
                                <w:rFonts w:asciiTheme="majorHAnsi" w:hAnsiTheme="majorHAnsi" w:cs="Arial"/>
                                <w:color w:val="0D0D0D" w:themeColor="text1" w:themeTint="F2"/>
                                <w:szCs w:val="22"/>
                                <w:lang w:val="es-419"/>
                              </w:rPr>
                              <w:t>ESTADOS UNIDOS DE AMÉRICA</w:t>
                            </w:r>
                          </w:p>
                          <w:p w14:paraId="3D8D7EAE" w14:textId="77777777" w:rsidR="002A0CBE" w:rsidRPr="008D732E" w:rsidRDefault="002A0CBE" w:rsidP="007A5817">
                            <w:pPr>
                              <w:rPr>
                                <w:color w:val="0D0D0D" w:themeColor="text1" w:themeTint="F2"/>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2675B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C632EC6" w14:textId="32FBDC99" w:rsidR="004F6491" w:rsidRPr="00495AD4" w:rsidRDefault="004F6491" w:rsidP="004F6491">
                      <w:pPr>
                        <w:spacing w:line="276" w:lineRule="auto"/>
                        <w:rPr>
                          <w:rFonts w:asciiTheme="majorHAnsi" w:hAnsiTheme="majorHAnsi" w:cs="Arial"/>
                          <w:b/>
                          <w:bCs/>
                          <w:color w:val="0D0D0D" w:themeColor="text1" w:themeTint="F2"/>
                          <w:sz w:val="36"/>
                          <w:szCs w:val="40"/>
                          <w:lang w:val="es-419"/>
                        </w:rPr>
                      </w:pPr>
                      <w:r w:rsidRPr="004E2649">
                        <w:rPr>
                          <w:rFonts w:asciiTheme="majorHAnsi" w:hAnsiTheme="majorHAnsi" w:cs="Arial"/>
                          <w:b/>
                          <w:bCs/>
                          <w:color w:val="0D0D0D" w:themeColor="text1" w:themeTint="F2"/>
                          <w:sz w:val="36"/>
                          <w:szCs w:val="22"/>
                          <w:lang w:val="es-ES_tradnl"/>
                        </w:rPr>
                        <w:t xml:space="preserve">INFORME </w:t>
                      </w:r>
                      <w:r w:rsidRPr="00495AD4">
                        <w:rPr>
                          <w:rFonts w:asciiTheme="majorHAnsi" w:hAnsiTheme="majorHAnsi" w:cs="Arial"/>
                          <w:b/>
                          <w:bCs/>
                          <w:color w:val="0D0D0D" w:themeColor="text1" w:themeTint="F2"/>
                          <w:sz w:val="36"/>
                          <w:szCs w:val="40"/>
                          <w:lang w:val="es-419"/>
                        </w:rPr>
                        <w:t xml:space="preserve">No. </w:t>
                      </w:r>
                      <w:r w:rsidR="00012F06">
                        <w:rPr>
                          <w:rFonts w:asciiTheme="majorHAnsi" w:hAnsiTheme="majorHAnsi" w:cs="Arial"/>
                          <w:b/>
                          <w:bCs/>
                          <w:color w:val="0D0D0D" w:themeColor="text1" w:themeTint="F2"/>
                          <w:sz w:val="36"/>
                          <w:szCs w:val="40"/>
                          <w:lang w:val="es-419"/>
                        </w:rPr>
                        <w:t>198</w:t>
                      </w:r>
                      <w:r w:rsidRPr="00495AD4">
                        <w:rPr>
                          <w:rFonts w:asciiTheme="majorHAnsi" w:hAnsiTheme="majorHAnsi" w:cs="Arial"/>
                          <w:b/>
                          <w:bCs/>
                          <w:color w:val="0D0D0D" w:themeColor="text1" w:themeTint="F2"/>
                          <w:sz w:val="36"/>
                          <w:szCs w:val="40"/>
                          <w:lang w:val="es-419"/>
                        </w:rPr>
                        <w:t>/20</w:t>
                      </w:r>
                    </w:p>
                    <w:p w14:paraId="302EAC35" w14:textId="4CC88D9A" w:rsidR="002A0CBE" w:rsidRPr="004F6491" w:rsidRDefault="004F6491" w:rsidP="00997BC5">
                      <w:pPr>
                        <w:spacing w:line="276" w:lineRule="auto"/>
                        <w:rPr>
                          <w:rFonts w:asciiTheme="majorHAnsi" w:hAnsiTheme="majorHAnsi" w:cs="Arial"/>
                          <w:b/>
                          <w:color w:val="0D0D0D" w:themeColor="text1" w:themeTint="F2"/>
                          <w:sz w:val="36"/>
                          <w:szCs w:val="22"/>
                          <w:lang w:val="es-419"/>
                        </w:rPr>
                      </w:pPr>
                      <w:r w:rsidRPr="004E2649">
                        <w:rPr>
                          <w:rFonts w:asciiTheme="majorHAnsi" w:hAnsiTheme="majorHAnsi" w:cs="Arial"/>
                          <w:b/>
                          <w:color w:val="0D0D0D" w:themeColor="text1" w:themeTint="F2"/>
                          <w:sz w:val="36"/>
                          <w:szCs w:val="22"/>
                          <w:lang w:val="es-ES_tradnl"/>
                        </w:rPr>
                        <w:t xml:space="preserve">PETICIÓN </w:t>
                      </w:r>
                      <w:r w:rsidR="002A0CBE" w:rsidRPr="004F6491">
                        <w:rPr>
                          <w:rFonts w:asciiTheme="majorHAnsi" w:hAnsiTheme="majorHAnsi" w:cs="Arial"/>
                          <w:b/>
                          <w:color w:val="0D0D0D" w:themeColor="text1" w:themeTint="F2"/>
                          <w:sz w:val="36"/>
                          <w:szCs w:val="22"/>
                          <w:lang w:val="es-419"/>
                        </w:rPr>
                        <w:t xml:space="preserve">524-16 </w:t>
                      </w:r>
                    </w:p>
                    <w:p w14:paraId="32C4556F" w14:textId="77777777" w:rsidR="004F6491" w:rsidRPr="0010736F" w:rsidRDefault="004F6491" w:rsidP="004F6491">
                      <w:pPr>
                        <w:spacing w:line="276" w:lineRule="auto"/>
                        <w:rPr>
                          <w:rFonts w:asciiTheme="majorHAnsi" w:hAnsiTheme="majorHAnsi" w:cs="Arial"/>
                          <w:color w:val="0D0D0D" w:themeColor="text1" w:themeTint="F2"/>
                          <w:szCs w:val="22"/>
                          <w:lang w:val="es-ES_tradnl"/>
                        </w:rPr>
                      </w:pPr>
                      <w:bookmarkStart w:id="4" w:name="_ftnref1"/>
                      <w:r w:rsidRPr="0010736F">
                        <w:rPr>
                          <w:rFonts w:asciiTheme="majorHAnsi" w:hAnsiTheme="majorHAnsi" w:cs="Arial"/>
                          <w:color w:val="0D0D0D" w:themeColor="text1" w:themeTint="F2"/>
                          <w:szCs w:val="22"/>
                          <w:lang w:val="es-ES_tradnl"/>
                        </w:rPr>
                        <w:t>INFORME DE ADMISIBILIDAD</w:t>
                      </w:r>
                    </w:p>
                    <w:p w14:paraId="23B7C888" w14:textId="77777777" w:rsidR="002A0CBE" w:rsidRPr="004F6491" w:rsidRDefault="002A0CBE" w:rsidP="00997BC5">
                      <w:pPr>
                        <w:spacing w:line="276" w:lineRule="auto"/>
                        <w:rPr>
                          <w:rFonts w:asciiTheme="majorHAnsi" w:hAnsiTheme="majorHAnsi" w:cs="Arial"/>
                          <w:color w:val="0D0D0D" w:themeColor="text1" w:themeTint="F2"/>
                          <w:szCs w:val="22"/>
                          <w:lang w:val="es-ES_tradnl"/>
                        </w:rPr>
                      </w:pPr>
                    </w:p>
                    <w:p w14:paraId="5C94DEE6" w14:textId="3A08BC0F" w:rsidR="002A0CBE" w:rsidRPr="004F6491" w:rsidRDefault="004D3EEA" w:rsidP="00997BC5">
                      <w:pPr>
                        <w:spacing w:line="276" w:lineRule="auto"/>
                        <w:rPr>
                          <w:rFonts w:asciiTheme="majorHAnsi" w:hAnsiTheme="majorHAnsi" w:cs="Arial"/>
                          <w:color w:val="0D0D0D" w:themeColor="text1" w:themeTint="F2"/>
                          <w:szCs w:val="22"/>
                          <w:lang w:val="es-419"/>
                        </w:rPr>
                      </w:pPr>
                      <w:r w:rsidRPr="004F6491">
                        <w:rPr>
                          <w:rFonts w:asciiTheme="majorHAnsi" w:hAnsiTheme="majorHAnsi" w:cs="Arial"/>
                          <w:color w:val="0D0D0D" w:themeColor="text1" w:themeTint="F2"/>
                          <w:szCs w:val="22"/>
                          <w:lang w:val="es-419"/>
                        </w:rPr>
                        <w:t xml:space="preserve">ANASTASIO </w:t>
                      </w:r>
                      <w:r w:rsidR="008D732E" w:rsidRPr="004F6491">
                        <w:rPr>
                          <w:rFonts w:asciiTheme="majorHAnsi" w:hAnsiTheme="majorHAnsi" w:cs="Arial"/>
                          <w:color w:val="0D0D0D" w:themeColor="text1" w:themeTint="F2"/>
                          <w:szCs w:val="22"/>
                          <w:lang w:val="es-419"/>
                        </w:rPr>
                        <w:t>HERN</w:t>
                      </w:r>
                      <w:r w:rsidR="008D732E">
                        <w:rPr>
                          <w:rFonts w:asciiTheme="majorHAnsi" w:hAnsiTheme="majorHAnsi" w:cs="Arial"/>
                          <w:color w:val="0D0D0D" w:themeColor="text1" w:themeTint="F2"/>
                          <w:szCs w:val="22"/>
                          <w:lang w:val="es-419"/>
                        </w:rPr>
                        <w:t>Á</w:t>
                      </w:r>
                      <w:r w:rsidR="008D732E" w:rsidRPr="004F6491">
                        <w:rPr>
                          <w:rFonts w:asciiTheme="majorHAnsi" w:hAnsiTheme="majorHAnsi" w:cs="Arial"/>
                          <w:color w:val="0D0D0D" w:themeColor="text1" w:themeTint="F2"/>
                          <w:szCs w:val="22"/>
                          <w:lang w:val="es-419"/>
                        </w:rPr>
                        <w:t xml:space="preserve">NDEZ </w:t>
                      </w:r>
                      <w:r w:rsidR="002A0CBE" w:rsidRPr="004F6491">
                        <w:rPr>
                          <w:rFonts w:asciiTheme="majorHAnsi" w:hAnsiTheme="majorHAnsi" w:cs="Arial"/>
                          <w:color w:val="0D0D0D" w:themeColor="text1" w:themeTint="F2"/>
                          <w:szCs w:val="22"/>
                          <w:lang w:val="es-419"/>
                        </w:rPr>
                        <w:t xml:space="preserve">ROJAS </w:t>
                      </w:r>
                      <w:r w:rsidR="004F6491" w:rsidRPr="004F6491">
                        <w:rPr>
                          <w:rFonts w:asciiTheme="majorHAnsi" w:hAnsiTheme="majorHAnsi" w:cs="Arial"/>
                          <w:color w:val="0D0D0D" w:themeColor="text1" w:themeTint="F2"/>
                          <w:szCs w:val="22"/>
                          <w:lang w:val="es-419"/>
                        </w:rPr>
                        <w:t>Y FAMIL</w:t>
                      </w:r>
                      <w:r w:rsidR="004F6491">
                        <w:rPr>
                          <w:rFonts w:asciiTheme="majorHAnsi" w:hAnsiTheme="majorHAnsi" w:cs="Arial"/>
                          <w:color w:val="0D0D0D" w:themeColor="text1" w:themeTint="F2"/>
                          <w:szCs w:val="22"/>
                          <w:lang w:val="es-419"/>
                        </w:rPr>
                        <w:t>IA</w:t>
                      </w:r>
                    </w:p>
                    <w:bookmarkEnd w:id="4"/>
                    <w:p w14:paraId="5638010F" w14:textId="5B52B7CF" w:rsidR="002A0CBE" w:rsidRPr="008D732E" w:rsidRDefault="004F6491" w:rsidP="00997BC5">
                      <w:pPr>
                        <w:spacing w:line="276" w:lineRule="auto"/>
                        <w:rPr>
                          <w:rFonts w:asciiTheme="majorHAnsi" w:hAnsiTheme="majorHAnsi" w:cs="Arial"/>
                          <w:color w:val="0D0D0D" w:themeColor="text1" w:themeTint="F2"/>
                          <w:szCs w:val="22"/>
                          <w:lang w:val="es-419"/>
                        </w:rPr>
                      </w:pPr>
                      <w:r w:rsidRPr="008D732E">
                        <w:rPr>
                          <w:rFonts w:asciiTheme="majorHAnsi" w:hAnsiTheme="majorHAnsi" w:cs="Arial"/>
                          <w:color w:val="0D0D0D" w:themeColor="text1" w:themeTint="F2"/>
                          <w:szCs w:val="22"/>
                          <w:lang w:val="es-419"/>
                        </w:rPr>
                        <w:t>ESTADOS UNIDOS DE AMÉRICA</w:t>
                      </w:r>
                    </w:p>
                    <w:p w14:paraId="3D8D7EAE" w14:textId="77777777" w:rsidR="002A0CBE" w:rsidRPr="008D732E" w:rsidRDefault="002A0CBE" w:rsidP="007A5817">
                      <w:pPr>
                        <w:rPr>
                          <w:color w:val="0D0D0D" w:themeColor="text1" w:themeTint="F2"/>
                          <w:lang w:val="es-419"/>
                        </w:rPr>
                      </w:pPr>
                    </w:p>
                  </w:txbxContent>
                </v:textbox>
              </v:shape>
            </w:pict>
          </mc:Fallback>
        </mc:AlternateContent>
      </w:r>
      <w:r w:rsidR="004E2649" w:rsidRPr="007A7B03">
        <w:rPr>
          <w:rFonts w:asciiTheme="majorHAnsi" w:hAnsiTheme="majorHAnsi"/>
          <w:noProof/>
          <w:sz w:val="20"/>
          <w:szCs w:val="20"/>
        </w:rPr>
        <mc:AlternateContent>
          <mc:Choice Requires="wps">
            <w:drawing>
              <wp:anchor distT="0" distB="0" distL="114300" distR="114300" simplePos="0" relativeHeight="251685888" behindDoc="0" locked="0" layoutInCell="1" allowOverlap="1" wp14:anchorId="32CFA8F6" wp14:editId="7873316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A6144" w14:textId="1BC64616" w:rsidR="004F6491" w:rsidRPr="00012F06" w:rsidRDefault="004F6491" w:rsidP="004F6491">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w:t>
                            </w:r>
                            <w:r w:rsidRPr="00012F06">
                              <w:rPr>
                                <w:rFonts w:asciiTheme="minorHAnsi" w:hAnsiTheme="minorHAnsi"/>
                                <w:color w:val="FFFFFF" w:themeColor="background1"/>
                                <w:sz w:val="22"/>
                                <w:lang w:val="pt-BR"/>
                              </w:rPr>
                              <w:t>/II.</w:t>
                            </w:r>
                          </w:p>
                          <w:p w14:paraId="6E9259BF" w14:textId="109B5861" w:rsidR="004F6491" w:rsidRPr="00012F06" w:rsidRDefault="00012F06" w:rsidP="004F6491">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212</w:t>
                            </w:r>
                          </w:p>
                          <w:p w14:paraId="7F89F1BD" w14:textId="6F8FC208" w:rsidR="004F6491" w:rsidRPr="001B4C00" w:rsidRDefault="00012F06" w:rsidP="004F6491">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23 julio</w:t>
                            </w:r>
                            <w:r w:rsidR="004F6491" w:rsidRPr="00012F06">
                              <w:rPr>
                                <w:rFonts w:asciiTheme="minorHAnsi" w:hAnsiTheme="minorHAnsi"/>
                                <w:color w:val="FFFFFF" w:themeColor="background1"/>
                                <w:sz w:val="22"/>
                                <w:lang w:val="es-ES"/>
                              </w:rPr>
                              <w:t xml:space="preserve"> 2020</w:t>
                            </w:r>
                          </w:p>
                          <w:p w14:paraId="6A0BDB84" w14:textId="77777777" w:rsidR="004F6491" w:rsidRPr="001B4C00" w:rsidRDefault="004F6491" w:rsidP="004F6491">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Pr>
                                <w:rFonts w:asciiTheme="minorHAnsi" w:hAnsiTheme="minorHAnsi"/>
                                <w:color w:val="FFFFFF" w:themeColor="background1"/>
                                <w:sz w:val="22"/>
                                <w:lang w:val="es-ES"/>
                              </w:rPr>
                              <w:t>inglés</w:t>
                            </w:r>
                          </w:p>
                          <w:p w14:paraId="07807EEE" w14:textId="3ED3FCEA" w:rsidR="002A0CBE" w:rsidRPr="001B4C00" w:rsidRDefault="002A0CBE" w:rsidP="007A5817">
                            <w:pPr>
                              <w:spacing w:line="276" w:lineRule="auto"/>
                              <w:jc w:val="right"/>
                              <w:rPr>
                                <w:rFonts w:asciiTheme="minorHAnsi" w:hAnsiTheme="minorHAnsi"/>
                                <w:color w:val="FFFFFF" w:themeColor="background1"/>
                                <w:sz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CFA8F6" id="Text Box 8" o:spid="_x0000_s1028"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59A6144" w14:textId="1BC64616" w:rsidR="004F6491" w:rsidRPr="00012F06" w:rsidRDefault="004F6491" w:rsidP="004F6491">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w:t>
                      </w:r>
                      <w:r w:rsidRPr="00012F06">
                        <w:rPr>
                          <w:rFonts w:asciiTheme="minorHAnsi" w:hAnsiTheme="minorHAnsi"/>
                          <w:color w:val="FFFFFF" w:themeColor="background1"/>
                          <w:sz w:val="22"/>
                          <w:lang w:val="pt-BR"/>
                        </w:rPr>
                        <w:t>/II.</w:t>
                      </w:r>
                    </w:p>
                    <w:p w14:paraId="6E9259BF" w14:textId="109B5861" w:rsidR="004F6491" w:rsidRPr="00012F06" w:rsidRDefault="00012F06" w:rsidP="004F6491">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212</w:t>
                      </w:r>
                    </w:p>
                    <w:p w14:paraId="7F89F1BD" w14:textId="6F8FC208" w:rsidR="004F6491" w:rsidRPr="001B4C00" w:rsidRDefault="00012F06" w:rsidP="004F6491">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23 julio</w:t>
                      </w:r>
                      <w:r w:rsidR="004F6491" w:rsidRPr="00012F06">
                        <w:rPr>
                          <w:rFonts w:asciiTheme="minorHAnsi" w:hAnsiTheme="minorHAnsi"/>
                          <w:color w:val="FFFFFF" w:themeColor="background1"/>
                          <w:sz w:val="22"/>
                          <w:lang w:val="es-ES"/>
                        </w:rPr>
                        <w:t xml:space="preserve"> 2020</w:t>
                      </w:r>
                    </w:p>
                    <w:p w14:paraId="6A0BDB84" w14:textId="77777777" w:rsidR="004F6491" w:rsidRPr="001B4C00" w:rsidRDefault="004F6491" w:rsidP="004F6491">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Pr>
                          <w:rFonts w:asciiTheme="minorHAnsi" w:hAnsiTheme="minorHAnsi"/>
                          <w:color w:val="FFFFFF" w:themeColor="background1"/>
                          <w:sz w:val="22"/>
                          <w:lang w:val="es-ES"/>
                        </w:rPr>
                        <w:t>inglés</w:t>
                      </w:r>
                    </w:p>
                    <w:p w14:paraId="07807EEE" w14:textId="3ED3FCEA" w:rsidR="002A0CBE" w:rsidRPr="001B4C00" w:rsidRDefault="002A0CBE" w:rsidP="007A5817">
                      <w:pPr>
                        <w:spacing w:line="276" w:lineRule="auto"/>
                        <w:jc w:val="right"/>
                        <w:rPr>
                          <w:rFonts w:asciiTheme="minorHAnsi" w:hAnsiTheme="minorHAnsi"/>
                          <w:color w:val="FFFFFF" w:themeColor="background1"/>
                          <w:sz w:val="22"/>
                          <w:lang w:val="es-ES"/>
                        </w:rPr>
                      </w:pPr>
                    </w:p>
                  </w:txbxContent>
                </v:textbox>
              </v:shape>
            </w:pict>
          </mc:Fallback>
        </mc:AlternateContent>
      </w:r>
    </w:p>
    <w:p w14:paraId="20D88CC7"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2E9D77CD"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6A09B9B7" w14:textId="77777777" w:rsidR="00040C3A" w:rsidRPr="007A7B03" w:rsidRDefault="00040C3A" w:rsidP="00812224">
      <w:pPr>
        <w:tabs>
          <w:tab w:val="center" w:pos="5400"/>
        </w:tabs>
        <w:suppressAutoHyphens/>
        <w:jc w:val="center"/>
        <w:rPr>
          <w:rFonts w:asciiTheme="majorHAnsi" w:hAnsiTheme="majorHAnsi" w:cs="Arial"/>
          <w:sz w:val="20"/>
          <w:szCs w:val="20"/>
          <w:lang w:val="es-419"/>
        </w:rPr>
      </w:pPr>
    </w:p>
    <w:p w14:paraId="1226998E"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6DDDA650"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6B424112"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67C75309"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64C97814" w14:textId="77777777" w:rsidR="005128E4" w:rsidRPr="007A7B03" w:rsidRDefault="005128E4" w:rsidP="00812224">
      <w:pPr>
        <w:tabs>
          <w:tab w:val="center" w:pos="5400"/>
        </w:tabs>
        <w:suppressAutoHyphens/>
        <w:jc w:val="center"/>
        <w:rPr>
          <w:rFonts w:asciiTheme="majorHAnsi" w:hAnsiTheme="majorHAnsi"/>
          <w:sz w:val="20"/>
          <w:szCs w:val="20"/>
          <w:lang w:val="es-419"/>
        </w:rPr>
      </w:pPr>
    </w:p>
    <w:p w14:paraId="2010821E"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345C6D20" w14:textId="77777777" w:rsidR="005128E4" w:rsidRPr="007A7B03" w:rsidRDefault="005128E4" w:rsidP="00812224">
      <w:pPr>
        <w:tabs>
          <w:tab w:val="center" w:pos="5400"/>
        </w:tabs>
        <w:suppressAutoHyphens/>
        <w:jc w:val="center"/>
        <w:rPr>
          <w:rFonts w:asciiTheme="majorHAnsi" w:hAnsiTheme="majorHAnsi"/>
          <w:sz w:val="20"/>
          <w:szCs w:val="20"/>
          <w:lang w:val="es-419"/>
        </w:rPr>
      </w:pPr>
    </w:p>
    <w:p w14:paraId="58D32F41" w14:textId="77777777" w:rsidR="005128E4" w:rsidRPr="007A7B03" w:rsidRDefault="005128E4" w:rsidP="00812224">
      <w:pPr>
        <w:tabs>
          <w:tab w:val="center" w:pos="5400"/>
        </w:tabs>
        <w:suppressAutoHyphens/>
        <w:jc w:val="center"/>
        <w:rPr>
          <w:rFonts w:asciiTheme="majorHAnsi" w:hAnsiTheme="majorHAnsi"/>
          <w:sz w:val="20"/>
          <w:szCs w:val="20"/>
          <w:lang w:val="es-419"/>
        </w:rPr>
      </w:pPr>
    </w:p>
    <w:p w14:paraId="38C8A728" w14:textId="77777777" w:rsidR="005128E4" w:rsidRPr="007A7B03" w:rsidRDefault="005128E4" w:rsidP="00812224">
      <w:pPr>
        <w:tabs>
          <w:tab w:val="center" w:pos="5400"/>
        </w:tabs>
        <w:suppressAutoHyphens/>
        <w:jc w:val="center"/>
        <w:rPr>
          <w:rFonts w:asciiTheme="majorHAnsi" w:hAnsiTheme="majorHAnsi"/>
          <w:sz w:val="20"/>
          <w:szCs w:val="20"/>
          <w:lang w:val="es-419"/>
        </w:rPr>
      </w:pPr>
    </w:p>
    <w:p w14:paraId="04C17B82"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0DABD2C4" w14:textId="77777777" w:rsidR="00040C3A" w:rsidRPr="007A7B03" w:rsidRDefault="00040C3A" w:rsidP="00812224">
      <w:pPr>
        <w:tabs>
          <w:tab w:val="center" w:pos="5400"/>
        </w:tabs>
        <w:suppressAutoHyphens/>
        <w:jc w:val="center"/>
        <w:rPr>
          <w:rFonts w:asciiTheme="majorHAnsi" w:hAnsiTheme="majorHAnsi"/>
          <w:sz w:val="20"/>
          <w:szCs w:val="20"/>
          <w:lang w:val="es-419"/>
        </w:rPr>
      </w:pPr>
    </w:p>
    <w:p w14:paraId="13C166F2"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7D971F29"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29937283"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189CE6EE"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5653FC0C"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6EF92C0D"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681BEACD"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120BB2E3"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65DA5DF8"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0553D315"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7BD573E3"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46CBD28F"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1459A4F9"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4E1AA2F2"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6EEA0A7C" w14:textId="77777777" w:rsidR="00A50FCF" w:rsidRPr="007A7B03" w:rsidRDefault="0090270B" w:rsidP="00812224">
      <w:pPr>
        <w:tabs>
          <w:tab w:val="center" w:pos="5400"/>
        </w:tabs>
        <w:suppressAutoHyphens/>
        <w:jc w:val="center"/>
        <w:rPr>
          <w:rFonts w:asciiTheme="majorHAnsi" w:hAnsiTheme="majorHAnsi"/>
          <w:sz w:val="20"/>
          <w:szCs w:val="20"/>
          <w:lang w:val="es-419"/>
        </w:rPr>
      </w:pPr>
      <w:r w:rsidRPr="007A7B0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57BB2CD" wp14:editId="5587466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FB0D4" w14:textId="47228D9E" w:rsidR="00516389" w:rsidRPr="00890650" w:rsidRDefault="00516389" w:rsidP="004F6491">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_tradnl"/>
                              </w:rPr>
                              <w:t xml:space="preserve">Aprobado electrónicamente por la Comisión el </w:t>
                            </w:r>
                            <w:r w:rsidR="00AF6E01">
                              <w:rPr>
                                <w:rFonts w:asciiTheme="majorHAnsi" w:hAnsiTheme="majorHAnsi" w:cs="Univers"/>
                                <w:color w:val="0D0D0D" w:themeColor="text1" w:themeTint="F2"/>
                                <w:sz w:val="18"/>
                                <w:szCs w:val="20"/>
                                <w:lang w:val="es-ES_tradnl"/>
                              </w:rPr>
                              <w:t>23 de julio de 2020.</w:t>
                            </w:r>
                          </w:p>
                          <w:p w14:paraId="0695653B" w14:textId="77777777" w:rsidR="002A0CBE" w:rsidRPr="004F6491" w:rsidRDefault="002A0CBE"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C593C36" w14:textId="77777777" w:rsidR="002A0CBE" w:rsidRPr="004F6491" w:rsidRDefault="002A0CBE" w:rsidP="0059191A">
                            <w:pPr>
                              <w:tabs>
                                <w:tab w:val="center" w:pos="5400"/>
                              </w:tabs>
                              <w:suppressAutoHyphens/>
                              <w:spacing w:before="60"/>
                              <w:rPr>
                                <w:rFonts w:ascii="Calibri" w:hAnsi="Calibri"/>
                                <w:color w:val="FFFFFF" w:themeColor="background1"/>
                                <w:spacing w:val="-2"/>
                                <w:sz w:val="16"/>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7BB2C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85FB0D4" w14:textId="47228D9E" w:rsidR="00516389" w:rsidRPr="00890650" w:rsidRDefault="00516389" w:rsidP="004F6491">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_tradnl"/>
                        </w:rPr>
                        <w:t xml:space="preserve">Aprobado electrónicamente por la Comisión el </w:t>
                      </w:r>
                      <w:r w:rsidR="00AF6E01">
                        <w:rPr>
                          <w:rFonts w:asciiTheme="majorHAnsi" w:hAnsiTheme="majorHAnsi" w:cs="Univers"/>
                          <w:color w:val="0D0D0D" w:themeColor="text1" w:themeTint="F2"/>
                          <w:sz w:val="18"/>
                          <w:szCs w:val="20"/>
                          <w:lang w:val="es-ES_tradnl"/>
                        </w:rPr>
                        <w:t>23 de julio de 2020.</w:t>
                      </w:r>
                    </w:p>
                    <w:p w14:paraId="0695653B" w14:textId="77777777" w:rsidR="002A0CBE" w:rsidRPr="004F6491" w:rsidRDefault="002A0CBE"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C593C36" w14:textId="77777777" w:rsidR="002A0CBE" w:rsidRPr="004F6491" w:rsidRDefault="002A0CBE" w:rsidP="0059191A">
                      <w:pPr>
                        <w:tabs>
                          <w:tab w:val="center" w:pos="5400"/>
                        </w:tabs>
                        <w:suppressAutoHyphens/>
                        <w:spacing w:before="60"/>
                        <w:rPr>
                          <w:rFonts w:ascii="Calibri" w:hAnsi="Calibri"/>
                          <w:color w:val="FFFFFF" w:themeColor="background1"/>
                          <w:spacing w:val="-2"/>
                          <w:sz w:val="16"/>
                          <w:lang w:val="es-419"/>
                        </w:rPr>
                      </w:pPr>
                    </w:p>
                  </w:txbxContent>
                </v:textbox>
              </v:shape>
            </w:pict>
          </mc:Fallback>
        </mc:AlternateContent>
      </w:r>
    </w:p>
    <w:p w14:paraId="23A11875"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7633F912"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42E72D10"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39B88CAA"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77F92507" w14:textId="77777777" w:rsidR="00A50FCF" w:rsidRPr="007A7B03" w:rsidRDefault="0090270B" w:rsidP="00812224">
      <w:pPr>
        <w:tabs>
          <w:tab w:val="center" w:pos="5400"/>
        </w:tabs>
        <w:suppressAutoHyphens/>
        <w:jc w:val="center"/>
        <w:rPr>
          <w:rFonts w:asciiTheme="majorHAnsi" w:hAnsiTheme="majorHAnsi"/>
          <w:sz w:val="20"/>
          <w:szCs w:val="20"/>
          <w:lang w:val="es-419"/>
        </w:rPr>
      </w:pPr>
      <w:r w:rsidRPr="007A7B0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1A5A947" wp14:editId="0B5BCEE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0A7C8" w14:textId="65B64F64" w:rsidR="00974A9F" w:rsidRPr="007B05C4" w:rsidRDefault="00974A9F" w:rsidP="00974A9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AF6E01">
                              <w:rPr>
                                <w:rFonts w:asciiTheme="majorHAnsi" w:hAnsiTheme="majorHAnsi"/>
                                <w:color w:val="595959" w:themeColor="text1" w:themeTint="A6"/>
                                <w:sz w:val="18"/>
                                <w:szCs w:val="18"/>
                                <w:lang w:val="pt-BR"/>
                              </w:rPr>
                              <w:t xml:space="preserve"> 524-16.</w:t>
                            </w:r>
                            <w:r w:rsidRPr="00AF6E01">
                              <w:rPr>
                                <w:rFonts w:asciiTheme="majorHAnsi" w:hAnsiTheme="majorHAnsi"/>
                                <w:color w:val="595959" w:themeColor="text1" w:themeTint="A6"/>
                                <w:sz w:val="18"/>
                                <w:szCs w:val="18"/>
                                <w:lang w:val="pt-BR"/>
                              </w:rPr>
                              <w:t xml:space="preserve"> </w:t>
                            </w:r>
                            <w:r w:rsidR="00516389" w:rsidRPr="00AF6E01">
                              <w:rPr>
                                <w:rFonts w:asciiTheme="majorHAnsi" w:hAnsiTheme="majorHAnsi"/>
                                <w:color w:val="595959" w:themeColor="text1" w:themeTint="A6"/>
                                <w:sz w:val="18"/>
                                <w:szCs w:val="18"/>
                                <w:lang w:val="es-419"/>
                              </w:rPr>
                              <w:t xml:space="preserve">Petición </w:t>
                            </w:r>
                            <w:r>
                              <w:rPr>
                                <w:rFonts w:asciiTheme="majorHAnsi" w:hAnsiTheme="majorHAnsi"/>
                                <w:color w:val="595959" w:themeColor="text1" w:themeTint="A6"/>
                                <w:sz w:val="18"/>
                                <w:szCs w:val="18"/>
                                <w:lang w:val="es-ES_tradnl"/>
                              </w:rPr>
                              <w:t>P-524</w:t>
                            </w:r>
                            <w:r w:rsidRPr="00762424">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Admisibilidad</w:t>
                            </w:r>
                            <w:r>
                              <w:rPr>
                                <w:rFonts w:asciiTheme="majorHAnsi" w:hAnsiTheme="majorHAnsi"/>
                                <w:color w:val="595959" w:themeColor="text1" w:themeTint="A6"/>
                                <w:sz w:val="18"/>
                                <w:szCs w:val="18"/>
                                <w:lang w:val="es-ES_tradnl"/>
                              </w:rPr>
                              <w:t xml:space="preserve">. </w:t>
                            </w:r>
                            <w:r w:rsidRPr="00974A9F">
                              <w:rPr>
                                <w:rFonts w:asciiTheme="majorHAnsi" w:hAnsiTheme="majorHAnsi"/>
                                <w:color w:val="595959" w:themeColor="text1" w:themeTint="A6"/>
                                <w:sz w:val="18"/>
                                <w:szCs w:val="18"/>
                                <w:lang w:val="es-ES_tradnl"/>
                              </w:rPr>
                              <w:t>Anastasio Hern</w:t>
                            </w:r>
                            <w:r w:rsidR="008D732E">
                              <w:rPr>
                                <w:rFonts w:asciiTheme="majorHAnsi" w:hAnsiTheme="majorHAnsi"/>
                                <w:color w:val="595959" w:themeColor="text1" w:themeTint="A6"/>
                                <w:sz w:val="18"/>
                                <w:szCs w:val="18"/>
                                <w:lang w:val="es-ES_tradnl"/>
                              </w:rPr>
                              <w:t>á</w:t>
                            </w:r>
                            <w:r w:rsidRPr="00974A9F">
                              <w:rPr>
                                <w:rFonts w:asciiTheme="majorHAnsi" w:hAnsiTheme="majorHAnsi"/>
                                <w:color w:val="595959" w:themeColor="text1" w:themeTint="A6"/>
                                <w:sz w:val="18"/>
                                <w:szCs w:val="18"/>
                                <w:lang w:val="es-ES_tradnl"/>
                              </w:rPr>
                              <w:t xml:space="preserve">ndez Rojas </w:t>
                            </w:r>
                            <w:r>
                              <w:rPr>
                                <w:rFonts w:asciiTheme="majorHAnsi" w:hAnsiTheme="majorHAnsi"/>
                                <w:color w:val="595959" w:themeColor="text1" w:themeTint="A6"/>
                                <w:sz w:val="18"/>
                                <w:szCs w:val="18"/>
                                <w:lang w:val="es-ES_tradnl"/>
                              </w:rPr>
                              <w:t>y</w:t>
                            </w:r>
                            <w:r w:rsidRPr="00762424">
                              <w:rPr>
                                <w:rFonts w:asciiTheme="majorHAnsi" w:hAnsiTheme="majorHAnsi"/>
                                <w:color w:val="595959" w:themeColor="text1" w:themeTint="A6"/>
                                <w:sz w:val="18"/>
                                <w:szCs w:val="18"/>
                                <w:lang w:val="es-ES_tradnl"/>
                              </w:rPr>
                              <w:t xml:space="preserve"> Familia</w:t>
                            </w:r>
                            <w:r w:rsidRPr="00890650">
                              <w:rPr>
                                <w:rFonts w:asciiTheme="majorHAnsi" w:hAnsiTheme="majorHAnsi"/>
                                <w:color w:val="595959" w:themeColor="text1" w:themeTint="A6"/>
                                <w:sz w:val="18"/>
                                <w:szCs w:val="18"/>
                                <w:lang w:val="es-ES_tradnl"/>
                              </w:rPr>
                              <w:t xml:space="preserve">. </w:t>
                            </w:r>
                            <w:r w:rsidR="008D732E">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sidR="00AF6E01">
                              <w:rPr>
                                <w:rFonts w:asciiTheme="majorHAnsi" w:hAnsiTheme="majorHAnsi"/>
                                <w:color w:val="595959" w:themeColor="text1" w:themeTint="A6"/>
                                <w:sz w:val="18"/>
                                <w:szCs w:val="18"/>
                                <w:lang w:val="es-ES"/>
                              </w:rPr>
                              <w:t>23 de julio de 2020</w:t>
                            </w:r>
                            <w:r w:rsidRPr="007B05C4">
                              <w:rPr>
                                <w:rFonts w:asciiTheme="majorHAnsi" w:hAnsiTheme="majorHAnsi"/>
                                <w:color w:val="595959" w:themeColor="text1" w:themeTint="A6"/>
                                <w:sz w:val="18"/>
                                <w:szCs w:val="18"/>
                                <w:lang w:val="es-ES"/>
                              </w:rPr>
                              <w:t>.</w:t>
                            </w:r>
                          </w:p>
                          <w:p w14:paraId="02104362" w14:textId="5C9AF89E" w:rsidR="002A0CBE" w:rsidRPr="007B05C4" w:rsidRDefault="002A0CBE"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A5A94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040A7C8" w14:textId="65B64F64" w:rsidR="00974A9F" w:rsidRPr="007B05C4" w:rsidRDefault="00974A9F" w:rsidP="00974A9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AF6E01">
                        <w:rPr>
                          <w:rFonts w:asciiTheme="majorHAnsi" w:hAnsiTheme="majorHAnsi"/>
                          <w:color w:val="595959" w:themeColor="text1" w:themeTint="A6"/>
                          <w:sz w:val="18"/>
                          <w:szCs w:val="18"/>
                          <w:lang w:val="pt-BR"/>
                        </w:rPr>
                        <w:t xml:space="preserve"> 524-16.</w:t>
                      </w:r>
                      <w:r w:rsidRPr="00AF6E01">
                        <w:rPr>
                          <w:rFonts w:asciiTheme="majorHAnsi" w:hAnsiTheme="majorHAnsi"/>
                          <w:color w:val="595959" w:themeColor="text1" w:themeTint="A6"/>
                          <w:sz w:val="18"/>
                          <w:szCs w:val="18"/>
                          <w:lang w:val="pt-BR"/>
                        </w:rPr>
                        <w:t xml:space="preserve"> </w:t>
                      </w:r>
                      <w:r w:rsidR="00516389" w:rsidRPr="00AF6E01">
                        <w:rPr>
                          <w:rFonts w:asciiTheme="majorHAnsi" w:hAnsiTheme="majorHAnsi"/>
                          <w:color w:val="595959" w:themeColor="text1" w:themeTint="A6"/>
                          <w:sz w:val="18"/>
                          <w:szCs w:val="18"/>
                          <w:lang w:val="es-419"/>
                        </w:rPr>
                        <w:t xml:space="preserve">Petición </w:t>
                      </w:r>
                      <w:r>
                        <w:rPr>
                          <w:rFonts w:asciiTheme="majorHAnsi" w:hAnsiTheme="majorHAnsi"/>
                          <w:color w:val="595959" w:themeColor="text1" w:themeTint="A6"/>
                          <w:sz w:val="18"/>
                          <w:szCs w:val="18"/>
                          <w:lang w:val="es-ES_tradnl"/>
                        </w:rPr>
                        <w:t>P-524</w:t>
                      </w:r>
                      <w:r w:rsidRPr="00762424">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Admisibilidad</w:t>
                      </w:r>
                      <w:r>
                        <w:rPr>
                          <w:rFonts w:asciiTheme="majorHAnsi" w:hAnsiTheme="majorHAnsi"/>
                          <w:color w:val="595959" w:themeColor="text1" w:themeTint="A6"/>
                          <w:sz w:val="18"/>
                          <w:szCs w:val="18"/>
                          <w:lang w:val="es-ES_tradnl"/>
                        </w:rPr>
                        <w:t xml:space="preserve">. </w:t>
                      </w:r>
                      <w:r w:rsidRPr="00974A9F">
                        <w:rPr>
                          <w:rFonts w:asciiTheme="majorHAnsi" w:hAnsiTheme="majorHAnsi"/>
                          <w:color w:val="595959" w:themeColor="text1" w:themeTint="A6"/>
                          <w:sz w:val="18"/>
                          <w:szCs w:val="18"/>
                          <w:lang w:val="es-ES_tradnl"/>
                        </w:rPr>
                        <w:t>Anastasio Hern</w:t>
                      </w:r>
                      <w:r w:rsidR="008D732E">
                        <w:rPr>
                          <w:rFonts w:asciiTheme="majorHAnsi" w:hAnsiTheme="majorHAnsi"/>
                          <w:color w:val="595959" w:themeColor="text1" w:themeTint="A6"/>
                          <w:sz w:val="18"/>
                          <w:szCs w:val="18"/>
                          <w:lang w:val="es-ES_tradnl"/>
                        </w:rPr>
                        <w:t>á</w:t>
                      </w:r>
                      <w:r w:rsidRPr="00974A9F">
                        <w:rPr>
                          <w:rFonts w:asciiTheme="majorHAnsi" w:hAnsiTheme="majorHAnsi"/>
                          <w:color w:val="595959" w:themeColor="text1" w:themeTint="A6"/>
                          <w:sz w:val="18"/>
                          <w:szCs w:val="18"/>
                          <w:lang w:val="es-ES_tradnl"/>
                        </w:rPr>
                        <w:t xml:space="preserve">ndez Rojas </w:t>
                      </w:r>
                      <w:r>
                        <w:rPr>
                          <w:rFonts w:asciiTheme="majorHAnsi" w:hAnsiTheme="majorHAnsi"/>
                          <w:color w:val="595959" w:themeColor="text1" w:themeTint="A6"/>
                          <w:sz w:val="18"/>
                          <w:szCs w:val="18"/>
                          <w:lang w:val="es-ES_tradnl"/>
                        </w:rPr>
                        <w:t>y</w:t>
                      </w:r>
                      <w:r w:rsidRPr="00762424">
                        <w:rPr>
                          <w:rFonts w:asciiTheme="majorHAnsi" w:hAnsiTheme="majorHAnsi"/>
                          <w:color w:val="595959" w:themeColor="text1" w:themeTint="A6"/>
                          <w:sz w:val="18"/>
                          <w:szCs w:val="18"/>
                          <w:lang w:val="es-ES_tradnl"/>
                        </w:rPr>
                        <w:t xml:space="preserve"> Familia</w:t>
                      </w:r>
                      <w:r w:rsidRPr="00890650">
                        <w:rPr>
                          <w:rFonts w:asciiTheme="majorHAnsi" w:hAnsiTheme="majorHAnsi"/>
                          <w:color w:val="595959" w:themeColor="text1" w:themeTint="A6"/>
                          <w:sz w:val="18"/>
                          <w:szCs w:val="18"/>
                          <w:lang w:val="es-ES_tradnl"/>
                        </w:rPr>
                        <w:t xml:space="preserve">. </w:t>
                      </w:r>
                      <w:r w:rsidR="008D732E">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sidR="00AF6E01">
                        <w:rPr>
                          <w:rFonts w:asciiTheme="majorHAnsi" w:hAnsiTheme="majorHAnsi"/>
                          <w:color w:val="595959" w:themeColor="text1" w:themeTint="A6"/>
                          <w:sz w:val="18"/>
                          <w:szCs w:val="18"/>
                          <w:lang w:val="es-ES"/>
                        </w:rPr>
                        <w:t>23 de julio de 2020</w:t>
                      </w:r>
                      <w:r w:rsidRPr="007B05C4">
                        <w:rPr>
                          <w:rFonts w:asciiTheme="majorHAnsi" w:hAnsiTheme="majorHAnsi"/>
                          <w:color w:val="595959" w:themeColor="text1" w:themeTint="A6"/>
                          <w:sz w:val="18"/>
                          <w:szCs w:val="18"/>
                          <w:lang w:val="es-ES"/>
                        </w:rPr>
                        <w:t>.</w:t>
                      </w:r>
                    </w:p>
                    <w:p w14:paraId="02104362" w14:textId="5C9AF89E" w:rsidR="002A0CBE" w:rsidRPr="007B05C4" w:rsidRDefault="002A0CBE"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2C0E847E" w14:textId="77777777" w:rsidR="00A50FCF" w:rsidRPr="007A7B03" w:rsidRDefault="00A50FCF" w:rsidP="00812224">
      <w:pPr>
        <w:tabs>
          <w:tab w:val="center" w:pos="5400"/>
        </w:tabs>
        <w:suppressAutoHyphens/>
        <w:jc w:val="center"/>
        <w:rPr>
          <w:rFonts w:asciiTheme="majorHAnsi" w:hAnsiTheme="majorHAnsi"/>
          <w:sz w:val="20"/>
          <w:szCs w:val="20"/>
          <w:lang w:val="es-419"/>
        </w:rPr>
      </w:pPr>
    </w:p>
    <w:p w14:paraId="43FD8E7F" w14:textId="77777777" w:rsidR="0090270B" w:rsidRPr="007A7B03" w:rsidRDefault="00D306D1" w:rsidP="00812224">
      <w:pPr>
        <w:tabs>
          <w:tab w:val="center" w:pos="5400"/>
        </w:tabs>
        <w:suppressAutoHyphens/>
        <w:jc w:val="center"/>
        <w:rPr>
          <w:rFonts w:asciiTheme="majorHAnsi" w:hAnsiTheme="majorHAnsi"/>
          <w:b/>
          <w:sz w:val="20"/>
          <w:szCs w:val="20"/>
          <w:lang w:val="es-419"/>
        </w:rPr>
      </w:pPr>
      <w:r w:rsidRPr="007A7B0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C1E3489" wp14:editId="0DD24ED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F3446" w14:textId="0F4CEE9A" w:rsidR="002A0CBE" w:rsidRPr="00D72DC6" w:rsidRDefault="008D732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56A33FC" wp14:editId="2658FA34">
                                  <wp:extent cx="1520041" cy="391030"/>
                                  <wp:effectExtent l="0" t="0" r="444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29386" cy="3934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1E348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06F3446" w14:textId="0F4CEE9A" w:rsidR="002A0CBE" w:rsidRPr="00D72DC6" w:rsidRDefault="008D732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56A33FC" wp14:editId="2658FA34">
                            <wp:extent cx="1520041" cy="391030"/>
                            <wp:effectExtent l="0" t="0" r="444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29386" cy="393434"/>
                                    </a:xfrm>
                                    <a:prstGeom prst="rect">
                                      <a:avLst/>
                                    </a:prstGeom>
                                    <a:noFill/>
                                    <a:ln>
                                      <a:noFill/>
                                    </a:ln>
                                  </pic:spPr>
                                </pic:pic>
                              </a:graphicData>
                            </a:graphic>
                          </wp:inline>
                        </w:drawing>
                      </w:r>
                    </w:p>
                  </w:txbxContent>
                </v:textbox>
              </v:shape>
            </w:pict>
          </mc:Fallback>
        </mc:AlternateContent>
      </w:r>
      <w:r w:rsidRPr="007A7B0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826D36F" wp14:editId="648A40E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5FB1E" w14:textId="77777777" w:rsidR="002A0CBE" w:rsidRPr="004B7EB6" w:rsidRDefault="002A0CB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26D36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055FB1E" w14:textId="77777777" w:rsidR="002A0CBE" w:rsidRPr="004B7EB6" w:rsidRDefault="002A0CB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15064DE" w14:textId="394F473D" w:rsidR="0070697F" w:rsidRPr="007A7B03" w:rsidRDefault="004A6A54" w:rsidP="00812224">
      <w:pPr>
        <w:tabs>
          <w:tab w:val="center" w:pos="5400"/>
        </w:tabs>
        <w:suppressAutoHyphens/>
        <w:jc w:val="center"/>
        <w:rPr>
          <w:rFonts w:asciiTheme="majorHAnsi" w:hAnsiTheme="majorHAnsi"/>
          <w:b/>
          <w:sz w:val="20"/>
          <w:szCs w:val="20"/>
          <w:lang w:val="es-419"/>
        </w:rPr>
        <w:sectPr w:rsidR="0070697F" w:rsidRPr="007A7B03"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A7B03">
        <w:rPr>
          <w:rFonts w:asciiTheme="majorHAnsi" w:hAnsiTheme="majorHAnsi"/>
          <w:b/>
          <w:sz w:val="20"/>
          <w:szCs w:val="20"/>
          <w:lang w:val="es-419"/>
        </w:rPr>
        <w:tab/>
      </w:r>
    </w:p>
    <w:p w14:paraId="08C28127" w14:textId="562B712F" w:rsidR="006C39D6" w:rsidRPr="007A7B03" w:rsidRDefault="003239B8" w:rsidP="00233C60">
      <w:pPr>
        <w:spacing w:after="120"/>
        <w:ind w:firstLine="720"/>
        <w:jc w:val="both"/>
        <w:rPr>
          <w:rFonts w:asciiTheme="majorHAnsi" w:hAnsiTheme="majorHAnsi"/>
          <w:b/>
          <w:bCs/>
          <w:sz w:val="20"/>
          <w:szCs w:val="20"/>
          <w:lang w:val="es-419"/>
        </w:rPr>
      </w:pPr>
      <w:r w:rsidRPr="007A7B03">
        <w:rPr>
          <w:rFonts w:asciiTheme="majorHAnsi" w:hAnsiTheme="majorHAnsi"/>
          <w:b/>
          <w:bCs/>
          <w:sz w:val="20"/>
          <w:szCs w:val="20"/>
          <w:lang w:val="es-419"/>
        </w:rPr>
        <w:lastRenderedPageBreak/>
        <w:t>I.</w:t>
      </w:r>
      <w:r w:rsidRPr="007A7B03">
        <w:rPr>
          <w:rFonts w:asciiTheme="majorHAnsi" w:hAnsiTheme="majorHAnsi"/>
          <w:b/>
          <w:bCs/>
          <w:sz w:val="20"/>
          <w:szCs w:val="20"/>
          <w:lang w:val="es-419"/>
        </w:rPr>
        <w:tab/>
      </w:r>
      <w:r w:rsidR="006C39D6" w:rsidRPr="007A7B03">
        <w:rPr>
          <w:rFonts w:asciiTheme="majorHAnsi" w:hAnsiTheme="majorHAnsi"/>
          <w:b/>
          <w:bCs/>
          <w:sz w:val="20"/>
          <w:szCs w:val="20"/>
          <w:lang w:val="es-419"/>
        </w:rPr>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233C60" w:rsidRPr="00922EFD" w14:paraId="0A64BB87" w14:textId="77777777" w:rsidTr="00233C60">
        <w:tc>
          <w:tcPr>
            <w:tcW w:w="2767" w:type="dxa"/>
            <w:tcBorders>
              <w:top w:val="single" w:sz="4" w:space="0" w:color="auto"/>
              <w:bottom w:val="single" w:sz="6" w:space="0" w:color="auto"/>
            </w:tcBorders>
            <w:shd w:val="clear" w:color="auto" w:fill="386294"/>
            <w:vAlign w:val="center"/>
          </w:tcPr>
          <w:p w14:paraId="25BAB7E8" w14:textId="77777777" w:rsidR="00233C60" w:rsidRPr="007A7B03" w:rsidRDefault="00233C60" w:rsidP="00233C6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Parte peticionaria</w:t>
            </w:r>
          </w:p>
        </w:tc>
        <w:tc>
          <w:tcPr>
            <w:tcW w:w="6593" w:type="dxa"/>
            <w:vAlign w:val="center"/>
          </w:tcPr>
          <w:p w14:paraId="4975AD15" w14:textId="0C1332CD" w:rsidR="00EE7E32" w:rsidRPr="007A7B03" w:rsidRDefault="00EE7E32" w:rsidP="00233C60">
            <w:pPr>
              <w:jc w:val="both"/>
              <w:rPr>
                <w:rFonts w:ascii="Cambria" w:hAnsi="Cambria"/>
                <w:bCs/>
                <w:sz w:val="20"/>
                <w:szCs w:val="20"/>
                <w:lang w:val="es-419"/>
              </w:rPr>
            </w:pPr>
            <w:r w:rsidRPr="007A7B03">
              <w:rPr>
                <w:rFonts w:ascii="Cambria" w:hAnsi="Cambria"/>
                <w:bCs/>
                <w:sz w:val="20"/>
                <w:szCs w:val="20"/>
                <w:lang w:val="es-419"/>
              </w:rPr>
              <w:t xml:space="preserve">Clínica de Derecho Internacional de los Derechos Humanos </w:t>
            </w:r>
            <w:r w:rsidR="004A59C4">
              <w:rPr>
                <w:rFonts w:ascii="Cambria" w:hAnsi="Cambria"/>
                <w:bCs/>
                <w:sz w:val="20"/>
                <w:szCs w:val="20"/>
                <w:lang w:val="es-419"/>
              </w:rPr>
              <w:t>de</w:t>
            </w:r>
            <w:r w:rsidRPr="007A7B03">
              <w:rPr>
                <w:rFonts w:ascii="Cambria" w:hAnsi="Cambria"/>
                <w:bCs/>
                <w:sz w:val="20"/>
                <w:szCs w:val="20"/>
                <w:lang w:val="es-419"/>
              </w:rPr>
              <w:t xml:space="preserve"> la Universidad de California (</w:t>
            </w:r>
            <w:proofErr w:type="spellStart"/>
            <w:r w:rsidRPr="007A7B03">
              <w:rPr>
                <w:rFonts w:ascii="Cambria" w:hAnsi="Cambria"/>
                <w:bCs/>
                <w:sz w:val="20"/>
                <w:szCs w:val="20"/>
                <w:lang w:val="es-419"/>
              </w:rPr>
              <w:t>Roxanna</w:t>
            </w:r>
            <w:proofErr w:type="spellEnd"/>
            <w:r w:rsidRPr="007A7B03">
              <w:rPr>
                <w:rFonts w:ascii="Cambria" w:hAnsi="Cambria"/>
                <w:bCs/>
                <w:sz w:val="20"/>
                <w:szCs w:val="20"/>
                <w:lang w:val="es-419"/>
              </w:rPr>
              <w:t xml:space="preserve"> </w:t>
            </w:r>
            <w:proofErr w:type="spellStart"/>
            <w:r w:rsidRPr="007A7B03">
              <w:rPr>
                <w:rFonts w:ascii="Cambria" w:hAnsi="Cambria"/>
                <w:bCs/>
                <w:sz w:val="20"/>
                <w:szCs w:val="20"/>
                <w:lang w:val="es-419"/>
              </w:rPr>
              <w:t>Altholz</w:t>
            </w:r>
            <w:proofErr w:type="spellEnd"/>
            <w:r w:rsidRPr="007A7B03">
              <w:rPr>
                <w:rFonts w:ascii="Cambria" w:hAnsi="Cambria"/>
                <w:bCs/>
                <w:sz w:val="20"/>
                <w:szCs w:val="20"/>
                <w:lang w:val="es-419"/>
              </w:rPr>
              <w:t>) y Alliance San Diego (Andrea Guerrero)</w:t>
            </w:r>
          </w:p>
        </w:tc>
      </w:tr>
      <w:tr w:rsidR="00233C60" w:rsidRPr="00922EFD" w14:paraId="1D3CB238" w14:textId="77777777" w:rsidTr="00233C60">
        <w:tc>
          <w:tcPr>
            <w:tcW w:w="2767" w:type="dxa"/>
            <w:tcBorders>
              <w:top w:val="single" w:sz="6" w:space="0" w:color="auto"/>
              <w:bottom w:val="single" w:sz="6" w:space="0" w:color="auto"/>
            </w:tcBorders>
            <w:shd w:val="clear" w:color="auto" w:fill="386294"/>
            <w:vAlign w:val="center"/>
          </w:tcPr>
          <w:p w14:paraId="557AF173" w14:textId="77777777" w:rsidR="00233C60" w:rsidRPr="007A7B03" w:rsidRDefault="00233C60" w:rsidP="00233C6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Presunta víctima</w:t>
            </w:r>
          </w:p>
        </w:tc>
        <w:tc>
          <w:tcPr>
            <w:tcW w:w="6593" w:type="dxa"/>
            <w:vAlign w:val="center"/>
          </w:tcPr>
          <w:p w14:paraId="71A3FCBA" w14:textId="42E6235F" w:rsidR="00233C60" w:rsidRPr="007A7B03" w:rsidRDefault="00233C60" w:rsidP="00233C60">
            <w:pPr>
              <w:jc w:val="both"/>
              <w:rPr>
                <w:rFonts w:ascii="Cambria" w:hAnsi="Cambria"/>
                <w:bCs/>
                <w:sz w:val="20"/>
                <w:szCs w:val="20"/>
                <w:lang w:val="es-419"/>
              </w:rPr>
            </w:pPr>
            <w:r w:rsidRPr="007A7B03">
              <w:rPr>
                <w:rFonts w:asciiTheme="majorHAnsi" w:hAnsiTheme="majorHAnsi"/>
                <w:bCs/>
                <w:sz w:val="20"/>
                <w:szCs w:val="20"/>
                <w:lang w:val="es-419"/>
              </w:rPr>
              <w:t>Anastasio Hern</w:t>
            </w:r>
            <w:r w:rsidR="00EE7E32" w:rsidRPr="007A7B03">
              <w:rPr>
                <w:rFonts w:asciiTheme="majorHAnsi" w:hAnsiTheme="majorHAnsi"/>
                <w:bCs/>
                <w:sz w:val="20"/>
                <w:szCs w:val="20"/>
                <w:lang w:val="es-419"/>
              </w:rPr>
              <w:t>á</w:t>
            </w:r>
            <w:r w:rsidRPr="007A7B03">
              <w:rPr>
                <w:rFonts w:asciiTheme="majorHAnsi" w:hAnsiTheme="majorHAnsi"/>
                <w:bCs/>
                <w:sz w:val="20"/>
                <w:szCs w:val="20"/>
                <w:lang w:val="es-419"/>
              </w:rPr>
              <w:t xml:space="preserve">ndez Rojas </w:t>
            </w:r>
            <w:r w:rsidR="00EE7E32" w:rsidRPr="007A7B03">
              <w:rPr>
                <w:rFonts w:asciiTheme="majorHAnsi" w:hAnsiTheme="majorHAnsi"/>
                <w:bCs/>
                <w:sz w:val="20"/>
                <w:szCs w:val="20"/>
                <w:lang w:val="es-419"/>
              </w:rPr>
              <w:t>y familia</w:t>
            </w:r>
            <w:r w:rsidRPr="007A7B03">
              <w:rPr>
                <w:rStyle w:val="FootnoteReference"/>
                <w:rFonts w:asciiTheme="majorHAnsi" w:hAnsiTheme="majorHAnsi"/>
                <w:bCs/>
                <w:sz w:val="20"/>
                <w:szCs w:val="20"/>
                <w:lang w:val="es-419"/>
              </w:rPr>
              <w:footnoteReference w:id="2"/>
            </w:r>
          </w:p>
        </w:tc>
      </w:tr>
      <w:tr w:rsidR="00233C60" w:rsidRPr="007A7B03" w14:paraId="4A703A3F" w14:textId="77777777" w:rsidTr="00233C60">
        <w:tc>
          <w:tcPr>
            <w:tcW w:w="2767" w:type="dxa"/>
            <w:tcBorders>
              <w:top w:val="single" w:sz="6" w:space="0" w:color="auto"/>
              <w:bottom w:val="single" w:sz="6" w:space="0" w:color="auto"/>
            </w:tcBorders>
            <w:shd w:val="clear" w:color="auto" w:fill="386294"/>
            <w:vAlign w:val="center"/>
          </w:tcPr>
          <w:p w14:paraId="3C8DCD22" w14:textId="77777777" w:rsidR="00233C60" w:rsidRPr="007A7B03" w:rsidRDefault="00233C60" w:rsidP="00233C6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Estado denunciado</w:t>
            </w:r>
          </w:p>
        </w:tc>
        <w:tc>
          <w:tcPr>
            <w:tcW w:w="6593" w:type="dxa"/>
            <w:vAlign w:val="center"/>
          </w:tcPr>
          <w:p w14:paraId="5854E366" w14:textId="28177478" w:rsidR="00233C60" w:rsidRPr="007A7B03" w:rsidRDefault="00EE7E32" w:rsidP="00233C60">
            <w:pPr>
              <w:jc w:val="both"/>
              <w:rPr>
                <w:rFonts w:ascii="Cambria" w:hAnsi="Cambria"/>
                <w:bCs/>
                <w:sz w:val="20"/>
                <w:szCs w:val="20"/>
                <w:lang w:val="es-419"/>
              </w:rPr>
            </w:pPr>
            <w:r w:rsidRPr="007A7B03">
              <w:rPr>
                <w:rFonts w:asciiTheme="majorHAnsi" w:hAnsiTheme="majorHAnsi"/>
                <w:bCs/>
                <w:sz w:val="20"/>
                <w:szCs w:val="20"/>
                <w:lang w:val="es-419"/>
              </w:rPr>
              <w:t>Estados Unidos de América</w:t>
            </w:r>
          </w:p>
        </w:tc>
      </w:tr>
      <w:tr w:rsidR="00233C60" w:rsidRPr="00922EFD" w14:paraId="49FC134A" w14:textId="77777777" w:rsidTr="00233C60">
        <w:tc>
          <w:tcPr>
            <w:tcW w:w="2767" w:type="dxa"/>
            <w:tcBorders>
              <w:top w:val="single" w:sz="6" w:space="0" w:color="auto"/>
              <w:bottom w:val="single" w:sz="6" w:space="0" w:color="auto"/>
            </w:tcBorders>
            <w:shd w:val="clear" w:color="auto" w:fill="386294"/>
            <w:vAlign w:val="center"/>
          </w:tcPr>
          <w:p w14:paraId="4E776352" w14:textId="77777777" w:rsidR="00233C60" w:rsidRPr="007A7B03" w:rsidRDefault="00233C60" w:rsidP="00233C6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Derechos invocados</w:t>
            </w:r>
          </w:p>
        </w:tc>
        <w:tc>
          <w:tcPr>
            <w:tcW w:w="6593" w:type="dxa"/>
            <w:vAlign w:val="center"/>
          </w:tcPr>
          <w:p w14:paraId="090925D1" w14:textId="294B24DD" w:rsidR="00233C60" w:rsidRPr="007A7B03" w:rsidRDefault="00EE7E32" w:rsidP="00233C60">
            <w:pPr>
              <w:jc w:val="both"/>
              <w:rPr>
                <w:rFonts w:ascii="Cambria" w:hAnsi="Cambria"/>
                <w:bCs/>
                <w:sz w:val="20"/>
                <w:szCs w:val="20"/>
                <w:lang w:val="es-419"/>
              </w:rPr>
            </w:pPr>
            <w:r w:rsidRPr="007A7B03">
              <w:rPr>
                <w:rFonts w:ascii="Cambria" w:hAnsi="Cambria"/>
                <w:bCs/>
                <w:sz w:val="20"/>
                <w:szCs w:val="20"/>
                <w:lang w:val="es-419"/>
              </w:rPr>
              <w:t>Artículos I (</w:t>
            </w:r>
            <w:r w:rsidR="005662AB" w:rsidRPr="007A7B03">
              <w:rPr>
                <w:rFonts w:ascii="Cambria" w:hAnsi="Cambria"/>
                <w:bCs/>
                <w:sz w:val="20"/>
                <w:szCs w:val="20"/>
                <w:lang w:val="es-419"/>
              </w:rPr>
              <w:t>derecho a la vida, a la libertad, a la seguridad e integridad de la persona</w:t>
            </w:r>
            <w:r w:rsidRPr="007A7B03">
              <w:rPr>
                <w:rFonts w:ascii="Cambria" w:hAnsi="Cambria"/>
                <w:bCs/>
                <w:sz w:val="20"/>
                <w:szCs w:val="20"/>
                <w:lang w:val="es-419"/>
              </w:rPr>
              <w:t xml:space="preserve">); II (derecho </w:t>
            </w:r>
            <w:r w:rsidR="005662AB" w:rsidRPr="007A7B03">
              <w:rPr>
                <w:rFonts w:ascii="Cambria" w:hAnsi="Cambria"/>
                <w:bCs/>
                <w:sz w:val="20"/>
                <w:szCs w:val="20"/>
                <w:lang w:val="es-419"/>
              </w:rPr>
              <w:t>de igualdad ante la Ley.</w:t>
            </w:r>
            <w:r w:rsidRPr="007A7B03">
              <w:rPr>
                <w:rFonts w:ascii="Cambria" w:hAnsi="Cambria"/>
                <w:bCs/>
                <w:sz w:val="20"/>
                <w:szCs w:val="20"/>
                <w:lang w:val="es-419"/>
              </w:rPr>
              <w:t xml:space="preserve">); XVIII (derecho </w:t>
            </w:r>
            <w:r w:rsidR="005662AB" w:rsidRPr="007A7B03">
              <w:rPr>
                <w:rFonts w:ascii="Cambria" w:hAnsi="Cambria"/>
                <w:bCs/>
                <w:sz w:val="20"/>
                <w:szCs w:val="20"/>
                <w:lang w:val="es-419"/>
              </w:rPr>
              <w:t>de justicia</w:t>
            </w:r>
            <w:r w:rsidRPr="007A7B03">
              <w:rPr>
                <w:rFonts w:ascii="Cambria" w:hAnsi="Cambria"/>
                <w:bCs/>
                <w:sz w:val="20"/>
                <w:szCs w:val="20"/>
                <w:lang w:val="es-419"/>
              </w:rPr>
              <w:t xml:space="preserve">), XXV (derecho </w:t>
            </w:r>
            <w:r w:rsidR="005662AB" w:rsidRPr="007A7B03">
              <w:rPr>
                <w:rFonts w:ascii="Cambria" w:hAnsi="Cambria"/>
                <w:bCs/>
                <w:sz w:val="20"/>
                <w:szCs w:val="20"/>
                <w:lang w:val="es-419"/>
              </w:rPr>
              <w:t>de protección contra la detención arbitraria</w:t>
            </w:r>
            <w:r w:rsidRPr="007A7B03">
              <w:rPr>
                <w:rFonts w:ascii="Cambria" w:hAnsi="Cambria"/>
                <w:bCs/>
                <w:sz w:val="20"/>
                <w:szCs w:val="20"/>
                <w:lang w:val="es-419"/>
              </w:rPr>
              <w:t xml:space="preserve">); y XXVI (derecho </w:t>
            </w:r>
            <w:r w:rsidR="005E429A" w:rsidRPr="007A7B03">
              <w:rPr>
                <w:rFonts w:ascii="Cambria" w:hAnsi="Cambria"/>
                <w:bCs/>
                <w:sz w:val="20"/>
                <w:szCs w:val="20"/>
                <w:lang w:val="es-419"/>
              </w:rPr>
              <w:t>a proceso regular</w:t>
            </w:r>
            <w:r w:rsidRPr="007A7B03">
              <w:rPr>
                <w:rFonts w:ascii="Cambria" w:hAnsi="Cambria"/>
                <w:bCs/>
                <w:sz w:val="20"/>
                <w:szCs w:val="20"/>
                <w:lang w:val="es-419"/>
              </w:rPr>
              <w:t>) de la Declaración Americana de los Derechos y Deberes del Hombre</w:t>
            </w:r>
            <w:r w:rsidR="00233C60" w:rsidRPr="007A7B03">
              <w:rPr>
                <w:rStyle w:val="FootnoteReference"/>
                <w:rFonts w:asciiTheme="majorHAnsi" w:hAnsiTheme="majorHAnsi"/>
                <w:bCs/>
                <w:sz w:val="20"/>
                <w:szCs w:val="20"/>
                <w:lang w:val="es-419"/>
              </w:rPr>
              <w:footnoteReference w:id="3"/>
            </w:r>
          </w:p>
        </w:tc>
      </w:tr>
    </w:tbl>
    <w:p w14:paraId="1F50B4E3" w14:textId="1006316B" w:rsidR="00233C60" w:rsidRPr="007A7B03" w:rsidRDefault="003239B8" w:rsidP="00233C60">
      <w:pPr>
        <w:spacing w:before="120" w:after="120"/>
        <w:ind w:firstLine="720"/>
        <w:jc w:val="both"/>
        <w:rPr>
          <w:rFonts w:asciiTheme="majorHAnsi" w:hAnsiTheme="majorHAnsi"/>
          <w:b/>
          <w:bCs/>
          <w:sz w:val="20"/>
          <w:szCs w:val="20"/>
          <w:lang w:val="es-419"/>
        </w:rPr>
      </w:pPr>
      <w:r w:rsidRPr="007A7B03">
        <w:rPr>
          <w:rFonts w:asciiTheme="majorHAnsi" w:hAnsiTheme="majorHAnsi"/>
          <w:b/>
          <w:bCs/>
          <w:sz w:val="20"/>
          <w:szCs w:val="20"/>
          <w:lang w:val="es-419"/>
        </w:rPr>
        <w:t>II.</w:t>
      </w:r>
      <w:r w:rsidRPr="007A7B03">
        <w:rPr>
          <w:rFonts w:asciiTheme="majorHAnsi" w:hAnsiTheme="majorHAnsi"/>
          <w:b/>
          <w:bCs/>
          <w:sz w:val="20"/>
          <w:szCs w:val="20"/>
          <w:lang w:val="es-419"/>
        </w:rPr>
        <w:tab/>
      </w:r>
      <w:r w:rsidR="0012520A" w:rsidRPr="007A7B03">
        <w:rPr>
          <w:rFonts w:asciiTheme="majorHAnsi" w:hAnsiTheme="majorHAnsi"/>
          <w:b/>
          <w:bCs/>
          <w:sz w:val="20"/>
          <w:szCs w:val="20"/>
          <w:lang w:val="es-419"/>
        </w:rPr>
        <w:t>TRÁMITE ANTE LA CIDH</w:t>
      </w:r>
      <w:r w:rsidR="0012520A" w:rsidRPr="007A7B03">
        <w:rPr>
          <w:rStyle w:val="FootnoteReference"/>
          <w:rFonts w:asciiTheme="majorHAnsi" w:hAnsiTheme="majorHAnsi"/>
          <w:b/>
          <w:sz w:val="20"/>
          <w:szCs w:val="20"/>
          <w:lang w:val="es-419"/>
        </w:rPr>
        <w:t xml:space="preserve"> </w:t>
      </w:r>
      <w:r w:rsidR="008E3BFE" w:rsidRPr="007A7B03">
        <w:rPr>
          <w:rStyle w:val="FootnoteReference"/>
          <w:rFonts w:asciiTheme="majorHAnsi" w:hAnsiTheme="majorHAnsi"/>
          <w:b/>
          <w:sz w:val="20"/>
          <w:szCs w:val="20"/>
          <w:lang w:val="es-419"/>
        </w:rPr>
        <w:footnoteReference w:id="4"/>
      </w:r>
      <w:r w:rsidR="0012520A" w:rsidRPr="007A7B03">
        <w:rPr>
          <w:rFonts w:asciiTheme="majorHAnsi" w:hAnsiTheme="majorHAnsi"/>
          <w:b/>
          <w:bCs/>
          <w:sz w:val="20"/>
          <w:szCs w:val="20"/>
          <w:lang w:val="es-4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233C60" w:rsidRPr="007A7B03" w14:paraId="275DB000" w14:textId="77777777" w:rsidTr="00233C60">
        <w:tc>
          <w:tcPr>
            <w:tcW w:w="2767" w:type="dxa"/>
            <w:tcBorders>
              <w:top w:val="single" w:sz="6" w:space="0" w:color="auto"/>
              <w:bottom w:val="single" w:sz="6" w:space="0" w:color="auto"/>
            </w:tcBorders>
            <w:shd w:val="clear" w:color="auto" w:fill="386294"/>
            <w:vAlign w:val="center"/>
          </w:tcPr>
          <w:p w14:paraId="47AC7A61" w14:textId="77777777" w:rsidR="00233C60" w:rsidRPr="007A7B03" w:rsidRDefault="00233C60" w:rsidP="00233C6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Recepción de la petición</w:t>
            </w:r>
          </w:p>
        </w:tc>
        <w:tc>
          <w:tcPr>
            <w:tcW w:w="6593" w:type="dxa"/>
            <w:vAlign w:val="center"/>
          </w:tcPr>
          <w:p w14:paraId="662E44ED" w14:textId="6A75374A" w:rsidR="00233C60" w:rsidRPr="007A7B03" w:rsidRDefault="005E429A" w:rsidP="00233C60">
            <w:pPr>
              <w:jc w:val="both"/>
              <w:rPr>
                <w:rFonts w:ascii="Cambria" w:hAnsi="Cambria"/>
                <w:bCs/>
                <w:sz w:val="20"/>
                <w:szCs w:val="20"/>
                <w:lang w:val="es-419"/>
              </w:rPr>
            </w:pPr>
            <w:r w:rsidRPr="007A7B03">
              <w:rPr>
                <w:rFonts w:asciiTheme="majorHAnsi" w:hAnsiTheme="majorHAnsi"/>
                <w:bCs/>
                <w:sz w:val="20"/>
                <w:szCs w:val="20"/>
                <w:lang w:val="es-419"/>
              </w:rPr>
              <w:t>30 de marzo de 2016</w:t>
            </w:r>
          </w:p>
        </w:tc>
      </w:tr>
      <w:tr w:rsidR="00233C60" w:rsidRPr="007A7B03" w14:paraId="2F1655E5" w14:textId="77777777" w:rsidTr="00233C60">
        <w:tc>
          <w:tcPr>
            <w:tcW w:w="2767" w:type="dxa"/>
            <w:tcBorders>
              <w:top w:val="single" w:sz="6" w:space="0" w:color="auto"/>
              <w:bottom w:val="single" w:sz="6" w:space="0" w:color="auto"/>
            </w:tcBorders>
            <w:shd w:val="clear" w:color="auto" w:fill="386294"/>
            <w:vAlign w:val="center"/>
          </w:tcPr>
          <w:p w14:paraId="4107341E" w14:textId="77777777" w:rsidR="00233C60" w:rsidRPr="007A7B03" w:rsidRDefault="00233C60" w:rsidP="00233C6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Notificación de la petición al Estado</w:t>
            </w:r>
          </w:p>
        </w:tc>
        <w:tc>
          <w:tcPr>
            <w:tcW w:w="6593" w:type="dxa"/>
            <w:vAlign w:val="center"/>
          </w:tcPr>
          <w:p w14:paraId="4865925E" w14:textId="4176744A" w:rsidR="00233C60" w:rsidRPr="007A7B03" w:rsidRDefault="005E429A" w:rsidP="00233C60">
            <w:pPr>
              <w:jc w:val="both"/>
              <w:rPr>
                <w:rFonts w:ascii="Cambria" w:hAnsi="Cambria"/>
                <w:bCs/>
                <w:sz w:val="20"/>
                <w:szCs w:val="20"/>
                <w:lang w:val="es-419"/>
              </w:rPr>
            </w:pPr>
            <w:r w:rsidRPr="007A7B03">
              <w:rPr>
                <w:rFonts w:asciiTheme="majorHAnsi" w:hAnsiTheme="majorHAnsi"/>
                <w:bCs/>
                <w:sz w:val="20"/>
                <w:szCs w:val="20"/>
                <w:lang w:val="es-419"/>
              </w:rPr>
              <w:t>10 de mayo de 2017</w:t>
            </w:r>
          </w:p>
        </w:tc>
      </w:tr>
      <w:tr w:rsidR="00233C60" w:rsidRPr="007A7B03" w14:paraId="1B28C322" w14:textId="77777777" w:rsidTr="00233C60">
        <w:tc>
          <w:tcPr>
            <w:tcW w:w="2767" w:type="dxa"/>
            <w:tcBorders>
              <w:top w:val="single" w:sz="6" w:space="0" w:color="auto"/>
              <w:bottom w:val="single" w:sz="6" w:space="0" w:color="auto"/>
            </w:tcBorders>
            <w:shd w:val="clear" w:color="auto" w:fill="386294"/>
            <w:vAlign w:val="center"/>
          </w:tcPr>
          <w:p w14:paraId="06E9FCF9" w14:textId="77777777" w:rsidR="00233C60" w:rsidRPr="007A7B03" w:rsidRDefault="00233C60" w:rsidP="00233C6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Primera respuesta del Estado</w:t>
            </w:r>
          </w:p>
        </w:tc>
        <w:tc>
          <w:tcPr>
            <w:tcW w:w="6593" w:type="dxa"/>
            <w:vAlign w:val="center"/>
          </w:tcPr>
          <w:p w14:paraId="36808AC3" w14:textId="29026F89" w:rsidR="00233C60" w:rsidRPr="007A7B03" w:rsidRDefault="005E429A" w:rsidP="00233C60">
            <w:pPr>
              <w:jc w:val="both"/>
              <w:rPr>
                <w:rFonts w:ascii="Cambria" w:hAnsi="Cambria"/>
                <w:bCs/>
                <w:sz w:val="20"/>
                <w:szCs w:val="20"/>
                <w:lang w:val="es-419"/>
              </w:rPr>
            </w:pPr>
            <w:r w:rsidRPr="007A7B03">
              <w:rPr>
                <w:rFonts w:asciiTheme="majorHAnsi" w:hAnsiTheme="majorHAnsi"/>
                <w:bCs/>
                <w:sz w:val="20"/>
                <w:szCs w:val="20"/>
                <w:lang w:val="es-419"/>
              </w:rPr>
              <w:t>12 de septiembre de 2017</w:t>
            </w:r>
          </w:p>
        </w:tc>
      </w:tr>
    </w:tbl>
    <w:p w14:paraId="009AD8DC" w14:textId="656CBC0D" w:rsidR="0012520A" w:rsidRPr="007A7B03" w:rsidRDefault="00F6281A" w:rsidP="00267DF0">
      <w:pPr>
        <w:spacing w:before="120" w:after="120"/>
        <w:ind w:firstLine="720"/>
        <w:jc w:val="both"/>
        <w:rPr>
          <w:rFonts w:asciiTheme="majorHAnsi" w:hAnsiTheme="majorHAnsi"/>
          <w:b/>
          <w:bCs/>
          <w:sz w:val="20"/>
          <w:szCs w:val="20"/>
          <w:lang w:val="es-419"/>
        </w:rPr>
      </w:pPr>
      <w:r w:rsidRPr="007A7B03">
        <w:rPr>
          <w:rFonts w:asciiTheme="majorHAnsi" w:hAnsiTheme="majorHAnsi"/>
          <w:b/>
          <w:bCs/>
          <w:sz w:val="20"/>
          <w:szCs w:val="20"/>
          <w:lang w:val="es-419"/>
        </w:rPr>
        <w:t xml:space="preserve">III. </w:t>
      </w:r>
      <w:r w:rsidRPr="007A7B03">
        <w:rPr>
          <w:rFonts w:asciiTheme="majorHAnsi" w:hAnsiTheme="majorHAnsi"/>
          <w:b/>
          <w:bCs/>
          <w:sz w:val="20"/>
          <w:szCs w:val="20"/>
          <w:lang w:val="es-419"/>
        </w:rPr>
        <w:tab/>
      </w:r>
      <w:r w:rsidR="0012520A" w:rsidRPr="007A7B03">
        <w:rPr>
          <w:rFonts w:asciiTheme="majorHAnsi" w:hAnsiTheme="majorHAnsi"/>
          <w:b/>
          <w:bCs/>
          <w:sz w:val="20"/>
          <w:szCs w:val="20"/>
          <w:lang w:val="es-419"/>
        </w:rPr>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12520A" w:rsidRPr="007A7B03" w14:paraId="4391C468" w14:textId="77777777" w:rsidTr="00267DF0">
        <w:trPr>
          <w:cantSplit/>
        </w:trPr>
        <w:tc>
          <w:tcPr>
            <w:tcW w:w="2767" w:type="dxa"/>
            <w:tcBorders>
              <w:top w:val="single" w:sz="4" w:space="0" w:color="auto"/>
              <w:bottom w:val="single" w:sz="6" w:space="0" w:color="auto"/>
            </w:tcBorders>
            <w:shd w:val="clear" w:color="auto" w:fill="386294"/>
            <w:vAlign w:val="center"/>
          </w:tcPr>
          <w:p w14:paraId="370C88F4" w14:textId="77777777" w:rsidR="0012520A" w:rsidRPr="007A7B03" w:rsidRDefault="0012520A" w:rsidP="00F14008">
            <w:pPr>
              <w:jc w:val="center"/>
              <w:rPr>
                <w:rFonts w:ascii="Cambria" w:hAnsi="Cambria"/>
                <w:i/>
                <w:iCs/>
                <w:color w:val="FFFFFF" w:themeColor="background1"/>
                <w:sz w:val="20"/>
                <w:szCs w:val="20"/>
                <w:lang w:val="es-419"/>
              </w:rPr>
            </w:pPr>
            <w:proofErr w:type="spellStart"/>
            <w:r w:rsidRPr="007A7B03">
              <w:rPr>
                <w:rFonts w:ascii="Cambria" w:hAnsi="Cambria"/>
                <w:i/>
                <w:iCs/>
                <w:color w:val="FFFFFF" w:themeColor="background1"/>
                <w:sz w:val="20"/>
                <w:szCs w:val="20"/>
                <w:lang w:val="es-419"/>
              </w:rPr>
              <w:t>Ratione</w:t>
            </w:r>
            <w:proofErr w:type="spellEnd"/>
            <w:r w:rsidRPr="007A7B03">
              <w:rPr>
                <w:rFonts w:ascii="Cambria" w:hAnsi="Cambria"/>
                <w:i/>
                <w:iCs/>
                <w:color w:val="FFFFFF" w:themeColor="background1"/>
                <w:sz w:val="20"/>
                <w:szCs w:val="20"/>
                <w:lang w:val="es-419"/>
              </w:rPr>
              <w:t xml:space="preserve"> </w:t>
            </w:r>
            <w:proofErr w:type="spellStart"/>
            <w:r w:rsidRPr="007A7B03">
              <w:rPr>
                <w:rFonts w:ascii="Cambria" w:hAnsi="Cambria"/>
                <w:i/>
                <w:iCs/>
                <w:color w:val="FFFFFF" w:themeColor="background1"/>
                <w:sz w:val="20"/>
                <w:szCs w:val="20"/>
                <w:lang w:val="es-419"/>
              </w:rPr>
              <w:t>personae</w:t>
            </w:r>
            <w:proofErr w:type="spellEnd"/>
          </w:p>
        </w:tc>
        <w:tc>
          <w:tcPr>
            <w:tcW w:w="6475" w:type="dxa"/>
            <w:vAlign w:val="center"/>
          </w:tcPr>
          <w:p w14:paraId="76EED5EC" w14:textId="77777777" w:rsidR="0012520A" w:rsidRPr="007A7B03" w:rsidRDefault="0012520A" w:rsidP="00F14008">
            <w:pPr>
              <w:rPr>
                <w:rFonts w:ascii="Cambria" w:hAnsi="Cambria"/>
                <w:bCs/>
                <w:sz w:val="20"/>
                <w:szCs w:val="20"/>
                <w:lang w:val="es-419"/>
              </w:rPr>
            </w:pPr>
            <w:r w:rsidRPr="007A7B03">
              <w:rPr>
                <w:rFonts w:ascii="Cambria" w:hAnsi="Cambria"/>
                <w:bCs/>
                <w:sz w:val="20"/>
                <w:szCs w:val="20"/>
                <w:lang w:val="es-419"/>
              </w:rPr>
              <w:t>Sí</w:t>
            </w:r>
          </w:p>
        </w:tc>
      </w:tr>
      <w:tr w:rsidR="0012520A" w:rsidRPr="007A7B03" w14:paraId="15C45518" w14:textId="77777777" w:rsidTr="00267DF0">
        <w:trPr>
          <w:cantSplit/>
        </w:trPr>
        <w:tc>
          <w:tcPr>
            <w:tcW w:w="2767" w:type="dxa"/>
            <w:tcBorders>
              <w:top w:val="single" w:sz="6" w:space="0" w:color="auto"/>
              <w:bottom w:val="single" w:sz="6" w:space="0" w:color="auto"/>
            </w:tcBorders>
            <w:shd w:val="clear" w:color="auto" w:fill="386294"/>
            <w:vAlign w:val="center"/>
          </w:tcPr>
          <w:p w14:paraId="4A28A56B" w14:textId="77777777" w:rsidR="0012520A" w:rsidRPr="007A7B03" w:rsidRDefault="0012520A" w:rsidP="00F14008">
            <w:pPr>
              <w:jc w:val="center"/>
              <w:rPr>
                <w:rFonts w:ascii="Cambria" w:hAnsi="Cambria"/>
                <w:i/>
                <w:iCs/>
                <w:color w:val="FFFFFF" w:themeColor="background1"/>
                <w:sz w:val="20"/>
                <w:szCs w:val="20"/>
                <w:lang w:val="es-419"/>
              </w:rPr>
            </w:pPr>
            <w:proofErr w:type="spellStart"/>
            <w:r w:rsidRPr="007A7B03">
              <w:rPr>
                <w:rFonts w:ascii="Cambria" w:hAnsi="Cambria"/>
                <w:i/>
                <w:iCs/>
                <w:color w:val="FFFFFF" w:themeColor="background1"/>
                <w:sz w:val="20"/>
                <w:szCs w:val="20"/>
                <w:lang w:val="es-419"/>
              </w:rPr>
              <w:t>Ratione</w:t>
            </w:r>
            <w:proofErr w:type="spellEnd"/>
            <w:r w:rsidRPr="007A7B03">
              <w:rPr>
                <w:rFonts w:ascii="Cambria" w:hAnsi="Cambria"/>
                <w:i/>
                <w:iCs/>
                <w:color w:val="FFFFFF" w:themeColor="background1"/>
                <w:sz w:val="20"/>
                <w:szCs w:val="20"/>
                <w:lang w:val="es-419"/>
              </w:rPr>
              <w:t xml:space="preserve"> </w:t>
            </w:r>
            <w:proofErr w:type="spellStart"/>
            <w:r w:rsidRPr="007A7B03">
              <w:rPr>
                <w:rFonts w:ascii="Cambria" w:hAnsi="Cambria"/>
                <w:i/>
                <w:iCs/>
                <w:color w:val="FFFFFF" w:themeColor="background1"/>
                <w:sz w:val="20"/>
                <w:szCs w:val="20"/>
                <w:lang w:val="es-419"/>
              </w:rPr>
              <w:t>loci</w:t>
            </w:r>
            <w:proofErr w:type="spellEnd"/>
          </w:p>
        </w:tc>
        <w:tc>
          <w:tcPr>
            <w:tcW w:w="6475" w:type="dxa"/>
            <w:vAlign w:val="center"/>
          </w:tcPr>
          <w:p w14:paraId="145ED955" w14:textId="77777777" w:rsidR="0012520A" w:rsidRPr="007A7B03" w:rsidRDefault="0012520A" w:rsidP="00F14008">
            <w:pPr>
              <w:rPr>
                <w:rFonts w:ascii="Cambria" w:hAnsi="Cambria"/>
                <w:bCs/>
                <w:sz w:val="20"/>
                <w:szCs w:val="20"/>
                <w:lang w:val="es-419"/>
              </w:rPr>
            </w:pPr>
            <w:r w:rsidRPr="007A7B03">
              <w:rPr>
                <w:rFonts w:ascii="Cambria" w:hAnsi="Cambria"/>
                <w:bCs/>
                <w:sz w:val="20"/>
                <w:szCs w:val="20"/>
                <w:lang w:val="es-419"/>
              </w:rPr>
              <w:t>Sí</w:t>
            </w:r>
          </w:p>
        </w:tc>
      </w:tr>
      <w:tr w:rsidR="0012520A" w:rsidRPr="007A7B03" w14:paraId="3BCC78F6" w14:textId="77777777" w:rsidTr="00267DF0">
        <w:trPr>
          <w:cantSplit/>
        </w:trPr>
        <w:tc>
          <w:tcPr>
            <w:tcW w:w="2767" w:type="dxa"/>
            <w:tcBorders>
              <w:top w:val="single" w:sz="6" w:space="0" w:color="auto"/>
              <w:bottom w:val="single" w:sz="6" w:space="0" w:color="auto"/>
            </w:tcBorders>
            <w:shd w:val="clear" w:color="auto" w:fill="386294"/>
            <w:vAlign w:val="center"/>
          </w:tcPr>
          <w:p w14:paraId="28012A93" w14:textId="77777777" w:rsidR="0012520A" w:rsidRPr="007A7B03" w:rsidRDefault="0012520A" w:rsidP="00F14008">
            <w:pPr>
              <w:jc w:val="center"/>
              <w:rPr>
                <w:rFonts w:ascii="Cambria" w:hAnsi="Cambria"/>
                <w:i/>
                <w:iCs/>
                <w:color w:val="FFFFFF" w:themeColor="background1"/>
                <w:sz w:val="20"/>
                <w:szCs w:val="20"/>
                <w:lang w:val="es-419"/>
              </w:rPr>
            </w:pPr>
            <w:proofErr w:type="spellStart"/>
            <w:r w:rsidRPr="007A7B03">
              <w:rPr>
                <w:rFonts w:ascii="Cambria" w:hAnsi="Cambria"/>
                <w:i/>
                <w:iCs/>
                <w:color w:val="FFFFFF" w:themeColor="background1"/>
                <w:sz w:val="20"/>
                <w:szCs w:val="20"/>
                <w:lang w:val="es-419"/>
              </w:rPr>
              <w:t>Ratione</w:t>
            </w:r>
            <w:proofErr w:type="spellEnd"/>
            <w:r w:rsidRPr="007A7B03">
              <w:rPr>
                <w:rFonts w:ascii="Cambria" w:hAnsi="Cambria"/>
                <w:i/>
                <w:iCs/>
                <w:color w:val="FFFFFF" w:themeColor="background1"/>
                <w:sz w:val="20"/>
                <w:szCs w:val="20"/>
                <w:lang w:val="es-419"/>
              </w:rPr>
              <w:t xml:space="preserve"> </w:t>
            </w:r>
            <w:proofErr w:type="spellStart"/>
            <w:r w:rsidRPr="007A7B03">
              <w:rPr>
                <w:rFonts w:ascii="Cambria" w:hAnsi="Cambria"/>
                <w:i/>
                <w:iCs/>
                <w:color w:val="FFFFFF" w:themeColor="background1"/>
                <w:sz w:val="20"/>
                <w:szCs w:val="20"/>
                <w:lang w:val="es-419"/>
              </w:rPr>
              <w:t>temporis</w:t>
            </w:r>
            <w:proofErr w:type="spellEnd"/>
          </w:p>
        </w:tc>
        <w:tc>
          <w:tcPr>
            <w:tcW w:w="6475" w:type="dxa"/>
            <w:vAlign w:val="center"/>
          </w:tcPr>
          <w:p w14:paraId="4FCB0D5D" w14:textId="77777777" w:rsidR="0012520A" w:rsidRPr="007A7B03" w:rsidRDefault="0012520A" w:rsidP="00F14008">
            <w:pPr>
              <w:rPr>
                <w:rFonts w:ascii="Cambria" w:hAnsi="Cambria"/>
                <w:bCs/>
                <w:sz w:val="20"/>
                <w:szCs w:val="20"/>
                <w:lang w:val="es-419"/>
              </w:rPr>
            </w:pPr>
            <w:r w:rsidRPr="007A7B03">
              <w:rPr>
                <w:rFonts w:ascii="Cambria" w:hAnsi="Cambria"/>
                <w:bCs/>
                <w:sz w:val="20"/>
                <w:szCs w:val="20"/>
                <w:lang w:val="es-419"/>
              </w:rPr>
              <w:t>Sí</w:t>
            </w:r>
          </w:p>
        </w:tc>
      </w:tr>
      <w:tr w:rsidR="00267DF0" w:rsidRPr="00922EFD" w14:paraId="47A45E91" w14:textId="77777777" w:rsidTr="00267DF0">
        <w:trPr>
          <w:cantSplit/>
        </w:trPr>
        <w:tc>
          <w:tcPr>
            <w:tcW w:w="2767" w:type="dxa"/>
            <w:tcBorders>
              <w:top w:val="single" w:sz="6" w:space="0" w:color="auto"/>
              <w:bottom w:val="single" w:sz="6" w:space="0" w:color="auto"/>
            </w:tcBorders>
            <w:shd w:val="clear" w:color="auto" w:fill="386294"/>
            <w:vAlign w:val="center"/>
          </w:tcPr>
          <w:p w14:paraId="2E49367B" w14:textId="77777777" w:rsidR="00267DF0" w:rsidRPr="007A7B03" w:rsidRDefault="00267DF0" w:rsidP="00267DF0">
            <w:pPr>
              <w:jc w:val="center"/>
              <w:rPr>
                <w:rFonts w:ascii="Cambria" w:hAnsi="Cambria"/>
                <w:i/>
                <w:iCs/>
                <w:color w:val="FFFFFF" w:themeColor="background1"/>
                <w:sz w:val="20"/>
                <w:szCs w:val="20"/>
                <w:lang w:val="es-419"/>
              </w:rPr>
            </w:pPr>
            <w:proofErr w:type="spellStart"/>
            <w:r w:rsidRPr="007A7B03">
              <w:rPr>
                <w:rFonts w:ascii="Cambria" w:hAnsi="Cambria"/>
                <w:i/>
                <w:iCs/>
                <w:color w:val="FFFFFF" w:themeColor="background1"/>
                <w:sz w:val="20"/>
                <w:szCs w:val="20"/>
                <w:lang w:val="es-419"/>
              </w:rPr>
              <w:t>Ratione</w:t>
            </w:r>
            <w:proofErr w:type="spellEnd"/>
            <w:r w:rsidRPr="007A7B03">
              <w:rPr>
                <w:rFonts w:ascii="Cambria" w:hAnsi="Cambria"/>
                <w:i/>
                <w:iCs/>
                <w:color w:val="FFFFFF" w:themeColor="background1"/>
                <w:sz w:val="20"/>
                <w:szCs w:val="20"/>
                <w:lang w:val="es-419"/>
              </w:rPr>
              <w:t xml:space="preserve"> </w:t>
            </w:r>
            <w:proofErr w:type="spellStart"/>
            <w:r w:rsidRPr="007A7B03">
              <w:rPr>
                <w:rFonts w:ascii="Cambria" w:hAnsi="Cambria"/>
                <w:i/>
                <w:iCs/>
                <w:color w:val="FFFFFF" w:themeColor="background1"/>
                <w:sz w:val="20"/>
                <w:szCs w:val="20"/>
                <w:lang w:val="es-419"/>
              </w:rPr>
              <w:t>materiae</w:t>
            </w:r>
            <w:proofErr w:type="spellEnd"/>
          </w:p>
        </w:tc>
        <w:tc>
          <w:tcPr>
            <w:tcW w:w="6475" w:type="dxa"/>
            <w:vAlign w:val="center"/>
          </w:tcPr>
          <w:p w14:paraId="49BBE09A" w14:textId="1E156FEF" w:rsidR="00267DF0" w:rsidRPr="007A7B03" w:rsidRDefault="005E429A" w:rsidP="00267DF0">
            <w:pPr>
              <w:jc w:val="both"/>
              <w:rPr>
                <w:rFonts w:ascii="Cambria" w:hAnsi="Cambria"/>
                <w:bCs/>
                <w:sz w:val="20"/>
                <w:szCs w:val="20"/>
                <w:lang w:val="es-419"/>
              </w:rPr>
            </w:pPr>
            <w:r w:rsidRPr="007A7B03">
              <w:rPr>
                <w:rFonts w:ascii="Cambria" w:hAnsi="Cambria"/>
                <w:bCs/>
                <w:sz w:val="20"/>
                <w:szCs w:val="20"/>
                <w:lang w:val="es-419"/>
              </w:rPr>
              <w:t>Sí</w:t>
            </w:r>
            <w:r w:rsidRPr="007A7B03">
              <w:rPr>
                <w:rFonts w:asciiTheme="majorHAnsi" w:hAnsiTheme="majorHAnsi"/>
                <w:bCs/>
                <w:sz w:val="20"/>
                <w:szCs w:val="20"/>
                <w:lang w:val="es-419"/>
              </w:rPr>
              <w:t>, Declaración Americana</w:t>
            </w:r>
            <w:r w:rsidR="00304752">
              <w:rPr>
                <w:rFonts w:asciiTheme="majorHAnsi" w:hAnsiTheme="majorHAnsi"/>
                <w:bCs/>
                <w:sz w:val="20"/>
                <w:szCs w:val="20"/>
                <w:lang w:val="es-419"/>
              </w:rPr>
              <w:t xml:space="preserve"> (depósito del instrumento de ratificación de la Carta de la OEA realizado el 19 de junio de 1951)</w:t>
            </w:r>
          </w:p>
        </w:tc>
      </w:tr>
    </w:tbl>
    <w:p w14:paraId="16F2A28D" w14:textId="77AD9AED" w:rsidR="00267DF0" w:rsidRPr="007A7B03" w:rsidRDefault="003239B8" w:rsidP="0012475D">
      <w:pPr>
        <w:spacing w:before="120" w:after="120"/>
        <w:ind w:firstLine="720"/>
        <w:jc w:val="both"/>
        <w:rPr>
          <w:rFonts w:asciiTheme="majorHAnsi" w:hAnsiTheme="majorHAnsi"/>
          <w:b/>
          <w:sz w:val="20"/>
          <w:szCs w:val="20"/>
          <w:lang w:val="es-419"/>
        </w:rPr>
      </w:pPr>
      <w:r w:rsidRPr="007A7B03">
        <w:rPr>
          <w:rFonts w:asciiTheme="majorHAnsi" w:hAnsiTheme="majorHAnsi"/>
          <w:b/>
          <w:bCs/>
          <w:sz w:val="20"/>
          <w:szCs w:val="20"/>
          <w:lang w:val="es-419"/>
        </w:rPr>
        <w:t xml:space="preserve">IV. </w:t>
      </w:r>
      <w:r w:rsidRPr="007A7B03">
        <w:rPr>
          <w:rFonts w:asciiTheme="majorHAnsi" w:hAnsiTheme="majorHAnsi"/>
          <w:b/>
          <w:bCs/>
          <w:sz w:val="20"/>
          <w:szCs w:val="20"/>
          <w:lang w:val="es-419"/>
        </w:rPr>
        <w:tab/>
      </w:r>
      <w:r w:rsidR="00267DF0" w:rsidRPr="007A7B03">
        <w:rPr>
          <w:rFonts w:asciiTheme="majorHAnsi" w:hAnsiTheme="majorHAnsi"/>
          <w:b/>
          <w:bCs/>
          <w:sz w:val="20"/>
          <w:szCs w:val="20"/>
          <w:lang w:val="es-419"/>
        </w:rPr>
        <w:t>DUPLICACIÓN</w:t>
      </w:r>
      <w:r w:rsidR="00267DF0" w:rsidRPr="007A7B03">
        <w:rPr>
          <w:rFonts w:asciiTheme="majorHAnsi" w:hAnsiTheme="majorHAnsi"/>
          <w:b/>
          <w:bCs/>
          <w:color w:val="FFFFFF" w:themeColor="background1"/>
          <w:sz w:val="20"/>
          <w:szCs w:val="20"/>
          <w:lang w:val="es-419"/>
        </w:rPr>
        <w:t xml:space="preserve"> </w:t>
      </w:r>
      <w:r w:rsidR="00267DF0" w:rsidRPr="007A7B03">
        <w:rPr>
          <w:rFonts w:asciiTheme="majorHAnsi" w:hAnsiTheme="majorHAnsi"/>
          <w:b/>
          <w:bCs/>
          <w:sz w:val="20"/>
          <w:szCs w:val="20"/>
          <w:lang w:val="es-419"/>
        </w:rPr>
        <w:t>DE PROCEDIMIENTOS Y COSA JUZGADA</w:t>
      </w:r>
      <w:r w:rsidR="00267DF0" w:rsidRPr="007A7B03">
        <w:rPr>
          <w:rFonts w:asciiTheme="majorHAnsi" w:hAnsiTheme="majorHAnsi"/>
          <w:b/>
          <w:bCs/>
          <w:i/>
          <w:sz w:val="20"/>
          <w:szCs w:val="20"/>
          <w:lang w:val="es-419"/>
        </w:rPr>
        <w:t xml:space="preserve"> </w:t>
      </w:r>
      <w:r w:rsidR="00267DF0" w:rsidRPr="007A7B03">
        <w:rPr>
          <w:rFonts w:asciiTheme="majorHAnsi" w:hAnsiTheme="majorHAnsi"/>
          <w:b/>
          <w:bCs/>
          <w:sz w:val="20"/>
          <w:szCs w:val="20"/>
          <w:lang w:val="es-419"/>
        </w:rPr>
        <w:t xml:space="preserve">INTERNACIONAL, CARACTERIZACIÓN, </w:t>
      </w:r>
      <w:r w:rsidR="00267DF0" w:rsidRPr="007A7B03">
        <w:rPr>
          <w:rFonts w:asciiTheme="majorHAnsi" w:hAnsiTheme="majorHAnsi"/>
          <w:b/>
          <w:sz w:val="20"/>
          <w:szCs w:val="20"/>
          <w:lang w:val="es-419"/>
        </w:rPr>
        <w:t>AGOTAMIENTO DE LOS RECURSOS INTERNOS Y PLAZO DE PRESENTACIÓN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267DF0" w:rsidRPr="007A7B03" w14:paraId="0C2B712D" w14:textId="77777777" w:rsidTr="00267DF0">
        <w:trPr>
          <w:cantSplit/>
        </w:trPr>
        <w:tc>
          <w:tcPr>
            <w:tcW w:w="2767" w:type="dxa"/>
            <w:tcBorders>
              <w:top w:val="single" w:sz="4" w:space="0" w:color="auto"/>
              <w:bottom w:val="single" w:sz="6" w:space="0" w:color="auto"/>
            </w:tcBorders>
            <w:shd w:val="clear" w:color="auto" w:fill="386294"/>
            <w:vAlign w:val="center"/>
          </w:tcPr>
          <w:p w14:paraId="0D155D3A" w14:textId="77777777" w:rsidR="00267DF0" w:rsidRPr="007A7B03" w:rsidRDefault="00267DF0" w:rsidP="00267DF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Duplicación y cosa juzgada internacional</w:t>
            </w:r>
          </w:p>
        </w:tc>
        <w:tc>
          <w:tcPr>
            <w:tcW w:w="6475" w:type="dxa"/>
            <w:vAlign w:val="center"/>
          </w:tcPr>
          <w:p w14:paraId="673D9F84" w14:textId="7AA9E5E3" w:rsidR="00267DF0" w:rsidRPr="007A7B03" w:rsidRDefault="00267DF0" w:rsidP="00267DF0">
            <w:pPr>
              <w:jc w:val="both"/>
              <w:rPr>
                <w:rFonts w:ascii="Cambria" w:hAnsi="Cambria"/>
                <w:bCs/>
                <w:sz w:val="19"/>
                <w:szCs w:val="19"/>
                <w:lang w:val="es-419"/>
              </w:rPr>
            </w:pPr>
            <w:r w:rsidRPr="007A7B03">
              <w:rPr>
                <w:rFonts w:asciiTheme="majorHAnsi" w:hAnsiTheme="majorHAnsi"/>
                <w:bCs/>
                <w:sz w:val="20"/>
                <w:szCs w:val="20"/>
                <w:lang w:val="es-419"/>
              </w:rPr>
              <w:t>No</w:t>
            </w:r>
          </w:p>
        </w:tc>
      </w:tr>
      <w:tr w:rsidR="00267DF0" w:rsidRPr="00922EFD" w14:paraId="7E471AEE" w14:textId="77777777" w:rsidTr="00267DF0">
        <w:trPr>
          <w:cantSplit/>
        </w:trPr>
        <w:tc>
          <w:tcPr>
            <w:tcW w:w="2767" w:type="dxa"/>
            <w:tcBorders>
              <w:top w:val="single" w:sz="4" w:space="0" w:color="auto"/>
              <w:bottom w:val="single" w:sz="6" w:space="0" w:color="auto"/>
            </w:tcBorders>
            <w:shd w:val="clear" w:color="auto" w:fill="386294"/>
            <w:vAlign w:val="center"/>
          </w:tcPr>
          <w:p w14:paraId="79A171A2" w14:textId="77777777" w:rsidR="00267DF0" w:rsidRPr="007A7B03" w:rsidRDefault="00267DF0" w:rsidP="00267DF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Derechos declarados admisibles</w:t>
            </w:r>
          </w:p>
        </w:tc>
        <w:tc>
          <w:tcPr>
            <w:tcW w:w="6475" w:type="dxa"/>
            <w:vAlign w:val="center"/>
          </w:tcPr>
          <w:p w14:paraId="7D0F6D26" w14:textId="0F913E92" w:rsidR="005E429A" w:rsidRPr="007A7B03" w:rsidRDefault="005E429A" w:rsidP="00267DF0">
            <w:pPr>
              <w:jc w:val="both"/>
              <w:rPr>
                <w:rFonts w:ascii="Cambria" w:hAnsi="Cambria"/>
                <w:bCs/>
                <w:sz w:val="20"/>
                <w:szCs w:val="20"/>
                <w:lang w:val="es-419"/>
              </w:rPr>
            </w:pPr>
            <w:r w:rsidRPr="007A7B03">
              <w:rPr>
                <w:rFonts w:ascii="Cambria" w:hAnsi="Cambria"/>
                <w:bCs/>
                <w:sz w:val="20"/>
                <w:szCs w:val="20"/>
                <w:lang w:val="es-419"/>
              </w:rPr>
              <w:t>Artículos I (derecho a la vida, a la libertad, a la seguridad e integridad de la persona); II (derecho de igualdad ante la Ley.); XVIII (derecho de justicia), XXV (derecho de protección contra la detención arbitraria); y XXVI (derecho a proceso regular) de la Declaración Americana de los Derechos y Deberes del Hombre</w:t>
            </w:r>
          </w:p>
        </w:tc>
      </w:tr>
      <w:tr w:rsidR="00267DF0" w:rsidRPr="007A7B03" w14:paraId="17BBB2F6" w14:textId="77777777" w:rsidTr="00267DF0">
        <w:trPr>
          <w:cantSplit/>
          <w:trHeight w:val="59"/>
        </w:trPr>
        <w:tc>
          <w:tcPr>
            <w:tcW w:w="2767" w:type="dxa"/>
            <w:tcBorders>
              <w:top w:val="single" w:sz="6" w:space="0" w:color="auto"/>
              <w:bottom w:val="single" w:sz="6" w:space="0" w:color="auto"/>
            </w:tcBorders>
            <w:shd w:val="clear" w:color="auto" w:fill="386294"/>
            <w:vAlign w:val="center"/>
          </w:tcPr>
          <w:p w14:paraId="08E129C8" w14:textId="77777777" w:rsidR="00267DF0" w:rsidRPr="007A7B03" w:rsidRDefault="00267DF0" w:rsidP="00267DF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Agotamiento de recursos o procedencia de una excepción</w:t>
            </w:r>
          </w:p>
        </w:tc>
        <w:tc>
          <w:tcPr>
            <w:tcW w:w="6475" w:type="dxa"/>
            <w:vAlign w:val="center"/>
          </w:tcPr>
          <w:p w14:paraId="1BA62269" w14:textId="5AC6BC9A" w:rsidR="00267DF0" w:rsidRPr="007A7B03" w:rsidRDefault="00C34FBC" w:rsidP="00267DF0">
            <w:pPr>
              <w:rPr>
                <w:rFonts w:ascii="Cambria" w:hAnsi="Cambria"/>
                <w:bCs/>
                <w:sz w:val="20"/>
                <w:szCs w:val="20"/>
                <w:lang w:val="es-419"/>
              </w:rPr>
            </w:pPr>
            <w:r w:rsidRPr="007A7B03">
              <w:rPr>
                <w:rFonts w:ascii="Cambria" w:hAnsi="Cambria"/>
                <w:bCs/>
                <w:sz w:val="20"/>
                <w:szCs w:val="20"/>
                <w:lang w:val="es-419"/>
              </w:rPr>
              <w:t>Sí</w:t>
            </w:r>
            <w:r w:rsidRPr="007A7B03">
              <w:rPr>
                <w:rFonts w:asciiTheme="majorHAnsi" w:hAnsiTheme="majorHAnsi"/>
                <w:bCs/>
                <w:sz w:val="20"/>
                <w:szCs w:val="20"/>
                <w:lang w:val="es-419"/>
              </w:rPr>
              <w:t>, 6 de noviembre de 2015</w:t>
            </w:r>
          </w:p>
        </w:tc>
      </w:tr>
      <w:tr w:rsidR="00267DF0" w:rsidRPr="007A7B03" w14:paraId="1785C1C1" w14:textId="77777777" w:rsidTr="00267DF0">
        <w:trPr>
          <w:cantSplit/>
        </w:trPr>
        <w:tc>
          <w:tcPr>
            <w:tcW w:w="2767" w:type="dxa"/>
            <w:tcBorders>
              <w:top w:val="single" w:sz="6" w:space="0" w:color="auto"/>
              <w:bottom w:val="single" w:sz="6" w:space="0" w:color="auto"/>
            </w:tcBorders>
            <w:shd w:val="clear" w:color="auto" w:fill="386294"/>
            <w:vAlign w:val="center"/>
          </w:tcPr>
          <w:p w14:paraId="16CD4230" w14:textId="77777777" w:rsidR="00267DF0" w:rsidRPr="007A7B03" w:rsidRDefault="00267DF0" w:rsidP="00267DF0">
            <w:pPr>
              <w:jc w:val="center"/>
              <w:rPr>
                <w:rFonts w:ascii="Cambria" w:hAnsi="Cambria"/>
                <w:color w:val="FFFFFF" w:themeColor="background1"/>
                <w:sz w:val="20"/>
                <w:szCs w:val="20"/>
                <w:lang w:val="es-419"/>
              </w:rPr>
            </w:pPr>
            <w:r w:rsidRPr="007A7B03">
              <w:rPr>
                <w:rFonts w:ascii="Cambria" w:hAnsi="Cambria"/>
                <w:color w:val="FFFFFF" w:themeColor="background1"/>
                <w:sz w:val="20"/>
                <w:szCs w:val="20"/>
                <w:lang w:val="es-419"/>
              </w:rPr>
              <w:t>Presentación dentro de plazo</w:t>
            </w:r>
          </w:p>
        </w:tc>
        <w:tc>
          <w:tcPr>
            <w:tcW w:w="6475" w:type="dxa"/>
            <w:vAlign w:val="center"/>
          </w:tcPr>
          <w:p w14:paraId="674CCCA1" w14:textId="12915F49" w:rsidR="00267DF0" w:rsidRPr="007A7B03" w:rsidRDefault="00C34FBC" w:rsidP="00267DF0">
            <w:pPr>
              <w:rPr>
                <w:rFonts w:ascii="Cambria" w:hAnsi="Cambria"/>
                <w:bCs/>
                <w:sz w:val="20"/>
                <w:szCs w:val="20"/>
                <w:lang w:val="es-419"/>
              </w:rPr>
            </w:pPr>
            <w:r w:rsidRPr="007A7B03">
              <w:rPr>
                <w:rFonts w:ascii="Cambria" w:hAnsi="Cambria"/>
                <w:bCs/>
                <w:sz w:val="20"/>
                <w:szCs w:val="20"/>
                <w:lang w:val="es-419"/>
              </w:rPr>
              <w:t>Sí</w:t>
            </w:r>
          </w:p>
        </w:tc>
      </w:tr>
    </w:tbl>
    <w:p w14:paraId="56D03886" w14:textId="77777777" w:rsidR="00267DF0" w:rsidRPr="007A7B03" w:rsidRDefault="00267DF0" w:rsidP="0012475D">
      <w:pPr>
        <w:jc w:val="both"/>
        <w:rPr>
          <w:rFonts w:asciiTheme="majorHAnsi" w:hAnsiTheme="majorHAnsi"/>
          <w:b/>
          <w:sz w:val="20"/>
          <w:szCs w:val="20"/>
          <w:lang w:val="es-419"/>
        </w:rPr>
      </w:pPr>
    </w:p>
    <w:p w14:paraId="2A1E909B" w14:textId="31588F0D" w:rsidR="003239B8" w:rsidRPr="007A7B03" w:rsidRDefault="00223A29" w:rsidP="007615EF">
      <w:pPr>
        <w:ind w:firstLine="720"/>
        <w:jc w:val="both"/>
        <w:rPr>
          <w:rFonts w:asciiTheme="majorHAnsi" w:hAnsiTheme="majorHAnsi"/>
          <w:b/>
          <w:sz w:val="20"/>
          <w:szCs w:val="20"/>
          <w:lang w:val="es-419"/>
        </w:rPr>
      </w:pPr>
      <w:r w:rsidRPr="007A7B03">
        <w:rPr>
          <w:rFonts w:asciiTheme="majorHAnsi" w:hAnsiTheme="majorHAnsi"/>
          <w:b/>
          <w:sz w:val="20"/>
          <w:szCs w:val="20"/>
          <w:lang w:val="es-419"/>
        </w:rPr>
        <w:t xml:space="preserve">V. </w:t>
      </w:r>
      <w:r w:rsidRPr="007A7B03">
        <w:rPr>
          <w:rFonts w:asciiTheme="majorHAnsi" w:hAnsiTheme="majorHAnsi"/>
          <w:b/>
          <w:sz w:val="20"/>
          <w:szCs w:val="20"/>
          <w:lang w:val="es-419"/>
        </w:rPr>
        <w:tab/>
      </w:r>
      <w:r w:rsidR="0012475D" w:rsidRPr="007A7B03">
        <w:rPr>
          <w:rFonts w:asciiTheme="majorHAnsi" w:hAnsiTheme="majorHAnsi"/>
          <w:b/>
          <w:sz w:val="20"/>
          <w:szCs w:val="20"/>
          <w:lang w:val="es-419"/>
        </w:rPr>
        <w:t>RESUMEN DE LOS HECHOS ALEGADOS</w:t>
      </w:r>
    </w:p>
    <w:p w14:paraId="719E5010" w14:textId="07A2F443" w:rsidR="007615EF" w:rsidRPr="007A7B03" w:rsidRDefault="007615EF" w:rsidP="007615EF">
      <w:pPr>
        <w:ind w:firstLine="720"/>
        <w:jc w:val="both"/>
        <w:rPr>
          <w:rFonts w:asciiTheme="majorHAnsi" w:hAnsiTheme="majorHAnsi"/>
          <w:b/>
          <w:sz w:val="20"/>
          <w:szCs w:val="20"/>
          <w:lang w:val="es-419"/>
        </w:rPr>
      </w:pPr>
    </w:p>
    <w:p w14:paraId="2395221E" w14:textId="494D70FE" w:rsidR="00BF2D5B" w:rsidRPr="007A7B03" w:rsidRDefault="00BF2D5B" w:rsidP="00BF2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r w:rsidRPr="007A7B03">
        <w:rPr>
          <w:rFonts w:asciiTheme="majorHAnsi" w:hAnsiTheme="majorHAnsi"/>
          <w:sz w:val="20"/>
          <w:szCs w:val="20"/>
          <w:lang w:val="es-419"/>
        </w:rPr>
        <w:t xml:space="preserve">Los peticionarios alegan que Anastasio Hernández Rojas, ciudadano mexicano y residente de San Diego, fue golpeado violentamente y </w:t>
      </w:r>
      <w:r w:rsidR="00304752">
        <w:rPr>
          <w:rFonts w:asciiTheme="majorHAnsi" w:hAnsiTheme="majorHAnsi"/>
          <w:sz w:val="20"/>
          <w:szCs w:val="20"/>
          <w:lang w:val="es-419"/>
        </w:rPr>
        <w:t xml:space="preserve">atacado con </w:t>
      </w:r>
      <w:r w:rsidR="00AC23D3" w:rsidRPr="007A7B03">
        <w:rPr>
          <w:rFonts w:asciiTheme="majorHAnsi" w:hAnsiTheme="majorHAnsi"/>
          <w:sz w:val="20"/>
          <w:szCs w:val="20"/>
          <w:lang w:val="es-419"/>
        </w:rPr>
        <w:t>un</w:t>
      </w:r>
      <w:r w:rsidR="009F165C" w:rsidRPr="007A7B03">
        <w:rPr>
          <w:rFonts w:asciiTheme="majorHAnsi" w:hAnsiTheme="majorHAnsi"/>
          <w:sz w:val="20"/>
          <w:szCs w:val="20"/>
          <w:lang w:val="es-419"/>
        </w:rPr>
        <w:t>a pistola eléctrica (</w:t>
      </w:r>
      <w:r w:rsidR="00680088" w:rsidRPr="007A7B03">
        <w:rPr>
          <w:rFonts w:asciiTheme="majorHAnsi" w:hAnsiTheme="majorHAnsi"/>
          <w:sz w:val="20"/>
          <w:szCs w:val="20"/>
          <w:lang w:val="es-419"/>
        </w:rPr>
        <w:t>en adelante “</w:t>
      </w:r>
      <w:proofErr w:type="spellStart"/>
      <w:r w:rsidR="009F165C" w:rsidRPr="007A7B03">
        <w:rPr>
          <w:rFonts w:asciiTheme="majorHAnsi" w:hAnsiTheme="majorHAnsi"/>
          <w:i/>
          <w:iCs/>
          <w:sz w:val="20"/>
          <w:szCs w:val="20"/>
          <w:lang w:val="es-419"/>
        </w:rPr>
        <w:t>taser</w:t>
      </w:r>
      <w:proofErr w:type="spellEnd"/>
      <w:r w:rsidR="00680088" w:rsidRPr="007A7B03">
        <w:rPr>
          <w:rFonts w:asciiTheme="majorHAnsi" w:hAnsiTheme="majorHAnsi"/>
          <w:sz w:val="20"/>
          <w:szCs w:val="20"/>
          <w:lang w:val="es-419"/>
        </w:rPr>
        <w:t>”</w:t>
      </w:r>
      <w:r w:rsidR="009F165C" w:rsidRPr="007A7B03">
        <w:rPr>
          <w:rFonts w:asciiTheme="majorHAnsi" w:hAnsiTheme="majorHAnsi"/>
          <w:sz w:val="20"/>
          <w:szCs w:val="20"/>
          <w:lang w:val="es-419"/>
        </w:rPr>
        <w:t>)</w:t>
      </w:r>
      <w:r w:rsidR="00AC23D3" w:rsidRPr="007A7B03">
        <w:rPr>
          <w:rFonts w:asciiTheme="majorHAnsi" w:hAnsiTheme="majorHAnsi"/>
          <w:sz w:val="20"/>
          <w:szCs w:val="20"/>
          <w:lang w:val="es-419"/>
        </w:rPr>
        <w:t xml:space="preserve"> </w:t>
      </w:r>
      <w:r w:rsidR="00304752">
        <w:rPr>
          <w:rFonts w:asciiTheme="majorHAnsi" w:hAnsiTheme="majorHAnsi"/>
          <w:sz w:val="20"/>
          <w:szCs w:val="20"/>
          <w:lang w:val="es-419"/>
        </w:rPr>
        <w:t xml:space="preserve">hasta causar su muerte </w:t>
      </w:r>
      <w:r w:rsidR="00AC23D3" w:rsidRPr="007A7B03">
        <w:rPr>
          <w:rFonts w:asciiTheme="majorHAnsi" w:hAnsiTheme="majorHAnsi"/>
          <w:sz w:val="20"/>
          <w:szCs w:val="20"/>
          <w:lang w:val="es-419"/>
        </w:rPr>
        <w:t xml:space="preserve">por </w:t>
      </w:r>
      <w:r w:rsidR="00304752">
        <w:rPr>
          <w:rFonts w:asciiTheme="majorHAnsi" w:hAnsiTheme="majorHAnsi"/>
          <w:sz w:val="20"/>
          <w:szCs w:val="20"/>
          <w:lang w:val="es-419"/>
        </w:rPr>
        <w:t xml:space="preserve">parte </w:t>
      </w:r>
      <w:r w:rsidR="00AC23D3" w:rsidRPr="007A7B03">
        <w:rPr>
          <w:rFonts w:asciiTheme="majorHAnsi" w:hAnsiTheme="majorHAnsi"/>
          <w:sz w:val="20"/>
          <w:szCs w:val="20"/>
          <w:lang w:val="es-419"/>
        </w:rPr>
        <w:t>a</w:t>
      </w:r>
      <w:r w:rsidRPr="007A7B03">
        <w:rPr>
          <w:rFonts w:asciiTheme="majorHAnsi" w:hAnsiTheme="majorHAnsi"/>
          <w:sz w:val="20"/>
          <w:szCs w:val="20"/>
          <w:lang w:val="es-419"/>
        </w:rPr>
        <w:t>gentes de</w:t>
      </w:r>
      <w:r w:rsidR="009F165C" w:rsidRPr="007A7B03">
        <w:rPr>
          <w:rFonts w:asciiTheme="majorHAnsi" w:hAnsiTheme="majorHAnsi"/>
          <w:sz w:val="20"/>
          <w:szCs w:val="20"/>
          <w:lang w:val="es-419"/>
        </w:rPr>
        <w:t xml:space="preserve"> la Oficina</w:t>
      </w:r>
      <w:r w:rsidRPr="007A7B03">
        <w:rPr>
          <w:rFonts w:asciiTheme="majorHAnsi" w:hAnsiTheme="majorHAnsi"/>
          <w:sz w:val="20"/>
          <w:szCs w:val="20"/>
          <w:lang w:val="es-419"/>
        </w:rPr>
        <w:t xml:space="preserve"> Aduanas y Protección Fronteriza de los Estados Unidos (en adelante "CBP") el 31 de mayo de 2010, mientras estaba detenido en </w:t>
      </w:r>
      <w:r w:rsidR="00EE5BC1" w:rsidRPr="007A7B03">
        <w:rPr>
          <w:rFonts w:asciiTheme="majorHAnsi" w:hAnsiTheme="majorHAnsi"/>
          <w:sz w:val="20"/>
          <w:szCs w:val="20"/>
          <w:lang w:val="es-419"/>
        </w:rPr>
        <w:t>e</w:t>
      </w:r>
      <w:r w:rsidRPr="007A7B03">
        <w:rPr>
          <w:rFonts w:asciiTheme="majorHAnsi" w:hAnsiTheme="majorHAnsi"/>
          <w:sz w:val="20"/>
          <w:szCs w:val="20"/>
          <w:lang w:val="es-419"/>
        </w:rPr>
        <w:t xml:space="preserve">l </w:t>
      </w:r>
      <w:r w:rsidR="009E63AB" w:rsidRPr="007A7B03">
        <w:rPr>
          <w:rFonts w:asciiTheme="majorHAnsi" w:hAnsiTheme="majorHAnsi"/>
          <w:sz w:val="20"/>
          <w:szCs w:val="20"/>
          <w:lang w:val="es-419"/>
        </w:rPr>
        <w:t xml:space="preserve">Centro de Detención y Patrulla Fronteriza </w:t>
      </w:r>
      <w:r w:rsidR="005D6390" w:rsidRPr="007A7B03">
        <w:rPr>
          <w:rFonts w:asciiTheme="majorHAnsi" w:hAnsiTheme="majorHAnsi"/>
          <w:sz w:val="20"/>
          <w:szCs w:val="20"/>
          <w:lang w:val="es-419"/>
        </w:rPr>
        <w:t xml:space="preserve">de </w:t>
      </w:r>
      <w:r w:rsidR="009E63AB" w:rsidRPr="007A7B03">
        <w:rPr>
          <w:rFonts w:asciiTheme="majorHAnsi" w:hAnsiTheme="majorHAnsi"/>
          <w:sz w:val="20"/>
          <w:szCs w:val="20"/>
          <w:lang w:val="es-419"/>
        </w:rPr>
        <w:t>Chula Vista</w:t>
      </w:r>
      <w:r w:rsidRPr="007A7B03">
        <w:rPr>
          <w:rFonts w:asciiTheme="majorHAnsi" w:hAnsiTheme="majorHAnsi"/>
          <w:sz w:val="20"/>
          <w:szCs w:val="20"/>
          <w:lang w:val="es-419"/>
        </w:rPr>
        <w:t>. Los peticionarios sostienen que el maltrato penitenciario, las agresiones físicas equivalen</w:t>
      </w:r>
      <w:r w:rsidR="00304752">
        <w:rPr>
          <w:rFonts w:asciiTheme="majorHAnsi" w:hAnsiTheme="majorHAnsi"/>
          <w:sz w:val="20"/>
          <w:szCs w:val="20"/>
          <w:lang w:val="es-419"/>
        </w:rPr>
        <w:t>tes</w:t>
      </w:r>
      <w:r w:rsidRPr="007A7B03">
        <w:rPr>
          <w:rFonts w:asciiTheme="majorHAnsi" w:hAnsiTheme="majorHAnsi"/>
          <w:sz w:val="20"/>
          <w:szCs w:val="20"/>
          <w:lang w:val="es-419"/>
        </w:rPr>
        <w:t xml:space="preserve"> a tortura y </w:t>
      </w:r>
      <w:r w:rsidR="00304752">
        <w:rPr>
          <w:rFonts w:asciiTheme="majorHAnsi" w:hAnsiTheme="majorHAnsi"/>
          <w:sz w:val="20"/>
          <w:szCs w:val="20"/>
          <w:lang w:val="es-419"/>
        </w:rPr>
        <w:t xml:space="preserve">la ejecución </w:t>
      </w:r>
      <w:r w:rsidRPr="007A7B03">
        <w:rPr>
          <w:rFonts w:asciiTheme="majorHAnsi" w:hAnsiTheme="majorHAnsi"/>
          <w:sz w:val="20"/>
          <w:szCs w:val="20"/>
          <w:lang w:val="es-419"/>
        </w:rPr>
        <w:t xml:space="preserve">extrajudicial de Anastasio Hernández tuvieron lugar </w:t>
      </w:r>
      <w:r w:rsidR="00304752">
        <w:rPr>
          <w:rFonts w:asciiTheme="majorHAnsi" w:hAnsiTheme="majorHAnsi"/>
          <w:sz w:val="20"/>
          <w:szCs w:val="20"/>
          <w:lang w:val="es-419"/>
        </w:rPr>
        <w:t xml:space="preserve">como parte </w:t>
      </w:r>
      <w:r w:rsidRPr="007A7B03">
        <w:rPr>
          <w:rFonts w:asciiTheme="majorHAnsi" w:hAnsiTheme="majorHAnsi"/>
          <w:sz w:val="20"/>
          <w:szCs w:val="20"/>
          <w:lang w:val="es-419"/>
        </w:rPr>
        <w:t xml:space="preserve">de un patrón más amplio </w:t>
      </w:r>
      <w:r w:rsidRPr="007A7B03">
        <w:rPr>
          <w:rFonts w:asciiTheme="majorHAnsi" w:hAnsiTheme="majorHAnsi"/>
          <w:sz w:val="20"/>
          <w:szCs w:val="20"/>
          <w:lang w:val="es-419"/>
        </w:rPr>
        <w:lastRenderedPageBreak/>
        <w:t xml:space="preserve">de uso excesivo de la fuerza policial contra migrantes latinoamericanos </w:t>
      </w:r>
      <w:r w:rsidR="00304752">
        <w:rPr>
          <w:rFonts w:asciiTheme="majorHAnsi" w:hAnsiTheme="majorHAnsi"/>
          <w:sz w:val="20"/>
          <w:szCs w:val="20"/>
          <w:lang w:val="es-419"/>
        </w:rPr>
        <w:t xml:space="preserve">hacia </w:t>
      </w:r>
      <w:r w:rsidRPr="007A7B03">
        <w:rPr>
          <w:rFonts w:asciiTheme="majorHAnsi" w:hAnsiTheme="majorHAnsi"/>
          <w:sz w:val="20"/>
          <w:szCs w:val="20"/>
          <w:lang w:val="es-419"/>
        </w:rPr>
        <w:t xml:space="preserve">los Estados Unidos, lo que ha resultado en casi cincuenta asesinatos entre 2010 y 2016, y equivale a un contexto de discriminación estructural. </w:t>
      </w:r>
      <w:r w:rsidR="00304752">
        <w:rPr>
          <w:rFonts w:asciiTheme="majorHAnsi" w:hAnsiTheme="majorHAnsi"/>
          <w:sz w:val="20"/>
          <w:szCs w:val="20"/>
          <w:lang w:val="es-419"/>
        </w:rPr>
        <w:t>Adicionalmente</w:t>
      </w:r>
      <w:r w:rsidRPr="007A7B03">
        <w:rPr>
          <w:rFonts w:asciiTheme="majorHAnsi" w:hAnsiTheme="majorHAnsi"/>
          <w:sz w:val="20"/>
          <w:szCs w:val="20"/>
          <w:lang w:val="es-419"/>
        </w:rPr>
        <w:t xml:space="preserve">, los peticionarios </w:t>
      </w:r>
      <w:r w:rsidR="00304752">
        <w:rPr>
          <w:rFonts w:asciiTheme="majorHAnsi" w:hAnsiTheme="majorHAnsi"/>
          <w:sz w:val="20"/>
          <w:szCs w:val="20"/>
          <w:lang w:val="es-419"/>
        </w:rPr>
        <w:t xml:space="preserve">alegan </w:t>
      </w:r>
      <w:r w:rsidRPr="007A7B03">
        <w:rPr>
          <w:rFonts w:asciiTheme="majorHAnsi" w:hAnsiTheme="majorHAnsi"/>
          <w:sz w:val="20"/>
          <w:szCs w:val="20"/>
          <w:lang w:val="es-419"/>
        </w:rPr>
        <w:t xml:space="preserve">que </w:t>
      </w:r>
      <w:r w:rsidR="00304752">
        <w:rPr>
          <w:rFonts w:asciiTheme="majorHAnsi" w:hAnsiTheme="majorHAnsi"/>
          <w:sz w:val="20"/>
          <w:szCs w:val="20"/>
          <w:lang w:val="es-419"/>
        </w:rPr>
        <w:t xml:space="preserve">los </w:t>
      </w:r>
      <w:r w:rsidRPr="007A7B03">
        <w:rPr>
          <w:rFonts w:asciiTheme="majorHAnsi" w:hAnsiTheme="majorHAnsi"/>
          <w:sz w:val="20"/>
          <w:szCs w:val="20"/>
          <w:lang w:val="es-419"/>
        </w:rPr>
        <w:t>Estados Unidos no ha</w:t>
      </w:r>
      <w:r w:rsidR="00304752">
        <w:rPr>
          <w:rFonts w:asciiTheme="majorHAnsi" w:hAnsiTheme="majorHAnsi"/>
          <w:sz w:val="20"/>
          <w:szCs w:val="20"/>
          <w:lang w:val="es-419"/>
        </w:rPr>
        <w:t>n</w:t>
      </w:r>
      <w:r w:rsidRPr="007A7B03">
        <w:rPr>
          <w:rFonts w:asciiTheme="majorHAnsi" w:hAnsiTheme="majorHAnsi"/>
          <w:sz w:val="20"/>
          <w:szCs w:val="20"/>
          <w:lang w:val="es-419"/>
        </w:rPr>
        <w:t xml:space="preserve"> enjuiciado penalmente o imp</w:t>
      </w:r>
      <w:r w:rsidR="00D710CA" w:rsidRPr="007A7B03">
        <w:rPr>
          <w:rFonts w:asciiTheme="majorHAnsi" w:hAnsiTheme="majorHAnsi"/>
          <w:sz w:val="20"/>
          <w:szCs w:val="20"/>
          <w:lang w:val="es-419"/>
        </w:rPr>
        <w:t>uesto</w:t>
      </w:r>
      <w:r w:rsidRPr="007A7B03">
        <w:rPr>
          <w:rFonts w:asciiTheme="majorHAnsi" w:hAnsiTheme="majorHAnsi"/>
          <w:sz w:val="20"/>
          <w:szCs w:val="20"/>
          <w:lang w:val="es-419"/>
        </w:rPr>
        <w:t xml:space="preserve"> sanciones disciplinarias a los agentes responsables de la detención, maltrato, tortura y asesinato de Anastasio Hernández, violando así los derechos de sus familiares a la justicia, la verdad</w:t>
      </w:r>
      <w:r w:rsidR="002901FD" w:rsidRPr="007A7B03">
        <w:rPr>
          <w:rFonts w:asciiTheme="majorHAnsi" w:hAnsiTheme="majorHAnsi"/>
          <w:sz w:val="20"/>
          <w:szCs w:val="20"/>
          <w:lang w:val="es-419"/>
        </w:rPr>
        <w:t xml:space="preserve">, </w:t>
      </w:r>
      <w:r w:rsidR="002E16F3">
        <w:rPr>
          <w:rFonts w:asciiTheme="majorHAnsi" w:hAnsiTheme="majorHAnsi"/>
          <w:sz w:val="20"/>
          <w:szCs w:val="20"/>
          <w:lang w:val="es-419"/>
        </w:rPr>
        <w:t xml:space="preserve">la </w:t>
      </w:r>
      <w:r w:rsidRPr="007A7B03">
        <w:rPr>
          <w:rFonts w:asciiTheme="majorHAnsi" w:hAnsiTheme="majorHAnsi"/>
          <w:sz w:val="20"/>
          <w:szCs w:val="20"/>
          <w:lang w:val="es-419"/>
        </w:rPr>
        <w:t>reparaci</w:t>
      </w:r>
      <w:r w:rsidR="002E16F3">
        <w:rPr>
          <w:rFonts w:asciiTheme="majorHAnsi" w:hAnsiTheme="majorHAnsi"/>
          <w:sz w:val="20"/>
          <w:szCs w:val="20"/>
          <w:lang w:val="es-419"/>
        </w:rPr>
        <w:t>ón</w:t>
      </w:r>
      <w:r w:rsidRPr="007A7B03">
        <w:rPr>
          <w:rFonts w:asciiTheme="majorHAnsi" w:hAnsiTheme="majorHAnsi"/>
          <w:sz w:val="20"/>
          <w:szCs w:val="20"/>
          <w:lang w:val="es-419"/>
        </w:rPr>
        <w:t xml:space="preserve"> </w:t>
      </w:r>
      <w:r w:rsidR="002901FD" w:rsidRPr="007A7B03">
        <w:rPr>
          <w:rFonts w:asciiTheme="majorHAnsi" w:hAnsiTheme="majorHAnsi"/>
          <w:sz w:val="20"/>
          <w:szCs w:val="20"/>
          <w:lang w:val="es-419"/>
        </w:rPr>
        <w:t>integral</w:t>
      </w:r>
      <w:r w:rsidR="00304752">
        <w:rPr>
          <w:rFonts w:asciiTheme="majorHAnsi" w:hAnsiTheme="majorHAnsi"/>
          <w:sz w:val="20"/>
          <w:szCs w:val="20"/>
          <w:lang w:val="es-419"/>
        </w:rPr>
        <w:t xml:space="preserve"> y</w:t>
      </w:r>
      <w:r w:rsidRPr="007A7B03">
        <w:rPr>
          <w:rFonts w:asciiTheme="majorHAnsi" w:hAnsiTheme="majorHAnsi"/>
          <w:sz w:val="20"/>
          <w:szCs w:val="20"/>
          <w:lang w:val="es-419"/>
        </w:rPr>
        <w:t xml:space="preserve"> </w:t>
      </w:r>
      <w:r w:rsidR="002E16F3">
        <w:rPr>
          <w:rFonts w:asciiTheme="majorHAnsi" w:hAnsiTheme="majorHAnsi"/>
          <w:sz w:val="20"/>
          <w:szCs w:val="20"/>
          <w:lang w:val="es-419"/>
        </w:rPr>
        <w:t xml:space="preserve">el </w:t>
      </w:r>
      <w:r w:rsidRPr="007A7B03">
        <w:rPr>
          <w:rFonts w:asciiTheme="majorHAnsi" w:hAnsiTheme="majorHAnsi"/>
          <w:sz w:val="20"/>
          <w:szCs w:val="20"/>
          <w:lang w:val="es-419"/>
        </w:rPr>
        <w:t>acceso a la información, así como su derecho a la integridad psicológica.</w:t>
      </w:r>
    </w:p>
    <w:p w14:paraId="250EF0A6" w14:textId="77777777" w:rsidR="00BF2D5B" w:rsidRPr="007A7B03" w:rsidRDefault="00BF2D5B" w:rsidP="000E021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419"/>
        </w:rPr>
      </w:pPr>
    </w:p>
    <w:p w14:paraId="5FFB6E47" w14:textId="20A69A3F" w:rsidR="00E1423F" w:rsidRPr="007A7B03" w:rsidRDefault="00AE144A" w:rsidP="00E142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Anastasio Hernández Rojas nació en 1968 en México y emigró a San Diego cuando tenía 15 años, donde </w:t>
      </w:r>
      <w:r w:rsidR="002E16F3">
        <w:rPr>
          <w:rFonts w:asciiTheme="majorHAnsi" w:hAnsiTheme="majorHAnsi"/>
          <w:sz w:val="20"/>
          <w:szCs w:val="20"/>
          <w:lang w:val="es-419"/>
        </w:rPr>
        <w:t xml:space="preserve">eventualmente </w:t>
      </w:r>
      <w:r w:rsidRPr="007A7B03">
        <w:rPr>
          <w:rFonts w:asciiTheme="majorHAnsi" w:hAnsiTheme="majorHAnsi"/>
          <w:sz w:val="20"/>
          <w:szCs w:val="20"/>
          <w:lang w:val="es-419"/>
        </w:rPr>
        <w:t>estableció una familia compuesta por él, su pareja María y cinco hijos, dos de los cuales todavía son menores de edad a la fecha</w:t>
      </w:r>
      <w:r w:rsidR="002E16F3">
        <w:rPr>
          <w:rFonts w:asciiTheme="majorHAnsi" w:hAnsiTheme="majorHAnsi"/>
          <w:sz w:val="20"/>
          <w:szCs w:val="20"/>
          <w:lang w:val="es-419"/>
        </w:rPr>
        <w:t xml:space="preserve"> actual</w:t>
      </w:r>
      <w:r w:rsidRPr="007A7B03">
        <w:rPr>
          <w:rFonts w:asciiTheme="majorHAnsi" w:hAnsiTheme="majorHAnsi"/>
          <w:sz w:val="20"/>
          <w:szCs w:val="20"/>
          <w:lang w:val="es-419"/>
        </w:rPr>
        <w:t xml:space="preserve">. Tras haber sido removido de los Estados Unidos por las autoridades de inmigración en mayo de 2010, intentó volver a ingresar al territorio estadounidense desde México y reunirse con su familia en San Diego; sin embargo, fue detenido el 28 de mayo de 2010 por agentes de CBP, quienes lo </w:t>
      </w:r>
      <w:r w:rsidR="002E16F3">
        <w:rPr>
          <w:rFonts w:asciiTheme="majorHAnsi" w:hAnsiTheme="majorHAnsi"/>
          <w:sz w:val="20"/>
          <w:szCs w:val="20"/>
          <w:lang w:val="es-419"/>
        </w:rPr>
        <w:t>recluyeron</w:t>
      </w:r>
      <w:r w:rsidR="005D6390" w:rsidRPr="007A7B03">
        <w:rPr>
          <w:rFonts w:asciiTheme="majorHAnsi" w:hAnsiTheme="majorHAnsi"/>
          <w:sz w:val="20"/>
          <w:szCs w:val="20"/>
          <w:lang w:val="es-419"/>
        </w:rPr>
        <w:t xml:space="preserve"> </w:t>
      </w:r>
      <w:r w:rsidR="002E16F3">
        <w:rPr>
          <w:rFonts w:asciiTheme="majorHAnsi" w:hAnsiTheme="majorHAnsi"/>
          <w:sz w:val="20"/>
          <w:szCs w:val="20"/>
          <w:lang w:val="es-419"/>
        </w:rPr>
        <w:t>en e</w:t>
      </w:r>
      <w:r w:rsidRPr="007A7B03">
        <w:rPr>
          <w:rFonts w:asciiTheme="majorHAnsi" w:hAnsiTheme="majorHAnsi"/>
          <w:sz w:val="20"/>
          <w:szCs w:val="20"/>
          <w:lang w:val="es-419"/>
        </w:rPr>
        <w:t xml:space="preserve">l Centro de Detención y Patrulla Fronteriza de Chula Vista (en adelante, "el </w:t>
      </w:r>
      <w:r w:rsidR="005D6390" w:rsidRPr="007A7B03">
        <w:rPr>
          <w:rFonts w:asciiTheme="majorHAnsi" w:hAnsiTheme="majorHAnsi"/>
          <w:sz w:val="20"/>
          <w:szCs w:val="20"/>
          <w:lang w:val="es-419"/>
        </w:rPr>
        <w:t>C</w:t>
      </w:r>
      <w:r w:rsidRPr="007A7B03">
        <w:rPr>
          <w:rFonts w:asciiTheme="majorHAnsi" w:hAnsiTheme="majorHAnsi"/>
          <w:sz w:val="20"/>
          <w:szCs w:val="20"/>
          <w:lang w:val="es-419"/>
        </w:rPr>
        <w:t xml:space="preserve">entro de Chula Vista"). Los peticionarios afirman que, una vez detenido, el Sr. Hernández fue sometido sucesivamente a malos tratos físicos y verbales, </w:t>
      </w:r>
      <w:r w:rsidR="002E16F3">
        <w:rPr>
          <w:rFonts w:asciiTheme="majorHAnsi" w:hAnsiTheme="majorHAnsi"/>
          <w:sz w:val="20"/>
          <w:szCs w:val="20"/>
          <w:lang w:val="es-419"/>
        </w:rPr>
        <w:t>golpes</w:t>
      </w:r>
      <w:r w:rsidRPr="007A7B03">
        <w:rPr>
          <w:rFonts w:asciiTheme="majorHAnsi" w:hAnsiTheme="majorHAnsi"/>
          <w:sz w:val="20"/>
          <w:szCs w:val="20"/>
          <w:lang w:val="es-419"/>
        </w:rPr>
        <w:t>, falta de acceso a tratamiento médico</w:t>
      </w:r>
      <w:r w:rsidR="003518EE" w:rsidRPr="007A7B03">
        <w:rPr>
          <w:rFonts w:asciiTheme="majorHAnsi" w:hAnsiTheme="majorHAnsi"/>
          <w:sz w:val="20"/>
          <w:szCs w:val="20"/>
          <w:lang w:val="es-419"/>
        </w:rPr>
        <w:t xml:space="preserve"> -</w:t>
      </w:r>
      <w:r w:rsidRPr="007A7B03">
        <w:rPr>
          <w:rFonts w:asciiTheme="majorHAnsi" w:hAnsiTheme="majorHAnsi"/>
          <w:sz w:val="20"/>
          <w:szCs w:val="20"/>
          <w:lang w:val="es-419"/>
        </w:rPr>
        <w:t xml:space="preserve">lo </w:t>
      </w:r>
      <w:r w:rsidR="003518EE" w:rsidRPr="007A7B03">
        <w:rPr>
          <w:rFonts w:asciiTheme="majorHAnsi" w:hAnsiTheme="majorHAnsi"/>
          <w:sz w:val="20"/>
          <w:szCs w:val="20"/>
          <w:lang w:val="es-419"/>
        </w:rPr>
        <w:t>cual</w:t>
      </w:r>
      <w:r w:rsidRPr="007A7B03">
        <w:rPr>
          <w:rFonts w:asciiTheme="majorHAnsi" w:hAnsiTheme="majorHAnsi"/>
          <w:sz w:val="20"/>
          <w:szCs w:val="20"/>
          <w:lang w:val="es-419"/>
        </w:rPr>
        <w:t xml:space="preserve"> solicitó</w:t>
      </w:r>
      <w:r w:rsidR="003518EE" w:rsidRPr="007A7B03">
        <w:rPr>
          <w:rFonts w:asciiTheme="majorHAnsi" w:hAnsiTheme="majorHAnsi"/>
          <w:sz w:val="20"/>
          <w:szCs w:val="20"/>
          <w:lang w:val="es-419"/>
        </w:rPr>
        <w:t>-</w:t>
      </w:r>
      <w:r w:rsidRPr="007A7B03">
        <w:rPr>
          <w:rFonts w:asciiTheme="majorHAnsi" w:hAnsiTheme="majorHAnsi"/>
          <w:sz w:val="20"/>
          <w:szCs w:val="20"/>
          <w:lang w:val="es-419"/>
        </w:rPr>
        <w:t>, falta de acceso a un juez de inmigración</w:t>
      </w:r>
      <w:r w:rsidR="003518EE" w:rsidRPr="007A7B03">
        <w:rPr>
          <w:rFonts w:asciiTheme="majorHAnsi" w:hAnsiTheme="majorHAnsi"/>
          <w:sz w:val="20"/>
          <w:szCs w:val="20"/>
          <w:lang w:val="es-419"/>
        </w:rPr>
        <w:t xml:space="preserve"> -</w:t>
      </w:r>
      <w:r w:rsidRPr="007A7B03">
        <w:rPr>
          <w:rFonts w:asciiTheme="majorHAnsi" w:hAnsiTheme="majorHAnsi"/>
          <w:sz w:val="20"/>
          <w:szCs w:val="20"/>
          <w:lang w:val="es-419"/>
        </w:rPr>
        <w:t>que también solicitó</w:t>
      </w:r>
      <w:r w:rsidR="003518EE" w:rsidRPr="007A7B03">
        <w:rPr>
          <w:rFonts w:asciiTheme="majorHAnsi" w:hAnsiTheme="majorHAnsi"/>
          <w:sz w:val="20"/>
          <w:szCs w:val="20"/>
          <w:lang w:val="es-419"/>
        </w:rPr>
        <w:t>-</w:t>
      </w:r>
      <w:r w:rsidRPr="007A7B03">
        <w:rPr>
          <w:rFonts w:asciiTheme="majorHAnsi" w:hAnsiTheme="majorHAnsi"/>
          <w:sz w:val="20"/>
          <w:szCs w:val="20"/>
          <w:lang w:val="es-419"/>
        </w:rPr>
        <w:t xml:space="preserve">, y que luego fue víctima de un incidente de agresión física violenta en el que varios agentes de CBP lo </w:t>
      </w:r>
      <w:r w:rsidR="002E16F3">
        <w:rPr>
          <w:rFonts w:asciiTheme="majorHAnsi" w:hAnsiTheme="majorHAnsi"/>
          <w:sz w:val="20"/>
          <w:szCs w:val="20"/>
          <w:lang w:val="es-419"/>
        </w:rPr>
        <w:t>amarraron</w:t>
      </w:r>
      <w:r w:rsidRPr="007A7B03">
        <w:rPr>
          <w:rFonts w:asciiTheme="majorHAnsi" w:hAnsiTheme="majorHAnsi"/>
          <w:sz w:val="20"/>
          <w:szCs w:val="20"/>
          <w:lang w:val="es-419"/>
        </w:rPr>
        <w:t xml:space="preserve">, lo arrastraron, lo golpearon con </w:t>
      </w:r>
      <w:r w:rsidR="003518EE" w:rsidRPr="007A7B03">
        <w:rPr>
          <w:rFonts w:asciiTheme="majorHAnsi" w:hAnsiTheme="majorHAnsi"/>
          <w:sz w:val="20"/>
          <w:szCs w:val="20"/>
          <w:lang w:val="es-419"/>
        </w:rPr>
        <w:t>bastones</w:t>
      </w:r>
      <w:r w:rsidRPr="007A7B03">
        <w:rPr>
          <w:rFonts w:asciiTheme="majorHAnsi" w:hAnsiTheme="majorHAnsi"/>
          <w:sz w:val="20"/>
          <w:szCs w:val="20"/>
          <w:lang w:val="es-419"/>
        </w:rPr>
        <w:t xml:space="preserve">, </w:t>
      </w:r>
      <w:r w:rsidR="003518EE" w:rsidRPr="007A7B03">
        <w:rPr>
          <w:rFonts w:asciiTheme="majorHAnsi" w:hAnsiTheme="majorHAnsi"/>
          <w:sz w:val="20"/>
          <w:szCs w:val="20"/>
          <w:lang w:val="es-419"/>
        </w:rPr>
        <w:t>puñetazos</w:t>
      </w:r>
      <w:r w:rsidRPr="007A7B03">
        <w:rPr>
          <w:rFonts w:asciiTheme="majorHAnsi" w:hAnsiTheme="majorHAnsi"/>
          <w:sz w:val="20"/>
          <w:szCs w:val="20"/>
          <w:lang w:val="es-419"/>
        </w:rPr>
        <w:t xml:space="preserve"> y patadas, se pararon y arrodillaron sobre su cuerpo contra el suelo, y l</w:t>
      </w:r>
      <w:r w:rsidR="00631322" w:rsidRPr="007A7B03">
        <w:rPr>
          <w:rFonts w:asciiTheme="majorHAnsi" w:hAnsiTheme="majorHAnsi"/>
          <w:sz w:val="20"/>
          <w:szCs w:val="20"/>
          <w:lang w:val="es-419"/>
        </w:rPr>
        <w:t xml:space="preserve">e dispararon con la pistola </w:t>
      </w:r>
      <w:proofErr w:type="spellStart"/>
      <w:r w:rsidR="00631322" w:rsidRPr="007A7B03">
        <w:rPr>
          <w:rFonts w:asciiTheme="majorHAnsi" w:hAnsiTheme="majorHAnsi"/>
          <w:i/>
          <w:iCs/>
          <w:sz w:val="20"/>
          <w:szCs w:val="20"/>
          <w:lang w:val="es-419"/>
        </w:rPr>
        <w:t>taser</w:t>
      </w:r>
      <w:proofErr w:type="spellEnd"/>
      <w:r w:rsidR="00631322" w:rsidRPr="007A7B03">
        <w:rPr>
          <w:rFonts w:asciiTheme="majorHAnsi" w:hAnsiTheme="majorHAnsi"/>
          <w:sz w:val="20"/>
          <w:szCs w:val="20"/>
          <w:lang w:val="es-419"/>
        </w:rPr>
        <w:t xml:space="preserve"> </w:t>
      </w:r>
      <w:r w:rsidRPr="007A7B03">
        <w:rPr>
          <w:rFonts w:asciiTheme="majorHAnsi" w:hAnsiTheme="majorHAnsi"/>
          <w:sz w:val="20"/>
          <w:szCs w:val="20"/>
          <w:lang w:val="es-419"/>
        </w:rPr>
        <w:t xml:space="preserve">repetidamente durante largos períodos de tiempo, incluso después de haber </w:t>
      </w:r>
      <w:r w:rsidR="002E16F3">
        <w:rPr>
          <w:rFonts w:asciiTheme="majorHAnsi" w:hAnsiTheme="majorHAnsi"/>
          <w:sz w:val="20"/>
          <w:szCs w:val="20"/>
          <w:lang w:val="es-419"/>
        </w:rPr>
        <w:t>quedado</w:t>
      </w:r>
      <w:r w:rsidR="00631322" w:rsidRPr="007A7B03">
        <w:rPr>
          <w:rFonts w:asciiTheme="majorHAnsi" w:hAnsiTheme="majorHAnsi"/>
          <w:sz w:val="20"/>
          <w:szCs w:val="20"/>
          <w:lang w:val="es-419"/>
        </w:rPr>
        <w:t xml:space="preserve"> inconsciente</w:t>
      </w:r>
      <w:r w:rsidRPr="007A7B03">
        <w:rPr>
          <w:rFonts w:asciiTheme="majorHAnsi" w:hAnsiTheme="majorHAnsi"/>
          <w:sz w:val="20"/>
          <w:szCs w:val="20"/>
          <w:lang w:val="es-419"/>
        </w:rPr>
        <w:t>, causando así su muerte.</w:t>
      </w:r>
      <w:r w:rsidR="005D3DE0" w:rsidRPr="007A7B03">
        <w:rPr>
          <w:rFonts w:asciiTheme="majorHAnsi" w:hAnsiTheme="majorHAnsi"/>
          <w:sz w:val="20"/>
          <w:szCs w:val="20"/>
          <w:lang w:val="es-419"/>
        </w:rPr>
        <w:t xml:space="preserve"> </w:t>
      </w:r>
      <w:r w:rsidR="00E03022" w:rsidRPr="007A7B03">
        <w:rPr>
          <w:rFonts w:asciiTheme="majorHAnsi" w:hAnsiTheme="majorHAnsi"/>
          <w:sz w:val="20"/>
          <w:szCs w:val="20"/>
          <w:lang w:val="es-419"/>
        </w:rPr>
        <w:t>Los peticionarios especifican que, como resultado de estas agresiones, el Sr. Hernández sufrió lesiones corporales extens</w:t>
      </w:r>
      <w:r w:rsidR="002E16F3">
        <w:rPr>
          <w:rFonts w:asciiTheme="majorHAnsi" w:hAnsiTheme="majorHAnsi"/>
          <w:sz w:val="20"/>
          <w:szCs w:val="20"/>
          <w:lang w:val="es-419"/>
        </w:rPr>
        <w:t>as</w:t>
      </w:r>
      <w:r w:rsidR="00E03022" w:rsidRPr="007A7B03">
        <w:rPr>
          <w:rFonts w:asciiTheme="majorHAnsi" w:hAnsiTheme="majorHAnsi"/>
          <w:sz w:val="20"/>
          <w:szCs w:val="20"/>
          <w:lang w:val="es-419"/>
        </w:rPr>
        <w:t xml:space="preserve">, incluyendo hematomas y abrasiones en la cara y el cuerpo, cinco costillas rotas y hemorragias en los órganos internos; </w:t>
      </w:r>
      <w:r w:rsidR="00DE18B1" w:rsidRPr="007A7B03">
        <w:rPr>
          <w:rFonts w:asciiTheme="majorHAnsi" w:hAnsiTheme="majorHAnsi"/>
          <w:sz w:val="20"/>
          <w:szCs w:val="20"/>
          <w:lang w:val="es-419"/>
        </w:rPr>
        <w:t>l</w:t>
      </w:r>
      <w:r w:rsidR="00E03022" w:rsidRPr="007A7B03">
        <w:rPr>
          <w:rFonts w:asciiTheme="majorHAnsi" w:hAnsiTheme="majorHAnsi"/>
          <w:sz w:val="20"/>
          <w:szCs w:val="20"/>
          <w:lang w:val="es-419"/>
        </w:rPr>
        <w:t xml:space="preserve">as agresiones causaron que el Sr. Hernández sufriera un ataque cardíaco, paro cardíaco y daño cerebral. Los oficiales responsables de estas acciones inicialmente trataron de administrar RCP, y quince minutos después de que dejó de responder, lo llevaron en ambulancia al Hospital Sharp Chula Vista, donde fue diagnosticado con muerte cerebral, permaneciendo brevemente en soporte vital hasta que </w:t>
      </w:r>
      <w:r w:rsidR="005D3DE0" w:rsidRPr="007A7B03">
        <w:rPr>
          <w:rFonts w:asciiTheme="majorHAnsi" w:hAnsiTheme="majorHAnsi"/>
          <w:sz w:val="20"/>
          <w:szCs w:val="20"/>
          <w:lang w:val="es-419"/>
        </w:rPr>
        <w:t xml:space="preserve">tuvo un paro cardíaco </w:t>
      </w:r>
      <w:r w:rsidR="00E03022" w:rsidRPr="007A7B03">
        <w:rPr>
          <w:rFonts w:asciiTheme="majorHAnsi" w:hAnsiTheme="majorHAnsi"/>
          <w:sz w:val="20"/>
          <w:szCs w:val="20"/>
          <w:lang w:val="es-419"/>
        </w:rPr>
        <w:t xml:space="preserve">y fue </w:t>
      </w:r>
      <w:r w:rsidR="005D3DE0" w:rsidRPr="007A7B03">
        <w:rPr>
          <w:rFonts w:asciiTheme="majorHAnsi" w:hAnsiTheme="majorHAnsi"/>
          <w:sz w:val="20"/>
          <w:szCs w:val="20"/>
          <w:lang w:val="es-419"/>
        </w:rPr>
        <w:t>pronunciado</w:t>
      </w:r>
      <w:r w:rsidR="00E03022" w:rsidRPr="007A7B03">
        <w:rPr>
          <w:rFonts w:asciiTheme="majorHAnsi" w:hAnsiTheme="majorHAnsi"/>
          <w:sz w:val="20"/>
          <w:szCs w:val="20"/>
          <w:lang w:val="es-419"/>
        </w:rPr>
        <w:t xml:space="preserve"> muerto el 31 de mayo de 2010. Las autopsias oficiales realizadas por las autoridades estadounidenses dictaminaron su muerte como homicidio, identificando como sus causas los golpes </w:t>
      </w:r>
      <w:r w:rsidR="00441BAC">
        <w:rPr>
          <w:rFonts w:asciiTheme="majorHAnsi" w:hAnsiTheme="majorHAnsi"/>
          <w:sz w:val="20"/>
          <w:szCs w:val="20"/>
          <w:lang w:val="es-419"/>
        </w:rPr>
        <w:t xml:space="preserve">y descargas de </w:t>
      </w:r>
      <w:proofErr w:type="spellStart"/>
      <w:r w:rsidR="00441BAC" w:rsidRPr="00441BAC">
        <w:rPr>
          <w:rFonts w:asciiTheme="majorHAnsi" w:hAnsiTheme="majorHAnsi"/>
          <w:i/>
          <w:iCs/>
          <w:sz w:val="20"/>
          <w:szCs w:val="20"/>
          <w:lang w:val="es-419"/>
        </w:rPr>
        <w:t>taser</w:t>
      </w:r>
      <w:proofErr w:type="spellEnd"/>
      <w:r w:rsidR="00441BAC">
        <w:rPr>
          <w:rFonts w:asciiTheme="majorHAnsi" w:hAnsiTheme="majorHAnsi"/>
          <w:sz w:val="20"/>
          <w:szCs w:val="20"/>
          <w:lang w:val="es-419"/>
        </w:rPr>
        <w:t xml:space="preserve"> </w:t>
      </w:r>
      <w:r w:rsidR="00E03022" w:rsidRPr="007A7B03">
        <w:rPr>
          <w:rFonts w:asciiTheme="majorHAnsi" w:hAnsiTheme="majorHAnsi"/>
          <w:sz w:val="20"/>
          <w:szCs w:val="20"/>
          <w:lang w:val="es-419"/>
        </w:rPr>
        <w:t xml:space="preserve">que sufrió. La muerte del Sr. Hernández dio lugar a dos cursos de acción </w:t>
      </w:r>
      <w:r w:rsidR="00441BAC">
        <w:rPr>
          <w:rFonts w:asciiTheme="majorHAnsi" w:hAnsiTheme="majorHAnsi"/>
          <w:sz w:val="20"/>
          <w:szCs w:val="20"/>
          <w:lang w:val="es-419"/>
        </w:rPr>
        <w:t>jurídica</w:t>
      </w:r>
      <w:r w:rsidR="00E03022" w:rsidRPr="007A7B03">
        <w:rPr>
          <w:rFonts w:asciiTheme="majorHAnsi" w:hAnsiTheme="majorHAnsi"/>
          <w:sz w:val="20"/>
          <w:szCs w:val="20"/>
          <w:lang w:val="es-419"/>
        </w:rPr>
        <w:t xml:space="preserve">, uno criminal y uno civil; hasta la fecha no se han tomado medidas disciplinarias y los oficiales que participaron en el asesinato </w:t>
      </w:r>
      <w:r w:rsidR="00441BAC">
        <w:rPr>
          <w:rFonts w:asciiTheme="majorHAnsi" w:hAnsiTheme="majorHAnsi"/>
          <w:sz w:val="20"/>
          <w:szCs w:val="20"/>
          <w:lang w:val="es-419"/>
        </w:rPr>
        <w:t xml:space="preserve">aparentemente siguen </w:t>
      </w:r>
      <w:r w:rsidR="00E03022" w:rsidRPr="007A7B03">
        <w:rPr>
          <w:rFonts w:asciiTheme="majorHAnsi" w:hAnsiTheme="majorHAnsi"/>
          <w:sz w:val="20"/>
          <w:szCs w:val="20"/>
          <w:lang w:val="es-419"/>
        </w:rPr>
        <w:t>en servicio activo.</w:t>
      </w:r>
    </w:p>
    <w:p w14:paraId="714BF4F6" w14:textId="56F72B04" w:rsidR="00CB0421" w:rsidRPr="007A7B03" w:rsidRDefault="00D86A5C" w:rsidP="00CB04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En cuanto al caso penal, los peticionarios indican que el Departamento de Policía de San Diego fue informado </w:t>
      </w:r>
      <w:r w:rsidR="00441BAC">
        <w:rPr>
          <w:rFonts w:asciiTheme="majorHAnsi" w:hAnsiTheme="majorHAnsi"/>
          <w:sz w:val="20"/>
          <w:szCs w:val="20"/>
          <w:lang w:val="es-419"/>
        </w:rPr>
        <w:t xml:space="preserve">sobre </w:t>
      </w:r>
      <w:r w:rsidRPr="007A7B03">
        <w:rPr>
          <w:rFonts w:asciiTheme="majorHAnsi" w:hAnsiTheme="majorHAnsi"/>
          <w:sz w:val="20"/>
          <w:szCs w:val="20"/>
          <w:lang w:val="es-419"/>
        </w:rPr>
        <w:t xml:space="preserve">el incidente por agentes de </w:t>
      </w:r>
      <w:r w:rsidR="00441BAC">
        <w:rPr>
          <w:rFonts w:asciiTheme="majorHAnsi" w:hAnsiTheme="majorHAnsi"/>
          <w:sz w:val="20"/>
          <w:szCs w:val="20"/>
          <w:lang w:val="es-419"/>
        </w:rPr>
        <w:t xml:space="preserve">la </w:t>
      </w:r>
      <w:r w:rsidRPr="007A7B03">
        <w:rPr>
          <w:rFonts w:asciiTheme="majorHAnsi" w:hAnsiTheme="majorHAnsi"/>
          <w:sz w:val="20"/>
          <w:szCs w:val="20"/>
          <w:lang w:val="es-419"/>
        </w:rPr>
        <w:t xml:space="preserve">CBP el 29 de mayo de 2010, un día después de la golpiza, y en esa fecha </w:t>
      </w:r>
      <w:r w:rsidR="00441BAC">
        <w:rPr>
          <w:rFonts w:asciiTheme="majorHAnsi" w:hAnsiTheme="majorHAnsi"/>
          <w:sz w:val="20"/>
          <w:szCs w:val="20"/>
          <w:lang w:val="es-419"/>
        </w:rPr>
        <w:t xml:space="preserve">inició </w:t>
      </w:r>
      <w:r w:rsidRPr="007A7B03">
        <w:rPr>
          <w:rFonts w:asciiTheme="majorHAnsi" w:hAnsiTheme="majorHAnsi"/>
          <w:sz w:val="20"/>
          <w:szCs w:val="20"/>
          <w:lang w:val="es-419"/>
        </w:rPr>
        <w:t xml:space="preserve">la investigación criminal. Los peticionarios </w:t>
      </w:r>
      <w:r w:rsidR="00441BAC">
        <w:rPr>
          <w:rFonts w:asciiTheme="majorHAnsi" w:hAnsiTheme="majorHAnsi"/>
          <w:sz w:val="20"/>
          <w:szCs w:val="20"/>
          <w:lang w:val="es-419"/>
        </w:rPr>
        <w:t xml:space="preserve">alegan </w:t>
      </w:r>
      <w:r w:rsidRPr="007A7B03">
        <w:rPr>
          <w:rFonts w:asciiTheme="majorHAnsi" w:hAnsiTheme="majorHAnsi"/>
          <w:sz w:val="20"/>
          <w:szCs w:val="20"/>
          <w:lang w:val="es-419"/>
        </w:rPr>
        <w:t xml:space="preserve">que a </w:t>
      </w:r>
      <w:r w:rsidR="00441BAC">
        <w:rPr>
          <w:rFonts w:asciiTheme="majorHAnsi" w:hAnsiTheme="majorHAnsi"/>
          <w:sz w:val="20"/>
          <w:szCs w:val="20"/>
          <w:lang w:val="es-419"/>
        </w:rPr>
        <w:t xml:space="preserve">la </w:t>
      </w:r>
      <w:r w:rsidRPr="007A7B03">
        <w:rPr>
          <w:rFonts w:asciiTheme="majorHAnsi" w:hAnsiTheme="majorHAnsi"/>
          <w:sz w:val="20"/>
          <w:szCs w:val="20"/>
          <w:lang w:val="es-419"/>
        </w:rPr>
        <w:t xml:space="preserve">CBP se le permitió controlar la escena del crimen durante esta etapa temprana de la investigación, y que los agentes de CBP dispersaron a </w:t>
      </w:r>
      <w:r w:rsidR="00441BAC">
        <w:rPr>
          <w:rFonts w:asciiTheme="majorHAnsi" w:hAnsiTheme="majorHAnsi"/>
          <w:sz w:val="20"/>
          <w:szCs w:val="20"/>
          <w:lang w:val="es-419"/>
        </w:rPr>
        <w:t xml:space="preserve">los </w:t>
      </w:r>
      <w:r w:rsidRPr="007A7B03">
        <w:rPr>
          <w:rFonts w:asciiTheme="majorHAnsi" w:hAnsiTheme="majorHAnsi"/>
          <w:sz w:val="20"/>
          <w:szCs w:val="20"/>
          <w:lang w:val="es-419"/>
        </w:rPr>
        <w:t xml:space="preserve">testigos oculares de la escena y destruyeron </w:t>
      </w:r>
      <w:r w:rsidR="00441BAC">
        <w:rPr>
          <w:rFonts w:asciiTheme="majorHAnsi" w:hAnsiTheme="majorHAnsi"/>
          <w:sz w:val="20"/>
          <w:szCs w:val="20"/>
          <w:lang w:val="es-419"/>
        </w:rPr>
        <w:t xml:space="preserve">las </w:t>
      </w:r>
      <w:r w:rsidRPr="007A7B03">
        <w:rPr>
          <w:rFonts w:asciiTheme="majorHAnsi" w:hAnsiTheme="majorHAnsi"/>
          <w:sz w:val="20"/>
          <w:szCs w:val="20"/>
          <w:lang w:val="es-419"/>
        </w:rPr>
        <w:t xml:space="preserve">imágenes, </w:t>
      </w:r>
      <w:r w:rsidR="00441BAC">
        <w:rPr>
          <w:rFonts w:asciiTheme="majorHAnsi" w:hAnsiTheme="majorHAnsi"/>
          <w:sz w:val="20"/>
          <w:szCs w:val="20"/>
          <w:lang w:val="es-419"/>
        </w:rPr>
        <w:t xml:space="preserve">los </w:t>
      </w:r>
      <w:r w:rsidRPr="007A7B03">
        <w:rPr>
          <w:rFonts w:asciiTheme="majorHAnsi" w:hAnsiTheme="majorHAnsi"/>
          <w:sz w:val="20"/>
          <w:szCs w:val="20"/>
          <w:lang w:val="es-419"/>
        </w:rPr>
        <w:t xml:space="preserve">videos y </w:t>
      </w:r>
      <w:r w:rsidR="00441BAC">
        <w:rPr>
          <w:rFonts w:asciiTheme="majorHAnsi" w:hAnsiTheme="majorHAnsi"/>
          <w:sz w:val="20"/>
          <w:szCs w:val="20"/>
          <w:lang w:val="es-419"/>
        </w:rPr>
        <w:t xml:space="preserve">el </w:t>
      </w:r>
      <w:r w:rsidRPr="007A7B03">
        <w:rPr>
          <w:rFonts w:asciiTheme="majorHAnsi" w:hAnsiTheme="majorHAnsi"/>
          <w:sz w:val="20"/>
          <w:szCs w:val="20"/>
          <w:lang w:val="es-419"/>
        </w:rPr>
        <w:t xml:space="preserve">audio tomados por tales testigos de la golpiza, aunque algunos de ellos fueron eventualmente entrevistados durante la investigación, y uno de ellos publicó videos y grabaciones de audio del incidente en </w:t>
      </w:r>
      <w:r w:rsidR="00441BAC">
        <w:rPr>
          <w:rFonts w:asciiTheme="majorHAnsi" w:hAnsiTheme="majorHAnsi"/>
          <w:sz w:val="20"/>
          <w:szCs w:val="20"/>
          <w:lang w:val="es-419"/>
        </w:rPr>
        <w:t>Internet</w:t>
      </w:r>
      <w:r w:rsidRPr="007A7B03">
        <w:rPr>
          <w:rFonts w:asciiTheme="majorHAnsi" w:hAnsiTheme="majorHAnsi"/>
          <w:sz w:val="20"/>
          <w:szCs w:val="20"/>
          <w:lang w:val="es-419"/>
        </w:rPr>
        <w:t xml:space="preserve">. Los peticionarios informan que al menos veintiún agentes </w:t>
      </w:r>
      <w:r w:rsidR="00441BAC">
        <w:rPr>
          <w:rFonts w:asciiTheme="majorHAnsi" w:hAnsiTheme="majorHAnsi"/>
          <w:sz w:val="20"/>
          <w:szCs w:val="20"/>
          <w:lang w:val="es-419"/>
        </w:rPr>
        <w:t>policiales</w:t>
      </w:r>
      <w:r w:rsidRPr="007A7B03">
        <w:rPr>
          <w:rFonts w:asciiTheme="majorHAnsi" w:hAnsiTheme="majorHAnsi"/>
          <w:sz w:val="20"/>
          <w:szCs w:val="20"/>
          <w:lang w:val="es-419"/>
        </w:rPr>
        <w:t xml:space="preserve"> fueron entrevistados durante la investigación, pero la mayoría de las entrevistas tomaron menos de quince minutos.</w:t>
      </w:r>
      <w:r w:rsidR="0014174B" w:rsidRPr="007A7B03">
        <w:rPr>
          <w:rFonts w:asciiTheme="majorHAnsi" w:hAnsiTheme="majorHAnsi"/>
          <w:sz w:val="20"/>
          <w:szCs w:val="20"/>
          <w:lang w:val="es-419"/>
        </w:rPr>
        <w:t xml:space="preserve"> </w:t>
      </w:r>
      <w:r w:rsidR="00E1423F" w:rsidRPr="007A7B03">
        <w:rPr>
          <w:rFonts w:asciiTheme="majorHAnsi" w:hAnsiTheme="majorHAnsi"/>
          <w:sz w:val="20"/>
          <w:szCs w:val="20"/>
          <w:lang w:val="es-419"/>
        </w:rPr>
        <w:t xml:space="preserve">El 9 de julio de 2010, el Departamento de Policía de San Diego remitió el caso a la Procuraduría de los Estados Unidos en San Diego. En mayo de 2012, el Departamento de Justicia de los Estados Unidos (en adelante, "DOJ") abrió una investigación penal sobre la muerte del Sr. Hernández. Los peticionarios informan que entre 2010 y 2012, los familiares del Sr. Hernández trataron </w:t>
      </w:r>
      <w:r w:rsidR="00441BAC">
        <w:rPr>
          <w:rFonts w:asciiTheme="majorHAnsi" w:hAnsiTheme="majorHAnsi"/>
          <w:sz w:val="20"/>
          <w:szCs w:val="20"/>
          <w:lang w:val="es-419"/>
        </w:rPr>
        <w:t xml:space="preserve">reiteradamente </w:t>
      </w:r>
      <w:r w:rsidR="00E1423F" w:rsidRPr="007A7B03">
        <w:rPr>
          <w:rFonts w:asciiTheme="majorHAnsi" w:hAnsiTheme="majorHAnsi"/>
          <w:sz w:val="20"/>
          <w:szCs w:val="20"/>
          <w:lang w:val="es-419"/>
        </w:rPr>
        <w:t xml:space="preserve">de contactar a la División de Derechos Civiles del Departamento de Justicia, pidiendo información sobre la investigación, pero fue en vano. El 6 de noviembre de 2015, el Departamento de Justicia anunció públicamente, mediante un comunicado de prensa, su decisión de cerrar la investigación sobre la muerte del Sr. Hernández. Citando </w:t>
      </w:r>
      <w:r w:rsidR="00441BAC">
        <w:rPr>
          <w:rFonts w:asciiTheme="majorHAnsi" w:hAnsiTheme="majorHAnsi"/>
          <w:sz w:val="20"/>
          <w:szCs w:val="20"/>
          <w:lang w:val="es-419"/>
        </w:rPr>
        <w:t xml:space="preserve">numerosas </w:t>
      </w:r>
      <w:r w:rsidR="00E1423F" w:rsidRPr="007A7B03">
        <w:rPr>
          <w:rFonts w:asciiTheme="majorHAnsi" w:hAnsiTheme="majorHAnsi"/>
          <w:sz w:val="20"/>
          <w:szCs w:val="20"/>
          <w:lang w:val="es-419"/>
        </w:rPr>
        <w:t xml:space="preserve">pruebas producidas durante la investigación </w:t>
      </w:r>
      <w:r w:rsidR="00441BAC">
        <w:rPr>
          <w:rFonts w:asciiTheme="majorHAnsi" w:hAnsiTheme="majorHAnsi"/>
          <w:sz w:val="20"/>
          <w:szCs w:val="20"/>
          <w:lang w:val="es-419"/>
        </w:rPr>
        <w:t>penal</w:t>
      </w:r>
      <w:r w:rsidR="00E1423F" w:rsidRPr="007A7B03">
        <w:rPr>
          <w:rFonts w:asciiTheme="majorHAnsi" w:hAnsiTheme="majorHAnsi"/>
          <w:sz w:val="20"/>
          <w:szCs w:val="20"/>
          <w:lang w:val="es-419"/>
        </w:rPr>
        <w:t xml:space="preserve">, el Departamento de Justicia concluyó que no tenía motivos para refutar </w:t>
      </w:r>
      <w:r w:rsidR="00441BAC">
        <w:rPr>
          <w:rFonts w:asciiTheme="majorHAnsi" w:hAnsiTheme="majorHAnsi"/>
          <w:sz w:val="20"/>
          <w:szCs w:val="20"/>
          <w:lang w:val="es-419"/>
        </w:rPr>
        <w:t xml:space="preserve">el alegato </w:t>
      </w:r>
      <w:r w:rsidR="00E1423F" w:rsidRPr="007A7B03">
        <w:rPr>
          <w:rFonts w:asciiTheme="majorHAnsi" w:hAnsiTheme="majorHAnsi"/>
          <w:sz w:val="20"/>
          <w:szCs w:val="20"/>
          <w:lang w:val="es-419"/>
        </w:rPr>
        <w:t xml:space="preserve">de los agentes de </w:t>
      </w:r>
      <w:r w:rsidR="00441BAC">
        <w:rPr>
          <w:rFonts w:asciiTheme="majorHAnsi" w:hAnsiTheme="majorHAnsi"/>
          <w:sz w:val="20"/>
          <w:szCs w:val="20"/>
          <w:lang w:val="es-419"/>
        </w:rPr>
        <w:t xml:space="preserve">la </w:t>
      </w:r>
      <w:r w:rsidR="00E1423F" w:rsidRPr="007A7B03">
        <w:rPr>
          <w:rFonts w:asciiTheme="majorHAnsi" w:hAnsiTheme="majorHAnsi"/>
          <w:sz w:val="20"/>
          <w:szCs w:val="20"/>
          <w:lang w:val="es-419"/>
        </w:rPr>
        <w:t xml:space="preserve">CBP </w:t>
      </w:r>
      <w:r w:rsidR="00441BAC">
        <w:rPr>
          <w:rFonts w:asciiTheme="majorHAnsi" w:hAnsiTheme="majorHAnsi"/>
          <w:sz w:val="20"/>
          <w:szCs w:val="20"/>
          <w:lang w:val="es-419"/>
        </w:rPr>
        <w:t xml:space="preserve">según el cual </w:t>
      </w:r>
      <w:r w:rsidR="00E1423F" w:rsidRPr="007A7B03">
        <w:rPr>
          <w:rFonts w:asciiTheme="majorHAnsi" w:hAnsiTheme="majorHAnsi"/>
          <w:sz w:val="20"/>
          <w:szCs w:val="20"/>
          <w:lang w:val="es-419"/>
        </w:rPr>
        <w:t xml:space="preserve">el Sr. Hernández </w:t>
      </w:r>
      <w:r w:rsidR="00FD3C7A" w:rsidRPr="007A7B03">
        <w:rPr>
          <w:rFonts w:asciiTheme="majorHAnsi" w:hAnsiTheme="majorHAnsi"/>
          <w:sz w:val="20"/>
          <w:szCs w:val="20"/>
          <w:lang w:val="es-419"/>
        </w:rPr>
        <w:t>estuvo</w:t>
      </w:r>
      <w:r w:rsidR="00E1423F" w:rsidRPr="007A7B03">
        <w:rPr>
          <w:rFonts w:asciiTheme="majorHAnsi" w:hAnsiTheme="majorHAnsi"/>
          <w:sz w:val="20"/>
          <w:szCs w:val="20"/>
          <w:lang w:val="es-419"/>
        </w:rPr>
        <w:t xml:space="preserve"> combativo,</w:t>
      </w:r>
      <w:r w:rsidR="001754B2">
        <w:rPr>
          <w:rFonts w:asciiTheme="majorHAnsi" w:hAnsiTheme="majorHAnsi"/>
          <w:sz w:val="20"/>
          <w:szCs w:val="20"/>
          <w:lang w:val="es-419"/>
        </w:rPr>
        <w:t xml:space="preserve"> resistente </w:t>
      </w:r>
      <w:r w:rsidR="00E1423F" w:rsidRPr="007A7B03">
        <w:rPr>
          <w:rFonts w:asciiTheme="majorHAnsi" w:hAnsiTheme="majorHAnsi"/>
          <w:sz w:val="20"/>
          <w:szCs w:val="20"/>
          <w:lang w:val="es-419"/>
        </w:rPr>
        <w:t>y agresivo físicamente;</w:t>
      </w:r>
      <w:r w:rsidR="00441BAC">
        <w:rPr>
          <w:rFonts w:asciiTheme="majorHAnsi" w:hAnsiTheme="majorHAnsi"/>
          <w:sz w:val="20"/>
          <w:szCs w:val="20"/>
          <w:lang w:val="es-419"/>
        </w:rPr>
        <w:t xml:space="preserve"> y que</w:t>
      </w:r>
      <w:r w:rsidR="00E1423F" w:rsidRPr="007A7B03">
        <w:rPr>
          <w:rFonts w:asciiTheme="majorHAnsi" w:hAnsiTheme="majorHAnsi"/>
          <w:sz w:val="20"/>
          <w:szCs w:val="20"/>
          <w:lang w:val="es-419"/>
        </w:rPr>
        <w:t xml:space="preserve"> por lo tanto, usaron una fuerza razonable contra él en un intento de someterlo y contenerlo.</w:t>
      </w:r>
    </w:p>
    <w:p w14:paraId="2EE09560" w14:textId="4768A18E" w:rsidR="00CB0421" w:rsidRPr="007A7B03" w:rsidRDefault="00CB0421" w:rsidP="00F5747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Con respecto a la supuesta falta de investigación de este crimen, los peticionarios a</w:t>
      </w:r>
      <w:r w:rsidR="00441BAC">
        <w:rPr>
          <w:rFonts w:asciiTheme="majorHAnsi" w:hAnsiTheme="majorHAnsi"/>
          <w:sz w:val="20"/>
          <w:szCs w:val="20"/>
          <w:lang w:val="es-419"/>
        </w:rPr>
        <w:t>legan</w:t>
      </w:r>
      <w:r w:rsidRPr="007A7B03">
        <w:rPr>
          <w:rFonts w:asciiTheme="majorHAnsi" w:hAnsiTheme="majorHAnsi"/>
          <w:sz w:val="20"/>
          <w:szCs w:val="20"/>
          <w:lang w:val="es-419"/>
        </w:rPr>
        <w:t xml:space="preserve"> que Estados Unidos no realizó una investigación independiente e imparcial consistente con l</w:t>
      </w:r>
      <w:r w:rsidR="00441BAC">
        <w:rPr>
          <w:rFonts w:asciiTheme="majorHAnsi" w:hAnsiTheme="majorHAnsi"/>
          <w:sz w:val="20"/>
          <w:szCs w:val="20"/>
          <w:lang w:val="es-419"/>
        </w:rPr>
        <w:t>os estándares</w:t>
      </w:r>
      <w:r w:rsidRPr="007A7B03">
        <w:rPr>
          <w:rFonts w:asciiTheme="majorHAnsi" w:hAnsiTheme="majorHAnsi"/>
          <w:sz w:val="20"/>
          <w:szCs w:val="20"/>
          <w:lang w:val="es-419"/>
        </w:rPr>
        <w:t xml:space="preserve"> internacionales de derechos humanos aplicables, entre otras cosas debido a su retraso injustificado, y </w:t>
      </w:r>
      <w:r w:rsidR="00441BAC">
        <w:rPr>
          <w:rFonts w:asciiTheme="majorHAnsi" w:hAnsiTheme="majorHAnsi"/>
          <w:sz w:val="20"/>
          <w:szCs w:val="20"/>
          <w:lang w:val="es-419"/>
        </w:rPr>
        <w:t>a</w:t>
      </w:r>
      <w:r w:rsidRPr="007A7B03">
        <w:rPr>
          <w:rFonts w:asciiTheme="majorHAnsi" w:hAnsiTheme="majorHAnsi"/>
          <w:sz w:val="20"/>
          <w:szCs w:val="20"/>
          <w:lang w:val="es-419"/>
        </w:rPr>
        <w:t xml:space="preserve"> la decisión del Departamento de Justicia de </w:t>
      </w:r>
      <w:r w:rsidR="00AF5E9B" w:rsidRPr="007A7B03">
        <w:rPr>
          <w:rFonts w:asciiTheme="majorHAnsi" w:hAnsiTheme="majorHAnsi"/>
          <w:sz w:val="20"/>
          <w:szCs w:val="20"/>
          <w:lang w:val="es-419"/>
        </w:rPr>
        <w:t>cerrar el caso</w:t>
      </w:r>
      <w:r w:rsidRPr="007A7B03">
        <w:rPr>
          <w:rFonts w:asciiTheme="majorHAnsi" w:hAnsiTheme="majorHAnsi"/>
          <w:sz w:val="20"/>
          <w:szCs w:val="20"/>
          <w:lang w:val="es-419"/>
        </w:rPr>
        <w:t xml:space="preserve"> cinco años después. También </w:t>
      </w:r>
      <w:r w:rsidR="00441BAC">
        <w:rPr>
          <w:rFonts w:asciiTheme="majorHAnsi" w:hAnsiTheme="majorHAnsi"/>
          <w:sz w:val="20"/>
          <w:szCs w:val="20"/>
          <w:lang w:val="es-419"/>
        </w:rPr>
        <w:t xml:space="preserve">alegan </w:t>
      </w:r>
      <w:r w:rsidRPr="007A7B03">
        <w:rPr>
          <w:rFonts w:asciiTheme="majorHAnsi" w:hAnsiTheme="majorHAnsi"/>
          <w:sz w:val="20"/>
          <w:szCs w:val="20"/>
          <w:lang w:val="es-419"/>
        </w:rPr>
        <w:t xml:space="preserve">que Estados Unidos no tuvo en cuenta el derecho </w:t>
      </w:r>
      <w:r w:rsidR="00AF5E9B" w:rsidRPr="007A7B03">
        <w:rPr>
          <w:rFonts w:asciiTheme="majorHAnsi" w:hAnsiTheme="majorHAnsi"/>
          <w:sz w:val="20"/>
          <w:szCs w:val="20"/>
          <w:lang w:val="es-419"/>
        </w:rPr>
        <w:t xml:space="preserve">de los familiares del Sr. Hernández </w:t>
      </w:r>
      <w:r w:rsidR="00441BAC">
        <w:rPr>
          <w:rFonts w:asciiTheme="majorHAnsi" w:hAnsiTheme="majorHAnsi"/>
          <w:sz w:val="20"/>
          <w:szCs w:val="20"/>
          <w:lang w:val="es-419"/>
        </w:rPr>
        <w:t xml:space="preserve">a acceder </w:t>
      </w:r>
      <w:r w:rsidRPr="007A7B03">
        <w:rPr>
          <w:rFonts w:asciiTheme="majorHAnsi" w:hAnsiTheme="majorHAnsi"/>
          <w:sz w:val="20"/>
          <w:szCs w:val="20"/>
          <w:lang w:val="es-419"/>
        </w:rPr>
        <w:t xml:space="preserve">a la información y a participar en los </w:t>
      </w:r>
      <w:r w:rsidRPr="007A7B03">
        <w:rPr>
          <w:rFonts w:asciiTheme="majorHAnsi" w:hAnsiTheme="majorHAnsi"/>
          <w:sz w:val="20"/>
          <w:szCs w:val="20"/>
          <w:lang w:val="es-419"/>
        </w:rPr>
        <w:lastRenderedPageBreak/>
        <w:t xml:space="preserve">procedimientos, y que el resultado general del caso ha sido una violación grave de su derecho a la integridad personal, dado el profundo </w:t>
      </w:r>
      <w:r w:rsidR="00AF5E9B" w:rsidRPr="007A7B03">
        <w:rPr>
          <w:rFonts w:asciiTheme="majorHAnsi" w:hAnsiTheme="majorHAnsi"/>
          <w:sz w:val="20"/>
          <w:szCs w:val="20"/>
          <w:lang w:val="es-419"/>
        </w:rPr>
        <w:t>impacto</w:t>
      </w:r>
      <w:r w:rsidRPr="007A7B03">
        <w:rPr>
          <w:rFonts w:asciiTheme="majorHAnsi" w:hAnsiTheme="majorHAnsi"/>
          <w:sz w:val="20"/>
          <w:szCs w:val="20"/>
          <w:lang w:val="es-419"/>
        </w:rPr>
        <w:t xml:space="preserve"> psicológico y emocional que ha tenido sobre ellos, </w:t>
      </w:r>
      <w:r w:rsidR="00441BAC">
        <w:rPr>
          <w:rFonts w:asciiTheme="majorHAnsi" w:hAnsiTheme="majorHAnsi"/>
          <w:sz w:val="20"/>
          <w:szCs w:val="20"/>
          <w:lang w:val="es-419"/>
        </w:rPr>
        <w:t xml:space="preserve">en particular </w:t>
      </w:r>
      <w:r w:rsidRPr="007A7B03">
        <w:rPr>
          <w:rFonts w:asciiTheme="majorHAnsi" w:hAnsiTheme="majorHAnsi"/>
          <w:sz w:val="20"/>
          <w:szCs w:val="20"/>
          <w:lang w:val="es-419"/>
        </w:rPr>
        <w:t>sobre sus hijos. Finalmente, los peticionarios sostienen que</w:t>
      </w:r>
      <w:r w:rsidR="00F5747B" w:rsidRPr="007A7B03">
        <w:rPr>
          <w:rFonts w:asciiTheme="majorHAnsi" w:hAnsiTheme="majorHAnsi"/>
          <w:sz w:val="20"/>
          <w:szCs w:val="20"/>
          <w:lang w:val="es-419"/>
        </w:rPr>
        <w:t>,</w:t>
      </w:r>
      <w:r w:rsidRPr="007A7B03">
        <w:rPr>
          <w:rFonts w:asciiTheme="majorHAnsi" w:hAnsiTheme="majorHAnsi"/>
          <w:sz w:val="20"/>
          <w:szCs w:val="20"/>
          <w:lang w:val="es-419"/>
        </w:rPr>
        <w:t xml:space="preserve"> al ser parte de un patrón de uso discriminatorio y excesivo de la fuerza policial contra inmigrantes latinoamericanos indocumentados, el caso del Sr. Hernández también viol</w:t>
      </w:r>
      <w:r w:rsidR="00441BAC">
        <w:rPr>
          <w:rFonts w:asciiTheme="majorHAnsi" w:hAnsiTheme="majorHAnsi"/>
          <w:sz w:val="20"/>
          <w:szCs w:val="20"/>
          <w:lang w:val="es-419"/>
        </w:rPr>
        <w:t>ó</w:t>
      </w:r>
      <w:r w:rsidRPr="007A7B03">
        <w:rPr>
          <w:rFonts w:asciiTheme="majorHAnsi" w:hAnsiTheme="majorHAnsi"/>
          <w:sz w:val="20"/>
          <w:szCs w:val="20"/>
          <w:lang w:val="es-419"/>
        </w:rPr>
        <w:t xml:space="preserve"> sus derechos y los de su familia a la igualdad ante la </w:t>
      </w:r>
      <w:r w:rsidR="00441BAC">
        <w:rPr>
          <w:rFonts w:asciiTheme="majorHAnsi" w:hAnsiTheme="majorHAnsi"/>
          <w:sz w:val="20"/>
          <w:szCs w:val="20"/>
          <w:lang w:val="es-419"/>
        </w:rPr>
        <w:t>l</w:t>
      </w:r>
      <w:r w:rsidRPr="007A7B03">
        <w:rPr>
          <w:rFonts w:asciiTheme="majorHAnsi" w:hAnsiTheme="majorHAnsi"/>
          <w:sz w:val="20"/>
          <w:szCs w:val="20"/>
          <w:lang w:val="es-419"/>
        </w:rPr>
        <w:t xml:space="preserve">ey y </w:t>
      </w:r>
      <w:r w:rsidR="00441BAC">
        <w:rPr>
          <w:rFonts w:asciiTheme="majorHAnsi" w:hAnsiTheme="majorHAnsi"/>
          <w:sz w:val="20"/>
          <w:szCs w:val="20"/>
          <w:lang w:val="es-419"/>
        </w:rPr>
        <w:t xml:space="preserve">a </w:t>
      </w:r>
      <w:r w:rsidRPr="007A7B03">
        <w:rPr>
          <w:rFonts w:asciiTheme="majorHAnsi" w:hAnsiTheme="majorHAnsi"/>
          <w:sz w:val="20"/>
          <w:szCs w:val="20"/>
          <w:lang w:val="es-419"/>
        </w:rPr>
        <w:t>la no discriminación. Afirman que el caso de Anastasio Hernández es uno de una larga lista de casos de asesinatos de inmigrantes desarmados, y también ciudadanos estadounidenses, en la frontera entre Estados Unidos y México.</w:t>
      </w:r>
    </w:p>
    <w:p w14:paraId="265A3650" w14:textId="219D2362" w:rsidR="007E776A" w:rsidRPr="007A7B03" w:rsidRDefault="007E776A" w:rsidP="007E776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En cuanto al caso civil, los peticionarios informan que el 23 de marzo de 2011, los familiares del Sr. Hernández presentaron una demanda por </w:t>
      </w:r>
      <w:r w:rsidR="00441BAC">
        <w:rPr>
          <w:rFonts w:asciiTheme="majorHAnsi" w:hAnsiTheme="majorHAnsi"/>
          <w:sz w:val="20"/>
          <w:szCs w:val="20"/>
          <w:lang w:val="es-419"/>
        </w:rPr>
        <w:t>muerte ilícita</w:t>
      </w:r>
      <w:r w:rsidRPr="007A7B03">
        <w:rPr>
          <w:rFonts w:asciiTheme="majorHAnsi" w:hAnsiTheme="majorHAnsi"/>
          <w:sz w:val="20"/>
          <w:szCs w:val="20"/>
          <w:lang w:val="es-419"/>
        </w:rPr>
        <w:t xml:space="preserve"> </w:t>
      </w:r>
      <w:r w:rsidR="00441BAC">
        <w:rPr>
          <w:rFonts w:asciiTheme="majorHAnsi" w:hAnsiTheme="majorHAnsi"/>
          <w:sz w:val="20"/>
          <w:szCs w:val="20"/>
          <w:lang w:val="es-419"/>
        </w:rPr>
        <w:t>(</w:t>
      </w:r>
      <w:proofErr w:type="spellStart"/>
      <w:r w:rsidR="00441BAC" w:rsidRPr="00441BAC">
        <w:rPr>
          <w:rFonts w:asciiTheme="majorHAnsi" w:hAnsiTheme="majorHAnsi"/>
          <w:i/>
          <w:iCs/>
          <w:sz w:val="20"/>
          <w:szCs w:val="20"/>
          <w:lang w:val="es-419"/>
        </w:rPr>
        <w:t>wrongful</w:t>
      </w:r>
      <w:proofErr w:type="spellEnd"/>
      <w:r w:rsidR="00441BAC" w:rsidRPr="00441BAC">
        <w:rPr>
          <w:rFonts w:asciiTheme="majorHAnsi" w:hAnsiTheme="majorHAnsi"/>
          <w:i/>
          <w:iCs/>
          <w:sz w:val="20"/>
          <w:szCs w:val="20"/>
          <w:lang w:val="es-419"/>
        </w:rPr>
        <w:t xml:space="preserve"> </w:t>
      </w:r>
      <w:proofErr w:type="spellStart"/>
      <w:r w:rsidR="00441BAC" w:rsidRPr="00441BAC">
        <w:rPr>
          <w:rFonts w:asciiTheme="majorHAnsi" w:hAnsiTheme="majorHAnsi"/>
          <w:i/>
          <w:iCs/>
          <w:sz w:val="20"/>
          <w:szCs w:val="20"/>
          <w:lang w:val="es-419"/>
        </w:rPr>
        <w:t>death</w:t>
      </w:r>
      <w:proofErr w:type="spellEnd"/>
      <w:r w:rsidR="00441BAC">
        <w:rPr>
          <w:rFonts w:asciiTheme="majorHAnsi" w:hAnsiTheme="majorHAnsi"/>
          <w:sz w:val="20"/>
          <w:szCs w:val="20"/>
          <w:lang w:val="es-419"/>
        </w:rPr>
        <w:t>)</w:t>
      </w:r>
      <w:r w:rsidRPr="007A7B03">
        <w:rPr>
          <w:rFonts w:asciiTheme="majorHAnsi" w:hAnsiTheme="majorHAnsi"/>
          <w:sz w:val="20"/>
          <w:szCs w:val="20"/>
          <w:lang w:val="es-419"/>
        </w:rPr>
        <w:t xml:space="preserve"> contra el gobierno de los Estados Unidos </w:t>
      </w:r>
      <w:r w:rsidR="00CF4485">
        <w:rPr>
          <w:rFonts w:asciiTheme="majorHAnsi" w:hAnsiTheme="majorHAnsi"/>
          <w:sz w:val="20"/>
          <w:szCs w:val="20"/>
          <w:lang w:val="es-419"/>
        </w:rPr>
        <w:t>ante</w:t>
      </w:r>
      <w:r w:rsidRPr="007A7B03">
        <w:rPr>
          <w:rFonts w:asciiTheme="majorHAnsi" w:hAnsiTheme="majorHAnsi"/>
          <w:sz w:val="20"/>
          <w:szCs w:val="20"/>
          <w:lang w:val="es-419"/>
        </w:rPr>
        <w:t xml:space="preserve"> el Tribunal de Distrito de los Estados Unidos para el Distrito Sur de California, </w:t>
      </w:r>
      <w:r w:rsidR="00CF4485">
        <w:rPr>
          <w:rFonts w:asciiTheme="majorHAnsi" w:hAnsiTheme="majorHAnsi"/>
          <w:sz w:val="20"/>
          <w:szCs w:val="20"/>
          <w:lang w:val="es-419"/>
        </w:rPr>
        <w:t xml:space="preserve">alegando </w:t>
      </w:r>
      <w:r w:rsidRPr="007A7B03">
        <w:rPr>
          <w:rFonts w:asciiTheme="majorHAnsi" w:hAnsiTheme="majorHAnsi"/>
          <w:sz w:val="20"/>
          <w:szCs w:val="20"/>
          <w:lang w:val="es-419"/>
        </w:rPr>
        <w:t>que agentes federal</w:t>
      </w:r>
      <w:r w:rsidR="00CF4485">
        <w:rPr>
          <w:rFonts w:asciiTheme="majorHAnsi" w:hAnsiTheme="majorHAnsi"/>
          <w:sz w:val="20"/>
          <w:szCs w:val="20"/>
          <w:lang w:val="es-419"/>
        </w:rPr>
        <w:t>es</w:t>
      </w:r>
      <w:r w:rsidRPr="007A7B03">
        <w:rPr>
          <w:rFonts w:asciiTheme="majorHAnsi" w:hAnsiTheme="majorHAnsi"/>
          <w:sz w:val="20"/>
          <w:szCs w:val="20"/>
          <w:lang w:val="es-419"/>
        </w:rPr>
        <w:t xml:space="preserve"> de los Estados Unidos causaron su muerte violando sus derechos constitucionales. El tribunal rechazó la solicitud de los </w:t>
      </w:r>
      <w:r w:rsidR="00CF4485">
        <w:rPr>
          <w:rFonts w:asciiTheme="majorHAnsi" w:hAnsiTheme="majorHAnsi"/>
          <w:sz w:val="20"/>
          <w:szCs w:val="20"/>
          <w:lang w:val="es-419"/>
        </w:rPr>
        <w:t>demanda</w:t>
      </w:r>
      <w:r w:rsidR="00C52462" w:rsidRPr="007A7B03">
        <w:rPr>
          <w:rFonts w:asciiTheme="majorHAnsi" w:hAnsiTheme="majorHAnsi"/>
          <w:sz w:val="20"/>
          <w:szCs w:val="20"/>
          <w:lang w:val="es-419"/>
        </w:rPr>
        <w:t>dos</w:t>
      </w:r>
      <w:r w:rsidRPr="007A7B03">
        <w:rPr>
          <w:rFonts w:asciiTheme="majorHAnsi" w:hAnsiTheme="majorHAnsi"/>
          <w:sz w:val="20"/>
          <w:szCs w:val="20"/>
          <w:lang w:val="es-419"/>
        </w:rPr>
        <w:t xml:space="preserve"> ​​de </w:t>
      </w:r>
      <w:r w:rsidR="00CF4485">
        <w:rPr>
          <w:rFonts w:asciiTheme="majorHAnsi" w:hAnsiTheme="majorHAnsi"/>
          <w:sz w:val="20"/>
          <w:szCs w:val="20"/>
          <w:lang w:val="es-419"/>
        </w:rPr>
        <w:t xml:space="preserve">adoptar </w:t>
      </w:r>
      <w:r w:rsidRPr="007A7B03">
        <w:rPr>
          <w:rFonts w:asciiTheme="majorHAnsi" w:hAnsiTheme="majorHAnsi"/>
          <w:sz w:val="20"/>
          <w:szCs w:val="20"/>
          <w:lang w:val="es-419"/>
        </w:rPr>
        <w:t>una sentencia sumaria el 29 de septiembre de 2014, también rechazó su</w:t>
      </w:r>
      <w:r w:rsidR="00C52462" w:rsidRPr="007A7B03">
        <w:rPr>
          <w:rFonts w:asciiTheme="majorHAnsi" w:hAnsiTheme="majorHAnsi"/>
          <w:sz w:val="20"/>
          <w:szCs w:val="20"/>
          <w:lang w:val="es-419"/>
        </w:rPr>
        <w:t>s</w:t>
      </w:r>
      <w:r w:rsidRPr="007A7B03">
        <w:rPr>
          <w:rFonts w:asciiTheme="majorHAnsi" w:hAnsiTheme="majorHAnsi"/>
          <w:sz w:val="20"/>
          <w:szCs w:val="20"/>
          <w:lang w:val="es-419"/>
        </w:rPr>
        <w:t xml:space="preserve"> </w:t>
      </w:r>
      <w:r w:rsidR="00D52CA8" w:rsidRPr="007A7B03">
        <w:rPr>
          <w:rFonts w:asciiTheme="majorHAnsi" w:hAnsiTheme="majorHAnsi"/>
          <w:sz w:val="20"/>
          <w:szCs w:val="20"/>
          <w:lang w:val="es-419"/>
        </w:rPr>
        <w:t>argumentos</w:t>
      </w:r>
      <w:r w:rsidRPr="007A7B03">
        <w:rPr>
          <w:rFonts w:asciiTheme="majorHAnsi" w:hAnsiTheme="majorHAnsi"/>
          <w:sz w:val="20"/>
          <w:szCs w:val="20"/>
          <w:lang w:val="es-419"/>
        </w:rPr>
        <w:t xml:space="preserve"> de inmunidad soberana o calificada y confirmó el derecho de los familiares del Sr. Hernández de alegar una violación de la prohibición</w:t>
      </w:r>
      <w:r w:rsidR="00C52462" w:rsidRPr="007A7B03">
        <w:rPr>
          <w:rFonts w:asciiTheme="majorHAnsi" w:hAnsiTheme="majorHAnsi"/>
          <w:sz w:val="20"/>
          <w:szCs w:val="20"/>
          <w:lang w:val="es-419"/>
        </w:rPr>
        <w:t xml:space="preserve"> </w:t>
      </w:r>
      <w:proofErr w:type="spellStart"/>
      <w:r w:rsidR="00C52462" w:rsidRPr="007A7B03">
        <w:rPr>
          <w:rFonts w:asciiTheme="majorHAnsi" w:hAnsiTheme="majorHAnsi"/>
          <w:i/>
          <w:iCs/>
          <w:sz w:val="20"/>
          <w:szCs w:val="20"/>
          <w:lang w:val="es-419"/>
        </w:rPr>
        <w:t>ius</w:t>
      </w:r>
      <w:proofErr w:type="spellEnd"/>
      <w:r w:rsidR="00C52462" w:rsidRPr="007A7B03">
        <w:rPr>
          <w:rFonts w:asciiTheme="majorHAnsi" w:hAnsiTheme="majorHAnsi"/>
          <w:i/>
          <w:iCs/>
          <w:sz w:val="20"/>
          <w:szCs w:val="20"/>
          <w:lang w:val="es-419"/>
        </w:rPr>
        <w:t xml:space="preserve"> </w:t>
      </w:r>
      <w:proofErr w:type="spellStart"/>
      <w:r w:rsidR="00C52462" w:rsidRPr="007A7B03">
        <w:rPr>
          <w:rFonts w:asciiTheme="majorHAnsi" w:hAnsiTheme="majorHAnsi"/>
          <w:i/>
          <w:iCs/>
          <w:sz w:val="20"/>
          <w:szCs w:val="20"/>
          <w:lang w:val="es-419"/>
        </w:rPr>
        <w:t>cogens</w:t>
      </w:r>
      <w:proofErr w:type="spellEnd"/>
      <w:r w:rsidR="00C52462" w:rsidRPr="007A7B03">
        <w:rPr>
          <w:rFonts w:asciiTheme="majorHAnsi" w:hAnsiTheme="majorHAnsi"/>
          <w:sz w:val="20"/>
          <w:szCs w:val="20"/>
          <w:lang w:val="es-419"/>
        </w:rPr>
        <w:t xml:space="preserve"> </w:t>
      </w:r>
      <w:r w:rsidR="00CF4485">
        <w:rPr>
          <w:rFonts w:asciiTheme="majorHAnsi" w:hAnsiTheme="majorHAnsi"/>
          <w:sz w:val="20"/>
          <w:szCs w:val="20"/>
          <w:lang w:val="es-419"/>
        </w:rPr>
        <w:t xml:space="preserve">de </w:t>
      </w:r>
      <w:r w:rsidR="00C52462" w:rsidRPr="007A7B03">
        <w:rPr>
          <w:rFonts w:asciiTheme="majorHAnsi" w:hAnsiTheme="majorHAnsi"/>
          <w:sz w:val="20"/>
          <w:szCs w:val="20"/>
          <w:lang w:val="es-419"/>
        </w:rPr>
        <w:t>la</w:t>
      </w:r>
      <w:r w:rsidRPr="007A7B03">
        <w:rPr>
          <w:rFonts w:asciiTheme="majorHAnsi" w:hAnsiTheme="majorHAnsi"/>
          <w:sz w:val="20"/>
          <w:szCs w:val="20"/>
          <w:lang w:val="es-419"/>
        </w:rPr>
        <w:t xml:space="preserve"> tortura, así como violaciones de sus derechos constitucionales</w:t>
      </w:r>
      <w:r w:rsidR="00CF4485">
        <w:rPr>
          <w:rFonts w:asciiTheme="majorHAnsi" w:hAnsiTheme="majorHAnsi"/>
          <w:sz w:val="20"/>
          <w:szCs w:val="20"/>
          <w:lang w:val="es-419"/>
        </w:rPr>
        <w:t xml:space="preserve"> bajo el derecho consuetudinario (</w:t>
      </w:r>
      <w:proofErr w:type="spellStart"/>
      <w:r w:rsidR="00CF4485" w:rsidRPr="00CF4485">
        <w:rPr>
          <w:rFonts w:asciiTheme="majorHAnsi" w:hAnsiTheme="majorHAnsi"/>
          <w:i/>
          <w:iCs/>
          <w:sz w:val="20"/>
          <w:szCs w:val="20"/>
          <w:lang w:val="es-419"/>
        </w:rPr>
        <w:t>common</w:t>
      </w:r>
      <w:proofErr w:type="spellEnd"/>
      <w:r w:rsidR="00CF4485" w:rsidRPr="00CF4485">
        <w:rPr>
          <w:rFonts w:asciiTheme="majorHAnsi" w:hAnsiTheme="majorHAnsi"/>
          <w:i/>
          <w:iCs/>
          <w:sz w:val="20"/>
          <w:szCs w:val="20"/>
          <w:lang w:val="es-419"/>
        </w:rPr>
        <w:t xml:space="preserve"> </w:t>
      </w:r>
      <w:proofErr w:type="spellStart"/>
      <w:r w:rsidR="00CF4485" w:rsidRPr="00CF4485">
        <w:rPr>
          <w:rFonts w:asciiTheme="majorHAnsi" w:hAnsiTheme="majorHAnsi"/>
          <w:i/>
          <w:iCs/>
          <w:sz w:val="20"/>
          <w:szCs w:val="20"/>
          <w:lang w:val="es-419"/>
        </w:rPr>
        <w:t>law</w:t>
      </w:r>
      <w:proofErr w:type="spellEnd"/>
      <w:r w:rsidR="00CF4485">
        <w:rPr>
          <w:rFonts w:asciiTheme="majorHAnsi" w:hAnsiTheme="majorHAnsi"/>
          <w:sz w:val="20"/>
          <w:szCs w:val="20"/>
          <w:lang w:val="es-419"/>
        </w:rPr>
        <w:t>)</w:t>
      </w:r>
      <w:r w:rsidRPr="007A7B03">
        <w:rPr>
          <w:rFonts w:asciiTheme="majorHAnsi" w:hAnsiTheme="majorHAnsi"/>
          <w:sz w:val="20"/>
          <w:szCs w:val="20"/>
          <w:lang w:val="es-419"/>
        </w:rPr>
        <w:t xml:space="preserve">. Esta decisión fue apelada por los </w:t>
      </w:r>
      <w:r w:rsidR="00CF4485">
        <w:rPr>
          <w:rFonts w:asciiTheme="majorHAnsi" w:hAnsiTheme="majorHAnsi"/>
          <w:sz w:val="20"/>
          <w:szCs w:val="20"/>
          <w:lang w:val="es-419"/>
        </w:rPr>
        <w:t>demanda</w:t>
      </w:r>
      <w:r w:rsidRPr="007A7B03">
        <w:rPr>
          <w:rFonts w:asciiTheme="majorHAnsi" w:hAnsiTheme="majorHAnsi"/>
          <w:sz w:val="20"/>
          <w:szCs w:val="20"/>
          <w:lang w:val="es-419"/>
        </w:rPr>
        <w:t xml:space="preserve">dos ​​ante el Tribunal de Apelaciones del Noveno Circuito, lo que tuvo el efecto de suspender el procedimiento hasta que </w:t>
      </w:r>
      <w:r w:rsidR="000F63D2">
        <w:rPr>
          <w:rFonts w:asciiTheme="majorHAnsi" w:hAnsiTheme="majorHAnsi"/>
          <w:sz w:val="20"/>
          <w:szCs w:val="20"/>
          <w:lang w:val="es-419"/>
        </w:rPr>
        <w:t xml:space="preserve">se resolviera </w:t>
      </w:r>
      <w:r w:rsidRPr="007A7B03">
        <w:rPr>
          <w:rFonts w:asciiTheme="majorHAnsi" w:hAnsiTheme="majorHAnsi"/>
          <w:sz w:val="20"/>
          <w:szCs w:val="20"/>
          <w:lang w:val="es-419"/>
        </w:rPr>
        <w:t xml:space="preserve">el recurso de apelación. </w:t>
      </w:r>
      <w:r w:rsidR="000F63D2">
        <w:rPr>
          <w:rFonts w:asciiTheme="majorHAnsi" w:hAnsiTheme="majorHAnsi"/>
          <w:sz w:val="20"/>
          <w:szCs w:val="20"/>
          <w:lang w:val="es-419"/>
        </w:rPr>
        <w:t>A</w:t>
      </w:r>
      <w:r w:rsidRPr="007A7B03">
        <w:rPr>
          <w:rFonts w:asciiTheme="majorHAnsi" w:hAnsiTheme="majorHAnsi"/>
          <w:sz w:val="20"/>
          <w:szCs w:val="20"/>
          <w:lang w:val="es-419"/>
        </w:rPr>
        <w:t>l momento de presentar su petición a</w:t>
      </w:r>
      <w:r w:rsidR="006E66E9" w:rsidRPr="007A7B03">
        <w:rPr>
          <w:rFonts w:asciiTheme="majorHAnsi" w:hAnsiTheme="majorHAnsi"/>
          <w:sz w:val="20"/>
          <w:szCs w:val="20"/>
          <w:lang w:val="es-419"/>
        </w:rPr>
        <w:t>nte</w:t>
      </w:r>
      <w:r w:rsidRPr="007A7B03">
        <w:rPr>
          <w:rFonts w:asciiTheme="majorHAnsi" w:hAnsiTheme="majorHAnsi"/>
          <w:sz w:val="20"/>
          <w:szCs w:val="20"/>
          <w:lang w:val="es-419"/>
        </w:rPr>
        <w:t xml:space="preserve"> la Comisión Interamericana de Derechos Humanos (en adelante, "la CIDH"), los peticionarios informaron que el tribunal de distrito no había establecido una fecha de juicio para el caso, </w:t>
      </w:r>
      <w:r w:rsidR="000F63D2">
        <w:rPr>
          <w:rFonts w:asciiTheme="majorHAnsi" w:hAnsiTheme="majorHAnsi"/>
          <w:sz w:val="20"/>
          <w:szCs w:val="20"/>
          <w:lang w:val="es-419"/>
        </w:rPr>
        <w:t xml:space="preserve">que seguía irresuelto </w:t>
      </w:r>
      <w:r w:rsidRPr="007A7B03">
        <w:rPr>
          <w:rFonts w:asciiTheme="majorHAnsi" w:hAnsiTheme="majorHAnsi"/>
          <w:sz w:val="20"/>
          <w:szCs w:val="20"/>
          <w:lang w:val="es-419"/>
        </w:rPr>
        <w:t>después de más de cinco años. Como se describirá a continuación, el Estado informó que</w:t>
      </w:r>
      <w:r w:rsidR="006E66E9" w:rsidRPr="007A7B03">
        <w:rPr>
          <w:rFonts w:asciiTheme="majorHAnsi" w:hAnsiTheme="majorHAnsi"/>
          <w:sz w:val="20"/>
          <w:szCs w:val="20"/>
          <w:lang w:val="es-419"/>
        </w:rPr>
        <w:t>,</w:t>
      </w:r>
      <w:r w:rsidRPr="007A7B03">
        <w:rPr>
          <w:rFonts w:asciiTheme="majorHAnsi" w:hAnsiTheme="majorHAnsi"/>
          <w:sz w:val="20"/>
          <w:szCs w:val="20"/>
          <w:lang w:val="es-419"/>
        </w:rPr>
        <w:t xml:space="preserve"> en el curso de estos procedimientos civiles, se llegó a un a</w:t>
      </w:r>
      <w:r w:rsidR="000F63D2">
        <w:rPr>
          <w:rFonts w:asciiTheme="majorHAnsi" w:hAnsiTheme="majorHAnsi"/>
          <w:sz w:val="20"/>
          <w:szCs w:val="20"/>
          <w:lang w:val="es-419"/>
        </w:rPr>
        <w:t>rreglo</w:t>
      </w:r>
      <w:r w:rsidRPr="007A7B03">
        <w:rPr>
          <w:rFonts w:asciiTheme="majorHAnsi" w:hAnsiTheme="majorHAnsi"/>
          <w:sz w:val="20"/>
          <w:szCs w:val="20"/>
          <w:lang w:val="es-419"/>
        </w:rPr>
        <w:t xml:space="preserve"> </w:t>
      </w:r>
      <w:r w:rsidR="00B54670" w:rsidRPr="007A7B03">
        <w:rPr>
          <w:rFonts w:asciiTheme="majorHAnsi" w:hAnsiTheme="majorHAnsi"/>
          <w:sz w:val="20"/>
          <w:szCs w:val="20"/>
          <w:lang w:val="es-419"/>
        </w:rPr>
        <w:t>entre las partes</w:t>
      </w:r>
      <w:r w:rsidR="000F63D2">
        <w:rPr>
          <w:rFonts w:asciiTheme="majorHAnsi" w:hAnsiTheme="majorHAnsi"/>
          <w:sz w:val="20"/>
          <w:szCs w:val="20"/>
          <w:lang w:val="es-419"/>
        </w:rPr>
        <w:t>,</w:t>
      </w:r>
      <w:r w:rsidR="00B54670" w:rsidRPr="007A7B03">
        <w:rPr>
          <w:rFonts w:asciiTheme="majorHAnsi" w:hAnsiTheme="majorHAnsi"/>
          <w:sz w:val="20"/>
          <w:szCs w:val="20"/>
          <w:lang w:val="es-419"/>
        </w:rPr>
        <w:t xml:space="preserve"> </w:t>
      </w:r>
      <w:r w:rsidR="000F63D2">
        <w:rPr>
          <w:rFonts w:asciiTheme="majorHAnsi" w:hAnsiTheme="majorHAnsi"/>
          <w:sz w:val="20"/>
          <w:szCs w:val="20"/>
          <w:lang w:val="es-419"/>
        </w:rPr>
        <w:t xml:space="preserve">el cual </w:t>
      </w:r>
      <w:r w:rsidRPr="007A7B03">
        <w:rPr>
          <w:rFonts w:asciiTheme="majorHAnsi" w:hAnsiTheme="majorHAnsi"/>
          <w:sz w:val="20"/>
          <w:szCs w:val="20"/>
          <w:lang w:val="es-419"/>
        </w:rPr>
        <w:t>se implementó.</w:t>
      </w:r>
    </w:p>
    <w:p w14:paraId="5402D0B8" w14:textId="645A76DA" w:rsidR="00871D3C" w:rsidRPr="007A7B03" w:rsidRDefault="00871D3C"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En su respuesta, los Estados Unidos no </w:t>
      </w:r>
      <w:r w:rsidR="000F63D2">
        <w:rPr>
          <w:rFonts w:asciiTheme="majorHAnsi" w:hAnsiTheme="majorHAnsi"/>
          <w:sz w:val="20"/>
          <w:szCs w:val="20"/>
          <w:lang w:val="es-419"/>
        </w:rPr>
        <w:t xml:space="preserve">controvierte </w:t>
      </w:r>
      <w:r w:rsidRPr="007A7B03">
        <w:rPr>
          <w:rFonts w:asciiTheme="majorHAnsi" w:hAnsiTheme="majorHAnsi"/>
          <w:sz w:val="20"/>
          <w:szCs w:val="20"/>
          <w:lang w:val="es-419"/>
        </w:rPr>
        <w:t xml:space="preserve">los hechos de la detención, maltrato, golpizas, </w:t>
      </w:r>
      <w:r w:rsidR="000F63D2" w:rsidRPr="000F63D2">
        <w:rPr>
          <w:rFonts w:asciiTheme="majorHAnsi" w:hAnsiTheme="majorHAnsi"/>
          <w:sz w:val="20"/>
          <w:szCs w:val="20"/>
          <w:lang w:val="es-419"/>
        </w:rPr>
        <w:t>ataques con</w:t>
      </w:r>
      <w:r w:rsidR="000F63D2">
        <w:rPr>
          <w:rFonts w:asciiTheme="majorHAnsi" w:hAnsiTheme="majorHAnsi"/>
          <w:i/>
          <w:iCs/>
          <w:sz w:val="20"/>
          <w:szCs w:val="20"/>
          <w:lang w:val="es-419"/>
        </w:rPr>
        <w:t xml:space="preserve"> </w:t>
      </w:r>
      <w:proofErr w:type="spellStart"/>
      <w:r w:rsidR="000F63D2">
        <w:rPr>
          <w:rFonts w:asciiTheme="majorHAnsi" w:hAnsiTheme="majorHAnsi"/>
          <w:i/>
          <w:iCs/>
          <w:sz w:val="20"/>
          <w:szCs w:val="20"/>
          <w:lang w:val="es-419"/>
        </w:rPr>
        <w:t>taser</w:t>
      </w:r>
      <w:proofErr w:type="spellEnd"/>
      <w:r w:rsidR="001E19D4" w:rsidRPr="007A7B03">
        <w:rPr>
          <w:rFonts w:asciiTheme="majorHAnsi" w:hAnsiTheme="majorHAnsi"/>
          <w:sz w:val="20"/>
          <w:szCs w:val="20"/>
          <w:lang w:val="es-419"/>
        </w:rPr>
        <w:t xml:space="preserve"> y </w:t>
      </w:r>
      <w:r w:rsidR="000F63D2">
        <w:rPr>
          <w:rFonts w:asciiTheme="majorHAnsi" w:hAnsiTheme="majorHAnsi"/>
          <w:sz w:val="20"/>
          <w:szCs w:val="20"/>
          <w:lang w:val="es-419"/>
        </w:rPr>
        <w:t xml:space="preserve">asesinato </w:t>
      </w:r>
      <w:r w:rsidRPr="007A7B03">
        <w:rPr>
          <w:rFonts w:asciiTheme="majorHAnsi" w:hAnsiTheme="majorHAnsi"/>
          <w:sz w:val="20"/>
          <w:szCs w:val="20"/>
          <w:lang w:val="es-419"/>
        </w:rPr>
        <w:t xml:space="preserve">del Sr. Hernández por parte de agentes estadounidenses, sino que se centra en el presunto comportamiento agresivo y </w:t>
      </w:r>
      <w:r w:rsidR="00C87D21">
        <w:rPr>
          <w:rFonts w:asciiTheme="majorHAnsi" w:hAnsiTheme="majorHAnsi"/>
          <w:sz w:val="20"/>
          <w:szCs w:val="20"/>
          <w:lang w:val="es-419"/>
        </w:rPr>
        <w:t>resistente</w:t>
      </w:r>
      <w:r w:rsidRPr="007A7B03">
        <w:rPr>
          <w:rFonts w:asciiTheme="majorHAnsi" w:hAnsiTheme="majorHAnsi"/>
          <w:sz w:val="20"/>
          <w:szCs w:val="20"/>
          <w:lang w:val="es-419"/>
        </w:rPr>
        <w:t xml:space="preserve"> del Sr. Hernández antes de la respuesta de</w:t>
      </w:r>
      <w:r w:rsidR="001E19D4" w:rsidRPr="007A7B03">
        <w:rPr>
          <w:rFonts w:asciiTheme="majorHAnsi" w:hAnsiTheme="majorHAnsi"/>
          <w:sz w:val="20"/>
          <w:szCs w:val="20"/>
          <w:lang w:val="es-419"/>
        </w:rPr>
        <w:t xml:space="preserve"> </w:t>
      </w:r>
      <w:r w:rsidRPr="007A7B03">
        <w:rPr>
          <w:rFonts w:asciiTheme="majorHAnsi" w:hAnsiTheme="majorHAnsi"/>
          <w:sz w:val="20"/>
          <w:szCs w:val="20"/>
          <w:lang w:val="es-419"/>
        </w:rPr>
        <w:t>l</w:t>
      </w:r>
      <w:r w:rsidR="001E19D4" w:rsidRPr="007A7B03">
        <w:rPr>
          <w:rFonts w:asciiTheme="majorHAnsi" w:hAnsiTheme="majorHAnsi"/>
          <w:sz w:val="20"/>
          <w:szCs w:val="20"/>
          <w:lang w:val="es-419"/>
        </w:rPr>
        <w:t>os</w:t>
      </w:r>
      <w:r w:rsidRPr="007A7B03">
        <w:rPr>
          <w:rFonts w:asciiTheme="majorHAnsi" w:hAnsiTheme="majorHAnsi"/>
          <w:sz w:val="20"/>
          <w:szCs w:val="20"/>
          <w:lang w:val="es-419"/>
        </w:rPr>
        <w:t xml:space="preserve"> agentes de la </w:t>
      </w:r>
      <w:r w:rsidR="000F63D2">
        <w:rPr>
          <w:rFonts w:asciiTheme="majorHAnsi" w:hAnsiTheme="majorHAnsi"/>
          <w:sz w:val="20"/>
          <w:szCs w:val="20"/>
          <w:lang w:val="es-419"/>
        </w:rPr>
        <w:t>policía</w:t>
      </w:r>
      <w:r w:rsidRPr="007A7B03">
        <w:rPr>
          <w:rFonts w:asciiTheme="majorHAnsi" w:hAnsiTheme="majorHAnsi"/>
          <w:sz w:val="20"/>
          <w:szCs w:val="20"/>
          <w:lang w:val="es-419"/>
        </w:rPr>
        <w:t xml:space="preserve">. El Estado también argumenta que no está </w:t>
      </w:r>
      <w:r w:rsidR="000F63D2">
        <w:rPr>
          <w:rFonts w:asciiTheme="majorHAnsi" w:hAnsiTheme="majorHAnsi"/>
          <w:sz w:val="20"/>
          <w:szCs w:val="20"/>
          <w:lang w:val="es-419"/>
        </w:rPr>
        <w:t>jurídicamente obligado</w:t>
      </w:r>
      <w:r w:rsidRPr="007A7B03">
        <w:rPr>
          <w:rFonts w:asciiTheme="majorHAnsi" w:hAnsiTheme="majorHAnsi"/>
          <w:sz w:val="20"/>
          <w:szCs w:val="20"/>
          <w:lang w:val="es-419"/>
        </w:rPr>
        <w:t xml:space="preserve"> por la Declaración Americana; y que el caso debe declararse inadmisible a la luz del acuerdo de </w:t>
      </w:r>
      <w:r w:rsidR="000F63D2">
        <w:rPr>
          <w:rFonts w:asciiTheme="majorHAnsi" w:hAnsiTheme="majorHAnsi"/>
          <w:sz w:val="20"/>
          <w:szCs w:val="20"/>
          <w:lang w:val="es-419"/>
        </w:rPr>
        <w:t>solución amistosa</w:t>
      </w:r>
      <w:r w:rsidRPr="007A7B03">
        <w:rPr>
          <w:rFonts w:asciiTheme="majorHAnsi" w:hAnsiTheme="majorHAnsi"/>
          <w:sz w:val="20"/>
          <w:szCs w:val="20"/>
          <w:lang w:val="es-419"/>
        </w:rPr>
        <w:t xml:space="preserve"> que los Estados Unidos alcanz</w:t>
      </w:r>
      <w:r w:rsidR="00583462" w:rsidRPr="007A7B03">
        <w:rPr>
          <w:rFonts w:asciiTheme="majorHAnsi" w:hAnsiTheme="majorHAnsi"/>
          <w:sz w:val="20"/>
          <w:szCs w:val="20"/>
          <w:lang w:val="es-419"/>
        </w:rPr>
        <w:t>ó</w:t>
      </w:r>
      <w:r w:rsidRPr="007A7B03">
        <w:rPr>
          <w:rFonts w:asciiTheme="majorHAnsi" w:hAnsiTheme="majorHAnsi"/>
          <w:sz w:val="20"/>
          <w:szCs w:val="20"/>
          <w:lang w:val="es-419"/>
        </w:rPr>
        <w:t xml:space="preserve"> con los familiares del Sr. Hernández en el curso del proceso civil seguido ante los tribunales de los Estados Unidos.</w:t>
      </w:r>
    </w:p>
    <w:p w14:paraId="0C5F8F6B" w14:textId="76A476E7" w:rsidR="002078FF" w:rsidRPr="007A7B03" w:rsidRDefault="00667482" w:rsidP="003E79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En cuanto a la inadmisibilidad de la petición, el Estado sostiene que la información </w:t>
      </w:r>
      <w:r w:rsidR="00E610D5" w:rsidRPr="007A7B03">
        <w:rPr>
          <w:rFonts w:asciiTheme="majorHAnsi" w:hAnsiTheme="majorHAnsi"/>
          <w:sz w:val="20"/>
          <w:szCs w:val="20"/>
          <w:lang w:val="es-419"/>
        </w:rPr>
        <w:t>sobreviniente</w:t>
      </w:r>
      <w:r w:rsidRPr="007A7B03">
        <w:rPr>
          <w:rFonts w:asciiTheme="majorHAnsi" w:hAnsiTheme="majorHAnsi"/>
          <w:sz w:val="20"/>
          <w:szCs w:val="20"/>
          <w:lang w:val="es-419"/>
        </w:rPr>
        <w:t xml:space="preserve"> ha hecho que la petición actual ante la CIDH </w:t>
      </w:r>
      <w:r w:rsidR="000F63D2">
        <w:rPr>
          <w:rFonts w:asciiTheme="majorHAnsi" w:hAnsiTheme="majorHAnsi"/>
          <w:sz w:val="20"/>
          <w:szCs w:val="20"/>
          <w:lang w:val="es-419"/>
        </w:rPr>
        <w:t xml:space="preserve">devenga </w:t>
      </w:r>
      <w:r w:rsidRPr="007A7B03">
        <w:rPr>
          <w:rFonts w:asciiTheme="majorHAnsi" w:hAnsiTheme="majorHAnsi"/>
          <w:sz w:val="20"/>
          <w:szCs w:val="20"/>
          <w:lang w:val="es-419"/>
        </w:rPr>
        <w:t>manifiestamente infundada, por lo tanto</w:t>
      </w:r>
      <w:r w:rsidR="004D0BD2">
        <w:rPr>
          <w:rFonts w:asciiTheme="majorHAnsi" w:hAnsiTheme="majorHAnsi"/>
          <w:sz w:val="20"/>
          <w:szCs w:val="20"/>
          <w:lang w:val="es-419"/>
        </w:rPr>
        <w:t>,</w:t>
      </w:r>
      <w:r w:rsidRPr="007A7B03">
        <w:rPr>
          <w:rFonts w:asciiTheme="majorHAnsi" w:hAnsiTheme="majorHAnsi"/>
          <w:sz w:val="20"/>
          <w:szCs w:val="20"/>
          <w:lang w:val="es-419"/>
        </w:rPr>
        <w:t xml:space="preserve"> inadmisible de conformidad con el artículo 34 del Reglamento de la CIDH. </w:t>
      </w:r>
      <w:r w:rsidR="004D0BD2">
        <w:rPr>
          <w:rFonts w:asciiTheme="majorHAnsi" w:hAnsiTheme="majorHAnsi"/>
          <w:sz w:val="20"/>
          <w:szCs w:val="20"/>
          <w:lang w:val="es-419"/>
        </w:rPr>
        <w:t>El Estado</w:t>
      </w:r>
      <w:r w:rsidRPr="007A7B03">
        <w:rPr>
          <w:rFonts w:asciiTheme="majorHAnsi" w:hAnsiTheme="majorHAnsi"/>
          <w:sz w:val="20"/>
          <w:szCs w:val="20"/>
          <w:lang w:val="es-419"/>
        </w:rPr>
        <w:t xml:space="preserve"> corrobora que el Sr. Hernández fue detenido por agentes de</w:t>
      </w:r>
      <w:r w:rsidR="000F63D2">
        <w:rPr>
          <w:rFonts w:asciiTheme="majorHAnsi" w:hAnsiTheme="majorHAnsi"/>
          <w:sz w:val="20"/>
          <w:szCs w:val="20"/>
          <w:lang w:val="es-419"/>
        </w:rPr>
        <w:t xml:space="preserve"> la</w:t>
      </w:r>
      <w:r w:rsidRPr="007A7B03">
        <w:rPr>
          <w:rFonts w:asciiTheme="majorHAnsi" w:hAnsiTheme="majorHAnsi"/>
          <w:sz w:val="20"/>
          <w:szCs w:val="20"/>
          <w:lang w:val="es-419"/>
        </w:rPr>
        <w:t xml:space="preserve"> CBP el 28 de mayo de 2010, llevado al centro de detención de Chula Vista, y que</w:t>
      </w:r>
      <w:r w:rsidR="004D0BD2">
        <w:rPr>
          <w:rFonts w:asciiTheme="majorHAnsi" w:hAnsiTheme="majorHAnsi"/>
          <w:sz w:val="20"/>
          <w:szCs w:val="20"/>
          <w:lang w:val="es-419"/>
        </w:rPr>
        <w:t>,</w:t>
      </w:r>
      <w:r w:rsidRPr="007A7B03">
        <w:rPr>
          <w:rFonts w:asciiTheme="majorHAnsi" w:hAnsiTheme="majorHAnsi"/>
          <w:sz w:val="20"/>
          <w:szCs w:val="20"/>
          <w:lang w:val="es-419"/>
        </w:rPr>
        <w:t xml:space="preserve"> durante </w:t>
      </w:r>
      <w:r w:rsidR="000F63D2">
        <w:rPr>
          <w:rFonts w:asciiTheme="majorHAnsi" w:hAnsiTheme="majorHAnsi"/>
          <w:sz w:val="20"/>
          <w:szCs w:val="20"/>
          <w:lang w:val="es-419"/>
        </w:rPr>
        <w:t xml:space="preserve">su </w:t>
      </w:r>
      <w:r w:rsidRPr="007A7B03">
        <w:rPr>
          <w:rFonts w:asciiTheme="majorHAnsi" w:hAnsiTheme="majorHAnsi"/>
          <w:sz w:val="20"/>
          <w:szCs w:val="20"/>
          <w:lang w:val="es-419"/>
        </w:rPr>
        <w:t xml:space="preserve">procesamiento y deportación, el Sr. Hernández Rojas </w:t>
      </w:r>
      <w:r w:rsidR="000F63D2">
        <w:rPr>
          <w:rFonts w:asciiTheme="majorHAnsi" w:hAnsiTheme="majorHAnsi"/>
          <w:sz w:val="20"/>
          <w:szCs w:val="20"/>
          <w:lang w:val="es-419"/>
        </w:rPr>
        <w:t>opuso resistencia física</w:t>
      </w:r>
      <w:r w:rsidRPr="007A7B03">
        <w:rPr>
          <w:rFonts w:asciiTheme="majorHAnsi" w:hAnsiTheme="majorHAnsi"/>
          <w:sz w:val="20"/>
          <w:szCs w:val="20"/>
          <w:lang w:val="es-419"/>
        </w:rPr>
        <w:t xml:space="preserve"> a los </w:t>
      </w:r>
      <w:r w:rsidR="000F63D2">
        <w:rPr>
          <w:rFonts w:asciiTheme="majorHAnsi" w:hAnsiTheme="majorHAnsi"/>
          <w:sz w:val="20"/>
          <w:szCs w:val="20"/>
          <w:lang w:val="es-419"/>
        </w:rPr>
        <w:t>agentes</w:t>
      </w:r>
      <w:r w:rsidRPr="007A7B03">
        <w:rPr>
          <w:rFonts w:asciiTheme="majorHAnsi" w:hAnsiTheme="majorHAnsi"/>
          <w:sz w:val="20"/>
          <w:szCs w:val="20"/>
          <w:lang w:val="es-419"/>
        </w:rPr>
        <w:t xml:space="preserve"> de</w:t>
      </w:r>
      <w:r w:rsidR="000F63D2">
        <w:rPr>
          <w:rFonts w:asciiTheme="majorHAnsi" w:hAnsiTheme="majorHAnsi"/>
          <w:sz w:val="20"/>
          <w:szCs w:val="20"/>
          <w:lang w:val="es-419"/>
        </w:rPr>
        <w:t xml:space="preserve"> la</w:t>
      </w:r>
      <w:r w:rsidRPr="007A7B03">
        <w:rPr>
          <w:rFonts w:asciiTheme="majorHAnsi" w:hAnsiTheme="majorHAnsi"/>
          <w:sz w:val="20"/>
          <w:szCs w:val="20"/>
          <w:lang w:val="es-419"/>
        </w:rPr>
        <w:t xml:space="preserve"> CBP, quienes tomaron medidas para </w:t>
      </w:r>
      <w:r w:rsidR="000F63D2">
        <w:rPr>
          <w:rFonts w:asciiTheme="majorHAnsi" w:hAnsiTheme="majorHAnsi"/>
          <w:sz w:val="20"/>
          <w:szCs w:val="20"/>
          <w:lang w:val="es-419"/>
        </w:rPr>
        <w:t>restringirlo</w:t>
      </w:r>
      <w:r w:rsidRPr="007A7B03">
        <w:rPr>
          <w:rFonts w:asciiTheme="majorHAnsi" w:hAnsiTheme="majorHAnsi"/>
          <w:sz w:val="20"/>
          <w:szCs w:val="20"/>
          <w:lang w:val="es-419"/>
        </w:rPr>
        <w:t xml:space="preserve">, </w:t>
      </w:r>
      <w:r w:rsidR="000F63D2">
        <w:rPr>
          <w:rFonts w:asciiTheme="majorHAnsi" w:hAnsiTheme="majorHAnsi"/>
          <w:sz w:val="20"/>
          <w:szCs w:val="20"/>
          <w:lang w:val="es-419"/>
        </w:rPr>
        <w:t>entre otras</w:t>
      </w:r>
      <w:r w:rsidR="00E610D5" w:rsidRPr="007A7B03">
        <w:rPr>
          <w:rFonts w:asciiTheme="majorHAnsi" w:hAnsiTheme="majorHAnsi"/>
          <w:sz w:val="20"/>
          <w:szCs w:val="20"/>
          <w:lang w:val="es-419"/>
        </w:rPr>
        <w:t xml:space="preserve"> </w:t>
      </w:r>
      <w:r w:rsidRPr="007A7B03">
        <w:rPr>
          <w:rFonts w:asciiTheme="majorHAnsi" w:hAnsiTheme="majorHAnsi"/>
          <w:sz w:val="20"/>
          <w:szCs w:val="20"/>
          <w:lang w:val="es-419"/>
        </w:rPr>
        <w:t>mediante el uso de una</w:t>
      </w:r>
      <w:r w:rsidR="00E610D5" w:rsidRPr="007A7B03">
        <w:rPr>
          <w:rFonts w:asciiTheme="majorHAnsi" w:hAnsiTheme="majorHAnsi"/>
          <w:sz w:val="20"/>
          <w:szCs w:val="20"/>
          <w:lang w:val="es-419"/>
        </w:rPr>
        <w:t xml:space="preserve"> pistola </w:t>
      </w:r>
      <w:proofErr w:type="spellStart"/>
      <w:r w:rsidR="00E610D5" w:rsidRPr="007A7B03">
        <w:rPr>
          <w:rFonts w:asciiTheme="majorHAnsi" w:hAnsiTheme="majorHAnsi"/>
          <w:i/>
          <w:iCs/>
          <w:sz w:val="20"/>
          <w:szCs w:val="20"/>
          <w:lang w:val="es-419"/>
        </w:rPr>
        <w:t>t</w:t>
      </w:r>
      <w:r w:rsidRPr="007A7B03">
        <w:rPr>
          <w:rFonts w:asciiTheme="majorHAnsi" w:hAnsiTheme="majorHAnsi"/>
          <w:i/>
          <w:iCs/>
          <w:sz w:val="20"/>
          <w:szCs w:val="20"/>
          <w:lang w:val="es-419"/>
        </w:rPr>
        <w:t>aser</w:t>
      </w:r>
      <w:proofErr w:type="spellEnd"/>
      <w:r w:rsidRPr="007A7B03">
        <w:rPr>
          <w:rFonts w:asciiTheme="majorHAnsi" w:hAnsiTheme="majorHAnsi"/>
          <w:sz w:val="20"/>
          <w:szCs w:val="20"/>
          <w:lang w:val="es-419"/>
        </w:rPr>
        <w:t>.</w:t>
      </w:r>
      <w:r w:rsidR="00E610D5" w:rsidRPr="007A7B03">
        <w:rPr>
          <w:rFonts w:asciiTheme="majorHAnsi" w:hAnsiTheme="majorHAnsi"/>
          <w:sz w:val="20"/>
          <w:szCs w:val="20"/>
          <w:lang w:val="es-419"/>
        </w:rPr>
        <w:t xml:space="preserve"> El Sr.</w:t>
      </w:r>
      <w:r w:rsidRPr="007A7B03">
        <w:rPr>
          <w:rFonts w:asciiTheme="majorHAnsi" w:hAnsiTheme="majorHAnsi"/>
          <w:sz w:val="20"/>
          <w:szCs w:val="20"/>
          <w:lang w:val="es-419"/>
        </w:rPr>
        <w:t xml:space="preserve"> Hernández Rojas </w:t>
      </w:r>
      <w:r w:rsidR="000F63D2">
        <w:rPr>
          <w:rFonts w:asciiTheme="majorHAnsi" w:hAnsiTheme="majorHAnsi"/>
          <w:sz w:val="20"/>
          <w:szCs w:val="20"/>
          <w:lang w:val="es-419"/>
        </w:rPr>
        <w:t xml:space="preserve">entró en </w:t>
      </w:r>
      <w:r w:rsidRPr="007A7B03">
        <w:rPr>
          <w:rFonts w:asciiTheme="majorHAnsi" w:hAnsiTheme="majorHAnsi"/>
          <w:sz w:val="20"/>
          <w:szCs w:val="20"/>
          <w:lang w:val="es-419"/>
        </w:rPr>
        <w:t xml:space="preserve">paro cardíaco, fue trasladado a un hospital y murió dos días después de ser </w:t>
      </w:r>
      <w:r w:rsidR="000F63D2">
        <w:rPr>
          <w:rFonts w:asciiTheme="majorHAnsi" w:hAnsiTheme="majorHAnsi"/>
          <w:sz w:val="20"/>
          <w:szCs w:val="20"/>
          <w:lang w:val="es-419"/>
        </w:rPr>
        <w:t xml:space="preserve">desconectado </w:t>
      </w:r>
      <w:r w:rsidRPr="007A7B03">
        <w:rPr>
          <w:rFonts w:asciiTheme="majorHAnsi" w:hAnsiTheme="majorHAnsi"/>
          <w:sz w:val="20"/>
          <w:szCs w:val="20"/>
          <w:lang w:val="es-419"/>
        </w:rPr>
        <w:t>del soporte vital.</w:t>
      </w:r>
      <w:r w:rsidR="00B55B7B" w:rsidRPr="007A7B03">
        <w:rPr>
          <w:rFonts w:asciiTheme="majorHAnsi" w:hAnsiTheme="majorHAnsi"/>
          <w:sz w:val="20"/>
          <w:szCs w:val="20"/>
          <w:lang w:val="es-419"/>
        </w:rPr>
        <w:t xml:space="preserve"> </w:t>
      </w:r>
      <w:r w:rsidR="001676D9" w:rsidRPr="007A7B03">
        <w:rPr>
          <w:rFonts w:asciiTheme="majorHAnsi" w:hAnsiTheme="majorHAnsi"/>
          <w:sz w:val="20"/>
          <w:szCs w:val="20"/>
          <w:lang w:val="es-419"/>
        </w:rPr>
        <w:t xml:space="preserve">El Estado también confirma que la investigación penal iniciada el 29 de mayo de 2010 por el Departamento de Policía de San Diego, que fue remitida al fiscal federal, finalmente se cerró </w:t>
      </w:r>
      <w:r w:rsidR="000F63D2">
        <w:rPr>
          <w:rFonts w:asciiTheme="majorHAnsi" w:hAnsiTheme="majorHAnsi"/>
          <w:sz w:val="20"/>
          <w:szCs w:val="20"/>
          <w:lang w:val="es-419"/>
        </w:rPr>
        <w:t>mediante</w:t>
      </w:r>
      <w:r w:rsidR="001676D9" w:rsidRPr="007A7B03">
        <w:rPr>
          <w:rFonts w:asciiTheme="majorHAnsi" w:hAnsiTheme="majorHAnsi"/>
          <w:sz w:val="20"/>
          <w:szCs w:val="20"/>
          <w:lang w:val="es-419"/>
        </w:rPr>
        <w:t xml:space="preserve"> una decisión del Departamento de Justicia que se describió en un comunicado de prensa en términos muy detallados; el Estado explica que la investigación fue realizada por funcionarios de la División de Derechos Civiles del Departamento de Justicia, </w:t>
      </w:r>
      <w:r w:rsidR="00C10A4F" w:rsidRPr="007A7B03">
        <w:rPr>
          <w:rFonts w:asciiTheme="majorHAnsi" w:hAnsiTheme="majorHAnsi"/>
          <w:sz w:val="20"/>
          <w:szCs w:val="20"/>
          <w:lang w:val="es-419"/>
        </w:rPr>
        <w:t>el FBI</w:t>
      </w:r>
      <w:r w:rsidR="001676D9" w:rsidRPr="007A7B03">
        <w:rPr>
          <w:rFonts w:asciiTheme="majorHAnsi" w:hAnsiTheme="majorHAnsi"/>
          <w:sz w:val="20"/>
          <w:szCs w:val="20"/>
          <w:lang w:val="es-419"/>
        </w:rPr>
        <w:t xml:space="preserve"> y </w:t>
      </w:r>
      <w:r w:rsidR="000F63D2">
        <w:rPr>
          <w:rFonts w:asciiTheme="majorHAnsi" w:hAnsiTheme="majorHAnsi"/>
          <w:sz w:val="20"/>
          <w:szCs w:val="20"/>
          <w:lang w:val="es-419"/>
        </w:rPr>
        <w:t>la Oficina del Inspector General del</w:t>
      </w:r>
      <w:r w:rsidR="00C10A4F" w:rsidRPr="007A7B03">
        <w:rPr>
          <w:rFonts w:asciiTheme="majorHAnsi" w:hAnsiTheme="majorHAnsi"/>
          <w:sz w:val="20"/>
          <w:szCs w:val="20"/>
          <w:lang w:val="es-419"/>
        </w:rPr>
        <w:t xml:space="preserve"> </w:t>
      </w:r>
      <w:r w:rsidR="001676D9" w:rsidRPr="007A7B03">
        <w:rPr>
          <w:rFonts w:asciiTheme="majorHAnsi" w:hAnsiTheme="majorHAnsi"/>
          <w:sz w:val="20"/>
          <w:szCs w:val="20"/>
          <w:lang w:val="es-419"/>
        </w:rPr>
        <w:t xml:space="preserve">Departamento de Seguridad Nacional </w:t>
      </w:r>
      <w:r w:rsidR="000F63D2">
        <w:rPr>
          <w:rFonts w:asciiTheme="majorHAnsi" w:hAnsiTheme="majorHAnsi"/>
          <w:sz w:val="20"/>
          <w:szCs w:val="20"/>
          <w:lang w:val="es-419"/>
        </w:rPr>
        <w:t>(</w:t>
      </w:r>
      <w:proofErr w:type="spellStart"/>
      <w:r w:rsidR="000F63D2" w:rsidRPr="000F63D2">
        <w:rPr>
          <w:rFonts w:asciiTheme="majorHAnsi" w:hAnsiTheme="majorHAnsi"/>
          <w:i/>
          <w:iCs/>
          <w:sz w:val="20"/>
          <w:szCs w:val="20"/>
          <w:lang w:val="es-419"/>
        </w:rPr>
        <w:t>Homeland</w:t>
      </w:r>
      <w:proofErr w:type="spellEnd"/>
      <w:r w:rsidR="000F63D2" w:rsidRPr="000F63D2">
        <w:rPr>
          <w:rFonts w:asciiTheme="majorHAnsi" w:hAnsiTheme="majorHAnsi"/>
          <w:i/>
          <w:iCs/>
          <w:sz w:val="20"/>
          <w:szCs w:val="20"/>
          <w:lang w:val="es-419"/>
        </w:rPr>
        <w:t xml:space="preserve"> Security</w:t>
      </w:r>
      <w:r w:rsidR="000F63D2">
        <w:rPr>
          <w:rFonts w:asciiTheme="majorHAnsi" w:hAnsiTheme="majorHAnsi"/>
          <w:sz w:val="20"/>
          <w:szCs w:val="20"/>
          <w:lang w:val="es-419"/>
        </w:rPr>
        <w:t xml:space="preserve">) </w:t>
      </w:r>
      <w:r w:rsidR="001676D9" w:rsidRPr="007A7B03">
        <w:rPr>
          <w:rFonts w:asciiTheme="majorHAnsi" w:hAnsiTheme="majorHAnsi"/>
          <w:sz w:val="20"/>
          <w:szCs w:val="20"/>
          <w:lang w:val="es-419"/>
        </w:rPr>
        <w:t>de los Estados Unidos ("DHS"), todos los cuales concluyeron que "</w:t>
      </w:r>
      <w:r w:rsidR="001676D9" w:rsidRPr="007A7B03">
        <w:rPr>
          <w:rFonts w:asciiTheme="majorHAnsi" w:hAnsiTheme="majorHAnsi"/>
          <w:i/>
          <w:iCs/>
          <w:sz w:val="20"/>
          <w:szCs w:val="20"/>
          <w:lang w:val="es-419"/>
        </w:rPr>
        <w:t xml:space="preserve">el Sr. Hernández Rojas </w:t>
      </w:r>
      <w:r w:rsidR="00B55B7B" w:rsidRPr="007A7B03">
        <w:rPr>
          <w:rFonts w:asciiTheme="majorHAnsi" w:hAnsiTheme="majorHAnsi"/>
          <w:i/>
          <w:iCs/>
          <w:sz w:val="20"/>
          <w:szCs w:val="20"/>
          <w:lang w:val="es-419"/>
        </w:rPr>
        <w:t>se resistió</w:t>
      </w:r>
      <w:r w:rsidR="001676D9" w:rsidRPr="007A7B03">
        <w:rPr>
          <w:rFonts w:asciiTheme="majorHAnsi" w:hAnsiTheme="majorHAnsi"/>
          <w:i/>
          <w:iCs/>
          <w:sz w:val="20"/>
          <w:szCs w:val="20"/>
          <w:lang w:val="es-419"/>
        </w:rPr>
        <w:t xml:space="preserve"> y agredió físicamente a los </w:t>
      </w:r>
      <w:r w:rsidR="000F63D2">
        <w:rPr>
          <w:rFonts w:asciiTheme="majorHAnsi" w:hAnsiTheme="majorHAnsi"/>
          <w:i/>
          <w:iCs/>
          <w:sz w:val="20"/>
          <w:szCs w:val="20"/>
          <w:lang w:val="es-419"/>
        </w:rPr>
        <w:t xml:space="preserve">agentes </w:t>
      </w:r>
      <w:r w:rsidR="001676D9" w:rsidRPr="007A7B03">
        <w:rPr>
          <w:rFonts w:asciiTheme="majorHAnsi" w:hAnsiTheme="majorHAnsi"/>
          <w:i/>
          <w:iCs/>
          <w:sz w:val="20"/>
          <w:szCs w:val="20"/>
          <w:lang w:val="es-419"/>
        </w:rPr>
        <w:t>de</w:t>
      </w:r>
      <w:r w:rsidR="000F63D2">
        <w:rPr>
          <w:rFonts w:asciiTheme="majorHAnsi" w:hAnsiTheme="majorHAnsi"/>
          <w:i/>
          <w:iCs/>
          <w:sz w:val="20"/>
          <w:szCs w:val="20"/>
          <w:lang w:val="es-419"/>
        </w:rPr>
        <w:t xml:space="preserve"> la</w:t>
      </w:r>
      <w:r w:rsidR="001676D9" w:rsidRPr="007A7B03">
        <w:rPr>
          <w:rFonts w:asciiTheme="majorHAnsi" w:hAnsiTheme="majorHAnsi"/>
          <w:i/>
          <w:iCs/>
          <w:sz w:val="20"/>
          <w:szCs w:val="20"/>
          <w:lang w:val="es-419"/>
        </w:rPr>
        <w:t xml:space="preserve"> CBP durante </w:t>
      </w:r>
      <w:r w:rsidR="000F63D2">
        <w:rPr>
          <w:rFonts w:asciiTheme="majorHAnsi" w:hAnsiTheme="majorHAnsi"/>
          <w:i/>
          <w:iCs/>
          <w:sz w:val="20"/>
          <w:szCs w:val="20"/>
          <w:lang w:val="es-419"/>
        </w:rPr>
        <w:t>su</w:t>
      </w:r>
      <w:r w:rsidR="001676D9" w:rsidRPr="007A7B03">
        <w:rPr>
          <w:rFonts w:asciiTheme="majorHAnsi" w:hAnsiTheme="majorHAnsi"/>
          <w:i/>
          <w:iCs/>
          <w:sz w:val="20"/>
          <w:szCs w:val="20"/>
          <w:lang w:val="es-419"/>
        </w:rPr>
        <w:t xml:space="preserve"> procesamiento el 28 de mayo de 2010. Una revisión exhaustiva realizada por fiscales federales con experiencia determinó que la evidencia era insuficiente para </w:t>
      </w:r>
      <w:r w:rsidR="00B55B7B" w:rsidRPr="007A7B03">
        <w:rPr>
          <w:rFonts w:asciiTheme="majorHAnsi" w:hAnsiTheme="majorHAnsi"/>
          <w:i/>
          <w:iCs/>
          <w:sz w:val="20"/>
          <w:szCs w:val="20"/>
          <w:lang w:val="es-419"/>
        </w:rPr>
        <w:t>presentar</w:t>
      </w:r>
      <w:r w:rsidR="001676D9" w:rsidRPr="007A7B03">
        <w:rPr>
          <w:rFonts w:asciiTheme="majorHAnsi" w:hAnsiTheme="majorHAnsi"/>
          <w:i/>
          <w:iCs/>
          <w:sz w:val="20"/>
          <w:szCs w:val="20"/>
          <w:lang w:val="es-419"/>
        </w:rPr>
        <w:t xml:space="preserve"> cargos federales de derechos civiles o para probar, más allá de una duda razonable, que cualquier </w:t>
      </w:r>
      <w:r w:rsidR="000F63D2">
        <w:rPr>
          <w:rFonts w:asciiTheme="majorHAnsi" w:hAnsiTheme="majorHAnsi"/>
          <w:i/>
          <w:iCs/>
          <w:sz w:val="20"/>
          <w:szCs w:val="20"/>
          <w:lang w:val="es-419"/>
        </w:rPr>
        <w:t xml:space="preserve">agente de la </w:t>
      </w:r>
      <w:r w:rsidR="001676D9" w:rsidRPr="007A7B03">
        <w:rPr>
          <w:rFonts w:asciiTheme="majorHAnsi" w:hAnsiTheme="majorHAnsi"/>
          <w:i/>
          <w:iCs/>
          <w:sz w:val="20"/>
          <w:szCs w:val="20"/>
          <w:lang w:val="es-419"/>
        </w:rPr>
        <w:t xml:space="preserve">CBP </w:t>
      </w:r>
      <w:r w:rsidR="000F63D2">
        <w:rPr>
          <w:rFonts w:asciiTheme="majorHAnsi" w:hAnsiTheme="majorHAnsi"/>
          <w:i/>
          <w:iCs/>
          <w:sz w:val="20"/>
          <w:szCs w:val="20"/>
          <w:lang w:val="es-419"/>
        </w:rPr>
        <w:t xml:space="preserve">hubiese </w:t>
      </w:r>
      <w:r w:rsidR="001676D9" w:rsidRPr="007A7B03">
        <w:rPr>
          <w:rFonts w:asciiTheme="majorHAnsi" w:hAnsiTheme="majorHAnsi"/>
          <w:i/>
          <w:iCs/>
          <w:sz w:val="20"/>
          <w:szCs w:val="20"/>
          <w:lang w:val="es-419"/>
        </w:rPr>
        <w:t>viol</w:t>
      </w:r>
      <w:r w:rsidR="000F63D2">
        <w:rPr>
          <w:rFonts w:asciiTheme="majorHAnsi" w:hAnsiTheme="majorHAnsi"/>
          <w:i/>
          <w:iCs/>
          <w:sz w:val="20"/>
          <w:szCs w:val="20"/>
          <w:lang w:val="es-419"/>
        </w:rPr>
        <w:t>ado</w:t>
      </w:r>
      <w:r w:rsidR="001676D9" w:rsidRPr="007A7B03">
        <w:rPr>
          <w:rFonts w:asciiTheme="majorHAnsi" w:hAnsiTheme="majorHAnsi"/>
          <w:i/>
          <w:iCs/>
          <w:sz w:val="20"/>
          <w:szCs w:val="20"/>
          <w:lang w:val="es-419"/>
        </w:rPr>
        <w:t xml:space="preserve"> l</w:t>
      </w:r>
      <w:r w:rsidR="000F63D2">
        <w:rPr>
          <w:rFonts w:asciiTheme="majorHAnsi" w:hAnsiTheme="majorHAnsi"/>
          <w:i/>
          <w:iCs/>
          <w:sz w:val="20"/>
          <w:szCs w:val="20"/>
          <w:lang w:val="es-419"/>
        </w:rPr>
        <w:t xml:space="preserve">as leyes </w:t>
      </w:r>
      <w:r w:rsidR="001676D9" w:rsidRPr="007A7B03">
        <w:rPr>
          <w:rFonts w:asciiTheme="majorHAnsi" w:hAnsiTheme="majorHAnsi"/>
          <w:i/>
          <w:iCs/>
          <w:sz w:val="20"/>
          <w:szCs w:val="20"/>
          <w:lang w:val="es-419"/>
        </w:rPr>
        <w:t xml:space="preserve">federales </w:t>
      </w:r>
      <w:r w:rsidR="000F63D2">
        <w:rPr>
          <w:rFonts w:asciiTheme="majorHAnsi" w:hAnsiTheme="majorHAnsi"/>
          <w:i/>
          <w:iCs/>
          <w:sz w:val="20"/>
          <w:szCs w:val="20"/>
          <w:lang w:val="es-419"/>
        </w:rPr>
        <w:t xml:space="preserve">sobre </w:t>
      </w:r>
      <w:r w:rsidR="001676D9" w:rsidRPr="007A7B03">
        <w:rPr>
          <w:rFonts w:asciiTheme="majorHAnsi" w:hAnsiTheme="majorHAnsi"/>
          <w:i/>
          <w:iCs/>
          <w:sz w:val="20"/>
          <w:szCs w:val="20"/>
          <w:lang w:val="es-419"/>
        </w:rPr>
        <w:t>homicidio</w:t>
      </w:r>
      <w:r w:rsidR="001676D9" w:rsidRPr="007A7B03">
        <w:rPr>
          <w:rFonts w:asciiTheme="majorHAnsi" w:hAnsiTheme="majorHAnsi"/>
          <w:sz w:val="20"/>
          <w:szCs w:val="20"/>
          <w:lang w:val="es-419"/>
        </w:rPr>
        <w:t xml:space="preserve">". También sostiene que representantes del Departamento de Justicia y </w:t>
      </w:r>
      <w:r w:rsidR="000F63D2">
        <w:rPr>
          <w:rFonts w:asciiTheme="majorHAnsi" w:hAnsiTheme="majorHAnsi"/>
          <w:sz w:val="20"/>
          <w:szCs w:val="20"/>
          <w:lang w:val="es-419"/>
        </w:rPr>
        <w:t xml:space="preserve">del </w:t>
      </w:r>
      <w:r w:rsidR="001676D9" w:rsidRPr="007A7B03">
        <w:rPr>
          <w:rFonts w:asciiTheme="majorHAnsi" w:hAnsiTheme="majorHAnsi"/>
          <w:sz w:val="20"/>
          <w:szCs w:val="20"/>
          <w:lang w:val="es-419"/>
        </w:rPr>
        <w:t>DHS se reunieron con las víctimas y sus representantes para informarles sobre los resultados de la investigación.</w:t>
      </w:r>
    </w:p>
    <w:p w14:paraId="0D652B60" w14:textId="2324194A" w:rsidR="002078FF" w:rsidRPr="007A7B03" w:rsidRDefault="002078FF" w:rsidP="002078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Con respecto a la demanda civil presentada por los familiares del Sr. Hernández </w:t>
      </w:r>
      <w:r w:rsidR="00235DCC">
        <w:rPr>
          <w:rFonts w:asciiTheme="majorHAnsi" w:hAnsiTheme="majorHAnsi"/>
          <w:sz w:val="20"/>
          <w:szCs w:val="20"/>
          <w:lang w:val="es-419"/>
        </w:rPr>
        <w:t>a</w:t>
      </w:r>
      <w:r w:rsidRPr="007A7B03">
        <w:rPr>
          <w:rFonts w:asciiTheme="majorHAnsi" w:hAnsiTheme="majorHAnsi"/>
          <w:sz w:val="20"/>
          <w:szCs w:val="20"/>
          <w:lang w:val="es-419"/>
        </w:rPr>
        <w:t>n</w:t>
      </w:r>
      <w:r w:rsidR="00235DCC">
        <w:rPr>
          <w:rFonts w:asciiTheme="majorHAnsi" w:hAnsiTheme="majorHAnsi"/>
          <w:sz w:val="20"/>
          <w:szCs w:val="20"/>
          <w:lang w:val="es-419"/>
        </w:rPr>
        <w:t>te</w:t>
      </w:r>
      <w:r w:rsidRPr="007A7B03">
        <w:rPr>
          <w:rFonts w:asciiTheme="majorHAnsi" w:hAnsiTheme="majorHAnsi"/>
          <w:sz w:val="20"/>
          <w:szCs w:val="20"/>
          <w:lang w:val="es-419"/>
        </w:rPr>
        <w:t xml:space="preserve"> el Tribunal de Distrito de los Estados Unidos para el Distrito Sur de California, el Estado argumenta que se llegó a un acuerdo </w:t>
      </w:r>
      <w:r w:rsidR="00235DCC">
        <w:rPr>
          <w:rFonts w:asciiTheme="majorHAnsi" w:hAnsiTheme="majorHAnsi"/>
          <w:sz w:val="20"/>
          <w:szCs w:val="20"/>
          <w:lang w:val="es-419"/>
        </w:rPr>
        <w:t xml:space="preserve">sobre </w:t>
      </w:r>
      <w:r w:rsidRPr="007A7B03">
        <w:rPr>
          <w:rFonts w:asciiTheme="majorHAnsi" w:hAnsiTheme="majorHAnsi"/>
          <w:sz w:val="20"/>
          <w:szCs w:val="20"/>
          <w:lang w:val="es-419"/>
        </w:rPr>
        <w:t>el caso</w:t>
      </w:r>
      <w:r w:rsidR="00235DCC">
        <w:rPr>
          <w:rFonts w:asciiTheme="majorHAnsi" w:hAnsiTheme="majorHAnsi"/>
          <w:sz w:val="20"/>
          <w:szCs w:val="20"/>
          <w:lang w:val="es-419"/>
        </w:rPr>
        <w:t>,</w:t>
      </w:r>
      <w:r w:rsidRPr="007A7B03">
        <w:rPr>
          <w:rFonts w:asciiTheme="majorHAnsi" w:hAnsiTheme="majorHAnsi"/>
          <w:sz w:val="20"/>
          <w:szCs w:val="20"/>
          <w:lang w:val="es-419"/>
        </w:rPr>
        <w:t xml:space="preserve"> entre el gobierno de los Estados Unidos y los peticionarios, en virtud del cual el gobierno de los Estados Unidos otorgó un millón de dólares a los familiares del Sr. Hernández Rojas, para resolver el caso civil. Este Acuerdo fue presentado por las partes ante el Tribunal, que en consecuencia desestimó el caso</w:t>
      </w:r>
      <w:r w:rsidR="00BD5D40" w:rsidRPr="007A7B03">
        <w:rPr>
          <w:rFonts w:asciiTheme="majorHAnsi" w:hAnsiTheme="majorHAnsi"/>
          <w:sz w:val="20"/>
          <w:szCs w:val="20"/>
          <w:lang w:val="es-419"/>
        </w:rPr>
        <w:t xml:space="preserve"> </w:t>
      </w:r>
      <w:r w:rsidR="00235DCC">
        <w:rPr>
          <w:rFonts w:asciiTheme="majorHAnsi" w:hAnsiTheme="majorHAnsi"/>
          <w:sz w:val="20"/>
          <w:szCs w:val="20"/>
          <w:lang w:val="es-419"/>
        </w:rPr>
        <w:t>en su integridad</w:t>
      </w:r>
      <w:r w:rsidRPr="007A7B03">
        <w:rPr>
          <w:rFonts w:asciiTheme="majorHAnsi" w:hAnsiTheme="majorHAnsi"/>
          <w:sz w:val="20"/>
          <w:szCs w:val="20"/>
          <w:lang w:val="es-419"/>
        </w:rPr>
        <w:t xml:space="preserve"> el 30 de mayo de 2017. El Estado sostiene que el </w:t>
      </w:r>
      <w:r w:rsidR="00235DCC">
        <w:rPr>
          <w:rFonts w:asciiTheme="majorHAnsi" w:hAnsiTheme="majorHAnsi"/>
          <w:sz w:val="20"/>
          <w:szCs w:val="20"/>
          <w:lang w:val="es-419"/>
        </w:rPr>
        <w:t>acuerdo de transacción</w:t>
      </w:r>
      <w:r w:rsidRPr="007A7B03">
        <w:rPr>
          <w:rFonts w:asciiTheme="majorHAnsi" w:hAnsiTheme="majorHAnsi"/>
          <w:sz w:val="20"/>
          <w:szCs w:val="20"/>
          <w:lang w:val="es-419"/>
        </w:rPr>
        <w:t xml:space="preserve"> y </w:t>
      </w:r>
      <w:r w:rsidR="00BD5D40" w:rsidRPr="007A7B03">
        <w:rPr>
          <w:rFonts w:asciiTheme="majorHAnsi" w:hAnsiTheme="majorHAnsi"/>
          <w:sz w:val="20"/>
          <w:szCs w:val="20"/>
          <w:lang w:val="es-419"/>
        </w:rPr>
        <w:lastRenderedPageBreak/>
        <w:t>la</w:t>
      </w:r>
      <w:r w:rsidRPr="007A7B03">
        <w:rPr>
          <w:rFonts w:asciiTheme="majorHAnsi" w:hAnsiTheme="majorHAnsi"/>
          <w:sz w:val="20"/>
          <w:szCs w:val="20"/>
          <w:lang w:val="es-419"/>
        </w:rPr>
        <w:t xml:space="preserve"> consiguiente </w:t>
      </w:r>
      <w:r w:rsidR="00BD5D40" w:rsidRPr="007A7B03">
        <w:rPr>
          <w:rFonts w:asciiTheme="majorHAnsi" w:hAnsiTheme="majorHAnsi"/>
          <w:sz w:val="20"/>
          <w:szCs w:val="20"/>
          <w:lang w:val="es-419"/>
        </w:rPr>
        <w:t xml:space="preserve">desestimación </w:t>
      </w:r>
      <w:r w:rsidRPr="007A7B03">
        <w:rPr>
          <w:rFonts w:asciiTheme="majorHAnsi" w:hAnsiTheme="majorHAnsi"/>
          <w:sz w:val="20"/>
          <w:szCs w:val="20"/>
          <w:lang w:val="es-419"/>
        </w:rPr>
        <w:t xml:space="preserve">del caso de los peticionarios en el tribunal de distrito </w:t>
      </w:r>
      <w:r w:rsidR="00235DCC">
        <w:rPr>
          <w:rFonts w:asciiTheme="majorHAnsi" w:hAnsiTheme="majorHAnsi"/>
          <w:sz w:val="20"/>
          <w:szCs w:val="20"/>
          <w:lang w:val="es-419"/>
        </w:rPr>
        <w:t>de</w:t>
      </w:r>
      <w:r w:rsidRPr="007A7B03">
        <w:rPr>
          <w:rFonts w:asciiTheme="majorHAnsi" w:hAnsiTheme="majorHAnsi"/>
          <w:sz w:val="20"/>
          <w:szCs w:val="20"/>
          <w:lang w:val="es-419"/>
        </w:rPr>
        <w:t xml:space="preserve">muestran que los peticionarios han recibido </w:t>
      </w:r>
      <w:r w:rsidR="00235DCC">
        <w:rPr>
          <w:rFonts w:asciiTheme="majorHAnsi" w:hAnsiTheme="majorHAnsi"/>
          <w:sz w:val="20"/>
          <w:szCs w:val="20"/>
          <w:lang w:val="es-419"/>
        </w:rPr>
        <w:t xml:space="preserve">reparaciones </w:t>
      </w:r>
      <w:r w:rsidRPr="007A7B03">
        <w:rPr>
          <w:rFonts w:asciiTheme="majorHAnsi" w:hAnsiTheme="majorHAnsi"/>
          <w:sz w:val="20"/>
          <w:szCs w:val="20"/>
          <w:lang w:val="es-419"/>
        </w:rPr>
        <w:t>adecuad</w:t>
      </w:r>
      <w:r w:rsidR="00235DCC">
        <w:rPr>
          <w:rFonts w:asciiTheme="majorHAnsi" w:hAnsiTheme="majorHAnsi"/>
          <w:sz w:val="20"/>
          <w:szCs w:val="20"/>
          <w:lang w:val="es-419"/>
        </w:rPr>
        <w:t>a</w:t>
      </w:r>
      <w:r w:rsidRPr="007A7B03">
        <w:rPr>
          <w:rFonts w:asciiTheme="majorHAnsi" w:hAnsiTheme="majorHAnsi"/>
          <w:sz w:val="20"/>
          <w:szCs w:val="20"/>
          <w:lang w:val="es-419"/>
        </w:rPr>
        <w:t>s y efectiv</w:t>
      </w:r>
      <w:r w:rsidR="00235DCC">
        <w:rPr>
          <w:rFonts w:asciiTheme="majorHAnsi" w:hAnsiTheme="majorHAnsi"/>
          <w:sz w:val="20"/>
          <w:szCs w:val="20"/>
          <w:lang w:val="es-419"/>
        </w:rPr>
        <w:t>as</w:t>
      </w:r>
      <w:r w:rsidRPr="007A7B03">
        <w:rPr>
          <w:rFonts w:asciiTheme="majorHAnsi" w:hAnsiTheme="majorHAnsi"/>
          <w:sz w:val="20"/>
          <w:szCs w:val="20"/>
          <w:lang w:val="es-419"/>
        </w:rPr>
        <w:t xml:space="preserve"> por las acciones </w:t>
      </w:r>
      <w:r w:rsidR="00BD5D40" w:rsidRPr="007A7B03">
        <w:rPr>
          <w:rFonts w:asciiTheme="majorHAnsi" w:hAnsiTheme="majorHAnsi"/>
          <w:sz w:val="20"/>
          <w:szCs w:val="20"/>
          <w:lang w:val="es-419"/>
        </w:rPr>
        <w:t>relativas a</w:t>
      </w:r>
      <w:r w:rsidRPr="007A7B03">
        <w:rPr>
          <w:rFonts w:asciiTheme="majorHAnsi" w:hAnsiTheme="majorHAnsi"/>
          <w:sz w:val="20"/>
          <w:szCs w:val="20"/>
          <w:lang w:val="es-419"/>
        </w:rPr>
        <w:t xml:space="preserve"> la muerte del Sr. Hernández. </w:t>
      </w:r>
      <w:r w:rsidR="00235DCC">
        <w:rPr>
          <w:rFonts w:asciiTheme="majorHAnsi" w:hAnsiTheme="majorHAnsi"/>
          <w:sz w:val="20"/>
          <w:szCs w:val="20"/>
          <w:lang w:val="es-419"/>
        </w:rPr>
        <w:t>Afirmando</w:t>
      </w:r>
      <w:r w:rsidRPr="007A7B03">
        <w:rPr>
          <w:rFonts w:asciiTheme="majorHAnsi" w:hAnsiTheme="majorHAnsi"/>
          <w:sz w:val="20"/>
          <w:szCs w:val="20"/>
          <w:lang w:val="es-419"/>
        </w:rPr>
        <w:t xml:space="preserve"> que la petición presentada ante la CIDH contiene </w:t>
      </w:r>
      <w:r w:rsidR="002C24E9" w:rsidRPr="007A7B03">
        <w:rPr>
          <w:rFonts w:asciiTheme="majorHAnsi" w:hAnsiTheme="majorHAnsi"/>
          <w:sz w:val="20"/>
          <w:szCs w:val="20"/>
          <w:lang w:val="es-419"/>
        </w:rPr>
        <w:t>alegatos</w:t>
      </w:r>
      <w:r w:rsidRPr="007A7B03">
        <w:rPr>
          <w:rFonts w:asciiTheme="majorHAnsi" w:hAnsiTheme="majorHAnsi"/>
          <w:sz w:val="20"/>
          <w:szCs w:val="20"/>
          <w:lang w:val="es-419"/>
        </w:rPr>
        <w:t xml:space="preserve"> </w:t>
      </w:r>
      <w:r w:rsidR="002C24E9" w:rsidRPr="007A7B03">
        <w:rPr>
          <w:rFonts w:asciiTheme="majorHAnsi" w:hAnsiTheme="majorHAnsi"/>
          <w:sz w:val="20"/>
          <w:szCs w:val="20"/>
          <w:lang w:val="es-419"/>
        </w:rPr>
        <w:t>similares</w:t>
      </w:r>
      <w:r w:rsidRPr="007A7B03">
        <w:rPr>
          <w:rFonts w:asciiTheme="majorHAnsi" w:hAnsiTheme="majorHAnsi"/>
          <w:sz w:val="20"/>
          <w:szCs w:val="20"/>
          <w:lang w:val="es-419"/>
        </w:rPr>
        <w:t xml:space="preserve"> </w:t>
      </w:r>
      <w:r w:rsidR="002C24E9" w:rsidRPr="007A7B03">
        <w:rPr>
          <w:rFonts w:asciiTheme="majorHAnsi" w:hAnsiTheme="majorHAnsi"/>
          <w:sz w:val="20"/>
          <w:szCs w:val="20"/>
          <w:lang w:val="es-419"/>
        </w:rPr>
        <w:t xml:space="preserve">a </w:t>
      </w:r>
      <w:r w:rsidRPr="007A7B03">
        <w:rPr>
          <w:rFonts w:asciiTheme="majorHAnsi" w:hAnsiTheme="majorHAnsi"/>
          <w:sz w:val="20"/>
          <w:szCs w:val="20"/>
          <w:lang w:val="es-419"/>
        </w:rPr>
        <w:t>los que fueron objeto de</w:t>
      </w:r>
      <w:r w:rsidR="00235DCC">
        <w:rPr>
          <w:rFonts w:asciiTheme="majorHAnsi" w:hAnsiTheme="majorHAnsi"/>
          <w:sz w:val="20"/>
          <w:szCs w:val="20"/>
          <w:lang w:val="es-419"/>
        </w:rPr>
        <w:t>l</w:t>
      </w:r>
      <w:r w:rsidRPr="007A7B03">
        <w:rPr>
          <w:rFonts w:asciiTheme="majorHAnsi" w:hAnsiTheme="majorHAnsi"/>
          <w:sz w:val="20"/>
          <w:szCs w:val="20"/>
          <w:lang w:val="es-419"/>
        </w:rPr>
        <w:t xml:space="preserve"> acuerdo ante los tribunales de los E</w:t>
      </w:r>
      <w:r w:rsidR="00235DCC">
        <w:rPr>
          <w:rFonts w:asciiTheme="majorHAnsi" w:hAnsiTheme="majorHAnsi"/>
          <w:sz w:val="20"/>
          <w:szCs w:val="20"/>
          <w:lang w:val="es-419"/>
        </w:rPr>
        <w:t>stados Unidos</w:t>
      </w:r>
      <w:r w:rsidR="002C24E9" w:rsidRPr="007A7B03">
        <w:rPr>
          <w:rFonts w:asciiTheme="majorHAnsi" w:hAnsiTheme="majorHAnsi"/>
          <w:sz w:val="20"/>
          <w:szCs w:val="20"/>
          <w:lang w:val="es-419"/>
        </w:rPr>
        <w:t xml:space="preserve"> e</w:t>
      </w:r>
      <w:r w:rsidRPr="007A7B03">
        <w:rPr>
          <w:rFonts w:asciiTheme="majorHAnsi" w:hAnsiTheme="majorHAnsi"/>
          <w:sz w:val="20"/>
          <w:szCs w:val="20"/>
          <w:lang w:val="es-419"/>
        </w:rPr>
        <w:t xml:space="preserve">n el curso de estos procedimientos civiles, el Estado sostiene que la petición debe considerarse inadmisible, porque los peticionarios renunciaron expresamente a su derecho a presentar reclamos ante un foro de revisión, o </w:t>
      </w:r>
      <w:r w:rsidR="00235DCC">
        <w:rPr>
          <w:rFonts w:asciiTheme="majorHAnsi" w:hAnsiTheme="majorHAnsi"/>
          <w:sz w:val="20"/>
          <w:szCs w:val="20"/>
          <w:lang w:val="es-419"/>
        </w:rPr>
        <w:t xml:space="preserve">a alegar </w:t>
      </w:r>
      <w:r w:rsidRPr="007A7B03">
        <w:rPr>
          <w:rFonts w:asciiTheme="majorHAnsi" w:hAnsiTheme="majorHAnsi"/>
          <w:sz w:val="20"/>
          <w:szCs w:val="20"/>
          <w:lang w:val="es-419"/>
        </w:rPr>
        <w:t>que Estados Unidos viol</w:t>
      </w:r>
      <w:r w:rsidR="00235DCC">
        <w:rPr>
          <w:rFonts w:asciiTheme="majorHAnsi" w:hAnsiTheme="majorHAnsi"/>
          <w:sz w:val="20"/>
          <w:szCs w:val="20"/>
          <w:lang w:val="es-419"/>
        </w:rPr>
        <w:t>aron</w:t>
      </w:r>
      <w:r w:rsidRPr="007A7B03">
        <w:rPr>
          <w:rFonts w:asciiTheme="majorHAnsi" w:hAnsiTheme="majorHAnsi"/>
          <w:sz w:val="20"/>
          <w:szCs w:val="20"/>
          <w:lang w:val="es-419"/>
        </w:rPr>
        <w:t xml:space="preserve"> los derechos del Sr. Hernández a través de los actos u omisiones que fueron objeto de dichos procedimientos judiciales civiles. El Estado también alega que nada en los principios establecidos por la Declaración Americana, o en las reglas que rigen el procedimiento ante la CIDH, sugeriría que la CIDH deb</w:t>
      </w:r>
      <w:r w:rsidR="00235DCC">
        <w:rPr>
          <w:rFonts w:asciiTheme="majorHAnsi" w:hAnsiTheme="majorHAnsi"/>
          <w:sz w:val="20"/>
          <w:szCs w:val="20"/>
          <w:lang w:val="es-419"/>
        </w:rPr>
        <w:t xml:space="preserve">a </w:t>
      </w:r>
      <w:r w:rsidRPr="007A7B03">
        <w:rPr>
          <w:rFonts w:asciiTheme="majorHAnsi" w:hAnsiTheme="majorHAnsi"/>
          <w:sz w:val="20"/>
          <w:szCs w:val="20"/>
          <w:lang w:val="es-419"/>
        </w:rPr>
        <w:t>intervenir en un asunto que se ha resuelto voluntariamente entre un peticionario y el Estado.</w:t>
      </w:r>
    </w:p>
    <w:p w14:paraId="7EAA2F0F" w14:textId="58C79666" w:rsidR="000670CF" w:rsidRPr="007A7B03" w:rsidRDefault="004C616A" w:rsidP="00583462">
      <w:pPr>
        <w:pStyle w:val="ListParagraph"/>
        <w:spacing w:before="120" w:after="120"/>
        <w:ind w:left="0" w:firstLine="720"/>
        <w:jc w:val="both"/>
        <w:rPr>
          <w:sz w:val="20"/>
          <w:szCs w:val="20"/>
          <w:lang w:val="es-419"/>
        </w:rPr>
      </w:pPr>
      <w:r w:rsidRPr="007A7B03">
        <w:rPr>
          <w:rFonts w:asciiTheme="majorHAnsi" w:hAnsiTheme="majorHAnsi"/>
          <w:b/>
          <w:bCs/>
          <w:sz w:val="20"/>
          <w:szCs w:val="20"/>
          <w:lang w:val="es-419"/>
        </w:rPr>
        <w:t xml:space="preserve">VI. </w:t>
      </w:r>
      <w:r w:rsidRPr="007A7B03">
        <w:rPr>
          <w:rFonts w:asciiTheme="majorHAnsi" w:hAnsiTheme="majorHAnsi"/>
          <w:b/>
          <w:bCs/>
          <w:sz w:val="20"/>
          <w:szCs w:val="20"/>
          <w:lang w:val="es-419"/>
        </w:rPr>
        <w:tab/>
      </w:r>
      <w:r w:rsidR="00235DCC">
        <w:rPr>
          <w:rFonts w:asciiTheme="majorHAnsi" w:hAnsiTheme="majorHAnsi"/>
          <w:b/>
          <w:bCs/>
          <w:sz w:val="20"/>
          <w:szCs w:val="20"/>
          <w:lang w:val="es-419"/>
        </w:rPr>
        <w:t xml:space="preserve">ANALISIS DEL </w:t>
      </w:r>
      <w:r w:rsidR="000670CF" w:rsidRPr="007A7B03">
        <w:rPr>
          <w:rFonts w:asciiTheme="majorHAnsi" w:hAnsiTheme="majorHAnsi"/>
          <w:b/>
          <w:bCs/>
          <w:sz w:val="20"/>
          <w:szCs w:val="20"/>
          <w:lang w:val="es-419"/>
        </w:rPr>
        <w:t xml:space="preserve">AGOTAMIENTO DE LOS RECURSOS INTERNOS, </w:t>
      </w:r>
      <w:r w:rsidR="00235DCC">
        <w:rPr>
          <w:rFonts w:asciiTheme="majorHAnsi" w:hAnsiTheme="majorHAnsi"/>
          <w:b/>
          <w:bCs/>
          <w:sz w:val="20"/>
          <w:szCs w:val="20"/>
          <w:lang w:val="es-419"/>
        </w:rPr>
        <w:t xml:space="preserve">LA </w:t>
      </w:r>
      <w:r w:rsidR="000670CF" w:rsidRPr="007A7B03">
        <w:rPr>
          <w:rFonts w:asciiTheme="majorHAnsi" w:hAnsiTheme="majorHAnsi"/>
          <w:b/>
          <w:bCs/>
          <w:sz w:val="20"/>
          <w:szCs w:val="20"/>
          <w:lang w:val="es-419"/>
        </w:rPr>
        <w:t xml:space="preserve">ADMISIBILIDAD GENERAL DE LA PETICIÓN </w:t>
      </w:r>
      <w:r w:rsidR="00235DCC">
        <w:rPr>
          <w:rFonts w:asciiTheme="majorHAnsi" w:hAnsiTheme="majorHAnsi"/>
          <w:b/>
          <w:bCs/>
          <w:sz w:val="20"/>
          <w:szCs w:val="20"/>
          <w:lang w:val="es-419"/>
        </w:rPr>
        <w:t>FRENTE A</w:t>
      </w:r>
      <w:r w:rsidR="000670CF" w:rsidRPr="007A7B03">
        <w:rPr>
          <w:rFonts w:asciiTheme="majorHAnsi" w:hAnsiTheme="majorHAnsi"/>
          <w:b/>
          <w:bCs/>
          <w:sz w:val="20"/>
          <w:szCs w:val="20"/>
          <w:lang w:val="es-419"/>
        </w:rPr>
        <w:t xml:space="preserve"> LAS REPARACIONES RECIBIDAS A NIVEL </w:t>
      </w:r>
      <w:r w:rsidR="0001121F" w:rsidRPr="007A7B03">
        <w:rPr>
          <w:rFonts w:asciiTheme="majorHAnsi" w:hAnsiTheme="majorHAnsi"/>
          <w:b/>
          <w:bCs/>
          <w:sz w:val="20"/>
          <w:szCs w:val="20"/>
          <w:lang w:val="es-419"/>
        </w:rPr>
        <w:t>INTERNO</w:t>
      </w:r>
      <w:r w:rsidR="00235DCC">
        <w:rPr>
          <w:rFonts w:asciiTheme="majorHAnsi" w:hAnsiTheme="majorHAnsi"/>
          <w:b/>
          <w:bCs/>
          <w:sz w:val="20"/>
          <w:szCs w:val="20"/>
          <w:lang w:val="es-419"/>
        </w:rPr>
        <w:t>,</w:t>
      </w:r>
      <w:r w:rsidR="000670CF" w:rsidRPr="007A7B03">
        <w:rPr>
          <w:rFonts w:asciiTheme="majorHAnsi" w:hAnsiTheme="majorHAnsi"/>
          <w:b/>
          <w:bCs/>
          <w:sz w:val="20"/>
          <w:szCs w:val="20"/>
          <w:lang w:val="es-419"/>
        </w:rPr>
        <w:t xml:space="preserve"> Y </w:t>
      </w:r>
      <w:r w:rsidR="00235DCC">
        <w:rPr>
          <w:rFonts w:asciiTheme="majorHAnsi" w:hAnsiTheme="majorHAnsi"/>
          <w:b/>
          <w:bCs/>
          <w:sz w:val="20"/>
          <w:szCs w:val="20"/>
          <w:lang w:val="es-419"/>
        </w:rPr>
        <w:t xml:space="preserve">EL </w:t>
      </w:r>
      <w:r w:rsidR="000670CF" w:rsidRPr="007A7B03">
        <w:rPr>
          <w:rFonts w:asciiTheme="majorHAnsi" w:hAnsiTheme="majorHAnsi"/>
          <w:b/>
          <w:bCs/>
          <w:sz w:val="20"/>
          <w:szCs w:val="20"/>
          <w:lang w:val="es-419"/>
        </w:rPr>
        <w:t>PLAZO DE PRESENTACIÓN</w:t>
      </w:r>
    </w:p>
    <w:p w14:paraId="068130E9" w14:textId="3B51EC7A" w:rsidR="00FA0CD0" w:rsidRPr="007A7B03" w:rsidRDefault="00FA0CD0"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La CIDH observa que </w:t>
      </w:r>
      <w:r w:rsidR="00235DCC">
        <w:rPr>
          <w:rFonts w:asciiTheme="majorHAnsi" w:hAnsiTheme="majorHAnsi"/>
          <w:sz w:val="20"/>
          <w:szCs w:val="20"/>
          <w:lang w:val="es-419"/>
        </w:rPr>
        <w:t xml:space="preserve">el reclamo central </w:t>
      </w:r>
      <w:r w:rsidRPr="007A7B03">
        <w:rPr>
          <w:rFonts w:asciiTheme="majorHAnsi" w:hAnsiTheme="majorHAnsi"/>
          <w:sz w:val="20"/>
          <w:szCs w:val="20"/>
          <w:lang w:val="es-419"/>
        </w:rPr>
        <w:t xml:space="preserve">en el presente caso consiste en la presunta tortura y ejecución extrajudicial de la víctima, la falta de una investigación adecuada de los hechos y la falta de acceso a la justicia para sus familiares, lo que habría resultado en la impunidad de los </w:t>
      </w:r>
      <w:r w:rsidR="003609B9">
        <w:rPr>
          <w:rFonts w:asciiTheme="majorHAnsi" w:hAnsiTheme="majorHAnsi"/>
          <w:sz w:val="20"/>
          <w:szCs w:val="20"/>
          <w:lang w:val="es-419"/>
        </w:rPr>
        <w:t>perpetrado</w:t>
      </w:r>
      <w:r w:rsidRPr="007A7B03">
        <w:rPr>
          <w:rFonts w:asciiTheme="majorHAnsi" w:hAnsiTheme="majorHAnsi"/>
          <w:sz w:val="20"/>
          <w:szCs w:val="20"/>
          <w:lang w:val="es-419"/>
        </w:rPr>
        <w:t>res.</w:t>
      </w:r>
    </w:p>
    <w:p w14:paraId="48ECECDF" w14:textId="0446F3F6" w:rsidR="00630753" w:rsidRPr="007A7B03" w:rsidRDefault="00630753" w:rsidP="006307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Al respecto, la CIDH ha dictaminado sistemáticamente que en casos de violaciones graves de los derechos a la vida y la integridad física, </w:t>
      </w:r>
      <w:r w:rsidR="002A36F2">
        <w:rPr>
          <w:rFonts w:asciiTheme="majorHAnsi" w:hAnsiTheme="majorHAnsi"/>
          <w:sz w:val="20"/>
          <w:szCs w:val="20"/>
          <w:lang w:val="es-419"/>
        </w:rPr>
        <w:t xml:space="preserve">tales como los </w:t>
      </w:r>
      <w:r w:rsidRPr="007A7B03">
        <w:rPr>
          <w:rFonts w:asciiTheme="majorHAnsi" w:hAnsiTheme="majorHAnsi"/>
          <w:sz w:val="20"/>
          <w:szCs w:val="20"/>
          <w:lang w:val="es-419"/>
        </w:rPr>
        <w:t>casos de posibles torturas seguidas de ejecuciones extrajudiciales, el remedio interno adecuado que debe agotarse es</w:t>
      </w:r>
      <w:r w:rsidR="008A701F" w:rsidRPr="007A7B03">
        <w:rPr>
          <w:rFonts w:asciiTheme="majorHAnsi" w:hAnsiTheme="majorHAnsi"/>
          <w:sz w:val="20"/>
          <w:szCs w:val="20"/>
          <w:lang w:val="es-419"/>
        </w:rPr>
        <w:t xml:space="preserve"> una</w:t>
      </w:r>
      <w:r w:rsidRPr="007A7B03">
        <w:rPr>
          <w:rFonts w:asciiTheme="majorHAnsi" w:hAnsiTheme="majorHAnsi"/>
          <w:sz w:val="20"/>
          <w:szCs w:val="20"/>
          <w:lang w:val="es-419"/>
        </w:rPr>
        <w:t xml:space="preserve"> investigación </w:t>
      </w:r>
      <w:r w:rsidR="008A701F" w:rsidRPr="007A7B03">
        <w:rPr>
          <w:rFonts w:asciiTheme="majorHAnsi" w:hAnsiTheme="majorHAnsi"/>
          <w:sz w:val="20"/>
          <w:szCs w:val="20"/>
          <w:lang w:val="es-419"/>
        </w:rPr>
        <w:t xml:space="preserve">penal </w:t>
      </w:r>
      <w:r w:rsidRPr="007A7B03">
        <w:rPr>
          <w:rFonts w:asciiTheme="majorHAnsi" w:hAnsiTheme="majorHAnsi"/>
          <w:sz w:val="20"/>
          <w:szCs w:val="20"/>
          <w:lang w:val="es-419"/>
        </w:rPr>
        <w:t xml:space="preserve">de los hechos, con el objetivo de identificar, </w:t>
      </w:r>
      <w:r w:rsidR="000C2622" w:rsidRPr="007A7B03">
        <w:rPr>
          <w:rFonts w:asciiTheme="majorHAnsi" w:hAnsiTheme="majorHAnsi"/>
          <w:sz w:val="20"/>
          <w:szCs w:val="20"/>
          <w:lang w:val="es-419"/>
        </w:rPr>
        <w:t>enjuiciar</w:t>
      </w:r>
      <w:r w:rsidRPr="007A7B03">
        <w:rPr>
          <w:rFonts w:asciiTheme="majorHAnsi" w:hAnsiTheme="majorHAnsi"/>
          <w:sz w:val="20"/>
          <w:szCs w:val="20"/>
          <w:lang w:val="es-419"/>
        </w:rPr>
        <w:t xml:space="preserve"> y </w:t>
      </w:r>
      <w:r w:rsidR="00621097" w:rsidRPr="007A7B03">
        <w:rPr>
          <w:rFonts w:asciiTheme="majorHAnsi" w:hAnsiTheme="majorHAnsi"/>
          <w:sz w:val="20"/>
          <w:szCs w:val="20"/>
          <w:lang w:val="es-419"/>
        </w:rPr>
        <w:t>sancionar</w:t>
      </w:r>
      <w:r w:rsidRPr="007A7B03">
        <w:rPr>
          <w:rFonts w:asciiTheme="majorHAnsi" w:hAnsiTheme="majorHAnsi"/>
          <w:sz w:val="20"/>
          <w:szCs w:val="20"/>
          <w:lang w:val="es-419"/>
        </w:rPr>
        <w:t xml:space="preserve"> a los autores de tales actos</w:t>
      </w:r>
      <w:r w:rsidR="00AC18E5" w:rsidRPr="007A7B03">
        <w:rPr>
          <w:rFonts w:asciiTheme="majorHAnsi" w:hAnsiTheme="majorHAnsi"/>
          <w:sz w:val="20"/>
          <w:szCs w:val="20"/>
          <w:lang w:val="es-419"/>
        </w:rPr>
        <w:t>.</w:t>
      </w:r>
      <w:r w:rsidR="00AC18E5" w:rsidRPr="007A7B03">
        <w:rPr>
          <w:rStyle w:val="FootnoteReference"/>
          <w:rFonts w:asciiTheme="majorHAnsi" w:hAnsiTheme="majorHAnsi"/>
          <w:sz w:val="20"/>
          <w:szCs w:val="20"/>
          <w:lang w:val="es-419"/>
        </w:rPr>
        <w:footnoteReference w:id="5"/>
      </w:r>
      <w:r w:rsidRPr="007A7B03">
        <w:rPr>
          <w:rFonts w:asciiTheme="majorHAnsi" w:hAnsiTheme="majorHAnsi"/>
          <w:sz w:val="20"/>
          <w:szCs w:val="20"/>
          <w:lang w:val="es-419"/>
        </w:rPr>
        <w:t xml:space="preserve"> En el presente caso, ambas partes </w:t>
      </w:r>
      <w:r w:rsidR="002A36F2">
        <w:rPr>
          <w:rFonts w:asciiTheme="majorHAnsi" w:hAnsiTheme="majorHAnsi"/>
          <w:sz w:val="20"/>
          <w:szCs w:val="20"/>
          <w:lang w:val="es-419"/>
        </w:rPr>
        <w:t>coinciden en</w:t>
      </w:r>
      <w:r w:rsidRPr="007A7B03">
        <w:rPr>
          <w:rFonts w:asciiTheme="majorHAnsi" w:hAnsiTheme="majorHAnsi"/>
          <w:sz w:val="20"/>
          <w:szCs w:val="20"/>
          <w:lang w:val="es-419"/>
        </w:rPr>
        <w:t xml:space="preserve"> que las investigaciones penales fueron </w:t>
      </w:r>
      <w:r w:rsidR="002A36F2">
        <w:rPr>
          <w:rFonts w:asciiTheme="majorHAnsi" w:hAnsiTheme="majorHAnsi"/>
          <w:sz w:val="20"/>
          <w:szCs w:val="20"/>
          <w:lang w:val="es-419"/>
        </w:rPr>
        <w:t>realizadas</w:t>
      </w:r>
      <w:r w:rsidRPr="007A7B03">
        <w:rPr>
          <w:rFonts w:asciiTheme="majorHAnsi" w:hAnsiTheme="majorHAnsi"/>
          <w:sz w:val="20"/>
          <w:szCs w:val="20"/>
          <w:lang w:val="es-419"/>
        </w:rPr>
        <w:t xml:space="preserve"> por las autoridades competentes, remitidas a los fiscales federales, y </w:t>
      </w:r>
      <w:r w:rsidR="002A36F2">
        <w:rPr>
          <w:rFonts w:asciiTheme="majorHAnsi" w:hAnsiTheme="majorHAnsi"/>
          <w:sz w:val="20"/>
          <w:szCs w:val="20"/>
          <w:lang w:val="es-419"/>
        </w:rPr>
        <w:t>eventu</w:t>
      </w:r>
      <w:r w:rsidRPr="007A7B03">
        <w:rPr>
          <w:rFonts w:asciiTheme="majorHAnsi" w:hAnsiTheme="majorHAnsi"/>
          <w:sz w:val="20"/>
          <w:szCs w:val="20"/>
          <w:lang w:val="es-419"/>
        </w:rPr>
        <w:t xml:space="preserve">almente cerradas </w:t>
      </w:r>
      <w:r w:rsidR="002A36F2">
        <w:rPr>
          <w:rFonts w:asciiTheme="majorHAnsi" w:hAnsiTheme="majorHAnsi"/>
          <w:sz w:val="20"/>
          <w:szCs w:val="20"/>
          <w:lang w:val="es-419"/>
        </w:rPr>
        <w:t>mediante</w:t>
      </w:r>
      <w:r w:rsidRPr="007A7B03">
        <w:rPr>
          <w:rFonts w:asciiTheme="majorHAnsi" w:hAnsiTheme="majorHAnsi"/>
          <w:sz w:val="20"/>
          <w:szCs w:val="20"/>
          <w:lang w:val="es-419"/>
        </w:rPr>
        <w:t xml:space="preserve"> una decisión del DOJ hecha pública el 6 de noviembre de 2015. </w:t>
      </w:r>
      <w:r w:rsidR="002A36F2">
        <w:rPr>
          <w:rFonts w:asciiTheme="majorHAnsi" w:hAnsiTheme="majorHAnsi"/>
          <w:sz w:val="20"/>
          <w:szCs w:val="20"/>
          <w:lang w:val="es-419"/>
        </w:rPr>
        <w:t>Más aún</w:t>
      </w:r>
      <w:r w:rsidRPr="007A7B03">
        <w:rPr>
          <w:rFonts w:asciiTheme="majorHAnsi" w:hAnsiTheme="majorHAnsi"/>
          <w:sz w:val="20"/>
          <w:szCs w:val="20"/>
          <w:lang w:val="es-419"/>
        </w:rPr>
        <w:t>, el Estado no argumenta falta de agotamiento de los recursos internos. Por lo tanto, la CIDH concluye que la presente petición cumple con el requisito de agotamiento de los recursos internos según lo establecido en el artículo 31 de su Reglamento y 20(c)</w:t>
      </w:r>
      <w:r w:rsidR="00AC18E5" w:rsidRPr="007A7B03">
        <w:rPr>
          <w:rFonts w:asciiTheme="majorHAnsi" w:hAnsiTheme="majorHAnsi"/>
          <w:sz w:val="20"/>
          <w:szCs w:val="20"/>
          <w:lang w:val="es-419"/>
        </w:rPr>
        <w:t xml:space="preserve"> </w:t>
      </w:r>
      <w:r w:rsidRPr="007A7B03">
        <w:rPr>
          <w:rFonts w:asciiTheme="majorHAnsi" w:hAnsiTheme="majorHAnsi"/>
          <w:sz w:val="20"/>
          <w:szCs w:val="20"/>
          <w:lang w:val="es-419"/>
        </w:rPr>
        <w:t>de su Estatuto. La CIDH también observa que la presente petición fue presentada el 30 de marzo de 2016; así,</w:t>
      </w:r>
      <w:r w:rsidR="002A36F2">
        <w:rPr>
          <w:rFonts w:asciiTheme="majorHAnsi" w:hAnsiTheme="majorHAnsi"/>
          <w:sz w:val="20"/>
          <w:szCs w:val="20"/>
          <w:lang w:val="es-419"/>
        </w:rPr>
        <w:t xml:space="preserve"> fue recibida</w:t>
      </w:r>
      <w:r w:rsidRPr="007A7B03">
        <w:rPr>
          <w:rFonts w:asciiTheme="majorHAnsi" w:hAnsiTheme="majorHAnsi"/>
          <w:sz w:val="20"/>
          <w:szCs w:val="20"/>
          <w:lang w:val="es-419"/>
        </w:rPr>
        <w:t xml:space="preserve"> dentro de los seis meses posteriores al cierre unilateral de la investigación por decisión </w:t>
      </w:r>
      <w:r w:rsidR="002A36F2">
        <w:rPr>
          <w:rFonts w:asciiTheme="majorHAnsi" w:hAnsiTheme="majorHAnsi"/>
          <w:sz w:val="20"/>
          <w:szCs w:val="20"/>
          <w:lang w:val="es-419"/>
        </w:rPr>
        <w:t>del ente investigador</w:t>
      </w:r>
      <w:r w:rsidRPr="007A7B03">
        <w:rPr>
          <w:rFonts w:asciiTheme="majorHAnsi" w:hAnsiTheme="majorHAnsi"/>
          <w:sz w:val="20"/>
          <w:szCs w:val="20"/>
          <w:lang w:val="es-419"/>
        </w:rPr>
        <w:t>; por lo tanto, la petición cumple con el requisito establecido en el Artículo 32 del Reglamento.</w:t>
      </w:r>
    </w:p>
    <w:p w14:paraId="1FC8409F" w14:textId="19010407" w:rsidR="00113016" w:rsidRPr="007A7B03" w:rsidRDefault="00FD5383" w:rsidP="00FD53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En cuanto al caso civil, este fin</w:t>
      </w:r>
      <w:r w:rsidR="002A36F2">
        <w:rPr>
          <w:rFonts w:asciiTheme="majorHAnsi" w:hAnsiTheme="majorHAnsi"/>
          <w:sz w:val="20"/>
          <w:szCs w:val="20"/>
          <w:lang w:val="es-419"/>
        </w:rPr>
        <w:t>alizó</w:t>
      </w:r>
      <w:r w:rsidRPr="007A7B03">
        <w:rPr>
          <w:rFonts w:asciiTheme="majorHAnsi" w:hAnsiTheme="majorHAnsi"/>
          <w:sz w:val="20"/>
          <w:szCs w:val="20"/>
          <w:lang w:val="es-419"/>
        </w:rPr>
        <w:t xml:space="preserve"> cuando las partes llegaron a un acuerdo </w:t>
      </w:r>
      <w:r w:rsidR="002A36F2">
        <w:rPr>
          <w:rFonts w:asciiTheme="majorHAnsi" w:hAnsiTheme="majorHAnsi"/>
          <w:sz w:val="20"/>
          <w:szCs w:val="20"/>
          <w:lang w:val="es-419"/>
        </w:rPr>
        <w:t>transaccional</w:t>
      </w:r>
      <w:r w:rsidRPr="007A7B03">
        <w:rPr>
          <w:rFonts w:asciiTheme="majorHAnsi" w:hAnsiTheme="majorHAnsi"/>
          <w:sz w:val="20"/>
          <w:szCs w:val="20"/>
          <w:lang w:val="es-419"/>
        </w:rPr>
        <w:t xml:space="preserve"> sobre la</w:t>
      </w:r>
      <w:r w:rsidR="002A36F2">
        <w:rPr>
          <w:rFonts w:asciiTheme="majorHAnsi" w:hAnsiTheme="majorHAnsi"/>
          <w:sz w:val="20"/>
          <w:szCs w:val="20"/>
          <w:lang w:val="es-419"/>
        </w:rPr>
        <w:t>s</w:t>
      </w:r>
      <w:r w:rsidRPr="007A7B03">
        <w:rPr>
          <w:rFonts w:asciiTheme="majorHAnsi" w:hAnsiTheme="majorHAnsi"/>
          <w:sz w:val="20"/>
          <w:szCs w:val="20"/>
          <w:lang w:val="es-419"/>
        </w:rPr>
        <w:t xml:space="preserve"> </w:t>
      </w:r>
      <w:r w:rsidR="002A36F2">
        <w:rPr>
          <w:rFonts w:asciiTheme="majorHAnsi" w:hAnsiTheme="majorHAnsi"/>
          <w:sz w:val="20"/>
          <w:szCs w:val="20"/>
          <w:lang w:val="es-419"/>
        </w:rPr>
        <w:t>pretensiones</w:t>
      </w:r>
      <w:r w:rsidRPr="007A7B03">
        <w:rPr>
          <w:rFonts w:asciiTheme="majorHAnsi" w:hAnsiTheme="majorHAnsi"/>
          <w:sz w:val="20"/>
          <w:szCs w:val="20"/>
          <w:lang w:val="es-419"/>
        </w:rPr>
        <w:t xml:space="preserve"> civil</w:t>
      </w:r>
      <w:r w:rsidR="002A36F2">
        <w:rPr>
          <w:rFonts w:asciiTheme="majorHAnsi" w:hAnsiTheme="majorHAnsi"/>
          <w:sz w:val="20"/>
          <w:szCs w:val="20"/>
          <w:lang w:val="es-419"/>
        </w:rPr>
        <w:t>es</w:t>
      </w:r>
      <w:r w:rsidRPr="007A7B03">
        <w:rPr>
          <w:rFonts w:asciiTheme="majorHAnsi" w:hAnsiTheme="majorHAnsi"/>
          <w:sz w:val="20"/>
          <w:szCs w:val="20"/>
          <w:lang w:val="es-419"/>
        </w:rPr>
        <w:t xml:space="preserve">, concluyendo así efectivamente </w:t>
      </w:r>
      <w:r w:rsidR="002A36F2">
        <w:rPr>
          <w:rFonts w:asciiTheme="majorHAnsi" w:hAnsiTheme="majorHAnsi"/>
          <w:sz w:val="20"/>
          <w:szCs w:val="20"/>
          <w:lang w:val="es-419"/>
        </w:rPr>
        <w:t>tale</w:t>
      </w:r>
      <w:r w:rsidRPr="007A7B03">
        <w:rPr>
          <w:rFonts w:asciiTheme="majorHAnsi" w:hAnsiTheme="majorHAnsi"/>
          <w:sz w:val="20"/>
          <w:szCs w:val="20"/>
          <w:lang w:val="es-419"/>
        </w:rPr>
        <w:t xml:space="preserve">s recursos internos, </w:t>
      </w:r>
      <w:r w:rsidR="002A36F2">
        <w:rPr>
          <w:rFonts w:asciiTheme="majorHAnsi" w:hAnsiTheme="majorHAnsi"/>
          <w:sz w:val="20"/>
          <w:szCs w:val="20"/>
          <w:lang w:val="es-419"/>
        </w:rPr>
        <w:t xml:space="preserve">tal y </w:t>
      </w:r>
      <w:r w:rsidRPr="007A7B03">
        <w:rPr>
          <w:rFonts w:asciiTheme="majorHAnsi" w:hAnsiTheme="majorHAnsi"/>
          <w:sz w:val="20"/>
          <w:szCs w:val="20"/>
          <w:lang w:val="es-419"/>
        </w:rPr>
        <w:t xml:space="preserve">como lo reconoció expresamente el Estado, </w:t>
      </w:r>
      <w:r w:rsidR="002A36F2">
        <w:rPr>
          <w:rFonts w:asciiTheme="majorHAnsi" w:hAnsiTheme="majorHAnsi"/>
          <w:sz w:val="20"/>
          <w:szCs w:val="20"/>
          <w:lang w:val="es-419"/>
        </w:rPr>
        <w:t xml:space="preserve">según </w:t>
      </w:r>
      <w:r w:rsidRPr="007A7B03">
        <w:rPr>
          <w:rFonts w:asciiTheme="majorHAnsi" w:hAnsiTheme="majorHAnsi"/>
          <w:sz w:val="20"/>
          <w:szCs w:val="20"/>
          <w:lang w:val="es-419"/>
        </w:rPr>
        <w:t>se describió anteriormente. A</w:t>
      </w:r>
      <w:r w:rsidR="002A36F2">
        <w:rPr>
          <w:rFonts w:asciiTheme="majorHAnsi" w:hAnsiTheme="majorHAnsi"/>
          <w:sz w:val="20"/>
          <w:szCs w:val="20"/>
          <w:lang w:val="es-419"/>
        </w:rPr>
        <w:t xml:space="preserve"> este</w:t>
      </w:r>
      <w:r w:rsidRPr="007A7B03">
        <w:rPr>
          <w:rFonts w:asciiTheme="majorHAnsi" w:hAnsiTheme="majorHAnsi"/>
          <w:sz w:val="20"/>
          <w:szCs w:val="20"/>
          <w:lang w:val="es-419"/>
        </w:rPr>
        <w:t xml:space="preserve"> respecto, la CIDH considera necesario aclarar que, independientemente de la naturaleza y los efectos </w:t>
      </w:r>
      <w:r w:rsidR="002A36F2">
        <w:rPr>
          <w:rFonts w:asciiTheme="majorHAnsi" w:hAnsiTheme="majorHAnsi"/>
          <w:sz w:val="20"/>
          <w:szCs w:val="20"/>
          <w:lang w:val="es-419"/>
        </w:rPr>
        <w:t xml:space="preserve">jurídicos </w:t>
      </w:r>
      <w:r w:rsidRPr="007A7B03">
        <w:rPr>
          <w:rFonts w:asciiTheme="majorHAnsi" w:hAnsiTheme="majorHAnsi"/>
          <w:sz w:val="20"/>
          <w:szCs w:val="20"/>
          <w:lang w:val="es-419"/>
        </w:rPr>
        <w:t>que dicho acuerdo pueda tener en virtud de</w:t>
      </w:r>
      <w:r w:rsidR="002A36F2">
        <w:rPr>
          <w:rFonts w:asciiTheme="majorHAnsi" w:hAnsiTheme="majorHAnsi"/>
          <w:sz w:val="20"/>
          <w:szCs w:val="20"/>
          <w:lang w:val="es-419"/>
        </w:rPr>
        <w:t>l</w:t>
      </w:r>
      <w:r w:rsidRPr="007A7B03">
        <w:rPr>
          <w:rFonts w:asciiTheme="majorHAnsi" w:hAnsiTheme="majorHAnsi"/>
          <w:sz w:val="20"/>
          <w:szCs w:val="20"/>
          <w:lang w:val="es-419"/>
        </w:rPr>
        <w:t xml:space="preserve"> </w:t>
      </w:r>
      <w:r w:rsidR="002A36F2">
        <w:rPr>
          <w:rFonts w:asciiTheme="majorHAnsi" w:hAnsiTheme="majorHAnsi"/>
          <w:sz w:val="20"/>
          <w:szCs w:val="20"/>
          <w:lang w:val="es-419"/>
        </w:rPr>
        <w:t xml:space="preserve">derecho </w:t>
      </w:r>
      <w:r w:rsidRPr="007A7B03">
        <w:rPr>
          <w:rFonts w:asciiTheme="majorHAnsi" w:hAnsiTheme="majorHAnsi"/>
          <w:sz w:val="20"/>
          <w:szCs w:val="20"/>
          <w:lang w:val="es-419"/>
        </w:rPr>
        <w:t>intern</w:t>
      </w:r>
      <w:r w:rsidR="002A36F2">
        <w:rPr>
          <w:rFonts w:asciiTheme="majorHAnsi" w:hAnsiTheme="majorHAnsi"/>
          <w:sz w:val="20"/>
          <w:szCs w:val="20"/>
          <w:lang w:val="es-419"/>
        </w:rPr>
        <w:t>o</w:t>
      </w:r>
      <w:r w:rsidRPr="007A7B03">
        <w:rPr>
          <w:rFonts w:asciiTheme="majorHAnsi" w:hAnsiTheme="majorHAnsi"/>
          <w:sz w:val="20"/>
          <w:szCs w:val="20"/>
          <w:lang w:val="es-419"/>
        </w:rPr>
        <w:t xml:space="preserve">, el acceso de las víctimas a la CIDH es un asunto completamente </w:t>
      </w:r>
      <w:r w:rsidR="00973E37" w:rsidRPr="007A7B03">
        <w:rPr>
          <w:rFonts w:asciiTheme="majorHAnsi" w:hAnsiTheme="majorHAnsi"/>
          <w:sz w:val="20"/>
          <w:szCs w:val="20"/>
          <w:lang w:val="es-419"/>
        </w:rPr>
        <w:t>distinto</w:t>
      </w:r>
      <w:r w:rsidRPr="007A7B03">
        <w:rPr>
          <w:rFonts w:asciiTheme="majorHAnsi" w:hAnsiTheme="majorHAnsi"/>
          <w:sz w:val="20"/>
          <w:szCs w:val="20"/>
          <w:lang w:val="es-419"/>
        </w:rPr>
        <w:t xml:space="preserve">, regido por el derecho internacional. Por lo tanto, una petición no puede, en principio, ser desestimada en la etapa de admisibilidad únicamente sobre la base de un acuerdo </w:t>
      </w:r>
      <w:r w:rsidR="002A36F2">
        <w:rPr>
          <w:rFonts w:asciiTheme="majorHAnsi" w:hAnsiTheme="majorHAnsi"/>
          <w:sz w:val="20"/>
          <w:szCs w:val="20"/>
          <w:lang w:val="es-419"/>
        </w:rPr>
        <w:t xml:space="preserve">o transacción </w:t>
      </w:r>
      <w:r w:rsidRPr="007A7B03">
        <w:rPr>
          <w:rFonts w:asciiTheme="majorHAnsi" w:hAnsiTheme="majorHAnsi"/>
          <w:sz w:val="20"/>
          <w:szCs w:val="20"/>
          <w:lang w:val="es-419"/>
        </w:rPr>
        <w:t>celebrado</w:t>
      </w:r>
      <w:r w:rsidR="002A36F2">
        <w:rPr>
          <w:rFonts w:asciiTheme="majorHAnsi" w:hAnsiTheme="majorHAnsi"/>
          <w:sz w:val="20"/>
          <w:szCs w:val="20"/>
          <w:lang w:val="es-419"/>
        </w:rPr>
        <w:t>s</w:t>
      </w:r>
      <w:r w:rsidRPr="007A7B03">
        <w:rPr>
          <w:rFonts w:asciiTheme="majorHAnsi" w:hAnsiTheme="majorHAnsi"/>
          <w:sz w:val="20"/>
          <w:szCs w:val="20"/>
          <w:lang w:val="es-419"/>
        </w:rPr>
        <w:t xml:space="preserve"> ante los tribunales nacionales. </w:t>
      </w:r>
      <w:r w:rsidR="002A36F2">
        <w:rPr>
          <w:rFonts w:asciiTheme="majorHAnsi" w:hAnsiTheme="majorHAnsi"/>
          <w:sz w:val="20"/>
          <w:szCs w:val="20"/>
          <w:lang w:val="es-419"/>
        </w:rPr>
        <w:t>Lo que es más</w:t>
      </w:r>
      <w:r w:rsidRPr="007A7B03">
        <w:rPr>
          <w:rFonts w:asciiTheme="majorHAnsi" w:hAnsiTheme="majorHAnsi"/>
          <w:sz w:val="20"/>
          <w:szCs w:val="20"/>
          <w:lang w:val="es-419"/>
        </w:rPr>
        <w:t xml:space="preserve">, la Comisión </w:t>
      </w:r>
      <w:r w:rsidR="002A36F2">
        <w:rPr>
          <w:rFonts w:asciiTheme="majorHAnsi" w:hAnsiTheme="majorHAnsi"/>
          <w:sz w:val="20"/>
          <w:szCs w:val="20"/>
          <w:lang w:val="es-419"/>
        </w:rPr>
        <w:t xml:space="preserve">observa </w:t>
      </w:r>
      <w:r w:rsidRPr="007A7B03">
        <w:rPr>
          <w:rFonts w:asciiTheme="majorHAnsi" w:hAnsiTheme="majorHAnsi"/>
          <w:sz w:val="20"/>
          <w:szCs w:val="20"/>
          <w:lang w:val="es-419"/>
        </w:rPr>
        <w:t>que las partes en los procedimientos judiciales civiles ante el Tribunal de Distrito de los Estados Unidos para el Distrito Sur de California estaban tramitando diferentes reclamos</w:t>
      </w:r>
      <w:r w:rsidR="002A36F2">
        <w:rPr>
          <w:rFonts w:asciiTheme="majorHAnsi" w:hAnsiTheme="majorHAnsi"/>
          <w:sz w:val="20"/>
          <w:szCs w:val="20"/>
          <w:lang w:val="es-419"/>
        </w:rPr>
        <w:t>,</w:t>
      </w:r>
      <w:r w:rsidRPr="007A7B03">
        <w:rPr>
          <w:rFonts w:asciiTheme="majorHAnsi" w:hAnsiTheme="majorHAnsi"/>
          <w:sz w:val="20"/>
          <w:szCs w:val="20"/>
          <w:lang w:val="es-419"/>
        </w:rPr>
        <w:t xml:space="preserve"> y buscando remedios de diferente naturaleza, a través de procedimientos nacionales que son distintos de los </w:t>
      </w:r>
      <w:r w:rsidR="002A36F2">
        <w:rPr>
          <w:rFonts w:asciiTheme="majorHAnsi" w:hAnsiTheme="majorHAnsi"/>
          <w:sz w:val="20"/>
          <w:szCs w:val="20"/>
          <w:lang w:val="es-419"/>
        </w:rPr>
        <w:t>internacionales</w:t>
      </w:r>
      <w:r w:rsidRPr="007A7B03">
        <w:rPr>
          <w:rFonts w:asciiTheme="majorHAnsi" w:hAnsiTheme="majorHAnsi"/>
          <w:sz w:val="20"/>
          <w:szCs w:val="20"/>
          <w:lang w:val="es-419"/>
        </w:rPr>
        <w:t xml:space="preserve">, y </w:t>
      </w:r>
      <w:r w:rsidR="002A36F2">
        <w:rPr>
          <w:rFonts w:asciiTheme="majorHAnsi" w:hAnsiTheme="majorHAnsi"/>
          <w:sz w:val="20"/>
          <w:szCs w:val="20"/>
          <w:lang w:val="es-419"/>
        </w:rPr>
        <w:t xml:space="preserve">se rigen </w:t>
      </w:r>
      <w:r w:rsidRPr="007A7B03">
        <w:rPr>
          <w:rFonts w:asciiTheme="majorHAnsi" w:hAnsiTheme="majorHAnsi"/>
          <w:sz w:val="20"/>
          <w:szCs w:val="20"/>
          <w:lang w:val="es-419"/>
        </w:rPr>
        <w:t xml:space="preserve">por un cuerpo </w:t>
      </w:r>
      <w:r w:rsidR="002A36F2">
        <w:rPr>
          <w:rFonts w:asciiTheme="majorHAnsi" w:hAnsiTheme="majorHAnsi"/>
          <w:sz w:val="20"/>
          <w:szCs w:val="20"/>
          <w:lang w:val="es-419"/>
        </w:rPr>
        <w:t xml:space="preserve">jurídico </w:t>
      </w:r>
      <w:r w:rsidRPr="007A7B03">
        <w:rPr>
          <w:rFonts w:asciiTheme="majorHAnsi" w:hAnsiTheme="majorHAnsi"/>
          <w:sz w:val="20"/>
          <w:szCs w:val="20"/>
          <w:lang w:val="es-419"/>
        </w:rPr>
        <w:t xml:space="preserve">diferente. Los recursos civiles no son apropiados ni </w:t>
      </w:r>
      <w:r w:rsidR="002A36F2">
        <w:rPr>
          <w:rFonts w:asciiTheme="majorHAnsi" w:hAnsiTheme="majorHAnsi"/>
          <w:sz w:val="20"/>
          <w:szCs w:val="20"/>
          <w:lang w:val="es-419"/>
        </w:rPr>
        <w:t xml:space="preserve">es </w:t>
      </w:r>
      <w:r w:rsidRPr="007A7B03">
        <w:rPr>
          <w:rFonts w:asciiTheme="majorHAnsi" w:hAnsiTheme="majorHAnsi"/>
          <w:sz w:val="20"/>
          <w:szCs w:val="20"/>
          <w:lang w:val="es-419"/>
        </w:rPr>
        <w:t xml:space="preserve">necesarios agotarlos antes de recurrir a la CIDH en los casos en que se alegue la violación del derecho a la vida y tortura, y el acuerdo alcanzado entre las partes, </w:t>
      </w:r>
      <w:r w:rsidR="002A36F2">
        <w:rPr>
          <w:rFonts w:asciiTheme="majorHAnsi" w:hAnsiTheme="majorHAnsi"/>
          <w:sz w:val="20"/>
          <w:szCs w:val="20"/>
          <w:lang w:val="es-419"/>
        </w:rPr>
        <w:t xml:space="preserve">por </w:t>
      </w:r>
      <w:r w:rsidRPr="007A7B03">
        <w:rPr>
          <w:rFonts w:asciiTheme="majorHAnsi" w:hAnsiTheme="majorHAnsi"/>
          <w:sz w:val="20"/>
          <w:szCs w:val="20"/>
          <w:lang w:val="es-419"/>
        </w:rPr>
        <w:t>sus propios términos</w:t>
      </w:r>
      <w:r w:rsidR="002A36F2">
        <w:rPr>
          <w:rFonts w:asciiTheme="majorHAnsi" w:hAnsiTheme="majorHAnsi"/>
          <w:sz w:val="20"/>
          <w:szCs w:val="20"/>
          <w:lang w:val="es-419"/>
        </w:rPr>
        <w:t xml:space="preserve"> -</w:t>
      </w:r>
      <w:r w:rsidRPr="007A7B03">
        <w:rPr>
          <w:rFonts w:asciiTheme="majorHAnsi" w:hAnsiTheme="majorHAnsi"/>
          <w:sz w:val="20"/>
          <w:szCs w:val="20"/>
          <w:lang w:val="es-419"/>
        </w:rPr>
        <w:t>literalmente citados por el Estado</w:t>
      </w:r>
      <w:r w:rsidR="002A36F2">
        <w:rPr>
          <w:rFonts w:asciiTheme="majorHAnsi" w:hAnsiTheme="majorHAnsi"/>
          <w:sz w:val="20"/>
          <w:szCs w:val="20"/>
          <w:lang w:val="es-419"/>
        </w:rPr>
        <w:t>-</w:t>
      </w:r>
      <w:r w:rsidRPr="007A7B03">
        <w:rPr>
          <w:rFonts w:asciiTheme="majorHAnsi" w:hAnsiTheme="majorHAnsi"/>
          <w:sz w:val="20"/>
          <w:szCs w:val="20"/>
          <w:lang w:val="es-419"/>
        </w:rPr>
        <w:t xml:space="preserve">, solo se aplica a reclamos de naturaleza civil derivados de los hechos que rodearon la muerte del Sr. Hernández; </w:t>
      </w:r>
      <w:r w:rsidR="00B64C6F" w:rsidRPr="007A7B03">
        <w:rPr>
          <w:rFonts w:asciiTheme="majorHAnsi" w:hAnsiTheme="majorHAnsi"/>
          <w:sz w:val="20"/>
          <w:szCs w:val="20"/>
          <w:lang w:val="es-419"/>
        </w:rPr>
        <w:t>l</w:t>
      </w:r>
      <w:r w:rsidRPr="007A7B03">
        <w:rPr>
          <w:rFonts w:asciiTheme="majorHAnsi" w:hAnsiTheme="majorHAnsi"/>
          <w:sz w:val="20"/>
          <w:szCs w:val="20"/>
          <w:lang w:val="es-419"/>
        </w:rPr>
        <w:t xml:space="preserve">a responsabilidad penal de los </w:t>
      </w:r>
      <w:r w:rsidR="002A36F2">
        <w:rPr>
          <w:rFonts w:asciiTheme="majorHAnsi" w:hAnsiTheme="majorHAnsi"/>
          <w:sz w:val="20"/>
          <w:szCs w:val="20"/>
          <w:lang w:val="es-419"/>
        </w:rPr>
        <w:t xml:space="preserve">perpetradores </w:t>
      </w:r>
      <w:r w:rsidRPr="007A7B03">
        <w:rPr>
          <w:rFonts w:asciiTheme="majorHAnsi" w:hAnsiTheme="majorHAnsi"/>
          <w:sz w:val="20"/>
          <w:szCs w:val="20"/>
          <w:lang w:val="es-419"/>
        </w:rPr>
        <w:t xml:space="preserve">de torturas o </w:t>
      </w:r>
      <w:r w:rsidR="002A36F2">
        <w:rPr>
          <w:rFonts w:asciiTheme="majorHAnsi" w:hAnsiTheme="majorHAnsi"/>
          <w:sz w:val="20"/>
          <w:szCs w:val="20"/>
          <w:lang w:val="es-419"/>
        </w:rPr>
        <w:t xml:space="preserve">de </w:t>
      </w:r>
      <w:r w:rsidRPr="007A7B03">
        <w:rPr>
          <w:rFonts w:asciiTheme="majorHAnsi" w:hAnsiTheme="majorHAnsi"/>
          <w:sz w:val="20"/>
          <w:szCs w:val="20"/>
          <w:lang w:val="es-419"/>
        </w:rPr>
        <w:t>ejecuciones extrajudiciales es de naturaleza jurídica fundamentalmente diferente, al igual que la responsabilidad internacional del Estado por la violación de sus obligaciones de derechos humanos.</w:t>
      </w:r>
      <w:r w:rsidR="00635994" w:rsidRPr="007A7B03">
        <w:rPr>
          <w:rFonts w:asciiTheme="majorHAnsi" w:hAnsiTheme="majorHAnsi"/>
          <w:sz w:val="20"/>
          <w:szCs w:val="20"/>
          <w:lang w:val="es-419"/>
        </w:rPr>
        <w:t xml:space="preserve"> </w:t>
      </w:r>
      <w:r w:rsidR="00113016" w:rsidRPr="007A7B03">
        <w:rPr>
          <w:rFonts w:asciiTheme="majorHAnsi" w:hAnsiTheme="majorHAnsi"/>
          <w:sz w:val="20"/>
          <w:szCs w:val="20"/>
          <w:lang w:val="es-419"/>
        </w:rPr>
        <w:t>E</w:t>
      </w:r>
      <w:r w:rsidR="00B71D45" w:rsidRPr="007A7B03">
        <w:rPr>
          <w:rFonts w:asciiTheme="majorHAnsi" w:hAnsiTheme="majorHAnsi"/>
          <w:sz w:val="20"/>
          <w:szCs w:val="20"/>
          <w:lang w:val="es-419"/>
        </w:rPr>
        <w:t>s e</w:t>
      </w:r>
      <w:r w:rsidR="00113016" w:rsidRPr="007A7B03">
        <w:rPr>
          <w:rFonts w:asciiTheme="majorHAnsi" w:hAnsiTheme="majorHAnsi"/>
          <w:sz w:val="20"/>
          <w:szCs w:val="20"/>
          <w:lang w:val="es-419"/>
        </w:rPr>
        <w:t>s</w:t>
      </w:r>
      <w:r w:rsidR="00B71D45" w:rsidRPr="007A7B03">
        <w:rPr>
          <w:rFonts w:asciiTheme="majorHAnsi" w:hAnsiTheme="majorHAnsi"/>
          <w:sz w:val="20"/>
          <w:szCs w:val="20"/>
          <w:lang w:val="es-419"/>
        </w:rPr>
        <w:t xml:space="preserve">ta </w:t>
      </w:r>
      <w:r w:rsidR="00113016" w:rsidRPr="007A7B03">
        <w:rPr>
          <w:rFonts w:asciiTheme="majorHAnsi" w:hAnsiTheme="majorHAnsi"/>
          <w:sz w:val="20"/>
          <w:szCs w:val="20"/>
          <w:lang w:val="es-419"/>
        </w:rPr>
        <w:t xml:space="preserve">última forma de responsabilidad legal, es decir, </w:t>
      </w:r>
      <w:r w:rsidR="002A36F2">
        <w:rPr>
          <w:rFonts w:asciiTheme="majorHAnsi" w:hAnsiTheme="majorHAnsi"/>
          <w:sz w:val="20"/>
          <w:szCs w:val="20"/>
          <w:lang w:val="es-419"/>
        </w:rPr>
        <w:t xml:space="preserve">la </w:t>
      </w:r>
      <w:r w:rsidR="00113016" w:rsidRPr="007A7B03">
        <w:rPr>
          <w:rFonts w:asciiTheme="majorHAnsi" w:hAnsiTheme="majorHAnsi"/>
          <w:sz w:val="20"/>
          <w:szCs w:val="20"/>
          <w:lang w:val="es-419"/>
        </w:rPr>
        <w:t xml:space="preserve">responsabilidad del Estado bajo el Derecho Internacional de los Derechos Humanos, </w:t>
      </w:r>
      <w:r w:rsidR="002A36F2">
        <w:rPr>
          <w:rFonts w:asciiTheme="majorHAnsi" w:hAnsiTheme="majorHAnsi"/>
          <w:sz w:val="20"/>
          <w:szCs w:val="20"/>
          <w:lang w:val="es-419"/>
        </w:rPr>
        <w:t xml:space="preserve">la </w:t>
      </w:r>
      <w:r w:rsidR="00113016" w:rsidRPr="007A7B03">
        <w:rPr>
          <w:rFonts w:asciiTheme="majorHAnsi" w:hAnsiTheme="majorHAnsi"/>
          <w:sz w:val="20"/>
          <w:szCs w:val="20"/>
          <w:lang w:val="es-419"/>
        </w:rPr>
        <w:t xml:space="preserve">que los peticionarios </w:t>
      </w:r>
      <w:r w:rsidR="002A36F2">
        <w:rPr>
          <w:rFonts w:asciiTheme="majorHAnsi" w:hAnsiTheme="majorHAnsi"/>
          <w:sz w:val="20"/>
          <w:szCs w:val="20"/>
          <w:lang w:val="es-419"/>
        </w:rPr>
        <w:t xml:space="preserve">buscan se determine </w:t>
      </w:r>
      <w:r w:rsidR="00113016" w:rsidRPr="007A7B03">
        <w:rPr>
          <w:rFonts w:asciiTheme="majorHAnsi" w:hAnsiTheme="majorHAnsi"/>
          <w:sz w:val="20"/>
          <w:szCs w:val="20"/>
          <w:lang w:val="es-419"/>
        </w:rPr>
        <w:t>a través del</w:t>
      </w:r>
      <w:r w:rsidR="002A36F2">
        <w:rPr>
          <w:rFonts w:asciiTheme="majorHAnsi" w:hAnsiTheme="majorHAnsi"/>
          <w:sz w:val="20"/>
          <w:szCs w:val="20"/>
          <w:lang w:val="es-419"/>
        </w:rPr>
        <w:t xml:space="preserve"> </w:t>
      </w:r>
      <w:r w:rsidR="00113016" w:rsidRPr="007A7B03">
        <w:rPr>
          <w:rFonts w:asciiTheme="majorHAnsi" w:hAnsiTheme="majorHAnsi"/>
          <w:sz w:val="20"/>
          <w:szCs w:val="20"/>
          <w:lang w:val="es-419"/>
        </w:rPr>
        <w:t xml:space="preserve">procedimiento actual ante el Sistema Interamericano de Derechos Humanos. A este respecto, la Comisión profundizará, durante la etapa de fondo de este caso, en la cuestión de si un acuerdo </w:t>
      </w:r>
      <w:r w:rsidR="00113016" w:rsidRPr="007A7B03">
        <w:rPr>
          <w:rFonts w:asciiTheme="majorHAnsi" w:hAnsiTheme="majorHAnsi"/>
          <w:sz w:val="20"/>
          <w:szCs w:val="20"/>
          <w:lang w:val="es-419"/>
        </w:rPr>
        <w:lastRenderedPageBreak/>
        <w:t xml:space="preserve">alcanzado entre el Estado y una víctima de violaciones de los derechos humanos en el curso de un proceso civil interno </w:t>
      </w:r>
      <w:r w:rsidR="002A36F2">
        <w:rPr>
          <w:rFonts w:asciiTheme="majorHAnsi" w:hAnsiTheme="majorHAnsi"/>
          <w:sz w:val="20"/>
          <w:szCs w:val="20"/>
          <w:lang w:val="es-419"/>
        </w:rPr>
        <w:t xml:space="preserve">tiene la posibilidad de </w:t>
      </w:r>
      <w:r w:rsidR="00113016" w:rsidRPr="007A7B03">
        <w:rPr>
          <w:rFonts w:asciiTheme="majorHAnsi" w:hAnsiTheme="majorHAnsi"/>
          <w:sz w:val="20"/>
          <w:szCs w:val="20"/>
          <w:lang w:val="es-419"/>
        </w:rPr>
        <w:t>impedir el acceso de dicha víctima a un proceso internaciona</w:t>
      </w:r>
      <w:r w:rsidR="00B71D45" w:rsidRPr="007A7B03">
        <w:rPr>
          <w:rFonts w:asciiTheme="majorHAnsi" w:hAnsiTheme="majorHAnsi"/>
          <w:sz w:val="20"/>
          <w:szCs w:val="20"/>
          <w:lang w:val="es-419"/>
        </w:rPr>
        <w:t>l de</w:t>
      </w:r>
      <w:r w:rsidR="00113016" w:rsidRPr="007A7B03">
        <w:rPr>
          <w:rFonts w:asciiTheme="majorHAnsi" w:hAnsiTheme="majorHAnsi"/>
          <w:sz w:val="20"/>
          <w:szCs w:val="20"/>
          <w:lang w:val="es-419"/>
        </w:rPr>
        <w:t xml:space="preserve"> revisión y protección de los derechos humanos, en el sentido en que el Estado argumenta</w:t>
      </w:r>
      <w:r w:rsidR="006F272B" w:rsidRPr="007A7B03">
        <w:rPr>
          <w:rFonts w:asciiTheme="majorHAnsi" w:hAnsiTheme="majorHAnsi"/>
          <w:sz w:val="20"/>
          <w:szCs w:val="20"/>
          <w:lang w:val="es-419"/>
        </w:rPr>
        <w:t xml:space="preserve"> que lo hace</w:t>
      </w:r>
      <w:r w:rsidR="00113016" w:rsidRPr="007A7B03">
        <w:rPr>
          <w:rFonts w:asciiTheme="majorHAnsi" w:hAnsiTheme="majorHAnsi"/>
          <w:sz w:val="20"/>
          <w:szCs w:val="20"/>
          <w:lang w:val="es-419"/>
        </w:rPr>
        <w:t xml:space="preserve">; también examinará si se puede renunciar a las obligaciones internacionales de derechos humanos del Estado, incluso de forma retrospectiva, mediante un acuerdo de </w:t>
      </w:r>
      <w:r w:rsidR="000F7366">
        <w:rPr>
          <w:rFonts w:asciiTheme="majorHAnsi" w:hAnsiTheme="majorHAnsi"/>
          <w:sz w:val="20"/>
          <w:szCs w:val="20"/>
          <w:lang w:val="es-419"/>
        </w:rPr>
        <w:t xml:space="preserve">transacción tal </w:t>
      </w:r>
      <w:r w:rsidR="00113016" w:rsidRPr="007A7B03">
        <w:rPr>
          <w:rFonts w:asciiTheme="majorHAnsi" w:hAnsiTheme="majorHAnsi"/>
          <w:sz w:val="20"/>
          <w:szCs w:val="20"/>
          <w:lang w:val="es-419"/>
        </w:rPr>
        <w:t xml:space="preserve">como este y, </w:t>
      </w:r>
      <w:r w:rsidR="000F7366">
        <w:rPr>
          <w:rFonts w:asciiTheme="majorHAnsi" w:hAnsiTheme="majorHAnsi"/>
          <w:sz w:val="20"/>
          <w:szCs w:val="20"/>
          <w:lang w:val="es-419"/>
        </w:rPr>
        <w:t>al mismo tiempo</w:t>
      </w:r>
      <w:r w:rsidR="00113016" w:rsidRPr="007A7B03">
        <w:rPr>
          <w:rFonts w:asciiTheme="majorHAnsi" w:hAnsiTheme="majorHAnsi"/>
          <w:sz w:val="20"/>
          <w:szCs w:val="20"/>
          <w:lang w:val="es-419"/>
        </w:rPr>
        <w:t xml:space="preserve">, si las víctimas de violaciones de derechos humanos pueden renunciar a su </w:t>
      </w:r>
      <w:r w:rsidR="000F7366">
        <w:rPr>
          <w:rFonts w:asciiTheme="majorHAnsi" w:hAnsiTheme="majorHAnsi"/>
          <w:sz w:val="20"/>
          <w:szCs w:val="20"/>
          <w:lang w:val="es-419"/>
        </w:rPr>
        <w:t xml:space="preserve">título jurídico </w:t>
      </w:r>
      <w:r w:rsidR="00113016" w:rsidRPr="007A7B03">
        <w:rPr>
          <w:rFonts w:asciiTheme="majorHAnsi" w:hAnsiTheme="majorHAnsi"/>
          <w:sz w:val="20"/>
          <w:szCs w:val="20"/>
          <w:lang w:val="es-419"/>
        </w:rPr>
        <w:t xml:space="preserve">a </w:t>
      </w:r>
      <w:r w:rsidR="000F7366">
        <w:rPr>
          <w:rFonts w:asciiTheme="majorHAnsi" w:hAnsiTheme="majorHAnsi"/>
          <w:sz w:val="20"/>
          <w:szCs w:val="20"/>
          <w:lang w:val="es-419"/>
        </w:rPr>
        <w:t xml:space="preserve">obtener </w:t>
      </w:r>
      <w:r w:rsidR="00113016" w:rsidRPr="007A7B03">
        <w:rPr>
          <w:rFonts w:asciiTheme="majorHAnsi" w:hAnsiTheme="majorHAnsi"/>
          <w:sz w:val="20"/>
          <w:szCs w:val="20"/>
          <w:lang w:val="es-419"/>
        </w:rPr>
        <w:t xml:space="preserve">una reparación </w:t>
      </w:r>
      <w:r w:rsidR="006F272B" w:rsidRPr="007A7B03">
        <w:rPr>
          <w:rFonts w:asciiTheme="majorHAnsi" w:hAnsiTheme="majorHAnsi"/>
          <w:sz w:val="20"/>
          <w:szCs w:val="20"/>
          <w:lang w:val="es-419"/>
        </w:rPr>
        <w:t>integral</w:t>
      </w:r>
      <w:r w:rsidR="00113016" w:rsidRPr="007A7B03">
        <w:rPr>
          <w:rFonts w:asciiTheme="majorHAnsi" w:hAnsiTheme="majorHAnsi"/>
          <w:sz w:val="20"/>
          <w:szCs w:val="20"/>
          <w:lang w:val="es-419"/>
        </w:rPr>
        <w:t xml:space="preserve"> o </w:t>
      </w:r>
      <w:r w:rsidR="000F7366">
        <w:rPr>
          <w:rFonts w:asciiTheme="majorHAnsi" w:hAnsiTheme="majorHAnsi"/>
          <w:sz w:val="20"/>
          <w:szCs w:val="20"/>
          <w:lang w:val="es-419"/>
        </w:rPr>
        <w:t xml:space="preserve">a </w:t>
      </w:r>
      <w:r w:rsidR="00113016" w:rsidRPr="007A7B03">
        <w:rPr>
          <w:rFonts w:asciiTheme="majorHAnsi" w:hAnsiTheme="majorHAnsi"/>
          <w:sz w:val="20"/>
          <w:szCs w:val="20"/>
          <w:lang w:val="es-419"/>
        </w:rPr>
        <w:t xml:space="preserve">su derecho de petición ante el Sistema Interamericano de Derechos Humanos. A los efectos de la presente etapa de admisibilidad, basta con reiterar la distinción antes mencionada que la CIDH ha señalado </w:t>
      </w:r>
      <w:r w:rsidR="000F7366">
        <w:rPr>
          <w:rFonts w:asciiTheme="majorHAnsi" w:hAnsiTheme="majorHAnsi"/>
          <w:sz w:val="20"/>
          <w:szCs w:val="20"/>
          <w:lang w:val="es-419"/>
        </w:rPr>
        <w:t xml:space="preserve">existe </w:t>
      </w:r>
      <w:r w:rsidR="00113016" w:rsidRPr="007A7B03">
        <w:rPr>
          <w:rFonts w:asciiTheme="majorHAnsi" w:hAnsiTheme="majorHAnsi"/>
          <w:sz w:val="20"/>
          <w:szCs w:val="20"/>
          <w:lang w:val="es-419"/>
        </w:rPr>
        <w:t xml:space="preserve">entre </w:t>
      </w:r>
      <w:r w:rsidR="000F7366">
        <w:rPr>
          <w:rFonts w:asciiTheme="majorHAnsi" w:hAnsiTheme="majorHAnsi"/>
          <w:sz w:val="20"/>
          <w:szCs w:val="20"/>
          <w:lang w:val="es-419"/>
        </w:rPr>
        <w:t xml:space="preserve">las </w:t>
      </w:r>
      <w:r w:rsidR="00113016" w:rsidRPr="007A7B03">
        <w:rPr>
          <w:rFonts w:asciiTheme="majorHAnsi" w:hAnsiTheme="majorHAnsi"/>
          <w:sz w:val="20"/>
          <w:szCs w:val="20"/>
          <w:lang w:val="es-419"/>
        </w:rPr>
        <w:t xml:space="preserve">demandas civiles, </w:t>
      </w:r>
      <w:r w:rsidR="000F7366">
        <w:rPr>
          <w:rFonts w:asciiTheme="majorHAnsi" w:hAnsiTheme="majorHAnsi"/>
          <w:sz w:val="20"/>
          <w:szCs w:val="20"/>
          <w:lang w:val="es-419"/>
        </w:rPr>
        <w:t xml:space="preserve">las </w:t>
      </w:r>
      <w:r w:rsidR="00113016" w:rsidRPr="007A7B03">
        <w:rPr>
          <w:rFonts w:asciiTheme="majorHAnsi" w:hAnsiTheme="majorHAnsi"/>
          <w:sz w:val="20"/>
          <w:szCs w:val="20"/>
          <w:lang w:val="es-419"/>
        </w:rPr>
        <w:t xml:space="preserve">investigaciones penales y la responsabilidad del Estado por actos de tortura y ejecución extrajudicial, en virtud de </w:t>
      </w:r>
      <w:r w:rsidR="000F7366">
        <w:rPr>
          <w:rFonts w:asciiTheme="majorHAnsi" w:hAnsiTheme="majorHAnsi"/>
          <w:sz w:val="20"/>
          <w:szCs w:val="20"/>
          <w:lang w:val="es-419"/>
        </w:rPr>
        <w:t xml:space="preserve">la </w:t>
      </w:r>
      <w:r w:rsidR="00113016" w:rsidRPr="007A7B03">
        <w:rPr>
          <w:rFonts w:asciiTheme="majorHAnsi" w:hAnsiTheme="majorHAnsi"/>
          <w:sz w:val="20"/>
          <w:szCs w:val="20"/>
          <w:lang w:val="es-419"/>
        </w:rPr>
        <w:t xml:space="preserve">cual no es necesario agotar los recursos </w:t>
      </w:r>
      <w:r w:rsidR="000F7366">
        <w:rPr>
          <w:rFonts w:asciiTheme="majorHAnsi" w:hAnsiTheme="majorHAnsi"/>
          <w:sz w:val="20"/>
          <w:szCs w:val="20"/>
          <w:lang w:val="es-419"/>
        </w:rPr>
        <w:t xml:space="preserve">de tipo </w:t>
      </w:r>
      <w:r w:rsidR="00113016" w:rsidRPr="007A7B03">
        <w:rPr>
          <w:rFonts w:asciiTheme="majorHAnsi" w:hAnsiTheme="majorHAnsi"/>
          <w:sz w:val="20"/>
          <w:szCs w:val="20"/>
          <w:lang w:val="es-419"/>
        </w:rPr>
        <w:t>civil</w:t>
      </w:r>
      <w:r w:rsidR="00635994" w:rsidRPr="007A7B03">
        <w:rPr>
          <w:rFonts w:asciiTheme="majorHAnsi" w:hAnsiTheme="majorHAnsi"/>
          <w:sz w:val="20"/>
          <w:szCs w:val="20"/>
          <w:lang w:val="es-419"/>
        </w:rPr>
        <w:t xml:space="preserve"> </w:t>
      </w:r>
      <w:r w:rsidR="00113016" w:rsidRPr="007A7B03">
        <w:rPr>
          <w:rFonts w:asciiTheme="majorHAnsi" w:hAnsiTheme="majorHAnsi"/>
          <w:sz w:val="20"/>
          <w:szCs w:val="20"/>
          <w:lang w:val="es-419"/>
        </w:rPr>
        <w:t>en los casos en que se reclaman torturas, ejecuciones extrajudiciales o violaciones similares. Por lo tanto, la Comisión niega la solicitud del Estado de una declaración de inadmisibilidad de este caso en virtud del artículo 34 de su Reglamento.</w:t>
      </w:r>
    </w:p>
    <w:p w14:paraId="7263D9FE" w14:textId="43B26E72" w:rsidR="009A1D79" w:rsidRPr="007A7B03" w:rsidRDefault="000F7366" w:rsidP="001818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Pr>
          <w:rFonts w:asciiTheme="majorHAnsi" w:hAnsiTheme="majorHAnsi"/>
          <w:sz w:val="20"/>
          <w:szCs w:val="20"/>
          <w:lang w:val="es-419"/>
        </w:rPr>
        <w:t xml:space="preserve">Sin perjuicio de </w:t>
      </w:r>
      <w:r w:rsidR="009A1D79" w:rsidRPr="007A7B03">
        <w:rPr>
          <w:rFonts w:asciiTheme="majorHAnsi" w:hAnsiTheme="majorHAnsi"/>
          <w:sz w:val="20"/>
          <w:szCs w:val="20"/>
          <w:lang w:val="es-419"/>
        </w:rPr>
        <w:t xml:space="preserve">lo anterior, la CIDH no ignora el hecho de que se llegó a un acuerdo entre los familiares del Sr. Hernández Rojas, quienes también son víctimas en la presente petición, y las autoridades competentes. En este sentido, la Comisión evaluará en la etapa de fondo del presente caso en qué medida la aceptación de dicho acuerdo constituye una exención </w:t>
      </w:r>
      <w:r>
        <w:rPr>
          <w:rFonts w:asciiTheme="majorHAnsi" w:hAnsiTheme="majorHAnsi"/>
          <w:sz w:val="20"/>
          <w:szCs w:val="20"/>
          <w:lang w:val="es-419"/>
        </w:rPr>
        <w:t>para e</w:t>
      </w:r>
      <w:r w:rsidR="009A1D79" w:rsidRPr="007A7B03">
        <w:rPr>
          <w:rFonts w:asciiTheme="majorHAnsi" w:hAnsiTheme="majorHAnsi"/>
          <w:sz w:val="20"/>
          <w:szCs w:val="20"/>
          <w:lang w:val="es-419"/>
        </w:rPr>
        <w:t xml:space="preserve">l Estado </w:t>
      </w:r>
      <w:r>
        <w:rPr>
          <w:rFonts w:asciiTheme="majorHAnsi" w:hAnsiTheme="majorHAnsi"/>
          <w:sz w:val="20"/>
          <w:szCs w:val="20"/>
          <w:lang w:val="es-419"/>
        </w:rPr>
        <w:t xml:space="preserve">frente a </w:t>
      </w:r>
      <w:r w:rsidR="009A1D79" w:rsidRPr="007A7B03">
        <w:rPr>
          <w:rFonts w:asciiTheme="majorHAnsi" w:hAnsiTheme="majorHAnsi"/>
          <w:sz w:val="20"/>
          <w:szCs w:val="20"/>
          <w:lang w:val="es-419"/>
        </w:rPr>
        <w:t>sus obligaciones de investigar y sancionar a</w:t>
      </w:r>
      <w:r>
        <w:rPr>
          <w:rFonts w:asciiTheme="majorHAnsi" w:hAnsiTheme="majorHAnsi"/>
          <w:sz w:val="20"/>
          <w:szCs w:val="20"/>
          <w:lang w:val="es-419"/>
        </w:rPr>
        <w:t xml:space="preserve"> </w:t>
      </w:r>
      <w:r w:rsidR="009A1D79" w:rsidRPr="007A7B03">
        <w:rPr>
          <w:rFonts w:asciiTheme="majorHAnsi" w:hAnsiTheme="majorHAnsi"/>
          <w:sz w:val="20"/>
          <w:szCs w:val="20"/>
          <w:lang w:val="es-419"/>
        </w:rPr>
        <w:t>l</w:t>
      </w:r>
      <w:r>
        <w:rPr>
          <w:rFonts w:asciiTheme="majorHAnsi" w:hAnsiTheme="majorHAnsi"/>
          <w:sz w:val="20"/>
          <w:szCs w:val="20"/>
          <w:lang w:val="es-419"/>
        </w:rPr>
        <w:t>os</w:t>
      </w:r>
      <w:r w:rsidR="009A1D79" w:rsidRPr="007A7B03">
        <w:rPr>
          <w:rFonts w:asciiTheme="majorHAnsi" w:hAnsiTheme="majorHAnsi"/>
          <w:sz w:val="20"/>
          <w:szCs w:val="20"/>
          <w:lang w:val="es-419"/>
        </w:rPr>
        <w:t xml:space="preserve"> autor</w:t>
      </w:r>
      <w:r>
        <w:rPr>
          <w:rFonts w:asciiTheme="majorHAnsi" w:hAnsiTheme="majorHAnsi"/>
          <w:sz w:val="20"/>
          <w:szCs w:val="20"/>
          <w:lang w:val="es-419"/>
        </w:rPr>
        <w:t>es</w:t>
      </w:r>
      <w:r w:rsidR="009A1D79" w:rsidRPr="007A7B03">
        <w:rPr>
          <w:rFonts w:asciiTheme="majorHAnsi" w:hAnsiTheme="majorHAnsi"/>
          <w:sz w:val="20"/>
          <w:szCs w:val="20"/>
          <w:lang w:val="es-419"/>
        </w:rPr>
        <w:t xml:space="preserve"> de la muerte del Sr. Hernández. La CIDH también tendrá en cuenta el hecho de que el Estado ya ha </w:t>
      </w:r>
      <w:r>
        <w:rPr>
          <w:rFonts w:asciiTheme="majorHAnsi" w:hAnsiTheme="majorHAnsi"/>
          <w:sz w:val="20"/>
          <w:szCs w:val="20"/>
          <w:lang w:val="es-419"/>
        </w:rPr>
        <w:t xml:space="preserve">entregado </w:t>
      </w:r>
      <w:r w:rsidR="009A1D79" w:rsidRPr="007A7B03">
        <w:rPr>
          <w:rFonts w:asciiTheme="majorHAnsi" w:hAnsiTheme="majorHAnsi"/>
          <w:sz w:val="20"/>
          <w:szCs w:val="20"/>
          <w:lang w:val="es-419"/>
        </w:rPr>
        <w:t xml:space="preserve">cierta compensación monetaria a las víctimas, teniendo en cuenta también que la compensación monetaria es solo uno de los componentes de las reparaciones </w:t>
      </w:r>
      <w:r>
        <w:rPr>
          <w:rFonts w:asciiTheme="majorHAnsi" w:hAnsiTheme="majorHAnsi"/>
          <w:sz w:val="20"/>
          <w:szCs w:val="20"/>
          <w:lang w:val="es-419"/>
        </w:rPr>
        <w:t xml:space="preserve">integrales </w:t>
      </w:r>
      <w:r w:rsidR="009A1D79" w:rsidRPr="007A7B03">
        <w:rPr>
          <w:rFonts w:asciiTheme="majorHAnsi" w:hAnsiTheme="majorHAnsi"/>
          <w:sz w:val="20"/>
          <w:szCs w:val="20"/>
          <w:lang w:val="es-419"/>
        </w:rPr>
        <w:t xml:space="preserve">a las que las víctimas tienen </w:t>
      </w:r>
      <w:r>
        <w:rPr>
          <w:rFonts w:asciiTheme="majorHAnsi" w:hAnsiTheme="majorHAnsi"/>
          <w:sz w:val="20"/>
          <w:szCs w:val="20"/>
          <w:lang w:val="es-419"/>
        </w:rPr>
        <w:t xml:space="preserve">un </w:t>
      </w:r>
      <w:r w:rsidR="009A1D79" w:rsidRPr="007A7B03">
        <w:rPr>
          <w:rFonts w:asciiTheme="majorHAnsi" w:hAnsiTheme="majorHAnsi"/>
          <w:sz w:val="20"/>
          <w:szCs w:val="20"/>
          <w:lang w:val="es-419"/>
        </w:rPr>
        <w:t xml:space="preserve">derecho internacionalmente </w:t>
      </w:r>
      <w:r>
        <w:rPr>
          <w:rFonts w:asciiTheme="majorHAnsi" w:hAnsiTheme="majorHAnsi"/>
          <w:sz w:val="20"/>
          <w:szCs w:val="20"/>
          <w:lang w:val="es-419"/>
        </w:rPr>
        <w:t xml:space="preserve">protegido </w:t>
      </w:r>
      <w:r w:rsidR="009A1D79" w:rsidRPr="007A7B03">
        <w:rPr>
          <w:rFonts w:asciiTheme="majorHAnsi" w:hAnsiTheme="majorHAnsi"/>
          <w:sz w:val="20"/>
          <w:szCs w:val="20"/>
          <w:lang w:val="es-419"/>
        </w:rPr>
        <w:t xml:space="preserve">según la Declaración Americana y </w:t>
      </w:r>
      <w:r>
        <w:rPr>
          <w:rFonts w:asciiTheme="majorHAnsi" w:hAnsiTheme="majorHAnsi"/>
          <w:sz w:val="20"/>
          <w:szCs w:val="20"/>
          <w:lang w:val="es-419"/>
        </w:rPr>
        <w:t xml:space="preserve">el </w:t>
      </w:r>
      <w:r w:rsidR="009A1D79" w:rsidRPr="007A7B03">
        <w:rPr>
          <w:rFonts w:asciiTheme="majorHAnsi" w:hAnsiTheme="majorHAnsi"/>
          <w:sz w:val="20"/>
          <w:szCs w:val="20"/>
          <w:lang w:val="es-419"/>
        </w:rPr>
        <w:t>derecho internacional consuetudinario.</w:t>
      </w:r>
    </w:p>
    <w:p w14:paraId="3B309A65" w14:textId="39E403CE" w:rsidR="00F04591" w:rsidRPr="007A7B03" w:rsidRDefault="00F04591" w:rsidP="00812224">
      <w:pPr>
        <w:pStyle w:val="ListParagraph"/>
        <w:spacing w:before="120" w:after="120"/>
        <w:jc w:val="both"/>
        <w:rPr>
          <w:rFonts w:asciiTheme="majorHAnsi" w:hAnsiTheme="majorHAnsi"/>
          <w:b/>
          <w:bCs/>
          <w:sz w:val="20"/>
          <w:szCs w:val="20"/>
          <w:lang w:val="es-419"/>
        </w:rPr>
      </w:pPr>
      <w:r w:rsidRPr="007A7B03">
        <w:rPr>
          <w:rFonts w:asciiTheme="majorHAnsi" w:hAnsiTheme="majorHAnsi"/>
          <w:b/>
          <w:bCs/>
          <w:sz w:val="20"/>
          <w:szCs w:val="20"/>
          <w:lang w:val="es-419"/>
        </w:rPr>
        <w:t>V</w:t>
      </w:r>
      <w:r w:rsidR="000E2789" w:rsidRPr="007A7B03">
        <w:rPr>
          <w:rFonts w:asciiTheme="majorHAnsi" w:hAnsiTheme="majorHAnsi"/>
          <w:b/>
          <w:bCs/>
          <w:sz w:val="20"/>
          <w:szCs w:val="20"/>
          <w:lang w:val="es-419"/>
        </w:rPr>
        <w:t>I</w:t>
      </w:r>
      <w:r w:rsidRPr="007A7B03">
        <w:rPr>
          <w:rFonts w:asciiTheme="majorHAnsi" w:hAnsiTheme="majorHAnsi"/>
          <w:b/>
          <w:bCs/>
          <w:sz w:val="20"/>
          <w:szCs w:val="20"/>
          <w:lang w:val="es-419"/>
        </w:rPr>
        <w:t xml:space="preserve">I. </w:t>
      </w:r>
      <w:r w:rsidRPr="007A7B03">
        <w:rPr>
          <w:rFonts w:asciiTheme="majorHAnsi" w:hAnsiTheme="majorHAnsi"/>
          <w:b/>
          <w:bCs/>
          <w:sz w:val="20"/>
          <w:szCs w:val="20"/>
          <w:lang w:val="es-419"/>
        </w:rPr>
        <w:tab/>
      </w:r>
      <w:r w:rsidR="000F7366">
        <w:rPr>
          <w:rFonts w:asciiTheme="majorHAnsi" w:hAnsiTheme="majorHAnsi"/>
          <w:b/>
          <w:bCs/>
          <w:sz w:val="20"/>
          <w:szCs w:val="20"/>
          <w:lang w:val="es-419"/>
        </w:rPr>
        <w:t>ANALISIS DE CARACTERIZACION DE LOS HECHOS ALEGADOS</w:t>
      </w:r>
    </w:p>
    <w:p w14:paraId="6BC224B5" w14:textId="4EA47925" w:rsidR="00F17DD1" w:rsidRPr="007A7B03" w:rsidRDefault="00F17DD1"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En primer lugar, la Comisión considera pertinente reiterar que la Declaración Americana de los Derechos y Deberes del Hombre es una fuente de obligaciones </w:t>
      </w:r>
      <w:r w:rsidR="000F7366">
        <w:rPr>
          <w:rFonts w:asciiTheme="majorHAnsi" w:hAnsiTheme="majorHAnsi"/>
          <w:sz w:val="20"/>
          <w:szCs w:val="20"/>
          <w:lang w:val="es-419"/>
        </w:rPr>
        <w:t xml:space="preserve">jurídicas </w:t>
      </w:r>
      <w:r w:rsidRPr="007A7B03">
        <w:rPr>
          <w:rFonts w:asciiTheme="majorHAnsi" w:hAnsiTheme="majorHAnsi"/>
          <w:sz w:val="20"/>
          <w:szCs w:val="20"/>
          <w:lang w:val="es-419"/>
        </w:rPr>
        <w:t xml:space="preserve">internacionales para los Estados Unidos y para los demás Estados Parte de la Carta de la OEA que no son </w:t>
      </w:r>
      <w:r w:rsidR="000F7366">
        <w:rPr>
          <w:rFonts w:asciiTheme="majorHAnsi" w:hAnsiTheme="majorHAnsi"/>
          <w:sz w:val="20"/>
          <w:szCs w:val="20"/>
          <w:lang w:val="es-419"/>
        </w:rPr>
        <w:t xml:space="preserve">también </w:t>
      </w:r>
      <w:r w:rsidRPr="007A7B03">
        <w:rPr>
          <w:rFonts w:asciiTheme="majorHAnsi" w:hAnsiTheme="majorHAnsi"/>
          <w:sz w:val="20"/>
          <w:szCs w:val="20"/>
          <w:lang w:val="es-419"/>
        </w:rPr>
        <w:t xml:space="preserve">partes en la Convención Americana sobre Derechos Humanos. Dichas obligaciones internacionales se derivan de los compromisos de derechos humanos asumidos por los Estados en virtud de la Carta de la OEA, que los Estados miembros han acordado están contenidos y definidos en la Declaración Americana, así como de la naturaleza </w:t>
      </w:r>
      <w:r w:rsidR="000E2F01" w:rsidRPr="007A7B03">
        <w:rPr>
          <w:rFonts w:asciiTheme="majorHAnsi" w:hAnsiTheme="majorHAnsi"/>
          <w:sz w:val="20"/>
          <w:szCs w:val="20"/>
          <w:lang w:val="es-419"/>
        </w:rPr>
        <w:t>consuetudinaria</w:t>
      </w:r>
      <w:r w:rsidRPr="007A7B03">
        <w:rPr>
          <w:rFonts w:asciiTheme="majorHAnsi" w:hAnsiTheme="majorHAnsi"/>
          <w:sz w:val="20"/>
          <w:szCs w:val="20"/>
          <w:lang w:val="es-419"/>
        </w:rPr>
        <w:t xml:space="preserve"> de los derechos humanos protegidos por las disposiciones de la Declaración, razón por la cual la CIDH tiene </w:t>
      </w:r>
      <w:r w:rsidR="000F7366">
        <w:rPr>
          <w:rFonts w:asciiTheme="majorHAnsi" w:hAnsiTheme="majorHAnsi"/>
          <w:sz w:val="20"/>
          <w:szCs w:val="20"/>
          <w:lang w:val="es-419"/>
        </w:rPr>
        <w:t>competencia</w:t>
      </w:r>
      <w:r w:rsidRPr="007A7B03">
        <w:rPr>
          <w:rFonts w:asciiTheme="majorHAnsi" w:hAnsiTheme="majorHAnsi"/>
          <w:sz w:val="20"/>
          <w:szCs w:val="20"/>
          <w:lang w:val="es-419"/>
        </w:rPr>
        <w:t xml:space="preserve">, de conformidad con los artículos 18 y 20 de su Estatuto, para recibir y evaluar </w:t>
      </w:r>
      <w:r w:rsidR="000E2F01" w:rsidRPr="007A7B03">
        <w:rPr>
          <w:rFonts w:asciiTheme="majorHAnsi" w:hAnsiTheme="majorHAnsi"/>
          <w:sz w:val="20"/>
          <w:szCs w:val="20"/>
          <w:lang w:val="es-419"/>
        </w:rPr>
        <w:t>peticiones</w:t>
      </w:r>
      <w:r w:rsidRPr="007A7B03">
        <w:rPr>
          <w:rFonts w:asciiTheme="majorHAnsi" w:hAnsiTheme="majorHAnsi"/>
          <w:sz w:val="20"/>
          <w:szCs w:val="20"/>
          <w:lang w:val="es-419"/>
        </w:rPr>
        <w:t xml:space="preserve"> de violación de estas obligaciones por parte de los Estados. Por lo tanto, es </w:t>
      </w:r>
      <w:r w:rsidR="000F7366">
        <w:rPr>
          <w:rFonts w:asciiTheme="majorHAnsi" w:hAnsiTheme="majorHAnsi"/>
          <w:sz w:val="20"/>
          <w:szCs w:val="20"/>
          <w:lang w:val="es-419"/>
        </w:rPr>
        <w:t xml:space="preserve">jurídicamente correcto </w:t>
      </w:r>
      <w:r w:rsidRPr="007A7B03">
        <w:rPr>
          <w:rFonts w:asciiTheme="majorHAnsi" w:hAnsiTheme="majorHAnsi"/>
          <w:sz w:val="20"/>
          <w:szCs w:val="20"/>
          <w:lang w:val="es-419"/>
        </w:rPr>
        <w:t xml:space="preserve">describir el incumplimiento por parte de un Estado de las garantías de derechos humanos contenidas en la Declaración Americana como una violación de las obligaciones impuestas a ese Estado por el derecho internacional de los derechos humanos, refutando así la afirmación de los Estados Unidos de que la Declaración Americana no crea obligaciones </w:t>
      </w:r>
      <w:r w:rsidR="000F7366">
        <w:rPr>
          <w:rFonts w:asciiTheme="majorHAnsi" w:hAnsiTheme="majorHAnsi"/>
          <w:sz w:val="20"/>
          <w:szCs w:val="20"/>
          <w:lang w:val="es-419"/>
        </w:rPr>
        <w:t xml:space="preserve">jurídicamente </w:t>
      </w:r>
      <w:r w:rsidRPr="007A7B03">
        <w:rPr>
          <w:rFonts w:asciiTheme="majorHAnsi" w:hAnsiTheme="majorHAnsi"/>
          <w:sz w:val="20"/>
          <w:szCs w:val="20"/>
          <w:lang w:val="es-419"/>
        </w:rPr>
        <w:t>vinculantes</w:t>
      </w:r>
      <w:r w:rsidR="00EA22FE" w:rsidRPr="007A7B03">
        <w:rPr>
          <w:rFonts w:asciiTheme="majorHAnsi" w:hAnsiTheme="majorHAnsi"/>
          <w:sz w:val="20"/>
          <w:szCs w:val="20"/>
          <w:lang w:val="es-419"/>
        </w:rPr>
        <w:t>.</w:t>
      </w:r>
      <w:r w:rsidR="00EA22FE" w:rsidRPr="007A7B03">
        <w:rPr>
          <w:rStyle w:val="FootnoteReference"/>
          <w:rFonts w:asciiTheme="majorHAnsi" w:hAnsiTheme="majorHAnsi"/>
          <w:sz w:val="20"/>
          <w:szCs w:val="20"/>
          <w:lang w:val="es-419"/>
        </w:rPr>
        <w:footnoteReference w:id="6"/>
      </w:r>
    </w:p>
    <w:p w14:paraId="33D8FF57" w14:textId="189234B5" w:rsidR="0036730A" w:rsidRPr="007A7B03" w:rsidRDefault="0036730A" w:rsidP="008122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Sobre la base de lo anterior, los peticionarios afirman que agentes de los Estados Unidos cometieron torturas contra Anastasio Hernández Rojas y lo mataron como resultado de ello, cometiendo así </w:t>
      </w:r>
      <w:r w:rsidR="000F7366">
        <w:rPr>
          <w:rFonts w:asciiTheme="majorHAnsi" w:hAnsiTheme="majorHAnsi"/>
          <w:sz w:val="20"/>
          <w:szCs w:val="20"/>
          <w:lang w:val="es-419"/>
        </w:rPr>
        <w:t xml:space="preserve">también </w:t>
      </w:r>
      <w:r w:rsidRPr="007A7B03">
        <w:rPr>
          <w:rFonts w:asciiTheme="majorHAnsi" w:hAnsiTheme="majorHAnsi"/>
          <w:sz w:val="20"/>
          <w:szCs w:val="20"/>
          <w:lang w:val="es-419"/>
        </w:rPr>
        <w:t xml:space="preserve">una privación arbitraria de la vida mediante el uso excesivo de la fuerza contra un detenido desarmado. </w:t>
      </w:r>
      <w:r w:rsidR="006C0A97" w:rsidRPr="007A7B03">
        <w:rPr>
          <w:rFonts w:asciiTheme="majorHAnsi" w:hAnsiTheme="majorHAnsi"/>
          <w:sz w:val="20"/>
          <w:szCs w:val="20"/>
          <w:lang w:val="es-419"/>
        </w:rPr>
        <w:t>Alegan</w:t>
      </w:r>
      <w:r w:rsidRPr="007A7B03">
        <w:rPr>
          <w:rFonts w:asciiTheme="majorHAnsi" w:hAnsiTheme="majorHAnsi"/>
          <w:sz w:val="20"/>
          <w:szCs w:val="20"/>
          <w:lang w:val="es-419"/>
        </w:rPr>
        <w:t xml:space="preserve"> que Estados Unidos no ha investigado </w:t>
      </w:r>
      <w:r w:rsidR="000F7366">
        <w:rPr>
          <w:rFonts w:asciiTheme="majorHAnsi" w:hAnsiTheme="majorHAnsi"/>
          <w:sz w:val="20"/>
          <w:szCs w:val="20"/>
          <w:lang w:val="es-419"/>
        </w:rPr>
        <w:t xml:space="preserve">ni </w:t>
      </w:r>
      <w:r w:rsidRPr="007A7B03">
        <w:rPr>
          <w:rFonts w:asciiTheme="majorHAnsi" w:hAnsiTheme="majorHAnsi"/>
          <w:sz w:val="20"/>
          <w:szCs w:val="20"/>
          <w:lang w:val="es-419"/>
        </w:rPr>
        <w:t xml:space="preserve">castigado a los responsables de la tortura y ejecución del Sr. Hernández, y que estas acciones han infligido graves </w:t>
      </w:r>
      <w:r w:rsidR="000F7366">
        <w:rPr>
          <w:rFonts w:asciiTheme="majorHAnsi" w:hAnsiTheme="majorHAnsi"/>
          <w:sz w:val="20"/>
          <w:szCs w:val="20"/>
          <w:lang w:val="es-419"/>
        </w:rPr>
        <w:t xml:space="preserve">perjuicios </w:t>
      </w:r>
      <w:r w:rsidRPr="007A7B03">
        <w:rPr>
          <w:rFonts w:asciiTheme="majorHAnsi" w:hAnsiTheme="majorHAnsi"/>
          <w:sz w:val="20"/>
          <w:szCs w:val="20"/>
          <w:lang w:val="es-419"/>
        </w:rPr>
        <w:t xml:space="preserve">morales a los miembros de su familia, a quienes no se les han otorgado las reparaciones </w:t>
      </w:r>
      <w:r w:rsidR="006C0A97" w:rsidRPr="007A7B03">
        <w:rPr>
          <w:rFonts w:asciiTheme="majorHAnsi" w:hAnsiTheme="majorHAnsi"/>
          <w:sz w:val="20"/>
          <w:szCs w:val="20"/>
          <w:lang w:val="es-419"/>
        </w:rPr>
        <w:t>integrales</w:t>
      </w:r>
      <w:r w:rsidRPr="007A7B03">
        <w:rPr>
          <w:rFonts w:asciiTheme="majorHAnsi" w:hAnsiTheme="majorHAnsi"/>
          <w:sz w:val="20"/>
          <w:szCs w:val="20"/>
          <w:lang w:val="es-419"/>
        </w:rPr>
        <w:t xml:space="preserve"> a las cuales </w:t>
      </w:r>
      <w:r w:rsidR="006C0A97" w:rsidRPr="007A7B03">
        <w:rPr>
          <w:rFonts w:asciiTheme="majorHAnsi" w:hAnsiTheme="majorHAnsi"/>
          <w:sz w:val="20"/>
          <w:szCs w:val="20"/>
          <w:lang w:val="es-419"/>
        </w:rPr>
        <w:t>t</w:t>
      </w:r>
      <w:r w:rsidRPr="007A7B03">
        <w:rPr>
          <w:rFonts w:asciiTheme="majorHAnsi" w:hAnsiTheme="majorHAnsi"/>
          <w:sz w:val="20"/>
          <w:szCs w:val="20"/>
          <w:lang w:val="es-419"/>
        </w:rPr>
        <w:t xml:space="preserve">ienen derecho. El Estado se ha centrado en desestimar la naturaleza jurídicamente vinculante de la Declaración Americana; y </w:t>
      </w:r>
      <w:r w:rsidR="000F7366">
        <w:rPr>
          <w:rFonts w:asciiTheme="majorHAnsi" w:hAnsiTheme="majorHAnsi"/>
          <w:sz w:val="20"/>
          <w:szCs w:val="20"/>
          <w:lang w:val="es-419"/>
        </w:rPr>
        <w:t xml:space="preserve">ha sostenido </w:t>
      </w:r>
      <w:r w:rsidRPr="007A7B03">
        <w:rPr>
          <w:rFonts w:asciiTheme="majorHAnsi" w:hAnsiTheme="majorHAnsi"/>
          <w:sz w:val="20"/>
          <w:szCs w:val="20"/>
          <w:lang w:val="es-419"/>
        </w:rPr>
        <w:t xml:space="preserve">que el caso es inadmisible debido al acuerdo de </w:t>
      </w:r>
      <w:r w:rsidR="000F7366">
        <w:rPr>
          <w:rFonts w:asciiTheme="majorHAnsi" w:hAnsiTheme="majorHAnsi"/>
          <w:sz w:val="20"/>
          <w:szCs w:val="20"/>
          <w:lang w:val="es-419"/>
        </w:rPr>
        <w:t xml:space="preserve">transacción </w:t>
      </w:r>
      <w:r w:rsidRPr="007A7B03">
        <w:rPr>
          <w:rFonts w:asciiTheme="majorHAnsi" w:hAnsiTheme="majorHAnsi"/>
          <w:sz w:val="20"/>
          <w:szCs w:val="20"/>
          <w:lang w:val="es-419"/>
        </w:rPr>
        <w:t>alcanzado con los peticionarios en el curso de los procedimientos civiles ante el Tribunal de Distrito de los Estados Unidos para el Distrito Sur de California.</w:t>
      </w:r>
    </w:p>
    <w:p w14:paraId="13B64130" w14:textId="513E7980" w:rsidR="00233B69" w:rsidRPr="007A7B03" w:rsidRDefault="00233B69" w:rsidP="00766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7A7B03">
        <w:rPr>
          <w:rFonts w:asciiTheme="majorHAnsi" w:hAnsiTheme="majorHAnsi"/>
          <w:sz w:val="20"/>
          <w:szCs w:val="20"/>
          <w:lang w:val="es-419"/>
        </w:rPr>
        <w:t xml:space="preserve">Después de evaluar la posición de las Partes, la CIDH observa que los </w:t>
      </w:r>
      <w:r w:rsidR="00624741" w:rsidRPr="007A7B03">
        <w:rPr>
          <w:rFonts w:asciiTheme="majorHAnsi" w:hAnsiTheme="majorHAnsi"/>
          <w:sz w:val="20"/>
          <w:szCs w:val="20"/>
          <w:lang w:val="es-419"/>
        </w:rPr>
        <w:t>alegatos</w:t>
      </w:r>
      <w:r w:rsidRPr="007A7B03">
        <w:rPr>
          <w:rFonts w:asciiTheme="majorHAnsi" w:hAnsiTheme="majorHAnsi"/>
          <w:sz w:val="20"/>
          <w:szCs w:val="20"/>
          <w:lang w:val="es-419"/>
        </w:rPr>
        <w:t xml:space="preserve"> presentados por los peticionarios no son manifiestamente infundados, y que </w:t>
      </w:r>
      <w:r w:rsidRPr="007A7B03">
        <w:rPr>
          <w:rFonts w:asciiTheme="majorHAnsi" w:hAnsiTheme="majorHAnsi"/>
          <w:i/>
          <w:iCs/>
          <w:sz w:val="20"/>
          <w:szCs w:val="20"/>
          <w:lang w:val="es-419"/>
        </w:rPr>
        <w:t>prima facie</w:t>
      </w:r>
      <w:r w:rsidRPr="007A7B03">
        <w:rPr>
          <w:rFonts w:asciiTheme="majorHAnsi" w:hAnsiTheme="majorHAnsi"/>
          <w:sz w:val="20"/>
          <w:szCs w:val="20"/>
          <w:lang w:val="es-419"/>
        </w:rPr>
        <w:t xml:space="preserve"> pueden constituir violaciones de los derechos consagrados en los </w:t>
      </w:r>
      <w:r w:rsidR="00624741" w:rsidRPr="007A7B03">
        <w:rPr>
          <w:rFonts w:ascii="Cambria" w:hAnsi="Cambria"/>
          <w:bCs/>
          <w:sz w:val="20"/>
          <w:szCs w:val="20"/>
          <w:lang w:val="es-419"/>
        </w:rPr>
        <w:t xml:space="preserve">Artículos I (derecho a la vida, a la libertad, a la seguridad e integridad de la persona); II (derecho de igualdad ante la Ley.); XVIII (derecho de justicia), XXV (derecho de protección contra la detención arbitraria); y XXVI (derecho a proceso regular) de la Declaración Americana </w:t>
      </w:r>
      <w:r w:rsidRPr="007A7B03">
        <w:rPr>
          <w:rFonts w:asciiTheme="majorHAnsi" w:hAnsiTheme="majorHAnsi"/>
          <w:sz w:val="20"/>
          <w:szCs w:val="20"/>
          <w:lang w:val="es-419"/>
        </w:rPr>
        <w:t xml:space="preserve">en </w:t>
      </w:r>
      <w:r w:rsidR="00624741" w:rsidRPr="007A7B03">
        <w:rPr>
          <w:rFonts w:asciiTheme="majorHAnsi" w:hAnsiTheme="majorHAnsi"/>
          <w:sz w:val="20"/>
          <w:szCs w:val="20"/>
          <w:lang w:val="es-419"/>
        </w:rPr>
        <w:t>perjuicio d</w:t>
      </w:r>
      <w:r w:rsidRPr="007A7B03">
        <w:rPr>
          <w:rFonts w:asciiTheme="majorHAnsi" w:hAnsiTheme="majorHAnsi"/>
          <w:sz w:val="20"/>
          <w:szCs w:val="20"/>
          <w:lang w:val="es-419"/>
        </w:rPr>
        <w:t xml:space="preserve">el Sr. Anastasio Hernández Rojas. Además de los artículos I (específicamente en relación con </w:t>
      </w:r>
      <w:r w:rsidR="005F6592">
        <w:rPr>
          <w:rFonts w:asciiTheme="majorHAnsi" w:hAnsiTheme="majorHAnsi"/>
          <w:sz w:val="20"/>
          <w:szCs w:val="20"/>
          <w:lang w:val="es-419"/>
        </w:rPr>
        <w:t xml:space="preserve">el derecho a la </w:t>
      </w:r>
      <w:r w:rsidR="005F6592">
        <w:rPr>
          <w:rFonts w:asciiTheme="majorHAnsi" w:hAnsiTheme="majorHAnsi"/>
          <w:sz w:val="20"/>
          <w:szCs w:val="20"/>
          <w:lang w:val="es-419"/>
        </w:rPr>
        <w:lastRenderedPageBreak/>
        <w:t>i</w:t>
      </w:r>
      <w:r w:rsidRPr="007A7B03">
        <w:rPr>
          <w:rFonts w:asciiTheme="majorHAnsi" w:hAnsiTheme="majorHAnsi"/>
          <w:sz w:val="20"/>
          <w:szCs w:val="20"/>
          <w:lang w:val="es-419"/>
        </w:rPr>
        <w:t xml:space="preserve">ntegridad personal), XVIII y XXVI de la Declaración Americana </w:t>
      </w:r>
      <w:r w:rsidR="00926547">
        <w:rPr>
          <w:rFonts w:asciiTheme="majorHAnsi" w:hAnsiTheme="majorHAnsi"/>
          <w:sz w:val="20"/>
          <w:szCs w:val="20"/>
          <w:lang w:val="es-419"/>
        </w:rPr>
        <w:t>en perjuicio de</w:t>
      </w:r>
      <w:r w:rsidRPr="007A7B03">
        <w:rPr>
          <w:rFonts w:asciiTheme="majorHAnsi" w:hAnsiTheme="majorHAnsi"/>
          <w:sz w:val="20"/>
          <w:szCs w:val="20"/>
          <w:lang w:val="es-419"/>
        </w:rPr>
        <w:t xml:space="preserve"> los familiares del Sr. Hernández Rojas debidamente identificados en el presente informe.</w:t>
      </w:r>
    </w:p>
    <w:p w14:paraId="38569A7D" w14:textId="5AAF71FB" w:rsidR="003239B8" w:rsidRPr="007A7B03" w:rsidRDefault="009B5EAF" w:rsidP="009B5E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419"/>
        </w:rPr>
      </w:pPr>
      <w:r w:rsidRPr="007A7B03">
        <w:rPr>
          <w:rFonts w:asciiTheme="majorHAnsi" w:hAnsiTheme="majorHAnsi"/>
          <w:sz w:val="20"/>
          <w:szCs w:val="20"/>
          <w:lang w:val="es-419"/>
        </w:rPr>
        <w:t xml:space="preserve"> </w:t>
      </w:r>
      <w:r w:rsidR="00EC72AB" w:rsidRPr="007A7B03">
        <w:rPr>
          <w:rFonts w:asciiTheme="majorHAnsi" w:hAnsiTheme="majorHAnsi"/>
          <w:b/>
          <w:bCs/>
          <w:sz w:val="20"/>
          <w:szCs w:val="20"/>
          <w:lang w:val="es-419"/>
        </w:rPr>
        <w:t>VI</w:t>
      </w:r>
      <w:r w:rsidR="00F04591" w:rsidRPr="007A7B03">
        <w:rPr>
          <w:rFonts w:asciiTheme="majorHAnsi" w:hAnsiTheme="majorHAnsi"/>
          <w:b/>
          <w:bCs/>
          <w:sz w:val="20"/>
          <w:szCs w:val="20"/>
          <w:lang w:val="es-419"/>
        </w:rPr>
        <w:t>II</w:t>
      </w:r>
      <w:r w:rsidR="003239B8" w:rsidRPr="007A7B03">
        <w:rPr>
          <w:rFonts w:asciiTheme="majorHAnsi" w:hAnsiTheme="majorHAnsi"/>
          <w:b/>
          <w:bCs/>
          <w:sz w:val="20"/>
          <w:szCs w:val="20"/>
          <w:lang w:val="es-419"/>
        </w:rPr>
        <w:t xml:space="preserve">. </w:t>
      </w:r>
      <w:r w:rsidR="003239B8" w:rsidRPr="007A7B03">
        <w:rPr>
          <w:rFonts w:asciiTheme="majorHAnsi" w:hAnsiTheme="majorHAnsi"/>
          <w:b/>
          <w:bCs/>
          <w:sz w:val="20"/>
          <w:szCs w:val="20"/>
          <w:lang w:val="es-419"/>
        </w:rPr>
        <w:tab/>
      </w:r>
      <w:r w:rsidR="0001121F" w:rsidRPr="007A7B03">
        <w:rPr>
          <w:rFonts w:asciiTheme="majorHAnsi" w:hAnsiTheme="majorHAnsi"/>
          <w:b/>
          <w:bCs/>
          <w:sz w:val="20"/>
          <w:szCs w:val="20"/>
          <w:lang w:val="es-419"/>
        </w:rPr>
        <w:t>DECISIÓN</w:t>
      </w:r>
    </w:p>
    <w:p w14:paraId="6580A7BA" w14:textId="22851C5C" w:rsidR="0001121F" w:rsidRPr="007A7B03" w:rsidRDefault="0001121F" w:rsidP="00011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419"/>
        </w:rPr>
      </w:pPr>
      <w:r w:rsidRPr="007A7B03">
        <w:rPr>
          <w:rFonts w:asciiTheme="majorHAnsi" w:hAnsiTheme="majorHAnsi"/>
          <w:sz w:val="20"/>
          <w:szCs w:val="20"/>
          <w:lang w:val="es-419"/>
        </w:rPr>
        <w:t xml:space="preserve">Declarar admisible la presente petición en relación con los </w:t>
      </w:r>
      <w:r w:rsidRPr="007A7B03">
        <w:rPr>
          <w:rFonts w:ascii="Cambria" w:hAnsi="Cambria"/>
          <w:bCs/>
          <w:sz w:val="20"/>
          <w:szCs w:val="20"/>
          <w:lang w:val="es-419"/>
        </w:rPr>
        <w:t xml:space="preserve">artículos </w:t>
      </w:r>
      <w:r w:rsidR="00347242" w:rsidRPr="007A7B03">
        <w:rPr>
          <w:rFonts w:asciiTheme="majorHAnsi" w:hAnsiTheme="majorHAnsi"/>
          <w:sz w:val="20"/>
          <w:szCs w:val="20"/>
          <w:lang w:val="es-419"/>
        </w:rPr>
        <w:t xml:space="preserve">I, II, XVIII, XXV y XXVI </w:t>
      </w:r>
      <w:r w:rsidRPr="007A7B03">
        <w:rPr>
          <w:rFonts w:ascii="Cambria" w:hAnsi="Cambria"/>
          <w:bCs/>
          <w:sz w:val="20"/>
          <w:szCs w:val="20"/>
          <w:lang w:val="es-419"/>
        </w:rPr>
        <w:t xml:space="preserve">de la </w:t>
      </w:r>
      <w:r w:rsidR="00347242" w:rsidRPr="007A7B03">
        <w:rPr>
          <w:rFonts w:ascii="Cambria" w:hAnsi="Cambria"/>
          <w:bCs/>
          <w:sz w:val="20"/>
          <w:szCs w:val="20"/>
          <w:lang w:val="es-419"/>
        </w:rPr>
        <w:t>Declaración Americana de los Derechos y Deberes del Hombre.</w:t>
      </w:r>
      <w:r w:rsidRPr="007A7B03">
        <w:rPr>
          <w:rFonts w:asciiTheme="majorHAnsi" w:hAnsiTheme="majorHAnsi"/>
          <w:sz w:val="20"/>
          <w:szCs w:val="20"/>
          <w:lang w:val="es-419"/>
        </w:rPr>
        <w:t xml:space="preserve"> </w:t>
      </w:r>
    </w:p>
    <w:p w14:paraId="13AF7233" w14:textId="77777777" w:rsidR="0001121F" w:rsidRPr="007A7B03" w:rsidRDefault="0001121F" w:rsidP="00011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419"/>
        </w:rPr>
      </w:pPr>
      <w:r w:rsidRPr="007A7B03">
        <w:rPr>
          <w:rFonts w:asciiTheme="majorHAnsi" w:hAnsiTheme="majorHAnsi"/>
          <w:sz w:val="20"/>
          <w:szCs w:val="20"/>
          <w:lang w:val="es-419"/>
        </w:rPr>
        <w:t>Notificar a las partes la presente decisión; continuar con el análisis del fondo de la cuestión; y publicar esta decisión e incluirla en su Informe Anual a la Asamblea General de la Organización de los Estados Americanos.</w:t>
      </w:r>
    </w:p>
    <w:p w14:paraId="66EFFB22" w14:textId="32EB7120" w:rsidR="00AF6E01" w:rsidRPr="00A37B82" w:rsidRDefault="00AF6E01" w:rsidP="00AF6E0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13533B5" w14:textId="77777777" w:rsidR="00812224" w:rsidRPr="00AF6E01" w:rsidRDefault="00812224" w:rsidP="008122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CL"/>
        </w:rPr>
      </w:pPr>
    </w:p>
    <w:sectPr w:rsidR="00812224" w:rsidRPr="00AF6E0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B3B16" w14:textId="77777777" w:rsidR="00B767DD" w:rsidRDefault="00B767DD">
      <w:r>
        <w:separator/>
      </w:r>
    </w:p>
  </w:endnote>
  <w:endnote w:type="continuationSeparator" w:id="0">
    <w:p w14:paraId="08F03263" w14:textId="77777777" w:rsidR="00B767DD" w:rsidRDefault="00B7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829D" w14:textId="77777777" w:rsidR="00D814A6" w:rsidRDefault="00D81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F7557FA" w14:textId="2DFEA4CE" w:rsidR="002A0CBE" w:rsidRPr="00934A2C" w:rsidRDefault="002A0CB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814A6">
          <w:rPr>
            <w:noProof/>
            <w:sz w:val="16"/>
            <w:szCs w:val="22"/>
          </w:rPr>
          <w:t>1</w:t>
        </w:r>
        <w:r w:rsidRPr="00934A2C">
          <w:rPr>
            <w:noProof/>
            <w:sz w:val="16"/>
            <w:szCs w:val="22"/>
          </w:rPr>
          <w:fldChar w:fldCharType="end"/>
        </w:r>
      </w:p>
    </w:sdtContent>
  </w:sdt>
  <w:p w14:paraId="13BCDB1A" w14:textId="77777777" w:rsidR="002A0CBE" w:rsidRDefault="002A0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EFBB" w14:textId="77777777" w:rsidR="002A0CBE" w:rsidRPr="00934A2C" w:rsidRDefault="002A0CBE">
    <w:pPr>
      <w:pStyle w:val="Footer"/>
      <w:jc w:val="center"/>
      <w:rPr>
        <w:sz w:val="16"/>
        <w:szCs w:val="22"/>
      </w:rPr>
    </w:pPr>
  </w:p>
  <w:p w14:paraId="2063A117" w14:textId="77777777" w:rsidR="002A0CBE" w:rsidRDefault="002A0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7F782" w14:textId="77777777" w:rsidR="00B767DD" w:rsidRPr="000F35ED" w:rsidRDefault="00B767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0F1C43" w14:textId="77777777" w:rsidR="00B767DD" w:rsidRPr="000F35ED" w:rsidRDefault="00B767DD" w:rsidP="000F35ED">
      <w:pPr>
        <w:rPr>
          <w:rFonts w:asciiTheme="majorHAnsi" w:hAnsiTheme="majorHAnsi"/>
          <w:sz w:val="16"/>
          <w:szCs w:val="16"/>
        </w:rPr>
      </w:pPr>
      <w:r w:rsidRPr="000F35ED">
        <w:rPr>
          <w:rFonts w:asciiTheme="majorHAnsi" w:hAnsiTheme="majorHAnsi"/>
          <w:sz w:val="16"/>
          <w:szCs w:val="16"/>
        </w:rPr>
        <w:separator/>
      </w:r>
    </w:p>
    <w:p w14:paraId="18BBF85B" w14:textId="77777777" w:rsidR="00B767DD" w:rsidRPr="000F35ED" w:rsidRDefault="00B767D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649C4C4" w14:textId="77777777" w:rsidR="00B767DD" w:rsidRPr="000F35ED" w:rsidRDefault="00B767D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8A054A4" w14:textId="28BA8ADD" w:rsidR="00C34FBC" w:rsidRPr="00C34FBC" w:rsidRDefault="00233C60" w:rsidP="00233C60">
      <w:pPr>
        <w:pStyle w:val="FootnoteText"/>
        <w:jc w:val="both"/>
        <w:rPr>
          <w:rFonts w:asciiTheme="majorHAnsi" w:hAnsiTheme="majorHAnsi" w:cstheme="minorHAnsi"/>
          <w:sz w:val="16"/>
          <w:szCs w:val="16"/>
          <w:lang w:val="es-419"/>
        </w:rPr>
      </w:pPr>
      <w:r>
        <w:rPr>
          <w:rFonts w:asciiTheme="majorHAnsi" w:hAnsiTheme="majorHAnsi" w:cstheme="minorHAnsi"/>
          <w:sz w:val="16"/>
          <w:szCs w:val="16"/>
        </w:rPr>
        <w:tab/>
      </w:r>
      <w:r w:rsidRPr="001F4C2C">
        <w:rPr>
          <w:rStyle w:val="FootnoteReference"/>
          <w:rFonts w:asciiTheme="majorHAnsi" w:hAnsiTheme="majorHAnsi" w:cstheme="minorHAnsi"/>
          <w:sz w:val="16"/>
          <w:szCs w:val="16"/>
        </w:rPr>
        <w:footnoteRef/>
      </w:r>
      <w:r w:rsidRPr="00BF2D5B">
        <w:rPr>
          <w:rFonts w:asciiTheme="majorHAnsi" w:hAnsiTheme="majorHAnsi" w:cstheme="minorHAnsi"/>
          <w:sz w:val="16"/>
          <w:szCs w:val="16"/>
          <w:lang w:val="es-419"/>
        </w:rPr>
        <w:t xml:space="preserve"> </w:t>
      </w:r>
      <w:r w:rsidR="00C34FBC" w:rsidRPr="00C34FBC">
        <w:rPr>
          <w:rFonts w:asciiTheme="majorHAnsi" w:hAnsiTheme="majorHAnsi" w:cstheme="minorHAnsi"/>
          <w:sz w:val="16"/>
          <w:szCs w:val="16"/>
          <w:lang w:val="es-419"/>
        </w:rPr>
        <w:t xml:space="preserve">Los peticionarios identifican a las siguientes personas como familiares del Sr. Anastasio Hernández Rojas: (1) María Puga, </w:t>
      </w:r>
      <w:r w:rsidR="00C34FBC">
        <w:rPr>
          <w:rFonts w:asciiTheme="majorHAnsi" w:hAnsiTheme="majorHAnsi" w:cstheme="minorHAnsi"/>
          <w:sz w:val="16"/>
          <w:szCs w:val="16"/>
          <w:lang w:val="es-419"/>
        </w:rPr>
        <w:t>pareja</w:t>
      </w:r>
      <w:r w:rsidR="00C34FBC" w:rsidRPr="00C34FBC">
        <w:rPr>
          <w:rFonts w:asciiTheme="majorHAnsi" w:hAnsiTheme="majorHAnsi" w:cstheme="minorHAnsi"/>
          <w:sz w:val="16"/>
          <w:szCs w:val="16"/>
          <w:lang w:val="es-419"/>
        </w:rPr>
        <w:t xml:space="preserve">; (2) María de la Luz Rojas, madre; (3) Porfirio Hernández, padre; (4) Bernardo Hernández Rojas, hermano; (5) Martín Hernández Rojas, hermano; (6) Daisy Alejandra Hernández, hija; (7) </w:t>
      </w:r>
      <w:proofErr w:type="spellStart"/>
      <w:r w:rsidR="00C34FBC" w:rsidRPr="00C34FBC">
        <w:rPr>
          <w:rFonts w:asciiTheme="majorHAnsi" w:hAnsiTheme="majorHAnsi" w:cstheme="minorHAnsi"/>
          <w:sz w:val="16"/>
          <w:szCs w:val="16"/>
          <w:lang w:val="es-419"/>
        </w:rPr>
        <w:t>Yeimi</w:t>
      </w:r>
      <w:proofErr w:type="spellEnd"/>
      <w:r w:rsidR="00C34FBC" w:rsidRPr="00C34FBC">
        <w:rPr>
          <w:rFonts w:asciiTheme="majorHAnsi" w:hAnsiTheme="majorHAnsi" w:cstheme="minorHAnsi"/>
          <w:sz w:val="16"/>
          <w:szCs w:val="16"/>
          <w:lang w:val="es-419"/>
        </w:rPr>
        <w:t xml:space="preserve"> Judith Hernández, hija; (8) Fabián Anastasio Hernández, hijo; (8) AA., </w:t>
      </w:r>
      <w:r w:rsidR="00BF2D5B">
        <w:rPr>
          <w:rFonts w:asciiTheme="majorHAnsi" w:hAnsiTheme="majorHAnsi" w:cstheme="minorHAnsi"/>
          <w:sz w:val="16"/>
          <w:szCs w:val="16"/>
          <w:lang w:val="es-419"/>
        </w:rPr>
        <w:t>h</w:t>
      </w:r>
      <w:r w:rsidR="00C34FBC" w:rsidRPr="00C34FBC">
        <w:rPr>
          <w:rFonts w:asciiTheme="majorHAnsi" w:hAnsiTheme="majorHAnsi" w:cstheme="minorHAnsi"/>
          <w:sz w:val="16"/>
          <w:szCs w:val="16"/>
          <w:lang w:val="es-419"/>
        </w:rPr>
        <w:t xml:space="preserve">ijo, nacido en 2006; (9) BB., </w:t>
      </w:r>
      <w:r w:rsidR="00BF2D5B">
        <w:rPr>
          <w:rFonts w:asciiTheme="majorHAnsi" w:hAnsiTheme="majorHAnsi" w:cstheme="minorHAnsi"/>
          <w:sz w:val="16"/>
          <w:szCs w:val="16"/>
          <w:lang w:val="es-419"/>
        </w:rPr>
        <w:t>h</w:t>
      </w:r>
      <w:r w:rsidR="00C34FBC" w:rsidRPr="00C34FBC">
        <w:rPr>
          <w:rFonts w:asciiTheme="majorHAnsi" w:hAnsiTheme="majorHAnsi" w:cstheme="minorHAnsi"/>
          <w:sz w:val="16"/>
          <w:szCs w:val="16"/>
          <w:lang w:val="es-419"/>
        </w:rPr>
        <w:t>ija, nacida en 2006. En este informe, la CIDH se reserva la identidad de los menores</w:t>
      </w:r>
      <w:r w:rsidR="00116AF4">
        <w:rPr>
          <w:rFonts w:asciiTheme="majorHAnsi" w:hAnsiTheme="majorHAnsi" w:cstheme="minorHAnsi"/>
          <w:sz w:val="16"/>
          <w:szCs w:val="16"/>
          <w:lang w:val="es-419"/>
        </w:rPr>
        <w:t xml:space="preserve"> de edad</w:t>
      </w:r>
      <w:r w:rsidR="00C34FBC" w:rsidRPr="00C34FBC">
        <w:rPr>
          <w:rFonts w:asciiTheme="majorHAnsi" w:hAnsiTheme="majorHAnsi" w:cstheme="minorHAnsi"/>
          <w:sz w:val="16"/>
          <w:szCs w:val="16"/>
          <w:lang w:val="es-419"/>
        </w:rPr>
        <w:t xml:space="preserve"> AA. y BB., para </w:t>
      </w:r>
      <w:r w:rsidR="00116AF4">
        <w:rPr>
          <w:rFonts w:asciiTheme="majorHAnsi" w:hAnsiTheme="majorHAnsi" w:cstheme="minorHAnsi"/>
          <w:sz w:val="16"/>
          <w:szCs w:val="16"/>
          <w:lang w:val="es-419"/>
        </w:rPr>
        <w:t>proteger</w:t>
      </w:r>
      <w:r w:rsidR="00C34FBC" w:rsidRPr="00C34FBC">
        <w:rPr>
          <w:rFonts w:asciiTheme="majorHAnsi" w:hAnsiTheme="majorHAnsi" w:cstheme="minorHAnsi"/>
          <w:sz w:val="16"/>
          <w:szCs w:val="16"/>
          <w:lang w:val="es-419"/>
        </w:rPr>
        <w:t xml:space="preserve"> sus derechos.</w:t>
      </w:r>
    </w:p>
  </w:footnote>
  <w:footnote w:id="3">
    <w:p w14:paraId="698FBFFE" w14:textId="43E3058D" w:rsidR="00233C60" w:rsidRPr="0012475D" w:rsidRDefault="00233C60" w:rsidP="00233C60">
      <w:pPr>
        <w:pStyle w:val="FootnoteText"/>
        <w:jc w:val="both"/>
        <w:rPr>
          <w:rFonts w:asciiTheme="majorHAnsi" w:hAnsiTheme="majorHAnsi" w:cstheme="minorHAnsi"/>
          <w:sz w:val="16"/>
          <w:szCs w:val="16"/>
          <w:lang w:val="es-419"/>
        </w:rPr>
      </w:pPr>
      <w:r w:rsidRPr="00C34FBC">
        <w:rPr>
          <w:rFonts w:asciiTheme="majorHAnsi" w:hAnsiTheme="majorHAnsi" w:cstheme="minorHAnsi"/>
          <w:sz w:val="16"/>
          <w:szCs w:val="16"/>
          <w:lang w:val="es-419"/>
        </w:rPr>
        <w:tab/>
      </w:r>
      <w:r w:rsidRPr="001F4C2C">
        <w:rPr>
          <w:rStyle w:val="FootnoteReference"/>
          <w:rFonts w:asciiTheme="majorHAnsi" w:hAnsiTheme="majorHAnsi" w:cstheme="minorHAnsi"/>
          <w:sz w:val="16"/>
          <w:szCs w:val="16"/>
        </w:rPr>
        <w:footnoteRef/>
      </w:r>
      <w:r w:rsidRPr="0012475D">
        <w:rPr>
          <w:rFonts w:asciiTheme="majorHAnsi" w:hAnsiTheme="majorHAnsi" w:cstheme="minorHAnsi"/>
          <w:sz w:val="16"/>
          <w:szCs w:val="16"/>
          <w:lang w:val="es-419"/>
        </w:rPr>
        <w:t xml:space="preserve"> </w:t>
      </w:r>
      <w:r w:rsidR="0012475D" w:rsidRPr="00875264">
        <w:rPr>
          <w:rFonts w:asciiTheme="majorHAnsi" w:hAnsiTheme="majorHAnsi"/>
          <w:sz w:val="16"/>
          <w:szCs w:val="16"/>
          <w:lang w:val="es-419"/>
        </w:rPr>
        <w:t xml:space="preserve">En adelante “la </w:t>
      </w:r>
      <w:r w:rsidR="0012475D">
        <w:rPr>
          <w:rFonts w:asciiTheme="majorHAnsi" w:hAnsiTheme="majorHAnsi"/>
          <w:sz w:val="16"/>
          <w:szCs w:val="16"/>
          <w:lang w:val="es-419"/>
        </w:rPr>
        <w:t>Declaración</w:t>
      </w:r>
      <w:r w:rsidR="0012475D" w:rsidRPr="00875264">
        <w:rPr>
          <w:rFonts w:asciiTheme="majorHAnsi" w:hAnsiTheme="majorHAnsi"/>
          <w:sz w:val="16"/>
          <w:szCs w:val="16"/>
          <w:lang w:val="es-419"/>
        </w:rPr>
        <w:t xml:space="preserve"> Americana”</w:t>
      </w:r>
      <w:r w:rsidR="0012475D">
        <w:rPr>
          <w:rFonts w:asciiTheme="majorHAnsi" w:hAnsiTheme="majorHAnsi"/>
          <w:sz w:val="16"/>
          <w:szCs w:val="16"/>
          <w:lang w:val="es-419"/>
        </w:rPr>
        <w:t>.</w:t>
      </w:r>
    </w:p>
  </w:footnote>
  <w:footnote w:id="4">
    <w:p w14:paraId="1A13BADE" w14:textId="05E6B661" w:rsidR="002A0CBE" w:rsidRPr="0012475D" w:rsidRDefault="0065033A" w:rsidP="001F4C2C">
      <w:pPr>
        <w:pStyle w:val="FootnoteText"/>
        <w:jc w:val="both"/>
        <w:rPr>
          <w:rFonts w:asciiTheme="majorHAnsi" w:hAnsiTheme="majorHAnsi" w:cstheme="minorHAnsi"/>
          <w:sz w:val="16"/>
          <w:szCs w:val="16"/>
          <w:lang w:val="es-419"/>
        </w:rPr>
      </w:pPr>
      <w:r w:rsidRPr="0012475D">
        <w:rPr>
          <w:rFonts w:asciiTheme="majorHAnsi" w:hAnsiTheme="majorHAnsi" w:cstheme="minorHAnsi"/>
          <w:sz w:val="16"/>
          <w:szCs w:val="16"/>
          <w:lang w:val="es-419"/>
        </w:rPr>
        <w:tab/>
      </w:r>
      <w:r w:rsidR="002A0CBE" w:rsidRPr="001F4C2C">
        <w:rPr>
          <w:rStyle w:val="FootnoteReference"/>
          <w:rFonts w:asciiTheme="majorHAnsi" w:hAnsiTheme="majorHAnsi" w:cstheme="minorHAnsi"/>
          <w:sz w:val="16"/>
          <w:szCs w:val="16"/>
        </w:rPr>
        <w:footnoteRef/>
      </w:r>
      <w:r w:rsidR="002A0CBE" w:rsidRPr="0012475D">
        <w:rPr>
          <w:rFonts w:asciiTheme="majorHAnsi" w:hAnsiTheme="majorHAnsi" w:cstheme="minorHAnsi"/>
          <w:sz w:val="16"/>
          <w:szCs w:val="16"/>
          <w:lang w:val="es-419"/>
        </w:rPr>
        <w:t xml:space="preserve"> </w:t>
      </w:r>
      <w:r w:rsidR="0012475D" w:rsidRPr="00875264">
        <w:rPr>
          <w:rFonts w:asciiTheme="majorHAnsi" w:hAnsiTheme="majorHAnsi"/>
          <w:sz w:val="16"/>
          <w:szCs w:val="16"/>
          <w:lang w:val="es-419"/>
        </w:rPr>
        <w:t>Las observaciones de cada parte fueron debidamente trasladadas a la parte contraria.</w:t>
      </w:r>
    </w:p>
  </w:footnote>
  <w:footnote w:id="5">
    <w:p w14:paraId="502E6AC9" w14:textId="2E44A540" w:rsidR="00635994" w:rsidRPr="00516389" w:rsidRDefault="00AC18E5" w:rsidP="00AC18E5">
      <w:pPr>
        <w:pStyle w:val="FootnoteText"/>
        <w:ind w:firstLine="720"/>
        <w:jc w:val="both"/>
        <w:rPr>
          <w:rFonts w:asciiTheme="majorHAnsi" w:hAnsiTheme="majorHAnsi" w:cstheme="minorHAnsi"/>
          <w:sz w:val="16"/>
          <w:szCs w:val="16"/>
          <w:lang w:val="es-CO"/>
        </w:rPr>
      </w:pPr>
      <w:r w:rsidRPr="001F4C2C">
        <w:rPr>
          <w:rStyle w:val="FootnoteReference"/>
          <w:rFonts w:asciiTheme="majorHAnsi" w:hAnsiTheme="majorHAnsi" w:cstheme="minorHAnsi"/>
          <w:sz w:val="16"/>
          <w:szCs w:val="16"/>
        </w:rPr>
        <w:footnoteRef/>
      </w:r>
      <w:r w:rsidRPr="009A1D79">
        <w:rPr>
          <w:rFonts w:asciiTheme="majorHAnsi" w:hAnsiTheme="majorHAnsi" w:cstheme="minorHAnsi"/>
          <w:sz w:val="16"/>
          <w:szCs w:val="16"/>
          <w:lang w:val="es-419"/>
        </w:rPr>
        <w:t xml:space="preserve"> </w:t>
      </w:r>
      <w:r w:rsidR="00635994" w:rsidRPr="00635994">
        <w:rPr>
          <w:rFonts w:asciiTheme="majorHAnsi" w:hAnsiTheme="majorHAnsi" w:cstheme="minorHAnsi"/>
          <w:sz w:val="16"/>
          <w:szCs w:val="16"/>
          <w:lang w:val="es-419"/>
        </w:rPr>
        <w:t xml:space="preserve">Ver, inter </w:t>
      </w:r>
      <w:proofErr w:type="spellStart"/>
      <w:r w:rsidR="00635994" w:rsidRPr="00635994">
        <w:rPr>
          <w:rFonts w:asciiTheme="majorHAnsi" w:hAnsiTheme="majorHAnsi" w:cstheme="minorHAnsi"/>
          <w:sz w:val="16"/>
          <w:szCs w:val="16"/>
          <w:lang w:val="es-419"/>
        </w:rPr>
        <w:t>alia</w:t>
      </w:r>
      <w:proofErr w:type="spellEnd"/>
      <w:r w:rsidR="00635994" w:rsidRPr="00635994">
        <w:rPr>
          <w:rFonts w:asciiTheme="majorHAnsi" w:hAnsiTheme="majorHAnsi" w:cstheme="minorHAnsi"/>
          <w:sz w:val="16"/>
          <w:szCs w:val="16"/>
          <w:lang w:val="es-419"/>
        </w:rPr>
        <w:t xml:space="preserve">: CIDH, Informe de admisibilidad No. 181/18, Petición 300-09, Ronald </w:t>
      </w:r>
      <w:proofErr w:type="spellStart"/>
      <w:r w:rsidR="00635994" w:rsidRPr="00635994">
        <w:rPr>
          <w:rFonts w:asciiTheme="majorHAnsi" w:hAnsiTheme="majorHAnsi" w:cstheme="minorHAnsi"/>
          <w:sz w:val="16"/>
          <w:szCs w:val="16"/>
          <w:lang w:val="es-419"/>
        </w:rPr>
        <w:t>Bullock</w:t>
      </w:r>
      <w:proofErr w:type="spellEnd"/>
      <w:r w:rsidR="00635994" w:rsidRPr="00635994">
        <w:rPr>
          <w:rFonts w:asciiTheme="majorHAnsi" w:hAnsiTheme="majorHAnsi" w:cstheme="minorHAnsi"/>
          <w:sz w:val="16"/>
          <w:szCs w:val="16"/>
          <w:lang w:val="es-419"/>
        </w:rPr>
        <w:t>, Estados Unidos de América, 26 de diciembre de 2018, párr.</w:t>
      </w:r>
      <w:r w:rsidR="00635994">
        <w:rPr>
          <w:rFonts w:asciiTheme="majorHAnsi" w:hAnsiTheme="majorHAnsi" w:cstheme="minorHAnsi"/>
          <w:sz w:val="16"/>
          <w:szCs w:val="16"/>
          <w:lang w:val="es-419"/>
        </w:rPr>
        <w:t>16</w:t>
      </w:r>
      <w:r w:rsidR="00635994" w:rsidRPr="00635994">
        <w:rPr>
          <w:rFonts w:asciiTheme="majorHAnsi" w:hAnsiTheme="majorHAnsi" w:cstheme="minorHAnsi"/>
          <w:sz w:val="16"/>
          <w:szCs w:val="16"/>
          <w:lang w:val="es-419"/>
        </w:rPr>
        <w:t xml:space="preserve">; Informe de admisibilidad No. 72/18, Moisés de Jesús Hernández Pinto y familia, Guatemala, párr. </w:t>
      </w:r>
      <w:r w:rsidR="00635994" w:rsidRPr="00AF6E01">
        <w:rPr>
          <w:rFonts w:asciiTheme="majorHAnsi" w:hAnsiTheme="majorHAnsi" w:cstheme="minorHAnsi"/>
          <w:sz w:val="16"/>
          <w:szCs w:val="16"/>
          <w:lang w:val="pt-BR"/>
        </w:rPr>
        <w:t xml:space="preserve">10; Informe de admisibilidad No. 78/16, Almir Muniz Da Silva, Brasil, párr. </w:t>
      </w:r>
      <w:r w:rsidR="00635994" w:rsidRPr="00635994">
        <w:rPr>
          <w:rFonts w:asciiTheme="majorHAnsi" w:hAnsiTheme="majorHAnsi" w:cstheme="minorHAnsi"/>
          <w:sz w:val="16"/>
          <w:szCs w:val="16"/>
          <w:lang w:val="es-419"/>
        </w:rPr>
        <w:t xml:space="preserve">31; Informe de admisibilidad No. 118/17, Carmen Luz </w:t>
      </w:r>
      <w:proofErr w:type="spellStart"/>
      <w:r w:rsidR="00635994" w:rsidRPr="00635994">
        <w:rPr>
          <w:rFonts w:asciiTheme="majorHAnsi" w:hAnsiTheme="majorHAnsi" w:cstheme="minorHAnsi"/>
          <w:sz w:val="16"/>
          <w:szCs w:val="16"/>
          <w:lang w:val="es-419"/>
        </w:rPr>
        <w:t>Cuchimba</w:t>
      </w:r>
      <w:proofErr w:type="spellEnd"/>
      <w:r w:rsidR="00635994" w:rsidRPr="00635994">
        <w:rPr>
          <w:rFonts w:asciiTheme="majorHAnsi" w:hAnsiTheme="majorHAnsi" w:cstheme="minorHAnsi"/>
          <w:sz w:val="16"/>
          <w:szCs w:val="16"/>
          <w:lang w:val="es-419"/>
        </w:rPr>
        <w:t xml:space="preserve"> Vallejo y otros, Colombia, p. 8; Informe de admisibilidad No. 156/17, Carlos Alfonso Fonseca Murillo, Ecuador, párr. </w:t>
      </w:r>
      <w:r w:rsidR="00635994" w:rsidRPr="00AF6E01">
        <w:rPr>
          <w:rFonts w:asciiTheme="majorHAnsi" w:hAnsiTheme="majorHAnsi" w:cstheme="minorHAnsi"/>
          <w:sz w:val="16"/>
          <w:szCs w:val="16"/>
          <w:lang w:val="pt-BR"/>
        </w:rPr>
        <w:t xml:space="preserve">13; Informe de admisibilidad No. 44/19, Gerson Mendonça de Freitas Filho, Brasil, párr. </w:t>
      </w:r>
      <w:r w:rsidR="00635994" w:rsidRPr="00516389">
        <w:rPr>
          <w:rFonts w:asciiTheme="majorHAnsi" w:hAnsiTheme="majorHAnsi" w:cstheme="minorHAnsi"/>
          <w:sz w:val="16"/>
          <w:szCs w:val="16"/>
          <w:lang w:val="es-CO"/>
        </w:rPr>
        <w:t>9</w:t>
      </w:r>
      <w:r w:rsidR="009A1D79" w:rsidRPr="00516389">
        <w:rPr>
          <w:rFonts w:asciiTheme="majorHAnsi" w:hAnsiTheme="majorHAnsi" w:cstheme="minorHAnsi"/>
          <w:sz w:val="16"/>
          <w:szCs w:val="16"/>
          <w:lang w:val="es-CO"/>
        </w:rPr>
        <w:t>.</w:t>
      </w:r>
    </w:p>
  </w:footnote>
  <w:footnote w:id="6">
    <w:p w14:paraId="7E20C2A7" w14:textId="62B4DF58" w:rsidR="00EA22FE" w:rsidRPr="007662D8" w:rsidRDefault="00EA22FE" w:rsidP="00EA22FE">
      <w:pPr>
        <w:pStyle w:val="FootnoteText"/>
        <w:ind w:firstLine="720"/>
        <w:jc w:val="both"/>
        <w:rPr>
          <w:rFonts w:asciiTheme="majorHAnsi" w:hAnsiTheme="majorHAnsi" w:cstheme="minorHAnsi"/>
          <w:sz w:val="16"/>
          <w:szCs w:val="16"/>
          <w:lang w:val="es-419"/>
        </w:rPr>
      </w:pPr>
      <w:r w:rsidRPr="001F4C2C">
        <w:rPr>
          <w:rStyle w:val="FootnoteReference"/>
          <w:rFonts w:asciiTheme="majorHAnsi" w:hAnsiTheme="majorHAnsi" w:cstheme="minorHAnsi"/>
          <w:sz w:val="16"/>
          <w:szCs w:val="16"/>
        </w:rPr>
        <w:footnoteRef/>
      </w:r>
      <w:r w:rsidRPr="007662D8">
        <w:rPr>
          <w:rFonts w:asciiTheme="majorHAnsi" w:hAnsiTheme="majorHAnsi" w:cstheme="minorHAnsi"/>
          <w:sz w:val="16"/>
          <w:szCs w:val="16"/>
          <w:lang w:val="es-419"/>
        </w:rPr>
        <w:t xml:space="preserve"> </w:t>
      </w:r>
      <w:r w:rsidR="007662D8" w:rsidRPr="007662D8">
        <w:rPr>
          <w:rFonts w:asciiTheme="majorHAnsi" w:hAnsiTheme="majorHAnsi" w:cstheme="minorHAnsi"/>
          <w:sz w:val="16"/>
          <w:szCs w:val="16"/>
          <w:lang w:val="es-419"/>
        </w:rPr>
        <w:t xml:space="preserve">CIDH Informe de admisibilidad No. 57/06, Hugo </w:t>
      </w:r>
      <w:proofErr w:type="spellStart"/>
      <w:r w:rsidR="007662D8" w:rsidRPr="007662D8">
        <w:rPr>
          <w:rFonts w:asciiTheme="majorHAnsi" w:hAnsiTheme="majorHAnsi" w:cstheme="minorHAnsi"/>
          <w:sz w:val="16"/>
          <w:szCs w:val="16"/>
          <w:lang w:val="es-419"/>
        </w:rPr>
        <w:t>Armendariz</w:t>
      </w:r>
      <w:proofErr w:type="spellEnd"/>
      <w:r w:rsidR="007662D8" w:rsidRPr="007662D8">
        <w:rPr>
          <w:rFonts w:asciiTheme="majorHAnsi" w:hAnsiTheme="majorHAnsi" w:cstheme="minorHAnsi"/>
          <w:sz w:val="16"/>
          <w:szCs w:val="16"/>
          <w:lang w:val="es-419"/>
        </w:rPr>
        <w:t>, Estados Unidos, párr. 30</w:t>
      </w:r>
      <w:r w:rsidR="007662D8">
        <w:rPr>
          <w:rFonts w:asciiTheme="majorHAnsi" w:hAnsiTheme="majorHAnsi" w:cstheme="minorHAnsi"/>
          <w:sz w:val="16"/>
          <w:szCs w:val="16"/>
          <w:lang w:val="es-419"/>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7936" w14:textId="77777777" w:rsidR="002A0CBE" w:rsidRDefault="002A0CBE" w:rsidP="009B4ED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AFBD52" w14:textId="77777777" w:rsidR="002A0CBE" w:rsidRDefault="002A0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E0C4" w14:textId="77777777" w:rsidR="002A0CBE" w:rsidRDefault="002A0CBE" w:rsidP="00A50FCF">
    <w:pPr>
      <w:pStyle w:val="Header"/>
      <w:tabs>
        <w:tab w:val="clear" w:pos="4320"/>
        <w:tab w:val="clear" w:pos="8640"/>
      </w:tabs>
      <w:jc w:val="center"/>
      <w:rPr>
        <w:sz w:val="22"/>
        <w:szCs w:val="22"/>
      </w:rPr>
    </w:pPr>
    <w:r>
      <w:rPr>
        <w:noProof/>
        <w:sz w:val="22"/>
        <w:szCs w:val="22"/>
      </w:rPr>
      <w:drawing>
        <wp:inline distT="0" distB="0" distL="0" distR="0" wp14:anchorId="72A2799D" wp14:editId="5E206143">
          <wp:extent cx="1972237" cy="104775"/>
          <wp:effectExtent l="0" t="0" r="9525" b="0"/>
          <wp:docPr id="3"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EE19CF0" w14:textId="77777777" w:rsidR="002A0CBE" w:rsidRPr="00EC7D62" w:rsidRDefault="00B767DD" w:rsidP="00A50FCF">
    <w:pPr>
      <w:pStyle w:val="Header"/>
      <w:tabs>
        <w:tab w:val="clear" w:pos="4320"/>
        <w:tab w:val="clear" w:pos="8640"/>
      </w:tabs>
      <w:jc w:val="center"/>
      <w:rPr>
        <w:sz w:val="22"/>
        <w:szCs w:val="22"/>
      </w:rPr>
    </w:pPr>
    <w:r>
      <w:rPr>
        <w:noProof/>
        <w:sz w:val="22"/>
        <w:szCs w:val="22"/>
        <w:bdr w:val="nil"/>
      </w:rPr>
      <w:pict w14:anchorId="1B403078">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7951" w14:textId="77777777" w:rsidR="00D814A6" w:rsidRDefault="00D81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21F"/>
    <w:rsid w:val="00012F06"/>
    <w:rsid w:val="00015701"/>
    <w:rsid w:val="0001788C"/>
    <w:rsid w:val="0002186F"/>
    <w:rsid w:val="00032CD5"/>
    <w:rsid w:val="00033388"/>
    <w:rsid w:val="000337EF"/>
    <w:rsid w:val="00036964"/>
    <w:rsid w:val="00040C3A"/>
    <w:rsid w:val="000419AD"/>
    <w:rsid w:val="00047B34"/>
    <w:rsid w:val="000614E3"/>
    <w:rsid w:val="000670CF"/>
    <w:rsid w:val="000716C5"/>
    <w:rsid w:val="00075E23"/>
    <w:rsid w:val="0009006E"/>
    <w:rsid w:val="0009344A"/>
    <w:rsid w:val="000A19F8"/>
    <w:rsid w:val="000A3254"/>
    <w:rsid w:val="000A392E"/>
    <w:rsid w:val="000A575F"/>
    <w:rsid w:val="000A5DB5"/>
    <w:rsid w:val="000A63D0"/>
    <w:rsid w:val="000B0579"/>
    <w:rsid w:val="000C1C69"/>
    <w:rsid w:val="000C2622"/>
    <w:rsid w:val="000C3A31"/>
    <w:rsid w:val="000D10DB"/>
    <w:rsid w:val="000E021D"/>
    <w:rsid w:val="000E2789"/>
    <w:rsid w:val="000E2F01"/>
    <w:rsid w:val="000E5EB5"/>
    <w:rsid w:val="000F35ED"/>
    <w:rsid w:val="000F63D2"/>
    <w:rsid w:val="000F7366"/>
    <w:rsid w:val="0010598A"/>
    <w:rsid w:val="001059BC"/>
    <w:rsid w:val="00107131"/>
    <w:rsid w:val="0010736F"/>
    <w:rsid w:val="00111A8A"/>
    <w:rsid w:val="00113016"/>
    <w:rsid w:val="00113F73"/>
    <w:rsid w:val="00116AF4"/>
    <w:rsid w:val="00121CC2"/>
    <w:rsid w:val="0012475D"/>
    <w:rsid w:val="0012520A"/>
    <w:rsid w:val="00131D8B"/>
    <w:rsid w:val="00133EE5"/>
    <w:rsid w:val="00136E3D"/>
    <w:rsid w:val="0014096C"/>
    <w:rsid w:val="0014174B"/>
    <w:rsid w:val="00143EFE"/>
    <w:rsid w:val="001479C0"/>
    <w:rsid w:val="0015330B"/>
    <w:rsid w:val="001610E0"/>
    <w:rsid w:val="001676D9"/>
    <w:rsid w:val="00167A34"/>
    <w:rsid w:val="001754B2"/>
    <w:rsid w:val="00176BB3"/>
    <w:rsid w:val="00177EEF"/>
    <w:rsid w:val="0018185A"/>
    <w:rsid w:val="00181946"/>
    <w:rsid w:val="00185CCC"/>
    <w:rsid w:val="001A7870"/>
    <w:rsid w:val="001B173B"/>
    <w:rsid w:val="001B3A00"/>
    <w:rsid w:val="001B4C00"/>
    <w:rsid w:val="001C1B41"/>
    <w:rsid w:val="001D65EF"/>
    <w:rsid w:val="001E19D4"/>
    <w:rsid w:val="001E49E7"/>
    <w:rsid w:val="001F271B"/>
    <w:rsid w:val="001F4C2C"/>
    <w:rsid w:val="001F7201"/>
    <w:rsid w:val="00203A26"/>
    <w:rsid w:val="00204931"/>
    <w:rsid w:val="002078FF"/>
    <w:rsid w:val="0021718F"/>
    <w:rsid w:val="00223A29"/>
    <w:rsid w:val="002250A3"/>
    <w:rsid w:val="00231294"/>
    <w:rsid w:val="00233B69"/>
    <w:rsid w:val="00233C60"/>
    <w:rsid w:val="00233E4E"/>
    <w:rsid w:val="00235217"/>
    <w:rsid w:val="002355A9"/>
    <w:rsid w:val="00235DCC"/>
    <w:rsid w:val="00236EE4"/>
    <w:rsid w:val="00246D1F"/>
    <w:rsid w:val="00247403"/>
    <w:rsid w:val="00247542"/>
    <w:rsid w:val="00250CA3"/>
    <w:rsid w:val="002619A2"/>
    <w:rsid w:val="00266B61"/>
    <w:rsid w:val="0026712A"/>
    <w:rsid w:val="00267DF0"/>
    <w:rsid w:val="002704DB"/>
    <w:rsid w:val="0027324D"/>
    <w:rsid w:val="00273ECA"/>
    <w:rsid w:val="00277BDA"/>
    <w:rsid w:val="002901FD"/>
    <w:rsid w:val="0029241C"/>
    <w:rsid w:val="0029575A"/>
    <w:rsid w:val="002A0AAE"/>
    <w:rsid w:val="002A0CBE"/>
    <w:rsid w:val="002A36F2"/>
    <w:rsid w:val="002A5820"/>
    <w:rsid w:val="002C24E9"/>
    <w:rsid w:val="002C32EE"/>
    <w:rsid w:val="002C3350"/>
    <w:rsid w:val="002D2B26"/>
    <w:rsid w:val="002D583B"/>
    <w:rsid w:val="002D7EA2"/>
    <w:rsid w:val="002E0C7C"/>
    <w:rsid w:val="002E16F3"/>
    <w:rsid w:val="002E187C"/>
    <w:rsid w:val="002E7512"/>
    <w:rsid w:val="002F3724"/>
    <w:rsid w:val="00302733"/>
    <w:rsid w:val="00304752"/>
    <w:rsid w:val="0031081E"/>
    <w:rsid w:val="003121D5"/>
    <w:rsid w:val="00314078"/>
    <w:rsid w:val="0031535D"/>
    <w:rsid w:val="003239B8"/>
    <w:rsid w:val="00326B3B"/>
    <w:rsid w:val="0033108D"/>
    <w:rsid w:val="0033169F"/>
    <w:rsid w:val="00334262"/>
    <w:rsid w:val="0034224A"/>
    <w:rsid w:val="00343438"/>
    <w:rsid w:val="00344977"/>
    <w:rsid w:val="003449F0"/>
    <w:rsid w:val="00346C95"/>
    <w:rsid w:val="00347242"/>
    <w:rsid w:val="00351155"/>
    <w:rsid w:val="003518EE"/>
    <w:rsid w:val="00356185"/>
    <w:rsid w:val="00360380"/>
    <w:rsid w:val="003609B9"/>
    <w:rsid w:val="003649C2"/>
    <w:rsid w:val="0036730A"/>
    <w:rsid w:val="0037519E"/>
    <w:rsid w:val="003835DF"/>
    <w:rsid w:val="00386C6C"/>
    <w:rsid w:val="00386CF0"/>
    <w:rsid w:val="00392D12"/>
    <w:rsid w:val="003942EC"/>
    <w:rsid w:val="003A6337"/>
    <w:rsid w:val="003B4FF6"/>
    <w:rsid w:val="003B70FB"/>
    <w:rsid w:val="003C4AC9"/>
    <w:rsid w:val="003C6112"/>
    <w:rsid w:val="003C676B"/>
    <w:rsid w:val="003D0A55"/>
    <w:rsid w:val="003D3BC2"/>
    <w:rsid w:val="003E614F"/>
    <w:rsid w:val="003E6CA1"/>
    <w:rsid w:val="003E7914"/>
    <w:rsid w:val="00404391"/>
    <w:rsid w:val="004065A8"/>
    <w:rsid w:val="004153F5"/>
    <w:rsid w:val="004165C2"/>
    <w:rsid w:val="004304AD"/>
    <w:rsid w:val="00441BAC"/>
    <w:rsid w:val="00441ECB"/>
    <w:rsid w:val="00444383"/>
    <w:rsid w:val="00445193"/>
    <w:rsid w:val="00447CCF"/>
    <w:rsid w:val="004565BA"/>
    <w:rsid w:val="00462C1B"/>
    <w:rsid w:val="00467B7E"/>
    <w:rsid w:val="0047080D"/>
    <w:rsid w:val="00473BB4"/>
    <w:rsid w:val="00475542"/>
    <w:rsid w:val="00476211"/>
    <w:rsid w:val="00477592"/>
    <w:rsid w:val="00483F2A"/>
    <w:rsid w:val="00486F1C"/>
    <w:rsid w:val="0049419D"/>
    <w:rsid w:val="004972A0"/>
    <w:rsid w:val="004A59C4"/>
    <w:rsid w:val="004A59CC"/>
    <w:rsid w:val="004A606C"/>
    <w:rsid w:val="004A6A54"/>
    <w:rsid w:val="004B6BB2"/>
    <w:rsid w:val="004C20D2"/>
    <w:rsid w:val="004C2312"/>
    <w:rsid w:val="004C29D5"/>
    <w:rsid w:val="004C4B62"/>
    <w:rsid w:val="004C54C9"/>
    <w:rsid w:val="004C579C"/>
    <w:rsid w:val="004C616A"/>
    <w:rsid w:val="004D0BD2"/>
    <w:rsid w:val="004D3EEA"/>
    <w:rsid w:val="004D4ABA"/>
    <w:rsid w:val="004D6025"/>
    <w:rsid w:val="004D759E"/>
    <w:rsid w:val="004E19B1"/>
    <w:rsid w:val="004E2649"/>
    <w:rsid w:val="004E7E3C"/>
    <w:rsid w:val="004F6491"/>
    <w:rsid w:val="00501399"/>
    <w:rsid w:val="00501652"/>
    <w:rsid w:val="00501BD0"/>
    <w:rsid w:val="00501D8C"/>
    <w:rsid w:val="0050633D"/>
    <w:rsid w:val="00507BC4"/>
    <w:rsid w:val="005128E4"/>
    <w:rsid w:val="0051292B"/>
    <w:rsid w:val="005133DB"/>
    <w:rsid w:val="00515DB2"/>
    <w:rsid w:val="00516389"/>
    <w:rsid w:val="00525560"/>
    <w:rsid w:val="005415E6"/>
    <w:rsid w:val="00544216"/>
    <w:rsid w:val="00544C49"/>
    <w:rsid w:val="005516A1"/>
    <w:rsid w:val="00563557"/>
    <w:rsid w:val="005662AB"/>
    <w:rsid w:val="0057402A"/>
    <w:rsid w:val="00574CB7"/>
    <w:rsid w:val="005771D0"/>
    <w:rsid w:val="00583462"/>
    <w:rsid w:val="00585108"/>
    <w:rsid w:val="0059191A"/>
    <w:rsid w:val="005921FF"/>
    <w:rsid w:val="00594707"/>
    <w:rsid w:val="00597CC0"/>
    <w:rsid w:val="005A24ED"/>
    <w:rsid w:val="005A6D0E"/>
    <w:rsid w:val="005B37CC"/>
    <w:rsid w:val="005B52B0"/>
    <w:rsid w:val="005B6806"/>
    <w:rsid w:val="005B6D22"/>
    <w:rsid w:val="005C261A"/>
    <w:rsid w:val="005C4225"/>
    <w:rsid w:val="005C4484"/>
    <w:rsid w:val="005C7989"/>
    <w:rsid w:val="005D04EB"/>
    <w:rsid w:val="005D3DE0"/>
    <w:rsid w:val="005D6390"/>
    <w:rsid w:val="005D66AD"/>
    <w:rsid w:val="005E0B65"/>
    <w:rsid w:val="005E11B2"/>
    <w:rsid w:val="005E429A"/>
    <w:rsid w:val="005E5E15"/>
    <w:rsid w:val="005F0DAD"/>
    <w:rsid w:val="005F0F33"/>
    <w:rsid w:val="005F575C"/>
    <w:rsid w:val="005F6592"/>
    <w:rsid w:val="00600DEB"/>
    <w:rsid w:val="006068B7"/>
    <w:rsid w:val="006129E8"/>
    <w:rsid w:val="00613477"/>
    <w:rsid w:val="00621097"/>
    <w:rsid w:val="00624741"/>
    <w:rsid w:val="006277DE"/>
    <w:rsid w:val="00627C9F"/>
    <w:rsid w:val="00630753"/>
    <w:rsid w:val="006311E9"/>
    <w:rsid w:val="00631322"/>
    <w:rsid w:val="00632354"/>
    <w:rsid w:val="00635994"/>
    <w:rsid w:val="00642477"/>
    <w:rsid w:val="00642810"/>
    <w:rsid w:val="00647756"/>
    <w:rsid w:val="0065033A"/>
    <w:rsid w:val="006509DA"/>
    <w:rsid w:val="00652333"/>
    <w:rsid w:val="00667482"/>
    <w:rsid w:val="006775AB"/>
    <w:rsid w:val="00680088"/>
    <w:rsid w:val="0068009E"/>
    <w:rsid w:val="006819E9"/>
    <w:rsid w:val="00686471"/>
    <w:rsid w:val="0068794B"/>
    <w:rsid w:val="00691BBE"/>
    <w:rsid w:val="00691CDA"/>
    <w:rsid w:val="00692219"/>
    <w:rsid w:val="0069402E"/>
    <w:rsid w:val="006A17D2"/>
    <w:rsid w:val="006A73E6"/>
    <w:rsid w:val="006B2D5C"/>
    <w:rsid w:val="006B2EE8"/>
    <w:rsid w:val="006C0A97"/>
    <w:rsid w:val="006C39D6"/>
    <w:rsid w:val="006C4EB1"/>
    <w:rsid w:val="006E0166"/>
    <w:rsid w:val="006E45CB"/>
    <w:rsid w:val="006E66E9"/>
    <w:rsid w:val="006E772A"/>
    <w:rsid w:val="006E7B34"/>
    <w:rsid w:val="006F272B"/>
    <w:rsid w:val="00702C7C"/>
    <w:rsid w:val="0070697F"/>
    <w:rsid w:val="0072199C"/>
    <w:rsid w:val="00722C9F"/>
    <w:rsid w:val="007253B8"/>
    <w:rsid w:val="00727B0E"/>
    <w:rsid w:val="00732F3F"/>
    <w:rsid w:val="0073598C"/>
    <w:rsid w:val="007372BF"/>
    <w:rsid w:val="0073741F"/>
    <w:rsid w:val="00743FEF"/>
    <w:rsid w:val="007508B5"/>
    <w:rsid w:val="007615EF"/>
    <w:rsid w:val="007662D8"/>
    <w:rsid w:val="0076643F"/>
    <w:rsid w:val="00772202"/>
    <w:rsid w:val="00777F63"/>
    <w:rsid w:val="007852B5"/>
    <w:rsid w:val="007919F8"/>
    <w:rsid w:val="00796A37"/>
    <w:rsid w:val="007A5817"/>
    <w:rsid w:val="007A7B03"/>
    <w:rsid w:val="007B05C4"/>
    <w:rsid w:val="007B60E9"/>
    <w:rsid w:val="007B6CC3"/>
    <w:rsid w:val="007C3334"/>
    <w:rsid w:val="007C402A"/>
    <w:rsid w:val="007C591D"/>
    <w:rsid w:val="007D2B98"/>
    <w:rsid w:val="007D7C02"/>
    <w:rsid w:val="007E21BC"/>
    <w:rsid w:val="007E2FAB"/>
    <w:rsid w:val="007E58FE"/>
    <w:rsid w:val="007E776A"/>
    <w:rsid w:val="007E7C82"/>
    <w:rsid w:val="007F588D"/>
    <w:rsid w:val="00802748"/>
    <w:rsid w:val="00803F1C"/>
    <w:rsid w:val="00805DC0"/>
    <w:rsid w:val="0080600E"/>
    <w:rsid w:val="00812224"/>
    <w:rsid w:val="00816B1F"/>
    <w:rsid w:val="00817612"/>
    <w:rsid w:val="008338A4"/>
    <w:rsid w:val="00834D49"/>
    <w:rsid w:val="00837C45"/>
    <w:rsid w:val="008411F0"/>
    <w:rsid w:val="008439BC"/>
    <w:rsid w:val="00844730"/>
    <w:rsid w:val="008457C2"/>
    <w:rsid w:val="00857A82"/>
    <w:rsid w:val="00871526"/>
    <w:rsid w:val="00871D3C"/>
    <w:rsid w:val="00873836"/>
    <w:rsid w:val="00875668"/>
    <w:rsid w:val="00885737"/>
    <w:rsid w:val="00890650"/>
    <w:rsid w:val="00897E12"/>
    <w:rsid w:val="008A0F81"/>
    <w:rsid w:val="008A20F9"/>
    <w:rsid w:val="008A310C"/>
    <w:rsid w:val="008A701F"/>
    <w:rsid w:val="008A7E0F"/>
    <w:rsid w:val="008B097A"/>
    <w:rsid w:val="008B12F5"/>
    <w:rsid w:val="008B5932"/>
    <w:rsid w:val="008C3921"/>
    <w:rsid w:val="008C5751"/>
    <w:rsid w:val="008D732E"/>
    <w:rsid w:val="008D768D"/>
    <w:rsid w:val="008E0FD8"/>
    <w:rsid w:val="008E328A"/>
    <w:rsid w:val="008E3759"/>
    <w:rsid w:val="008E3BFE"/>
    <w:rsid w:val="008E7900"/>
    <w:rsid w:val="008F1912"/>
    <w:rsid w:val="0090270B"/>
    <w:rsid w:val="009041DC"/>
    <w:rsid w:val="00906FC9"/>
    <w:rsid w:val="00917B5A"/>
    <w:rsid w:val="00920A58"/>
    <w:rsid w:val="00920A8C"/>
    <w:rsid w:val="00922EFD"/>
    <w:rsid w:val="00926547"/>
    <w:rsid w:val="00934A2C"/>
    <w:rsid w:val="00935F06"/>
    <w:rsid w:val="00936458"/>
    <w:rsid w:val="00937B3A"/>
    <w:rsid w:val="0095120C"/>
    <w:rsid w:val="00954B82"/>
    <w:rsid w:val="00957000"/>
    <w:rsid w:val="00962436"/>
    <w:rsid w:val="0096706E"/>
    <w:rsid w:val="00973E37"/>
    <w:rsid w:val="00974491"/>
    <w:rsid w:val="00974A9F"/>
    <w:rsid w:val="00975C4E"/>
    <w:rsid w:val="009809B0"/>
    <w:rsid w:val="00981FBA"/>
    <w:rsid w:val="00997BC5"/>
    <w:rsid w:val="009A1D79"/>
    <w:rsid w:val="009A4F41"/>
    <w:rsid w:val="009B381B"/>
    <w:rsid w:val="009B4ED4"/>
    <w:rsid w:val="009B5EAF"/>
    <w:rsid w:val="009C2FC5"/>
    <w:rsid w:val="009C611B"/>
    <w:rsid w:val="009D1753"/>
    <w:rsid w:val="009D6502"/>
    <w:rsid w:val="009D7611"/>
    <w:rsid w:val="009D78A5"/>
    <w:rsid w:val="009E08DD"/>
    <w:rsid w:val="009E0B61"/>
    <w:rsid w:val="009E4C02"/>
    <w:rsid w:val="009E53DE"/>
    <w:rsid w:val="009E63AB"/>
    <w:rsid w:val="009E7C00"/>
    <w:rsid w:val="009F165C"/>
    <w:rsid w:val="009F26DD"/>
    <w:rsid w:val="009F4D11"/>
    <w:rsid w:val="00A0691C"/>
    <w:rsid w:val="00A11E44"/>
    <w:rsid w:val="00A154C8"/>
    <w:rsid w:val="00A22397"/>
    <w:rsid w:val="00A2338B"/>
    <w:rsid w:val="00A32313"/>
    <w:rsid w:val="00A328B3"/>
    <w:rsid w:val="00A50FCF"/>
    <w:rsid w:val="00A528D1"/>
    <w:rsid w:val="00A610CD"/>
    <w:rsid w:val="00A625E0"/>
    <w:rsid w:val="00A62B37"/>
    <w:rsid w:val="00A74947"/>
    <w:rsid w:val="00A758AA"/>
    <w:rsid w:val="00A812D7"/>
    <w:rsid w:val="00A91EA1"/>
    <w:rsid w:val="00A92093"/>
    <w:rsid w:val="00AA09A2"/>
    <w:rsid w:val="00AA7996"/>
    <w:rsid w:val="00AC15F9"/>
    <w:rsid w:val="00AC18E5"/>
    <w:rsid w:val="00AC19CB"/>
    <w:rsid w:val="00AC23D3"/>
    <w:rsid w:val="00AD1886"/>
    <w:rsid w:val="00AD2D3F"/>
    <w:rsid w:val="00AE144A"/>
    <w:rsid w:val="00AE2896"/>
    <w:rsid w:val="00AE5488"/>
    <w:rsid w:val="00AE6F91"/>
    <w:rsid w:val="00AF5571"/>
    <w:rsid w:val="00AF5E9B"/>
    <w:rsid w:val="00AF6E01"/>
    <w:rsid w:val="00B06B4E"/>
    <w:rsid w:val="00B07341"/>
    <w:rsid w:val="00B202B5"/>
    <w:rsid w:val="00B30539"/>
    <w:rsid w:val="00B314DB"/>
    <w:rsid w:val="00B361F2"/>
    <w:rsid w:val="00B3718B"/>
    <w:rsid w:val="00B4632A"/>
    <w:rsid w:val="00B5067D"/>
    <w:rsid w:val="00B530F1"/>
    <w:rsid w:val="00B544A6"/>
    <w:rsid w:val="00B54670"/>
    <w:rsid w:val="00B55B7B"/>
    <w:rsid w:val="00B57297"/>
    <w:rsid w:val="00B64C6F"/>
    <w:rsid w:val="00B71D45"/>
    <w:rsid w:val="00B736AF"/>
    <w:rsid w:val="00B742BE"/>
    <w:rsid w:val="00B767DD"/>
    <w:rsid w:val="00B87359"/>
    <w:rsid w:val="00B963E0"/>
    <w:rsid w:val="00B96A9A"/>
    <w:rsid w:val="00B97946"/>
    <w:rsid w:val="00BA276C"/>
    <w:rsid w:val="00BA5544"/>
    <w:rsid w:val="00BB306F"/>
    <w:rsid w:val="00BB3FBD"/>
    <w:rsid w:val="00BB5F09"/>
    <w:rsid w:val="00BC27C4"/>
    <w:rsid w:val="00BC6CD0"/>
    <w:rsid w:val="00BD4B89"/>
    <w:rsid w:val="00BD5922"/>
    <w:rsid w:val="00BD5D40"/>
    <w:rsid w:val="00BD76D9"/>
    <w:rsid w:val="00BF02CB"/>
    <w:rsid w:val="00BF2D5B"/>
    <w:rsid w:val="00BF514A"/>
    <w:rsid w:val="00BF6FD8"/>
    <w:rsid w:val="00BF775D"/>
    <w:rsid w:val="00C03680"/>
    <w:rsid w:val="00C054DF"/>
    <w:rsid w:val="00C10A4F"/>
    <w:rsid w:val="00C10AFC"/>
    <w:rsid w:val="00C21562"/>
    <w:rsid w:val="00C21762"/>
    <w:rsid w:val="00C21FEF"/>
    <w:rsid w:val="00C24543"/>
    <w:rsid w:val="00C256A2"/>
    <w:rsid w:val="00C34FBC"/>
    <w:rsid w:val="00C35A26"/>
    <w:rsid w:val="00C51515"/>
    <w:rsid w:val="00C52462"/>
    <w:rsid w:val="00C53910"/>
    <w:rsid w:val="00C5660B"/>
    <w:rsid w:val="00C56854"/>
    <w:rsid w:val="00C5788A"/>
    <w:rsid w:val="00C66B72"/>
    <w:rsid w:val="00C72A24"/>
    <w:rsid w:val="00C76B5E"/>
    <w:rsid w:val="00C80720"/>
    <w:rsid w:val="00C87AC4"/>
    <w:rsid w:val="00C87D21"/>
    <w:rsid w:val="00C93785"/>
    <w:rsid w:val="00C9567A"/>
    <w:rsid w:val="00C969EA"/>
    <w:rsid w:val="00CA48A3"/>
    <w:rsid w:val="00CA5C72"/>
    <w:rsid w:val="00CB0421"/>
    <w:rsid w:val="00CB212D"/>
    <w:rsid w:val="00CB2660"/>
    <w:rsid w:val="00CC193C"/>
    <w:rsid w:val="00CC5E90"/>
    <w:rsid w:val="00CD046C"/>
    <w:rsid w:val="00CD186A"/>
    <w:rsid w:val="00CD2CA2"/>
    <w:rsid w:val="00CD4605"/>
    <w:rsid w:val="00CD5EAD"/>
    <w:rsid w:val="00CE076C"/>
    <w:rsid w:val="00CE1D43"/>
    <w:rsid w:val="00CE5199"/>
    <w:rsid w:val="00CE62BD"/>
    <w:rsid w:val="00CE66D5"/>
    <w:rsid w:val="00CF4485"/>
    <w:rsid w:val="00CF637A"/>
    <w:rsid w:val="00D059DE"/>
    <w:rsid w:val="00D05ABD"/>
    <w:rsid w:val="00D07CB4"/>
    <w:rsid w:val="00D13FCE"/>
    <w:rsid w:val="00D17E8C"/>
    <w:rsid w:val="00D306D1"/>
    <w:rsid w:val="00D30800"/>
    <w:rsid w:val="00D34786"/>
    <w:rsid w:val="00D35A4D"/>
    <w:rsid w:val="00D374A6"/>
    <w:rsid w:val="00D37BFC"/>
    <w:rsid w:val="00D42822"/>
    <w:rsid w:val="00D47A8E"/>
    <w:rsid w:val="00D52CA8"/>
    <w:rsid w:val="00D52D14"/>
    <w:rsid w:val="00D55256"/>
    <w:rsid w:val="00D56D93"/>
    <w:rsid w:val="00D710CA"/>
    <w:rsid w:val="00D712D3"/>
    <w:rsid w:val="00D71422"/>
    <w:rsid w:val="00D72DC6"/>
    <w:rsid w:val="00D73F5E"/>
    <w:rsid w:val="00D7558D"/>
    <w:rsid w:val="00D77503"/>
    <w:rsid w:val="00D814A6"/>
    <w:rsid w:val="00D81D92"/>
    <w:rsid w:val="00D86A5C"/>
    <w:rsid w:val="00D876F9"/>
    <w:rsid w:val="00D877B6"/>
    <w:rsid w:val="00D93A90"/>
    <w:rsid w:val="00D93B99"/>
    <w:rsid w:val="00DA7B5F"/>
    <w:rsid w:val="00DB2B60"/>
    <w:rsid w:val="00DC11E7"/>
    <w:rsid w:val="00DC7023"/>
    <w:rsid w:val="00DC769A"/>
    <w:rsid w:val="00DD061E"/>
    <w:rsid w:val="00DD3D86"/>
    <w:rsid w:val="00DD7DC3"/>
    <w:rsid w:val="00DE12F0"/>
    <w:rsid w:val="00DE18B1"/>
    <w:rsid w:val="00DE4D0B"/>
    <w:rsid w:val="00DF14D2"/>
    <w:rsid w:val="00DF1EC4"/>
    <w:rsid w:val="00DF37B5"/>
    <w:rsid w:val="00DF51E9"/>
    <w:rsid w:val="00E01943"/>
    <w:rsid w:val="00E03022"/>
    <w:rsid w:val="00E0340B"/>
    <w:rsid w:val="00E04A90"/>
    <w:rsid w:val="00E0551F"/>
    <w:rsid w:val="00E1423F"/>
    <w:rsid w:val="00E219C7"/>
    <w:rsid w:val="00E26CCA"/>
    <w:rsid w:val="00E27F56"/>
    <w:rsid w:val="00E4118C"/>
    <w:rsid w:val="00E43157"/>
    <w:rsid w:val="00E461CE"/>
    <w:rsid w:val="00E610D5"/>
    <w:rsid w:val="00E615CC"/>
    <w:rsid w:val="00E720CA"/>
    <w:rsid w:val="00E84EB5"/>
    <w:rsid w:val="00E85662"/>
    <w:rsid w:val="00E8789F"/>
    <w:rsid w:val="00E90492"/>
    <w:rsid w:val="00E92747"/>
    <w:rsid w:val="00E97B71"/>
    <w:rsid w:val="00EA22FE"/>
    <w:rsid w:val="00EA3D34"/>
    <w:rsid w:val="00EB454D"/>
    <w:rsid w:val="00EB7C25"/>
    <w:rsid w:val="00EC26E9"/>
    <w:rsid w:val="00EC72AB"/>
    <w:rsid w:val="00ED2F03"/>
    <w:rsid w:val="00ED549D"/>
    <w:rsid w:val="00ED76BE"/>
    <w:rsid w:val="00ED7F05"/>
    <w:rsid w:val="00EE00E9"/>
    <w:rsid w:val="00EE014D"/>
    <w:rsid w:val="00EE5BC1"/>
    <w:rsid w:val="00EE7E32"/>
    <w:rsid w:val="00EF35AB"/>
    <w:rsid w:val="00EF4C44"/>
    <w:rsid w:val="00EF619B"/>
    <w:rsid w:val="00F00B55"/>
    <w:rsid w:val="00F02AD1"/>
    <w:rsid w:val="00F04591"/>
    <w:rsid w:val="00F06354"/>
    <w:rsid w:val="00F1337C"/>
    <w:rsid w:val="00F15421"/>
    <w:rsid w:val="00F17DD1"/>
    <w:rsid w:val="00F253CC"/>
    <w:rsid w:val="00F332EF"/>
    <w:rsid w:val="00F345D5"/>
    <w:rsid w:val="00F37106"/>
    <w:rsid w:val="00F519CF"/>
    <w:rsid w:val="00F53168"/>
    <w:rsid w:val="00F53A69"/>
    <w:rsid w:val="00F55B0B"/>
    <w:rsid w:val="00F56BA5"/>
    <w:rsid w:val="00F5747B"/>
    <w:rsid w:val="00F5760E"/>
    <w:rsid w:val="00F60E22"/>
    <w:rsid w:val="00F6281A"/>
    <w:rsid w:val="00F63B39"/>
    <w:rsid w:val="00F77B1A"/>
    <w:rsid w:val="00F81395"/>
    <w:rsid w:val="00F81887"/>
    <w:rsid w:val="00F81BB8"/>
    <w:rsid w:val="00F917D1"/>
    <w:rsid w:val="00F9342C"/>
    <w:rsid w:val="00F9653B"/>
    <w:rsid w:val="00F9789B"/>
    <w:rsid w:val="00FA09B7"/>
    <w:rsid w:val="00FA0CD0"/>
    <w:rsid w:val="00FA56EA"/>
    <w:rsid w:val="00FB09FC"/>
    <w:rsid w:val="00FB62CF"/>
    <w:rsid w:val="00FC0F4A"/>
    <w:rsid w:val="00FC3330"/>
    <w:rsid w:val="00FD1B40"/>
    <w:rsid w:val="00FD2A08"/>
    <w:rsid w:val="00FD37C6"/>
    <w:rsid w:val="00FD3C3B"/>
    <w:rsid w:val="00FD3C7A"/>
    <w:rsid w:val="00FD5383"/>
    <w:rsid w:val="00FD66D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1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3838</Words>
  <Characters>20537</Characters>
  <Application>Microsoft Office Word</Application>
  <DocSecurity>0</DocSecurity>
  <Lines>342</Lines>
  <Paragraphs>73</Paragraphs>
  <ScaleCrop>false</ScaleCrop>
  <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198/20</dc:title>
  <dc:creator/>
  <cp:lastModifiedBy/>
  <cp:revision>1</cp:revision>
  <dcterms:created xsi:type="dcterms:W3CDTF">2020-08-21T13:18:00Z</dcterms:created>
  <dcterms:modified xsi:type="dcterms:W3CDTF">2020-08-21T13:18:00Z</dcterms:modified>
</cp:coreProperties>
</file>