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2B234" w14:textId="77777777" w:rsidR="00040C3A" w:rsidRPr="00DB5BAC" w:rsidRDefault="00D306D1" w:rsidP="00627C9F">
      <w:pPr>
        <w:jc w:val="both"/>
        <w:rPr>
          <w:rFonts w:asciiTheme="majorHAnsi" w:hAnsiTheme="majorHAnsi" w:cs="Univers"/>
          <w:b/>
          <w:bCs/>
          <w:sz w:val="22"/>
          <w:szCs w:val="22"/>
        </w:rPr>
      </w:pPr>
      <w:r w:rsidRPr="00DB5BAC">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2CB13C2F" wp14:editId="265E9B1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5FC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B5BAC">
        <w:rPr>
          <w:rFonts w:asciiTheme="majorHAnsi" w:hAnsiTheme="majorHAnsi"/>
          <w:noProof/>
          <w:sz w:val="22"/>
          <w:szCs w:val="22"/>
          <w:lang w:val="en-US" w:eastAsia="en-US"/>
        </w:rPr>
        <mc:AlternateContent>
          <mc:Choice Requires="wps">
            <w:drawing>
              <wp:anchor distT="0" distB="0" distL="114300" distR="114300" simplePos="0" relativeHeight="251683840" behindDoc="0" locked="0" layoutInCell="1" allowOverlap="1" wp14:anchorId="16715851" wp14:editId="1555D86C">
                <wp:simplePos x="914400" y="914400"/>
                <wp:positionH relativeFrom="margin">
                  <wp:align>right</wp:align>
                </wp:positionH>
                <wp:positionV relativeFrom="margin">
                  <wp:align>top</wp:align>
                </wp:positionV>
                <wp:extent cx="5248275" cy="90233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937DA" w14:textId="77777777" w:rsidR="003F186B" w:rsidRDefault="003F186B" w:rsidP="00AE5488">
                            <w:r>
                              <w:tab/>
                            </w:r>
                            <w:r w:rsidRPr="0030572C">
                              <w:rPr>
                                <w:noProof/>
                                <w:lang w:val="en-US" w:eastAsia="en-US"/>
                              </w:rPr>
                              <w:drawing>
                                <wp:inline distT="0" distB="0" distL="0" distR="0" wp14:anchorId="5BF51D62" wp14:editId="65753282">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715851" id="_x0000_t202" coordsize="21600,21600" o:spt="202" path="m,l,21600r21600,l21600,xe">
                <v:stroke joinstyle="miter"/>
                <v:path gradientshapeok="t" o:connecttype="rect"/>
              </v:shapetype>
              <v:shape id="Text Box 11" o:spid="_x0000_s1026" type="#_x0000_t202" style="position:absolute;left:0;text-align:left;margin-left:362.05pt;margin-top:0;width:413.25pt;height:71.05pt;z-index:251683840;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" filled="f" stroked="f" strokeweight=".5pt">
                <v:textbox>
                  <w:txbxContent>
                    <w:p w14:paraId="131937DA" w14:textId="77777777" w:rsidR="003F186B" w:rsidRDefault="003F186B" w:rsidP="00AE5488">
                      <w:r>
                        <w:tab/>
                      </w:r>
                      <w:r w:rsidRPr="0030572C">
                        <w:rPr>
                          <w:noProof/>
                          <w:lang w:val="en-US" w:eastAsia="en-US"/>
                        </w:rPr>
                        <w:drawing>
                          <wp:inline distT="0" distB="0" distL="0" distR="0" wp14:anchorId="5BF51D62" wp14:editId="65753282">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 xml:space="preserve">               </w:t>
                      </w:r>
                    </w:p>
                  </w:txbxContent>
                </v:textbox>
                <w10:wrap type="square" anchorx="margin" anchory="margin"/>
              </v:shape>
            </w:pict>
          </mc:Fallback>
        </mc:AlternateContent>
      </w:r>
    </w:p>
    <w:p w14:paraId="47DB5925" w14:textId="77777777" w:rsidR="00040C3A" w:rsidRPr="00DB5BAC" w:rsidRDefault="00040C3A" w:rsidP="00040C3A">
      <w:pPr>
        <w:tabs>
          <w:tab w:val="center" w:pos="5400"/>
        </w:tabs>
        <w:suppressAutoHyphens/>
        <w:jc w:val="both"/>
        <w:rPr>
          <w:rFonts w:asciiTheme="majorHAnsi" w:hAnsiTheme="majorHAnsi"/>
          <w:sz w:val="22"/>
          <w:szCs w:val="22"/>
        </w:rPr>
      </w:pPr>
    </w:p>
    <w:p w14:paraId="44F7BBA1" w14:textId="77777777" w:rsidR="00040C3A" w:rsidRPr="00DB5BAC" w:rsidRDefault="00040C3A" w:rsidP="00040C3A">
      <w:pPr>
        <w:tabs>
          <w:tab w:val="center" w:pos="5400"/>
        </w:tabs>
        <w:suppressAutoHyphens/>
        <w:jc w:val="both"/>
        <w:rPr>
          <w:rFonts w:asciiTheme="majorHAnsi" w:hAnsiTheme="majorHAnsi"/>
          <w:sz w:val="22"/>
          <w:szCs w:val="22"/>
        </w:rPr>
      </w:pPr>
    </w:p>
    <w:p w14:paraId="6EE5EB7F" w14:textId="77777777" w:rsidR="005128E4" w:rsidRPr="00DB5BAC" w:rsidRDefault="005128E4" w:rsidP="00040C3A">
      <w:pPr>
        <w:tabs>
          <w:tab w:val="center" w:pos="5400"/>
        </w:tabs>
        <w:suppressAutoHyphens/>
        <w:rPr>
          <w:rFonts w:asciiTheme="majorHAnsi" w:hAnsiTheme="majorHAnsi"/>
          <w:sz w:val="22"/>
          <w:szCs w:val="22"/>
        </w:rPr>
      </w:pPr>
    </w:p>
    <w:p w14:paraId="05886971" w14:textId="77777777" w:rsidR="005128E4" w:rsidRPr="00DB5BAC" w:rsidRDefault="005128E4" w:rsidP="00040C3A">
      <w:pPr>
        <w:tabs>
          <w:tab w:val="center" w:pos="5400"/>
        </w:tabs>
        <w:suppressAutoHyphens/>
        <w:rPr>
          <w:rFonts w:asciiTheme="majorHAnsi" w:hAnsiTheme="majorHAnsi"/>
          <w:sz w:val="22"/>
          <w:szCs w:val="22"/>
        </w:rPr>
      </w:pPr>
    </w:p>
    <w:p w14:paraId="5D41C2BB" w14:textId="77777777" w:rsidR="005128E4" w:rsidRPr="00DB5BAC" w:rsidRDefault="005128E4" w:rsidP="00040C3A">
      <w:pPr>
        <w:tabs>
          <w:tab w:val="center" w:pos="5400"/>
        </w:tabs>
        <w:suppressAutoHyphens/>
        <w:rPr>
          <w:rFonts w:asciiTheme="majorHAnsi" w:hAnsiTheme="majorHAnsi"/>
          <w:sz w:val="22"/>
          <w:szCs w:val="22"/>
        </w:rPr>
      </w:pPr>
    </w:p>
    <w:p w14:paraId="3ED85FFE" w14:textId="77777777" w:rsidR="00040C3A" w:rsidRPr="00DB5BAC" w:rsidRDefault="00040C3A" w:rsidP="005128E4">
      <w:pPr>
        <w:tabs>
          <w:tab w:val="center" w:pos="5400"/>
        </w:tabs>
        <w:suppressAutoHyphens/>
        <w:jc w:val="center"/>
        <w:rPr>
          <w:rFonts w:asciiTheme="majorHAnsi" w:hAnsiTheme="majorHAnsi"/>
          <w:sz w:val="22"/>
          <w:szCs w:val="22"/>
        </w:rPr>
      </w:pPr>
    </w:p>
    <w:p w14:paraId="0DE767DF" w14:textId="77777777" w:rsidR="00040C3A" w:rsidRPr="00DB5BAC" w:rsidRDefault="00040C3A" w:rsidP="005128E4">
      <w:pPr>
        <w:tabs>
          <w:tab w:val="center" w:pos="5400"/>
        </w:tabs>
        <w:suppressAutoHyphens/>
        <w:jc w:val="center"/>
        <w:rPr>
          <w:rFonts w:asciiTheme="majorHAnsi" w:hAnsiTheme="majorHAnsi"/>
          <w:sz w:val="22"/>
          <w:szCs w:val="22"/>
        </w:rPr>
      </w:pPr>
    </w:p>
    <w:p w14:paraId="01888C44" w14:textId="77777777" w:rsidR="005B52B0" w:rsidRPr="00DB5BAC" w:rsidRDefault="005B52B0" w:rsidP="005128E4">
      <w:pPr>
        <w:tabs>
          <w:tab w:val="center" w:pos="5400"/>
        </w:tabs>
        <w:suppressAutoHyphens/>
        <w:jc w:val="center"/>
        <w:rPr>
          <w:rFonts w:asciiTheme="majorHAnsi" w:hAnsiTheme="majorHAnsi"/>
          <w:sz w:val="22"/>
          <w:szCs w:val="22"/>
        </w:rPr>
      </w:pPr>
    </w:p>
    <w:p w14:paraId="6E79AD4B" w14:textId="77777777" w:rsidR="005B52B0" w:rsidRPr="00DB5BAC" w:rsidRDefault="005B52B0" w:rsidP="005128E4">
      <w:pPr>
        <w:tabs>
          <w:tab w:val="center" w:pos="5400"/>
        </w:tabs>
        <w:suppressAutoHyphens/>
        <w:jc w:val="center"/>
        <w:rPr>
          <w:rFonts w:asciiTheme="majorHAnsi" w:hAnsiTheme="majorHAnsi"/>
          <w:sz w:val="22"/>
          <w:szCs w:val="22"/>
        </w:rPr>
      </w:pPr>
    </w:p>
    <w:p w14:paraId="4CFA16F9" w14:textId="77777777" w:rsidR="005B52B0" w:rsidRPr="00DB5BAC" w:rsidRDefault="005B52B0" w:rsidP="005128E4">
      <w:pPr>
        <w:tabs>
          <w:tab w:val="center" w:pos="5400"/>
        </w:tabs>
        <w:suppressAutoHyphens/>
        <w:jc w:val="center"/>
        <w:rPr>
          <w:rFonts w:asciiTheme="majorHAnsi" w:hAnsiTheme="majorHAnsi"/>
          <w:sz w:val="22"/>
          <w:szCs w:val="22"/>
        </w:rPr>
      </w:pPr>
    </w:p>
    <w:p w14:paraId="31503616" w14:textId="77777777" w:rsidR="00040C3A" w:rsidRPr="00DB5BAC" w:rsidRDefault="00040C3A" w:rsidP="00040C3A">
      <w:pPr>
        <w:tabs>
          <w:tab w:val="center" w:pos="5400"/>
        </w:tabs>
        <w:suppressAutoHyphens/>
        <w:jc w:val="center"/>
        <w:rPr>
          <w:rFonts w:asciiTheme="majorHAnsi" w:hAnsiTheme="majorHAnsi"/>
          <w:sz w:val="22"/>
          <w:szCs w:val="22"/>
        </w:rPr>
      </w:pPr>
    </w:p>
    <w:p w14:paraId="6D37A57C" w14:textId="77777777" w:rsidR="00040C3A" w:rsidRPr="00DB5BAC" w:rsidRDefault="00040C3A" w:rsidP="00040C3A">
      <w:pPr>
        <w:tabs>
          <w:tab w:val="center" w:pos="5400"/>
        </w:tabs>
        <w:suppressAutoHyphens/>
        <w:jc w:val="center"/>
        <w:rPr>
          <w:rFonts w:asciiTheme="majorHAnsi" w:hAnsiTheme="majorHAnsi"/>
          <w:sz w:val="22"/>
          <w:szCs w:val="22"/>
        </w:rPr>
      </w:pPr>
    </w:p>
    <w:p w14:paraId="0AD4686E" w14:textId="77777777" w:rsidR="00040C3A" w:rsidRPr="00DB5BAC" w:rsidRDefault="003D3BC2" w:rsidP="00040C3A">
      <w:pPr>
        <w:tabs>
          <w:tab w:val="center" w:pos="5400"/>
        </w:tabs>
        <w:suppressAutoHyphens/>
        <w:jc w:val="center"/>
        <w:rPr>
          <w:rFonts w:asciiTheme="majorHAnsi" w:hAnsiTheme="majorHAnsi"/>
          <w:sz w:val="22"/>
          <w:szCs w:val="22"/>
        </w:rPr>
      </w:pPr>
      <w:r w:rsidRPr="00DB5BAC">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195C552B" wp14:editId="063C135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0D030" w14:textId="77777777" w:rsidR="003F186B" w:rsidRPr="00D501F8" w:rsidRDefault="003F186B" w:rsidP="00997BC5">
                            <w:pPr>
                              <w:spacing w:line="276" w:lineRule="auto"/>
                              <w:rPr>
                                <w:rFonts w:asciiTheme="majorHAnsi" w:hAnsiTheme="majorHAnsi" w:cs="Arial"/>
                                <w:b/>
                                <w:bCs/>
                                <w:color w:val="0D0D0D" w:themeColor="text1" w:themeTint="F2"/>
                                <w:sz w:val="36"/>
                                <w:szCs w:val="22"/>
                              </w:rPr>
                            </w:pPr>
                            <w:r w:rsidRPr="00D501F8">
                              <w:rPr>
                                <w:rFonts w:asciiTheme="majorHAnsi" w:hAnsiTheme="majorHAnsi" w:cs="Arial"/>
                                <w:b/>
                                <w:bCs/>
                                <w:color w:val="0D0D0D" w:themeColor="text1" w:themeTint="F2"/>
                                <w:sz w:val="36"/>
                                <w:szCs w:val="22"/>
                              </w:rPr>
                              <w:t xml:space="preserve">INFORME </w:t>
                            </w:r>
                            <w:r w:rsidRPr="00D501F8">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26/20</w:t>
                            </w:r>
                          </w:p>
                          <w:p w14:paraId="0EBF986F" w14:textId="77777777" w:rsidR="003F186B" w:rsidRPr="00D501F8" w:rsidRDefault="003F186B" w:rsidP="00997BC5">
                            <w:pPr>
                              <w:spacing w:line="276" w:lineRule="auto"/>
                              <w:rPr>
                                <w:rFonts w:asciiTheme="majorHAnsi" w:hAnsiTheme="majorHAnsi" w:cs="Arial"/>
                                <w:b/>
                                <w:color w:val="0D0D0D" w:themeColor="text1" w:themeTint="F2"/>
                                <w:sz w:val="36"/>
                                <w:szCs w:val="22"/>
                              </w:rPr>
                            </w:pPr>
                            <w:r w:rsidRPr="00D501F8">
                              <w:rPr>
                                <w:rFonts w:asciiTheme="majorHAnsi" w:hAnsiTheme="majorHAnsi" w:cs="Arial"/>
                                <w:b/>
                                <w:color w:val="0D0D0D" w:themeColor="text1" w:themeTint="F2"/>
                                <w:sz w:val="36"/>
                                <w:szCs w:val="22"/>
                              </w:rPr>
                              <w:t>CASO 12.545</w:t>
                            </w:r>
                          </w:p>
                          <w:p w14:paraId="67478961" w14:textId="77777777" w:rsidR="003F186B" w:rsidRPr="003B0BE8" w:rsidRDefault="003F186B" w:rsidP="000158FD">
                            <w:pPr>
                              <w:spacing w:line="276" w:lineRule="auto"/>
                              <w:rPr>
                                <w:rFonts w:asciiTheme="majorHAnsi" w:hAnsiTheme="majorHAnsi" w:cs="Arial"/>
                                <w:color w:val="0D0D0D" w:themeColor="text1" w:themeTint="F2"/>
                                <w:sz w:val="24"/>
                                <w:szCs w:val="24"/>
                                <w:lang w:val="es-MX"/>
                              </w:rPr>
                            </w:pPr>
                            <w:r w:rsidRPr="00D501F8">
                              <w:rPr>
                                <w:rFonts w:asciiTheme="majorHAnsi" w:hAnsiTheme="majorHAnsi" w:cs="Arial"/>
                                <w:color w:val="0D0D0D" w:themeColor="text1" w:themeTint="F2"/>
                                <w:sz w:val="24"/>
                                <w:szCs w:val="24"/>
                              </w:rPr>
                              <w:t xml:space="preserve">INFORME DE </w:t>
                            </w:r>
                            <w:r w:rsidRPr="00F27BD9">
                              <w:rPr>
                                <w:rFonts w:asciiTheme="majorHAnsi" w:hAnsiTheme="majorHAnsi" w:cs="Arial"/>
                                <w:color w:val="0D0D0D" w:themeColor="text1" w:themeTint="F2"/>
                                <w:sz w:val="24"/>
                                <w:szCs w:val="24"/>
                              </w:rPr>
                              <w:t xml:space="preserve">FONDO </w:t>
                            </w:r>
                            <w:r w:rsidRPr="00F27BD9">
                              <w:rPr>
                                <w:rFonts w:asciiTheme="majorHAnsi" w:hAnsiTheme="majorHAnsi" w:cs="Arial"/>
                                <w:color w:val="0D0D0D" w:themeColor="text1" w:themeTint="F2"/>
                                <w:sz w:val="24"/>
                                <w:szCs w:val="24"/>
                                <w:lang w:val="es-MX"/>
                              </w:rPr>
                              <w:t>(PUBLICACIÓN)</w:t>
                            </w:r>
                          </w:p>
                          <w:p w14:paraId="3E6E2AC6" w14:textId="77777777" w:rsidR="003F186B" w:rsidRPr="00D501F8" w:rsidRDefault="003F186B" w:rsidP="00997BC5">
                            <w:pPr>
                              <w:spacing w:line="276" w:lineRule="auto"/>
                              <w:rPr>
                                <w:rFonts w:asciiTheme="majorHAnsi" w:hAnsiTheme="majorHAnsi" w:cs="Arial"/>
                                <w:color w:val="0D0D0D" w:themeColor="text1" w:themeTint="F2"/>
                                <w:sz w:val="24"/>
                                <w:szCs w:val="24"/>
                              </w:rPr>
                            </w:pPr>
                            <w:bookmarkStart w:id="0" w:name="_ftnref1"/>
                          </w:p>
                          <w:bookmarkEnd w:id="0"/>
                          <w:p w14:paraId="236BD449" w14:textId="77777777" w:rsidR="003F186B" w:rsidRPr="00D501F8" w:rsidRDefault="003F186B" w:rsidP="001E28D1">
                            <w:pPr>
                              <w:rPr>
                                <w:rFonts w:asciiTheme="majorHAnsi" w:hAnsiTheme="majorHAnsi" w:cs="Arial"/>
                                <w:color w:val="0D0D0D" w:themeColor="text1" w:themeTint="F2"/>
                                <w:sz w:val="24"/>
                                <w:szCs w:val="24"/>
                              </w:rPr>
                            </w:pPr>
                            <w:r w:rsidRPr="00D501F8">
                              <w:rPr>
                                <w:rFonts w:asciiTheme="majorHAnsi" w:hAnsiTheme="majorHAnsi" w:cs="Arial"/>
                                <w:color w:val="0D0D0D" w:themeColor="text1" w:themeTint="F2"/>
                                <w:sz w:val="24"/>
                                <w:szCs w:val="24"/>
                              </w:rPr>
                              <w:t>ISAMU CARLOS SHIBAYAMA, KENICHI JAVIER SHIBAYAMA Y TAKESHI JORGE SHIBAYAMA</w:t>
                            </w:r>
                          </w:p>
                          <w:p w14:paraId="7ABBACA3" w14:textId="77777777" w:rsidR="003F186B" w:rsidRPr="00D501F8" w:rsidRDefault="003F186B" w:rsidP="001E28D1">
                            <w:pPr>
                              <w:rPr>
                                <w:color w:val="0D0D0D" w:themeColor="text1" w:themeTint="F2"/>
                                <w:sz w:val="24"/>
                                <w:szCs w:val="24"/>
                              </w:rPr>
                            </w:pPr>
                            <w:r w:rsidRPr="00D501F8">
                              <w:rPr>
                                <w:rFonts w:asciiTheme="majorHAnsi" w:hAnsiTheme="majorHAnsi" w:cs="Arial"/>
                                <w:color w:val="0D0D0D" w:themeColor="text1" w:themeTint="F2"/>
                                <w:sz w:val="24"/>
                                <w:szCs w:val="24"/>
                              </w:rPr>
                              <w:t>ESTADOS UNIDOS DE AMÉRICA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55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80D030" w14:textId="77777777" w:rsidR="003F186B" w:rsidRPr="00D501F8" w:rsidRDefault="003F186B" w:rsidP="00997BC5">
                      <w:pPr>
                        <w:spacing w:line="276" w:lineRule="auto"/>
                        <w:rPr>
                          <w:rFonts w:asciiTheme="majorHAnsi" w:hAnsiTheme="majorHAnsi" w:cs="Arial"/>
                          <w:b/>
                          <w:bCs/>
                          <w:color w:val="0D0D0D" w:themeColor="text1" w:themeTint="F2"/>
                          <w:sz w:val="36"/>
                          <w:szCs w:val="22"/>
                        </w:rPr>
                      </w:pPr>
                      <w:r w:rsidRPr="00D501F8">
                        <w:rPr>
                          <w:rFonts w:asciiTheme="majorHAnsi" w:hAnsiTheme="majorHAnsi" w:cs="Arial"/>
                          <w:b/>
                          <w:bCs/>
                          <w:color w:val="0D0D0D" w:themeColor="text1" w:themeTint="F2"/>
                          <w:sz w:val="36"/>
                          <w:szCs w:val="22"/>
                        </w:rPr>
                        <w:t xml:space="preserve">INFORME </w:t>
                      </w:r>
                      <w:r w:rsidRPr="00D501F8">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26/20</w:t>
                      </w:r>
                    </w:p>
                    <w:p w14:paraId="0EBF986F" w14:textId="77777777" w:rsidR="003F186B" w:rsidRPr="00D501F8" w:rsidRDefault="003F186B" w:rsidP="00997BC5">
                      <w:pPr>
                        <w:spacing w:line="276" w:lineRule="auto"/>
                        <w:rPr>
                          <w:rFonts w:asciiTheme="majorHAnsi" w:hAnsiTheme="majorHAnsi" w:cs="Arial"/>
                          <w:b/>
                          <w:color w:val="0D0D0D" w:themeColor="text1" w:themeTint="F2"/>
                          <w:sz w:val="36"/>
                          <w:szCs w:val="22"/>
                        </w:rPr>
                      </w:pPr>
                      <w:r w:rsidRPr="00D501F8">
                        <w:rPr>
                          <w:rFonts w:asciiTheme="majorHAnsi" w:hAnsiTheme="majorHAnsi" w:cs="Arial"/>
                          <w:b/>
                          <w:color w:val="0D0D0D" w:themeColor="text1" w:themeTint="F2"/>
                          <w:sz w:val="36"/>
                          <w:szCs w:val="22"/>
                        </w:rPr>
                        <w:t>CASO 12.545</w:t>
                      </w:r>
                    </w:p>
                    <w:p w14:paraId="67478961" w14:textId="77777777" w:rsidR="003F186B" w:rsidRPr="003B0BE8" w:rsidRDefault="003F186B" w:rsidP="000158FD">
                      <w:pPr>
                        <w:spacing w:line="276" w:lineRule="auto"/>
                        <w:rPr>
                          <w:rFonts w:asciiTheme="majorHAnsi" w:hAnsiTheme="majorHAnsi" w:cs="Arial"/>
                          <w:color w:val="0D0D0D" w:themeColor="text1" w:themeTint="F2"/>
                          <w:sz w:val="24"/>
                          <w:szCs w:val="24"/>
                          <w:lang w:val="es-MX"/>
                        </w:rPr>
                      </w:pPr>
                      <w:r w:rsidRPr="00D501F8">
                        <w:rPr>
                          <w:rFonts w:asciiTheme="majorHAnsi" w:hAnsiTheme="majorHAnsi" w:cs="Arial"/>
                          <w:color w:val="0D0D0D" w:themeColor="text1" w:themeTint="F2"/>
                          <w:sz w:val="24"/>
                          <w:szCs w:val="24"/>
                        </w:rPr>
                        <w:t xml:space="preserve">INFORME DE </w:t>
                      </w:r>
                      <w:r w:rsidRPr="00F27BD9">
                        <w:rPr>
                          <w:rFonts w:asciiTheme="majorHAnsi" w:hAnsiTheme="majorHAnsi" w:cs="Arial"/>
                          <w:color w:val="0D0D0D" w:themeColor="text1" w:themeTint="F2"/>
                          <w:sz w:val="24"/>
                          <w:szCs w:val="24"/>
                        </w:rPr>
                        <w:t xml:space="preserve">FONDO </w:t>
                      </w:r>
                      <w:r w:rsidRPr="00F27BD9">
                        <w:rPr>
                          <w:rFonts w:asciiTheme="majorHAnsi" w:hAnsiTheme="majorHAnsi" w:cs="Arial"/>
                          <w:color w:val="0D0D0D" w:themeColor="text1" w:themeTint="F2"/>
                          <w:sz w:val="24"/>
                          <w:szCs w:val="24"/>
                          <w:lang w:val="es-MX"/>
                        </w:rPr>
                        <w:t>(PUBLICACIÓN)</w:t>
                      </w:r>
                    </w:p>
                    <w:p w14:paraId="3E6E2AC6" w14:textId="77777777" w:rsidR="003F186B" w:rsidRPr="00D501F8" w:rsidRDefault="003F186B" w:rsidP="00997BC5">
                      <w:pPr>
                        <w:spacing w:line="276" w:lineRule="auto"/>
                        <w:rPr>
                          <w:rFonts w:asciiTheme="majorHAnsi" w:hAnsiTheme="majorHAnsi" w:cs="Arial"/>
                          <w:color w:val="0D0D0D" w:themeColor="text1" w:themeTint="F2"/>
                          <w:sz w:val="24"/>
                          <w:szCs w:val="24"/>
                        </w:rPr>
                      </w:pPr>
                      <w:bookmarkStart w:id="1" w:name="_ftnref1"/>
                    </w:p>
                    <w:bookmarkEnd w:id="1"/>
                    <w:p w14:paraId="236BD449" w14:textId="77777777" w:rsidR="003F186B" w:rsidRPr="00D501F8" w:rsidRDefault="003F186B" w:rsidP="001E28D1">
                      <w:pPr>
                        <w:rPr>
                          <w:rFonts w:asciiTheme="majorHAnsi" w:hAnsiTheme="majorHAnsi" w:cs="Arial"/>
                          <w:color w:val="0D0D0D" w:themeColor="text1" w:themeTint="F2"/>
                          <w:sz w:val="24"/>
                          <w:szCs w:val="24"/>
                        </w:rPr>
                      </w:pPr>
                      <w:r w:rsidRPr="00D501F8">
                        <w:rPr>
                          <w:rFonts w:asciiTheme="majorHAnsi" w:hAnsiTheme="majorHAnsi" w:cs="Arial"/>
                          <w:color w:val="0D0D0D" w:themeColor="text1" w:themeTint="F2"/>
                          <w:sz w:val="24"/>
                          <w:szCs w:val="24"/>
                        </w:rPr>
                        <w:t>ISAMU CARLOS SHIBAYAMA, KENICHI JAVIER SHIBAYAMA Y TAKESHI JORGE SHIBAYAMA</w:t>
                      </w:r>
                    </w:p>
                    <w:p w14:paraId="7ABBACA3" w14:textId="77777777" w:rsidR="003F186B" w:rsidRPr="00D501F8" w:rsidRDefault="003F186B" w:rsidP="001E28D1">
                      <w:pPr>
                        <w:rPr>
                          <w:color w:val="0D0D0D" w:themeColor="text1" w:themeTint="F2"/>
                          <w:sz w:val="24"/>
                          <w:szCs w:val="24"/>
                        </w:rPr>
                      </w:pPr>
                      <w:r w:rsidRPr="00D501F8">
                        <w:rPr>
                          <w:rFonts w:asciiTheme="majorHAnsi" w:hAnsiTheme="majorHAnsi" w:cs="Arial"/>
                          <w:color w:val="0D0D0D" w:themeColor="text1" w:themeTint="F2"/>
                          <w:sz w:val="24"/>
                          <w:szCs w:val="24"/>
                        </w:rPr>
                        <w:t>ESTADOS UNIDOS DE AMÉRICA</w:t>
                      </w:r>
                    </w:p>
                  </w:txbxContent>
                </v:textbox>
              </v:shape>
            </w:pict>
          </mc:Fallback>
        </mc:AlternateContent>
      </w:r>
      <w:r w:rsidR="004E2649" w:rsidRPr="00DB5BAC">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49BF87DD" wp14:editId="53CC022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15C4F" w14:textId="77777777" w:rsidR="003F186B" w:rsidRPr="00D501F8" w:rsidRDefault="003F186B" w:rsidP="007A5817">
                            <w:pPr>
                              <w:spacing w:line="276" w:lineRule="auto"/>
                              <w:jc w:val="right"/>
                              <w:rPr>
                                <w:rFonts w:asciiTheme="minorHAnsi" w:hAnsiTheme="minorHAnsi"/>
                                <w:color w:val="FFFFFF" w:themeColor="background1"/>
                                <w:sz w:val="22"/>
                              </w:rPr>
                            </w:pPr>
                            <w:r w:rsidRPr="00D501F8">
                              <w:rPr>
                                <w:rFonts w:asciiTheme="minorHAnsi" w:hAnsiTheme="minorHAnsi"/>
                                <w:color w:val="FFFFFF" w:themeColor="background1"/>
                                <w:sz w:val="22"/>
                              </w:rPr>
                              <w:t>OEA/Ser.L/V/II.XX</w:t>
                            </w:r>
                          </w:p>
                          <w:p w14:paraId="0EBF2828" w14:textId="77777777" w:rsidR="003F186B" w:rsidRPr="00D501F8" w:rsidRDefault="003F186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Doc. 36</w:t>
                            </w:r>
                          </w:p>
                          <w:p w14:paraId="567437C2" w14:textId="77777777" w:rsidR="003F186B" w:rsidRPr="00F27BD9" w:rsidRDefault="003F186B" w:rsidP="00F27BD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w:t>
                            </w:r>
                            <w:r w:rsidR="004C79C4">
                              <w:rPr>
                                <w:rFonts w:asciiTheme="minorHAnsi" w:hAnsiTheme="minorHAnsi"/>
                                <w:color w:val="FFFFFF" w:themeColor="background1"/>
                                <w:sz w:val="22"/>
                              </w:rPr>
                              <w:t>2</w:t>
                            </w:r>
                            <w:r>
                              <w:rPr>
                                <w:rFonts w:asciiTheme="minorHAnsi" w:hAnsiTheme="minorHAnsi"/>
                                <w:color w:val="FFFFFF" w:themeColor="background1"/>
                                <w:sz w:val="22"/>
                              </w:rPr>
                              <w:t xml:space="preserve"> de abril</w:t>
                            </w:r>
                            <w:r w:rsidRPr="00F27BD9">
                              <w:rPr>
                                <w:rFonts w:asciiTheme="minorHAnsi" w:hAnsiTheme="minorHAnsi"/>
                                <w:color w:val="FFFFFF" w:themeColor="background1"/>
                                <w:sz w:val="22"/>
                              </w:rPr>
                              <w:t xml:space="preserve"> </w:t>
                            </w:r>
                            <w:r>
                              <w:rPr>
                                <w:rFonts w:asciiTheme="minorHAnsi" w:hAnsiTheme="minorHAnsi"/>
                                <w:color w:val="FFFFFF" w:themeColor="background1"/>
                                <w:sz w:val="22"/>
                              </w:rPr>
                              <w:t>2020</w:t>
                            </w:r>
                          </w:p>
                          <w:p w14:paraId="438BF447" w14:textId="77777777" w:rsidR="003F186B" w:rsidRPr="00D501F8" w:rsidRDefault="003F186B" w:rsidP="007A5817">
                            <w:pPr>
                              <w:spacing w:line="276" w:lineRule="auto"/>
                              <w:jc w:val="right"/>
                              <w:rPr>
                                <w:rFonts w:asciiTheme="minorHAnsi" w:hAnsiTheme="minorHAnsi"/>
                                <w:color w:val="FFFFFF" w:themeColor="background1"/>
                                <w:sz w:val="22"/>
                              </w:rPr>
                            </w:pPr>
                            <w:r w:rsidRPr="00D501F8">
                              <w:rPr>
                                <w:rFonts w:asciiTheme="minorHAnsi" w:hAnsiTheme="minorHAnsi"/>
                                <w:color w:val="FFFFFF" w:themeColor="background1"/>
                                <w:sz w:val="22"/>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F87D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5815C4F" w14:textId="77777777" w:rsidR="003F186B" w:rsidRPr="00D501F8" w:rsidRDefault="003F186B" w:rsidP="007A5817">
                      <w:pPr>
                        <w:spacing w:line="276" w:lineRule="auto"/>
                        <w:jc w:val="right"/>
                        <w:rPr>
                          <w:rFonts w:asciiTheme="minorHAnsi" w:hAnsiTheme="minorHAnsi"/>
                          <w:color w:val="FFFFFF" w:themeColor="background1"/>
                          <w:sz w:val="22"/>
                        </w:rPr>
                      </w:pPr>
                      <w:r w:rsidRPr="00D501F8">
                        <w:rPr>
                          <w:rFonts w:asciiTheme="minorHAnsi" w:hAnsiTheme="minorHAnsi"/>
                          <w:color w:val="FFFFFF" w:themeColor="background1"/>
                          <w:sz w:val="22"/>
                        </w:rPr>
                        <w:t>OEA/Ser.L/V/II.XX</w:t>
                      </w:r>
                    </w:p>
                    <w:p w14:paraId="0EBF2828" w14:textId="77777777" w:rsidR="003F186B" w:rsidRPr="00D501F8" w:rsidRDefault="003F186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Doc. 36</w:t>
                      </w:r>
                    </w:p>
                    <w:p w14:paraId="567437C2" w14:textId="77777777" w:rsidR="003F186B" w:rsidRPr="00F27BD9" w:rsidRDefault="003F186B" w:rsidP="00F27BD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w:t>
                      </w:r>
                      <w:r w:rsidR="004C79C4">
                        <w:rPr>
                          <w:rFonts w:asciiTheme="minorHAnsi" w:hAnsiTheme="minorHAnsi"/>
                          <w:color w:val="FFFFFF" w:themeColor="background1"/>
                          <w:sz w:val="22"/>
                        </w:rPr>
                        <w:t>2</w:t>
                      </w:r>
                      <w:r>
                        <w:rPr>
                          <w:rFonts w:asciiTheme="minorHAnsi" w:hAnsiTheme="minorHAnsi"/>
                          <w:color w:val="FFFFFF" w:themeColor="background1"/>
                          <w:sz w:val="22"/>
                        </w:rPr>
                        <w:t xml:space="preserve"> de abril</w:t>
                      </w:r>
                      <w:r w:rsidRPr="00F27BD9">
                        <w:rPr>
                          <w:rFonts w:asciiTheme="minorHAnsi" w:hAnsiTheme="minorHAnsi"/>
                          <w:color w:val="FFFFFF" w:themeColor="background1"/>
                          <w:sz w:val="22"/>
                        </w:rPr>
                        <w:t xml:space="preserve"> </w:t>
                      </w:r>
                      <w:r>
                        <w:rPr>
                          <w:rFonts w:asciiTheme="minorHAnsi" w:hAnsiTheme="minorHAnsi"/>
                          <w:color w:val="FFFFFF" w:themeColor="background1"/>
                          <w:sz w:val="22"/>
                        </w:rPr>
                        <w:t>2020</w:t>
                      </w:r>
                    </w:p>
                    <w:p w14:paraId="438BF447" w14:textId="77777777" w:rsidR="003F186B" w:rsidRPr="00D501F8" w:rsidRDefault="003F186B" w:rsidP="007A5817">
                      <w:pPr>
                        <w:spacing w:line="276" w:lineRule="auto"/>
                        <w:jc w:val="right"/>
                        <w:rPr>
                          <w:rFonts w:asciiTheme="minorHAnsi" w:hAnsiTheme="minorHAnsi"/>
                          <w:color w:val="FFFFFF" w:themeColor="background1"/>
                          <w:sz w:val="22"/>
                        </w:rPr>
                      </w:pPr>
                      <w:r w:rsidRPr="00D501F8">
                        <w:rPr>
                          <w:rFonts w:asciiTheme="minorHAnsi" w:hAnsiTheme="minorHAnsi"/>
                          <w:color w:val="FFFFFF" w:themeColor="background1"/>
                          <w:sz w:val="22"/>
                        </w:rPr>
                        <w:t>Original: inglés</w:t>
                      </w:r>
                    </w:p>
                  </w:txbxContent>
                </v:textbox>
              </v:shape>
            </w:pict>
          </mc:Fallback>
        </mc:AlternateContent>
      </w:r>
    </w:p>
    <w:p w14:paraId="11B70A79" w14:textId="77777777" w:rsidR="00040C3A" w:rsidRPr="00DB5BAC" w:rsidRDefault="00040C3A" w:rsidP="00040C3A">
      <w:pPr>
        <w:tabs>
          <w:tab w:val="center" w:pos="5400"/>
        </w:tabs>
        <w:suppressAutoHyphens/>
        <w:jc w:val="center"/>
        <w:rPr>
          <w:rFonts w:asciiTheme="majorHAnsi" w:hAnsiTheme="majorHAnsi"/>
          <w:sz w:val="22"/>
          <w:szCs w:val="22"/>
        </w:rPr>
      </w:pPr>
    </w:p>
    <w:p w14:paraId="36197483" w14:textId="77777777" w:rsidR="00040C3A" w:rsidRPr="00DB5BAC" w:rsidRDefault="00040C3A" w:rsidP="00040C3A">
      <w:pPr>
        <w:tabs>
          <w:tab w:val="center" w:pos="5400"/>
        </w:tabs>
        <w:suppressAutoHyphens/>
        <w:jc w:val="center"/>
        <w:rPr>
          <w:rFonts w:asciiTheme="majorHAnsi" w:hAnsiTheme="majorHAnsi"/>
          <w:sz w:val="22"/>
          <w:szCs w:val="22"/>
        </w:rPr>
      </w:pPr>
    </w:p>
    <w:p w14:paraId="0997940B" w14:textId="77777777" w:rsidR="00040C3A" w:rsidRPr="00DB5BAC" w:rsidRDefault="00040C3A" w:rsidP="00040C3A">
      <w:pPr>
        <w:tabs>
          <w:tab w:val="center" w:pos="5400"/>
        </w:tabs>
        <w:suppressAutoHyphens/>
        <w:jc w:val="center"/>
        <w:rPr>
          <w:rFonts w:asciiTheme="majorHAnsi" w:hAnsiTheme="majorHAnsi" w:cs="Arial"/>
          <w:sz w:val="22"/>
          <w:szCs w:val="22"/>
        </w:rPr>
      </w:pPr>
    </w:p>
    <w:p w14:paraId="1717244B" w14:textId="77777777" w:rsidR="00040C3A" w:rsidRPr="00DB5BAC" w:rsidRDefault="00040C3A" w:rsidP="00040C3A">
      <w:pPr>
        <w:tabs>
          <w:tab w:val="center" w:pos="5400"/>
        </w:tabs>
        <w:suppressAutoHyphens/>
        <w:jc w:val="center"/>
        <w:rPr>
          <w:rFonts w:asciiTheme="majorHAnsi" w:hAnsiTheme="majorHAnsi"/>
          <w:sz w:val="22"/>
          <w:szCs w:val="22"/>
        </w:rPr>
      </w:pPr>
    </w:p>
    <w:p w14:paraId="6DD810DC" w14:textId="77777777" w:rsidR="00040C3A" w:rsidRPr="00DB5BAC" w:rsidRDefault="00040C3A" w:rsidP="00040C3A">
      <w:pPr>
        <w:tabs>
          <w:tab w:val="center" w:pos="5400"/>
        </w:tabs>
        <w:suppressAutoHyphens/>
        <w:jc w:val="center"/>
        <w:rPr>
          <w:rFonts w:asciiTheme="majorHAnsi" w:hAnsiTheme="majorHAnsi"/>
          <w:sz w:val="22"/>
          <w:szCs w:val="22"/>
        </w:rPr>
      </w:pPr>
    </w:p>
    <w:p w14:paraId="150BA9EE" w14:textId="77777777" w:rsidR="00040C3A" w:rsidRPr="00DB5BAC" w:rsidRDefault="00040C3A" w:rsidP="00040C3A">
      <w:pPr>
        <w:tabs>
          <w:tab w:val="center" w:pos="5400"/>
        </w:tabs>
        <w:suppressAutoHyphens/>
        <w:jc w:val="center"/>
        <w:rPr>
          <w:rFonts w:asciiTheme="majorHAnsi" w:hAnsiTheme="majorHAnsi"/>
          <w:sz w:val="22"/>
          <w:szCs w:val="22"/>
        </w:rPr>
      </w:pPr>
    </w:p>
    <w:p w14:paraId="7B82D969" w14:textId="77777777" w:rsidR="00040C3A" w:rsidRPr="00DB5BAC" w:rsidRDefault="00040C3A" w:rsidP="00040C3A">
      <w:pPr>
        <w:tabs>
          <w:tab w:val="center" w:pos="5400"/>
        </w:tabs>
        <w:suppressAutoHyphens/>
        <w:jc w:val="center"/>
        <w:rPr>
          <w:rFonts w:asciiTheme="majorHAnsi" w:hAnsiTheme="majorHAnsi"/>
          <w:sz w:val="22"/>
          <w:szCs w:val="22"/>
        </w:rPr>
      </w:pPr>
    </w:p>
    <w:p w14:paraId="65DB9C0F" w14:textId="77777777" w:rsidR="005128E4" w:rsidRPr="00DB5BAC" w:rsidRDefault="005128E4" w:rsidP="00040C3A">
      <w:pPr>
        <w:tabs>
          <w:tab w:val="center" w:pos="5400"/>
        </w:tabs>
        <w:suppressAutoHyphens/>
        <w:jc w:val="center"/>
        <w:rPr>
          <w:rFonts w:asciiTheme="majorHAnsi" w:hAnsiTheme="majorHAnsi"/>
          <w:sz w:val="22"/>
          <w:szCs w:val="22"/>
        </w:rPr>
      </w:pPr>
    </w:p>
    <w:p w14:paraId="34FEE2A9" w14:textId="77777777" w:rsidR="00040C3A" w:rsidRPr="00DB5BAC" w:rsidRDefault="00040C3A" w:rsidP="00040C3A">
      <w:pPr>
        <w:tabs>
          <w:tab w:val="center" w:pos="5400"/>
        </w:tabs>
        <w:suppressAutoHyphens/>
        <w:jc w:val="center"/>
        <w:rPr>
          <w:rFonts w:asciiTheme="majorHAnsi" w:hAnsiTheme="majorHAnsi"/>
          <w:sz w:val="22"/>
          <w:szCs w:val="22"/>
        </w:rPr>
      </w:pPr>
    </w:p>
    <w:p w14:paraId="314A46DC" w14:textId="77777777" w:rsidR="005128E4" w:rsidRPr="00DB5BAC" w:rsidRDefault="005128E4" w:rsidP="00040C3A">
      <w:pPr>
        <w:tabs>
          <w:tab w:val="center" w:pos="5400"/>
        </w:tabs>
        <w:suppressAutoHyphens/>
        <w:jc w:val="center"/>
        <w:rPr>
          <w:rFonts w:asciiTheme="majorHAnsi" w:hAnsiTheme="majorHAnsi"/>
          <w:sz w:val="22"/>
          <w:szCs w:val="22"/>
        </w:rPr>
      </w:pPr>
    </w:p>
    <w:p w14:paraId="098D3B1E" w14:textId="77777777" w:rsidR="005128E4" w:rsidRPr="00DB5BAC" w:rsidRDefault="005128E4" w:rsidP="00040C3A">
      <w:pPr>
        <w:tabs>
          <w:tab w:val="center" w:pos="5400"/>
        </w:tabs>
        <w:suppressAutoHyphens/>
        <w:jc w:val="center"/>
        <w:rPr>
          <w:rFonts w:asciiTheme="majorHAnsi" w:hAnsiTheme="majorHAnsi"/>
          <w:sz w:val="22"/>
          <w:szCs w:val="22"/>
        </w:rPr>
      </w:pPr>
    </w:p>
    <w:p w14:paraId="0A21B589" w14:textId="77777777" w:rsidR="005128E4" w:rsidRPr="00DB5BAC" w:rsidRDefault="005128E4" w:rsidP="00040C3A">
      <w:pPr>
        <w:tabs>
          <w:tab w:val="center" w:pos="5400"/>
        </w:tabs>
        <w:suppressAutoHyphens/>
        <w:jc w:val="center"/>
        <w:rPr>
          <w:rFonts w:asciiTheme="majorHAnsi" w:hAnsiTheme="majorHAnsi"/>
          <w:sz w:val="22"/>
          <w:szCs w:val="22"/>
        </w:rPr>
      </w:pPr>
    </w:p>
    <w:p w14:paraId="4A3DEEC2" w14:textId="77777777" w:rsidR="00040C3A" w:rsidRPr="00DB5BAC" w:rsidRDefault="00040C3A" w:rsidP="00040C3A">
      <w:pPr>
        <w:tabs>
          <w:tab w:val="center" w:pos="5400"/>
        </w:tabs>
        <w:suppressAutoHyphens/>
        <w:jc w:val="center"/>
        <w:rPr>
          <w:rFonts w:asciiTheme="majorHAnsi" w:hAnsiTheme="majorHAnsi"/>
          <w:sz w:val="22"/>
          <w:szCs w:val="22"/>
        </w:rPr>
      </w:pPr>
    </w:p>
    <w:p w14:paraId="44FD65D6" w14:textId="77777777" w:rsidR="00040C3A" w:rsidRPr="00DB5BAC" w:rsidRDefault="00040C3A" w:rsidP="00040C3A">
      <w:pPr>
        <w:tabs>
          <w:tab w:val="center" w:pos="5400"/>
        </w:tabs>
        <w:suppressAutoHyphens/>
        <w:jc w:val="center"/>
        <w:rPr>
          <w:rFonts w:asciiTheme="majorHAnsi" w:hAnsiTheme="majorHAnsi"/>
          <w:sz w:val="22"/>
          <w:szCs w:val="22"/>
        </w:rPr>
      </w:pPr>
    </w:p>
    <w:p w14:paraId="4838A905" w14:textId="77777777" w:rsidR="00A50FCF" w:rsidRPr="00DB5BAC" w:rsidRDefault="00A50FCF" w:rsidP="00040C3A">
      <w:pPr>
        <w:tabs>
          <w:tab w:val="center" w:pos="5400"/>
        </w:tabs>
        <w:suppressAutoHyphens/>
        <w:jc w:val="center"/>
        <w:rPr>
          <w:rFonts w:asciiTheme="majorHAnsi" w:hAnsiTheme="majorHAnsi"/>
          <w:sz w:val="18"/>
          <w:szCs w:val="22"/>
        </w:rPr>
      </w:pPr>
    </w:p>
    <w:p w14:paraId="40B8FC55" w14:textId="77777777" w:rsidR="00A50FCF" w:rsidRPr="00DB5BAC" w:rsidRDefault="00A50FCF" w:rsidP="00040C3A">
      <w:pPr>
        <w:tabs>
          <w:tab w:val="center" w:pos="5400"/>
        </w:tabs>
        <w:suppressAutoHyphens/>
        <w:jc w:val="center"/>
        <w:rPr>
          <w:rFonts w:asciiTheme="majorHAnsi" w:hAnsiTheme="majorHAnsi"/>
          <w:sz w:val="18"/>
          <w:szCs w:val="22"/>
        </w:rPr>
      </w:pPr>
    </w:p>
    <w:p w14:paraId="13B528B7" w14:textId="77777777" w:rsidR="00A50FCF" w:rsidRPr="00DB5BAC" w:rsidRDefault="00A50FCF" w:rsidP="00040C3A">
      <w:pPr>
        <w:tabs>
          <w:tab w:val="center" w:pos="5400"/>
        </w:tabs>
        <w:suppressAutoHyphens/>
        <w:jc w:val="center"/>
        <w:rPr>
          <w:rFonts w:asciiTheme="majorHAnsi" w:hAnsiTheme="majorHAnsi"/>
          <w:sz w:val="18"/>
          <w:szCs w:val="22"/>
        </w:rPr>
      </w:pPr>
    </w:p>
    <w:p w14:paraId="27E7B42C" w14:textId="77777777" w:rsidR="00A50FCF" w:rsidRPr="00DB5BAC" w:rsidRDefault="00A50FCF" w:rsidP="00040C3A">
      <w:pPr>
        <w:tabs>
          <w:tab w:val="center" w:pos="5400"/>
        </w:tabs>
        <w:suppressAutoHyphens/>
        <w:jc w:val="center"/>
        <w:rPr>
          <w:rFonts w:asciiTheme="majorHAnsi" w:hAnsiTheme="majorHAnsi"/>
          <w:sz w:val="18"/>
          <w:szCs w:val="22"/>
        </w:rPr>
      </w:pPr>
    </w:p>
    <w:p w14:paraId="7EF7BE98" w14:textId="77777777" w:rsidR="00A50FCF" w:rsidRPr="00DB5BAC" w:rsidRDefault="00A50FCF" w:rsidP="00040C3A">
      <w:pPr>
        <w:tabs>
          <w:tab w:val="center" w:pos="5400"/>
        </w:tabs>
        <w:suppressAutoHyphens/>
        <w:jc w:val="center"/>
        <w:rPr>
          <w:rFonts w:asciiTheme="majorHAnsi" w:hAnsiTheme="majorHAnsi"/>
          <w:sz w:val="18"/>
          <w:szCs w:val="22"/>
        </w:rPr>
      </w:pPr>
    </w:p>
    <w:p w14:paraId="0157B96B" w14:textId="77777777" w:rsidR="00A50FCF" w:rsidRPr="00DB5BAC" w:rsidRDefault="00A50FCF" w:rsidP="00040C3A">
      <w:pPr>
        <w:tabs>
          <w:tab w:val="center" w:pos="5400"/>
        </w:tabs>
        <w:suppressAutoHyphens/>
        <w:jc w:val="center"/>
        <w:rPr>
          <w:rFonts w:asciiTheme="majorHAnsi" w:hAnsiTheme="majorHAnsi"/>
          <w:sz w:val="18"/>
          <w:szCs w:val="22"/>
        </w:rPr>
      </w:pPr>
    </w:p>
    <w:p w14:paraId="1D70FC70" w14:textId="77777777" w:rsidR="00A50FCF" w:rsidRPr="00DB5BAC" w:rsidRDefault="00A50FCF" w:rsidP="00040C3A">
      <w:pPr>
        <w:tabs>
          <w:tab w:val="center" w:pos="5400"/>
        </w:tabs>
        <w:suppressAutoHyphens/>
        <w:jc w:val="center"/>
        <w:rPr>
          <w:rFonts w:asciiTheme="majorHAnsi" w:hAnsiTheme="majorHAnsi"/>
          <w:sz w:val="18"/>
          <w:szCs w:val="22"/>
        </w:rPr>
      </w:pPr>
    </w:p>
    <w:p w14:paraId="129121DE" w14:textId="77777777" w:rsidR="00A50FCF" w:rsidRPr="00DB5BAC" w:rsidRDefault="00A50FCF" w:rsidP="00040C3A">
      <w:pPr>
        <w:tabs>
          <w:tab w:val="center" w:pos="5400"/>
        </w:tabs>
        <w:suppressAutoHyphens/>
        <w:jc w:val="center"/>
        <w:rPr>
          <w:rFonts w:asciiTheme="majorHAnsi" w:hAnsiTheme="majorHAnsi"/>
          <w:sz w:val="18"/>
          <w:szCs w:val="22"/>
        </w:rPr>
      </w:pPr>
    </w:p>
    <w:p w14:paraId="64CD0412" w14:textId="77777777" w:rsidR="00A50FCF" w:rsidRPr="00DB5BAC" w:rsidRDefault="00A50FCF" w:rsidP="00040C3A">
      <w:pPr>
        <w:tabs>
          <w:tab w:val="center" w:pos="5400"/>
        </w:tabs>
        <w:suppressAutoHyphens/>
        <w:jc w:val="center"/>
        <w:rPr>
          <w:rFonts w:asciiTheme="majorHAnsi" w:hAnsiTheme="majorHAnsi"/>
          <w:sz w:val="18"/>
          <w:szCs w:val="22"/>
        </w:rPr>
      </w:pPr>
    </w:p>
    <w:p w14:paraId="28221480" w14:textId="77777777" w:rsidR="00A50FCF" w:rsidRPr="00DB5BAC" w:rsidRDefault="00A50FCF" w:rsidP="00040C3A">
      <w:pPr>
        <w:tabs>
          <w:tab w:val="center" w:pos="5400"/>
        </w:tabs>
        <w:suppressAutoHyphens/>
        <w:jc w:val="center"/>
        <w:rPr>
          <w:rFonts w:asciiTheme="majorHAnsi" w:hAnsiTheme="majorHAnsi"/>
          <w:sz w:val="18"/>
          <w:szCs w:val="22"/>
        </w:rPr>
      </w:pPr>
    </w:p>
    <w:p w14:paraId="3E792826" w14:textId="77777777" w:rsidR="00A50FCF" w:rsidRPr="00DB5BAC" w:rsidRDefault="00A50FCF" w:rsidP="00040C3A">
      <w:pPr>
        <w:tabs>
          <w:tab w:val="center" w:pos="5400"/>
        </w:tabs>
        <w:suppressAutoHyphens/>
        <w:jc w:val="center"/>
        <w:rPr>
          <w:rFonts w:asciiTheme="majorHAnsi" w:hAnsiTheme="majorHAnsi"/>
          <w:sz w:val="18"/>
          <w:szCs w:val="22"/>
        </w:rPr>
      </w:pPr>
    </w:p>
    <w:p w14:paraId="490615BE" w14:textId="77777777" w:rsidR="00A50FCF" w:rsidRPr="00DB5BAC" w:rsidRDefault="00A50FCF" w:rsidP="00040C3A">
      <w:pPr>
        <w:tabs>
          <w:tab w:val="center" w:pos="5400"/>
        </w:tabs>
        <w:suppressAutoHyphens/>
        <w:jc w:val="center"/>
        <w:rPr>
          <w:rFonts w:asciiTheme="majorHAnsi" w:hAnsiTheme="majorHAnsi"/>
          <w:sz w:val="18"/>
          <w:szCs w:val="22"/>
        </w:rPr>
      </w:pPr>
    </w:p>
    <w:p w14:paraId="097CEEFF" w14:textId="77777777" w:rsidR="00A50FCF" w:rsidRPr="00DB5BAC" w:rsidRDefault="00A50FCF" w:rsidP="00040C3A">
      <w:pPr>
        <w:tabs>
          <w:tab w:val="center" w:pos="5400"/>
        </w:tabs>
        <w:suppressAutoHyphens/>
        <w:jc w:val="center"/>
        <w:rPr>
          <w:rFonts w:asciiTheme="majorHAnsi" w:hAnsiTheme="majorHAnsi"/>
          <w:sz w:val="18"/>
          <w:szCs w:val="22"/>
        </w:rPr>
      </w:pPr>
    </w:p>
    <w:p w14:paraId="18E95F5E" w14:textId="77777777" w:rsidR="00A50FCF" w:rsidRPr="00DB5BAC" w:rsidRDefault="00A50FCF" w:rsidP="00040C3A">
      <w:pPr>
        <w:tabs>
          <w:tab w:val="center" w:pos="5400"/>
        </w:tabs>
        <w:suppressAutoHyphens/>
        <w:jc w:val="center"/>
        <w:rPr>
          <w:rFonts w:asciiTheme="majorHAnsi" w:hAnsiTheme="majorHAnsi"/>
          <w:sz w:val="18"/>
          <w:szCs w:val="22"/>
        </w:rPr>
      </w:pPr>
    </w:p>
    <w:p w14:paraId="4BFC4B80" w14:textId="77777777" w:rsidR="00A50FCF" w:rsidRPr="00DB5BAC" w:rsidRDefault="0090270B" w:rsidP="00040C3A">
      <w:pPr>
        <w:tabs>
          <w:tab w:val="center" w:pos="5400"/>
        </w:tabs>
        <w:suppressAutoHyphens/>
        <w:jc w:val="center"/>
        <w:rPr>
          <w:rFonts w:asciiTheme="majorHAnsi" w:hAnsiTheme="majorHAnsi"/>
          <w:sz w:val="18"/>
          <w:szCs w:val="22"/>
        </w:rPr>
      </w:pPr>
      <w:r w:rsidRPr="00DB5BAC">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547B55FA" wp14:editId="1A9E406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8878E" w14:textId="77777777" w:rsidR="003F186B" w:rsidRPr="00D501F8" w:rsidRDefault="003F186B" w:rsidP="00247403">
                            <w:pPr>
                              <w:tabs>
                                <w:tab w:val="center" w:pos="5400"/>
                              </w:tabs>
                              <w:suppressAutoHyphens/>
                              <w:spacing w:before="60"/>
                              <w:rPr>
                                <w:rFonts w:asciiTheme="majorHAnsi" w:hAnsiTheme="majorHAnsi" w:cs="Univers"/>
                                <w:color w:val="0D0D0D" w:themeColor="text1" w:themeTint="F2"/>
                                <w:sz w:val="18"/>
                              </w:rPr>
                            </w:pPr>
                            <w:r w:rsidRPr="00436510">
                              <w:rPr>
                                <w:rFonts w:asciiTheme="majorHAnsi" w:hAnsiTheme="majorHAnsi"/>
                                <w:color w:val="0D0D0D" w:themeColor="text1" w:themeTint="F2"/>
                                <w:sz w:val="18"/>
                              </w:rPr>
                              <w:t xml:space="preserve">Aprobado </w:t>
                            </w:r>
                            <w:r>
                              <w:rPr>
                                <w:rFonts w:asciiTheme="majorHAnsi" w:hAnsiTheme="majorHAnsi"/>
                                <w:color w:val="0D0D0D" w:themeColor="text1" w:themeTint="F2"/>
                                <w:sz w:val="18"/>
                              </w:rPr>
                              <w:t>electrónicamente por la Comisión el 2</w:t>
                            </w:r>
                            <w:r w:rsidR="004C79C4">
                              <w:rPr>
                                <w:rFonts w:asciiTheme="majorHAnsi" w:hAnsiTheme="majorHAnsi"/>
                                <w:color w:val="0D0D0D" w:themeColor="text1" w:themeTint="F2"/>
                                <w:sz w:val="18"/>
                              </w:rPr>
                              <w:t xml:space="preserve">2 </w:t>
                            </w:r>
                            <w:r>
                              <w:rPr>
                                <w:rFonts w:asciiTheme="majorHAnsi" w:hAnsiTheme="majorHAnsi"/>
                                <w:color w:val="0D0D0D" w:themeColor="text1" w:themeTint="F2"/>
                                <w:sz w:val="18"/>
                              </w:rPr>
                              <w:t>de abril de 2020</w:t>
                            </w:r>
                          </w:p>
                          <w:p w14:paraId="22F53B6A" w14:textId="77777777" w:rsidR="003F186B" w:rsidRPr="00D501F8" w:rsidRDefault="003F186B" w:rsidP="0059191A">
                            <w:pPr>
                              <w:tabs>
                                <w:tab w:val="center" w:pos="5400"/>
                              </w:tabs>
                              <w:suppressAutoHyphens/>
                              <w:spacing w:before="60"/>
                              <w:rPr>
                                <w:rFonts w:ascii="Calibri" w:hAnsi="Calibri"/>
                                <w:color w:val="FFFFFF" w:themeColor="background1"/>
                                <w:spacing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B55F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878878E" w14:textId="77777777" w:rsidR="003F186B" w:rsidRPr="00D501F8" w:rsidRDefault="003F186B" w:rsidP="00247403">
                      <w:pPr>
                        <w:tabs>
                          <w:tab w:val="center" w:pos="5400"/>
                        </w:tabs>
                        <w:suppressAutoHyphens/>
                        <w:spacing w:before="60"/>
                        <w:rPr>
                          <w:rFonts w:asciiTheme="majorHAnsi" w:hAnsiTheme="majorHAnsi" w:cs="Univers"/>
                          <w:color w:val="0D0D0D" w:themeColor="text1" w:themeTint="F2"/>
                          <w:sz w:val="18"/>
                        </w:rPr>
                      </w:pPr>
                      <w:r w:rsidRPr="00436510">
                        <w:rPr>
                          <w:rFonts w:asciiTheme="majorHAnsi" w:hAnsiTheme="majorHAnsi"/>
                          <w:color w:val="0D0D0D" w:themeColor="text1" w:themeTint="F2"/>
                          <w:sz w:val="18"/>
                        </w:rPr>
                        <w:t xml:space="preserve">Aprobado </w:t>
                      </w:r>
                      <w:r>
                        <w:rPr>
                          <w:rFonts w:asciiTheme="majorHAnsi" w:hAnsiTheme="majorHAnsi"/>
                          <w:color w:val="0D0D0D" w:themeColor="text1" w:themeTint="F2"/>
                          <w:sz w:val="18"/>
                        </w:rPr>
                        <w:t>electrónicamente por la Comisión el 2</w:t>
                      </w:r>
                      <w:r w:rsidR="004C79C4">
                        <w:rPr>
                          <w:rFonts w:asciiTheme="majorHAnsi" w:hAnsiTheme="majorHAnsi"/>
                          <w:color w:val="0D0D0D" w:themeColor="text1" w:themeTint="F2"/>
                          <w:sz w:val="18"/>
                        </w:rPr>
                        <w:t xml:space="preserve">2 </w:t>
                      </w:r>
                      <w:r>
                        <w:rPr>
                          <w:rFonts w:asciiTheme="majorHAnsi" w:hAnsiTheme="majorHAnsi"/>
                          <w:color w:val="0D0D0D" w:themeColor="text1" w:themeTint="F2"/>
                          <w:sz w:val="18"/>
                        </w:rPr>
                        <w:t>de abril de 2020</w:t>
                      </w:r>
                    </w:p>
                    <w:p w14:paraId="22F53B6A" w14:textId="77777777" w:rsidR="003F186B" w:rsidRPr="00D501F8" w:rsidRDefault="003F186B" w:rsidP="0059191A">
                      <w:pPr>
                        <w:tabs>
                          <w:tab w:val="center" w:pos="5400"/>
                        </w:tabs>
                        <w:suppressAutoHyphens/>
                        <w:spacing w:before="60"/>
                        <w:rPr>
                          <w:rFonts w:ascii="Calibri" w:hAnsi="Calibri"/>
                          <w:color w:val="FFFFFF" w:themeColor="background1"/>
                          <w:spacing w:val="-2"/>
                        </w:rPr>
                      </w:pPr>
                    </w:p>
                  </w:txbxContent>
                </v:textbox>
              </v:shape>
            </w:pict>
          </mc:Fallback>
        </mc:AlternateContent>
      </w:r>
    </w:p>
    <w:p w14:paraId="28E949BD" w14:textId="77777777" w:rsidR="00A50FCF" w:rsidRPr="00DB5BAC" w:rsidRDefault="00A50FCF" w:rsidP="00040C3A">
      <w:pPr>
        <w:tabs>
          <w:tab w:val="center" w:pos="5400"/>
        </w:tabs>
        <w:suppressAutoHyphens/>
        <w:jc w:val="center"/>
        <w:rPr>
          <w:rFonts w:asciiTheme="majorHAnsi" w:hAnsiTheme="majorHAnsi"/>
          <w:sz w:val="18"/>
          <w:szCs w:val="22"/>
        </w:rPr>
      </w:pPr>
    </w:p>
    <w:p w14:paraId="18BEA224" w14:textId="77777777" w:rsidR="00A50FCF" w:rsidRPr="00DB5BAC" w:rsidRDefault="00A50FCF" w:rsidP="00040C3A">
      <w:pPr>
        <w:tabs>
          <w:tab w:val="center" w:pos="5400"/>
        </w:tabs>
        <w:suppressAutoHyphens/>
        <w:jc w:val="center"/>
        <w:rPr>
          <w:rFonts w:asciiTheme="majorHAnsi" w:hAnsiTheme="majorHAnsi"/>
          <w:sz w:val="18"/>
          <w:szCs w:val="22"/>
        </w:rPr>
      </w:pPr>
    </w:p>
    <w:p w14:paraId="645F07AF" w14:textId="77777777" w:rsidR="00A50FCF" w:rsidRPr="00DB5BAC" w:rsidRDefault="00A50FCF" w:rsidP="00040C3A">
      <w:pPr>
        <w:tabs>
          <w:tab w:val="center" w:pos="5400"/>
        </w:tabs>
        <w:suppressAutoHyphens/>
        <w:jc w:val="center"/>
        <w:rPr>
          <w:rFonts w:asciiTheme="majorHAnsi" w:hAnsiTheme="majorHAnsi"/>
          <w:sz w:val="18"/>
          <w:szCs w:val="22"/>
        </w:rPr>
      </w:pPr>
    </w:p>
    <w:p w14:paraId="2CB69ECA" w14:textId="77777777" w:rsidR="00A50FCF" w:rsidRPr="00DB5BAC" w:rsidRDefault="00A50FCF" w:rsidP="00040C3A">
      <w:pPr>
        <w:tabs>
          <w:tab w:val="center" w:pos="5400"/>
        </w:tabs>
        <w:suppressAutoHyphens/>
        <w:jc w:val="center"/>
        <w:rPr>
          <w:rFonts w:asciiTheme="majorHAnsi" w:hAnsiTheme="majorHAnsi"/>
          <w:sz w:val="18"/>
          <w:szCs w:val="22"/>
        </w:rPr>
      </w:pPr>
    </w:p>
    <w:p w14:paraId="74F67988" w14:textId="77777777" w:rsidR="00A50FCF" w:rsidRPr="00DB5BAC" w:rsidRDefault="0090270B" w:rsidP="00040C3A">
      <w:pPr>
        <w:tabs>
          <w:tab w:val="center" w:pos="5400"/>
        </w:tabs>
        <w:suppressAutoHyphens/>
        <w:jc w:val="center"/>
        <w:rPr>
          <w:rFonts w:asciiTheme="majorHAnsi" w:hAnsiTheme="majorHAnsi"/>
          <w:sz w:val="18"/>
          <w:szCs w:val="22"/>
        </w:rPr>
      </w:pPr>
      <w:r w:rsidRPr="00DB5BAC">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441A3897" wp14:editId="3CF9CC0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6A197" w14:textId="77777777" w:rsidR="003F186B" w:rsidRPr="00D501F8" w:rsidRDefault="003F186B" w:rsidP="00113F73">
                            <w:pPr>
                              <w:spacing w:line="276" w:lineRule="auto"/>
                              <w:rPr>
                                <w:rFonts w:asciiTheme="majorHAnsi" w:hAnsiTheme="majorHAnsi"/>
                                <w:color w:val="auto"/>
                                <w:sz w:val="18"/>
                                <w:szCs w:val="18"/>
                              </w:rPr>
                            </w:pPr>
                            <w:r w:rsidRPr="00486E69">
                              <w:rPr>
                                <w:b/>
                                <w:sz w:val="18"/>
                                <w:lang w:val="pt-BR"/>
                              </w:rPr>
                              <w:t xml:space="preserve">Citar como: </w:t>
                            </w:r>
                            <w:r w:rsidRPr="00486E69">
                              <w:rPr>
                                <w:sz w:val="18"/>
                                <w:lang w:val="pt-BR"/>
                              </w:rPr>
                              <w:t xml:space="preserve">CIDH, </w:t>
                            </w:r>
                            <w:r w:rsidRPr="00486E69">
                              <w:rPr>
                                <w:color w:val="auto"/>
                                <w:sz w:val="18"/>
                                <w:lang w:val="pt-BR"/>
                              </w:rPr>
                              <w:t>Informe</w:t>
                            </w:r>
                            <w:r>
                              <w:rPr>
                                <w:rFonts w:asciiTheme="majorHAnsi" w:hAnsiTheme="majorHAnsi"/>
                                <w:color w:val="auto"/>
                                <w:sz w:val="18"/>
                                <w:szCs w:val="18"/>
                                <w:lang w:val="pt-BR"/>
                              </w:rPr>
                              <w:t xml:space="preserve"> No. 26/20</w:t>
                            </w:r>
                            <w:r w:rsidRPr="00486E69">
                              <w:rPr>
                                <w:rFonts w:asciiTheme="majorHAnsi" w:hAnsiTheme="majorHAnsi"/>
                                <w:color w:val="auto"/>
                                <w:sz w:val="18"/>
                                <w:szCs w:val="18"/>
                                <w:lang w:val="pt-BR"/>
                              </w:rPr>
                              <w:t xml:space="preserve">, Caso 12.545. </w:t>
                            </w:r>
                            <w:r w:rsidRPr="00D501F8">
                              <w:rPr>
                                <w:rFonts w:asciiTheme="majorHAnsi" w:hAnsiTheme="majorHAnsi"/>
                                <w:color w:val="auto"/>
                                <w:sz w:val="18"/>
                                <w:szCs w:val="18"/>
                                <w:lang w:val="es-US"/>
                              </w:rPr>
                              <w:t>Fondo</w:t>
                            </w:r>
                            <w:r>
                              <w:rPr>
                                <w:rFonts w:asciiTheme="majorHAnsi" w:hAnsiTheme="majorHAnsi"/>
                                <w:color w:val="auto"/>
                                <w:sz w:val="18"/>
                                <w:szCs w:val="18"/>
                                <w:lang w:val="es-US"/>
                              </w:rPr>
                              <w:t xml:space="preserve"> (</w:t>
                            </w:r>
                            <w:r w:rsidR="008561DB">
                              <w:rPr>
                                <w:rFonts w:asciiTheme="majorHAnsi" w:hAnsiTheme="majorHAnsi"/>
                                <w:color w:val="auto"/>
                                <w:sz w:val="18"/>
                                <w:szCs w:val="18"/>
                                <w:lang w:val="es-US"/>
                              </w:rPr>
                              <w:t>P</w:t>
                            </w:r>
                            <w:r w:rsidR="00550DA2">
                              <w:rPr>
                                <w:rFonts w:asciiTheme="majorHAnsi" w:hAnsiTheme="majorHAnsi"/>
                                <w:color w:val="auto"/>
                                <w:sz w:val="18"/>
                                <w:szCs w:val="18"/>
                                <w:lang w:val="es-US"/>
                              </w:rPr>
                              <w:t>UBLICACIÓN</w:t>
                            </w:r>
                            <w:r>
                              <w:rPr>
                                <w:rFonts w:asciiTheme="majorHAnsi" w:hAnsiTheme="majorHAnsi"/>
                                <w:color w:val="auto"/>
                                <w:sz w:val="18"/>
                                <w:szCs w:val="18"/>
                                <w:lang w:val="es-US"/>
                              </w:rPr>
                              <w:t>)</w:t>
                            </w:r>
                            <w:r w:rsidRPr="00D501F8">
                              <w:rPr>
                                <w:rFonts w:asciiTheme="majorHAnsi" w:hAnsiTheme="majorHAnsi"/>
                                <w:color w:val="auto"/>
                                <w:sz w:val="18"/>
                                <w:szCs w:val="18"/>
                              </w:rPr>
                              <w:t xml:space="preserve">. Isamu Carlos Shibayama y otros. Estados Unidos. </w:t>
                            </w:r>
                            <w:r>
                              <w:rPr>
                                <w:rFonts w:asciiTheme="majorHAnsi" w:hAnsiTheme="majorHAnsi"/>
                                <w:color w:val="auto"/>
                                <w:sz w:val="18"/>
                                <w:szCs w:val="18"/>
                              </w:rPr>
                              <w:t>2</w:t>
                            </w:r>
                            <w:r w:rsidR="004C79C4">
                              <w:rPr>
                                <w:rFonts w:asciiTheme="majorHAnsi" w:hAnsiTheme="majorHAnsi"/>
                                <w:color w:val="auto"/>
                                <w:sz w:val="18"/>
                                <w:szCs w:val="18"/>
                              </w:rPr>
                              <w:t>2</w:t>
                            </w:r>
                            <w:r>
                              <w:rPr>
                                <w:rFonts w:asciiTheme="majorHAnsi" w:hAnsiTheme="majorHAnsi"/>
                                <w:color w:val="auto"/>
                                <w:sz w:val="18"/>
                                <w:szCs w:val="18"/>
                              </w:rPr>
                              <w:t xml:space="preserve"> de abril</w:t>
                            </w:r>
                            <w:r>
                              <w:rPr>
                                <w:rFonts w:asciiTheme="majorHAnsi" w:hAnsiTheme="majorHAnsi"/>
                                <w:color w:val="0D0D0D" w:themeColor="text1" w:themeTint="F2"/>
                                <w:sz w:val="18"/>
                              </w:rPr>
                              <w:t xml:space="preserve"> de 2020</w:t>
                            </w:r>
                            <w:r w:rsidRPr="00D501F8">
                              <w:rPr>
                                <w:rFonts w:asciiTheme="majorHAnsi" w:hAnsiTheme="majorHAnsi"/>
                                <w:color w:val="aut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A389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776A197" w14:textId="77777777" w:rsidR="003F186B" w:rsidRPr="00D501F8" w:rsidRDefault="003F186B" w:rsidP="00113F73">
                      <w:pPr>
                        <w:spacing w:line="276" w:lineRule="auto"/>
                        <w:rPr>
                          <w:rFonts w:asciiTheme="majorHAnsi" w:hAnsiTheme="majorHAnsi"/>
                          <w:color w:val="auto"/>
                          <w:sz w:val="18"/>
                          <w:szCs w:val="18"/>
                        </w:rPr>
                      </w:pPr>
                      <w:r w:rsidRPr="00486E69">
                        <w:rPr>
                          <w:b/>
                          <w:sz w:val="18"/>
                          <w:lang w:val="pt-BR"/>
                        </w:rPr>
                        <w:t xml:space="preserve">Citar como: </w:t>
                      </w:r>
                      <w:r w:rsidRPr="00486E69">
                        <w:rPr>
                          <w:sz w:val="18"/>
                          <w:lang w:val="pt-BR"/>
                        </w:rPr>
                        <w:t xml:space="preserve">CIDH, </w:t>
                      </w:r>
                      <w:r w:rsidRPr="00486E69">
                        <w:rPr>
                          <w:color w:val="auto"/>
                          <w:sz w:val="18"/>
                          <w:lang w:val="pt-BR"/>
                        </w:rPr>
                        <w:t>Informe</w:t>
                      </w:r>
                      <w:r>
                        <w:rPr>
                          <w:rFonts w:asciiTheme="majorHAnsi" w:hAnsiTheme="majorHAnsi"/>
                          <w:color w:val="auto"/>
                          <w:sz w:val="18"/>
                          <w:szCs w:val="18"/>
                          <w:lang w:val="pt-BR"/>
                        </w:rPr>
                        <w:t xml:space="preserve"> No. 26/20</w:t>
                      </w:r>
                      <w:r w:rsidRPr="00486E69">
                        <w:rPr>
                          <w:rFonts w:asciiTheme="majorHAnsi" w:hAnsiTheme="majorHAnsi"/>
                          <w:color w:val="auto"/>
                          <w:sz w:val="18"/>
                          <w:szCs w:val="18"/>
                          <w:lang w:val="pt-BR"/>
                        </w:rPr>
                        <w:t xml:space="preserve">, Caso 12.545. </w:t>
                      </w:r>
                      <w:r w:rsidRPr="00D501F8">
                        <w:rPr>
                          <w:rFonts w:asciiTheme="majorHAnsi" w:hAnsiTheme="majorHAnsi"/>
                          <w:color w:val="auto"/>
                          <w:sz w:val="18"/>
                          <w:szCs w:val="18"/>
                          <w:lang w:val="es-US"/>
                        </w:rPr>
                        <w:t>Fondo</w:t>
                      </w:r>
                      <w:r>
                        <w:rPr>
                          <w:rFonts w:asciiTheme="majorHAnsi" w:hAnsiTheme="majorHAnsi"/>
                          <w:color w:val="auto"/>
                          <w:sz w:val="18"/>
                          <w:szCs w:val="18"/>
                          <w:lang w:val="es-US"/>
                        </w:rPr>
                        <w:t xml:space="preserve"> (</w:t>
                      </w:r>
                      <w:r w:rsidR="008561DB">
                        <w:rPr>
                          <w:rFonts w:asciiTheme="majorHAnsi" w:hAnsiTheme="majorHAnsi"/>
                          <w:color w:val="auto"/>
                          <w:sz w:val="18"/>
                          <w:szCs w:val="18"/>
                          <w:lang w:val="es-US"/>
                        </w:rPr>
                        <w:t>P</w:t>
                      </w:r>
                      <w:r w:rsidR="00550DA2">
                        <w:rPr>
                          <w:rFonts w:asciiTheme="majorHAnsi" w:hAnsiTheme="majorHAnsi"/>
                          <w:color w:val="auto"/>
                          <w:sz w:val="18"/>
                          <w:szCs w:val="18"/>
                          <w:lang w:val="es-US"/>
                        </w:rPr>
                        <w:t>UBLICACIÓN</w:t>
                      </w:r>
                      <w:r>
                        <w:rPr>
                          <w:rFonts w:asciiTheme="majorHAnsi" w:hAnsiTheme="majorHAnsi"/>
                          <w:color w:val="auto"/>
                          <w:sz w:val="18"/>
                          <w:szCs w:val="18"/>
                          <w:lang w:val="es-US"/>
                        </w:rPr>
                        <w:t>)</w:t>
                      </w:r>
                      <w:r w:rsidRPr="00D501F8">
                        <w:rPr>
                          <w:rFonts w:asciiTheme="majorHAnsi" w:hAnsiTheme="majorHAnsi"/>
                          <w:color w:val="auto"/>
                          <w:sz w:val="18"/>
                          <w:szCs w:val="18"/>
                        </w:rPr>
                        <w:t xml:space="preserve">. Isamu Carlos Shibayama y otros. Estados Unidos. </w:t>
                      </w:r>
                      <w:r>
                        <w:rPr>
                          <w:rFonts w:asciiTheme="majorHAnsi" w:hAnsiTheme="majorHAnsi"/>
                          <w:color w:val="auto"/>
                          <w:sz w:val="18"/>
                          <w:szCs w:val="18"/>
                        </w:rPr>
                        <w:t>2</w:t>
                      </w:r>
                      <w:r w:rsidR="004C79C4">
                        <w:rPr>
                          <w:rFonts w:asciiTheme="majorHAnsi" w:hAnsiTheme="majorHAnsi"/>
                          <w:color w:val="auto"/>
                          <w:sz w:val="18"/>
                          <w:szCs w:val="18"/>
                        </w:rPr>
                        <w:t>2</w:t>
                      </w:r>
                      <w:r>
                        <w:rPr>
                          <w:rFonts w:asciiTheme="majorHAnsi" w:hAnsiTheme="majorHAnsi"/>
                          <w:color w:val="auto"/>
                          <w:sz w:val="18"/>
                          <w:szCs w:val="18"/>
                        </w:rPr>
                        <w:t xml:space="preserve"> de abril</w:t>
                      </w:r>
                      <w:r>
                        <w:rPr>
                          <w:rFonts w:asciiTheme="majorHAnsi" w:hAnsiTheme="majorHAnsi"/>
                          <w:color w:val="0D0D0D" w:themeColor="text1" w:themeTint="F2"/>
                          <w:sz w:val="18"/>
                        </w:rPr>
                        <w:t xml:space="preserve"> de 2020</w:t>
                      </w:r>
                      <w:r w:rsidRPr="00D501F8">
                        <w:rPr>
                          <w:rFonts w:asciiTheme="majorHAnsi" w:hAnsiTheme="majorHAnsi"/>
                          <w:color w:val="auto"/>
                          <w:sz w:val="18"/>
                          <w:szCs w:val="18"/>
                        </w:rPr>
                        <w:t>.</w:t>
                      </w:r>
                    </w:p>
                  </w:txbxContent>
                </v:textbox>
              </v:shape>
            </w:pict>
          </mc:Fallback>
        </mc:AlternateContent>
      </w:r>
    </w:p>
    <w:p w14:paraId="2EA1418E" w14:textId="77777777" w:rsidR="00A50FCF" w:rsidRPr="00DB5BAC" w:rsidRDefault="00A50FCF" w:rsidP="00040C3A">
      <w:pPr>
        <w:tabs>
          <w:tab w:val="center" w:pos="5400"/>
        </w:tabs>
        <w:suppressAutoHyphens/>
        <w:jc w:val="center"/>
        <w:rPr>
          <w:rFonts w:asciiTheme="majorHAnsi" w:hAnsiTheme="majorHAnsi"/>
          <w:sz w:val="18"/>
          <w:szCs w:val="22"/>
        </w:rPr>
      </w:pPr>
    </w:p>
    <w:p w14:paraId="7B5CB4D5" w14:textId="77777777" w:rsidR="0090270B" w:rsidRPr="00DB5BAC" w:rsidRDefault="00D306D1" w:rsidP="005516A1">
      <w:pPr>
        <w:tabs>
          <w:tab w:val="center" w:pos="5400"/>
        </w:tabs>
        <w:suppressAutoHyphens/>
        <w:jc w:val="center"/>
        <w:rPr>
          <w:rFonts w:asciiTheme="majorHAnsi" w:hAnsiTheme="majorHAnsi"/>
          <w:b/>
          <w:sz w:val="20"/>
        </w:rPr>
      </w:pPr>
      <w:r w:rsidRPr="00DB5BAC">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614F3D8" wp14:editId="7CDB945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5B07B" w14:textId="77777777" w:rsidR="003F186B" w:rsidRPr="00D72DC6" w:rsidRDefault="003F186B"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5C1F935F" wp14:editId="42657DCD">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F3D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925B07B" w14:textId="77777777" w:rsidR="003F186B" w:rsidRPr="00D72DC6" w:rsidRDefault="003F186B"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5C1F935F" wp14:editId="42657DCD">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5BAC">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ED78709" wp14:editId="7D6410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40DEE" w14:textId="77777777" w:rsidR="003F186B" w:rsidRPr="004B7EB6" w:rsidRDefault="003F186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870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2B40DEE" w14:textId="77777777" w:rsidR="003F186B" w:rsidRPr="004B7EB6" w:rsidRDefault="003F186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E923DD3" w14:textId="77777777" w:rsidR="0070697F" w:rsidRPr="00DB5BAC" w:rsidRDefault="0070697F" w:rsidP="005516A1">
      <w:pPr>
        <w:tabs>
          <w:tab w:val="center" w:pos="5400"/>
        </w:tabs>
        <w:suppressAutoHyphens/>
        <w:jc w:val="center"/>
        <w:rPr>
          <w:rFonts w:asciiTheme="majorHAnsi" w:hAnsiTheme="majorHAnsi"/>
          <w:b/>
          <w:sz w:val="20"/>
        </w:rPr>
        <w:sectPr w:rsidR="0070697F" w:rsidRPr="00DB5BA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B5A979A" w14:textId="77777777" w:rsidR="00815935" w:rsidRPr="00DB5BAC" w:rsidRDefault="00815935" w:rsidP="00722C9F">
      <w:pPr>
        <w:tabs>
          <w:tab w:val="center" w:pos="5400"/>
        </w:tabs>
        <w:suppressAutoHyphens/>
        <w:spacing w:line="276" w:lineRule="auto"/>
        <w:jc w:val="center"/>
        <w:rPr>
          <w:rFonts w:asciiTheme="majorHAnsi" w:hAnsiTheme="majorHAnsi"/>
          <w:sz w:val="18"/>
        </w:rPr>
      </w:pPr>
    </w:p>
    <w:p w14:paraId="1D76C185" w14:textId="77777777" w:rsidR="00722C9F" w:rsidRPr="00DB5BAC" w:rsidRDefault="00740662" w:rsidP="00722C9F">
      <w:pPr>
        <w:tabs>
          <w:tab w:val="center" w:pos="5400"/>
        </w:tabs>
        <w:suppressAutoHyphens/>
        <w:spacing w:line="276" w:lineRule="auto"/>
        <w:jc w:val="center"/>
        <w:rPr>
          <w:rFonts w:asciiTheme="majorHAnsi" w:hAnsiTheme="majorHAnsi"/>
          <w:b/>
          <w:sz w:val="28"/>
        </w:rPr>
      </w:pPr>
      <w:r w:rsidRPr="00DB5BAC">
        <w:rPr>
          <w:rFonts w:asciiTheme="majorHAnsi" w:hAnsiTheme="majorHAnsi"/>
          <w:b/>
        </w:rPr>
        <w:t>ÍNDICE</w:t>
      </w:r>
    </w:p>
    <w:sdt>
      <w:sdtPr>
        <w:rPr>
          <w:rFonts w:ascii="Cambria" w:eastAsia="Arial Unicode MS" w:hAnsi="Cambria" w:cs="Calibri"/>
          <w:color w:val="000000"/>
          <w:sz w:val="20"/>
          <w:szCs w:val="20"/>
          <w:bdr w:val="nil"/>
          <w:lang w:val="es-ES" w:eastAsia="es-ES"/>
        </w:rPr>
        <w:id w:val="111099602"/>
        <w:docPartObj>
          <w:docPartGallery w:val="Table of Contents"/>
          <w:docPartUnique/>
        </w:docPartObj>
      </w:sdtPr>
      <w:sdtEndPr>
        <w:rPr>
          <w:b/>
          <w:bCs/>
        </w:rPr>
      </w:sdtEndPr>
      <w:sdtContent>
        <w:p w14:paraId="6FEAC53C" w14:textId="77777777" w:rsidR="00C53C19" w:rsidRPr="00DB5BAC" w:rsidRDefault="00C53C19">
          <w:pPr>
            <w:pStyle w:val="TOCHeading"/>
            <w:rPr>
              <w:sz w:val="20"/>
              <w:szCs w:val="20"/>
              <w:lang w:val="es-ES"/>
            </w:rPr>
          </w:pPr>
        </w:p>
        <w:p w14:paraId="1C9D784C" w14:textId="636221CA" w:rsidR="001325FC" w:rsidRDefault="00C53C19">
          <w:pPr>
            <w:pStyle w:val="TOC1"/>
            <w:tabs>
              <w:tab w:val="left" w:pos="1080"/>
              <w:tab w:val="right" w:leader="dot" w:pos="9350"/>
            </w:tabs>
            <w:rPr>
              <w:rFonts w:eastAsiaTheme="minorEastAsia" w:cstheme="minorBidi"/>
              <w:noProof/>
              <w:color w:val="auto"/>
              <w:szCs w:val="22"/>
              <w:bdr w:val="none" w:sz="0" w:space="0" w:color="auto"/>
              <w:lang w:val="en-US" w:eastAsia="en-US"/>
            </w:rPr>
          </w:pPr>
          <w:r w:rsidRPr="003B3A9B">
            <w:rPr>
              <w:rFonts w:asciiTheme="majorHAnsi" w:hAnsiTheme="majorHAnsi"/>
              <w:b/>
              <w:bCs/>
              <w:sz w:val="20"/>
            </w:rPr>
            <w:fldChar w:fldCharType="begin"/>
          </w:r>
          <w:r w:rsidRPr="003B3A9B">
            <w:rPr>
              <w:rFonts w:asciiTheme="majorHAnsi" w:hAnsiTheme="majorHAnsi"/>
              <w:b/>
              <w:bCs/>
              <w:sz w:val="20"/>
            </w:rPr>
            <w:instrText xml:space="preserve"> TOC \o "1-3" \h \z \u </w:instrText>
          </w:r>
          <w:r w:rsidRPr="003B3A9B">
            <w:rPr>
              <w:rFonts w:asciiTheme="majorHAnsi" w:hAnsiTheme="majorHAnsi"/>
              <w:b/>
              <w:bCs/>
              <w:sz w:val="20"/>
            </w:rPr>
            <w:fldChar w:fldCharType="separate"/>
          </w:r>
          <w:hyperlink w:anchor="_Toc27473277" w:history="1">
            <w:r w:rsidR="001325FC" w:rsidRPr="00831B2A">
              <w:rPr>
                <w:rStyle w:val="Hyperlink"/>
                <w:noProof/>
              </w:rPr>
              <w:t>I.</w:t>
            </w:r>
            <w:r w:rsidR="001325FC">
              <w:rPr>
                <w:rFonts w:eastAsiaTheme="minorEastAsia" w:cstheme="minorBidi"/>
                <w:noProof/>
                <w:color w:val="auto"/>
                <w:szCs w:val="22"/>
                <w:bdr w:val="none" w:sz="0" w:space="0" w:color="auto"/>
                <w:lang w:val="en-US" w:eastAsia="en-US"/>
              </w:rPr>
              <w:tab/>
            </w:r>
            <w:r w:rsidR="001325FC" w:rsidRPr="00831B2A">
              <w:rPr>
                <w:rStyle w:val="Hyperlink"/>
                <w:noProof/>
              </w:rPr>
              <w:t>RESUMEN</w:t>
            </w:r>
            <w:r w:rsidR="001325FC">
              <w:rPr>
                <w:noProof/>
                <w:webHidden/>
              </w:rPr>
              <w:tab/>
            </w:r>
            <w:r w:rsidR="001325FC">
              <w:rPr>
                <w:noProof/>
                <w:webHidden/>
              </w:rPr>
              <w:fldChar w:fldCharType="begin"/>
            </w:r>
            <w:r w:rsidR="001325FC">
              <w:rPr>
                <w:noProof/>
                <w:webHidden/>
              </w:rPr>
              <w:instrText xml:space="preserve"> PAGEREF _Toc27473277 \h </w:instrText>
            </w:r>
            <w:r w:rsidR="001325FC">
              <w:rPr>
                <w:noProof/>
                <w:webHidden/>
              </w:rPr>
            </w:r>
            <w:r w:rsidR="001325FC">
              <w:rPr>
                <w:noProof/>
                <w:webHidden/>
              </w:rPr>
              <w:fldChar w:fldCharType="separate"/>
            </w:r>
            <w:r w:rsidR="00963643">
              <w:rPr>
                <w:noProof/>
                <w:webHidden/>
              </w:rPr>
              <w:t>2</w:t>
            </w:r>
            <w:r w:rsidR="001325FC">
              <w:rPr>
                <w:noProof/>
                <w:webHidden/>
              </w:rPr>
              <w:fldChar w:fldCharType="end"/>
            </w:r>
          </w:hyperlink>
        </w:p>
        <w:p w14:paraId="601CCBDB" w14:textId="04C92DCF" w:rsidR="001325FC"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78" w:history="1">
            <w:r w:rsidR="001325FC" w:rsidRPr="00831B2A">
              <w:rPr>
                <w:rStyle w:val="Hyperlink"/>
                <w:noProof/>
              </w:rPr>
              <w:t>II.</w:t>
            </w:r>
            <w:r w:rsidR="001325FC">
              <w:rPr>
                <w:rFonts w:eastAsiaTheme="minorEastAsia" w:cstheme="minorBidi"/>
                <w:noProof/>
                <w:color w:val="auto"/>
                <w:szCs w:val="22"/>
                <w:bdr w:val="none" w:sz="0" w:space="0" w:color="auto"/>
                <w:lang w:val="en-US" w:eastAsia="en-US"/>
              </w:rPr>
              <w:tab/>
            </w:r>
            <w:r w:rsidR="001325FC" w:rsidRPr="00831B2A">
              <w:rPr>
                <w:rStyle w:val="Hyperlink"/>
                <w:noProof/>
              </w:rPr>
              <w:t>POSICIONES DE LAS PARTES</w:t>
            </w:r>
            <w:r w:rsidR="001325FC">
              <w:rPr>
                <w:noProof/>
                <w:webHidden/>
              </w:rPr>
              <w:tab/>
            </w:r>
            <w:r w:rsidR="001325FC">
              <w:rPr>
                <w:noProof/>
                <w:webHidden/>
              </w:rPr>
              <w:fldChar w:fldCharType="begin"/>
            </w:r>
            <w:r w:rsidR="001325FC">
              <w:rPr>
                <w:noProof/>
                <w:webHidden/>
              </w:rPr>
              <w:instrText xml:space="preserve"> PAGEREF _Toc27473278 \h </w:instrText>
            </w:r>
            <w:r w:rsidR="001325FC">
              <w:rPr>
                <w:noProof/>
                <w:webHidden/>
              </w:rPr>
            </w:r>
            <w:r w:rsidR="001325FC">
              <w:rPr>
                <w:noProof/>
                <w:webHidden/>
              </w:rPr>
              <w:fldChar w:fldCharType="separate"/>
            </w:r>
            <w:r>
              <w:rPr>
                <w:noProof/>
                <w:webHidden/>
              </w:rPr>
              <w:t>3</w:t>
            </w:r>
            <w:r w:rsidR="001325FC">
              <w:rPr>
                <w:noProof/>
                <w:webHidden/>
              </w:rPr>
              <w:fldChar w:fldCharType="end"/>
            </w:r>
          </w:hyperlink>
        </w:p>
        <w:p w14:paraId="4BC57F01" w14:textId="4FEB0986"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79" w:history="1">
            <w:r w:rsidR="001325FC" w:rsidRPr="00831B2A">
              <w:rPr>
                <w:rStyle w:val="Hyperlink"/>
                <w:noProof/>
              </w:rPr>
              <w:t>A.</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Parte peticionaria</w:t>
            </w:r>
            <w:r w:rsidR="001325FC">
              <w:rPr>
                <w:noProof/>
                <w:webHidden/>
              </w:rPr>
              <w:tab/>
            </w:r>
            <w:r w:rsidR="001325FC">
              <w:rPr>
                <w:noProof/>
                <w:webHidden/>
              </w:rPr>
              <w:fldChar w:fldCharType="begin"/>
            </w:r>
            <w:r w:rsidR="001325FC">
              <w:rPr>
                <w:noProof/>
                <w:webHidden/>
              </w:rPr>
              <w:instrText xml:space="preserve"> PAGEREF _Toc27473279 \h </w:instrText>
            </w:r>
            <w:r w:rsidR="001325FC">
              <w:rPr>
                <w:noProof/>
                <w:webHidden/>
              </w:rPr>
            </w:r>
            <w:r w:rsidR="001325FC">
              <w:rPr>
                <w:noProof/>
                <w:webHidden/>
              </w:rPr>
              <w:fldChar w:fldCharType="separate"/>
            </w:r>
            <w:r>
              <w:rPr>
                <w:noProof/>
                <w:webHidden/>
              </w:rPr>
              <w:t>3</w:t>
            </w:r>
            <w:r w:rsidR="001325FC">
              <w:rPr>
                <w:noProof/>
                <w:webHidden/>
              </w:rPr>
              <w:fldChar w:fldCharType="end"/>
            </w:r>
          </w:hyperlink>
        </w:p>
        <w:p w14:paraId="72A61929" w14:textId="55160CF0"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80" w:history="1">
            <w:r w:rsidR="001325FC" w:rsidRPr="00831B2A">
              <w:rPr>
                <w:rStyle w:val="Hyperlink"/>
                <w:noProof/>
              </w:rPr>
              <w:t>B.</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Estado</w:t>
            </w:r>
            <w:r w:rsidR="001325FC">
              <w:rPr>
                <w:noProof/>
                <w:webHidden/>
              </w:rPr>
              <w:tab/>
            </w:r>
            <w:r w:rsidR="001325FC">
              <w:rPr>
                <w:noProof/>
                <w:webHidden/>
              </w:rPr>
              <w:fldChar w:fldCharType="begin"/>
            </w:r>
            <w:r w:rsidR="001325FC">
              <w:rPr>
                <w:noProof/>
                <w:webHidden/>
              </w:rPr>
              <w:instrText xml:space="preserve"> PAGEREF _Toc27473280 \h </w:instrText>
            </w:r>
            <w:r w:rsidR="001325FC">
              <w:rPr>
                <w:noProof/>
                <w:webHidden/>
              </w:rPr>
            </w:r>
            <w:r w:rsidR="001325FC">
              <w:rPr>
                <w:noProof/>
                <w:webHidden/>
              </w:rPr>
              <w:fldChar w:fldCharType="separate"/>
            </w:r>
            <w:r>
              <w:rPr>
                <w:noProof/>
                <w:webHidden/>
              </w:rPr>
              <w:t>4</w:t>
            </w:r>
            <w:r w:rsidR="001325FC">
              <w:rPr>
                <w:noProof/>
                <w:webHidden/>
              </w:rPr>
              <w:fldChar w:fldCharType="end"/>
            </w:r>
          </w:hyperlink>
        </w:p>
        <w:p w14:paraId="692024E4" w14:textId="4393BBDF" w:rsidR="001325FC"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81" w:history="1">
            <w:r w:rsidR="001325FC" w:rsidRPr="00831B2A">
              <w:rPr>
                <w:rStyle w:val="Hyperlink"/>
                <w:noProof/>
              </w:rPr>
              <w:t>III.</w:t>
            </w:r>
            <w:r w:rsidR="001325FC">
              <w:rPr>
                <w:rFonts w:eastAsiaTheme="minorEastAsia" w:cstheme="minorBidi"/>
                <w:noProof/>
                <w:color w:val="auto"/>
                <w:szCs w:val="22"/>
                <w:bdr w:val="none" w:sz="0" w:space="0" w:color="auto"/>
                <w:lang w:val="en-US" w:eastAsia="en-US"/>
              </w:rPr>
              <w:tab/>
            </w:r>
            <w:r w:rsidR="001325FC" w:rsidRPr="00831B2A">
              <w:rPr>
                <w:rStyle w:val="Hyperlink"/>
                <w:noProof/>
              </w:rPr>
              <w:t>CONSIDERACIÓN PRELIMINAR</w:t>
            </w:r>
            <w:r w:rsidR="001325FC">
              <w:rPr>
                <w:noProof/>
                <w:webHidden/>
              </w:rPr>
              <w:tab/>
            </w:r>
            <w:r w:rsidR="001325FC">
              <w:rPr>
                <w:noProof/>
                <w:webHidden/>
              </w:rPr>
              <w:fldChar w:fldCharType="begin"/>
            </w:r>
            <w:r w:rsidR="001325FC">
              <w:rPr>
                <w:noProof/>
                <w:webHidden/>
              </w:rPr>
              <w:instrText xml:space="preserve"> PAGEREF _Toc27473281 \h </w:instrText>
            </w:r>
            <w:r w:rsidR="001325FC">
              <w:rPr>
                <w:noProof/>
                <w:webHidden/>
              </w:rPr>
            </w:r>
            <w:r w:rsidR="001325FC">
              <w:rPr>
                <w:noProof/>
                <w:webHidden/>
              </w:rPr>
              <w:fldChar w:fldCharType="separate"/>
            </w:r>
            <w:r>
              <w:rPr>
                <w:noProof/>
                <w:webHidden/>
              </w:rPr>
              <w:t>4</w:t>
            </w:r>
            <w:r w:rsidR="001325FC">
              <w:rPr>
                <w:noProof/>
                <w:webHidden/>
              </w:rPr>
              <w:fldChar w:fldCharType="end"/>
            </w:r>
          </w:hyperlink>
        </w:p>
        <w:p w14:paraId="1134275B" w14:textId="7D4C4D6F" w:rsidR="001325FC"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82" w:history="1">
            <w:r w:rsidR="001325FC" w:rsidRPr="00831B2A">
              <w:rPr>
                <w:rStyle w:val="Hyperlink"/>
                <w:noProof/>
              </w:rPr>
              <w:t>IV.</w:t>
            </w:r>
            <w:r w:rsidR="001325FC">
              <w:rPr>
                <w:rFonts w:eastAsiaTheme="minorEastAsia" w:cstheme="minorBidi"/>
                <w:noProof/>
                <w:color w:val="auto"/>
                <w:szCs w:val="22"/>
                <w:bdr w:val="none" w:sz="0" w:space="0" w:color="auto"/>
                <w:lang w:val="en-US" w:eastAsia="en-US"/>
              </w:rPr>
              <w:tab/>
            </w:r>
            <w:r w:rsidR="001325FC" w:rsidRPr="00831B2A">
              <w:rPr>
                <w:rStyle w:val="Hyperlink"/>
                <w:noProof/>
              </w:rPr>
              <w:t>DETERMINACIONES DE HECHO</w:t>
            </w:r>
            <w:r w:rsidR="001325FC">
              <w:rPr>
                <w:noProof/>
                <w:webHidden/>
              </w:rPr>
              <w:tab/>
            </w:r>
            <w:r w:rsidR="001325FC">
              <w:rPr>
                <w:noProof/>
                <w:webHidden/>
              </w:rPr>
              <w:fldChar w:fldCharType="begin"/>
            </w:r>
            <w:r w:rsidR="001325FC">
              <w:rPr>
                <w:noProof/>
                <w:webHidden/>
              </w:rPr>
              <w:instrText xml:space="preserve"> PAGEREF _Toc27473282 \h </w:instrText>
            </w:r>
            <w:r w:rsidR="001325FC">
              <w:rPr>
                <w:noProof/>
                <w:webHidden/>
              </w:rPr>
            </w:r>
            <w:r w:rsidR="001325FC">
              <w:rPr>
                <w:noProof/>
                <w:webHidden/>
              </w:rPr>
              <w:fldChar w:fldCharType="separate"/>
            </w:r>
            <w:r>
              <w:rPr>
                <w:noProof/>
                <w:webHidden/>
              </w:rPr>
              <w:t>5</w:t>
            </w:r>
            <w:r w:rsidR="001325FC">
              <w:rPr>
                <w:noProof/>
                <w:webHidden/>
              </w:rPr>
              <w:fldChar w:fldCharType="end"/>
            </w:r>
          </w:hyperlink>
        </w:p>
        <w:p w14:paraId="18D69073" w14:textId="03565FEF"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83" w:history="1">
            <w:r w:rsidR="001325FC" w:rsidRPr="00831B2A">
              <w:rPr>
                <w:rStyle w:val="Hyperlink"/>
                <w:noProof/>
              </w:rPr>
              <w:t>A.</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Antecedentes</w:t>
            </w:r>
            <w:r w:rsidR="001325FC">
              <w:rPr>
                <w:noProof/>
                <w:webHidden/>
              </w:rPr>
              <w:tab/>
            </w:r>
            <w:r w:rsidR="001325FC">
              <w:rPr>
                <w:noProof/>
                <w:webHidden/>
              </w:rPr>
              <w:fldChar w:fldCharType="begin"/>
            </w:r>
            <w:r w:rsidR="001325FC">
              <w:rPr>
                <w:noProof/>
                <w:webHidden/>
              </w:rPr>
              <w:instrText xml:space="preserve"> PAGEREF _Toc27473283 \h </w:instrText>
            </w:r>
            <w:r w:rsidR="001325FC">
              <w:rPr>
                <w:noProof/>
                <w:webHidden/>
              </w:rPr>
            </w:r>
            <w:r w:rsidR="001325FC">
              <w:rPr>
                <w:noProof/>
                <w:webHidden/>
              </w:rPr>
              <w:fldChar w:fldCharType="separate"/>
            </w:r>
            <w:r>
              <w:rPr>
                <w:noProof/>
                <w:webHidden/>
              </w:rPr>
              <w:t>5</w:t>
            </w:r>
            <w:r w:rsidR="001325FC">
              <w:rPr>
                <w:noProof/>
                <w:webHidden/>
              </w:rPr>
              <w:fldChar w:fldCharType="end"/>
            </w:r>
          </w:hyperlink>
        </w:p>
        <w:p w14:paraId="7A703CB4" w14:textId="71050082"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84" w:history="1">
            <w:r w:rsidR="001325FC" w:rsidRPr="00831B2A">
              <w:rPr>
                <w:rStyle w:val="Hyperlink"/>
                <w:noProof/>
              </w:rPr>
              <w:t>B.</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Los hermanos Shibayama</w:t>
            </w:r>
            <w:r w:rsidR="001325FC">
              <w:rPr>
                <w:noProof/>
                <w:webHidden/>
              </w:rPr>
              <w:tab/>
            </w:r>
            <w:r w:rsidR="001325FC">
              <w:rPr>
                <w:noProof/>
                <w:webHidden/>
              </w:rPr>
              <w:fldChar w:fldCharType="begin"/>
            </w:r>
            <w:r w:rsidR="001325FC">
              <w:rPr>
                <w:noProof/>
                <w:webHidden/>
              </w:rPr>
              <w:instrText xml:space="preserve"> PAGEREF _Toc27473284 \h </w:instrText>
            </w:r>
            <w:r w:rsidR="001325FC">
              <w:rPr>
                <w:noProof/>
                <w:webHidden/>
              </w:rPr>
            </w:r>
            <w:r w:rsidR="001325FC">
              <w:rPr>
                <w:noProof/>
                <w:webHidden/>
              </w:rPr>
              <w:fldChar w:fldCharType="separate"/>
            </w:r>
            <w:r>
              <w:rPr>
                <w:noProof/>
                <w:webHidden/>
              </w:rPr>
              <w:t>6</w:t>
            </w:r>
            <w:r w:rsidR="001325FC">
              <w:rPr>
                <w:noProof/>
                <w:webHidden/>
              </w:rPr>
              <w:fldChar w:fldCharType="end"/>
            </w:r>
          </w:hyperlink>
        </w:p>
        <w:p w14:paraId="3ED5B6AF" w14:textId="3310DFA0"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85" w:history="1">
            <w:r w:rsidR="001325FC" w:rsidRPr="00831B2A">
              <w:rPr>
                <w:rStyle w:val="Hyperlink"/>
                <w:noProof/>
              </w:rPr>
              <w:t>C.</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Secuestro de la familia Shibayama en Perú, internamiento en Crystal City, Texas, y vida tras su puesta en libertad</w:t>
            </w:r>
            <w:r w:rsidR="001325FC">
              <w:rPr>
                <w:noProof/>
                <w:webHidden/>
              </w:rPr>
              <w:tab/>
            </w:r>
            <w:r w:rsidR="001325FC">
              <w:rPr>
                <w:noProof/>
                <w:webHidden/>
              </w:rPr>
              <w:fldChar w:fldCharType="begin"/>
            </w:r>
            <w:r w:rsidR="001325FC">
              <w:rPr>
                <w:noProof/>
                <w:webHidden/>
              </w:rPr>
              <w:instrText xml:space="preserve"> PAGEREF _Toc27473285 \h </w:instrText>
            </w:r>
            <w:r w:rsidR="001325FC">
              <w:rPr>
                <w:noProof/>
                <w:webHidden/>
              </w:rPr>
            </w:r>
            <w:r w:rsidR="001325FC">
              <w:rPr>
                <w:noProof/>
                <w:webHidden/>
              </w:rPr>
              <w:fldChar w:fldCharType="separate"/>
            </w:r>
            <w:r>
              <w:rPr>
                <w:noProof/>
                <w:webHidden/>
              </w:rPr>
              <w:t>6</w:t>
            </w:r>
            <w:r w:rsidR="001325FC">
              <w:rPr>
                <w:noProof/>
                <w:webHidden/>
              </w:rPr>
              <w:fldChar w:fldCharType="end"/>
            </w:r>
          </w:hyperlink>
        </w:p>
        <w:p w14:paraId="27CE23A1" w14:textId="5DC667E4"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86" w:history="1">
            <w:r w:rsidR="001325FC" w:rsidRPr="00831B2A">
              <w:rPr>
                <w:rStyle w:val="Hyperlink"/>
                <w:noProof/>
              </w:rPr>
              <w:t>D.</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Reclamos de reparación de conformidad con la Ley de Libertades Civiles de 1988 y acciones judiciales subsiguientes</w:t>
            </w:r>
            <w:r w:rsidR="001325FC">
              <w:rPr>
                <w:noProof/>
                <w:webHidden/>
              </w:rPr>
              <w:tab/>
            </w:r>
            <w:r w:rsidR="001325FC">
              <w:rPr>
                <w:noProof/>
                <w:webHidden/>
              </w:rPr>
              <w:fldChar w:fldCharType="begin"/>
            </w:r>
            <w:r w:rsidR="001325FC">
              <w:rPr>
                <w:noProof/>
                <w:webHidden/>
              </w:rPr>
              <w:instrText xml:space="preserve"> PAGEREF _Toc27473286 \h </w:instrText>
            </w:r>
            <w:r w:rsidR="001325FC">
              <w:rPr>
                <w:noProof/>
                <w:webHidden/>
              </w:rPr>
            </w:r>
            <w:r w:rsidR="001325FC">
              <w:rPr>
                <w:noProof/>
                <w:webHidden/>
              </w:rPr>
              <w:fldChar w:fldCharType="separate"/>
            </w:r>
            <w:r>
              <w:rPr>
                <w:noProof/>
                <w:webHidden/>
              </w:rPr>
              <w:t>9</w:t>
            </w:r>
            <w:r w:rsidR="001325FC">
              <w:rPr>
                <w:noProof/>
                <w:webHidden/>
              </w:rPr>
              <w:fldChar w:fldCharType="end"/>
            </w:r>
          </w:hyperlink>
        </w:p>
        <w:p w14:paraId="2A3998FA" w14:textId="6C1A4878"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87" w:history="1">
            <w:r w:rsidR="001325FC" w:rsidRPr="00831B2A">
              <w:rPr>
                <w:rStyle w:val="Hyperlink"/>
                <w:noProof/>
              </w:rPr>
              <w:t>E.</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Juicio ante el Tribunal de Reclamaciones Federales</w:t>
            </w:r>
            <w:r w:rsidR="001325FC">
              <w:rPr>
                <w:noProof/>
                <w:webHidden/>
              </w:rPr>
              <w:tab/>
            </w:r>
            <w:r w:rsidR="001325FC">
              <w:rPr>
                <w:noProof/>
                <w:webHidden/>
              </w:rPr>
              <w:fldChar w:fldCharType="begin"/>
            </w:r>
            <w:r w:rsidR="001325FC">
              <w:rPr>
                <w:noProof/>
                <w:webHidden/>
              </w:rPr>
              <w:instrText xml:space="preserve"> PAGEREF _Toc27473287 \h </w:instrText>
            </w:r>
            <w:r w:rsidR="001325FC">
              <w:rPr>
                <w:noProof/>
                <w:webHidden/>
              </w:rPr>
            </w:r>
            <w:r w:rsidR="001325FC">
              <w:rPr>
                <w:noProof/>
                <w:webHidden/>
              </w:rPr>
              <w:fldChar w:fldCharType="separate"/>
            </w:r>
            <w:r>
              <w:rPr>
                <w:noProof/>
                <w:webHidden/>
              </w:rPr>
              <w:t>11</w:t>
            </w:r>
            <w:r w:rsidR="001325FC">
              <w:rPr>
                <w:noProof/>
                <w:webHidden/>
              </w:rPr>
              <w:fldChar w:fldCharType="end"/>
            </w:r>
          </w:hyperlink>
        </w:p>
        <w:p w14:paraId="7EAE7F37" w14:textId="0B629E59" w:rsidR="001325FC"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88" w:history="1">
            <w:r w:rsidR="001325FC" w:rsidRPr="00831B2A">
              <w:rPr>
                <w:rStyle w:val="Hyperlink"/>
                <w:noProof/>
              </w:rPr>
              <w:t>V.</w:t>
            </w:r>
            <w:r w:rsidR="001325FC">
              <w:rPr>
                <w:rFonts w:eastAsiaTheme="minorEastAsia" w:cstheme="minorBidi"/>
                <w:noProof/>
                <w:color w:val="auto"/>
                <w:szCs w:val="22"/>
                <w:bdr w:val="none" w:sz="0" w:space="0" w:color="auto"/>
                <w:lang w:val="en-US" w:eastAsia="en-US"/>
              </w:rPr>
              <w:tab/>
            </w:r>
            <w:r w:rsidR="001325FC" w:rsidRPr="00831B2A">
              <w:rPr>
                <w:rStyle w:val="Hyperlink"/>
                <w:noProof/>
              </w:rPr>
              <w:t>ANÁLISIS DE DERECHO</w:t>
            </w:r>
            <w:r w:rsidR="001325FC">
              <w:rPr>
                <w:noProof/>
                <w:webHidden/>
              </w:rPr>
              <w:tab/>
            </w:r>
            <w:r w:rsidR="001325FC">
              <w:rPr>
                <w:noProof/>
                <w:webHidden/>
              </w:rPr>
              <w:fldChar w:fldCharType="begin"/>
            </w:r>
            <w:r w:rsidR="001325FC">
              <w:rPr>
                <w:noProof/>
                <w:webHidden/>
              </w:rPr>
              <w:instrText xml:space="preserve"> PAGEREF _Toc27473288 \h </w:instrText>
            </w:r>
            <w:r w:rsidR="001325FC">
              <w:rPr>
                <w:noProof/>
                <w:webHidden/>
              </w:rPr>
            </w:r>
            <w:r w:rsidR="001325FC">
              <w:rPr>
                <w:noProof/>
                <w:webHidden/>
              </w:rPr>
              <w:fldChar w:fldCharType="separate"/>
            </w:r>
            <w:r>
              <w:rPr>
                <w:noProof/>
                <w:webHidden/>
              </w:rPr>
              <w:t>13</w:t>
            </w:r>
            <w:r w:rsidR="001325FC">
              <w:rPr>
                <w:noProof/>
                <w:webHidden/>
              </w:rPr>
              <w:fldChar w:fldCharType="end"/>
            </w:r>
          </w:hyperlink>
        </w:p>
        <w:p w14:paraId="07535D5D" w14:textId="751626D2"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89" w:history="1">
            <w:r w:rsidR="001325FC" w:rsidRPr="00831B2A">
              <w:rPr>
                <w:rStyle w:val="Hyperlink"/>
                <w:noProof/>
              </w:rPr>
              <w:t>A.</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Aplicación e interpretación de la Declaración Americana a la luz de los avances realizados en el derecho internacional de los derechos humanos tras su adopción</w:t>
            </w:r>
            <w:r w:rsidR="001325FC">
              <w:rPr>
                <w:noProof/>
                <w:webHidden/>
              </w:rPr>
              <w:tab/>
            </w:r>
            <w:r w:rsidR="001325FC">
              <w:rPr>
                <w:noProof/>
                <w:webHidden/>
              </w:rPr>
              <w:fldChar w:fldCharType="begin"/>
            </w:r>
            <w:r w:rsidR="001325FC">
              <w:rPr>
                <w:noProof/>
                <w:webHidden/>
              </w:rPr>
              <w:instrText xml:space="preserve"> PAGEREF _Toc27473289 \h </w:instrText>
            </w:r>
            <w:r w:rsidR="001325FC">
              <w:rPr>
                <w:noProof/>
                <w:webHidden/>
              </w:rPr>
            </w:r>
            <w:r w:rsidR="001325FC">
              <w:rPr>
                <w:noProof/>
                <w:webHidden/>
              </w:rPr>
              <w:fldChar w:fldCharType="separate"/>
            </w:r>
            <w:r>
              <w:rPr>
                <w:noProof/>
                <w:webHidden/>
              </w:rPr>
              <w:t>13</w:t>
            </w:r>
            <w:r w:rsidR="001325FC">
              <w:rPr>
                <w:noProof/>
                <w:webHidden/>
              </w:rPr>
              <w:fldChar w:fldCharType="end"/>
            </w:r>
          </w:hyperlink>
        </w:p>
        <w:p w14:paraId="24318058" w14:textId="35D40998" w:rsidR="001325FC" w:rsidRDefault="00963643">
          <w:pPr>
            <w:pStyle w:val="TOC2"/>
            <w:tabs>
              <w:tab w:val="left" w:pos="1080"/>
            </w:tabs>
            <w:rPr>
              <w:rFonts w:asciiTheme="minorHAnsi" w:eastAsiaTheme="minorEastAsia" w:hAnsiTheme="minorHAnsi" w:cstheme="minorBidi"/>
              <w:noProof/>
              <w:color w:val="auto"/>
              <w:sz w:val="22"/>
              <w:szCs w:val="22"/>
              <w:bdr w:val="none" w:sz="0" w:space="0" w:color="auto"/>
              <w:lang w:val="en-US" w:eastAsia="en-US"/>
            </w:rPr>
          </w:pPr>
          <w:hyperlink w:anchor="_Toc27473290" w:history="1">
            <w:r w:rsidR="001325FC" w:rsidRPr="00831B2A">
              <w:rPr>
                <w:rStyle w:val="Hyperlink"/>
                <w:noProof/>
              </w:rPr>
              <w:t>B.</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Derecho de igualdad ante la ley (artículo II) en relación con el derecho de justicia y el derecho a un recurso efectivo (artículo XVIII)</w:t>
            </w:r>
            <w:r w:rsidR="001325FC">
              <w:rPr>
                <w:noProof/>
                <w:webHidden/>
              </w:rPr>
              <w:tab/>
            </w:r>
            <w:r w:rsidR="001325FC">
              <w:rPr>
                <w:noProof/>
                <w:webHidden/>
              </w:rPr>
              <w:fldChar w:fldCharType="begin"/>
            </w:r>
            <w:r w:rsidR="001325FC">
              <w:rPr>
                <w:noProof/>
                <w:webHidden/>
              </w:rPr>
              <w:instrText xml:space="preserve"> PAGEREF _Toc27473290 \h </w:instrText>
            </w:r>
            <w:r w:rsidR="001325FC">
              <w:rPr>
                <w:noProof/>
                <w:webHidden/>
              </w:rPr>
            </w:r>
            <w:r w:rsidR="001325FC">
              <w:rPr>
                <w:noProof/>
                <w:webHidden/>
              </w:rPr>
              <w:fldChar w:fldCharType="separate"/>
            </w:r>
            <w:r>
              <w:rPr>
                <w:noProof/>
                <w:webHidden/>
              </w:rPr>
              <w:t>14</w:t>
            </w:r>
            <w:r w:rsidR="001325FC">
              <w:rPr>
                <w:noProof/>
                <w:webHidden/>
              </w:rPr>
              <w:fldChar w:fldCharType="end"/>
            </w:r>
          </w:hyperlink>
        </w:p>
        <w:p w14:paraId="1A15755B" w14:textId="44A22F28" w:rsidR="001325FC" w:rsidRDefault="00963643">
          <w:pPr>
            <w:pStyle w:val="TOC3"/>
            <w:tabs>
              <w:tab w:val="left" w:pos="2160"/>
            </w:tabs>
            <w:rPr>
              <w:rFonts w:asciiTheme="minorHAnsi" w:eastAsiaTheme="minorEastAsia" w:hAnsiTheme="minorHAnsi" w:cstheme="minorBidi"/>
              <w:noProof/>
              <w:color w:val="auto"/>
              <w:sz w:val="22"/>
              <w:szCs w:val="22"/>
              <w:bdr w:val="none" w:sz="0" w:space="0" w:color="auto"/>
              <w:lang w:val="en-US" w:eastAsia="en-US"/>
            </w:rPr>
          </w:pPr>
          <w:hyperlink w:anchor="_Toc27473291" w:history="1">
            <w:r w:rsidR="001325FC" w:rsidRPr="00831B2A">
              <w:rPr>
                <w:rStyle w:val="Hyperlink"/>
                <w:noProof/>
              </w:rPr>
              <w:t>1.</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Consideraciones generales sobre la igualdad ante la ley y el derecho a un recurso efectivo</w:t>
            </w:r>
            <w:r w:rsidR="001325FC">
              <w:rPr>
                <w:noProof/>
                <w:webHidden/>
              </w:rPr>
              <w:tab/>
            </w:r>
            <w:r w:rsidR="001325FC">
              <w:rPr>
                <w:noProof/>
                <w:webHidden/>
              </w:rPr>
              <w:fldChar w:fldCharType="begin"/>
            </w:r>
            <w:r w:rsidR="001325FC">
              <w:rPr>
                <w:noProof/>
                <w:webHidden/>
              </w:rPr>
              <w:instrText xml:space="preserve"> PAGEREF _Toc27473291 \h </w:instrText>
            </w:r>
            <w:r w:rsidR="001325FC">
              <w:rPr>
                <w:noProof/>
                <w:webHidden/>
              </w:rPr>
            </w:r>
            <w:r w:rsidR="001325FC">
              <w:rPr>
                <w:noProof/>
                <w:webHidden/>
              </w:rPr>
              <w:fldChar w:fldCharType="separate"/>
            </w:r>
            <w:r>
              <w:rPr>
                <w:noProof/>
                <w:webHidden/>
              </w:rPr>
              <w:t>14</w:t>
            </w:r>
            <w:r w:rsidR="001325FC">
              <w:rPr>
                <w:noProof/>
                <w:webHidden/>
              </w:rPr>
              <w:fldChar w:fldCharType="end"/>
            </w:r>
          </w:hyperlink>
        </w:p>
        <w:p w14:paraId="4443DF2D" w14:textId="6FD398BF" w:rsidR="001325FC" w:rsidRDefault="00963643">
          <w:pPr>
            <w:pStyle w:val="TOC3"/>
            <w:tabs>
              <w:tab w:val="left" w:pos="2160"/>
            </w:tabs>
            <w:rPr>
              <w:rFonts w:asciiTheme="minorHAnsi" w:eastAsiaTheme="minorEastAsia" w:hAnsiTheme="minorHAnsi" w:cstheme="minorBidi"/>
              <w:noProof/>
              <w:color w:val="auto"/>
              <w:sz w:val="22"/>
              <w:szCs w:val="22"/>
              <w:bdr w:val="none" w:sz="0" w:space="0" w:color="auto"/>
              <w:lang w:val="en-US" w:eastAsia="en-US"/>
            </w:rPr>
          </w:pPr>
          <w:hyperlink w:anchor="_Toc27473292" w:history="1">
            <w:r w:rsidR="001325FC" w:rsidRPr="00831B2A">
              <w:rPr>
                <w:rStyle w:val="Hyperlink"/>
                <w:noProof/>
              </w:rPr>
              <w:t>2.</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Exclusión de los hermanos Shibayama de la Ley de Libertades Civiles</w:t>
            </w:r>
            <w:r w:rsidR="001325FC">
              <w:rPr>
                <w:noProof/>
                <w:webHidden/>
              </w:rPr>
              <w:tab/>
            </w:r>
            <w:r w:rsidR="001325FC">
              <w:rPr>
                <w:noProof/>
                <w:webHidden/>
              </w:rPr>
              <w:fldChar w:fldCharType="begin"/>
            </w:r>
            <w:r w:rsidR="001325FC">
              <w:rPr>
                <w:noProof/>
                <w:webHidden/>
              </w:rPr>
              <w:instrText xml:space="preserve"> PAGEREF _Toc27473292 \h </w:instrText>
            </w:r>
            <w:r w:rsidR="001325FC">
              <w:rPr>
                <w:noProof/>
                <w:webHidden/>
              </w:rPr>
            </w:r>
            <w:r w:rsidR="001325FC">
              <w:rPr>
                <w:noProof/>
                <w:webHidden/>
              </w:rPr>
              <w:fldChar w:fldCharType="separate"/>
            </w:r>
            <w:r>
              <w:rPr>
                <w:noProof/>
                <w:webHidden/>
              </w:rPr>
              <w:t>16</w:t>
            </w:r>
            <w:r w:rsidR="001325FC">
              <w:rPr>
                <w:noProof/>
                <w:webHidden/>
              </w:rPr>
              <w:fldChar w:fldCharType="end"/>
            </w:r>
          </w:hyperlink>
        </w:p>
        <w:p w14:paraId="7AD5A73F" w14:textId="134D8C92" w:rsidR="001325FC" w:rsidRDefault="00963643">
          <w:pPr>
            <w:pStyle w:val="TOC3"/>
            <w:tabs>
              <w:tab w:val="left" w:pos="2160"/>
            </w:tabs>
            <w:rPr>
              <w:rFonts w:asciiTheme="minorHAnsi" w:eastAsiaTheme="minorEastAsia" w:hAnsiTheme="minorHAnsi" w:cstheme="minorBidi"/>
              <w:noProof/>
              <w:color w:val="auto"/>
              <w:sz w:val="22"/>
              <w:szCs w:val="22"/>
              <w:bdr w:val="none" w:sz="0" w:space="0" w:color="auto"/>
              <w:lang w:val="en-US" w:eastAsia="en-US"/>
            </w:rPr>
          </w:pPr>
          <w:hyperlink w:anchor="_Toc27473293" w:history="1">
            <w:r w:rsidR="001325FC" w:rsidRPr="00831B2A">
              <w:rPr>
                <w:rStyle w:val="Hyperlink"/>
                <w:noProof/>
              </w:rPr>
              <w:t>3.</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Las demás reclamaciones de reparación de los hermanos Shibayama</w:t>
            </w:r>
            <w:r w:rsidR="001325FC">
              <w:rPr>
                <w:noProof/>
                <w:webHidden/>
              </w:rPr>
              <w:tab/>
            </w:r>
            <w:r w:rsidR="001325FC">
              <w:rPr>
                <w:noProof/>
                <w:webHidden/>
              </w:rPr>
              <w:fldChar w:fldCharType="begin"/>
            </w:r>
            <w:r w:rsidR="001325FC">
              <w:rPr>
                <w:noProof/>
                <w:webHidden/>
              </w:rPr>
              <w:instrText xml:space="preserve"> PAGEREF _Toc27473293 \h </w:instrText>
            </w:r>
            <w:r w:rsidR="001325FC">
              <w:rPr>
                <w:noProof/>
                <w:webHidden/>
              </w:rPr>
            </w:r>
            <w:r w:rsidR="001325FC">
              <w:rPr>
                <w:noProof/>
                <w:webHidden/>
              </w:rPr>
              <w:fldChar w:fldCharType="separate"/>
            </w:r>
            <w:r>
              <w:rPr>
                <w:noProof/>
                <w:webHidden/>
              </w:rPr>
              <w:t>17</w:t>
            </w:r>
            <w:r w:rsidR="001325FC">
              <w:rPr>
                <w:noProof/>
                <w:webHidden/>
              </w:rPr>
              <w:fldChar w:fldCharType="end"/>
            </w:r>
          </w:hyperlink>
        </w:p>
        <w:p w14:paraId="717E1D49" w14:textId="76B0550F" w:rsidR="001325FC" w:rsidRDefault="00963643">
          <w:pPr>
            <w:pStyle w:val="TOC3"/>
            <w:tabs>
              <w:tab w:val="left" w:pos="2160"/>
            </w:tabs>
            <w:rPr>
              <w:rFonts w:asciiTheme="minorHAnsi" w:eastAsiaTheme="minorEastAsia" w:hAnsiTheme="minorHAnsi" w:cstheme="minorBidi"/>
              <w:noProof/>
              <w:color w:val="auto"/>
              <w:sz w:val="22"/>
              <w:szCs w:val="22"/>
              <w:bdr w:val="none" w:sz="0" w:space="0" w:color="auto"/>
              <w:lang w:val="en-US" w:eastAsia="en-US"/>
            </w:rPr>
          </w:pPr>
          <w:hyperlink w:anchor="_Toc27473294" w:history="1">
            <w:r w:rsidR="001325FC" w:rsidRPr="00831B2A">
              <w:rPr>
                <w:rStyle w:val="Hyperlink"/>
                <w:noProof/>
              </w:rPr>
              <w:t>4.</w:t>
            </w:r>
            <w:r w:rsidR="001325FC">
              <w:rPr>
                <w:rFonts w:asciiTheme="minorHAnsi" w:eastAsiaTheme="minorEastAsia" w:hAnsiTheme="minorHAnsi" w:cstheme="minorBidi"/>
                <w:noProof/>
                <w:color w:val="auto"/>
                <w:sz w:val="22"/>
                <w:szCs w:val="22"/>
                <w:bdr w:val="none" w:sz="0" w:space="0" w:color="auto"/>
                <w:lang w:val="en-US" w:eastAsia="en-US"/>
              </w:rPr>
              <w:tab/>
            </w:r>
            <w:r w:rsidR="001325FC" w:rsidRPr="00831B2A">
              <w:rPr>
                <w:rStyle w:val="Hyperlink"/>
                <w:noProof/>
              </w:rPr>
              <w:t>Conclusiones</w:t>
            </w:r>
            <w:r w:rsidR="001325FC">
              <w:rPr>
                <w:noProof/>
                <w:webHidden/>
              </w:rPr>
              <w:tab/>
            </w:r>
            <w:r w:rsidR="001325FC">
              <w:rPr>
                <w:noProof/>
                <w:webHidden/>
              </w:rPr>
              <w:fldChar w:fldCharType="begin"/>
            </w:r>
            <w:r w:rsidR="001325FC">
              <w:rPr>
                <w:noProof/>
                <w:webHidden/>
              </w:rPr>
              <w:instrText xml:space="preserve"> PAGEREF _Toc27473294 \h </w:instrText>
            </w:r>
            <w:r w:rsidR="001325FC">
              <w:rPr>
                <w:noProof/>
                <w:webHidden/>
              </w:rPr>
            </w:r>
            <w:r w:rsidR="001325FC">
              <w:rPr>
                <w:noProof/>
                <w:webHidden/>
              </w:rPr>
              <w:fldChar w:fldCharType="separate"/>
            </w:r>
            <w:r>
              <w:rPr>
                <w:noProof/>
                <w:webHidden/>
              </w:rPr>
              <w:t>18</w:t>
            </w:r>
            <w:r w:rsidR="001325FC">
              <w:rPr>
                <w:noProof/>
                <w:webHidden/>
              </w:rPr>
              <w:fldChar w:fldCharType="end"/>
            </w:r>
          </w:hyperlink>
        </w:p>
        <w:p w14:paraId="0E366E09" w14:textId="7CB65E6A" w:rsidR="001325FC"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95" w:history="1">
            <w:r w:rsidR="001325FC" w:rsidRPr="00831B2A">
              <w:rPr>
                <w:rStyle w:val="Hyperlink"/>
                <w:noProof/>
              </w:rPr>
              <w:t>VI.</w:t>
            </w:r>
            <w:r w:rsidR="001325FC">
              <w:rPr>
                <w:rFonts w:eastAsiaTheme="minorEastAsia" w:cstheme="minorBidi"/>
                <w:noProof/>
                <w:color w:val="auto"/>
                <w:szCs w:val="22"/>
                <w:bdr w:val="none" w:sz="0" w:space="0" w:color="auto"/>
                <w:lang w:val="en-US" w:eastAsia="en-US"/>
              </w:rPr>
              <w:tab/>
            </w:r>
            <w:r w:rsidR="001325FC" w:rsidRPr="00831B2A">
              <w:rPr>
                <w:rStyle w:val="Hyperlink"/>
                <w:noProof/>
              </w:rPr>
              <w:t>ACTUACIONES POSTERIORES AL INFORME No. 154/18</w:t>
            </w:r>
            <w:r w:rsidR="001325FC">
              <w:rPr>
                <w:noProof/>
                <w:webHidden/>
              </w:rPr>
              <w:tab/>
            </w:r>
            <w:r w:rsidR="001325FC">
              <w:rPr>
                <w:noProof/>
                <w:webHidden/>
              </w:rPr>
              <w:fldChar w:fldCharType="begin"/>
            </w:r>
            <w:r w:rsidR="001325FC">
              <w:rPr>
                <w:noProof/>
                <w:webHidden/>
              </w:rPr>
              <w:instrText xml:space="preserve"> PAGEREF _Toc27473295 \h </w:instrText>
            </w:r>
            <w:r w:rsidR="001325FC">
              <w:rPr>
                <w:noProof/>
                <w:webHidden/>
              </w:rPr>
            </w:r>
            <w:r w:rsidR="001325FC">
              <w:rPr>
                <w:noProof/>
                <w:webHidden/>
              </w:rPr>
              <w:fldChar w:fldCharType="separate"/>
            </w:r>
            <w:r>
              <w:rPr>
                <w:noProof/>
                <w:webHidden/>
              </w:rPr>
              <w:t>18</w:t>
            </w:r>
            <w:r w:rsidR="001325FC">
              <w:rPr>
                <w:noProof/>
                <w:webHidden/>
              </w:rPr>
              <w:fldChar w:fldCharType="end"/>
            </w:r>
          </w:hyperlink>
        </w:p>
        <w:p w14:paraId="59281421" w14:textId="6EFE9D7B" w:rsidR="001325FC" w:rsidRPr="00F27BD9"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96" w:history="1">
            <w:r w:rsidR="001325FC" w:rsidRPr="00F27BD9">
              <w:rPr>
                <w:rStyle w:val="Hyperlink"/>
                <w:noProof/>
              </w:rPr>
              <w:t>VII.</w:t>
            </w:r>
            <w:r w:rsidR="001325FC" w:rsidRPr="00F27BD9">
              <w:rPr>
                <w:rFonts w:eastAsiaTheme="minorEastAsia" w:cstheme="minorBidi"/>
                <w:noProof/>
                <w:color w:val="auto"/>
                <w:szCs w:val="22"/>
                <w:bdr w:val="none" w:sz="0" w:space="0" w:color="auto"/>
                <w:lang w:val="en-US" w:eastAsia="en-US"/>
              </w:rPr>
              <w:tab/>
            </w:r>
            <w:r w:rsidR="001325FC" w:rsidRPr="00F27BD9">
              <w:rPr>
                <w:rStyle w:val="Hyperlink"/>
                <w:noProof/>
              </w:rPr>
              <w:t>ACTUACIONES POSTERIORES AL INFORME No. 99/19</w:t>
            </w:r>
            <w:r w:rsidR="001325FC" w:rsidRPr="00F27BD9">
              <w:rPr>
                <w:noProof/>
                <w:webHidden/>
              </w:rPr>
              <w:tab/>
            </w:r>
            <w:r w:rsidR="001325FC" w:rsidRPr="00F27BD9">
              <w:rPr>
                <w:noProof/>
                <w:webHidden/>
              </w:rPr>
              <w:fldChar w:fldCharType="begin"/>
            </w:r>
            <w:r w:rsidR="001325FC" w:rsidRPr="00F27BD9">
              <w:rPr>
                <w:noProof/>
                <w:webHidden/>
              </w:rPr>
              <w:instrText xml:space="preserve"> PAGEREF _Toc27473296 \h </w:instrText>
            </w:r>
            <w:r w:rsidR="001325FC" w:rsidRPr="00F27BD9">
              <w:rPr>
                <w:noProof/>
                <w:webHidden/>
              </w:rPr>
            </w:r>
            <w:r w:rsidR="001325FC" w:rsidRPr="00F27BD9">
              <w:rPr>
                <w:noProof/>
                <w:webHidden/>
              </w:rPr>
              <w:fldChar w:fldCharType="separate"/>
            </w:r>
            <w:r>
              <w:rPr>
                <w:noProof/>
                <w:webHidden/>
              </w:rPr>
              <w:t>18</w:t>
            </w:r>
            <w:r w:rsidR="001325FC" w:rsidRPr="00F27BD9">
              <w:rPr>
                <w:noProof/>
                <w:webHidden/>
              </w:rPr>
              <w:fldChar w:fldCharType="end"/>
            </w:r>
          </w:hyperlink>
        </w:p>
        <w:p w14:paraId="71990D0D" w14:textId="5ECC3EBC" w:rsidR="001325FC" w:rsidRPr="00F27BD9"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97" w:history="1">
            <w:r w:rsidR="001325FC" w:rsidRPr="00F27BD9">
              <w:rPr>
                <w:rStyle w:val="Hyperlink"/>
                <w:noProof/>
              </w:rPr>
              <w:t>VIII.</w:t>
            </w:r>
            <w:r w:rsidR="001325FC" w:rsidRPr="00F27BD9">
              <w:rPr>
                <w:rFonts w:eastAsiaTheme="minorEastAsia" w:cstheme="minorBidi"/>
                <w:noProof/>
                <w:color w:val="auto"/>
                <w:szCs w:val="22"/>
                <w:bdr w:val="none" w:sz="0" w:space="0" w:color="auto"/>
                <w:lang w:val="en-US" w:eastAsia="en-US"/>
              </w:rPr>
              <w:tab/>
            </w:r>
            <w:r w:rsidR="001325FC" w:rsidRPr="00F27BD9">
              <w:rPr>
                <w:rStyle w:val="Hyperlink"/>
                <w:noProof/>
              </w:rPr>
              <w:t>CONCLUSIONES Y RECOMENDACIONES FINALES</w:t>
            </w:r>
            <w:r w:rsidR="001325FC" w:rsidRPr="00F27BD9">
              <w:rPr>
                <w:noProof/>
                <w:webHidden/>
              </w:rPr>
              <w:tab/>
            </w:r>
            <w:r w:rsidR="001325FC" w:rsidRPr="00F27BD9">
              <w:rPr>
                <w:noProof/>
                <w:webHidden/>
              </w:rPr>
              <w:fldChar w:fldCharType="begin"/>
            </w:r>
            <w:r w:rsidR="001325FC" w:rsidRPr="00F27BD9">
              <w:rPr>
                <w:noProof/>
                <w:webHidden/>
              </w:rPr>
              <w:instrText xml:space="preserve"> PAGEREF _Toc27473297 \h </w:instrText>
            </w:r>
            <w:r w:rsidR="001325FC" w:rsidRPr="00F27BD9">
              <w:rPr>
                <w:noProof/>
                <w:webHidden/>
              </w:rPr>
            </w:r>
            <w:r w:rsidR="001325FC" w:rsidRPr="00F27BD9">
              <w:rPr>
                <w:noProof/>
                <w:webHidden/>
              </w:rPr>
              <w:fldChar w:fldCharType="separate"/>
            </w:r>
            <w:r>
              <w:rPr>
                <w:noProof/>
                <w:webHidden/>
              </w:rPr>
              <w:t>18</w:t>
            </w:r>
            <w:r w:rsidR="001325FC" w:rsidRPr="00F27BD9">
              <w:rPr>
                <w:noProof/>
                <w:webHidden/>
              </w:rPr>
              <w:fldChar w:fldCharType="end"/>
            </w:r>
          </w:hyperlink>
        </w:p>
        <w:p w14:paraId="1796AE7A" w14:textId="09E60D8E" w:rsidR="001325FC" w:rsidRDefault="00963643">
          <w:pPr>
            <w:pStyle w:val="TOC1"/>
            <w:tabs>
              <w:tab w:val="left" w:pos="1080"/>
              <w:tab w:val="right" w:leader="dot" w:pos="9350"/>
            </w:tabs>
            <w:rPr>
              <w:rFonts w:eastAsiaTheme="minorEastAsia" w:cstheme="minorBidi"/>
              <w:noProof/>
              <w:color w:val="auto"/>
              <w:szCs w:val="22"/>
              <w:bdr w:val="none" w:sz="0" w:space="0" w:color="auto"/>
              <w:lang w:val="en-US" w:eastAsia="en-US"/>
            </w:rPr>
          </w:pPr>
          <w:hyperlink w:anchor="_Toc27473298" w:history="1">
            <w:r w:rsidR="001325FC" w:rsidRPr="00F27BD9">
              <w:rPr>
                <w:rStyle w:val="Hyperlink"/>
                <w:noProof/>
              </w:rPr>
              <w:t>IX.</w:t>
            </w:r>
            <w:r w:rsidR="001325FC" w:rsidRPr="00F27BD9">
              <w:rPr>
                <w:rFonts w:eastAsiaTheme="minorEastAsia" w:cstheme="minorBidi"/>
                <w:noProof/>
                <w:color w:val="auto"/>
                <w:szCs w:val="22"/>
                <w:bdr w:val="none" w:sz="0" w:space="0" w:color="auto"/>
                <w:lang w:val="en-US" w:eastAsia="en-US"/>
              </w:rPr>
              <w:tab/>
            </w:r>
            <w:r w:rsidR="001325FC" w:rsidRPr="00F27BD9">
              <w:rPr>
                <w:rStyle w:val="Hyperlink"/>
                <w:noProof/>
              </w:rPr>
              <w:t>PUBLICACIÓN</w:t>
            </w:r>
            <w:r w:rsidR="001325FC" w:rsidRPr="00F27BD9">
              <w:rPr>
                <w:noProof/>
                <w:webHidden/>
              </w:rPr>
              <w:tab/>
            </w:r>
            <w:r w:rsidR="001325FC" w:rsidRPr="00F27BD9">
              <w:rPr>
                <w:noProof/>
                <w:webHidden/>
              </w:rPr>
              <w:fldChar w:fldCharType="begin"/>
            </w:r>
            <w:r w:rsidR="001325FC" w:rsidRPr="00F27BD9">
              <w:rPr>
                <w:noProof/>
                <w:webHidden/>
              </w:rPr>
              <w:instrText xml:space="preserve"> PAGEREF _Toc27473298 \h </w:instrText>
            </w:r>
            <w:r w:rsidR="001325FC" w:rsidRPr="00F27BD9">
              <w:rPr>
                <w:noProof/>
                <w:webHidden/>
              </w:rPr>
            </w:r>
            <w:r w:rsidR="001325FC" w:rsidRPr="00F27BD9">
              <w:rPr>
                <w:noProof/>
                <w:webHidden/>
              </w:rPr>
              <w:fldChar w:fldCharType="separate"/>
            </w:r>
            <w:r>
              <w:rPr>
                <w:noProof/>
                <w:webHidden/>
              </w:rPr>
              <w:t>19</w:t>
            </w:r>
            <w:r w:rsidR="001325FC" w:rsidRPr="00F27BD9">
              <w:rPr>
                <w:noProof/>
                <w:webHidden/>
              </w:rPr>
              <w:fldChar w:fldCharType="end"/>
            </w:r>
          </w:hyperlink>
        </w:p>
        <w:p w14:paraId="0AB03073" w14:textId="77777777" w:rsidR="00C53C19" w:rsidRPr="00DB5BAC" w:rsidRDefault="00C53C19" w:rsidP="003B3A9B">
          <w:pPr>
            <w:tabs>
              <w:tab w:val="left" w:pos="720"/>
            </w:tabs>
            <w:rPr>
              <w:rFonts w:asciiTheme="majorHAnsi" w:hAnsiTheme="majorHAnsi"/>
              <w:sz w:val="20"/>
            </w:rPr>
          </w:pPr>
          <w:r w:rsidRPr="003B3A9B">
            <w:rPr>
              <w:rFonts w:asciiTheme="majorHAnsi" w:hAnsiTheme="majorHAnsi"/>
              <w:b/>
              <w:bCs/>
              <w:sz w:val="20"/>
            </w:rPr>
            <w:fldChar w:fldCharType="end"/>
          </w:r>
        </w:p>
      </w:sdtContent>
    </w:sdt>
    <w:p w14:paraId="243F731C" w14:textId="77777777" w:rsidR="008D768D" w:rsidRPr="00DB5BAC" w:rsidRDefault="008D768D" w:rsidP="006125C3">
      <w:pPr>
        <w:tabs>
          <w:tab w:val="center" w:pos="5400"/>
        </w:tabs>
        <w:suppressAutoHyphens/>
        <w:spacing w:line="276" w:lineRule="auto"/>
        <w:rPr>
          <w:rFonts w:asciiTheme="majorHAnsi" w:hAnsiTheme="majorHAnsi"/>
          <w:sz w:val="20"/>
        </w:rPr>
      </w:pPr>
    </w:p>
    <w:p w14:paraId="312FD004" w14:textId="77777777" w:rsidR="00E909AA" w:rsidRPr="00DB5BAC" w:rsidRDefault="00E909AA" w:rsidP="00E909AA">
      <w:pPr>
        <w:suppressAutoHyphens/>
        <w:rPr>
          <w:rFonts w:asciiTheme="majorHAnsi" w:hAnsiTheme="majorHAnsi"/>
          <w:b/>
          <w:sz w:val="20"/>
        </w:rPr>
      </w:pPr>
    </w:p>
    <w:p w14:paraId="124BF0F0" w14:textId="77777777" w:rsidR="00E909AA" w:rsidRPr="00DB5BAC" w:rsidRDefault="006125C3" w:rsidP="00E909AA">
      <w:pPr>
        <w:tabs>
          <w:tab w:val="left" w:pos="720"/>
          <w:tab w:val="left" w:pos="1440"/>
          <w:tab w:val="right" w:leader="dot" w:pos="9350"/>
        </w:tabs>
        <w:spacing w:after="100"/>
        <w:ind w:left="720" w:hanging="720"/>
        <w:rPr>
          <w:rFonts w:asciiTheme="majorHAnsi" w:eastAsia="Times New Roman" w:hAnsiTheme="majorHAnsi"/>
          <w:b/>
          <w:sz w:val="20"/>
          <w:bdr w:val="none" w:sz="0" w:space="0" w:color="auto"/>
        </w:rPr>
      </w:pPr>
      <w:r w:rsidRPr="00DB5BAC">
        <w:rPr>
          <w:rFonts w:asciiTheme="majorHAnsi" w:hAnsiTheme="majorHAnsi"/>
          <w:b/>
          <w:sz w:val="20"/>
        </w:rPr>
        <w:fldChar w:fldCharType="begin"/>
      </w:r>
      <w:r w:rsidRPr="00DB5BAC">
        <w:rPr>
          <w:rFonts w:asciiTheme="majorHAnsi" w:hAnsiTheme="majorHAnsi"/>
          <w:b/>
          <w:sz w:val="20"/>
        </w:rPr>
        <w:instrText xml:space="preserve"> TOC \o "1-7" \h \z \u </w:instrText>
      </w:r>
      <w:r w:rsidRPr="00DB5BAC">
        <w:rPr>
          <w:rFonts w:asciiTheme="majorHAnsi" w:hAnsiTheme="majorHAnsi"/>
          <w:b/>
          <w:sz w:val="20"/>
        </w:rPr>
        <w:fldChar w:fldCharType="separate"/>
      </w:r>
    </w:p>
    <w:p w14:paraId="0666E59B" w14:textId="77777777" w:rsidR="006125C3" w:rsidRPr="00DB5BAC" w:rsidRDefault="006125C3" w:rsidP="006125C3">
      <w:pPr>
        <w:tabs>
          <w:tab w:val="left" w:pos="720"/>
          <w:tab w:val="left" w:pos="1440"/>
          <w:tab w:val="right" w:leader="dot" w:pos="9350"/>
        </w:tabs>
        <w:spacing w:after="100"/>
        <w:ind w:left="720" w:hanging="720"/>
        <w:rPr>
          <w:rFonts w:asciiTheme="majorHAnsi" w:eastAsia="Times New Roman" w:hAnsiTheme="majorHAnsi"/>
          <w:b/>
          <w:sz w:val="20"/>
          <w:bdr w:val="none" w:sz="0" w:space="0" w:color="auto"/>
        </w:rPr>
      </w:pPr>
    </w:p>
    <w:p w14:paraId="34832A8D" w14:textId="77777777" w:rsidR="008D768D" w:rsidRPr="00DB5BAC" w:rsidRDefault="006125C3" w:rsidP="006125C3">
      <w:pPr>
        <w:tabs>
          <w:tab w:val="center" w:pos="5400"/>
        </w:tabs>
        <w:suppressAutoHyphens/>
        <w:spacing w:line="276" w:lineRule="auto"/>
        <w:rPr>
          <w:rFonts w:asciiTheme="majorHAnsi" w:hAnsiTheme="majorHAnsi"/>
          <w:sz w:val="20"/>
        </w:rPr>
      </w:pPr>
      <w:r w:rsidRPr="00DB5BAC">
        <w:rPr>
          <w:rFonts w:asciiTheme="majorHAnsi" w:hAnsiTheme="majorHAnsi"/>
          <w:b/>
          <w:sz w:val="20"/>
        </w:rPr>
        <w:fldChar w:fldCharType="end"/>
      </w:r>
    </w:p>
    <w:p w14:paraId="27042264" w14:textId="77777777" w:rsidR="00722C9F" w:rsidRPr="00DB5BAC" w:rsidRDefault="00722C9F">
      <w:pPr>
        <w:rPr>
          <w:sz w:val="20"/>
        </w:rPr>
      </w:pPr>
      <w:r w:rsidRPr="00DB5BAC">
        <w:rPr>
          <w:sz w:val="20"/>
        </w:rPr>
        <w:br w:type="page"/>
      </w:r>
    </w:p>
    <w:p w14:paraId="64A80E86" w14:textId="77777777" w:rsidR="00740662" w:rsidRPr="00DB5BAC" w:rsidRDefault="003F186B" w:rsidP="00740662">
      <w:pPr>
        <w:tabs>
          <w:tab w:val="center" w:pos="5400"/>
        </w:tabs>
        <w:suppressAutoHyphens/>
        <w:spacing w:line="276" w:lineRule="auto"/>
        <w:jc w:val="center"/>
        <w:rPr>
          <w:rFonts w:asciiTheme="majorHAnsi" w:hAnsiTheme="majorHAnsi"/>
          <w:b/>
          <w:sz w:val="18"/>
        </w:rPr>
      </w:pPr>
      <w:r>
        <w:rPr>
          <w:rFonts w:asciiTheme="majorHAnsi" w:hAnsiTheme="majorHAnsi"/>
          <w:b/>
          <w:sz w:val="18"/>
        </w:rPr>
        <w:lastRenderedPageBreak/>
        <w:t>INFORME No. 26/20</w:t>
      </w:r>
    </w:p>
    <w:p w14:paraId="1E420D5D" w14:textId="77777777" w:rsidR="00740662" w:rsidRPr="00DB5BAC" w:rsidRDefault="00740662" w:rsidP="00740662">
      <w:pPr>
        <w:tabs>
          <w:tab w:val="center" w:pos="5400"/>
        </w:tabs>
        <w:suppressAutoHyphens/>
        <w:spacing w:line="276" w:lineRule="auto"/>
        <w:jc w:val="center"/>
        <w:rPr>
          <w:rFonts w:asciiTheme="majorHAnsi" w:hAnsiTheme="majorHAnsi"/>
          <w:b/>
          <w:sz w:val="18"/>
        </w:rPr>
      </w:pPr>
      <w:r w:rsidRPr="00DB5BAC">
        <w:rPr>
          <w:rFonts w:asciiTheme="majorHAnsi" w:hAnsiTheme="majorHAnsi"/>
          <w:b/>
          <w:sz w:val="18"/>
        </w:rPr>
        <w:t>CASO 12.545</w:t>
      </w:r>
    </w:p>
    <w:p w14:paraId="670764BA" w14:textId="77777777" w:rsidR="00740662" w:rsidRPr="00DB5BAC" w:rsidRDefault="00740662" w:rsidP="00740662">
      <w:pPr>
        <w:tabs>
          <w:tab w:val="center" w:pos="5400"/>
        </w:tabs>
        <w:suppressAutoHyphens/>
        <w:spacing w:line="276" w:lineRule="auto"/>
        <w:jc w:val="center"/>
        <w:rPr>
          <w:rFonts w:asciiTheme="majorHAnsi" w:hAnsiTheme="majorHAnsi"/>
          <w:sz w:val="18"/>
        </w:rPr>
      </w:pPr>
      <w:r w:rsidRPr="00DB5BAC">
        <w:rPr>
          <w:rFonts w:asciiTheme="majorHAnsi" w:hAnsiTheme="majorHAnsi"/>
          <w:sz w:val="18"/>
        </w:rPr>
        <w:t>FONDO</w:t>
      </w:r>
      <w:r w:rsidR="00391BAF">
        <w:rPr>
          <w:rFonts w:asciiTheme="majorHAnsi" w:hAnsiTheme="majorHAnsi"/>
          <w:sz w:val="18"/>
        </w:rPr>
        <w:t xml:space="preserve"> (PUBLICACIÓN</w:t>
      </w:r>
      <w:r w:rsidR="003B0BE8">
        <w:rPr>
          <w:rFonts w:asciiTheme="majorHAnsi" w:hAnsiTheme="majorHAnsi"/>
          <w:sz w:val="18"/>
        </w:rPr>
        <w:t>)</w:t>
      </w:r>
    </w:p>
    <w:p w14:paraId="21B01966" w14:textId="77777777" w:rsidR="00740662" w:rsidRPr="00DB5BAC" w:rsidRDefault="00740662" w:rsidP="00740662">
      <w:pPr>
        <w:tabs>
          <w:tab w:val="center" w:pos="5400"/>
        </w:tabs>
        <w:suppressAutoHyphens/>
        <w:spacing w:line="276" w:lineRule="auto"/>
        <w:jc w:val="center"/>
        <w:rPr>
          <w:rFonts w:asciiTheme="majorHAnsi" w:hAnsiTheme="majorHAnsi"/>
          <w:sz w:val="18"/>
        </w:rPr>
      </w:pPr>
      <w:r w:rsidRPr="00DB5BAC">
        <w:rPr>
          <w:rFonts w:asciiTheme="majorHAnsi" w:hAnsiTheme="majorHAnsi"/>
          <w:sz w:val="18"/>
        </w:rPr>
        <w:t>ISAMU CARLOS SHIBAYAMA Y OTROS</w:t>
      </w:r>
    </w:p>
    <w:p w14:paraId="7BCB321F" w14:textId="77777777" w:rsidR="00740662" w:rsidRPr="00DB5BAC" w:rsidRDefault="00740662" w:rsidP="00740662">
      <w:pPr>
        <w:tabs>
          <w:tab w:val="center" w:pos="5400"/>
        </w:tabs>
        <w:suppressAutoHyphens/>
        <w:spacing w:line="276" w:lineRule="auto"/>
        <w:jc w:val="center"/>
        <w:rPr>
          <w:rFonts w:asciiTheme="majorHAnsi" w:hAnsiTheme="majorHAnsi"/>
          <w:sz w:val="18"/>
        </w:rPr>
      </w:pPr>
      <w:r w:rsidRPr="00DB5BAC">
        <w:rPr>
          <w:rFonts w:asciiTheme="majorHAnsi" w:hAnsiTheme="majorHAnsi"/>
          <w:sz w:val="18"/>
        </w:rPr>
        <w:t>ESTADOS UNIDOS DE AMÉRICA</w:t>
      </w:r>
    </w:p>
    <w:p w14:paraId="3D4EC7D2" w14:textId="77777777" w:rsidR="00722C9F" w:rsidRPr="00DB5BAC" w:rsidRDefault="00145B27" w:rsidP="00740662">
      <w:pPr>
        <w:tabs>
          <w:tab w:val="center" w:pos="5400"/>
        </w:tabs>
        <w:suppressAutoHyphens/>
        <w:spacing w:line="276" w:lineRule="auto"/>
        <w:jc w:val="center"/>
        <w:rPr>
          <w:rFonts w:asciiTheme="majorHAnsi" w:hAnsiTheme="majorHAnsi"/>
          <w:sz w:val="18"/>
        </w:rPr>
      </w:pPr>
      <w:r>
        <w:rPr>
          <w:rFonts w:asciiTheme="majorHAnsi" w:hAnsiTheme="majorHAnsi"/>
          <w:sz w:val="18"/>
        </w:rPr>
        <w:t>2</w:t>
      </w:r>
      <w:r w:rsidR="008561DB">
        <w:rPr>
          <w:rFonts w:asciiTheme="majorHAnsi" w:hAnsiTheme="majorHAnsi"/>
          <w:sz w:val="18"/>
        </w:rPr>
        <w:t>2</w:t>
      </w:r>
      <w:r w:rsidR="003B0BE8">
        <w:rPr>
          <w:rFonts w:asciiTheme="majorHAnsi" w:hAnsiTheme="majorHAnsi"/>
          <w:sz w:val="18"/>
        </w:rPr>
        <w:t xml:space="preserve"> </w:t>
      </w:r>
      <w:r w:rsidR="00815935">
        <w:rPr>
          <w:rFonts w:asciiTheme="majorHAnsi" w:hAnsiTheme="majorHAnsi"/>
          <w:sz w:val="18"/>
        </w:rPr>
        <w:t xml:space="preserve">DE </w:t>
      </w:r>
      <w:r w:rsidR="003F186B">
        <w:rPr>
          <w:rFonts w:asciiTheme="majorHAnsi" w:hAnsiTheme="majorHAnsi"/>
          <w:sz w:val="18"/>
        </w:rPr>
        <w:t>ABRIL</w:t>
      </w:r>
      <w:r w:rsidR="003B0BE8">
        <w:rPr>
          <w:rFonts w:asciiTheme="majorHAnsi" w:hAnsiTheme="majorHAnsi"/>
          <w:sz w:val="18"/>
        </w:rPr>
        <w:t xml:space="preserve"> </w:t>
      </w:r>
      <w:r w:rsidR="00815935">
        <w:rPr>
          <w:rFonts w:asciiTheme="majorHAnsi" w:hAnsiTheme="majorHAnsi"/>
          <w:sz w:val="18"/>
        </w:rPr>
        <w:t>DE</w:t>
      </w:r>
      <w:r w:rsidR="003F186B">
        <w:rPr>
          <w:rFonts w:asciiTheme="majorHAnsi" w:hAnsiTheme="majorHAnsi"/>
          <w:sz w:val="18"/>
        </w:rPr>
        <w:t xml:space="preserve"> 2020</w:t>
      </w:r>
    </w:p>
    <w:p w14:paraId="1254A72C" w14:textId="77777777" w:rsidR="005937F1" w:rsidRPr="00DB5BAC" w:rsidRDefault="005937F1" w:rsidP="005937F1">
      <w:pPr>
        <w:pStyle w:val="ListParagraph"/>
        <w:suppressAutoHyphens/>
        <w:ind w:left="1440"/>
        <w:rPr>
          <w:rFonts w:asciiTheme="majorHAnsi" w:hAnsiTheme="majorHAnsi"/>
          <w:b/>
          <w:sz w:val="20"/>
          <w:szCs w:val="20"/>
          <w:lang w:val="es-ES"/>
        </w:rPr>
      </w:pPr>
    </w:p>
    <w:p w14:paraId="549DFB54" w14:textId="77777777" w:rsidR="00D12193" w:rsidRPr="00DB5BAC" w:rsidRDefault="00740662" w:rsidP="00C53C19">
      <w:pPr>
        <w:pStyle w:val="Heading1"/>
        <w:rPr>
          <w:lang w:val="es-ES"/>
        </w:rPr>
      </w:pPr>
      <w:bookmarkStart w:id="2" w:name="_Toc27473277"/>
      <w:r w:rsidRPr="00DB5BAC">
        <w:rPr>
          <w:lang w:val="es-ES"/>
        </w:rPr>
        <w:t>RESUMEN</w:t>
      </w:r>
      <w:bookmarkEnd w:id="2"/>
    </w:p>
    <w:p w14:paraId="4BBFB622" w14:textId="77777777" w:rsidR="005C4CA5" w:rsidRPr="00DB5BAC" w:rsidRDefault="005C4CA5" w:rsidP="005C4CA5">
      <w:pPr>
        <w:suppressAutoHyphens/>
        <w:ind w:left="360"/>
        <w:rPr>
          <w:rFonts w:asciiTheme="majorHAnsi" w:hAnsiTheme="majorHAnsi"/>
          <w:b/>
          <w:sz w:val="20"/>
        </w:rPr>
      </w:pPr>
    </w:p>
    <w:p w14:paraId="14BB106B" w14:textId="77777777" w:rsidR="00BD7433"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DB5BAC">
        <w:rPr>
          <w:rFonts w:asciiTheme="majorHAnsi" w:hAnsiTheme="majorHAnsi"/>
          <w:color w:val="auto"/>
          <w:sz w:val="20"/>
        </w:rPr>
        <w:t xml:space="preserve">El </w:t>
      </w:r>
      <w:r w:rsidR="00D032B2" w:rsidRPr="00DB5BAC">
        <w:rPr>
          <w:rFonts w:asciiTheme="majorHAnsi" w:hAnsiTheme="majorHAnsi"/>
          <w:color w:val="auto"/>
          <w:sz w:val="20"/>
        </w:rPr>
        <w:t>11</w:t>
      </w:r>
      <w:r w:rsidRPr="00DB5BAC">
        <w:rPr>
          <w:rFonts w:asciiTheme="majorHAnsi" w:hAnsiTheme="majorHAnsi"/>
          <w:color w:val="auto"/>
          <w:sz w:val="20"/>
        </w:rPr>
        <w:t xml:space="preserve"> de junio de</w:t>
      </w:r>
      <w:r w:rsidR="00D032B2" w:rsidRPr="00DB5BAC">
        <w:rPr>
          <w:rFonts w:asciiTheme="majorHAnsi" w:hAnsiTheme="majorHAnsi"/>
          <w:color w:val="auto"/>
          <w:sz w:val="20"/>
        </w:rPr>
        <w:t xml:space="preserve"> 2003</w:t>
      </w:r>
      <w:r w:rsidR="00BD7433" w:rsidRPr="00DB5BAC">
        <w:rPr>
          <w:rFonts w:asciiTheme="majorHAnsi" w:hAnsiTheme="majorHAnsi"/>
          <w:color w:val="auto"/>
          <w:sz w:val="20"/>
        </w:rPr>
        <w:t xml:space="preserve">, </w:t>
      </w:r>
      <w:r w:rsidRPr="00DB5BAC">
        <w:rPr>
          <w:rFonts w:asciiTheme="majorHAnsi" w:hAnsiTheme="majorHAnsi"/>
          <w:color w:val="auto"/>
          <w:sz w:val="20"/>
        </w:rPr>
        <w:t>la Comisión Interamericana de Derechos Humanos</w:t>
      </w:r>
      <w:r w:rsidR="00BD7433" w:rsidRPr="00DB5BAC">
        <w:rPr>
          <w:rFonts w:asciiTheme="majorHAnsi" w:hAnsiTheme="majorHAnsi"/>
          <w:color w:val="auto"/>
          <w:sz w:val="20"/>
        </w:rPr>
        <w:t xml:space="preserve"> (</w:t>
      </w:r>
      <w:r w:rsidRPr="00DB5BAC">
        <w:rPr>
          <w:rFonts w:asciiTheme="majorHAnsi" w:hAnsiTheme="majorHAnsi"/>
          <w:color w:val="auto"/>
          <w:sz w:val="20"/>
        </w:rPr>
        <w:t xml:space="preserve">en adelante la </w:t>
      </w:r>
      <w:r w:rsidR="00BD7433" w:rsidRPr="00DB5BAC">
        <w:rPr>
          <w:rFonts w:asciiTheme="majorHAnsi" w:hAnsiTheme="majorHAnsi"/>
          <w:color w:val="auto"/>
          <w:sz w:val="20"/>
        </w:rPr>
        <w:t>“</w:t>
      </w:r>
      <w:r w:rsidRPr="00DB5BAC">
        <w:rPr>
          <w:rFonts w:asciiTheme="majorHAnsi" w:hAnsiTheme="majorHAnsi"/>
          <w:color w:val="auto"/>
          <w:sz w:val="20"/>
        </w:rPr>
        <w:t>Comisión Interamericana</w:t>
      </w:r>
      <w:r w:rsidR="00BD7433" w:rsidRPr="00DB5BAC">
        <w:rPr>
          <w:rFonts w:asciiTheme="majorHAnsi" w:hAnsiTheme="majorHAnsi"/>
          <w:color w:val="auto"/>
          <w:sz w:val="20"/>
        </w:rPr>
        <w:t>” o “</w:t>
      </w:r>
      <w:r w:rsidRPr="00DB5BAC">
        <w:rPr>
          <w:rFonts w:asciiTheme="majorHAnsi" w:hAnsiTheme="majorHAnsi"/>
          <w:color w:val="auto"/>
          <w:sz w:val="20"/>
        </w:rPr>
        <w:t>la CIDH</w:t>
      </w:r>
      <w:r w:rsidR="00BD7433" w:rsidRPr="00DB5BAC">
        <w:rPr>
          <w:rFonts w:asciiTheme="majorHAnsi" w:hAnsiTheme="majorHAnsi"/>
          <w:color w:val="auto"/>
          <w:sz w:val="20"/>
        </w:rPr>
        <w:t xml:space="preserve">”) </w:t>
      </w:r>
      <w:r w:rsidRPr="00DB5BAC">
        <w:rPr>
          <w:rFonts w:asciiTheme="majorHAnsi" w:hAnsiTheme="majorHAnsi"/>
          <w:color w:val="auto"/>
          <w:sz w:val="20"/>
        </w:rPr>
        <w:t>recibió una petición presentada por</w:t>
      </w:r>
      <w:r w:rsidR="00BD7433" w:rsidRPr="00DB5BAC">
        <w:rPr>
          <w:rFonts w:asciiTheme="majorHAnsi" w:hAnsiTheme="majorHAnsi"/>
          <w:color w:val="auto"/>
          <w:sz w:val="20"/>
        </w:rPr>
        <w:t xml:space="preserve"> </w:t>
      </w:r>
      <w:r w:rsidR="00D032B2" w:rsidRPr="00DB5BAC">
        <w:rPr>
          <w:rFonts w:asciiTheme="majorHAnsi" w:hAnsiTheme="majorHAnsi"/>
          <w:color w:val="auto"/>
          <w:sz w:val="20"/>
        </w:rPr>
        <w:t xml:space="preserve">Karen Parker </w:t>
      </w:r>
      <w:r w:rsidR="00545CB4" w:rsidRPr="00DB5BAC">
        <w:rPr>
          <w:rFonts w:asciiTheme="majorHAnsi" w:hAnsiTheme="majorHAnsi"/>
          <w:color w:val="auto"/>
          <w:sz w:val="20"/>
        </w:rPr>
        <w:t>y el Proyecto de Historia Oral de los Peruanos Japoneses</w:t>
      </w:r>
      <w:r w:rsidR="00BD7433" w:rsidRPr="00DB5BAC">
        <w:rPr>
          <w:rFonts w:asciiTheme="majorHAnsi" w:hAnsiTheme="majorHAnsi"/>
          <w:color w:val="auto"/>
          <w:sz w:val="20"/>
        </w:rPr>
        <w:t xml:space="preserve"> (</w:t>
      </w:r>
      <w:r w:rsidRPr="00DB5BAC">
        <w:rPr>
          <w:rFonts w:asciiTheme="majorHAnsi" w:hAnsiTheme="majorHAnsi"/>
          <w:color w:val="auto"/>
          <w:sz w:val="20"/>
        </w:rPr>
        <w:t xml:space="preserve">en adelante </w:t>
      </w:r>
      <w:r w:rsidR="00536DED">
        <w:rPr>
          <w:rFonts w:asciiTheme="majorHAnsi" w:hAnsiTheme="majorHAnsi"/>
          <w:color w:val="auto"/>
          <w:sz w:val="20"/>
        </w:rPr>
        <w:t>“la parte peticionaria”</w:t>
      </w:r>
      <w:r w:rsidR="00BD7433" w:rsidRPr="00DB5BAC">
        <w:rPr>
          <w:rFonts w:asciiTheme="majorHAnsi" w:hAnsiTheme="majorHAnsi"/>
          <w:color w:val="auto"/>
          <w:sz w:val="20"/>
        </w:rPr>
        <w:t xml:space="preserve">) </w:t>
      </w:r>
      <w:r w:rsidR="00545CB4" w:rsidRPr="00DB5BAC">
        <w:rPr>
          <w:rFonts w:asciiTheme="majorHAnsi" w:hAnsiTheme="majorHAnsi"/>
          <w:color w:val="auto"/>
          <w:sz w:val="20"/>
        </w:rPr>
        <w:t>en la cual se alega la responsabilidad internacional</w:t>
      </w:r>
      <w:r w:rsidR="00BD7433" w:rsidRPr="00DB5BAC">
        <w:rPr>
          <w:rFonts w:asciiTheme="majorHAnsi" w:hAnsiTheme="majorHAnsi"/>
          <w:color w:val="auto"/>
          <w:sz w:val="20"/>
        </w:rPr>
        <w:t xml:space="preserve"> </w:t>
      </w:r>
      <w:r w:rsidR="00545CB4" w:rsidRPr="00DB5BAC">
        <w:rPr>
          <w:rFonts w:asciiTheme="majorHAnsi" w:hAnsiTheme="majorHAnsi"/>
          <w:color w:val="auto"/>
          <w:sz w:val="20"/>
        </w:rPr>
        <w:t xml:space="preserve">de </w:t>
      </w:r>
      <w:r w:rsidRPr="00DB5BAC">
        <w:rPr>
          <w:rFonts w:asciiTheme="majorHAnsi" w:hAnsiTheme="majorHAnsi"/>
          <w:color w:val="auto"/>
          <w:sz w:val="20"/>
        </w:rPr>
        <w:t>Estados Unidos de América</w:t>
      </w:r>
      <w:r w:rsidR="00BD7433" w:rsidRPr="00DB5BAC">
        <w:rPr>
          <w:rFonts w:asciiTheme="majorHAnsi" w:hAnsiTheme="majorHAnsi"/>
          <w:color w:val="auto"/>
          <w:sz w:val="20"/>
        </w:rPr>
        <w:t xml:space="preserve"> (</w:t>
      </w:r>
      <w:r w:rsidRPr="00DB5BAC">
        <w:rPr>
          <w:rFonts w:asciiTheme="majorHAnsi" w:hAnsiTheme="majorHAnsi"/>
          <w:color w:val="auto"/>
          <w:sz w:val="20"/>
        </w:rPr>
        <w:t xml:space="preserve">en adelante el </w:t>
      </w:r>
      <w:r w:rsidR="00BD7433" w:rsidRPr="00DB5BAC">
        <w:rPr>
          <w:rFonts w:asciiTheme="majorHAnsi" w:hAnsiTheme="majorHAnsi"/>
          <w:color w:val="auto"/>
          <w:sz w:val="20"/>
        </w:rPr>
        <w:t>“</w:t>
      </w:r>
      <w:r w:rsidRPr="00DB5BAC">
        <w:rPr>
          <w:rFonts w:asciiTheme="majorHAnsi" w:hAnsiTheme="majorHAnsi"/>
          <w:color w:val="auto"/>
          <w:sz w:val="20"/>
        </w:rPr>
        <w:t>Estado</w:t>
      </w:r>
      <w:r w:rsidR="00BD7433" w:rsidRPr="00DB5BAC">
        <w:rPr>
          <w:rFonts w:asciiTheme="majorHAnsi" w:hAnsiTheme="majorHAnsi"/>
          <w:color w:val="auto"/>
          <w:sz w:val="20"/>
        </w:rPr>
        <w:t>” o “</w:t>
      </w:r>
      <w:r w:rsidRPr="00DB5BAC">
        <w:rPr>
          <w:rFonts w:asciiTheme="majorHAnsi" w:hAnsiTheme="majorHAnsi"/>
          <w:color w:val="auto"/>
          <w:sz w:val="20"/>
        </w:rPr>
        <w:t>Estados Unidos</w:t>
      </w:r>
      <w:r w:rsidR="00BD7433" w:rsidRPr="00DB5BAC">
        <w:rPr>
          <w:rFonts w:asciiTheme="majorHAnsi" w:hAnsiTheme="majorHAnsi"/>
          <w:color w:val="auto"/>
          <w:sz w:val="20"/>
        </w:rPr>
        <w:t xml:space="preserve">”) </w:t>
      </w:r>
      <w:r w:rsidR="00545CB4" w:rsidRPr="00DB5BAC">
        <w:rPr>
          <w:rFonts w:asciiTheme="majorHAnsi" w:hAnsiTheme="majorHAnsi"/>
          <w:color w:val="auto"/>
          <w:sz w:val="20"/>
        </w:rPr>
        <w:t>por violaciones de los derechos humanos</w:t>
      </w:r>
      <w:r w:rsidR="00BD7433" w:rsidRPr="00DB5BAC">
        <w:rPr>
          <w:rFonts w:asciiTheme="majorHAnsi" w:hAnsiTheme="majorHAnsi"/>
          <w:color w:val="auto"/>
          <w:sz w:val="20"/>
        </w:rPr>
        <w:t xml:space="preserve"> </w:t>
      </w:r>
      <w:r w:rsidR="00545CB4" w:rsidRPr="00DB5BAC">
        <w:rPr>
          <w:rFonts w:asciiTheme="majorHAnsi" w:hAnsiTheme="majorHAnsi"/>
          <w:color w:val="auto"/>
          <w:sz w:val="20"/>
        </w:rPr>
        <w:t>de</w:t>
      </w:r>
      <w:r w:rsidR="00BD7433" w:rsidRPr="00DB5BAC">
        <w:rPr>
          <w:rFonts w:asciiTheme="majorHAnsi" w:hAnsiTheme="majorHAnsi"/>
          <w:color w:val="auto"/>
          <w:sz w:val="20"/>
        </w:rPr>
        <w:t xml:space="preserve"> </w:t>
      </w:r>
      <w:r w:rsidR="00D032B2" w:rsidRPr="00DB5BAC">
        <w:rPr>
          <w:rFonts w:asciiTheme="majorHAnsi" w:hAnsiTheme="majorHAnsi"/>
          <w:color w:val="auto"/>
          <w:sz w:val="20"/>
        </w:rPr>
        <w:t>Isamu Carlos</w:t>
      </w:r>
      <w:r w:rsidR="00E45EFB" w:rsidRPr="00DB5BAC">
        <w:rPr>
          <w:rFonts w:asciiTheme="majorHAnsi" w:hAnsiTheme="majorHAnsi"/>
          <w:color w:val="auto"/>
          <w:sz w:val="20"/>
        </w:rPr>
        <w:t xml:space="preserve"> (“Arthur”)</w:t>
      </w:r>
      <w:r w:rsidR="00D032B2" w:rsidRPr="00DB5BAC">
        <w:rPr>
          <w:rFonts w:asciiTheme="majorHAnsi" w:hAnsiTheme="majorHAnsi"/>
          <w:color w:val="auto"/>
          <w:sz w:val="20"/>
        </w:rPr>
        <w:t xml:space="preserve"> Shibayama, Kenichi Javier Shibayama</w:t>
      </w:r>
      <w:r w:rsidR="00545CB4" w:rsidRPr="00DB5BAC">
        <w:rPr>
          <w:rFonts w:asciiTheme="majorHAnsi" w:hAnsiTheme="majorHAnsi"/>
          <w:color w:val="auto"/>
          <w:sz w:val="20"/>
        </w:rPr>
        <w:t xml:space="preserve"> y</w:t>
      </w:r>
      <w:r w:rsidR="00D032B2" w:rsidRPr="00DB5BAC">
        <w:rPr>
          <w:rFonts w:asciiTheme="majorHAnsi" w:hAnsiTheme="majorHAnsi"/>
          <w:color w:val="auto"/>
          <w:sz w:val="20"/>
        </w:rPr>
        <w:t xml:space="preserve"> Takeshi Jorge Shibayama (</w:t>
      </w:r>
      <w:r w:rsidR="00545CB4" w:rsidRPr="00DB5BAC">
        <w:rPr>
          <w:rFonts w:asciiTheme="majorHAnsi" w:hAnsiTheme="majorHAnsi"/>
          <w:color w:val="auto"/>
          <w:sz w:val="20"/>
        </w:rPr>
        <w:t>los</w:t>
      </w:r>
      <w:r w:rsidR="00D032B2" w:rsidRPr="00DB5BAC">
        <w:rPr>
          <w:rFonts w:asciiTheme="majorHAnsi" w:hAnsiTheme="majorHAnsi"/>
          <w:color w:val="auto"/>
          <w:sz w:val="20"/>
        </w:rPr>
        <w:t xml:space="preserve"> “</w:t>
      </w:r>
      <w:r w:rsidR="00545CB4" w:rsidRPr="00DB5BAC">
        <w:rPr>
          <w:rFonts w:asciiTheme="majorHAnsi" w:hAnsiTheme="majorHAnsi"/>
          <w:color w:val="auto"/>
          <w:sz w:val="20"/>
        </w:rPr>
        <w:t xml:space="preserve">hermanos </w:t>
      </w:r>
      <w:r w:rsidR="00D032B2" w:rsidRPr="00DB5BAC">
        <w:rPr>
          <w:rFonts w:asciiTheme="majorHAnsi" w:hAnsiTheme="majorHAnsi"/>
          <w:color w:val="auto"/>
          <w:sz w:val="20"/>
        </w:rPr>
        <w:t>Shibayama”)</w:t>
      </w:r>
      <w:r w:rsidR="00BD7433" w:rsidRPr="00DB5BAC">
        <w:rPr>
          <w:rFonts w:asciiTheme="majorHAnsi" w:hAnsiTheme="majorHAnsi"/>
          <w:color w:val="auto"/>
          <w:sz w:val="20"/>
        </w:rPr>
        <w:t xml:space="preserve">. </w:t>
      </w:r>
    </w:p>
    <w:p w14:paraId="67719915" w14:textId="77777777" w:rsidR="00BD7433" w:rsidRPr="00DB5BAC" w:rsidRDefault="00BD7433" w:rsidP="00BD743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auto"/>
          <w:sz w:val="20"/>
        </w:rPr>
      </w:pPr>
    </w:p>
    <w:p w14:paraId="0C0AAE06" w14:textId="77777777" w:rsidR="00BD7433"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DB5BAC">
        <w:rPr>
          <w:rFonts w:asciiTheme="majorHAnsi" w:hAnsiTheme="majorHAnsi"/>
          <w:color w:val="auto"/>
          <w:sz w:val="20"/>
        </w:rPr>
        <w:t>La Comisión</w:t>
      </w:r>
      <w:r w:rsidR="00BD7433" w:rsidRPr="00DB5BAC">
        <w:rPr>
          <w:rFonts w:asciiTheme="majorHAnsi" w:hAnsiTheme="majorHAnsi"/>
          <w:color w:val="auto"/>
          <w:sz w:val="20"/>
        </w:rPr>
        <w:t xml:space="preserve"> ap</w:t>
      </w:r>
      <w:r w:rsidR="00545CB4" w:rsidRPr="00DB5BAC">
        <w:rPr>
          <w:rFonts w:asciiTheme="majorHAnsi" w:hAnsiTheme="majorHAnsi"/>
          <w:color w:val="auto"/>
          <w:sz w:val="20"/>
        </w:rPr>
        <w:t xml:space="preserve">robó su </w:t>
      </w:r>
      <w:r w:rsidR="00A31E7B" w:rsidRPr="00DB5BAC">
        <w:rPr>
          <w:rFonts w:asciiTheme="majorHAnsi" w:hAnsiTheme="majorHAnsi"/>
          <w:color w:val="auto"/>
          <w:sz w:val="20"/>
        </w:rPr>
        <w:t>I</w:t>
      </w:r>
      <w:r w:rsidR="00545CB4" w:rsidRPr="00DB5BAC">
        <w:rPr>
          <w:rFonts w:asciiTheme="majorHAnsi" w:hAnsiTheme="majorHAnsi"/>
          <w:color w:val="auto"/>
          <w:sz w:val="20"/>
        </w:rPr>
        <w:t xml:space="preserve">nforme de </w:t>
      </w:r>
      <w:r w:rsidR="00536DED">
        <w:rPr>
          <w:rFonts w:asciiTheme="majorHAnsi" w:hAnsiTheme="majorHAnsi"/>
          <w:color w:val="auto"/>
          <w:sz w:val="20"/>
        </w:rPr>
        <w:t>A</w:t>
      </w:r>
      <w:r w:rsidR="00545CB4" w:rsidRPr="00DB5BAC">
        <w:rPr>
          <w:rFonts w:asciiTheme="majorHAnsi" w:hAnsiTheme="majorHAnsi"/>
          <w:color w:val="auto"/>
          <w:sz w:val="20"/>
        </w:rPr>
        <w:t>dmisibilidad</w:t>
      </w:r>
      <w:r w:rsidR="00BD7433" w:rsidRPr="00DB5BAC">
        <w:rPr>
          <w:rFonts w:asciiTheme="majorHAnsi" w:hAnsiTheme="majorHAnsi"/>
          <w:color w:val="auto"/>
          <w:sz w:val="20"/>
        </w:rPr>
        <w:t xml:space="preserve"> No. </w:t>
      </w:r>
      <w:r w:rsidR="00D032B2" w:rsidRPr="00DB5BAC">
        <w:rPr>
          <w:rFonts w:asciiTheme="majorHAnsi" w:hAnsiTheme="majorHAnsi"/>
          <w:color w:val="auto"/>
          <w:sz w:val="20"/>
        </w:rPr>
        <w:t>26</w:t>
      </w:r>
      <w:r w:rsidR="00BD7433" w:rsidRPr="00DB5BAC">
        <w:rPr>
          <w:rFonts w:asciiTheme="majorHAnsi" w:hAnsiTheme="majorHAnsi"/>
          <w:color w:val="auto"/>
          <w:sz w:val="20"/>
        </w:rPr>
        <w:t>/</w:t>
      </w:r>
      <w:r w:rsidR="00D032B2" w:rsidRPr="00DB5BAC">
        <w:rPr>
          <w:rFonts w:asciiTheme="majorHAnsi" w:hAnsiTheme="majorHAnsi"/>
          <w:color w:val="auto"/>
          <w:sz w:val="20"/>
        </w:rPr>
        <w:t>06</w:t>
      </w:r>
      <w:r w:rsidR="00BD7433" w:rsidRPr="00DB5BAC">
        <w:rPr>
          <w:rFonts w:asciiTheme="majorHAnsi" w:hAnsiTheme="majorHAnsi"/>
          <w:color w:val="auto"/>
          <w:sz w:val="20"/>
        </w:rPr>
        <w:t xml:space="preserve"> </w:t>
      </w:r>
      <w:r w:rsidR="00545CB4" w:rsidRPr="00DB5BAC">
        <w:rPr>
          <w:rFonts w:asciiTheme="majorHAnsi" w:hAnsiTheme="majorHAnsi"/>
          <w:color w:val="auto"/>
          <w:sz w:val="20"/>
        </w:rPr>
        <w:t xml:space="preserve">el </w:t>
      </w:r>
      <w:r w:rsidR="00D032B2" w:rsidRPr="00DB5BAC">
        <w:rPr>
          <w:rFonts w:asciiTheme="majorHAnsi" w:hAnsiTheme="majorHAnsi"/>
          <w:color w:val="auto"/>
          <w:sz w:val="20"/>
        </w:rPr>
        <w:t>16</w:t>
      </w:r>
      <w:r w:rsidR="00545CB4" w:rsidRPr="00DB5BAC">
        <w:rPr>
          <w:rFonts w:asciiTheme="majorHAnsi" w:hAnsiTheme="majorHAnsi"/>
          <w:color w:val="auto"/>
          <w:sz w:val="20"/>
        </w:rPr>
        <w:t xml:space="preserve"> de marzo de</w:t>
      </w:r>
      <w:r w:rsidR="00D032B2" w:rsidRPr="00DB5BAC">
        <w:rPr>
          <w:rFonts w:asciiTheme="majorHAnsi" w:hAnsiTheme="majorHAnsi"/>
          <w:color w:val="auto"/>
          <w:sz w:val="20"/>
        </w:rPr>
        <w:t xml:space="preserve"> 2006</w:t>
      </w:r>
      <w:r w:rsidR="00BD7433" w:rsidRPr="00DB5BAC">
        <w:rPr>
          <w:rStyle w:val="FootnoteReference"/>
          <w:rFonts w:asciiTheme="majorHAnsi" w:hAnsiTheme="majorHAnsi"/>
          <w:color w:val="auto"/>
          <w:sz w:val="20"/>
        </w:rPr>
        <w:footnoteReference w:id="2"/>
      </w:r>
      <w:r w:rsidR="00545CB4" w:rsidRPr="00DB5BAC">
        <w:rPr>
          <w:rFonts w:asciiTheme="majorHAnsi" w:hAnsiTheme="majorHAnsi"/>
          <w:color w:val="auto"/>
          <w:sz w:val="20"/>
        </w:rPr>
        <w:t xml:space="preserve">. El </w:t>
      </w:r>
      <w:r w:rsidR="00624611" w:rsidRPr="00DB5BAC">
        <w:rPr>
          <w:rFonts w:asciiTheme="majorHAnsi" w:hAnsiTheme="majorHAnsi"/>
          <w:color w:val="auto"/>
          <w:sz w:val="20"/>
        </w:rPr>
        <w:t>21</w:t>
      </w:r>
      <w:r w:rsidR="00545CB4" w:rsidRPr="00DB5BAC">
        <w:rPr>
          <w:rFonts w:asciiTheme="majorHAnsi" w:hAnsiTheme="majorHAnsi"/>
          <w:color w:val="auto"/>
          <w:sz w:val="20"/>
        </w:rPr>
        <w:t xml:space="preserve"> de marzo de</w:t>
      </w:r>
      <w:r w:rsidR="00624611" w:rsidRPr="00DB5BAC">
        <w:rPr>
          <w:rFonts w:asciiTheme="majorHAnsi" w:hAnsiTheme="majorHAnsi"/>
          <w:color w:val="auto"/>
          <w:sz w:val="20"/>
        </w:rPr>
        <w:t xml:space="preserve"> 2006</w:t>
      </w:r>
      <w:r w:rsidR="00BD7433" w:rsidRPr="00DB5BAC">
        <w:rPr>
          <w:rFonts w:asciiTheme="majorHAnsi" w:hAnsiTheme="majorHAnsi"/>
          <w:color w:val="auto"/>
          <w:sz w:val="20"/>
        </w:rPr>
        <w:t xml:space="preserve">, </w:t>
      </w:r>
      <w:r w:rsidRPr="00DB5BAC">
        <w:rPr>
          <w:rFonts w:asciiTheme="majorHAnsi" w:hAnsiTheme="majorHAnsi"/>
          <w:color w:val="auto"/>
          <w:sz w:val="20"/>
        </w:rPr>
        <w:t>la Comisión</w:t>
      </w:r>
      <w:r w:rsidR="00BD7433" w:rsidRPr="00DB5BAC">
        <w:rPr>
          <w:rFonts w:asciiTheme="majorHAnsi" w:hAnsiTheme="majorHAnsi"/>
          <w:color w:val="auto"/>
          <w:sz w:val="20"/>
        </w:rPr>
        <w:t xml:space="preserve"> </w:t>
      </w:r>
      <w:r w:rsidR="00536DED">
        <w:rPr>
          <w:rFonts w:asciiTheme="majorHAnsi" w:hAnsiTheme="majorHAnsi"/>
          <w:color w:val="auto"/>
          <w:sz w:val="20"/>
        </w:rPr>
        <w:t>notificó dicho</w:t>
      </w:r>
      <w:r w:rsidR="002E4940" w:rsidRPr="00DB5BAC">
        <w:rPr>
          <w:rFonts w:asciiTheme="majorHAnsi" w:hAnsiTheme="majorHAnsi"/>
          <w:color w:val="auto"/>
          <w:sz w:val="20"/>
        </w:rPr>
        <w:t xml:space="preserve"> informe a </w:t>
      </w:r>
      <w:r w:rsidR="00545CB4" w:rsidRPr="00DB5BAC">
        <w:rPr>
          <w:rFonts w:asciiTheme="majorHAnsi" w:hAnsiTheme="majorHAnsi"/>
          <w:color w:val="auto"/>
          <w:sz w:val="20"/>
        </w:rPr>
        <w:t>las partes</w:t>
      </w:r>
      <w:r w:rsidR="00BD7433" w:rsidRPr="00DB5BAC">
        <w:rPr>
          <w:rFonts w:asciiTheme="majorHAnsi" w:hAnsiTheme="majorHAnsi"/>
          <w:color w:val="auto"/>
          <w:sz w:val="20"/>
        </w:rPr>
        <w:t xml:space="preserve"> </w:t>
      </w:r>
      <w:r w:rsidR="002E4940" w:rsidRPr="00DB5BAC">
        <w:rPr>
          <w:rFonts w:asciiTheme="majorHAnsi" w:hAnsiTheme="majorHAnsi"/>
          <w:color w:val="auto"/>
          <w:sz w:val="20"/>
        </w:rPr>
        <w:t>y se puso a su disposición para llegar a una solución amistosa</w:t>
      </w:r>
      <w:r w:rsidR="00BD7433" w:rsidRPr="00DB5BAC">
        <w:rPr>
          <w:rFonts w:asciiTheme="majorHAnsi" w:hAnsiTheme="majorHAnsi"/>
          <w:color w:val="auto"/>
          <w:sz w:val="20"/>
        </w:rPr>
        <w:t xml:space="preserve">. </w:t>
      </w:r>
      <w:r w:rsidR="00545CB4" w:rsidRPr="00DB5BAC">
        <w:rPr>
          <w:rFonts w:asciiTheme="majorHAnsi" w:hAnsiTheme="majorHAnsi"/>
          <w:color w:val="auto"/>
          <w:sz w:val="20"/>
        </w:rPr>
        <w:t>Las partes</w:t>
      </w:r>
      <w:r w:rsidR="00BD7433" w:rsidRPr="00DB5BAC">
        <w:rPr>
          <w:rFonts w:asciiTheme="majorHAnsi" w:hAnsiTheme="majorHAnsi"/>
          <w:color w:val="auto"/>
          <w:sz w:val="20"/>
        </w:rPr>
        <w:t xml:space="preserve"> </w:t>
      </w:r>
      <w:r w:rsidR="00B93931" w:rsidRPr="00DB5BAC">
        <w:rPr>
          <w:rFonts w:asciiTheme="majorHAnsi" w:hAnsiTheme="majorHAnsi"/>
          <w:color w:val="auto"/>
          <w:sz w:val="20"/>
        </w:rPr>
        <w:t xml:space="preserve">contaron con los plazos </w:t>
      </w:r>
      <w:r w:rsidR="00536DED">
        <w:rPr>
          <w:rFonts w:asciiTheme="majorHAnsi" w:hAnsiTheme="majorHAnsi"/>
          <w:color w:val="auto"/>
          <w:sz w:val="20"/>
        </w:rPr>
        <w:t>reglamentarios</w:t>
      </w:r>
      <w:r w:rsidR="00BD7433" w:rsidRPr="00DB5BAC">
        <w:rPr>
          <w:rFonts w:asciiTheme="majorHAnsi" w:hAnsiTheme="majorHAnsi"/>
          <w:color w:val="auto"/>
          <w:sz w:val="20"/>
        </w:rPr>
        <w:t xml:space="preserve"> </w:t>
      </w:r>
      <w:r w:rsidR="00B93931" w:rsidRPr="00DB5BAC">
        <w:rPr>
          <w:rFonts w:asciiTheme="majorHAnsi" w:hAnsiTheme="majorHAnsi"/>
          <w:color w:val="auto"/>
          <w:sz w:val="20"/>
        </w:rPr>
        <w:t>para</w:t>
      </w:r>
      <w:r w:rsidR="00BD7433" w:rsidRPr="00DB5BAC">
        <w:rPr>
          <w:rFonts w:asciiTheme="majorHAnsi" w:hAnsiTheme="majorHAnsi"/>
          <w:color w:val="auto"/>
          <w:sz w:val="20"/>
        </w:rPr>
        <w:t xml:space="preserve"> present</w:t>
      </w:r>
      <w:r w:rsidR="00B93931" w:rsidRPr="00DB5BAC">
        <w:rPr>
          <w:rFonts w:asciiTheme="majorHAnsi" w:hAnsiTheme="majorHAnsi"/>
          <w:color w:val="auto"/>
          <w:sz w:val="20"/>
        </w:rPr>
        <w:t>ar</w:t>
      </w:r>
      <w:r w:rsidR="00BD7433" w:rsidRPr="00DB5BAC">
        <w:rPr>
          <w:rFonts w:asciiTheme="majorHAnsi" w:hAnsiTheme="majorHAnsi"/>
          <w:color w:val="auto"/>
          <w:sz w:val="20"/>
        </w:rPr>
        <w:t xml:space="preserve"> </w:t>
      </w:r>
      <w:r w:rsidR="00B93931" w:rsidRPr="00DB5BAC">
        <w:rPr>
          <w:rFonts w:asciiTheme="majorHAnsi" w:hAnsiTheme="majorHAnsi"/>
          <w:color w:val="auto"/>
          <w:sz w:val="20"/>
        </w:rPr>
        <w:t>observaciones adicionales sobre el fondo</w:t>
      </w:r>
      <w:r w:rsidR="00BD7433" w:rsidRPr="00DB5BAC">
        <w:rPr>
          <w:rFonts w:asciiTheme="majorHAnsi" w:hAnsiTheme="majorHAnsi"/>
          <w:color w:val="auto"/>
          <w:sz w:val="20"/>
        </w:rPr>
        <w:t xml:space="preserve">. </w:t>
      </w:r>
      <w:r w:rsidR="00B93931" w:rsidRPr="00DB5BAC">
        <w:rPr>
          <w:rFonts w:asciiTheme="majorHAnsi" w:hAnsiTheme="majorHAnsi"/>
          <w:color w:val="auto"/>
          <w:sz w:val="20"/>
        </w:rPr>
        <w:t xml:space="preserve">El </w:t>
      </w:r>
      <w:r w:rsidR="008E3D57" w:rsidRPr="00DB5BAC">
        <w:rPr>
          <w:rFonts w:asciiTheme="majorHAnsi" w:hAnsiTheme="majorHAnsi"/>
          <w:color w:val="auto"/>
          <w:sz w:val="20"/>
        </w:rPr>
        <w:t>21</w:t>
      </w:r>
      <w:r w:rsidR="00B93931" w:rsidRPr="00DB5BAC">
        <w:rPr>
          <w:rFonts w:asciiTheme="majorHAnsi" w:hAnsiTheme="majorHAnsi"/>
          <w:color w:val="auto"/>
          <w:sz w:val="20"/>
        </w:rPr>
        <w:t xml:space="preserve"> de marzo de</w:t>
      </w:r>
      <w:r w:rsidR="008E3D57" w:rsidRPr="00DB5BAC">
        <w:rPr>
          <w:rFonts w:asciiTheme="majorHAnsi" w:hAnsiTheme="majorHAnsi"/>
          <w:color w:val="auto"/>
          <w:sz w:val="20"/>
        </w:rPr>
        <w:t xml:space="preserve"> 2017</w:t>
      </w:r>
      <w:r w:rsidR="00BD7433" w:rsidRPr="00DB5BAC">
        <w:rPr>
          <w:rFonts w:asciiTheme="majorHAnsi" w:hAnsiTheme="majorHAnsi"/>
          <w:color w:val="auto"/>
          <w:sz w:val="20"/>
        </w:rPr>
        <w:t xml:space="preserve">, </w:t>
      </w:r>
      <w:r w:rsidRPr="00DB5BAC">
        <w:rPr>
          <w:rFonts w:asciiTheme="majorHAnsi" w:hAnsiTheme="majorHAnsi"/>
          <w:color w:val="auto"/>
          <w:sz w:val="20"/>
        </w:rPr>
        <w:t>la Comisión</w:t>
      </w:r>
      <w:r w:rsidR="00BD7433" w:rsidRPr="00DB5BAC">
        <w:rPr>
          <w:rFonts w:asciiTheme="majorHAnsi" w:hAnsiTheme="majorHAnsi"/>
          <w:color w:val="auto"/>
          <w:sz w:val="20"/>
        </w:rPr>
        <w:t xml:space="preserve"> </w:t>
      </w:r>
      <w:r w:rsidR="00B93931" w:rsidRPr="00DB5BAC">
        <w:rPr>
          <w:rFonts w:asciiTheme="majorHAnsi" w:hAnsiTheme="majorHAnsi"/>
          <w:color w:val="auto"/>
          <w:sz w:val="20"/>
        </w:rPr>
        <w:t xml:space="preserve">celebró una audiencia sobre el fondo del caso. El Estado no asistió a esta audiencia. Toda la información recibida por </w:t>
      </w:r>
      <w:r w:rsidRPr="00DB5BAC">
        <w:rPr>
          <w:rFonts w:asciiTheme="majorHAnsi" w:hAnsiTheme="majorHAnsi"/>
          <w:color w:val="auto"/>
          <w:sz w:val="20"/>
        </w:rPr>
        <w:t>la Comisión</w:t>
      </w:r>
      <w:r w:rsidR="00BD7433" w:rsidRPr="00DB5BAC">
        <w:rPr>
          <w:rFonts w:asciiTheme="majorHAnsi" w:hAnsiTheme="majorHAnsi"/>
          <w:color w:val="auto"/>
          <w:sz w:val="20"/>
        </w:rPr>
        <w:t xml:space="preserve"> </w:t>
      </w:r>
      <w:r w:rsidR="00B93931" w:rsidRPr="00DB5BAC">
        <w:rPr>
          <w:rFonts w:asciiTheme="majorHAnsi" w:hAnsiTheme="majorHAnsi"/>
          <w:color w:val="auto"/>
          <w:sz w:val="20"/>
        </w:rPr>
        <w:t xml:space="preserve">fue transmitida debidamente a </w:t>
      </w:r>
      <w:r w:rsidR="00545CB4" w:rsidRPr="00DB5BAC">
        <w:rPr>
          <w:rFonts w:asciiTheme="majorHAnsi" w:hAnsiTheme="majorHAnsi"/>
          <w:color w:val="auto"/>
          <w:sz w:val="20"/>
        </w:rPr>
        <w:t>las partes</w:t>
      </w:r>
      <w:r w:rsidR="00BD7433" w:rsidRPr="00DB5BAC">
        <w:rPr>
          <w:rFonts w:asciiTheme="majorHAnsi" w:hAnsiTheme="majorHAnsi"/>
          <w:color w:val="auto"/>
          <w:sz w:val="20"/>
        </w:rPr>
        <w:t xml:space="preserve">. </w:t>
      </w:r>
    </w:p>
    <w:p w14:paraId="10C2C52B" w14:textId="77777777" w:rsidR="00BD7433" w:rsidRPr="00DB5BAC" w:rsidRDefault="00BD7433" w:rsidP="00BD743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color w:val="auto"/>
          <w:sz w:val="20"/>
        </w:rPr>
      </w:pPr>
    </w:p>
    <w:p w14:paraId="1B12C3D0" w14:textId="77777777" w:rsidR="00BD7433" w:rsidRPr="00DB5BAC" w:rsidRDefault="00536DED"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rPr>
      </w:pPr>
      <w:r>
        <w:rPr>
          <w:rFonts w:asciiTheme="majorHAnsi" w:hAnsiTheme="majorHAnsi"/>
          <w:color w:val="auto"/>
          <w:sz w:val="20"/>
        </w:rPr>
        <w:t>La parte peticionaria</w:t>
      </w:r>
      <w:r w:rsidRPr="00DB5BAC">
        <w:rPr>
          <w:rFonts w:asciiTheme="majorHAnsi" w:hAnsiTheme="majorHAnsi"/>
          <w:color w:val="auto"/>
          <w:sz w:val="20"/>
        </w:rPr>
        <w:t xml:space="preserve"> </w:t>
      </w:r>
      <w:r>
        <w:rPr>
          <w:rFonts w:asciiTheme="majorHAnsi" w:hAnsiTheme="majorHAnsi"/>
          <w:color w:val="auto"/>
          <w:sz w:val="20"/>
        </w:rPr>
        <w:t xml:space="preserve">alegó </w:t>
      </w:r>
      <w:r w:rsidR="00B93931" w:rsidRPr="00DB5BAC">
        <w:rPr>
          <w:rFonts w:asciiTheme="majorHAnsi" w:hAnsiTheme="majorHAnsi"/>
          <w:color w:val="auto"/>
          <w:sz w:val="20"/>
        </w:rPr>
        <w:t xml:space="preserve">que </w:t>
      </w:r>
      <w:r w:rsidR="005B1600" w:rsidRPr="00DB5BAC">
        <w:rPr>
          <w:rFonts w:asciiTheme="majorHAnsi" w:hAnsiTheme="majorHAnsi"/>
          <w:color w:val="auto"/>
          <w:sz w:val="20"/>
        </w:rPr>
        <w:t>los hermanos Shibayama</w:t>
      </w:r>
      <w:r w:rsidR="005C7F37" w:rsidRPr="00DB5BAC">
        <w:rPr>
          <w:rFonts w:asciiTheme="majorHAnsi" w:hAnsiTheme="majorHAnsi"/>
          <w:color w:val="auto"/>
          <w:sz w:val="20"/>
        </w:rPr>
        <w:t xml:space="preserve"> </w:t>
      </w:r>
      <w:r w:rsidR="00B93931" w:rsidRPr="00DB5BAC">
        <w:rPr>
          <w:rFonts w:asciiTheme="majorHAnsi" w:hAnsiTheme="majorHAnsi"/>
          <w:color w:val="auto"/>
          <w:sz w:val="20"/>
        </w:rPr>
        <w:t>y su</w:t>
      </w:r>
      <w:r w:rsidR="00320AB9" w:rsidRPr="00DB5BAC">
        <w:rPr>
          <w:rFonts w:asciiTheme="majorHAnsi" w:hAnsiTheme="majorHAnsi"/>
          <w:color w:val="auto"/>
          <w:sz w:val="20"/>
        </w:rPr>
        <w:t>s</w:t>
      </w:r>
      <w:r w:rsidR="00B93931" w:rsidRPr="00DB5BAC">
        <w:rPr>
          <w:rFonts w:asciiTheme="majorHAnsi" w:hAnsiTheme="majorHAnsi"/>
          <w:color w:val="auto"/>
          <w:sz w:val="20"/>
        </w:rPr>
        <w:t xml:space="preserve"> familia</w:t>
      </w:r>
      <w:r w:rsidR="00320AB9" w:rsidRPr="00DB5BAC">
        <w:rPr>
          <w:rFonts w:asciiTheme="majorHAnsi" w:hAnsiTheme="majorHAnsi"/>
          <w:color w:val="auto"/>
          <w:sz w:val="20"/>
        </w:rPr>
        <w:t>res</w:t>
      </w:r>
      <w:r w:rsidR="00B93931" w:rsidRPr="00DB5BAC">
        <w:rPr>
          <w:rFonts w:asciiTheme="majorHAnsi" w:hAnsiTheme="majorHAnsi"/>
          <w:color w:val="auto"/>
          <w:sz w:val="20"/>
        </w:rPr>
        <w:t>, peruanos de ascendencia japonesa, fueron secuestrados en</w:t>
      </w:r>
      <w:r w:rsidR="005C7F37" w:rsidRPr="00DB5BAC">
        <w:rPr>
          <w:rFonts w:asciiTheme="majorHAnsi" w:hAnsiTheme="majorHAnsi"/>
          <w:color w:val="auto"/>
          <w:sz w:val="20"/>
        </w:rPr>
        <w:t xml:space="preserve"> Per</w:t>
      </w:r>
      <w:r w:rsidR="00B93931" w:rsidRPr="00DB5BAC">
        <w:rPr>
          <w:rFonts w:asciiTheme="majorHAnsi" w:hAnsiTheme="majorHAnsi"/>
          <w:color w:val="auto"/>
          <w:sz w:val="20"/>
        </w:rPr>
        <w:t>ú</w:t>
      </w:r>
      <w:r w:rsidR="005C7F37" w:rsidRPr="00DB5BAC">
        <w:rPr>
          <w:rFonts w:asciiTheme="majorHAnsi" w:hAnsiTheme="majorHAnsi"/>
          <w:color w:val="auto"/>
          <w:sz w:val="20"/>
        </w:rPr>
        <w:t xml:space="preserve"> </w:t>
      </w:r>
      <w:r w:rsidR="00B93931" w:rsidRPr="00DB5BAC">
        <w:rPr>
          <w:rFonts w:asciiTheme="majorHAnsi" w:hAnsiTheme="majorHAnsi"/>
          <w:color w:val="auto"/>
          <w:sz w:val="20"/>
        </w:rPr>
        <w:t xml:space="preserve">por Estados Unidos y </w:t>
      </w:r>
      <w:r>
        <w:rPr>
          <w:rFonts w:asciiTheme="majorHAnsi" w:hAnsiTheme="majorHAnsi"/>
          <w:color w:val="auto"/>
          <w:sz w:val="20"/>
        </w:rPr>
        <w:t>d</w:t>
      </w:r>
      <w:r w:rsidR="00B93931" w:rsidRPr="00DB5BAC">
        <w:rPr>
          <w:rFonts w:asciiTheme="majorHAnsi" w:hAnsiTheme="majorHAnsi"/>
          <w:color w:val="auto"/>
          <w:sz w:val="20"/>
        </w:rPr>
        <w:t xml:space="preserve">etenidos en </w:t>
      </w:r>
      <w:r w:rsidR="0090313E" w:rsidRPr="00DB5BAC">
        <w:rPr>
          <w:rFonts w:asciiTheme="majorHAnsi" w:hAnsiTheme="majorHAnsi"/>
          <w:color w:val="auto"/>
          <w:sz w:val="20"/>
        </w:rPr>
        <w:t>campos de internamiento</w:t>
      </w:r>
      <w:r w:rsidR="00C837BB" w:rsidRPr="00DB5BAC">
        <w:rPr>
          <w:rFonts w:asciiTheme="majorHAnsi" w:hAnsiTheme="majorHAnsi"/>
          <w:color w:val="auto"/>
          <w:sz w:val="20"/>
        </w:rPr>
        <w:t xml:space="preserve"> </w:t>
      </w:r>
      <w:r>
        <w:rPr>
          <w:rFonts w:asciiTheme="majorHAnsi" w:hAnsiTheme="majorHAnsi"/>
          <w:color w:val="auto"/>
          <w:sz w:val="20"/>
        </w:rPr>
        <w:t>en</w:t>
      </w:r>
      <w:r w:rsidR="00C837BB" w:rsidRPr="00DB5BAC">
        <w:rPr>
          <w:rFonts w:asciiTheme="majorHAnsi" w:hAnsiTheme="majorHAnsi"/>
          <w:color w:val="auto"/>
          <w:sz w:val="20"/>
        </w:rPr>
        <w:t xml:space="preserve"> Texas</w:t>
      </w:r>
      <w:r w:rsidR="0090313E" w:rsidRPr="00DB5BAC">
        <w:rPr>
          <w:rFonts w:asciiTheme="majorHAnsi" w:hAnsiTheme="majorHAnsi"/>
          <w:color w:val="auto"/>
          <w:sz w:val="20"/>
        </w:rPr>
        <w:t xml:space="preserve"> durante la </w:t>
      </w:r>
      <w:r w:rsidR="0090313E" w:rsidRPr="00DB5BAC">
        <w:rPr>
          <w:rFonts w:asciiTheme="majorHAnsi" w:hAnsiTheme="majorHAnsi"/>
          <w:sz w:val="20"/>
        </w:rPr>
        <w:t>Segunda Guerra Mundial</w:t>
      </w:r>
      <w:r w:rsidR="00460DEF" w:rsidRPr="00DB5BAC">
        <w:rPr>
          <w:rFonts w:asciiTheme="majorHAnsi" w:hAnsiTheme="majorHAnsi"/>
          <w:sz w:val="20"/>
        </w:rPr>
        <w:t xml:space="preserve"> </w:t>
      </w:r>
      <w:r w:rsidR="00BF623C" w:rsidRPr="00DB5BAC">
        <w:rPr>
          <w:rFonts w:asciiTheme="majorHAnsi" w:hAnsiTheme="majorHAnsi"/>
          <w:sz w:val="20"/>
        </w:rPr>
        <w:t>como posibles rehenes</w:t>
      </w:r>
      <w:r w:rsidR="00460DEF" w:rsidRPr="00DB5BAC">
        <w:rPr>
          <w:rFonts w:asciiTheme="majorHAnsi" w:hAnsiTheme="majorHAnsi"/>
          <w:sz w:val="20"/>
        </w:rPr>
        <w:t xml:space="preserve"> </w:t>
      </w:r>
      <w:r w:rsidR="00BF623C" w:rsidRPr="00DB5BAC">
        <w:rPr>
          <w:rFonts w:asciiTheme="majorHAnsi" w:hAnsiTheme="majorHAnsi"/>
          <w:sz w:val="20"/>
        </w:rPr>
        <w:t xml:space="preserve">para intercambiar con Japón. Cuando terminó la guerra fueron puestos en libertad, pero no los repatriaron a Perú ni les </w:t>
      </w:r>
      <w:r w:rsidR="00FF03EE" w:rsidRPr="00DB5BAC">
        <w:rPr>
          <w:rFonts w:asciiTheme="majorHAnsi" w:hAnsiTheme="majorHAnsi"/>
          <w:sz w:val="20"/>
        </w:rPr>
        <w:t>otorgaron</w:t>
      </w:r>
      <w:r w:rsidR="005C7F37" w:rsidRPr="00DB5BAC">
        <w:rPr>
          <w:rFonts w:asciiTheme="majorHAnsi" w:hAnsiTheme="majorHAnsi"/>
          <w:sz w:val="20"/>
        </w:rPr>
        <w:t xml:space="preserve"> </w:t>
      </w:r>
      <w:r w:rsidR="00FF03EE" w:rsidRPr="00DB5BAC">
        <w:rPr>
          <w:rFonts w:asciiTheme="majorHAnsi" w:hAnsiTheme="majorHAnsi"/>
          <w:sz w:val="20"/>
        </w:rPr>
        <w:t xml:space="preserve">la condición de inmigrantes legales en </w:t>
      </w:r>
      <w:r w:rsidR="000648EF" w:rsidRPr="00DB5BAC">
        <w:rPr>
          <w:rFonts w:asciiTheme="majorHAnsi" w:hAnsiTheme="majorHAnsi"/>
          <w:sz w:val="20"/>
        </w:rPr>
        <w:t>Estados Unidos</w:t>
      </w:r>
      <w:r w:rsidR="005C7F37" w:rsidRPr="00DB5BAC">
        <w:rPr>
          <w:rFonts w:asciiTheme="majorHAnsi" w:hAnsiTheme="majorHAnsi"/>
          <w:sz w:val="20"/>
        </w:rPr>
        <w:t xml:space="preserve">, </w:t>
      </w:r>
      <w:r w:rsidR="00FF03EE" w:rsidRPr="00DB5BAC">
        <w:rPr>
          <w:rFonts w:asciiTheme="majorHAnsi" w:hAnsiTheme="majorHAnsi"/>
          <w:sz w:val="20"/>
        </w:rPr>
        <w:t>sino que los calificaron de</w:t>
      </w:r>
      <w:r w:rsidR="005C7F37" w:rsidRPr="00DB5BAC">
        <w:rPr>
          <w:rFonts w:asciiTheme="majorHAnsi" w:hAnsiTheme="majorHAnsi"/>
          <w:sz w:val="20"/>
        </w:rPr>
        <w:t xml:space="preserve"> “</w:t>
      </w:r>
      <w:r w:rsidR="00FF03EE" w:rsidRPr="00DB5BAC">
        <w:rPr>
          <w:rFonts w:asciiTheme="majorHAnsi" w:hAnsiTheme="majorHAnsi"/>
          <w:sz w:val="20"/>
        </w:rPr>
        <w:t>extranjeros indocumentados</w:t>
      </w:r>
      <w:r w:rsidR="005C7F37" w:rsidRPr="00DB5BAC">
        <w:rPr>
          <w:rFonts w:asciiTheme="majorHAnsi" w:hAnsiTheme="majorHAnsi"/>
          <w:sz w:val="20"/>
        </w:rPr>
        <w:t>”</w:t>
      </w:r>
      <w:r w:rsidR="00FF03EE" w:rsidRPr="00DB5BAC">
        <w:rPr>
          <w:rFonts w:asciiTheme="majorHAnsi" w:hAnsiTheme="majorHAnsi"/>
          <w:sz w:val="20"/>
        </w:rPr>
        <w:t>.</w:t>
      </w:r>
      <w:r w:rsidR="005C7F37" w:rsidRPr="00DB5BAC">
        <w:rPr>
          <w:rFonts w:asciiTheme="majorHAnsi" w:hAnsiTheme="majorHAnsi"/>
          <w:sz w:val="20"/>
        </w:rPr>
        <w:t xml:space="preserve"> </w:t>
      </w:r>
      <w:r w:rsidR="00FF03EE" w:rsidRPr="00DB5BAC">
        <w:rPr>
          <w:rFonts w:asciiTheme="majorHAnsi" w:hAnsiTheme="majorHAnsi"/>
          <w:sz w:val="20"/>
        </w:rPr>
        <w:t>E</w:t>
      </w:r>
      <w:r w:rsidR="005C7F37" w:rsidRPr="00DB5BAC">
        <w:rPr>
          <w:rFonts w:asciiTheme="majorHAnsi" w:hAnsiTheme="majorHAnsi"/>
          <w:sz w:val="20"/>
        </w:rPr>
        <w:t>n 1988</w:t>
      </w:r>
      <w:r w:rsidR="00FF03EE" w:rsidRPr="00DB5BAC">
        <w:rPr>
          <w:rFonts w:asciiTheme="majorHAnsi" w:hAnsiTheme="majorHAnsi"/>
          <w:sz w:val="20"/>
        </w:rPr>
        <w:t xml:space="preserve"> se promulgó en </w:t>
      </w:r>
      <w:r w:rsidR="000648EF" w:rsidRPr="00DB5BAC">
        <w:rPr>
          <w:rFonts w:asciiTheme="majorHAnsi" w:hAnsiTheme="majorHAnsi"/>
          <w:sz w:val="20"/>
        </w:rPr>
        <w:t>Estados Unidos</w:t>
      </w:r>
      <w:r w:rsidR="005C7F37" w:rsidRPr="00DB5BAC">
        <w:rPr>
          <w:rFonts w:asciiTheme="majorHAnsi" w:hAnsiTheme="majorHAnsi"/>
          <w:sz w:val="20"/>
        </w:rPr>
        <w:t xml:space="preserve"> </w:t>
      </w:r>
      <w:r w:rsidR="002E4940" w:rsidRPr="00DB5BAC">
        <w:rPr>
          <w:rFonts w:asciiTheme="majorHAnsi" w:hAnsiTheme="majorHAnsi"/>
          <w:sz w:val="20"/>
        </w:rPr>
        <w:t xml:space="preserve">la </w:t>
      </w:r>
      <w:r w:rsidR="00CA2EFA" w:rsidRPr="00DB5BAC">
        <w:rPr>
          <w:rFonts w:asciiTheme="majorHAnsi" w:hAnsiTheme="majorHAnsi"/>
          <w:sz w:val="20"/>
        </w:rPr>
        <w:t>Ley de Libertades Civiles</w:t>
      </w:r>
      <w:r w:rsidR="005C7F37" w:rsidRPr="00DB5BAC">
        <w:rPr>
          <w:rFonts w:asciiTheme="majorHAnsi" w:hAnsiTheme="majorHAnsi"/>
          <w:sz w:val="20"/>
        </w:rPr>
        <w:t xml:space="preserve">, </w:t>
      </w:r>
      <w:r w:rsidR="00FF03EE" w:rsidRPr="00DB5BAC">
        <w:rPr>
          <w:rFonts w:asciiTheme="majorHAnsi" w:hAnsiTheme="majorHAnsi"/>
          <w:sz w:val="20"/>
        </w:rPr>
        <w:t xml:space="preserve">en la cual se disponían algunas reparaciones para los estadounidenses de ascendencia japonesa que habían sido internados durante la </w:t>
      </w:r>
      <w:r w:rsidR="0090313E" w:rsidRPr="00DB5BAC">
        <w:rPr>
          <w:rFonts w:asciiTheme="majorHAnsi" w:hAnsiTheme="majorHAnsi"/>
          <w:sz w:val="20"/>
        </w:rPr>
        <w:t>Segunda Guerra Mundial</w:t>
      </w:r>
      <w:r w:rsidR="00063087" w:rsidRPr="00DB5BAC">
        <w:rPr>
          <w:rFonts w:asciiTheme="majorHAnsi" w:hAnsiTheme="majorHAnsi"/>
          <w:sz w:val="20"/>
        </w:rPr>
        <w:t xml:space="preserve">, </w:t>
      </w:r>
      <w:r w:rsidR="00FF03EE" w:rsidRPr="00DB5BAC">
        <w:rPr>
          <w:rFonts w:asciiTheme="majorHAnsi" w:hAnsiTheme="majorHAnsi"/>
          <w:sz w:val="20"/>
        </w:rPr>
        <w:t>pero se excluía a las personas que no eran ciudadan</w:t>
      </w:r>
      <w:r w:rsidR="00333A05" w:rsidRPr="00DB5BAC">
        <w:rPr>
          <w:rFonts w:asciiTheme="majorHAnsi" w:hAnsiTheme="majorHAnsi"/>
          <w:sz w:val="20"/>
        </w:rPr>
        <w:t>a</w:t>
      </w:r>
      <w:r w:rsidR="00FF03EE" w:rsidRPr="00DB5BAC">
        <w:rPr>
          <w:rFonts w:asciiTheme="majorHAnsi" w:hAnsiTheme="majorHAnsi"/>
          <w:sz w:val="20"/>
        </w:rPr>
        <w:t xml:space="preserve">s o residentes permanentes en el momento de su </w:t>
      </w:r>
      <w:r w:rsidR="00333A05" w:rsidRPr="00DB5BAC">
        <w:rPr>
          <w:rFonts w:asciiTheme="majorHAnsi" w:hAnsiTheme="majorHAnsi"/>
          <w:sz w:val="20"/>
        </w:rPr>
        <w:t xml:space="preserve">internamiento. De esta forma quedaron excluidos muchos latinoamericanos de ascendencia japonesa, entre ellos los </w:t>
      </w:r>
      <w:r w:rsidR="005B1600" w:rsidRPr="00DB5BAC">
        <w:rPr>
          <w:rFonts w:asciiTheme="majorHAnsi" w:hAnsiTheme="majorHAnsi"/>
          <w:sz w:val="20"/>
        </w:rPr>
        <w:t>hermanos Shibayama</w:t>
      </w:r>
      <w:r w:rsidR="002C20EA" w:rsidRPr="00DB5BAC">
        <w:rPr>
          <w:rFonts w:asciiTheme="majorHAnsi" w:hAnsiTheme="majorHAnsi"/>
          <w:sz w:val="20"/>
        </w:rPr>
        <w:t>,</w:t>
      </w:r>
      <w:r w:rsidR="00C53C19" w:rsidRPr="00DB5BAC">
        <w:rPr>
          <w:rFonts w:asciiTheme="majorHAnsi" w:hAnsiTheme="majorHAnsi"/>
          <w:sz w:val="20"/>
        </w:rPr>
        <w:t xml:space="preserve"> </w:t>
      </w:r>
      <w:r w:rsidR="001603F2">
        <w:rPr>
          <w:rFonts w:asciiTheme="majorHAnsi" w:hAnsiTheme="majorHAnsi"/>
          <w:sz w:val="20"/>
        </w:rPr>
        <w:t>causando la presunta violación de</w:t>
      </w:r>
      <w:r w:rsidR="00333A05" w:rsidRPr="00DB5BAC">
        <w:rPr>
          <w:rFonts w:asciiTheme="majorHAnsi" w:hAnsiTheme="majorHAnsi"/>
          <w:sz w:val="20"/>
        </w:rPr>
        <w:t xml:space="preserve"> sus derechos al debido proceso, a un recurso efectivo y a la igualdad ante la ley</w:t>
      </w:r>
      <w:r w:rsidR="00063087" w:rsidRPr="00DB5BAC">
        <w:rPr>
          <w:rFonts w:asciiTheme="majorHAnsi" w:hAnsiTheme="majorHAnsi"/>
          <w:sz w:val="20"/>
        </w:rPr>
        <w:t xml:space="preserve">. </w:t>
      </w:r>
      <w:r w:rsidR="00333A05" w:rsidRPr="00DB5BAC">
        <w:rPr>
          <w:rFonts w:asciiTheme="majorHAnsi" w:hAnsiTheme="majorHAnsi"/>
          <w:sz w:val="20"/>
        </w:rPr>
        <w:t>Las reclamaciones de reparación</w:t>
      </w:r>
      <w:r w:rsidR="00460DEF" w:rsidRPr="00DB5BAC">
        <w:rPr>
          <w:rFonts w:asciiTheme="majorHAnsi" w:hAnsiTheme="majorHAnsi"/>
          <w:sz w:val="20"/>
        </w:rPr>
        <w:t xml:space="preserve"> </w:t>
      </w:r>
      <w:r w:rsidR="00333A05" w:rsidRPr="00DB5BAC">
        <w:rPr>
          <w:rFonts w:asciiTheme="majorHAnsi" w:hAnsiTheme="majorHAnsi"/>
          <w:sz w:val="20"/>
        </w:rPr>
        <w:t xml:space="preserve">de los hermanos siguen </w:t>
      </w:r>
      <w:r w:rsidR="00320AB9" w:rsidRPr="00DB5BAC">
        <w:rPr>
          <w:rFonts w:asciiTheme="majorHAnsi" w:hAnsiTheme="majorHAnsi"/>
          <w:sz w:val="20"/>
        </w:rPr>
        <w:t xml:space="preserve">pendientes </w:t>
      </w:r>
      <w:r w:rsidR="00333A05" w:rsidRPr="00DB5BAC">
        <w:rPr>
          <w:rFonts w:asciiTheme="majorHAnsi" w:hAnsiTheme="majorHAnsi"/>
          <w:sz w:val="20"/>
        </w:rPr>
        <w:t>hasta la fecha.</w:t>
      </w:r>
    </w:p>
    <w:p w14:paraId="39EEB717" w14:textId="77777777" w:rsidR="00BD7433" w:rsidRPr="00DB5BAC" w:rsidRDefault="00BD7433" w:rsidP="00BD743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000000" w:themeColor="text1"/>
          <w:sz w:val="20"/>
        </w:rPr>
      </w:pPr>
    </w:p>
    <w:p w14:paraId="15F2AD7F" w14:textId="77777777" w:rsidR="00BD7433"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DB5BAC">
        <w:rPr>
          <w:rFonts w:asciiTheme="majorHAnsi" w:hAnsiTheme="majorHAnsi"/>
          <w:color w:val="000000" w:themeColor="text1"/>
          <w:sz w:val="20"/>
        </w:rPr>
        <w:t>El Estado</w:t>
      </w:r>
      <w:r w:rsidR="00BD7433" w:rsidRPr="00DB5BAC">
        <w:rPr>
          <w:rFonts w:asciiTheme="majorHAnsi" w:hAnsiTheme="majorHAnsi"/>
          <w:color w:val="000000" w:themeColor="text1"/>
          <w:sz w:val="20"/>
        </w:rPr>
        <w:t xml:space="preserve"> </w:t>
      </w:r>
      <w:r w:rsidR="00BD7433" w:rsidRPr="00DB5BAC">
        <w:rPr>
          <w:rFonts w:asciiTheme="majorHAnsi" w:hAnsiTheme="majorHAnsi"/>
          <w:color w:val="auto"/>
          <w:sz w:val="20"/>
        </w:rPr>
        <w:t>al</w:t>
      </w:r>
      <w:r w:rsidR="00333A05" w:rsidRPr="00DB5BAC">
        <w:rPr>
          <w:rFonts w:asciiTheme="majorHAnsi" w:hAnsiTheme="majorHAnsi"/>
          <w:color w:val="auto"/>
          <w:sz w:val="20"/>
        </w:rPr>
        <w:t>egó que la exclusión</w:t>
      </w:r>
      <w:r w:rsidR="00624611" w:rsidRPr="00DB5BAC">
        <w:rPr>
          <w:rFonts w:asciiTheme="majorHAnsi" w:hAnsiTheme="majorHAnsi"/>
          <w:color w:val="auto"/>
          <w:sz w:val="20"/>
        </w:rPr>
        <w:t xml:space="preserve"> </w:t>
      </w:r>
      <w:r w:rsidR="00333A05" w:rsidRPr="00DB5BAC">
        <w:rPr>
          <w:rFonts w:asciiTheme="majorHAnsi" w:hAnsiTheme="majorHAnsi"/>
          <w:color w:val="auto"/>
          <w:sz w:val="20"/>
        </w:rPr>
        <w:t>de</w:t>
      </w:r>
      <w:r w:rsidR="00624611" w:rsidRPr="00DB5BAC">
        <w:rPr>
          <w:rFonts w:asciiTheme="majorHAnsi" w:hAnsiTheme="majorHAnsi"/>
          <w:color w:val="auto"/>
          <w:sz w:val="20"/>
        </w:rPr>
        <w:t xml:space="preserve"> </w:t>
      </w:r>
      <w:r w:rsidR="005B1600" w:rsidRPr="00DB5BAC">
        <w:rPr>
          <w:rFonts w:asciiTheme="majorHAnsi" w:hAnsiTheme="majorHAnsi"/>
          <w:color w:val="auto"/>
          <w:sz w:val="20"/>
        </w:rPr>
        <w:t>los hermanos Shibayama</w:t>
      </w:r>
      <w:r w:rsidR="00624611" w:rsidRPr="00DB5BAC">
        <w:rPr>
          <w:rFonts w:asciiTheme="majorHAnsi" w:hAnsiTheme="majorHAnsi"/>
          <w:color w:val="auto"/>
          <w:sz w:val="20"/>
        </w:rPr>
        <w:t xml:space="preserve"> </w:t>
      </w:r>
      <w:r w:rsidR="00333A05" w:rsidRPr="00DB5BAC">
        <w:rPr>
          <w:rFonts w:asciiTheme="majorHAnsi" w:hAnsiTheme="majorHAnsi"/>
          <w:color w:val="auto"/>
          <w:sz w:val="20"/>
        </w:rPr>
        <w:t xml:space="preserve">de las reparaciones otorgadas en virtud de </w:t>
      </w:r>
      <w:r w:rsidR="00725FFD" w:rsidRPr="00DB5BAC">
        <w:rPr>
          <w:rFonts w:asciiTheme="majorHAnsi" w:hAnsiTheme="majorHAnsi"/>
          <w:color w:val="auto"/>
          <w:sz w:val="20"/>
        </w:rPr>
        <w:t xml:space="preserve">la </w:t>
      </w:r>
      <w:r w:rsidR="00CA2EFA" w:rsidRPr="00DB5BAC">
        <w:rPr>
          <w:rFonts w:asciiTheme="majorHAnsi" w:hAnsiTheme="majorHAnsi"/>
          <w:color w:val="auto"/>
          <w:sz w:val="20"/>
        </w:rPr>
        <w:t>Ley de Libertades Civiles</w:t>
      </w:r>
      <w:r w:rsidR="00333A05" w:rsidRPr="00DB5BAC">
        <w:rPr>
          <w:rFonts w:asciiTheme="majorHAnsi" w:hAnsiTheme="majorHAnsi"/>
          <w:color w:val="auto"/>
          <w:sz w:val="20"/>
        </w:rPr>
        <w:t xml:space="preserve"> y la falta de reparación hasta </w:t>
      </w:r>
      <w:r w:rsidR="00320AB9" w:rsidRPr="00DB5BAC">
        <w:rPr>
          <w:rFonts w:asciiTheme="majorHAnsi" w:hAnsiTheme="majorHAnsi"/>
          <w:color w:val="auto"/>
          <w:sz w:val="20"/>
        </w:rPr>
        <w:t>ese momento</w:t>
      </w:r>
      <w:r w:rsidR="00333A05" w:rsidRPr="00DB5BAC">
        <w:rPr>
          <w:rFonts w:asciiTheme="majorHAnsi" w:hAnsiTheme="majorHAnsi"/>
          <w:color w:val="auto"/>
          <w:sz w:val="20"/>
        </w:rPr>
        <w:t xml:space="preserve"> no constitu</w:t>
      </w:r>
      <w:r w:rsidR="001603F2">
        <w:rPr>
          <w:rFonts w:asciiTheme="majorHAnsi" w:hAnsiTheme="majorHAnsi"/>
          <w:color w:val="auto"/>
          <w:sz w:val="20"/>
        </w:rPr>
        <w:t>ye</w:t>
      </w:r>
      <w:r w:rsidR="00320AB9" w:rsidRPr="00DB5BAC">
        <w:rPr>
          <w:rFonts w:asciiTheme="majorHAnsi" w:hAnsiTheme="majorHAnsi"/>
          <w:color w:val="auto"/>
          <w:sz w:val="20"/>
        </w:rPr>
        <w:t xml:space="preserve">n </w:t>
      </w:r>
      <w:r w:rsidR="00333A05" w:rsidRPr="00DB5BAC">
        <w:rPr>
          <w:rFonts w:asciiTheme="majorHAnsi" w:hAnsiTheme="majorHAnsi"/>
          <w:color w:val="auto"/>
          <w:sz w:val="20"/>
        </w:rPr>
        <w:t>una</w:t>
      </w:r>
      <w:r w:rsidR="00DB5BAC" w:rsidRPr="00DB5BAC">
        <w:rPr>
          <w:rFonts w:asciiTheme="majorHAnsi" w:hAnsiTheme="majorHAnsi"/>
          <w:color w:val="auto"/>
          <w:sz w:val="20"/>
        </w:rPr>
        <w:t xml:space="preserve"> </w:t>
      </w:r>
      <w:r w:rsidR="00333A05" w:rsidRPr="00DB5BAC">
        <w:rPr>
          <w:rFonts w:asciiTheme="majorHAnsi" w:hAnsiTheme="majorHAnsi"/>
          <w:color w:val="auto"/>
          <w:sz w:val="20"/>
        </w:rPr>
        <w:t>violación</w:t>
      </w:r>
      <w:r w:rsidR="00624611" w:rsidRPr="00DB5BAC">
        <w:rPr>
          <w:rFonts w:asciiTheme="majorHAnsi" w:hAnsiTheme="majorHAnsi"/>
          <w:color w:val="auto"/>
          <w:sz w:val="20"/>
        </w:rPr>
        <w:t xml:space="preserve"> </w:t>
      </w:r>
      <w:r w:rsidR="00333A05" w:rsidRPr="00DB5BAC">
        <w:rPr>
          <w:rFonts w:asciiTheme="majorHAnsi" w:hAnsiTheme="majorHAnsi"/>
          <w:color w:val="auto"/>
          <w:sz w:val="20"/>
        </w:rPr>
        <w:t>de</w:t>
      </w:r>
      <w:r w:rsidR="00624611" w:rsidRPr="00DB5BAC">
        <w:rPr>
          <w:rFonts w:asciiTheme="majorHAnsi" w:hAnsiTheme="majorHAnsi"/>
          <w:color w:val="auto"/>
          <w:sz w:val="20"/>
        </w:rPr>
        <w:t xml:space="preserve"> </w:t>
      </w:r>
      <w:r w:rsidR="00333A05" w:rsidRPr="00DB5BAC">
        <w:rPr>
          <w:rFonts w:asciiTheme="majorHAnsi" w:hAnsiTheme="majorHAnsi"/>
          <w:color w:val="auto"/>
          <w:sz w:val="20"/>
        </w:rPr>
        <w:t>igualdad ante la ley</w:t>
      </w:r>
      <w:r w:rsidR="00624611" w:rsidRPr="00DB5BAC">
        <w:rPr>
          <w:rFonts w:asciiTheme="majorHAnsi" w:hAnsiTheme="majorHAnsi"/>
          <w:color w:val="auto"/>
          <w:sz w:val="20"/>
        </w:rPr>
        <w:t xml:space="preserve">, </w:t>
      </w:r>
      <w:r w:rsidR="00333A05" w:rsidRPr="00DB5BAC">
        <w:rPr>
          <w:rFonts w:asciiTheme="majorHAnsi" w:hAnsiTheme="majorHAnsi"/>
          <w:color w:val="auto"/>
          <w:sz w:val="20"/>
        </w:rPr>
        <w:t>ya que la ciudadanía</w:t>
      </w:r>
      <w:r w:rsidR="00624611" w:rsidRPr="00DB5BAC">
        <w:rPr>
          <w:rFonts w:asciiTheme="majorHAnsi" w:hAnsiTheme="majorHAnsi"/>
          <w:color w:val="auto"/>
          <w:sz w:val="20"/>
        </w:rPr>
        <w:t xml:space="preserve"> </w:t>
      </w:r>
      <w:r w:rsidR="00333A05" w:rsidRPr="00DB5BAC">
        <w:rPr>
          <w:rFonts w:asciiTheme="majorHAnsi" w:hAnsiTheme="majorHAnsi"/>
          <w:color w:val="auto"/>
          <w:sz w:val="20"/>
        </w:rPr>
        <w:t>y la residencia permanente legal</w:t>
      </w:r>
      <w:r w:rsidR="00624611" w:rsidRPr="00DB5BAC">
        <w:rPr>
          <w:rFonts w:asciiTheme="majorHAnsi" w:hAnsiTheme="majorHAnsi"/>
          <w:color w:val="auto"/>
          <w:sz w:val="20"/>
        </w:rPr>
        <w:t xml:space="preserve"> </w:t>
      </w:r>
      <w:r w:rsidR="00333A05" w:rsidRPr="00DB5BAC">
        <w:rPr>
          <w:rFonts w:asciiTheme="majorHAnsi" w:hAnsiTheme="majorHAnsi"/>
          <w:color w:val="auto"/>
          <w:sz w:val="20"/>
        </w:rPr>
        <w:t xml:space="preserve">son distinciones válidas en la </w:t>
      </w:r>
      <w:r w:rsidR="004C5490" w:rsidRPr="00DB5BAC">
        <w:rPr>
          <w:rFonts w:asciiTheme="majorHAnsi" w:hAnsiTheme="majorHAnsi"/>
          <w:color w:val="auto"/>
          <w:sz w:val="20"/>
        </w:rPr>
        <w:t>formulación de las leyes que requieren que el gobierno de</w:t>
      </w:r>
      <w:r w:rsidR="00624611" w:rsidRPr="00DB5BAC">
        <w:rPr>
          <w:rFonts w:asciiTheme="majorHAnsi" w:hAnsiTheme="majorHAnsi"/>
          <w:color w:val="auto"/>
          <w:sz w:val="20"/>
        </w:rPr>
        <w:t xml:space="preserve"> </w:t>
      </w:r>
      <w:r w:rsidRPr="00DB5BAC">
        <w:rPr>
          <w:rFonts w:asciiTheme="majorHAnsi" w:hAnsiTheme="majorHAnsi"/>
          <w:color w:val="auto"/>
          <w:sz w:val="20"/>
        </w:rPr>
        <w:t>Estados Unidos</w:t>
      </w:r>
      <w:r w:rsidR="00624611" w:rsidRPr="00DB5BAC">
        <w:rPr>
          <w:rFonts w:asciiTheme="majorHAnsi" w:hAnsiTheme="majorHAnsi"/>
          <w:color w:val="auto"/>
          <w:sz w:val="20"/>
        </w:rPr>
        <w:t xml:space="preserve"> </w:t>
      </w:r>
      <w:r w:rsidR="004C5490" w:rsidRPr="00DB5BAC">
        <w:rPr>
          <w:rFonts w:asciiTheme="majorHAnsi" w:hAnsiTheme="majorHAnsi"/>
          <w:color w:val="auto"/>
          <w:sz w:val="20"/>
        </w:rPr>
        <w:t>efectúe pagos</w:t>
      </w:r>
      <w:r w:rsidR="001603F2">
        <w:rPr>
          <w:rFonts w:asciiTheme="majorHAnsi" w:hAnsiTheme="majorHAnsi"/>
          <w:color w:val="auto"/>
          <w:sz w:val="20"/>
        </w:rPr>
        <w:t>,</w:t>
      </w:r>
      <w:r w:rsidR="004C5490" w:rsidRPr="00DB5BAC">
        <w:rPr>
          <w:rFonts w:asciiTheme="majorHAnsi" w:hAnsiTheme="majorHAnsi"/>
          <w:color w:val="auto"/>
          <w:sz w:val="20"/>
        </w:rPr>
        <w:t xml:space="preserve"> y</w:t>
      </w:r>
      <w:r w:rsidR="001603F2">
        <w:rPr>
          <w:rFonts w:asciiTheme="majorHAnsi" w:hAnsiTheme="majorHAnsi"/>
          <w:color w:val="auto"/>
          <w:sz w:val="20"/>
        </w:rPr>
        <w:t xml:space="preserve"> que</w:t>
      </w:r>
      <w:r w:rsidR="004C5490" w:rsidRPr="00DB5BAC">
        <w:rPr>
          <w:rFonts w:asciiTheme="majorHAnsi" w:hAnsiTheme="majorHAnsi"/>
          <w:color w:val="auto"/>
          <w:sz w:val="20"/>
        </w:rPr>
        <w:t xml:space="preserve"> los hermanos Shibayama</w:t>
      </w:r>
      <w:r w:rsidR="00624611" w:rsidRPr="00DB5BAC">
        <w:rPr>
          <w:rFonts w:asciiTheme="majorHAnsi" w:hAnsiTheme="majorHAnsi"/>
          <w:color w:val="auto"/>
          <w:sz w:val="20"/>
        </w:rPr>
        <w:t xml:space="preserve"> ha</w:t>
      </w:r>
      <w:r w:rsidR="004C5490" w:rsidRPr="00DB5BAC">
        <w:rPr>
          <w:rFonts w:asciiTheme="majorHAnsi" w:hAnsiTheme="majorHAnsi"/>
          <w:color w:val="auto"/>
          <w:sz w:val="20"/>
        </w:rPr>
        <w:t>n gozado efectivamente del derecho al debido proceso</w:t>
      </w:r>
      <w:r w:rsidR="00FD1BB2" w:rsidRPr="00DB5BAC">
        <w:rPr>
          <w:rFonts w:asciiTheme="majorHAnsi" w:hAnsiTheme="majorHAnsi"/>
          <w:color w:val="auto"/>
          <w:sz w:val="20"/>
        </w:rPr>
        <w:t xml:space="preserve"> </w:t>
      </w:r>
      <w:r w:rsidR="004C5490" w:rsidRPr="00DB5BAC">
        <w:rPr>
          <w:rFonts w:asciiTheme="majorHAnsi" w:hAnsiTheme="majorHAnsi"/>
          <w:color w:val="auto"/>
          <w:sz w:val="20"/>
        </w:rPr>
        <w:t>y el derecho de justicia</w:t>
      </w:r>
      <w:r w:rsidR="00624611" w:rsidRPr="00DB5BAC">
        <w:rPr>
          <w:rFonts w:asciiTheme="majorHAnsi" w:hAnsiTheme="majorHAnsi"/>
          <w:color w:val="auto"/>
          <w:sz w:val="20"/>
        </w:rPr>
        <w:t xml:space="preserve"> </w:t>
      </w:r>
      <w:r w:rsidR="004C5490" w:rsidRPr="00DB5BAC">
        <w:rPr>
          <w:rFonts w:asciiTheme="majorHAnsi" w:hAnsiTheme="majorHAnsi"/>
          <w:color w:val="auto"/>
          <w:sz w:val="20"/>
        </w:rPr>
        <w:t xml:space="preserve">en todos los procedimientos judiciales relacionados con </w:t>
      </w:r>
      <w:r w:rsidR="00725FFD" w:rsidRPr="00DB5BAC">
        <w:rPr>
          <w:rFonts w:asciiTheme="majorHAnsi" w:hAnsiTheme="majorHAnsi"/>
          <w:color w:val="auto"/>
          <w:sz w:val="20"/>
        </w:rPr>
        <w:t xml:space="preserve">la </w:t>
      </w:r>
      <w:r w:rsidR="00CA2EFA" w:rsidRPr="00DB5BAC">
        <w:rPr>
          <w:rFonts w:asciiTheme="majorHAnsi" w:hAnsiTheme="majorHAnsi"/>
          <w:color w:val="auto"/>
          <w:sz w:val="20"/>
        </w:rPr>
        <w:t>Ley de Libertades Civiles</w:t>
      </w:r>
      <w:r w:rsidR="002C20EA" w:rsidRPr="00DB5BAC">
        <w:rPr>
          <w:rFonts w:asciiTheme="majorHAnsi" w:hAnsiTheme="majorHAnsi"/>
          <w:color w:val="auto"/>
          <w:sz w:val="20"/>
        </w:rPr>
        <w:t xml:space="preserve"> </w:t>
      </w:r>
      <w:r w:rsidR="00333A05" w:rsidRPr="00DB5BAC">
        <w:rPr>
          <w:rFonts w:asciiTheme="majorHAnsi" w:hAnsiTheme="majorHAnsi"/>
          <w:color w:val="auto"/>
          <w:sz w:val="20"/>
        </w:rPr>
        <w:t>y otras reclamaciones conexas interpuestas ante los tribunales federales</w:t>
      </w:r>
      <w:r w:rsidR="00BD7433" w:rsidRPr="00DB5BAC">
        <w:rPr>
          <w:rFonts w:asciiTheme="majorHAnsi" w:hAnsiTheme="majorHAnsi"/>
          <w:color w:val="auto"/>
          <w:sz w:val="20"/>
        </w:rPr>
        <w:t>.</w:t>
      </w:r>
    </w:p>
    <w:p w14:paraId="19F6A733" w14:textId="77777777" w:rsidR="00BD7433" w:rsidRPr="00DB5BAC" w:rsidRDefault="00BD7433" w:rsidP="00624611">
      <w:pPr>
        <w:pStyle w:val="ListParagraph"/>
        <w:rPr>
          <w:rFonts w:asciiTheme="majorHAnsi" w:hAnsiTheme="majorHAnsi"/>
          <w:color w:val="000000" w:themeColor="text1"/>
          <w:sz w:val="20"/>
          <w:szCs w:val="20"/>
          <w:lang w:val="es-ES"/>
        </w:rPr>
      </w:pPr>
    </w:p>
    <w:p w14:paraId="2678FCA3" w14:textId="77777777" w:rsidR="00BD7433" w:rsidRPr="00DB5BAC" w:rsidRDefault="001603F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Pr>
          <w:rFonts w:asciiTheme="majorHAnsi" w:hAnsiTheme="majorHAnsi"/>
          <w:color w:val="auto"/>
          <w:sz w:val="20"/>
        </w:rPr>
        <w:t xml:space="preserve">Con base en las </w:t>
      </w:r>
      <w:r w:rsidR="002E4940" w:rsidRPr="00DB5BAC">
        <w:rPr>
          <w:rFonts w:asciiTheme="majorHAnsi" w:hAnsiTheme="majorHAnsi"/>
          <w:color w:val="auto"/>
          <w:sz w:val="20"/>
        </w:rPr>
        <w:t xml:space="preserve">determinaciones </w:t>
      </w:r>
      <w:r>
        <w:rPr>
          <w:rFonts w:asciiTheme="majorHAnsi" w:hAnsiTheme="majorHAnsi"/>
          <w:color w:val="auto"/>
          <w:sz w:val="20"/>
        </w:rPr>
        <w:t>de hecho y de derecho</w:t>
      </w:r>
      <w:r w:rsidR="00BD7433" w:rsidRPr="00DB5BAC">
        <w:rPr>
          <w:rFonts w:asciiTheme="majorHAnsi" w:hAnsiTheme="majorHAnsi"/>
          <w:color w:val="auto"/>
          <w:sz w:val="20"/>
        </w:rPr>
        <w:t xml:space="preserve">, </w:t>
      </w:r>
      <w:r w:rsidR="000648EF" w:rsidRPr="00DB5BAC">
        <w:rPr>
          <w:rFonts w:asciiTheme="majorHAnsi" w:hAnsiTheme="majorHAnsi"/>
          <w:color w:val="auto"/>
          <w:sz w:val="20"/>
        </w:rPr>
        <w:t>la Comisión Interamericana</w:t>
      </w:r>
      <w:r w:rsidR="00BD7433" w:rsidRPr="00DB5BAC">
        <w:rPr>
          <w:rFonts w:asciiTheme="majorHAnsi" w:hAnsiTheme="majorHAnsi"/>
          <w:color w:val="auto"/>
          <w:sz w:val="20"/>
        </w:rPr>
        <w:t xml:space="preserve"> conclu</w:t>
      </w:r>
      <w:r w:rsidR="002E4940" w:rsidRPr="00DB5BAC">
        <w:rPr>
          <w:rFonts w:asciiTheme="majorHAnsi" w:hAnsiTheme="majorHAnsi"/>
          <w:color w:val="auto"/>
          <w:sz w:val="20"/>
        </w:rPr>
        <w:t xml:space="preserve">yó que </w:t>
      </w:r>
      <w:r w:rsidR="000648EF" w:rsidRPr="00DB5BAC">
        <w:rPr>
          <w:rFonts w:asciiTheme="majorHAnsi" w:hAnsiTheme="majorHAnsi"/>
          <w:color w:val="auto"/>
          <w:sz w:val="20"/>
        </w:rPr>
        <w:t>el Estado</w:t>
      </w:r>
      <w:r w:rsidR="00BD7433" w:rsidRPr="00DB5BAC">
        <w:rPr>
          <w:rFonts w:asciiTheme="majorHAnsi" w:hAnsiTheme="majorHAnsi"/>
          <w:color w:val="auto"/>
          <w:sz w:val="20"/>
        </w:rPr>
        <w:t xml:space="preserve"> </w:t>
      </w:r>
      <w:r w:rsidR="002E4940" w:rsidRPr="00DB5BAC">
        <w:rPr>
          <w:rFonts w:asciiTheme="majorHAnsi" w:hAnsiTheme="majorHAnsi"/>
          <w:color w:val="auto"/>
          <w:sz w:val="20"/>
        </w:rPr>
        <w:t xml:space="preserve">es </w:t>
      </w:r>
      <w:r w:rsidR="00BD7433" w:rsidRPr="00DB5BAC">
        <w:rPr>
          <w:rFonts w:asciiTheme="majorHAnsi" w:hAnsiTheme="majorHAnsi"/>
          <w:color w:val="auto"/>
          <w:sz w:val="20"/>
        </w:rPr>
        <w:t>respons</w:t>
      </w:r>
      <w:r w:rsidR="002E4940" w:rsidRPr="00DB5BAC">
        <w:rPr>
          <w:rFonts w:asciiTheme="majorHAnsi" w:hAnsiTheme="majorHAnsi"/>
          <w:color w:val="auto"/>
          <w:sz w:val="20"/>
        </w:rPr>
        <w:t>a</w:t>
      </w:r>
      <w:r w:rsidR="00BD7433" w:rsidRPr="00DB5BAC">
        <w:rPr>
          <w:rFonts w:asciiTheme="majorHAnsi" w:hAnsiTheme="majorHAnsi"/>
          <w:color w:val="auto"/>
          <w:sz w:val="20"/>
        </w:rPr>
        <w:t xml:space="preserve">ble </w:t>
      </w:r>
      <w:r w:rsidR="002E4940" w:rsidRPr="00DB5BAC">
        <w:rPr>
          <w:rFonts w:asciiTheme="majorHAnsi" w:hAnsiTheme="majorHAnsi"/>
          <w:color w:val="auto"/>
          <w:sz w:val="20"/>
        </w:rPr>
        <w:t>de la violación de los artículos</w:t>
      </w:r>
      <w:r w:rsidR="00F87211" w:rsidRPr="00DB5BAC">
        <w:rPr>
          <w:rFonts w:asciiTheme="majorHAnsi" w:hAnsiTheme="majorHAnsi"/>
          <w:color w:val="auto"/>
          <w:sz w:val="20"/>
        </w:rPr>
        <w:t xml:space="preserve"> II (</w:t>
      </w:r>
      <w:r w:rsidR="00333A05" w:rsidRPr="00DB5BAC">
        <w:rPr>
          <w:rFonts w:asciiTheme="majorHAnsi" w:hAnsiTheme="majorHAnsi"/>
          <w:color w:val="auto"/>
          <w:sz w:val="20"/>
        </w:rPr>
        <w:t>igualdad ante la ley</w:t>
      </w:r>
      <w:r w:rsidR="00F87211" w:rsidRPr="00DB5BAC">
        <w:rPr>
          <w:rFonts w:asciiTheme="majorHAnsi" w:hAnsiTheme="majorHAnsi"/>
          <w:color w:val="auto"/>
          <w:sz w:val="20"/>
        </w:rPr>
        <w:t xml:space="preserve">) </w:t>
      </w:r>
      <w:r w:rsidR="00320AB9" w:rsidRPr="00DB5BAC">
        <w:rPr>
          <w:rFonts w:asciiTheme="majorHAnsi" w:hAnsiTheme="majorHAnsi"/>
          <w:color w:val="auto"/>
          <w:sz w:val="20"/>
        </w:rPr>
        <w:t>y</w:t>
      </w:r>
      <w:r w:rsidR="00F87211" w:rsidRPr="00DB5BAC">
        <w:rPr>
          <w:rFonts w:asciiTheme="majorHAnsi" w:hAnsiTheme="majorHAnsi"/>
          <w:color w:val="auto"/>
          <w:sz w:val="20"/>
        </w:rPr>
        <w:t xml:space="preserve"> XVIII (</w:t>
      </w:r>
      <w:r w:rsidR="002E4940" w:rsidRPr="00DB5BAC">
        <w:rPr>
          <w:rFonts w:asciiTheme="majorHAnsi" w:hAnsiTheme="majorHAnsi"/>
          <w:color w:val="auto"/>
          <w:sz w:val="20"/>
        </w:rPr>
        <w:t>derecho de justicia</w:t>
      </w:r>
      <w:r w:rsidR="00F87211" w:rsidRPr="00DB5BAC">
        <w:rPr>
          <w:rFonts w:asciiTheme="majorHAnsi" w:hAnsiTheme="majorHAnsi"/>
          <w:color w:val="auto"/>
          <w:sz w:val="20"/>
        </w:rPr>
        <w:t xml:space="preserve">) </w:t>
      </w:r>
      <w:r w:rsidR="002E4940" w:rsidRPr="00DB5BAC">
        <w:rPr>
          <w:rFonts w:asciiTheme="majorHAnsi" w:hAnsiTheme="majorHAnsi"/>
          <w:color w:val="auto"/>
          <w:sz w:val="20"/>
        </w:rPr>
        <w:t xml:space="preserve">de la </w:t>
      </w:r>
      <w:r w:rsidR="005B1600" w:rsidRPr="00DB5BAC">
        <w:rPr>
          <w:rFonts w:asciiTheme="majorHAnsi" w:hAnsiTheme="majorHAnsi"/>
          <w:color w:val="auto"/>
          <w:sz w:val="20"/>
        </w:rPr>
        <w:t xml:space="preserve">Declaración </w:t>
      </w:r>
      <w:r w:rsidR="002E4940" w:rsidRPr="00DB5BAC">
        <w:rPr>
          <w:rFonts w:asciiTheme="majorHAnsi" w:hAnsiTheme="majorHAnsi"/>
          <w:color w:val="auto"/>
          <w:sz w:val="20"/>
        </w:rPr>
        <w:t>Americana de los Derechos y Deberes del Hombre</w:t>
      </w:r>
      <w:r w:rsidR="00BD7433" w:rsidRPr="00DB5BAC">
        <w:rPr>
          <w:rFonts w:asciiTheme="majorHAnsi" w:hAnsiTheme="majorHAnsi"/>
          <w:color w:val="auto"/>
          <w:sz w:val="20"/>
        </w:rPr>
        <w:t xml:space="preserve"> (</w:t>
      </w:r>
      <w:r w:rsidR="002E4940" w:rsidRPr="00DB5BAC">
        <w:rPr>
          <w:rFonts w:asciiTheme="majorHAnsi" w:hAnsiTheme="majorHAnsi"/>
          <w:color w:val="auto"/>
          <w:sz w:val="20"/>
        </w:rPr>
        <w:t xml:space="preserve">la </w:t>
      </w:r>
      <w:r w:rsidR="00BD7433" w:rsidRPr="00DB5BAC">
        <w:rPr>
          <w:rFonts w:asciiTheme="majorHAnsi" w:hAnsiTheme="majorHAnsi"/>
          <w:color w:val="auto"/>
          <w:sz w:val="20"/>
        </w:rPr>
        <w:t>“</w:t>
      </w:r>
      <w:r w:rsidR="005B1600" w:rsidRPr="00DB5BAC">
        <w:rPr>
          <w:rFonts w:asciiTheme="majorHAnsi" w:hAnsiTheme="majorHAnsi"/>
          <w:color w:val="auto"/>
          <w:sz w:val="20"/>
        </w:rPr>
        <w:t>Declaración Americana</w:t>
      </w:r>
      <w:r w:rsidR="00BD7433" w:rsidRPr="00DB5BAC">
        <w:rPr>
          <w:rFonts w:asciiTheme="majorHAnsi" w:hAnsiTheme="majorHAnsi"/>
          <w:color w:val="auto"/>
          <w:sz w:val="20"/>
        </w:rPr>
        <w:t xml:space="preserve">”). </w:t>
      </w:r>
      <w:r w:rsidR="000648EF" w:rsidRPr="00DB5BAC">
        <w:rPr>
          <w:rFonts w:asciiTheme="majorHAnsi" w:hAnsiTheme="majorHAnsi"/>
          <w:color w:val="auto"/>
          <w:sz w:val="20"/>
        </w:rPr>
        <w:t>La Comisión</w:t>
      </w:r>
      <w:r w:rsidR="00BD7433" w:rsidRPr="00DB5BAC">
        <w:rPr>
          <w:rFonts w:asciiTheme="majorHAnsi" w:hAnsiTheme="majorHAnsi"/>
          <w:color w:val="auto"/>
          <w:sz w:val="20"/>
        </w:rPr>
        <w:t xml:space="preserve"> formul</w:t>
      </w:r>
      <w:r w:rsidR="002E4940" w:rsidRPr="00DB5BAC">
        <w:rPr>
          <w:rFonts w:asciiTheme="majorHAnsi" w:hAnsiTheme="majorHAnsi"/>
          <w:color w:val="auto"/>
          <w:sz w:val="20"/>
        </w:rPr>
        <w:t>ó las recomendaciones correspondientes a</w:t>
      </w:r>
      <w:r w:rsidR="000648EF" w:rsidRPr="00DB5BAC">
        <w:rPr>
          <w:rFonts w:asciiTheme="majorHAnsi" w:hAnsiTheme="majorHAnsi"/>
          <w:color w:val="auto"/>
          <w:sz w:val="20"/>
        </w:rPr>
        <w:t>l Estado</w:t>
      </w:r>
      <w:r w:rsidR="00BD7433" w:rsidRPr="00DB5BAC">
        <w:rPr>
          <w:rFonts w:asciiTheme="majorHAnsi" w:hAnsiTheme="majorHAnsi"/>
          <w:color w:val="auto"/>
          <w:sz w:val="20"/>
        </w:rPr>
        <w:t>.</w:t>
      </w:r>
    </w:p>
    <w:p w14:paraId="0A80BA08" w14:textId="77777777" w:rsidR="00BD7433" w:rsidRPr="00DB5BAC" w:rsidRDefault="00BD7433" w:rsidP="00BD7433">
      <w:pPr>
        <w:pStyle w:val="ListParagraph"/>
        <w:rPr>
          <w:color w:val="000000" w:themeColor="text1"/>
          <w:sz w:val="20"/>
          <w:szCs w:val="20"/>
          <w:lang w:val="es-ES"/>
        </w:rPr>
      </w:pPr>
    </w:p>
    <w:p w14:paraId="076D7CF5" w14:textId="77777777" w:rsidR="00D12193" w:rsidRPr="00DB5BAC" w:rsidRDefault="001E28D1" w:rsidP="00320AB9">
      <w:pPr>
        <w:pStyle w:val="Heading1"/>
        <w:keepNext/>
        <w:keepLines/>
        <w:rPr>
          <w:lang w:val="es-ES"/>
        </w:rPr>
      </w:pPr>
      <w:bookmarkStart w:id="3" w:name="_Toc27473278"/>
      <w:r w:rsidRPr="00DB5BAC">
        <w:rPr>
          <w:lang w:val="es-ES"/>
        </w:rPr>
        <w:lastRenderedPageBreak/>
        <w:t>POSI</w:t>
      </w:r>
      <w:r w:rsidR="00537851">
        <w:rPr>
          <w:lang w:val="es-ES"/>
        </w:rPr>
        <w:t>CIO</w:t>
      </w:r>
      <w:r w:rsidR="00740662" w:rsidRPr="00DB5BAC">
        <w:rPr>
          <w:lang w:val="es-ES"/>
        </w:rPr>
        <w:t>N</w:t>
      </w:r>
      <w:r w:rsidR="00537851">
        <w:rPr>
          <w:lang w:val="es-ES"/>
        </w:rPr>
        <w:t>ES</w:t>
      </w:r>
      <w:r w:rsidR="00740662" w:rsidRPr="00DB5BAC">
        <w:rPr>
          <w:lang w:val="es-ES"/>
        </w:rPr>
        <w:t xml:space="preserve"> DE LAS PARTES</w:t>
      </w:r>
      <w:bookmarkEnd w:id="3"/>
    </w:p>
    <w:p w14:paraId="0E5F7163" w14:textId="77777777" w:rsidR="00D83D73" w:rsidRPr="00DB5BAC" w:rsidRDefault="00D83D73" w:rsidP="00320AB9">
      <w:pPr>
        <w:pStyle w:val="ListParagraph"/>
        <w:keepNext/>
        <w:keepLines/>
        <w:suppressAutoHyphens/>
        <w:ind w:left="1440"/>
        <w:rPr>
          <w:rFonts w:asciiTheme="majorHAnsi" w:hAnsiTheme="majorHAnsi"/>
          <w:b/>
          <w:sz w:val="20"/>
          <w:szCs w:val="20"/>
          <w:lang w:val="es-ES"/>
        </w:rPr>
      </w:pPr>
    </w:p>
    <w:p w14:paraId="7E8DA725" w14:textId="77777777" w:rsidR="00D12193" w:rsidRPr="00DB5BAC" w:rsidRDefault="00537851" w:rsidP="00320AB9">
      <w:pPr>
        <w:pStyle w:val="Heading2"/>
        <w:keepNext/>
        <w:keepLines/>
        <w:ind w:left="1440" w:hanging="810"/>
        <w:rPr>
          <w:lang w:val="es-ES"/>
        </w:rPr>
      </w:pPr>
      <w:bookmarkStart w:id="4" w:name="_Toc27473279"/>
      <w:r>
        <w:rPr>
          <w:lang w:val="es-ES"/>
        </w:rPr>
        <w:t>Parte peticionaria</w:t>
      </w:r>
      <w:bookmarkEnd w:id="4"/>
    </w:p>
    <w:p w14:paraId="1B5241E3" w14:textId="77777777" w:rsidR="00361415" w:rsidRPr="00DB5BAC" w:rsidRDefault="00361415" w:rsidP="00320AB9">
      <w:pPr>
        <w:keepNext/>
        <w:keepLines/>
        <w:suppressAutoHyphens/>
        <w:rPr>
          <w:rFonts w:asciiTheme="majorHAnsi" w:hAnsiTheme="majorHAnsi"/>
          <w:sz w:val="20"/>
        </w:rPr>
      </w:pPr>
    </w:p>
    <w:p w14:paraId="3DB6564A" w14:textId="77777777" w:rsidR="00166189" w:rsidRPr="00DB5BAC" w:rsidRDefault="001603F2" w:rsidP="00D47899">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000000" w:themeColor="text1"/>
          <w:sz w:val="20"/>
        </w:rPr>
      </w:pPr>
      <w:r>
        <w:rPr>
          <w:rFonts w:asciiTheme="majorHAnsi" w:hAnsiTheme="majorHAnsi"/>
          <w:color w:val="000000" w:themeColor="text1"/>
          <w:sz w:val="20"/>
        </w:rPr>
        <w:t>Alegó</w:t>
      </w:r>
      <w:r w:rsidR="0047478B" w:rsidRPr="00DB5BAC">
        <w:rPr>
          <w:rFonts w:asciiTheme="majorHAnsi" w:hAnsiTheme="majorHAnsi"/>
          <w:color w:val="000000" w:themeColor="text1"/>
          <w:sz w:val="20"/>
        </w:rPr>
        <w:t xml:space="preserve"> que </w:t>
      </w:r>
      <w:r w:rsidR="005B1600" w:rsidRPr="00DB5BAC">
        <w:rPr>
          <w:rFonts w:asciiTheme="majorHAnsi" w:hAnsiTheme="majorHAnsi"/>
          <w:color w:val="auto"/>
          <w:sz w:val="20"/>
        </w:rPr>
        <w:t>los hermanos Shibayama</w:t>
      </w:r>
      <w:r w:rsidR="005C7F37" w:rsidRPr="00DB5BAC">
        <w:rPr>
          <w:rFonts w:asciiTheme="majorHAnsi" w:hAnsiTheme="majorHAnsi"/>
          <w:color w:val="auto"/>
          <w:sz w:val="20"/>
        </w:rPr>
        <w:t xml:space="preserve"> </w:t>
      </w:r>
      <w:r w:rsidR="00320AB9" w:rsidRPr="00DB5BAC">
        <w:rPr>
          <w:rFonts w:asciiTheme="majorHAnsi" w:hAnsiTheme="majorHAnsi"/>
          <w:color w:val="auto"/>
          <w:sz w:val="20"/>
        </w:rPr>
        <w:t>y sus familiares</w:t>
      </w:r>
      <w:r w:rsidR="00CA5422" w:rsidRPr="00DB5BAC">
        <w:rPr>
          <w:rFonts w:asciiTheme="majorHAnsi" w:hAnsiTheme="majorHAnsi"/>
          <w:color w:val="auto"/>
          <w:sz w:val="20"/>
        </w:rPr>
        <w:t>, peruanos de ascendencia japonesa</w:t>
      </w:r>
      <w:r w:rsidR="005C7F37" w:rsidRPr="00DB5BAC">
        <w:rPr>
          <w:rFonts w:asciiTheme="majorHAnsi" w:hAnsiTheme="majorHAnsi"/>
          <w:color w:val="auto"/>
          <w:sz w:val="20"/>
        </w:rPr>
        <w:t xml:space="preserve">, </w:t>
      </w:r>
      <w:r w:rsidR="00AE2AD7" w:rsidRPr="00DB5BAC">
        <w:rPr>
          <w:rFonts w:asciiTheme="majorHAnsi" w:hAnsiTheme="majorHAnsi"/>
          <w:color w:val="auto"/>
          <w:sz w:val="20"/>
        </w:rPr>
        <w:t>fueron secuestrados en</w:t>
      </w:r>
      <w:r w:rsidR="005C7F37" w:rsidRPr="00DB5BAC">
        <w:rPr>
          <w:rFonts w:asciiTheme="majorHAnsi" w:hAnsiTheme="majorHAnsi"/>
          <w:color w:val="auto"/>
          <w:sz w:val="20"/>
        </w:rPr>
        <w:t xml:space="preserve"> </w:t>
      </w:r>
      <w:r w:rsidR="00AE2AD7" w:rsidRPr="00DB5BAC">
        <w:rPr>
          <w:rFonts w:asciiTheme="majorHAnsi" w:hAnsiTheme="majorHAnsi"/>
          <w:color w:val="auto"/>
          <w:sz w:val="20"/>
        </w:rPr>
        <w:t>Perú</w:t>
      </w:r>
      <w:r w:rsidR="005C7F37" w:rsidRPr="00DB5BAC">
        <w:rPr>
          <w:rFonts w:asciiTheme="majorHAnsi" w:hAnsiTheme="majorHAnsi"/>
          <w:color w:val="auto"/>
          <w:sz w:val="20"/>
        </w:rPr>
        <w:t xml:space="preserve"> </w:t>
      </w:r>
      <w:r w:rsidR="00AE2AD7" w:rsidRPr="00DB5BAC">
        <w:rPr>
          <w:rFonts w:asciiTheme="majorHAnsi" w:hAnsiTheme="majorHAnsi"/>
          <w:color w:val="auto"/>
          <w:sz w:val="20"/>
        </w:rPr>
        <w:t>por Estados Unidos</w:t>
      </w:r>
      <w:r w:rsidR="005C7F37" w:rsidRPr="00DB5BAC">
        <w:rPr>
          <w:rFonts w:asciiTheme="majorHAnsi" w:hAnsiTheme="majorHAnsi"/>
          <w:color w:val="auto"/>
          <w:sz w:val="20"/>
        </w:rPr>
        <w:t xml:space="preserve"> </w:t>
      </w:r>
      <w:r w:rsidR="00AE2AD7" w:rsidRPr="00DB5BAC">
        <w:rPr>
          <w:rFonts w:asciiTheme="majorHAnsi" w:hAnsiTheme="majorHAnsi"/>
          <w:color w:val="auto"/>
          <w:sz w:val="20"/>
        </w:rPr>
        <w:t>y estuvieron detenidos en el</w:t>
      </w:r>
      <w:r w:rsidR="005C7F37" w:rsidRPr="00DB5BAC">
        <w:rPr>
          <w:rFonts w:asciiTheme="majorHAnsi" w:hAnsiTheme="majorHAnsi"/>
          <w:color w:val="auto"/>
          <w:sz w:val="20"/>
        </w:rPr>
        <w:t xml:space="preserve"> </w:t>
      </w:r>
      <w:r w:rsidR="00AE2AD7" w:rsidRPr="00DB5BAC">
        <w:rPr>
          <w:rFonts w:asciiTheme="majorHAnsi" w:hAnsiTheme="majorHAnsi"/>
          <w:color w:val="auto"/>
          <w:sz w:val="20"/>
        </w:rPr>
        <w:t xml:space="preserve">campo de internamiento de </w:t>
      </w:r>
      <w:r w:rsidR="000648EF" w:rsidRPr="00DB5BAC">
        <w:rPr>
          <w:rFonts w:asciiTheme="majorHAnsi" w:hAnsiTheme="majorHAnsi"/>
          <w:color w:val="auto"/>
          <w:sz w:val="20"/>
        </w:rPr>
        <w:t>Estados Unidos</w:t>
      </w:r>
      <w:r w:rsidR="005C7F37" w:rsidRPr="00DB5BAC">
        <w:rPr>
          <w:rFonts w:asciiTheme="majorHAnsi" w:hAnsiTheme="majorHAnsi"/>
          <w:color w:val="auto"/>
          <w:sz w:val="20"/>
        </w:rPr>
        <w:t xml:space="preserve"> </w:t>
      </w:r>
      <w:r w:rsidR="00AE2AD7" w:rsidRPr="00DB5BAC">
        <w:rPr>
          <w:rFonts w:asciiTheme="majorHAnsi" w:hAnsiTheme="majorHAnsi"/>
          <w:color w:val="auto"/>
          <w:sz w:val="20"/>
        </w:rPr>
        <w:t xml:space="preserve">situado en </w:t>
      </w:r>
      <w:r w:rsidR="00C837BB" w:rsidRPr="00DB5BAC">
        <w:rPr>
          <w:rFonts w:asciiTheme="majorHAnsi" w:hAnsiTheme="majorHAnsi"/>
          <w:color w:val="auto"/>
          <w:sz w:val="20"/>
        </w:rPr>
        <w:t>Crystal City</w:t>
      </w:r>
      <w:r>
        <w:rPr>
          <w:rFonts w:asciiTheme="majorHAnsi" w:hAnsiTheme="majorHAnsi"/>
          <w:color w:val="auto"/>
          <w:sz w:val="20"/>
        </w:rPr>
        <w:t>,</w:t>
      </w:r>
      <w:r w:rsidR="00AE2AD7" w:rsidRPr="00DB5BAC">
        <w:rPr>
          <w:rFonts w:asciiTheme="majorHAnsi" w:hAnsiTheme="majorHAnsi"/>
          <w:color w:val="auto"/>
          <w:sz w:val="20"/>
        </w:rPr>
        <w:t xml:space="preserve"> </w:t>
      </w:r>
      <w:r w:rsidR="00C837BB" w:rsidRPr="00DB5BAC">
        <w:rPr>
          <w:rFonts w:asciiTheme="majorHAnsi" w:hAnsiTheme="majorHAnsi"/>
          <w:color w:val="auto"/>
          <w:sz w:val="20"/>
        </w:rPr>
        <w:t>Texas</w:t>
      </w:r>
      <w:r>
        <w:rPr>
          <w:rFonts w:asciiTheme="majorHAnsi" w:hAnsiTheme="majorHAnsi"/>
          <w:color w:val="auto"/>
          <w:sz w:val="20"/>
        </w:rPr>
        <w:t>,</w:t>
      </w:r>
      <w:r w:rsidR="00AE2AD7" w:rsidRPr="00DB5BAC">
        <w:rPr>
          <w:rFonts w:asciiTheme="majorHAnsi" w:hAnsiTheme="majorHAnsi"/>
          <w:color w:val="auto"/>
          <w:sz w:val="20"/>
        </w:rPr>
        <w:t xml:space="preserve"> del </w:t>
      </w:r>
      <w:r w:rsidR="005C7F37" w:rsidRPr="00DB5BAC">
        <w:rPr>
          <w:rFonts w:asciiTheme="majorHAnsi" w:hAnsiTheme="majorHAnsi"/>
          <w:color w:val="auto"/>
          <w:sz w:val="20"/>
        </w:rPr>
        <w:t>23</w:t>
      </w:r>
      <w:r w:rsidR="00AE2AD7" w:rsidRPr="00DB5BAC">
        <w:rPr>
          <w:rFonts w:asciiTheme="majorHAnsi" w:hAnsiTheme="majorHAnsi"/>
          <w:color w:val="auto"/>
          <w:sz w:val="20"/>
        </w:rPr>
        <w:t xml:space="preserve"> de marzo de </w:t>
      </w:r>
      <w:r w:rsidR="005C7F37" w:rsidRPr="00DB5BAC">
        <w:rPr>
          <w:rFonts w:asciiTheme="majorHAnsi" w:hAnsiTheme="majorHAnsi"/>
          <w:color w:val="auto"/>
          <w:sz w:val="20"/>
        </w:rPr>
        <w:t xml:space="preserve">1944 </w:t>
      </w:r>
      <w:r w:rsidR="00AE2AD7" w:rsidRPr="00DB5BAC">
        <w:rPr>
          <w:rFonts w:asciiTheme="majorHAnsi" w:hAnsiTheme="majorHAnsi"/>
          <w:color w:val="auto"/>
          <w:sz w:val="20"/>
        </w:rPr>
        <w:t xml:space="preserve">al </w:t>
      </w:r>
      <w:r w:rsidR="005C7F37" w:rsidRPr="00DB5BAC">
        <w:rPr>
          <w:rFonts w:asciiTheme="majorHAnsi" w:hAnsiTheme="majorHAnsi"/>
          <w:color w:val="auto"/>
          <w:sz w:val="20"/>
        </w:rPr>
        <w:t>9</w:t>
      </w:r>
      <w:r w:rsidR="00AE2AD7" w:rsidRPr="00DB5BAC">
        <w:rPr>
          <w:rFonts w:asciiTheme="majorHAnsi" w:hAnsiTheme="majorHAnsi"/>
          <w:color w:val="auto"/>
          <w:sz w:val="20"/>
        </w:rPr>
        <w:t xml:space="preserve"> de septiembre de</w:t>
      </w:r>
      <w:r w:rsidR="005C7F37" w:rsidRPr="00DB5BAC">
        <w:rPr>
          <w:rFonts w:asciiTheme="majorHAnsi" w:hAnsiTheme="majorHAnsi"/>
          <w:color w:val="auto"/>
          <w:sz w:val="20"/>
        </w:rPr>
        <w:t xml:space="preserve"> 19</w:t>
      </w:r>
      <w:r w:rsidR="005C7F37" w:rsidRPr="00DB5BAC">
        <w:rPr>
          <w:rFonts w:asciiTheme="majorHAnsi" w:hAnsiTheme="majorHAnsi"/>
          <w:sz w:val="20"/>
        </w:rPr>
        <w:t>46</w:t>
      </w:r>
      <w:r w:rsidR="00361415" w:rsidRPr="00DB5BAC">
        <w:rPr>
          <w:color w:val="000000" w:themeColor="text1"/>
          <w:sz w:val="20"/>
        </w:rPr>
        <w:t>.</w:t>
      </w:r>
      <w:r w:rsidR="005C7F37" w:rsidRPr="00DB5BAC">
        <w:rPr>
          <w:color w:val="000000" w:themeColor="text1"/>
          <w:sz w:val="20"/>
        </w:rPr>
        <w:t xml:space="preserve"> </w:t>
      </w:r>
      <w:r w:rsidR="00794E75" w:rsidRPr="00DB5BAC">
        <w:rPr>
          <w:color w:val="000000" w:themeColor="text1"/>
          <w:sz w:val="20"/>
        </w:rPr>
        <w:t>A</w:t>
      </w:r>
      <w:r w:rsidR="00320AB9" w:rsidRPr="00DB5BAC">
        <w:rPr>
          <w:color w:val="000000" w:themeColor="text1"/>
          <w:sz w:val="20"/>
        </w:rPr>
        <w:t>firm</w:t>
      </w:r>
      <w:r>
        <w:rPr>
          <w:color w:val="000000" w:themeColor="text1"/>
          <w:sz w:val="20"/>
        </w:rPr>
        <w:t xml:space="preserve">ó </w:t>
      </w:r>
      <w:r w:rsidR="00794E75" w:rsidRPr="00DB5BAC">
        <w:rPr>
          <w:color w:val="000000" w:themeColor="text1"/>
          <w:sz w:val="20"/>
        </w:rPr>
        <w:t xml:space="preserve">que </w:t>
      </w:r>
      <w:r w:rsidR="005B1600" w:rsidRPr="00DB5BAC">
        <w:rPr>
          <w:color w:val="000000" w:themeColor="text1"/>
          <w:sz w:val="20"/>
        </w:rPr>
        <w:t>los Shibayama</w:t>
      </w:r>
      <w:r w:rsidR="005C7F37" w:rsidRPr="00DB5BAC">
        <w:rPr>
          <w:color w:val="000000" w:themeColor="text1"/>
          <w:sz w:val="20"/>
        </w:rPr>
        <w:t xml:space="preserve">, </w:t>
      </w:r>
      <w:r>
        <w:rPr>
          <w:color w:val="000000" w:themeColor="text1"/>
          <w:sz w:val="20"/>
        </w:rPr>
        <w:t xml:space="preserve">al </w:t>
      </w:r>
      <w:r w:rsidR="00794E75" w:rsidRPr="00DB5BAC">
        <w:rPr>
          <w:color w:val="000000" w:themeColor="text1"/>
          <w:sz w:val="20"/>
        </w:rPr>
        <w:t xml:space="preserve">igual que más de </w:t>
      </w:r>
      <w:r w:rsidR="005C7F37" w:rsidRPr="00DB5BAC">
        <w:rPr>
          <w:color w:val="000000" w:themeColor="text1"/>
          <w:sz w:val="20"/>
        </w:rPr>
        <w:t>2</w:t>
      </w:r>
      <w:r w:rsidR="00794E75" w:rsidRPr="00DB5BAC">
        <w:rPr>
          <w:color w:val="000000" w:themeColor="text1"/>
          <w:sz w:val="20"/>
        </w:rPr>
        <w:t>.</w:t>
      </w:r>
      <w:r w:rsidR="005C7F37" w:rsidRPr="00DB5BAC">
        <w:rPr>
          <w:color w:val="000000" w:themeColor="text1"/>
          <w:sz w:val="20"/>
        </w:rPr>
        <w:t xml:space="preserve">200 </w:t>
      </w:r>
      <w:r w:rsidR="00320AB9" w:rsidRPr="00DB5BAC">
        <w:rPr>
          <w:color w:val="000000" w:themeColor="text1"/>
          <w:sz w:val="20"/>
        </w:rPr>
        <w:t xml:space="preserve">personas </w:t>
      </w:r>
      <w:r w:rsidR="00973475" w:rsidRPr="00DB5BAC">
        <w:rPr>
          <w:color w:val="000000" w:themeColor="text1"/>
          <w:sz w:val="20"/>
        </w:rPr>
        <w:t>de ascendencia japonesa</w:t>
      </w:r>
      <w:r w:rsidR="005C7F37" w:rsidRPr="00DB5BAC">
        <w:rPr>
          <w:color w:val="000000" w:themeColor="text1"/>
          <w:sz w:val="20"/>
        </w:rPr>
        <w:t xml:space="preserve"> </w:t>
      </w:r>
      <w:r w:rsidR="00794E75" w:rsidRPr="00DB5BAC">
        <w:rPr>
          <w:color w:val="000000" w:themeColor="text1"/>
          <w:sz w:val="20"/>
        </w:rPr>
        <w:t xml:space="preserve">de </w:t>
      </w:r>
      <w:r w:rsidR="005C7F37" w:rsidRPr="00DB5BAC">
        <w:rPr>
          <w:color w:val="000000" w:themeColor="text1"/>
          <w:sz w:val="20"/>
        </w:rPr>
        <w:t xml:space="preserve">13 </w:t>
      </w:r>
      <w:r w:rsidR="00794E75" w:rsidRPr="00DB5BAC">
        <w:rPr>
          <w:color w:val="000000" w:themeColor="text1"/>
          <w:sz w:val="20"/>
        </w:rPr>
        <w:t xml:space="preserve">países de América Latina, fueron secuestrados e internados por </w:t>
      </w:r>
      <w:r w:rsidR="000648EF" w:rsidRPr="00DB5BAC">
        <w:rPr>
          <w:color w:val="000000" w:themeColor="text1"/>
          <w:sz w:val="20"/>
        </w:rPr>
        <w:t>Estados Unidos</w:t>
      </w:r>
      <w:r w:rsidR="005C7F37" w:rsidRPr="00DB5BAC">
        <w:rPr>
          <w:color w:val="000000" w:themeColor="text1"/>
          <w:sz w:val="20"/>
        </w:rPr>
        <w:t xml:space="preserve"> </w:t>
      </w:r>
      <w:r w:rsidR="00794E75" w:rsidRPr="00DB5BAC">
        <w:rPr>
          <w:color w:val="000000" w:themeColor="text1"/>
          <w:sz w:val="20"/>
        </w:rPr>
        <w:t xml:space="preserve">con el fin de usarlos en intercambios de rehenes con Japón durante ese período. </w:t>
      </w:r>
      <w:r w:rsidR="00320AB9" w:rsidRPr="00DB5BAC">
        <w:rPr>
          <w:color w:val="000000" w:themeColor="text1"/>
          <w:sz w:val="20"/>
        </w:rPr>
        <w:t>Señal</w:t>
      </w:r>
      <w:r>
        <w:rPr>
          <w:color w:val="000000" w:themeColor="text1"/>
          <w:sz w:val="20"/>
        </w:rPr>
        <w:t>ó</w:t>
      </w:r>
      <w:r w:rsidR="00320AB9" w:rsidRPr="00DB5BAC">
        <w:rPr>
          <w:color w:val="000000" w:themeColor="text1"/>
          <w:sz w:val="20"/>
        </w:rPr>
        <w:t xml:space="preserve"> </w:t>
      </w:r>
      <w:r w:rsidR="00794E75" w:rsidRPr="00DB5BAC">
        <w:rPr>
          <w:color w:val="000000" w:themeColor="text1"/>
          <w:sz w:val="20"/>
        </w:rPr>
        <w:t>que esta</w:t>
      </w:r>
      <w:r w:rsidR="004C620B" w:rsidRPr="00DB5BAC">
        <w:rPr>
          <w:color w:val="000000" w:themeColor="text1"/>
          <w:sz w:val="20"/>
        </w:rPr>
        <w:t xml:space="preserve">s </w:t>
      </w:r>
      <w:r w:rsidR="00794E75" w:rsidRPr="00DB5BAC">
        <w:rPr>
          <w:color w:val="000000" w:themeColor="text1"/>
          <w:sz w:val="20"/>
        </w:rPr>
        <w:t>medida</w:t>
      </w:r>
      <w:r w:rsidR="004C620B" w:rsidRPr="00DB5BAC">
        <w:rPr>
          <w:color w:val="000000" w:themeColor="text1"/>
          <w:sz w:val="20"/>
        </w:rPr>
        <w:t>s</w:t>
      </w:r>
      <w:r w:rsidR="00794E75" w:rsidRPr="00DB5BAC">
        <w:rPr>
          <w:color w:val="000000" w:themeColor="text1"/>
          <w:sz w:val="20"/>
        </w:rPr>
        <w:t xml:space="preserve"> </w:t>
      </w:r>
      <w:r w:rsidR="00BB0303" w:rsidRPr="00DB5BAC">
        <w:rPr>
          <w:color w:val="000000" w:themeColor="text1"/>
          <w:sz w:val="20"/>
        </w:rPr>
        <w:t>form</w:t>
      </w:r>
      <w:r w:rsidR="004C620B" w:rsidRPr="00DB5BAC">
        <w:rPr>
          <w:color w:val="000000" w:themeColor="text1"/>
          <w:sz w:val="20"/>
        </w:rPr>
        <w:t>aron</w:t>
      </w:r>
      <w:r w:rsidR="00BB0303" w:rsidRPr="00DB5BAC">
        <w:rPr>
          <w:color w:val="000000" w:themeColor="text1"/>
          <w:sz w:val="20"/>
        </w:rPr>
        <w:t xml:space="preserve"> parte de</w:t>
      </w:r>
      <w:r w:rsidR="00794E75" w:rsidRPr="00DB5BAC">
        <w:rPr>
          <w:color w:val="000000" w:themeColor="text1"/>
          <w:sz w:val="20"/>
        </w:rPr>
        <w:t xml:space="preserve"> un plan de depuración étnica</w:t>
      </w:r>
      <w:r w:rsidR="00BF23BD" w:rsidRPr="00DB5BAC">
        <w:rPr>
          <w:color w:val="000000" w:themeColor="text1"/>
          <w:sz w:val="20"/>
        </w:rPr>
        <w:t xml:space="preserve"> </w:t>
      </w:r>
      <w:r w:rsidR="00794E75" w:rsidRPr="00DB5BAC">
        <w:rPr>
          <w:color w:val="000000" w:themeColor="text1"/>
          <w:sz w:val="20"/>
        </w:rPr>
        <w:t xml:space="preserve">en cuyo marco comunidades enteras de </w:t>
      </w:r>
      <w:r w:rsidR="00973475" w:rsidRPr="00DB5BAC">
        <w:rPr>
          <w:color w:val="000000" w:themeColor="text1"/>
          <w:sz w:val="20"/>
        </w:rPr>
        <w:t>latinoamericanos de ascendencia japonesa</w:t>
      </w:r>
      <w:r w:rsidR="00BF23BD" w:rsidRPr="00DB5BAC">
        <w:rPr>
          <w:color w:val="000000" w:themeColor="text1"/>
          <w:sz w:val="20"/>
        </w:rPr>
        <w:t xml:space="preserve"> </w:t>
      </w:r>
      <w:r w:rsidR="00794E75" w:rsidRPr="00DB5BAC">
        <w:rPr>
          <w:color w:val="000000" w:themeColor="text1"/>
          <w:sz w:val="20"/>
        </w:rPr>
        <w:t>fueron arrestados de acuerdo con un plan de Estados Unidos, sacados de su país y retenidos en</w:t>
      </w:r>
      <w:r w:rsidR="00DB5BAC" w:rsidRPr="00DB5BAC">
        <w:rPr>
          <w:color w:val="000000" w:themeColor="text1"/>
          <w:sz w:val="20"/>
        </w:rPr>
        <w:t xml:space="preserve"> </w:t>
      </w:r>
      <w:r w:rsidR="00AE2AD7" w:rsidRPr="00DB5BAC">
        <w:rPr>
          <w:color w:val="000000" w:themeColor="text1"/>
          <w:sz w:val="20"/>
        </w:rPr>
        <w:t>campamentos de detención</w:t>
      </w:r>
      <w:r w:rsidR="00BF23BD" w:rsidRPr="00DB5BAC">
        <w:rPr>
          <w:color w:val="000000" w:themeColor="text1"/>
          <w:sz w:val="20"/>
        </w:rPr>
        <w:t xml:space="preserve"> </w:t>
      </w:r>
      <w:r w:rsidR="00794E75" w:rsidRPr="00DB5BAC">
        <w:rPr>
          <w:color w:val="000000" w:themeColor="text1"/>
          <w:sz w:val="20"/>
        </w:rPr>
        <w:t>en</w:t>
      </w:r>
      <w:r w:rsidR="00BF23BD" w:rsidRPr="00DB5BAC">
        <w:rPr>
          <w:color w:val="000000" w:themeColor="text1"/>
          <w:sz w:val="20"/>
        </w:rPr>
        <w:t xml:space="preserve"> </w:t>
      </w:r>
      <w:r w:rsidR="00AE2AD7" w:rsidRPr="00DB5BAC">
        <w:rPr>
          <w:color w:val="000000" w:themeColor="text1"/>
          <w:sz w:val="20"/>
        </w:rPr>
        <w:t>Panamá</w:t>
      </w:r>
      <w:r w:rsidR="00BF23BD" w:rsidRPr="00DB5BAC">
        <w:rPr>
          <w:color w:val="000000" w:themeColor="text1"/>
          <w:sz w:val="20"/>
        </w:rPr>
        <w:t xml:space="preserve"> </w:t>
      </w:r>
      <w:r w:rsidR="00794E75" w:rsidRPr="00DB5BAC">
        <w:rPr>
          <w:color w:val="000000" w:themeColor="text1"/>
          <w:sz w:val="20"/>
        </w:rPr>
        <w:t>y</w:t>
      </w:r>
      <w:r w:rsidR="00BF23BD" w:rsidRPr="00DB5BAC">
        <w:rPr>
          <w:color w:val="000000" w:themeColor="text1"/>
          <w:sz w:val="20"/>
        </w:rPr>
        <w:t xml:space="preserve"> </w:t>
      </w:r>
      <w:r w:rsidR="00AE2AD7" w:rsidRPr="00DB5BAC">
        <w:rPr>
          <w:color w:val="000000" w:themeColor="text1"/>
          <w:sz w:val="20"/>
        </w:rPr>
        <w:t>Estados Unidos</w:t>
      </w:r>
      <w:r w:rsidR="00BF23BD" w:rsidRPr="00DB5BAC">
        <w:rPr>
          <w:color w:val="000000" w:themeColor="text1"/>
          <w:sz w:val="20"/>
        </w:rPr>
        <w:t xml:space="preserve"> </w:t>
      </w:r>
      <w:r w:rsidR="00794E75" w:rsidRPr="00DB5BAC">
        <w:rPr>
          <w:color w:val="000000" w:themeColor="text1"/>
          <w:sz w:val="20"/>
        </w:rPr>
        <w:t xml:space="preserve">a la espera de su envío a Japón para intercambiarlos por </w:t>
      </w:r>
      <w:r w:rsidR="00AE2AD7" w:rsidRPr="00DB5BAC">
        <w:rPr>
          <w:color w:val="000000" w:themeColor="text1"/>
          <w:sz w:val="20"/>
        </w:rPr>
        <w:t>estadounidenses de ascendencia europea</w:t>
      </w:r>
      <w:r w:rsidR="00BF23BD" w:rsidRPr="00DB5BAC">
        <w:rPr>
          <w:color w:val="000000" w:themeColor="text1"/>
          <w:sz w:val="20"/>
        </w:rPr>
        <w:t xml:space="preserve"> </w:t>
      </w:r>
      <w:r w:rsidR="00794E75" w:rsidRPr="00DB5BAC">
        <w:rPr>
          <w:color w:val="000000" w:themeColor="text1"/>
          <w:sz w:val="20"/>
        </w:rPr>
        <w:t>detenidos por Japón</w:t>
      </w:r>
      <w:r w:rsidR="00320AB9" w:rsidRPr="00DB5BAC">
        <w:rPr>
          <w:color w:val="000000" w:themeColor="text1"/>
          <w:sz w:val="20"/>
        </w:rPr>
        <w:t>. Agreg</w:t>
      </w:r>
      <w:r>
        <w:rPr>
          <w:color w:val="000000" w:themeColor="text1"/>
          <w:sz w:val="20"/>
        </w:rPr>
        <w:t>ó</w:t>
      </w:r>
      <w:r w:rsidR="00320AB9" w:rsidRPr="00DB5BAC">
        <w:rPr>
          <w:color w:val="000000" w:themeColor="text1"/>
          <w:sz w:val="20"/>
        </w:rPr>
        <w:t xml:space="preserve"> que tales medidas</w:t>
      </w:r>
      <w:r w:rsidR="00794E75" w:rsidRPr="00DB5BAC">
        <w:rPr>
          <w:color w:val="000000" w:themeColor="text1"/>
          <w:sz w:val="20"/>
        </w:rPr>
        <w:t xml:space="preserve"> </w:t>
      </w:r>
      <w:r w:rsidR="004C620B" w:rsidRPr="00DB5BAC">
        <w:rPr>
          <w:color w:val="000000" w:themeColor="text1"/>
          <w:sz w:val="20"/>
        </w:rPr>
        <w:t xml:space="preserve">constituyeron crímenes de guerra y crímenes </w:t>
      </w:r>
      <w:r w:rsidR="00BB0303" w:rsidRPr="00DB5BAC">
        <w:rPr>
          <w:color w:val="000000" w:themeColor="text1"/>
          <w:sz w:val="20"/>
        </w:rPr>
        <w:t>de lesa humanidad</w:t>
      </w:r>
      <w:r w:rsidR="00BF23BD" w:rsidRPr="00DB5BAC">
        <w:rPr>
          <w:color w:val="000000" w:themeColor="text1"/>
          <w:sz w:val="20"/>
        </w:rPr>
        <w:t>.</w:t>
      </w:r>
      <w:r w:rsidR="004C620B" w:rsidRPr="00DB5BAC">
        <w:rPr>
          <w:color w:val="000000" w:themeColor="text1"/>
          <w:sz w:val="20"/>
        </w:rPr>
        <w:t xml:space="preserve"> </w:t>
      </w:r>
      <w:r>
        <w:rPr>
          <w:rFonts w:asciiTheme="majorHAnsi" w:hAnsiTheme="majorHAnsi"/>
          <w:color w:val="000000" w:themeColor="text1"/>
          <w:sz w:val="20"/>
        </w:rPr>
        <w:t>Alegó</w:t>
      </w:r>
      <w:r w:rsidRPr="00DB5BAC">
        <w:rPr>
          <w:rFonts w:asciiTheme="majorHAnsi" w:hAnsiTheme="majorHAnsi"/>
          <w:color w:val="000000" w:themeColor="text1"/>
          <w:sz w:val="20"/>
        </w:rPr>
        <w:t xml:space="preserve"> </w:t>
      </w:r>
      <w:r w:rsidR="004C620B" w:rsidRPr="00DB5BAC">
        <w:rPr>
          <w:color w:val="000000" w:themeColor="text1"/>
          <w:sz w:val="20"/>
        </w:rPr>
        <w:t xml:space="preserve">asimismo que se trata de </w:t>
      </w:r>
      <w:r w:rsidR="00CF722A" w:rsidRPr="00DB5BAC">
        <w:rPr>
          <w:color w:val="000000" w:themeColor="text1"/>
          <w:sz w:val="20"/>
        </w:rPr>
        <w:t xml:space="preserve">violaciones continuas en la medida en que </w:t>
      </w:r>
      <w:r w:rsidR="000648EF" w:rsidRPr="00DB5BAC">
        <w:rPr>
          <w:color w:val="000000" w:themeColor="text1"/>
          <w:sz w:val="20"/>
        </w:rPr>
        <w:t>Estados Unidos</w:t>
      </w:r>
      <w:r w:rsidR="00645EA3" w:rsidRPr="00DB5BAC">
        <w:rPr>
          <w:color w:val="000000" w:themeColor="text1"/>
          <w:sz w:val="20"/>
        </w:rPr>
        <w:t xml:space="preserve"> ma</w:t>
      </w:r>
      <w:r w:rsidR="00CF722A" w:rsidRPr="00DB5BAC">
        <w:rPr>
          <w:color w:val="000000" w:themeColor="text1"/>
          <w:sz w:val="20"/>
        </w:rPr>
        <w:t>ntiene un</w:t>
      </w:r>
      <w:r w:rsidR="00320AB9" w:rsidRPr="00DB5BAC">
        <w:rPr>
          <w:color w:val="000000" w:themeColor="text1"/>
          <w:sz w:val="20"/>
        </w:rPr>
        <w:t>a</w:t>
      </w:r>
      <w:r w:rsidR="00CF722A" w:rsidRPr="00DB5BAC">
        <w:rPr>
          <w:color w:val="000000" w:themeColor="text1"/>
          <w:sz w:val="20"/>
        </w:rPr>
        <w:t xml:space="preserve"> política de detención de </w:t>
      </w:r>
      <w:r w:rsidR="000275C1" w:rsidRPr="00DB5BAC">
        <w:rPr>
          <w:color w:val="000000" w:themeColor="text1"/>
          <w:sz w:val="20"/>
        </w:rPr>
        <w:t xml:space="preserve">personas </w:t>
      </w:r>
      <w:r>
        <w:rPr>
          <w:color w:val="000000" w:themeColor="text1"/>
          <w:sz w:val="20"/>
        </w:rPr>
        <w:t>extranjeras</w:t>
      </w:r>
      <w:r w:rsidR="00645EA3" w:rsidRPr="00DB5BAC">
        <w:rPr>
          <w:color w:val="000000" w:themeColor="text1"/>
          <w:sz w:val="20"/>
        </w:rPr>
        <w:t xml:space="preserve"> </w:t>
      </w:r>
      <w:r w:rsidR="000275C1" w:rsidRPr="00DB5BAC">
        <w:rPr>
          <w:color w:val="000000" w:themeColor="text1"/>
          <w:sz w:val="20"/>
        </w:rPr>
        <w:t>y programas orientados a violar los derechos de las personas consagrados en el derecho internacional por motivos de religión y origen nacional.</w:t>
      </w:r>
    </w:p>
    <w:p w14:paraId="171930E6" w14:textId="77777777" w:rsidR="00BF23BD" w:rsidRPr="00DB5BAC" w:rsidRDefault="00BF23BD" w:rsidP="00BF23B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000000" w:themeColor="text1"/>
          <w:sz w:val="20"/>
        </w:rPr>
      </w:pPr>
    </w:p>
    <w:p w14:paraId="3C759D21" w14:textId="77777777" w:rsidR="00C837BB" w:rsidRPr="00DB5BAC" w:rsidRDefault="001603F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Pr>
          <w:rFonts w:asciiTheme="majorHAnsi" w:hAnsiTheme="majorHAnsi"/>
          <w:color w:val="000000" w:themeColor="text1"/>
          <w:sz w:val="20"/>
        </w:rPr>
        <w:t>Alegó</w:t>
      </w:r>
      <w:r w:rsidRPr="00DB5BAC">
        <w:rPr>
          <w:rFonts w:asciiTheme="majorHAnsi" w:hAnsiTheme="majorHAnsi"/>
          <w:color w:val="000000" w:themeColor="text1"/>
          <w:sz w:val="20"/>
        </w:rPr>
        <w:t xml:space="preserve"> </w:t>
      </w:r>
      <w:r w:rsidR="000275C1" w:rsidRPr="00DB5BAC">
        <w:rPr>
          <w:rFonts w:asciiTheme="majorHAnsi" w:hAnsiTheme="majorHAnsi"/>
          <w:color w:val="000000" w:themeColor="text1"/>
          <w:sz w:val="20"/>
        </w:rPr>
        <w:t>que, cuando terminó la guerra</w:t>
      </w:r>
      <w:r w:rsidR="00BF23BD" w:rsidRPr="00DB5BAC">
        <w:rPr>
          <w:rFonts w:asciiTheme="majorHAnsi" w:hAnsiTheme="majorHAnsi"/>
          <w:color w:val="000000" w:themeColor="text1"/>
          <w:sz w:val="20"/>
        </w:rPr>
        <w:t xml:space="preserve">, </w:t>
      </w:r>
      <w:r w:rsidR="005B1600" w:rsidRPr="00DB5BAC">
        <w:rPr>
          <w:rFonts w:asciiTheme="majorHAnsi" w:hAnsiTheme="majorHAnsi"/>
          <w:color w:val="000000" w:themeColor="text1"/>
          <w:sz w:val="20"/>
        </w:rPr>
        <w:t>los Shibayama</w:t>
      </w:r>
      <w:r w:rsidR="00BF23BD" w:rsidRPr="00DB5BAC">
        <w:rPr>
          <w:rFonts w:asciiTheme="majorHAnsi" w:hAnsiTheme="majorHAnsi"/>
          <w:color w:val="000000" w:themeColor="text1"/>
          <w:sz w:val="20"/>
        </w:rPr>
        <w:t xml:space="preserve"> </w:t>
      </w:r>
      <w:r w:rsidR="000275C1" w:rsidRPr="00DB5BAC">
        <w:rPr>
          <w:rFonts w:asciiTheme="majorHAnsi" w:hAnsiTheme="majorHAnsi"/>
          <w:color w:val="000000" w:themeColor="text1"/>
          <w:sz w:val="20"/>
        </w:rPr>
        <w:t>fueron puestos en libertad en</w:t>
      </w:r>
      <w:r w:rsidR="00BF23BD" w:rsidRPr="00DB5BAC">
        <w:rPr>
          <w:rFonts w:asciiTheme="majorHAnsi" w:hAnsiTheme="majorHAnsi"/>
          <w:color w:val="000000" w:themeColor="text1"/>
          <w:sz w:val="20"/>
        </w:rPr>
        <w:t xml:space="preserve"> </w:t>
      </w:r>
      <w:r w:rsidR="000648EF" w:rsidRPr="00DB5BAC">
        <w:rPr>
          <w:rFonts w:asciiTheme="majorHAnsi" w:hAnsiTheme="majorHAnsi"/>
          <w:color w:val="000000" w:themeColor="text1"/>
          <w:sz w:val="20"/>
        </w:rPr>
        <w:t>Estados Unidos</w:t>
      </w:r>
      <w:r w:rsidR="00BF23BD" w:rsidRPr="00DB5BAC">
        <w:rPr>
          <w:color w:val="000000" w:themeColor="text1"/>
          <w:sz w:val="20"/>
        </w:rPr>
        <w:t xml:space="preserve">, </w:t>
      </w:r>
      <w:r w:rsidR="000275C1" w:rsidRPr="00DB5BAC">
        <w:rPr>
          <w:color w:val="000000" w:themeColor="text1"/>
          <w:sz w:val="20"/>
        </w:rPr>
        <w:t>ya que Perú</w:t>
      </w:r>
      <w:r w:rsidR="00BF23BD" w:rsidRPr="00DB5BAC">
        <w:rPr>
          <w:color w:val="000000" w:themeColor="text1"/>
          <w:sz w:val="20"/>
        </w:rPr>
        <w:t xml:space="preserve"> </w:t>
      </w:r>
      <w:r w:rsidR="000275C1" w:rsidRPr="00DB5BAC">
        <w:rPr>
          <w:color w:val="000000" w:themeColor="text1"/>
          <w:sz w:val="20"/>
        </w:rPr>
        <w:t xml:space="preserve">no aceptaba su retorno y sus documentos de identidad peruanos habían sido confiscados por personal de </w:t>
      </w:r>
      <w:r w:rsidR="000648EF" w:rsidRPr="00DB5BAC">
        <w:rPr>
          <w:color w:val="000000" w:themeColor="text1"/>
          <w:sz w:val="20"/>
        </w:rPr>
        <w:t>Estados Unidos</w:t>
      </w:r>
      <w:r w:rsidR="000275C1" w:rsidRPr="00DB5BAC">
        <w:rPr>
          <w:color w:val="000000" w:themeColor="text1"/>
          <w:sz w:val="20"/>
        </w:rPr>
        <w:t xml:space="preserve">, pero Estados Unidos los consideraba como </w:t>
      </w:r>
      <w:r w:rsidR="00BF23BD" w:rsidRPr="00DB5BAC">
        <w:rPr>
          <w:color w:val="000000" w:themeColor="text1"/>
          <w:sz w:val="20"/>
        </w:rPr>
        <w:t>“</w:t>
      </w:r>
      <w:r w:rsidR="00FF03EE" w:rsidRPr="00DB5BAC">
        <w:rPr>
          <w:color w:val="000000" w:themeColor="text1"/>
          <w:sz w:val="20"/>
        </w:rPr>
        <w:t>extranjeros indocumentados</w:t>
      </w:r>
      <w:r w:rsidR="00BF23BD" w:rsidRPr="00DB5BAC">
        <w:rPr>
          <w:color w:val="000000" w:themeColor="text1"/>
          <w:sz w:val="20"/>
        </w:rPr>
        <w:t>”</w:t>
      </w:r>
      <w:r w:rsidR="000275C1" w:rsidRPr="00DB5BAC">
        <w:rPr>
          <w:color w:val="000000" w:themeColor="text1"/>
          <w:sz w:val="20"/>
        </w:rPr>
        <w:t>. Señal</w:t>
      </w:r>
      <w:r>
        <w:rPr>
          <w:color w:val="000000" w:themeColor="text1"/>
          <w:sz w:val="20"/>
        </w:rPr>
        <w:t>ó que</w:t>
      </w:r>
      <w:r w:rsidR="000275C1" w:rsidRPr="00DB5BAC">
        <w:rPr>
          <w:color w:val="000000" w:themeColor="text1"/>
          <w:sz w:val="20"/>
        </w:rPr>
        <w:t xml:space="preserve"> </w:t>
      </w:r>
      <w:r w:rsidR="005B1600" w:rsidRPr="00DB5BAC">
        <w:rPr>
          <w:color w:val="000000" w:themeColor="text1"/>
          <w:sz w:val="20"/>
        </w:rPr>
        <w:t>los hermanos Shibayama</w:t>
      </w:r>
      <w:r w:rsidR="00BF23BD" w:rsidRPr="00DB5BAC">
        <w:rPr>
          <w:color w:val="000000" w:themeColor="text1"/>
          <w:sz w:val="20"/>
        </w:rPr>
        <w:t xml:space="preserve"> </w:t>
      </w:r>
      <w:r>
        <w:rPr>
          <w:color w:val="000000" w:themeColor="text1"/>
          <w:sz w:val="20"/>
        </w:rPr>
        <w:t xml:space="preserve">finalmente </w:t>
      </w:r>
      <w:r w:rsidR="000275C1" w:rsidRPr="00DB5BAC">
        <w:rPr>
          <w:color w:val="000000" w:themeColor="text1"/>
          <w:sz w:val="20"/>
        </w:rPr>
        <w:t xml:space="preserve">lograron regularizar su </w:t>
      </w:r>
      <w:r w:rsidR="00BB0303" w:rsidRPr="00DB5BAC">
        <w:rPr>
          <w:color w:val="000000" w:themeColor="text1"/>
          <w:sz w:val="20"/>
        </w:rPr>
        <w:t>situación migratoria</w:t>
      </w:r>
      <w:r w:rsidR="00BF23BD" w:rsidRPr="00DB5BAC">
        <w:rPr>
          <w:color w:val="000000" w:themeColor="text1"/>
          <w:sz w:val="20"/>
        </w:rPr>
        <w:t xml:space="preserve"> </w:t>
      </w:r>
      <w:r w:rsidR="000275C1" w:rsidRPr="00DB5BAC">
        <w:rPr>
          <w:color w:val="000000" w:themeColor="text1"/>
          <w:sz w:val="20"/>
        </w:rPr>
        <w:t>y en 1956 obtuvieron la</w:t>
      </w:r>
      <w:r w:rsidR="00BF23BD" w:rsidRPr="00DB5BAC">
        <w:rPr>
          <w:color w:val="000000" w:themeColor="text1"/>
          <w:sz w:val="20"/>
        </w:rPr>
        <w:t xml:space="preserve"> </w:t>
      </w:r>
      <w:r w:rsidR="00BB0303" w:rsidRPr="00DB5BAC">
        <w:rPr>
          <w:color w:val="000000" w:themeColor="text1"/>
          <w:sz w:val="20"/>
        </w:rPr>
        <w:t>residencia permanente</w:t>
      </w:r>
      <w:r w:rsidR="000275C1" w:rsidRPr="00DB5BAC">
        <w:rPr>
          <w:color w:val="000000" w:themeColor="text1"/>
          <w:sz w:val="20"/>
        </w:rPr>
        <w:t>, para lo cual tuvieron que salir del país y volver a entrar.</w:t>
      </w:r>
    </w:p>
    <w:p w14:paraId="0719CFF6" w14:textId="77777777" w:rsidR="00C837BB" w:rsidRPr="00DB5BAC" w:rsidRDefault="00C837BB" w:rsidP="00C837BB">
      <w:pPr>
        <w:pStyle w:val="ListParagraph"/>
        <w:rPr>
          <w:color w:val="000000" w:themeColor="text1"/>
          <w:sz w:val="20"/>
          <w:lang w:val="es-ES"/>
        </w:rPr>
      </w:pPr>
    </w:p>
    <w:p w14:paraId="044BC319" w14:textId="77777777" w:rsidR="00BF23BD" w:rsidRPr="00DB5BAC" w:rsidRDefault="001603F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Pr>
          <w:rFonts w:asciiTheme="majorHAnsi" w:hAnsiTheme="majorHAnsi"/>
          <w:color w:val="000000" w:themeColor="text1"/>
          <w:sz w:val="20"/>
        </w:rPr>
        <w:t>Alegó</w:t>
      </w:r>
      <w:r w:rsidRPr="00DB5BAC">
        <w:rPr>
          <w:rFonts w:asciiTheme="majorHAnsi" w:hAnsiTheme="majorHAnsi"/>
          <w:color w:val="000000" w:themeColor="text1"/>
          <w:sz w:val="20"/>
        </w:rPr>
        <w:t xml:space="preserve"> </w:t>
      </w:r>
      <w:r w:rsidR="000275C1" w:rsidRPr="00DB5BAC">
        <w:rPr>
          <w:color w:val="000000" w:themeColor="text1"/>
          <w:sz w:val="20"/>
        </w:rPr>
        <w:t>que</w:t>
      </w:r>
      <w:r w:rsidR="00412B98" w:rsidRPr="00DB5BAC">
        <w:rPr>
          <w:color w:val="000000" w:themeColor="text1"/>
          <w:sz w:val="20"/>
        </w:rPr>
        <w:t>, cuando se promulgó la</w:t>
      </w:r>
      <w:r w:rsidR="00BF23BD" w:rsidRPr="00DB5BAC">
        <w:rPr>
          <w:color w:val="000000" w:themeColor="text1"/>
          <w:sz w:val="20"/>
        </w:rPr>
        <w:t xml:space="preserve"> </w:t>
      </w:r>
      <w:r w:rsidR="00CA2EFA" w:rsidRPr="00DB5BAC">
        <w:rPr>
          <w:color w:val="000000" w:themeColor="text1"/>
          <w:sz w:val="20"/>
        </w:rPr>
        <w:t>Ley de Libertades Civiles</w:t>
      </w:r>
      <w:r w:rsidR="00BF23BD" w:rsidRPr="00DB5BAC">
        <w:rPr>
          <w:color w:val="000000" w:themeColor="text1"/>
          <w:sz w:val="20"/>
        </w:rPr>
        <w:t xml:space="preserve"> </w:t>
      </w:r>
      <w:r w:rsidR="00412B98" w:rsidRPr="00DB5BAC">
        <w:rPr>
          <w:color w:val="000000" w:themeColor="text1"/>
          <w:sz w:val="20"/>
        </w:rPr>
        <w:t>de</w:t>
      </w:r>
      <w:r w:rsidR="00BF23BD" w:rsidRPr="00DB5BAC">
        <w:rPr>
          <w:color w:val="000000" w:themeColor="text1"/>
          <w:sz w:val="20"/>
        </w:rPr>
        <w:t xml:space="preserve"> 1988</w:t>
      </w:r>
      <w:r w:rsidR="00412B98" w:rsidRPr="00DB5BAC">
        <w:rPr>
          <w:color w:val="000000" w:themeColor="text1"/>
          <w:sz w:val="20"/>
        </w:rPr>
        <w:t>, que disponía algunas reparaciones para</w:t>
      </w:r>
      <w:r w:rsidR="00BF23BD" w:rsidRPr="00DB5BAC">
        <w:rPr>
          <w:color w:val="000000" w:themeColor="text1"/>
          <w:sz w:val="20"/>
        </w:rPr>
        <w:t xml:space="preserve"> </w:t>
      </w:r>
      <w:r w:rsidR="00412B98" w:rsidRPr="00DB5BAC">
        <w:rPr>
          <w:color w:val="000000" w:themeColor="text1"/>
          <w:sz w:val="20"/>
        </w:rPr>
        <w:t>las personas de ascendencia japonesa</w:t>
      </w:r>
      <w:r w:rsidR="00BF23BD" w:rsidRPr="00DB5BAC">
        <w:rPr>
          <w:color w:val="000000" w:themeColor="text1"/>
          <w:sz w:val="20"/>
        </w:rPr>
        <w:t xml:space="preserve"> </w:t>
      </w:r>
      <w:r w:rsidR="00412B98" w:rsidRPr="00DB5BAC">
        <w:rPr>
          <w:color w:val="000000" w:themeColor="text1"/>
          <w:sz w:val="20"/>
        </w:rPr>
        <w:t xml:space="preserve">que habían sido internadas durante la </w:t>
      </w:r>
      <w:r w:rsidR="00BB0303" w:rsidRPr="00DB5BAC">
        <w:rPr>
          <w:color w:val="000000" w:themeColor="text1"/>
          <w:sz w:val="20"/>
        </w:rPr>
        <w:t>Segunda Guerra Mundial</w:t>
      </w:r>
      <w:r w:rsidR="00BF23BD" w:rsidRPr="00DB5BAC">
        <w:rPr>
          <w:color w:val="000000" w:themeColor="text1"/>
          <w:sz w:val="20"/>
        </w:rPr>
        <w:t xml:space="preserve"> </w:t>
      </w:r>
      <w:r w:rsidR="00412B98" w:rsidRPr="00DB5BAC">
        <w:rPr>
          <w:color w:val="000000" w:themeColor="text1"/>
          <w:sz w:val="20"/>
        </w:rPr>
        <w:t xml:space="preserve">y que eran ciudadanas o residentes permanentes de </w:t>
      </w:r>
      <w:r w:rsidR="000648EF" w:rsidRPr="00DB5BAC">
        <w:rPr>
          <w:color w:val="000000" w:themeColor="text1"/>
          <w:sz w:val="20"/>
        </w:rPr>
        <w:t>Estados Unidos</w:t>
      </w:r>
      <w:r w:rsidR="00C837BB" w:rsidRPr="00DB5BAC">
        <w:rPr>
          <w:color w:val="000000" w:themeColor="text1"/>
          <w:sz w:val="20"/>
        </w:rPr>
        <w:t xml:space="preserve"> </w:t>
      </w:r>
      <w:r w:rsidR="00412B98" w:rsidRPr="00DB5BAC">
        <w:rPr>
          <w:color w:val="000000" w:themeColor="text1"/>
          <w:sz w:val="20"/>
        </w:rPr>
        <w:t xml:space="preserve">en el momento de su detención, los hermanos no pudieron recibir reparación de conformidad con dicha Ley debido a la condición </w:t>
      </w:r>
      <w:r w:rsidR="00BB0303" w:rsidRPr="00DB5BAC">
        <w:rPr>
          <w:color w:val="auto"/>
          <w:sz w:val="20"/>
        </w:rPr>
        <w:t>migratoria</w:t>
      </w:r>
      <w:r w:rsidR="00BF23BD" w:rsidRPr="00DB5BAC">
        <w:rPr>
          <w:color w:val="auto"/>
          <w:sz w:val="20"/>
        </w:rPr>
        <w:t xml:space="preserve"> </w:t>
      </w:r>
      <w:r w:rsidR="00412B98" w:rsidRPr="00DB5BAC">
        <w:rPr>
          <w:color w:val="auto"/>
          <w:sz w:val="20"/>
        </w:rPr>
        <w:t xml:space="preserve">que tenían en el momento del </w:t>
      </w:r>
      <w:r w:rsidR="00333A05" w:rsidRPr="00DB5BAC">
        <w:rPr>
          <w:color w:val="auto"/>
          <w:sz w:val="20"/>
        </w:rPr>
        <w:t>internamiento</w:t>
      </w:r>
      <w:r w:rsidR="00BF23BD" w:rsidRPr="00DB5BAC">
        <w:rPr>
          <w:color w:val="auto"/>
          <w:sz w:val="20"/>
        </w:rPr>
        <w:t xml:space="preserve">. </w:t>
      </w:r>
      <w:r>
        <w:rPr>
          <w:rFonts w:asciiTheme="majorHAnsi" w:hAnsiTheme="majorHAnsi"/>
          <w:color w:val="000000" w:themeColor="text1"/>
          <w:sz w:val="20"/>
        </w:rPr>
        <w:t>Alegó</w:t>
      </w:r>
      <w:r w:rsidRPr="00DB5BAC">
        <w:rPr>
          <w:rFonts w:asciiTheme="majorHAnsi" w:hAnsiTheme="majorHAnsi"/>
          <w:color w:val="000000" w:themeColor="text1"/>
          <w:sz w:val="20"/>
        </w:rPr>
        <w:t xml:space="preserve"> </w:t>
      </w:r>
      <w:r w:rsidR="00412B98" w:rsidRPr="00DB5BAC">
        <w:rPr>
          <w:color w:val="auto"/>
          <w:sz w:val="20"/>
        </w:rPr>
        <w:t xml:space="preserve">que, posteriormente, los hermanos optaron por no acogerse al arreglo Mochizuki de </w:t>
      </w:r>
      <w:r w:rsidR="00D62AF9" w:rsidRPr="00DB5BAC">
        <w:rPr>
          <w:color w:val="auto"/>
          <w:sz w:val="20"/>
        </w:rPr>
        <w:t>1998</w:t>
      </w:r>
      <w:r w:rsidR="00412B98" w:rsidRPr="00DB5BAC">
        <w:rPr>
          <w:color w:val="auto"/>
          <w:sz w:val="20"/>
        </w:rPr>
        <w:t>, en virtud del cual se otorg</w:t>
      </w:r>
      <w:r w:rsidR="00621ADE" w:rsidRPr="00DB5BAC">
        <w:rPr>
          <w:color w:val="auto"/>
          <w:sz w:val="20"/>
        </w:rPr>
        <w:t xml:space="preserve">ó </w:t>
      </w:r>
      <w:r w:rsidR="00412B98" w:rsidRPr="00DB5BAC">
        <w:rPr>
          <w:color w:val="auto"/>
          <w:sz w:val="20"/>
        </w:rPr>
        <w:t>una reparación menor a</w:t>
      </w:r>
      <w:r w:rsidR="00C837BB" w:rsidRPr="00DB5BAC">
        <w:rPr>
          <w:color w:val="auto"/>
          <w:sz w:val="20"/>
        </w:rPr>
        <w:t xml:space="preserve"> </w:t>
      </w:r>
      <w:r w:rsidR="00BB0303" w:rsidRPr="00DB5BAC">
        <w:rPr>
          <w:color w:val="auto"/>
          <w:sz w:val="20"/>
        </w:rPr>
        <w:t>japoneses latinoamericanos</w:t>
      </w:r>
      <w:r w:rsidR="00C837BB" w:rsidRPr="00DB5BAC">
        <w:rPr>
          <w:color w:val="auto"/>
          <w:sz w:val="20"/>
        </w:rPr>
        <w:t xml:space="preserve"> </w:t>
      </w:r>
      <w:r w:rsidR="00412B98" w:rsidRPr="00DB5BAC">
        <w:rPr>
          <w:color w:val="auto"/>
          <w:sz w:val="20"/>
        </w:rPr>
        <w:t xml:space="preserve">en una situación similar que habían sido excluidos de las reparaciones en la </w:t>
      </w:r>
      <w:r w:rsidR="00CA2EFA" w:rsidRPr="00DB5BAC">
        <w:rPr>
          <w:color w:val="auto"/>
          <w:sz w:val="20"/>
        </w:rPr>
        <w:t>Ley de Libertades Civiles</w:t>
      </w:r>
      <w:r w:rsidR="00C837BB" w:rsidRPr="00DB5BAC">
        <w:rPr>
          <w:color w:val="auto"/>
          <w:sz w:val="20"/>
        </w:rPr>
        <w:t xml:space="preserve">, </w:t>
      </w:r>
      <w:r w:rsidR="00412B98" w:rsidRPr="00DB5BAC">
        <w:rPr>
          <w:color w:val="auto"/>
          <w:sz w:val="20"/>
        </w:rPr>
        <w:t>a fin de llevar adelante sus reclamaciones en el marco de dicha Ley, así como otras reclamaciones de conformidad con el derecho constitucional y el derecho internacional humanitario</w:t>
      </w:r>
      <w:r w:rsidR="00F23169" w:rsidRPr="00DB5BAC">
        <w:rPr>
          <w:color w:val="auto"/>
          <w:sz w:val="20"/>
        </w:rPr>
        <w:t xml:space="preserve">, </w:t>
      </w:r>
      <w:r w:rsidR="00621ADE" w:rsidRPr="00DB5BAC">
        <w:rPr>
          <w:color w:val="auto"/>
          <w:sz w:val="20"/>
        </w:rPr>
        <w:t>ante</w:t>
      </w:r>
      <w:r w:rsidR="00F23169" w:rsidRPr="00DB5BAC">
        <w:rPr>
          <w:color w:val="auto"/>
          <w:sz w:val="20"/>
        </w:rPr>
        <w:t xml:space="preserve"> tribunales federales</w:t>
      </w:r>
      <w:r w:rsidR="00D62AF9" w:rsidRPr="00DB5BAC">
        <w:rPr>
          <w:color w:val="auto"/>
          <w:sz w:val="20"/>
        </w:rPr>
        <w:t xml:space="preserve">. </w:t>
      </w:r>
      <w:r w:rsidR="00F23169" w:rsidRPr="00DB5BAC">
        <w:rPr>
          <w:color w:val="auto"/>
          <w:sz w:val="20"/>
        </w:rPr>
        <w:t>Afirm</w:t>
      </w:r>
      <w:r>
        <w:rPr>
          <w:color w:val="auto"/>
          <w:sz w:val="20"/>
        </w:rPr>
        <w:t>ó</w:t>
      </w:r>
      <w:r w:rsidR="00F23169" w:rsidRPr="00DB5BAC">
        <w:rPr>
          <w:color w:val="auto"/>
          <w:sz w:val="20"/>
        </w:rPr>
        <w:t xml:space="preserve"> que el </w:t>
      </w:r>
      <w:r w:rsidR="00344DD8" w:rsidRPr="00DB5BAC">
        <w:rPr>
          <w:color w:val="auto"/>
          <w:sz w:val="20"/>
        </w:rPr>
        <w:t>Tribunal de Reclamaciones Federales</w:t>
      </w:r>
      <w:r w:rsidR="00D62AF9" w:rsidRPr="00DB5BAC">
        <w:rPr>
          <w:color w:val="auto"/>
          <w:sz w:val="20"/>
        </w:rPr>
        <w:t xml:space="preserve"> </w:t>
      </w:r>
      <w:r w:rsidR="00F23169" w:rsidRPr="00DB5BAC">
        <w:rPr>
          <w:color w:val="auto"/>
          <w:sz w:val="20"/>
        </w:rPr>
        <w:t>desestimó esas reclamaciones e</w:t>
      </w:r>
      <w:r w:rsidR="00D62AF9" w:rsidRPr="00DB5BAC">
        <w:rPr>
          <w:color w:val="auto"/>
          <w:sz w:val="20"/>
        </w:rPr>
        <w:t>n 2003.</w:t>
      </w:r>
    </w:p>
    <w:p w14:paraId="6988486E" w14:textId="77777777" w:rsidR="000326B5" w:rsidRPr="00DB5BAC" w:rsidRDefault="000326B5" w:rsidP="000326B5">
      <w:pPr>
        <w:pStyle w:val="ListParagraph"/>
        <w:rPr>
          <w:color w:val="auto"/>
          <w:sz w:val="20"/>
          <w:lang w:val="es-ES"/>
        </w:rPr>
      </w:pPr>
    </w:p>
    <w:p w14:paraId="2C4FA690" w14:textId="77777777" w:rsidR="000326B5" w:rsidRPr="00DB5BAC" w:rsidRDefault="00C07A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En ese sentido</w:t>
      </w:r>
      <w:r w:rsidR="00432289" w:rsidRPr="00DB5BAC">
        <w:rPr>
          <w:color w:val="auto"/>
          <w:sz w:val="20"/>
        </w:rPr>
        <w:t xml:space="preserve">, </w:t>
      </w:r>
      <w:r w:rsidR="001603F2">
        <w:rPr>
          <w:rFonts w:asciiTheme="majorHAnsi" w:hAnsiTheme="majorHAnsi"/>
          <w:color w:val="000000" w:themeColor="text1"/>
          <w:sz w:val="20"/>
        </w:rPr>
        <w:t>alegó</w:t>
      </w:r>
      <w:r w:rsidR="001603F2" w:rsidRPr="00DB5BAC">
        <w:rPr>
          <w:rFonts w:asciiTheme="majorHAnsi" w:hAnsiTheme="majorHAnsi"/>
          <w:color w:val="000000" w:themeColor="text1"/>
          <w:sz w:val="20"/>
        </w:rPr>
        <w:t xml:space="preserve"> </w:t>
      </w:r>
      <w:r w:rsidRPr="00DB5BAC">
        <w:rPr>
          <w:color w:val="auto"/>
          <w:sz w:val="20"/>
        </w:rPr>
        <w:t>violaciones</w:t>
      </w:r>
      <w:r w:rsidR="00432289" w:rsidRPr="00DB5BAC">
        <w:rPr>
          <w:color w:val="auto"/>
          <w:sz w:val="20"/>
        </w:rPr>
        <w:t xml:space="preserve"> </w:t>
      </w:r>
      <w:r w:rsidRPr="00DB5BAC">
        <w:rPr>
          <w:color w:val="auto"/>
          <w:sz w:val="20"/>
        </w:rPr>
        <w:t>de su derecho a la</w:t>
      </w:r>
      <w:r w:rsidR="00432289" w:rsidRPr="00DB5BAC">
        <w:rPr>
          <w:color w:val="auto"/>
          <w:sz w:val="20"/>
        </w:rPr>
        <w:t xml:space="preserve"> </w:t>
      </w:r>
      <w:r w:rsidR="00333A05" w:rsidRPr="00DB5BAC">
        <w:rPr>
          <w:b/>
          <w:color w:val="auto"/>
          <w:sz w:val="20"/>
        </w:rPr>
        <w:t>igualdad ante la ley</w:t>
      </w:r>
      <w:r w:rsidR="00432289" w:rsidRPr="00DB5BAC">
        <w:rPr>
          <w:color w:val="auto"/>
          <w:sz w:val="20"/>
        </w:rPr>
        <w:t xml:space="preserve"> </w:t>
      </w:r>
      <w:r w:rsidRPr="00DB5BAC">
        <w:rPr>
          <w:color w:val="auto"/>
          <w:sz w:val="20"/>
        </w:rPr>
        <w:t xml:space="preserve">porque se les impidió que recibieran reparaciones de conformidad con </w:t>
      </w:r>
      <w:r w:rsidR="00725FFD" w:rsidRPr="00DB5BAC">
        <w:rPr>
          <w:color w:val="auto"/>
          <w:sz w:val="20"/>
        </w:rPr>
        <w:t xml:space="preserve">la </w:t>
      </w:r>
      <w:r w:rsidR="00CA2EFA" w:rsidRPr="00DB5BAC">
        <w:rPr>
          <w:color w:val="auto"/>
          <w:sz w:val="20"/>
        </w:rPr>
        <w:t>Ley de Libertades Civiles</w:t>
      </w:r>
      <w:r w:rsidR="00432289" w:rsidRPr="00DB5BAC">
        <w:rPr>
          <w:color w:val="auto"/>
          <w:sz w:val="20"/>
        </w:rPr>
        <w:t xml:space="preserve"> d</w:t>
      </w:r>
      <w:r w:rsidRPr="00DB5BAC">
        <w:rPr>
          <w:color w:val="auto"/>
          <w:sz w:val="20"/>
        </w:rPr>
        <w:t xml:space="preserve">ebido a su etnicidad, a su </w:t>
      </w:r>
      <w:r w:rsidR="000918B8" w:rsidRPr="00DB5BAC">
        <w:rPr>
          <w:color w:val="auto"/>
          <w:sz w:val="20"/>
        </w:rPr>
        <w:t>na</w:t>
      </w:r>
      <w:r w:rsidRPr="00DB5BAC">
        <w:rPr>
          <w:color w:val="auto"/>
          <w:sz w:val="20"/>
        </w:rPr>
        <w:t>c</w:t>
      </w:r>
      <w:r w:rsidR="000918B8" w:rsidRPr="00DB5BAC">
        <w:rPr>
          <w:color w:val="auto"/>
          <w:sz w:val="20"/>
        </w:rPr>
        <w:t>ionali</w:t>
      </w:r>
      <w:r w:rsidRPr="00DB5BAC">
        <w:rPr>
          <w:color w:val="auto"/>
          <w:sz w:val="20"/>
        </w:rPr>
        <w:t>dad y</w:t>
      </w:r>
      <w:r w:rsidR="000918B8" w:rsidRPr="00DB5BAC">
        <w:rPr>
          <w:color w:val="auto"/>
          <w:sz w:val="20"/>
        </w:rPr>
        <w:t xml:space="preserve"> </w:t>
      </w:r>
      <w:r w:rsidRPr="00DB5BAC">
        <w:rPr>
          <w:color w:val="auto"/>
          <w:sz w:val="20"/>
        </w:rPr>
        <w:t>a la condició</w:t>
      </w:r>
      <w:r w:rsidR="00BB0303" w:rsidRPr="00DB5BAC">
        <w:rPr>
          <w:color w:val="auto"/>
          <w:sz w:val="20"/>
        </w:rPr>
        <w:t>n migratoria</w:t>
      </w:r>
      <w:r w:rsidR="00432289" w:rsidRPr="00DB5BAC">
        <w:rPr>
          <w:color w:val="auto"/>
          <w:sz w:val="20"/>
        </w:rPr>
        <w:t xml:space="preserve"> </w:t>
      </w:r>
      <w:r w:rsidRPr="00DB5BAC">
        <w:rPr>
          <w:color w:val="auto"/>
          <w:sz w:val="20"/>
        </w:rPr>
        <w:t xml:space="preserve">que tenían en el momento de su </w:t>
      </w:r>
      <w:r w:rsidR="00333A05" w:rsidRPr="00DB5BAC">
        <w:rPr>
          <w:color w:val="auto"/>
          <w:sz w:val="20"/>
        </w:rPr>
        <w:t>internamiento</w:t>
      </w:r>
      <w:r w:rsidR="00432289" w:rsidRPr="00DB5BAC">
        <w:rPr>
          <w:color w:val="auto"/>
          <w:sz w:val="20"/>
        </w:rPr>
        <w:t xml:space="preserve">, </w:t>
      </w:r>
      <w:r w:rsidRPr="00DB5BAC">
        <w:rPr>
          <w:color w:val="auto"/>
          <w:sz w:val="20"/>
        </w:rPr>
        <w:t>a pesar de que se encontraban en las mismas circunstancias que otras personas de ascendencia japonesa</w:t>
      </w:r>
      <w:r w:rsidR="00432289" w:rsidRPr="00DB5BAC">
        <w:rPr>
          <w:color w:val="auto"/>
          <w:sz w:val="20"/>
        </w:rPr>
        <w:t xml:space="preserve"> </w:t>
      </w:r>
      <w:r w:rsidRPr="00DB5BAC">
        <w:rPr>
          <w:color w:val="auto"/>
          <w:sz w:val="20"/>
        </w:rPr>
        <w:t>que tenían derecho a recibir reparaciones. Con respecto a su derecho a un</w:t>
      </w:r>
      <w:r w:rsidR="000918B8" w:rsidRPr="00DB5BAC">
        <w:rPr>
          <w:color w:val="auto"/>
          <w:sz w:val="20"/>
        </w:rPr>
        <w:t xml:space="preserve"> </w:t>
      </w:r>
      <w:r w:rsidR="00333A05" w:rsidRPr="00DB5BAC">
        <w:rPr>
          <w:b/>
          <w:color w:val="auto"/>
          <w:sz w:val="20"/>
        </w:rPr>
        <w:t>recurso efectivo</w:t>
      </w:r>
      <w:r w:rsidR="000918B8" w:rsidRPr="00DB5BAC">
        <w:rPr>
          <w:color w:val="auto"/>
          <w:sz w:val="20"/>
        </w:rPr>
        <w:t xml:space="preserve">, </w:t>
      </w:r>
      <w:r w:rsidRPr="00DB5BAC">
        <w:rPr>
          <w:color w:val="auto"/>
          <w:sz w:val="20"/>
        </w:rPr>
        <w:t>argument</w:t>
      </w:r>
      <w:r w:rsidR="001603F2">
        <w:rPr>
          <w:color w:val="auto"/>
          <w:sz w:val="20"/>
        </w:rPr>
        <w:t>ó</w:t>
      </w:r>
      <w:r w:rsidRPr="00DB5BAC">
        <w:rPr>
          <w:color w:val="auto"/>
          <w:sz w:val="20"/>
        </w:rPr>
        <w:t xml:space="preserve"> que los procedimientos para recibir reparación por las viol</w:t>
      </w:r>
      <w:r w:rsidR="000918B8" w:rsidRPr="00DB5BAC">
        <w:rPr>
          <w:color w:val="auto"/>
          <w:sz w:val="20"/>
        </w:rPr>
        <w:t>a</w:t>
      </w:r>
      <w:r w:rsidR="00C10DE1" w:rsidRPr="00DB5BAC">
        <w:rPr>
          <w:color w:val="auto"/>
          <w:sz w:val="20"/>
        </w:rPr>
        <w:t>c</w:t>
      </w:r>
      <w:r w:rsidR="000918B8" w:rsidRPr="00DB5BAC">
        <w:rPr>
          <w:color w:val="auto"/>
          <w:sz w:val="20"/>
        </w:rPr>
        <w:t>ion</w:t>
      </w:r>
      <w:r w:rsidR="00C10DE1" w:rsidRPr="00DB5BAC">
        <w:rPr>
          <w:color w:val="auto"/>
          <w:sz w:val="20"/>
        </w:rPr>
        <w:t>e</w:t>
      </w:r>
      <w:r w:rsidR="000918B8" w:rsidRPr="00DB5BAC">
        <w:rPr>
          <w:color w:val="auto"/>
          <w:sz w:val="20"/>
        </w:rPr>
        <w:t>s al</w:t>
      </w:r>
      <w:r w:rsidR="00C10DE1" w:rsidRPr="00DB5BAC">
        <w:rPr>
          <w:color w:val="auto"/>
          <w:sz w:val="20"/>
        </w:rPr>
        <w:t xml:space="preserve">egadas no son ni sencillos ni breves y que el litigio de sus reclamaciones ha tenido un costo prohibitivo. En ese sentido, </w:t>
      </w:r>
      <w:r w:rsidR="001603F2">
        <w:rPr>
          <w:rFonts w:asciiTheme="majorHAnsi" w:hAnsiTheme="majorHAnsi"/>
          <w:color w:val="000000" w:themeColor="text1"/>
          <w:sz w:val="20"/>
        </w:rPr>
        <w:t>alegó</w:t>
      </w:r>
      <w:r w:rsidR="001603F2" w:rsidRPr="00DB5BAC">
        <w:rPr>
          <w:rFonts w:asciiTheme="majorHAnsi" w:hAnsiTheme="majorHAnsi"/>
          <w:color w:val="000000" w:themeColor="text1"/>
          <w:sz w:val="20"/>
        </w:rPr>
        <w:t xml:space="preserve"> </w:t>
      </w:r>
      <w:r w:rsidR="00C10DE1" w:rsidRPr="00DB5BAC">
        <w:rPr>
          <w:color w:val="auto"/>
          <w:sz w:val="20"/>
        </w:rPr>
        <w:t xml:space="preserve">que, debido a la suma relativamente pequeña ofrecida en el marco de la </w:t>
      </w:r>
      <w:r w:rsidR="00CA2EFA" w:rsidRPr="00DB5BAC">
        <w:rPr>
          <w:color w:val="auto"/>
          <w:sz w:val="20"/>
        </w:rPr>
        <w:t>Ley de Libertades Civiles</w:t>
      </w:r>
      <w:r w:rsidR="00C10DE1" w:rsidRPr="00DB5BAC">
        <w:rPr>
          <w:color w:val="auto"/>
          <w:sz w:val="20"/>
        </w:rPr>
        <w:t xml:space="preserve">, </w:t>
      </w:r>
      <w:r w:rsidR="001603F2">
        <w:rPr>
          <w:color w:val="auto"/>
          <w:sz w:val="20"/>
        </w:rPr>
        <w:t>las presuntas víctimas</w:t>
      </w:r>
      <w:r w:rsidR="00C10DE1" w:rsidRPr="00DB5BAC">
        <w:rPr>
          <w:color w:val="auto"/>
          <w:sz w:val="20"/>
        </w:rPr>
        <w:t xml:space="preserve"> tardaron cuatro años en encontrar un abogado que estuviera dispuesto a litigar ad honorem los casos de </w:t>
      </w:r>
      <w:r w:rsidR="00BB0303" w:rsidRPr="00DB5BAC">
        <w:rPr>
          <w:color w:val="auto"/>
          <w:sz w:val="20"/>
        </w:rPr>
        <w:t>japoneses latinoamericanos</w:t>
      </w:r>
      <w:r w:rsidR="000918B8" w:rsidRPr="00DB5BAC">
        <w:rPr>
          <w:color w:val="auto"/>
          <w:sz w:val="20"/>
        </w:rPr>
        <w:t xml:space="preserve"> </w:t>
      </w:r>
      <w:r w:rsidR="00C10DE1" w:rsidRPr="00DB5BAC">
        <w:rPr>
          <w:color w:val="auto"/>
          <w:sz w:val="20"/>
        </w:rPr>
        <w:t xml:space="preserve">a quienes se había denegado reparación de acuerdo con </w:t>
      </w:r>
      <w:r w:rsidR="00725FFD" w:rsidRPr="00DB5BAC">
        <w:rPr>
          <w:color w:val="auto"/>
          <w:sz w:val="20"/>
        </w:rPr>
        <w:t xml:space="preserve">la </w:t>
      </w:r>
      <w:r w:rsidR="00CA2EFA" w:rsidRPr="00DB5BAC">
        <w:rPr>
          <w:color w:val="auto"/>
          <w:sz w:val="20"/>
        </w:rPr>
        <w:t>Ley de Libertades Civiles</w:t>
      </w:r>
      <w:r w:rsidR="000918B8" w:rsidRPr="00DB5BAC">
        <w:rPr>
          <w:color w:val="auto"/>
          <w:sz w:val="20"/>
        </w:rPr>
        <w:t xml:space="preserve">; </w:t>
      </w:r>
      <w:r w:rsidR="00C10DE1" w:rsidRPr="00DB5BAC">
        <w:rPr>
          <w:color w:val="auto"/>
          <w:sz w:val="20"/>
        </w:rPr>
        <w:t xml:space="preserve">que el arreglo </w:t>
      </w:r>
      <w:r w:rsidR="00C10DE1" w:rsidRPr="001603F2">
        <w:rPr>
          <w:i/>
          <w:color w:val="auto"/>
          <w:sz w:val="20"/>
        </w:rPr>
        <w:t>Mochizuki</w:t>
      </w:r>
      <w:r w:rsidR="000918B8" w:rsidRPr="00DB5BAC">
        <w:rPr>
          <w:color w:val="auto"/>
          <w:sz w:val="20"/>
        </w:rPr>
        <w:t xml:space="preserve"> </w:t>
      </w:r>
      <w:r w:rsidR="001603F2">
        <w:rPr>
          <w:color w:val="auto"/>
          <w:sz w:val="20"/>
        </w:rPr>
        <w:t>“</w:t>
      </w:r>
      <w:r w:rsidR="00C10DE1" w:rsidRPr="00DB5BAC">
        <w:rPr>
          <w:color w:val="auto"/>
          <w:sz w:val="20"/>
        </w:rPr>
        <w:t>agudizaba la sensación de los p</w:t>
      </w:r>
      <w:r w:rsidR="000648EF" w:rsidRPr="00DB5BAC">
        <w:rPr>
          <w:color w:val="auto"/>
          <w:sz w:val="20"/>
        </w:rPr>
        <w:t>eticionarios</w:t>
      </w:r>
      <w:r w:rsidR="00C10DE1" w:rsidRPr="00DB5BAC">
        <w:rPr>
          <w:color w:val="auto"/>
          <w:sz w:val="20"/>
        </w:rPr>
        <w:t xml:space="preserve"> de que </w:t>
      </w:r>
      <w:r w:rsidR="001603F2">
        <w:rPr>
          <w:color w:val="auto"/>
          <w:sz w:val="20"/>
        </w:rPr>
        <w:t>[</w:t>
      </w:r>
      <w:r w:rsidR="00C10DE1" w:rsidRPr="00DB5BAC">
        <w:rPr>
          <w:color w:val="auto"/>
          <w:sz w:val="20"/>
        </w:rPr>
        <w:t xml:space="preserve">el </w:t>
      </w:r>
      <w:r w:rsidR="000648EF" w:rsidRPr="00DB5BAC">
        <w:rPr>
          <w:color w:val="auto"/>
          <w:sz w:val="20"/>
        </w:rPr>
        <w:t>Estado</w:t>
      </w:r>
      <w:r w:rsidR="001603F2">
        <w:rPr>
          <w:color w:val="auto"/>
          <w:sz w:val="20"/>
        </w:rPr>
        <w:t>]</w:t>
      </w:r>
      <w:r w:rsidR="00C10DE1" w:rsidRPr="00DB5BAC">
        <w:rPr>
          <w:color w:val="auto"/>
          <w:sz w:val="20"/>
        </w:rPr>
        <w:t xml:space="preserve"> los estaba humillando y deshonrando</w:t>
      </w:r>
      <w:r w:rsidR="001603F2">
        <w:rPr>
          <w:color w:val="auto"/>
          <w:sz w:val="20"/>
        </w:rPr>
        <w:t>”</w:t>
      </w:r>
      <w:r w:rsidR="000918B8" w:rsidRPr="00DB5BAC">
        <w:rPr>
          <w:color w:val="auto"/>
          <w:sz w:val="20"/>
        </w:rPr>
        <w:t xml:space="preserve">; </w:t>
      </w:r>
      <w:r w:rsidR="00C10DE1" w:rsidRPr="00DB5BAC">
        <w:rPr>
          <w:color w:val="auto"/>
          <w:sz w:val="20"/>
        </w:rPr>
        <w:t xml:space="preserve">que el arreglo </w:t>
      </w:r>
      <w:r w:rsidR="00C10DE1" w:rsidRPr="001603F2">
        <w:rPr>
          <w:i/>
          <w:color w:val="auto"/>
          <w:sz w:val="20"/>
        </w:rPr>
        <w:t>Mochizuki</w:t>
      </w:r>
      <w:r w:rsidR="000918B8" w:rsidRPr="00DB5BAC">
        <w:rPr>
          <w:color w:val="auto"/>
          <w:sz w:val="20"/>
        </w:rPr>
        <w:t xml:space="preserve"> prohib</w:t>
      </w:r>
      <w:r w:rsidR="00C10DE1" w:rsidRPr="00DB5BAC">
        <w:rPr>
          <w:color w:val="auto"/>
          <w:sz w:val="20"/>
        </w:rPr>
        <w:t>ía el pago de honorarios de abogados, lo cual menoscabó la capacidad de</w:t>
      </w:r>
      <w:r w:rsidR="000918B8" w:rsidRPr="00DB5BAC">
        <w:rPr>
          <w:color w:val="auto"/>
          <w:sz w:val="20"/>
        </w:rPr>
        <w:t xml:space="preserve"> </w:t>
      </w:r>
      <w:r w:rsidR="005B1600" w:rsidRPr="00DB5BAC">
        <w:rPr>
          <w:color w:val="auto"/>
          <w:sz w:val="20"/>
        </w:rPr>
        <w:t>los Shibayama</w:t>
      </w:r>
      <w:r w:rsidR="00C10DE1" w:rsidRPr="00DB5BAC">
        <w:rPr>
          <w:color w:val="auto"/>
          <w:sz w:val="20"/>
        </w:rPr>
        <w:t xml:space="preserve"> para seguir litigando sus reclamaciones con posterioridad al arreglo</w:t>
      </w:r>
      <w:r w:rsidR="00F37BE2">
        <w:rPr>
          <w:color w:val="auto"/>
          <w:sz w:val="20"/>
        </w:rPr>
        <w:t>;</w:t>
      </w:r>
      <w:r w:rsidR="00C10DE1" w:rsidRPr="00DB5BAC">
        <w:rPr>
          <w:color w:val="auto"/>
          <w:sz w:val="20"/>
        </w:rPr>
        <w:t xml:space="preserve"> y que </w:t>
      </w:r>
      <w:r w:rsidR="00A433AC" w:rsidRPr="00DB5BAC">
        <w:rPr>
          <w:color w:val="auto"/>
          <w:sz w:val="20"/>
        </w:rPr>
        <w:t>el traslado de jurisdicción</w:t>
      </w:r>
      <w:r w:rsidR="00EB27A2" w:rsidRPr="00DB5BAC">
        <w:rPr>
          <w:color w:val="auto"/>
          <w:sz w:val="20"/>
        </w:rPr>
        <w:t xml:space="preserve"> </w:t>
      </w:r>
      <w:r w:rsidR="00A433AC" w:rsidRPr="00DB5BAC">
        <w:rPr>
          <w:color w:val="auto"/>
          <w:sz w:val="20"/>
        </w:rPr>
        <w:t xml:space="preserve">de su caso del tribunal de distrito de </w:t>
      </w:r>
      <w:r w:rsidR="00EB27A2" w:rsidRPr="00DB5BAC">
        <w:rPr>
          <w:color w:val="auto"/>
          <w:sz w:val="20"/>
        </w:rPr>
        <w:t xml:space="preserve">California </w:t>
      </w:r>
      <w:r w:rsidR="00A433AC" w:rsidRPr="00DB5BAC">
        <w:rPr>
          <w:color w:val="auto"/>
          <w:sz w:val="20"/>
        </w:rPr>
        <w:t xml:space="preserve">al </w:t>
      </w:r>
      <w:r w:rsidR="00344DD8" w:rsidRPr="00DB5BAC">
        <w:rPr>
          <w:color w:val="auto"/>
          <w:sz w:val="20"/>
        </w:rPr>
        <w:t>Tribunal de Reclamaciones Federales</w:t>
      </w:r>
      <w:r w:rsidR="00EB27A2" w:rsidRPr="00DB5BAC">
        <w:rPr>
          <w:color w:val="000000" w:themeColor="text1"/>
          <w:sz w:val="20"/>
        </w:rPr>
        <w:t xml:space="preserve"> </w:t>
      </w:r>
      <w:r w:rsidR="00A433AC" w:rsidRPr="00DB5BAC">
        <w:rPr>
          <w:color w:val="000000" w:themeColor="text1"/>
          <w:sz w:val="20"/>
        </w:rPr>
        <w:t>e</w:t>
      </w:r>
      <w:r w:rsidR="00EB27A2" w:rsidRPr="00DB5BAC">
        <w:rPr>
          <w:color w:val="000000" w:themeColor="text1"/>
          <w:sz w:val="20"/>
        </w:rPr>
        <w:t>n Washington, D</w:t>
      </w:r>
      <w:r w:rsidR="00A433AC" w:rsidRPr="00DB5BAC">
        <w:rPr>
          <w:color w:val="000000" w:themeColor="text1"/>
          <w:sz w:val="20"/>
        </w:rPr>
        <w:t>.</w:t>
      </w:r>
      <w:r w:rsidR="00EB27A2" w:rsidRPr="00DB5BAC">
        <w:rPr>
          <w:color w:val="000000" w:themeColor="text1"/>
          <w:sz w:val="20"/>
        </w:rPr>
        <w:t>C</w:t>
      </w:r>
      <w:r w:rsidR="00A433AC" w:rsidRPr="00DB5BAC">
        <w:rPr>
          <w:color w:val="000000" w:themeColor="text1"/>
          <w:sz w:val="20"/>
        </w:rPr>
        <w:t>.</w:t>
      </w:r>
      <w:r w:rsidR="00EB27A2" w:rsidRPr="00DB5BAC">
        <w:rPr>
          <w:color w:val="000000" w:themeColor="text1"/>
          <w:sz w:val="20"/>
        </w:rPr>
        <w:t xml:space="preserve">, </w:t>
      </w:r>
      <w:r w:rsidR="00A433AC" w:rsidRPr="00DB5BAC">
        <w:rPr>
          <w:color w:val="000000" w:themeColor="text1"/>
          <w:sz w:val="20"/>
        </w:rPr>
        <w:t>generó costos de litig</w:t>
      </w:r>
      <w:r w:rsidR="001603F2">
        <w:rPr>
          <w:color w:val="000000" w:themeColor="text1"/>
          <w:sz w:val="20"/>
        </w:rPr>
        <w:t>io</w:t>
      </w:r>
      <w:r w:rsidR="00A433AC" w:rsidRPr="00DB5BAC">
        <w:rPr>
          <w:color w:val="000000" w:themeColor="text1"/>
          <w:sz w:val="20"/>
        </w:rPr>
        <w:t xml:space="preserve"> mayores. En la audiencia sobre el fondo, </w:t>
      </w:r>
      <w:r w:rsidR="001603F2">
        <w:rPr>
          <w:color w:val="000000" w:themeColor="text1"/>
          <w:sz w:val="20"/>
        </w:rPr>
        <w:t>refirió</w:t>
      </w:r>
      <w:r w:rsidR="00BA0C3A" w:rsidRPr="00DB5BAC">
        <w:rPr>
          <w:color w:val="000000" w:themeColor="text1"/>
          <w:sz w:val="20"/>
        </w:rPr>
        <w:t xml:space="preserve"> también a la falta de información plena y completa sobre el destino de los miembros de la familia y a la falta de acceso a expedientes oficiales sobre la deportación de </w:t>
      </w:r>
      <w:r w:rsidR="00A433AC" w:rsidRPr="00DB5BAC">
        <w:rPr>
          <w:color w:val="000000" w:themeColor="text1"/>
          <w:sz w:val="20"/>
        </w:rPr>
        <w:t>peruanos japoneses</w:t>
      </w:r>
      <w:r w:rsidR="00BD45C8" w:rsidRPr="00DB5BAC">
        <w:rPr>
          <w:color w:val="000000" w:themeColor="text1"/>
          <w:sz w:val="20"/>
        </w:rPr>
        <w:t xml:space="preserve"> </w:t>
      </w:r>
      <w:r w:rsidR="00BA0C3A" w:rsidRPr="00DB5BAC">
        <w:rPr>
          <w:color w:val="000000" w:themeColor="text1"/>
          <w:sz w:val="20"/>
        </w:rPr>
        <w:t xml:space="preserve">a </w:t>
      </w:r>
      <w:r w:rsidR="000648EF" w:rsidRPr="00DB5BAC">
        <w:rPr>
          <w:color w:val="000000" w:themeColor="text1"/>
          <w:sz w:val="20"/>
        </w:rPr>
        <w:t>Estados Unidos</w:t>
      </w:r>
      <w:r w:rsidR="00BD45C8" w:rsidRPr="00DB5BAC">
        <w:rPr>
          <w:color w:val="000000" w:themeColor="text1"/>
          <w:sz w:val="20"/>
        </w:rPr>
        <w:t xml:space="preserve">, </w:t>
      </w:r>
      <w:r w:rsidR="00BA0C3A" w:rsidRPr="00DB5BAC">
        <w:rPr>
          <w:color w:val="000000" w:themeColor="text1"/>
          <w:sz w:val="20"/>
        </w:rPr>
        <w:t>razón por la cual aleg</w:t>
      </w:r>
      <w:r w:rsidR="001603F2">
        <w:rPr>
          <w:color w:val="000000" w:themeColor="text1"/>
          <w:sz w:val="20"/>
        </w:rPr>
        <w:t>ó</w:t>
      </w:r>
      <w:r w:rsidR="00BA0C3A" w:rsidRPr="00DB5BAC">
        <w:rPr>
          <w:color w:val="000000" w:themeColor="text1"/>
          <w:sz w:val="20"/>
        </w:rPr>
        <w:t xml:space="preserve"> violaciones del </w:t>
      </w:r>
      <w:r w:rsidR="00BA0C3A" w:rsidRPr="00DB5BAC">
        <w:rPr>
          <w:b/>
          <w:color w:val="000000" w:themeColor="text1"/>
          <w:sz w:val="20"/>
        </w:rPr>
        <w:t>derecho a la verdad</w:t>
      </w:r>
      <w:r w:rsidR="00FC22DD" w:rsidRPr="00DB5BAC">
        <w:rPr>
          <w:color w:val="000000" w:themeColor="text1"/>
          <w:sz w:val="20"/>
        </w:rPr>
        <w:t>.</w:t>
      </w:r>
      <w:r w:rsidR="007C27A7" w:rsidRPr="00DB5BAC">
        <w:rPr>
          <w:color w:val="000000" w:themeColor="text1"/>
          <w:sz w:val="20"/>
        </w:rPr>
        <w:t xml:space="preserve"> No</w:t>
      </w:r>
      <w:r w:rsidR="00C448F0" w:rsidRPr="00DB5BAC">
        <w:rPr>
          <w:color w:val="000000" w:themeColor="text1"/>
          <w:sz w:val="20"/>
        </w:rPr>
        <w:t xml:space="preserve"> obstante, no indic</w:t>
      </w:r>
      <w:r w:rsidR="001603F2">
        <w:rPr>
          <w:color w:val="000000" w:themeColor="text1"/>
          <w:sz w:val="20"/>
        </w:rPr>
        <w:t>ó</w:t>
      </w:r>
      <w:r w:rsidR="00C448F0" w:rsidRPr="00DB5BAC">
        <w:rPr>
          <w:color w:val="000000" w:themeColor="text1"/>
          <w:sz w:val="20"/>
        </w:rPr>
        <w:t xml:space="preserve"> que hubiese recurrido a la vía judicial o a otra vía para obtener acceso a información que poseía el gobierno</w:t>
      </w:r>
      <w:r w:rsidR="007C27A7" w:rsidRPr="00DB5BAC">
        <w:rPr>
          <w:color w:val="000000" w:themeColor="text1"/>
          <w:sz w:val="20"/>
        </w:rPr>
        <w:t>.</w:t>
      </w:r>
    </w:p>
    <w:p w14:paraId="06B5ACCC" w14:textId="77777777" w:rsidR="00166189" w:rsidRPr="00DB5BAC" w:rsidRDefault="00166189" w:rsidP="001661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auto"/>
          <w:sz w:val="20"/>
        </w:rPr>
      </w:pPr>
    </w:p>
    <w:p w14:paraId="02B2B05B" w14:textId="77777777" w:rsidR="00361415" w:rsidRPr="00DB5BAC" w:rsidRDefault="001603F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Pr>
          <w:color w:val="auto"/>
          <w:sz w:val="20"/>
        </w:rPr>
        <w:lastRenderedPageBreak/>
        <w:t>Solicitó</w:t>
      </w:r>
      <w:r w:rsidR="001E3636" w:rsidRPr="00DB5BAC">
        <w:rPr>
          <w:color w:val="auto"/>
          <w:sz w:val="20"/>
        </w:rPr>
        <w:t xml:space="preserve"> </w:t>
      </w:r>
      <w:r w:rsidR="00F37BE2">
        <w:rPr>
          <w:color w:val="auto"/>
          <w:sz w:val="20"/>
        </w:rPr>
        <w:t>varias reparaciones</w:t>
      </w:r>
      <w:r w:rsidR="001E3636" w:rsidRPr="00DB5BAC">
        <w:rPr>
          <w:color w:val="auto"/>
          <w:sz w:val="20"/>
        </w:rPr>
        <w:t xml:space="preserve">, entre ellos el cese de las violaciones continuas, una disculpa </w:t>
      </w:r>
      <w:r w:rsidR="00621ADE" w:rsidRPr="00DB5BAC">
        <w:rPr>
          <w:color w:val="auto"/>
          <w:sz w:val="20"/>
        </w:rPr>
        <w:t>plena</w:t>
      </w:r>
      <w:r w:rsidR="001E3636" w:rsidRPr="00DB5BAC">
        <w:rPr>
          <w:color w:val="auto"/>
          <w:sz w:val="20"/>
        </w:rPr>
        <w:t xml:space="preserve"> —incluido el reconocimiento público de los hechos y la aceptación de responsabilidad—, la conmemoración de las víctimas y un homenaje para ellas, la inclusión de un relato exacto de las violaciones en materiales educativos y programas de estudios, la eliminación del calificativo </w:t>
      </w:r>
      <w:r w:rsidR="00624611" w:rsidRPr="00DB5BAC">
        <w:rPr>
          <w:color w:val="auto"/>
          <w:sz w:val="20"/>
        </w:rPr>
        <w:t>“</w:t>
      </w:r>
      <w:r w:rsidR="001E3636" w:rsidRPr="00DB5BAC">
        <w:rPr>
          <w:color w:val="auto"/>
          <w:sz w:val="20"/>
        </w:rPr>
        <w:t>extranjero indocumentado</w:t>
      </w:r>
      <w:r w:rsidR="00624611" w:rsidRPr="00DB5BAC">
        <w:rPr>
          <w:color w:val="auto"/>
          <w:sz w:val="20"/>
        </w:rPr>
        <w:t>”</w:t>
      </w:r>
      <w:r>
        <w:rPr>
          <w:color w:val="auto"/>
          <w:sz w:val="20"/>
        </w:rPr>
        <w:t xml:space="preserve"> (</w:t>
      </w:r>
      <w:r>
        <w:rPr>
          <w:i/>
          <w:color w:val="auto"/>
          <w:sz w:val="20"/>
        </w:rPr>
        <w:t>il</w:t>
      </w:r>
      <w:r w:rsidR="00815935">
        <w:rPr>
          <w:i/>
          <w:color w:val="auto"/>
          <w:sz w:val="20"/>
        </w:rPr>
        <w:t>l</w:t>
      </w:r>
      <w:r>
        <w:rPr>
          <w:i/>
          <w:color w:val="auto"/>
          <w:sz w:val="20"/>
        </w:rPr>
        <w:t>egal alien</w:t>
      </w:r>
      <w:r>
        <w:rPr>
          <w:color w:val="auto"/>
          <w:sz w:val="20"/>
        </w:rPr>
        <w:t>)</w:t>
      </w:r>
      <w:r w:rsidR="00624611" w:rsidRPr="00DB5BAC">
        <w:rPr>
          <w:color w:val="auto"/>
          <w:sz w:val="20"/>
        </w:rPr>
        <w:t xml:space="preserve"> </w:t>
      </w:r>
      <w:r w:rsidR="001E3636" w:rsidRPr="00DB5BAC">
        <w:rPr>
          <w:color w:val="auto"/>
          <w:sz w:val="20"/>
        </w:rPr>
        <w:t>de los expedientes oficiales de los p</w:t>
      </w:r>
      <w:r w:rsidR="000648EF" w:rsidRPr="00DB5BAC">
        <w:rPr>
          <w:color w:val="auto"/>
          <w:sz w:val="20"/>
        </w:rPr>
        <w:t>eticionarios</w:t>
      </w:r>
      <w:r w:rsidR="001E3636" w:rsidRPr="00DB5BAC">
        <w:rPr>
          <w:color w:val="auto"/>
          <w:sz w:val="20"/>
        </w:rPr>
        <w:t xml:space="preserve"> y la divulgación de la información sobre el secuestro y el </w:t>
      </w:r>
      <w:r w:rsidR="00333A05" w:rsidRPr="00DB5BAC">
        <w:rPr>
          <w:color w:val="auto"/>
          <w:sz w:val="20"/>
        </w:rPr>
        <w:t>internamiento</w:t>
      </w:r>
      <w:r w:rsidR="00645EA3" w:rsidRPr="00DB5BAC">
        <w:rPr>
          <w:color w:val="auto"/>
          <w:sz w:val="20"/>
        </w:rPr>
        <w:t xml:space="preserve"> </w:t>
      </w:r>
      <w:r w:rsidR="001E3636" w:rsidRPr="00DB5BAC">
        <w:rPr>
          <w:color w:val="auto"/>
          <w:sz w:val="20"/>
        </w:rPr>
        <w:t>de</w:t>
      </w:r>
      <w:r w:rsidR="00645EA3" w:rsidRPr="00DB5BAC">
        <w:rPr>
          <w:color w:val="auto"/>
          <w:sz w:val="20"/>
        </w:rPr>
        <w:t xml:space="preserve"> </w:t>
      </w:r>
      <w:r w:rsidR="00BB0303" w:rsidRPr="00DB5BAC">
        <w:rPr>
          <w:color w:val="auto"/>
          <w:sz w:val="20"/>
        </w:rPr>
        <w:t>japoneses latinoamericanos</w:t>
      </w:r>
      <w:r w:rsidR="00645EA3" w:rsidRPr="00DB5BAC">
        <w:rPr>
          <w:color w:val="auto"/>
          <w:sz w:val="20"/>
        </w:rPr>
        <w:t xml:space="preserve"> </w:t>
      </w:r>
      <w:r w:rsidR="001E3636" w:rsidRPr="00DB5BAC">
        <w:rPr>
          <w:color w:val="auto"/>
          <w:sz w:val="20"/>
        </w:rPr>
        <w:t xml:space="preserve">que el Gobierno de </w:t>
      </w:r>
      <w:r w:rsidR="000648EF" w:rsidRPr="00DB5BAC">
        <w:rPr>
          <w:color w:val="auto"/>
          <w:sz w:val="20"/>
        </w:rPr>
        <w:t>Estados Unidos</w:t>
      </w:r>
      <w:r w:rsidR="00645EA3" w:rsidRPr="00DB5BAC">
        <w:rPr>
          <w:color w:val="auto"/>
          <w:sz w:val="20"/>
        </w:rPr>
        <w:t xml:space="preserve"> </w:t>
      </w:r>
      <w:r w:rsidR="001E3636" w:rsidRPr="00DB5BAC">
        <w:rPr>
          <w:color w:val="auto"/>
          <w:sz w:val="20"/>
        </w:rPr>
        <w:t>sigue tratando como confidencial.</w:t>
      </w:r>
    </w:p>
    <w:p w14:paraId="1C2446E9" w14:textId="77777777" w:rsidR="00361415" w:rsidRPr="00DB5BAC" w:rsidRDefault="00361415" w:rsidP="00361415">
      <w:pPr>
        <w:suppressAutoHyphens/>
        <w:rPr>
          <w:rFonts w:asciiTheme="majorHAnsi" w:hAnsiTheme="majorHAnsi"/>
          <w:color w:val="auto"/>
          <w:sz w:val="20"/>
        </w:rPr>
      </w:pPr>
    </w:p>
    <w:p w14:paraId="36C126CC" w14:textId="77777777" w:rsidR="00D12193" w:rsidRPr="00DB5BAC" w:rsidRDefault="000648EF" w:rsidP="00BC3988">
      <w:pPr>
        <w:pStyle w:val="Heading2"/>
        <w:ind w:left="1440" w:hanging="810"/>
        <w:rPr>
          <w:color w:val="auto"/>
          <w:lang w:val="es-ES"/>
        </w:rPr>
      </w:pPr>
      <w:bookmarkStart w:id="5" w:name="_Toc27473280"/>
      <w:r w:rsidRPr="00DB5BAC">
        <w:rPr>
          <w:color w:val="auto"/>
          <w:lang w:val="es-ES"/>
        </w:rPr>
        <w:t>Estado</w:t>
      </w:r>
      <w:bookmarkEnd w:id="5"/>
      <w:r w:rsidR="00C53C19" w:rsidRPr="00DB5BAC">
        <w:rPr>
          <w:color w:val="auto"/>
          <w:lang w:val="es-ES"/>
        </w:rPr>
        <w:t xml:space="preserve"> </w:t>
      </w:r>
    </w:p>
    <w:p w14:paraId="2AFA3BE6" w14:textId="77777777" w:rsidR="007C756A" w:rsidRPr="00DB5BAC" w:rsidRDefault="007C756A" w:rsidP="00CC63CF">
      <w:pPr>
        <w:suppressAutoHyphens/>
        <w:rPr>
          <w:rFonts w:asciiTheme="majorHAnsi" w:hAnsiTheme="majorHAnsi"/>
          <w:sz w:val="20"/>
        </w:rPr>
      </w:pPr>
    </w:p>
    <w:p w14:paraId="5CD8AD96" w14:textId="77777777" w:rsidR="008E3D57" w:rsidRPr="001603F2" w:rsidRDefault="001603F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1603F2">
        <w:rPr>
          <w:color w:val="auto"/>
          <w:sz w:val="20"/>
          <w:lang w:val="es-AR"/>
        </w:rPr>
        <w:t>En</w:t>
      </w:r>
      <w:r w:rsidRPr="001603F2">
        <w:rPr>
          <w:color w:val="auto"/>
          <w:sz w:val="20"/>
          <w:lang w:val="es-CR"/>
        </w:rPr>
        <w:t xml:space="preserve"> la presente etapa el Estado presentó alegatos relativos a la admisibilidad de la petición —concretamente, sobre la alegada falta de competencia de la Comisión— los cuales no serán referidos en la presente sección, en tanto dichos aspectos ya fueron decididos por la Comisión en su Informe de Admisibilidad</w:t>
      </w:r>
      <w:r w:rsidRPr="001603F2">
        <w:rPr>
          <w:rFonts w:asciiTheme="majorHAnsi" w:hAnsiTheme="majorHAnsi"/>
          <w:color w:val="auto"/>
          <w:sz w:val="20"/>
        </w:rPr>
        <w:t xml:space="preserve"> No. 26/06.</w:t>
      </w:r>
    </w:p>
    <w:p w14:paraId="7F8834D2" w14:textId="77777777" w:rsidR="008E3D57" w:rsidRPr="00DB5BAC" w:rsidRDefault="008E3D57" w:rsidP="008E3D5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275F5A9F" w14:textId="77777777" w:rsidR="00CC63CF"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000000" w:themeColor="text1"/>
          <w:sz w:val="20"/>
        </w:rPr>
      </w:pPr>
      <w:r w:rsidRPr="00DB5BAC">
        <w:rPr>
          <w:color w:val="000000" w:themeColor="text1"/>
          <w:sz w:val="20"/>
        </w:rPr>
        <w:t>El Estado</w:t>
      </w:r>
      <w:r w:rsidR="000326B5" w:rsidRPr="00DB5BAC">
        <w:rPr>
          <w:color w:val="000000" w:themeColor="text1"/>
          <w:sz w:val="20"/>
        </w:rPr>
        <w:t xml:space="preserve"> al</w:t>
      </w:r>
      <w:r w:rsidR="00DF4286" w:rsidRPr="00DB5BAC">
        <w:rPr>
          <w:color w:val="000000" w:themeColor="text1"/>
          <w:sz w:val="20"/>
        </w:rPr>
        <w:t xml:space="preserve">egó que el derecho a la </w:t>
      </w:r>
      <w:r w:rsidR="00333A05" w:rsidRPr="00DB5BAC">
        <w:rPr>
          <w:b/>
          <w:color w:val="000000" w:themeColor="text1"/>
          <w:sz w:val="20"/>
        </w:rPr>
        <w:t>igualdad ante la ley</w:t>
      </w:r>
      <w:r w:rsidR="000326B5" w:rsidRPr="00DB5BAC">
        <w:rPr>
          <w:color w:val="000000" w:themeColor="text1"/>
          <w:sz w:val="20"/>
        </w:rPr>
        <w:t xml:space="preserve"> </w:t>
      </w:r>
      <w:r w:rsidR="001603F2">
        <w:rPr>
          <w:color w:val="000000" w:themeColor="text1"/>
          <w:sz w:val="20"/>
        </w:rPr>
        <w:t>“</w:t>
      </w:r>
      <w:r w:rsidR="00DF4286" w:rsidRPr="00DB5BAC">
        <w:rPr>
          <w:color w:val="000000" w:themeColor="text1"/>
          <w:sz w:val="20"/>
        </w:rPr>
        <w:t>no significa que no se puedan hacer distinciones entre personas en el ámbito del derecho, en particular al redactar leyes</w:t>
      </w:r>
      <w:r w:rsidR="00A31E7B" w:rsidRPr="00DB5BAC">
        <w:rPr>
          <w:color w:val="000000" w:themeColor="text1"/>
          <w:sz w:val="20"/>
        </w:rPr>
        <w:t xml:space="preserve">, </w:t>
      </w:r>
      <w:r w:rsidR="00DF4286" w:rsidRPr="00DB5BAC">
        <w:rPr>
          <w:color w:val="000000" w:themeColor="text1"/>
          <w:sz w:val="20"/>
        </w:rPr>
        <w:t xml:space="preserve">como la </w:t>
      </w:r>
      <w:r w:rsidR="00CA2EFA" w:rsidRPr="00DB5BAC">
        <w:rPr>
          <w:color w:val="000000" w:themeColor="text1"/>
          <w:sz w:val="20"/>
        </w:rPr>
        <w:t>Ley de Libertades Civiles</w:t>
      </w:r>
      <w:r w:rsidR="00A31E7B" w:rsidRPr="00DB5BAC">
        <w:rPr>
          <w:color w:val="000000" w:themeColor="text1"/>
          <w:sz w:val="20"/>
        </w:rPr>
        <w:t>,</w:t>
      </w:r>
      <w:r w:rsidR="00DF4286" w:rsidRPr="00DB5BAC">
        <w:rPr>
          <w:color w:val="000000" w:themeColor="text1"/>
          <w:sz w:val="20"/>
        </w:rPr>
        <w:t xml:space="preserve"> en las cuales se establecen los requisitos que se deben cumplir para recibir recursos y prestaciones públicos</w:t>
      </w:r>
      <w:r w:rsidR="000326B5" w:rsidRPr="00DB5BAC">
        <w:rPr>
          <w:color w:val="000000" w:themeColor="text1"/>
          <w:sz w:val="20"/>
        </w:rPr>
        <w:t xml:space="preserve">. </w:t>
      </w:r>
      <w:r w:rsidR="00DF4286" w:rsidRPr="00DB5BAC">
        <w:rPr>
          <w:color w:val="000000" w:themeColor="text1"/>
          <w:sz w:val="20"/>
        </w:rPr>
        <w:t xml:space="preserve">En este tipo de leyes, la </w:t>
      </w:r>
      <w:r w:rsidR="00333A05" w:rsidRPr="00DB5BAC">
        <w:rPr>
          <w:color w:val="000000" w:themeColor="text1"/>
          <w:sz w:val="20"/>
        </w:rPr>
        <w:t>ciudadanía</w:t>
      </w:r>
      <w:r w:rsidR="000326B5" w:rsidRPr="00DB5BAC">
        <w:rPr>
          <w:color w:val="000000" w:themeColor="text1"/>
          <w:sz w:val="20"/>
        </w:rPr>
        <w:t xml:space="preserve"> </w:t>
      </w:r>
      <w:r w:rsidR="00DF4286" w:rsidRPr="00DB5BAC">
        <w:rPr>
          <w:color w:val="000000" w:themeColor="text1"/>
          <w:sz w:val="20"/>
        </w:rPr>
        <w:t xml:space="preserve">y la </w:t>
      </w:r>
      <w:r w:rsidR="00333A05" w:rsidRPr="00DB5BAC">
        <w:rPr>
          <w:color w:val="000000" w:themeColor="text1"/>
          <w:sz w:val="20"/>
        </w:rPr>
        <w:t>residencia permanente legal</w:t>
      </w:r>
      <w:r w:rsidR="000326B5" w:rsidRPr="00DB5BAC">
        <w:rPr>
          <w:color w:val="000000" w:themeColor="text1"/>
          <w:sz w:val="20"/>
        </w:rPr>
        <w:t xml:space="preserve"> </w:t>
      </w:r>
      <w:r w:rsidR="00DF4286" w:rsidRPr="00DB5BAC">
        <w:rPr>
          <w:color w:val="000000" w:themeColor="text1"/>
          <w:sz w:val="20"/>
        </w:rPr>
        <w:t xml:space="preserve">son factores </w:t>
      </w:r>
      <w:r w:rsidR="000326B5" w:rsidRPr="00DB5BAC">
        <w:rPr>
          <w:color w:val="000000" w:themeColor="text1"/>
          <w:sz w:val="20"/>
        </w:rPr>
        <w:t>leg</w:t>
      </w:r>
      <w:r w:rsidR="00DF4286" w:rsidRPr="00DB5BAC">
        <w:rPr>
          <w:color w:val="000000" w:themeColor="text1"/>
          <w:sz w:val="20"/>
        </w:rPr>
        <w:t>ítimos que los Estados pueden tener en cuenta al determinar la forma de distribuir sus recursos limitados</w:t>
      </w:r>
      <w:r w:rsidR="001603F2">
        <w:rPr>
          <w:color w:val="000000" w:themeColor="text1"/>
          <w:sz w:val="20"/>
        </w:rPr>
        <w:t>”</w:t>
      </w:r>
      <w:r w:rsidR="00DF4286" w:rsidRPr="00DB5BAC">
        <w:rPr>
          <w:color w:val="000000" w:themeColor="text1"/>
          <w:sz w:val="20"/>
        </w:rPr>
        <w:t>.</w:t>
      </w:r>
    </w:p>
    <w:p w14:paraId="102442D5" w14:textId="77777777" w:rsidR="008E3D57" w:rsidRPr="00DB5BAC" w:rsidRDefault="008E3D57" w:rsidP="008E3D5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5A249A47" w14:textId="77777777" w:rsidR="008E3D57"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El Estado</w:t>
      </w:r>
      <w:r w:rsidR="000326B5" w:rsidRPr="00DB5BAC">
        <w:rPr>
          <w:color w:val="auto"/>
          <w:sz w:val="20"/>
        </w:rPr>
        <w:t xml:space="preserve"> </w:t>
      </w:r>
      <w:r w:rsidR="00A66EA8" w:rsidRPr="00DB5BAC">
        <w:rPr>
          <w:color w:val="auto"/>
          <w:sz w:val="20"/>
        </w:rPr>
        <w:t xml:space="preserve">negó la responsabilidad por violaciones del </w:t>
      </w:r>
      <w:r w:rsidR="004C5490" w:rsidRPr="00DB5BAC">
        <w:rPr>
          <w:b/>
          <w:color w:val="auto"/>
          <w:sz w:val="20"/>
        </w:rPr>
        <w:t>derecho de justicia</w:t>
      </w:r>
      <w:r w:rsidR="00164433" w:rsidRPr="00DB5BAC">
        <w:rPr>
          <w:color w:val="auto"/>
          <w:sz w:val="20"/>
        </w:rPr>
        <w:t xml:space="preserve"> </w:t>
      </w:r>
      <w:r w:rsidR="00A66EA8" w:rsidRPr="00DB5BAC">
        <w:rPr>
          <w:color w:val="auto"/>
          <w:sz w:val="20"/>
        </w:rPr>
        <w:t>y el derecho al</w:t>
      </w:r>
      <w:r w:rsidR="00164433" w:rsidRPr="00DB5BAC">
        <w:rPr>
          <w:color w:val="auto"/>
          <w:sz w:val="20"/>
        </w:rPr>
        <w:t xml:space="preserve"> </w:t>
      </w:r>
      <w:r w:rsidR="004C5490" w:rsidRPr="00DB5BAC">
        <w:rPr>
          <w:b/>
          <w:color w:val="auto"/>
          <w:sz w:val="20"/>
        </w:rPr>
        <w:t>debido proceso</w:t>
      </w:r>
      <w:r w:rsidR="000326B5" w:rsidRPr="00DB5BAC">
        <w:rPr>
          <w:color w:val="auto"/>
          <w:sz w:val="20"/>
        </w:rPr>
        <w:t xml:space="preserve">, </w:t>
      </w:r>
      <w:r w:rsidR="00A66EA8" w:rsidRPr="00DB5BAC">
        <w:rPr>
          <w:color w:val="auto"/>
          <w:sz w:val="20"/>
        </w:rPr>
        <w:t xml:space="preserve">ya que </w:t>
      </w:r>
      <w:r w:rsidR="001603F2">
        <w:rPr>
          <w:color w:val="auto"/>
          <w:sz w:val="20"/>
        </w:rPr>
        <w:t>“</w:t>
      </w:r>
      <w:r w:rsidR="00A66EA8" w:rsidRPr="00DB5BAC">
        <w:rPr>
          <w:color w:val="auto"/>
          <w:sz w:val="20"/>
        </w:rPr>
        <w:t xml:space="preserve">en ningún momento se </w:t>
      </w:r>
      <w:r w:rsidR="001603F2">
        <w:rPr>
          <w:color w:val="auto"/>
          <w:sz w:val="20"/>
        </w:rPr>
        <w:t>les ha</w:t>
      </w:r>
      <w:r w:rsidR="00A66EA8" w:rsidRPr="00DB5BAC">
        <w:rPr>
          <w:color w:val="auto"/>
          <w:sz w:val="20"/>
        </w:rPr>
        <w:t xml:space="preserve"> denegado a los demandantes la posibilidad de impugnar la </w:t>
      </w:r>
      <w:r w:rsidR="00CA2EFA" w:rsidRPr="00DB5BAC">
        <w:rPr>
          <w:color w:val="auto"/>
          <w:sz w:val="20"/>
        </w:rPr>
        <w:t>Ley de Libertades Civiles</w:t>
      </w:r>
      <w:r w:rsidR="00A66EA8" w:rsidRPr="00DB5BAC">
        <w:rPr>
          <w:color w:val="auto"/>
          <w:sz w:val="20"/>
        </w:rPr>
        <w:t xml:space="preserve"> en tribunales de </w:t>
      </w:r>
      <w:r w:rsidRPr="00DB5BAC">
        <w:rPr>
          <w:color w:val="auto"/>
          <w:sz w:val="20"/>
        </w:rPr>
        <w:t>Estados Unidos</w:t>
      </w:r>
      <w:r w:rsidR="00A66EA8" w:rsidRPr="00DB5BAC">
        <w:rPr>
          <w:color w:val="auto"/>
          <w:sz w:val="20"/>
        </w:rPr>
        <w:t>. Los p</w:t>
      </w:r>
      <w:r w:rsidRPr="00DB5BAC">
        <w:rPr>
          <w:color w:val="auto"/>
          <w:sz w:val="20"/>
        </w:rPr>
        <w:t>eticionarios</w:t>
      </w:r>
      <w:r w:rsidR="000326B5" w:rsidRPr="00DB5BAC">
        <w:rPr>
          <w:color w:val="auto"/>
          <w:sz w:val="20"/>
        </w:rPr>
        <w:t xml:space="preserve"> admit</w:t>
      </w:r>
      <w:r w:rsidR="00A66EA8" w:rsidRPr="00DB5BAC">
        <w:rPr>
          <w:color w:val="auto"/>
          <w:sz w:val="20"/>
        </w:rPr>
        <w:t xml:space="preserve">en que abandonaron voluntariamente sus </w:t>
      </w:r>
      <w:r w:rsidR="00DF4286" w:rsidRPr="00DB5BAC">
        <w:rPr>
          <w:color w:val="auto"/>
          <w:sz w:val="20"/>
        </w:rPr>
        <w:t xml:space="preserve">reclamaciones </w:t>
      </w:r>
      <w:r w:rsidR="00F37BE2">
        <w:rPr>
          <w:color w:val="auto"/>
          <w:sz w:val="20"/>
        </w:rPr>
        <w:t>[</w:t>
      </w:r>
      <w:r w:rsidR="00DF4286" w:rsidRPr="00DB5BAC">
        <w:rPr>
          <w:color w:val="auto"/>
          <w:sz w:val="20"/>
        </w:rPr>
        <w:t xml:space="preserve">en el marco del derecho internacional de los derechos </w:t>
      </w:r>
      <w:r w:rsidR="000326B5" w:rsidRPr="00DB5BAC">
        <w:rPr>
          <w:color w:val="auto"/>
          <w:sz w:val="20"/>
        </w:rPr>
        <w:t>human</w:t>
      </w:r>
      <w:r w:rsidR="00DF4286" w:rsidRPr="00DB5BAC">
        <w:rPr>
          <w:color w:val="auto"/>
          <w:sz w:val="20"/>
        </w:rPr>
        <w:t>os y el derecho internacional humanitario</w:t>
      </w:r>
      <w:r w:rsidR="00F37BE2">
        <w:rPr>
          <w:color w:val="auto"/>
          <w:sz w:val="20"/>
        </w:rPr>
        <w:t>]</w:t>
      </w:r>
      <w:r w:rsidR="00A66EA8" w:rsidRPr="00DB5BAC">
        <w:rPr>
          <w:color w:val="auto"/>
          <w:sz w:val="20"/>
        </w:rPr>
        <w:t>, al menos en parte, como consecuencia de los resultados de otros casos</w:t>
      </w:r>
      <w:r w:rsidR="001603F2">
        <w:rPr>
          <w:color w:val="auto"/>
          <w:sz w:val="20"/>
        </w:rPr>
        <w:t>”</w:t>
      </w:r>
      <w:r w:rsidR="00A66EA8" w:rsidRPr="00DB5BAC">
        <w:rPr>
          <w:color w:val="auto"/>
          <w:sz w:val="20"/>
        </w:rPr>
        <w:t xml:space="preserve">. El Estado alegó asimismo que el artículo </w:t>
      </w:r>
      <w:r w:rsidR="000326B5" w:rsidRPr="00DB5BAC">
        <w:rPr>
          <w:color w:val="auto"/>
          <w:sz w:val="20"/>
        </w:rPr>
        <w:t>XXVI (</w:t>
      </w:r>
      <w:r w:rsidR="004C5490" w:rsidRPr="00DB5BAC">
        <w:rPr>
          <w:b/>
          <w:color w:val="auto"/>
          <w:sz w:val="20"/>
        </w:rPr>
        <w:t>debido proceso</w:t>
      </w:r>
      <w:r w:rsidR="000326B5" w:rsidRPr="00DB5BAC">
        <w:rPr>
          <w:color w:val="auto"/>
          <w:sz w:val="20"/>
        </w:rPr>
        <w:t xml:space="preserve">) </w:t>
      </w:r>
      <w:r w:rsidR="00A66EA8" w:rsidRPr="00DB5BAC">
        <w:rPr>
          <w:color w:val="auto"/>
          <w:sz w:val="20"/>
        </w:rPr>
        <w:t xml:space="preserve">de la </w:t>
      </w:r>
      <w:r w:rsidR="005B1600" w:rsidRPr="00DB5BAC">
        <w:rPr>
          <w:color w:val="auto"/>
          <w:sz w:val="20"/>
        </w:rPr>
        <w:t>Declaración Americana</w:t>
      </w:r>
      <w:r w:rsidR="00CC205D" w:rsidRPr="00DB5BAC">
        <w:rPr>
          <w:color w:val="auto"/>
          <w:sz w:val="20"/>
        </w:rPr>
        <w:t xml:space="preserve"> </w:t>
      </w:r>
      <w:r w:rsidR="00A66EA8" w:rsidRPr="00DB5BAC">
        <w:rPr>
          <w:color w:val="auto"/>
          <w:sz w:val="20"/>
        </w:rPr>
        <w:t xml:space="preserve">está limitado por su propio texto a las </w:t>
      </w:r>
      <w:r w:rsidR="000326B5" w:rsidRPr="00DB5BAC">
        <w:rPr>
          <w:color w:val="auto"/>
          <w:sz w:val="20"/>
        </w:rPr>
        <w:t>person</w:t>
      </w:r>
      <w:r w:rsidR="00A66EA8" w:rsidRPr="00DB5BAC">
        <w:rPr>
          <w:color w:val="auto"/>
          <w:sz w:val="20"/>
        </w:rPr>
        <w:t>a</w:t>
      </w:r>
      <w:r w:rsidR="000326B5" w:rsidRPr="00DB5BAC">
        <w:rPr>
          <w:color w:val="auto"/>
          <w:sz w:val="20"/>
        </w:rPr>
        <w:t>s ac</w:t>
      </w:r>
      <w:r w:rsidR="00A66EA8" w:rsidRPr="00DB5BAC">
        <w:rPr>
          <w:color w:val="auto"/>
          <w:sz w:val="20"/>
        </w:rPr>
        <w:t>usadas de un delito, razón por la cual no puede aplicarse en el caso de</w:t>
      </w:r>
      <w:r w:rsidR="000326B5" w:rsidRPr="00DB5BAC">
        <w:rPr>
          <w:color w:val="auto"/>
          <w:sz w:val="20"/>
        </w:rPr>
        <w:t xml:space="preserve"> </w:t>
      </w:r>
      <w:r w:rsidR="005B1600" w:rsidRPr="00DB5BAC">
        <w:rPr>
          <w:color w:val="auto"/>
          <w:sz w:val="20"/>
        </w:rPr>
        <w:t>los Shibayama</w:t>
      </w:r>
      <w:r w:rsidR="00A66EA8" w:rsidRPr="00DB5BAC">
        <w:rPr>
          <w:color w:val="auto"/>
          <w:sz w:val="20"/>
        </w:rPr>
        <w:t xml:space="preserve">, y que las reclamaciones de los </w:t>
      </w:r>
      <w:r w:rsidRPr="00DB5BAC">
        <w:rPr>
          <w:color w:val="auto"/>
          <w:sz w:val="20"/>
        </w:rPr>
        <w:t>peticionarios</w:t>
      </w:r>
      <w:r w:rsidR="00A66EA8" w:rsidRPr="00DB5BAC">
        <w:rPr>
          <w:color w:val="auto"/>
          <w:sz w:val="20"/>
        </w:rPr>
        <w:t xml:space="preserve"> relacionadas con </w:t>
      </w:r>
      <w:r w:rsidR="00725FFD" w:rsidRPr="00DB5BAC">
        <w:rPr>
          <w:color w:val="auto"/>
          <w:sz w:val="20"/>
        </w:rPr>
        <w:t xml:space="preserve">la </w:t>
      </w:r>
      <w:r w:rsidR="00CA2EFA" w:rsidRPr="00DB5BAC">
        <w:rPr>
          <w:color w:val="auto"/>
          <w:sz w:val="20"/>
        </w:rPr>
        <w:t>Ley de Libertades Civiles</w:t>
      </w:r>
      <w:r w:rsidR="008E3D57" w:rsidRPr="00DB5BAC">
        <w:rPr>
          <w:color w:val="auto"/>
          <w:sz w:val="20"/>
        </w:rPr>
        <w:t xml:space="preserve"> </w:t>
      </w:r>
      <w:r w:rsidR="00A66EA8" w:rsidRPr="00DB5BAC">
        <w:rPr>
          <w:color w:val="auto"/>
          <w:sz w:val="20"/>
        </w:rPr>
        <w:t xml:space="preserve">son un intento de usar </w:t>
      </w:r>
      <w:r w:rsidRPr="00DB5BAC">
        <w:rPr>
          <w:color w:val="auto"/>
          <w:sz w:val="20"/>
        </w:rPr>
        <w:t>la CIDH</w:t>
      </w:r>
      <w:r w:rsidR="008E3D57" w:rsidRPr="00DB5BAC">
        <w:rPr>
          <w:color w:val="auto"/>
          <w:sz w:val="20"/>
        </w:rPr>
        <w:t xml:space="preserve"> </w:t>
      </w:r>
      <w:r w:rsidR="00A66EA8" w:rsidRPr="00DB5BAC">
        <w:rPr>
          <w:color w:val="auto"/>
          <w:sz w:val="20"/>
        </w:rPr>
        <w:t xml:space="preserve">como revisión prohibida de </w:t>
      </w:r>
      <w:r w:rsidR="00F37BE2">
        <w:rPr>
          <w:color w:val="auto"/>
          <w:sz w:val="20"/>
        </w:rPr>
        <w:t>“</w:t>
      </w:r>
      <w:r w:rsidR="00A66EA8" w:rsidRPr="00DB5BAC">
        <w:rPr>
          <w:color w:val="auto"/>
          <w:sz w:val="20"/>
        </w:rPr>
        <w:t>cuarta instancia”</w:t>
      </w:r>
      <w:r w:rsidR="000326B5" w:rsidRPr="00DB5BAC">
        <w:rPr>
          <w:color w:val="auto"/>
          <w:sz w:val="20"/>
        </w:rPr>
        <w:t>.</w:t>
      </w:r>
    </w:p>
    <w:p w14:paraId="493F78C6" w14:textId="77777777" w:rsidR="00E45EFB" w:rsidRPr="00DB5BAC" w:rsidRDefault="00E45EFB" w:rsidP="00E45EFB">
      <w:pPr>
        <w:pStyle w:val="ListParagraph"/>
        <w:rPr>
          <w:color w:val="auto"/>
          <w:sz w:val="20"/>
          <w:lang w:val="es-ES"/>
        </w:rPr>
      </w:pPr>
    </w:p>
    <w:p w14:paraId="23091BBF" w14:textId="77777777" w:rsidR="00E45EFB"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El Estado</w:t>
      </w:r>
      <w:r w:rsidR="00E45EFB" w:rsidRPr="00DB5BAC">
        <w:rPr>
          <w:color w:val="auto"/>
          <w:sz w:val="20"/>
        </w:rPr>
        <w:t xml:space="preserve"> a</w:t>
      </w:r>
      <w:r w:rsidR="00DA13AD" w:rsidRPr="00DB5BAC">
        <w:rPr>
          <w:color w:val="auto"/>
          <w:sz w:val="20"/>
        </w:rPr>
        <w:t xml:space="preserve">gregó </w:t>
      </w:r>
      <w:r w:rsidR="00F37BE2">
        <w:rPr>
          <w:color w:val="auto"/>
          <w:sz w:val="20"/>
        </w:rPr>
        <w:t>“</w:t>
      </w:r>
      <w:r w:rsidR="00DA13AD" w:rsidRPr="00DB5BAC">
        <w:rPr>
          <w:color w:val="auto"/>
          <w:sz w:val="20"/>
        </w:rPr>
        <w:t xml:space="preserve">que </w:t>
      </w:r>
      <w:r w:rsidR="00AE2AD7" w:rsidRPr="00DB5BAC">
        <w:rPr>
          <w:color w:val="auto"/>
          <w:sz w:val="20"/>
        </w:rPr>
        <w:t>Estados Unidos</w:t>
      </w:r>
      <w:r w:rsidR="00E45EFB" w:rsidRPr="00DB5BAC">
        <w:rPr>
          <w:color w:val="auto"/>
          <w:sz w:val="20"/>
        </w:rPr>
        <w:t xml:space="preserve"> </w:t>
      </w:r>
      <w:r w:rsidR="00DA13AD" w:rsidRPr="00DB5BAC">
        <w:rPr>
          <w:color w:val="auto"/>
          <w:sz w:val="20"/>
        </w:rPr>
        <w:t xml:space="preserve">reconoce el sufrimiento de la familia </w:t>
      </w:r>
      <w:r w:rsidR="00E45EFB" w:rsidRPr="00DB5BAC">
        <w:rPr>
          <w:color w:val="auto"/>
          <w:sz w:val="20"/>
        </w:rPr>
        <w:t xml:space="preserve">Shibayama </w:t>
      </w:r>
      <w:r w:rsidR="00DA13AD" w:rsidRPr="00DB5BAC">
        <w:rPr>
          <w:color w:val="auto"/>
          <w:sz w:val="20"/>
        </w:rPr>
        <w:t>y de otras personas en una situación similar</w:t>
      </w:r>
      <w:r w:rsidR="00E45EFB" w:rsidRPr="00DB5BAC">
        <w:rPr>
          <w:color w:val="auto"/>
          <w:sz w:val="20"/>
        </w:rPr>
        <w:t xml:space="preserve">, </w:t>
      </w:r>
      <w:r w:rsidR="00A31E7B" w:rsidRPr="00DB5BAC">
        <w:rPr>
          <w:color w:val="auto"/>
          <w:sz w:val="20"/>
        </w:rPr>
        <w:t xml:space="preserve">el cual </w:t>
      </w:r>
      <w:r w:rsidR="00E45EFB" w:rsidRPr="00DB5BAC">
        <w:rPr>
          <w:color w:val="auto"/>
          <w:sz w:val="20"/>
        </w:rPr>
        <w:t xml:space="preserve">Isamu </w:t>
      </w:r>
      <w:r w:rsidR="00DA13AD" w:rsidRPr="00DB5BAC">
        <w:rPr>
          <w:color w:val="auto"/>
          <w:sz w:val="20"/>
        </w:rPr>
        <w:t>y</w:t>
      </w:r>
      <w:r w:rsidR="00E45EFB" w:rsidRPr="00DB5BAC">
        <w:rPr>
          <w:color w:val="auto"/>
          <w:sz w:val="20"/>
        </w:rPr>
        <w:t xml:space="preserve"> Bekki Shibayama </w:t>
      </w:r>
      <w:r w:rsidR="00DA13AD" w:rsidRPr="00DB5BAC">
        <w:rPr>
          <w:color w:val="auto"/>
          <w:sz w:val="20"/>
        </w:rPr>
        <w:t xml:space="preserve">describieron con valentía y de manera conmovedora en su testimonio ante </w:t>
      </w:r>
      <w:r w:rsidRPr="00DB5BAC">
        <w:rPr>
          <w:color w:val="auto"/>
          <w:sz w:val="20"/>
        </w:rPr>
        <w:t>la Comisión</w:t>
      </w:r>
      <w:r w:rsidR="00E45EFB" w:rsidRPr="00DB5BAC">
        <w:rPr>
          <w:color w:val="auto"/>
          <w:sz w:val="20"/>
        </w:rPr>
        <w:t xml:space="preserve"> </w:t>
      </w:r>
      <w:r w:rsidR="00DA13AD" w:rsidRPr="00DB5BAC">
        <w:rPr>
          <w:color w:val="auto"/>
          <w:sz w:val="20"/>
        </w:rPr>
        <w:t xml:space="preserve">en la audiencia sobre el fondo. No obstante, desde un punto de vista puramente jurídico, la petición en este caso </w:t>
      </w:r>
      <w:r w:rsidR="00F37BE2">
        <w:rPr>
          <w:color w:val="auto"/>
          <w:sz w:val="20"/>
        </w:rPr>
        <w:t>es</w:t>
      </w:r>
      <w:r w:rsidR="00DA13AD" w:rsidRPr="00DB5BAC">
        <w:rPr>
          <w:color w:val="auto"/>
          <w:sz w:val="20"/>
        </w:rPr>
        <w:t xml:space="preserve"> </w:t>
      </w:r>
      <w:r w:rsidR="00E45EFB" w:rsidRPr="00DB5BAC">
        <w:rPr>
          <w:color w:val="auto"/>
          <w:sz w:val="20"/>
        </w:rPr>
        <w:t xml:space="preserve">inadmisible </w:t>
      </w:r>
      <w:r w:rsidR="00DA13AD" w:rsidRPr="00DB5BAC">
        <w:rPr>
          <w:color w:val="auto"/>
          <w:sz w:val="20"/>
        </w:rPr>
        <w:t>y que</w:t>
      </w:r>
      <w:r w:rsidR="00E45EFB" w:rsidRPr="00DB5BAC">
        <w:rPr>
          <w:color w:val="auto"/>
          <w:sz w:val="20"/>
        </w:rPr>
        <w:t xml:space="preserve"> </w:t>
      </w:r>
      <w:r w:rsidRPr="00DB5BAC">
        <w:rPr>
          <w:color w:val="auto"/>
          <w:sz w:val="20"/>
        </w:rPr>
        <w:t>la Comisión</w:t>
      </w:r>
      <w:r w:rsidR="00E45EFB" w:rsidRPr="00DB5BAC">
        <w:rPr>
          <w:color w:val="auto"/>
          <w:sz w:val="20"/>
        </w:rPr>
        <w:t xml:space="preserve"> </w:t>
      </w:r>
      <w:r w:rsidR="00DA13AD" w:rsidRPr="00DB5BAC">
        <w:rPr>
          <w:color w:val="auto"/>
          <w:sz w:val="20"/>
        </w:rPr>
        <w:t xml:space="preserve">no </w:t>
      </w:r>
      <w:r w:rsidR="00F37BE2">
        <w:rPr>
          <w:color w:val="auto"/>
          <w:sz w:val="20"/>
        </w:rPr>
        <w:t>tiene</w:t>
      </w:r>
      <w:r w:rsidR="00DA13AD" w:rsidRPr="00DB5BAC">
        <w:rPr>
          <w:color w:val="auto"/>
          <w:sz w:val="20"/>
        </w:rPr>
        <w:t xml:space="preserve"> jurisdicción para pronunciarse sobre el fondo</w:t>
      </w:r>
      <w:r w:rsidR="00F37BE2">
        <w:rPr>
          <w:color w:val="auto"/>
          <w:sz w:val="20"/>
        </w:rPr>
        <w:t xml:space="preserve"> […]”</w:t>
      </w:r>
      <w:r w:rsidR="00DA13AD" w:rsidRPr="00DB5BAC">
        <w:rPr>
          <w:color w:val="auto"/>
          <w:sz w:val="20"/>
        </w:rPr>
        <w:t>.</w:t>
      </w:r>
    </w:p>
    <w:p w14:paraId="2F7A43BB" w14:textId="77777777" w:rsidR="008266A7" w:rsidRPr="00DB5BAC" w:rsidRDefault="008266A7" w:rsidP="008266A7">
      <w:pPr>
        <w:pStyle w:val="ListParagraph"/>
        <w:rPr>
          <w:color w:val="FF0000"/>
          <w:sz w:val="20"/>
          <w:szCs w:val="20"/>
          <w:lang w:val="es-ES"/>
        </w:rPr>
      </w:pPr>
    </w:p>
    <w:p w14:paraId="00853282" w14:textId="77777777" w:rsidR="00432289" w:rsidRPr="00DB5BAC" w:rsidRDefault="000648EF" w:rsidP="00C53C19">
      <w:pPr>
        <w:pStyle w:val="Heading1"/>
        <w:rPr>
          <w:lang w:val="es-ES"/>
        </w:rPr>
      </w:pPr>
      <w:bookmarkStart w:id="6" w:name="_Toc27473281"/>
      <w:r w:rsidRPr="00DB5BAC">
        <w:rPr>
          <w:lang w:val="es-ES"/>
        </w:rPr>
        <w:t xml:space="preserve">CONSIDERACIÓN </w:t>
      </w:r>
      <w:r w:rsidR="00537851">
        <w:rPr>
          <w:lang w:val="es-ES"/>
        </w:rPr>
        <w:t>PRELIMINAR</w:t>
      </w:r>
      <w:bookmarkEnd w:id="6"/>
    </w:p>
    <w:p w14:paraId="10EF42FA" w14:textId="77777777" w:rsidR="00432289" w:rsidRPr="00DB5BAC" w:rsidRDefault="00432289" w:rsidP="00432289"/>
    <w:p w14:paraId="45E92891" w14:textId="77777777" w:rsidR="00432289" w:rsidRPr="00DB5BAC" w:rsidRDefault="00DA13AD"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rFonts w:asciiTheme="majorHAnsi" w:hAnsiTheme="majorHAnsi"/>
          <w:color w:val="000000" w:themeColor="text1"/>
          <w:sz w:val="20"/>
        </w:rPr>
        <w:t xml:space="preserve">En el </w:t>
      </w:r>
      <w:r w:rsidR="00545CB4" w:rsidRPr="00DB5BAC">
        <w:rPr>
          <w:rFonts w:asciiTheme="majorHAnsi" w:hAnsiTheme="majorHAnsi"/>
          <w:color w:val="auto"/>
          <w:sz w:val="20"/>
        </w:rPr>
        <w:t xml:space="preserve">Informe de </w:t>
      </w:r>
      <w:r w:rsidR="00F37BE2">
        <w:rPr>
          <w:rFonts w:asciiTheme="majorHAnsi" w:hAnsiTheme="majorHAnsi"/>
          <w:color w:val="auto"/>
          <w:sz w:val="20"/>
        </w:rPr>
        <w:t>A</w:t>
      </w:r>
      <w:r w:rsidR="00545CB4" w:rsidRPr="00DB5BAC">
        <w:rPr>
          <w:rFonts w:asciiTheme="majorHAnsi" w:hAnsiTheme="majorHAnsi"/>
          <w:color w:val="auto"/>
          <w:sz w:val="20"/>
        </w:rPr>
        <w:t>dmisibilidad</w:t>
      </w:r>
      <w:r w:rsidR="00432289" w:rsidRPr="00DB5BAC">
        <w:rPr>
          <w:rFonts w:asciiTheme="majorHAnsi" w:hAnsiTheme="majorHAnsi"/>
          <w:color w:val="auto"/>
          <w:sz w:val="20"/>
        </w:rPr>
        <w:t xml:space="preserve"> No. 26/06, </w:t>
      </w:r>
      <w:r w:rsidR="000648EF" w:rsidRPr="00DB5BAC">
        <w:rPr>
          <w:rFonts w:asciiTheme="majorHAnsi" w:hAnsiTheme="majorHAnsi"/>
          <w:color w:val="auto"/>
          <w:sz w:val="20"/>
        </w:rPr>
        <w:t>la Comisión</w:t>
      </w:r>
      <w:r w:rsidR="00432289" w:rsidRPr="00DB5BAC">
        <w:rPr>
          <w:rFonts w:asciiTheme="majorHAnsi" w:hAnsiTheme="majorHAnsi"/>
          <w:color w:val="auto"/>
          <w:sz w:val="20"/>
        </w:rPr>
        <w:t xml:space="preserve"> conclu</w:t>
      </w:r>
      <w:r w:rsidRPr="00DB5BAC">
        <w:rPr>
          <w:rFonts w:asciiTheme="majorHAnsi" w:hAnsiTheme="majorHAnsi"/>
          <w:color w:val="auto"/>
          <w:sz w:val="20"/>
        </w:rPr>
        <w:t xml:space="preserve">yó que no tiene jurisdicción </w:t>
      </w:r>
      <w:r w:rsidR="00432289" w:rsidRPr="00DB5BAC">
        <w:rPr>
          <w:rFonts w:asciiTheme="majorHAnsi" w:hAnsiTheme="majorHAnsi"/>
          <w:i/>
          <w:color w:val="auto"/>
          <w:sz w:val="20"/>
        </w:rPr>
        <w:t>ratione temporis</w:t>
      </w:r>
      <w:r w:rsidR="00432289" w:rsidRPr="00DB5BAC">
        <w:rPr>
          <w:rFonts w:asciiTheme="majorHAnsi" w:hAnsiTheme="majorHAnsi"/>
          <w:color w:val="auto"/>
          <w:sz w:val="20"/>
        </w:rPr>
        <w:t xml:space="preserve"> </w:t>
      </w:r>
      <w:r w:rsidRPr="00DB5BAC">
        <w:rPr>
          <w:rFonts w:asciiTheme="majorHAnsi" w:hAnsiTheme="majorHAnsi"/>
          <w:color w:val="auto"/>
          <w:sz w:val="20"/>
        </w:rPr>
        <w:t xml:space="preserve">para considerar la mayoría de las reclamaciones </w:t>
      </w:r>
      <w:r w:rsidR="0013287A" w:rsidRPr="00DB5BAC">
        <w:rPr>
          <w:rFonts w:asciiTheme="majorHAnsi" w:hAnsiTheme="majorHAnsi"/>
          <w:color w:val="auto"/>
          <w:sz w:val="20"/>
        </w:rPr>
        <w:t>contenidas en la petición inicial (entre ellas la detención arbitraria</w:t>
      </w:r>
      <w:r w:rsidR="00F37BE2">
        <w:rPr>
          <w:rFonts w:asciiTheme="majorHAnsi" w:hAnsiTheme="majorHAnsi"/>
          <w:color w:val="auto"/>
          <w:sz w:val="20"/>
        </w:rPr>
        <w:t>,</w:t>
      </w:r>
      <w:r w:rsidR="00B53E25" w:rsidRPr="00DB5BAC">
        <w:rPr>
          <w:rFonts w:asciiTheme="majorHAnsi" w:hAnsiTheme="majorHAnsi"/>
          <w:color w:val="auto"/>
          <w:sz w:val="20"/>
        </w:rPr>
        <w:t xml:space="preserve"> </w:t>
      </w:r>
      <w:r w:rsidR="0013287A" w:rsidRPr="00DB5BAC">
        <w:rPr>
          <w:rFonts w:asciiTheme="majorHAnsi" w:hAnsiTheme="majorHAnsi"/>
          <w:color w:val="auto"/>
          <w:sz w:val="20"/>
        </w:rPr>
        <w:t>el derecho a la</w:t>
      </w:r>
      <w:r w:rsidR="000D60AE" w:rsidRPr="00DB5BAC">
        <w:rPr>
          <w:rFonts w:asciiTheme="majorHAnsi" w:hAnsiTheme="majorHAnsi"/>
          <w:color w:val="auto"/>
          <w:sz w:val="20"/>
        </w:rPr>
        <w:t xml:space="preserve"> residenc</w:t>
      </w:r>
      <w:r w:rsidR="00F37BE2">
        <w:rPr>
          <w:rFonts w:asciiTheme="majorHAnsi" w:hAnsiTheme="majorHAnsi"/>
          <w:color w:val="auto"/>
          <w:sz w:val="20"/>
        </w:rPr>
        <w:t>ia y</w:t>
      </w:r>
      <w:r w:rsidR="0013287A" w:rsidRPr="00DB5BAC">
        <w:rPr>
          <w:rFonts w:asciiTheme="majorHAnsi" w:hAnsiTheme="majorHAnsi"/>
          <w:color w:val="auto"/>
          <w:sz w:val="20"/>
        </w:rPr>
        <w:t xml:space="preserve"> a la libertad de circulación</w:t>
      </w:r>
      <w:r w:rsidR="00F37BE2">
        <w:rPr>
          <w:rFonts w:asciiTheme="majorHAnsi" w:hAnsiTheme="majorHAnsi"/>
          <w:color w:val="auto"/>
          <w:sz w:val="20"/>
        </w:rPr>
        <w:t>,</w:t>
      </w:r>
      <w:r w:rsidR="0013287A" w:rsidRPr="00DB5BAC">
        <w:rPr>
          <w:rFonts w:asciiTheme="majorHAnsi" w:hAnsiTheme="majorHAnsi"/>
          <w:color w:val="auto"/>
          <w:sz w:val="20"/>
        </w:rPr>
        <w:t xml:space="preserve"> y a la educación</w:t>
      </w:r>
      <w:r w:rsidR="000D60AE" w:rsidRPr="00DB5BAC">
        <w:rPr>
          <w:rFonts w:asciiTheme="majorHAnsi" w:hAnsiTheme="majorHAnsi"/>
          <w:color w:val="auto"/>
          <w:sz w:val="20"/>
        </w:rPr>
        <w:t>)</w:t>
      </w:r>
      <w:r w:rsidR="00432289" w:rsidRPr="00DB5BAC">
        <w:rPr>
          <w:rFonts w:asciiTheme="majorHAnsi" w:hAnsiTheme="majorHAnsi"/>
          <w:color w:val="auto"/>
          <w:sz w:val="20"/>
        </w:rPr>
        <w:t xml:space="preserve">, </w:t>
      </w:r>
      <w:r w:rsidR="0013287A" w:rsidRPr="00DB5BAC">
        <w:rPr>
          <w:rFonts w:asciiTheme="majorHAnsi" w:hAnsiTheme="majorHAnsi"/>
          <w:color w:val="auto"/>
          <w:sz w:val="20"/>
        </w:rPr>
        <w:t>ya que se refieren a hechos que tuvieron lugar antes</w:t>
      </w:r>
      <w:r w:rsidR="00F37BE2">
        <w:rPr>
          <w:rFonts w:asciiTheme="majorHAnsi" w:hAnsiTheme="majorHAnsi"/>
          <w:color w:val="auto"/>
          <w:sz w:val="20"/>
        </w:rPr>
        <w:t xml:space="preserve"> de</w:t>
      </w:r>
      <w:r w:rsidR="0013287A" w:rsidRPr="00DB5BAC">
        <w:rPr>
          <w:rFonts w:asciiTheme="majorHAnsi" w:hAnsiTheme="majorHAnsi"/>
          <w:color w:val="auto"/>
          <w:sz w:val="20"/>
        </w:rPr>
        <w:t xml:space="preserve"> que </w:t>
      </w:r>
      <w:r w:rsidR="000648EF" w:rsidRPr="00DB5BAC">
        <w:rPr>
          <w:rFonts w:asciiTheme="majorHAnsi" w:hAnsiTheme="majorHAnsi"/>
          <w:color w:val="auto"/>
          <w:sz w:val="20"/>
        </w:rPr>
        <w:t>Estados Unidos</w:t>
      </w:r>
      <w:r w:rsidR="0013287A" w:rsidRPr="00DB5BAC">
        <w:rPr>
          <w:rFonts w:asciiTheme="majorHAnsi" w:hAnsiTheme="majorHAnsi"/>
          <w:color w:val="auto"/>
          <w:sz w:val="20"/>
        </w:rPr>
        <w:t xml:space="preserve"> depositara el instrumento de ratificación de la Carta de la OEA, lo cual se hizo el </w:t>
      </w:r>
      <w:r w:rsidR="00432289" w:rsidRPr="00DB5BAC">
        <w:rPr>
          <w:rFonts w:asciiTheme="majorHAnsi" w:hAnsiTheme="majorHAnsi"/>
          <w:color w:val="auto"/>
          <w:sz w:val="20"/>
        </w:rPr>
        <w:t>19</w:t>
      </w:r>
      <w:r w:rsidR="0013287A" w:rsidRPr="00DB5BAC">
        <w:rPr>
          <w:rFonts w:asciiTheme="majorHAnsi" w:hAnsiTheme="majorHAnsi"/>
          <w:color w:val="auto"/>
          <w:sz w:val="20"/>
        </w:rPr>
        <w:t xml:space="preserve"> de junio de</w:t>
      </w:r>
      <w:r w:rsidR="00432289" w:rsidRPr="00DB5BAC">
        <w:rPr>
          <w:rFonts w:asciiTheme="majorHAnsi" w:hAnsiTheme="majorHAnsi"/>
          <w:color w:val="auto"/>
          <w:sz w:val="20"/>
        </w:rPr>
        <w:t xml:space="preserve"> 1951, </w:t>
      </w:r>
      <w:r w:rsidR="0013287A" w:rsidRPr="00DB5BAC">
        <w:rPr>
          <w:rFonts w:asciiTheme="majorHAnsi" w:hAnsiTheme="majorHAnsi"/>
          <w:color w:val="auto"/>
          <w:sz w:val="20"/>
        </w:rPr>
        <w:t xml:space="preserve">fecha en la cual la </w:t>
      </w:r>
      <w:r w:rsidR="005B1600" w:rsidRPr="00DB5BAC">
        <w:rPr>
          <w:rFonts w:asciiTheme="majorHAnsi" w:hAnsiTheme="majorHAnsi"/>
          <w:color w:val="auto"/>
          <w:sz w:val="20"/>
        </w:rPr>
        <w:t>Declaración Americana</w:t>
      </w:r>
      <w:r w:rsidR="00432289" w:rsidRPr="00DB5BAC">
        <w:rPr>
          <w:rFonts w:asciiTheme="majorHAnsi" w:hAnsiTheme="majorHAnsi"/>
          <w:color w:val="auto"/>
          <w:sz w:val="20"/>
        </w:rPr>
        <w:t xml:space="preserve"> </w:t>
      </w:r>
      <w:r w:rsidR="0013287A" w:rsidRPr="00DB5BAC">
        <w:rPr>
          <w:rFonts w:asciiTheme="majorHAnsi" w:hAnsiTheme="majorHAnsi"/>
          <w:color w:val="auto"/>
          <w:sz w:val="20"/>
        </w:rPr>
        <w:t xml:space="preserve">se convirtió en una fuente de obligaciones jurídicas para </w:t>
      </w:r>
      <w:r w:rsidR="000648EF" w:rsidRPr="00DB5BAC">
        <w:rPr>
          <w:rFonts w:asciiTheme="majorHAnsi" w:hAnsiTheme="majorHAnsi"/>
          <w:color w:val="auto"/>
          <w:sz w:val="20"/>
        </w:rPr>
        <w:t>Estados Unidos</w:t>
      </w:r>
      <w:r w:rsidR="00432289" w:rsidRPr="00DB5BAC">
        <w:rPr>
          <w:rStyle w:val="FootnoteReference"/>
          <w:rFonts w:asciiTheme="majorHAnsi" w:hAnsiTheme="majorHAnsi"/>
          <w:color w:val="auto"/>
          <w:sz w:val="20"/>
        </w:rPr>
        <w:footnoteReference w:id="3"/>
      </w:r>
      <w:r w:rsidR="0013287A" w:rsidRPr="00DB5BAC">
        <w:rPr>
          <w:rFonts w:asciiTheme="majorHAnsi" w:hAnsiTheme="majorHAnsi"/>
          <w:color w:val="auto"/>
          <w:sz w:val="20"/>
        </w:rPr>
        <w:t>. No obstante</w:t>
      </w:r>
      <w:r w:rsidR="000D60AE" w:rsidRPr="00DB5BAC">
        <w:rPr>
          <w:rFonts w:asciiTheme="majorHAnsi" w:hAnsiTheme="majorHAnsi"/>
          <w:color w:val="auto"/>
          <w:sz w:val="20"/>
        </w:rPr>
        <w:t xml:space="preserve">, </w:t>
      </w:r>
      <w:r w:rsidR="000648EF" w:rsidRPr="00DB5BAC">
        <w:rPr>
          <w:rFonts w:asciiTheme="majorHAnsi" w:hAnsiTheme="majorHAnsi"/>
          <w:color w:val="auto"/>
          <w:sz w:val="20"/>
        </w:rPr>
        <w:t>la Comisión</w:t>
      </w:r>
      <w:r w:rsidR="000D60AE" w:rsidRPr="00DB5BAC">
        <w:rPr>
          <w:rFonts w:asciiTheme="majorHAnsi" w:hAnsiTheme="majorHAnsi"/>
          <w:color w:val="auto"/>
          <w:sz w:val="20"/>
        </w:rPr>
        <w:t xml:space="preserve"> </w:t>
      </w:r>
      <w:r w:rsidR="00F37BE2">
        <w:rPr>
          <w:rFonts w:asciiTheme="majorHAnsi" w:hAnsiTheme="majorHAnsi"/>
          <w:color w:val="auto"/>
          <w:sz w:val="20"/>
        </w:rPr>
        <w:t>describirá</w:t>
      </w:r>
      <w:r w:rsidR="0013287A" w:rsidRPr="00DB5BAC">
        <w:rPr>
          <w:rFonts w:asciiTheme="majorHAnsi" w:hAnsiTheme="majorHAnsi"/>
          <w:color w:val="auto"/>
          <w:sz w:val="20"/>
        </w:rPr>
        <w:t xml:space="preserve"> a continuación los hechos relacionados con el secuestro de</w:t>
      </w:r>
      <w:r w:rsidR="000D60AE" w:rsidRPr="00DB5BAC">
        <w:rPr>
          <w:rFonts w:asciiTheme="majorHAnsi" w:hAnsiTheme="majorHAnsi"/>
          <w:color w:val="auto"/>
          <w:sz w:val="20"/>
        </w:rPr>
        <w:t xml:space="preserve"> </w:t>
      </w:r>
      <w:r w:rsidR="005B1600" w:rsidRPr="00DB5BAC">
        <w:rPr>
          <w:rFonts w:asciiTheme="majorHAnsi" w:hAnsiTheme="majorHAnsi"/>
          <w:color w:val="auto"/>
          <w:sz w:val="20"/>
        </w:rPr>
        <w:t>los hermanos Shibayama</w:t>
      </w:r>
      <w:r w:rsidR="0013287A" w:rsidRPr="00DB5BAC">
        <w:rPr>
          <w:rFonts w:asciiTheme="majorHAnsi" w:hAnsiTheme="majorHAnsi"/>
          <w:color w:val="auto"/>
          <w:sz w:val="20"/>
        </w:rPr>
        <w:t xml:space="preserve"> en Perú</w:t>
      </w:r>
      <w:r w:rsidR="00CC205D" w:rsidRPr="00DB5BAC">
        <w:rPr>
          <w:rFonts w:asciiTheme="majorHAnsi" w:hAnsiTheme="majorHAnsi"/>
          <w:color w:val="auto"/>
          <w:sz w:val="20"/>
        </w:rPr>
        <w:t xml:space="preserve">, </w:t>
      </w:r>
      <w:r w:rsidR="0013287A" w:rsidRPr="00DB5BAC">
        <w:rPr>
          <w:rFonts w:asciiTheme="majorHAnsi" w:hAnsiTheme="majorHAnsi"/>
          <w:color w:val="auto"/>
          <w:sz w:val="20"/>
        </w:rPr>
        <w:t xml:space="preserve">su </w:t>
      </w:r>
      <w:r w:rsidR="00333A05" w:rsidRPr="00DB5BAC">
        <w:rPr>
          <w:rFonts w:asciiTheme="majorHAnsi" w:hAnsiTheme="majorHAnsi"/>
          <w:color w:val="auto"/>
          <w:sz w:val="20"/>
        </w:rPr>
        <w:t>internamiento</w:t>
      </w:r>
      <w:r w:rsidR="00CC205D" w:rsidRPr="00DB5BAC">
        <w:rPr>
          <w:rFonts w:asciiTheme="majorHAnsi" w:hAnsiTheme="majorHAnsi"/>
          <w:color w:val="auto"/>
          <w:sz w:val="20"/>
        </w:rPr>
        <w:t xml:space="preserve"> </w:t>
      </w:r>
      <w:r w:rsidR="0013287A" w:rsidRPr="00DB5BAC">
        <w:rPr>
          <w:rFonts w:asciiTheme="majorHAnsi" w:hAnsiTheme="majorHAnsi"/>
          <w:color w:val="auto"/>
          <w:sz w:val="20"/>
        </w:rPr>
        <w:t xml:space="preserve">en </w:t>
      </w:r>
      <w:r w:rsidR="000648EF" w:rsidRPr="00DB5BAC">
        <w:rPr>
          <w:rFonts w:asciiTheme="majorHAnsi" w:hAnsiTheme="majorHAnsi"/>
          <w:color w:val="auto"/>
          <w:sz w:val="20"/>
        </w:rPr>
        <w:t>Estados Unidos</w:t>
      </w:r>
      <w:r w:rsidR="0013287A" w:rsidRPr="00DB5BAC">
        <w:rPr>
          <w:rFonts w:asciiTheme="majorHAnsi" w:hAnsiTheme="majorHAnsi"/>
          <w:color w:val="auto"/>
          <w:sz w:val="20"/>
        </w:rPr>
        <w:t xml:space="preserve"> y su posterior liberación </w:t>
      </w:r>
      <w:r w:rsidR="00FC02FC" w:rsidRPr="00DB5BAC">
        <w:rPr>
          <w:rFonts w:asciiTheme="majorHAnsi" w:hAnsiTheme="majorHAnsi"/>
          <w:color w:val="auto"/>
          <w:sz w:val="20"/>
        </w:rPr>
        <w:t xml:space="preserve">porque proporcionan antecedentes y un contexto pertinentes y son necesarios para comprender el alcance de sus reclamaciones relativas a la </w:t>
      </w:r>
      <w:r w:rsidR="00333A05" w:rsidRPr="00DB5BAC">
        <w:rPr>
          <w:rFonts w:asciiTheme="majorHAnsi" w:hAnsiTheme="majorHAnsi"/>
          <w:color w:val="auto"/>
          <w:sz w:val="20"/>
        </w:rPr>
        <w:t>igualdad ante la ley</w:t>
      </w:r>
      <w:r w:rsidR="00CC205D" w:rsidRPr="00DB5BAC">
        <w:rPr>
          <w:rFonts w:asciiTheme="majorHAnsi" w:hAnsiTheme="majorHAnsi"/>
          <w:color w:val="auto"/>
          <w:sz w:val="20"/>
        </w:rPr>
        <w:t xml:space="preserve"> </w:t>
      </w:r>
      <w:r w:rsidR="00FC02FC" w:rsidRPr="00DB5BAC">
        <w:rPr>
          <w:rFonts w:asciiTheme="majorHAnsi" w:hAnsiTheme="majorHAnsi"/>
          <w:color w:val="auto"/>
          <w:sz w:val="20"/>
        </w:rPr>
        <w:t xml:space="preserve">y su derecho a una reparación </w:t>
      </w:r>
      <w:r w:rsidR="00CC205D" w:rsidRPr="00DB5BAC">
        <w:rPr>
          <w:rFonts w:asciiTheme="majorHAnsi" w:hAnsiTheme="majorHAnsi"/>
          <w:color w:val="auto"/>
          <w:sz w:val="20"/>
        </w:rPr>
        <w:t>integral.</w:t>
      </w:r>
    </w:p>
    <w:p w14:paraId="1CC62D6A" w14:textId="77777777" w:rsidR="00BB421D" w:rsidRPr="00DB5BAC" w:rsidRDefault="00BB421D" w:rsidP="00BB421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79C8F87F" w14:textId="77777777" w:rsidR="00BB421D" w:rsidRPr="00DB5BAC" w:rsidRDefault="00A52DF5"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Asimismo,</w:t>
      </w:r>
      <w:r w:rsidR="00BB421D" w:rsidRPr="00DB5BAC">
        <w:rPr>
          <w:color w:val="auto"/>
          <w:sz w:val="20"/>
        </w:rPr>
        <w:t xml:space="preserve"> </w:t>
      </w:r>
      <w:r w:rsidR="000648EF" w:rsidRPr="00DB5BAC">
        <w:rPr>
          <w:color w:val="auto"/>
          <w:sz w:val="20"/>
        </w:rPr>
        <w:t>la Comisión</w:t>
      </w:r>
      <w:r w:rsidR="00BB421D" w:rsidRPr="00DB5BAC">
        <w:rPr>
          <w:color w:val="auto"/>
          <w:sz w:val="20"/>
        </w:rPr>
        <w:t xml:space="preserve"> observ</w:t>
      </w:r>
      <w:r w:rsidRPr="00DB5BAC">
        <w:rPr>
          <w:color w:val="auto"/>
          <w:sz w:val="20"/>
        </w:rPr>
        <w:t>a que, en la etapa de fondo</w:t>
      </w:r>
      <w:r w:rsidR="00FA5E63" w:rsidRPr="00DB5BAC">
        <w:rPr>
          <w:color w:val="auto"/>
          <w:sz w:val="20"/>
        </w:rPr>
        <w:t xml:space="preserve">, </w:t>
      </w:r>
      <w:r w:rsidR="000275C1" w:rsidRPr="00DB5BAC">
        <w:rPr>
          <w:color w:val="auto"/>
          <w:sz w:val="20"/>
        </w:rPr>
        <w:t>los peticionarios alegaron</w:t>
      </w:r>
      <w:r w:rsidR="00FA5E63" w:rsidRPr="00DB5BAC">
        <w:rPr>
          <w:color w:val="auto"/>
          <w:sz w:val="20"/>
        </w:rPr>
        <w:t xml:space="preserve"> </w:t>
      </w:r>
      <w:r w:rsidRPr="00DB5BAC">
        <w:rPr>
          <w:color w:val="auto"/>
          <w:sz w:val="20"/>
        </w:rPr>
        <w:t>violaciones</w:t>
      </w:r>
      <w:r w:rsidR="00FA5E63" w:rsidRPr="00DB5BAC">
        <w:rPr>
          <w:color w:val="auto"/>
          <w:sz w:val="20"/>
        </w:rPr>
        <w:t xml:space="preserve"> </w:t>
      </w:r>
      <w:r w:rsidRPr="00DB5BAC">
        <w:rPr>
          <w:color w:val="auto"/>
          <w:sz w:val="20"/>
        </w:rPr>
        <w:t xml:space="preserve">del derecho a la verdad. Sin embargo, no proporcionaron información que indicara que se habían </w:t>
      </w:r>
      <w:r w:rsidRPr="00DB5BAC">
        <w:rPr>
          <w:color w:val="auto"/>
          <w:sz w:val="20"/>
        </w:rPr>
        <w:lastRenderedPageBreak/>
        <w:t>agotado los recursos internos para esta reclamación</w:t>
      </w:r>
      <w:r w:rsidR="00FA5E63" w:rsidRPr="00DB5BAC">
        <w:rPr>
          <w:color w:val="auto"/>
          <w:sz w:val="20"/>
        </w:rPr>
        <w:t xml:space="preserve">, </w:t>
      </w:r>
      <w:r w:rsidRPr="00DB5BAC">
        <w:rPr>
          <w:color w:val="auto"/>
          <w:sz w:val="20"/>
        </w:rPr>
        <w:t xml:space="preserve">razón por la cual </w:t>
      </w:r>
      <w:r w:rsidR="000648EF" w:rsidRPr="00DB5BAC">
        <w:rPr>
          <w:color w:val="auto"/>
          <w:sz w:val="20"/>
        </w:rPr>
        <w:t>la Comisión</w:t>
      </w:r>
      <w:r w:rsidR="00FA5E63" w:rsidRPr="00DB5BAC">
        <w:rPr>
          <w:color w:val="auto"/>
          <w:sz w:val="20"/>
        </w:rPr>
        <w:t xml:space="preserve"> </w:t>
      </w:r>
      <w:r w:rsidRPr="00DB5BAC">
        <w:rPr>
          <w:color w:val="auto"/>
          <w:sz w:val="20"/>
        </w:rPr>
        <w:t>no considerará este asunto en este informe sobre el fondo</w:t>
      </w:r>
      <w:r w:rsidR="00FA5E63" w:rsidRPr="00DB5BAC">
        <w:rPr>
          <w:color w:val="auto"/>
          <w:sz w:val="20"/>
        </w:rPr>
        <w:t>.</w:t>
      </w:r>
    </w:p>
    <w:p w14:paraId="2DF21ACC" w14:textId="77777777" w:rsidR="00432289" w:rsidRPr="00DB5BAC" w:rsidRDefault="00432289" w:rsidP="004322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3BFAC4EC" w14:textId="77777777" w:rsidR="00D12193" w:rsidRPr="00DB5BAC" w:rsidRDefault="00537851" w:rsidP="00C53C19">
      <w:pPr>
        <w:pStyle w:val="Heading1"/>
        <w:rPr>
          <w:lang w:val="es-ES"/>
        </w:rPr>
      </w:pPr>
      <w:bookmarkStart w:id="7" w:name="_Toc27473282"/>
      <w:r>
        <w:rPr>
          <w:lang w:val="es-ES"/>
        </w:rPr>
        <w:t>DETERMINACIONES DE HECHO</w:t>
      </w:r>
      <w:bookmarkEnd w:id="7"/>
    </w:p>
    <w:p w14:paraId="1E617025" w14:textId="77777777" w:rsidR="007C756A" w:rsidRPr="00DB5BAC" w:rsidRDefault="007C756A" w:rsidP="00815021">
      <w:pPr>
        <w:rPr>
          <w:rFonts w:asciiTheme="majorHAnsi" w:hAnsiTheme="majorHAnsi"/>
          <w:b/>
          <w:sz w:val="20"/>
        </w:rPr>
      </w:pPr>
    </w:p>
    <w:p w14:paraId="1B181030" w14:textId="77777777" w:rsidR="00815021" w:rsidRPr="00DB5BAC" w:rsidRDefault="000648EF" w:rsidP="00D47899">
      <w:pPr>
        <w:pStyle w:val="Heading2"/>
        <w:numPr>
          <w:ilvl w:val="0"/>
          <w:numId w:val="58"/>
        </w:numPr>
        <w:tabs>
          <w:tab w:val="left" w:pos="630"/>
        </w:tabs>
        <w:ind w:left="1440" w:hanging="810"/>
        <w:rPr>
          <w:lang w:val="es-ES"/>
        </w:rPr>
      </w:pPr>
      <w:bookmarkStart w:id="8" w:name="_Toc27473283"/>
      <w:r w:rsidRPr="00DB5BAC">
        <w:rPr>
          <w:lang w:val="es-ES"/>
        </w:rPr>
        <w:t>Antecedentes</w:t>
      </w:r>
      <w:bookmarkEnd w:id="8"/>
    </w:p>
    <w:p w14:paraId="0531C5A0" w14:textId="77777777" w:rsidR="00D83D73" w:rsidRPr="00DB5BAC" w:rsidRDefault="00D83D73" w:rsidP="00887D37">
      <w:pPr>
        <w:rPr>
          <w:rFonts w:asciiTheme="majorHAnsi" w:hAnsiTheme="majorHAnsi"/>
          <w:b/>
          <w:color w:val="FF0000"/>
          <w:sz w:val="20"/>
        </w:rPr>
      </w:pPr>
    </w:p>
    <w:p w14:paraId="617749D7" w14:textId="77777777" w:rsidR="00F6580B" w:rsidRPr="00DB5BAC" w:rsidRDefault="005A604C"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 xml:space="preserve">El </w:t>
      </w:r>
      <w:r w:rsidR="005D79E6" w:rsidRPr="00DB5BAC">
        <w:rPr>
          <w:sz w:val="20"/>
        </w:rPr>
        <w:t>19</w:t>
      </w:r>
      <w:r w:rsidRPr="00DB5BAC">
        <w:rPr>
          <w:sz w:val="20"/>
        </w:rPr>
        <w:t xml:space="preserve"> de febrero de</w:t>
      </w:r>
      <w:r w:rsidR="005D79E6" w:rsidRPr="00DB5BAC">
        <w:rPr>
          <w:sz w:val="20"/>
        </w:rPr>
        <w:t xml:space="preserve"> 1942, </w:t>
      </w:r>
      <w:r w:rsidRPr="00DB5BAC">
        <w:rPr>
          <w:sz w:val="20"/>
        </w:rPr>
        <w:t>el p</w:t>
      </w:r>
      <w:r w:rsidR="005D79E6" w:rsidRPr="00DB5BAC">
        <w:rPr>
          <w:sz w:val="20"/>
        </w:rPr>
        <w:t>resident</w:t>
      </w:r>
      <w:r w:rsidRPr="00DB5BAC">
        <w:rPr>
          <w:sz w:val="20"/>
        </w:rPr>
        <w:t>e</w:t>
      </w:r>
      <w:r w:rsidR="005D79E6" w:rsidRPr="00DB5BAC">
        <w:rPr>
          <w:sz w:val="20"/>
        </w:rPr>
        <w:t xml:space="preserve"> Franklin D. Roosevelt </w:t>
      </w:r>
      <w:r w:rsidRPr="00DB5BAC">
        <w:rPr>
          <w:sz w:val="20"/>
        </w:rPr>
        <w:t xml:space="preserve">expidió la Orden Ejecutiva </w:t>
      </w:r>
      <w:r w:rsidR="005D79E6" w:rsidRPr="00DB5BAC">
        <w:rPr>
          <w:sz w:val="20"/>
        </w:rPr>
        <w:t xml:space="preserve">No. 9066, </w:t>
      </w:r>
      <w:r w:rsidRPr="00DB5BAC">
        <w:rPr>
          <w:sz w:val="20"/>
        </w:rPr>
        <w:t xml:space="preserve">mediante la cual se </w:t>
      </w:r>
      <w:r w:rsidR="005D79E6" w:rsidRPr="00DB5BAC">
        <w:rPr>
          <w:sz w:val="20"/>
        </w:rPr>
        <w:t>autoriz</w:t>
      </w:r>
      <w:r w:rsidRPr="00DB5BAC">
        <w:rPr>
          <w:sz w:val="20"/>
        </w:rPr>
        <w:t xml:space="preserve">aba la creación de </w:t>
      </w:r>
      <w:r w:rsidR="0090313E" w:rsidRPr="00DB5BAC">
        <w:rPr>
          <w:sz w:val="20"/>
        </w:rPr>
        <w:t>campos de internamiento</w:t>
      </w:r>
      <w:r w:rsidR="005D79E6" w:rsidRPr="00DB5BAC">
        <w:rPr>
          <w:sz w:val="20"/>
        </w:rPr>
        <w:t xml:space="preserve"> </w:t>
      </w:r>
      <w:r w:rsidRPr="00DB5BAC">
        <w:rPr>
          <w:sz w:val="20"/>
        </w:rPr>
        <w:t>e</w:t>
      </w:r>
      <w:r w:rsidR="005D79E6" w:rsidRPr="00DB5BAC">
        <w:rPr>
          <w:sz w:val="20"/>
        </w:rPr>
        <w:t xml:space="preserve">n </w:t>
      </w:r>
      <w:r w:rsidR="00AE2AD7" w:rsidRPr="00DB5BAC">
        <w:rPr>
          <w:sz w:val="20"/>
        </w:rPr>
        <w:t>Estados Unidos</w:t>
      </w:r>
      <w:r w:rsidRPr="00DB5BAC">
        <w:rPr>
          <w:sz w:val="20"/>
        </w:rPr>
        <w:t xml:space="preserve"> durante la guerra</w:t>
      </w:r>
      <w:r w:rsidR="005D79E6" w:rsidRPr="00DB5BAC">
        <w:rPr>
          <w:rStyle w:val="FootnoteReference"/>
          <w:sz w:val="20"/>
        </w:rPr>
        <w:footnoteReference w:id="4"/>
      </w:r>
      <w:r w:rsidRPr="00DB5BAC">
        <w:rPr>
          <w:sz w:val="20"/>
        </w:rPr>
        <w:t xml:space="preserve">. Alrededor de </w:t>
      </w:r>
      <w:r w:rsidR="005D79E6" w:rsidRPr="00DB5BAC">
        <w:rPr>
          <w:sz w:val="20"/>
        </w:rPr>
        <w:t>120</w:t>
      </w:r>
      <w:r w:rsidRPr="00DB5BAC">
        <w:rPr>
          <w:sz w:val="20"/>
        </w:rPr>
        <w:t>.</w:t>
      </w:r>
      <w:r w:rsidR="005D79E6" w:rsidRPr="00DB5BAC">
        <w:rPr>
          <w:sz w:val="20"/>
        </w:rPr>
        <w:t>000 civil</w:t>
      </w:r>
      <w:r w:rsidRPr="00DB5BAC">
        <w:rPr>
          <w:sz w:val="20"/>
        </w:rPr>
        <w:t>es de ascendencia japonesa</w:t>
      </w:r>
      <w:r w:rsidR="008A14D3" w:rsidRPr="00DB5BAC">
        <w:rPr>
          <w:sz w:val="20"/>
        </w:rPr>
        <w:t>, en su mayoría ciudadanos estadounidenses</w:t>
      </w:r>
      <w:r w:rsidR="008A14D3" w:rsidRPr="00DB5BAC">
        <w:rPr>
          <w:sz w:val="20"/>
          <w:vertAlign w:val="superscript"/>
        </w:rPr>
        <w:footnoteReference w:id="5"/>
      </w:r>
      <w:r w:rsidR="008A14D3" w:rsidRPr="00DB5BAC">
        <w:rPr>
          <w:sz w:val="20"/>
        </w:rPr>
        <w:t>,</w:t>
      </w:r>
      <w:r w:rsidR="005D79E6" w:rsidRPr="00DB5BAC">
        <w:rPr>
          <w:sz w:val="20"/>
        </w:rPr>
        <w:t xml:space="preserve"> </w:t>
      </w:r>
      <w:r w:rsidRPr="00DB5BAC">
        <w:rPr>
          <w:sz w:val="20"/>
        </w:rPr>
        <w:t>fueron trasladados y detenidos en estos campos</w:t>
      </w:r>
      <w:r w:rsidR="005D79E6" w:rsidRPr="00DB5BAC">
        <w:rPr>
          <w:rStyle w:val="FootnoteReference"/>
          <w:sz w:val="20"/>
        </w:rPr>
        <w:footnoteReference w:id="6"/>
      </w:r>
      <w:r w:rsidR="008A14D3" w:rsidRPr="00DB5BAC">
        <w:rPr>
          <w:sz w:val="20"/>
        </w:rPr>
        <w:t xml:space="preserve">. En </w:t>
      </w:r>
      <w:r w:rsidR="00FD1BB2" w:rsidRPr="00DB5BAC">
        <w:rPr>
          <w:sz w:val="20"/>
        </w:rPr>
        <w:t xml:space="preserve">1980, </w:t>
      </w:r>
      <w:r w:rsidR="008A14D3" w:rsidRPr="00DB5BAC">
        <w:rPr>
          <w:sz w:val="20"/>
        </w:rPr>
        <w:t xml:space="preserve">el Congreso de </w:t>
      </w:r>
      <w:r w:rsidR="000648EF" w:rsidRPr="00DB5BAC">
        <w:rPr>
          <w:sz w:val="20"/>
        </w:rPr>
        <w:t>Estados Unidos</w:t>
      </w:r>
      <w:r w:rsidR="00FD1BB2" w:rsidRPr="00DB5BAC">
        <w:rPr>
          <w:sz w:val="20"/>
        </w:rPr>
        <w:t xml:space="preserve"> </w:t>
      </w:r>
      <w:r w:rsidR="008A14D3" w:rsidRPr="00DB5BAC">
        <w:rPr>
          <w:sz w:val="20"/>
        </w:rPr>
        <w:t xml:space="preserve">aprobó una ley mediante la cual se autorizaba la creación de una comisión para examinar el </w:t>
      </w:r>
      <w:r w:rsidR="00FD1BB2" w:rsidRPr="00DB5BAC">
        <w:rPr>
          <w:sz w:val="20"/>
        </w:rPr>
        <w:t>impact</w:t>
      </w:r>
      <w:r w:rsidR="008A14D3" w:rsidRPr="00DB5BAC">
        <w:rPr>
          <w:sz w:val="20"/>
        </w:rPr>
        <w:t>o de la Orden Ejecutiva</w:t>
      </w:r>
      <w:r w:rsidR="00FD1BB2" w:rsidRPr="00DB5BAC">
        <w:rPr>
          <w:sz w:val="20"/>
        </w:rPr>
        <w:t xml:space="preserve"> No. 9066 </w:t>
      </w:r>
      <w:r w:rsidR="00F37BE2">
        <w:rPr>
          <w:sz w:val="20"/>
        </w:rPr>
        <w:t>sobre</w:t>
      </w:r>
      <w:r w:rsidR="00B53E25" w:rsidRPr="00DB5BAC">
        <w:rPr>
          <w:sz w:val="20"/>
        </w:rPr>
        <w:t xml:space="preserve"> los </w:t>
      </w:r>
      <w:r w:rsidR="008A14D3" w:rsidRPr="00DB5BAC">
        <w:rPr>
          <w:sz w:val="20"/>
        </w:rPr>
        <w:t xml:space="preserve">ciudadanos estadounidenses y </w:t>
      </w:r>
      <w:r w:rsidR="00B53E25" w:rsidRPr="00DB5BAC">
        <w:rPr>
          <w:sz w:val="20"/>
        </w:rPr>
        <w:t xml:space="preserve">los </w:t>
      </w:r>
      <w:r w:rsidR="008A14D3" w:rsidRPr="00DB5BAC">
        <w:rPr>
          <w:sz w:val="20"/>
        </w:rPr>
        <w:t xml:space="preserve">extranjeros con residencia permanente. El trabajo de esta comisión culminó en el informe de </w:t>
      </w:r>
      <w:r w:rsidR="00FD1BB2" w:rsidRPr="00DB5BAC">
        <w:rPr>
          <w:sz w:val="20"/>
        </w:rPr>
        <w:t xml:space="preserve">1982 </w:t>
      </w:r>
      <w:r w:rsidR="008A14D3" w:rsidRPr="00DB5BAC">
        <w:rPr>
          <w:sz w:val="20"/>
        </w:rPr>
        <w:t xml:space="preserve">titulado </w:t>
      </w:r>
      <w:r w:rsidR="00FD1BB2" w:rsidRPr="00DB5BAC">
        <w:rPr>
          <w:i/>
          <w:sz w:val="20"/>
        </w:rPr>
        <w:t xml:space="preserve">Personal Justice Denied: Report of </w:t>
      </w:r>
      <w:r w:rsidR="008A14D3" w:rsidRPr="00DB5BAC">
        <w:rPr>
          <w:i/>
          <w:sz w:val="20"/>
        </w:rPr>
        <w:t>the Commission</w:t>
      </w:r>
      <w:r w:rsidR="00FD1BB2" w:rsidRPr="00DB5BAC">
        <w:rPr>
          <w:i/>
          <w:sz w:val="20"/>
        </w:rPr>
        <w:t xml:space="preserve"> on Wartime Relocation and </w:t>
      </w:r>
      <w:r w:rsidR="00333A05" w:rsidRPr="00DB5BAC">
        <w:rPr>
          <w:i/>
          <w:sz w:val="20"/>
        </w:rPr>
        <w:t>Intern</w:t>
      </w:r>
      <w:r w:rsidR="008A14D3" w:rsidRPr="00DB5BAC">
        <w:rPr>
          <w:i/>
          <w:sz w:val="20"/>
        </w:rPr>
        <w:t xml:space="preserve">ment </w:t>
      </w:r>
      <w:r w:rsidR="00FD1BB2" w:rsidRPr="00DB5BAC">
        <w:rPr>
          <w:i/>
          <w:sz w:val="20"/>
        </w:rPr>
        <w:t>of Civilians</w:t>
      </w:r>
      <w:r w:rsidR="00FD1BB2" w:rsidRPr="00DB5BAC">
        <w:rPr>
          <w:sz w:val="20"/>
        </w:rPr>
        <w:t xml:space="preserve">, </w:t>
      </w:r>
      <w:r w:rsidR="008A14D3" w:rsidRPr="00DB5BAC">
        <w:rPr>
          <w:sz w:val="20"/>
        </w:rPr>
        <w:t xml:space="preserve">que contenía un apéndice sobre los </w:t>
      </w:r>
      <w:r w:rsidR="00BB0303" w:rsidRPr="00DB5BAC">
        <w:rPr>
          <w:sz w:val="20"/>
        </w:rPr>
        <w:t>japoneses latinoamericanos</w:t>
      </w:r>
      <w:r w:rsidR="00FD1BB2" w:rsidRPr="00DB5BAC">
        <w:rPr>
          <w:sz w:val="20"/>
        </w:rPr>
        <w:t xml:space="preserve">, </w:t>
      </w:r>
      <w:r w:rsidR="008A14D3" w:rsidRPr="00DB5BAC">
        <w:rPr>
          <w:sz w:val="20"/>
        </w:rPr>
        <w:t>y el informe de</w:t>
      </w:r>
      <w:r w:rsidR="00FD1BB2" w:rsidRPr="00DB5BAC">
        <w:rPr>
          <w:sz w:val="20"/>
        </w:rPr>
        <w:t xml:space="preserve"> 1983 </w:t>
      </w:r>
      <w:r w:rsidR="008A14D3" w:rsidRPr="00DB5BAC">
        <w:rPr>
          <w:sz w:val="20"/>
        </w:rPr>
        <w:t xml:space="preserve">titulado </w:t>
      </w:r>
      <w:r w:rsidR="00FD1BB2" w:rsidRPr="00DB5BAC">
        <w:rPr>
          <w:i/>
          <w:sz w:val="20"/>
        </w:rPr>
        <w:t>Personal Justice Denied Part 2: Recommendations</w:t>
      </w:r>
      <w:r w:rsidR="00FD1BB2" w:rsidRPr="00DB5BAC">
        <w:rPr>
          <w:rStyle w:val="FootnoteReference"/>
          <w:sz w:val="20"/>
        </w:rPr>
        <w:footnoteReference w:id="7"/>
      </w:r>
      <w:r w:rsidR="008A14D3" w:rsidRPr="00DB5BAC">
        <w:rPr>
          <w:sz w:val="20"/>
        </w:rPr>
        <w:t>.</w:t>
      </w:r>
    </w:p>
    <w:p w14:paraId="38589838" w14:textId="77777777" w:rsidR="00F6580B" w:rsidRPr="00DB5BAC" w:rsidRDefault="00F6580B" w:rsidP="00F658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rPr>
      </w:pPr>
    </w:p>
    <w:p w14:paraId="39D47163" w14:textId="77777777" w:rsidR="0093319D" w:rsidRPr="00DB5BAC" w:rsidRDefault="00461CC9"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 xml:space="preserve">El apéndice de </w:t>
      </w:r>
      <w:r w:rsidR="00FD1BB2" w:rsidRPr="00DB5BAC">
        <w:rPr>
          <w:i/>
          <w:sz w:val="20"/>
        </w:rPr>
        <w:t>Personal Justice Denied</w:t>
      </w:r>
      <w:r w:rsidR="00FD1BB2" w:rsidRPr="00DB5BAC">
        <w:rPr>
          <w:sz w:val="20"/>
        </w:rPr>
        <w:t xml:space="preserve"> </w:t>
      </w:r>
      <w:r w:rsidRPr="00DB5BAC">
        <w:rPr>
          <w:sz w:val="20"/>
        </w:rPr>
        <w:t xml:space="preserve">sobre los </w:t>
      </w:r>
      <w:r w:rsidR="00BB0303" w:rsidRPr="00DB5BAC">
        <w:rPr>
          <w:sz w:val="20"/>
        </w:rPr>
        <w:t>japoneses latinoamericanos</w:t>
      </w:r>
      <w:r w:rsidR="00FD1BB2" w:rsidRPr="00DB5BAC">
        <w:rPr>
          <w:sz w:val="20"/>
        </w:rPr>
        <w:t xml:space="preserve"> </w:t>
      </w:r>
      <w:r w:rsidR="00F37BE2">
        <w:rPr>
          <w:sz w:val="20"/>
        </w:rPr>
        <w:t>concluye</w:t>
      </w:r>
      <w:r w:rsidRPr="00DB5BAC">
        <w:rPr>
          <w:sz w:val="20"/>
        </w:rPr>
        <w:t xml:space="preserve"> que </w:t>
      </w:r>
      <w:r w:rsidR="00645EA3" w:rsidRPr="00DB5BAC">
        <w:rPr>
          <w:sz w:val="20"/>
        </w:rPr>
        <w:t>dur</w:t>
      </w:r>
      <w:r w:rsidRPr="00DB5BAC">
        <w:rPr>
          <w:sz w:val="20"/>
        </w:rPr>
        <w:t xml:space="preserve">ante la </w:t>
      </w:r>
      <w:r w:rsidR="0090313E" w:rsidRPr="00DB5BAC">
        <w:rPr>
          <w:sz w:val="20"/>
        </w:rPr>
        <w:t>Segunda Guerra Mundial</w:t>
      </w:r>
      <w:r w:rsidRPr="00DB5BAC">
        <w:rPr>
          <w:sz w:val="20"/>
        </w:rPr>
        <w:t>,</w:t>
      </w:r>
      <w:r w:rsidR="00645EA3" w:rsidRPr="00DB5BAC">
        <w:rPr>
          <w:sz w:val="20"/>
        </w:rPr>
        <w:t xml:space="preserve"> </w:t>
      </w:r>
      <w:r w:rsidR="000648EF" w:rsidRPr="00DB5BAC">
        <w:rPr>
          <w:sz w:val="20"/>
        </w:rPr>
        <w:t>Estados Unidos</w:t>
      </w:r>
      <w:r w:rsidRPr="00DB5BAC">
        <w:rPr>
          <w:sz w:val="20"/>
        </w:rPr>
        <w:t xml:space="preserve">, </w:t>
      </w:r>
      <w:r w:rsidR="00F37BE2">
        <w:rPr>
          <w:sz w:val="20"/>
        </w:rPr>
        <w:t>aunque no</w:t>
      </w:r>
      <w:r w:rsidRPr="00DB5BAC">
        <w:rPr>
          <w:sz w:val="20"/>
        </w:rPr>
        <w:t xml:space="preserve"> fuera</w:t>
      </w:r>
      <w:r w:rsidR="00F37BE2">
        <w:rPr>
          <w:sz w:val="20"/>
        </w:rPr>
        <w:t xml:space="preserve"> dentro</w:t>
      </w:r>
      <w:r w:rsidRPr="00DB5BAC">
        <w:rPr>
          <w:sz w:val="20"/>
        </w:rPr>
        <w:t xml:space="preserve"> del marco de la Orden Ejecutiva No. 9066, </w:t>
      </w:r>
      <w:r w:rsidR="00F37BE2">
        <w:rPr>
          <w:sz w:val="20"/>
        </w:rPr>
        <w:t>“</w:t>
      </w:r>
      <w:r w:rsidR="00B53E25" w:rsidRPr="00DB5BAC">
        <w:rPr>
          <w:sz w:val="20"/>
        </w:rPr>
        <w:t xml:space="preserve">extendió </w:t>
      </w:r>
      <w:r w:rsidRPr="00DB5BAC">
        <w:rPr>
          <w:sz w:val="20"/>
        </w:rPr>
        <w:t xml:space="preserve">su programa de </w:t>
      </w:r>
      <w:r w:rsidR="00333A05" w:rsidRPr="00DB5BAC">
        <w:rPr>
          <w:sz w:val="20"/>
        </w:rPr>
        <w:t>internamiento</w:t>
      </w:r>
      <w:r w:rsidR="00645EA3" w:rsidRPr="00DB5BAC">
        <w:rPr>
          <w:sz w:val="20"/>
        </w:rPr>
        <w:t xml:space="preserve"> </w:t>
      </w:r>
      <w:r w:rsidRPr="00DB5BAC">
        <w:rPr>
          <w:sz w:val="20"/>
        </w:rPr>
        <w:t xml:space="preserve">a América Latina sobre la base de una </w:t>
      </w:r>
      <w:r w:rsidR="00F37BE2">
        <w:rPr>
          <w:sz w:val="20"/>
        </w:rPr>
        <w:t>‘</w:t>
      </w:r>
      <w:r w:rsidRPr="00DB5BAC">
        <w:rPr>
          <w:sz w:val="20"/>
        </w:rPr>
        <w:t>necesidad militar</w:t>
      </w:r>
      <w:r w:rsidR="00F37BE2">
        <w:rPr>
          <w:sz w:val="20"/>
        </w:rPr>
        <w:t>’</w:t>
      </w:r>
      <w:r w:rsidRPr="00DB5BAC">
        <w:rPr>
          <w:sz w:val="20"/>
        </w:rPr>
        <w:t xml:space="preserve">. A invitación de </w:t>
      </w:r>
      <w:r w:rsidR="000648EF" w:rsidRPr="00DB5BAC">
        <w:rPr>
          <w:sz w:val="20"/>
        </w:rPr>
        <w:t>Estados Unidos</w:t>
      </w:r>
      <w:r w:rsidRPr="00DB5BAC">
        <w:rPr>
          <w:sz w:val="20"/>
        </w:rPr>
        <w:t xml:space="preserve">, alrededor de </w:t>
      </w:r>
      <w:r w:rsidR="00645EA3" w:rsidRPr="00DB5BAC">
        <w:rPr>
          <w:sz w:val="20"/>
        </w:rPr>
        <w:t>3</w:t>
      </w:r>
      <w:r w:rsidRPr="00DB5BAC">
        <w:rPr>
          <w:sz w:val="20"/>
        </w:rPr>
        <w:t>.</w:t>
      </w:r>
      <w:r w:rsidR="00645EA3" w:rsidRPr="00DB5BAC">
        <w:rPr>
          <w:sz w:val="20"/>
        </w:rPr>
        <w:t>000 resident</w:t>
      </w:r>
      <w:r w:rsidRPr="00DB5BAC">
        <w:rPr>
          <w:sz w:val="20"/>
        </w:rPr>
        <w:t>es de</w:t>
      </w:r>
      <w:r w:rsidR="00645EA3" w:rsidRPr="00DB5BAC">
        <w:rPr>
          <w:sz w:val="20"/>
        </w:rPr>
        <w:t xml:space="preserve"> </w:t>
      </w:r>
      <w:r w:rsidRPr="00DB5BAC">
        <w:rPr>
          <w:sz w:val="20"/>
        </w:rPr>
        <w:t xml:space="preserve">América </w:t>
      </w:r>
      <w:r w:rsidR="00645EA3" w:rsidRPr="00DB5BAC">
        <w:rPr>
          <w:sz w:val="20"/>
        </w:rPr>
        <w:t>Latin</w:t>
      </w:r>
      <w:r w:rsidRPr="00DB5BAC">
        <w:rPr>
          <w:sz w:val="20"/>
        </w:rPr>
        <w:t xml:space="preserve">a fueron deportados a </w:t>
      </w:r>
      <w:r w:rsidR="00AE2AD7" w:rsidRPr="00DB5BAC">
        <w:rPr>
          <w:sz w:val="20"/>
        </w:rPr>
        <w:t>Estados Unidos</w:t>
      </w:r>
      <w:r w:rsidR="00645EA3" w:rsidRPr="00DB5BAC">
        <w:rPr>
          <w:sz w:val="20"/>
        </w:rPr>
        <w:t xml:space="preserve"> </w:t>
      </w:r>
      <w:r w:rsidRPr="00DB5BAC">
        <w:rPr>
          <w:sz w:val="20"/>
        </w:rPr>
        <w:t xml:space="preserve">para su </w:t>
      </w:r>
      <w:r w:rsidR="00333A05" w:rsidRPr="00DB5BAC">
        <w:rPr>
          <w:sz w:val="20"/>
        </w:rPr>
        <w:t>internamiento</w:t>
      </w:r>
      <w:r w:rsidR="00645EA3" w:rsidRPr="00DB5BAC">
        <w:rPr>
          <w:sz w:val="20"/>
        </w:rPr>
        <w:t xml:space="preserve"> </w:t>
      </w:r>
      <w:r w:rsidRPr="00DB5BAC">
        <w:rPr>
          <w:sz w:val="20"/>
        </w:rPr>
        <w:t xml:space="preserve">a fin de proteger al continente de amenazas internas y posibilitar el intercambio de estas personas por ciudadanos estadounidenses detenidos por el Eje. La mayoría de los deportados o sus familiares eran ciudadanos de Japón, Alemania </w:t>
      </w:r>
      <w:r w:rsidR="000D77A5">
        <w:rPr>
          <w:sz w:val="20"/>
        </w:rPr>
        <w:t>e</w:t>
      </w:r>
      <w:r w:rsidRPr="00DB5BAC">
        <w:rPr>
          <w:sz w:val="20"/>
        </w:rPr>
        <w:t xml:space="preserve"> Italia</w:t>
      </w:r>
      <w:r w:rsidR="00F37BE2">
        <w:rPr>
          <w:sz w:val="20"/>
        </w:rPr>
        <w:t>”</w:t>
      </w:r>
      <w:r w:rsidR="00645EA3" w:rsidRPr="00DB5BAC">
        <w:rPr>
          <w:rStyle w:val="FootnoteReference"/>
          <w:sz w:val="20"/>
        </w:rPr>
        <w:footnoteReference w:id="8"/>
      </w:r>
      <w:r w:rsidRPr="00DB5BAC">
        <w:rPr>
          <w:sz w:val="20"/>
        </w:rPr>
        <w:t xml:space="preserve">. </w:t>
      </w:r>
      <w:r w:rsidR="00F93D85" w:rsidRPr="00DB5BAC">
        <w:rPr>
          <w:sz w:val="20"/>
        </w:rPr>
        <w:t xml:space="preserve">Lo que comenzó como un programa </w:t>
      </w:r>
      <w:r w:rsidR="00F37BE2">
        <w:rPr>
          <w:sz w:val="20"/>
        </w:rPr>
        <w:t>“</w:t>
      </w:r>
      <w:r w:rsidR="00F93D85" w:rsidRPr="00DB5BAC">
        <w:rPr>
          <w:sz w:val="20"/>
        </w:rPr>
        <w:t>para detener a funcionarios diplomáticos y</w:t>
      </w:r>
      <w:r w:rsidR="00A5703E" w:rsidRPr="00DB5BAC">
        <w:rPr>
          <w:sz w:val="20"/>
        </w:rPr>
        <w:t xml:space="preserve"> consular</w:t>
      </w:r>
      <w:r w:rsidR="00F93D85" w:rsidRPr="00DB5BAC">
        <w:rPr>
          <w:sz w:val="20"/>
        </w:rPr>
        <w:t>es y empresarios de naciones del Eje que pudieran ser peligrosos creció y se extendió a extranjeros enemigos que eran maestros, pequeños empresarios</w:t>
      </w:r>
      <w:r w:rsidR="00A5703E" w:rsidRPr="00DB5BAC">
        <w:rPr>
          <w:sz w:val="20"/>
        </w:rPr>
        <w:t xml:space="preserve">, </w:t>
      </w:r>
      <w:r w:rsidR="00F93D85" w:rsidRPr="00DB5BAC">
        <w:rPr>
          <w:sz w:val="20"/>
        </w:rPr>
        <w:t xml:space="preserve">sastres y peluqueros, en su mayoría de </w:t>
      </w:r>
      <w:r w:rsidR="005A604C" w:rsidRPr="00DB5BAC">
        <w:rPr>
          <w:sz w:val="20"/>
        </w:rPr>
        <w:t>ascendencia japonesa</w:t>
      </w:r>
      <w:r w:rsidR="00F37BE2">
        <w:rPr>
          <w:sz w:val="20"/>
        </w:rPr>
        <w:t>”</w:t>
      </w:r>
      <w:r w:rsidR="00A5703E" w:rsidRPr="00DB5BAC">
        <w:rPr>
          <w:rStyle w:val="FootnoteReference"/>
          <w:sz w:val="20"/>
        </w:rPr>
        <w:footnoteReference w:id="9"/>
      </w:r>
      <w:r w:rsidR="00F93D85" w:rsidRPr="00DB5BAC">
        <w:rPr>
          <w:sz w:val="20"/>
        </w:rPr>
        <w:t xml:space="preserve">. </w:t>
      </w:r>
      <w:r w:rsidR="00F37BE2">
        <w:rPr>
          <w:sz w:val="20"/>
        </w:rPr>
        <w:t>Unos</w:t>
      </w:r>
      <w:r w:rsidR="00F93D85" w:rsidRPr="00DB5BAC">
        <w:rPr>
          <w:sz w:val="20"/>
        </w:rPr>
        <w:t xml:space="preserve"> </w:t>
      </w:r>
      <w:r w:rsidR="00CC205D" w:rsidRPr="00DB5BAC">
        <w:rPr>
          <w:color w:val="auto"/>
          <w:sz w:val="20"/>
        </w:rPr>
        <w:t>2</w:t>
      </w:r>
      <w:r w:rsidR="00F93D85" w:rsidRPr="00DB5BAC">
        <w:rPr>
          <w:color w:val="auto"/>
          <w:sz w:val="20"/>
        </w:rPr>
        <w:t>.</w:t>
      </w:r>
      <w:r w:rsidR="00CC205D" w:rsidRPr="00DB5BAC">
        <w:rPr>
          <w:color w:val="auto"/>
          <w:sz w:val="20"/>
        </w:rPr>
        <w:t xml:space="preserve">264 </w:t>
      </w:r>
      <w:r w:rsidR="00973475" w:rsidRPr="00DB5BAC">
        <w:rPr>
          <w:color w:val="auto"/>
          <w:sz w:val="20"/>
        </w:rPr>
        <w:t>latinoamericanos de ascendencia japonesa</w:t>
      </w:r>
      <w:r w:rsidR="00315F22" w:rsidRPr="00DB5BAC">
        <w:rPr>
          <w:color w:val="auto"/>
          <w:sz w:val="20"/>
        </w:rPr>
        <w:t xml:space="preserve">, de los cuales alrededor de 80% </w:t>
      </w:r>
      <w:r w:rsidR="00702203" w:rsidRPr="00DB5BAC">
        <w:rPr>
          <w:color w:val="auto"/>
          <w:sz w:val="20"/>
        </w:rPr>
        <w:t xml:space="preserve">eran </w:t>
      </w:r>
      <w:r w:rsidR="00315F22" w:rsidRPr="00DB5BAC">
        <w:rPr>
          <w:color w:val="auto"/>
          <w:sz w:val="20"/>
        </w:rPr>
        <w:t>peruanos japoneses</w:t>
      </w:r>
      <w:r w:rsidR="00702203" w:rsidRPr="00DB5BAC">
        <w:rPr>
          <w:color w:val="auto"/>
          <w:sz w:val="20"/>
        </w:rPr>
        <w:t>,</w:t>
      </w:r>
      <w:r w:rsidR="00CC205D" w:rsidRPr="00DB5BAC">
        <w:rPr>
          <w:color w:val="auto"/>
          <w:sz w:val="20"/>
        </w:rPr>
        <w:t xml:space="preserve"> </w:t>
      </w:r>
      <w:r w:rsidR="00315F22" w:rsidRPr="00DB5BAC">
        <w:rPr>
          <w:color w:val="auto"/>
          <w:sz w:val="20"/>
        </w:rPr>
        <w:t xml:space="preserve">fueron deportados a </w:t>
      </w:r>
      <w:r w:rsidR="000648EF" w:rsidRPr="00DB5BAC">
        <w:rPr>
          <w:color w:val="auto"/>
          <w:sz w:val="20"/>
        </w:rPr>
        <w:t>Estados Unidos</w:t>
      </w:r>
      <w:r w:rsidR="00CC205D" w:rsidRPr="00DB5BAC">
        <w:rPr>
          <w:color w:val="auto"/>
          <w:sz w:val="20"/>
        </w:rPr>
        <w:t xml:space="preserve"> </w:t>
      </w:r>
      <w:r w:rsidR="00702203" w:rsidRPr="00DB5BAC">
        <w:rPr>
          <w:color w:val="auto"/>
          <w:sz w:val="20"/>
        </w:rPr>
        <w:t xml:space="preserve">y detenidos </w:t>
      </w:r>
      <w:r w:rsidR="00315F22" w:rsidRPr="00DB5BAC">
        <w:rPr>
          <w:color w:val="auto"/>
          <w:sz w:val="20"/>
        </w:rPr>
        <w:t xml:space="preserve">durante la </w:t>
      </w:r>
      <w:r w:rsidR="0090313E" w:rsidRPr="00DB5BAC">
        <w:rPr>
          <w:color w:val="auto"/>
          <w:sz w:val="20"/>
        </w:rPr>
        <w:t>Segunda Guerra Mundial</w:t>
      </w:r>
      <w:r w:rsidR="00CC205D" w:rsidRPr="00DB5BAC">
        <w:rPr>
          <w:rStyle w:val="FootnoteReference"/>
          <w:color w:val="auto"/>
          <w:sz w:val="20"/>
        </w:rPr>
        <w:footnoteReference w:id="10"/>
      </w:r>
      <w:r w:rsidR="00702203" w:rsidRPr="00DB5BAC">
        <w:rPr>
          <w:color w:val="auto"/>
          <w:sz w:val="20"/>
        </w:rPr>
        <w:t>.</w:t>
      </w:r>
    </w:p>
    <w:p w14:paraId="260EC306" w14:textId="77777777" w:rsidR="0093319D" w:rsidRPr="00DB5BAC" w:rsidRDefault="0093319D" w:rsidP="0093319D">
      <w:pPr>
        <w:pStyle w:val="ListParagraph"/>
        <w:rPr>
          <w:sz w:val="20"/>
          <w:lang w:val="es-ES"/>
        </w:rPr>
      </w:pPr>
    </w:p>
    <w:p w14:paraId="1F5C91C7" w14:textId="77777777" w:rsidR="0093319D" w:rsidRPr="00DB5BAC" w:rsidRDefault="008F7113"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Aunque el i</w:t>
      </w:r>
      <w:r w:rsidR="00333A05" w:rsidRPr="00DB5BAC">
        <w:rPr>
          <w:sz w:val="20"/>
        </w:rPr>
        <w:t>nternamiento</w:t>
      </w:r>
      <w:r w:rsidR="0093319D" w:rsidRPr="00DB5BAC">
        <w:rPr>
          <w:sz w:val="20"/>
        </w:rPr>
        <w:t xml:space="preserve"> </w:t>
      </w:r>
      <w:r w:rsidRPr="00DB5BAC">
        <w:rPr>
          <w:sz w:val="20"/>
        </w:rPr>
        <w:t>de</w:t>
      </w:r>
      <w:r w:rsidR="0093319D" w:rsidRPr="00DB5BAC">
        <w:rPr>
          <w:sz w:val="20"/>
        </w:rPr>
        <w:t xml:space="preserve"> </w:t>
      </w:r>
      <w:r w:rsidR="00BB0303" w:rsidRPr="00DB5BAC">
        <w:rPr>
          <w:sz w:val="20"/>
        </w:rPr>
        <w:t>japoneses latinoamericanos</w:t>
      </w:r>
      <w:r w:rsidR="0093319D" w:rsidRPr="00DB5BAC">
        <w:rPr>
          <w:sz w:val="20"/>
        </w:rPr>
        <w:t xml:space="preserve"> </w:t>
      </w:r>
      <w:r w:rsidRPr="00DB5BAC">
        <w:rPr>
          <w:sz w:val="20"/>
        </w:rPr>
        <w:t xml:space="preserve">se justificaba como medida de seguridad, durante la guerra surgió un </w:t>
      </w:r>
      <w:r w:rsidR="000D77A5">
        <w:rPr>
          <w:sz w:val="20"/>
        </w:rPr>
        <w:t>“</w:t>
      </w:r>
      <w:r w:rsidRPr="00DB5BAC">
        <w:rPr>
          <w:sz w:val="20"/>
        </w:rPr>
        <w:t>curioso comercio triangular</w:t>
      </w:r>
      <w:r w:rsidR="000D77A5">
        <w:rPr>
          <w:sz w:val="20"/>
        </w:rPr>
        <w:t>”</w:t>
      </w:r>
      <w:r w:rsidRPr="00DB5BAC">
        <w:rPr>
          <w:sz w:val="20"/>
        </w:rPr>
        <w:t xml:space="preserve"> de internados, a medida que </w:t>
      </w:r>
      <w:r w:rsidR="000D77A5">
        <w:rPr>
          <w:sz w:val="20"/>
        </w:rPr>
        <w:t>“</w:t>
      </w:r>
      <w:r w:rsidRPr="00DB5BAC">
        <w:rPr>
          <w:sz w:val="20"/>
        </w:rPr>
        <w:t xml:space="preserve">algunos países latinoamericanos, en particular Perú, comenzaron a deportar a japoneses debido a prejuicios culturales y antagonismos surgidos de la competencia económica. </w:t>
      </w:r>
      <w:r w:rsidR="00AE2AD7" w:rsidRPr="00DB5BAC">
        <w:rPr>
          <w:sz w:val="20"/>
        </w:rPr>
        <w:t>Estados Unidos</w:t>
      </w:r>
      <w:r w:rsidR="0093319D" w:rsidRPr="00DB5BAC">
        <w:rPr>
          <w:sz w:val="20"/>
        </w:rPr>
        <w:t xml:space="preserve">, </w:t>
      </w:r>
      <w:r w:rsidRPr="00DB5BAC">
        <w:rPr>
          <w:sz w:val="20"/>
        </w:rPr>
        <w:t>a su vez</w:t>
      </w:r>
      <w:r w:rsidR="0093319D" w:rsidRPr="00DB5BAC">
        <w:rPr>
          <w:sz w:val="20"/>
        </w:rPr>
        <w:t xml:space="preserve">, </w:t>
      </w:r>
      <w:r w:rsidR="00B53E25" w:rsidRPr="00DB5BAC">
        <w:rPr>
          <w:sz w:val="20"/>
        </w:rPr>
        <w:t>quería internar a</w:t>
      </w:r>
      <w:r w:rsidR="002A24C5" w:rsidRPr="00DB5BAC">
        <w:rPr>
          <w:sz w:val="20"/>
        </w:rPr>
        <w:t xml:space="preserve"> japoneses latinoamericanos para intercambiar</w:t>
      </w:r>
      <w:r w:rsidR="00B53E25" w:rsidRPr="00DB5BAC">
        <w:rPr>
          <w:sz w:val="20"/>
        </w:rPr>
        <w:t>los</w:t>
      </w:r>
      <w:r w:rsidR="002A24C5" w:rsidRPr="00DB5BAC">
        <w:rPr>
          <w:sz w:val="20"/>
        </w:rPr>
        <w:t xml:space="preserve"> por ciudadanos estadounidenses atrapados en territorios controlados por Japón. La misma dinámica afectaba a menudo a alemanes e italianos</w:t>
      </w:r>
      <w:r w:rsidR="000D77A5">
        <w:rPr>
          <w:sz w:val="20"/>
        </w:rPr>
        <w:t>”</w:t>
      </w:r>
      <w:r w:rsidR="0093319D" w:rsidRPr="00DB5BAC">
        <w:rPr>
          <w:rStyle w:val="FootnoteReference"/>
          <w:sz w:val="20"/>
        </w:rPr>
        <w:footnoteReference w:id="11"/>
      </w:r>
      <w:r w:rsidR="002A24C5" w:rsidRPr="00DB5BAC">
        <w:rPr>
          <w:sz w:val="20"/>
        </w:rPr>
        <w:t>. Al parecer,</w:t>
      </w:r>
      <w:r w:rsidR="00B4443E" w:rsidRPr="00DB5BAC">
        <w:rPr>
          <w:sz w:val="20"/>
        </w:rPr>
        <w:t xml:space="preserve"> </w:t>
      </w:r>
      <w:r w:rsidR="000648EF" w:rsidRPr="00DB5BAC">
        <w:rPr>
          <w:sz w:val="20"/>
        </w:rPr>
        <w:t>Estados Unidos</w:t>
      </w:r>
      <w:r w:rsidR="00B4443E" w:rsidRPr="00DB5BAC">
        <w:rPr>
          <w:sz w:val="20"/>
        </w:rPr>
        <w:t xml:space="preserve"> </w:t>
      </w:r>
      <w:r w:rsidR="002A24C5" w:rsidRPr="00DB5BAC">
        <w:rPr>
          <w:sz w:val="20"/>
        </w:rPr>
        <w:t>reconocía en esa época que este sistema de deportaciones e intercambio de rehenes infringía el derecho internacional. E</w:t>
      </w:r>
      <w:r w:rsidR="00B4443E" w:rsidRPr="00DB5BAC">
        <w:rPr>
          <w:sz w:val="20"/>
        </w:rPr>
        <w:t xml:space="preserve">n 1943, </w:t>
      </w:r>
      <w:r w:rsidR="002A24C5" w:rsidRPr="00DB5BAC">
        <w:rPr>
          <w:sz w:val="20"/>
        </w:rPr>
        <w:t xml:space="preserve">el Departamento de Estado apoyó un plan para crear </w:t>
      </w:r>
      <w:r w:rsidR="0090313E" w:rsidRPr="00DB5BAC">
        <w:rPr>
          <w:sz w:val="20"/>
        </w:rPr>
        <w:t>campos de internamiento</w:t>
      </w:r>
      <w:r w:rsidR="00B4443E" w:rsidRPr="00DB5BAC">
        <w:rPr>
          <w:sz w:val="20"/>
        </w:rPr>
        <w:t xml:space="preserve"> </w:t>
      </w:r>
      <w:r w:rsidR="002A24C5" w:rsidRPr="00DB5BAC">
        <w:rPr>
          <w:sz w:val="20"/>
        </w:rPr>
        <w:t>e</w:t>
      </w:r>
      <w:r w:rsidR="00B4443E" w:rsidRPr="00DB5BAC">
        <w:rPr>
          <w:sz w:val="20"/>
        </w:rPr>
        <w:t xml:space="preserve">n </w:t>
      </w:r>
      <w:r w:rsidR="002A24C5" w:rsidRPr="00DB5BAC">
        <w:rPr>
          <w:sz w:val="20"/>
        </w:rPr>
        <w:t>Perú</w:t>
      </w:r>
      <w:r w:rsidR="00B4443E" w:rsidRPr="00DB5BAC">
        <w:rPr>
          <w:sz w:val="20"/>
        </w:rPr>
        <w:t xml:space="preserve"> </w:t>
      </w:r>
      <w:r w:rsidR="002A24C5" w:rsidRPr="00DB5BAC">
        <w:rPr>
          <w:sz w:val="20"/>
        </w:rPr>
        <w:t xml:space="preserve">porque </w:t>
      </w:r>
      <w:r w:rsidR="000D77A5">
        <w:rPr>
          <w:sz w:val="20"/>
        </w:rPr>
        <w:t>“</w:t>
      </w:r>
      <w:r w:rsidR="002A24C5" w:rsidRPr="00DB5BAC">
        <w:rPr>
          <w:sz w:val="20"/>
        </w:rPr>
        <w:t>no estaba muy dispuesto a instar a</w:t>
      </w:r>
      <w:r w:rsidR="00B4443E" w:rsidRPr="00DB5BAC">
        <w:rPr>
          <w:sz w:val="20"/>
        </w:rPr>
        <w:t xml:space="preserve"> Per</w:t>
      </w:r>
      <w:r w:rsidR="002A24C5" w:rsidRPr="00DB5BAC">
        <w:rPr>
          <w:sz w:val="20"/>
        </w:rPr>
        <w:t xml:space="preserve">ú a que infringiera el </w:t>
      </w:r>
      <w:r w:rsidR="000275C1" w:rsidRPr="00DB5BAC">
        <w:rPr>
          <w:sz w:val="20"/>
        </w:rPr>
        <w:t>derecho internacional</w:t>
      </w:r>
      <w:r w:rsidR="002A24C5" w:rsidRPr="00DB5BAC">
        <w:rPr>
          <w:sz w:val="20"/>
        </w:rPr>
        <w:t xml:space="preserve"> al enviar a todos </w:t>
      </w:r>
      <w:r w:rsidR="002A24C5" w:rsidRPr="00DB5BAC">
        <w:rPr>
          <w:sz w:val="20"/>
        </w:rPr>
        <w:lastRenderedPageBreak/>
        <w:t>sus peruanos japoneses de un Estado no beligerante directamente a uno beligerante</w:t>
      </w:r>
      <w:r w:rsidR="000D77A5">
        <w:rPr>
          <w:sz w:val="20"/>
        </w:rPr>
        <w:t>”</w:t>
      </w:r>
      <w:r w:rsidR="002A24C5" w:rsidRPr="00DB5BAC">
        <w:rPr>
          <w:sz w:val="20"/>
        </w:rPr>
        <w:t>, aunque este plan no llegó a concretarse</w:t>
      </w:r>
      <w:r w:rsidR="00B4443E" w:rsidRPr="00DB5BAC">
        <w:rPr>
          <w:rStyle w:val="FootnoteReference"/>
          <w:sz w:val="20"/>
        </w:rPr>
        <w:footnoteReference w:id="12"/>
      </w:r>
      <w:r w:rsidR="002A24C5" w:rsidRPr="00DB5BAC">
        <w:rPr>
          <w:sz w:val="20"/>
        </w:rPr>
        <w:t>.</w:t>
      </w:r>
    </w:p>
    <w:p w14:paraId="3D51358B" w14:textId="77777777" w:rsidR="0093319D" w:rsidRPr="00DB5BAC" w:rsidRDefault="0093319D" w:rsidP="0093319D">
      <w:pPr>
        <w:pStyle w:val="ListParagraph"/>
        <w:rPr>
          <w:color w:val="auto"/>
          <w:sz w:val="20"/>
          <w:lang w:val="es-ES"/>
        </w:rPr>
      </w:pPr>
    </w:p>
    <w:p w14:paraId="6F7FDC73" w14:textId="77777777" w:rsidR="00CC205D" w:rsidRPr="00DB5BAC" w:rsidRDefault="000A28E7"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color w:val="auto"/>
          <w:sz w:val="20"/>
        </w:rPr>
        <w:t>De los</w:t>
      </w:r>
      <w:r w:rsidR="00CC205D" w:rsidRPr="00DB5BAC">
        <w:rPr>
          <w:color w:val="auto"/>
          <w:sz w:val="20"/>
        </w:rPr>
        <w:t xml:space="preserve"> 2</w:t>
      </w:r>
      <w:r w:rsidRPr="00DB5BAC">
        <w:rPr>
          <w:color w:val="auto"/>
          <w:sz w:val="20"/>
        </w:rPr>
        <w:t>.</w:t>
      </w:r>
      <w:r w:rsidR="00CC205D" w:rsidRPr="00DB5BAC">
        <w:rPr>
          <w:color w:val="auto"/>
          <w:sz w:val="20"/>
        </w:rPr>
        <w:t xml:space="preserve">264 </w:t>
      </w:r>
      <w:r w:rsidR="002A24C5" w:rsidRPr="00DB5BAC">
        <w:rPr>
          <w:color w:val="auto"/>
          <w:sz w:val="20"/>
        </w:rPr>
        <w:t>japoneses latinoamericanos internados</w:t>
      </w:r>
      <w:r w:rsidR="00CC205D" w:rsidRPr="00DB5BAC">
        <w:rPr>
          <w:color w:val="auto"/>
          <w:sz w:val="20"/>
        </w:rPr>
        <w:t>, a</w:t>
      </w:r>
      <w:r w:rsidRPr="00DB5BAC">
        <w:rPr>
          <w:color w:val="auto"/>
          <w:sz w:val="20"/>
        </w:rPr>
        <w:t xml:space="preserve">lrededor de </w:t>
      </w:r>
      <w:r w:rsidR="00F81119" w:rsidRPr="00DB5BAC">
        <w:rPr>
          <w:color w:val="auto"/>
          <w:sz w:val="20"/>
        </w:rPr>
        <w:t>800</w:t>
      </w:r>
      <w:r w:rsidR="00CC205D" w:rsidRPr="00DB5BAC">
        <w:rPr>
          <w:color w:val="auto"/>
          <w:sz w:val="20"/>
        </w:rPr>
        <w:t xml:space="preserve"> </w:t>
      </w:r>
      <w:r w:rsidRPr="00DB5BAC">
        <w:rPr>
          <w:color w:val="auto"/>
          <w:sz w:val="20"/>
        </w:rPr>
        <w:t xml:space="preserve">fueron enviados a Japón en intercambios de rehenes, por lo menos </w:t>
      </w:r>
      <w:r w:rsidR="00FE2982" w:rsidRPr="00DB5BAC">
        <w:rPr>
          <w:color w:val="auto"/>
          <w:sz w:val="20"/>
        </w:rPr>
        <w:t>930</w:t>
      </w:r>
      <w:r w:rsidR="00CC205D" w:rsidRPr="00DB5BAC">
        <w:rPr>
          <w:color w:val="auto"/>
          <w:sz w:val="20"/>
        </w:rPr>
        <w:t xml:space="preserve"> </w:t>
      </w:r>
      <w:r w:rsidRPr="00DB5BAC">
        <w:rPr>
          <w:color w:val="auto"/>
          <w:sz w:val="20"/>
        </w:rPr>
        <w:t xml:space="preserve">fueron deportados voluntariamente a Japón después de la guerra y, </w:t>
      </w:r>
      <w:r w:rsidR="00453FEE" w:rsidRPr="00DB5BAC">
        <w:rPr>
          <w:color w:val="auto"/>
          <w:sz w:val="20"/>
        </w:rPr>
        <w:t xml:space="preserve">en </w:t>
      </w:r>
      <w:r w:rsidR="00F81119" w:rsidRPr="00DB5BAC">
        <w:rPr>
          <w:color w:val="auto"/>
          <w:sz w:val="20"/>
        </w:rPr>
        <w:t>1947,</w:t>
      </w:r>
      <w:r w:rsidR="00CC205D" w:rsidRPr="00DB5BAC">
        <w:rPr>
          <w:color w:val="auto"/>
          <w:sz w:val="20"/>
        </w:rPr>
        <w:t xml:space="preserve"> </w:t>
      </w:r>
      <w:r w:rsidR="00453FEE" w:rsidRPr="00DB5BAC">
        <w:rPr>
          <w:color w:val="auto"/>
          <w:sz w:val="20"/>
        </w:rPr>
        <w:t>quedaban solo unos</w:t>
      </w:r>
      <w:r w:rsidR="00CC205D" w:rsidRPr="00DB5BAC">
        <w:rPr>
          <w:color w:val="auto"/>
          <w:sz w:val="20"/>
        </w:rPr>
        <w:t xml:space="preserve"> 300 </w:t>
      </w:r>
      <w:r w:rsidR="00453FEE" w:rsidRPr="00DB5BAC">
        <w:rPr>
          <w:color w:val="auto"/>
          <w:sz w:val="20"/>
        </w:rPr>
        <w:t xml:space="preserve">en </w:t>
      </w:r>
      <w:r w:rsidR="000648EF" w:rsidRPr="00DB5BAC">
        <w:rPr>
          <w:color w:val="auto"/>
          <w:sz w:val="20"/>
        </w:rPr>
        <w:t>Estados Unidos</w:t>
      </w:r>
      <w:r w:rsidR="00CC205D" w:rsidRPr="00DB5BAC">
        <w:rPr>
          <w:color w:val="auto"/>
          <w:sz w:val="20"/>
        </w:rPr>
        <w:t>, inclu</w:t>
      </w:r>
      <w:r w:rsidR="00453FEE" w:rsidRPr="00DB5BAC">
        <w:rPr>
          <w:color w:val="auto"/>
          <w:sz w:val="20"/>
        </w:rPr>
        <w:t xml:space="preserve">ida la familia </w:t>
      </w:r>
      <w:r w:rsidR="00CC205D" w:rsidRPr="00DB5BAC">
        <w:rPr>
          <w:color w:val="auto"/>
          <w:sz w:val="20"/>
        </w:rPr>
        <w:t>Shibayama</w:t>
      </w:r>
      <w:r w:rsidR="00CC205D" w:rsidRPr="00DB5BAC">
        <w:rPr>
          <w:rStyle w:val="FootnoteReference"/>
          <w:color w:val="auto"/>
          <w:sz w:val="20"/>
        </w:rPr>
        <w:footnoteReference w:id="13"/>
      </w:r>
      <w:r w:rsidR="00453FEE" w:rsidRPr="00DB5BAC">
        <w:rPr>
          <w:color w:val="auto"/>
          <w:sz w:val="20"/>
        </w:rPr>
        <w:t xml:space="preserve">. Al preparar el presente informe, </w:t>
      </w:r>
      <w:r w:rsidR="000648EF" w:rsidRPr="00DB5BAC">
        <w:rPr>
          <w:color w:val="auto"/>
          <w:sz w:val="20"/>
        </w:rPr>
        <w:t>la CIDH</w:t>
      </w:r>
      <w:r w:rsidR="00F81119" w:rsidRPr="00DB5BAC">
        <w:rPr>
          <w:color w:val="auto"/>
          <w:sz w:val="20"/>
        </w:rPr>
        <w:t xml:space="preserve"> enco</w:t>
      </w:r>
      <w:r w:rsidR="00453FEE" w:rsidRPr="00DB5BAC">
        <w:rPr>
          <w:color w:val="auto"/>
          <w:sz w:val="20"/>
        </w:rPr>
        <w:t xml:space="preserve">ntró referencias a solo </w:t>
      </w:r>
      <w:r w:rsidR="00F81119" w:rsidRPr="00DB5BAC">
        <w:rPr>
          <w:color w:val="auto"/>
          <w:sz w:val="20"/>
        </w:rPr>
        <w:t xml:space="preserve">100 </w:t>
      </w:r>
      <w:r w:rsidR="00A433AC" w:rsidRPr="00DB5BAC">
        <w:rPr>
          <w:color w:val="auto"/>
          <w:sz w:val="20"/>
        </w:rPr>
        <w:t>peruanos japoneses</w:t>
      </w:r>
      <w:r w:rsidR="00453FEE" w:rsidRPr="00DB5BAC">
        <w:rPr>
          <w:color w:val="auto"/>
          <w:sz w:val="20"/>
        </w:rPr>
        <w:t>, aproximadamente, que lograron regresar a Perú</w:t>
      </w:r>
      <w:r w:rsidR="00F81119" w:rsidRPr="00DB5BAC">
        <w:rPr>
          <w:color w:val="auto"/>
          <w:sz w:val="20"/>
        </w:rPr>
        <w:t xml:space="preserve"> </w:t>
      </w:r>
      <w:r w:rsidR="00453FEE" w:rsidRPr="00DB5BAC">
        <w:rPr>
          <w:color w:val="auto"/>
          <w:sz w:val="20"/>
        </w:rPr>
        <w:t xml:space="preserve">después de </w:t>
      </w:r>
      <w:r w:rsidR="00BB0303" w:rsidRPr="00DB5BAC">
        <w:rPr>
          <w:color w:val="auto"/>
          <w:sz w:val="20"/>
        </w:rPr>
        <w:t>la Segunda Guerra Mundial</w:t>
      </w:r>
      <w:r w:rsidR="00F81119" w:rsidRPr="00DB5BAC">
        <w:rPr>
          <w:rStyle w:val="FootnoteReference"/>
          <w:color w:val="auto"/>
          <w:sz w:val="20"/>
        </w:rPr>
        <w:footnoteReference w:id="14"/>
      </w:r>
      <w:r w:rsidR="00453FEE" w:rsidRPr="00DB5BAC">
        <w:rPr>
          <w:color w:val="auto"/>
          <w:sz w:val="20"/>
        </w:rPr>
        <w:t>.</w:t>
      </w:r>
      <w:r w:rsidR="00F81119" w:rsidRPr="00DB5BAC">
        <w:rPr>
          <w:color w:val="auto"/>
          <w:sz w:val="20"/>
        </w:rPr>
        <w:t xml:space="preserve"> </w:t>
      </w:r>
    </w:p>
    <w:p w14:paraId="17392882" w14:textId="77777777" w:rsidR="000B01B7" w:rsidRPr="00DB5BAC" w:rsidRDefault="000B01B7" w:rsidP="000B01B7">
      <w:pPr>
        <w:pStyle w:val="ListParagraph"/>
        <w:rPr>
          <w:sz w:val="20"/>
          <w:lang w:val="es-ES"/>
        </w:rPr>
      </w:pPr>
    </w:p>
    <w:p w14:paraId="06D3B91B" w14:textId="77777777" w:rsidR="000B01B7" w:rsidRPr="00DB5BAC" w:rsidRDefault="000B01B7"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A</w:t>
      </w:r>
      <w:r w:rsidR="008D65EC" w:rsidRPr="00DB5BAC">
        <w:rPr>
          <w:sz w:val="20"/>
        </w:rPr>
        <w:t xml:space="preserve">unque todavía no se ha hecho una investigación exhaustiva de la vida y la suerte de los </w:t>
      </w:r>
      <w:r w:rsidR="00BB0303" w:rsidRPr="00DB5BAC">
        <w:rPr>
          <w:sz w:val="20"/>
        </w:rPr>
        <w:t>japoneses latinoamericanos</w:t>
      </w:r>
      <w:r w:rsidRPr="00DB5BAC">
        <w:rPr>
          <w:sz w:val="20"/>
        </w:rPr>
        <w:t xml:space="preserve"> deport</w:t>
      </w:r>
      <w:r w:rsidR="008D65EC" w:rsidRPr="00DB5BAC">
        <w:rPr>
          <w:sz w:val="20"/>
        </w:rPr>
        <w:t>ados de América Latina durante</w:t>
      </w:r>
      <w:r w:rsidRPr="00DB5BAC">
        <w:rPr>
          <w:sz w:val="20"/>
        </w:rPr>
        <w:t xml:space="preserve"> </w:t>
      </w:r>
      <w:r w:rsidR="00BB0303" w:rsidRPr="00DB5BAC">
        <w:rPr>
          <w:sz w:val="20"/>
        </w:rPr>
        <w:t>la Segunda Guerra Mundial</w:t>
      </w:r>
      <w:r w:rsidRPr="00DB5BAC">
        <w:rPr>
          <w:sz w:val="20"/>
        </w:rPr>
        <w:t xml:space="preserve"> </w:t>
      </w:r>
      <w:r w:rsidR="008D65EC" w:rsidRPr="00DB5BAC">
        <w:rPr>
          <w:sz w:val="20"/>
        </w:rPr>
        <w:t xml:space="preserve">ni una evaluación de </w:t>
      </w:r>
      <w:r w:rsidR="00EB0027">
        <w:rPr>
          <w:sz w:val="20"/>
        </w:rPr>
        <w:t>“</w:t>
      </w:r>
      <w:r w:rsidR="008D65EC" w:rsidRPr="00DB5BAC">
        <w:rPr>
          <w:sz w:val="20"/>
        </w:rPr>
        <w:t>la necesidad de este programa extenso y perjudicial</w:t>
      </w:r>
      <w:r w:rsidR="00EB0027">
        <w:rPr>
          <w:sz w:val="20"/>
        </w:rPr>
        <w:t>”</w:t>
      </w:r>
      <w:r w:rsidR="008D65EC" w:rsidRPr="00DB5BAC">
        <w:rPr>
          <w:sz w:val="20"/>
        </w:rPr>
        <w:t xml:space="preserve"> </w:t>
      </w:r>
      <w:r w:rsidR="00EB0027">
        <w:rPr>
          <w:sz w:val="20"/>
        </w:rPr>
        <w:t>—</w:t>
      </w:r>
      <w:r w:rsidR="008D65EC" w:rsidRPr="00DB5BAC">
        <w:rPr>
          <w:sz w:val="20"/>
        </w:rPr>
        <w:t>en particular en los archivos y expedientes oficiales de los países involucrados</w:t>
      </w:r>
      <w:r w:rsidR="00EB0027">
        <w:rPr>
          <w:sz w:val="20"/>
        </w:rPr>
        <w:t>—</w:t>
      </w:r>
      <w:r w:rsidR="008D65EC" w:rsidRPr="00DB5BAC">
        <w:rPr>
          <w:sz w:val="20"/>
        </w:rPr>
        <w:t xml:space="preserve"> en el informe </w:t>
      </w:r>
      <w:r w:rsidRPr="00DB5BAC">
        <w:rPr>
          <w:i/>
          <w:sz w:val="20"/>
        </w:rPr>
        <w:t>Personal Justice Denied</w:t>
      </w:r>
      <w:r w:rsidR="008D65EC" w:rsidRPr="00DB5BAC">
        <w:rPr>
          <w:sz w:val="20"/>
        </w:rPr>
        <w:t>, de Estados Unidos, se señal</w:t>
      </w:r>
      <w:r w:rsidR="0003506B" w:rsidRPr="00DB5BAC">
        <w:rPr>
          <w:sz w:val="20"/>
        </w:rPr>
        <w:t>a</w:t>
      </w:r>
      <w:r w:rsidR="008D65EC" w:rsidRPr="00DB5BAC">
        <w:rPr>
          <w:sz w:val="20"/>
        </w:rPr>
        <w:t xml:space="preserve"> que no parecía haber </w:t>
      </w:r>
      <w:r w:rsidR="00EB0027">
        <w:rPr>
          <w:sz w:val="20"/>
        </w:rPr>
        <w:t>“</w:t>
      </w:r>
      <w:r w:rsidR="008D65EC" w:rsidRPr="00DB5BAC">
        <w:rPr>
          <w:sz w:val="20"/>
        </w:rPr>
        <w:t>pruebas fidedignas de actos de sabotaje, subversión o espionaje planeados o previstos</w:t>
      </w:r>
      <w:r w:rsidR="00EB0027">
        <w:rPr>
          <w:sz w:val="20"/>
        </w:rPr>
        <w:t>”</w:t>
      </w:r>
      <w:r w:rsidR="008D65EC" w:rsidRPr="00DB5BAC">
        <w:rPr>
          <w:sz w:val="20"/>
        </w:rPr>
        <w:t xml:space="preserve"> en Perú</w:t>
      </w:r>
      <w:r w:rsidRPr="00DB5BAC">
        <w:rPr>
          <w:sz w:val="20"/>
        </w:rPr>
        <w:t xml:space="preserve"> dur</w:t>
      </w:r>
      <w:r w:rsidR="008D65EC" w:rsidRPr="00DB5BAC">
        <w:rPr>
          <w:sz w:val="20"/>
        </w:rPr>
        <w:t xml:space="preserve">ante </w:t>
      </w:r>
      <w:r w:rsidR="00BB0303" w:rsidRPr="00DB5BAC">
        <w:rPr>
          <w:sz w:val="20"/>
        </w:rPr>
        <w:t>la Segunda Guerra Mundial</w:t>
      </w:r>
      <w:r w:rsidRPr="00DB5BAC">
        <w:rPr>
          <w:sz w:val="20"/>
        </w:rPr>
        <w:t xml:space="preserve">. </w:t>
      </w:r>
      <w:r w:rsidR="008D65EC" w:rsidRPr="00DB5BAC">
        <w:rPr>
          <w:sz w:val="20"/>
        </w:rPr>
        <w:t>En el informe se lleg</w:t>
      </w:r>
      <w:r w:rsidR="0003506B" w:rsidRPr="00DB5BAC">
        <w:rPr>
          <w:sz w:val="20"/>
        </w:rPr>
        <w:t>a</w:t>
      </w:r>
      <w:r w:rsidR="008D65EC" w:rsidRPr="00DB5BAC">
        <w:rPr>
          <w:sz w:val="20"/>
        </w:rPr>
        <w:t xml:space="preserve"> a la conclusión de que, </w:t>
      </w:r>
      <w:r w:rsidR="00EB0027">
        <w:rPr>
          <w:sz w:val="20"/>
        </w:rPr>
        <w:t>“</w:t>
      </w:r>
      <w:r w:rsidR="0003506B" w:rsidRPr="00DB5BAC">
        <w:rPr>
          <w:sz w:val="20"/>
        </w:rPr>
        <w:t xml:space="preserve">sea cual fuere </w:t>
      </w:r>
      <w:r w:rsidR="008D65EC" w:rsidRPr="00DB5BAC">
        <w:rPr>
          <w:sz w:val="20"/>
        </w:rPr>
        <w:t xml:space="preserve">la justificación </w:t>
      </w:r>
      <w:r w:rsidR="001C7CF5" w:rsidRPr="00DB5BAC">
        <w:rPr>
          <w:sz w:val="20"/>
        </w:rPr>
        <w:t xml:space="preserve">aducida </w:t>
      </w:r>
      <w:r w:rsidR="008D65EC" w:rsidRPr="00DB5BAC">
        <w:rPr>
          <w:sz w:val="20"/>
        </w:rPr>
        <w:t>para este trato de extranjeros enemigos, muchos japoneses latinoamericanos n</w:t>
      </w:r>
      <w:r w:rsidR="0003506B" w:rsidRPr="00DB5BAC">
        <w:rPr>
          <w:sz w:val="20"/>
        </w:rPr>
        <w:t>o</w:t>
      </w:r>
      <w:r w:rsidR="008D65EC" w:rsidRPr="00DB5BAC">
        <w:rPr>
          <w:sz w:val="20"/>
        </w:rPr>
        <w:t xml:space="preserve"> volvieron a ver su hogar después de permanecer durante muchos años en una especie de tierra de nadie jurídica. Su </w:t>
      </w:r>
      <w:r w:rsidR="00C706CA" w:rsidRPr="00DB5BAC">
        <w:rPr>
          <w:sz w:val="20"/>
        </w:rPr>
        <w:t xml:space="preserve">historia constituye uno de los relatos extraños, tristes y en gran medida olvidados de la </w:t>
      </w:r>
      <w:r w:rsidR="0090313E" w:rsidRPr="00DB5BAC">
        <w:rPr>
          <w:sz w:val="20"/>
        </w:rPr>
        <w:t>Segunda Guerra Mundial</w:t>
      </w:r>
      <w:r w:rsidR="00EB0027">
        <w:rPr>
          <w:sz w:val="20"/>
        </w:rPr>
        <w:t>”</w:t>
      </w:r>
      <w:r w:rsidRPr="00DB5BAC">
        <w:rPr>
          <w:rStyle w:val="FootnoteReference"/>
          <w:sz w:val="20"/>
        </w:rPr>
        <w:footnoteReference w:id="15"/>
      </w:r>
      <w:r w:rsidR="00C706CA" w:rsidRPr="00DB5BAC">
        <w:rPr>
          <w:sz w:val="20"/>
        </w:rPr>
        <w:t>.</w:t>
      </w:r>
    </w:p>
    <w:p w14:paraId="0370E4EE" w14:textId="77777777" w:rsidR="00CC205D" w:rsidRPr="00DB5BAC" w:rsidRDefault="00CC205D" w:rsidP="00CC205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rPr>
      </w:pPr>
    </w:p>
    <w:p w14:paraId="1D0B20B5" w14:textId="77777777" w:rsidR="00D83D73" w:rsidRPr="00DB5BAC" w:rsidRDefault="000648EF" w:rsidP="00C53C19">
      <w:pPr>
        <w:pStyle w:val="Heading2"/>
        <w:rPr>
          <w:lang w:val="es-ES"/>
        </w:rPr>
      </w:pPr>
      <w:bookmarkStart w:id="9" w:name="_Toc27473284"/>
      <w:r w:rsidRPr="00DB5BAC">
        <w:rPr>
          <w:lang w:val="es-ES"/>
        </w:rPr>
        <w:t>Los hermanos</w:t>
      </w:r>
      <w:r w:rsidR="007A7DA4" w:rsidRPr="00DB5BAC">
        <w:rPr>
          <w:lang w:val="es-ES"/>
        </w:rPr>
        <w:t xml:space="preserve"> Shibayama</w:t>
      </w:r>
      <w:bookmarkEnd w:id="9"/>
    </w:p>
    <w:p w14:paraId="4EF2739B" w14:textId="77777777" w:rsidR="007A7DA4" w:rsidRPr="00DB5BAC" w:rsidRDefault="007A7DA4" w:rsidP="007A7DA4">
      <w:pPr>
        <w:pStyle w:val="ListParagraph"/>
        <w:rPr>
          <w:rFonts w:asciiTheme="majorHAnsi" w:hAnsiTheme="majorHAnsi"/>
          <w:b/>
          <w:color w:val="FF0000"/>
          <w:sz w:val="20"/>
          <w:szCs w:val="20"/>
          <w:lang w:val="es-ES"/>
        </w:rPr>
      </w:pPr>
    </w:p>
    <w:p w14:paraId="4649CF75" w14:textId="77777777" w:rsidR="007A7DA4" w:rsidRPr="00DB5BAC" w:rsidRDefault="007A7DA4"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sz w:val="20"/>
        </w:rPr>
        <w:t>Isamu, Kenichi</w:t>
      </w:r>
      <w:r w:rsidR="00E939BA" w:rsidRPr="00DB5BAC">
        <w:rPr>
          <w:sz w:val="20"/>
        </w:rPr>
        <w:t xml:space="preserve"> y </w:t>
      </w:r>
      <w:r w:rsidRPr="00DB5BAC">
        <w:rPr>
          <w:sz w:val="20"/>
        </w:rPr>
        <w:t xml:space="preserve">Takeshi Shibayama </w:t>
      </w:r>
      <w:r w:rsidR="00E939BA" w:rsidRPr="00DB5BAC">
        <w:rPr>
          <w:sz w:val="20"/>
        </w:rPr>
        <w:t xml:space="preserve">son hermanos </w:t>
      </w:r>
      <w:r w:rsidR="005A604C" w:rsidRPr="00DB5BAC">
        <w:rPr>
          <w:sz w:val="20"/>
        </w:rPr>
        <w:t>de ascendencia japonesa</w:t>
      </w:r>
      <w:r w:rsidRPr="00DB5BAC">
        <w:rPr>
          <w:sz w:val="20"/>
        </w:rPr>
        <w:t xml:space="preserve"> </w:t>
      </w:r>
      <w:r w:rsidR="00E939BA" w:rsidRPr="00DB5BAC">
        <w:rPr>
          <w:sz w:val="20"/>
        </w:rPr>
        <w:t xml:space="preserve">nacidos en </w:t>
      </w:r>
      <w:r w:rsidR="00C51260" w:rsidRPr="00DB5BAC">
        <w:rPr>
          <w:sz w:val="20"/>
        </w:rPr>
        <w:t>Lima</w:t>
      </w:r>
      <w:r w:rsidR="00EB0027">
        <w:rPr>
          <w:sz w:val="20"/>
        </w:rPr>
        <w:t>,</w:t>
      </w:r>
      <w:r w:rsidR="00E939BA" w:rsidRPr="00DB5BAC">
        <w:rPr>
          <w:sz w:val="20"/>
        </w:rPr>
        <w:t xml:space="preserve"> Perú. Su idioma materno es el español</w:t>
      </w:r>
      <w:r w:rsidR="00E56641" w:rsidRPr="00DB5BAC">
        <w:rPr>
          <w:rStyle w:val="FootnoteReference"/>
          <w:sz w:val="20"/>
        </w:rPr>
        <w:footnoteReference w:id="16"/>
      </w:r>
      <w:r w:rsidR="00E939BA" w:rsidRPr="00DB5BAC">
        <w:rPr>
          <w:sz w:val="20"/>
        </w:rPr>
        <w:t>.</w:t>
      </w:r>
      <w:r w:rsidRPr="00DB5BAC">
        <w:rPr>
          <w:sz w:val="20"/>
        </w:rPr>
        <w:t xml:space="preserve"> Isamu Shibayama </w:t>
      </w:r>
      <w:r w:rsidR="00E939BA" w:rsidRPr="00DB5BAC">
        <w:rPr>
          <w:sz w:val="20"/>
        </w:rPr>
        <w:t>nació el 6 de junio de</w:t>
      </w:r>
      <w:r w:rsidRPr="00DB5BAC">
        <w:rPr>
          <w:sz w:val="20"/>
        </w:rPr>
        <w:t xml:space="preserve"> 1930</w:t>
      </w:r>
      <w:r w:rsidR="00E939BA" w:rsidRPr="00DB5BAC">
        <w:rPr>
          <w:sz w:val="20"/>
        </w:rPr>
        <w:t xml:space="preserve"> y falleció el </w:t>
      </w:r>
      <w:r w:rsidRPr="00DB5BAC">
        <w:rPr>
          <w:sz w:val="20"/>
        </w:rPr>
        <w:t>31</w:t>
      </w:r>
      <w:r w:rsidR="00E939BA" w:rsidRPr="00DB5BAC">
        <w:rPr>
          <w:sz w:val="20"/>
        </w:rPr>
        <w:t xml:space="preserve"> de julio de</w:t>
      </w:r>
      <w:r w:rsidRPr="00DB5BAC">
        <w:rPr>
          <w:sz w:val="20"/>
        </w:rPr>
        <w:t xml:space="preserve"> 2018</w:t>
      </w:r>
      <w:r w:rsidR="00B57681" w:rsidRPr="00DB5BAC">
        <w:rPr>
          <w:sz w:val="20"/>
        </w:rPr>
        <w:t xml:space="preserve"> </w:t>
      </w:r>
      <w:r w:rsidR="00E939BA" w:rsidRPr="00DB5BAC">
        <w:rPr>
          <w:sz w:val="20"/>
        </w:rPr>
        <w:t>e</w:t>
      </w:r>
      <w:r w:rsidR="00B57681" w:rsidRPr="00DB5BAC">
        <w:rPr>
          <w:sz w:val="20"/>
        </w:rPr>
        <w:t>n San Jos</w:t>
      </w:r>
      <w:r w:rsidR="00E939BA" w:rsidRPr="00DB5BAC">
        <w:rPr>
          <w:sz w:val="20"/>
        </w:rPr>
        <w:t>é</w:t>
      </w:r>
      <w:r w:rsidR="00EB0027">
        <w:rPr>
          <w:sz w:val="20"/>
        </w:rPr>
        <w:t>,</w:t>
      </w:r>
      <w:r w:rsidR="00E939BA" w:rsidRPr="00DB5BAC">
        <w:rPr>
          <w:sz w:val="20"/>
        </w:rPr>
        <w:t xml:space="preserve"> </w:t>
      </w:r>
      <w:r w:rsidR="00B57681" w:rsidRPr="00DB5BAC">
        <w:rPr>
          <w:sz w:val="20"/>
        </w:rPr>
        <w:t>California</w:t>
      </w:r>
      <w:r w:rsidRPr="00DB5BAC">
        <w:rPr>
          <w:rStyle w:val="FootnoteReference"/>
          <w:sz w:val="20"/>
        </w:rPr>
        <w:footnoteReference w:id="17"/>
      </w:r>
      <w:r w:rsidR="00E939BA" w:rsidRPr="00DB5BAC">
        <w:rPr>
          <w:sz w:val="20"/>
        </w:rPr>
        <w:t>.</w:t>
      </w:r>
      <w:r w:rsidRPr="00DB5BAC">
        <w:rPr>
          <w:sz w:val="20"/>
        </w:rPr>
        <w:t xml:space="preserve"> Kenichi Shibayama </w:t>
      </w:r>
      <w:r w:rsidR="00E939BA" w:rsidRPr="00DB5BAC">
        <w:rPr>
          <w:sz w:val="20"/>
        </w:rPr>
        <w:t xml:space="preserve">nació el </w:t>
      </w:r>
      <w:r w:rsidRPr="00DB5BAC">
        <w:rPr>
          <w:sz w:val="20"/>
        </w:rPr>
        <w:t>5</w:t>
      </w:r>
      <w:r w:rsidR="00E939BA" w:rsidRPr="00DB5BAC">
        <w:rPr>
          <w:sz w:val="20"/>
        </w:rPr>
        <w:t xml:space="preserve"> de enero de</w:t>
      </w:r>
      <w:r w:rsidRPr="00DB5BAC">
        <w:rPr>
          <w:sz w:val="20"/>
        </w:rPr>
        <w:t xml:space="preserve"> 1937, </w:t>
      </w:r>
      <w:r w:rsidR="00E939BA" w:rsidRPr="00DB5BAC">
        <w:rPr>
          <w:sz w:val="20"/>
        </w:rPr>
        <w:t>y</w:t>
      </w:r>
      <w:r w:rsidRPr="00DB5BAC">
        <w:rPr>
          <w:sz w:val="20"/>
        </w:rPr>
        <w:t xml:space="preserve"> Takeshi Shibayama</w:t>
      </w:r>
      <w:r w:rsidR="0003506B" w:rsidRPr="00DB5BAC">
        <w:rPr>
          <w:sz w:val="20"/>
        </w:rPr>
        <w:t xml:space="preserve">, </w:t>
      </w:r>
      <w:r w:rsidR="00E939BA" w:rsidRPr="00DB5BAC">
        <w:rPr>
          <w:sz w:val="20"/>
        </w:rPr>
        <w:t xml:space="preserve">el </w:t>
      </w:r>
      <w:r w:rsidRPr="00DB5BAC">
        <w:rPr>
          <w:sz w:val="20"/>
        </w:rPr>
        <w:t>18</w:t>
      </w:r>
      <w:r w:rsidR="00E939BA" w:rsidRPr="00DB5BAC">
        <w:rPr>
          <w:sz w:val="20"/>
        </w:rPr>
        <w:t xml:space="preserve"> de julio de</w:t>
      </w:r>
      <w:r w:rsidRPr="00DB5BAC">
        <w:rPr>
          <w:sz w:val="20"/>
        </w:rPr>
        <w:t xml:space="preserve"> 1938</w:t>
      </w:r>
      <w:r w:rsidRPr="00DB5BAC">
        <w:rPr>
          <w:rStyle w:val="FootnoteReference"/>
          <w:sz w:val="20"/>
        </w:rPr>
        <w:footnoteReference w:id="18"/>
      </w:r>
      <w:r w:rsidR="001C7CF5" w:rsidRPr="00DB5BAC">
        <w:rPr>
          <w:sz w:val="20"/>
        </w:rPr>
        <w:t xml:space="preserve">. Sus padres eran </w:t>
      </w:r>
      <w:r w:rsidR="00344298" w:rsidRPr="00DB5BAC">
        <w:rPr>
          <w:sz w:val="20"/>
        </w:rPr>
        <w:t>Yuzo</w:t>
      </w:r>
      <w:r w:rsidR="00F85986" w:rsidRPr="00DB5BAC">
        <w:rPr>
          <w:sz w:val="20"/>
        </w:rPr>
        <w:t xml:space="preserve"> </w:t>
      </w:r>
      <w:r w:rsidR="001C7CF5" w:rsidRPr="00DB5BAC">
        <w:rPr>
          <w:sz w:val="20"/>
        </w:rPr>
        <w:t>y</w:t>
      </w:r>
      <w:r w:rsidR="00F85986" w:rsidRPr="00DB5BAC">
        <w:rPr>
          <w:sz w:val="20"/>
        </w:rPr>
        <w:t xml:space="preserve"> Tatsue Shibayama</w:t>
      </w:r>
      <w:r w:rsidR="001C7CF5" w:rsidRPr="00DB5BAC">
        <w:rPr>
          <w:sz w:val="20"/>
        </w:rPr>
        <w:t>. Tienen tres hermanas nacidas en Perú —</w:t>
      </w:r>
      <w:r w:rsidR="00F85986" w:rsidRPr="00DB5BAC">
        <w:rPr>
          <w:sz w:val="20"/>
        </w:rPr>
        <w:t>Fusako Elisa, Kikue Yolanda</w:t>
      </w:r>
      <w:r w:rsidR="001C7CF5" w:rsidRPr="00DB5BAC">
        <w:rPr>
          <w:sz w:val="20"/>
        </w:rPr>
        <w:t xml:space="preserve"> y</w:t>
      </w:r>
      <w:r w:rsidR="00F85986" w:rsidRPr="00DB5BAC">
        <w:rPr>
          <w:sz w:val="20"/>
        </w:rPr>
        <w:t xml:space="preserve"> Akiko Rosa</w:t>
      </w:r>
      <w:r w:rsidR="001C7CF5" w:rsidRPr="00DB5BAC">
        <w:rPr>
          <w:sz w:val="20"/>
        </w:rPr>
        <w:t>— y un hermano y una hermana —George y Kazuko Frances—</w:t>
      </w:r>
      <w:r w:rsidR="00CA214D" w:rsidRPr="00DB5BAC">
        <w:rPr>
          <w:sz w:val="20"/>
        </w:rPr>
        <w:t xml:space="preserve"> </w:t>
      </w:r>
      <w:r w:rsidR="001C7CF5" w:rsidRPr="00DB5BAC">
        <w:rPr>
          <w:sz w:val="20"/>
        </w:rPr>
        <w:t xml:space="preserve">nacidos en </w:t>
      </w:r>
      <w:r w:rsidR="000648EF" w:rsidRPr="00DB5BAC">
        <w:rPr>
          <w:sz w:val="20"/>
        </w:rPr>
        <w:t>Estados Unidos</w:t>
      </w:r>
      <w:r w:rsidR="00F85986" w:rsidRPr="00DB5BAC">
        <w:rPr>
          <w:rStyle w:val="FootnoteReference"/>
          <w:sz w:val="20"/>
        </w:rPr>
        <w:footnoteReference w:id="19"/>
      </w:r>
      <w:r w:rsidR="001C7CF5" w:rsidRPr="00DB5BAC">
        <w:rPr>
          <w:sz w:val="20"/>
        </w:rPr>
        <w:t>.</w:t>
      </w:r>
      <w:r w:rsidR="00DD629F" w:rsidRPr="00DB5BAC">
        <w:rPr>
          <w:sz w:val="20"/>
        </w:rPr>
        <w:t xml:space="preserve"> </w:t>
      </w:r>
      <w:r w:rsidR="001C7CF5" w:rsidRPr="00DB5BAC">
        <w:rPr>
          <w:sz w:val="20"/>
        </w:rPr>
        <w:t>E</w:t>
      </w:r>
      <w:r w:rsidR="00DD629F" w:rsidRPr="00DB5BAC">
        <w:rPr>
          <w:sz w:val="20"/>
        </w:rPr>
        <w:t xml:space="preserve">n </w:t>
      </w:r>
      <w:r w:rsidR="00E939BA" w:rsidRPr="00DB5BAC">
        <w:rPr>
          <w:sz w:val="20"/>
        </w:rPr>
        <w:t>Perú</w:t>
      </w:r>
      <w:r w:rsidR="00DD629F" w:rsidRPr="00DB5BAC">
        <w:rPr>
          <w:sz w:val="20"/>
        </w:rPr>
        <w:t xml:space="preserve">, Yuzo </w:t>
      </w:r>
      <w:r w:rsidR="001C7CF5" w:rsidRPr="00DB5BAC">
        <w:rPr>
          <w:sz w:val="20"/>
        </w:rPr>
        <w:t>y</w:t>
      </w:r>
      <w:r w:rsidR="00DD629F" w:rsidRPr="00DB5BAC">
        <w:rPr>
          <w:sz w:val="20"/>
        </w:rPr>
        <w:t xml:space="preserve"> Tatsue Shibayama </w:t>
      </w:r>
      <w:r w:rsidR="001C7CF5" w:rsidRPr="00DB5BAC">
        <w:rPr>
          <w:sz w:val="20"/>
        </w:rPr>
        <w:t xml:space="preserve">tenían una próspera empresa de importación de </w:t>
      </w:r>
      <w:r w:rsidR="00DD629F" w:rsidRPr="00DB5BAC">
        <w:rPr>
          <w:sz w:val="20"/>
        </w:rPr>
        <w:t xml:space="preserve">textiles </w:t>
      </w:r>
      <w:r w:rsidR="001C7CF5" w:rsidRPr="00DB5BAC">
        <w:rPr>
          <w:sz w:val="20"/>
        </w:rPr>
        <w:t xml:space="preserve">y confección de camisas de vestir, y los abuelos de </w:t>
      </w:r>
      <w:r w:rsidR="005B1600" w:rsidRPr="00DB5BAC">
        <w:rPr>
          <w:sz w:val="20"/>
        </w:rPr>
        <w:t>los hermanos Shibayama</w:t>
      </w:r>
      <w:r w:rsidR="001C7CF5" w:rsidRPr="00DB5BAC">
        <w:rPr>
          <w:sz w:val="20"/>
        </w:rPr>
        <w:t xml:space="preserve"> eran dueños de una tienda de departamentos en </w:t>
      </w:r>
      <w:r w:rsidR="00DD629F" w:rsidRPr="00DB5BAC">
        <w:rPr>
          <w:sz w:val="20"/>
        </w:rPr>
        <w:t>Callao</w:t>
      </w:r>
      <w:r w:rsidR="00EB0027">
        <w:rPr>
          <w:sz w:val="20"/>
        </w:rPr>
        <w:t>,</w:t>
      </w:r>
      <w:r w:rsidR="001C7CF5" w:rsidRPr="00DB5BAC">
        <w:rPr>
          <w:sz w:val="20"/>
        </w:rPr>
        <w:t xml:space="preserve"> </w:t>
      </w:r>
      <w:r w:rsidR="00EB0027">
        <w:rPr>
          <w:sz w:val="20"/>
        </w:rPr>
        <w:t>P</w:t>
      </w:r>
      <w:r w:rsidR="00E939BA" w:rsidRPr="00DB5BAC">
        <w:rPr>
          <w:sz w:val="20"/>
        </w:rPr>
        <w:t>erú</w:t>
      </w:r>
      <w:r w:rsidR="00DD629F" w:rsidRPr="00DB5BAC">
        <w:rPr>
          <w:rStyle w:val="FootnoteReference"/>
          <w:sz w:val="20"/>
        </w:rPr>
        <w:footnoteReference w:id="20"/>
      </w:r>
      <w:r w:rsidR="001C7CF5" w:rsidRPr="00DB5BAC">
        <w:rPr>
          <w:sz w:val="20"/>
        </w:rPr>
        <w:t>.</w:t>
      </w:r>
    </w:p>
    <w:p w14:paraId="18A8A6A7" w14:textId="77777777" w:rsidR="007A7DA4" w:rsidRPr="00DB5BAC" w:rsidRDefault="007A7DA4" w:rsidP="007A7DA4">
      <w:pPr>
        <w:pStyle w:val="ListParagraph"/>
        <w:rPr>
          <w:color w:val="auto"/>
          <w:sz w:val="20"/>
          <w:szCs w:val="20"/>
          <w:lang w:val="es-ES"/>
        </w:rPr>
      </w:pPr>
    </w:p>
    <w:p w14:paraId="190E24C5" w14:textId="77777777" w:rsidR="00D83D73" w:rsidRPr="00DB5BAC" w:rsidRDefault="00411998" w:rsidP="00C53C19">
      <w:pPr>
        <w:pStyle w:val="Heading2"/>
        <w:rPr>
          <w:lang w:val="es-ES"/>
        </w:rPr>
      </w:pPr>
      <w:bookmarkStart w:id="10" w:name="_Toc27473285"/>
      <w:r w:rsidRPr="00DB5BAC">
        <w:rPr>
          <w:lang w:val="es-ES"/>
        </w:rPr>
        <w:t xml:space="preserve">Secuestro de la familia </w:t>
      </w:r>
      <w:r w:rsidR="00C53C19" w:rsidRPr="00DB5BAC">
        <w:rPr>
          <w:lang w:val="es-ES"/>
        </w:rPr>
        <w:t xml:space="preserve">Shibayama </w:t>
      </w:r>
      <w:r w:rsidRPr="00DB5BAC">
        <w:rPr>
          <w:lang w:val="es-ES"/>
        </w:rPr>
        <w:t xml:space="preserve">en </w:t>
      </w:r>
      <w:r w:rsidR="00E939BA" w:rsidRPr="00DB5BAC">
        <w:rPr>
          <w:lang w:val="es-ES"/>
        </w:rPr>
        <w:t>Perú</w:t>
      </w:r>
      <w:r w:rsidR="00C53C19" w:rsidRPr="00DB5BAC">
        <w:rPr>
          <w:lang w:val="es-ES"/>
        </w:rPr>
        <w:t xml:space="preserve">, </w:t>
      </w:r>
      <w:r w:rsidR="00333A05" w:rsidRPr="00DB5BAC">
        <w:rPr>
          <w:lang w:val="es-ES"/>
        </w:rPr>
        <w:t>internamiento</w:t>
      </w:r>
      <w:r w:rsidR="00C53C19" w:rsidRPr="00DB5BAC">
        <w:rPr>
          <w:lang w:val="es-ES"/>
        </w:rPr>
        <w:t xml:space="preserve"> </w:t>
      </w:r>
      <w:r w:rsidRPr="00DB5BAC">
        <w:rPr>
          <w:lang w:val="es-ES"/>
        </w:rPr>
        <w:t xml:space="preserve">en </w:t>
      </w:r>
      <w:r w:rsidR="00C53C19" w:rsidRPr="00DB5BAC">
        <w:rPr>
          <w:lang w:val="es-ES"/>
        </w:rPr>
        <w:t>Crystal City</w:t>
      </w:r>
      <w:r w:rsidR="00EB0027">
        <w:rPr>
          <w:lang w:val="es-ES"/>
        </w:rPr>
        <w:t>,</w:t>
      </w:r>
      <w:r w:rsidRPr="00DB5BAC">
        <w:rPr>
          <w:lang w:val="es-ES"/>
        </w:rPr>
        <w:t xml:space="preserve"> </w:t>
      </w:r>
      <w:r w:rsidR="00C53C19" w:rsidRPr="00DB5BAC">
        <w:rPr>
          <w:lang w:val="es-ES"/>
        </w:rPr>
        <w:t>Texas</w:t>
      </w:r>
      <w:r w:rsidR="00EB0027">
        <w:rPr>
          <w:lang w:val="es-ES"/>
        </w:rPr>
        <w:t>,</w:t>
      </w:r>
      <w:r w:rsidRPr="00DB5BAC">
        <w:rPr>
          <w:lang w:val="es-ES"/>
        </w:rPr>
        <w:t xml:space="preserve"> </w:t>
      </w:r>
      <w:r w:rsidR="005D11F1" w:rsidRPr="00DB5BAC">
        <w:rPr>
          <w:lang w:val="es-ES"/>
        </w:rPr>
        <w:t>y vida tras su puesta en libertad</w:t>
      </w:r>
      <w:bookmarkEnd w:id="10"/>
    </w:p>
    <w:p w14:paraId="4EA553B6" w14:textId="77777777" w:rsidR="007A7DA4" w:rsidRPr="00DB5BAC" w:rsidRDefault="007A7DA4" w:rsidP="00C53C19">
      <w:pPr>
        <w:jc w:val="both"/>
        <w:rPr>
          <w:rFonts w:asciiTheme="majorHAnsi" w:hAnsiTheme="majorHAnsi"/>
          <w:b/>
          <w:color w:val="FF0000"/>
          <w:sz w:val="20"/>
        </w:rPr>
      </w:pPr>
    </w:p>
    <w:p w14:paraId="37894529" w14:textId="77777777" w:rsidR="0002553C" w:rsidRPr="00DB5BAC" w:rsidRDefault="005B1600"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 xml:space="preserve">Los </w:t>
      </w:r>
      <w:r w:rsidR="005D11F1" w:rsidRPr="00DB5BAC">
        <w:rPr>
          <w:sz w:val="20"/>
        </w:rPr>
        <w:t xml:space="preserve">abuelos de los </w:t>
      </w:r>
      <w:r w:rsidRPr="00DB5BAC">
        <w:rPr>
          <w:sz w:val="20"/>
        </w:rPr>
        <w:t>hermanos Shibayama</w:t>
      </w:r>
      <w:r w:rsidR="00064659" w:rsidRPr="00DB5BAC">
        <w:rPr>
          <w:sz w:val="20"/>
        </w:rPr>
        <w:t xml:space="preserve"> —</w:t>
      </w:r>
      <w:r w:rsidR="005D11F1" w:rsidRPr="00DB5BAC">
        <w:rPr>
          <w:sz w:val="20"/>
        </w:rPr>
        <w:t xml:space="preserve">un ciudadano peruano y una residente </w:t>
      </w:r>
      <w:r w:rsidR="00150351" w:rsidRPr="00DB5BAC">
        <w:rPr>
          <w:sz w:val="20"/>
        </w:rPr>
        <w:t>permanent</w:t>
      </w:r>
      <w:r w:rsidR="005D11F1" w:rsidRPr="00DB5BAC">
        <w:rPr>
          <w:sz w:val="20"/>
        </w:rPr>
        <w:t>e</w:t>
      </w:r>
      <w:r w:rsidR="00064659" w:rsidRPr="00DB5BAC">
        <w:rPr>
          <w:sz w:val="20"/>
        </w:rPr>
        <w:t>—</w:t>
      </w:r>
      <w:r w:rsidR="005D11F1" w:rsidRPr="00DB5BAC">
        <w:rPr>
          <w:sz w:val="20"/>
        </w:rPr>
        <w:t xml:space="preserve"> fueron unos de los primeros </w:t>
      </w:r>
      <w:r w:rsidR="00A433AC" w:rsidRPr="00DB5BAC">
        <w:rPr>
          <w:sz w:val="20"/>
        </w:rPr>
        <w:t>peruanos japoneses</w:t>
      </w:r>
      <w:r w:rsidR="00150351" w:rsidRPr="00DB5BAC">
        <w:rPr>
          <w:sz w:val="20"/>
        </w:rPr>
        <w:t xml:space="preserve"> </w:t>
      </w:r>
      <w:r w:rsidR="005D11F1" w:rsidRPr="00DB5BAC">
        <w:rPr>
          <w:sz w:val="20"/>
        </w:rPr>
        <w:t xml:space="preserve">en ser secuestrados en </w:t>
      </w:r>
      <w:r w:rsidR="00E939BA" w:rsidRPr="00DB5BAC">
        <w:rPr>
          <w:sz w:val="20"/>
        </w:rPr>
        <w:t>Perú</w:t>
      </w:r>
      <w:r w:rsidR="00150351" w:rsidRPr="00DB5BAC">
        <w:rPr>
          <w:sz w:val="20"/>
        </w:rPr>
        <w:t xml:space="preserve"> </w:t>
      </w:r>
      <w:r w:rsidR="005D11F1" w:rsidRPr="00DB5BAC">
        <w:rPr>
          <w:sz w:val="20"/>
        </w:rPr>
        <w:t xml:space="preserve">por personal </w:t>
      </w:r>
      <w:r w:rsidR="007C6F2C" w:rsidRPr="00DB5BAC">
        <w:rPr>
          <w:sz w:val="20"/>
        </w:rPr>
        <w:t>estadounidense</w:t>
      </w:r>
      <w:r w:rsidR="005D11F1" w:rsidRPr="00DB5BAC">
        <w:rPr>
          <w:sz w:val="20"/>
        </w:rPr>
        <w:t xml:space="preserve"> a fines de </w:t>
      </w:r>
      <w:r w:rsidR="00150351" w:rsidRPr="00DB5BAC">
        <w:rPr>
          <w:sz w:val="20"/>
        </w:rPr>
        <w:t>1942 o</w:t>
      </w:r>
      <w:r w:rsidR="005D11F1" w:rsidRPr="00DB5BAC">
        <w:rPr>
          <w:sz w:val="20"/>
        </w:rPr>
        <w:t xml:space="preserve"> principios de </w:t>
      </w:r>
      <w:r w:rsidR="00150351" w:rsidRPr="00DB5BAC">
        <w:rPr>
          <w:sz w:val="20"/>
        </w:rPr>
        <w:t>1943</w:t>
      </w:r>
      <w:r w:rsidR="00150351" w:rsidRPr="00DB5BAC">
        <w:rPr>
          <w:rStyle w:val="FootnoteReference"/>
          <w:sz w:val="20"/>
        </w:rPr>
        <w:footnoteReference w:id="21"/>
      </w:r>
      <w:r w:rsidR="005D11F1" w:rsidRPr="00DB5BAC">
        <w:rPr>
          <w:sz w:val="20"/>
        </w:rPr>
        <w:t xml:space="preserve">. Los abuelos fueron </w:t>
      </w:r>
      <w:r w:rsidR="00EB0027">
        <w:rPr>
          <w:sz w:val="20"/>
        </w:rPr>
        <w:t>“</w:t>
      </w:r>
      <w:r w:rsidR="005D11F1" w:rsidRPr="00DB5BAC">
        <w:rPr>
          <w:sz w:val="20"/>
        </w:rPr>
        <w:t xml:space="preserve">llevados a </w:t>
      </w:r>
      <w:r w:rsidR="00AE2AD7" w:rsidRPr="00DB5BAC">
        <w:rPr>
          <w:sz w:val="20"/>
        </w:rPr>
        <w:t>Estados Unidos</w:t>
      </w:r>
      <w:r w:rsidR="00150351" w:rsidRPr="00DB5BAC">
        <w:rPr>
          <w:sz w:val="20"/>
        </w:rPr>
        <w:t xml:space="preserve"> </w:t>
      </w:r>
      <w:r w:rsidR="005D11F1" w:rsidRPr="00DB5BAC">
        <w:rPr>
          <w:sz w:val="20"/>
        </w:rPr>
        <w:t xml:space="preserve">en un </w:t>
      </w:r>
      <w:r w:rsidR="005D11F1" w:rsidRPr="00DB5BAC">
        <w:rPr>
          <w:sz w:val="20"/>
        </w:rPr>
        <w:lastRenderedPageBreak/>
        <w:t xml:space="preserve">buque de transporte de tropas estadounidenses, permanecieron internados en </w:t>
      </w:r>
      <w:r w:rsidR="00150351" w:rsidRPr="00DB5BAC">
        <w:rPr>
          <w:sz w:val="20"/>
        </w:rPr>
        <w:t>Seagoville</w:t>
      </w:r>
      <w:r w:rsidR="00EB0027">
        <w:rPr>
          <w:sz w:val="20"/>
        </w:rPr>
        <w:t>,</w:t>
      </w:r>
      <w:r w:rsidR="00150351" w:rsidRPr="00DB5BAC">
        <w:rPr>
          <w:sz w:val="20"/>
        </w:rPr>
        <w:t xml:space="preserve"> Texas</w:t>
      </w:r>
      <w:r w:rsidR="00EB0027">
        <w:rPr>
          <w:sz w:val="20"/>
        </w:rPr>
        <w:t>,</w:t>
      </w:r>
      <w:r w:rsidR="005D11F1" w:rsidRPr="00DB5BAC">
        <w:rPr>
          <w:sz w:val="20"/>
        </w:rPr>
        <w:t xml:space="preserve"> y posteriormente </w:t>
      </w:r>
      <w:r w:rsidR="00EB0027">
        <w:rPr>
          <w:sz w:val="20"/>
        </w:rPr>
        <w:t xml:space="preserve">[…] </w:t>
      </w:r>
      <w:r w:rsidR="005D11F1" w:rsidRPr="00DB5BAC">
        <w:rPr>
          <w:sz w:val="20"/>
        </w:rPr>
        <w:t xml:space="preserve">fueron enviados a Japón </w:t>
      </w:r>
      <w:r w:rsidR="007C6F2C" w:rsidRPr="00DB5BAC">
        <w:rPr>
          <w:sz w:val="20"/>
        </w:rPr>
        <w:t>a cambio de ciudadanos estadounidenses de ascendencia europea</w:t>
      </w:r>
      <w:r w:rsidR="00EB0027">
        <w:rPr>
          <w:sz w:val="20"/>
        </w:rPr>
        <w:t>”</w:t>
      </w:r>
      <w:r w:rsidR="00150351" w:rsidRPr="00DB5BAC">
        <w:rPr>
          <w:rStyle w:val="FootnoteReference"/>
          <w:sz w:val="20"/>
        </w:rPr>
        <w:footnoteReference w:id="22"/>
      </w:r>
      <w:r w:rsidR="007C6F2C" w:rsidRPr="00DB5BAC">
        <w:rPr>
          <w:sz w:val="20"/>
        </w:rPr>
        <w:t>.</w:t>
      </w:r>
      <w:r w:rsidR="00150351" w:rsidRPr="00DB5BAC">
        <w:rPr>
          <w:sz w:val="20"/>
        </w:rPr>
        <w:t xml:space="preserve"> </w:t>
      </w:r>
      <w:r w:rsidR="007C6F2C" w:rsidRPr="00DB5BAC">
        <w:rPr>
          <w:sz w:val="20"/>
        </w:rPr>
        <w:t>La familia Shibayama</w:t>
      </w:r>
      <w:r w:rsidR="00150351" w:rsidRPr="00DB5BAC">
        <w:rPr>
          <w:sz w:val="20"/>
        </w:rPr>
        <w:t xml:space="preserve"> </w:t>
      </w:r>
      <w:r w:rsidR="007C6F2C" w:rsidRPr="00DB5BAC">
        <w:rPr>
          <w:sz w:val="20"/>
        </w:rPr>
        <w:t xml:space="preserve">nunca más volvió a verlos, hecho que afectó en particular a </w:t>
      </w:r>
      <w:r w:rsidR="00CC205D" w:rsidRPr="00DB5BAC">
        <w:rPr>
          <w:sz w:val="20"/>
        </w:rPr>
        <w:t xml:space="preserve">Isamu Shibayama, </w:t>
      </w:r>
      <w:r w:rsidR="007C6F2C" w:rsidRPr="00DB5BAC">
        <w:rPr>
          <w:sz w:val="20"/>
        </w:rPr>
        <w:t>que hasta ese momento se había criado principalmente con sus abuelos</w:t>
      </w:r>
      <w:r w:rsidR="00CC205D" w:rsidRPr="00DB5BAC">
        <w:rPr>
          <w:rStyle w:val="FootnoteReference"/>
          <w:sz w:val="20"/>
        </w:rPr>
        <w:footnoteReference w:id="23"/>
      </w:r>
      <w:r w:rsidR="007C6F2C" w:rsidRPr="00DB5BAC">
        <w:rPr>
          <w:sz w:val="20"/>
        </w:rPr>
        <w:t>.</w:t>
      </w:r>
    </w:p>
    <w:p w14:paraId="282EF9C8" w14:textId="77777777" w:rsidR="00150351" w:rsidRPr="00DB5BAC" w:rsidRDefault="00150351" w:rsidP="001503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rPr>
      </w:pPr>
    </w:p>
    <w:p w14:paraId="2D3136DD" w14:textId="77777777" w:rsidR="007D148E" w:rsidRPr="00DB5BAC" w:rsidRDefault="007C6F2C"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 xml:space="preserve">Después </w:t>
      </w:r>
      <w:r w:rsidR="00EB0027">
        <w:rPr>
          <w:sz w:val="20"/>
        </w:rPr>
        <w:t xml:space="preserve">de </w:t>
      </w:r>
      <w:r w:rsidRPr="00DB5BAC">
        <w:rPr>
          <w:sz w:val="20"/>
        </w:rPr>
        <w:t xml:space="preserve">que los primeros </w:t>
      </w:r>
      <w:r w:rsidR="00BF623C" w:rsidRPr="00DB5BAC">
        <w:rPr>
          <w:sz w:val="20"/>
        </w:rPr>
        <w:t>rehenes</w:t>
      </w:r>
      <w:r w:rsidR="00150351" w:rsidRPr="00DB5BAC">
        <w:rPr>
          <w:sz w:val="20"/>
        </w:rPr>
        <w:t xml:space="preserve"> </w:t>
      </w:r>
      <w:r w:rsidRPr="00DB5BAC">
        <w:rPr>
          <w:sz w:val="20"/>
        </w:rPr>
        <w:t xml:space="preserve">peruanos japoneses </w:t>
      </w:r>
      <w:r w:rsidR="00EB0027">
        <w:rPr>
          <w:sz w:val="20"/>
        </w:rPr>
        <w:t>“</w:t>
      </w:r>
      <w:r w:rsidRPr="00DB5BAC">
        <w:rPr>
          <w:sz w:val="20"/>
        </w:rPr>
        <w:t>fueron colocados en un buque de transporte estadounidense y enviados a un destino desconocido, algunos de los hombres peruanos japoneses, entre ellos el padre de los Shibayama, se escondían cada vez que un buque de transporte estadounidense llegaba a puerto</w:t>
      </w:r>
      <w:r w:rsidR="00EB0027">
        <w:rPr>
          <w:sz w:val="20"/>
        </w:rPr>
        <w:t>”</w:t>
      </w:r>
      <w:r w:rsidRPr="00DB5BAC">
        <w:rPr>
          <w:sz w:val="20"/>
        </w:rPr>
        <w:t xml:space="preserve"> en </w:t>
      </w:r>
      <w:r w:rsidR="00150351" w:rsidRPr="00DB5BAC">
        <w:rPr>
          <w:sz w:val="20"/>
        </w:rPr>
        <w:t>Callao</w:t>
      </w:r>
      <w:r w:rsidR="00EB0027">
        <w:rPr>
          <w:sz w:val="20"/>
        </w:rPr>
        <w:t>,</w:t>
      </w:r>
      <w:r w:rsidRPr="00DB5BAC">
        <w:rPr>
          <w:sz w:val="20"/>
        </w:rPr>
        <w:t xml:space="preserve"> </w:t>
      </w:r>
      <w:r w:rsidR="00E939BA" w:rsidRPr="00DB5BAC">
        <w:rPr>
          <w:sz w:val="20"/>
        </w:rPr>
        <w:t>Perú</w:t>
      </w:r>
      <w:r w:rsidR="00150351" w:rsidRPr="00DB5BAC">
        <w:rPr>
          <w:rStyle w:val="FootnoteReference"/>
          <w:sz w:val="20"/>
        </w:rPr>
        <w:footnoteReference w:id="24"/>
      </w:r>
      <w:r w:rsidRPr="00DB5BAC">
        <w:rPr>
          <w:sz w:val="20"/>
        </w:rPr>
        <w:t>.</w:t>
      </w:r>
      <w:r w:rsidR="00150351" w:rsidRPr="00DB5BAC">
        <w:rPr>
          <w:sz w:val="20"/>
        </w:rPr>
        <w:t xml:space="preserve"> Final</w:t>
      </w:r>
      <w:r w:rsidRPr="00DB5BAC">
        <w:rPr>
          <w:sz w:val="20"/>
        </w:rPr>
        <w:t xml:space="preserve">mente, su madre, </w:t>
      </w:r>
      <w:r w:rsidR="00150351" w:rsidRPr="00DB5BAC">
        <w:rPr>
          <w:sz w:val="20"/>
        </w:rPr>
        <w:t xml:space="preserve">Tatsue, </w:t>
      </w:r>
      <w:r w:rsidRPr="00DB5BAC">
        <w:rPr>
          <w:sz w:val="20"/>
        </w:rPr>
        <w:t xml:space="preserve">fue encarcelada por negarse a revelar el paradero de su marido, </w:t>
      </w:r>
      <w:r w:rsidR="00150351" w:rsidRPr="00DB5BAC">
        <w:rPr>
          <w:sz w:val="20"/>
        </w:rPr>
        <w:t>Yuzo</w:t>
      </w:r>
      <w:r w:rsidRPr="00DB5BAC">
        <w:rPr>
          <w:sz w:val="20"/>
        </w:rPr>
        <w:t xml:space="preserve">. Su hija mayor, que </w:t>
      </w:r>
      <w:r w:rsidR="00EB0027">
        <w:rPr>
          <w:sz w:val="20"/>
        </w:rPr>
        <w:t>en ese momento</w:t>
      </w:r>
      <w:r w:rsidRPr="00DB5BAC">
        <w:rPr>
          <w:sz w:val="20"/>
        </w:rPr>
        <w:t xml:space="preserve"> tenía </w:t>
      </w:r>
      <w:r w:rsidR="00150351" w:rsidRPr="00DB5BAC">
        <w:rPr>
          <w:sz w:val="20"/>
        </w:rPr>
        <w:t>11</w:t>
      </w:r>
      <w:r w:rsidRPr="00DB5BAC">
        <w:rPr>
          <w:sz w:val="20"/>
        </w:rPr>
        <w:t xml:space="preserve"> años</w:t>
      </w:r>
      <w:r w:rsidR="00150351" w:rsidRPr="00DB5BAC">
        <w:rPr>
          <w:sz w:val="20"/>
        </w:rPr>
        <w:t xml:space="preserve">, </w:t>
      </w:r>
      <w:r w:rsidRPr="00DB5BAC">
        <w:rPr>
          <w:sz w:val="20"/>
        </w:rPr>
        <w:t>la acompañó a la cárcel para que no estuviera sola</w:t>
      </w:r>
      <w:r w:rsidR="00150351" w:rsidRPr="00DB5BAC">
        <w:rPr>
          <w:rStyle w:val="FootnoteReference"/>
          <w:sz w:val="20"/>
        </w:rPr>
        <w:footnoteReference w:id="25"/>
      </w:r>
      <w:r w:rsidRPr="00DB5BAC">
        <w:rPr>
          <w:sz w:val="20"/>
        </w:rPr>
        <w:t xml:space="preserve">. Cuando Yuzo </w:t>
      </w:r>
      <w:r w:rsidR="00150351" w:rsidRPr="00DB5BAC">
        <w:rPr>
          <w:sz w:val="20"/>
        </w:rPr>
        <w:t xml:space="preserve">Shibayama </w:t>
      </w:r>
      <w:r w:rsidRPr="00DB5BAC">
        <w:rPr>
          <w:sz w:val="20"/>
        </w:rPr>
        <w:t>se enteró, se entregó a las autoridades, y tanto los padres como los seis hijos fueron capturados por personal estadounidense</w:t>
      </w:r>
      <w:r w:rsidR="00150351" w:rsidRPr="00DB5BAC">
        <w:rPr>
          <w:rStyle w:val="FootnoteReference"/>
          <w:sz w:val="20"/>
        </w:rPr>
        <w:footnoteReference w:id="26"/>
      </w:r>
      <w:r w:rsidRPr="00DB5BAC">
        <w:rPr>
          <w:sz w:val="20"/>
        </w:rPr>
        <w:t xml:space="preserve">. El </w:t>
      </w:r>
      <w:r w:rsidR="007A7DA4" w:rsidRPr="00DB5BAC">
        <w:rPr>
          <w:sz w:val="20"/>
        </w:rPr>
        <w:t>1</w:t>
      </w:r>
      <w:r w:rsidRPr="00DB5BAC">
        <w:rPr>
          <w:sz w:val="20"/>
        </w:rPr>
        <w:t xml:space="preserve"> de marzo de</w:t>
      </w:r>
      <w:r w:rsidR="007A7DA4" w:rsidRPr="00DB5BAC">
        <w:rPr>
          <w:sz w:val="20"/>
        </w:rPr>
        <w:t xml:space="preserve"> 1944, </w:t>
      </w:r>
      <w:r w:rsidR="005B1600" w:rsidRPr="00DB5BAC">
        <w:rPr>
          <w:sz w:val="20"/>
        </w:rPr>
        <w:t>los hermanos Shibayama</w:t>
      </w:r>
      <w:r w:rsidR="007A7DA4" w:rsidRPr="00DB5BAC">
        <w:rPr>
          <w:sz w:val="20"/>
        </w:rPr>
        <w:t xml:space="preserve">, </w:t>
      </w:r>
      <w:r w:rsidR="00A74FFC" w:rsidRPr="00DB5BAC">
        <w:rPr>
          <w:sz w:val="20"/>
        </w:rPr>
        <w:t xml:space="preserve">sus tres hermanas y sus padres fueron secuestrados en </w:t>
      </w:r>
      <w:r w:rsidR="00E939BA" w:rsidRPr="00DB5BAC">
        <w:rPr>
          <w:sz w:val="20"/>
        </w:rPr>
        <w:t>Perú</w:t>
      </w:r>
      <w:r w:rsidR="00F449B4" w:rsidRPr="00DB5BAC">
        <w:rPr>
          <w:sz w:val="20"/>
        </w:rPr>
        <w:t xml:space="preserve"> </w:t>
      </w:r>
      <w:r w:rsidR="00A74FFC" w:rsidRPr="00DB5BAC">
        <w:rPr>
          <w:sz w:val="20"/>
        </w:rPr>
        <w:t xml:space="preserve">por las </w:t>
      </w:r>
      <w:r w:rsidR="00290076" w:rsidRPr="00DB5BAC">
        <w:rPr>
          <w:sz w:val="20"/>
        </w:rPr>
        <w:t>fuerzas armadas</w:t>
      </w:r>
      <w:r w:rsidR="00A74FFC" w:rsidRPr="00DB5BAC">
        <w:rPr>
          <w:sz w:val="20"/>
        </w:rPr>
        <w:t xml:space="preserve"> de</w:t>
      </w:r>
      <w:r w:rsidR="00F449B4" w:rsidRPr="00DB5BAC">
        <w:rPr>
          <w:sz w:val="20"/>
        </w:rPr>
        <w:t xml:space="preserve"> </w:t>
      </w:r>
      <w:r w:rsidR="000648EF" w:rsidRPr="00DB5BAC">
        <w:rPr>
          <w:sz w:val="20"/>
        </w:rPr>
        <w:t>Estados Unidos</w:t>
      </w:r>
      <w:r w:rsidR="00F449B4" w:rsidRPr="00DB5BAC">
        <w:rPr>
          <w:rStyle w:val="FootnoteReference"/>
          <w:sz w:val="20"/>
        </w:rPr>
        <w:footnoteReference w:id="27"/>
      </w:r>
      <w:r w:rsidR="00A74FFC" w:rsidRPr="00DB5BAC">
        <w:rPr>
          <w:sz w:val="20"/>
        </w:rPr>
        <w:t>. En esa ocasión, el personal estadounidense les confiscó sus documentos de identidad peruanos y nunca se los devolvió</w:t>
      </w:r>
      <w:r w:rsidR="007A7DA4" w:rsidRPr="00DB5BAC">
        <w:rPr>
          <w:rStyle w:val="FootnoteReference"/>
          <w:sz w:val="20"/>
        </w:rPr>
        <w:footnoteReference w:id="28"/>
      </w:r>
      <w:r w:rsidR="00A74FFC" w:rsidRPr="00DB5BAC">
        <w:rPr>
          <w:sz w:val="20"/>
        </w:rPr>
        <w:t>.</w:t>
      </w:r>
      <w:r w:rsidR="007A7DA4" w:rsidRPr="00DB5BAC">
        <w:rPr>
          <w:sz w:val="20"/>
        </w:rPr>
        <w:t xml:space="preserve"> </w:t>
      </w:r>
    </w:p>
    <w:p w14:paraId="54128185" w14:textId="77777777" w:rsidR="007D148E" w:rsidRPr="00DB5BAC" w:rsidRDefault="007D148E" w:rsidP="007D148E">
      <w:pPr>
        <w:pStyle w:val="ListParagraph"/>
        <w:rPr>
          <w:sz w:val="20"/>
          <w:lang w:val="es-ES"/>
        </w:rPr>
      </w:pPr>
    </w:p>
    <w:p w14:paraId="64FF9EDC" w14:textId="77777777" w:rsidR="00F449B4" w:rsidRPr="00DB5BAC" w:rsidRDefault="00A74FFC"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De esta forma, l</w:t>
      </w:r>
      <w:r w:rsidR="005B1600" w:rsidRPr="00DB5BAC">
        <w:rPr>
          <w:sz w:val="20"/>
        </w:rPr>
        <w:t>os Shibayama</w:t>
      </w:r>
      <w:r w:rsidR="00C51260" w:rsidRPr="00DB5BAC">
        <w:rPr>
          <w:sz w:val="20"/>
        </w:rPr>
        <w:t xml:space="preserve"> </w:t>
      </w:r>
      <w:r w:rsidRPr="00DB5BAC">
        <w:rPr>
          <w:sz w:val="20"/>
        </w:rPr>
        <w:t xml:space="preserve">se encontraron entre los </w:t>
      </w:r>
      <w:r w:rsidR="00C51260" w:rsidRPr="00DB5BAC">
        <w:rPr>
          <w:sz w:val="20"/>
        </w:rPr>
        <w:t xml:space="preserve">700 </w:t>
      </w:r>
      <w:r w:rsidRPr="00DB5BAC">
        <w:rPr>
          <w:sz w:val="20"/>
        </w:rPr>
        <w:t xml:space="preserve">japoneses y </w:t>
      </w:r>
      <w:r w:rsidR="00C51260" w:rsidRPr="00DB5BAC">
        <w:rPr>
          <w:sz w:val="20"/>
        </w:rPr>
        <w:t xml:space="preserve">70 </w:t>
      </w:r>
      <w:r w:rsidRPr="00DB5BAC">
        <w:rPr>
          <w:sz w:val="20"/>
        </w:rPr>
        <w:t xml:space="preserve">alemanes que fueron deportados de </w:t>
      </w:r>
      <w:r w:rsidR="00E939BA" w:rsidRPr="00DB5BAC">
        <w:rPr>
          <w:sz w:val="20"/>
        </w:rPr>
        <w:t>Perú</w:t>
      </w:r>
      <w:r w:rsidR="007D148E" w:rsidRPr="00DB5BAC">
        <w:rPr>
          <w:sz w:val="20"/>
        </w:rPr>
        <w:t xml:space="preserve"> </w:t>
      </w:r>
      <w:r w:rsidRPr="00DB5BAC">
        <w:rPr>
          <w:sz w:val="20"/>
        </w:rPr>
        <w:t xml:space="preserve">a </w:t>
      </w:r>
      <w:r w:rsidR="000648EF" w:rsidRPr="00DB5BAC">
        <w:rPr>
          <w:sz w:val="20"/>
        </w:rPr>
        <w:t>Estados Unidos</w:t>
      </w:r>
      <w:r w:rsidR="00C51260" w:rsidRPr="00DB5BAC">
        <w:rPr>
          <w:sz w:val="20"/>
        </w:rPr>
        <w:t xml:space="preserve"> </w:t>
      </w:r>
      <w:r w:rsidRPr="00DB5BAC">
        <w:rPr>
          <w:sz w:val="20"/>
        </w:rPr>
        <w:t xml:space="preserve">entre enero y octubre de </w:t>
      </w:r>
      <w:r w:rsidR="00C51260" w:rsidRPr="00DB5BAC">
        <w:rPr>
          <w:sz w:val="20"/>
        </w:rPr>
        <w:t>1944</w:t>
      </w:r>
      <w:r w:rsidR="00C51260" w:rsidRPr="00DB5BAC">
        <w:rPr>
          <w:rStyle w:val="FootnoteReference"/>
          <w:sz w:val="20"/>
        </w:rPr>
        <w:footnoteReference w:id="29"/>
      </w:r>
      <w:r w:rsidRPr="00DB5BAC">
        <w:rPr>
          <w:sz w:val="20"/>
        </w:rPr>
        <w:t xml:space="preserve">. Durante ese período, </w:t>
      </w:r>
      <w:r w:rsidR="00E939BA" w:rsidRPr="00DB5BAC">
        <w:rPr>
          <w:sz w:val="20"/>
        </w:rPr>
        <w:t>Perú</w:t>
      </w:r>
      <w:r w:rsidR="007D148E" w:rsidRPr="00DB5BAC">
        <w:rPr>
          <w:sz w:val="20"/>
        </w:rPr>
        <w:t xml:space="preserve"> </w:t>
      </w:r>
      <w:r w:rsidR="00EB0027">
        <w:rPr>
          <w:sz w:val="20"/>
        </w:rPr>
        <w:t>“</w:t>
      </w:r>
      <w:r w:rsidR="002167BA" w:rsidRPr="00DB5BAC">
        <w:rPr>
          <w:sz w:val="20"/>
        </w:rPr>
        <w:t xml:space="preserve">presionó para que se deportara a más japoneses, pero </w:t>
      </w:r>
      <w:r w:rsidR="00AE2AD7" w:rsidRPr="00DB5BAC">
        <w:rPr>
          <w:sz w:val="20"/>
        </w:rPr>
        <w:t>Estados Unidos</w:t>
      </w:r>
      <w:r w:rsidR="007D148E" w:rsidRPr="00DB5BAC">
        <w:rPr>
          <w:sz w:val="20"/>
        </w:rPr>
        <w:t xml:space="preserve"> </w:t>
      </w:r>
      <w:r w:rsidR="002167BA" w:rsidRPr="00DB5BAC">
        <w:rPr>
          <w:sz w:val="20"/>
        </w:rPr>
        <w:t>no podía comprometerse con el envío y no quería agregar más japoneses a los cientos de internados que tenía esperando la repatriación</w:t>
      </w:r>
      <w:r w:rsidR="00EB0027">
        <w:rPr>
          <w:sz w:val="20"/>
        </w:rPr>
        <w:t>”</w:t>
      </w:r>
      <w:r w:rsidR="002167BA" w:rsidRPr="00DB5BAC">
        <w:rPr>
          <w:sz w:val="20"/>
        </w:rPr>
        <w:t xml:space="preserve"> en su territorio</w:t>
      </w:r>
      <w:r w:rsidR="007D148E" w:rsidRPr="00DB5BAC">
        <w:rPr>
          <w:rStyle w:val="FootnoteReference"/>
          <w:sz w:val="20"/>
        </w:rPr>
        <w:footnoteReference w:id="30"/>
      </w:r>
      <w:r w:rsidR="002167BA" w:rsidRPr="00DB5BAC">
        <w:rPr>
          <w:sz w:val="20"/>
        </w:rPr>
        <w:t>.</w:t>
      </w:r>
    </w:p>
    <w:p w14:paraId="3D7E4C11" w14:textId="77777777" w:rsidR="00F449B4" w:rsidRPr="00DB5BAC" w:rsidRDefault="00F449B4" w:rsidP="00F449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rPr>
      </w:pPr>
    </w:p>
    <w:p w14:paraId="31390277" w14:textId="77777777" w:rsidR="00305293" w:rsidRPr="00DB5BAC" w:rsidRDefault="007C6F2C"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La familia Shibayama</w:t>
      </w:r>
      <w:r w:rsidR="007A7DA4" w:rsidRPr="00DB5BAC">
        <w:rPr>
          <w:sz w:val="20"/>
        </w:rPr>
        <w:t xml:space="preserve"> </w:t>
      </w:r>
      <w:r w:rsidR="00681556" w:rsidRPr="00DB5BAC">
        <w:rPr>
          <w:sz w:val="20"/>
        </w:rPr>
        <w:t>fue colocada en el</w:t>
      </w:r>
      <w:r w:rsidR="007A7DA4" w:rsidRPr="00DB5BAC">
        <w:rPr>
          <w:sz w:val="20"/>
        </w:rPr>
        <w:t xml:space="preserve"> </w:t>
      </w:r>
      <w:r w:rsidR="00681556" w:rsidRPr="00DB5BAC">
        <w:rPr>
          <w:sz w:val="20"/>
        </w:rPr>
        <w:t xml:space="preserve">USS </w:t>
      </w:r>
      <w:r w:rsidR="007A7DA4" w:rsidRPr="00DB5BAC">
        <w:rPr>
          <w:sz w:val="20"/>
        </w:rPr>
        <w:t>Cuba</w:t>
      </w:r>
      <w:r w:rsidR="00B2019C" w:rsidRPr="00DB5BAC">
        <w:rPr>
          <w:sz w:val="20"/>
        </w:rPr>
        <w:t xml:space="preserve">, con guardias armados, y transportada a </w:t>
      </w:r>
      <w:r w:rsidR="000648EF" w:rsidRPr="00DB5BAC">
        <w:rPr>
          <w:sz w:val="20"/>
        </w:rPr>
        <w:t>Estados Unidos</w:t>
      </w:r>
      <w:r w:rsidR="00B57681" w:rsidRPr="00DB5BAC">
        <w:rPr>
          <w:rStyle w:val="FootnoteReference"/>
          <w:sz w:val="20"/>
        </w:rPr>
        <w:footnoteReference w:id="31"/>
      </w:r>
      <w:r w:rsidR="00B2019C" w:rsidRPr="00DB5BAC">
        <w:rPr>
          <w:sz w:val="20"/>
        </w:rPr>
        <w:t xml:space="preserve">. </w:t>
      </w:r>
      <w:r w:rsidR="00B57681" w:rsidRPr="00DB5BAC">
        <w:rPr>
          <w:sz w:val="20"/>
        </w:rPr>
        <w:t xml:space="preserve">Isamu Shibayama, </w:t>
      </w:r>
      <w:r w:rsidR="00B2019C" w:rsidRPr="00DB5BAC">
        <w:rPr>
          <w:sz w:val="20"/>
        </w:rPr>
        <w:t xml:space="preserve">que </w:t>
      </w:r>
      <w:r w:rsidR="00EB0027">
        <w:rPr>
          <w:sz w:val="20"/>
        </w:rPr>
        <w:t>en ese momento</w:t>
      </w:r>
      <w:r w:rsidR="00B2019C" w:rsidRPr="00DB5BAC">
        <w:rPr>
          <w:sz w:val="20"/>
        </w:rPr>
        <w:t xml:space="preserve"> tenía </w:t>
      </w:r>
      <w:r w:rsidR="00B57681" w:rsidRPr="00DB5BAC">
        <w:rPr>
          <w:sz w:val="20"/>
        </w:rPr>
        <w:t xml:space="preserve">13 </w:t>
      </w:r>
      <w:r w:rsidR="00B2019C" w:rsidRPr="00DB5BAC">
        <w:rPr>
          <w:sz w:val="20"/>
        </w:rPr>
        <w:t xml:space="preserve">años, </w:t>
      </w:r>
      <w:r w:rsidR="00EB0027">
        <w:rPr>
          <w:sz w:val="20"/>
        </w:rPr>
        <w:t>recordó</w:t>
      </w:r>
      <w:r w:rsidR="00B2019C" w:rsidRPr="00DB5BAC">
        <w:rPr>
          <w:sz w:val="20"/>
        </w:rPr>
        <w:t xml:space="preserve"> que lo mantuvieron bajo cubierta </w:t>
      </w:r>
      <w:r w:rsidR="004E1794" w:rsidRPr="00DB5BAC">
        <w:rPr>
          <w:sz w:val="20"/>
        </w:rPr>
        <w:t xml:space="preserve">los </w:t>
      </w:r>
      <w:r w:rsidR="00B2019C" w:rsidRPr="00DB5BAC">
        <w:rPr>
          <w:sz w:val="20"/>
        </w:rPr>
        <w:t>21 días</w:t>
      </w:r>
      <w:r w:rsidR="004E1794" w:rsidRPr="00DB5BAC">
        <w:rPr>
          <w:sz w:val="20"/>
        </w:rPr>
        <w:t xml:space="preserve"> que duró la travesía. Durante ese período le permitían subir a cubierta dos veces al día, </w:t>
      </w:r>
      <w:r w:rsidR="00B57681" w:rsidRPr="00DB5BAC">
        <w:rPr>
          <w:sz w:val="20"/>
        </w:rPr>
        <w:t>10 minut</w:t>
      </w:r>
      <w:r w:rsidR="004E1794" w:rsidRPr="00DB5BAC">
        <w:rPr>
          <w:sz w:val="20"/>
        </w:rPr>
        <w:t xml:space="preserve">os por vez, vigilado constantemente por guardias militares estadounidenses armados </w:t>
      </w:r>
      <w:r w:rsidR="00EB0027">
        <w:rPr>
          <w:sz w:val="20"/>
        </w:rPr>
        <w:t>“</w:t>
      </w:r>
      <w:r w:rsidR="004E1794" w:rsidRPr="00DB5BAC">
        <w:rPr>
          <w:sz w:val="20"/>
        </w:rPr>
        <w:t xml:space="preserve">con </w:t>
      </w:r>
      <w:r w:rsidR="00E43118" w:rsidRPr="00DB5BAC">
        <w:rPr>
          <w:sz w:val="20"/>
        </w:rPr>
        <w:t>armas de fuego y látigos</w:t>
      </w:r>
      <w:r w:rsidR="00EB0027">
        <w:rPr>
          <w:sz w:val="20"/>
        </w:rPr>
        <w:t>”</w:t>
      </w:r>
      <w:r w:rsidR="00B57681" w:rsidRPr="00DB5BAC">
        <w:rPr>
          <w:rStyle w:val="FootnoteReference"/>
          <w:sz w:val="20"/>
        </w:rPr>
        <w:footnoteReference w:id="32"/>
      </w:r>
      <w:r w:rsidR="00E43118" w:rsidRPr="00DB5BAC">
        <w:rPr>
          <w:sz w:val="20"/>
        </w:rPr>
        <w:t xml:space="preserve">. Los niños más pequeños permanecían con </w:t>
      </w:r>
      <w:r w:rsidR="00064659" w:rsidRPr="00DB5BAC">
        <w:rPr>
          <w:sz w:val="20"/>
        </w:rPr>
        <w:t>la</w:t>
      </w:r>
      <w:r w:rsidR="00E43118" w:rsidRPr="00DB5BAC">
        <w:rPr>
          <w:sz w:val="20"/>
        </w:rPr>
        <w:t xml:space="preserve"> madre en otro lugar del buque</w:t>
      </w:r>
      <w:r w:rsidR="00B57681" w:rsidRPr="00DB5BAC">
        <w:rPr>
          <w:rStyle w:val="FootnoteReference"/>
          <w:sz w:val="20"/>
        </w:rPr>
        <w:footnoteReference w:id="33"/>
      </w:r>
      <w:r w:rsidR="00E43118" w:rsidRPr="00DB5BAC">
        <w:rPr>
          <w:sz w:val="20"/>
        </w:rPr>
        <w:t xml:space="preserve">. Cuando llegaron a </w:t>
      </w:r>
      <w:r w:rsidR="000648EF" w:rsidRPr="00DB5BAC">
        <w:rPr>
          <w:sz w:val="20"/>
        </w:rPr>
        <w:t>Estados Unidos</w:t>
      </w:r>
      <w:r w:rsidR="00305293" w:rsidRPr="00DB5BAC">
        <w:rPr>
          <w:sz w:val="20"/>
        </w:rPr>
        <w:t xml:space="preserve">, </w:t>
      </w:r>
      <w:r w:rsidR="00EB0027">
        <w:rPr>
          <w:sz w:val="20"/>
        </w:rPr>
        <w:t>“</w:t>
      </w:r>
      <w:r w:rsidRPr="00DB5BAC">
        <w:rPr>
          <w:sz w:val="20"/>
        </w:rPr>
        <w:t>la familia Shibayama</w:t>
      </w:r>
      <w:r w:rsidR="00E43118" w:rsidRPr="00DB5BAC">
        <w:rPr>
          <w:sz w:val="20"/>
        </w:rPr>
        <w:t xml:space="preserve"> fue obligada a punta de pistola </w:t>
      </w:r>
      <w:r w:rsidR="00EB0027">
        <w:rPr>
          <w:sz w:val="20"/>
        </w:rPr>
        <w:t>[</w:t>
      </w:r>
      <w:r w:rsidR="00E43118" w:rsidRPr="00DB5BAC">
        <w:rPr>
          <w:sz w:val="20"/>
        </w:rPr>
        <w:t>por personal militar estadounidense</w:t>
      </w:r>
      <w:r w:rsidR="00EB0027">
        <w:rPr>
          <w:sz w:val="20"/>
        </w:rPr>
        <w:t>]</w:t>
      </w:r>
      <w:r w:rsidR="00E43118" w:rsidRPr="00DB5BAC">
        <w:rPr>
          <w:sz w:val="20"/>
        </w:rPr>
        <w:t xml:space="preserve"> a bajar del USS</w:t>
      </w:r>
      <w:r w:rsidR="00305293" w:rsidRPr="00DB5BAC">
        <w:rPr>
          <w:sz w:val="20"/>
        </w:rPr>
        <w:t xml:space="preserve"> Cuba </w:t>
      </w:r>
      <w:r w:rsidR="00E43118" w:rsidRPr="00DB5BAC">
        <w:rPr>
          <w:sz w:val="20"/>
        </w:rPr>
        <w:t xml:space="preserve">e ingresar involuntariamente en </w:t>
      </w:r>
      <w:r w:rsidR="000648EF" w:rsidRPr="00DB5BAC">
        <w:rPr>
          <w:sz w:val="20"/>
        </w:rPr>
        <w:t>Estados Unidos</w:t>
      </w:r>
      <w:r w:rsidR="00EB0027">
        <w:rPr>
          <w:sz w:val="20"/>
        </w:rPr>
        <w:t>”</w:t>
      </w:r>
      <w:r w:rsidR="00305293" w:rsidRPr="00DB5BAC">
        <w:rPr>
          <w:rStyle w:val="FootnoteReference"/>
          <w:sz w:val="20"/>
        </w:rPr>
        <w:footnoteReference w:id="34"/>
      </w:r>
      <w:r w:rsidR="00E43118" w:rsidRPr="00DB5BAC">
        <w:rPr>
          <w:sz w:val="20"/>
        </w:rPr>
        <w:t>.</w:t>
      </w:r>
    </w:p>
    <w:p w14:paraId="73206459" w14:textId="77777777" w:rsidR="00305293" w:rsidRPr="00DB5BAC" w:rsidRDefault="00305293" w:rsidP="00305293">
      <w:pPr>
        <w:pStyle w:val="ListParagraph"/>
        <w:rPr>
          <w:sz w:val="20"/>
          <w:lang w:val="es-ES"/>
        </w:rPr>
      </w:pPr>
    </w:p>
    <w:p w14:paraId="3CB6915C" w14:textId="77777777" w:rsidR="007D148E" w:rsidRPr="00DB5BAC" w:rsidRDefault="00EE2D3B"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lastRenderedPageBreak/>
        <w:t xml:space="preserve">Entraron por Nueva </w:t>
      </w:r>
      <w:r w:rsidR="007A7DA4" w:rsidRPr="00DB5BAC">
        <w:rPr>
          <w:sz w:val="20"/>
        </w:rPr>
        <w:t>Orleans</w:t>
      </w:r>
      <w:r w:rsidR="0055222C">
        <w:rPr>
          <w:sz w:val="20"/>
        </w:rPr>
        <w:t>,</w:t>
      </w:r>
      <w:r w:rsidRPr="00DB5BAC">
        <w:rPr>
          <w:sz w:val="20"/>
        </w:rPr>
        <w:t xml:space="preserve"> </w:t>
      </w:r>
      <w:r w:rsidR="007A7DA4" w:rsidRPr="00DB5BAC">
        <w:rPr>
          <w:sz w:val="20"/>
        </w:rPr>
        <w:t>Luisiana</w:t>
      </w:r>
      <w:r w:rsidRPr="00DB5BAC">
        <w:rPr>
          <w:sz w:val="20"/>
        </w:rPr>
        <w:t xml:space="preserve"> el </w:t>
      </w:r>
      <w:r w:rsidR="007A7DA4" w:rsidRPr="00DB5BAC">
        <w:rPr>
          <w:sz w:val="20"/>
        </w:rPr>
        <w:t>21</w:t>
      </w:r>
      <w:r w:rsidRPr="00DB5BAC">
        <w:rPr>
          <w:sz w:val="20"/>
        </w:rPr>
        <w:t xml:space="preserve"> de marzo de</w:t>
      </w:r>
      <w:r w:rsidR="007A7DA4" w:rsidRPr="00DB5BAC">
        <w:rPr>
          <w:sz w:val="20"/>
        </w:rPr>
        <w:t xml:space="preserve"> 1944</w:t>
      </w:r>
      <w:r w:rsidR="00E36904" w:rsidRPr="00DB5BAC">
        <w:rPr>
          <w:sz w:val="20"/>
        </w:rPr>
        <w:t xml:space="preserve">. Allí los hicieron desembarcar, les ordenaron que se desvistieran en masa y los rociaron con el insecticida </w:t>
      </w:r>
      <w:r w:rsidR="003372D0" w:rsidRPr="00DB5BAC">
        <w:rPr>
          <w:sz w:val="20"/>
        </w:rPr>
        <w:t>DDT</w:t>
      </w:r>
      <w:r w:rsidR="003372D0" w:rsidRPr="00DB5BAC">
        <w:rPr>
          <w:rStyle w:val="FootnoteReference"/>
          <w:sz w:val="20"/>
        </w:rPr>
        <w:footnoteReference w:id="35"/>
      </w:r>
      <w:r w:rsidR="00E36904" w:rsidRPr="00DB5BAC">
        <w:rPr>
          <w:sz w:val="20"/>
        </w:rPr>
        <w:t xml:space="preserve">. Después, al cabo de un viaje de dos días en tren, llegaron al </w:t>
      </w:r>
      <w:r w:rsidR="00482BD6" w:rsidRPr="00DB5BAC">
        <w:rPr>
          <w:sz w:val="20"/>
        </w:rPr>
        <w:t>c</w:t>
      </w:r>
      <w:r w:rsidR="00E36904" w:rsidRPr="00DB5BAC">
        <w:rPr>
          <w:sz w:val="20"/>
        </w:rPr>
        <w:t>ampo de internamiento de</w:t>
      </w:r>
      <w:r w:rsidR="007A7DA4" w:rsidRPr="00DB5BAC">
        <w:rPr>
          <w:sz w:val="20"/>
        </w:rPr>
        <w:t xml:space="preserve"> Crystal City, Texas</w:t>
      </w:r>
      <w:r w:rsidR="00E36904" w:rsidRPr="00DB5BAC">
        <w:rPr>
          <w:sz w:val="20"/>
        </w:rPr>
        <w:t xml:space="preserve"> el </w:t>
      </w:r>
      <w:r w:rsidR="00F449B4" w:rsidRPr="00DB5BAC">
        <w:rPr>
          <w:sz w:val="20"/>
        </w:rPr>
        <w:t>23</w:t>
      </w:r>
      <w:r w:rsidR="00E36904" w:rsidRPr="00DB5BAC">
        <w:rPr>
          <w:sz w:val="20"/>
        </w:rPr>
        <w:t xml:space="preserve"> de marzo de</w:t>
      </w:r>
      <w:r w:rsidR="00F449B4" w:rsidRPr="00DB5BAC">
        <w:rPr>
          <w:sz w:val="20"/>
        </w:rPr>
        <w:t xml:space="preserve"> 1944</w:t>
      </w:r>
      <w:r w:rsidR="00E36904" w:rsidRPr="00DB5BAC">
        <w:rPr>
          <w:sz w:val="20"/>
        </w:rPr>
        <w:t>, aproximadamente</w:t>
      </w:r>
      <w:r w:rsidR="007A7DA4" w:rsidRPr="00DB5BAC">
        <w:rPr>
          <w:rStyle w:val="FootnoteReference"/>
          <w:sz w:val="20"/>
        </w:rPr>
        <w:footnoteReference w:id="36"/>
      </w:r>
      <w:r w:rsidR="00E36904" w:rsidRPr="00DB5BAC">
        <w:rPr>
          <w:sz w:val="20"/>
        </w:rPr>
        <w:t>.</w:t>
      </w:r>
      <w:r w:rsidR="00F85986" w:rsidRPr="00DB5BAC">
        <w:rPr>
          <w:sz w:val="20"/>
        </w:rPr>
        <w:t xml:space="preserve"> </w:t>
      </w:r>
      <w:r w:rsidR="00E36904" w:rsidRPr="00DB5BAC">
        <w:rPr>
          <w:sz w:val="20"/>
        </w:rPr>
        <w:t>Una vez en territorio estadounidense, los internados quedaron bajo la custodia del Departamento de Estado, detenidos en campamentos operados por el Servicio de Inmigraciones y Naturalización</w:t>
      </w:r>
      <w:r w:rsidR="00A5703E" w:rsidRPr="00DB5BAC">
        <w:rPr>
          <w:sz w:val="20"/>
        </w:rPr>
        <w:t xml:space="preserve"> </w:t>
      </w:r>
      <w:r w:rsidR="00E36904" w:rsidRPr="00DB5BAC">
        <w:rPr>
          <w:sz w:val="20"/>
        </w:rPr>
        <w:t>(</w:t>
      </w:r>
      <w:r w:rsidR="00A5703E" w:rsidRPr="00DB5BAC">
        <w:rPr>
          <w:sz w:val="20"/>
        </w:rPr>
        <w:t>INS</w:t>
      </w:r>
      <w:r w:rsidR="0055222C">
        <w:rPr>
          <w:sz w:val="20"/>
        </w:rPr>
        <w:t>, por sus siglas en inglés</w:t>
      </w:r>
      <w:r w:rsidR="00E36904" w:rsidRPr="00DB5BAC">
        <w:rPr>
          <w:sz w:val="20"/>
        </w:rPr>
        <w:t>), que formaba parte del D</w:t>
      </w:r>
      <w:r w:rsidR="00A5703E" w:rsidRPr="00DB5BAC">
        <w:rPr>
          <w:sz w:val="20"/>
        </w:rPr>
        <w:t>epart</w:t>
      </w:r>
      <w:r w:rsidR="00E36904" w:rsidRPr="00DB5BAC">
        <w:rPr>
          <w:sz w:val="20"/>
        </w:rPr>
        <w:t>a</w:t>
      </w:r>
      <w:r w:rsidR="00A5703E" w:rsidRPr="00DB5BAC">
        <w:rPr>
          <w:sz w:val="20"/>
        </w:rPr>
        <w:t>ment</w:t>
      </w:r>
      <w:r w:rsidR="00E36904" w:rsidRPr="00DB5BAC">
        <w:rPr>
          <w:sz w:val="20"/>
        </w:rPr>
        <w:t>o de Justicia</w:t>
      </w:r>
      <w:r w:rsidR="00A5703E" w:rsidRPr="00DB5BAC">
        <w:rPr>
          <w:rStyle w:val="FootnoteReference"/>
          <w:sz w:val="20"/>
        </w:rPr>
        <w:footnoteReference w:id="37"/>
      </w:r>
      <w:r w:rsidR="00E36904" w:rsidRPr="00DB5BAC">
        <w:rPr>
          <w:sz w:val="20"/>
        </w:rPr>
        <w:t xml:space="preserve">. En ese sentido, </w:t>
      </w:r>
      <w:r w:rsidR="0055222C">
        <w:rPr>
          <w:sz w:val="20"/>
        </w:rPr>
        <w:t>“</w:t>
      </w:r>
      <w:r w:rsidR="00E36904" w:rsidRPr="00DB5BAC">
        <w:rPr>
          <w:sz w:val="20"/>
        </w:rPr>
        <w:t xml:space="preserve">a pesar de su llegada involuntaria, el INS trató a los deportados de América Latina como si hubieran entrado en el país ilegalmente. Por lo tanto, los deportados se convirtieron en </w:t>
      </w:r>
      <w:r w:rsidR="00FF03EE" w:rsidRPr="00DB5BAC">
        <w:rPr>
          <w:sz w:val="20"/>
        </w:rPr>
        <w:t>extranjeros indocumentados</w:t>
      </w:r>
      <w:r w:rsidR="008F74E3" w:rsidRPr="00DB5BAC">
        <w:rPr>
          <w:sz w:val="20"/>
        </w:rPr>
        <w:t xml:space="preserve"> </w:t>
      </w:r>
      <w:r w:rsidR="00E36904" w:rsidRPr="00DB5BAC">
        <w:rPr>
          <w:sz w:val="20"/>
        </w:rPr>
        <w:t>bajo la custodia de</w:t>
      </w:r>
      <w:r w:rsidR="008F74E3" w:rsidRPr="00DB5BAC">
        <w:rPr>
          <w:sz w:val="20"/>
        </w:rPr>
        <w:t xml:space="preserve"> </w:t>
      </w:r>
      <w:r w:rsidR="000648EF" w:rsidRPr="00DB5BAC">
        <w:rPr>
          <w:sz w:val="20"/>
        </w:rPr>
        <w:t>Estados Unidos</w:t>
      </w:r>
      <w:r w:rsidR="00E36904" w:rsidRPr="00DB5BAC">
        <w:rPr>
          <w:sz w:val="20"/>
        </w:rPr>
        <w:t>, sujetos a procedimientos de deportación, es decir, repatriación</w:t>
      </w:r>
      <w:r w:rsidR="00B06713">
        <w:rPr>
          <w:sz w:val="20"/>
        </w:rPr>
        <w:t>”</w:t>
      </w:r>
      <w:r w:rsidR="008F74E3" w:rsidRPr="00DB5BAC">
        <w:rPr>
          <w:rStyle w:val="FootnoteReference"/>
          <w:sz w:val="20"/>
        </w:rPr>
        <w:footnoteReference w:id="38"/>
      </w:r>
      <w:r w:rsidR="00E36904" w:rsidRPr="00DB5BAC">
        <w:rPr>
          <w:sz w:val="20"/>
        </w:rPr>
        <w:t xml:space="preserve">. En consonancia con esta interpretación </w:t>
      </w:r>
      <w:r w:rsidR="007E2D55" w:rsidRPr="00DB5BAC">
        <w:rPr>
          <w:sz w:val="20"/>
        </w:rPr>
        <w:t>legal</w:t>
      </w:r>
      <w:r w:rsidR="00E36904" w:rsidRPr="00DB5BAC">
        <w:rPr>
          <w:sz w:val="20"/>
        </w:rPr>
        <w:t xml:space="preserve">, el </w:t>
      </w:r>
      <w:r w:rsidR="00F85986" w:rsidRPr="00DB5BAC">
        <w:rPr>
          <w:sz w:val="20"/>
        </w:rPr>
        <w:t>INS</w:t>
      </w:r>
      <w:r w:rsidR="00E36904" w:rsidRPr="00DB5BAC">
        <w:rPr>
          <w:sz w:val="20"/>
        </w:rPr>
        <w:t xml:space="preserve">, al describir más tarde los hechos, afirmó que la madre de los hermanos </w:t>
      </w:r>
      <w:r w:rsidR="00E24EAD" w:rsidRPr="00DB5BAC">
        <w:rPr>
          <w:sz w:val="20"/>
        </w:rPr>
        <w:t xml:space="preserve">Shibayama </w:t>
      </w:r>
      <w:r w:rsidR="00B06713">
        <w:rPr>
          <w:sz w:val="20"/>
        </w:rPr>
        <w:t>“[</w:t>
      </w:r>
      <w:r w:rsidR="00E36904" w:rsidRPr="00DB5BAC">
        <w:rPr>
          <w:sz w:val="20"/>
        </w:rPr>
        <w:t>los</w:t>
      </w:r>
      <w:r w:rsidR="00B06713">
        <w:rPr>
          <w:sz w:val="20"/>
        </w:rPr>
        <w:t>]</w:t>
      </w:r>
      <w:r w:rsidR="00E36904" w:rsidRPr="00DB5BAC">
        <w:rPr>
          <w:sz w:val="20"/>
        </w:rPr>
        <w:t xml:space="preserve"> había llevado a </w:t>
      </w:r>
      <w:r w:rsidR="00AE2AD7" w:rsidRPr="00DB5BAC">
        <w:rPr>
          <w:sz w:val="20"/>
        </w:rPr>
        <w:t>Estados Unidos</w:t>
      </w:r>
      <w:r w:rsidR="00B06713">
        <w:rPr>
          <w:sz w:val="20"/>
        </w:rPr>
        <w:t>”</w:t>
      </w:r>
      <w:r w:rsidR="00E36904" w:rsidRPr="00DB5BAC">
        <w:rPr>
          <w:sz w:val="20"/>
        </w:rPr>
        <w:t xml:space="preserve"> para que fuesen </w:t>
      </w:r>
      <w:r w:rsidR="00B06713">
        <w:rPr>
          <w:sz w:val="20"/>
        </w:rPr>
        <w:t>“</w:t>
      </w:r>
      <w:r w:rsidR="00E36904" w:rsidRPr="00DB5BAC">
        <w:rPr>
          <w:sz w:val="20"/>
        </w:rPr>
        <w:t>internados</w:t>
      </w:r>
      <w:r w:rsidR="00F85986" w:rsidRPr="00DB5BAC">
        <w:rPr>
          <w:sz w:val="20"/>
        </w:rPr>
        <w:t xml:space="preserve"> </w:t>
      </w:r>
      <w:r w:rsidR="00E36904" w:rsidRPr="00DB5BAC">
        <w:rPr>
          <w:sz w:val="20"/>
        </w:rPr>
        <w:t>voluntariamente en ese país debido a la guerra con Japón</w:t>
      </w:r>
      <w:r w:rsidR="00B06713">
        <w:rPr>
          <w:sz w:val="20"/>
        </w:rPr>
        <w:t>”</w:t>
      </w:r>
      <w:r w:rsidR="00F85986" w:rsidRPr="00DB5BAC">
        <w:rPr>
          <w:rStyle w:val="FootnoteReference"/>
          <w:sz w:val="20"/>
        </w:rPr>
        <w:footnoteReference w:id="39"/>
      </w:r>
      <w:r w:rsidR="00E36904" w:rsidRPr="00DB5BAC">
        <w:rPr>
          <w:sz w:val="20"/>
        </w:rPr>
        <w:t>.</w:t>
      </w:r>
      <w:r w:rsidR="00305293" w:rsidRPr="00DB5BAC">
        <w:rPr>
          <w:sz w:val="20"/>
        </w:rPr>
        <w:t xml:space="preserve"> </w:t>
      </w:r>
    </w:p>
    <w:p w14:paraId="42F346F8" w14:textId="77777777" w:rsidR="007D148E" w:rsidRPr="00DB5BAC" w:rsidRDefault="007D148E" w:rsidP="007D148E">
      <w:pPr>
        <w:pStyle w:val="ListParagraph"/>
        <w:rPr>
          <w:sz w:val="20"/>
          <w:lang w:val="es-ES"/>
        </w:rPr>
      </w:pPr>
    </w:p>
    <w:p w14:paraId="09F67C0D" w14:textId="77777777" w:rsidR="007A7DA4" w:rsidRPr="00DB5BAC" w:rsidRDefault="00E36904"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 xml:space="preserve">En un examen posterior se comprobó que </w:t>
      </w:r>
      <w:r w:rsidR="00B06713">
        <w:rPr>
          <w:sz w:val="20"/>
        </w:rPr>
        <w:t>“</w:t>
      </w:r>
      <w:r w:rsidRPr="00DB5BAC">
        <w:rPr>
          <w:sz w:val="20"/>
        </w:rPr>
        <w:t xml:space="preserve">los malos efectos </w:t>
      </w:r>
      <w:r w:rsidR="00B06713">
        <w:rPr>
          <w:sz w:val="20"/>
        </w:rPr>
        <w:t>[</w:t>
      </w:r>
      <w:r w:rsidRPr="00DB5BAC">
        <w:rPr>
          <w:sz w:val="20"/>
        </w:rPr>
        <w:t xml:space="preserve">del </w:t>
      </w:r>
      <w:r w:rsidR="00333A05" w:rsidRPr="00DB5BAC">
        <w:rPr>
          <w:sz w:val="20"/>
        </w:rPr>
        <w:t>internamiento</w:t>
      </w:r>
      <w:r w:rsidR="00B06713">
        <w:rPr>
          <w:sz w:val="20"/>
        </w:rPr>
        <w:t>]</w:t>
      </w:r>
      <w:r w:rsidRPr="00DB5BAC">
        <w:rPr>
          <w:sz w:val="20"/>
        </w:rPr>
        <w:t xml:space="preserve"> eran obvios: falta de privacidad, </w:t>
      </w:r>
      <w:r w:rsidR="00EB0E69" w:rsidRPr="00DB5BAC">
        <w:rPr>
          <w:sz w:val="20"/>
        </w:rPr>
        <w:t>ruptura de las familias, apatía e incertidumbre acerca del futuro</w:t>
      </w:r>
      <w:r w:rsidR="00B06713">
        <w:rPr>
          <w:sz w:val="20"/>
        </w:rPr>
        <w:t>”</w:t>
      </w:r>
      <w:r w:rsidR="007D148E" w:rsidRPr="00DB5BAC">
        <w:rPr>
          <w:rStyle w:val="FootnoteReference"/>
          <w:sz w:val="20"/>
        </w:rPr>
        <w:footnoteReference w:id="40"/>
      </w:r>
      <w:r w:rsidR="00EB0E69" w:rsidRPr="00DB5BAC">
        <w:rPr>
          <w:sz w:val="20"/>
        </w:rPr>
        <w:t xml:space="preserve">. En el </w:t>
      </w:r>
      <w:r w:rsidR="00AE2AD7" w:rsidRPr="00DB5BAC">
        <w:rPr>
          <w:sz w:val="20"/>
        </w:rPr>
        <w:t>campo de internamiento</w:t>
      </w:r>
      <w:r w:rsidR="00EB0E69" w:rsidRPr="00DB5BAC">
        <w:rPr>
          <w:sz w:val="20"/>
        </w:rPr>
        <w:t xml:space="preserve"> de Crystal City</w:t>
      </w:r>
      <w:r w:rsidR="00305293" w:rsidRPr="00DB5BAC">
        <w:rPr>
          <w:sz w:val="20"/>
        </w:rPr>
        <w:t xml:space="preserve">, </w:t>
      </w:r>
      <w:r w:rsidR="00EB0E69" w:rsidRPr="00DB5BAC">
        <w:rPr>
          <w:sz w:val="20"/>
        </w:rPr>
        <w:t xml:space="preserve">a los niños </w:t>
      </w:r>
      <w:r w:rsidR="00E24EAD" w:rsidRPr="00DB5BAC">
        <w:rPr>
          <w:sz w:val="20"/>
        </w:rPr>
        <w:t xml:space="preserve">Shibayama </w:t>
      </w:r>
      <w:r w:rsidR="00EB0E69" w:rsidRPr="00DB5BAC">
        <w:rPr>
          <w:sz w:val="20"/>
        </w:rPr>
        <w:t>que estaban en edad escolar les daban clases exclusivamente en japonés, a pesar de que solo hablaban español</w:t>
      </w:r>
      <w:r w:rsidR="00E24EAD" w:rsidRPr="00DB5BAC">
        <w:rPr>
          <w:rStyle w:val="FootnoteReference"/>
          <w:sz w:val="20"/>
        </w:rPr>
        <w:footnoteReference w:id="41"/>
      </w:r>
      <w:r w:rsidR="00EB0E69" w:rsidRPr="00DB5BAC">
        <w:rPr>
          <w:sz w:val="20"/>
        </w:rPr>
        <w:t>.</w:t>
      </w:r>
    </w:p>
    <w:p w14:paraId="5001BE09" w14:textId="77777777" w:rsidR="007A7DA4" w:rsidRPr="00DB5BAC" w:rsidRDefault="007A7DA4" w:rsidP="007A7D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rPr>
      </w:pPr>
    </w:p>
    <w:p w14:paraId="6DE44BC3" w14:textId="77777777" w:rsidR="007A7DA4" w:rsidRPr="00DB5BAC" w:rsidRDefault="00EB0E69"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t xml:space="preserve">El </w:t>
      </w:r>
      <w:r w:rsidR="007A7DA4" w:rsidRPr="00DB5BAC">
        <w:rPr>
          <w:sz w:val="20"/>
        </w:rPr>
        <w:t>30</w:t>
      </w:r>
      <w:r w:rsidRPr="00DB5BAC">
        <w:rPr>
          <w:sz w:val="20"/>
        </w:rPr>
        <w:t xml:space="preserve"> de marzo de</w:t>
      </w:r>
      <w:r w:rsidR="007A7DA4" w:rsidRPr="00DB5BAC">
        <w:rPr>
          <w:sz w:val="20"/>
        </w:rPr>
        <w:t xml:space="preserve"> 1946, </w:t>
      </w:r>
      <w:r w:rsidR="000648EF" w:rsidRPr="00DB5BAC">
        <w:rPr>
          <w:sz w:val="20"/>
        </w:rPr>
        <w:t>Estados Unidos</w:t>
      </w:r>
      <w:r w:rsidR="007A7DA4" w:rsidRPr="00DB5BAC">
        <w:rPr>
          <w:sz w:val="20"/>
        </w:rPr>
        <w:t xml:space="preserve"> </w:t>
      </w:r>
      <w:r w:rsidR="00B06713">
        <w:rPr>
          <w:sz w:val="20"/>
        </w:rPr>
        <w:t>notificó</w:t>
      </w:r>
      <w:r w:rsidRPr="00DB5BAC">
        <w:rPr>
          <w:sz w:val="20"/>
        </w:rPr>
        <w:t xml:space="preserve"> órdenes de arresto </w:t>
      </w:r>
      <w:r w:rsidR="00B06713">
        <w:rPr>
          <w:sz w:val="20"/>
        </w:rPr>
        <w:t xml:space="preserve">en contra </w:t>
      </w:r>
      <w:r w:rsidRPr="00DB5BAC">
        <w:rPr>
          <w:sz w:val="20"/>
        </w:rPr>
        <w:t xml:space="preserve">de </w:t>
      </w:r>
      <w:r w:rsidR="007C6F2C" w:rsidRPr="00DB5BAC">
        <w:rPr>
          <w:sz w:val="20"/>
        </w:rPr>
        <w:t>la familia Shibayama</w:t>
      </w:r>
      <w:r w:rsidR="00B06713">
        <w:rPr>
          <w:sz w:val="20"/>
        </w:rPr>
        <w:t>, que les acusaron</w:t>
      </w:r>
      <w:r w:rsidRPr="00DB5BAC">
        <w:rPr>
          <w:sz w:val="20"/>
        </w:rPr>
        <w:t xml:space="preserve"> de no tener pasaportes o visas de inmigración</w:t>
      </w:r>
      <w:r w:rsidR="0073444D" w:rsidRPr="00DB5BAC">
        <w:rPr>
          <w:rStyle w:val="FootnoteReference"/>
          <w:sz w:val="20"/>
        </w:rPr>
        <w:footnoteReference w:id="42"/>
      </w:r>
      <w:r w:rsidRPr="00DB5BAC">
        <w:rPr>
          <w:sz w:val="20"/>
        </w:rPr>
        <w:t>.</w:t>
      </w:r>
      <w:r w:rsidR="007A7DA4" w:rsidRPr="00DB5BAC">
        <w:rPr>
          <w:sz w:val="20"/>
        </w:rPr>
        <w:t xml:space="preserve"> </w:t>
      </w:r>
      <w:r w:rsidRPr="00DB5BAC">
        <w:rPr>
          <w:sz w:val="20"/>
        </w:rPr>
        <w:t xml:space="preserve">Como </w:t>
      </w:r>
      <w:r w:rsidR="00E939BA" w:rsidRPr="00DB5BAC">
        <w:rPr>
          <w:sz w:val="20"/>
        </w:rPr>
        <w:t>Perú</w:t>
      </w:r>
      <w:r w:rsidR="007E2D55" w:rsidRPr="00DB5BAC">
        <w:rPr>
          <w:sz w:val="20"/>
        </w:rPr>
        <w:t xml:space="preserve"> </w:t>
      </w:r>
      <w:r w:rsidRPr="00DB5BAC">
        <w:rPr>
          <w:sz w:val="20"/>
        </w:rPr>
        <w:t xml:space="preserve">se negó en gran medida a aceptar de vuelta a sus deportados japoneses después de la guerra, </w:t>
      </w:r>
      <w:r w:rsidR="00462AE5" w:rsidRPr="00DB5BAC">
        <w:rPr>
          <w:sz w:val="20"/>
        </w:rPr>
        <w:t xml:space="preserve">el 9 de septiembre de 1946 </w:t>
      </w:r>
      <w:r w:rsidR="007C6F2C" w:rsidRPr="00DB5BAC">
        <w:rPr>
          <w:sz w:val="20"/>
        </w:rPr>
        <w:t>la familia Shibayama</w:t>
      </w:r>
      <w:r w:rsidR="007A7DA4" w:rsidRPr="00DB5BAC">
        <w:rPr>
          <w:sz w:val="20"/>
        </w:rPr>
        <w:t xml:space="preserve"> </w:t>
      </w:r>
      <w:r w:rsidR="00517199" w:rsidRPr="00DB5BAC">
        <w:rPr>
          <w:sz w:val="20"/>
        </w:rPr>
        <w:t xml:space="preserve">fue </w:t>
      </w:r>
      <w:r w:rsidR="00462AE5" w:rsidRPr="00DB5BAC">
        <w:rPr>
          <w:sz w:val="20"/>
        </w:rPr>
        <w:t xml:space="preserve">puesta </w:t>
      </w:r>
      <w:r w:rsidR="00517199" w:rsidRPr="00DB5BAC">
        <w:rPr>
          <w:sz w:val="20"/>
        </w:rPr>
        <w:t>en libertad condicional</w:t>
      </w:r>
      <w:r w:rsidR="00B06713">
        <w:rPr>
          <w:sz w:val="20"/>
        </w:rPr>
        <w:t xml:space="preserve">, saliendo </w:t>
      </w:r>
      <w:r w:rsidR="00517199" w:rsidRPr="00DB5BAC">
        <w:rPr>
          <w:sz w:val="20"/>
        </w:rPr>
        <w:t>del c</w:t>
      </w:r>
      <w:r w:rsidR="00AE2AD7" w:rsidRPr="00DB5BAC">
        <w:rPr>
          <w:sz w:val="20"/>
        </w:rPr>
        <w:t>ampo de internamiento</w:t>
      </w:r>
      <w:r w:rsidR="008F25AD" w:rsidRPr="00DB5BAC">
        <w:rPr>
          <w:sz w:val="20"/>
        </w:rPr>
        <w:t xml:space="preserve"> de </w:t>
      </w:r>
      <w:r w:rsidR="00517199" w:rsidRPr="00DB5BAC">
        <w:rPr>
          <w:sz w:val="20"/>
        </w:rPr>
        <w:t>Crystal City</w:t>
      </w:r>
      <w:r w:rsidR="007A7DA4" w:rsidRPr="00DB5BAC">
        <w:rPr>
          <w:sz w:val="20"/>
        </w:rPr>
        <w:t xml:space="preserve"> </w:t>
      </w:r>
      <w:r w:rsidR="00517199" w:rsidRPr="00DB5BAC">
        <w:rPr>
          <w:sz w:val="20"/>
        </w:rPr>
        <w:t xml:space="preserve">en calidad de </w:t>
      </w:r>
      <w:r w:rsidR="00F0293C" w:rsidRPr="00DB5BAC">
        <w:rPr>
          <w:sz w:val="20"/>
        </w:rPr>
        <w:t>“</w:t>
      </w:r>
      <w:r w:rsidR="00FF03EE" w:rsidRPr="00DB5BAC">
        <w:rPr>
          <w:sz w:val="20"/>
        </w:rPr>
        <w:t>extranjeros indocumentados</w:t>
      </w:r>
      <w:r w:rsidR="00F0293C" w:rsidRPr="00DB5BAC">
        <w:rPr>
          <w:sz w:val="20"/>
        </w:rPr>
        <w:t>”</w:t>
      </w:r>
      <w:r w:rsidR="00B06713">
        <w:rPr>
          <w:sz w:val="20"/>
        </w:rPr>
        <w:t xml:space="preserve"> (</w:t>
      </w:r>
      <w:r w:rsidR="00B06713">
        <w:rPr>
          <w:i/>
          <w:sz w:val="20"/>
        </w:rPr>
        <w:t>illegal aliens</w:t>
      </w:r>
      <w:r w:rsidR="00B06713">
        <w:rPr>
          <w:sz w:val="20"/>
        </w:rPr>
        <w:t>)</w:t>
      </w:r>
      <w:r w:rsidR="00F0293C" w:rsidRPr="00DB5BAC">
        <w:rPr>
          <w:sz w:val="20"/>
        </w:rPr>
        <w:t xml:space="preserve"> </w:t>
      </w:r>
      <w:r w:rsidR="00462AE5" w:rsidRPr="00DB5BAC">
        <w:rPr>
          <w:sz w:val="20"/>
        </w:rPr>
        <w:t>y fue trasladada a</w:t>
      </w:r>
      <w:r w:rsidR="007A7DA4" w:rsidRPr="00DB5BAC">
        <w:rPr>
          <w:sz w:val="20"/>
        </w:rPr>
        <w:t xml:space="preserve"> Seabrook Farms</w:t>
      </w:r>
      <w:r w:rsidR="00B06713">
        <w:rPr>
          <w:sz w:val="20"/>
        </w:rPr>
        <w:t>,</w:t>
      </w:r>
      <w:r w:rsidR="00462AE5" w:rsidRPr="00DB5BAC">
        <w:rPr>
          <w:sz w:val="20"/>
        </w:rPr>
        <w:t xml:space="preserve"> Nueva </w:t>
      </w:r>
      <w:r w:rsidR="007A7DA4" w:rsidRPr="00DB5BAC">
        <w:rPr>
          <w:sz w:val="20"/>
        </w:rPr>
        <w:t>Jersey</w:t>
      </w:r>
      <w:r w:rsidR="00E24EAD" w:rsidRPr="00DB5BAC">
        <w:rPr>
          <w:rStyle w:val="FootnoteReference"/>
          <w:sz w:val="20"/>
        </w:rPr>
        <w:footnoteReference w:id="43"/>
      </w:r>
      <w:r w:rsidR="00462AE5" w:rsidRPr="00DB5BAC">
        <w:rPr>
          <w:sz w:val="20"/>
        </w:rPr>
        <w:t xml:space="preserve">. Allí, </w:t>
      </w:r>
      <w:r w:rsidR="00F0293C" w:rsidRPr="00DB5BAC">
        <w:rPr>
          <w:sz w:val="20"/>
        </w:rPr>
        <w:t xml:space="preserve">Isamu Shibayama </w:t>
      </w:r>
      <w:r w:rsidR="00806A85" w:rsidRPr="00DB5BAC">
        <w:rPr>
          <w:sz w:val="20"/>
        </w:rPr>
        <w:t>trabajó</w:t>
      </w:r>
      <w:r w:rsidR="008F25AD" w:rsidRPr="00DB5BAC">
        <w:rPr>
          <w:sz w:val="20"/>
        </w:rPr>
        <w:t>,</w:t>
      </w:r>
      <w:r w:rsidR="00806A85" w:rsidRPr="00DB5BAC">
        <w:rPr>
          <w:sz w:val="20"/>
        </w:rPr>
        <w:t xml:space="preserve"> en vez de asistir a la escuela secundaria</w:t>
      </w:r>
      <w:r w:rsidR="008F25AD" w:rsidRPr="00DB5BAC">
        <w:rPr>
          <w:sz w:val="20"/>
        </w:rPr>
        <w:t>,</w:t>
      </w:r>
      <w:r w:rsidR="00806A85" w:rsidRPr="00DB5BAC">
        <w:rPr>
          <w:sz w:val="20"/>
        </w:rPr>
        <w:t xml:space="preserve"> para ayudar a mantener a su familia de ocho</w:t>
      </w:r>
      <w:r w:rsidR="00B06713">
        <w:rPr>
          <w:sz w:val="20"/>
        </w:rPr>
        <w:t xml:space="preserve"> personas</w:t>
      </w:r>
      <w:r w:rsidR="00806A85" w:rsidRPr="00DB5BAC">
        <w:rPr>
          <w:sz w:val="20"/>
        </w:rPr>
        <w:t xml:space="preserve">. Le pagaban </w:t>
      </w:r>
      <w:r w:rsidR="00E24EAD" w:rsidRPr="00DB5BAC">
        <w:rPr>
          <w:sz w:val="20"/>
        </w:rPr>
        <w:t>$0</w:t>
      </w:r>
      <w:r w:rsidR="00806A85" w:rsidRPr="00DB5BAC">
        <w:rPr>
          <w:sz w:val="20"/>
        </w:rPr>
        <w:t>,</w:t>
      </w:r>
      <w:r w:rsidR="00E24EAD" w:rsidRPr="00DB5BAC">
        <w:rPr>
          <w:sz w:val="20"/>
        </w:rPr>
        <w:t xml:space="preserve">60 </w:t>
      </w:r>
      <w:r w:rsidR="00806A85" w:rsidRPr="00DB5BAC">
        <w:rPr>
          <w:sz w:val="20"/>
        </w:rPr>
        <w:t xml:space="preserve">por hora y tenía que pagar 30% de impuestos debido a su clasificación de </w:t>
      </w:r>
      <w:r w:rsidR="00E24EAD" w:rsidRPr="00DB5BAC">
        <w:rPr>
          <w:sz w:val="20"/>
        </w:rPr>
        <w:t>“</w:t>
      </w:r>
      <w:r w:rsidR="001E3636" w:rsidRPr="00DB5BAC">
        <w:rPr>
          <w:sz w:val="20"/>
        </w:rPr>
        <w:t>extranjero indocumentado</w:t>
      </w:r>
      <w:r w:rsidR="00E24EAD" w:rsidRPr="00DB5BAC">
        <w:rPr>
          <w:sz w:val="20"/>
        </w:rPr>
        <w:t>”</w:t>
      </w:r>
      <w:r w:rsidR="00E24EAD" w:rsidRPr="00DB5BAC">
        <w:rPr>
          <w:rStyle w:val="FootnoteReference"/>
          <w:sz w:val="20"/>
        </w:rPr>
        <w:footnoteReference w:id="44"/>
      </w:r>
      <w:r w:rsidR="00806A85" w:rsidRPr="00DB5BAC">
        <w:rPr>
          <w:sz w:val="20"/>
        </w:rPr>
        <w:t>. Desde el momento de la llegada de la familia a</w:t>
      </w:r>
      <w:r w:rsidR="007A7DA4" w:rsidRPr="00DB5BAC">
        <w:rPr>
          <w:sz w:val="20"/>
        </w:rPr>
        <w:t xml:space="preserve"> Seabrook Farms </w:t>
      </w:r>
      <w:r w:rsidR="00806A85" w:rsidRPr="00DB5BAC">
        <w:rPr>
          <w:sz w:val="20"/>
        </w:rPr>
        <w:t xml:space="preserve">hasta marzo de </w:t>
      </w:r>
      <w:r w:rsidR="007E2D55" w:rsidRPr="00DB5BAC">
        <w:rPr>
          <w:sz w:val="20"/>
        </w:rPr>
        <w:t xml:space="preserve">1949, </w:t>
      </w:r>
      <w:r w:rsidR="00806A85" w:rsidRPr="00DB5BAC">
        <w:rPr>
          <w:sz w:val="20"/>
        </w:rPr>
        <w:t xml:space="preserve">su padre, </w:t>
      </w:r>
      <w:r w:rsidR="007A7DA4" w:rsidRPr="00DB5BAC">
        <w:rPr>
          <w:sz w:val="20"/>
        </w:rPr>
        <w:t xml:space="preserve">Yuzo Shibayama, </w:t>
      </w:r>
      <w:r w:rsidR="00806A85" w:rsidRPr="00DB5BAC">
        <w:rPr>
          <w:sz w:val="20"/>
        </w:rPr>
        <w:t xml:space="preserve">trató de </w:t>
      </w:r>
      <w:r w:rsidR="00920E9D" w:rsidRPr="00DB5BAC">
        <w:rPr>
          <w:sz w:val="20"/>
        </w:rPr>
        <w:t xml:space="preserve">regresar a </w:t>
      </w:r>
      <w:r w:rsidR="00E939BA" w:rsidRPr="00DB5BAC">
        <w:rPr>
          <w:sz w:val="20"/>
        </w:rPr>
        <w:t>Perú</w:t>
      </w:r>
      <w:r w:rsidR="00920E9D" w:rsidRPr="00DB5BAC">
        <w:rPr>
          <w:sz w:val="20"/>
        </w:rPr>
        <w:t xml:space="preserve"> con la familia</w:t>
      </w:r>
      <w:r w:rsidR="007A7DA4" w:rsidRPr="00DB5BAC">
        <w:rPr>
          <w:sz w:val="20"/>
        </w:rPr>
        <w:t xml:space="preserve">, </w:t>
      </w:r>
      <w:r w:rsidR="00920E9D" w:rsidRPr="00DB5BAC">
        <w:rPr>
          <w:sz w:val="20"/>
        </w:rPr>
        <w:t>pero no se lo permitieron porque no tenían documentos de identidad peruanos</w:t>
      </w:r>
      <w:r w:rsidR="0073444D" w:rsidRPr="00DB5BAC">
        <w:rPr>
          <w:rStyle w:val="FootnoteReference"/>
          <w:sz w:val="20"/>
        </w:rPr>
        <w:footnoteReference w:id="45"/>
      </w:r>
      <w:r w:rsidR="00920E9D" w:rsidRPr="00DB5BAC">
        <w:rPr>
          <w:sz w:val="20"/>
        </w:rPr>
        <w:t>,</w:t>
      </w:r>
      <w:r w:rsidR="00481E5F" w:rsidRPr="00DB5BAC">
        <w:rPr>
          <w:sz w:val="20"/>
        </w:rPr>
        <w:t xml:space="preserve"> </w:t>
      </w:r>
      <w:r w:rsidR="00920E9D" w:rsidRPr="00DB5BAC">
        <w:rPr>
          <w:sz w:val="20"/>
        </w:rPr>
        <w:t xml:space="preserve">de modo que la familia </w:t>
      </w:r>
      <w:r w:rsidR="008F25AD" w:rsidRPr="00DB5BAC">
        <w:rPr>
          <w:sz w:val="20"/>
        </w:rPr>
        <w:t xml:space="preserve">era </w:t>
      </w:r>
      <w:r w:rsidR="00920E9D" w:rsidRPr="00DB5BAC">
        <w:rPr>
          <w:sz w:val="20"/>
        </w:rPr>
        <w:t xml:space="preserve">funcionalmente </w:t>
      </w:r>
      <w:r w:rsidRPr="00DB5BAC">
        <w:rPr>
          <w:sz w:val="20"/>
        </w:rPr>
        <w:t xml:space="preserve">apátrida </w:t>
      </w:r>
      <w:r w:rsidR="00481E5F" w:rsidRPr="00DB5BAC">
        <w:rPr>
          <w:sz w:val="20"/>
        </w:rPr>
        <w:t>dur</w:t>
      </w:r>
      <w:r w:rsidR="00920E9D" w:rsidRPr="00DB5BAC">
        <w:rPr>
          <w:sz w:val="20"/>
        </w:rPr>
        <w:t>ante ese período</w:t>
      </w:r>
      <w:r w:rsidR="00481E5F" w:rsidRPr="00DB5BAC">
        <w:rPr>
          <w:rStyle w:val="FootnoteReference"/>
          <w:sz w:val="20"/>
        </w:rPr>
        <w:footnoteReference w:id="46"/>
      </w:r>
      <w:r w:rsidR="00920E9D" w:rsidRPr="00DB5BAC">
        <w:rPr>
          <w:sz w:val="20"/>
        </w:rPr>
        <w:t xml:space="preserve">. En marzo de </w:t>
      </w:r>
      <w:r w:rsidR="007A7DA4" w:rsidRPr="00DB5BAC">
        <w:rPr>
          <w:sz w:val="20"/>
        </w:rPr>
        <w:t xml:space="preserve">1949, </w:t>
      </w:r>
      <w:r w:rsidR="00920E9D" w:rsidRPr="00DB5BAC">
        <w:rPr>
          <w:sz w:val="20"/>
        </w:rPr>
        <w:t xml:space="preserve">Yuzo </w:t>
      </w:r>
      <w:r w:rsidR="007A7DA4" w:rsidRPr="00DB5BAC">
        <w:rPr>
          <w:sz w:val="20"/>
        </w:rPr>
        <w:t xml:space="preserve">Shibayama </w:t>
      </w:r>
      <w:r w:rsidR="00920E9D" w:rsidRPr="00DB5BAC">
        <w:rPr>
          <w:sz w:val="20"/>
        </w:rPr>
        <w:t xml:space="preserve">consiguió un patrocinador para la familia y se mudaron a </w:t>
      </w:r>
      <w:r w:rsidR="007A7DA4" w:rsidRPr="00DB5BAC">
        <w:rPr>
          <w:sz w:val="20"/>
        </w:rPr>
        <w:lastRenderedPageBreak/>
        <w:t>Chicago</w:t>
      </w:r>
      <w:r w:rsidR="00B06713">
        <w:rPr>
          <w:sz w:val="20"/>
        </w:rPr>
        <w:t>,</w:t>
      </w:r>
      <w:r w:rsidR="00920E9D" w:rsidRPr="00DB5BAC">
        <w:rPr>
          <w:sz w:val="20"/>
        </w:rPr>
        <w:t xml:space="preserve"> </w:t>
      </w:r>
      <w:r w:rsidR="007A7DA4" w:rsidRPr="00DB5BAC">
        <w:rPr>
          <w:sz w:val="20"/>
        </w:rPr>
        <w:t>Illinois</w:t>
      </w:r>
      <w:r w:rsidR="007A7DA4" w:rsidRPr="00DB5BAC">
        <w:rPr>
          <w:rStyle w:val="FootnoteReference"/>
          <w:sz w:val="20"/>
        </w:rPr>
        <w:footnoteReference w:id="47"/>
      </w:r>
      <w:r w:rsidR="00920E9D" w:rsidRPr="00DB5BAC">
        <w:rPr>
          <w:sz w:val="20"/>
        </w:rPr>
        <w:t>.</w:t>
      </w:r>
      <w:r w:rsidR="00697B1E" w:rsidRPr="00DB5BAC">
        <w:rPr>
          <w:sz w:val="20"/>
        </w:rPr>
        <w:t xml:space="preserve"> </w:t>
      </w:r>
      <w:r w:rsidR="00920E9D" w:rsidRPr="00DB5BAC">
        <w:rPr>
          <w:sz w:val="20"/>
        </w:rPr>
        <w:t xml:space="preserve">La nieta de </w:t>
      </w:r>
      <w:r w:rsidR="00697B1E" w:rsidRPr="00DB5BAC">
        <w:rPr>
          <w:sz w:val="20"/>
        </w:rPr>
        <w:t>Yuzo Shibayama</w:t>
      </w:r>
      <w:r w:rsidR="00920E9D" w:rsidRPr="00DB5BAC">
        <w:rPr>
          <w:sz w:val="20"/>
        </w:rPr>
        <w:t xml:space="preserve"> declaró en la audiencia sobre el fondo que Yuzo pasó el resto de su vida, hasta su muerte</w:t>
      </w:r>
      <w:r w:rsidR="00DB5BAC" w:rsidRPr="00DB5BAC">
        <w:rPr>
          <w:sz w:val="20"/>
        </w:rPr>
        <w:t xml:space="preserve"> </w:t>
      </w:r>
      <w:r w:rsidR="00920E9D" w:rsidRPr="00DB5BAC">
        <w:rPr>
          <w:sz w:val="20"/>
        </w:rPr>
        <w:t xml:space="preserve">en </w:t>
      </w:r>
      <w:r w:rsidR="00697B1E" w:rsidRPr="00DB5BAC">
        <w:rPr>
          <w:sz w:val="20"/>
        </w:rPr>
        <w:t xml:space="preserve">1976, </w:t>
      </w:r>
      <w:r w:rsidR="00920E9D" w:rsidRPr="00DB5BAC">
        <w:rPr>
          <w:sz w:val="20"/>
        </w:rPr>
        <w:t xml:space="preserve">luchando para mantener a la familia y recuperar lo que había perdido después de ser deportado de </w:t>
      </w:r>
      <w:r w:rsidR="00E939BA" w:rsidRPr="00DB5BAC">
        <w:rPr>
          <w:sz w:val="20"/>
        </w:rPr>
        <w:t>Perú</w:t>
      </w:r>
      <w:r w:rsidR="00697B1E" w:rsidRPr="00DB5BAC">
        <w:rPr>
          <w:sz w:val="20"/>
        </w:rPr>
        <w:t xml:space="preserve">, </w:t>
      </w:r>
      <w:r w:rsidR="00920E9D" w:rsidRPr="00DB5BAC">
        <w:rPr>
          <w:sz w:val="20"/>
        </w:rPr>
        <w:t xml:space="preserve">y dijo que estaba convencida de que </w:t>
      </w:r>
      <w:r w:rsidR="00B06713">
        <w:rPr>
          <w:sz w:val="20"/>
        </w:rPr>
        <w:t>“</w:t>
      </w:r>
      <w:r w:rsidR="00920E9D" w:rsidRPr="00DB5BAC">
        <w:rPr>
          <w:sz w:val="20"/>
        </w:rPr>
        <w:t>el Gobierno de</w:t>
      </w:r>
      <w:r w:rsidR="00697B1E" w:rsidRPr="00DB5BAC">
        <w:rPr>
          <w:sz w:val="20"/>
        </w:rPr>
        <w:t xml:space="preserve"> </w:t>
      </w:r>
      <w:r w:rsidR="000648EF" w:rsidRPr="00DB5BAC">
        <w:rPr>
          <w:sz w:val="20"/>
        </w:rPr>
        <w:t>Estados Unidos</w:t>
      </w:r>
      <w:r w:rsidR="00697B1E" w:rsidRPr="00DB5BAC">
        <w:rPr>
          <w:sz w:val="20"/>
        </w:rPr>
        <w:t xml:space="preserve"> </w:t>
      </w:r>
      <w:r w:rsidR="00B06713">
        <w:rPr>
          <w:sz w:val="20"/>
        </w:rPr>
        <w:t>mató</w:t>
      </w:r>
      <w:r w:rsidR="00920E9D" w:rsidRPr="00DB5BAC">
        <w:rPr>
          <w:sz w:val="20"/>
        </w:rPr>
        <w:t xml:space="preserve"> el espíritu de </w:t>
      </w:r>
      <w:r w:rsidR="00B06713">
        <w:rPr>
          <w:sz w:val="20"/>
        </w:rPr>
        <w:t>mi</w:t>
      </w:r>
      <w:r w:rsidR="00920E9D" w:rsidRPr="00DB5BAC">
        <w:rPr>
          <w:sz w:val="20"/>
        </w:rPr>
        <w:t xml:space="preserve"> abuelo</w:t>
      </w:r>
      <w:r w:rsidR="00B06713">
        <w:rPr>
          <w:sz w:val="20"/>
        </w:rPr>
        <w:t>”</w:t>
      </w:r>
      <w:r w:rsidR="00697B1E" w:rsidRPr="00DB5BAC">
        <w:rPr>
          <w:rStyle w:val="FootnoteReference"/>
          <w:sz w:val="20"/>
        </w:rPr>
        <w:footnoteReference w:id="48"/>
      </w:r>
      <w:r w:rsidR="00920E9D" w:rsidRPr="00DB5BAC">
        <w:rPr>
          <w:sz w:val="20"/>
        </w:rPr>
        <w:t>.</w:t>
      </w:r>
    </w:p>
    <w:p w14:paraId="6A3B78A4" w14:textId="77777777" w:rsidR="0073444D" w:rsidRPr="00DB5BAC" w:rsidRDefault="0073444D" w:rsidP="0073444D">
      <w:pPr>
        <w:pStyle w:val="ListParagraph"/>
        <w:rPr>
          <w:sz w:val="20"/>
          <w:szCs w:val="20"/>
          <w:lang w:val="es-ES"/>
        </w:rPr>
      </w:pPr>
    </w:p>
    <w:p w14:paraId="06900EB6" w14:textId="77777777" w:rsidR="009F323A" w:rsidRPr="00DB5BAC" w:rsidRDefault="00920E9D"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sz w:val="20"/>
        </w:rPr>
        <w:t xml:space="preserve">A pesar de que no tenía condición de inmigrante en </w:t>
      </w:r>
      <w:r w:rsidR="000648EF" w:rsidRPr="00DB5BAC">
        <w:rPr>
          <w:sz w:val="20"/>
        </w:rPr>
        <w:t>Estados Unidos</w:t>
      </w:r>
      <w:r w:rsidR="00E24EAD" w:rsidRPr="00DB5BAC">
        <w:rPr>
          <w:sz w:val="20"/>
        </w:rPr>
        <w:t xml:space="preserve">, Isamu Shibayama </w:t>
      </w:r>
      <w:r w:rsidRPr="00DB5BAC">
        <w:rPr>
          <w:sz w:val="20"/>
        </w:rPr>
        <w:t xml:space="preserve">fue obligado a </w:t>
      </w:r>
      <w:r w:rsidR="00B06713">
        <w:rPr>
          <w:sz w:val="20"/>
        </w:rPr>
        <w:t>prestar</w:t>
      </w:r>
      <w:r w:rsidRPr="00DB5BAC">
        <w:rPr>
          <w:sz w:val="20"/>
        </w:rPr>
        <w:t xml:space="preserve"> el servicio militar durante la guerra de Corea y sirvió en las fuerzas armadas de </w:t>
      </w:r>
      <w:r w:rsidR="000648EF" w:rsidRPr="00DB5BAC">
        <w:rPr>
          <w:sz w:val="20"/>
        </w:rPr>
        <w:t>Estados Unidos</w:t>
      </w:r>
      <w:r w:rsidRPr="00DB5BAC">
        <w:rPr>
          <w:sz w:val="20"/>
        </w:rPr>
        <w:t xml:space="preserve">, con una temporada de despliegue en Alemania, desde el </w:t>
      </w:r>
      <w:r w:rsidR="00E24EAD" w:rsidRPr="00DB5BAC">
        <w:rPr>
          <w:sz w:val="20"/>
        </w:rPr>
        <w:t>30</w:t>
      </w:r>
      <w:r w:rsidRPr="00DB5BAC">
        <w:rPr>
          <w:sz w:val="20"/>
        </w:rPr>
        <w:t xml:space="preserve"> de abril de</w:t>
      </w:r>
      <w:r w:rsidR="00E24EAD" w:rsidRPr="00DB5BAC">
        <w:rPr>
          <w:sz w:val="20"/>
        </w:rPr>
        <w:t xml:space="preserve"> 1952 </w:t>
      </w:r>
      <w:r w:rsidRPr="00DB5BAC">
        <w:rPr>
          <w:sz w:val="20"/>
        </w:rPr>
        <w:t xml:space="preserve">hasta el </w:t>
      </w:r>
      <w:r w:rsidR="00E24EAD" w:rsidRPr="00DB5BAC">
        <w:rPr>
          <w:sz w:val="20"/>
        </w:rPr>
        <w:t>7</w:t>
      </w:r>
      <w:r w:rsidRPr="00DB5BAC">
        <w:rPr>
          <w:sz w:val="20"/>
        </w:rPr>
        <w:t xml:space="preserve"> de abril de</w:t>
      </w:r>
      <w:r w:rsidR="00E24EAD" w:rsidRPr="00DB5BAC">
        <w:rPr>
          <w:sz w:val="20"/>
        </w:rPr>
        <w:t xml:space="preserve"> 1954</w:t>
      </w:r>
      <w:r w:rsidRPr="00DB5BAC">
        <w:rPr>
          <w:sz w:val="20"/>
        </w:rPr>
        <w:t xml:space="preserve">. Después siguió sirviendo en una unidad de la reserva hasta que fue dado de baja honorablemente el </w:t>
      </w:r>
      <w:r w:rsidR="0073444D" w:rsidRPr="00DB5BAC">
        <w:rPr>
          <w:sz w:val="20"/>
        </w:rPr>
        <w:t>27</w:t>
      </w:r>
      <w:r w:rsidRPr="00DB5BAC">
        <w:rPr>
          <w:sz w:val="20"/>
        </w:rPr>
        <w:t xml:space="preserve"> de mayo de</w:t>
      </w:r>
      <w:r w:rsidR="0073444D" w:rsidRPr="00DB5BAC">
        <w:rPr>
          <w:sz w:val="20"/>
        </w:rPr>
        <w:t xml:space="preserve"> 1960</w:t>
      </w:r>
      <w:r w:rsidR="0073444D" w:rsidRPr="00DB5BAC">
        <w:rPr>
          <w:rStyle w:val="FootnoteReference"/>
          <w:sz w:val="20"/>
        </w:rPr>
        <w:footnoteReference w:id="49"/>
      </w:r>
      <w:r w:rsidRPr="00DB5BAC">
        <w:rPr>
          <w:sz w:val="20"/>
        </w:rPr>
        <w:t>. Cuando estaba en las fuerzas armadas, su</w:t>
      </w:r>
      <w:r w:rsidR="00BD45C8" w:rsidRPr="00DB5BAC">
        <w:rPr>
          <w:sz w:val="20"/>
        </w:rPr>
        <w:t xml:space="preserve"> supervisor</w:t>
      </w:r>
      <w:r w:rsidR="0073444D" w:rsidRPr="00DB5BAC">
        <w:rPr>
          <w:sz w:val="20"/>
        </w:rPr>
        <w:t xml:space="preserve"> </w:t>
      </w:r>
      <w:r w:rsidRPr="00DB5BAC">
        <w:rPr>
          <w:sz w:val="20"/>
        </w:rPr>
        <w:t>trató de ayudarle a conseguir la ciudadanía estadounidense para que pudiera obtener una acreditación de seguridad de más alto nivel, de conformidad con una ley que disponía la naturalización de integrantes de las fuerzas armadas</w:t>
      </w:r>
      <w:r w:rsidR="0073444D" w:rsidRPr="00DB5BAC">
        <w:rPr>
          <w:rStyle w:val="FootnoteReference"/>
          <w:sz w:val="20"/>
        </w:rPr>
        <w:footnoteReference w:id="50"/>
      </w:r>
      <w:r w:rsidR="000A66CF" w:rsidRPr="00DB5BAC">
        <w:rPr>
          <w:sz w:val="20"/>
        </w:rPr>
        <w:t xml:space="preserve">. Sin embargo, le denegaron la solicitud porque no había sido admitido legalmente en </w:t>
      </w:r>
      <w:r w:rsidR="000648EF" w:rsidRPr="00DB5BAC">
        <w:rPr>
          <w:sz w:val="20"/>
        </w:rPr>
        <w:t>Estados Unidos</w:t>
      </w:r>
      <w:r w:rsidR="0073444D" w:rsidRPr="00DB5BAC">
        <w:rPr>
          <w:sz w:val="20"/>
        </w:rPr>
        <w:t xml:space="preserve"> </w:t>
      </w:r>
      <w:r w:rsidR="00B06713">
        <w:rPr>
          <w:sz w:val="20"/>
        </w:rPr>
        <w:t>de acuerdo con</w:t>
      </w:r>
      <w:r w:rsidR="000A66CF" w:rsidRPr="00DB5BAC">
        <w:rPr>
          <w:sz w:val="20"/>
        </w:rPr>
        <w:t xml:space="preserve"> la Ley de </w:t>
      </w:r>
      <w:r w:rsidR="00E56641" w:rsidRPr="00DB5BAC">
        <w:rPr>
          <w:sz w:val="20"/>
        </w:rPr>
        <w:t>I</w:t>
      </w:r>
      <w:r w:rsidR="000A66CF" w:rsidRPr="00DB5BAC">
        <w:rPr>
          <w:sz w:val="20"/>
        </w:rPr>
        <w:t>n</w:t>
      </w:r>
      <w:r w:rsidR="00E56641" w:rsidRPr="00DB5BAC">
        <w:rPr>
          <w:sz w:val="20"/>
        </w:rPr>
        <w:t>migra</w:t>
      </w:r>
      <w:r w:rsidR="000A66CF" w:rsidRPr="00DB5BAC">
        <w:rPr>
          <w:sz w:val="20"/>
        </w:rPr>
        <w:t>c</w:t>
      </w:r>
      <w:r w:rsidR="00E56641" w:rsidRPr="00DB5BAC">
        <w:rPr>
          <w:sz w:val="20"/>
        </w:rPr>
        <w:t>i</w:t>
      </w:r>
      <w:r w:rsidR="000A66CF" w:rsidRPr="00DB5BAC">
        <w:rPr>
          <w:sz w:val="20"/>
        </w:rPr>
        <w:t>ón y Nacionalidad. En consecuencia</w:t>
      </w:r>
      <w:r w:rsidR="0073444D" w:rsidRPr="00DB5BAC">
        <w:rPr>
          <w:sz w:val="20"/>
        </w:rPr>
        <w:t xml:space="preserve">, </w:t>
      </w:r>
      <w:r w:rsidR="000A66CF" w:rsidRPr="00DB5BAC">
        <w:rPr>
          <w:sz w:val="20"/>
        </w:rPr>
        <w:t>el entonces Servicio de In</w:t>
      </w:r>
      <w:r w:rsidR="0073444D" w:rsidRPr="00DB5BAC">
        <w:rPr>
          <w:sz w:val="20"/>
        </w:rPr>
        <w:t>migra</w:t>
      </w:r>
      <w:r w:rsidR="000A66CF" w:rsidRPr="00DB5BAC">
        <w:rPr>
          <w:sz w:val="20"/>
        </w:rPr>
        <w:t>ciones y Naturalización</w:t>
      </w:r>
      <w:r w:rsidR="0073444D" w:rsidRPr="00DB5BAC">
        <w:rPr>
          <w:sz w:val="20"/>
        </w:rPr>
        <w:t xml:space="preserve"> </w:t>
      </w:r>
      <w:r w:rsidR="004827A8" w:rsidRPr="00DB5BAC">
        <w:rPr>
          <w:sz w:val="20"/>
        </w:rPr>
        <w:t xml:space="preserve">(INS) </w:t>
      </w:r>
      <w:r w:rsidR="0073444D" w:rsidRPr="00DB5BAC">
        <w:rPr>
          <w:sz w:val="20"/>
        </w:rPr>
        <w:t>re</w:t>
      </w:r>
      <w:r w:rsidR="000A66CF" w:rsidRPr="00DB5BAC">
        <w:rPr>
          <w:sz w:val="20"/>
        </w:rPr>
        <w:t>abrió el procedimiento de deportación contra los hermanos</w:t>
      </w:r>
      <w:r w:rsidR="0073444D" w:rsidRPr="00DB5BAC">
        <w:rPr>
          <w:sz w:val="20"/>
        </w:rPr>
        <w:t xml:space="preserve"> Shibayama</w:t>
      </w:r>
      <w:r w:rsidR="0073444D" w:rsidRPr="00DB5BAC">
        <w:rPr>
          <w:rStyle w:val="FootnoteReference"/>
          <w:sz w:val="20"/>
        </w:rPr>
        <w:footnoteReference w:id="51"/>
      </w:r>
      <w:r w:rsidR="000A66CF" w:rsidRPr="00DB5BAC">
        <w:rPr>
          <w:sz w:val="20"/>
        </w:rPr>
        <w:t>.</w:t>
      </w:r>
      <w:r w:rsidR="0073444D" w:rsidRPr="00DB5BAC">
        <w:rPr>
          <w:sz w:val="20"/>
        </w:rPr>
        <w:t xml:space="preserve"> </w:t>
      </w:r>
    </w:p>
    <w:p w14:paraId="5F911B81" w14:textId="77777777" w:rsidR="009F323A" w:rsidRPr="00DB5BAC" w:rsidRDefault="009F323A" w:rsidP="009F323A">
      <w:pPr>
        <w:pStyle w:val="ListParagraph"/>
        <w:rPr>
          <w:sz w:val="20"/>
          <w:lang w:val="es-ES"/>
        </w:rPr>
      </w:pPr>
    </w:p>
    <w:p w14:paraId="5CD91754" w14:textId="77777777" w:rsidR="0050464C" w:rsidRPr="00DB5BAC" w:rsidRDefault="008C46A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sz w:val="20"/>
        </w:rPr>
        <w:t>E</w:t>
      </w:r>
      <w:r w:rsidR="009F323A" w:rsidRPr="00DB5BAC">
        <w:rPr>
          <w:sz w:val="20"/>
        </w:rPr>
        <w:t xml:space="preserve">n particular, </w:t>
      </w:r>
      <w:r w:rsidRPr="00DB5BAC">
        <w:rPr>
          <w:sz w:val="20"/>
        </w:rPr>
        <w:t xml:space="preserve">la constancia del ingreso de la familia </w:t>
      </w:r>
      <w:r w:rsidR="00B06713">
        <w:rPr>
          <w:sz w:val="20"/>
        </w:rPr>
        <w:t>a</w:t>
      </w:r>
      <w:r w:rsidR="009F323A" w:rsidRPr="00DB5BAC">
        <w:rPr>
          <w:sz w:val="20"/>
        </w:rPr>
        <w:t xml:space="preserve"> </w:t>
      </w:r>
      <w:r w:rsidR="000648EF" w:rsidRPr="00DB5BAC">
        <w:rPr>
          <w:sz w:val="20"/>
        </w:rPr>
        <w:t>Estados Unidos</w:t>
      </w:r>
      <w:r w:rsidR="009F323A" w:rsidRPr="00DB5BAC">
        <w:rPr>
          <w:sz w:val="20"/>
        </w:rPr>
        <w:t xml:space="preserve"> consist</w:t>
      </w:r>
      <w:r w:rsidRPr="00DB5BAC">
        <w:rPr>
          <w:sz w:val="20"/>
        </w:rPr>
        <w:t>ía en un formulario</w:t>
      </w:r>
      <w:r w:rsidR="009F323A" w:rsidRPr="00DB5BAC">
        <w:rPr>
          <w:sz w:val="20"/>
        </w:rPr>
        <w:t xml:space="preserve"> I-404, </w:t>
      </w:r>
      <w:r w:rsidR="006A7656" w:rsidRPr="00DB5BAC">
        <w:rPr>
          <w:sz w:val="20"/>
        </w:rPr>
        <w:t>“C</w:t>
      </w:r>
      <w:r w:rsidR="009F323A" w:rsidRPr="00DB5BAC">
        <w:rPr>
          <w:sz w:val="20"/>
        </w:rPr>
        <w:t>ertifica</w:t>
      </w:r>
      <w:r w:rsidRPr="00DB5BAC">
        <w:rPr>
          <w:sz w:val="20"/>
        </w:rPr>
        <w:t>do de admisión de extranjero</w:t>
      </w:r>
      <w:r w:rsidR="006A7656" w:rsidRPr="00DB5BAC">
        <w:rPr>
          <w:sz w:val="20"/>
        </w:rPr>
        <w:t>”</w:t>
      </w:r>
      <w:r w:rsidRPr="00DB5BAC">
        <w:rPr>
          <w:sz w:val="20"/>
        </w:rPr>
        <w:t xml:space="preserve">, </w:t>
      </w:r>
      <w:r w:rsidR="00B06713">
        <w:rPr>
          <w:sz w:val="20"/>
        </w:rPr>
        <w:t>“</w:t>
      </w:r>
      <w:r w:rsidRPr="00DB5BAC">
        <w:rPr>
          <w:sz w:val="20"/>
        </w:rPr>
        <w:t xml:space="preserve">sin </w:t>
      </w:r>
      <w:r w:rsidR="00642A2F" w:rsidRPr="00DB5BAC">
        <w:rPr>
          <w:sz w:val="20"/>
        </w:rPr>
        <w:t xml:space="preserve">entrevista con </w:t>
      </w:r>
      <w:r w:rsidRPr="00DB5BAC">
        <w:rPr>
          <w:sz w:val="20"/>
        </w:rPr>
        <w:t>funcionarios de inmigraciones</w:t>
      </w:r>
      <w:r w:rsidR="00B06713">
        <w:rPr>
          <w:sz w:val="20"/>
        </w:rPr>
        <w:t>”</w:t>
      </w:r>
      <w:r w:rsidR="009F323A" w:rsidRPr="00DB5BAC">
        <w:rPr>
          <w:rStyle w:val="FootnoteReference"/>
          <w:sz w:val="20"/>
        </w:rPr>
        <w:footnoteReference w:id="52"/>
      </w:r>
      <w:r w:rsidRPr="00DB5BAC">
        <w:rPr>
          <w:sz w:val="20"/>
        </w:rPr>
        <w:t>. En este procedimiento, los S</w:t>
      </w:r>
      <w:r w:rsidR="005B1600" w:rsidRPr="00DB5BAC">
        <w:rPr>
          <w:sz w:val="20"/>
        </w:rPr>
        <w:t>hibayama</w:t>
      </w:r>
      <w:r w:rsidR="006C0ACF" w:rsidRPr="00DB5BAC">
        <w:rPr>
          <w:sz w:val="20"/>
        </w:rPr>
        <w:t xml:space="preserve"> </w:t>
      </w:r>
      <w:r w:rsidRPr="00DB5BAC">
        <w:rPr>
          <w:sz w:val="20"/>
        </w:rPr>
        <w:t xml:space="preserve">tampoco pudieron presentar documentos de identidad que acreditaran su </w:t>
      </w:r>
      <w:r w:rsidR="00333A05" w:rsidRPr="00DB5BAC">
        <w:rPr>
          <w:sz w:val="20"/>
        </w:rPr>
        <w:t>ciudadanía</w:t>
      </w:r>
      <w:r w:rsidR="006C0ACF" w:rsidRPr="00DB5BAC">
        <w:rPr>
          <w:sz w:val="20"/>
        </w:rPr>
        <w:t xml:space="preserve"> </w:t>
      </w:r>
      <w:r w:rsidRPr="00DB5BAC">
        <w:rPr>
          <w:sz w:val="20"/>
        </w:rPr>
        <w:t xml:space="preserve">porque </w:t>
      </w:r>
      <w:r w:rsidR="000648EF" w:rsidRPr="00DB5BAC">
        <w:rPr>
          <w:sz w:val="20"/>
        </w:rPr>
        <w:t>Estados Unidos</w:t>
      </w:r>
      <w:r w:rsidR="006C0ACF" w:rsidRPr="00DB5BAC">
        <w:rPr>
          <w:sz w:val="20"/>
        </w:rPr>
        <w:t xml:space="preserve"> </w:t>
      </w:r>
      <w:r w:rsidRPr="00DB5BAC">
        <w:rPr>
          <w:sz w:val="20"/>
        </w:rPr>
        <w:t xml:space="preserve">se los había confiscado antes de la llegada </w:t>
      </w:r>
      <w:r w:rsidR="006C0ACF" w:rsidRPr="00DB5BAC">
        <w:rPr>
          <w:sz w:val="20"/>
        </w:rPr>
        <w:t xml:space="preserve">al </w:t>
      </w:r>
      <w:r w:rsidRPr="00DB5BAC">
        <w:rPr>
          <w:sz w:val="20"/>
        </w:rPr>
        <w:t>país</w:t>
      </w:r>
      <w:r w:rsidR="006C0ACF" w:rsidRPr="00DB5BAC">
        <w:rPr>
          <w:rStyle w:val="FootnoteReference"/>
          <w:sz w:val="20"/>
        </w:rPr>
        <w:footnoteReference w:id="53"/>
      </w:r>
      <w:r w:rsidRPr="00DB5BAC">
        <w:rPr>
          <w:sz w:val="20"/>
        </w:rPr>
        <w:t xml:space="preserve">. </w:t>
      </w:r>
      <w:r w:rsidR="00B06713">
        <w:rPr>
          <w:sz w:val="20"/>
        </w:rPr>
        <w:t xml:space="preserve">Del </w:t>
      </w:r>
      <w:r w:rsidR="00642A2F" w:rsidRPr="00DB5BAC">
        <w:rPr>
          <w:sz w:val="20"/>
        </w:rPr>
        <w:t>expediente</w:t>
      </w:r>
      <w:r w:rsidR="00B06713">
        <w:rPr>
          <w:sz w:val="20"/>
        </w:rPr>
        <w:t>, se entiende que el</w:t>
      </w:r>
      <w:r w:rsidR="00642A2F" w:rsidRPr="00DB5BAC">
        <w:rPr>
          <w:sz w:val="20"/>
        </w:rPr>
        <w:t xml:space="preserve"> </w:t>
      </w:r>
      <w:r w:rsidR="0073444D" w:rsidRPr="00DB5BAC">
        <w:rPr>
          <w:sz w:val="20"/>
        </w:rPr>
        <w:t xml:space="preserve">INS </w:t>
      </w:r>
      <w:r w:rsidR="00642A2F" w:rsidRPr="00DB5BAC">
        <w:rPr>
          <w:sz w:val="20"/>
        </w:rPr>
        <w:t xml:space="preserve">determinó que los hermanos eran </w:t>
      </w:r>
      <w:r w:rsidR="0073444D" w:rsidRPr="00DB5BAC">
        <w:rPr>
          <w:sz w:val="20"/>
        </w:rPr>
        <w:t>deportable</w:t>
      </w:r>
      <w:r w:rsidR="00642A2F" w:rsidRPr="00DB5BAC">
        <w:rPr>
          <w:sz w:val="20"/>
        </w:rPr>
        <w:t>s</w:t>
      </w:r>
      <w:r w:rsidR="0073444D" w:rsidRPr="00DB5BAC">
        <w:rPr>
          <w:sz w:val="20"/>
        </w:rPr>
        <w:t xml:space="preserve">, </w:t>
      </w:r>
      <w:r w:rsidR="00642A2F" w:rsidRPr="00DB5BAC">
        <w:rPr>
          <w:sz w:val="20"/>
        </w:rPr>
        <w:t xml:space="preserve">razón por la cual solicitaron la suspensión de la deportación o, subsidiariamente, </w:t>
      </w:r>
      <w:r w:rsidR="00B06713">
        <w:rPr>
          <w:sz w:val="20"/>
        </w:rPr>
        <w:t>“</w:t>
      </w:r>
      <w:r w:rsidR="00642A2F" w:rsidRPr="00DB5BAC">
        <w:rPr>
          <w:sz w:val="20"/>
        </w:rPr>
        <w:t>el privilegio de la partida voluntaria y entrevista preliminar</w:t>
      </w:r>
      <w:r w:rsidR="00B06713">
        <w:rPr>
          <w:sz w:val="20"/>
        </w:rPr>
        <w:t>”,</w:t>
      </w:r>
      <w:r w:rsidR="00642A2F" w:rsidRPr="00DB5BAC">
        <w:rPr>
          <w:sz w:val="20"/>
        </w:rPr>
        <w:t xml:space="preserve"> o la posibilidad de salir de </w:t>
      </w:r>
      <w:r w:rsidR="000648EF" w:rsidRPr="00DB5BAC">
        <w:rPr>
          <w:sz w:val="20"/>
        </w:rPr>
        <w:t>Estados Unidos</w:t>
      </w:r>
      <w:r w:rsidR="00C478CF" w:rsidRPr="00DB5BAC">
        <w:rPr>
          <w:sz w:val="20"/>
        </w:rPr>
        <w:t xml:space="preserve">, </w:t>
      </w:r>
      <w:r w:rsidR="00642A2F" w:rsidRPr="00DB5BAC">
        <w:rPr>
          <w:sz w:val="20"/>
        </w:rPr>
        <w:t xml:space="preserve">solicitar una </w:t>
      </w:r>
      <w:r w:rsidR="00C478CF" w:rsidRPr="00DB5BAC">
        <w:rPr>
          <w:sz w:val="20"/>
        </w:rPr>
        <w:t>visa</w:t>
      </w:r>
      <w:r w:rsidR="00642A2F" w:rsidRPr="00DB5BAC">
        <w:rPr>
          <w:sz w:val="20"/>
        </w:rPr>
        <w:t xml:space="preserve"> y reingresar al país para </w:t>
      </w:r>
      <w:r w:rsidR="00AB271B" w:rsidRPr="00DB5BAC">
        <w:rPr>
          <w:sz w:val="20"/>
        </w:rPr>
        <w:t xml:space="preserve">regularizar su </w:t>
      </w:r>
      <w:r w:rsidR="00642A2F" w:rsidRPr="00DB5BAC">
        <w:rPr>
          <w:sz w:val="20"/>
        </w:rPr>
        <w:t>condición</w:t>
      </w:r>
      <w:r w:rsidR="00BB0303" w:rsidRPr="00DB5BAC">
        <w:rPr>
          <w:sz w:val="20"/>
        </w:rPr>
        <w:t xml:space="preserve"> migratoria</w:t>
      </w:r>
      <w:r w:rsidR="0073444D" w:rsidRPr="00DB5BAC">
        <w:rPr>
          <w:rStyle w:val="FootnoteReference"/>
          <w:sz w:val="20"/>
        </w:rPr>
        <w:footnoteReference w:id="54"/>
      </w:r>
      <w:r w:rsidR="00642A2F" w:rsidRPr="00DB5BAC">
        <w:rPr>
          <w:sz w:val="20"/>
        </w:rPr>
        <w:t>.</w:t>
      </w:r>
      <w:r w:rsidR="00C478CF" w:rsidRPr="00DB5BAC">
        <w:rPr>
          <w:sz w:val="20"/>
        </w:rPr>
        <w:t xml:space="preserve"> </w:t>
      </w:r>
      <w:r w:rsidR="00642A2F" w:rsidRPr="00DB5BAC">
        <w:rPr>
          <w:sz w:val="20"/>
        </w:rPr>
        <w:t xml:space="preserve">El </w:t>
      </w:r>
      <w:r w:rsidR="00C478CF" w:rsidRPr="00DB5BAC">
        <w:rPr>
          <w:sz w:val="20"/>
        </w:rPr>
        <w:t>23</w:t>
      </w:r>
      <w:r w:rsidR="00642A2F" w:rsidRPr="00DB5BAC">
        <w:rPr>
          <w:sz w:val="20"/>
        </w:rPr>
        <w:t xml:space="preserve"> de noviembre de</w:t>
      </w:r>
      <w:r w:rsidR="00C478CF" w:rsidRPr="00DB5BAC">
        <w:rPr>
          <w:sz w:val="20"/>
        </w:rPr>
        <w:t xml:space="preserve"> 1955, </w:t>
      </w:r>
      <w:r w:rsidR="00642A2F" w:rsidRPr="00DB5BAC">
        <w:rPr>
          <w:sz w:val="20"/>
        </w:rPr>
        <w:t xml:space="preserve">el </w:t>
      </w:r>
      <w:r w:rsidR="00C478CF" w:rsidRPr="00DB5BAC">
        <w:rPr>
          <w:sz w:val="20"/>
        </w:rPr>
        <w:t xml:space="preserve">INS </w:t>
      </w:r>
      <w:r w:rsidR="00642A2F" w:rsidRPr="00DB5BAC">
        <w:rPr>
          <w:sz w:val="20"/>
        </w:rPr>
        <w:t>decidió que se les debía otorgar e</w:t>
      </w:r>
      <w:r w:rsidR="002F3699" w:rsidRPr="00DB5BAC">
        <w:rPr>
          <w:sz w:val="20"/>
        </w:rPr>
        <w:t xml:space="preserve">ste último recurso, razón por la cual, en </w:t>
      </w:r>
      <w:r w:rsidR="00C478CF" w:rsidRPr="00DB5BAC">
        <w:rPr>
          <w:sz w:val="20"/>
        </w:rPr>
        <w:t xml:space="preserve">1956, </w:t>
      </w:r>
      <w:r w:rsidR="005B1600" w:rsidRPr="00DB5BAC">
        <w:rPr>
          <w:sz w:val="20"/>
        </w:rPr>
        <w:t>los hermanos Shibayama</w:t>
      </w:r>
      <w:r w:rsidR="00C478CF" w:rsidRPr="00DB5BAC">
        <w:rPr>
          <w:sz w:val="20"/>
        </w:rPr>
        <w:t xml:space="preserve"> </w:t>
      </w:r>
      <w:r w:rsidR="002F3699" w:rsidRPr="00DB5BAC">
        <w:rPr>
          <w:sz w:val="20"/>
        </w:rPr>
        <w:t>viajaron a Canadá</w:t>
      </w:r>
      <w:r w:rsidR="00C478CF" w:rsidRPr="00DB5BAC">
        <w:rPr>
          <w:sz w:val="20"/>
        </w:rPr>
        <w:t xml:space="preserve">, </w:t>
      </w:r>
      <w:r w:rsidR="002F3699" w:rsidRPr="00DB5BAC">
        <w:rPr>
          <w:sz w:val="20"/>
        </w:rPr>
        <w:t>solicitaron visa de inmigrantes</w:t>
      </w:r>
      <w:r w:rsidR="00C478CF" w:rsidRPr="00DB5BAC">
        <w:rPr>
          <w:sz w:val="20"/>
        </w:rPr>
        <w:t>, re</w:t>
      </w:r>
      <w:r w:rsidR="002F3699" w:rsidRPr="00DB5BAC">
        <w:rPr>
          <w:sz w:val="20"/>
        </w:rPr>
        <w:t xml:space="preserve">ingresaron a </w:t>
      </w:r>
      <w:r w:rsidR="00AE2AD7" w:rsidRPr="00DB5BAC">
        <w:rPr>
          <w:sz w:val="20"/>
        </w:rPr>
        <w:t>Estados Unidos</w:t>
      </w:r>
      <w:r w:rsidR="002F3699" w:rsidRPr="00DB5BAC">
        <w:rPr>
          <w:sz w:val="20"/>
        </w:rPr>
        <w:t xml:space="preserve"> y recibieron la condición de residentes permanentes</w:t>
      </w:r>
      <w:r w:rsidR="00C478CF" w:rsidRPr="00DB5BAC">
        <w:rPr>
          <w:rStyle w:val="FootnoteReference"/>
          <w:sz w:val="20"/>
        </w:rPr>
        <w:footnoteReference w:id="55"/>
      </w:r>
      <w:r w:rsidR="002F3699" w:rsidRPr="00DB5BAC">
        <w:rPr>
          <w:sz w:val="20"/>
        </w:rPr>
        <w:t>.</w:t>
      </w:r>
      <w:r w:rsidR="00C478CF" w:rsidRPr="00DB5BAC">
        <w:rPr>
          <w:sz w:val="20"/>
        </w:rPr>
        <w:t xml:space="preserve"> Takeshi Shibayama </w:t>
      </w:r>
      <w:r w:rsidR="002F3699" w:rsidRPr="00DB5BAC">
        <w:rPr>
          <w:sz w:val="20"/>
        </w:rPr>
        <w:t xml:space="preserve">obtuvo la ciudadanía estadounidense el </w:t>
      </w:r>
      <w:r w:rsidR="00C478CF" w:rsidRPr="00DB5BAC">
        <w:rPr>
          <w:sz w:val="20"/>
        </w:rPr>
        <w:t>28</w:t>
      </w:r>
      <w:r w:rsidR="002F3699" w:rsidRPr="00DB5BAC">
        <w:rPr>
          <w:sz w:val="20"/>
        </w:rPr>
        <w:t xml:space="preserve"> de enero de</w:t>
      </w:r>
      <w:r w:rsidR="00C478CF" w:rsidRPr="00DB5BAC">
        <w:rPr>
          <w:sz w:val="20"/>
        </w:rPr>
        <w:t xml:space="preserve"> 1964</w:t>
      </w:r>
      <w:r w:rsidR="00C478CF" w:rsidRPr="00DB5BAC">
        <w:rPr>
          <w:rStyle w:val="FootnoteReference"/>
          <w:sz w:val="20"/>
        </w:rPr>
        <w:footnoteReference w:id="56"/>
      </w:r>
      <w:r w:rsidR="002F3699" w:rsidRPr="00DB5BAC">
        <w:rPr>
          <w:sz w:val="20"/>
        </w:rPr>
        <w:t>;</w:t>
      </w:r>
      <w:r w:rsidR="00C478CF" w:rsidRPr="00DB5BAC">
        <w:rPr>
          <w:sz w:val="20"/>
        </w:rPr>
        <w:t xml:space="preserve"> Isamu Shibayama</w:t>
      </w:r>
      <w:r w:rsidR="002F3699" w:rsidRPr="00DB5BAC">
        <w:rPr>
          <w:sz w:val="20"/>
        </w:rPr>
        <w:t xml:space="preserve">, el </w:t>
      </w:r>
      <w:r w:rsidR="00C478CF" w:rsidRPr="00DB5BAC">
        <w:rPr>
          <w:sz w:val="20"/>
        </w:rPr>
        <w:t>8</w:t>
      </w:r>
      <w:r w:rsidR="002F3699" w:rsidRPr="00DB5BAC">
        <w:rPr>
          <w:sz w:val="20"/>
        </w:rPr>
        <w:t xml:space="preserve"> de septiembre de</w:t>
      </w:r>
      <w:r w:rsidR="00C478CF" w:rsidRPr="00DB5BAC">
        <w:rPr>
          <w:sz w:val="20"/>
        </w:rPr>
        <w:t xml:space="preserve"> 1970</w:t>
      </w:r>
      <w:r w:rsidR="00C478CF" w:rsidRPr="00DB5BAC">
        <w:rPr>
          <w:rStyle w:val="FootnoteReference"/>
          <w:sz w:val="20"/>
        </w:rPr>
        <w:footnoteReference w:id="57"/>
      </w:r>
      <w:r w:rsidR="002F3699" w:rsidRPr="00DB5BAC">
        <w:rPr>
          <w:sz w:val="20"/>
        </w:rPr>
        <w:t>.</w:t>
      </w:r>
    </w:p>
    <w:p w14:paraId="0F60C7D6" w14:textId="77777777" w:rsidR="00F0293C" w:rsidRPr="00DB5BAC" w:rsidRDefault="00F0293C" w:rsidP="00F0293C">
      <w:pPr>
        <w:pStyle w:val="ListParagraph"/>
        <w:rPr>
          <w:color w:val="auto"/>
          <w:sz w:val="20"/>
          <w:lang w:val="es-ES"/>
        </w:rPr>
      </w:pPr>
    </w:p>
    <w:p w14:paraId="0EDF19D0" w14:textId="77777777" w:rsidR="00F0293C" w:rsidRPr="00DB5BAC" w:rsidRDefault="002F3699"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Hablando de esta experiencia, la hermana de los</w:t>
      </w:r>
      <w:r w:rsidR="00F0293C" w:rsidRPr="00DB5BAC">
        <w:rPr>
          <w:color w:val="auto"/>
          <w:sz w:val="20"/>
        </w:rPr>
        <w:t xml:space="preserve"> </w:t>
      </w:r>
      <w:r w:rsidR="004E4D44" w:rsidRPr="00DB5BAC">
        <w:rPr>
          <w:color w:val="auto"/>
          <w:sz w:val="20"/>
        </w:rPr>
        <w:t>Shibayama</w:t>
      </w:r>
      <w:r w:rsidRPr="00DB5BAC">
        <w:rPr>
          <w:color w:val="auto"/>
          <w:sz w:val="20"/>
        </w:rPr>
        <w:t xml:space="preserve">, </w:t>
      </w:r>
      <w:r w:rsidR="00F0293C" w:rsidRPr="00DB5BAC">
        <w:rPr>
          <w:color w:val="auto"/>
          <w:sz w:val="20"/>
        </w:rPr>
        <w:t xml:space="preserve">Rose Nishimura, </w:t>
      </w:r>
      <w:r w:rsidRPr="00DB5BAC">
        <w:rPr>
          <w:color w:val="auto"/>
          <w:sz w:val="20"/>
        </w:rPr>
        <w:t xml:space="preserve">afirmó que </w:t>
      </w:r>
      <w:r w:rsidR="00B06713">
        <w:rPr>
          <w:color w:val="auto"/>
          <w:sz w:val="20"/>
        </w:rPr>
        <w:t>“no queríamos</w:t>
      </w:r>
      <w:r w:rsidRPr="00DB5BAC">
        <w:rPr>
          <w:color w:val="auto"/>
          <w:sz w:val="20"/>
        </w:rPr>
        <w:t xml:space="preserve"> ir a Estados Unidos, sino que </w:t>
      </w:r>
      <w:r w:rsidR="00B06713">
        <w:rPr>
          <w:color w:val="auto"/>
          <w:sz w:val="20"/>
        </w:rPr>
        <w:t>fuimos</w:t>
      </w:r>
      <w:r w:rsidRPr="00DB5BAC">
        <w:rPr>
          <w:color w:val="auto"/>
          <w:sz w:val="20"/>
        </w:rPr>
        <w:t xml:space="preserve"> llevados por la fuerza por el Gobierno de Estados Unidos en un buque de transporte militar y detenidos en un campamento cercado con alambre de púas administrado por el </w:t>
      </w:r>
      <w:r w:rsidR="00B06713">
        <w:rPr>
          <w:color w:val="auto"/>
          <w:sz w:val="20"/>
        </w:rPr>
        <w:t>[</w:t>
      </w:r>
      <w:r w:rsidR="007D2DA3" w:rsidRPr="00DB5BAC">
        <w:rPr>
          <w:color w:val="auto"/>
          <w:sz w:val="20"/>
        </w:rPr>
        <w:t>INS</w:t>
      </w:r>
      <w:r w:rsidR="00B06713">
        <w:rPr>
          <w:color w:val="auto"/>
          <w:sz w:val="20"/>
        </w:rPr>
        <w:t>]</w:t>
      </w:r>
      <w:r w:rsidRPr="00DB5BAC">
        <w:rPr>
          <w:color w:val="auto"/>
          <w:sz w:val="20"/>
        </w:rPr>
        <w:t xml:space="preserve">. </w:t>
      </w:r>
      <w:r w:rsidR="00B06713">
        <w:rPr>
          <w:color w:val="auto"/>
          <w:sz w:val="20"/>
        </w:rPr>
        <w:t>Me pregunto</w:t>
      </w:r>
      <w:r w:rsidRPr="00DB5BAC">
        <w:rPr>
          <w:color w:val="auto"/>
          <w:sz w:val="20"/>
        </w:rPr>
        <w:t xml:space="preserve">, entonces, cómo </w:t>
      </w:r>
      <w:r w:rsidR="00B06713">
        <w:rPr>
          <w:color w:val="auto"/>
          <w:sz w:val="20"/>
        </w:rPr>
        <w:t>se puede</w:t>
      </w:r>
      <w:r w:rsidRPr="00DB5BAC">
        <w:rPr>
          <w:color w:val="auto"/>
          <w:sz w:val="20"/>
        </w:rPr>
        <w:t xml:space="preserve"> decir que </w:t>
      </w:r>
      <w:r w:rsidR="00B06713">
        <w:rPr>
          <w:color w:val="auto"/>
          <w:sz w:val="20"/>
        </w:rPr>
        <w:t>fuimos</w:t>
      </w:r>
      <w:r w:rsidR="007D2DA3" w:rsidRPr="00DB5BAC">
        <w:rPr>
          <w:color w:val="auto"/>
          <w:sz w:val="20"/>
        </w:rPr>
        <w:t xml:space="preserve"> </w:t>
      </w:r>
      <w:r w:rsidR="00FF03EE" w:rsidRPr="00DB5BAC">
        <w:rPr>
          <w:color w:val="auto"/>
          <w:sz w:val="20"/>
        </w:rPr>
        <w:t>extranjeros indocumentados</w:t>
      </w:r>
      <w:r w:rsidR="00B06713">
        <w:rPr>
          <w:color w:val="auto"/>
          <w:sz w:val="20"/>
        </w:rPr>
        <w:t>?”</w:t>
      </w:r>
      <w:r w:rsidR="007D2DA3" w:rsidRPr="00DB5BAC">
        <w:rPr>
          <w:rStyle w:val="FootnoteReference"/>
          <w:color w:val="auto"/>
          <w:sz w:val="20"/>
        </w:rPr>
        <w:footnoteReference w:id="58"/>
      </w:r>
      <w:r w:rsidRPr="00DB5BAC">
        <w:rPr>
          <w:color w:val="auto"/>
          <w:sz w:val="20"/>
        </w:rPr>
        <w:t>.</w:t>
      </w:r>
    </w:p>
    <w:p w14:paraId="1FEDF577" w14:textId="77777777" w:rsidR="004D195F" w:rsidRPr="00DB5BAC" w:rsidRDefault="004D195F" w:rsidP="004D195F">
      <w:pPr>
        <w:pStyle w:val="ListParagraph"/>
        <w:rPr>
          <w:rFonts w:asciiTheme="majorHAnsi" w:hAnsiTheme="majorHAnsi"/>
          <w:b/>
          <w:color w:val="FF0000"/>
          <w:sz w:val="20"/>
          <w:szCs w:val="20"/>
          <w:lang w:val="es-ES"/>
        </w:rPr>
      </w:pPr>
    </w:p>
    <w:p w14:paraId="06EE92DA" w14:textId="77777777" w:rsidR="004D195F" w:rsidRPr="00DB5BAC" w:rsidRDefault="002F3699" w:rsidP="00C53C19">
      <w:pPr>
        <w:pStyle w:val="Heading2"/>
        <w:rPr>
          <w:lang w:val="es-ES"/>
        </w:rPr>
      </w:pPr>
      <w:bookmarkStart w:id="11" w:name="_Toc27473286"/>
      <w:r w:rsidRPr="00DB5BAC">
        <w:rPr>
          <w:lang w:val="es-ES"/>
        </w:rPr>
        <w:t xml:space="preserve">Reclamos de reparación de conformidad con la </w:t>
      </w:r>
      <w:r w:rsidR="00CA2EFA" w:rsidRPr="00DB5BAC">
        <w:rPr>
          <w:lang w:val="es-ES"/>
        </w:rPr>
        <w:t>Ley de Libertades Civiles</w:t>
      </w:r>
      <w:r w:rsidRPr="00DB5BAC">
        <w:rPr>
          <w:lang w:val="es-ES"/>
        </w:rPr>
        <w:t xml:space="preserve"> de </w:t>
      </w:r>
      <w:r w:rsidR="00C53C19" w:rsidRPr="00DB5BAC">
        <w:rPr>
          <w:lang w:val="es-ES"/>
        </w:rPr>
        <w:t xml:space="preserve">1988 </w:t>
      </w:r>
      <w:r w:rsidRPr="00DB5BAC">
        <w:rPr>
          <w:lang w:val="es-ES"/>
        </w:rPr>
        <w:t>y acciones judiciales subsiguientes</w:t>
      </w:r>
      <w:bookmarkEnd w:id="11"/>
    </w:p>
    <w:p w14:paraId="098466A7" w14:textId="77777777" w:rsidR="00AA2450" w:rsidRPr="00DB5BAC" w:rsidRDefault="00AA2450" w:rsidP="00AA2450">
      <w:pPr>
        <w:pStyle w:val="ListParagraph"/>
        <w:rPr>
          <w:rFonts w:asciiTheme="majorHAnsi" w:hAnsiTheme="majorHAnsi"/>
          <w:b/>
          <w:color w:val="FF0000"/>
          <w:sz w:val="20"/>
          <w:szCs w:val="20"/>
          <w:lang w:val="es-ES"/>
        </w:rPr>
      </w:pPr>
    </w:p>
    <w:p w14:paraId="3762C3A6" w14:textId="77777777" w:rsidR="007A5450" w:rsidRPr="00DB5BAC" w:rsidRDefault="002F3699"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rPr>
      </w:pPr>
      <w:r w:rsidRPr="00DB5BAC">
        <w:rPr>
          <w:sz w:val="20"/>
        </w:rPr>
        <w:lastRenderedPageBreak/>
        <w:t>En respuesta a los informes titulados</w:t>
      </w:r>
      <w:r w:rsidR="00FD1BB2" w:rsidRPr="00DB5BAC">
        <w:rPr>
          <w:sz w:val="20"/>
        </w:rPr>
        <w:t xml:space="preserve"> </w:t>
      </w:r>
      <w:r w:rsidR="00FD1BB2" w:rsidRPr="00DB5BAC">
        <w:rPr>
          <w:i/>
          <w:sz w:val="20"/>
        </w:rPr>
        <w:t xml:space="preserve">Personal Justice Denied: Report of </w:t>
      </w:r>
      <w:r w:rsidRPr="00DB5BAC">
        <w:rPr>
          <w:i/>
          <w:sz w:val="20"/>
        </w:rPr>
        <w:t>the Commission</w:t>
      </w:r>
      <w:r w:rsidR="00FD1BB2" w:rsidRPr="00DB5BAC">
        <w:rPr>
          <w:i/>
          <w:sz w:val="20"/>
        </w:rPr>
        <w:t xml:space="preserve"> on Wartime Relocation and </w:t>
      </w:r>
      <w:r w:rsidR="00333A05" w:rsidRPr="00DB5BAC">
        <w:rPr>
          <w:i/>
          <w:sz w:val="20"/>
        </w:rPr>
        <w:t>Intern</w:t>
      </w:r>
      <w:r w:rsidRPr="00DB5BAC">
        <w:rPr>
          <w:i/>
          <w:sz w:val="20"/>
        </w:rPr>
        <w:t xml:space="preserve">ment </w:t>
      </w:r>
      <w:r w:rsidR="00FD1BB2" w:rsidRPr="00DB5BAC">
        <w:rPr>
          <w:i/>
          <w:sz w:val="20"/>
        </w:rPr>
        <w:t>of Civilians</w:t>
      </w:r>
      <w:r w:rsidR="00FD1BB2" w:rsidRPr="00DB5BAC">
        <w:rPr>
          <w:sz w:val="20"/>
        </w:rPr>
        <w:t xml:space="preserve"> (1982)</w:t>
      </w:r>
      <w:r w:rsidRPr="00DB5BAC">
        <w:rPr>
          <w:sz w:val="20"/>
        </w:rPr>
        <w:t xml:space="preserve"> y </w:t>
      </w:r>
      <w:r w:rsidR="00FD1BB2" w:rsidRPr="00DB5BAC">
        <w:rPr>
          <w:i/>
          <w:sz w:val="20"/>
        </w:rPr>
        <w:t>Personal Justice Denied Part 2: Recommendations</w:t>
      </w:r>
      <w:r w:rsidR="00FD1BB2" w:rsidRPr="00DB5BAC">
        <w:rPr>
          <w:sz w:val="20"/>
        </w:rPr>
        <w:t xml:space="preserve"> (1983)</w:t>
      </w:r>
      <w:r w:rsidR="00F81119" w:rsidRPr="00DB5BAC">
        <w:rPr>
          <w:sz w:val="20"/>
        </w:rPr>
        <w:t xml:space="preserve">, </w:t>
      </w:r>
      <w:r w:rsidRPr="00DB5BAC">
        <w:rPr>
          <w:sz w:val="20"/>
        </w:rPr>
        <w:t xml:space="preserve">encargados por el Congreso de </w:t>
      </w:r>
      <w:r w:rsidR="000648EF" w:rsidRPr="00DB5BAC">
        <w:rPr>
          <w:sz w:val="20"/>
        </w:rPr>
        <w:t>Estados Unidos</w:t>
      </w:r>
      <w:r w:rsidRPr="00DB5BAC">
        <w:rPr>
          <w:sz w:val="20"/>
        </w:rPr>
        <w:t xml:space="preserve">, el Congreso aprobó la </w:t>
      </w:r>
      <w:r w:rsidR="00CA2EFA" w:rsidRPr="00DB5BAC">
        <w:rPr>
          <w:sz w:val="20"/>
        </w:rPr>
        <w:t>Ley de Libertades Civiles</w:t>
      </w:r>
      <w:r w:rsidR="00F81119" w:rsidRPr="00DB5BAC">
        <w:rPr>
          <w:sz w:val="20"/>
        </w:rPr>
        <w:t xml:space="preserve"> </w:t>
      </w:r>
      <w:r w:rsidRPr="00DB5BAC">
        <w:rPr>
          <w:sz w:val="20"/>
        </w:rPr>
        <w:t>de</w:t>
      </w:r>
      <w:r w:rsidR="00F81119" w:rsidRPr="00DB5BAC">
        <w:rPr>
          <w:sz w:val="20"/>
        </w:rPr>
        <w:t xml:space="preserve"> 1988</w:t>
      </w:r>
      <w:r w:rsidR="0021280C" w:rsidRPr="00DB5BAC">
        <w:rPr>
          <w:sz w:val="20"/>
        </w:rPr>
        <w:t xml:space="preserve"> con los siguientes fines expresos, entre otros:</w:t>
      </w:r>
    </w:p>
    <w:p w14:paraId="62F88CDF" w14:textId="77777777" w:rsidR="007A5450" w:rsidRPr="00DB5BAC" w:rsidRDefault="007A5450" w:rsidP="007A54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sz w:val="20"/>
        </w:rPr>
      </w:pPr>
    </w:p>
    <w:p w14:paraId="7441317B" w14:textId="77777777" w:rsidR="007A5450" w:rsidRPr="00152FF5" w:rsidRDefault="002C4393" w:rsidP="00D4789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right="540"/>
        <w:jc w:val="both"/>
        <w:rPr>
          <w:color w:val="auto"/>
          <w:sz w:val="18"/>
          <w:szCs w:val="18"/>
          <w:lang w:val="es-ES"/>
        </w:rPr>
      </w:pPr>
      <w:r w:rsidRPr="00152FF5">
        <w:rPr>
          <w:color w:val="auto"/>
          <w:sz w:val="18"/>
          <w:szCs w:val="18"/>
          <w:lang w:val="es-ES"/>
        </w:rPr>
        <w:t xml:space="preserve">reconocer la injusticia </w:t>
      </w:r>
      <w:r w:rsidR="007A5450" w:rsidRPr="00152FF5">
        <w:rPr>
          <w:color w:val="auto"/>
          <w:sz w:val="18"/>
          <w:szCs w:val="18"/>
          <w:lang w:val="es-ES"/>
        </w:rPr>
        <w:t xml:space="preserve">fundamental </w:t>
      </w:r>
      <w:r w:rsidRPr="00152FF5">
        <w:rPr>
          <w:color w:val="auto"/>
          <w:sz w:val="18"/>
          <w:szCs w:val="18"/>
          <w:lang w:val="es-ES"/>
        </w:rPr>
        <w:t xml:space="preserve">de la evacuación, el traslado y el </w:t>
      </w:r>
      <w:r w:rsidR="00333A05" w:rsidRPr="00152FF5">
        <w:rPr>
          <w:color w:val="auto"/>
          <w:sz w:val="18"/>
          <w:szCs w:val="18"/>
          <w:lang w:val="es-ES"/>
        </w:rPr>
        <w:t>internamiento</w:t>
      </w:r>
      <w:r w:rsidR="007A5450" w:rsidRPr="00152FF5">
        <w:rPr>
          <w:color w:val="auto"/>
          <w:sz w:val="18"/>
          <w:szCs w:val="18"/>
          <w:lang w:val="es-ES"/>
        </w:rPr>
        <w:t xml:space="preserve"> </w:t>
      </w:r>
      <w:r w:rsidR="00341716" w:rsidRPr="00152FF5">
        <w:rPr>
          <w:color w:val="auto"/>
          <w:sz w:val="18"/>
          <w:szCs w:val="18"/>
          <w:lang w:val="es-ES"/>
        </w:rPr>
        <w:t>de ciudadanos estadounidenses y</w:t>
      </w:r>
      <w:r w:rsidR="007A5450" w:rsidRPr="00152FF5">
        <w:rPr>
          <w:color w:val="auto"/>
          <w:sz w:val="18"/>
          <w:szCs w:val="18"/>
          <w:lang w:val="es-ES"/>
        </w:rPr>
        <w:t xml:space="preserve"> </w:t>
      </w:r>
      <w:r w:rsidR="00341716" w:rsidRPr="00152FF5">
        <w:rPr>
          <w:color w:val="auto"/>
          <w:sz w:val="18"/>
          <w:szCs w:val="18"/>
          <w:lang w:val="es-ES"/>
        </w:rPr>
        <w:t>extranjeros con residencia permanente</w:t>
      </w:r>
      <w:r w:rsidR="007A5450" w:rsidRPr="00152FF5">
        <w:rPr>
          <w:color w:val="auto"/>
          <w:sz w:val="18"/>
          <w:szCs w:val="18"/>
          <w:lang w:val="es-ES"/>
        </w:rPr>
        <w:t xml:space="preserve"> </w:t>
      </w:r>
      <w:r w:rsidR="005A604C" w:rsidRPr="00152FF5">
        <w:rPr>
          <w:color w:val="auto"/>
          <w:sz w:val="18"/>
          <w:szCs w:val="18"/>
          <w:lang w:val="es-ES"/>
        </w:rPr>
        <w:t>de ascendencia japonesa</w:t>
      </w:r>
      <w:r w:rsidR="007A5450" w:rsidRPr="00152FF5">
        <w:rPr>
          <w:color w:val="auto"/>
          <w:sz w:val="18"/>
          <w:szCs w:val="18"/>
          <w:lang w:val="es-ES"/>
        </w:rPr>
        <w:t xml:space="preserve"> dur</w:t>
      </w:r>
      <w:r w:rsidRPr="00152FF5">
        <w:rPr>
          <w:color w:val="auto"/>
          <w:sz w:val="18"/>
          <w:szCs w:val="18"/>
          <w:lang w:val="es-ES"/>
        </w:rPr>
        <w:t xml:space="preserve">ante la </w:t>
      </w:r>
      <w:r w:rsidR="0090313E" w:rsidRPr="00152FF5">
        <w:rPr>
          <w:color w:val="auto"/>
          <w:sz w:val="18"/>
          <w:szCs w:val="18"/>
          <w:lang w:val="es-ES"/>
        </w:rPr>
        <w:t>Segunda Guerra Mundial</w:t>
      </w:r>
      <w:r w:rsidR="007A5450" w:rsidRPr="00152FF5">
        <w:rPr>
          <w:color w:val="auto"/>
          <w:sz w:val="18"/>
          <w:szCs w:val="18"/>
          <w:lang w:val="es-ES"/>
        </w:rPr>
        <w:t xml:space="preserve">; </w:t>
      </w:r>
    </w:p>
    <w:p w14:paraId="04144029" w14:textId="77777777" w:rsidR="007A5450" w:rsidRPr="00152FF5" w:rsidRDefault="002C4393" w:rsidP="00D4789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right="540"/>
        <w:jc w:val="both"/>
        <w:rPr>
          <w:color w:val="auto"/>
          <w:sz w:val="18"/>
          <w:szCs w:val="18"/>
          <w:lang w:val="es-ES"/>
        </w:rPr>
      </w:pPr>
      <w:r w:rsidRPr="00152FF5">
        <w:rPr>
          <w:color w:val="auto"/>
          <w:sz w:val="18"/>
          <w:szCs w:val="18"/>
          <w:lang w:val="es-ES"/>
        </w:rPr>
        <w:t xml:space="preserve">pedir disculpas en nombre del pueblo de </w:t>
      </w:r>
      <w:r w:rsidR="00AE2AD7" w:rsidRPr="00152FF5">
        <w:rPr>
          <w:color w:val="auto"/>
          <w:sz w:val="18"/>
          <w:szCs w:val="18"/>
          <w:lang w:val="es-ES"/>
        </w:rPr>
        <w:t>Estados Unidos</w:t>
      </w:r>
      <w:r w:rsidR="007A5450" w:rsidRPr="00152FF5">
        <w:rPr>
          <w:color w:val="auto"/>
          <w:sz w:val="18"/>
          <w:szCs w:val="18"/>
          <w:lang w:val="es-ES"/>
        </w:rPr>
        <w:t xml:space="preserve"> </w:t>
      </w:r>
      <w:r w:rsidRPr="00152FF5">
        <w:rPr>
          <w:color w:val="auto"/>
          <w:sz w:val="18"/>
          <w:szCs w:val="18"/>
          <w:lang w:val="es-ES"/>
        </w:rPr>
        <w:t>por</w:t>
      </w:r>
      <w:r w:rsidR="007A5450" w:rsidRPr="00152FF5">
        <w:rPr>
          <w:color w:val="auto"/>
          <w:sz w:val="18"/>
          <w:szCs w:val="18"/>
          <w:lang w:val="es-ES"/>
        </w:rPr>
        <w:t xml:space="preserve"> </w:t>
      </w:r>
      <w:r w:rsidRPr="00152FF5">
        <w:rPr>
          <w:color w:val="auto"/>
          <w:sz w:val="18"/>
          <w:szCs w:val="18"/>
          <w:lang w:val="es-ES"/>
        </w:rPr>
        <w:t>la evacuación, el traslado y el</w:t>
      </w:r>
      <w:r w:rsidR="007A5450" w:rsidRPr="00152FF5">
        <w:rPr>
          <w:color w:val="auto"/>
          <w:sz w:val="18"/>
          <w:szCs w:val="18"/>
          <w:lang w:val="es-ES"/>
        </w:rPr>
        <w:t xml:space="preserve"> </w:t>
      </w:r>
      <w:r w:rsidR="00333A05" w:rsidRPr="00152FF5">
        <w:rPr>
          <w:color w:val="auto"/>
          <w:sz w:val="18"/>
          <w:szCs w:val="18"/>
          <w:lang w:val="es-ES"/>
        </w:rPr>
        <w:t>internamiento</w:t>
      </w:r>
      <w:r w:rsidR="007A5450" w:rsidRPr="00152FF5">
        <w:rPr>
          <w:color w:val="auto"/>
          <w:sz w:val="18"/>
          <w:szCs w:val="18"/>
          <w:lang w:val="es-ES"/>
        </w:rPr>
        <w:t xml:space="preserve"> </w:t>
      </w:r>
      <w:r w:rsidRPr="00152FF5">
        <w:rPr>
          <w:color w:val="auto"/>
          <w:sz w:val="18"/>
          <w:szCs w:val="18"/>
          <w:lang w:val="es-ES"/>
        </w:rPr>
        <w:t xml:space="preserve">de dichos ciudadanos y </w:t>
      </w:r>
      <w:r w:rsidR="00341716" w:rsidRPr="00152FF5">
        <w:rPr>
          <w:color w:val="auto"/>
          <w:sz w:val="18"/>
          <w:szCs w:val="18"/>
          <w:lang w:val="es-ES"/>
        </w:rPr>
        <w:t>extranjeros con residencia permanente</w:t>
      </w:r>
      <w:r w:rsidR="007A5450" w:rsidRPr="00152FF5">
        <w:rPr>
          <w:color w:val="auto"/>
          <w:sz w:val="18"/>
          <w:szCs w:val="18"/>
          <w:lang w:val="es-ES"/>
        </w:rPr>
        <w:t xml:space="preserve">; </w:t>
      </w:r>
    </w:p>
    <w:p w14:paraId="17EE1DC5" w14:textId="77777777" w:rsidR="007A5450" w:rsidRPr="00152FF5" w:rsidRDefault="002C4393" w:rsidP="00D4789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right="540"/>
        <w:jc w:val="both"/>
        <w:rPr>
          <w:color w:val="auto"/>
          <w:sz w:val="18"/>
          <w:szCs w:val="18"/>
          <w:lang w:val="es-ES"/>
        </w:rPr>
      </w:pPr>
      <w:r w:rsidRPr="00152FF5">
        <w:rPr>
          <w:color w:val="auto"/>
          <w:sz w:val="18"/>
          <w:szCs w:val="18"/>
          <w:lang w:val="es-ES"/>
        </w:rPr>
        <w:t>establecer un fondo de educación para financiar actividades con el fin de informar al público sobre el</w:t>
      </w:r>
      <w:r w:rsidR="007A5450" w:rsidRPr="00152FF5">
        <w:rPr>
          <w:color w:val="auto"/>
          <w:sz w:val="18"/>
          <w:szCs w:val="18"/>
          <w:lang w:val="es-ES"/>
        </w:rPr>
        <w:t xml:space="preserve"> </w:t>
      </w:r>
      <w:r w:rsidR="00333A05" w:rsidRPr="00152FF5">
        <w:rPr>
          <w:color w:val="auto"/>
          <w:sz w:val="18"/>
          <w:szCs w:val="18"/>
          <w:lang w:val="es-ES"/>
        </w:rPr>
        <w:t>internamiento</w:t>
      </w:r>
      <w:r w:rsidR="007A5450" w:rsidRPr="00152FF5">
        <w:rPr>
          <w:color w:val="auto"/>
          <w:sz w:val="18"/>
          <w:szCs w:val="18"/>
          <w:lang w:val="es-ES"/>
        </w:rPr>
        <w:t xml:space="preserve"> </w:t>
      </w:r>
      <w:r w:rsidRPr="00152FF5">
        <w:rPr>
          <w:color w:val="auto"/>
          <w:sz w:val="18"/>
          <w:szCs w:val="18"/>
          <w:lang w:val="es-ES"/>
        </w:rPr>
        <w:t>de esas personas a fin de que no se repita algo similar</w:t>
      </w:r>
      <w:r w:rsidR="007A5450" w:rsidRPr="00152FF5">
        <w:rPr>
          <w:color w:val="auto"/>
          <w:sz w:val="18"/>
          <w:szCs w:val="18"/>
          <w:lang w:val="es-ES"/>
        </w:rPr>
        <w:t xml:space="preserve">; </w:t>
      </w:r>
    </w:p>
    <w:p w14:paraId="24F8BCE0" w14:textId="77777777" w:rsidR="007A5450" w:rsidRPr="00152FF5" w:rsidRDefault="002C4393" w:rsidP="00D4789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right="540"/>
        <w:jc w:val="both"/>
        <w:rPr>
          <w:color w:val="auto"/>
          <w:sz w:val="18"/>
          <w:szCs w:val="18"/>
          <w:lang w:val="es-ES"/>
        </w:rPr>
      </w:pPr>
      <w:r w:rsidRPr="00152FF5">
        <w:rPr>
          <w:color w:val="auto"/>
          <w:sz w:val="18"/>
          <w:szCs w:val="18"/>
          <w:lang w:val="es-ES"/>
        </w:rPr>
        <w:t xml:space="preserve">indemnizar a las </w:t>
      </w:r>
      <w:r w:rsidR="00C07AEF" w:rsidRPr="00152FF5">
        <w:rPr>
          <w:color w:val="auto"/>
          <w:sz w:val="18"/>
          <w:szCs w:val="18"/>
          <w:lang w:val="es-ES"/>
        </w:rPr>
        <w:t>personas de ascendencia japonesa</w:t>
      </w:r>
      <w:r w:rsidR="007A5450" w:rsidRPr="00152FF5">
        <w:rPr>
          <w:color w:val="auto"/>
          <w:sz w:val="18"/>
          <w:szCs w:val="18"/>
          <w:lang w:val="es-ES"/>
        </w:rPr>
        <w:t xml:space="preserve"> </w:t>
      </w:r>
      <w:r w:rsidRPr="00152FF5">
        <w:rPr>
          <w:color w:val="auto"/>
          <w:sz w:val="18"/>
          <w:szCs w:val="18"/>
          <w:lang w:val="es-ES"/>
        </w:rPr>
        <w:t xml:space="preserve">que </w:t>
      </w:r>
      <w:r w:rsidR="00E57611" w:rsidRPr="00152FF5">
        <w:rPr>
          <w:color w:val="auto"/>
          <w:sz w:val="18"/>
          <w:szCs w:val="18"/>
          <w:lang w:val="es-ES"/>
        </w:rPr>
        <w:t>fueron internadas;</w:t>
      </w:r>
      <w:r w:rsidR="00815935" w:rsidRPr="00152FF5">
        <w:rPr>
          <w:color w:val="auto"/>
          <w:sz w:val="18"/>
          <w:szCs w:val="18"/>
          <w:lang w:val="es-ES"/>
        </w:rPr>
        <w:t xml:space="preserve"> […]</w:t>
      </w:r>
    </w:p>
    <w:p w14:paraId="75729A97" w14:textId="77777777" w:rsidR="007A5450" w:rsidRPr="00152FF5" w:rsidRDefault="00E57611" w:rsidP="00D4789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right="540"/>
        <w:jc w:val="both"/>
        <w:rPr>
          <w:color w:val="auto"/>
          <w:sz w:val="18"/>
          <w:szCs w:val="18"/>
          <w:lang w:val="es-ES"/>
        </w:rPr>
      </w:pPr>
      <w:r w:rsidRPr="00152FF5">
        <w:rPr>
          <w:color w:val="auto"/>
          <w:sz w:val="18"/>
          <w:szCs w:val="18"/>
          <w:lang w:val="es-ES"/>
        </w:rPr>
        <w:t>poner freno a la repetición de injusticias</w:t>
      </w:r>
      <w:r w:rsidR="007A5450" w:rsidRPr="00152FF5">
        <w:rPr>
          <w:color w:val="auto"/>
          <w:sz w:val="18"/>
          <w:szCs w:val="18"/>
          <w:lang w:val="es-ES"/>
        </w:rPr>
        <w:t xml:space="preserve"> similar</w:t>
      </w:r>
      <w:r w:rsidRPr="00152FF5">
        <w:rPr>
          <w:color w:val="auto"/>
          <w:sz w:val="18"/>
          <w:szCs w:val="18"/>
          <w:lang w:val="es-ES"/>
        </w:rPr>
        <w:t>es y violaciones de las libertades civiles</w:t>
      </w:r>
      <w:r w:rsidR="007A5450" w:rsidRPr="00152FF5">
        <w:rPr>
          <w:color w:val="auto"/>
          <w:sz w:val="18"/>
          <w:szCs w:val="18"/>
          <w:lang w:val="es-ES"/>
        </w:rPr>
        <w:t xml:space="preserve">; </w:t>
      </w:r>
    </w:p>
    <w:p w14:paraId="48A17C0E" w14:textId="77777777" w:rsidR="007A5450" w:rsidRPr="00152FF5" w:rsidRDefault="00B06713" w:rsidP="00D4789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right="540"/>
        <w:jc w:val="both"/>
        <w:rPr>
          <w:color w:val="auto"/>
          <w:sz w:val="18"/>
          <w:szCs w:val="18"/>
          <w:lang w:val="es-ES"/>
        </w:rPr>
      </w:pPr>
      <w:r w:rsidRPr="00152FF5">
        <w:rPr>
          <w:color w:val="auto"/>
          <w:sz w:val="18"/>
          <w:szCs w:val="18"/>
          <w:lang w:val="es-ES"/>
        </w:rPr>
        <w:t>hacer</w:t>
      </w:r>
      <w:r w:rsidR="00E57611" w:rsidRPr="00152FF5">
        <w:rPr>
          <w:color w:val="auto"/>
          <w:sz w:val="18"/>
          <w:szCs w:val="18"/>
          <w:lang w:val="es-ES"/>
        </w:rPr>
        <w:t xml:space="preserve"> más </w:t>
      </w:r>
      <w:r w:rsidRPr="00152FF5">
        <w:rPr>
          <w:color w:val="auto"/>
          <w:sz w:val="18"/>
          <w:szCs w:val="18"/>
          <w:lang w:val="es-ES"/>
        </w:rPr>
        <w:t>creíble y sincera cualquier declaración</w:t>
      </w:r>
      <w:r w:rsidR="00E57611" w:rsidRPr="00152FF5">
        <w:rPr>
          <w:color w:val="auto"/>
          <w:sz w:val="18"/>
          <w:szCs w:val="18"/>
          <w:lang w:val="es-ES"/>
        </w:rPr>
        <w:t xml:space="preserve"> de preocupación de </w:t>
      </w:r>
      <w:r w:rsidR="00AE2AD7" w:rsidRPr="00152FF5">
        <w:rPr>
          <w:color w:val="auto"/>
          <w:sz w:val="18"/>
          <w:szCs w:val="18"/>
          <w:lang w:val="es-ES"/>
        </w:rPr>
        <w:t>Estados Unidos</w:t>
      </w:r>
      <w:r w:rsidR="007A5450" w:rsidRPr="00152FF5">
        <w:rPr>
          <w:color w:val="auto"/>
          <w:sz w:val="18"/>
          <w:szCs w:val="18"/>
          <w:lang w:val="es-ES"/>
        </w:rPr>
        <w:t xml:space="preserve"> </w:t>
      </w:r>
      <w:r w:rsidR="00E57611" w:rsidRPr="00152FF5">
        <w:rPr>
          <w:color w:val="auto"/>
          <w:sz w:val="18"/>
          <w:szCs w:val="18"/>
          <w:lang w:val="es-ES"/>
        </w:rPr>
        <w:t>por las violaciones de derechos</w:t>
      </w:r>
      <w:r w:rsidR="007A5450" w:rsidRPr="00152FF5">
        <w:rPr>
          <w:color w:val="auto"/>
          <w:sz w:val="18"/>
          <w:szCs w:val="18"/>
          <w:lang w:val="es-ES"/>
        </w:rPr>
        <w:t xml:space="preserve"> human</w:t>
      </w:r>
      <w:r w:rsidR="00E57611" w:rsidRPr="00152FF5">
        <w:rPr>
          <w:color w:val="auto"/>
          <w:sz w:val="18"/>
          <w:szCs w:val="18"/>
          <w:lang w:val="es-ES"/>
        </w:rPr>
        <w:t>os cometidas por otras naciones</w:t>
      </w:r>
      <w:r w:rsidR="007A5450" w:rsidRPr="00152FF5">
        <w:rPr>
          <w:rStyle w:val="FootnoteReference"/>
          <w:color w:val="auto"/>
          <w:sz w:val="18"/>
          <w:szCs w:val="18"/>
          <w:lang w:val="es-ES"/>
        </w:rPr>
        <w:footnoteReference w:id="59"/>
      </w:r>
      <w:r w:rsidR="00E57611" w:rsidRPr="00152FF5">
        <w:rPr>
          <w:color w:val="auto"/>
          <w:sz w:val="18"/>
          <w:szCs w:val="18"/>
          <w:lang w:val="es-ES"/>
        </w:rPr>
        <w:t>.</w:t>
      </w:r>
    </w:p>
    <w:p w14:paraId="7620FFD2" w14:textId="77777777" w:rsidR="007A5450" w:rsidRPr="00DB5BAC" w:rsidRDefault="007A5450" w:rsidP="00F811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6B031A37" w14:textId="77777777" w:rsidR="001E4670" w:rsidRPr="00DB5BAC" w:rsidRDefault="00725FFD"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La </w:t>
      </w:r>
      <w:r w:rsidR="00CA2EFA" w:rsidRPr="00DB5BAC">
        <w:rPr>
          <w:color w:val="auto"/>
          <w:sz w:val="20"/>
        </w:rPr>
        <w:t>Ley de Libertades Civiles</w:t>
      </w:r>
      <w:r w:rsidR="007A5450" w:rsidRPr="00DB5BAC">
        <w:rPr>
          <w:color w:val="auto"/>
          <w:sz w:val="20"/>
        </w:rPr>
        <w:t xml:space="preserve"> </w:t>
      </w:r>
      <w:r w:rsidR="006B7198" w:rsidRPr="00DB5BAC">
        <w:rPr>
          <w:color w:val="auto"/>
          <w:sz w:val="20"/>
        </w:rPr>
        <w:t xml:space="preserve">disponía una indemnización de </w:t>
      </w:r>
      <w:r w:rsidR="007A5450" w:rsidRPr="00DB5BAC">
        <w:rPr>
          <w:color w:val="auto"/>
          <w:sz w:val="20"/>
        </w:rPr>
        <w:t>US$20</w:t>
      </w:r>
      <w:r w:rsidR="006B7198" w:rsidRPr="00DB5BAC">
        <w:rPr>
          <w:color w:val="auto"/>
          <w:sz w:val="20"/>
        </w:rPr>
        <w:t>.</w:t>
      </w:r>
      <w:r w:rsidR="007A5450" w:rsidRPr="00DB5BAC">
        <w:rPr>
          <w:color w:val="auto"/>
          <w:sz w:val="20"/>
        </w:rPr>
        <w:t xml:space="preserve">000 </w:t>
      </w:r>
      <w:r w:rsidR="006B7198" w:rsidRPr="00DB5BAC">
        <w:rPr>
          <w:color w:val="auto"/>
          <w:sz w:val="20"/>
        </w:rPr>
        <w:t xml:space="preserve">a las personas que reunieran los requisitos de conformidad con la Ley. Se consideraba </w:t>
      </w:r>
      <w:r w:rsidR="00B06713">
        <w:rPr>
          <w:color w:val="auto"/>
          <w:sz w:val="20"/>
        </w:rPr>
        <w:t>como “individuo elegible”</w:t>
      </w:r>
      <w:r w:rsidR="001E4670" w:rsidRPr="00DB5BAC">
        <w:rPr>
          <w:color w:val="auto"/>
          <w:sz w:val="20"/>
        </w:rPr>
        <w:t>:</w:t>
      </w:r>
    </w:p>
    <w:p w14:paraId="7111A4CA" w14:textId="77777777" w:rsidR="001E4670" w:rsidRPr="00DB5BAC" w:rsidRDefault="001E4670" w:rsidP="001E467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auto"/>
          <w:sz w:val="20"/>
        </w:rPr>
      </w:pPr>
    </w:p>
    <w:p w14:paraId="4CEBE07A" w14:textId="77777777" w:rsidR="001E4670" w:rsidRPr="00152FF5" w:rsidRDefault="001E4670" w:rsidP="00152FF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rPr>
      </w:pPr>
      <w:r w:rsidRPr="00152FF5">
        <w:rPr>
          <w:color w:val="auto"/>
          <w:sz w:val="18"/>
          <w:szCs w:val="18"/>
        </w:rPr>
        <w:t xml:space="preserve">(2) […] </w:t>
      </w:r>
      <w:r w:rsidR="006B7198" w:rsidRPr="00152FF5">
        <w:rPr>
          <w:color w:val="auto"/>
          <w:sz w:val="18"/>
          <w:szCs w:val="18"/>
        </w:rPr>
        <w:t xml:space="preserve">toda persona </w:t>
      </w:r>
      <w:r w:rsidR="005A604C" w:rsidRPr="00152FF5">
        <w:rPr>
          <w:color w:val="auto"/>
          <w:sz w:val="18"/>
          <w:szCs w:val="18"/>
        </w:rPr>
        <w:t>de ascendencia japonesa</w:t>
      </w:r>
      <w:r w:rsidR="006B7198" w:rsidRPr="00152FF5">
        <w:rPr>
          <w:color w:val="auto"/>
          <w:sz w:val="18"/>
          <w:szCs w:val="18"/>
        </w:rPr>
        <w:t xml:space="preserve"> […] que est</w:t>
      </w:r>
      <w:r w:rsidR="0039356F" w:rsidRPr="00152FF5">
        <w:rPr>
          <w:color w:val="auto"/>
          <w:sz w:val="18"/>
          <w:szCs w:val="18"/>
        </w:rPr>
        <w:t>é</w:t>
      </w:r>
      <w:r w:rsidR="006B7198" w:rsidRPr="00152FF5">
        <w:rPr>
          <w:color w:val="auto"/>
          <w:sz w:val="18"/>
          <w:szCs w:val="18"/>
        </w:rPr>
        <w:t xml:space="preserve"> viva en la fecha de promulgación de esta Ley </w:t>
      </w:r>
      <w:r w:rsidRPr="00152FF5">
        <w:rPr>
          <w:color w:val="auto"/>
          <w:sz w:val="18"/>
          <w:szCs w:val="18"/>
        </w:rPr>
        <w:t>[10</w:t>
      </w:r>
      <w:r w:rsidR="006B7198" w:rsidRPr="00152FF5">
        <w:rPr>
          <w:color w:val="auto"/>
          <w:sz w:val="18"/>
          <w:szCs w:val="18"/>
        </w:rPr>
        <w:t xml:space="preserve"> de agosto de</w:t>
      </w:r>
      <w:r w:rsidRPr="00152FF5">
        <w:rPr>
          <w:color w:val="auto"/>
          <w:sz w:val="18"/>
          <w:szCs w:val="18"/>
        </w:rPr>
        <w:t xml:space="preserve"> 1988] </w:t>
      </w:r>
      <w:r w:rsidR="006B7198" w:rsidRPr="00152FF5">
        <w:rPr>
          <w:color w:val="auto"/>
          <w:sz w:val="18"/>
          <w:szCs w:val="18"/>
        </w:rPr>
        <w:t xml:space="preserve">y que, durante el período de evacuación, traslado e </w:t>
      </w:r>
      <w:r w:rsidR="00333A05" w:rsidRPr="00152FF5">
        <w:rPr>
          <w:color w:val="auto"/>
          <w:sz w:val="18"/>
          <w:szCs w:val="18"/>
        </w:rPr>
        <w:t>internamiento</w:t>
      </w:r>
      <w:r w:rsidR="006B7198" w:rsidRPr="00152FF5">
        <w:rPr>
          <w:color w:val="auto"/>
          <w:sz w:val="18"/>
          <w:szCs w:val="18"/>
        </w:rPr>
        <w:t>,</w:t>
      </w:r>
    </w:p>
    <w:p w14:paraId="100F9558" w14:textId="77777777" w:rsidR="001E4670" w:rsidRPr="00152FF5" w:rsidRDefault="00A868AD" w:rsidP="00152FF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rPr>
      </w:pPr>
      <w:r w:rsidRPr="00152FF5">
        <w:rPr>
          <w:color w:val="auto"/>
          <w:sz w:val="18"/>
          <w:szCs w:val="18"/>
        </w:rPr>
        <w:tab/>
      </w:r>
      <w:r w:rsidRPr="00152FF5">
        <w:rPr>
          <w:color w:val="auto"/>
          <w:sz w:val="18"/>
          <w:szCs w:val="18"/>
        </w:rPr>
        <w:tab/>
      </w:r>
      <w:r w:rsidR="001E4670" w:rsidRPr="00152FF5">
        <w:rPr>
          <w:color w:val="auto"/>
          <w:sz w:val="18"/>
          <w:szCs w:val="18"/>
        </w:rPr>
        <w:t xml:space="preserve">(A) </w:t>
      </w:r>
      <w:r w:rsidR="006B7198" w:rsidRPr="00152FF5">
        <w:rPr>
          <w:color w:val="auto"/>
          <w:sz w:val="18"/>
          <w:szCs w:val="18"/>
        </w:rPr>
        <w:t xml:space="preserve">fuera </w:t>
      </w:r>
      <w:r w:rsidR="00341716" w:rsidRPr="00152FF5">
        <w:rPr>
          <w:color w:val="auto"/>
          <w:sz w:val="18"/>
          <w:szCs w:val="18"/>
        </w:rPr>
        <w:t>ciudadan</w:t>
      </w:r>
      <w:r w:rsidR="006B7198" w:rsidRPr="00152FF5">
        <w:rPr>
          <w:color w:val="auto"/>
          <w:sz w:val="18"/>
          <w:szCs w:val="18"/>
        </w:rPr>
        <w:t>o</w:t>
      </w:r>
      <w:r w:rsidR="00341716" w:rsidRPr="00152FF5">
        <w:rPr>
          <w:color w:val="auto"/>
          <w:sz w:val="18"/>
          <w:szCs w:val="18"/>
        </w:rPr>
        <w:t xml:space="preserve"> estadounidense</w:t>
      </w:r>
      <w:r w:rsidR="001E4670" w:rsidRPr="00152FF5">
        <w:rPr>
          <w:color w:val="auto"/>
          <w:sz w:val="18"/>
          <w:szCs w:val="18"/>
        </w:rPr>
        <w:t xml:space="preserve"> o </w:t>
      </w:r>
      <w:r w:rsidR="00341716" w:rsidRPr="00152FF5">
        <w:rPr>
          <w:color w:val="auto"/>
          <w:sz w:val="18"/>
          <w:szCs w:val="18"/>
        </w:rPr>
        <w:t>extranjero con residencia permanente</w:t>
      </w:r>
      <w:r w:rsidR="001E4670" w:rsidRPr="00152FF5">
        <w:rPr>
          <w:color w:val="auto"/>
          <w:sz w:val="18"/>
          <w:szCs w:val="18"/>
        </w:rPr>
        <w:t xml:space="preserve">; </w:t>
      </w:r>
      <w:r w:rsidR="006B7198" w:rsidRPr="00152FF5">
        <w:rPr>
          <w:color w:val="auto"/>
          <w:sz w:val="18"/>
          <w:szCs w:val="18"/>
        </w:rPr>
        <w:t>y</w:t>
      </w:r>
      <w:r w:rsidR="001E4670" w:rsidRPr="00152FF5">
        <w:rPr>
          <w:color w:val="auto"/>
          <w:sz w:val="18"/>
          <w:szCs w:val="18"/>
        </w:rPr>
        <w:t xml:space="preserve"> </w:t>
      </w:r>
    </w:p>
    <w:p w14:paraId="40E10F76" w14:textId="77777777" w:rsidR="001E4670" w:rsidRPr="00152FF5" w:rsidRDefault="00A868AD" w:rsidP="00152FF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rPr>
      </w:pPr>
      <w:r w:rsidRPr="00152FF5">
        <w:rPr>
          <w:color w:val="auto"/>
          <w:sz w:val="18"/>
          <w:szCs w:val="18"/>
        </w:rPr>
        <w:tab/>
      </w:r>
      <w:r w:rsidRPr="00152FF5">
        <w:rPr>
          <w:color w:val="auto"/>
          <w:sz w:val="18"/>
          <w:szCs w:val="18"/>
        </w:rPr>
        <w:tab/>
      </w:r>
      <w:r w:rsidR="001E4670" w:rsidRPr="00152FF5">
        <w:rPr>
          <w:color w:val="auto"/>
          <w:sz w:val="18"/>
          <w:szCs w:val="18"/>
        </w:rPr>
        <w:t xml:space="preserve">(B)(i) </w:t>
      </w:r>
      <w:r w:rsidR="006B7198" w:rsidRPr="00152FF5">
        <w:rPr>
          <w:color w:val="auto"/>
          <w:sz w:val="18"/>
          <w:szCs w:val="18"/>
        </w:rPr>
        <w:t xml:space="preserve">hubiera </w:t>
      </w:r>
      <w:r w:rsidR="00554C5C" w:rsidRPr="00152FF5">
        <w:rPr>
          <w:color w:val="auto"/>
          <w:sz w:val="18"/>
          <w:szCs w:val="18"/>
        </w:rPr>
        <w:t xml:space="preserve">sido </w:t>
      </w:r>
      <w:r w:rsidR="001E4670" w:rsidRPr="00152FF5">
        <w:rPr>
          <w:color w:val="auto"/>
          <w:sz w:val="18"/>
          <w:szCs w:val="18"/>
        </w:rPr>
        <w:t>confin</w:t>
      </w:r>
      <w:r w:rsidR="006B7198" w:rsidRPr="00152FF5">
        <w:rPr>
          <w:color w:val="auto"/>
          <w:sz w:val="18"/>
          <w:szCs w:val="18"/>
        </w:rPr>
        <w:t>ado, detenido, trasladado o privado de otra forma de su libertad o de sus bienes como consecuencia de</w:t>
      </w:r>
    </w:p>
    <w:p w14:paraId="151AE814" w14:textId="77777777" w:rsidR="001E4670" w:rsidRPr="00152FF5" w:rsidRDefault="00A868AD" w:rsidP="00152FF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rPr>
      </w:pPr>
      <w:r w:rsidRPr="00152FF5">
        <w:rPr>
          <w:color w:val="auto"/>
          <w:sz w:val="18"/>
          <w:szCs w:val="18"/>
        </w:rPr>
        <w:tab/>
      </w:r>
      <w:r w:rsidRPr="00152FF5">
        <w:rPr>
          <w:color w:val="auto"/>
          <w:sz w:val="18"/>
          <w:szCs w:val="18"/>
        </w:rPr>
        <w:tab/>
      </w:r>
      <w:r w:rsidR="001E4670" w:rsidRPr="00152FF5">
        <w:rPr>
          <w:color w:val="auto"/>
          <w:sz w:val="18"/>
          <w:szCs w:val="18"/>
        </w:rPr>
        <w:t xml:space="preserve">(I) </w:t>
      </w:r>
      <w:r w:rsidR="006B7198" w:rsidRPr="00152FF5">
        <w:rPr>
          <w:color w:val="auto"/>
          <w:sz w:val="18"/>
          <w:szCs w:val="18"/>
        </w:rPr>
        <w:t xml:space="preserve">la Orden Ejecutiva No. </w:t>
      </w:r>
      <w:r w:rsidR="001E4670" w:rsidRPr="00152FF5">
        <w:rPr>
          <w:color w:val="auto"/>
          <w:sz w:val="18"/>
          <w:szCs w:val="18"/>
        </w:rPr>
        <w:t xml:space="preserve">9066 </w:t>
      </w:r>
      <w:r w:rsidR="006B7198" w:rsidRPr="00152FF5">
        <w:rPr>
          <w:color w:val="auto"/>
          <w:sz w:val="18"/>
          <w:szCs w:val="18"/>
        </w:rPr>
        <w:t xml:space="preserve">del </w:t>
      </w:r>
      <w:r w:rsidR="001E4670" w:rsidRPr="00152FF5">
        <w:rPr>
          <w:color w:val="auto"/>
          <w:sz w:val="18"/>
          <w:szCs w:val="18"/>
        </w:rPr>
        <w:t>19</w:t>
      </w:r>
      <w:r w:rsidR="006B7198" w:rsidRPr="00152FF5">
        <w:rPr>
          <w:color w:val="auto"/>
          <w:sz w:val="18"/>
          <w:szCs w:val="18"/>
        </w:rPr>
        <w:t xml:space="preserve"> de febrero de</w:t>
      </w:r>
      <w:r w:rsidR="001E4670" w:rsidRPr="00152FF5">
        <w:rPr>
          <w:color w:val="auto"/>
          <w:sz w:val="18"/>
          <w:szCs w:val="18"/>
        </w:rPr>
        <w:t xml:space="preserve"> 1942</w:t>
      </w:r>
      <w:r w:rsidR="00B06713" w:rsidRPr="00152FF5">
        <w:rPr>
          <w:color w:val="auto"/>
          <w:sz w:val="18"/>
          <w:szCs w:val="18"/>
        </w:rPr>
        <w:t xml:space="preserve"> […]</w:t>
      </w:r>
      <w:r w:rsidR="001E4670" w:rsidRPr="00152FF5">
        <w:rPr>
          <w:rStyle w:val="FootnoteReference"/>
          <w:color w:val="auto"/>
          <w:sz w:val="18"/>
          <w:szCs w:val="18"/>
        </w:rPr>
        <w:footnoteReference w:id="60"/>
      </w:r>
      <w:r w:rsidR="006B7198" w:rsidRPr="00152FF5">
        <w:rPr>
          <w:color w:val="auto"/>
          <w:sz w:val="18"/>
          <w:szCs w:val="18"/>
        </w:rPr>
        <w:t>.</w:t>
      </w:r>
    </w:p>
    <w:p w14:paraId="4446024F" w14:textId="77777777" w:rsidR="001E4670" w:rsidRPr="00DB5BAC" w:rsidRDefault="001E4670" w:rsidP="001E467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auto"/>
          <w:sz w:val="20"/>
        </w:rPr>
      </w:pPr>
    </w:p>
    <w:p w14:paraId="4CD36FA2" w14:textId="77777777" w:rsidR="007A5450" w:rsidRPr="00DB5BAC" w:rsidRDefault="006B7198"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Por lo tanto, el tenor literal de la ley deja en claro que la </w:t>
      </w:r>
      <w:r w:rsidR="00333A05" w:rsidRPr="00DB5BAC">
        <w:rPr>
          <w:color w:val="auto"/>
          <w:sz w:val="20"/>
        </w:rPr>
        <w:t>ciudadanía</w:t>
      </w:r>
      <w:r w:rsidR="007A5450" w:rsidRPr="00DB5BAC">
        <w:rPr>
          <w:color w:val="auto"/>
          <w:sz w:val="20"/>
        </w:rPr>
        <w:t xml:space="preserve"> </w:t>
      </w:r>
      <w:r w:rsidRPr="00DB5BAC">
        <w:rPr>
          <w:color w:val="auto"/>
          <w:sz w:val="20"/>
        </w:rPr>
        <w:t xml:space="preserve">estadounidense o la </w:t>
      </w:r>
      <w:r w:rsidR="00BB0303" w:rsidRPr="00DB5BAC">
        <w:rPr>
          <w:color w:val="auto"/>
          <w:sz w:val="20"/>
        </w:rPr>
        <w:t>residencia permanente</w:t>
      </w:r>
      <w:r w:rsidR="007A5450" w:rsidRPr="00DB5BAC">
        <w:rPr>
          <w:color w:val="auto"/>
          <w:sz w:val="20"/>
        </w:rPr>
        <w:t xml:space="preserve"> </w:t>
      </w:r>
      <w:r w:rsidRPr="00DB5BAC">
        <w:rPr>
          <w:color w:val="auto"/>
          <w:sz w:val="20"/>
        </w:rPr>
        <w:t>en el momento del</w:t>
      </w:r>
      <w:r w:rsidR="007A5450" w:rsidRPr="00DB5BAC">
        <w:rPr>
          <w:color w:val="auto"/>
          <w:sz w:val="20"/>
        </w:rPr>
        <w:t xml:space="preserve"> </w:t>
      </w:r>
      <w:r w:rsidR="00333A05" w:rsidRPr="00DB5BAC">
        <w:rPr>
          <w:color w:val="auto"/>
          <w:sz w:val="20"/>
        </w:rPr>
        <w:t>internamiento</w:t>
      </w:r>
      <w:r w:rsidR="007A5450" w:rsidRPr="00DB5BAC">
        <w:rPr>
          <w:color w:val="auto"/>
          <w:sz w:val="20"/>
        </w:rPr>
        <w:t xml:space="preserve"> o retroactiv</w:t>
      </w:r>
      <w:r w:rsidRPr="00DB5BAC">
        <w:rPr>
          <w:color w:val="auto"/>
          <w:sz w:val="20"/>
        </w:rPr>
        <w:t xml:space="preserve">as al momento del </w:t>
      </w:r>
      <w:r w:rsidR="00333A05" w:rsidRPr="00DB5BAC">
        <w:rPr>
          <w:color w:val="auto"/>
          <w:sz w:val="20"/>
        </w:rPr>
        <w:t>internamiento</w:t>
      </w:r>
      <w:r w:rsidR="00DD629F" w:rsidRPr="00DB5BAC">
        <w:rPr>
          <w:rStyle w:val="FootnoteReference"/>
          <w:color w:val="auto"/>
          <w:sz w:val="20"/>
        </w:rPr>
        <w:footnoteReference w:id="61"/>
      </w:r>
      <w:r w:rsidR="007A5450" w:rsidRPr="00DB5BAC">
        <w:rPr>
          <w:color w:val="auto"/>
          <w:sz w:val="20"/>
        </w:rPr>
        <w:t xml:space="preserve"> </w:t>
      </w:r>
      <w:r w:rsidRPr="00DB5BAC">
        <w:rPr>
          <w:color w:val="auto"/>
          <w:sz w:val="20"/>
        </w:rPr>
        <w:t>es una condición previa necesaria para recibir este pago</w:t>
      </w:r>
      <w:r w:rsidR="007A5450" w:rsidRPr="00DB5BAC">
        <w:rPr>
          <w:rStyle w:val="FootnoteReference"/>
          <w:color w:val="auto"/>
          <w:sz w:val="20"/>
        </w:rPr>
        <w:footnoteReference w:id="62"/>
      </w:r>
      <w:r w:rsidRPr="00DB5BAC">
        <w:rPr>
          <w:color w:val="auto"/>
          <w:sz w:val="20"/>
        </w:rPr>
        <w:t>.</w:t>
      </w:r>
    </w:p>
    <w:p w14:paraId="666E7902" w14:textId="77777777" w:rsidR="007A5450" w:rsidRPr="00DB5BAC" w:rsidRDefault="007A5450" w:rsidP="007A54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372535CB" w14:textId="77777777" w:rsidR="00C53C19" w:rsidRPr="00DB5BAC" w:rsidRDefault="00C53C19"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sz w:val="20"/>
        </w:rPr>
        <w:t>Kenichi, Takeshi</w:t>
      </w:r>
      <w:r w:rsidR="006B7198" w:rsidRPr="00DB5BAC">
        <w:rPr>
          <w:sz w:val="20"/>
        </w:rPr>
        <w:t xml:space="preserve"> e </w:t>
      </w:r>
      <w:r w:rsidRPr="00DB5BAC">
        <w:rPr>
          <w:sz w:val="20"/>
        </w:rPr>
        <w:t xml:space="preserve">Isamu </w:t>
      </w:r>
      <w:r w:rsidR="006B7198" w:rsidRPr="00DB5BAC">
        <w:rPr>
          <w:sz w:val="20"/>
        </w:rPr>
        <w:t xml:space="preserve">solicitaron reparación individualmente de conformidad con la </w:t>
      </w:r>
      <w:r w:rsidR="00CA2EFA" w:rsidRPr="00DB5BAC">
        <w:rPr>
          <w:sz w:val="20"/>
        </w:rPr>
        <w:t>Ley de Libertades Civiles</w:t>
      </w:r>
      <w:r w:rsidRPr="00DB5BAC">
        <w:rPr>
          <w:sz w:val="20"/>
        </w:rPr>
        <w:t xml:space="preserve">, </w:t>
      </w:r>
      <w:r w:rsidR="00503472" w:rsidRPr="00DB5BAC">
        <w:rPr>
          <w:sz w:val="20"/>
        </w:rPr>
        <w:t xml:space="preserve">y el </w:t>
      </w:r>
      <w:r w:rsidRPr="00DB5BAC">
        <w:rPr>
          <w:sz w:val="20"/>
        </w:rPr>
        <w:t>10</w:t>
      </w:r>
      <w:r w:rsidR="00503472" w:rsidRPr="00DB5BAC">
        <w:rPr>
          <w:sz w:val="20"/>
        </w:rPr>
        <w:t xml:space="preserve"> de noviembre de</w:t>
      </w:r>
      <w:r w:rsidRPr="00DB5BAC">
        <w:rPr>
          <w:sz w:val="20"/>
        </w:rPr>
        <w:t xml:space="preserve"> 1992, </w:t>
      </w:r>
      <w:r w:rsidR="00503472" w:rsidRPr="00DB5BAC">
        <w:rPr>
          <w:sz w:val="20"/>
        </w:rPr>
        <w:t xml:space="preserve">el </w:t>
      </w:r>
      <w:r w:rsidRPr="00DB5BAC">
        <w:rPr>
          <w:sz w:val="20"/>
        </w:rPr>
        <w:t>22</w:t>
      </w:r>
      <w:r w:rsidR="00503472" w:rsidRPr="00DB5BAC">
        <w:rPr>
          <w:sz w:val="20"/>
        </w:rPr>
        <w:t xml:space="preserve"> de abril de</w:t>
      </w:r>
      <w:r w:rsidRPr="00DB5BAC">
        <w:rPr>
          <w:sz w:val="20"/>
        </w:rPr>
        <w:t xml:space="preserve"> 1993</w:t>
      </w:r>
      <w:r w:rsidR="00503472" w:rsidRPr="00DB5BAC">
        <w:rPr>
          <w:sz w:val="20"/>
        </w:rPr>
        <w:t xml:space="preserve"> y el </w:t>
      </w:r>
      <w:r w:rsidRPr="00DB5BAC">
        <w:rPr>
          <w:sz w:val="20"/>
        </w:rPr>
        <w:t>28</w:t>
      </w:r>
      <w:r w:rsidR="00503472" w:rsidRPr="00DB5BAC">
        <w:rPr>
          <w:sz w:val="20"/>
        </w:rPr>
        <w:t xml:space="preserve"> de junio de</w:t>
      </w:r>
      <w:r w:rsidRPr="00DB5BAC">
        <w:rPr>
          <w:sz w:val="20"/>
        </w:rPr>
        <w:t xml:space="preserve"> 1993, respectiv</w:t>
      </w:r>
      <w:r w:rsidR="00503472" w:rsidRPr="00DB5BAC">
        <w:rPr>
          <w:sz w:val="20"/>
        </w:rPr>
        <w:t>amente</w:t>
      </w:r>
      <w:r w:rsidRPr="00DB5BAC">
        <w:rPr>
          <w:sz w:val="20"/>
        </w:rPr>
        <w:t xml:space="preserve">, </w:t>
      </w:r>
      <w:r w:rsidR="00503472" w:rsidRPr="00DB5BAC">
        <w:rPr>
          <w:sz w:val="20"/>
        </w:rPr>
        <w:t xml:space="preserve">les informaron que sus solicitudes habían sido denegadas porque no </w:t>
      </w:r>
      <w:r w:rsidR="00C51AA0" w:rsidRPr="00DB5BAC">
        <w:rPr>
          <w:sz w:val="20"/>
        </w:rPr>
        <w:t xml:space="preserve">eran </w:t>
      </w:r>
      <w:r w:rsidR="00503472" w:rsidRPr="00DB5BAC">
        <w:rPr>
          <w:sz w:val="20"/>
        </w:rPr>
        <w:t>residentes permanentes durante su</w:t>
      </w:r>
      <w:r w:rsidRPr="00DB5BAC">
        <w:rPr>
          <w:sz w:val="20"/>
        </w:rPr>
        <w:t xml:space="preserve"> </w:t>
      </w:r>
      <w:r w:rsidR="00333A05" w:rsidRPr="00DB5BAC">
        <w:rPr>
          <w:sz w:val="20"/>
        </w:rPr>
        <w:t>internamiento</w:t>
      </w:r>
      <w:r w:rsidRPr="00DB5BAC">
        <w:rPr>
          <w:sz w:val="20"/>
        </w:rPr>
        <w:t xml:space="preserve"> </w:t>
      </w:r>
      <w:r w:rsidR="00503472" w:rsidRPr="00DB5BAC">
        <w:rPr>
          <w:sz w:val="20"/>
        </w:rPr>
        <w:t xml:space="preserve">y no </w:t>
      </w:r>
      <w:r w:rsidR="00C51AA0" w:rsidRPr="00DB5BAC">
        <w:rPr>
          <w:sz w:val="20"/>
        </w:rPr>
        <w:t xml:space="preserve">habían adquirido </w:t>
      </w:r>
      <w:r w:rsidR="00503472" w:rsidRPr="00DB5BAC">
        <w:rPr>
          <w:sz w:val="20"/>
        </w:rPr>
        <w:t>dicha condición posteriormente con carácter retroactivo</w:t>
      </w:r>
      <w:r w:rsidRPr="00DB5BAC">
        <w:rPr>
          <w:rStyle w:val="FootnoteReference"/>
          <w:sz w:val="20"/>
        </w:rPr>
        <w:footnoteReference w:id="63"/>
      </w:r>
      <w:r w:rsidR="00503472" w:rsidRPr="00DB5BAC">
        <w:rPr>
          <w:sz w:val="20"/>
        </w:rPr>
        <w:t>.</w:t>
      </w:r>
      <w:r w:rsidRPr="00DB5BAC">
        <w:rPr>
          <w:sz w:val="20"/>
        </w:rPr>
        <w:t xml:space="preserve"> Isamu ap</w:t>
      </w:r>
      <w:r w:rsidR="00503472" w:rsidRPr="00DB5BAC">
        <w:rPr>
          <w:sz w:val="20"/>
        </w:rPr>
        <w:t xml:space="preserve">eló la denegación el </w:t>
      </w:r>
      <w:r w:rsidRPr="00DB5BAC">
        <w:rPr>
          <w:sz w:val="20"/>
        </w:rPr>
        <w:t>17</w:t>
      </w:r>
      <w:r w:rsidR="00503472" w:rsidRPr="00DB5BAC">
        <w:rPr>
          <w:sz w:val="20"/>
        </w:rPr>
        <w:t xml:space="preserve"> de agosto de</w:t>
      </w:r>
      <w:r w:rsidRPr="00DB5BAC">
        <w:rPr>
          <w:sz w:val="20"/>
        </w:rPr>
        <w:t xml:space="preserve"> 1993, argu</w:t>
      </w:r>
      <w:r w:rsidR="00503472" w:rsidRPr="00DB5BAC">
        <w:rPr>
          <w:sz w:val="20"/>
        </w:rPr>
        <w:t xml:space="preserve">mentando que </w:t>
      </w:r>
      <w:r w:rsidR="00C51AA0" w:rsidRPr="00DB5BAC">
        <w:rPr>
          <w:sz w:val="20"/>
        </w:rPr>
        <w:t xml:space="preserve">durante el período pertinente había sido </w:t>
      </w:r>
      <w:r w:rsidR="006D2D74">
        <w:rPr>
          <w:sz w:val="20"/>
        </w:rPr>
        <w:t>“</w:t>
      </w:r>
      <w:r w:rsidR="00C51AA0" w:rsidRPr="00DB5BAC">
        <w:rPr>
          <w:sz w:val="20"/>
        </w:rPr>
        <w:t>residente permanente con apariencia de legalidad</w:t>
      </w:r>
      <w:r w:rsidR="006D2D74">
        <w:rPr>
          <w:sz w:val="20"/>
        </w:rPr>
        <w:t>”</w:t>
      </w:r>
      <w:r w:rsidR="00C51AA0" w:rsidRPr="00DB5BAC">
        <w:rPr>
          <w:sz w:val="20"/>
        </w:rPr>
        <w:t xml:space="preserve"> y que se debía </w:t>
      </w:r>
      <w:r w:rsidR="006D2D74">
        <w:rPr>
          <w:sz w:val="20"/>
        </w:rPr>
        <w:t xml:space="preserve">usar la doctrina de </w:t>
      </w:r>
      <w:r w:rsidR="006D2D74">
        <w:rPr>
          <w:i/>
          <w:sz w:val="20"/>
        </w:rPr>
        <w:t xml:space="preserve">estoppel </w:t>
      </w:r>
      <w:r w:rsidR="006D2D74">
        <w:rPr>
          <w:sz w:val="20"/>
        </w:rPr>
        <w:t xml:space="preserve">para </w:t>
      </w:r>
      <w:r w:rsidR="00C51AA0" w:rsidRPr="00DB5BAC">
        <w:rPr>
          <w:sz w:val="20"/>
        </w:rPr>
        <w:t xml:space="preserve">impedir que el Departamento de Justicia afirmara que era </w:t>
      </w:r>
      <w:r w:rsidR="001E3636" w:rsidRPr="00DB5BAC">
        <w:rPr>
          <w:sz w:val="20"/>
        </w:rPr>
        <w:t>extranjero indocumentado</w:t>
      </w:r>
      <w:r w:rsidRPr="00DB5BAC">
        <w:rPr>
          <w:sz w:val="20"/>
        </w:rPr>
        <w:t xml:space="preserve"> </w:t>
      </w:r>
      <w:r w:rsidR="00C51AA0" w:rsidRPr="00DB5BAC">
        <w:rPr>
          <w:sz w:val="20"/>
        </w:rPr>
        <w:t xml:space="preserve">cuando entró en </w:t>
      </w:r>
      <w:r w:rsidR="000648EF" w:rsidRPr="00DB5BAC">
        <w:rPr>
          <w:sz w:val="20"/>
        </w:rPr>
        <w:t>Estados Unidos</w:t>
      </w:r>
      <w:r w:rsidRPr="00DB5BAC">
        <w:rPr>
          <w:rStyle w:val="FootnoteReference"/>
          <w:sz w:val="20"/>
        </w:rPr>
        <w:footnoteReference w:id="64"/>
      </w:r>
      <w:r w:rsidR="00C51AA0" w:rsidRPr="00DB5BAC">
        <w:rPr>
          <w:sz w:val="20"/>
        </w:rPr>
        <w:t xml:space="preserve">. El </w:t>
      </w:r>
      <w:r w:rsidRPr="00DB5BAC">
        <w:rPr>
          <w:color w:val="auto"/>
          <w:sz w:val="20"/>
        </w:rPr>
        <w:t>13</w:t>
      </w:r>
      <w:r w:rsidR="00C51AA0" w:rsidRPr="00DB5BAC">
        <w:rPr>
          <w:color w:val="auto"/>
          <w:sz w:val="20"/>
        </w:rPr>
        <w:t xml:space="preserve"> de febrero de</w:t>
      </w:r>
      <w:r w:rsidRPr="00DB5BAC">
        <w:rPr>
          <w:color w:val="auto"/>
          <w:sz w:val="20"/>
        </w:rPr>
        <w:t xml:space="preserve"> 1996, </w:t>
      </w:r>
      <w:r w:rsidR="00C51AA0" w:rsidRPr="00DB5BAC">
        <w:rPr>
          <w:color w:val="auto"/>
          <w:sz w:val="20"/>
        </w:rPr>
        <w:t>el Jefe de la Sección de Apelaciones de la División de Derech</w:t>
      </w:r>
      <w:r w:rsidR="006D2D74">
        <w:rPr>
          <w:color w:val="auto"/>
          <w:sz w:val="20"/>
        </w:rPr>
        <w:t>os Civiles del Departamento de J</w:t>
      </w:r>
      <w:r w:rsidR="00C51AA0" w:rsidRPr="00DB5BAC">
        <w:rPr>
          <w:color w:val="auto"/>
          <w:sz w:val="20"/>
        </w:rPr>
        <w:t xml:space="preserve">usticia emitió una decisión en la que confirmaba la denegación del reclamo de </w:t>
      </w:r>
      <w:r w:rsidRPr="00DB5BAC">
        <w:rPr>
          <w:color w:val="auto"/>
          <w:sz w:val="20"/>
        </w:rPr>
        <w:t>Isamu Shibayama</w:t>
      </w:r>
      <w:r w:rsidR="00C51AA0" w:rsidRPr="00DB5BAC">
        <w:rPr>
          <w:color w:val="auto"/>
          <w:sz w:val="20"/>
        </w:rPr>
        <w:t xml:space="preserve"> porque la doctrina de la </w:t>
      </w:r>
      <w:r w:rsidR="006D2D74">
        <w:rPr>
          <w:color w:val="auto"/>
          <w:sz w:val="20"/>
        </w:rPr>
        <w:t>“</w:t>
      </w:r>
      <w:r w:rsidR="00C51AA0" w:rsidRPr="00DB5BAC">
        <w:rPr>
          <w:color w:val="auto"/>
          <w:sz w:val="20"/>
        </w:rPr>
        <w:t>residencia permanente con apariencia de legalidad</w:t>
      </w:r>
      <w:r w:rsidR="006D2D74">
        <w:rPr>
          <w:color w:val="auto"/>
          <w:sz w:val="20"/>
        </w:rPr>
        <w:t>”</w:t>
      </w:r>
      <w:r w:rsidR="00C51AA0" w:rsidRPr="00DB5BAC">
        <w:rPr>
          <w:color w:val="auto"/>
          <w:sz w:val="20"/>
        </w:rPr>
        <w:t xml:space="preserve"> se aplica solo a la</w:t>
      </w:r>
      <w:r w:rsidR="00DD629F" w:rsidRPr="00DB5BAC">
        <w:rPr>
          <w:color w:val="auto"/>
          <w:sz w:val="20"/>
        </w:rPr>
        <w:t xml:space="preserve"> el</w:t>
      </w:r>
      <w:r w:rsidR="00C51AA0" w:rsidRPr="00DB5BAC">
        <w:rPr>
          <w:color w:val="auto"/>
          <w:sz w:val="20"/>
        </w:rPr>
        <w:t>e</w:t>
      </w:r>
      <w:r w:rsidR="00DD629F" w:rsidRPr="00DB5BAC">
        <w:rPr>
          <w:color w:val="auto"/>
          <w:sz w:val="20"/>
        </w:rPr>
        <w:t>gibili</w:t>
      </w:r>
      <w:r w:rsidR="00C51AA0" w:rsidRPr="00DB5BAC">
        <w:rPr>
          <w:color w:val="auto"/>
          <w:sz w:val="20"/>
        </w:rPr>
        <w:t xml:space="preserve">dad para ciertas prestaciones públicas y no a determinaciones reales de la condición </w:t>
      </w:r>
      <w:r w:rsidR="00BB0303" w:rsidRPr="00DB5BAC">
        <w:rPr>
          <w:color w:val="auto"/>
          <w:sz w:val="20"/>
        </w:rPr>
        <w:t>migratoria</w:t>
      </w:r>
      <w:r w:rsidR="0039356F" w:rsidRPr="00DB5BAC">
        <w:rPr>
          <w:color w:val="auto"/>
          <w:sz w:val="20"/>
        </w:rPr>
        <w:t xml:space="preserve">, </w:t>
      </w:r>
      <w:r w:rsidR="00FF5D63" w:rsidRPr="00DB5BAC">
        <w:rPr>
          <w:color w:val="auto"/>
          <w:sz w:val="20"/>
        </w:rPr>
        <w:t xml:space="preserve">y </w:t>
      </w:r>
      <w:r w:rsidR="006D2D74">
        <w:rPr>
          <w:color w:val="auto"/>
          <w:sz w:val="20"/>
        </w:rPr>
        <w:t>“</w:t>
      </w:r>
      <w:r w:rsidR="00725FFD" w:rsidRPr="00DB5BAC">
        <w:rPr>
          <w:color w:val="auto"/>
          <w:sz w:val="20"/>
        </w:rPr>
        <w:t xml:space="preserve">la </w:t>
      </w:r>
      <w:r w:rsidR="00CA2EFA" w:rsidRPr="00DB5BAC">
        <w:rPr>
          <w:color w:val="auto"/>
          <w:sz w:val="20"/>
        </w:rPr>
        <w:t>Ley de Libertades Civiles</w:t>
      </w:r>
      <w:r w:rsidRPr="00DB5BAC">
        <w:rPr>
          <w:color w:val="auto"/>
          <w:sz w:val="20"/>
        </w:rPr>
        <w:t xml:space="preserve"> </w:t>
      </w:r>
      <w:r w:rsidR="00C51AA0" w:rsidRPr="00DB5BAC">
        <w:rPr>
          <w:color w:val="auto"/>
          <w:sz w:val="20"/>
        </w:rPr>
        <w:t>disponía una indemnización solamente para personas que fuesen</w:t>
      </w:r>
      <w:r w:rsidRPr="00DB5BAC">
        <w:rPr>
          <w:color w:val="auto"/>
          <w:sz w:val="20"/>
        </w:rPr>
        <w:t xml:space="preserve"> </w:t>
      </w:r>
      <w:r w:rsidR="00341716" w:rsidRPr="00DB5BAC">
        <w:rPr>
          <w:color w:val="auto"/>
          <w:sz w:val="20"/>
        </w:rPr>
        <w:t>ciudadan</w:t>
      </w:r>
      <w:r w:rsidR="0039356F" w:rsidRPr="00DB5BAC">
        <w:rPr>
          <w:color w:val="auto"/>
          <w:sz w:val="20"/>
        </w:rPr>
        <w:t>o</w:t>
      </w:r>
      <w:r w:rsidR="00341716" w:rsidRPr="00DB5BAC">
        <w:rPr>
          <w:color w:val="auto"/>
          <w:sz w:val="20"/>
        </w:rPr>
        <w:t>s estadounidenses</w:t>
      </w:r>
      <w:r w:rsidR="00C51AA0" w:rsidRPr="00DB5BAC">
        <w:rPr>
          <w:color w:val="auto"/>
          <w:sz w:val="20"/>
        </w:rPr>
        <w:t xml:space="preserve"> o</w:t>
      </w:r>
      <w:r w:rsidRPr="00DB5BAC">
        <w:rPr>
          <w:color w:val="auto"/>
          <w:sz w:val="20"/>
        </w:rPr>
        <w:t xml:space="preserve"> </w:t>
      </w:r>
      <w:r w:rsidR="00341716" w:rsidRPr="00DB5BAC">
        <w:rPr>
          <w:color w:val="auto"/>
          <w:sz w:val="20"/>
        </w:rPr>
        <w:t>extranjer</w:t>
      </w:r>
      <w:r w:rsidR="0039356F" w:rsidRPr="00DB5BAC">
        <w:rPr>
          <w:color w:val="auto"/>
          <w:sz w:val="20"/>
        </w:rPr>
        <w:t>o</w:t>
      </w:r>
      <w:r w:rsidR="00341716" w:rsidRPr="00DB5BAC">
        <w:rPr>
          <w:color w:val="auto"/>
          <w:sz w:val="20"/>
        </w:rPr>
        <w:t>s con residencia permanente</w:t>
      </w:r>
      <w:r w:rsidRPr="00DB5BAC">
        <w:rPr>
          <w:color w:val="auto"/>
          <w:sz w:val="20"/>
        </w:rPr>
        <w:t xml:space="preserve"> dur</w:t>
      </w:r>
      <w:r w:rsidR="00C51AA0" w:rsidRPr="00DB5BAC">
        <w:rPr>
          <w:color w:val="auto"/>
          <w:sz w:val="20"/>
        </w:rPr>
        <w:t xml:space="preserve">ante el período de </w:t>
      </w:r>
      <w:r w:rsidR="00333A05" w:rsidRPr="00DB5BAC">
        <w:rPr>
          <w:color w:val="auto"/>
          <w:sz w:val="20"/>
        </w:rPr>
        <w:t>internamiento</w:t>
      </w:r>
      <w:r w:rsidRPr="00DB5BAC">
        <w:rPr>
          <w:color w:val="auto"/>
          <w:sz w:val="20"/>
        </w:rPr>
        <w:t xml:space="preserve"> </w:t>
      </w:r>
      <w:r w:rsidR="00C51AA0" w:rsidRPr="00DB5BAC">
        <w:rPr>
          <w:color w:val="auto"/>
          <w:sz w:val="20"/>
        </w:rPr>
        <w:t xml:space="preserve">o que hubieran adquirido </w:t>
      </w:r>
      <w:r w:rsidR="00FF5D63" w:rsidRPr="00DB5BAC">
        <w:rPr>
          <w:color w:val="auto"/>
          <w:sz w:val="20"/>
        </w:rPr>
        <w:t xml:space="preserve">la condición de </w:t>
      </w:r>
      <w:r w:rsidR="00341716" w:rsidRPr="00DB5BAC">
        <w:rPr>
          <w:color w:val="auto"/>
          <w:sz w:val="20"/>
        </w:rPr>
        <w:t>extranjero con residencia permanente</w:t>
      </w:r>
      <w:r w:rsidRPr="00DB5BAC">
        <w:rPr>
          <w:color w:val="auto"/>
          <w:sz w:val="20"/>
        </w:rPr>
        <w:t xml:space="preserve"> </w:t>
      </w:r>
      <w:r w:rsidR="00FF5D63" w:rsidRPr="00DB5BAC">
        <w:rPr>
          <w:color w:val="auto"/>
          <w:sz w:val="20"/>
        </w:rPr>
        <w:t xml:space="preserve">con carácter retroactivo después de la guerra. Como </w:t>
      </w:r>
      <w:r w:rsidRPr="00DB5BAC">
        <w:rPr>
          <w:color w:val="auto"/>
          <w:sz w:val="20"/>
        </w:rPr>
        <w:t xml:space="preserve">Isamu Shibayama </w:t>
      </w:r>
      <w:r w:rsidR="00FF5D63" w:rsidRPr="00DB5BAC">
        <w:rPr>
          <w:color w:val="auto"/>
          <w:sz w:val="20"/>
        </w:rPr>
        <w:t>no cumplía esos requisitos, su apelación fue denegada</w:t>
      </w:r>
      <w:r w:rsidR="006D2D74">
        <w:rPr>
          <w:color w:val="auto"/>
          <w:sz w:val="20"/>
        </w:rPr>
        <w:t>”</w:t>
      </w:r>
      <w:r w:rsidRPr="00DB5BAC">
        <w:rPr>
          <w:rStyle w:val="FootnoteReference"/>
          <w:color w:val="auto"/>
          <w:sz w:val="20"/>
        </w:rPr>
        <w:footnoteReference w:id="65"/>
      </w:r>
      <w:r w:rsidR="00FF5D63" w:rsidRPr="00DB5BAC">
        <w:rPr>
          <w:color w:val="auto"/>
          <w:sz w:val="20"/>
        </w:rPr>
        <w:t>.</w:t>
      </w:r>
    </w:p>
    <w:p w14:paraId="298D6E16" w14:textId="77777777" w:rsidR="00C53C19" w:rsidRPr="00DB5BAC" w:rsidRDefault="00C53C19" w:rsidP="00C53C19">
      <w:pPr>
        <w:pStyle w:val="ListParagraph"/>
        <w:rPr>
          <w:color w:val="auto"/>
          <w:sz w:val="20"/>
          <w:lang w:val="es-ES"/>
        </w:rPr>
      </w:pPr>
    </w:p>
    <w:p w14:paraId="31C50474" w14:textId="77777777" w:rsidR="00C53C19" w:rsidRPr="00DB5BAC" w:rsidRDefault="00FF5D63"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El </w:t>
      </w:r>
      <w:r w:rsidR="00C53C19" w:rsidRPr="00DB5BAC">
        <w:rPr>
          <w:color w:val="auto"/>
          <w:sz w:val="20"/>
        </w:rPr>
        <w:t>11</w:t>
      </w:r>
      <w:r w:rsidRPr="00DB5BAC">
        <w:rPr>
          <w:color w:val="auto"/>
          <w:sz w:val="20"/>
        </w:rPr>
        <w:t xml:space="preserve"> de junio de</w:t>
      </w:r>
      <w:r w:rsidR="00C53C19" w:rsidRPr="00DB5BAC">
        <w:rPr>
          <w:color w:val="auto"/>
          <w:sz w:val="20"/>
        </w:rPr>
        <w:t xml:space="preserve"> 1998</w:t>
      </w:r>
      <w:r w:rsidR="008D29F7" w:rsidRPr="00DB5BAC">
        <w:rPr>
          <w:color w:val="auto"/>
          <w:sz w:val="20"/>
        </w:rPr>
        <w:t xml:space="preserve"> se emitió una orden judicial </w:t>
      </w:r>
      <w:r w:rsidR="00C53C19" w:rsidRPr="00DB5BAC">
        <w:rPr>
          <w:color w:val="auto"/>
          <w:sz w:val="20"/>
        </w:rPr>
        <w:t>preliminar</w:t>
      </w:r>
      <w:r w:rsidR="008D29F7" w:rsidRPr="00DB5BAC">
        <w:rPr>
          <w:color w:val="auto"/>
          <w:sz w:val="20"/>
        </w:rPr>
        <w:t xml:space="preserve"> en el caso </w:t>
      </w:r>
      <w:r w:rsidR="00C53C19" w:rsidRPr="00DB5BAC">
        <w:rPr>
          <w:i/>
          <w:color w:val="auto"/>
          <w:sz w:val="20"/>
        </w:rPr>
        <w:t xml:space="preserve">Mochizuki </w:t>
      </w:r>
      <w:r w:rsidR="008D29F7" w:rsidRPr="00DB5BAC">
        <w:rPr>
          <w:i/>
          <w:color w:val="auto"/>
          <w:sz w:val="20"/>
        </w:rPr>
        <w:t>c</w:t>
      </w:r>
      <w:r w:rsidR="00C53C19" w:rsidRPr="00DB5BAC">
        <w:rPr>
          <w:i/>
          <w:color w:val="auto"/>
          <w:sz w:val="20"/>
        </w:rPr>
        <w:t xml:space="preserve">. </w:t>
      </w:r>
      <w:r w:rsidR="000648EF" w:rsidRPr="00DB5BAC">
        <w:rPr>
          <w:i/>
          <w:color w:val="auto"/>
          <w:sz w:val="20"/>
        </w:rPr>
        <w:t>Estados Unidos</w:t>
      </w:r>
      <w:r w:rsidR="00C53C19" w:rsidRPr="00DB5BAC">
        <w:rPr>
          <w:rStyle w:val="FootnoteReference"/>
          <w:color w:val="auto"/>
          <w:sz w:val="20"/>
        </w:rPr>
        <w:footnoteReference w:id="66"/>
      </w:r>
      <w:r w:rsidR="00C53C19" w:rsidRPr="00DB5BAC">
        <w:rPr>
          <w:i/>
          <w:color w:val="auto"/>
          <w:sz w:val="20"/>
        </w:rPr>
        <w:t xml:space="preserve"> </w:t>
      </w:r>
      <w:r w:rsidR="008D29F7" w:rsidRPr="00DB5BAC">
        <w:rPr>
          <w:color w:val="auto"/>
          <w:sz w:val="20"/>
        </w:rPr>
        <w:t xml:space="preserve">para certificar como clase a </w:t>
      </w:r>
      <w:r w:rsidR="006D2D74">
        <w:rPr>
          <w:color w:val="auto"/>
          <w:sz w:val="20"/>
        </w:rPr>
        <w:t>“</w:t>
      </w:r>
      <w:r w:rsidR="008D29F7" w:rsidRPr="00DB5BAC">
        <w:rPr>
          <w:color w:val="auto"/>
          <w:sz w:val="20"/>
        </w:rPr>
        <w:t xml:space="preserve">las </w:t>
      </w:r>
      <w:r w:rsidR="00412B98" w:rsidRPr="00DB5BAC">
        <w:rPr>
          <w:color w:val="auto"/>
          <w:sz w:val="20"/>
        </w:rPr>
        <w:t>personas de ascendencia japonesa</w:t>
      </w:r>
      <w:r w:rsidR="00C53C19" w:rsidRPr="00DB5BAC">
        <w:rPr>
          <w:color w:val="auto"/>
          <w:sz w:val="20"/>
        </w:rPr>
        <w:t xml:space="preserve"> </w:t>
      </w:r>
      <w:r w:rsidR="008D29F7" w:rsidRPr="00DB5BAC">
        <w:rPr>
          <w:color w:val="auto"/>
          <w:sz w:val="20"/>
        </w:rPr>
        <w:t xml:space="preserve">que vivían en América Latina antes de la </w:t>
      </w:r>
      <w:r w:rsidR="0090313E" w:rsidRPr="00DB5BAC">
        <w:rPr>
          <w:color w:val="auto"/>
          <w:sz w:val="20"/>
        </w:rPr>
        <w:t>Segunda Guerra Mundial</w:t>
      </w:r>
      <w:r w:rsidR="00C53C19" w:rsidRPr="00DB5BAC">
        <w:rPr>
          <w:color w:val="auto"/>
          <w:sz w:val="20"/>
        </w:rPr>
        <w:t xml:space="preserve"> </w:t>
      </w:r>
      <w:r w:rsidR="00235CCE" w:rsidRPr="00DB5BAC">
        <w:rPr>
          <w:color w:val="auto"/>
          <w:sz w:val="20"/>
        </w:rPr>
        <w:t>y que fueron detenidas en</w:t>
      </w:r>
      <w:r w:rsidR="00C53C19" w:rsidRPr="00DB5BAC">
        <w:rPr>
          <w:color w:val="auto"/>
          <w:sz w:val="20"/>
        </w:rPr>
        <w:t xml:space="preserve"> </w:t>
      </w:r>
      <w:r w:rsidR="00AE2AD7" w:rsidRPr="00DB5BAC">
        <w:rPr>
          <w:color w:val="auto"/>
          <w:sz w:val="20"/>
        </w:rPr>
        <w:t>Estados Unidos</w:t>
      </w:r>
      <w:r w:rsidR="00C53C19" w:rsidRPr="00DB5BAC">
        <w:rPr>
          <w:color w:val="auto"/>
          <w:sz w:val="20"/>
        </w:rPr>
        <w:t xml:space="preserve"> </w:t>
      </w:r>
      <w:r w:rsidR="006D2D74">
        <w:rPr>
          <w:color w:val="auto"/>
          <w:sz w:val="20"/>
        </w:rPr>
        <w:t>[</w:t>
      </w:r>
      <w:r w:rsidR="00235CCE" w:rsidRPr="00DB5BAC">
        <w:rPr>
          <w:color w:val="auto"/>
          <w:sz w:val="20"/>
        </w:rPr>
        <w:t xml:space="preserve">entre </w:t>
      </w:r>
      <w:r w:rsidR="00C53C19" w:rsidRPr="00DB5BAC">
        <w:rPr>
          <w:color w:val="auto"/>
          <w:sz w:val="20"/>
        </w:rPr>
        <w:t>194</w:t>
      </w:r>
      <w:r w:rsidR="000D60AE" w:rsidRPr="00DB5BAC">
        <w:rPr>
          <w:color w:val="auto"/>
          <w:sz w:val="20"/>
        </w:rPr>
        <w:t>1</w:t>
      </w:r>
      <w:r w:rsidR="00C53C19" w:rsidRPr="00DB5BAC">
        <w:rPr>
          <w:color w:val="auto"/>
          <w:sz w:val="20"/>
        </w:rPr>
        <w:t xml:space="preserve"> </w:t>
      </w:r>
      <w:r w:rsidR="00235CCE" w:rsidRPr="00DB5BAC">
        <w:rPr>
          <w:color w:val="auto"/>
          <w:sz w:val="20"/>
        </w:rPr>
        <w:t>y el 3</w:t>
      </w:r>
      <w:r w:rsidR="00C53C19" w:rsidRPr="00DB5BAC">
        <w:rPr>
          <w:color w:val="auto"/>
          <w:sz w:val="20"/>
        </w:rPr>
        <w:t>0</w:t>
      </w:r>
      <w:r w:rsidR="00235CCE" w:rsidRPr="00DB5BAC">
        <w:rPr>
          <w:color w:val="auto"/>
          <w:sz w:val="20"/>
        </w:rPr>
        <w:t xml:space="preserve"> de junio de</w:t>
      </w:r>
      <w:r w:rsidR="00C53C19" w:rsidRPr="00DB5BAC">
        <w:rPr>
          <w:color w:val="auto"/>
          <w:sz w:val="20"/>
        </w:rPr>
        <w:t xml:space="preserve"> 1946</w:t>
      </w:r>
      <w:r w:rsidR="006D2D74">
        <w:rPr>
          <w:color w:val="auto"/>
          <w:sz w:val="20"/>
        </w:rPr>
        <w:t>]”</w:t>
      </w:r>
      <w:r w:rsidR="00235CCE" w:rsidRPr="00DB5BAC">
        <w:rPr>
          <w:color w:val="auto"/>
          <w:sz w:val="20"/>
        </w:rPr>
        <w:t xml:space="preserve">, así como sus herederos. </w:t>
      </w:r>
      <w:r w:rsidR="006D2D74">
        <w:rPr>
          <w:color w:val="auto"/>
          <w:sz w:val="20"/>
        </w:rPr>
        <w:t>El arreglo</w:t>
      </w:r>
      <w:r w:rsidR="00235CCE" w:rsidRPr="00DB5BAC">
        <w:rPr>
          <w:color w:val="auto"/>
          <w:sz w:val="20"/>
        </w:rPr>
        <w:t xml:space="preserve"> condujo en última instancia al pago de una liquidación de </w:t>
      </w:r>
      <w:r w:rsidR="00C53C19" w:rsidRPr="00DB5BAC">
        <w:rPr>
          <w:color w:val="auto"/>
          <w:sz w:val="20"/>
        </w:rPr>
        <w:t>$</w:t>
      </w:r>
      <w:r w:rsidR="00235CCE" w:rsidRPr="00DB5BAC">
        <w:rPr>
          <w:color w:val="auto"/>
          <w:sz w:val="20"/>
        </w:rPr>
        <w:t>5.</w:t>
      </w:r>
      <w:r w:rsidR="00C53C19" w:rsidRPr="00DB5BAC">
        <w:rPr>
          <w:color w:val="auto"/>
          <w:sz w:val="20"/>
        </w:rPr>
        <w:t>000 p</w:t>
      </w:r>
      <w:r w:rsidR="00235CCE" w:rsidRPr="00DB5BAC">
        <w:rPr>
          <w:color w:val="auto"/>
          <w:sz w:val="20"/>
        </w:rPr>
        <w:t>o</w:t>
      </w:r>
      <w:r w:rsidR="00C53C19" w:rsidRPr="00DB5BAC">
        <w:rPr>
          <w:color w:val="auto"/>
          <w:sz w:val="20"/>
        </w:rPr>
        <w:t>r person</w:t>
      </w:r>
      <w:r w:rsidR="00235CCE" w:rsidRPr="00DB5BAC">
        <w:rPr>
          <w:color w:val="auto"/>
          <w:sz w:val="20"/>
        </w:rPr>
        <w:t>a</w:t>
      </w:r>
      <w:r w:rsidR="00C53C19" w:rsidRPr="00DB5BAC">
        <w:rPr>
          <w:rStyle w:val="FootnoteReference"/>
          <w:color w:val="auto"/>
          <w:sz w:val="20"/>
        </w:rPr>
        <w:footnoteReference w:id="67"/>
      </w:r>
      <w:r w:rsidR="00235CCE" w:rsidRPr="00DB5BAC">
        <w:rPr>
          <w:color w:val="auto"/>
          <w:sz w:val="20"/>
        </w:rPr>
        <w:t>. En septiembre de 1998, l</w:t>
      </w:r>
      <w:r w:rsidR="005B1600" w:rsidRPr="00DB5BAC">
        <w:rPr>
          <w:color w:val="auto"/>
          <w:sz w:val="20"/>
        </w:rPr>
        <w:t>os hermanos Shibayama</w:t>
      </w:r>
      <w:r w:rsidR="00C53C19" w:rsidRPr="00DB5BAC">
        <w:rPr>
          <w:color w:val="auto"/>
          <w:sz w:val="20"/>
        </w:rPr>
        <w:t xml:space="preserve"> </w:t>
      </w:r>
      <w:r w:rsidR="00235CCE" w:rsidRPr="00DB5BAC">
        <w:rPr>
          <w:color w:val="auto"/>
          <w:sz w:val="20"/>
        </w:rPr>
        <w:t>renunciaron a la inclusión en dicha clase y a la liquidación subsiguiente</w:t>
      </w:r>
      <w:r w:rsidR="006D2D74">
        <w:rPr>
          <w:color w:val="auto"/>
          <w:sz w:val="20"/>
        </w:rPr>
        <w:t>,</w:t>
      </w:r>
      <w:r w:rsidR="00235CCE" w:rsidRPr="00DB5BAC">
        <w:rPr>
          <w:color w:val="auto"/>
          <w:sz w:val="20"/>
        </w:rPr>
        <w:t xml:space="preserve"> y el 18 de febrero de 1999 interpusieron una demanda ante el </w:t>
      </w:r>
      <w:r w:rsidR="0083207C" w:rsidRPr="00DB5BAC">
        <w:rPr>
          <w:color w:val="auto"/>
          <w:sz w:val="20"/>
        </w:rPr>
        <w:t xml:space="preserve">Tribunal Federal de Primera Instancia para el Distrito Norte de </w:t>
      </w:r>
      <w:r w:rsidR="00C53C19" w:rsidRPr="00DB5BAC">
        <w:rPr>
          <w:color w:val="auto"/>
          <w:sz w:val="20"/>
        </w:rPr>
        <w:t xml:space="preserve">California, </w:t>
      </w:r>
      <w:r w:rsidR="00235CCE" w:rsidRPr="00DB5BAC">
        <w:rPr>
          <w:color w:val="auto"/>
          <w:sz w:val="20"/>
        </w:rPr>
        <w:t>mediante la cual pedían medidas de carácter declaratorio y suspensivo por incumplimiento del deber fiduciario y violación</w:t>
      </w:r>
      <w:r w:rsidR="00C53C19" w:rsidRPr="00DB5BAC">
        <w:rPr>
          <w:color w:val="auto"/>
          <w:sz w:val="20"/>
        </w:rPr>
        <w:t xml:space="preserve"> </w:t>
      </w:r>
      <w:r w:rsidR="00235CCE" w:rsidRPr="00DB5BAC">
        <w:rPr>
          <w:color w:val="auto"/>
          <w:sz w:val="20"/>
        </w:rPr>
        <w:t xml:space="preserve">de derechos civiles </w:t>
      </w:r>
      <w:r w:rsidR="00C53C19" w:rsidRPr="00DB5BAC">
        <w:rPr>
          <w:color w:val="auto"/>
          <w:sz w:val="20"/>
        </w:rPr>
        <w:t>federal</w:t>
      </w:r>
      <w:r w:rsidR="00235CCE" w:rsidRPr="00DB5BAC">
        <w:rPr>
          <w:color w:val="auto"/>
          <w:sz w:val="20"/>
        </w:rPr>
        <w:t xml:space="preserve">es y del </w:t>
      </w:r>
      <w:r w:rsidR="0065430C" w:rsidRPr="00DB5BAC">
        <w:rPr>
          <w:color w:val="auto"/>
          <w:sz w:val="20"/>
        </w:rPr>
        <w:t>derecho humanitario</w:t>
      </w:r>
      <w:r w:rsidR="00C53C19" w:rsidRPr="00DB5BAC">
        <w:rPr>
          <w:rStyle w:val="FootnoteReference"/>
          <w:color w:val="auto"/>
          <w:sz w:val="20"/>
        </w:rPr>
        <w:footnoteReference w:id="68"/>
      </w:r>
      <w:r w:rsidR="00235CCE" w:rsidRPr="00DB5BAC">
        <w:rPr>
          <w:color w:val="auto"/>
          <w:sz w:val="20"/>
        </w:rPr>
        <w:t xml:space="preserve">. El caso </w:t>
      </w:r>
      <w:r w:rsidR="00A66AA8" w:rsidRPr="00DB5BAC">
        <w:rPr>
          <w:color w:val="auto"/>
          <w:sz w:val="20"/>
        </w:rPr>
        <w:t xml:space="preserve">fue trasladado posteriormente al </w:t>
      </w:r>
      <w:r w:rsidR="00344DD8" w:rsidRPr="00DB5BAC">
        <w:rPr>
          <w:color w:val="auto"/>
          <w:sz w:val="20"/>
        </w:rPr>
        <w:t>Tribunal de Reclamaciones Federales</w:t>
      </w:r>
      <w:r w:rsidR="00C53C19" w:rsidRPr="00DB5BAC">
        <w:rPr>
          <w:rStyle w:val="FootnoteReference"/>
          <w:color w:val="auto"/>
          <w:sz w:val="20"/>
        </w:rPr>
        <w:footnoteReference w:id="69"/>
      </w:r>
      <w:r w:rsidR="00A66AA8" w:rsidRPr="00DB5BAC">
        <w:rPr>
          <w:color w:val="auto"/>
          <w:sz w:val="20"/>
        </w:rPr>
        <w:t>.</w:t>
      </w:r>
    </w:p>
    <w:p w14:paraId="6E48B466" w14:textId="77777777" w:rsidR="00457E63" w:rsidRPr="00DB5BAC" w:rsidRDefault="00457E63" w:rsidP="00457E63">
      <w:pPr>
        <w:pStyle w:val="ListParagraph"/>
        <w:rPr>
          <w:color w:val="auto"/>
          <w:sz w:val="20"/>
          <w:lang w:val="es-ES"/>
        </w:rPr>
      </w:pPr>
    </w:p>
    <w:p w14:paraId="763D9A39" w14:textId="77777777" w:rsidR="00457E63" w:rsidRPr="00DB5BAC" w:rsidRDefault="000A54B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rFonts w:asciiTheme="majorHAnsi" w:hAnsiTheme="majorHAnsi"/>
          <w:sz w:val="20"/>
        </w:rPr>
        <w:t xml:space="preserve">Según los Archivos Nacionales de </w:t>
      </w:r>
      <w:r w:rsidR="000648EF" w:rsidRPr="00DB5BAC">
        <w:rPr>
          <w:rFonts w:asciiTheme="majorHAnsi" w:hAnsiTheme="majorHAnsi"/>
          <w:sz w:val="20"/>
        </w:rPr>
        <w:t>Estados Unidos</w:t>
      </w:r>
      <w:r w:rsidRPr="00DB5BAC">
        <w:rPr>
          <w:rFonts w:asciiTheme="majorHAnsi" w:hAnsiTheme="majorHAnsi"/>
          <w:sz w:val="20"/>
        </w:rPr>
        <w:t xml:space="preserve">, la </w:t>
      </w:r>
      <w:r w:rsidR="00341716" w:rsidRPr="00DB5BAC">
        <w:rPr>
          <w:rFonts w:asciiTheme="majorHAnsi" w:hAnsiTheme="majorHAnsi"/>
          <w:sz w:val="20"/>
        </w:rPr>
        <w:t>Oficina de Administración de Reparaciones</w:t>
      </w:r>
      <w:r w:rsidR="006D2D74">
        <w:rPr>
          <w:rFonts w:asciiTheme="majorHAnsi" w:hAnsiTheme="majorHAnsi"/>
          <w:sz w:val="20"/>
        </w:rPr>
        <w:t xml:space="preserve"> (ORA, por sus siglas en inglés)</w:t>
      </w:r>
      <w:r w:rsidR="00457E63" w:rsidRPr="00DB5BAC">
        <w:rPr>
          <w:rFonts w:asciiTheme="majorHAnsi" w:hAnsiTheme="majorHAnsi"/>
          <w:sz w:val="20"/>
        </w:rPr>
        <w:t xml:space="preserve">, </w:t>
      </w:r>
      <w:r w:rsidR="008C0A93" w:rsidRPr="00DB5BAC">
        <w:rPr>
          <w:rFonts w:asciiTheme="majorHAnsi" w:hAnsiTheme="majorHAnsi"/>
          <w:sz w:val="20"/>
        </w:rPr>
        <w:t xml:space="preserve">que administraba las reparaciones en el marco de </w:t>
      </w:r>
      <w:r w:rsidR="00725FFD" w:rsidRPr="00DB5BAC">
        <w:rPr>
          <w:rFonts w:asciiTheme="majorHAnsi" w:hAnsiTheme="majorHAnsi"/>
          <w:sz w:val="20"/>
        </w:rPr>
        <w:t xml:space="preserve">la </w:t>
      </w:r>
      <w:r w:rsidR="00CA2EFA" w:rsidRPr="00DB5BAC">
        <w:rPr>
          <w:rFonts w:asciiTheme="majorHAnsi" w:hAnsiTheme="majorHAnsi"/>
          <w:sz w:val="20"/>
        </w:rPr>
        <w:t>Ley de Libertades Civiles</w:t>
      </w:r>
      <w:r w:rsidR="00457E63" w:rsidRPr="00DB5BAC">
        <w:rPr>
          <w:rFonts w:asciiTheme="majorHAnsi" w:hAnsiTheme="majorHAnsi"/>
          <w:sz w:val="20"/>
        </w:rPr>
        <w:t xml:space="preserve">, </w:t>
      </w:r>
      <w:r w:rsidR="008C0A93" w:rsidRPr="00DB5BAC">
        <w:rPr>
          <w:rFonts w:asciiTheme="majorHAnsi" w:hAnsiTheme="majorHAnsi"/>
          <w:sz w:val="20"/>
        </w:rPr>
        <w:t xml:space="preserve">a la larga </w:t>
      </w:r>
      <w:r w:rsidR="006D2D74">
        <w:rPr>
          <w:rFonts w:asciiTheme="majorHAnsi" w:hAnsiTheme="majorHAnsi"/>
          <w:sz w:val="20"/>
        </w:rPr>
        <w:t>“</w:t>
      </w:r>
      <w:r w:rsidR="008C0A93" w:rsidRPr="00DB5BAC">
        <w:rPr>
          <w:rFonts w:asciiTheme="majorHAnsi" w:hAnsiTheme="majorHAnsi"/>
          <w:sz w:val="20"/>
        </w:rPr>
        <w:t xml:space="preserve">otorgó </w:t>
      </w:r>
      <w:r w:rsidR="00457E63" w:rsidRPr="00DB5BAC">
        <w:rPr>
          <w:rFonts w:asciiTheme="majorHAnsi" w:hAnsiTheme="majorHAnsi"/>
          <w:sz w:val="20"/>
        </w:rPr>
        <w:t>$20</w:t>
      </w:r>
      <w:r w:rsidR="008C0A93" w:rsidRPr="00DB5BAC">
        <w:rPr>
          <w:rFonts w:asciiTheme="majorHAnsi" w:hAnsiTheme="majorHAnsi"/>
          <w:sz w:val="20"/>
        </w:rPr>
        <w:t>.</w:t>
      </w:r>
      <w:r w:rsidR="00457E63" w:rsidRPr="00DB5BAC">
        <w:rPr>
          <w:rFonts w:asciiTheme="majorHAnsi" w:hAnsiTheme="majorHAnsi"/>
          <w:sz w:val="20"/>
        </w:rPr>
        <w:t xml:space="preserve">000 </w:t>
      </w:r>
      <w:r w:rsidR="008C0A93" w:rsidRPr="00DB5BAC">
        <w:rPr>
          <w:rFonts w:asciiTheme="majorHAnsi" w:hAnsiTheme="majorHAnsi"/>
          <w:sz w:val="20"/>
        </w:rPr>
        <w:t xml:space="preserve">en reparaciones a más de </w:t>
      </w:r>
      <w:r w:rsidR="00457E63" w:rsidRPr="00DB5BAC">
        <w:rPr>
          <w:rFonts w:asciiTheme="majorHAnsi" w:hAnsiTheme="majorHAnsi"/>
          <w:sz w:val="20"/>
        </w:rPr>
        <w:t>82</w:t>
      </w:r>
      <w:r w:rsidR="008C0A93" w:rsidRPr="00DB5BAC">
        <w:rPr>
          <w:rFonts w:asciiTheme="majorHAnsi" w:hAnsiTheme="majorHAnsi"/>
          <w:sz w:val="20"/>
        </w:rPr>
        <w:t>.</w:t>
      </w:r>
      <w:r w:rsidR="00457E63" w:rsidRPr="00DB5BAC">
        <w:rPr>
          <w:rFonts w:asciiTheme="majorHAnsi" w:hAnsiTheme="majorHAnsi"/>
          <w:sz w:val="20"/>
        </w:rPr>
        <w:t xml:space="preserve">219 </w:t>
      </w:r>
      <w:r w:rsidR="008C0A93" w:rsidRPr="00DB5BAC">
        <w:rPr>
          <w:rFonts w:asciiTheme="majorHAnsi" w:hAnsiTheme="majorHAnsi"/>
          <w:sz w:val="20"/>
        </w:rPr>
        <w:t>solicitantes que reunían los requisitos, pagando en</w:t>
      </w:r>
      <w:r w:rsidR="00457E63" w:rsidRPr="00DB5BAC">
        <w:rPr>
          <w:rFonts w:asciiTheme="majorHAnsi" w:hAnsiTheme="majorHAnsi"/>
          <w:sz w:val="20"/>
        </w:rPr>
        <w:t xml:space="preserve"> total</w:t>
      </w:r>
      <w:r w:rsidR="008C0A93" w:rsidRPr="00DB5BAC">
        <w:rPr>
          <w:rFonts w:asciiTheme="majorHAnsi" w:hAnsiTheme="majorHAnsi"/>
          <w:sz w:val="20"/>
        </w:rPr>
        <w:t xml:space="preserve"> más de </w:t>
      </w:r>
      <w:r w:rsidR="00457E63" w:rsidRPr="00DB5BAC">
        <w:rPr>
          <w:rFonts w:asciiTheme="majorHAnsi" w:hAnsiTheme="majorHAnsi"/>
          <w:sz w:val="20"/>
        </w:rPr>
        <w:t>$1.6</w:t>
      </w:r>
      <w:r w:rsidR="008C0A93" w:rsidRPr="00DB5BAC">
        <w:rPr>
          <w:rFonts w:asciiTheme="majorHAnsi" w:hAnsiTheme="majorHAnsi"/>
          <w:sz w:val="20"/>
        </w:rPr>
        <w:t xml:space="preserve">00 millones. De las </w:t>
      </w:r>
      <w:r w:rsidR="00457E63" w:rsidRPr="00DB5BAC">
        <w:rPr>
          <w:rFonts w:asciiTheme="majorHAnsi" w:hAnsiTheme="majorHAnsi"/>
          <w:sz w:val="20"/>
        </w:rPr>
        <w:t>82</w:t>
      </w:r>
      <w:r w:rsidR="008C0A93" w:rsidRPr="00DB5BAC">
        <w:rPr>
          <w:rFonts w:asciiTheme="majorHAnsi" w:hAnsiTheme="majorHAnsi"/>
          <w:sz w:val="20"/>
        </w:rPr>
        <w:t>.</w:t>
      </w:r>
      <w:r w:rsidR="00457E63" w:rsidRPr="00DB5BAC">
        <w:rPr>
          <w:rFonts w:asciiTheme="majorHAnsi" w:hAnsiTheme="majorHAnsi"/>
          <w:sz w:val="20"/>
        </w:rPr>
        <w:t xml:space="preserve">219 </w:t>
      </w:r>
      <w:r w:rsidR="008C0A93" w:rsidRPr="00DB5BAC">
        <w:rPr>
          <w:rFonts w:asciiTheme="majorHAnsi" w:hAnsiTheme="majorHAnsi"/>
          <w:sz w:val="20"/>
        </w:rPr>
        <w:t>personas que recibieron este pago,</w:t>
      </w:r>
      <w:r w:rsidR="00457E63" w:rsidRPr="00DB5BAC">
        <w:rPr>
          <w:rFonts w:asciiTheme="majorHAnsi" w:hAnsiTheme="majorHAnsi"/>
          <w:sz w:val="20"/>
        </w:rPr>
        <w:t xml:space="preserve"> 189 </w:t>
      </w:r>
      <w:r w:rsidR="008C0A93" w:rsidRPr="00DB5BAC">
        <w:rPr>
          <w:rFonts w:asciiTheme="majorHAnsi" w:hAnsiTheme="majorHAnsi"/>
          <w:sz w:val="20"/>
        </w:rPr>
        <w:t>eran solicitantes japoneses latinoamericanos que reunían los requisitos para recibir el pago completo de</w:t>
      </w:r>
      <w:r w:rsidR="00457E63" w:rsidRPr="00DB5BAC">
        <w:rPr>
          <w:rFonts w:asciiTheme="majorHAnsi" w:hAnsiTheme="majorHAnsi"/>
          <w:sz w:val="20"/>
        </w:rPr>
        <w:t xml:space="preserve"> $20</w:t>
      </w:r>
      <w:r w:rsidR="008C0A93" w:rsidRPr="00DB5BAC">
        <w:rPr>
          <w:rFonts w:asciiTheme="majorHAnsi" w:hAnsiTheme="majorHAnsi"/>
          <w:sz w:val="20"/>
        </w:rPr>
        <w:t>.</w:t>
      </w:r>
      <w:r w:rsidR="00457E63" w:rsidRPr="00DB5BAC">
        <w:rPr>
          <w:rFonts w:asciiTheme="majorHAnsi" w:hAnsiTheme="majorHAnsi"/>
          <w:sz w:val="20"/>
        </w:rPr>
        <w:t xml:space="preserve">000 </w:t>
      </w:r>
      <w:r w:rsidR="008C0A93" w:rsidRPr="00DB5BAC">
        <w:rPr>
          <w:rFonts w:asciiTheme="majorHAnsi" w:hAnsiTheme="majorHAnsi"/>
          <w:sz w:val="20"/>
        </w:rPr>
        <w:t>e</w:t>
      </w:r>
      <w:r w:rsidR="00457E63" w:rsidRPr="00DB5BAC">
        <w:rPr>
          <w:rFonts w:asciiTheme="majorHAnsi" w:hAnsiTheme="majorHAnsi"/>
          <w:sz w:val="20"/>
        </w:rPr>
        <w:t xml:space="preserve">n </w:t>
      </w:r>
      <w:r w:rsidR="008C0A93" w:rsidRPr="00DB5BAC">
        <w:rPr>
          <w:rFonts w:asciiTheme="majorHAnsi" w:hAnsiTheme="majorHAnsi"/>
          <w:sz w:val="20"/>
        </w:rPr>
        <w:t xml:space="preserve">concepto de reparaciones en virtud de la Ley porque tenían la condición de residente permanente o la ciudadanía estadounidense durante el período de </w:t>
      </w:r>
      <w:r w:rsidR="004618ED" w:rsidRPr="00DB5BAC">
        <w:rPr>
          <w:rFonts w:asciiTheme="majorHAnsi" w:hAnsiTheme="majorHAnsi"/>
          <w:sz w:val="20"/>
        </w:rPr>
        <w:t>beligerancia</w:t>
      </w:r>
      <w:r w:rsidR="008C0A93" w:rsidRPr="00DB5BAC">
        <w:rPr>
          <w:rFonts w:asciiTheme="majorHAnsi" w:hAnsiTheme="majorHAnsi"/>
          <w:sz w:val="20"/>
        </w:rPr>
        <w:t xml:space="preserve"> definido. Además, </w:t>
      </w:r>
      <w:r w:rsidRPr="00DB5BAC">
        <w:rPr>
          <w:rFonts w:asciiTheme="majorHAnsi" w:hAnsiTheme="majorHAnsi"/>
          <w:sz w:val="20"/>
        </w:rPr>
        <w:t xml:space="preserve">la </w:t>
      </w:r>
      <w:r w:rsidR="006D2D74">
        <w:rPr>
          <w:rFonts w:asciiTheme="majorHAnsi" w:hAnsiTheme="majorHAnsi"/>
          <w:sz w:val="20"/>
        </w:rPr>
        <w:t xml:space="preserve">ORA </w:t>
      </w:r>
      <w:r w:rsidR="008C0A93" w:rsidRPr="00DB5BAC">
        <w:rPr>
          <w:rFonts w:asciiTheme="majorHAnsi" w:hAnsiTheme="majorHAnsi"/>
          <w:sz w:val="20"/>
        </w:rPr>
        <w:t xml:space="preserve">pagó </w:t>
      </w:r>
      <w:r w:rsidR="00457E63" w:rsidRPr="00DB5BAC">
        <w:rPr>
          <w:rFonts w:asciiTheme="majorHAnsi" w:hAnsiTheme="majorHAnsi"/>
          <w:sz w:val="20"/>
        </w:rPr>
        <w:t>$5</w:t>
      </w:r>
      <w:r w:rsidR="008C0A93" w:rsidRPr="00DB5BAC">
        <w:rPr>
          <w:rFonts w:asciiTheme="majorHAnsi" w:hAnsiTheme="majorHAnsi"/>
          <w:sz w:val="20"/>
        </w:rPr>
        <w:t>.</w:t>
      </w:r>
      <w:r w:rsidR="00457E63" w:rsidRPr="00DB5BAC">
        <w:rPr>
          <w:rFonts w:asciiTheme="majorHAnsi" w:hAnsiTheme="majorHAnsi"/>
          <w:sz w:val="20"/>
        </w:rPr>
        <w:t xml:space="preserve">000 </w:t>
      </w:r>
      <w:r w:rsidR="008C0A93" w:rsidRPr="00DB5BAC">
        <w:rPr>
          <w:rFonts w:asciiTheme="majorHAnsi" w:hAnsiTheme="majorHAnsi"/>
          <w:sz w:val="20"/>
        </w:rPr>
        <w:t xml:space="preserve">a </w:t>
      </w:r>
      <w:r w:rsidR="00457E63" w:rsidRPr="00DB5BAC">
        <w:rPr>
          <w:rFonts w:asciiTheme="majorHAnsi" w:hAnsiTheme="majorHAnsi"/>
          <w:sz w:val="20"/>
        </w:rPr>
        <w:t xml:space="preserve">145 </w:t>
      </w:r>
      <w:r w:rsidR="00BB0303" w:rsidRPr="00DB5BAC">
        <w:rPr>
          <w:rFonts w:asciiTheme="majorHAnsi" w:hAnsiTheme="majorHAnsi"/>
          <w:sz w:val="20"/>
        </w:rPr>
        <w:t>japoneses latinoamericanos</w:t>
      </w:r>
      <w:r w:rsidR="00457E63" w:rsidRPr="00DB5BAC">
        <w:rPr>
          <w:rFonts w:asciiTheme="majorHAnsi" w:hAnsiTheme="majorHAnsi"/>
          <w:sz w:val="20"/>
        </w:rPr>
        <w:t xml:space="preserve"> </w:t>
      </w:r>
      <w:r w:rsidR="008C0A93" w:rsidRPr="00DB5BAC">
        <w:rPr>
          <w:rFonts w:asciiTheme="majorHAnsi" w:hAnsiTheme="majorHAnsi"/>
          <w:sz w:val="20"/>
        </w:rPr>
        <w:t>de conformidad con el</w:t>
      </w:r>
      <w:r w:rsidR="00457E63" w:rsidRPr="00DB5BAC">
        <w:rPr>
          <w:rFonts w:asciiTheme="majorHAnsi" w:hAnsiTheme="majorHAnsi"/>
          <w:sz w:val="20"/>
        </w:rPr>
        <w:t xml:space="preserve"> </w:t>
      </w:r>
      <w:r w:rsidR="00C10DE1" w:rsidRPr="00DB5BAC">
        <w:rPr>
          <w:rFonts w:asciiTheme="majorHAnsi" w:hAnsiTheme="majorHAnsi"/>
          <w:sz w:val="20"/>
        </w:rPr>
        <w:t xml:space="preserve">arreglo </w:t>
      </w:r>
      <w:r w:rsidR="00C10DE1" w:rsidRPr="006D2D74">
        <w:rPr>
          <w:rFonts w:asciiTheme="majorHAnsi" w:hAnsiTheme="majorHAnsi"/>
          <w:i/>
          <w:sz w:val="20"/>
        </w:rPr>
        <w:t>Mochizuki</w:t>
      </w:r>
      <w:r w:rsidR="006D2D74">
        <w:rPr>
          <w:rFonts w:asciiTheme="majorHAnsi" w:hAnsiTheme="majorHAnsi"/>
          <w:sz w:val="20"/>
        </w:rPr>
        <w:t>”</w:t>
      </w:r>
      <w:r w:rsidR="00457E63" w:rsidRPr="00DB5BAC">
        <w:rPr>
          <w:rStyle w:val="FootnoteReference"/>
          <w:rFonts w:asciiTheme="majorHAnsi" w:hAnsiTheme="majorHAnsi"/>
          <w:sz w:val="20"/>
        </w:rPr>
        <w:footnoteReference w:id="70"/>
      </w:r>
      <w:r w:rsidR="008C0A93" w:rsidRPr="00DB5BAC">
        <w:rPr>
          <w:rFonts w:asciiTheme="majorHAnsi" w:hAnsiTheme="majorHAnsi"/>
          <w:sz w:val="20"/>
        </w:rPr>
        <w:t>.</w:t>
      </w:r>
    </w:p>
    <w:p w14:paraId="34526F93" w14:textId="77777777" w:rsidR="00C53C19" w:rsidRPr="00DB5BAC" w:rsidRDefault="00C53C19" w:rsidP="00C53C19">
      <w:pPr>
        <w:pStyle w:val="ListParagraph"/>
        <w:rPr>
          <w:color w:val="auto"/>
          <w:sz w:val="20"/>
          <w:lang w:val="es-ES"/>
        </w:rPr>
      </w:pPr>
    </w:p>
    <w:p w14:paraId="598F1F69" w14:textId="77777777" w:rsidR="00C53C19" w:rsidRPr="00DB5BAC" w:rsidRDefault="008C0A93" w:rsidP="00C53C19">
      <w:pPr>
        <w:pStyle w:val="Heading2"/>
        <w:rPr>
          <w:lang w:val="es-ES"/>
        </w:rPr>
      </w:pPr>
      <w:bookmarkStart w:id="12" w:name="_Toc27473287"/>
      <w:r w:rsidRPr="00DB5BAC">
        <w:rPr>
          <w:lang w:val="es-ES"/>
        </w:rPr>
        <w:t xml:space="preserve">Juicio ante el </w:t>
      </w:r>
      <w:r w:rsidR="00344DD8" w:rsidRPr="00DB5BAC">
        <w:rPr>
          <w:lang w:val="es-ES"/>
        </w:rPr>
        <w:t>Tribunal de Reclamaciones Federales</w:t>
      </w:r>
      <w:bookmarkEnd w:id="12"/>
    </w:p>
    <w:p w14:paraId="62B4E425" w14:textId="77777777" w:rsidR="00C53C19" w:rsidRPr="00DB5BAC" w:rsidRDefault="00C53C19" w:rsidP="00C53C19">
      <w:pPr>
        <w:pStyle w:val="ListParagraph"/>
        <w:rPr>
          <w:color w:val="auto"/>
          <w:sz w:val="20"/>
          <w:lang w:val="es-ES"/>
        </w:rPr>
      </w:pPr>
    </w:p>
    <w:p w14:paraId="50A159F3" w14:textId="77777777" w:rsidR="0063580F" w:rsidRPr="00DB5BAC" w:rsidRDefault="008C0A93"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El </w:t>
      </w:r>
      <w:r w:rsidR="00344DD8" w:rsidRPr="00DB5BAC">
        <w:rPr>
          <w:color w:val="auto"/>
          <w:sz w:val="20"/>
        </w:rPr>
        <w:t>Tribunal de Reclamaciones Federales</w:t>
      </w:r>
      <w:r w:rsidR="0063580F" w:rsidRPr="00DB5BAC">
        <w:rPr>
          <w:color w:val="auto"/>
          <w:sz w:val="20"/>
        </w:rPr>
        <w:t xml:space="preserve"> </w:t>
      </w:r>
      <w:r w:rsidRPr="00DB5BAC">
        <w:rPr>
          <w:color w:val="auto"/>
          <w:sz w:val="20"/>
        </w:rPr>
        <w:t xml:space="preserve">desestimó la demanda interpuesta por los hermanos Shibayama mediante orden </w:t>
      </w:r>
      <w:r w:rsidR="006D2D74">
        <w:rPr>
          <w:color w:val="auto"/>
          <w:sz w:val="20"/>
        </w:rPr>
        <w:t>de fecha</w:t>
      </w:r>
      <w:r w:rsidRPr="00DB5BAC">
        <w:rPr>
          <w:color w:val="auto"/>
          <w:sz w:val="20"/>
        </w:rPr>
        <w:t xml:space="preserve"> </w:t>
      </w:r>
      <w:r w:rsidR="0063580F" w:rsidRPr="00DB5BAC">
        <w:rPr>
          <w:color w:val="auto"/>
          <w:sz w:val="20"/>
        </w:rPr>
        <w:t>3</w:t>
      </w:r>
      <w:r w:rsidRPr="00DB5BAC">
        <w:rPr>
          <w:color w:val="auto"/>
          <w:sz w:val="20"/>
        </w:rPr>
        <w:t xml:space="preserve"> de enero de</w:t>
      </w:r>
      <w:r w:rsidR="0063580F" w:rsidRPr="00DB5BAC">
        <w:rPr>
          <w:color w:val="auto"/>
          <w:sz w:val="20"/>
        </w:rPr>
        <w:t xml:space="preserve"> 2003</w:t>
      </w:r>
      <w:r w:rsidR="0063580F" w:rsidRPr="00DB5BAC">
        <w:rPr>
          <w:rStyle w:val="FootnoteReference"/>
          <w:color w:val="auto"/>
          <w:sz w:val="20"/>
        </w:rPr>
        <w:footnoteReference w:id="71"/>
      </w:r>
      <w:r w:rsidRPr="00DB5BAC">
        <w:rPr>
          <w:color w:val="auto"/>
          <w:sz w:val="20"/>
        </w:rPr>
        <w:t>.</w:t>
      </w:r>
      <w:r w:rsidR="0063580F" w:rsidRPr="00DB5BAC">
        <w:rPr>
          <w:color w:val="auto"/>
          <w:sz w:val="20"/>
        </w:rPr>
        <w:t xml:space="preserve"> </w:t>
      </w:r>
      <w:r w:rsidRPr="00DB5BAC">
        <w:rPr>
          <w:color w:val="auto"/>
          <w:sz w:val="20"/>
        </w:rPr>
        <w:t xml:space="preserve">En lo que respecta a las </w:t>
      </w:r>
      <w:r w:rsidR="00333A05" w:rsidRPr="00DB5BAC">
        <w:rPr>
          <w:color w:val="auto"/>
          <w:sz w:val="20"/>
        </w:rPr>
        <w:t>reclamaciones de reparación</w:t>
      </w:r>
      <w:r w:rsidR="00266690" w:rsidRPr="00DB5BAC">
        <w:rPr>
          <w:color w:val="auto"/>
          <w:sz w:val="20"/>
        </w:rPr>
        <w:t xml:space="preserve"> </w:t>
      </w:r>
      <w:r w:rsidRPr="00DB5BAC">
        <w:rPr>
          <w:color w:val="auto"/>
          <w:sz w:val="20"/>
        </w:rPr>
        <w:t xml:space="preserve">de los hermanos de conformidad con la </w:t>
      </w:r>
      <w:r w:rsidR="00CA2EFA" w:rsidRPr="00DB5BAC">
        <w:rPr>
          <w:color w:val="auto"/>
          <w:sz w:val="20"/>
        </w:rPr>
        <w:t>Ley de Libertades Civiles</w:t>
      </w:r>
      <w:r w:rsidR="0063580F" w:rsidRPr="00DB5BAC">
        <w:rPr>
          <w:color w:val="auto"/>
          <w:sz w:val="20"/>
        </w:rPr>
        <w:t xml:space="preserve">, </w:t>
      </w:r>
      <w:r w:rsidRPr="00DB5BAC">
        <w:rPr>
          <w:color w:val="auto"/>
          <w:sz w:val="20"/>
        </w:rPr>
        <w:t>el Tribunal dio lugar a</w:t>
      </w:r>
      <w:r w:rsidR="001E3BB8" w:rsidRPr="00DB5BAC">
        <w:rPr>
          <w:color w:val="auto"/>
          <w:sz w:val="20"/>
        </w:rPr>
        <w:t xml:space="preserve"> </w:t>
      </w:r>
      <w:r w:rsidRPr="00DB5BAC">
        <w:rPr>
          <w:color w:val="auto"/>
          <w:sz w:val="20"/>
        </w:rPr>
        <w:t>l</w:t>
      </w:r>
      <w:r w:rsidR="001E3BB8" w:rsidRPr="00DB5BAC">
        <w:rPr>
          <w:color w:val="auto"/>
          <w:sz w:val="20"/>
        </w:rPr>
        <w:t>a</w:t>
      </w:r>
      <w:r w:rsidR="00CA2EFA" w:rsidRPr="00DB5BAC">
        <w:rPr>
          <w:color w:val="auto"/>
          <w:sz w:val="20"/>
        </w:rPr>
        <w:t>s</w:t>
      </w:r>
      <w:r w:rsidRPr="00DB5BAC">
        <w:rPr>
          <w:color w:val="auto"/>
          <w:sz w:val="20"/>
        </w:rPr>
        <w:t xml:space="preserve"> </w:t>
      </w:r>
      <w:r w:rsidR="001E3BB8" w:rsidRPr="00DB5BAC">
        <w:rPr>
          <w:color w:val="auto"/>
          <w:sz w:val="20"/>
        </w:rPr>
        <w:t>petici</w:t>
      </w:r>
      <w:r w:rsidR="00CA2EFA" w:rsidRPr="00DB5BAC">
        <w:rPr>
          <w:color w:val="auto"/>
          <w:sz w:val="20"/>
        </w:rPr>
        <w:t>ones</w:t>
      </w:r>
      <w:r w:rsidR="001E3BB8" w:rsidRPr="00DB5BAC">
        <w:rPr>
          <w:color w:val="auto"/>
          <w:sz w:val="20"/>
        </w:rPr>
        <w:t xml:space="preserve"> </w:t>
      </w:r>
      <w:r w:rsidRPr="00DB5BAC">
        <w:rPr>
          <w:color w:val="auto"/>
          <w:sz w:val="20"/>
        </w:rPr>
        <w:t xml:space="preserve">del Estado de </w:t>
      </w:r>
      <w:r w:rsidR="00CA2EFA" w:rsidRPr="00DB5BAC">
        <w:rPr>
          <w:color w:val="auto"/>
          <w:sz w:val="20"/>
        </w:rPr>
        <w:t xml:space="preserve">que se </w:t>
      </w:r>
      <w:r w:rsidRPr="00DB5BAC">
        <w:rPr>
          <w:color w:val="auto"/>
          <w:sz w:val="20"/>
        </w:rPr>
        <w:t>desestimar</w:t>
      </w:r>
      <w:r w:rsidR="00CA2EFA" w:rsidRPr="00DB5BAC">
        <w:rPr>
          <w:color w:val="auto"/>
          <w:sz w:val="20"/>
        </w:rPr>
        <w:t>a</w:t>
      </w:r>
      <w:r w:rsidRPr="00DB5BAC">
        <w:rPr>
          <w:color w:val="auto"/>
          <w:sz w:val="20"/>
        </w:rPr>
        <w:t xml:space="preserve"> la reclamación de </w:t>
      </w:r>
      <w:r w:rsidR="0063580F" w:rsidRPr="00DB5BAC">
        <w:rPr>
          <w:color w:val="auto"/>
          <w:sz w:val="20"/>
        </w:rPr>
        <w:t xml:space="preserve">Kenichi Shibayama </w:t>
      </w:r>
      <w:r w:rsidRPr="00DB5BAC">
        <w:rPr>
          <w:color w:val="auto"/>
          <w:sz w:val="20"/>
        </w:rPr>
        <w:t xml:space="preserve">porque </w:t>
      </w:r>
      <w:r w:rsidR="001E3BB8" w:rsidRPr="00DB5BAC">
        <w:rPr>
          <w:color w:val="auto"/>
          <w:sz w:val="20"/>
        </w:rPr>
        <w:t xml:space="preserve">había prescrito y de que se dictara sentencia en juicio sumario </w:t>
      </w:r>
      <w:r w:rsidR="006D2D74">
        <w:rPr>
          <w:color w:val="auto"/>
          <w:sz w:val="20"/>
        </w:rPr>
        <w:t>con base en el</w:t>
      </w:r>
      <w:r w:rsidR="001E3BB8" w:rsidRPr="00DB5BAC">
        <w:rPr>
          <w:color w:val="auto"/>
          <w:sz w:val="20"/>
        </w:rPr>
        <w:t xml:space="preserve"> expediente administrativo </w:t>
      </w:r>
      <w:r w:rsidR="006D2D74">
        <w:rPr>
          <w:color w:val="auto"/>
          <w:sz w:val="20"/>
        </w:rPr>
        <w:t>de</w:t>
      </w:r>
      <w:r w:rsidR="001E3BB8" w:rsidRPr="00DB5BAC">
        <w:rPr>
          <w:color w:val="auto"/>
          <w:sz w:val="20"/>
        </w:rPr>
        <w:t xml:space="preserve"> revisión de la denegación por la Oficina de Administración de Reparaciones de las reclamaciones de Isamu Shibayama y Takeshi Shibayama y, subsidiariamente, de </w:t>
      </w:r>
      <w:r w:rsidR="0063580F" w:rsidRPr="00DB5BAC">
        <w:rPr>
          <w:color w:val="auto"/>
          <w:sz w:val="20"/>
        </w:rPr>
        <w:t>Kenichi Shibayama</w:t>
      </w:r>
      <w:r w:rsidR="0054340F" w:rsidRPr="00DB5BAC">
        <w:rPr>
          <w:rStyle w:val="FootnoteReference"/>
          <w:color w:val="auto"/>
          <w:sz w:val="20"/>
        </w:rPr>
        <w:footnoteReference w:id="72"/>
      </w:r>
      <w:r w:rsidR="001E3BB8" w:rsidRPr="00DB5BAC">
        <w:rPr>
          <w:color w:val="auto"/>
          <w:sz w:val="20"/>
        </w:rPr>
        <w:t>. Asimismo, dio lugar a la</w:t>
      </w:r>
      <w:r w:rsidR="00CA2EFA" w:rsidRPr="00DB5BAC">
        <w:rPr>
          <w:color w:val="auto"/>
          <w:sz w:val="20"/>
        </w:rPr>
        <w:t>s</w:t>
      </w:r>
      <w:r w:rsidR="001E3BB8" w:rsidRPr="00DB5BAC">
        <w:rPr>
          <w:color w:val="auto"/>
          <w:sz w:val="20"/>
        </w:rPr>
        <w:t xml:space="preserve"> petici</w:t>
      </w:r>
      <w:r w:rsidR="00CA2EFA" w:rsidRPr="00DB5BAC">
        <w:rPr>
          <w:color w:val="auto"/>
          <w:sz w:val="20"/>
        </w:rPr>
        <w:t>ones</w:t>
      </w:r>
      <w:r w:rsidR="001E3BB8" w:rsidRPr="00DB5BAC">
        <w:rPr>
          <w:color w:val="auto"/>
          <w:sz w:val="20"/>
        </w:rPr>
        <w:t xml:space="preserve"> del Estado de que se dictara sentencia en juicio sumario acerca del expediente administrativo de las reclamaciones de</w:t>
      </w:r>
      <w:r w:rsidR="0063580F" w:rsidRPr="00DB5BAC">
        <w:rPr>
          <w:color w:val="auto"/>
          <w:sz w:val="20"/>
        </w:rPr>
        <w:t xml:space="preserve"> </w:t>
      </w:r>
      <w:r w:rsidR="005B1600" w:rsidRPr="00DB5BAC">
        <w:rPr>
          <w:color w:val="auto"/>
          <w:sz w:val="20"/>
        </w:rPr>
        <w:t>los Shibayama</w:t>
      </w:r>
      <w:r w:rsidR="001E3BB8" w:rsidRPr="00DB5BAC">
        <w:rPr>
          <w:color w:val="auto"/>
          <w:sz w:val="20"/>
        </w:rPr>
        <w:t xml:space="preserve"> a la luz de la Quinta Enmienda,</w:t>
      </w:r>
      <w:r w:rsidR="0063580F" w:rsidRPr="00DB5BAC">
        <w:rPr>
          <w:color w:val="auto"/>
          <w:sz w:val="20"/>
        </w:rPr>
        <w:t xml:space="preserve"> </w:t>
      </w:r>
      <w:r w:rsidR="007B471E" w:rsidRPr="00DB5BAC">
        <w:rPr>
          <w:color w:val="auto"/>
          <w:sz w:val="20"/>
        </w:rPr>
        <w:t xml:space="preserve">el </w:t>
      </w:r>
      <w:r w:rsidR="001E3BB8" w:rsidRPr="00DB5BAC">
        <w:rPr>
          <w:color w:val="auto"/>
          <w:sz w:val="20"/>
        </w:rPr>
        <w:t xml:space="preserve">artículo 1981 del título 42 del </w:t>
      </w:r>
      <w:r w:rsidR="007B471E" w:rsidRPr="00DB5BAC">
        <w:rPr>
          <w:color w:val="auto"/>
          <w:sz w:val="20"/>
        </w:rPr>
        <w:t xml:space="preserve">Código de Estados Unidos y la </w:t>
      </w:r>
      <w:r w:rsidR="001E3BB8" w:rsidRPr="00DB5BAC">
        <w:rPr>
          <w:color w:val="auto"/>
          <w:sz w:val="20"/>
        </w:rPr>
        <w:t xml:space="preserve">Ley de Procedimientos Administrativos y de </w:t>
      </w:r>
      <w:r w:rsidR="00CA2EFA" w:rsidRPr="00DB5BAC">
        <w:rPr>
          <w:color w:val="auto"/>
          <w:sz w:val="20"/>
        </w:rPr>
        <w:t xml:space="preserve">que se </w:t>
      </w:r>
      <w:r w:rsidR="001E3BB8" w:rsidRPr="00DB5BAC">
        <w:rPr>
          <w:color w:val="auto"/>
          <w:sz w:val="20"/>
        </w:rPr>
        <w:t>desestimar</w:t>
      </w:r>
      <w:r w:rsidR="00CA2EFA" w:rsidRPr="00DB5BAC">
        <w:rPr>
          <w:color w:val="auto"/>
          <w:sz w:val="20"/>
        </w:rPr>
        <w:t>an</w:t>
      </w:r>
      <w:r w:rsidR="006D2D74">
        <w:rPr>
          <w:color w:val="auto"/>
          <w:sz w:val="20"/>
        </w:rPr>
        <w:t>:</w:t>
      </w:r>
      <w:r w:rsidR="001E3BB8" w:rsidRPr="00DB5BAC">
        <w:rPr>
          <w:color w:val="auto"/>
          <w:sz w:val="20"/>
        </w:rPr>
        <w:t xml:space="preserve"> las reclamaciones de</w:t>
      </w:r>
      <w:r w:rsidR="0063580F" w:rsidRPr="00DB5BAC">
        <w:rPr>
          <w:color w:val="auto"/>
          <w:sz w:val="20"/>
        </w:rPr>
        <w:t xml:space="preserve"> </w:t>
      </w:r>
      <w:r w:rsidR="005B1600" w:rsidRPr="00DB5BAC">
        <w:rPr>
          <w:color w:val="auto"/>
          <w:sz w:val="20"/>
        </w:rPr>
        <w:t>los Shibayama</w:t>
      </w:r>
      <w:r w:rsidR="001E3BB8" w:rsidRPr="00DB5BAC">
        <w:rPr>
          <w:color w:val="auto"/>
          <w:sz w:val="20"/>
        </w:rPr>
        <w:t xml:space="preserve"> por violación</w:t>
      </w:r>
      <w:r w:rsidR="0063580F" w:rsidRPr="00DB5BAC">
        <w:rPr>
          <w:color w:val="auto"/>
          <w:sz w:val="20"/>
        </w:rPr>
        <w:t xml:space="preserve"> </w:t>
      </w:r>
      <w:r w:rsidR="001E3BB8" w:rsidRPr="00DB5BAC">
        <w:rPr>
          <w:color w:val="auto"/>
          <w:sz w:val="20"/>
        </w:rPr>
        <w:t>del</w:t>
      </w:r>
      <w:r w:rsidR="0063580F" w:rsidRPr="00DB5BAC">
        <w:rPr>
          <w:color w:val="auto"/>
          <w:sz w:val="20"/>
        </w:rPr>
        <w:t xml:space="preserve"> </w:t>
      </w:r>
      <w:r w:rsidR="00412B98" w:rsidRPr="00DB5BAC">
        <w:rPr>
          <w:color w:val="auto"/>
          <w:sz w:val="20"/>
        </w:rPr>
        <w:t>derecho internacional humanitario</w:t>
      </w:r>
      <w:r w:rsidR="00CA2EFA" w:rsidRPr="00DB5BAC">
        <w:rPr>
          <w:color w:val="auto"/>
          <w:sz w:val="20"/>
        </w:rPr>
        <w:t xml:space="preserve">, </w:t>
      </w:r>
      <w:r w:rsidR="001E3BB8" w:rsidRPr="00DB5BAC">
        <w:rPr>
          <w:color w:val="auto"/>
          <w:sz w:val="20"/>
        </w:rPr>
        <w:t xml:space="preserve">la solicitud de </w:t>
      </w:r>
      <w:r w:rsidR="0063580F" w:rsidRPr="00DB5BAC">
        <w:rPr>
          <w:color w:val="auto"/>
          <w:sz w:val="20"/>
        </w:rPr>
        <w:t>d</w:t>
      </w:r>
      <w:r w:rsidR="001E3BB8" w:rsidRPr="00DB5BAC">
        <w:rPr>
          <w:color w:val="auto"/>
          <w:sz w:val="20"/>
        </w:rPr>
        <w:t xml:space="preserve">esembolso de fondos del Estado para educar al público acerca del presunto secuestro y detención ilícitos de </w:t>
      </w:r>
      <w:r w:rsidR="00973475" w:rsidRPr="00DB5BAC">
        <w:rPr>
          <w:color w:val="auto"/>
          <w:sz w:val="20"/>
        </w:rPr>
        <w:t>latinoamericanos de ascendencia japonesa</w:t>
      </w:r>
      <w:r w:rsidR="0063580F" w:rsidRPr="00DB5BAC">
        <w:rPr>
          <w:color w:val="auto"/>
          <w:sz w:val="20"/>
        </w:rPr>
        <w:t xml:space="preserve"> </w:t>
      </w:r>
      <w:r w:rsidR="001E3BB8" w:rsidRPr="00DB5BAC">
        <w:rPr>
          <w:color w:val="auto"/>
          <w:sz w:val="20"/>
        </w:rPr>
        <w:t xml:space="preserve">por </w:t>
      </w:r>
      <w:r w:rsidR="00AE2AD7" w:rsidRPr="00DB5BAC">
        <w:rPr>
          <w:color w:val="auto"/>
          <w:sz w:val="20"/>
        </w:rPr>
        <w:t>Estados Unidos</w:t>
      </w:r>
      <w:r w:rsidR="001E3BB8" w:rsidRPr="00DB5BAC">
        <w:rPr>
          <w:color w:val="auto"/>
          <w:sz w:val="20"/>
        </w:rPr>
        <w:t xml:space="preserve"> y </w:t>
      </w:r>
      <w:r w:rsidR="00CA2EFA" w:rsidRPr="00DB5BAC">
        <w:rPr>
          <w:color w:val="auto"/>
          <w:sz w:val="20"/>
        </w:rPr>
        <w:t xml:space="preserve">la solicitud </w:t>
      </w:r>
      <w:r w:rsidR="001E3BB8" w:rsidRPr="00DB5BAC">
        <w:rPr>
          <w:color w:val="auto"/>
          <w:sz w:val="20"/>
        </w:rPr>
        <w:t xml:space="preserve">de restitución de los impuestos excesivos que </w:t>
      </w:r>
      <w:r w:rsidR="00CA2EFA" w:rsidRPr="00DB5BAC">
        <w:rPr>
          <w:color w:val="auto"/>
          <w:sz w:val="20"/>
        </w:rPr>
        <w:t xml:space="preserve">habían tenido </w:t>
      </w:r>
      <w:r w:rsidR="001E3BB8" w:rsidRPr="00DB5BAC">
        <w:rPr>
          <w:color w:val="auto"/>
          <w:sz w:val="20"/>
        </w:rPr>
        <w:t>que pagar sobre los ingresos personales</w:t>
      </w:r>
      <w:r w:rsidR="0063580F" w:rsidRPr="00DB5BAC">
        <w:rPr>
          <w:color w:val="auto"/>
          <w:sz w:val="20"/>
        </w:rPr>
        <w:t xml:space="preserve"> (</w:t>
      </w:r>
      <w:r w:rsidR="001E3BB8" w:rsidRPr="00DB5BAC">
        <w:rPr>
          <w:color w:val="auto"/>
          <w:sz w:val="20"/>
        </w:rPr>
        <w:t xml:space="preserve">a raíz de la condición de “extranjeros indocumentados” de los </w:t>
      </w:r>
      <w:r w:rsidR="005B1600" w:rsidRPr="00DB5BAC">
        <w:rPr>
          <w:color w:val="auto"/>
          <w:sz w:val="20"/>
        </w:rPr>
        <w:t>Shibayama</w:t>
      </w:r>
      <w:r w:rsidR="0063580F" w:rsidRPr="00DB5BAC">
        <w:rPr>
          <w:color w:val="auto"/>
          <w:sz w:val="20"/>
        </w:rPr>
        <w:t>)</w:t>
      </w:r>
      <w:r w:rsidR="0063580F" w:rsidRPr="00DB5BAC">
        <w:rPr>
          <w:rStyle w:val="FootnoteReference"/>
          <w:color w:val="auto"/>
          <w:sz w:val="20"/>
        </w:rPr>
        <w:footnoteReference w:id="73"/>
      </w:r>
      <w:r w:rsidR="001E3BB8" w:rsidRPr="00DB5BAC">
        <w:rPr>
          <w:color w:val="auto"/>
          <w:sz w:val="20"/>
        </w:rPr>
        <w:t>. Los p</w:t>
      </w:r>
      <w:r w:rsidR="000648EF" w:rsidRPr="00DB5BAC">
        <w:rPr>
          <w:color w:val="auto"/>
          <w:sz w:val="20"/>
        </w:rPr>
        <w:t>eticionarios</w:t>
      </w:r>
      <w:r w:rsidR="0063580F" w:rsidRPr="00DB5BAC">
        <w:rPr>
          <w:color w:val="auto"/>
          <w:sz w:val="20"/>
        </w:rPr>
        <w:t xml:space="preserve"> </w:t>
      </w:r>
      <w:r w:rsidR="006D2D74">
        <w:rPr>
          <w:color w:val="auto"/>
          <w:sz w:val="20"/>
        </w:rPr>
        <w:t>“</w:t>
      </w:r>
      <w:r w:rsidR="001E3BB8" w:rsidRPr="00DB5BAC">
        <w:rPr>
          <w:color w:val="auto"/>
          <w:sz w:val="20"/>
        </w:rPr>
        <w:t>recalcaron</w:t>
      </w:r>
      <w:r w:rsidR="006D2D74">
        <w:rPr>
          <w:color w:val="auto"/>
          <w:sz w:val="20"/>
        </w:rPr>
        <w:t>”</w:t>
      </w:r>
      <w:r w:rsidR="001E3BB8" w:rsidRPr="00DB5BAC">
        <w:rPr>
          <w:color w:val="auto"/>
          <w:sz w:val="20"/>
        </w:rPr>
        <w:t xml:space="preserve"> en la petición inicial que, </w:t>
      </w:r>
      <w:r w:rsidR="006D2D74">
        <w:rPr>
          <w:color w:val="auto"/>
          <w:sz w:val="20"/>
        </w:rPr>
        <w:t>“</w:t>
      </w:r>
      <w:r w:rsidR="001E3BB8" w:rsidRPr="00DB5BAC">
        <w:rPr>
          <w:color w:val="auto"/>
          <w:sz w:val="20"/>
        </w:rPr>
        <w:t xml:space="preserve">en la audiencia que tuvieron ante el Tribunal de Reclamaciones, el juez </w:t>
      </w:r>
      <w:r w:rsidR="00726B20" w:rsidRPr="00DB5BAC">
        <w:rPr>
          <w:color w:val="auto"/>
          <w:sz w:val="20"/>
        </w:rPr>
        <w:t xml:space="preserve">pidió disculpas de una manera directa y conmovedora a los </w:t>
      </w:r>
      <w:r w:rsidR="00CA2EFA" w:rsidRPr="00DB5BAC">
        <w:rPr>
          <w:color w:val="auto"/>
          <w:sz w:val="20"/>
        </w:rPr>
        <w:t>p</w:t>
      </w:r>
      <w:r w:rsidR="000648EF" w:rsidRPr="00DB5BAC">
        <w:rPr>
          <w:color w:val="auto"/>
          <w:sz w:val="20"/>
        </w:rPr>
        <w:t>eticionarios</w:t>
      </w:r>
      <w:r w:rsidR="00726B20" w:rsidRPr="00DB5BAC">
        <w:rPr>
          <w:color w:val="auto"/>
          <w:sz w:val="20"/>
        </w:rPr>
        <w:t xml:space="preserve"> en nombre del gobierno de Estados Unidos</w:t>
      </w:r>
      <w:r w:rsidR="006D2D74">
        <w:rPr>
          <w:color w:val="auto"/>
          <w:sz w:val="20"/>
        </w:rPr>
        <w:t>”</w:t>
      </w:r>
      <w:r w:rsidR="0063580F" w:rsidRPr="00DB5BAC">
        <w:rPr>
          <w:rStyle w:val="FootnoteReference"/>
          <w:color w:val="auto"/>
          <w:sz w:val="20"/>
        </w:rPr>
        <w:footnoteReference w:id="74"/>
      </w:r>
      <w:r w:rsidR="00726B20" w:rsidRPr="00DB5BAC">
        <w:rPr>
          <w:color w:val="auto"/>
          <w:sz w:val="20"/>
        </w:rPr>
        <w:t>.</w:t>
      </w:r>
    </w:p>
    <w:p w14:paraId="59049871" w14:textId="77777777" w:rsidR="0054340F" w:rsidRPr="00DB5BAC" w:rsidRDefault="0054340F" w:rsidP="005434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205906BD" w14:textId="77777777" w:rsidR="00D73DBB" w:rsidRPr="00DB5BAC" w:rsidRDefault="005B1600"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Los Shibayama</w:t>
      </w:r>
      <w:r w:rsidR="0054340F" w:rsidRPr="00DB5BAC">
        <w:rPr>
          <w:color w:val="auto"/>
          <w:sz w:val="20"/>
        </w:rPr>
        <w:t xml:space="preserve"> al</w:t>
      </w:r>
      <w:r w:rsidR="00AD57A1" w:rsidRPr="00DB5BAC">
        <w:rPr>
          <w:color w:val="auto"/>
          <w:sz w:val="20"/>
        </w:rPr>
        <w:t xml:space="preserve">egaron que, en el momento de su </w:t>
      </w:r>
      <w:r w:rsidR="00333A05" w:rsidRPr="00DB5BAC">
        <w:rPr>
          <w:color w:val="auto"/>
          <w:sz w:val="20"/>
        </w:rPr>
        <w:t>internamiento</w:t>
      </w:r>
      <w:r w:rsidR="00AD57A1" w:rsidRPr="00DB5BAC">
        <w:rPr>
          <w:color w:val="auto"/>
          <w:sz w:val="20"/>
        </w:rPr>
        <w:t xml:space="preserve">, eran residentes permanentes de </w:t>
      </w:r>
      <w:r w:rsidR="000648EF" w:rsidRPr="00DB5BAC">
        <w:rPr>
          <w:color w:val="auto"/>
          <w:sz w:val="20"/>
        </w:rPr>
        <w:t>Estados Unidos</w:t>
      </w:r>
      <w:r w:rsidR="006D2D74">
        <w:rPr>
          <w:color w:val="auto"/>
          <w:sz w:val="20"/>
        </w:rPr>
        <w:t xml:space="preserve"> “</w:t>
      </w:r>
      <w:r w:rsidR="00AD57A1" w:rsidRPr="00DB5BAC">
        <w:rPr>
          <w:color w:val="auto"/>
          <w:sz w:val="20"/>
        </w:rPr>
        <w:t>tanto directamente como con la apariencia de legalidad</w:t>
      </w:r>
      <w:r w:rsidR="006D2D74">
        <w:rPr>
          <w:color w:val="auto"/>
          <w:sz w:val="20"/>
        </w:rPr>
        <w:t>”</w:t>
      </w:r>
      <w:r w:rsidR="00AD57A1" w:rsidRPr="00DB5BAC">
        <w:rPr>
          <w:color w:val="auto"/>
          <w:sz w:val="20"/>
        </w:rPr>
        <w:t xml:space="preserve">, razón por la cual debían recibir una reparación de conformidad con la </w:t>
      </w:r>
      <w:r w:rsidR="00CA2EFA" w:rsidRPr="00DB5BAC">
        <w:rPr>
          <w:color w:val="auto"/>
          <w:sz w:val="20"/>
        </w:rPr>
        <w:t>Ley de Libertades Civiles</w:t>
      </w:r>
      <w:r w:rsidR="00266690" w:rsidRPr="00DB5BAC">
        <w:rPr>
          <w:color w:val="auto"/>
          <w:sz w:val="20"/>
        </w:rPr>
        <w:t>.</w:t>
      </w:r>
      <w:r w:rsidR="0054340F" w:rsidRPr="00DB5BAC">
        <w:rPr>
          <w:color w:val="auto"/>
          <w:sz w:val="20"/>
        </w:rPr>
        <w:t xml:space="preserve"> </w:t>
      </w:r>
      <w:r w:rsidR="00AD57A1" w:rsidRPr="00DB5BAC">
        <w:rPr>
          <w:color w:val="auto"/>
          <w:sz w:val="20"/>
        </w:rPr>
        <w:t xml:space="preserve">En ese sentido, argumentaron que </w:t>
      </w:r>
      <w:r w:rsidR="006D2D74">
        <w:rPr>
          <w:color w:val="auto"/>
          <w:sz w:val="20"/>
        </w:rPr>
        <w:t>“</w:t>
      </w:r>
      <w:r w:rsidR="00AD57A1" w:rsidRPr="00DB5BAC">
        <w:rPr>
          <w:color w:val="auto"/>
          <w:sz w:val="20"/>
        </w:rPr>
        <w:t xml:space="preserve">evidentemente no </w:t>
      </w:r>
      <w:r w:rsidR="00CA2EFA" w:rsidRPr="00DB5BAC">
        <w:rPr>
          <w:color w:val="auto"/>
          <w:sz w:val="20"/>
        </w:rPr>
        <w:t>habían sido</w:t>
      </w:r>
      <w:r w:rsidR="00AD57A1" w:rsidRPr="00DB5BAC">
        <w:rPr>
          <w:color w:val="auto"/>
          <w:sz w:val="20"/>
        </w:rPr>
        <w:t xml:space="preserve"> </w:t>
      </w:r>
      <w:r w:rsidR="00FF03EE" w:rsidRPr="00DB5BAC">
        <w:rPr>
          <w:color w:val="auto"/>
          <w:sz w:val="20"/>
        </w:rPr>
        <w:t>extranjeros indocumentados</w:t>
      </w:r>
      <w:r w:rsidR="0054340F" w:rsidRPr="00DB5BAC">
        <w:rPr>
          <w:color w:val="auto"/>
          <w:sz w:val="20"/>
        </w:rPr>
        <w:t xml:space="preserve"> </w:t>
      </w:r>
      <w:r w:rsidR="00AD57A1" w:rsidRPr="00DB5BAC">
        <w:rPr>
          <w:color w:val="auto"/>
          <w:sz w:val="20"/>
        </w:rPr>
        <w:t xml:space="preserve">en ningún momento durante su </w:t>
      </w:r>
      <w:r w:rsidR="00333A05" w:rsidRPr="00DB5BAC">
        <w:rPr>
          <w:color w:val="auto"/>
          <w:sz w:val="20"/>
        </w:rPr>
        <w:lastRenderedPageBreak/>
        <w:t>internamiento</w:t>
      </w:r>
      <w:r w:rsidR="0054340F" w:rsidRPr="00DB5BAC">
        <w:rPr>
          <w:color w:val="auto"/>
          <w:sz w:val="20"/>
        </w:rPr>
        <w:t xml:space="preserve">. </w:t>
      </w:r>
      <w:r w:rsidR="00AD57A1" w:rsidRPr="00DB5BAC">
        <w:rPr>
          <w:color w:val="auto"/>
          <w:sz w:val="20"/>
        </w:rPr>
        <w:t xml:space="preserve">Los demandantes no infringieron en ningún momento ni una sola disposición de las leyes de inmigraciones estadounidenses que el Estado mismo no excusara. Su presencia en el país se dio exclusivamente a merced y por capricho de </w:t>
      </w:r>
      <w:r w:rsidR="00AE2AD7" w:rsidRPr="00DB5BAC">
        <w:rPr>
          <w:color w:val="auto"/>
          <w:sz w:val="20"/>
        </w:rPr>
        <w:t>Estados Unidos</w:t>
      </w:r>
      <w:r w:rsidR="00AD57A1" w:rsidRPr="00DB5BAC">
        <w:rPr>
          <w:color w:val="auto"/>
          <w:sz w:val="20"/>
        </w:rPr>
        <w:t>: Es</w:t>
      </w:r>
      <w:r w:rsidR="00AE2AD7" w:rsidRPr="00DB5BAC">
        <w:rPr>
          <w:color w:val="auto"/>
          <w:sz w:val="20"/>
        </w:rPr>
        <w:t>tados Unidos</w:t>
      </w:r>
      <w:r w:rsidR="0054340F" w:rsidRPr="00DB5BAC">
        <w:rPr>
          <w:color w:val="auto"/>
          <w:sz w:val="20"/>
        </w:rPr>
        <w:t xml:space="preserve"> </w:t>
      </w:r>
      <w:r w:rsidR="00AD57A1" w:rsidRPr="00DB5BAC">
        <w:rPr>
          <w:color w:val="auto"/>
          <w:sz w:val="20"/>
        </w:rPr>
        <w:t xml:space="preserve">los fue a buscar, los </w:t>
      </w:r>
      <w:r w:rsidR="009F0C3E" w:rsidRPr="00DB5BAC">
        <w:rPr>
          <w:color w:val="auto"/>
          <w:sz w:val="20"/>
        </w:rPr>
        <w:t>trajo</w:t>
      </w:r>
      <w:r w:rsidR="00AD57A1" w:rsidRPr="00DB5BAC">
        <w:rPr>
          <w:color w:val="auto"/>
          <w:sz w:val="20"/>
        </w:rPr>
        <w:t xml:space="preserve"> y los mantuvo detenidos </w:t>
      </w:r>
      <w:r w:rsidR="009F0C3E" w:rsidRPr="00DB5BAC">
        <w:rPr>
          <w:color w:val="auto"/>
          <w:sz w:val="20"/>
        </w:rPr>
        <w:t xml:space="preserve">en el país. No pueden ser legales e ilegales al mismo tiempo. Durante el período en que los demandantes estuvieron bajo el </w:t>
      </w:r>
      <w:r w:rsidR="0054340F" w:rsidRPr="00DB5BAC">
        <w:rPr>
          <w:color w:val="auto"/>
          <w:sz w:val="20"/>
        </w:rPr>
        <w:t xml:space="preserve">control </w:t>
      </w:r>
      <w:r w:rsidR="009F0C3E" w:rsidRPr="00DB5BAC">
        <w:rPr>
          <w:color w:val="auto"/>
          <w:sz w:val="20"/>
        </w:rPr>
        <w:t>de</w:t>
      </w:r>
      <w:r w:rsidR="0054340F" w:rsidRPr="00DB5BAC">
        <w:rPr>
          <w:color w:val="auto"/>
          <w:sz w:val="20"/>
        </w:rPr>
        <w:t xml:space="preserve"> </w:t>
      </w:r>
      <w:r w:rsidR="00AE2AD7" w:rsidRPr="00DB5BAC">
        <w:rPr>
          <w:color w:val="auto"/>
          <w:sz w:val="20"/>
        </w:rPr>
        <w:t>Estados Unidos</w:t>
      </w:r>
      <w:r w:rsidR="009F0C3E" w:rsidRPr="00DB5BAC">
        <w:rPr>
          <w:color w:val="auto"/>
          <w:sz w:val="20"/>
        </w:rPr>
        <w:t xml:space="preserve">, en ningún momento tuvieron una fecha fija de partida. Por consiguiente, estaban viviendo en el país de manera continua y legal </w:t>
      </w:r>
      <w:r w:rsidR="006D2D74">
        <w:rPr>
          <w:color w:val="auto"/>
          <w:sz w:val="20"/>
        </w:rPr>
        <w:t>[</w:t>
      </w:r>
      <w:r w:rsidR="009F0C3E" w:rsidRPr="00DB5BAC">
        <w:rPr>
          <w:color w:val="auto"/>
          <w:sz w:val="20"/>
        </w:rPr>
        <w:t>en el sentido de la ley</w:t>
      </w:r>
      <w:r w:rsidR="006D2D74">
        <w:rPr>
          <w:color w:val="auto"/>
          <w:sz w:val="20"/>
        </w:rPr>
        <w:t>]”</w:t>
      </w:r>
      <w:r w:rsidR="0054340F" w:rsidRPr="00DB5BAC">
        <w:rPr>
          <w:rStyle w:val="FootnoteReference"/>
          <w:color w:val="auto"/>
          <w:sz w:val="20"/>
        </w:rPr>
        <w:footnoteReference w:id="75"/>
      </w:r>
      <w:r w:rsidR="009F0C3E" w:rsidRPr="00DB5BAC">
        <w:rPr>
          <w:color w:val="auto"/>
          <w:sz w:val="20"/>
        </w:rPr>
        <w:t>.</w:t>
      </w:r>
    </w:p>
    <w:p w14:paraId="1264326A" w14:textId="77777777" w:rsidR="00D73DBB" w:rsidRPr="00DB5BAC" w:rsidRDefault="00D73DBB" w:rsidP="00D73DBB">
      <w:pPr>
        <w:pStyle w:val="ListParagraph"/>
        <w:rPr>
          <w:color w:val="auto"/>
          <w:sz w:val="20"/>
          <w:lang w:val="es-ES"/>
        </w:rPr>
      </w:pPr>
    </w:p>
    <w:p w14:paraId="28EED75D" w14:textId="77777777" w:rsidR="0054340F" w:rsidRPr="00DB5BAC" w:rsidRDefault="00266690"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No</w:t>
      </w:r>
      <w:r w:rsidR="009F0C3E" w:rsidRPr="00DB5BAC">
        <w:rPr>
          <w:color w:val="auto"/>
          <w:sz w:val="20"/>
        </w:rPr>
        <w:t xml:space="preserve"> obstante, el Tribunal determinó que los hermanos </w:t>
      </w:r>
      <w:r w:rsidR="006D2D74">
        <w:rPr>
          <w:color w:val="auto"/>
          <w:sz w:val="20"/>
        </w:rPr>
        <w:t>“</w:t>
      </w:r>
      <w:r w:rsidR="009F0C3E" w:rsidRPr="00DB5BAC">
        <w:rPr>
          <w:color w:val="auto"/>
          <w:sz w:val="20"/>
        </w:rPr>
        <w:t>obtuvieron la</w:t>
      </w:r>
      <w:r w:rsidRPr="00DB5BAC">
        <w:rPr>
          <w:color w:val="auto"/>
          <w:sz w:val="20"/>
        </w:rPr>
        <w:t xml:space="preserve"> </w:t>
      </w:r>
      <w:r w:rsidR="00BB0303" w:rsidRPr="00DB5BAC">
        <w:rPr>
          <w:color w:val="auto"/>
          <w:sz w:val="20"/>
        </w:rPr>
        <w:t>residencia permanente</w:t>
      </w:r>
      <w:r w:rsidRPr="00DB5BAC">
        <w:rPr>
          <w:color w:val="auto"/>
          <w:sz w:val="20"/>
        </w:rPr>
        <w:t xml:space="preserve"> </w:t>
      </w:r>
      <w:r w:rsidR="009F0C3E" w:rsidRPr="00DB5BAC">
        <w:rPr>
          <w:color w:val="auto"/>
          <w:sz w:val="20"/>
        </w:rPr>
        <w:t xml:space="preserve">al entrar en </w:t>
      </w:r>
      <w:r w:rsidR="00AE2AD7" w:rsidRPr="00DB5BAC">
        <w:rPr>
          <w:color w:val="auto"/>
          <w:sz w:val="20"/>
        </w:rPr>
        <w:t>Estados Unidos</w:t>
      </w:r>
      <w:r w:rsidRPr="00DB5BAC">
        <w:rPr>
          <w:color w:val="auto"/>
          <w:sz w:val="20"/>
        </w:rPr>
        <w:t xml:space="preserve"> </w:t>
      </w:r>
      <w:r w:rsidR="009F0C3E" w:rsidRPr="00DB5BAC">
        <w:rPr>
          <w:color w:val="auto"/>
          <w:sz w:val="20"/>
        </w:rPr>
        <w:t>con visa de inmigrantes, y no por la suspensión de la deportación</w:t>
      </w:r>
      <w:r w:rsidRPr="00DB5BAC">
        <w:rPr>
          <w:color w:val="auto"/>
          <w:sz w:val="20"/>
        </w:rPr>
        <w:t xml:space="preserve">. </w:t>
      </w:r>
      <w:r w:rsidR="009F0C3E" w:rsidRPr="00DB5BAC">
        <w:rPr>
          <w:color w:val="auto"/>
          <w:sz w:val="20"/>
        </w:rPr>
        <w:t xml:space="preserve">Su condición de residentes permanentes databa de su ingreso en </w:t>
      </w:r>
      <w:r w:rsidRPr="00DB5BAC">
        <w:rPr>
          <w:color w:val="auto"/>
          <w:sz w:val="20"/>
        </w:rPr>
        <w:t>1956</w:t>
      </w:r>
      <w:r w:rsidR="009F0C3E" w:rsidRPr="00DB5BAC">
        <w:rPr>
          <w:color w:val="auto"/>
          <w:sz w:val="20"/>
        </w:rPr>
        <w:t>, y no de su ingreso en 1944</w:t>
      </w:r>
      <w:r w:rsidR="006D2D74">
        <w:rPr>
          <w:color w:val="auto"/>
          <w:sz w:val="20"/>
        </w:rPr>
        <w:t>”, y</w:t>
      </w:r>
      <w:r w:rsidR="009F0C3E" w:rsidRPr="00DB5BAC">
        <w:rPr>
          <w:color w:val="auto"/>
          <w:sz w:val="20"/>
        </w:rPr>
        <w:t xml:space="preserve"> </w:t>
      </w:r>
      <w:r w:rsidRPr="00DB5BAC">
        <w:rPr>
          <w:color w:val="auto"/>
          <w:sz w:val="20"/>
        </w:rPr>
        <w:t>reiter</w:t>
      </w:r>
      <w:r w:rsidR="009F0C3E" w:rsidRPr="00DB5BAC">
        <w:rPr>
          <w:color w:val="auto"/>
          <w:sz w:val="20"/>
        </w:rPr>
        <w:t xml:space="preserve">ó que </w:t>
      </w:r>
      <w:r w:rsidR="000A54BF" w:rsidRPr="00DB5BAC">
        <w:rPr>
          <w:color w:val="auto"/>
          <w:sz w:val="20"/>
        </w:rPr>
        <w:t xml:space="preserve">la doctrina de la </w:t>
      </w:r>
      <w:r w:rsidR="006D2D74">
        <w:rPr>
          <w:color w:val="auto"/>
          <w:sz w:val="20"/>
        </w:rPr>
        <w:t>“</w:t>
      </w:r>
      <w:r w:rsidR="000A54BF" w:rsidRPr="00DB5BAC">
        <w:rPr>
          <w:color w:val="auto"/>
          <w:sz w:val="20"/>
        </w:rPr>
        <w:t>residencia permanente con apariencia de legalidad</w:t>
      </w:r>
      <w:r w:rsidR="006D2D74">
        <w:rPr>
          <w:color w:val="auto"/>
          <w:sz w:val="20"/>
        </w:rPr>
        <w:t>”</w:t>
      </w:r>
      <w:r w:rsidR="000A54BF" w:rsidRPr="00DB5BAC">
        <w:rPr>
          <w:color w:val="auto"/>
          <w:sz w:val="20"/>
        </w:rPr>
        <w:t xml:space="preserve"> se aplica a la </w:t>
      </w:r>
      <w:r w:rsidRPr="00DB5BAC">
        <w:rPr>
          <w:color w:val="auto"/>
          <w:sz w:val="20"/>
        </w:rPr>
        <w:t>el</w:t>
      </w:r>
      <w:r w:rsidR="009F0C3E" w:rsidRPr="00DB5BAC">
        <w:rPr>
          <w:color w:val="auto"/>
          <w:sz w:val="20"/>
        </w:rPr>
        <w:t>e</w:t>
      </w:r>
      <w:r w:rsidRPr="00DB5BAC">
        <w:rPr>
          <w:color w:val="auto"/>
          <w:sz w:val="20"/>
        </w:rPr>
        <w:t>gibili</w:t>
      </w:r>
      <w:r w:rsidR="009F0C3E" w:rsidRPr="00DB5BAC">
        <w:rPr>
          <w:color w:val="auto"/>
          <w:sz w:val="20"/>
        </w:rPr>
        <w:t xml:space="preserve">dad para recibir prestaciones públicas, pero no </w:t>
      </w:r>
      <w:r w:rsidRPr="00DB5BAC">
        <w:rPr>
          <w:color w:val="auto"/>
          <w:sz w:val="20"/>
        </w:rPr>
        <w:t>determin</w:t>
      </w:r>
      <w:r w:rsidR="009F0C3E" w:rsidRPr="00DB5BAC">
        <w:rPr>
          <w:color w:val="auto"/>
          <w:sz w:val="20"/>
        </w:rPr>
        <w:t xml:space="preserve">a o confiere condición de inmigrante </w:t>
      </w:r>
      <w:r w:rsidRPr="00DB5BAC">
        <w:rPr>
          <w:color w:val="auto"/>
          <w:sz w:val="20"/>
        </w:rPr>
        <w:t>legal</w:t>
      </w:r>
      <w:r w:rsidRPr="00DB5BAC">
        <w:rPr>
          <w:rStyle w:val="FootnoteReference"/>
          <w:color w:val="auto"/>
          <w:sz w:val="20"/>
        </w:rPr>
        <w:footnoteReference w:id="76"/>
      </w:r>
      <w:r w:rsidR="009F0C3E" w:rsidRPr="00DB5BAC">
        <w:rPr>
          <w:color w:val="auto"/>
          <w:sz w:val="20"/>
        </w:rPr>
        <w:t>.</w:t>
      </w:r>
    </w:p>
    <w:p w14:paraId="6DC8CFDE" w14:textId="77777777" w:rsidR="00EF4CFF" w:rsidRPr="00DB5BAC" w:rsidRDefault="00EF4CFF" w:rsidP="00EF4CFF">
      <w:pPr>
        <w:pStyle w:val="ListParagraph"/>
        <w:rPr>
          <w:color w:val="auto"/>
          <w:sz w:val="20"/>
          <w:lang w:val="es-ES"/>
        </w:rPr>
      </w:pPr>
    </w:p>
    <w:p w14:paraId="4BDB639F" w14:textId="77777777" w:rsidR="00EF4CFF" w:rsidRPr="00DB5BAC" w:rsidRDefault="00FE37C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Después de desestimar las reclamaciones de </w:t>
      </w:r>
      <w:r w:rsidR="005B1600" w:rsidRPr="00DB5BAC">
        <w:rPr>
          <w:color w:val="auto"/>
          <w:sz w:val="20"/>
        </w:rPr>
        <w:t>los Shibayama</w:t>
      </w:r>
      <w:r w:rsidRPr="00DB5BAC">
        <w:rPr>
          <w:color w:val="auto"/>
          <w:sz w:val="20"/>
        </w:rPr>
        <w:t xml:space="preserve"> </w:t>
      </w:r>
      <w:r w:rsidR="00725FFD" w:rsidRPr="00DB5BAC">
        <w:rPr>
          <w:color w:val="auto"/>
          <w:sz w:val="20"/>
        </w:rPr>
        <w:t>basad</w:t>
      </w:r>
      <w:r w:rsidR="00CA2EFA" w:rsidRPr="00DB5BAC">
        <w:rPr>
          <w:color w:val="auto"/>
          <w:sz w:val="20"/>
        </w:rPr>
        <w:t>a</w:t>
      </w:r>
      <w:r w:rsidR="00725FFD" w:rsidRPr="00DB5BAC">
        <w:rPr>
          <w:color w:val="auto"/>
          <w:sz w:val="20"/>
        </w:rPr>
        <w:t xml:space="preserve">s en la </w:t>
      </w:r>
      <w:r w:rsidR="00CA2EFA" w:rsidRPr="00DB5BAC">
        <w:rPr>
          <w:color w:val="auto"/>
          <w:sz w:val="20"/>
        </w:rPr>
        <w:t>Ley de Libertades Civiles</w:t>
      </w:r>
      <w:r w:rsidR="008B692D" w:rsidRPr="00DB5BAC">
        <w:rPr>
          <w:color w:val="auto"/>
          <w:sz w:val="20"/>
        </w:rPr>
        <w:t xml:space="preserve">, </w:t>
      </w:r>
      <w:r w:rsidRPr="00DB5BAC">
        <w:rPr>
          <w:color w:val="auto"/>
          <w:sz w:val="20"/>
        </w:rPr>
        <w:t xml:space="preserve">el </w:t>
      </w:r>
      <w:r w:rsidR="00344DD8" w:rsidRPr="00DB5BAC">
        <w:rPr>
          <w:color w:val="auto"/>
          <w:sz w:val="20"/>
        </w:rPr>
        <w:t>Tribunal de Reclamaciones Federales</w:t>
      </w:r>
      <w:r w:rsidR="00EF4CFF" w:rsidRPr="00DB5BAC">
        <w:rPr>
          <w:color w:val="auto"/>
          <w:sz w:val="20"/>
        </w:rPr>
        <w:t xml:space="preserve"> </w:t>
      </w:r>
      <w:r w:rsidRPr="00DB5BAC">
        <w:rPr>
          <w:color w:val="auto"/>
          <w:sz w:val="20"/>
        </w:rPr>
        <w:t xml:space="preserve">determinó que tenía jurisdicción para </w:t>
      </w:r>
      <w:r w:rsidR="006D2D74">
        <w:rPr>
          <w:color w:val="auto"/>
          <w:sz w:val="20"/>
        </w:rPr>
        <w:t>considerar</w:t>
      </w:r>
      <w:r w:rsidRPr="00DB5BAC">
        <w:rPr>
          <w:color w:val="auto"/>
          <w:sz w:val="20"/>
        </w:rPr>
        <w:t xml:space="preserve"> las demás reclamaciones porque, aunque </w:t>
      </w:r>
      <w:r w:rsidR="00807E58" w:rsidRPr="00DB5BAC">
        <w:rPr>
          <w:color w:val="auto"/>
          <w:sz w:val="20"/>
        </w:rPr>
        <w:t xml:space="preserve">los demandantes </w:t>
      </w:r>
      <w:r w:rsidRPr="00DB5BAC">
        <w:rPr>
          <w:color w:val="auto"/>
          <w:sz w:val="20"/>
        </w:rPr>
        <w:t xml:space="preserve">inicialmente habían interpuesto </w:t>
      </w:r>
      <w:r w:rsidR="00476B96" w:rsidRPr="00DB5BAC">
        <w:rPr>
          <w:color w:val="auto"/>
          <w:sz w:val="20"/>
        </w:rPr>
        <w:t xml:space="preserve">solicitudes de reparación </w:t>
      </w:r>
      <w:r w:rsidRPr="00DB5BAC">
        <w:rPr>
          <w:color w:val="auto"/>
          <w:sz w:val="20"/>
        </w:rPr>
        <w:t xml:space="preserve">basadas en criterios tanto de equidad </w:t>
      </w:r>
      <w:r w:rsidR="00476B96" w:rsidRPr="00DB5BAC">
        <w:rPr>
          <w:color w:val="auto"/>
          <w:sz w:val="20"/>
        </w:rPr>
        <w:t xml:space="preserve">como jurídicos, </w:t>
      </w:r>
      <w:r w:rsidR="00807E58" w:rsidRPr="00DB5BAC">
        <w:rPr>
          <w:color w:val="auto"/>
          <w:sz w:val="20"/>
        </w:rPr>
        <w:t>los Shibayama habían afirmado</w:t>
      </w:r>
      <w:r w:rsidR="00476B96" w:rsidRPr="00DB5BAC">
        <w:rPr>
          <w:color w:val="auto"/>
          <w:sz w:val="20"/>
        </w:rPr>
        <w:t xml:space="preserve"> </w:t>
      </w:r>
      <w:r w:rsidR="006D2D74">
        <w:rPr>
          <w:color w:val="auto"/>
          <w:sz w:val="20"/>
        </w:rPr>
        <w:t>“</w:t>
      </w:r>
      <w:r w:rsidR="00476B96" w:rsidRPr="00DB5BAC">
        <w:rPr>
          <w:color w:val="auto"/>
          <w:sz w:val="20"/>
        </w:rPr>
        <w:t>que continuar</w:t>
      </w:r>
      <w:r w:rsidR="006D2D74">
        <w:rPr>
          <w:color w:val="auto"/>
          <w:sz w:val="20"/>
        </w:rPr>
        <w:t>á</w:t>
      </w:r>
      <w:r w:rsidR="00476B96" w:rsidRPr="00DB5BAC">
        <w:rPr>
          <w:color w:val="auto"/>
          <w:sz w:val="20"/>
        </w:rPr>
        <w:t>n sufriendo una violación de sus derechos como beneficiarios</w:t>
      </w:r>
      <w:r w:rsidR="00EF4CFF" w:rsidRPr="00DB5BAC">
        <w:rPr>
          <w:color w:val="auto"/>
          <w:sz w:val="20"/>
        </w:rPr>
        <w:t xml:space="preserve"> </w:t>
      </w:r>
      <w:r w:rsidR="00476B96" w:rsidRPr="00DB5BAC">
        <w:rPr>
          <w:color w:val="auto"/>
          <w:sz w:val="20"/>
        </w:rPr>
        <w:t>de</w:t>
      </w:r>
      <w:r w:rsidR="00EF4CFF" w:rsidRPr="00DB5BAC">
        <w:rPr>
          <w:color w:val="auto"/>
          <w:sz w:val="20"/>
        </w:rPr>
        <w:t xml:space="preserve"> </w:t>
      </w:r>
      <w:r w:rsidR="00725FFD" w:rsidRPr="00DB5BAC">
        <w:rPr>
          <w:color w:val="auto"/>
          <w:sz w:val="20"/>
        </w:rPr>
        <w:t xml:space="preserve">la </w:t>
      </w:r>
      <w:r w:rsidR="00CA2EFA" w:rsidRPr="00DB5BAC">
        <w:rPr>
          <w:color w:val="auto"/>
          <w:sz w:val="20"/>
        </w:rPr>
        <w:t>Ley de Libertades Civiles</w:t>
      </w:r>
      <w:r w:rsidR="00EF4CFF" w:rsidRPr="00DB5BAC">
        <w:rPr>
          <w:color w:val="auto"/>
          <w:sz w:val="20"/>
        </w:rPr>
        <w:t xml:space="preserve"> </w:t>
      </w:r>
      <w:r w:rsidR="00476B96" w:rsidRPr="00DB5BAC">
        <w:rPr>
          <w:color w:val="auto"/>
          <w:sz w:val="20"/>
        </w:rPr>
        <w:t xml:space="preserve">a menos que se ordenara </w:t>
      </w:r>
      <w:r w:rsidR="006D2D74">
        <w:rPr>
          <w:color w:val="auto"/>
          <w:sz w:val="20"/>
        </w:rPr>
        <w:t>[</w:t>
      </w:r>
      <w:r w:rsidR="00476B96" w:rsidRPr="00DB5BAC">
        <w:rPr>
          <w:color w:val="auto"/>
          <w:sz w:val="20"/>
        </w:rPr>
        <w:t>al Estado</w:t>
      </w:r>
      <w:r w:rsidR="006D2D74">
        <w:rPr>
          <w:color w:val="auto"/>
          <w:sz w:val="20"/>
        </w:rPr>
        <w:t>]</w:t>
      </w:r>
      <w:r w:rsidR="00476B96" w:rsidRPr="00DB5BAC">
        <w:rPr>
          <w:color w:val="auto"/>
          <w:sz w:val="20"/>
        </w:rPr>
        <w:t xml:space="preserve"> que les restituyera plenamente todas las prestaciones a las cuales tenían derecho de acuerdo con</w:t>
      </w:r>
      <w:r w:rsidR="00EF4CFF" w:rsidRPr="00DB5BAC">
        <w:rPr>
          <w:color w:val="auto"/>
          <w:sz w:val="20"/>
        </w:rPr>
        <w:t xml:space="preserve"> </w:t>
      </w:r>
      <w:r w:rsidR="00807E58" w:rsidRPr="00DB5BAC">
        <w:rPr>
          <w:color w:val="auto"/>
          <w:sz w:val="20"/>
        </w:rPr>
        <w:t>dicha</w:t>
      </w:r>
      <w:r w:rsidR="00725FFD" w:rsidRPr="00DB5BAC">
        <w:rPr>
          <w:color w:val="auto"/>
          <w:sz w:val="20"/>
        </w:rPr>
        <w:t xml:space="preserve"> </w:t>
      </w:r>
      <w:r w:rsidR="00CA2EFA" w:rsidRPr="00DB5BAC">
        <w:rPr>
          <w:color w:val="auto"/>
          <w:sz w:val="20"/>
        </w:rPr>
        <w:t>Ley</w:t>
      </w:r>
      <w:r w:rsidR="006D2D74">
        <w:rPr>
          <w:color w:val="auto"/>
          <w:sz w:val="20"/>
        </w:rPr>
        <w:t>”</w:t>
      </w:r>
      <w:r w:rsidR="00EF4CFF" w:rsidRPr="00DB5BAC">
        <w:rPr>
          <w:color w:val="auto"/>
          <w:sz w:val="20"/>
        </w:rPr>
        <w:t>,</w:t>
      </w:r>
      <w:r w:rsidR="00476B96" w:rsidRPr="00DB5BAC">
        <w:rPr>
          <w:color w:val="auto"/>
          <w:sz w:val="20"/>
        </w:rPr>
        <w:t xml:space="preserve"> razón por la cual el Tribunal concluyó que </w:t>
      </w:r>
      <w:r w:rsidR="006D2D74">
        <w:rPr>
          <w:color w:val="auto"/>
          <w:sz w:val="20"/>
        </w:rPr>
        <w:t>“</w:t>
      </w:r>
      <w:r w:rsidR="00476B96" w:rsidRPr="00DB5BAC">
        <w:rPr>
          <w:color w:val="auto"/>
          <w:sz w:val="20"/>
        </w:rPr>
        <w:t xml:space="preserve">todas las reclamaciones de los demandantes se basan en la denegación por el Estado del monto de la restitución establecido por ley y, en el fondo, lo único que </w:t>
      </w:r>
      <w:r w:rsidR="006D2D74">
        <w:rPr>
          <w:color w:val="auto"/>
          <w:sz w:val="20"/>
        </w:rPr>
        <w:t>piden es</w:t>
      </w:r>
      <w:r w:rsidR="00476B96" w:rsidRPr="00DB5BAC">
        <w:rPr>
          <w:color w:val="auto"/>
          <w:sz w:val="20"/>
        </w:rPr>
        <w:t xml:space="preserve"> que les pag</w:t>
      </w:r>
      <w:r w:rsidR="006D2D74">
        <w:rPr>
          <w:color w:val="auto"/>
          <w:sz w:val="20"/>
        </w:rPr>
        <w:t>ue</w:t>
      </w:r>
      <w:r w:rsidR="00476B96" w:rsidRPr="00DB5BAC">
        <w:rPr>
          <w:color w:val="auto"/>
          <w:sz w:val="20"/>
        </w:rPr>
        <w:t xml:space="preserve">n los </w:t>
      </w:r>
      <w:r w:rsidR="00281AB2" w:rsidRPr="00DB5BAC">
        <w:rPr>
          <w:color w:val="auto"/>
          <w:sz w:val="20"/>
        </w:rPr>
        <w:t>$20</w:t>
      </w:r>
      <w:r w:rsidR="00476B96" w:rsidRPr="00DB5BAC">
        <w:rPr>
          <w:color w:val="auto"/>
          <w:sz w:val="20"/>
        </w:rPr>
        <w:t>.</w:t>
      </w:r>
      <w:r w:rsidR="00281AB2" w:rsidRPr="00DB5BAC">
        <w:rPr>
          <w:color w:val="auto"/>
          <w:sz w:val="20"/>
        </w:rPr>
        <w:t>000</w:t>
      </w:r>
      <w:r w:rsidR="006D2D74">
        <w:rPr>
          <w:color w:val="auto"/>
          <w:sz w:val="20"/>
        </w:rPr>
        <w:t>”</w:t>
      </w:r>
      <w:r w:rsidR="00281AB2" w:rsidRPr="00DB5BAC">
        <w:rPr>
          <w:rStyle w:val="FootnoteReference"/>
          <w:color w:val="auto"/>
          <w:sz w:val="20"/>
        </w:rPr>
        <w:footnoteReference w:id="77"/>
      </w:r>
      <w:r w:rsidR="00476B96" w:rsidRPr="00DB5BAC">
        <w:rPr>
          <w:color w:val="auto"/>
          <w:sz w:val="20"/>
        </w:rPr>
        <w:t>.</w:t>
      </w:r>
    </w:p>
    <w:p w14:paraId="3A899ADC" w14:textId="77777777" w:rsidR="00883FF8" w:rsidRPr="00DB5BAC" w:rsidRDefault="00883FF8" w:rsidP="00883FF8">
      <w:pPr>
        <w:pStyle w:val="ListParagraph"/>
        <w:rPr>
          <w:color w:val="auto"/>
          <w:sz w:val="20"/>
          <w:lang w:val="es-ES"/>
        </w:rPr>
      </w:pPr>
    </w:p>
    <w:p w14:paraId="4C06CA6E" w14:textId="77777777" w:rsidR="00883FF8" w:rsidRPr="00DB5BAC" w:rsidRDefault="00344DD8"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El Tribunal de Reclamaciones Federales</w:t>
      </w:r>
      <w:r w:rsidR="00883FF8" w:rsidRPr="00DB5BAC">
        <w:rPr>
          <w:color w:val="auto"/>
          <w:sz w:val="20"/>
        </w:rPr>
        <w:t xml:space="preserve"> re</w:t>
      </w:r>
      <w:r w:rsidR="00476B96" w:rsidRPr="00DB5BAC">
        <w:rPr>
          <w:color w:val="auto"/>
          <w:sz w:val="20"/>
        </w:rPr>
        <w:t>chazó la reclamación de</w:t>
      </w:r>
      <w:r w:rsidR="00883FF8" w:rsidRPr="00DB5BAC">
        <w:rPr>
          <w:color w:val="auto"/>
          <w:sz w:val="20"/>
        </w:rPr>
        <w:t xml:space="preserve"> </w:t>
      </w:r>
      <w:r w:rsidR="005B1600" w:rsidRPr="00DB5BAC">
        <w:rPr>
          <w:color w:val="auto"/>
          <w:sz w:val="20"/>
        </w:rPr>
        <w:t>los Shibayama</w:t>
      </w:r>
      <w:r w:rsidR="00476B96" w:rsidRPr="00DB5BAC">
        <w:rPr>
          <w:color w:val="auto"/>
          <w:sz w:val="20"/>
        </w:rPr>
        <w:t xml:space="preserve"> </w:t>
      </w:r>
      <w:r w:rsidR="00807E58" w:rsidRPr="00DB5BAC">
        <w:rPr>
          <w:color w:val="auto"/>
          <w:sz w:val="20"/>
        </w:rPr>
        <w:t xml:space="preserve">referida a la </w:t>
      </w:r>
      <w:r w:rsidR="00476B96" w:rsidRPr="00DB5BAC">
        <w:rPr>
          <w:color w:val="auto"/>
          <w:sz w:val="20"/>
        </w:rPr>
        <w:t>igualdad ante la ley de conformidad con la Quinta Enmienda, citando el precedente sentado en el caso</w:t>
      </w:r>
      <w:r w:rsidR="00883FF8" w:rsidRPr="00DB5BAC">
        <w:rPr>
          <w:color w:val="auto"/>
          <w:sz w:val="20"/>
        </w:rPr>
        <w:t xml:space="preserve"> </w:t>
      </w:r>
      <w:r w:rsidR="00883FF8" w:rsidRPr="00DB5BAC">
        <w:rPr>
          <w:i/>
          <w:color w:val="auto"/>
          <w:sz w:val="20"/>
        </w:rPr>
        <w:t xml:space="preserve">Obadele </w:t>
      </w:r>
      <w:r w:rsidR="00476B96" w:rsidRPr="00DB5BAC">
        <w:rPr>
          <w:i/>
          <w:color w:val="auto"/>
          <w:sz w:val="20"/>
        </w:rPr>
        <w:t>c</w:t>
      </w:r>
      <w:r w:rsidR="00883FF8" w:rsidRPr="00DB5BAC">
        <w:rPr>
          <w:i/>
          <w:color w:val="auto"/>
          <w:sz w:val="20"/>
        </w:rPr>
        <w:t xml:space="preserve">. </w:t>
      </w:r>
      <w:r w:rsidR="000648EF" w:rsidRPr="00DB5BAC">
        <w:rPr>
          <w:i/>
          <w:color w:val="auto"/>
          <w:sz w:val="20"/>
        </w:rPr>
        <w:t>Estados Unidos</w:t>
      </w:r>
      <w:r w:rsidR="00883FF8" w:rsidRPr="00DB5BAC">
        <w:rPr>
          <w:rStyle w:val="FootnoteReference"/>
          <w:i/>
          <w:color w:val="auto"/>
          <w:sz w:val="20"/>
        </w:rPr>
        <w:footnoteReference w:id="78"/>
      </w:r>
      <w:r w:rsidR="00476B96" w:rsidRPr="00DB5BAC">
        <w:rPr>
          <w:color w:val="auto"/>
          <w:sz w:val="20"/>
        </w:rPr>
        <w:t xml:space="preserve">, y determinó que los demandantes </w:t>
      </w:r>
      <w:r w:rsidR="006D2D74">
        <w:rPr>
          <w:color w:val="auto"/>
          <w:sz w:val="20"/>
        </w:rPr>
        <w:t>“</w:t>
      </w:r>
      <w:r w:rsidR="00476B96" w:rsidRPr="00DB5BAC">
        <w:rPr>
          <w:color w:val="auto"/>
          <w:sz w:val="20"/>
        </w:rPr>
        <w:t xml:space="preserve">no habían explicado la razón por la cual el Tribunal no debía concluir que existía un interés superior del Estado en la determinación del Congreso de indemnizar solamente a los </w:t>
      </w:r>
      <w:r w:rsidR="00341716" w:rsidRPr="00DB5BAC">
        <w:rPr>
          <w:color w:val="auto"/>
          <w:sz w:val="20"/>
        </w:rPr>
        <w:t>ciudadanos estadounidenses</w:t>
      </w:r>
      <w:r w:rsidR="00883FF8" w:rsidRPr="00DB5BAC">
        <w:rPr>
          <w:color w:val="auto"/>
          <w:sz w:val="20"/>
        </w:rPr>
        <w:t xml:space="preserve"> </w:t>
      </w:r>
      <w:r w:rsidR="00476B96" w:rsidRPr="00DB5BAC">
        <w:rPr>
          <w:color w:val="auto"/>
          <w:sz w:val="20"/>
        </w:rPr>
        <w:t xml:space="preserve">y a los </w:t>
      </w:r>
      <w:r w:rsidR="00341716" w:rsidRPr="00DB5BAC">
        <w:rPr>
          <w:color w:val="auto"/>
          <w:sz w:val="20"/>
        </w:rPr>
        <w:t>extranjeros con residencia permanente</w:t>
      </w:r>
      <w:r w:rsidR="00883FF8" w:rsidRPr="00DB5BAC">
        <w:rPr>
          <w:color w:val="auto"/>
          <w:sz w:val="20"/>
        </w:rPr>
        <w:t xml:space="preserve"> </w:t>
      </w:r>
      <w:r w:rsidR="00476B96" w:rsidRPr="00DB5BAC">
        <w:rPr>
          <w:color w:val="auto"/>
          <w:sz w:val="20"/>
        </w:rPr>
        <w:t xml:space="preserve">de conformidad con la </w:t>
      </w:r>
      <w:r w:rsidR="00CA2EFA" w:rsidRPr="00DB5BAC">
        <w:rPr>
          <w:color w:val="auto"/>
          <w:sz w:val="20"/>
        </w:rPr>
        <w:t>Ley de Libertades Civiles</w:t>
      </w:r>
      <w:r w:rsidR="006D2D74">
        <w:rPr>
          <w:color w:val="auto"/>
          <w:sz w:val="20"/>
        </w:rPr>
        <w:t>”</w:t>
      </w:r>
      <w:r w:rsidR="0072423E" w:rsidRPr="00DB5BAC">
        <w:rPr>
          <w:rStyle w:val="FootnoteReference"/>
          <w:color w:val="auto"/>
          <w:sz w:val="20"/>
        </w:rPr>
        <w:footnoteReference w:id="79"/>
      </w:r>
      <w:r w:rsidR="00476B96" w:rsidRPr="00DB5BAC">
        <w:rPr>
          <w:color w:val="auto"/>
          <w:sz w:val="20"/>
        </w:rPr>
        <w:t>.</w:t>
      </w:r>
    </w:p>
    <w:p w14:paraId="3B90B601" w14:textId="77777777" w:rsidR="0072423E" w:rsidRPr="00DB5BAC" w:rsidRDefault="0072423E" w:rsidP="0072423E">
      <w:pPr>
        <w:pStyle w:val="ListParagraph"/>
        <w:rPr>
          <w:color w:val="auto"/>
          <w:sz w:val="20"/>
          <w:lang w:val="es-ES"/>
        </w:rPr>
      </w:pPr>
    </w:p>
    <w:p w14:paraId="39A30840" w14:textId="77777777" w:rsidR="0072423E"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La Comisión</w:t>
      </w:r>
      <w:r w:rsidR="0072423E" w:rsidRPr="00DB5BAC">
        <w:rPr>
          <w:color w:val="auto"/>
          <w:sz w:val="20"/>
        </w:rPr>
        <w:t xml:space="preserve"> </w:t>
      </w:r>
      <w:r w:rsidR="000F3DDA" w:rsidRPr="00DB5BAC">
        <w:rPr>
          <w:color w:val="auto"/>
          <w:sz w:val="20"/>
        </w:rPr>
        <w:t xml:space="preserve">entiende que el Tribunal de Reclamaciones Federales rechazó las reclamaciones </w:t>
      </w:r>
      <w:r w:rsidR="00807E58" w:rsidRPr="00DB5BAC">
        <w:rPr>
          <w:color w:val="auto"/>
          <w:sz w:val="20"/>
        </w:rPr>
        <w:t xml:space="preserve">formuladas por </w:t>
      </w:r>
      <w:r w:rsidR="005B1600" w:rsidRPr="00DB5BAC">
        <w:rPr>
          <w:color w:val="auto"/>
          <w:sz w:val="20"/>
        </w:rPr>
        <w:t>los Shibayama</w:t>
      </w:r>
      <w:r w:rsidR="000F3DDA" w:rsidRPr="00DB5BAC">
        <w:rPr>
          <w:color w:val="auto"/>
          <w:sz w:val="20"/>
        </w:rPr>
        <w:t xml:space="preserve"> de acuerdo con el</w:t>
      </w:r>
      <w:r w:rsidR="0072423E" w:rsidRPr="00DB5BAC">
        <w:rPr>
          <w:color w:val="auto"/>
          <w:sz w:val="20"/>
        </w:rPr>
        <w:t xml:space="preserve"> </w:t>
      </w:r>
      <w:r w:rsidR="00412B98" w:rsidRPr="00DB5BAC">
        <w:rPr>
          <w:color w:val="auto"/>
          <w:sz w:val="20"/>
        </w:rPr>
        <w:t>derecho internacional humanitario</w:t>
      </w:r>
      <w:r w:rsidR="0072423E" w:rsidRPr="00DB5BAC">
        <w:rPr>
          <w:color w:val="auto"/>
          <w:sz w:val="20"/>
        </w:rPr>
        <w:t xml:space="preserve"> </w:t>
      </w:r>
      <w:r w:rsidR="008B692D" w:rsidRPr="00DB5BAC">
        <w:rPr>
          <w:color w:val="auto"/>
          <w:sz w:val="20"/>
        </w:rPr>
        <w:t>(</w:t>
      </w:r>
      <w:r w:rsidR="000F3DDA" w:rsidRPr="00DB5BAC">
        <w:rPr>
          <w:color w:val="auto"/>
          <w:sz w:val="20"/>
        </w:rPr>
        <w:t xml:space="preserve">es decir, que su secuestro internacional y su </w:t>
      </w:r>
      <w:r w:rsidR="00333A05" w:rsidRPr="00DB5BAC">
        <w:rPr>
          <w:color w:val="auto"/>
          <w:sz w:val="20"/>
        </w:rPr>
        <w:t>internamiento</w:t>
      </w:r>
      <w:r w:rsidR="008B692D" w:rsidRPr="00DB5BAC">
        <w:rPr>
          <w:color w:val="auto"/>
          <w:sz w:val="20"/>
        </w:rPr>
        <w:t xml:space="preserve"> dur</w:t>
      </w:r>
      <w:r w:rsidR="000F3DDA" w:rsidRPr="00DB5BAC">
        <w:rPr>
          <w:color w:val="auto"/>
          <w:sz w:val="20"/>
        </w:rPr>
        <w:t>ante</w:t>
      </w:r>
      <w:r w:rsidR="008B692D" w:rsidRPr="00DB5BAC">
        <w:rPr>
          <w:color w:val="auto"/>
          <w:sz w:val="20"/>
        </w:rPr>
        <w:t xml:space="preserve"> </w:t>
      </w:r>
      <w:r w:rsidR="00BB0303" w:rsidRPr="00DB5BAC">
        <w:rPr>
          <w:color w:val="auto"/>
          <w:sz w:val="20"/>
        </w:rPr>
        <w:t>la Segunda Guerra Mundial</w:t>
      </w:r>
      <w:r w:rsidR="008B692D" w:rsidRPr="00DB5BAC">
        <w:rPr>
          <w:color w:val="auto"/>
          <w:sz w:val="20"/>
        </w:rPr>
        <w:t xml:space="preserve"> viol</w:t>
      </w:r>
      <w:r w:rsidR="00807E58" w:rsidRPr="00DB5BAC">
        <w:rPr>
          <w:color w:val="auto"/>
          <w:sz w:val="20"/>
        </w:rPr>
        <w:t>aron</w:t>
      </w:r>
      <w:r w:rsidR="000F3DDA" w:rsidRPr="00DB5BAC">
        <w:rPr>
          <w:color w:val="auto"/>
          <w:sz w:val="20"/>
        </w:rPr>
        <w:t xml:space="preserve"> el derecho de la guerra y las normas de </w:t>
      </w:r>
      <w:r w:rsidR="008B692D" w:rsidRPr="00DB5BAC">
        <w:rPr>
          <w:i/>
          <w:color w:val="auto"/>
          <w:sz w:val="20"/>
        </w:rPr>
        <w:t>jus cogens</w:t>
      </w:r>
      <w:r w:rsidR="008B692D" w:rsidRPr="00DB5BAC">
        <w:rPr>
          <w:color w:val="auto"/>
          <w:sz w:val="20"/>
        </w:rPr>
        <w:t>)</w:t>
      </w:r>
      <w:r w:rsidR="0072423E" w:rsidRPr="00DB5BAC">
        <w:rPr>
          <w:color w:val="auto"/>
          <w:sz w:val="20"/>
        </w:rPr>
        <w:t xml:space="preserve"> </w:t>
      </w:r>
      <w:r w:rsidR="000F3DDA" w:rsidRPr="00DB5BAC">
        <w:rPr>
          <w:color w:val="auto"/>
          <w:sz w:val="20"/>
        </w:rPr>
        <w:t xml:space="preserve">porque entendió que su caso se refería a la reparación de conformidad con </w:t>
      </w:r>
      <w:r w:rsidR="00725FFD" w:rsidRPr="00DB5BAC">
        <w:rPr>
          <w:color w:val="auto"/>
          <w:sz w:val="20"/>
        </w:rPr>
        <w:t xml:space="preserve">la </w:t>
      </w:r>
      <w:r w:rsidR="00CA2EFA" w:rsidRPr="00DB5BAC">
        <w:rPr>
          <w:color w:val="auto"/>
          <w:sz w:val="20"/>
        </w:rPr>
        <w:t>Ley de Libertades Civiles</w:t>
      </w:r>
      <w:r w:rsidR="000F3DDA" w:rsidRPr="00DB5BAC">
        <w:rPr>
          <w:color w:val="auto"/>
          <w:sz w:val="20"/>
        </w:rPr>
        <w:t xml:space="preserve"> y no a la moralidad o legalidad de los actos de</w:t>
      </w:r>
      <w:r w:rsidR="0072423E" w:rsidRPr="00DB5BAC">
        <w:rPr>
          <w:color w:val="auto"/>
          <w:sz w:val="20"/>
        </w:rPr>
        <w:t xml:space="preserve"> </w:t>
      </w:r>
      <w:r w:rsidRPr="00DB5BAC">
        <w:rPr>
          <w:color w:val="auto"/>
          <w:sz w:val="20"/>
        </w:rPr>
        <w:t>Estados Unidos</w:t>
      </w:r>
      <w:r w:rsidR="000F3DDA" w:rsidRPr="00DB5BAC">
        <w:rPr>
          <w:color w:val="auto"/>
          <w:sz w:val="20"/>
        </w:rPr>
        <w:t xml:space="preserve"> durante </w:t>
      </w:r>
      <w:r w:rsidR="00BB0303" w:rsidRPr="00DB5BAC">
        <w:rPr>
          <w:color w:val="auto"/>
          <w:sz w:val="20"/>
        </w:rPr>
        <w:t>la Segunda Guerra Mundial</w:t>
      </w:r>
      <w:r w:rsidR="008B692D" w:rsidRPr="00DB5BAC">
        <w:rPr>
          <w:color w:val="auto"/>
          <w:sz w:val="20"/>
        </w:rPr>
        <w:t xml:space="preserve">. </w:t>
      </w:r>
      <w:r w:rsidR="000F3DDA" w:rsidRPr="00DB5BAC">
        <w:rPr>
          <w:color w:val="auto"/>
          <w:sz w:val="20"/>
        </w:rPr>
        <w:t>Para apoyar esta interpretación, el Tribunal citó a</w:t>
      </w:r>
      <w:r w:rsidR="006D2D74">
        <w:rPr>
          <w:color w:val="auto"/>
          <w:sz w:val="20"/>
        </w:rPr>
        <w:t xml:space="preserve"> </w:t>
      </w:r>
      <w:r w:rsidR="000F3DDA" w:rsidRPr="00DB5BAC">
        <w:rPr>
          <w:color w:val="auto"/>
          <w:sz w:val="20"/>
        </w:rPr>
        <w:t>l</w:t>
      </w:r>
      <w:r w:rsidR="006D2D74">
        <w:rPr>
          <w:color w:val="auto"/>
          <w:sz w:val="20"/>
        </w:rPr>
        <w:t>a abogada</w:t>
      </w:r>
      <w:r w:rsidR="000F3DDA" w:rsidRPr="00DB5BAC">
        <w:rPr>
          <w:color w:val="auto"/>
          <w:sz w:val="20"/>
        </w:rPr>
        <w:t xml:space="preserve"> de </w:t>
      </w:r>
      <w:r w:rsidR="005B1600" w:rsidRPr="00DB5BAC">
        <w:rPr>
          <w:color w:val="auto"/>
          <w:sz w:val="20"/>
        </w:rPr>
        <w:t>los Shibayama</w:t>
      </w:r>
      <w:r w:rsidR="000F3DDA" w:rsidRPr="00DB5BAC">
        <w:rPr>
          <w:color w:val="auto"/>
          <w:sz w:val="20"/>
        </w:rPr>
        <w:t xml:space="preserve">, quien, en los argumentos orales, afirmó </w:t>
      </w:r>
      <w:r w:rsidR="006D2D74">
        <w:rPr>
          <w:color w:val="auto"/>
          <w:sz w:val="20"/>
        </w:rPr>
        <w:t>“</w:t>
      </w:r>
      <w:r w:rsidR="000F3DDA" w:rsidRPr="00DB5BAC">
        <w:rPr>
          <w:color w:val="auto"/>
          <w:sz w:val="20"/>
        </w:rPr>
        <w:t xml:space="preserve">que los actos que el Congreso procuraba reparar eran violaciones de </w:t>
      </w:r>
      <w:r w:rsidR="008B692D" w:rsidRPr="00DB5BAC">
        <w:rPr>
          <w:i/>
          <w:color w:val="auto"/>
          <w:sz w:val="20"/>
        </w:rPr>
        <w:t>jus cogens</w:t>
      </w:r>
      <w:r w:rsidR="000F3DDA" w:rsidRPr="00DB5BAC">
        <w:rPr>
          <w:color w:val="auto"/>
          <w:sz w:val="20"/>
        </w:rPr>
        <w:t xml:space="preserve"> y</w:t>
      </w:r>
      <w:r w:rsidR="008B692D" w:rsidRPr="00DB5BAC">
        <w:rPr>
          <w:color w:val="auto"/>
          <w:sz w:val="20"/>
        </w:rPr>
        <w:t xml:space="preserve"> </w:t>
      </w:r>
      <w:r w:rsidR="000F3DDA" w:rsidRPr="00DB5BAC">
        <w:rPr>
          <w:color w:val="auto"/>
          <w:sz w:val="20"/>
        </w:rPr>
        <w:t xml:space="preserve">que, como tales </w:t>
      </w:r>
      <w:r w:rsidR="008B692D" w:rsidRPr="00DB5BAC">
        <w:rPr>
          <w:color w:val="auto"/>
          <w:sz w:val="20"/>
        </w:rPr>
        <w:t>viola</w:t>
      </w:r>
      <w:r w:rsidR="000F3DDA" w:rsidRPr="00DB5BAC">
        <w:rPr>
          <w:color w:val="auto"/>
          <w:sz w:val="20"/>
        </w:rPr>
        <w:t>c</w:t>
      </w:r>
      <w:r w:rsidR="008B692D" w:rsidRPr="00DB5BAC">
        <w:rPr>
          <w:color w:val="auto"/>
          <w:sz w:val="20"/>
        </w:rPr>
        <w:t>ion</w:t>
      </w:r>
      <w:r w:rsidR="000F3DDA" w:rsidRPr="00DB5BAC">
        <w:rPr>
          <w:color w:val="auto"/>
          <w:sz w:val="20"/>
        </w:rPr>
        <w:t xml:space="preserve">es traen aparejada la obligación de reparar, se podía interpretar fácilmente </w:t>
      </w:r>
      <w:r w:rsidR="006D2D74">
        <w:rPr>
          <w:color w:val="auto"/>
          <w:sz w:val="20"/>
        </w:rPr>
        <w:t>[</w:t>
      </w:r>
      <w:r w:rsidR="000F3DDA" w:rsidRPr="00DB5BAC">
        <w:rPr>
          <w:color w:val="auto"/>
          <w:sz w:val="20"/>
        </w:rPr>
        <w:t>que</w:t>
      </w:r>
      <w:r w:rsidR="006D2D74">
        <w:rPr>
          <w:color w:val="auto"/>
          <w:sz w:val="20"/>
        </w:rPr>
        <w:t>]</w:t>
      </w:r>
      <w:r w:rsidR="000F3DDA" w:rsidRPr="00DB5BAC">
        <w:rPr>
          <w:color w:val="auto"/>
          <w:sz w:val="20"/>
        </w:rPr>
        <w:t xml:space="preserve"> la ley</w:t>
      </w:r>
      <w:r w:rsidR="006D2D74">
        <w:rPr>
          <w:color w:val="auto"/>
          <w:sz w:val="20"/>
        </w:rPr>
        <w:t>”</w:t>
      </w:r>
      <w:r w:rsidR="000F3DDA" w:rsidRPr="00DB5BAC">
        <w:rPr>
          <w:color w:val="auto"/>
          <w:sz w:val="20"/>
        </w:rPr>
        <w:t xml:space="preserve"> se aplicaba a </w:t>
      </w:r>
      <w:r w:rsidR="005B1600" w:rsidRPr="00DB5BAC">
        <w:rPr>
          <w:color w:val="auto"/>
          <w:sz w:val="20"/>
        </w:rPr>
        <w:t>los Shibayama</w:t>
      </w:r>
      <w:r w:rsidR="008B692D" w:rsidRPr="00DB5BAC">
        <w:rPr>
          <w:rStyle w:val="FootnoteReference"/>
          <w:color w:val="auto"/>
          <w:sz w:val="20"/>
        </w:rPr>
        <w:footnoteReference w:id="80"/>
      </w:r>
      <w:r w:rsidR="000F3DDA" w:rsidRPr="00DB5BAC">
        <w:rPr>
          <w:color w:val="auto"/>
          <w:sz w:val="20"/>
        </w:rPr>
        <w:t xml:space="preserve">. Al respecto, </w:t>
      </w:r>
      <w:r w:rsidR="006D2D74">
        <w:rPr>
          <w:color w:val="auto"/>
          <w:sz w:val="20"/>
        </w:rPr>
        <w:t>la</w:t>
      </w:r>
      <w:r w:rsidR="000F3DDA" w:rsidRPr="00DB5BAC">
        <w:rPr>
          <w:color w:val="auto"/>
          <w:sz w:val="20"/>
        </w:rPr>
        <w:t xml:space="preserve"> juez</w:t>
      </w:r>
      <w:r w:rsidR="006D2D74">
        <w:rPr>
          <w:color w:val="auto"/>
          <w:sz w:val="20"/>
        </w:rPr>
        <w:t>a</w:t>
      </w:r>
      <w:r w:rsidR="000F3DDA" w:rsidRPr="00DB5BAC">
        <w:rPr>
          <w:color w:val="auto"/>
          <w:sz w:val="20"/>
        </w:rPr>
        <w:t xml:space="preserve"> manifestó lo siguiente en los argumentos orales:</w:t>
      </w:r>
    </w:p>
    <w:p w14:paraId="3E804875" w14:textId="77777777" w:rsidR="0072423E" w:rsidRPr="00DB5BAC" w:rsidRDefault="0072423E" w:rsidP="0072423E">
      <w:pPr>
        <w:pStyle w:val="ListParagraph"/>
        <w:rPr>
          <w:color w:val="auto"/>
          <w:sz w:val="20"/>
          <w:lang w:val="es-ES"/>
        </w:rPr>
      </w:pPr>
    </w:p>
    <w:p w14:paraId="5A6875BD" w14:textId="77777777" w:rsidR="0072423E" w:rsidRPr="00152FF5" w:rsidRDefault="00B673BD" w:rsidP="00152FF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rPr>
      </w:pPr>
      <w:r w:rsidRPr="00152FF5">
        <w:rPr>
          <w:color w:val="auto"/>
          <w:sz w:val="18"/>
          <w:szCs w:val="18"/>
        </w:rPr>
        <w:t>Estamos interpretando y analizando una ley sobre restitución. En realidad, ahora no estamos hablando sobre la moralidad o inmoralidad de lo que se le hizo a este grupo de personas</w:t>
      </w:r>
      <w:r w:rsidR="0072423E" w:rsidRPr="00152FF5">
        <w:rPr>
          <w:color w:val="auto"/>
          <w:sz w:val="18"/>
          <w:szCs w:val="18"/>
        </w:rPr>
        <w:t xml:space="preserve">. </w:t>
      </w:r>
      <w:r w:rsidRPr="00152FF5">
        <w:rPr>
          <w:color w:val="auto"/>
          <w:sz w:val="18"/>
          <w:szCs w:val="18"/>
        </w:rPr>
        <w:t xml:space="preserve">Estamos tratando de determinar si la ley sobre restitución se aplica a este grupo </w:t>
      </w:r>
      <w:r w:rsidR="0072423E" w:rsidRPr="00152FF5">
        <w:rPr>
          <w:color w:val="auto"/>
          <w:sz w:val="18"/>
          <w:szCs w:val="18"/>
        </w:rPr>
        <w:t xml:space="preserve">particular </w:t>
      </w:r>
      <w:r w:rsidRPr="00152FF5">
        <w:rPr>
          <w:color w:val="auto"/>
          <w:sz w:val="18"/>
          <w:szCs w:val="18"/>
        </w:rPr>
        <w:t>de demandantes y la razón por la cual se aplica o no se aplica, pero sin impugnar la existencia de dicha ley ni lo que en ella se estipula</w:t>
      </w:r>
      <w:r w:rsidR="0072423E" w:rsidRPr="00152FF5">
        <w:rPr>
          <w:rStyle w:val="FootnoteReference"/>
          <w:color w:val="auto"/>
          <w:sz w:val="18"/>
          <w:szCs w:val="18"/>
        </w:rPr>
        <w:footnoteReference w:id="81"/>
      </w:r>
      <w:r w:rsidRPr="00152FF5">
        <w:rPr>
          <w:color w:val="auto"/>
          <w:sz w:val="18"/>
          <w:szCs w:val="18"/>
        </w:rPr>
        <w:t>.</w:t>
      </w:r>
    </w:p>
    <w:p w14:paraId="7479A734" w14:textId="77777777" w:rsidR="0072423E" w:rsidRPr="00DB5BAC" w:rsidRDefault="0072423E" w:rsidP="0072423E">
      <w:pPr>
        <w:pStyle w:val="ListParagraph"/>
        <w:rPr>
          <w:color w:val="auto"/>
          <w:sz w:val="20"/>
          <w:lang w:val="es-ES"/>
        </w:rPr>
      </w:pPr>
    </w:p>
    <w:p w14:paraId="7A106408" w14:textId="77777777" w:rsidR="0072423E" w:rsidRPr="00DB5BAC" w:rsidRDefault="00B673BD"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Por último, el </w:t>
      </w:r>
      <w:r w:rsidR="00344DD8" w:rsidRPr="00DB5BAC">
        <w:rPr>
          <w:color w:val="auto"/>
          <w:sz w:val="20"/>
        </w:rPr>
        <w:t>Tribunal de Reclamaciones Federales</w:t>
      </w:r>
      <w:r w:rsidR="0072423E" w:rsidRPr="00DB5BAC">
        <w:rPr>
          <w:color w:val="auto"/>
          <w:sz w:val="20"/>
        </w:rPr>
        <w:t xml:space="preserve"> re</w:t>
      </w:r>
      <w:r w:rsidRPr="00DB5BAC">
        <w:rPr>
          <w:color w:val="auto"/>
          <w:sz w:val="20"/>
        </w:rPr>
        <w:t>chazó la</w:t>
      </w:r>
      <w:r w:rsidR="00774F9D" w:rsidRPr="00DB5BAC">
        <w:rPr>
          <w:color w:val="auto"/>
          <w:sz w:val="20"/>
        </w:rPr>
        <w:t>s</w:t>
      </w:r>
      <w:r w:rsidRPr="00DB5BAC">
        <w:rPr>
          <w:color w:val="auto"/>
          <w:sz w:val="20"/>
        </w:rPr>
        <w:t xml:space="preserve"> solicitud</w:t>
      </w:r>
      <w:r w:rsidR="00774F9D" w:rsidRPr="00DB5BAC">
        <w:rPr>
          <w:color w:val="auto"/>
          <w:sz w:val="20"/>
        </w:rPr>
        <w:t>es</w:t>
      </w:r>
      <w:r w:rsidRPr="00DB5BAC">
        <w:rPr>
          <w:color w:val="auto"/>
          <w:sz w:val="20"/>
        </w:rPr>
        <w:t xml:space="preserve"> de los </w:t>
      </w:r>
      <w:r w:rsidR="005B1600" w:rsidRPr="00DB5BAC">
        <w:rPr>
          <w:color w:val="auto"/>
          <w:sz w:val="20"/>
        </w:rPr>
        <w:t>Shibayama</w:t>
      </w:r>
      <w:r w:rsidRPr="00DB5BAC">
        <w:rPr>
          <w:color w:val="auto"/>
          <w:sz w:val="20"/>
        </w:rPr>
        <w:t xml:space="preserve"> de que se desembolsaran fondos del </w:t>
      </w:r>
      <w:r w:rsidR="00F55669" w:rsidRPr="00DB5BAC">
        <w:rPr>
          <w:color w:val="auto"/>
          <w:sz w:val="20"/>
        </w:rPr>
        <w:t xml:space="preserve">Estado para educar al público y </w:t>
      </w:r>
      <w:r w:rsidR="00774F9D" w:rsidRPr="00DB5BAC">
        <w:rPr>
          <w:color w:val="auto"/>
          <w:sz w:val="20"/>
        </w:rPr>
        <w:t xml:space="preserve">de que les </w:t>
      </w:r>
      <w:r w:rsidR="00F55669" w:rsidRPr="00DB5BAC">
        <w:rPr>
          <w:color w:val="auto"/>
          <w:sz w:val="20"/>
        </w:rPr>
        <w:t>restitu</w:t>
      </w:r>
      <w:r w:rsidR="00774F9D" w:rsidRPr="00DB5BAC">
        <w:rPr>
          <w:color w:val="auto"/>
          <w:sz w:val="20"/>
        </w:rPr>
        <w:t>yeran</w:t>
      </w:r>
      <w:r w:rsidR="00F55669" w:rsidRPr="00DB5BAC">
        <w:rPr>
          <w:color w:val="auto"/>
          <w:sz w:val="20"/>
        </w:rPr>
        <w:t xml:space="preserve"> los impuestos </w:t>
      </w:r>
      <w:r w:rsidR="00F55669" w:rsidRPr="00DB5BAC">
        <w:rPr>
          <w:color w:val="auto"/>
          <w:sz w:val="20"/>
        </w:rPr>
        <w:lastRenderedPageBreak/>
        <w:t xml:space="preserve">excesivos que </w:t>
      </w:r>
      <w:r w:rsidR="00774F9D" w:rsidRPr="00DB5BAC">
        <w:rPr>
          <w:color w:val="auto"/>
          <w:sz w:val="20"/>
        </w:rPr>
        <w:t xml:space="preserve">habían tenido </w:t>
      </w:r>
      <w:r w:rsidR="00F55669" w:rsidRPr="00DB5BAC">
        <w:rPr>
          <w:color w:val="auto"/>
          <w:sz w:val="20"/>
        </w:rPr>
        <w:t xml:space="preserve">que pagar sobre los ingresos personales porque los demandantes no </w:t>
      </w:r>
      <w:r w:rsidR="00774F9D" w:rsidRPr="00DB5BAC">
        <w:rPr>
          <w:color w:val="auto"/>
          <w:sz w:val="20"/>
        </w:rPr>
        <w:t>plantear</w:t>
      </w:r>
      <w:r w:rsidR="00F55669" w:rsidRPr="00DB5BAC">
        <w:rPr>
          <w:color w:val="auto"/>
          <w:sz w:val="20"/>
        </w:rPr>
        <w:t xml:space="preserve">on una base jurisdiccional para que el Tribunal </w:t>
      </w:r>
      <w:r w:rsidR="00774F9D" w:rsidRPr="00DB5BAC">
        <w:rPr>
          <w:color w:val="auto"/>
          <w:sz w:val="20"/>
        </w:rPr>
        <w:t xml:space="preserve">les otorgara la </w:t>
      </w:r>
      <w:r w:rsidR="00F55669" w:rsidRPr="00DB5BAC">
        <w:rPr>
          <w:color w:val="auto"/>
          <w:sz w:val="20"/>
        </w:rPr>
        <w:t>reparación que solicitaban</w:t>
      </w:r>
      <w:r w:rsidR="0072423E" w:rsidRPr="00DB5BAC">
        <w:rPr>
          <w:rStyle w:val="FootnoteReference"/>
          <w:color w:val="auto"/>
          <w:sz w:val="20"/>
        </w:rPr>
        <w:footnoteReference w:id="82"/>
      </w:r>
      <w:r w:rsidR="00F55669" w:rsidRPr="00DB5BAC">
        <w:rPr>
          <w:color w:val="auto"/>
          <w:sz w:val="20"/>
        </w:rPr>
        <w:t>.</w:t>
      </w:r>
    </w:p>
    <w:p w14:paraId="61DA87B5" w14:textId="77777777" w:rsidR="00D73DBB" w:rsidRPr="00DB5BAC" w:rsidRDefault="00D73DBB" w:rsidP="00D73DB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17950DE3" w14:textId="77777777" w:rsidR="00D73DBB" w:rsidRPr="00DB5BAC" w:rsidRDefault="001A0681"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Como se explica detenidamente en el </w:t>
      </w:r>
      <w:r w:rsidR="006D2D74">
        <w:rPr>
          <w:color w:val="auto"/>
          <w:sz w:val="20"/>
        </w:rPr>
        <w:t>Informe de A</w:t>
      </w:r>
      <w:r w:rsidR="00545CB4" w:rsidRPr="00DB5BAC">
        <w:rPr>
          <w:color w:val="auto"/>
          <w:sz w:val="20"/>
        </w:rPr>
        <w:t>dmisibilidad</w:t>
      </w:r>
      <w:r w:rsidR="00D73DBB" w:rsidRPr="00DB5BAC">
        <w:rPr>
          <w:color w:val="auto"/>
          <w:sz w:val="20"/>
        </w:rPr>
        <w:t xml:space="preserve">, </w:t>
      </w:r>
      <w:r w:rsidR="005B1600" w:rsidRPr="00DB5BAC">
        <w:rPr>
          <w:color w:val="auto"/>
          <w:sz w:val="20"/>
        </w:rPr>
        <w:t>los Shibayama</w:t>
      </w:r>
      <w:r w:rsidR="00D73DBB" w:rsidRPr="00DB5BAC">
        <w:rPr>
          <w:color w:val="auto"/>
          <w:sz w:val="20"/>
        </w:rPr>
        <w:t xml:space="preserve"> </w:t>
      </w:r>
      <w:r w:rsidRPr="00DB5BAC">
        <w:rPr>
          <w:color w:val="auto"/>
          <w:sz w:val="20"/>
        </w:rPr>
        <w:t xml:space="preserve">no apelaron esta decisión por temor de que el tribunal los sancionara por interponer una demanda </w:t>
      </w:r>
      <w:r w:rsidR="006D2D74">
        <w:rPr>
          <w:color w:val="auto"/>
          <w:sz w:val="20"/>
        </w:rPr>
        <w:t>“</w:t>
      </w:r>
      <w:r w:rsidRPr="00DB5BAC">
        <w:rPr>
          <w:color w:val="auto"/>
          <w:sz w:val="20"/>
        </w:rPr>
        <w:t>frívola</w:t>
      </w:r>
      <w:r w:rsidR="006D2D74">
        <w:rPr>
          <w:color w:val="auto"/>
          <w:sz w:val="20"/>
        </w:rPr>
        <w:t>”</w:t>
      </w:r>
      <w:r w:rsidRPr="00DB5BAC">
        <w:rPr>
          <w:color w:val="auto"/>
          <w:sz w:val="20"/>
        </w:rPr>
        <w:t>, ya que las reclamaciones efectuadas por otras personas en una situación similar a la de los</w:t>
      </w:r>
      <w:r w:rsidR="00D73DBB" w:rsidRPr="00DB5BAC">
        <w:rPr>
          <w:color w:val="auto"/>
          <w:sz w:val="20"/>
        </w:rPr>
        <w:t xml:space="preserve"> </w:t>
      </w:r>
      <w:r w:rsidR="000648EF" w:rsidRPr="00DB5BAC">
        <w:rPr>
          <w:color w:val="auto"/>
          <w:sz w:val="20"/>
        </w:rPr>
        <w:t>peticionarios</w:t>
      </w:r>
      <w:r w:rsidRPr="00DB5BAC">
        <w:rPr>
          <w:color w:val="auto"/>
          <w:sz w:val="20"/>
        </w:rPr>
        <w:t xml:space="preserve">, que no se basaban en </w:t>
      </w:r>
      <w:r w:rsidR="00725FFD" w:rsidRPr="00DB5BAC">
        <w:rPr>
          <w:color w:val="auto"/>
          <w:sz w:val="20"/>
        </w:rPr>
        <w:t xml:space="preserve">la </w:t>
      </w:r>
      <w:r w:rsidR="00CA2EFA" w:rsidRPr="00DB5BAC">
        <w:rPr>
          <w:color w:val="auto"/>
          <w:sz w:val="20"/>
        </w:rPr>
        <w:t>Ley de Libertades Civiles</w:t>
      </w:r>
      <w:r w:rsidR="000C4215" w:rsidRPr="00DB5BAC">
        <w:rPr>
          <w:color w:val="auto"/>
          <w:sz w:val="20"/>
        </w:rPr>
        <w:t>,</w:t>
      </w:r>
      <w:r w:rsidR="00D73DBB" w:rsidRPr="00DB5BAC">
        <w:rPr>
          <w:color w:val="auto"/>
          <w:sz w:val="20"/>
        </w:rPr>
        <w:t xml:space="preserve"> </w:t>
      </w:r>
      <w:r w:rsidRPr="00DB5BAC">
        <w:rPr>
          <w:color w:val="auto"/>
          <w:sz w:val="20"/>
        </w:rPr>
        <w:t xml:space="preserve">sino en la Constitución de </w:t>
      </w:r>
      <w:r w:rsidR="000648EF" w:rsidRPr="00DB5BAC">
        <w:rPr>
          <w:color w:val="auto"/>
          <w:sz w:val="20"/>
        </w:rPr>
        <w:t>Estados Unidos</w:t>
      </w:r>
      <w:r w:rsidRPr="00DB5BAC">
        <w:rPr>
          <w:color w:val="auto"/>
          <w:sz w:val="20"/>
        </w:rPr>
        <w:t xml:space="preserve">, el derecho de los derechos civiles y el </w:t>
      </w:r>
      <w:r w:rsidR="00412B98" w:rsidRPr="00DB5BAC">
        <w:rPr>
          <w:color w:val="auto"/>
          <w:sz w:val="20"/>
        </w:rPr>
        <w:t>derecho internacional humanitario</w:t>
      </w:r>
      <w:r w:rsidRPr="00DB5BAC">
        <w:rPr>
          <w:color w:val="auto"/>
          <w:sz w:val="20"/>
        </w:rPr>
        <w:t>, no habían prosperado ante el Tribunal Federal de Apelaciones</w:t>
      </w:r>
      <w:r w:rsidR="00D73DBB" w:rsidRPr="00DB5BAC">
        <w:rPr>
          <w:color w:val="auto"/>
          <w:sz w:val="20"/>
        </w:rPr>
        <w:t xml:space="preserve"> </w:t>
      </w:r>
      <w:r w:rsidRPr="00DB5BAC">
        <w:rPr>
          <w:color w:val="auto"/>
          <w:sz w:val="20"/>
        </w:rPr>
        <w:t>para el Noveno Circuito y</w:t>
      </w:r>
      <w:r w:rsidR="001B2CCB" w:rsidRPr="00DB5BAC">
        <w:rPr>
          <w:color w:val="auto"/>
          <w:sz w:val="20"/>
        </w:rPr>
        <w:t xml:space="preserve">, en octubre de 2001, la </w:t>
      </w:r>
      <w:r w:rsidRPr="00DB5BAC">
        <w:rPr>
          <w:color w:val="auto"/>
          <w:sz w:val="20"/>
        </w:rPr>
        <w:t>Corte Suprema había denegado el auto de avocación</w:t>
      </w:r>
      <w:r w:rsidR="006D2D74">
        <w:rPr>
          <w:color w:val="auto"/>
          <w:sz w:val="20"/>
        </w:rPr>
        <w:t xml:space="preserve"> (</w:t>
      </w:r>
      <w:r w:rsidR="006D2D74">
        <w:rPr>
          <w:i/>
          <w:color w:val="auto"/>
          <w:sz w:val="20"/>
        </w:rPr>
        <w:t>certiorari</w:t>
      </w:r>
      <w:r w:rsidR="006D2D74">
        <w:rPr>
          <w:color w:val="auto"/>
          <w:sz w:val="20"/>
        </w:rPr>
        <w:t>)</w:t>
      </w:r>
      <w:r w:rsidR="00BD45C8" w:rsidRPr="00DB5BAC">
        <w:rPr>
          <w:color w:val="auto"/>
          <w:sz w:val="20"/>
        </w:rPr>
        <w:t>.</w:t>
      </w:r>
      <w:r w:rsidR="00D73DBB" w:rsidRPr="00DB5BAC">
        <w:rPr>
          <w:color w:val="auto"/>
          <w:sz w:val="20"/>
        </w:rPr>
        <w:t xml:space="preserve"> </w:t>
      </w:r>
      <w:r w:rsidR="001B2CCB" w:rsidRPr="00DB5BAC">
        <w:rPr>
          <w:color w:val="auto"/>
          <w:sz w:val="20"/>
        </w:rPr>
        <w:t>Por esta razón</w:t>
      </w:r>
      <w:r w:rsidR="00BD45C8" w:rsidRPr="00DB5BAC">
        <w:rPr>
          <w:color w:val="auto"/>
          <w:sz w:val="20"/>
        </w:rPr>
        <w:t>,</w:t>
      </w:r>
      <w:r w:rsidR="00D73DBB" w:rsidRPr="00DB5BAC">
        <w:rPr>
          <w:color w:val="auto"/>
          <w:sz w:val="20"/>
        </w:rPr>
        <w:t xml:space="preserve"> </w:t>
      </w:r>
      <w:r w:rsidR="000648EF" w:rsidRPr="00DB5BAC">
        <w:rPr>
          <w:color w:val="auto"/>
          <w:sz w:val="20"/>
        </w:rPr>
        <w:t>la Comisión</w:t>
      </w:r>
      <w:r w:rsidR="00D73DBB" w:rsidRPr="00DB5BAC">
        <w:rPr>
          <w:color w:val="auto"/>
          <w:sz w:val="20"/>
        </w:rPr>
        <w:t xml:space="preserve"> </w:t>
      </w:r>
      <w:r w:rsidR="006D2D74">
        <w:rPr>
          <w:color w:val="auto"/>
          <w:sz w:val="20"/>
        </w:rPr>
        <w:t>concluyó</w:t>
      </w:r>
      <w:r w:rsidR="001B2CCB" w:rsidRPr="00DB5BAC">
        <w:rPr>
          <w:color w:val="auto"/>
          <w:sz w:val="20"/>
        </w:rPr>
        <w:t xml:space="preserve"> que la continuación de las apelaciones de los</w:t>
      </w:r>
      <w:r w:rsidR="005B1600" w:rsidRPr="00DB5BAC">
        <w:rPr>
          <w:color w:val="auto"/>
          <w:sz w:val="20"/>
        </w:rPr>
        <w:t xml:space="preserve"> Shibayama</w:t>
      </w:r>
      <w:r w:rsidR="001B2CCB" w:rsidRPr="00DB5BAC">
        <w:rPr>
          <w:color w:val="auto"/>
          <w:sz w:val="20"/>
        </w:rPr>
        <w:t xml:space="preserve"> que no se basaban </w:t>
      </w:r>
      <w:r w:rsidR="00725FFD" w:rsidRPr="00DB5BAC">
        <w:rPr>
          <w:color w:val="auto"/>
          <w:sz w:val="20"/>
        </w:rPr>
        <w:t xml:space="preserve">en la </w:t>
      </w:r>
      <w:r w:rsidR="00CA2EFA" w:rsidRPr="00DB5BAC">
        <w:rPr>
          <w:color w:val="auto"/>
          <w:sz w:val="20"/>
        </w:rPr>
        <w:t>Ley de Libertades Civiles</w:t>
      </w:r>
      <w:r w:rsidR="00D73DBB" w:rsidRPr="00DB5BAC">
        <w:rPr>
          <w:color w:val="auto"/>
          <w:sz w:val="20"/>
        </w:rPr>
        <w:t xml:space="preserve"> </w:t>
      </w:r>
      <w:r w:rsidR="006D2D74">
        <w:rPr>
          <w:color w:val="auto"/>
          <w:sz w:val="20"/>
        </w:rPr>
        <w:t>“</w:t>
      </w:r>
      <w:r w:rsidR="001B2CCB" w:rsidRPr="00DB5BAC">
        <w:rPr>
          <w:color w:val="auto"/>
          <w:sz w:val="20"/>
        </w:rPr>
        <w:t xml:space="preserve">no tenía perspectivas razonables de </w:t>
      </w:r>
      <w:r w:rsidR="00774F9D" w:rsidRPr="00DB5BAC">
        <w:rPr>
          <w:color w:val="auto"/>
          <w:sz w:val="20"/>
        </w:rPr>
        <w:t>prosperar</w:t>
      </w:r>
      <w:r w:rsidR="006D2D74">
        <w:rPr>
          <w:color w:val="auto"/>
          <w:sz w:val="20"/>
        </w:rPr>
        <w:t>”</w:t>
      </w:r>
      <w:r w:rsidR="001B2CCB" w:rsidRPr="00DB5BAC">
        <w:rPr>
          <w:color w:val="auto"/>
          <w:sz w:val="20"/>
        </w:rPr>
        <w:t xml:space="preserve"> ante los tribunales estadounidenses</w:t>
      </w:r>
      <w:r w:rsidR="00D73DBB" w:rsidRPr="00DB5BAC">
        <w:rPr>
          <w:rStyle w:val="FootnoteReference"/>
          <w:color w:val="auto"/>
          <w:sz w:val="20"/>
        </w:rPr>
        <w:footnoteReference w:id="83"/>
      </w:r>
      <w:r w:rsidR="001B2CCB" w:rsidRPr="00DB5BAC">
        <w:rPr>
          <w:color w:val="auto"/>
          <w:sz w:val="20"/>
        </w:rPr>
        <w:t>.</w:t>
      </w:r>
    </w:p>
    <w:p w14:paraId="4C427CDB" w14:textId="77777777" w:rsidR="00AA2450" w:rsidRPr="00DB5BAC" w:rsidRDefault="00AA2450" w:rsidP="00AA2450">
      <w:pPr>
        <w:pStyle w:val="ListParagraph"/>
        <w:rPr>
          <w:color w:val="auto"/>
          <w:sz w:val="20"/>
          <w:szCs w:val="20"/>
          <w:lang w:val="es-ES"/>
        </w:rPr>
      </w:pPr>
    </w:p>
    <w:p w14:paraId="2DBCAAA9" w14:textId="77777777" w:rsidR="00D12193" w:rsidRPr="00DB5BAC" w:rsidRDefault="000648EF" w:rsidP="00C53C19">
      <w:pPr>
        <w:pStyle w:val="Heading1"/>
        <w:rPr>
          <w:color w:val="auto"/>
          <w:lang w:val="es-ES"/>
        </w:rPr>
      </w:pPr>
      <w:bookmarkStart w:id="13" w:name="_Toc27473288"/>
      <w:r w:rsidRPr="00DB5BAC">
        <w:rPr>
          <w:color w:val="auto"/>
          <w:lang w:val="es-ES"/>
        </w:rPr>
        <w:t xml:space="preserve">ANÁLISIS </w:t>
      </w:r>
      <w:r w:rsidR="006D2D74">
        <w:rPr>
          <w:color w:val="auto"/>
          <w:lang w:val="es-ES"/>
        </w:rPr>
        <w:t>DE DERECHO</w:t>
      </w:r>
      <w:bookmarkEnd w:id="13"/>
    </w:p>
    <w:p w14:paraId="39EBEBB6" w14:textId="77777777" w:rsidR="007C756A" w:rsidRPr="00DB5BAC" w:rsidRDefault="007C756A" w:rsidP="00F902EB">
      <w:pPr>
        <w:suppressAutoHyphens/>
        <w:rPr>
          <w:rFonts w:asciiTheme="majorHAnsi" w:hAnsiTheme="majorHAnsi"/>
          <w:b/>
          <w:color w:val="auto"/>
          <w:sz w:val="20"/>
        </w:rPr>
      </w:pPr>
    </w:p>
    <w:p w14:paraId="2ABE888C" w14:textId="77777777" w:rsidR="00C532E7" w:rsidRPr="00DB5BAC" w:rsidRDefault="002F47B8" w:rsidP="002F47B8">
      <w:pPr>
        <w:pStyle w:val="Heading2"/>
        <w:numPr>
          <w:ilvl w:val="0"/>
          <w:numId w:val="0"/>
        </w:numPr>
        <w:ind w:left="1440" w:hanging="810"/>
        <w:rPr>
          <w:lang w:val="es-ES"/>
        </w:rPr>
      </w:pPr>
      <w:bookmarkStart w:id="14" w:name="_Toc528598038"/>
      <w:bookmarkStart w:id="15" w:name="_Toc27473289"/>
      <w:r w:rsidRPr="00DB5BAC">
        <w:rPr>
          <w:lang w:val="es-ES"/>
        </w:rPr>
        <w:t>A.</w:t>
      </w:r>
      <w:r w:rsidRPr="00DB5BAC">
        <w:rPr>
          <w:lang w:val="es-ES"/>
        </w:rPr>
        <w:tab/>
      </w:r>
      <w:r w:rsidR="001B2CCB" w:rsidRPr="00DB5BAC">
        <w:rPr>
          <w:lang w:val="es-ES"/>
        </w:rPr>
        <w:t>Aplicación</w:t>
      </w:r>
      <w:r w:rsidR="00C532E7" w:rsidRPr="00DB5BAC">
        <w:rPr>
          <w:lang w:val="es-ES"/>
        </w:rPr>
        <w:t xml:space="preserve"> </w:t>
      </w:r>
      <w:r w:rsidR="001B2CCB" w:rsidRPr="00DB5BAC">
        <w:rPr>
          <w:lang w:val="es-ES"/>
        </w:rPr>
        <w:t xml:space="preserve">e interpretación de la </w:t>
      </w:r>
      <w:r w:rsidR="005B1600" w:rsidRPr="00DB5BAC">
        <w:rPr>
          <w:lang w:val="es-ES"/>
        </w:rPr>
        <w:t>Declaración Americana</w:t>
      </w:r>
      <w:r w:rsidR="00C532E7" w:rsidRPr="00DB5BAC">
        <w:rPr>
          <w:lang w:val="es-ES"/>
        </w:rPr>
        <w:t xml:space="preserve"> </w:t>
      </w:r>
      <w:r w:rsidR="001B2CCB" w:rsidRPr="00DB5BAC">
        <w:rPr>
          <w:lang w:val="es-ES"/>
        </w:rPr>
        <w:t xml:space="preserve">a la luz de los avances realizados en el </w:t>
      </w:r>
      <w:r w:rsidR="007B471E" w:rsidRPr="00DB5BAC">
        <w:rPr>
          <w:lang w:val="es-ES"/>
        </w:rPr>
        <w:t>derecho internacional de los derechos humanos</w:t>
      </w:r>
      <w:r w:rsidR="001B2CCB" w:rsidRPr="00DB5BAC">
        <w:rPr>
          <w:lang w:val="es-ES"/>
        </w:rPr>
        <w:t xml:space="preserve"> tras su adopción</w:t>
      </w:r>
      <w:bookmarkEnd w:id="14"/>
      <w:bookmarkEnd w:id="15"/>
    </w:p>
    <w:p w14:paraId="6A893E1F" w14:textId="77777777" w:rsidR="00C532E7" w:rsidRPr="00DB5BAC" w:rsidRDefault="00C532E7" w:rsidP="00C532E7">
      <w:pPr>
        <w:rPr>
          <w:rFonts w:asciiTheme="majorHAnsi" w:hAnsiTheme="majorHAnsi"/>
          <w:sz w:val="20"/>
        </w:rPr>
      </w:pPr>
    </w:p>
    <w:p w14:paraId="2E210E3E" w14:textId="77777777" w:rsidR="00C532E7" w:rsidRPr="00DB5BAC" w:rsidRDefault="00AA2D61" w:rsidP="00D47899">
      <w:pPr>
        <w:pStyle w:val="ListParagraph"/>
        <w:numPr>
          <w:ilvl w:val="0"/>
          <w:numId w:val="55"/>
        </w:numPr>
        <w:ind w:left="0" w:firstLine="634"/>
        <w:jc w:val="both"/>
        <w:rPr>
          <w:rFonts w:asciiTheme="majorHAnsi" w:hAnsiTheme="majorHAnsi"/>
          <w:color w:val="auto"/>
          <w:sz w:val="20"/>
          <w:szCs w:val="20"/>
          <w:lang w:val="es-ES"/>
        </w:rPr>
      </w:pPr>
      <w:r w:rsidRPr="00DB5BAC">
        <w:rPr>
          <w:rFonts w:eastAsia="Times New Roman"/>
          <w:bCs/>
          <w:sz w:val="20"/>
          <w:szCs w:val="20"/>
          <w:bdr w:val="none" w:sz="0" w:space="0" w:color="auto"/>
          <w:lang w:val="es-ES"/>
        </w:rPr>
        <w:t xml:space="preserve">La </w:t>
      </w:r>
      <w:r w:rsidR="005B1600" w:rsidRPr="00DB5BAC">
        <w:rPr>
          <w:rFonts w:eastAsia="Times New Roman"/>
          <w:bCs/>
          <w:sz w:val="20"/>
          <w:szCs w:val="20"/>
          <w:bdr w:val="none" w:sz="0" w:space="0" w:color="auto"/>
          <w:lang w:val="es-ES"/>
        </w:rPr>
        <w:t>Declaración Americana</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 xml:space="preserve">es una fuente de obligaciones jurídicas que </w:t>
      </w:r>
      <w:r w:rsidR="000648EF" w:rsidRPr="00DB5BAC">
        <w:rPr>
          <w:rFonts w:eastAsia="Times New Roman"/>
          <w:bCs/>
          <w:sz w:val="20"/>
          <w:szCs w:val="20"/>
          <w:bdr w:val="none" w:sz="0" w:space="0" w:color="auto"/>
          <w:lang w:val="es-ES"/>
        </w:rPr>
        <w:t>la Comisión Interamericana</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 xml:space="preserve">puede aplicar a </w:t>
      </w:r>
      <w:r w:rsidR="000648EF" w:rsidRPr="00DB5BAC">
        <w:rPr>
          <w:rFonts w:eastAsia="Times New Roman"/>
          <w:bCs/>
          <w:sz w:val="20"/>
          <w:szCs w:val="20"/>
          <w:bdr w:val="none" w:sz="0" w:space="0" w:color="auto"/>
          <w:lang w:val="es-ES"/>
        </w:rPr>
        <w:t>Estados Unidos</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sobre la base del compromiso d</w:t>
      </w:r>
      <w:r w:rsidR="000648EF" w:rsidRPr="00DB5BAC">
        <w:rPr>
          <w:rFonts w:eastAsia="Times New Roman"/>
          <w:bCs/>
          <w:sz w:val="20"/>
          <w:szCs w:val="20"/>
          <w:bdr w:val="none" w:sz="0" w:space="0" w:color="auto"/>
          <w:lang w:val="es-ES"/>
        </w:rPr>
        <w:t>el Estado</w:t>
      </w:r>
      <w:r w:rsidRPr="00DB5BAC">
        <w:rPr>
          <w:rFonts w:eastAsia="Times New Roman"/>
          <w:bCs/>
          <w:sz w:val="20"/>
          <w:szCs w:val="20"/>
          <w:bdr w:val="none" w:sz="0" w:space="0" w:color="auto"/>
          <w:lang w:val="es-ES"/>
        </w:rPr>
        <w:t xml:space="preserve"> de defender el respeto de los derechos humanos de acuerdo con las disposiciones y definiciones que constan en la Carta de la</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Organización</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 xml:space="preserve">de los Estados </w:t>
      </w:r>
      <w:r w:rsidR="00C532E7" w:rsidRPr="00DB5BAC">
        <w:rPr>
          <w:rFonts w:eastAsia="Times New Roman"/>
          <w:bCs/>
          <w:sz w:val="20"/>
          <w:szCs w:val="20"/>
          <w:bdr w:val="none" w:sz="0" w:space="0" w:color="auto"/>
          <w:lang w:val="es-ES"/>
        </w:rPr>
        <w:t>American</w:t>
      </w:r>
      <w:r w:rsidRPr="00DB5BAC">
        <w:rPr>
          <w:rFonts w:eastAsia="Times New Roman"/>
          <w:bCs/>
          <w:sz w:val="20"/>
          <w:szCs w:val="20"/>
          <w:bdr w:val="none" w:sz="0" w:space="0" w:color="auto"/>
          <w:lang w:val="es-ES"/>
        </w:rPr>
        <w:t>os</w:t>
      </w:r>
      <w:r w:rsidR="00C532E7" w:rsidRPr="00DB5BAC">
        <w:rPr>
          <w:rFonts w:eastAsia="Times New Roman"/>
          <w:bCs/>
          <w:sz w:val="20"/>
          <w:szCs w:val="20"/>
          <w:bdr w:val="none" w:sz="0" w:space="0" w:color="auto"/>
          <w:lang w:val="es-ES"/>
        </w:rPr>
        <w:t xml:space="preserve"> (O</w:t>
      </w:r>
      <w:r w:rsidRPr="00DB5BAC">
        <w:rPr>
          <w:rFonts w:eastAsia="Times New Roman"/>
          <w:bCs/>
          <w:sz w:val="20"/>
          <w:szCs w:val="20"/>
          <w:bdr w:val="none" w:sz="0" w:space="0" w:color="auto"/>
          <w:lang w:val="es-ES"/>
        </w:rPr>
        <w:t>EA</w:t>
      </w:r>
      <w:r w:rsidR="00C532E7" w:rsidRPr="00DB5BAC">
        <w:rPr>
          <w:rFonts w:eastAsia="Times New Roman"/>
          <w:bCs/>
          <w:sz w:val="20"/>
          <w:szCs w:val="20"/>
          <w:bdr w:val="none" w:sz="0" w:space="0" w:color="auto"/>
          <w:lang w:val="es-ES"/>
        </w:rPr>
        <w:t>)</w:t>
      </w:r>
      <w:bookmarkStart w:id="16" w:name="_Ref526241249"/>
      <w:r w:rsidR="00C532E7" w:rsidRPr="00DB5BAC">
        <w:rPr>
          <w:rStyle w:val="FootnoteReference"/>
          <w:rFonts w:eastAsia="Times New Roman"/>
          <w:bCs/>
          <w:sz w:val="20"/>
          <w:szCs w:val="20"/>
          <w:bdr w:val="none" w:sz="0" w:space="0" w:color="auto"/>
          <w:lang w:val="es-ES"/>
        </w:rPr>
        <w:footnoteReference w:id="84"/>
      </w:r>
      <w:bookmarkEnd w:id="16"/>
      <w:r w:rsidRPr="00DB5BAC">
        <w:rPr>
          <w:rFonts w:eastAsia="Times New Roman"/>
          <w:bCs/>
          <w:sz w:val="20"/>
          <w:szCs w:val="20"/>
          <w:bdr w:val="none" w:sz="0" w:space="0" w:color="auto"/>
          <w:lang w:val="es-ES"/>
        </w:rPr>
        <w:t xml:space="preserve">. </w:t>
      </w:r>
      <w:r w:rsidR="000648EF" w:rsidRPr="00DB5BAC">
        <w:rPr>
          <w:rFonts w:eastAsia="Times New Roman"/>
          <w:bCs/>
          <w:sz w:val="20"/>
          <w:szCs w:val="20"/>
          <w:bdr w:val="none" w:sz="0" w:space="0" w:color="auto"/>
          <w:lang w:val="es-ES"/>
        </w:rPr>
        <w:t>Estados Unidos</w:t>
      </w:r>
      <w:r w:rsidR="00C532E7" w:rsidRPr="00DB5BAC">
        <w:rPr>
          <w:rFonts w:eastAsia="Times New Roman"/>
          <w:bCs/>
          <w:sz w:val="20"/>
          <w:szCs w:val="20"/>
          <w:bdr w:val="none" w:sz="0" w:space="0" w:color="auto"/>
          <w:lang w:val="es-ES"/>
        </w:rPr>
        <w:t xml:space="preserve"> deposit</w:t>
      </w:r>
      <w:r w:rsidRPr="00DB5BAC">
        <w:rPr>
          <w:rFonts w:eastAsia="Times New Roman"/>
          <w:bCs/>
          <w:sz w:val="20"/>
          <w:szCs w:val="20"/>
          <w:bdr w:val="none" w:sz="0" w:space="0" w:color="auto"/>
          <w:lang w:val="es-ES"/>
        </w:rPr>
        <w:t>ó su</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instrumento</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de</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ratificación</w:t>
      </w:r>
      <w:r w:rsidR="00C532E7" w:rsidRPr="00DB5BAC">
        <w:rPr>
          <w:rFonts w:eastAsia="Times New Roman"/>
          <w:bCs/>
          <w:sz w:val="20"/>
          <w:szCs w:val="20"/>
          <w:bdr w:val="none" w:sz="0" w:space="0" w:color="auto"/>
          <w:lang w:val="es-ES"/>
        </w:rPr>
        <w:t xml:space="preserve"> </w:t>
      </w:r>
      <w:r w:rsidRPr="00DB5BAC">
        <w:rPr>
          <w:rFonts w:eastAsia="Times New Roman"/>
          <w:bCs/>
          <w:sz w:val="20"/>
          <w:szCs w:val="20"/>
          <w:bdr w:val="none" w:sz="0" w:space="0" w:color="auto"/>
          <w:lang w:val="es-ES"/>
        </w:rPr>
        <w:t xml:space="preserve">de la Carta de la OEA el </w:t>
      </w:r>
      <w:r w:rsidR="00C532E7" w:rsidRPr="00DB5BAC">
        <w:rPr>
          <w:rFonts w:eastAsia="Times New Roman"/>
          <w:bCs/>
          <w:sz w:val="20"/>
          <w:szCs w:val="20"/>
          <w:bdr w:val="none" w:sz="0" w:space="0" w:color="auto"/>
          <w:lang w:val="es-ES"/>
        </w:rPr>
        <w:t>19</w:t>
      </w:r>
      <w:r w:rsidRPr="00DB5BAC">
        <w:rPr>
          <w:rFonts w:eastAsia="Times New Roman"/>
          <w:bCs/>
          <w:sz w:val="20"/>
          <w:szCs w:val="20"/>
          <w:bdr w:val="none" w:sz="0" w:space="0" w:color="auto"/>
          <w:lang w:val="es-ES"/>
        </w:rPr>
        <w:t xml:space="preserve"> de junio de</w:t>
      </w:r>
      <w:r w:rsidR="00C532E7" w:rsidRPr="00DB5BAC">
        <w:rPr>
          <w:rFonts w:eastAsia="Times New Roman"/>
          <w:bCs/>
          <w:sz w:val="20"/>
          <w:szCs w:val="20"/>
          <w:bdr w:val="none" w:sz="0" w:space="0" w:color="auto"/>
          <w:lang w:val="es-ES"/>
        </w:rPr>
        <w:t xml:space="preserve"> 1951. </w:t>
      </w:r>
      <w:r w:rsidR="00421C9F" w:rsidRPr="00DB5BAC">
        <w:rPr>
          <w:rFonts w:eastAsia="Times New Roman"/>
          <w:bCs/>
          <w:sz w:val="20"/>
          <w:szCs w:val="20"/>
          <w:bdr w:val="none" w:sz="0" w:space="0" w:color="auto"/>
          <w:lang w:val="es-ES"/>
        </w:rPr>
        <w:t xml:space="preserve">El artículo </w:t>
      </w:r>
      <w:r w:rsidR="00C532E7" w:rsidRPr="00DB5BAC">
        <w:rPr>
          <w:rFonts w:eastAsia="Times New Roman"/>
          <w:bCs/>
          <w:sz w:val="20"/>
          <w:szCs w:val="20"/>
          <w:bdr w:val="none" w:sz="0" w:space="0" w:color="auto"/>
          <w:lang w:val="es-ES"/>
        </w:rPr>
        <w:t xml:space="preserve">20 </w:t>
      </w:r>
      <w:r w:rsidR="00421C9F" w:rsidRPr="00DB5BAC">
        <w:rPr>
          <w:rFonts w:eastAsia="Times New Roman"/>
          <w:bCs/>
          <w:sz w:val="20"/>
          <w:szCs w:val="20"/>
          <w:bdr w:val="none" w:sz="0" w:space="0" w:color="auto"/>
          <w:lang w:val="es-ES"/>
        </w:rPr>
        <w:t xml:space="preserve">del Estatuto de </w:t>
      </w:r>
      <w:r w:rsidR="000648EF" w:rsidRPr="00DB5BAC">
        <w:rPr>
          <w:rFonts w:eastAsia="Times New Roman"/>
          <w:bCs/>
          <w:sz w:val="20"/>
          <w:szCs w:val="20"/>
          <w:bdr w:val="none" w:sz="0" w:space="0" w:color="auto"/>
          <w:lang w:val="es-ES"/>
        </w:rPr>
        <w:t>la Comisión</w:t>
      </w:r>
      <w:r w:rsidR="00421C9F" w:rsidRPr="00DB5BAC">
        <w:rPr>
          <w:rFonts w:eastAsia="Times New Roman"/>
          <w:bCs/>
          <w:sz w:val="20"/>
          <w:szCs w:val="20"/>
          <w:bdr w:val="none" w:sz="0" w:space="0" w:color="auto"/>
          <w:lang w:val="es-ES"/>
        </w:rPr>
        <w:t xml:space="preserve">, así como su Reglamento, autorizan a la </w:t>
      </w:r>
      <w:r w:rsidR="000648EF" w:rsidRPr="00DB5BAC">
        <w:rPr>
          <w:rFonts w:eastAsia="Times New Roman"/>
          <w:bCs/>
          <w:sz w:val="20"/>
          <w:szCs w:val="20"/>
          <w:bdr w:val="none" w:sz="0" w:space="0" w:color="auto"/>
          <w:lang w:val="es-ES"/>
        </w:rPr>
        <w:t>CIDH</w:t>
      </w:r>
      <w:r w:rsidR="00C532E7" w:rsidRPr="00DB5BAC">
        <w:rPr>
          <w:rFonts w:eastAsia="Times New Roman"/>
          <w:bCs/>
          <w:sz w:val="20"/>
          <w:szCs w:val="20"/>
          <w:bdr w:val="none" w:sz="0" w:space="0" w:color="auto"/>
          <w:lang w:val="es-ES"/>
        </w:rPr>
        <w:t xml:space="preserve"> </w:t>
      </w:r>
      <w:r w:rsidR="00421C9F" w:rsidRPr="00DB5BAC">
        <w:rPr>
          <w:rFonts w:eastAsia="Times New Roman"/>
          <w:bCs/>
          <w:sz w:val="20"/>
          <w:szCs w:val="20"/>
          <w:bdr w:val="none" w:sz="0" w:space="0" w:color="auto"/>
          <w:lang w:val="es-ES"/>
        </w:rPr>
        <w:t xml:space="preserve">a </w:t>
      </w:r>
      <w:r w:rsidR="00C532E7" w:rsidRPr="00DB5BAC">
        <w:rPr>
          <w:rFonts w:eastAsia="Times New Roman"/>
          <w:bCs/>
          <w:sz w:val="20"/>
          <w:szCs w:val="20"/>
          <w:bdr w:val="none" w:sz="0" w:space="0" w:color="auto"/>
          <w:lang w:val="es-ES"/>
        </w:rPr>
        <w:t>examin</w:t>
      </w:r>
      <w:r w:rsidR="00421C9F" w:rsidRPr="00DB5BAC">
        <w:rPr>
          <w:rFonts w:eastAsia="Times New Roman"/>
          <w:bCs/>
          <w:sz w:val="20"/>
          <w:szCs w:val="20"/>
          <w:bdr w:val="none" w:sz="0" w:space="0" w:color="auto"/>
          <w:lang w:val="es-ES"/>
        </w:rPr>
        <w:t>ar las presuntas violaciones de la Declaración</w:t>
      </w:r>
      <w:r w:rsidR="00C532E7" w:rsidRPr="00DB5BAC">
        <w:rPr>
          <w:rFonts w:eastAsia="Times New Roman"/>
          <w:bCs/>
          <w:sz w:val="20"/>
          <w:szCs w:val="20"/>
          <w:bdr w:val="none" w:sz="0" w:space="0" w:color="auto"/>
          <w:lang w:val="es-ES"/>
        </w:rPr>
        <w:t xml:space="preserve"> </w:t>
      </w:r>
      <w:r w:rsidR="00421C9F" w:rsidRPr="00DB5BAC">
        <w:rPr>
          <w:rFonts w:eastAsia="Times New Roman"/>
          <w:bCs/>
          <w:sz w:val="20"/>
          <w:szCs w:val="20"/>
          <w:bdr w:val="none" w:sz="0" w:space="0" w:color="auto"/>
          <w:lang w:val="es-ES"/>
        </w:rPr>
        <w:t xml:space="preserve">planteadas por los </w:t>
      </w:r>
      <w:r w:rsidR="000648EF" w:rsidRPr="00DB5BAC">
        <w:rPr>
          <w:rFonts w:eastAsia="Times New Roman"/>
          <w:bCs/>
          <w:sz w:val="20"/>
          <w:szCs w:val="20"/>
          <w:bdr w:val="none" w:sz="0" w:space="0" w:color="auto"/>
          <w:lang w:val="es-ES"/>
        </w:rPr>
        <w:t>peticionarios</w:t>
      </w:r>
      <w:r w:rsidR="00C532E7" w:rsidRPr="00DB5BAC">
        <w:rPr>
          <w:rFonts w:eastAsia="Times New Roman"/>
          <w:bCs/>
          <w:sz w:val="20"/>
          <w:szCs w:val="20"/>
          <w:bdr w:val="none" w:sz="0" w:space="0" w:color="auto"/>
          <w:lang w:val="es-ES"/>
        </w:rPr>
        <w:t xml:space="preserve"> </w:t>
      </w:r>
      <w:r w:rsidR="00C700C3" w:rsidRPr="00DB5BAC">
        <w:rPr>
          <w:rFonts w:eastAsia="Times New Roman"/>
          <w:bCs/>
          <w:sz w:val="20"/>
          <w:szCs w:val="20"/>
          <w:bdr w:val="none" w:sz="0" w:space="0" w:color="auto"/>
          <w:lang w:val="es-ES"/>
        </w:rPr>
        <w:t xml:space="preserve">contra </w:t>
      </w:r>
      <w:r w:rsidR="000648EF" w:rsidRPr="00DB5BAC">
        <w:rPr>
          <w:rFonts w:eastAsia="Times New Roman"/>
          <w:bCs/>
          <w:sz w:val="20"/>
          <w:szCs w:val="20"/>
          <w:bdr w:val="none" w:sz="0" w:space="0" w:color="auto"/>
          <w:lang w:val="es-ES"/>
        </w:rPr>
        <w:t>el Estado</w:t>
      </w:r>
      <w:r w:rsidR="00C700C3" w:rsidRPr="00DB5BAC">
        <w:rPr>
          <w:rFonts w:eastAsia="Times New Roman"/>
          <w:bCs/>
          <w:sz w:val="20"/>
          <w:szCs w:val="20"/>
          <w:bdr w:val="none" w:sz="0" w:space="0" w:color="auto"/>
          <w:lang w:val="es-ES"/>
        </w:rPr>
        <w:t xml:space="preserve"> en relación con actos u omisiones que se produjeron después que </w:t>
      </w:r>
      <w:r w:rsidR="000648EF" w:rsidRPr="00DB5BAC">
        <w:rPr>
          <w:rFonts w:eastAsia="Times New Roman"/>
          <w:bCs/>
          <w:sz w:val="20"/>
          <w:szCs w:val="20"/>
          <w:bdr w:val="none" w:sz="0" w:space="0" w:color="auto"/>
          <w:lang w:val="es-ES"/>
        </w:rPr>
        <w:t>Estados Unidos</w:t>
      </w:r>
      <w:r w:rsidR="00C532E7" w:rsidRPr="00DB5BAC">
        <w:rPr>
          <w:rFonts w:eastAsia="Times New Roman"/>
          <w:bCs/>
          <w:sz w:val="20"/>
          <w:szCs w:val="20"/>
          <w:bdr w:val="none" w:sz="0" w:space="0" w:color="auto"/>
          <w:lang w:val="es-ES"/>
        </w:rPr>
        <w:t xml:space="preserve"> </w:t>
      </w:r>
      <w:r w:rsidR="00C700C3" w:rsidRPr="00DB5BAC">
        <w:rPr>
          <w:rFonts w:eastAsia="Times New Roman"/>
          <w:bCs/>
          <w:sz w:val="20"/>
          <w:szCs w:val="20"/>
          <w:bdr w:val="none" w:sz="0" w:space="0" w:color="auto"/>
          <w:lang w:val="es-ES"/>
        </w:rPr>
        <w:t>se incorporó a la OEA.</w:t>
      </w:r>
    </w:p>
    <w:p w14:paraId="452C3857" w14:textId="77777777" w:rsidR="00C532E7" w:rsidRPr="00DB5BAC" w:rsidRDefault="00C532E7" w:rsidP="00C532E7">
      <w:pPr>
        <w:rPr>
          <w:rFonts w:asciiTheme="majorHAnsi" w:hAnsiTheme="majorHAnsi"/>
          <w:sz w:val="20"/>
        </w:rPr>
      </w:pPr>
    </w:p>
    <w:p w14:paraId="4C7A36F3" w14:textId="77777777" w:rsidR="00C532E7" w:rsidRPr="00DB5BAC" w:rsidRDefault="00391B4C" w:rsidP="00D47899">
      <w:pPr>
        <w:pStyle w:val="ListParagraph"/>
        <w:numPr>
          <w:ilvl w:val="0"/>
          <w:numId w:val="55"/>
        </w:numPr>
        <w:ind w:left="0" w:firstLine="634"/>
        <w:jc w:val="both"/>
        <w:rPr>
          <w:rFonts w:asciiTheme="majorHAnsi" w:hAnsiTheme="majorHAnsi"/>
          <w:color w:val="auto"/>
          <w:sz w:val="20"/>
          <w:szCs w:val="20"/>
          <w:lang w:val="es-ES"/>
        </w:rPr>
      </w:pPr>
      <w:r>
        <w:rPr>
          <w:rFonts w:asciiTheme="majorHAnsi" w:eastAsia="Calibri" w:hAnsiTheme="majorHAnsi"/>
          <w:sz w:val="20"/>
          <w:szCs w:val="22"/>
          <w:bdr w:val="none" w:sz="0" w:space="0" w:color="auto"/>
          <w:lang w:val="es-ES"/>
        </w:rPr>
        <w:t>L</w:t>
      </w:r>
      <w:r w:rsidR="000648EF" w:rsidRPr="00DB5BAC">
        <w:rPr>
          <w:rFonts w:asciiTheme="majorHAnsi" w:eastAsia="Calibri" w:hAnsiTheme="majorHAnsi"/>
          <w:sz w:val="20"/>
          <w:szCs w:val="22"/>
          <w:bdr w:val="none" w:sz="0" w:space="0" w:color="auto"/>
          <w:lang w:val="es-ES"/>
        </w:rPr>
        <w:t>a Comisión</w:t>
      </w:r>
      <w:r w:rsidR="00C532E7" w:rsidRPr="00DB5BAC">
        <w:rPr>
          <w:rFonts w:asciiTheme="majorHAnsi" w:eastAsia="Calibri" w:hAnsiTheme="majorHAnsi"/>
          <w:sz w:val="20"/>
          <w:szCs w:val="20"/>
          <w:bdr w:val="none" w:sz="0" w:space="0" w:color="auto"/>
          <w:lang w:val="es-ES"/>
        </w:rPr>
        <w:t xml:space="preserve"> ha</w:t>
      </w:r>
      <w:r w:rsidR="00C700C3" w:rsidRPr="00DB5BAC">
        <w:rPr>
          <w:rFonts w:asciiTheme="majorHAnsi" w:eastAsia="Calibri" w:hAnsiTheme="majorHAnsi"/>
          <w:sz w:val="20"/>
          <w:szCs w:val="20"/>
          <w:bdr w:val="none" w:sz="0" w:space="0" w:color="auto"/>
          <w:lang w:val="es-ES"/>
        </w:rPr>
        <w:t xml:space="preserve"> sostenido</w:t>
      </w:r>
      <w:r>
        <w:rPr>
          <w:rFonts w:asciiTheme="majorHAnsi" w:eastAsia="Calibri" w:hAnsiTheme="majorHAnsi"/>
          <w:sz w:val="20"/>
          <w:szCs w:val="20"/>
          <w:bdr w:val="none" w:sz="0" w:space="0" w:color="auto"/>
          <w:lang w:val="es-ES"/>
        </w:rPr>
        <w:t xml:space="preserve"> reiteradamente</w:t>
      </w:r>
      <w:r w:rsidR="00C700C3" w:rsidRPr="00DB5BAC">
        <w:rPr>
          <w:rFonts w:asciiTheme="majorHAnsi" w:eastAsia="Calibri" w:hAnsiTheme="majorHAnsi"/>
          <w:sz w:val="20"/>
          <w:szCs w:val="20"/>
          <w:bdr w:val="none" w:sz="0" w:space="0" w:color="auto"/>
          <w:lang w:val="es-ES"/>
        </w:rPr>
        <w:t xml:space="preserve"> que es necesario considerar las disposiciones de la </w:t>
      </w:r>
      <w:r w:rsidR="005B1600" w:rsidRPr="00DB5BAC">
        <w:rPr>
          <w:rFonts w:asciiTheme="majorHAnsi" w:eastAsia="Calibri" w:hAnsiTheme="majorHAnsi"/>
          <w:sz w:val="20"/>
          <w:szCs w:val="20"/>
          <w:bdr w:val="none" w:sz="0" w:space="0" w:color="auto"/>
          <w:lang w:val="es-ES"/>
        </w:rPr>
        <w:t>Declaración Americana</w:t>
      </w:r>
      <w:r w:rsidR="00C532E7" w:rsidRPr="00DB5BAC">
        <w:rPr>
          <w:rFonts w:asciiTheme="majorHAnsi" w:eastAsia="Calibri" w:hAnsiTheme="majorHAnsi"/>
          <w:sz w:val="20"/>
          <w:szCs w:val="20"/>
          <w:bdr w:val="none" w:sz="0" w:space="0" w:color="auto"/>
          <w:lang w:val="es-ES"/>
        </w:rPr>
        <w:t xml:space="preserve"> </w:t>
      </w:r>
      <w:r w:rsidR="00C700C3" w:rsidRPr="00DB5BAC">
        <w:rPr>
          <w:rFonts w:asciiTheme="majorHAnsi" w:eastAsia="Calibri" w:hAnsiTheme="majorHAnsi"/>
          <w:sz w:val="20"/>
          <w:szCs w:val="20"/>
          <w:bdr w:val="none" w:sz="0" w:space="0" w:color="auto"/>
          <w:lang w:val="es-ES"/>
        </w:rPr>
        <w:t>en el contexto más amplio del sistema</w:t>
      </w:r>
      <w:r>
        <w:rPr>
          <w:rFonts w:asciiTheme="majorHAnsi" w:eastAsia="Calibri" w:hAnsiTheme="majorHAnsi"/>
          <w:sz w:val="20"/>
          <w:szCs w:val="20"/>
          <w:bdr w:val="none" w:sz="0" w:space="0" w:color="auto"/>
          <w:lang w:val="es-ES"/>
        </w:rPr>
        <w:t xml:space="preserve"> interamericano y universal</w:t>
      </w:r>
      <w:r w:rsidR="00C700C3" w:rsidRPr="00DB5BAC">
        <w:rPr>
          <w:rFonts w:asciiTheme="majorHAnsi" w:eastAsia="Calibri" w:hAnsiTheme="majorHAnsi"/>
          <w:sz w:val="20"/>
          <w:szCs w:val="20"/>
          <w:bdr w:val="none" w:sz="0" w:space="0" w:color="auto"/>
          <w:lang w:val="es-ES"/>
        </w:rPr>
        <w:t xml:space="preserve"> de derechos humanos</w:t>
      </w:r>
      <w:r w:rsidR="00955BEB" w:rsidRPr="00DB5BAC">
        <w:rPr>
          <w:rFonts w:asciiTheme="majorHAnsi" w:eastAsia="Calibri" w:hAnsiTheme="majorHAnsi"/>
          <w:sz w:val="20"/>
          <w:szCs w:val="20"/>
          <w:bdr w:val="none" w:sz="0" w:space="0" w:color="auto"/>
          <w:lang w:val="es-ES"/>
        </w:rPr>
        <w:t>,</w:t>
      </w:r>
      <w:r w:rsidR="00C700C3" w:rsidRPr="00DB5BAC">
        <w:rPr>
          <w:rFonts w:asciiTheme="majorHAnsi" w:eastAsia="Calibri" w:hAnsiTheme="majorHAnsi"/>
          <w:sz w:val="20"/>
          <w:szCs w:val="20"/>
          <w:bdr w:val="none" w:sz="0" w:space="0" w:color="auto"/>
          <w:lang w:val="es-ES"/>
        </w:rPr>
        <w:t xml:space="preserve"> a la luz de los avances realizados en el</w:t>
      </w:r>
      <w:r w:rsidR="00C532E7" w:rsidRPr="00DB5BAC">
        <w:rPr>
          <w:rFonts w:asciiTheme="majorHAnsi" w:eastAsia="Calibri" w:hAnsiTheme="majorHAnsi"/>
          <w:sz w:val="20"/>
          <w:szCs w:val="20"/>
          <w:bdr w:val="none" w:sz="0" w:space="0" w:color="auto"/>
          <w:lang w:val="es-ES"/>
        </w:rPr>
        <w:t xml:space="preserve"> </w:t>
      </w:r>
      <w:r w:rsidR="007B471E" w:rsidRPr="00DB5BAC">
        <w:rPr>
          <w:rFonts w:asciiTheme="majorHAnsi" w:eastAsia="Calibri" w:hAnsiTheme="majorHAnsi"/>
          <w:sz w:val="20"/>
          <w:szCs w:val="20"/>
          <w:bdr w:val="none" w:sz="0" w:space="0" w:color="auto"/>
          <w:lang w:val="es-ES"/>
        </w:rPr>
        <w:t>derecho internacional de los derechos humanos</w:t>
      </w:r>
      <w:r w:rsidR="00C532E7" w:rsidRPr="00DB5BAC">
        <w:rPr>
          <w:rFonts w:asciiTheme="majorHAnsi" w:eastAsia="Calibri" w:hAnsiTheme="majorHAnsi"/>
          <w:sz w:val="20"/>
          <w:szCs w:val="20"/>
          <w:bdr w:val="none" w:sz="0" w:space="0" w:color="auto"/>
          <w:lang w:val="es-ES"/>
        </w:rPr>
        <w:t xml:space="preserve"> </w:t>
      </w:r>
      <w:r w:rsidR="00955BEB" w:rsidRPr="00DB5BAC">
        <w:rPr>
          <w:rFonts w:asciiTheme="majorHAnsi" w:eastAsia="Calibri" w:hAnsiTheme="majorHAnsi"/>
          <w:sz w:val="20"/>
          <w:szCs w:val="20"/>
          <w:bdr w:val="none" w:sz="0" w:space="0" w:color="auto"/>
          <w:lang w:val="es-ES"/>
        </w:rPr>
        <w:t xml:space="preserve">tras </w:t>
      </w:r>
      <w:r w:rsidR="00C700C3" w:rsidRPr="00DB5BAC">
        <w:rPr>
          <w:rFonts w:asciiTheme="majorHAnsi" w:eastAsia="Calibri" w:hAnsiTheme="majorHAnsi"/>
          <w:sz w:val="20"/>
          <w:szCs w:val="20"/>
          <w:bdr w:val="none" w:sz="0" w:space="0" w:color="auto"/>
          <w:lang w:val="es-ES"/>
        </w:rPr>
        <w:t>la adopción de la Declaración</w:t>
      </w:r>
      <w:r w:rsidR="00C532E7" w:rsidRPr="00DB5BAC">
        <w:rPr>
          <w:rFonts w:asciiTheme="majorHAnsi" w:eastAsia="Calibri" w:hAnsiTheme="majorHAnsi"/>
          <w:sz w:val="20"/>
          <w:szCs w:val="20"/>
          <w:bdr w:val="none" w:sz="0" w:space="0" w:color="auto"/>
          <w:lang w:val="es-ES"/>
        </w:rPr>
        <w:t xml:space="preserve"> </w:t>
      </w:r>
      <w:r w:rsidR="00C700C3" w:rsidRPr="00DB5BAC">
        <w:rPr>
          <w:rFonts w:asciiTheme="majorHAnsi" w:eastAsia="Calibri" w:hAnsiTheme="majorHAnsi"/>
          <w:sz w:val="20"/>
          <w:szCs w:val="20"/>
          <w:bdr w:val="none" w:sz="0" w:space="0" w:color="auto"/>
          <w:lang w:val="es-ES"/>
        </w:rPr>
        <w:t xml:space="preserve">y teniendo en cuenta otras normas pertinentes del </w:t>
      </w:r>
      <w:r w:rsidR="000275C1" w:rsidRPr="00DB5BAC">
        <w:rPr>
          <w:rFonts w:asciiTheme="majorHAnsi" w:eastAsia="Calibri" w:hAnsiTheme="majorHAnsi"/>
          <w:sz w:val="20"/>
          <w:szCs w:val="20"/>
          <w:bdr w:val="none" w:sz="0" w:space="0" w:color="auto"/>
          <w:lang w:val="es-ES"/>
        </w:rPr>
        <w:t>derecho internacional</w:t>
      </w:r>
      <w:r w:rsidR="00C700C3" w:rsidRPr="00DB5BAC">
        <w:rPr>
          <w:rFonts w:asciiTheme="majorHAnsi" w:eastAsia="Calibri" w:hAnsiTheme="majorHAnsi"/>
          <w:sz w:val="20"/>
          <w:szCs w:val="20"/>
          <w:bdr w:val="none" w:sz="0" w:space="0" w:color="auto"/>
          <w:lang w:val="es-ES"/>
        </w:rPr>
        <w:t xml:space="preserve"> aplicables a los Estados Miembros contra los cuales se interpongan debidamente quejas de violaciones de la Declaración</w:t>
      </w:r>
      <w:r w:rsidR="00C532E7" w:rsidRPr="00DB5BAC">
        <w:rPr>
          <w:sz w:val="20"/>
          <w:szCs w:val="20"/>
          <w:bdr w:val="none" w:sz="0" w:space="0" w:color="auto"/>
          <w:vertAlign w:val="superscript"/>
          <w:lang w:val="es-ES"/>
        </w:rPr>
        <w:footnoteReference w:id="85"/>
      </w:r>
      <w:r w:rsidR="00C700C3" w:rsidRPr="00DB5BAC">
        <w:rPr>
          <w:rFonts w:asciiTheme="majorHAnsi" w:eastAsia="Calibri" w:hAnsiTheme="majorHAnsi"/>
          <w:sz w:val="20"/>
          <w:szCs w:val="20"/>
          <w:bdr w:val="none" w:sz="0" w:space="0" w:color="auto"/>
          <w:lang w:val="es-ES"/>
        </w:rPr>
        <w:t>. De conformidad con los principios de la interpretación de tratados</w:t>
      </w:r>
      <w:r w:rsidR="00F5186B" w:rsidRPr="00DB5BAC">
        <w:rPr>
          <w:rFonts w:asciiTheme="majorHAnsi" w:eastAsia="Calibri" w:hAnsiTheme="majorHAnsi"/>
          <w:sz w:val="20"/>
          <w:szCs w:val="20"/>
          <w:bdr w:val="none" w:sz="0" w:space="0" w:color="auto"/>
          <w:lang w:val="es-ES"/>
        </w:rPr>
        <w:t>,</w:t>
      </w:r>
      <w:r w:rsidR="00C700C3" w:rsidRPr="00DB5BAC">
        <w:rPr>
          <w:rFonts w:asciiTheme="majorHAnsi" w:eastAsia="Calibri" w:hAnsiTheme="majorHAnsi"/>
          <w:sz w:val="20"/>
          <w:szCs w:val="20"/>
          <w:bdr w:val="none" w:sz="0" w:space="0" w:color="auto"/>
          <w:lang w:val="es-ES"/>
        </w:rPr>
        <w:t xml:space="preserve"> la Corte</w:t>
      </w:r>
      <w:r w:rsidR="00C532E7" w:rsidRPr="00DB5BAC">
        <w:rPr>
          <w:rFonts w:asciiTheme="majorHAnsi" w:eastAsia="Calibri" w:hAnsiTheme="majorHAnsi"/>
          <w:sz w:val="20"/>
          <w:szCs w:val="20"/>
          <w:bdr w:val="none" w:sz="0" w:space="0" w:color="auto"/>
          <w:lang w:val="es-ES"/>
        </w:rPr>
        <w:t xml:space="preserve"> Inter</w:t>
      </w:r>
      <w:r w:rsidR="00C700C3" w:rsidRPr="00DB5BAC">
        <w:rPr>
          <w:rFonts w:asciiTheme="majorHAnsi" w:eastAsia="Calibri" w:hAnsiTheme="majorHAnsi"/>
          <w:sz w:val="20"/>
          <w:szCs w:val="20"/>
          <w:bdr w:val="none" w:sz="0" w:space="0" w:color="auto"/>
          <w:lang w:val="es-ES"/>
        </w:rPr>
        <w:t>a</w:t>
      </w:r>
      <w:r w:rsidR="00C532E7" w:rsidRPr="00DB5BAC">
        <w:rPr>
          <w:rFonts w:asciiTheme="majorHAnsi" w:eastAsia="Calibri" w:hAnsiTheme="majorHAnsi"/>
          <w:sz w:val="20"/>
          <w:szCs w:val="20"/>
          <w:bdr w:val="none" w:sz="0" w:space="0" w:color="auto"/>
          <w:lang w:val="es-ES"/>
        </w:rPr>
        <w:t>merican</w:t>
      </w:r>
      <w:r w:rsidR="00C700C3" w:rsidRPr="00DB5BAC">
        <w:rPr>
          <w:rFonts w:asciiTheme="majorHAnsi" w:eastAsia="Calibri" w:hAnsiTheme="majorHAnsi"/>
          <w:sz w:val="20"/>
          <w:szCs w:val="20"/>
          <w:bdr w:val="none" w:sz="0" w:space="0" w:color="auto"/>
          <w:lang w:val="es-ES"/>
        </w:rPr>
        <w:t>a de Derechos Humanos también ha refrendado una interpretación</w:t>
      </w:r>
      <w:r w:rsidR="00C532E7" w:rsidRPr="00DB5BAC">
        <w:rPr>
          <w:rFonts w:asciiTheme="majorHAnsi" w:eastAsia="Calibri" w:hAnsiTheme="majorHAnsi"/>
          <w:sz w:val="20"/>
          <w:szCs w:val="20"/>
          <w:bdr w:val="none" w:sz="0" w:space="0" w:color="auto"/>
          <w:lang w:val="es-ES"/>
        </w:rPr>
        <w:t xml:space="preserve"> </w:t>
      </w:r>
      <w:r w:rsidR="00C700C3" w:rsidRPr="00DB5BAC">
        <w:rPr>
          <w:rFonts w:asciiTheme="majorHAnsi" w:eastAsia="Calibri" w:hAnsiTheme="majorHAnsi"/>
          <w:sz w:val="20"/>
          <w:szCs w:val="20"/>
          <w:bdr w:val="none" w:sz="0" w:space="0" w:color="auto"/>
          <w:lang w:val="es-ES"/>
        </w:rPr>
        <w:t>de los instrumentos internacionales</w:t>
      </w:r>
      <w:r w:rsidR="00C532E7" w:rsidRPr="00DB5BAC">
        <w:rPr>
          <w:rFonts w:asciiTheme="majorHAnsi" w:eastAsia="Calibri" w:hAnsiTheme="majorHAnsi"/>
          <w:sz w:val="20"/>
          <w:szCs w:val="20"/>
          <w:bdr w:val="none" w:sz="0" w:space="0" w:color="auto"/>
          <w:lang w:val="es-ES"/>
        </w:rPr>
        <w:t xml:space="preserve"> </w:t>
      </w:r>
      <w:r w:rsidR="00C700C3" w:rsidRPr="00DB5BAC">
        <w:rPr>
          <w:rFonts w:asciiTheme="majorHAnsi" w:eastAsia="Calibri" w:hAnsiTheme="majorHAnsi"/>
          <w:sz w:val="20"/>
          <w:szCs w:val="20"/>
          <w:bdr w:val="none" w:sz="0" w:space="0" w:color="auto"/>
          <w:lang w:val="es-ES"/>
        </w:rPr>
        <w:t xml:space="preserve">sobre derechos </w:t>
      </w:r>
      <w:r w:rsidR="00C532E7" w:rsidRPr="00DB5BAC">
        <w:rPr>
          <w:rFonts w:asciiTheme="majorHAnsi" w:eastAsia="Calibri" w:hAnsiTheme="majorHAnsi"/>
          <w:sz w:val="20"/>
          <w:szCs w:val="20"/>
          <w:bdr w:val="none" w:sz="0" w:space="0" w:color="auto"/>
          <w:lang w:val="es-ES"/>
        </w:rPr>
        <w:t>human</w:t>
      </w:r>
      <w:r w:rsidR="00C700C3" w:rsidRPr="00DB5BAC">
        <w:rPr>
          <w:rFonts w:asciiTheme="majorHAnsi" w:eastAsia="Calibri" w:hAnsiTheme="majorHAnsi"/>
          <w:sz w:val="20"/>
          <w:szCs w:val="20"/>
          <w:bdr w:val="none" w:sz="0" w:space="0" w:color="auto"/>
          <w:lang w:val="es-ES"/>
        </w:rPr>
        <w:t xml:space="preserve">os que tiene en cuenta los avances realizados con el tiempo en el </w:t>
      </w:r>
      <w:r w:rsidR="00C532E7" w:rsidRPr="00DB5BAC">
        <w:rPr>
          <w:rFonts w:asciiTheme="majorHAnsi" w:eastAsia="Calibri" w:hAnsiTheme="majorHAnsi"/>
          <w:i/>
          <w:sz w:val="20"/>
          <w:szCs w:val="20"/>
          <w:bdr w:val="none" w:sz="0" w:space="0" w:color="auto"/>
          <w:lang w:val="es-ES"/>
        </w:rPr>
        <w:t>corpus juris</w:t>
      </w:r>
      <w:r w:rsidR="00C532E7" w:rsidRPr="00DB5BAC">
        <w:rPr>
          <w:rFonts w:asciiTheme="majorHAnsi" w:eastAsia="Calibri" w:hAnsiTheme="majorHAnsi"/>
          <w:sz w:val="20"/>
          <w:szCs w:val="20"/>
          <w:bdr w:val="none" w:sz="0" w:space="0" w:color="auto"/>
          <w:lang w:val="es-ES"/>
        </w:rPr>
        <w:t xml:space="preserve"> </w:t>
      </w:r>
      <w:r w:rsidR="00C700C3" w:rsidRPr="00DB5BAC">
        <w:rPr>
          <w:rFonts w:asciiTheme="majorHAnsi" w:eastAsia="Calibri" w:hAnsiTheme="majorHAnsi"/>
          <w:sz w:val="20"/>
          <w:szCs w:val="20"/>
          <w:bdr w:val="none" w:sz="0" w:space="0" w:color="auto"/>
          <w:lang w:val="es-ES"/>
        </w:rPr>
        <w:t>del</w:t>
      </w:r>
      <w:r w:rsidR="00C532E7" w:rsidRPr="00DB5BAC">
        <w:rPr>
          <w:rFonts w:asciiTheme="majorHAnsi" w:eastAsia="Calibri" w:hAnsiTheme="majorHAnsi"/>
          <w:sz w:val="20"/>
          <w:szCs w:val="20"/>
          <w:bdr w:val="none" w:sz="0" w:space="0" w:color="auto"/>
          <w:lang w:val="es-ES"/>
        </w:rPr>
        <w:t xml:space="preserve"> </w:t>
      </w:r>
      <w:r w:rsidR="007B471E" w:rsidRPr="00DB5BAC">
        <w:rPr>
          <w:rFonts w:asciiTheme="majorHAnsi" w:eastAsia="Calibri" w:hAnsiTheme="majorHAnsi"/>
          <w:sz w:val="20"/>
          <w:szCs w:val="20"/>
          <w:bdr w:val="none" w:sz="0" w:space="0" w:color="auto"/>
          <w:lang w:val="es-ES"/>
        </w:rPr>
        <w:t>derecho internacional de los derechos humanos</w:t>
      </w:r>
      <w:r w:rsidR="00C532E7" w:rsidRPr="00DB5BAC">
        <w:rPr>
          <w:rFonts w:asciiTheme="majorHAnsi" w:eastAsia="Calibri" w:hAnsiTheme="majorHAnsi"/>
          <w:sz w:val="20"/>
          <w:szCs w:val="20"/>
          <w:bdr w:val="none" w:sz="0" w:space="0" w:color="auto"/>
          <w:lang w:val="es-ES"/>
        </w:rPr>
        <w:t xml:space="preserve"> </w:t>
      </w:r>
      <w:r w:rsidR="00C700C3" w:rsidRPr="00DB5BAC">
        <w:rPr>
          <w:rFonts w:asciiTheme="majorHAnsi" w:eastAsia="Calibri" w:hAnsiTheme="majorHAnsi"/>
          <w:sz w:val="20"/>
          <w:szCs w:val="20"/>
          <w:bdr w:val="none" w:sz="0" w:space="0" w:color="auto"/>
          <w:lang w:val="es-ES"/>
        </w:rPr>
        <w:t xml:space="preserve">y su situación actual. Es necesario que la </w:t>
      </w:r>
      <w:r w:rsidR="000648EF" w:rsidRPr="00DB5BAC">
        <w:rPr>
          <w:rFonts w:asciiTheme="majorHAnsi" w:hAnsiTheme="majorHAnsi"/>
          <w:color w:val="auto"/>
          <w:sz w:val="20"/>
          <w:szCs w:val="20"/>
          <w:lang w:val="es-ES"/>
        </w:rPr>
        <w:t>Comisión</w:t>
      </w:r>
      <w:r w:rsidR="00C532E7" w:rsidRPr="00DB5BAC">
        <w:rPr>
          <w:rFonts w:asciiTheme="majorHAnsi" w:hAnsiTheme="majorHAnsi"/>
          <w:color w:val="auto"/>
          <w:sz w:val="20"/>
          <w:szCs w:val="20"/>
          <w:lang w:val="es-ES"/>
        </w:rPr>
        <w:t xml:space="preserve"> t</w:t>
      </w:r>
      <w:r w:rsidR="00C700C3" w:rsidRPr="00DB5BAC">
        <w:rPr>
          <w:rFonts w:asciiTheme="majorHAnsi" w:hAnsiTheme="majorHAnsi"/>
          <w:color w:val="auto"/>
          <w:sz w:val="20"/>
          <w:szCs w:val="20"/>
          <w:lang w:val="es-ES"/>
        </w:rPr>
        <w:t>enga en cuenta otros</w:t>
      </w:r>
      <w:r w:rsidR="00C532E7" w:rsidRPr="00DB5BAC">
        <w:rPr>
          <w:rFonts w:asciiTheme="majorHAnsi" w:hAnsiTheme="majorHAnsi"/>
          <w:color w:val="auto"/>
          <w:sz w:val="20"/>
          <w:szCs w:val="20"/>
          <w:lang w:val="es-ES"/>
        </w:rPr>
        <w:t xml:space="preserve"> </w:t>
      </w:r>
      <w:r w:rsidR="00C532E7" w:rsidRPr="00DB5BAC">
        <w:rPr>
          <w:rFonts w:asciiTheme="majorHAnsi" w:hAnsiTheme="majorHAnsi"/>
          <w:color w:val="auto"/>
          <w:sz w:val="20"/>
          <w:szCs w:val="20"/>
          <w:lang w:val="es-ES"/>
        </w:rPr>
        <w:lastRenderedPageBreak/>
        <w:t>instrument</w:t>
      </w:r>
      <w:r w:rsidR="00C700C3" w:rsidRPr="00DB5BAC">
        <w:rPr>
          <w:rFonts w:asciiTheme="majorHAnsi" w:hAnsiTheme="majorHAnsi"/>
          <w:color w:val="auto"/>
          <w:sz w:val="20"/>
          <w:szCs w:val="20"/>
          <w:lang w:val="es-ES"/>
        </w:rPr>
        <w:t>o</w:t>
      </w:r>
      <w:r w:rsidR="00C532E7" w:rsidRPr="00DB5BAC">
        <w:rPr>
          <w:rFonts w:asciiTheme="majorHAnsi" w:hAnsiTheme="majorHAnsi"/>
          <w:color w:val="auto"/>
          <w:sz w:val="20"/>
          <w:szCs w:val="20"/>
          <w:lang w:val="es-ES"/>
        </w:rPr>
        <w:t xml:space="preserve">s </w:t>
      </w:r>
      <w:r w:rsidR="00C700C3" w:rsidRPr="00DB5BAC">
        <w:rPr>
          <w:rFonts w:asciiTheme="majorHAnsi" w:hAnsiTheme="majorHAnsi"/>
          <w:color w:val="auto"/>
          <w:sz w:val="20"/>
          <w:szCs w:val="20"/>
          <w:lang w:val="es-ES"/>
        </w:rPr>
        <w:t xml:space="preserve">porque no se puede usar uno solo como base para denegar o limitar otros derechos humanos </w:t>
      </w:r>
      <w:r w:rsidR="00C532E7" w:rsidRPr="00DB5BAC">
        <w:rPr>
          <w:rFonts w:asciiTheme="majorHAnsi" w:hAnsiTheme="majorHAnsi"/>
          <w:color w:val="auto"/>
          <w:sz w:val="20"/>
          <w:szCs w:val="20"/>
          <w:lang w:val="es-ES"/>
        </w:rPr>
        <w:t>favorable</w:t>
      </w:r>
      <w:r w:rsidR="00C700C3" w:rsidRPr="00DB5BAC">
        <w:rPr>
          <w:rFonts w:asciiTheme="majorHAnsi" w:hAnsiTheme="majorHAnsi"/>
          <w:color w:val="auto"/>
          <w:sz w:val="20"/>
          <w:szCs w:val="20"/>
          <w:lang w:val="es-ES"/>
        </w:rPr>
        <w:t>s o más extensos de los cuales las personas puedan gozar de otra manera de conformidad con el derecho o la práctica internacionales o internos</w:t>
      </w:r>
      <w:r w:rsidR="00C532E7" w:rsidRPr="00DB5BAC">
        <w:rPr>
          <w:rStyle w:val="FootnoteReference"/>
          <w:rFonts w:asciiTheme="majorHAnsi" w:hAnsiTheme="majorHAnsi"/>
          <w:color w:val="auto"/>
          <w:sz w:val="20"/>
          <w:szCs w:val="20"/>
          <w:lang w:val="es-ES"/>
        </w:rPr>
        <w:footnoteReference w:id="86"/>
      </w:r>
      <w:r w:rsidR="00C700C3" w:rsidRPr="00DB5BAC">
        <w:rPr>
          <w:rFonts w:asciiTheme="majorHAnsi" w:hAnsiTheme="majorHAnsi"/>
          <w:color w:val="auto"/>
          <w:sz w:val="20"/>
          <w:szCs w:val="20"/>
          <w:lang w:val="es-ES"/>
        </w:rPr>
        <w:t>.</w:t>
      </w:r>
    </w:p>
    <w:p w14:paraId="079ADDD9" w14:textId="77777777" w:rsidR="00C532E7" w:rsidRPr="00DB5BAC" w:rsidRDefault="00C532E7" w:rsidP="007C27A7">
      <w:pPr>
        <w:jc w:val="both"/>
        <w:rPr>
          <w:rFonts w:asciiTheme="majorHAnsi" w:hAnsiTheme="majorHAnsi"/>
          <w:sz w:val="20"/>
        </w:rPr>
      </w:pPr>
    </w:p>
    <w:p w14:paraId="5B3D91F1" w14:textId="77777777" w:rsidR="00C532E7" w:rsidRPr="00DB5BAC" w:rsidRDefault="00C700C3" w:rsidP="00D47899">
      <w:pPr>
        <w:pStyle w:val="ListParagraph"/>
        <w:numPr>
          <w:ilvl w:val="0"/>
          <w:numId w:val="55"/>
        </w:numPr>
        <w:ind w:left="0" w:firstLine="634"/>
        <w:jc w:val="both"/>
        <w:rPr>
          <w:rFonts w:asciiTheme="majorHAnsi" w:hAnsiTheme="majorHAnsi"/>
          <w:color w:val="auto"/>
          <w:sz w:val="20"/>
          <w:szCs w:val="20"/>
          <w:lang w:val="es-ES"/>
        </w:rPr>
      </w:pPr>
      <w:r w:rsidRPr="00DB5BAC">
        <w:rPr>
          <w:rFonts w:asciiTheme="majorHAnsi" w:eastAsia="Calibri" w:hAnsiTheme="majorHAnsi"/>
          <w:sz w:val="20"/>
          <w:szCs w:val="20"/>
          <w:bdr w:val="none" w:sz="0" w:space="0" w:color="auto"/>
          <w:lang w:val="es-ES"/>
        </w:rPr>
        <w:t>Los avances en el cuerpo del</w:t>
      </w:r>
      <w:r w:rsidR="00C532E7" w:rsidRPr="00DB5BAC">
        <w:rPr>
          <w:rFonts w:asciiTheme="majorHAnsi" w:eastAsia="Calibri" w:hAnsiTheme="majorHAnsi"/>
          <w:sz w:val="20"/>
          <w:szCs w:val="20"/>
          <w:bdr w:val="none" w:sz="0" w:space="0" w:color="auto"/>
          <w:lang w:val="es-ES"/>
        </w:rPr>
        <w:t xml:space="preserve"> </w:t>
      </w:r>
      <w:r w:rsidR="007B471E" w:rsidRPr="00DB5BAC">
        <w:rPr>
          <w:rFonts w:asciiTheme="majorHAnsi" w:eastAsia="Calibri" w:hAnsiTheme="majorHAnsi"/>
          <w:sz w:val="20"/>
          <w:szCs w:val="20"/>
          <w:bdr w:val="none" w:sz="0" w:space="0" w:color="auto"/>
          <w:lang w:val="es-ES"/>
        </w:rPr>
        <w:t>derecho internacional de los derechos humanos</w:t>
      </w:r>
      <w:r w:rsidR="00C532E7" w:rsidRPr="00DB5BAC">
        <w:rPr>
          <w:rFonts w:asciiTheme="majorHAnsi" w:eastAsia="Calibri" w:hAnsiTheme="majorHAnsi"/>
          <w:sz w:val="20"/>
          <w:szCs w:val="20"/>
          <w:bdr w:val="none" w:sz="0" w:space="0" w:color="auto"/>
          <w:lang w:val="es-ES"/>
        </w:rPr>
        <w:t xml:space="preserve"> </w:t>
      </w:r>
      <w:r w:rsidR="00841E0E" w:rsidRPr="00DB5BAC">
        <w:rPr>
          <w:rFonts w:asciiTheme="majorHAnsi" w:eastAsia="Calibri" w:hAnsiTheme="majorHAnsi"/>
          <w:sz w:val="20"/>
          <w:szCs w:val="20"/>
          <w:bdr w:val="none" w:sz="0" w:space="0" w:color="auto"/>
          <w:lang w:val="es-ES"/>
        </w:rPr>
        <w:t xml:space="preserve">que son pertinentes para la interpretación y aplicación de la </w:t>
      </w:r>
      <w:r w:rsidR="005B1600" w:rsidRPr="00DB5BAC">
        <w:rPr>
          <w:rFonts w:asciiTheme="majorHAnsi" w:eastAsia="Calibri" w:hAnsiTheme="majorHAnsi"/>
          <w:sz w:val="20"/>
          <w:szCs w:val="20"/>
          <w:bdr w:val="none" w:sz="0" w:space="0" w:color="auto"/>
          <w:lang w:val="es-ES"/>
        </w:rPr>
        <w:t>Declaración Americana</w:t>
      </w:r>
      <w:r w:rsidR="00C532E7" w:rsidRPr="00DB5BAC">
        <w:rPr>
          <w:rFonts w:asciiTheme="majorHAnsi" w:eastAsia="Calibri" w:hAnsiTheme="majorHAnsi"/>
          <w:sz w:val="20"/>
          <w:szCs w:val="20"/>
          <w:bdr w:val="none" w:sz="0" w:space="0" w:color="auto"/>
          <w:lang w:val="es-ES"/>
        </w:rPr>
        <w:t xml:space="preserve"> </w:t>
      </w:r>
      <w:r w:rsidR="00841E0E" w:rsidRPr="00DB5BAC">
        <w:rPr>
          <w:rFonts w:asciiTheme="majorHAnsi" w:eastAsia="Calibri" w:hAnsiTheme="majorHAnsi"/>
          <w:sz w:val="20"/>
          <w:szCs w:val="20"/>
          <w:bdr w:val="none" w:sz="0" w:space="0" w:color="auto"/>
          <w:lang w:val="es-ES"/>
        </w:rPr>
        <w:t>podrían deducirse también de las disposiciones de otros instrumentos</w:t>
      </w:r>
      <w:r w:rsidR="00C532E7" w:rsidRPr="00DB5BAC">
        <w:rPr>
          <w:rFonts w:asciiTheme="majorHAnsi" w:eastAsia="Calibri" w:hAnsiTheme="majorHAnsi"/>
          <w:sz w:val="20"/>
          <w:szCs w:val="20"/>
          <w:bdr w:val="none" w:sz="0" w:space="0" w:color="auto"/>
          <w:lang w:val="es-ES"/>
        </w:rPr>
        <w:t xml:space="preserve"> interna</w:t>
      </w:r>
      <w:r w:rsidR="00841E0E" w:rsidRPr="00DB5BAC">
        <w:rPr>
          <w:rFonts w:asciiTheme="majorHAnsi" w:eastAsia="Calibri" w:hAnsiTheme="majorHAnsi"/>
          <w:sz w:val="20"/>
          <w:szCs w:val="20"/>
          <w:bdr w:val="none" w:sz="0" w:space="0" w:color="auto"/>
          <w:lang w:val="es-ES"/>
        </w:rPr>
        <w:t>c</w:t>
      </w:r>
      <w:r w:rsidR="00C532E7" w:rsidRPr="00DB5BAC">
        <w:rPr>
          <w:rFonts w:asciiTheme="majorHAnsi" w:eastAsia="Calibri" w:hAnsiTheme="majorHAnsi"/>
          <w:sz w:val="20"/>
          <w:szCs w:val="20"/>
          <w:bdr w:val="none" w:sz="0" w:space="0" w:color="auto"/>
          <w:lang w:val="es-ES"/>
        </w:rPr>
        <w:t>ional</w:t>
      </w:r>
      <w:r w:rsidR="00841E0E" w:rsidRPr="00DB5BAC">
        <w:rPr>
          <w:rFonts w:asciiTheme="majorHAnsi" w:eastAsia="Calibri" w:hAnsiTheme="majorHAnsi"/>
          <w:sz w:val="20"/>
          <w:szCs w:val="20"/>
          <w:bdr w:val="none" w:sz="0" w:space="0" w:color="auto"/>
          <w:lang w:val="es-ES"/>
        </w:rPr>
        <w:t xml:space="preserve">es y </w:t>
      </w:r>
      <w:r w:rsidR="00C532E7" w:rsidRPr="00DB5BAC">
        <w:rPr>
          <w:rFonts w:asciiTheme="majorHAnsi" w:eastAsia="Calibri" w:hAnsiTheme="majorHAnsi"/>
          <w:sz w:val="20"/>
          <w:szCs w:val="20"/>
          <w:bdr w:val="none" w:sz="0" w:space="0" w:color="auto"/>
          <w:lang w:val="es-ES"/>
        </w:rPr>
        <w:t>regional</w:t>
      </w:r>
      <w:r w:rsidR="00841E0E" w:rsidRPr="00DB5BAC">
        <w:rPr>
          <w:rFonts w:asciiTheme="majorHAnsi" w:eastAsia="Calibri" w:hAnsiTheme="majorHAnsi"/>
          <w:sz w:val="20"/>
          <w:szCs w:val="20"/>
          <w:bdr w:val="none" w:sz="0" w:space="0" w:color="auto"/>
          <w:lang w:val="es-ES"/>
        </w:rPr>
        <w:t>es de derechos</w:t>
      </w:r>
      <w:r w:rsidR="00C532E7" w:rsidRPr="00DB5BAC">
        <w:rPr>
          <w:rFonts w:asciiTheme="majorHAnsi" w:eastAsia="Calibri" w:hAnsiTheme="majorHAnsi"/>
          <w:sz w:val="20"/>
          <w:szCs w:val="20"/>
          <w:bdr w:val="none" w:sz="0" w:space="0" w:color="auto"/>
          <w:lang w:val="es-ES"/>
        </w:rPr>
        <w:t xml:space="preserve"> human</w:t>
      </w:r>
      <w:r w:rsidR="00841E0E" w:rsidRPr="00DB5BAC">
        <w:rPr>
          <w:rFonts w:asciiTheme="majorHAnsi" w:eastAsia="Calibri" w:hAnsiTheme="majorHAnsi"/>
          <w:sz w:val="20"/>
          <w:szCs w:val="20"/>
          <w:bdr w:val="none" w:sz="0" w:space="0" w:color="auto"/>
          <w:lang w:val="es-ES"/>
        </w:rPr>
        <w:t xml:space="preserve">os vigentes, en </w:t>
      </w:r>
      <w:r w:rsidR="00C532E7" w:rsidRPr="00DB5BAC">
        <w:rPr>
          <w:rFonts w:asciiTheme="majorHAnsi" w:eastAsia="Calibri" w:hAnsiTheme="majorHAnsi"/>
          <w:sz w:val="20"/>
          <w:szCs w:val="20"/>
          <w:bdr w:val="none" w:sz="0" w:space="0" w:color="auto"/>
          <w:lang w:val="es-ES"/>
        </w:rPr>
        <w:t>particular</w:t>
      </w:r>
      <w:r w:rsidR="00841E0E" w:rsidRPr="00DB5BAC">
        <w:rPr>
          <w:rFonts w:asciiTheme="majorHAnsi" w:eastAsia="Calibri" w:hAnsiTheme="majorHAnsi"/>
          <w:sz w:val="20"/>
          <w:szCs w:val="20"/>
          <w:bdr w:val="none" w:sz="0" w:space="0" w:color="auto"/>
          <w:lang w:val="es-ES"/>
        </w:rPr>
        <w:t xml:space="preserve"> la Convención Americana sobre Derechos Humanos</w:t>
      </w:r>
      <w:r w:rsidR="00C532E7" w:rsidRPr="00DB5BAC">
        <w:rPr>
          <w:rFonts w:asciiTheme="majorHAnsi" w:eastAsia="Calibri" w:hAnsiTheme="majorHAnsi"/>
          <w:sz w:val="20"/>
          <w:szCs w:val="20"/>
          <w:bdr w:val="none" w:sz="0" w:space="0" w:color="auto"/>
          <w:lang w:val="es-ES"/>
        </w:rPr>
        <w:t xml:space="preserve">, </w:t>
      </w:r>
      <w:r w:rsidR="00841E0E" w:rsidRPr="00DB5BAC">
        <w:rPr>
          <w:rFonts w:asciiTheme="majorHAnsi" w:eastAsia="Calibri" w:hAnsiTheme="majorHAnsi"/>
          <w:sz w:val="20"/>
          <w:szCs w:val="20"/>
          <w:bdr w:val="none" w:sz="0" w:space="0" w:color="auto"/>
          <w:lang w:val="es-ES"/>
        </w:rPr>
        <w:t xml:space="preserve">la cual, en muchos casos, podría considerarse que representa una expresión fidedigna de los principios </w:t>
      </w:r>
      <w:r w:rsidR="00C532E7" w:rsidRPr="00DB5BAC">
        <w:rPr>
          <w:rFonts w:asciiTheme="majorHAnsi" w:eastAsia="Calibri" w:hAnsiTheme="majorHAnsi"/>
          <w:sz w:val="20"/>
          <w:szCs w:val="20"/>
          <w:bdr w:val="none" w:sz="0" w:space="0" w:color="auto"/>
          <w:lang w:val="es-ES"/>
        </w:rPr>
        <w:t>fundamental</w:t>
      </w:r>
      <w:r w:rsidR="00841E0E" w:rsidRPr="00DB5BAC">
        <w:rPr>
          <w:rFonts w:asciiTheme="majorHAnsi" w:eastAsia="Calibri" w:hAnsiTheme="majorHAnsi"/>
          <w:sz w:val="20"/>
          <w:szCs w:val="20"/>
          <w:bdr w:val="none" w:sz="0" w:space="0" w:color="auto"/>
          <w:lang w:val="es-ES"/>
        </w:rPr>
        <w:t xml:space="preserve">es consagrados en la </w:t>
      </w:r>
      <w:r w:rsidR="005B1600" w:rsidRPr="00DB5BAC">
        <w:rPr>
          <w:rFonts w:asciiTheme="majorHAnsi" w:eastAsia="Calibri" w:hAnsiTheme="majorHAnsi"/>
          <w:sz w:val="20"/>
          <w:szCs w:val="20"/>
          <w:bdr w:val="none" w:sz="0" w:space="0" w:color="auto"/>
          <w:lang w:val="es-ES"/>
        </w:rPr>
        <w:t>Declaración Americana</w:t>
      </w:r>
      <w:r w:rsidR="00C532E7" w:rsidRPr="00DB5BAC">
        <w:rPr>
          <w:rFonts w:asciiTheme="majorHAnsi" w:eastAsia="Calibri" w:hAnsiTheme="majorHAnsi"/>
          <w:sz w:val="20"/>
          <w:szCs w:val="20"/>
          <w:bdr w:val="none" w:sz="0" w:space="0" w:color="auto"/>
          <w:lang w:val="es-ES"/>
        </w:rPr>
        <w:t xml:space="preserve">. </w:t>
      </w:r>
      <w:r w:rsidR="00841E0E" w:rsidRPr="00DB5BAC">
        <w:rPr>
          <w:rFonts w:asciiTheme="majorHAnsi" w:eastAsia="Calibri" w:hAnsiTheme="majorHAnsi"/>
          <w:sz w:val="20"/>
          <w:szCs w:val="20"/>
          <w:bdr w:val="none" w:sz="0" w:space="0" w:color="auto"/>
          <w:lang w:val="es-ES"/>
        </w:rPr>
        <w:t xml:space="preserve">Aunque </w:t>
      </w:r>
      <w:r w:rsidR="000648EF" w:rsidRPr="00DB5BAC">
        <w:rPr>
          <w:rFonts w:asciiTheme="majorHAnsi" w:eastAsia="Calibri" w:hAnsiTheme="majorHAnsi"/>
          <w:sz w:val="20"/>
          <w:szCs w:val="20"/>
          <w:bdr w:val="none" w:sz="0" w:space="0" w:color="auto"/>
          <w:lang w:val="es-ES"/>
        </w:rPr>
        <w:t>la Comisión</w:t>
      </w:r>
      <w:r w:rsidR="00C532E7" w:rsidRPr="00DB5BAC">
        <w:rPr>
          <w:rFonts w:asciiTheme="majorHAnsi" w:eastAsia="Calibri" w:hAnsiTheme="majorHAnsi"/>
          <w:sz w:val="20"/>
          <w:szCs w:val="20"/>
          <w:bdr w:val="none" w:sz="0" w:space="0" w:color="auto"/>
          <w:lang w:val="es-ES"/>
        </w:rPr>
        <w:t xml:space="preserve"> </w:t>
      </w:r>
      <w:r w:rsidR="00841E0E" w:rsidRPr="00DB5BAC">
        <w:rPr>
          <w:rFonts w:asciiTheme="majorHAnsi" w:eastAsia="Calibri" w:hAnsiTheme="majorHAnsi"/>
          <w:sz w:val="20"/>
          <w:szCs w:val="20"/>
          <w:bdr w:val="none" w:sz="0" w:space="0" w:color="auto"/>
          <w:lang w:val="es-ES"/>
        </w:rPr>
        <w:t>evidentemente no aplica la Convención Americana</w:t>
      </w:r>
      <w:r w:rsidR="00C532E7" w:rsidRPr="00DB5BAC">
        <w:rPr>
          <w:rFonts w:asciiTheme="majorHAnsi" w:eastAsia="Calibri" w:hAnsiTheme="majorHAnsi"/>
          <w:sz w:val="20"/>
          <w:szCs w:val="20"/>
          <w:bdr w:val="none" w:sz="0" w:space="0" w:color="auto"/>
          <w:lang w:val="es-ES"/>
        </w:rPr>
        <w:t xml:space="preserve"> </w:t>
      </w:r>
      <w:r w:rsidR="00841E0E" w:rsidRPr="00DB5BAC">
        <w:rPr>
          <w:rFonts w:asciiTheme="majorHAnsi" w:eastAsia="Calibri" w:hAnsiTheme="majorHAnsi"/>
          <w:sz w:val="20"/>
          <w:szCs w:val="20"/>
          <w:bdr w:val="none" w:sz="0" w:space="0" w:color="auto"/>
          <w:lang w:val="es-ES"/>
        </w:rPr>
        <w:t>a los Estados Miembros que todavía no la han ratificado, sus disposiciones bien podrían servir de base para interpretar la</w:t>
      </w:r>
      <w:r w:rsidR="00C532E7" w:rsidRPr="00DB5BAC">
        <w:rPr>
          <w:rFonts w:asciiTheme="majorHAnsi" w:eastAsia="Calibri" w:hAnsiTheme="majorHAnsi"/>
          <w:sz w:val="20"/>
          <w:szCs w:val="20"/>
          <w:bdr w:val="none" w:sz="0" w:space="0" w:color="auto"/>
          <w:lang w:val="es-ES"/>
        </w:rPr>
        <w:t xml:space="preserve"> </w:t>
      </w:r>
      <w:r w:rsidR="00841E0E" w:rsidRPr="00DB5BAC">
        <w:rPr>
          <w:rFonts w:asciiTheme="majorHAnsi" w:eastAsia="Calibri" w:hAnsiTheme="majorHAnsi"/>
          <w:sz w:val="20"/>
          <w:szCs w:val="20"/>
          <w:bdr w:val="none" w:sz="0" w:space="0" w:color="auto"/>
          <w:lang w:val="es-ES"/>
        </w:rPr>
        <w:t>Declaración</w:t>
      </w:r>
      <w:r w:rsidR="00C532E7" w:rsidRPr="00DB5BAC">
        <w:rPr>
          <w:rFonts w:asciiTheme="majorHAnsi" w:eastAsia="Calibri" w:hAnsiTheme="majorHAnsi"/>
          <w:sz w:val="20"/>
          <w:szCs w:val="20"/>
          <w:bdr w:val="none" w:sz="0" w:space="0" w:color="auto"/>
          <w:vertAlign w:val="superscript"/>
          <w:lang w:val="es-ES"/>
        </w:rPr>
        <w:footnoteReference w:id="87"/>
      </w:r>
      <w:r w:rsidR="00841E0E" w:rsidRPr="00DB5BAC">
        <w:rPr>
          <w:rFonts w:asciiTheme="majorHAnsi" w:eastAsia="Calibri" w:hAnsiTheme="majorHAnsi"/>
          <w:sz w:val="20"/>
          <w:szCs w:val="20"/>
          <w:bdr w:val="none" w:sz="0" w:space="0" w:color="auto"/>
          <w:lang w:val="es-ES"/>
        </w:rPr>
        <w:t>.</w:t>
      </w:r>
      <w:r w:rsidR="00C532E7" w:rsidRPr="00DB5BAC">
        <w:rPr>
          <w:rFonts w:asciiTheme="majorHAnsi" w:eastAsia="Calibri" w:hAnsiTheme="majorHAnsi"/>
          <w:sz w:val="20"/>
          <w:szCs w:val="20"/>
          <w:bdr w:val="none" w:sz="0" w:space="0" w:color="auto"/>
          <w:lang w:val="es-ES"/>
        </w:rPr>
        <w:t xml:space="preserve"> </w:t>
      </w:r>
    </w:p>
    <w:p w14:paraId="6414A8A9" w14:textId="77777777" w:rsidR="00EB27A2" w:rsidRPr="00DB5BAC" w:rsidRDefault="00EB27A2" w:rsidP="007C27A7">
      <w:pPr>
        <w:jc w:val="both"/>
        <w:rPr>
          <w:rFonts w:asciiTheme="majorHAnsi" w:hAnsiTheme="majorHAnsi"/>
          <w:b/>
          <w:color w:val="auto"/>
          <w:sz w:val="20"/>
        </w:rPr>
      </w:pPr>
    </w:p>
    <w:p w14:paraId="07973AA2" w14:textId="77777777" w:rsidR="004D6618" w:rsidRPr="00DB5BAC" w:rsidRDefault="00EE267D" w:rsidP="00D47899">
      <w:pPr>
        <w:pStyle w:val="Heading2"/>
        <w:numPr>
          <w:ilvl w:val="0"/>
          <w:numId w:val="60"/>
        </w:numPr>
        <w:tabs>
          <w:tab w:val="left" w:pos="1440"/>
        </w:tabs>
        <w:ind w:left="1440" w:hanging="810"/>
        <w:jc w:val="both"/>
        <w:rPr>
          <w:lang w:val="es-ES"/>
        </w:rPr>
      </w:pPr>
      <w:bookmarkStart w:id="17" w:name="_Toc27473290"/>
      <w:r w:rsidRPr="00DB5BAC">
        <w:rPr>
          <w:lang w:val="es-ES"/>
        </w:rPr>
        <w:t xml:space="preserve">Derecho de </w:t>
      </w:r>
      <w:r w:rsidR="00333A05" w:rsidRPr="00DB5BAC">
        <w:rPr>
          <w:lang w:val="es-ES"/>
        </w:rPr>
        <w:t>igualdad ante la ley</w:t>
      </w:r>
      <w:r w:rsidR="00624611" w:rsidRPr="00DB5BAC">
        <w:rPr>
          <w:lang w:val="es-ES"/>
        </w:rPr>
        <w:t xml:space="preserve"> (</w:t>
      </w:r>
      <w:r w:rsidRPr="00DB5BAC">
        <w:rPr>
          <w:lang w:val="es-ES"/>
        </w:rPr>
        <w:t xml:space="preserve">artículo </w:t>
      </w:r>
      <w:r w:rsidR="00624611" w:rsidRPr="00DB5BAC">
        <w:rPr>
          <w:lang w:val="es-ES"/>
        </w:rPr>
        <w:t>II)</w:t>
      </w:r>
      <w:r w:rsidR="00624611" w:rsidRPr="00DB5BAC">
        <w:rPr>
          <w:rStyle w:val="FootnoteReference"/>
          <w:b w:val="0"/>
          <w:color w:val="auto"/>
          <w:lang w:val="es-ES"/>
        </w:rPr>
        <w:footnoteReference w:id="88"/>
      </w:r>
      <w:r w:rsidR="00624611" w:rsidRPr="00DB5BAC">
        <w:rPr>
          <w:lang w:val="es-ES"/>
        </w:rPr>
        <w:t xml:space="preserve"> </w:t>
      </w:r>
      <w:r w:rsidRPr="00DB5BAC">
        <w:rPr>
          <w:lang w:val="es-ES"/>
        </w:rPr>
        <w:t xml:space="preserve">en relación con el derecho </w:t>
      </w:r>
      <w:r w:rsidR="004C5490" w:rsidRPr="00DB5BAC">
        <w:rPr>
          <w:lang w:val="es-ES"/>
        </w:rPr>
        <w:t>de justicia</w:t>
      </w:r>
      <w:r w:rsidR="00D62AF9" w:rsidRPr="00DB5BAC">
        <w:rPr>
          <w:lang w:val="es-ES"/>
        </w:rPr>
        <w:t xml:space="preserve"> </w:t>
      </w:r>
      <w:r w:rsidRPr="00DB5BAC">
        <w:rPr>
          <w:lang w:val="es-ES"/>
        </w:rPr>
        <w:t>y el derecho a un r</w:t>
      </w:r>
      <w:r w:rsidR="00333A05" w:rsidRPr="00DB5BAC">
        <w:rPr>
          <w:lang w:val="es-ES"/>
        </w:rPr>
        <w:t>ecurso efectivo</w:t>
      </w:r>
      <w:r w:rsidR="00D62AF9" w:rsidRPr="00DB5BAC">
        <w:rPr>
          <w:lang w:val="es-ES"/>
        </w:rPr>
        <w:t xml:space="preserve"> </w:t>
      </w:r>
      <w:r w:rsidR="00624611" w:rsidRPr="00DB5BAC">
        <w:rPr>
          <w:lang w:val="es-ES"/>
        </w:rPr>
        <w:t>(</w:t>
      </w:r>
      <w:r w:rsidRPr="00DB5BAC">
        <w:rPr>
          <w:lang w:val="es-ES"/>
        </w:rPr>
        <w:t xml:space="preserve">artículo </w:t>
      </w:r>
      <w:r w:rsidR="00624611" w:rsidRPr="00DB5BAC">
        <w:rPr>
          <w:lang w:val="es-ES"/>
        </w:rPr>
        <w:t>XVIII)</w:t>
      </w:r>
      <w:r w:rsidR="00624611" w:rsidRPr="00DB5BAC">
        <w:rPr>
          <w:rStyle w:val="FootnoteReference"/>
          <w:b w:val="0"/>
          <w:color w:val="auto"/>
          <w:lang w:val="es-ES"/>
        </w:rPr>
        <w:footnoteReference w:id="89"/>
      </w:r>
      <w:bookmarkEnd w:id="17"/>
    </w:p>
    <w:p w14:paraId="4FB10728" w14:textId="77777777" w:rsidR="001D18C7" w:rsidRPr="00DB5BAC" w:rsidRDefault="001D18C7" w:rsidP="007C27A7">
      <w:pPr>
        <w:jc w:val="both"/>
        <w:rPr>
          <w:b/>
          <w:color w:val="FF0000"/>
          <w:sz w:val="20"/>
        </w:rPr>
      </w:pPr>
    </w:p>
    <w:p w14:paraId="556C6D1C" w14:textId="77777777" w:rsidR="00FD5A99" w:rsidRPr="00DB5BAC" w:rsidRDefault="00EA6487" w:rsidP="007C27A7">
      <w:pPr>
        <w:pStyle w:val="Heading3"/>
        <w:ind w:hanging="810"/>
        <w:rPr>
          <w:lang w:val="es-ES"/>
        </w:rPr>
      </w:pPr>
      <w:bookmarkStart w:id="18" w:name="_Toc27473291"/>
      <w:r w:rsidRPr="00DB5BAC">
        <w:rPr>
          <w:lang w:val="es-ES"/>
        </w:rPr>
        <w:t>Consideraciones g</w:t>
      </w:r>
      <w:r w:rsidR="00BD7433" w:rsidRPr="00DB5BAC">
        <w:rPr>
          <w:lang w:val="es-ES"/>
        </w:rPr>
        <w:t>eneral</w:t>
      </w:r>
      <w:r w:rsidRPr="00DB5BAC">
        <w:rPr>
          <w:lang w:val="es-ES"/>
        </w:rPr>
        <w:t xml:space="preserve">es sobre la </w:t>
      </w:r>
      <w:r w:rsidR="00333A05" w:rsidRPr="00DB5BAC">
        <w:rPr>
          <w:lang w:val="es-ES"/>
        </w:rPr>
        <w:t>igualdad ante la ley</w:t>
      </w:r>
      <w:r w:rsidR="00A868AD" w:rsidRPr="00DB5BAC">
        <w:rPr>
          <w:lang w:val="es-ES"/>
        </w:rPr>
        <w:t xml:space="preserve"> </w:t>
      </w:r>
      <w:r w:rsidRPr="00DB5BAC">
        <w:rPr>
          <w:lang w:val="es-ES"/>
        </w:rPr>
        <w:t xml:space="preserve">y el derecho a un </w:t>
      </w:r>
      <w:r w:rsidR="00333A05" w:rsidRPr="00DB5BAC">
        <w:rPr>
          <w:lang w:val="es-ES"/>
        </w:rPr>
        <w:t>recurso efectivo</w:t>
      </w:r>
      <w:bookmarkEnd w:id="18"/>
    </w:p>
    <w:p w14:paraId="3BA2B45F" w14:textId="77777777" w:rsidR="001A1A62" w:rsidRPr="00DB5BAC" w:rsidRDefault="001A1A62" w:rsidP="007C27A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6BEE7B3F" w14:textId="77777777" w:rsidR="004E65F9" w:rsidRPr="00DB5BAC" w:rsidRDefault="00933202"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rFonts w:asciiTheme="majorHAnsi" w:hAnsiTheme="majorHAnsi"/>
          <w:sz w:val="20"/>
        </w:rPr>
        <w:t xml:space="preserve">El </w:t>
      </w:r>
      <w:r w:rsidR="00EA6487" w:rsidRPr="00DB5BAC">
        <w:rPr>
          <w:rFonts w:asciiTheme="majorHAnsi" w:hAnsiTheme="majorHAnsi"/>
          <w:sz w:val="20"/>
        </w:rPr>
        <w:t>principio de</w:t>
      </w:r>
      <w:r w:rsidR="00C944E1" w:rsidRPr="00DB5BAC">
        <w:rPr>
          <w:rFonts w:asciiTheme="majorHAnsi" w:hAnsiTheme="majorHAnsi"/>
          <w:sz w:val="20"/>
        </w:rPr>
        <w:t xml:space="preserve"> </w:t>
      </w:r>
      <w:r w:rsidR="00333A05" w:rsidRPr="00DB5BAC">
        <w:rPr>
          <w:rFonts w:asciiTheme="majorHAnsi" w:hAnsiTheme="majorHAnsi"/>
          <w:sz w:val="20"/>
        </w:rPr>
        <w:t>igualdad ante la ley</w:t>
      </w:r>
      <w:r w:rsidR="00C944E1" w:rsidRPr="00DB5BAC">
        <w:rPr>
          <w:rFonts w:asciiTheme="majorHAnsi" w:hAnsiTheme="majorHAnsi"/>
          <w:sz w:val="20"/>
        </w:rPr>
        <w:t xml:space="preserve">, </w:t>
      </w:r>
      <w:r w:rsidRPr="00DB5BAC">
        <w:rPr>
          <w:rFonts w:asciiTheme="majorHAnsi" w:hAnsiTheme="majorHAnsi"/>
          <w:sz w:val="20"/>
        </w:rPr>
        <w:t>igual protección ante la ley y no discriminación</w:t>
      </w:r>
      <w:r w:rsidR="00C944E1" w:rsidRPr="00DB5BAC">
        <w:rPr>
          <w:rFonts w:asciiTheme="majorHAnsi" w:hAnsiTheme="majorHAnsi"/>
          <w:sz w:val="20"/>
        </w:rPr>
        <w:t xml:space="preserve"> </w:t>
      </w:r>
      <w:r w:rsidRPr="00DB5BAC">
        <w:rPr>
          <w:rFonts w:asciiTheme="majorHAnsi" w:hAnsiTheme="majorHAnsi"/>
          <w:sz w:val="20"/>
        </w:rPr>
        <w:t xml:space="preserve">se encuentra entre los derechos </w:t>
      </w:r>
      <w:r w:rsidR="00C944E1" w:rsidRPr="00DB5BAC">
        <w:rPr>
          <w:rFonts w:asciiTheme="majorHAnsi" w:hAnsiTheme="majorHAnsi"/>
          <w:sz w:val="20"/>
        </w:rPr>
        <w:t>human</w:t>
      </w:r>
      <w:r w:rsidRPr="00DB5BAC">
        <w:rPr>
          <w:rFonts w:asciiTheme="majorHAnsi" w:hAnsiTheme="majorHAnsi"/>
          <w:sz w:val="20"/>
        </w:rPr>
        <w:t>os más básicos y la Corte Interamericana</w:t>
      </w:r>
      <w:r w:rsidR="00C944E1" w:rsidRPr="00DB5BAC">
        <w:rPr>
          <w:rFonts w:asciiTheme="majorHAnsi" w:hAnsiTheme="majorHAnsi"/>
          <w:sz w:val="20"/>
        </w:rPr>
        <w:t xml:space="preserve"> </w:t>
      </w:r>
      <w:r w:rsidRPr="00DB5BAC">
        <w:rPr>
          <w:rFonts w:asciiTheme="majorHAnsi" w:hAnsiTheme="majorHAnsi"/>
          <w:sz w:val="20"/>
        </w:rPr>
        <w:t xml:space="preserve">lo reconoce como norma </w:t>
      </w:r>
      <w:r w:rsidR="00C944E1" w:rsidRPr="00DB5BAC">
        <w:rPr>
          <w:rFonts w:asciiTheme="majorHAnsi" w:hAnsiTheme="majorHAnsi"/>
          <w:i/>
          <w:sz w:val="20"/>
        </w:rPr>
        <w:t>jus cogens</w:t>
      </w:r>
      <w:r w:rsidR="00C944E1" w:rsidRPr="00DB5BAC">
        <w:rPr>
          <w:rFonts w:asciiTheme="majorHAnsi" w:hAnsiTheme="majorHAnsi"/>
          <w:sz w:val="20"/>
        </w:rPr>
        <w:t>, “</w:t>
      </w:r>
      <w:r w:rsidRPr="00DB5BAC">
        <w:rPr>
          <w:rFonts w:asciiTheme="majorHAnsi" w:hAnsiTheme="majorHAnsi"/>
          <w:sz w:val="20"/>
        </w:rPr>
        <w:t>puesto que sobre él descansa todo el andamiaje jurídico del orden público nacional e internacional</w:t>
      </w:r>
      <w:r w:rsidR="00C944E1" w:rsidRPr="00DB5BAC">
        <w:rPr>
          <w:rFonts w:asciiTheme="majorHAnsi" w:hAnsiTheme="majorHAnsi"/>
          <w:sz w:val="20"/>
        </w:rPr>
        <w:t>”</w:t>
      </w:r>
      <w:r w:rsidR="00C944E1" w:rsidRPr="00DB5BAC">
        <w:rPr>
          <w:rFonts w:asciiTheme="majorHAnsi" w:hAnsiTheme="majorHAnsi"/>
          <w:sz w:val="20"/>
          <w:vertAlign w:val="superscript"/>
        </w:rPr>
        <w:footnoteReference w:id="90"/>
      </w:r>
      <w:r w:rsidRPr="00DB5BAC">
        <w:rPr>
          <w:rFonts w:asciiTheme="majorHAnsi" w:hAnsiTheme="majorHAnsi"/>
          <w:sz w:val="20"/>
        </w:rPr>
        <w:t>.</w:t>
      </w:r>
      <w:r w:rsidR="00C944E1" w:rsidRPr="00DB5BAC">
        <w:rPr>
          <w:rFonts w:asciiTheme="majorHAnsi" w:hAnsiTheme="majorHAnsi"/>
          <w:sz w:val="20"/>
        </w:rPr>
        <w:t xml:space="preserve"> </w:t>
      </w:r>
      <w:r w:rsidRPr="00DB5BAC">
        <w:rPr>
          <w:rFonts w:asciiTheme="majorHAnsi" w:hAnsiTheme="majorHAnsi"/>
          <w:sz w:val="20"/>
        </w:rPr>
        <w:t xml:space="preserve">En consonancia con </w:t>
      </w:r>
      <w:r w:rsidR="006509AD" w:rsidRPr="00DB5BAC">
        <w:rPr>
          <w:rFonts w:asciiTheme="majorHAnsi" w:hAnsiTheme="majorHAnsi"/>
          <w:sz w:val="20"/>
        </w:rPr>
        <w:t xml:space="preserve">el </w:t>
      </w:r>
      <w:r w:rsidRPr="00DB5BAC">
        <w:rPr>
          <w:rFonts w:asciiTheme="majorHAnsi" w:hAnsiTheme="majorHAnsi"/>
          <w:sz w:val="20"/>
        </w:rPr>
        <w:t>Comité de Derechos Humanos</w:t>
      </w:r>
      <w:r w:rsidR="003A79D3" w:rsidRPr="00DB5BAC">
        <w:rPr>
          <w:rFonts w:asciiTheme="majorHAnsi" w:hAnsiTheme="majorHAnsi"/>
          <w:sz w:val="20"/>
        </w:rPr>
        <w:t xml:space="preserve">, </w:t>
      </w:r>
      <w:r w:rsidR="000648EF" w:rsidRPr="00DB5BAC">
        <w:rPr>
          <w:rFonts w:asciiTheme="majorHAnsi" w:hAnsiTheme="majorHAnsi"/>
          <w:sz w:val="20"/>
        </w:rPr>
        <w:t>la Comisión</w:t>
      </w:r>
      <w:r w:rsidR="003A79D3" w:rsidRPr="00DB5BAC">
        <w:rPr>
          <w:rFonts w:asciiTheme="majorHAnsi" w:hAnsiTheme="majorHAnsi"/>
          <w:sz w:val="20"/>
        </w:rPr>
        <w:t xml:space="preserve"> ha</w:t>
      </w:r>
      <w:r w:rsidR="006509AD" w:rsidRPr="00DB5BAC">
        <w:rPr>
          <w:rFonts w:asciiTheme="majorHAnsi" w:hAnsiTheme="majorHAnsi"/>
          <w:sz w:val="20"/>
        </w:rPr>
        <w:t xml:space="preserve"> entendido que </w:t>
      </w:r>
      <w:r w:rsidR="003A79D3" w:rsidRPr="00DB5BAC">
        <w:rPr>
          <w:rFonts w:eastAsia="Times New Roman"/>
          <w:bCs/>
          <w:sz w:val="20"/>
          <w:bdr w:val="none" w:sz="0" w:space="0" w:color="auto"/>
        </w:rPr>
        <w:t>“</w:t>
      </w:r>
      <w:r w:rsidRPr="00DB5BAC">
        <w:rPr>
          <w:rFonts w:eastAsia="Times New Roman"/>
          <w:bCs/>
          <w:sz w:val="20"/>
          <w:bdr w:val="none" w:sz="0" w:space="0" w:color="auto"/>
        </w:rPr>
        <w:t>discriminación</w:t>
      </w:r>
      <w:r w:rsidR="003A79D3" w:rsidRPr="00DB5BAC">
        <w:rPr>
          <w:rFonts w:eastAsia="Times New Roman"/>
          <w:bCs/>
          <w:sz w:val="20"/>
          <w:bdr w:val="none" w:sz="0" w:space="0" w:color="auto"/>
        </w:rPr>
        <w:t xml:space="preserve">” </w:t>
      </w:r>
      <w:r w:rsidR="006509AD" w:rsidRPr="00DB5BAC">
        <w:rPr>
          <w:rFonts w:eastAsia="Times New Roman"/>
          <w:bCs/>
          <w:sz w:val="20"/>
          <w:bdr w:val="none" w:sz="0" w:space="0" w:color="auto"/>
        </w:rPr>
        <w:t xml:space="preserve">significa </w:t>
      </w:r>
      <w:r w:rsidR="003A79D3" w:rsidRPr="00DB5BAC">
        <w:rPr>
          <w:color w:val="auto"/>
          <w:sz w:val="20"/>
        </w:rPr>
        <w:t>“</w:t>
      </w:r>
      <w:r w:rsidR="006509AD" w:rsidRPr="00DB5BAC">
        <w:rPr>
          <w:rFonts w:eastAsia="Times New Roman"/>
          <w:bCs/>
          <w:sz w:val="20"/>
          <w:bdr w:val="none" w:sz="0" w:space="0" w:color="auto"/>
        </w:rPr>
        <w:t>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 de todas las personas</w:t>
      </w:r>
      <w:r w:rsidR="003A79D3" w:rsidRPr="00DB5BAC">
        <w:rPr>
          <w:rFonts w:eastAsia="Times New Roman"/>
          <w:bCs/>
          <w:sz w:val="20"/>
          <w:bdr w:val="none" w:sz="0" w:space="0" w:color="auto"/>
        </w:rPr>
        <w:t>”</w:t>
      </w:r>
      <w:r w:rsidR="003A79D3" w:rsidRPr="00DB5BAC">
        <w:rPr>
          <w:rStyle w:val="FootnoteReference"/>
          <w:rFonts w:eastAsia="Times New Roman"/>
          <w:bCs/>
          <w:sz w:val="20"/>
          <w:bdr w:val="none" w:sz="0" w:space="0" w:color="auto"/>
        </w:rPr>
        <w:footnoteReference w:id="91"/>
      </w:r>
      <w:r w:rsidR="006509AD" w:rsidRPr="00DB5BAC">
        <w:rPr>
          <w:rFonts w:eastAsia="Times New Roman"/>
          <w:bCs/>
          <w:sz w:val="20"/>
          <w:bdr w:val="none" w:sz="0" w:space="0" w:color="auto"/>
        </w:rPr>
        <w:t>.</w:t>
      </w:r>
    </w:p>
    <w:p w14:paraId="36FB1ED1" w14:textId="77777777" w:rsidR="004E65F9" w:rsidRPr="00DB5BAC" w:rsidRDefault="004E65F9" w:rsidP="004E65F9">
      <w:pPr>
        <w:pStyle w:val="ListParagraph"/>
        <w:rPr>
          <w:color w:val="auto"/>
          <w:sz w:val="20"/>
          <w:lang w:val="es-ES"/>
        </w:rPr>
      </w:pPr>
    </w:p>
    <w:p w14:paraId="5ADA0660" w14:textId="77777777" w:rsidR="001A1A62" w:rsidRPr="00DB5BAC" w:rsidRDefault="00A368D4"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El principio de igualdad y </w:t>
      </w:r>
      <w:r w:rsidR="00933202" w:rsidRPr="00DB5BAC">
        <w:rPr>
          <w:color w:val="auto"/>
          <w:sz w:val="20"/>
        </w:rPr>
        <w:t>no discriminación</w:t>
      </w:r>
      <w:r w:rsidR="004E65F9" w:rsidRPr="00DB5BAC">
        <w:rPr>
          <w:color w:val="auto"/>
          <w:sz w:val="20"/>
        </w:rPr>
        <w:t xml:space="preserve"> incorpora</w:t>
      </w:r>
      <w:r w:rsidRPr="00DB5BAC">
        <w:rPr>
          <w:color w:val="auto"/>
          <w:sz w:val="20"/>
        </w:rPr>
        <w:t xml:space="preserve"> tanto</w:t>
      </w:r>
      <w:r w:rsidR="004E65F9" w:rsidRPr="00DB5BAC">
        <w:rPr>
          <w:color w:val="auto"/>
          <w:sz w:val="20"/>
        </w:rPr>
        <w:t xml:space="preserve"> “</w:t>
      </w:r>
      <w:r w:rsidRPr="00DB5BAC">
        <w:rPr>
          <w:color w:val="auto"/>
          <w:sz w:val="20"/>
        </w:rPr>
        <w:t>la prohibición de diferencias de trato arbitrarias</w:t>
      </w:r>
      <w:r w:rsidR="004E65F9" w:rsidRPr="00DB5BAC">
        <w:rPr>
          <w:color w:val="auto"/>
          <w:sz w:val="20"/>
        </w:rPr>
        <w:t xml:space="preserve">” </w:t>
      </w:r>
      <w:r w:rsidRPr="00DB5BAC">
        <w:rPr>
          <w:color w:val="auto"/>
          <w:sz w:val="20"/>
        </w:rPr>
        <w:t>como</w:t>
      </w:r>
      <w:r w:rsidR="004E65F9" w:rsidRPr="00DB5BAC">
        <w:rPr>
          <w:color w:val="auto"/>
          <w:sz w:val="20"/>
        </w:rPr>
        <w:t xml:space="preserve"> “</w:t>
      </w:r>
      <w:r w:rsidRPr="00DB5BAC">
        <w:rPr>
          <w:color w:val="auto"/>
          <w:sz w:val="20"/>
        </w:rPr>
        <w:t>la obligación de los Estados de crear condiciones de igualdad real frente a grupos que han sido históricamente excluidos o que se encuentran en mayor riesgo de ser discriminados”</w:t>
      </w:r>
      <w:r w:rsidR="004E65F9" w:rsidRPr="00DB5BAC">
        <w:rPr>
          <w:rStyle w:val="FootnoteReference"/>
          <w:color w:val="auto"/>
          <w:sz w:val="20"/>
        </w:rPr>
        <w:footnoteReference w:id="92"/>
      </w:r>
      <w:r w:rsidRPr="00DB5BAC">
        <w:rPr>
          <w:color w:val="auto"/>
          <w:sz w:val="20"/>
        </w:rPr>
        <w:t xml:space="preserve">. Con respecto al primer concepto, aunque el artículo </w:t>
      </w:r>
      <w:r w:rsidR="001A1A62" w:rsidRPr="00DB5BAC">
        <w:rPr>
          <w:rFonts w:eastAsia="Times New Roman"/>
          <w:bCs/>
          <w:sz w:val="20"/>
          <w:bdr w:val="none" w:sz="0" w:space="0" w:color="auto"/>
        </w:rPr>
        <w:t xml:space="preserve">II </w:t>
      </w:r>
      <w:r w:rsidRPr="00DB5BAC">
        <w:rPr>
          <w:rFonts w:eastAsia="Times New Roman"/>
          <w:bCs/>
          <w:sz w:val="20"/>
          <w:bdr w:val="none" w:sz="0" w:space="0" w:color="auto"/>
        </w:rPr>
        <w:t xml:space="preserve">de la </w:t>
      </w:r>
      <w:r w:rsidR="005B1600" w:rsidRPr="00DB5BAC">
        <w:rPr>
          <w:rFonts w:eastAsia="Times New Roman"/>
          <w:bCs/>
          <w:sz w:val="20"/>
          <w:bdr w:val="none" w:sz="0" w:space="0" w:color="auto"/>
        </w:rPr>
        <w:t>Declaración Americana</w:t>
      </w:r>
      <w:r w:rsidR="004E65F9" w:rsidRPr="00DB5BAC">
        <w:rPr>
          <w:rFonts w:eastAsia="Times New Roman"/>
          <w:bCs/>
          <w:sz w:val="20"/>
          <w:bdr w:val="none" w:sz="0" w:space="0" w:color="auto"/>
        </w:rPr>
        <w:t xml:space="preserve"> </w:t>
      </w:r>
      <w:r w:rsidRPr="00DB5BAC">
        <w:rPr>
          <w:rFonts w:eastAsia="Times New Roman"/>
          <w:bCs/>
          <w:sz w:val="20"/>
          <w:bdr w:val="none" w:sz="0" w:space="0" w:color="auto"/>
        </w:rPr>
        <w:t>no prohíbe todas las diferencias de trato en el goce de los derechos y las libertadas protegidos, exige que toda distinción permisible se base en una justificación objetiva y razonable</w:t>
      </w:r>
      <w:r w:rsidR="00F5186B" w:rsidRPr="00DB5BAC">
        <w:rPr>
          <w:rFonts w:eastAsia="Times New Roman"/>
          <w:bCs/>
          <w:sz w:val="20"/>
          <w:bdr w:val="none" w:sz="0" w:space="0" w:color="auto"/>
        </w:rPr>
        <w:t>,</w:t>
      </w:r>
      <w:r w:rsidRPr="00DB5BAC">
        <w:rPr>
          <w:rFonts w:eastAsia="Times New Roman"/>
          <w:bCs/>
          <w:sz w:val="20"/>
          <w:bdr w:val="none" w:sz="0" w:space="0" w:color="auto"/>
        </w:rPr>
        <w:t xml:space="preserve"> que persiga un objetivo legítimo</w:t>
      </w:r>
      <w:r w:rsidR="001A1A62" w:rsidRPr="00DB5BAC">
        <w:rPr>
          <w:rFonts w:eastAsia="Times New Roman"/>
          <w:bCs/>
          <w:sz w:val="20"/>
          <w:bdr w:val="none" w:sz="0" w:space="0" w:color="auto"/>
        </w:rPr>
        <w:t>, “</w:t>
      </w:r>
      <w:r w:rsidRPr="00DB5BAC">
        <w:rPr>
          <w:rFonts w:eastAsia="Times New Roman"/>
          <w:bCs/>
          <w:sz w:val="20"/>
          <w:bdr w:val="none" w:sz="0" w:space="0" w:color="auto"/>
        </w:rPr>
        <w:t>teniendo en cuenta los principios que normalmente prevalecen en las sociedades democráticas</w:t>
      </w:r>
      <w:r w:rsidR="00F5186B" w:rsidRPr="00DB5BAC">
        <w:rPr>
          <w:rFonts w:eastAsia="Times New Roman"/>
          <w:bCs/>
          <w:sz w:val="20"/>
          <w:bdr w:val="none" w:sz="0" w:space="0" w:color="auto"/>
        </w:rPr>
        <w:t>[,]</w:t>
      </w:r>
      <w:r w:rsidRPr="00DB5BAC">
        <w:rPr>
          <w:rFonts w:eastAsia="Times New Roman"/>
          <w:bCs/>
          <w:sz w:val="20"/>
          <w:bdr w:val="none" w:sz="0" w:space="0" w:color="auto"/>
        </w:rPr>
        <w:t xml:space="preserve"> y los medios deben ser razonables y </w:t>
      </w:r>
      <w:r w:rsidRPr="00DB5BAC">
        <w:rPr>
          <w:rFonts w:eastAsia="Times New Roman"/>
          <w:bCs/>
          <w:sz w:val="20"/>
          <w:bdr w:val="none" w:sz="0" w:space="0" w:color="auto"/>
        </w:rPr>
        <w:lastRenderedPageBreak/>
        <w:t>proporcionados al fin que se procura</w:t>
      </w:r>
      <w:r w:rsidR="001A1A62" w:rsidRPr="00DB5BAC">
        <w:rPr>
          <w:rFonts w:eastAsia="Times New Roman"/>
          <w:bCs/>
          <w:sz w:val="20"/>
          <w:bdr w:val="none" w:sz="0" w:space="0" w:color="auto"/>
        </w:rPr>
        <w:t>”</w:t>
      </w:r>
      <w:r w:rsidR="001A1A62" w:rsidRPr="00DB5BAC">
        <w:rPr>
          <w:rStyle w:val="FootnoteReference"/>
          <w:rFonts w:eastAsia="Times New Roman"/>
          <w:bCs/>
          <w:sz w:val="20"/>
          <w:bdr w:val="none" w:sz="0" w:space="0" w:color="auto"/>
        </w:rPr>
        <w:footnoteReference w:id="93"/>
      </w:r>
      <w:r w:rsidRPr="00DB5BAC">
        <w:rPr>
          <w:rFonts w:eastAsia="Times New Roman"/>
          <w:bCs/>
          <w:sz w:val="20"/>
          <w:bdr w:val="none" w:sz="0" w:space="0" w:color="auto"/>
        </w:rPr>
        <w:t xml:space="preserve">. Además, las </w:t>
      </w:r>
      <w:r w:rsidRPr="00DB5BAC">
        <w:rPr>
          <w:color w:val="auto"/>
          <w:sz w:val="20"/>
        </w:rPr>
        <w:t>distinciones</w:t>
      </w:r>
      <w:r w:rsidR="007C6F9F" w:rsidRPr="00DB5BAC">
        <w:rPr>
          <w:color w:val="auto"/>
          <w:sz w:val="20"/>
        </w:rPr>
        <w:t xml:space="preserve"> </w:t>
      </w:r>
      <w:r w:rsidRPr="00DB5BAC">
        <w:rPr>
          <w:color w:val="auto"/>
          <w:sz w:val="20"/>
        </w:rPr>
        <w:t>por los motivos enumerados explícitamente en los artículos pertinentes de</w:t>
      </w:r>
      <w:r w:rsidR="007C6F9F" w:rsidRPr="00DB5BAC">
        <w:rPr>
          <w:color w:val="auto"/>
          <w:sz w:val="20"/>
        </w:rPr>
        <w:t xml:space="preserve"> </w:t>
      </w:r>
      <w:r w:rsidRPr="00DB5BAC">
        <w:rPr>
          <w:color w:val="auto"/>
          <w:sz w:val="20"/>
        </w:rPr>
        <w:t>instrumentos internacionales de derechos humanos</w:t>
      </w:r>
      <w:r w:rsidR="007C6F9F" w:rsidRPr="00DB5BAC">
        <w:rPr>
          <w:color w:val="auto"/>
          <w:sz w:val="20"/>
        </w:rPr>
        <w:t xml:space="preserve"> </w:t>
      </w:r>
      <w:r w:rsidRPr="00DB5BAC">
        <w:rPr>
          <w:color w:val="auto"/>
          <w:sz w:val="20"/>
        </w:rPr>
        <w:t>están supeditadas a un nivel particu</w:t>
      </w:r>
      <w:r w:rsidR="00080473" w:rsidRPr="00DB5BAC">
        <w:rPr>
          <w:color w:val="auto"/>
          <w:sz w:val="20"/>
        </w:rPr>
        <w:t>larmente estricto de escrutinio, que requiere que los Estados aduzcan un interés de mucho peso y una justificación imperiosa para efectuar tal distinción</w:t>
      </w:r>
      <w:r w:rsidR="007C6F9F" w:rsidRPr="00DB5BAC">
        <w:rPr>
          <w:rStyle w:val="FootnoteReference"/>
          <w:color w:val="auto"/>
          <w:sz w:val="20"/>
        </w:rPr>
        <w:footnoteReference w:id="94"/>
      </w:r>
      <w:r w:rsidR="00080473" w:rsidRPr="00DB5BAC">
        <w:rPr>
          <w:color w:val="auto"/>
          <w:sz w:val="20"/>
        </w:rPr>
        <w:t xml:space="preserve">. También hay que tener en cuenta que </w:t>
      </w:r>
      <w:r w:rsidR="00080473" w:rsidRPr="00DB5BAC">
        <w:rPr>
          <w:rFonts w:eastAsia="Times New Roman"/>
          <w:bCs/>
          <w:sz w:val="20"/>
          <w:bdr w:val="none" w:sz="0" w:space="0" w:color="auto"/>
        </w:rPr>
        <w:t>“uno de los objetivos de la Declaración Americana [...] era asegurar en principio ‘la igual protección de la ley a nacionales y extranjeros por igual en relación con los derechos establecidos</w:t>
      </w:r>
      <w:r w:rsidR="001A1A62" w:rsidRPr="00DB5BAC">
        <w:rPr>
          <w:rFonts w:eastAsia="Times New Roman"/>
          <w:bCs/>
          <w:sz w:val="20"/>
          <w:bdr w:val="none" w:sz="0" w:space="0" w:color="auto"/>
        </w:rPr>
        <w:t>’”</w:t>
      </w:r>
      <w:r w:rsidR="001A1A62" w:rsidRPr="00DB5BAC">
        <w:rPr>
          <w:rFonts w:eastAsia="Times New Roman"/>
          <w:bCs/>
          <w:sz w:val="20"/>
          <w:bdr w:val="none" w:sz="0" w:space="0" w:color="auto"/>
          <w:vertAlign w:val="superscript"/>
        </w:rPr>
        <w:footnoteReference w:id="95"/>
      </w:r>
      <w:r w:rsidR="00080473" w:rsidRPr="00DB5BAC">
        <w:rPr>
          <w:rFonts w:eastAsia="Times New Roman"/>
          <w:bCs/>
          <w:sz w:val="20"/>
          <w:bdr w:val="none" w:sz="0" w:space="0" w:color="auto"/>
        </w:rPr>
        <w:t>.</w:t>
      </w:r>
      <w:r w:rsidR="001A1A62" w:rsidRPr="00DB5BAC">
        <w:rPr>
          <w:rFonts w:eastAsia="Times New Roman"/>
          <w:bCs/>
          <w:sz w:val="20"/>
          <w:bdr w:val="none" w:sz="0" w:space="0" w:color="auto"/>
        </w:rPr>
        <w:t xml:space="preserve"> </w:t>
      </w:r>
    </w:p>
    <w:p w14:paraId="79337188" w14:textId="77777777" w:rsidR="001A1A62" w:rsidRPr="00DB5BAC" w:rsidRDefault="001A1A62" w:rsidP="001A1A62">
      <w:pPr>
        <w:pStyle w:val="ListParagraph"/>
        <w:rPr>
          <w:rFonts w:eastAsia="Times New Roman"/>
          <w:bCs/>
          <w:sz w:val="20"/>
          <w:bdr w:val="none" w:sz="0" w:space="0" w:color="auto"/>
          <w:lang w:val="es-ES"/>
        </w:rPr>
      </w:pPr>
    </w:p>
    <w:p w14:paraId="45975462" w14:textId="77777777" w:rsidR="003C549A" w:rsidRPr="00DB5BAC" w:rsidRDefault="00080473"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rPr>
      </w:pPr>
      <w:r w:rsidRPr="00DB5BAC">
        <w:rPr>
          <w:color w:val="auto"/>
          <w:sz w:val="20"/>
        </w:rPr>
        <w:t xml:space="preserve">Además, con respecto a los derechos al </w:t>
      </w:r>
      <w:r w:rsidR="004C5490" w:rsidRPr="00DB5BAC">
        <w:rPr>
          <w:color w:val="auto"/>
          <w:sz w:val="20"/>
        </w:rPr>
        <w:t>debido proceso</w:t>
      </w:r>
      <w:r w:rsidR="00D62AF9" w:rsidRPr="00DB5BAC">
        <w:rPr>
          <w:color w:val="auto"/>
          <w:sz w:val="20"/>
        </w:rPr>
        <w:t xml:space="preserve"> </w:t>
      </w:r>
      <w:r w:rsidRPr="00DB5BAC">
        <w:rPr>
          <w:color w:val="auto"/>
          <w:sz w:val="20"/>
        </w:rPr>
        <w:t xml:space="preserve">y a la protección </w:t>
      </w:r>
      <w:r w:rsidR="00D62AF9" w:rsidRPr="00DB5BAC">
        <w:rPr>
          <w:color w:val="auto"/>
          <w:sz w:val="20"/>
        </w:rPr>
        <w:t xml:space="preserve">judicial </w:t>
      </w:r>
      <w:r w:rsidRPr="00DB5BAC">
        <w:rPr>
          <w:color w:val="auto"/>
          <w:sz w:val="20"/>
        </w:rPr>
        <w:t xml:space="preserve">dispuestos en el artículo </w:t>
      </w:r>
      <w:r w:rsidR="00D62AF9" w:rsidRPr="00DB5BAC">
        <w:rPr>
          <w:color w:val="auto"/>
          <w:sz w:val="20"/>
        </w:rPr>
        <w:t xml:space="preserve">XVIII, </w:t>
      </w:r>
      <w:r w:rsidR="00385620" w:rsidRPr="00DB5BAC">
        <w:rPr>
          <w:color w:val="auto"/>
          <w:sz w:val="20"/>
        </w:rPr>
        <w:t xml:space="preserve">los Estados tienen no solo la responsabilidad primordial de conducirse de una manera que asegure el libre y pleno ejercicio de los derechos humanos, sino también el deber, de acuerdo con los principios </w:t>
      </w:r>
      <w:r w:rsidR="00F5186B" w:rsidRPr="00DB5BAC">
        <w:rPr>
          <w:color w:val="auto"/>
          <w:sz w:val="20"/>
        </w:rPr>
        <w:t xml:space="preserve">consagrados </w:t>
      </w:r>
      <w:r w:rsidR="00385620" w:rsidRPr="00DB5BAC">
        <w:rPr>
          <w:color w:val="auto"/>
          <w:sz w:val="20"/>
        </w:rPr>
        <w:t xml:space="preserve">del </w:t>
      </w:r>
      <w:r w:rsidR="000275C1" w:rsidRPr="00DB5BAC">
        <w:rPr>
          <w:color w:val="auto"/>
          <w:sz w:val="20"/>
        </w:rPr>
        <w:t>derecho internacional</w:t>
      </w:r>
      <w:r w:rsidR="00385620" w:rsidRPr="00DB5BAC">
        <w:rPr>
          <w:color w:val="auto"/>
          <w:sz w:val="20"/>
        </w:rPr>
        <w:t xml:space="preserve">, </w:t>
      </w:r>
      <w:r w:rsidR="00F5186B" w:rsidRPr="00DB5BAC">
        <w:rPr>
          <w:color w:val="auto"/>
          <w:sz w:val="20"/>
        </w:rPr>
        <w:t>de</w:t>
      </w:r>
      <w:r w:rsidR="00385620" w:rsidRPr="00DB5BAC">
        <w:rPr>
          <w:color w:val="auto"/>
          <w:sz w:val="20"/>
        </w:rPr>
        <w:t xml:space="preserve"> proporcionar recursos adecuados y efectivos para toda violación que se cometa</w:t>
      </w:r>
      <w:r w:rsidR="00D62AF9" w:rsidRPr="00DB5BAC">
        <w:rPr>
          <w:rStyle w:val="FootnoteReference"/>
          <w:color w:val="auto"/>
          <w:sz w:val="20"/>
        </w:rPr>
        <w:footnoteReference w:id="96"/>
      </w:r>
      <w:r w:rsidR="00385620" w:rsidRPr="00DB5BAC">
        <w:rPr>
          <w:color w:val="auto"/>
          <w:sz w:val="20"/>
        </w:rPr>
        <w:t>. En ese sentido, en el sistema interamericano</w:t>
      </w:r>
      <w:r w:rsidR="004E65F9" w:rsidRPr="00DB5BAC">
        <w:rPr>
          <w:color w:val="auto"/>
          <w:sz w:val="20"/>
        </w:rPr>
        <w:t xml:space="preserve">, </w:t>
      </w:r>
      <w:r w:rsidR="00385620" w:rsidRPr="00DB5BAC">
        <w:rPr>
          <w:color w:val="auto"/>
          <w:sz w:val="20"/>
        </w:rPr>
        <w:t xml:space="preserve">el </w:t>
      </w:r>
      <w:r w:rsidR="00385620" w:rsidRPr="00DB5BAC">
        <w:rPr>
          <w:color w:val="000000" w:themeColor="text1"/>
          <w:sz w:val="20"/>
        </w:rPr>
        <w:t>acceso a la justicia</w:t>
      </w:r>
      <w:r w:rsidR="003C549A" w:rsidRPr="00DB5BAC">
        <w:rPr>
          <w:color w:val="000000" w:themeColor="text1"/>
          <w:sz w:val="20"/>
        </w:rPr>
        <w:t xml:space="preserve"> </w:t>
      </w:r>
      <w:r w:rsidR="00385620" w:rsidRPr="00DB5BAC">
        <w:rPr>
          <w:color w:val="000000" w:themeColor="text1"/>
          <w:sz w:val="20"/>
        </w:rPr>
        <w:t xml:space="preserve">es no solo un derecho humano </w:t>
      </w:r>
      <w:r w:rsidR="003C549A" w:rsidRPr="00DB5BAC">
        <w:rPr>
          <w:color w:val="000000" w:themeColor="text1"/>
          <w:sz w:val="20"/>
        </w:rPr>
        <w:t>fundamental</w:t>
      </w:r>
      <w:r w:rsidR="00385620" w:rsidRPr="00DB5BAC">
        <w:rPr>
          <w:color w:val="000000" w:themeColor="text1"/>
          <w:sz w:val="20"/>
        </w:rPr>
        <w:t>, sino también un requisito previo esencial para la protección</w:t>
      </w:r>
      <w:r w:rsidR="003C549A" w:rsidRPr="00DB5BAC">
        <w:rPr>
          <w:color w:val="000000" w:themeColor="text1"/>
          <w:sz w:val="20"/>
        </w:rPr>
        <w:t xml:space="preserve"> </w:t>
      </w:r>
      <w:r w:rsidR="00385620" w:rsidRPr="00DB5BAC">
        <w:rPr>
          <w:color w:val="000000" w:themeColor="text1"/>
          <w:sz w:val="20"/>
        </w:rPr>
        <w:t>y</w:t>
      </w:r>
      <w:r w:rsidR="003C549A" w:rsidRPr="00DB5BAC">
        <w:rPr>
          <w:color w:val="000000" w:themeColor="text1"/>
          <w:sz w:val="20"/>
        </w:rPr>
        <w:t xml:space="preserve"> </w:t>
      </w:r>
      <w:r w:rsidR="00385620" w:rsidRPr="00DB5BAC">
        <w:rPr>
          <w:color w:val="000000" w:themeColor="text1"/>
          <w:sz w:val="20"/>
        </w:rPr>
        <w:t>promoción</w:t>
      </w:r>
      <w:r w:rsidR="003C549A" w:rsidRPr="00DB5BAC">
        <w:rPr>
          <w:color w:val="000000" w:themeColor="text1"/>
          <w:sz w:val="20"/>
        </w:rPr>
        <w:t xml:space="preserve"> </w:t>
      </w:r>
      <w:r w:rsidR="00385620" w:rsidRPr="00DB5BAC">
        <w:rPr>
          <w:color w:val="000000" w:themeColor="text1"/>
          <w:sz w:val="20"/>
        </w:rPr>
        <w:t xml:space="preserve">de los demás derechos. </w:t>
      </w:r>
      <w:r w:rsidR="00E310DE" w:rsidRPr="00DB5BAC">
        <w:rPr>
          <w:color w:val="000000" w:themeColor="text1"/>
          <w:sz w:val="20"/>
        </w:rPr>
        <w:t xml:space="preserve">De ahí deriva </w:t>
      </w:r>
      <w:r w:rsidR="00FA5A8D" w:rsidRPr="00DB5BAC">
        <w:rPr>
          <w:color w:val="000000" w:themeColor="text1"/>
          <w:sz w:val="20"/>
        </w:rPr>
        <w:t>el principio fundamental de que la existencia formal de un recurso en el derecho no es suficiente</w:t>
      </w:r>
      <w:r w:rsidR="003C549A" w:rsidRPr="00DB5BAC">
        <w:rPr>
          <w:rStyle w:val="FootnoteReference"/>
          <w:color w:val="000000" w:themeColor="text1"/>
          <w:sz w:val="20"/>
        </w:rPr>
        <w:footnoteReference w:id="97"/>
      </w:r>
      <w:r w:rsidR="00FA5A8D" w:rsidRPr="00DB5BAC">
        <w:rPr>
          <w:color w:val="000000" w:themeColor="text1"/>
          <w:sz w:val="20"/>
        </w:rPr>
        <w:t>; los Estados deben asegurar que los recursos legales sean adecuados y efectivos en la práctica a fin de determinar si se ha cometido una violación de derechos humanos y otorgar una reparación</w:t>
      </w:r>
      <w:r w:rsidR="003C549A" w:rsidRPr="00DB5BAC">
        <w:rPr>
          <w:rStyle w:val="FootnoteReference"/>
          <w:color w:val="000000" w:themeColor="text1"/>
          <w:sz w:val="20"/>
        </w:rPr>
        <w:footnoteReference w:id="98"/>
      </w:r>
      <w:r w:rsidR="00FA5A8D" w:rsidRPr="00DB5BAC">
        <w:rPr>
          <w:color w:val="000000" w:themeColor="text1"/>
          <w:sz w:val="20"/>
        </w:rPr>
        <w:t>. Para que un</w:t>
      </w:r>
      <w:r w:rsidR="003C549A" w:rsidRPr="00DB5BAC">
        <w:rPr>
          <w:color w:val="000000" w:themeColor="text1"/>
          <w:sz w:val="20"/>
        </w:rPr>
        <w:t xml:space="preserve"> </w:t>
      </w:r>
      <w:r w:rsidR="00333A05" w:rsidRPr="00DB5BAC">
        <w:rPr>
          <w:color w:val="000000" w:themeColor="text1"/>
          <w:sz w:val="20"/>
        </w:rPr>
        <w:t>recurso efectivo</w:t>
      </w:r>
      <w:r w:rsidR="00FA5A8D" w:rsidRPr="00DB5BAC">
        <w:rPr>
          <w:color w:val="000000" w:themeColor="text1"/>
          <w:sz w:val="20"/>
        </w:rPr>
        <w:t>, debe ser capaz de producir el resultado para el cual fue creado</w:t>
      </w:r>
      <w:r w:rsidR="003C549A" w:rsidRPr="00DB5BAC">
        <w:rPr>
          <w:rStyle w:val="FootnoteReference"/>
          <w:color w:val="000000" w:themeColor="text1"/>
          <w:sz w:val="20"/>
        </w:rPr>
        <w:footnoteReference w:id="99"/>
      </w:r>
      <w:r w:rsidR="00FA5A8D" w:rsidRPr="00DB5BAC">
        <w:rPr>
          <w:color w:val="000000" w:themeColor="text1"/>
          <w:sz w:val="20"/>
        </w:rPr>
        <w:t>, debe tener un efecto útil</w:t>
      </w:r>
      <w:r w:rsidR="003C549A" w:rsidRPr="00DB5BAC">
        <w:rPr>
          <w:color w:val="000000" w:themeColor="text1"/>
          <w:sz w:val="20"/>
        </w:rPr>
        <w:t xml:space="preserve"> (</w:t>
      </w:r>
      <w:r w:rsidR="003C549A" w:rsidRPr="00DB5BAC">
        <w:rPr>
          <w:i/>
          <w:color w:val="000000" w:themeColor="text1"/>
          <w:sz w:val="20"/>
        </w:rPr>
        <w:t>effet utile</w:t>
      </w:r>
      <w:r w:rsidR="003C549A" w:rsidRPr="00DB5BAC">
        <w:rPr>
          <w:color w:val="000000" w:themeColor="text1"/>
          <w:sz w:val="20"/>
        </w:rPr>
        <w:t>)</w:t>
      </w:r>
      <w:r w:rsidR="00FA5A8D" w:rsidRPr="00DB5BAC">
        <w:rPr>
          <w:color w:val="000000" w:themeColor="text1"/>
          <w:sz w:val="20"/>
        </w:rPr>
        <w:t xml:space="preserve"> y no debe ser ilusorio</w:t>
      </w:r>
      <w:r w:rsidR="003C549A" w:rsidRPr="00DB5BAC">
        <w:rPr>
          <w:rStyle w:val="FootnoteReference"/>
          <w:color w:val="000000" w:themeColor="text1"/>
          <w:sz w:val="20"/>
        </w:rPr>
        <w:footnoteReference w:id="100"/>
      </w:r>
      <w:r w:rsidR="00FA5A8D" w:rsidRPr="00DB5BAC">
        <w:rPr>
          <w:color w:val="000000" w:themeColor="text1"/>
          <w:sz w:val="20"/>
        </w:rPr>
        <w:t>.</w:t>
      </w:r>
      <w:r w:rsidR="003C549A" w:rsidRPr="00DB5BAC">
        <w:rPr>
          <w:color w:val="000000" w:themeColor="text1"/>
          <w:sz w:val="20"/>
        </w:rPr>
        <w:t xml:space="preserve"> </w:t>
      </w:r>
    </w:p>
    <w:p w14:paraId="598D15AE" w14:textId="77777777" w:rsidR="00A868AD" w:rsidRPr="00DB5BAC" w:rsidRDefault="00A868AD" w:rsidP="00A868A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rPr>
      </w:pPr>
    </w:p>
    <w:p w14:paraId="1485AB80" w14:textId="77777777" w:rsidR="00FD5A99" w:rsidRPr="00DB5BAC" w:rsidRDefault="00FA5A8D" w:rsidP="00E310DE">
      <w:pPr>
        <w:pStyle w:val="Heading3"/>
        <w:keepNext/>
        <w:keepLines/>
        <w:ind w:hanging="810"/>
        <w:rPr>
          <w:lang w:val="es-ES"/>
        </w:rPr>
      </w:pPr>
      <w:bookmarkStart w:id="19" w:name="_Toc27473292"/>
      <w:r w:rsidRPr="00DB5BAC">
        <w:rPr>
          <w:lang w:val="es-ES"/>
        </w:rPr>
        <w:lastRenderedPageBreak/>
        <w:t>Exclusión de l</w:t>
      </w:r>
      <w:r w:rsidR="005B1600" w:rsidRPr="00DB5BAC">
        <w:rPr>
          <w:lang w:val="es-ES"/>
        </w:rPr>
        <w:t>os hermanos Shibayama</w:t>
      </w:r>
      <w:r w:rsidRPr="00DB5BAC">
        <w:rPr>
          <w:lang w:val="es-ES"/>
        </w:rPr>
        <w:t xml:space="preserve"> de </w:t>
      </w:r>
      <w:r w:rsidR="00725FFD" w:rsidRPr="00DB5BAC">
        <w:rPr>
          <w:lang w:val="es-ES"/>
        </w:rPr>
        <w:t xml:space="preserve">la </w:t>
      </w:r>
      <w:r w:rsidR="00CA2EFA" w:rsidRPr="00DB5BAC">
        <w:rPr>
          <w:lang w:val="es-ES"/>
        </w:rPr>
        <w:t>Ley de Libertades Civiles</w:t>
      </w:r>
      <w:bookmarkEnd w:id="19"/>
    </w:p>
    <w:p w14:paraId="67110791" w14:textId="77777777" w:rsidR="004D6618" w:rsidRPr="00DB5BAC" w:rsidRDefault="004D6618" w:rsidP="00E310DE">
      <w:pPr>
        <w:keepNext/>
        <w:keepLines/>
      </w:pPr>
    </w:p>
    <w:p w14:paraId="135C3D1D" w14:textId="77777777" w:rsidR="00FD1BB2" w:rsidRPr="00DB5BAC" w:rsidRDefault="00537EB4" w:rsidP="00D47899">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DB5BAC">
        <w:rPr>
          <w:color w:val="000000" w:themeColor="text1"/>
          <w:sz w:val="20"/>
        </w:rPr>
        <w:t xml:space="preserve">En 1988, el Congreso de </w:t>
      </w:r>
      <w:r w:rsidR="000648EF" w:rsidRPr="00DB5BAC">
        <w:rPr>
          <w:color w:val="000000" w:themeColor="text1"/>
          <w:sz w:val="20"/>
        </w:rPr>
        <w:t>Estados Unidos</w:t>
      </w:r>
      <w:r w:rsidR="005E4CEB" w:rsidRPr="00DB5BAC">
        <w:rPr>
          <w:color w:val="000000" w:themeColor="text1"/>
          <w:sz w:val="20"/>
        </w:rPr>
        <w:t xml:space="preserve"> </w:t>
      </w:r>
      <w:r w:rsidRPr="00DB5BAC">
        <w:rPr>
          <w:color w:val="000000" w:themeColor="text1"/>
          <w:sz w:val="20"/>
        </w:rPr>
        <w:t>decidió reconocer y otorgar reparación</w:t>
      </w:r>
      <w:r w:rsidR="00664E14" w:rsidRPr="00DB5BAC">
        <w:rPr>
          <w:color w:val="000000" w:themeColor="text1"/>
          <w:sz w:val="20"/>
        </w:rPr>
        <w:t xml:space="preserve"> </w:t>
      </w:r>
      <w:r w:rsidRPr="00DB5BAC">
        <w:rPr>
          <w:color w:val="000000" w:themeColor="text1"/>
          <w:sz w:val="20"/>
        </w:rPr>
        <w:t xml:space="preserve">a las </w:t>
      </w:r>
      <w:r w:rsidR="00C07AEF" w:rsidRPr="00DB5BAC">
        <w:rPr>
          <w:color w:val="000000" w:themeColor="text1"/>
          <w:sz w:val="20"/>
        </w:rPr>
        <w:t>personas de ascendencia japonesa</w:t>
      </w:r>
      <w:r w:rsidR="00664E14" w:rsidRPr="00DB5BAC">
        <w:rPr>
          <w:color w:val="000000" w:themeColor="text1"/>
          <w:sz w:val="20"/>
        </w:rPr>
        <w:t xml:space="preserve"> </w:t>
      </w:r>
      <w:r w:rsidRPr="00DB5BAC">
        <w:rPr>
          <w:color w:val="000000" w:themeColor="text1"/>
          <w:sz w:val="20"/>
        </w:rPr>
        <w:t>que habían sido internadas durante</w:t>
      </w:r>
      <w:r w:rsidR="00664E14" w:rsidRPr="00DB5BAC">
        <w:rPr>
          <w:color w:val="000000" w:themeColor="text1"/>
          <w:sz w:val="20"/>
        </w:rPr>
        <w:t xml:space="preserve"> </w:t>
      </w:r>
      <w:r w:rsidR="00BB0303" w:rsidRPr="00DB5BAC">
        <w:rPr>
          <w:color w:val="000000" w:themeColor="text1"/>
          <w:sz w:val="20"/>
        </w:rPr>
        <w:t>la Segunda Guerra Mundial</w:t>
      </w:r>
      <w:r w:rsidR="00664E14" w:rsidRPr="00DB5BAC">
        <w:rPr>
          <w:color w:val="000000" w:themeColor="text1"/>
          <w:sz w:val="20"/>
        </w:rPr>
        <w:t xml:space="preserve"> </w:t>
      </w:r>
      <w:r w:rsidRPr="00DB5BAC">
        <w:rPr>
          <w:color w:val="000000" w:themeColor="text1"/>
          <w:sz w:val="20"/>
        </w:rPr>
        <w:t xml:space="preserve">por la </w:t>
      </w:r>
      <w:r w:rsidR="00391B4C">
        <w:rPr>
          <w:color w:val="000000" w:themeColor="text1"/>
          <w:sz w:val="20"/>
        </w:rPr>
        <w:t>“</w:t>
      </w:r>
      <w:r w:rsidRPr="00DB5BAC">
        <w:rPr>
          <w:color w:val="000000" w:themeColor="text1"/>
          <w:sz w:val="20"/>
        </w:rPr>
        <w:t xml:space="preserve">injusticia </w:t>
      </w:r>
      <w:r w:rsidR="00664E14" w:rsidRPr="00DB5BAC">
        <w:rPr>
          <w:color w:val="000000" w:themeColor="text1"/>
          <w:sz w:val="20"/>
        </w:rPr>
        <w:t>fundamental</w:t>
      </w:r>
      <w:r w:rsidR="00391B4C">
        <w:rPr>
          <w:color w:val="000000" w:themeColor="text1"/>
          <w:sz w:val="20"/>
        </w:rPr>
        <w:t>”</w:t>
      </w:r>
      <w:r w:rsidRPr="00DB5BAC">
        <w:rPr>
          <w:color w:val="000000" w:themeColor="text1"/>
          <w:sz w:val="20"/>
        </w:rPr>
        <w:t xml:space="preserve"> de su </w:t>
      </w:r>
      <w:r w:rsidR="00391B4C">
        <w:rPr>
          <w:color w:val="000000" w:themeColor="text1"/>
          <w:sz w:val="20"/>
        </w:rPr>
        <w:t>“</w:t>
      </w:r>
      <w:r w:rsidRPr="00DB5BAC">
        <w:rPr>
          <w:color w:val="000000" w:themeColor="text1"/>
          <w:sz w:val="20"/>
        </w:rPr>
        <w:t>eva</w:t>
      </w:r>
      <w:r w:rsidR="00391B4C">
        <w:rPr>
          <w:color w:val="000000" w:themeColor="text1"/>
          <w:sz w:val="20"/>
        </w:rPr>
        <w:t>c</w:t>
      </w:r>
      <w:r w:rsidRPr="00DB5BAC">
        <w:rPr>
          <w:color w:val="000000" w:themeColor="text1"/>
          <w:sz w:val="20"/>
        </w:rPr>
        <w:t xml:space="preserve">uación, traslado e </w:t>
      </w:r>
      <w:r w:rsidR="00333A05" w:rsidRPr="00DB5BAC">
        <w:rPr>
          <w:color w:val="auto"/>
          <w:sz w:val="20"/>
        </w:rPr>
        <w:t>internamiento</w:t>
      </w:r>
      <w:r w:rsidR="00391B4C">
        <w:rPr>
          <w:color w:val="auto"/>
          <w:sz w:val="20"/>
        </w:rPr>
        <w:t>”</w:t>
      </w:r>
      <w:r w:rsidR="00664E14" w:rsidRPr="00DB5BAC">
        <w:rPr>
          <w:color w:val="auto"/>
          <w:sz w:val="20"/>
        </w:rPr>
        <w:t xml:space="preserve">. </w:t>
      </w:r>
      <w:r w:rsidRPr="00DB5BAC">
        <w:rPr>
          <w:color w:val="auto"/>
          <w:sz w:val="20"/>
        </w:rPr>
        <w:t>Los p</w:t>
      </w:r>
      <w:r w:rsidR="000648EF" w:rsidRPr="00DB5BAC">
        <w:rPr>
          <w:color w:val="auto"/>
          <w:sz w:val="20"/>
        </w:rPr>
        <w:t>eticionarios</w:t>
      </w:r>
      <w:r w:rsidR="00664E14" w:rsidRPr="00DB5BAC">
        <w:rPr>
          <w:color w:val="auto"/>
          <w:sz w:val="20"/>
        </w:rPr>
        <w:t xml:space="preserve"> argu</w:t>
      </w:r>
      <w:r w:rsidRPr="00DB5BAC">
        <w:rPr>
          <w:color w:val="auto"/>
          <w:sz w:val="20"/>
        </w:rPr>
        <w:t>mentaron que la exclusión</w:t>
      </w:r>
      <w:r w:rsidR="00664E14" w:rsidRPr="00DB5BAC">
        <w:rPr>
          <w:color w:val="auto"/>
          <w:sz w:val="20"/>
        </w:rPr>
        <w:t xml:space="preserve"> </w:t>
      </w:r>
      <w:r w:rsidRPr="00DB5BAC">
        <w:rPr>
          <w:color w:val="auto"/>
          <w:sz w:val="20"/>
        </w:rPr>
        <w:t>de</w:t>
      </w:r>
      <w:r w:rsidR="00664E14" w:rsidRPr="00DB5BAC">
        <w:rPr>
          <w:color w:val="auto"/>
          <w:sz w:val="20"/>
        </w:rPr>
        <w:t xml:space="preserve"> </w:t>
      </w:r>
      <w:r w:rsidR="005B1600" w:rsidRPr="00DB5BAC">
        <w:rPr>
          <w:color w:val="auto"/>
          <w:sz w:val="20"/>
        </w:rPr>
        <w:t>los hermanos Shibayama</w:t>
      </w:r>
      <w:r w:rsidR="00664E14" w:rsidRPr="00DB5BAC">
        <w:rPr>
          <w:color w:val="auto"/>
          <w:sz w:val="20"/>
        </w:rPr>
        <w:t xml:space="preserve"> </w:t>
      </w:r>
      <w:r w:rsidRPr="00DB5BAC">
        <w:rPr>
          <w:color w:val="auto"/>
          <w:sz w:val="20"/>
        </w:rPr>
        <w:t>de esta reparación</w:t>
      </w:r>
      <w:r w:rsidR="00664E14" w:rsidRPr="00DB5BAC">
        <w:rPr>
          <w:color w:val="auto"/>
          <w:sz w:val="20"/>
        </w:rPr>
        <w:t xml:space="preserve"> </w:t>
      </w:r>
      <w:r w:rsidRPr="00DB5BAC">
        <w:rPr>
          <w:color w:val="auto"/>
          <w:sz w:val="20"/>
        </w:rPr>
        <w:t>porque no se consideraba que fuesen ciudadanos estadounidenses o residentes permanentes en el momento de su</w:t>
      </w:r>
      <w:r w:rsidR="00664E14" w:rsidRPr="00DB5BAC">
        <w:rPr>
          <w:color w:val="auto"/>
          <w:sz w:val="20"/>
        </w:rPr>
        <w:t xml:space="preserve"> </w:t>
      </w:r>
      <w:r w:rsidR="00333A05" w:rsidRPr="00DB5BAC">
        <w:rPr>
          <w:color w:val="auto"/>
          <w:sz w:val="20"/>
        </w:rPr>
        <w:t>internamiento</w:t>
      </w:r>
      <w:r w:rsidRPr="00DB5BAC">
        <w:rPr>
          <w:color w:val="auto"/>
          <w:sz w:val="20"/>
        </w:rPr>
        <w:t xml:space="preserve"> </w:t>
      </w:r>
      <w:r w:rsidR="00664E14" w:rsidRPr="00DB5BAC">
        <w:rPr>
          <w:color w:val="auto"/>
          <w:sz w:val="20"/>
        </w:rPr>
        <w:t>viola</w:t>
      </w:r>
      <w:r w:rsidRPr="00DB5BAC">
        <w:rPr>
          <w:color w:val="auto"/>
          <w:sz w:val="20"/>
        </w:rPr>
        <w:t xml:space="preserve">ba su derecho a la </w:t>
      </w:r>
      <w:r w:rsidR="00333A05" w:rsidRPr="00DB5BAC">
        <w:rPr>
          <w:color w:val="auto"/>
          <w:sz w:val="20"/>
        </w:rPr>
        <w:t>igualdad ante la ley</w:t>
      </w:r>
      <w:r w:rsidR="00664E14" w:rsidRPr="00DB5BAC">
        <w:rPr>
          <w:color w:val="auto"/>
          <w:sz w:val="20"/>
        </w:rPr>
        <w:t xml:space="preserve">. </w:t>
      </w:r>
      <w:r w:rsidR="000648EF" w:rsidRPr="00DB5BAC">
        <w:rPr>
          <w:color w:val="auto"/>
          <w:sz w:val="20"/>
        </w:rPr>
        <w:t>El Estado</w:t>
      </w:r>
      <w:r w:rsidR="008B5FA2" w:rsidRPr="00DB5BAC">
        <w:rPr>
          <w:color w:val="auto"/>
          <w:sz w:val="20"/>
        </w:rPr>
        <w:t xml:space="preserve"> </w:t>
      </w:r>
      <w:r w:rsidRPr="00DB5BAC">
        <w:rPr>
          <w:color w:val="auto"/>
          <w:sz w:val="20"/>
        </w:rPr>
        <w:t xml:space="preserve">y los </w:t>
      </w:r>
      <w:r w:rsidR="000648EF" w:rsidRPr="00DB5BAC">
        <w:rPr>
          <w:color w:val="auto"/>
          <w:sz w:val="20"/>
        </w:rPr>
        <w:t>peticionarios</w:t>
      </w:r>
      <w:r w:rsidR="008B5FA2" w:rsidRPr="00DB5BAC">
        <w:rPr>
          <w:color w:val="auto"/>
          <w:sz w:val="20"/>
        </w:rPr>
        <w:t xml:space="preserve"> </w:t>
      </w:r>
      <w:r w:rsidRPr="00DB5BAC">
        <w:rPr>
          <w:color w:val="auto"/>
          <w:sz w:val="20"/>
        </w:rPr>
        <w:t xml:space="preserve">no cuestionan </w:t>
      </w:r>
      <w:r w:rsidR="008B5FA2" w:rsidRPr="00DB5BAC">
        <w:rPr>
          <w:color w:val="auto"/>
          <w:sz w:val="20"/>
        </w:rPr>
        <w:t>—</w:t>
      </w:r>
      <w:r w:rsidRPr="00DB5BAC">
        <w:rPr>
          <w:color w:val="auto"/>
          <w:sz w:val="20"/>
        </w:rPr>
        <w:t>y de hecho estipularon conjuntamente en litigios internos</w:t>
      </w:r>
      <w:r w:rsidR="008B5FA2" w:rsidRPr="00DB5BAC">
        <w:rPr>
          <w:color w:val="auto"/>
          <w:sz w:val="20"/>
        </w:rPr>
        <w:t>—</w:t>
      </w:r>
      <w:r w:rsidRPr="00DB5BAC">
        <w:rPr>
          <w:color w:val="auto"/>
          <w:sz w:val="20"/>
        </w:rPr>
        <w:t xml:space="preserve"> que </w:t>
      </w:r>
      <w:r w:rsidR="005B1600" w:rsidRPr="00DB5BAC">
        <w:rPr>
          <w:color w:val="auto"/>
          <w:sz w:val="20"/>
        </w:rPr>
        <w:t>los hermanos Shibayama</w:t>
      </w:r>
      <w:r w:rsidR="006F0D8C" w:rsidRPr="00DB5BAC">
        <w:rPr>
          <w:color w:val="auto"/>
          <w:sz w:val="20"/>
        </w:rPr>
        <w:t xml:space="preserve"> </w:t>
      </w:r>
      <w:r w:rsidR="002A5A2B" w:rsidRPr="00DB5BAC">
        <w:rPr>
          <w:color w:val="auto"/>
          <w:sz w:val="20"/>
        </w:rPr>
        <w:t>fueron internados por el Gobierno de</w:t>
      </w:r>
      <w:r w:rsidR="006F0D8C" w:rsidRPr="00DB5BAC">
        <w:rPr>
          <w:color w:val="auto"/>
          <w:sz w:val="20"/>
        </w:rPr>
        <w:t xml:space="preserve"> </w:t>
      </w:r>
      <w:r w:rsidR="000648EF" w:rsidRPr="00DB5BAC">
        <w:rPr>
          <w:color w:val="auto"/>
          <w:sz w:val="20"/>
        </w:rPr>
        <w:t>Estados Unidos</w:t>
      </w:r>
      <w:r w:rsidR="006F0D8C" w:rsidRPr="00DB5BAC">
        <w:rPr>
          <w:color w:val="auto"/>
          <w:sz w:val="20"/>
        </w:rPr>
        <w:t xml:space="preserve"> </w:t>
      </w:r>
      <w:r w:rsidR="002A5A2B" w:rsidRPr="00DB5BAC">
        <w:rPr>
          <w:color w:val="auto"/>
          <w:sz w:val="20"/>
        </w:rPr>
        <w:t xml:space="preserve">durante </w:t>
      </w:r>
      <w:r w:rsidR="00BB0303" w:rsidRPr="00DB5BAC">
        <w:rPr>
          <w:color w:val="auto"/>
          <w:sz w:val="20"/>
        </w:rPr>
        <w:t>la Segunda Guerra Mundial</w:t>
      </w:r>
      <w:r w:rsidR="006F0D8C" w:rsidRPr="00DB5BAC">
        <w:rPr>
          <w:color w:val="auto"/>
          <w:sz w:val="20"/>
        </w:rPr>
        <w:t xml:space="preserve">; </w:t>
      </w:r>
      <w:r w:rsidR="002A5A2B" w:rsidRPr="00DB5BAC">
        <w:rPr>
          <w:color w:val="auto"/>
          <w:sz w:val="20"/>
        </w:rPr>
        <w:t>el expediente muestra claramente que la única razón de su exclusión</w:t>
      </w:r>
      <w:r w:rsidR="006F0D8C" w:rsidRPr="00DB5BAC">
        <w:rPr>
          <w:color w:val="auto"/>
          <w:sz w:val="20"/>
        </w:rPr>
        <w:t xml:space="preserve"> </w:t>
      </w:r>
      <w:r w:rsidR="002A5A2B" w:rsidRPr="00DB5BAC">
        <w:rPr>
          <w:color w:val="auto"/>
          <w:sz w:val="20"/>
        </w:rPr>
        <w:t xml:space="preserve">de </w:t>
      </w:r>
      <w:r w:rsidR="00725FFD" w:rsidRPr="00DB5BAC">
        <w:rPr>
          <w:color w:val="auto"/>
          <w:sz w:val="20"/>
        </w:rPr>
        <w:t xml:space="preserve">la </w:t>
      </w:r>
      <w:r w:rsidR="00CA2EFA" w:rsidRPr="00DB5BAC">
        <w:rPr>
          <w:color w:val="auto"/>
          <w:sz w:val="20"/>
        </w:rPr>
        <w:t>Ley de Libertades Civiles</w:t>
      </w:r>
      <w:r w:rsidR="008B5FA2" w:rsidRPr="00DB5BAC">
        <w:rPr>
          <w:color w:val="auto"/>
          <w:sz w:val="20"/>
        </w:rPr>
        <w:t xml:space="preserve"> </w:t>
      </w:r>
      <w:r w:rsidR="002A5A2B" w:rsidRPr="00DB5BAC">
        <w:rPr>
          <w:color w:val="auto"/>
          <w:sz w:val="20"/>
        </w:rPr>
        <w:t xml:space="preserve">es que su condición de residentes </w:t>
      </w:r>
      <w:r w:rsidR="006F0D8C" w:rsidRPr="00DB5BAC">
        <w:rPr>
          <w:color w:val="auto"/>
          <w:sz w:val="20"/>
        </w:rPr>
        <w:t>permanent</w:t>
      </w:r>
      <w:r w:rsidR="002A5A2B" w:rsidRPr="00DB5BAC">
        <w:rPr>
          <w:color w:val="auto"/>
          <w:sz w:val="20"/>
        </w:rPr>
        <w:t xml:space="preserve">es data de </w:t>
      </w:r>
      <w:r w:rsidR="006F0D8C" w:rsidRPr="00DB5BAC">
        <w:rPr>
          <w:color w:val="auto"/>
          <w:sz w:val="20"/>
        </w:rPr>
        <w:t>1956, no</w:t>
      </w:r>
      <w:r w:rsidR="002A5A2B" w:rsidRPr="00DB5BAC">
        <w:rPr>
          <w:color w:val="auto"/>
          <w:sz w:val="20"/>
        </w:rPr>
        <w:t xml:space="preserve"> de su ingreso inicial al país en </w:t>
      </w:r>
      <w:r w:rsidR="006F0D8C" w:rsidRPr="00DB5BAC">
        <w:rPr>
          <w:color w:val="auto"/>
          <w:sz w:val="20"/>
        </w:rPr>
        <w:t xml:space="preserve">1944. </w:t>
      </w:r>
      <w:r w:rsidR="000648EF" w:rsidRPr="00DB5BAC">
        <w:rPr>
          <w:color w:val="000000" w:themeColor="text1"/>
          <w:sz w:val="20"/>
        </w:rPr>
        <w:t>El Estado</w:t>
      </w:r>
      <w:r w:rsidR="00664E14" w:rsidRPr="00DB5BAC">
        <w:rPr>
          <w:color w:val="000000" w:themeColor="text1"/>
          <w:sz w:val="20"/>
        </w:rPr>
        <w:t xml:space="preserve"> </w:t>
      </w:r>
      <w:r w:rsidR="002A5A2B" w:rsidRPr="00DB5BAC">
        <w:rPr>
          <w:color w:val="000000" w:themeColor="text1"/>
          <w:sz w:val="20"/>
        </w:rPr>
        <w:t xml:space="preserve">se </w:t>
      </w:r>
      <w:r w:rsidR="00664E14" w:rsidRPr="00DB5BAC">
        <w:rPr>
          <w:color w:val="000000" w:themeColor="text1"/>
          <w:sz w:val="20"/>
        </w:rPr>
        <w:t>defend</w:t>
      </w:r>
      <w:r w:rsidR="002A5A2B" w:rsidRPr="00DB5BAC">
        <w:rPr>
          <w:color w:val="000000" w:themeColor="text1"/>
          <w:sz w:val="20"/>
        </w:rPr>
        <w:t xml:space="preserve">ió argumentando que su exclusión de los términos de la </w:t>
      </w:r>
      <w:r w:rsidR="00CA2EFA" w:rsidRPr="00DB5BAC">
        <w:rPr>
          <w:color w:val="000000" w:themeColor="text1"/>
          <w:sz w:val="20"/>
        </w:rPr>
        <w:t>Ley de Libertades Civiles</w:t>
      </w:r>
      <w:r w:rsidR="00664E14" w:rsidRPr="00DB5BAC">
        <w:rPr>
          <w:color w:val="000000" w:themeColor="text1"/>
          <w:sz w:val="20"/>
        </w:rPr>
        <w:t xml:space="preserve"> </w:t>
      </w:r>
      <w:r w:rsidR="002A5A2B" w:rsidRPr="00DB5BAC">
        <w:rPr>
          <w:color w:val="000000" w:themeColor="text1"/>
          <w:sz w:val="20"/>
        </w:rPr>
        <w:t>e</w:t>
      </w:r>
      <w:r w:rsidR="00664E14" w:rsidRPr="00DB5BAC">
        <w:rPr>
          <w:color w:val="000000" w:themeColor="text1"/>
          <w:sz w:val="20"/>
        </w:rPr>
        <w:t>s leg</w:t>
      </w:r>
      <w:r w:rsidR="002A5A2B" w:rsidRPr="00DB5BAC">
        <w:rPr>
          <w:color w:val="000000" w:themeColor="text1"/>
          <w:sz w:val="20"/>
        </w:rPr>
        <w:t xml:space="preserve">ítima porque, </w:t>
      </w:r>
      <w:r w:rsidR="00391B4C">
        <w:rPr>
          <w:color w:val="000000" w:themeColor="text1"/>
          <w:sz w:val="20"/>
        </w:rPr>
        <w:t>“</w:t>
      </w:r>
      <w:r w:rsidR="002A5A2B" w:rsidRPr="00DB5BAC">
        <w:rPr>
          <w:color w:val="000000" w:themeColor="text1"/>
          <w:sz w:val="20"/>
        </w:rPr>
        <w:t xml:space="preserve">en la formulación de leyes </w:t>
      </w:r>
      <w:r w:rsidR="001F55F2">
        <w:rPr>
          <w:color w:val="000000" w:themeColor="text1"/>
          <w:sz w:val="20"/>
        </w:rPr>
        <w:t>de ese tipo</w:t>
      </w:r>
      <w:r w:rsidR="002A5A2B" w:rsidRPr="00DB5BAC">
        <w:rPr>
          <w:color w:val="000000" w:themeColor="text1"/>
          <w:sz w:val="20"/>
        </w:rPr>
        <w:t xml:space="preserve">, que establecen los requisitos para recibir recursos y beneficios públicos, </w:t>
      </w:r>
      <w:r w:rsidR="00391B4C">
        <w:rPr>
          <w:color w:val="000000" w:themeColor="text1"/>
          <w:sz w:val="20"/>
        </w:rPr>
        <w:t>[…]</w:t>
      </w:r>
      <w:r w:rsidR="00492284">
        <w:rPr>
          <w:color w:val="000000" w:themeColor="text1"/>
          <w:sz w:val="20"/>
        </w:rPr>
        <w:t xml:space="preserve"> </w:t>
      </w:r>
      <w:r w:rsidR="002A5A2B" w:rsidRPr="00DB5BAC">
        <w:rPr>
          <w:color w:val="000000" w:themeColor="text1"/>
          <w:sz w:val="20"/>
        </w:rPr>
        <w:t xml:space="preserve">la </w:t>
      </w:r>
      <w:r w:rsidR="00333A05" w:rsidRPr="00DB5BAC">
        <w:rPr>
          <w:color w:val="000000" w:themeColor="text1"/>
          <w:sz w:val="20"/>
        </w:rPr>
        <w:t>ciudadanía</w:t>
      </w:r>
      <w:r w:rsidR="00FD1BB2" w:rsidRPr="00DB5BAC">
        <w:rPr>
          <w:color w:val="000000" w:themeColor="text1"/>
          <w:sz w:val="20"/>
        </w:rPr>
        <w:t xml:space="preserve"> </w:t>
      </w:r>
      <w:r w:rsidR="002A5A2B" w:rsidRPr="00DB5BAC">
        <w:rPr>
          <w:color w:val="000000" w:themeColor="text1"/>
          <w:sz w:val="20"/>
        </w:rPr>
        <w:t xml:space="preserve">y la </w:t>
      </w:r>
      <w:r w:rsidR="00333A05" w:rsidRPr="00DB5BAC">
        <w:rPr>
          <w:color w:val="000000" w:themeColor="text1"/>
          <w:sz w:val="20"/>
        </w:rPr>
        <w:t>residencia permanente legal</w:t>
      </w:r>
      <w:r w:rsidR="00FD1BB2" w:rsidRPr="00DB5BAC">
        <w:rPr>
          <w:color w:val="000000" w:themeColor="text1"/>
          <w:sz w:val="20"/>
        </w:rPr>
        <w:t xml:space="preserve"> </w:t>
      </w:r>
      <w:r w:rsidR="002A5A2B" w:rsidRPr="00DB5BAC">
        <w:rPr>
          <w:color w:val="000000" w:themeColor="text1"/>
          <w:sz w:val="20"/>
        </w:rPr>
        <w:t>son factores legítimos que los Estados pueden tomar en cuenta al determinar la forma de distribuir sus recursos limitados</w:t>
      </w:r>
      <w:r w:rsidR="00391B4C">
        <w:rPr>
          <w:color w:val="000000" w:themeColor="text1"/>
          <w:sz w:val="20"/>
        </w:rPr>
        <w:t>”</w:t>
      </w:r>
      <w:r w:rsidR="00FD1BB2" w:rsidRPr="00DB5BAC">
        <w:rPr>
          <w:rStyle w:val="FootnoteReference"/>
          <w:color w:val="000000" w:themeColor="text1"/>
          <w:sz w:val="20"/>
        </w:rPr>
        <w:footnoteReference w:id="101"/>
      </w:r>
      <w:r w:rsidR="002A5A2B" w:rsidRPr="00DB5BAC">
        <w:rPr>
          <w:color w:val="000000" w:themeColor="text1"/>
          <w:sz w:val="20"/>
        </w:rPr>
        <w:t>.</w:t>
      </w:r>
    </w:p>
    <w:p w14:paraId="54A1498A" w14:textId="77777777" w:rsidR="00664E14" w:rsidRPr="00DB5BAC" w:rsidRDefault="00664E14" w:rsidP="00664E1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rPr>
      </w:pPr>
    </w:p>
    <w:p w14:paraId="4A8F2253" w14:textId="77777777" w:rsidR="00EC7679"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DB5BAC">
        <w:rPr>
          <w:rFonts w:asciiTheme="majorHAnsi" w:hAnsiTheme="majorHAnsi"/>
          <w:sz w:val="20"/>
        </w:rPr>
        <w:t>La Comisión</w:t>
      </w:r>
      <w:r w:rsidR="0022230B" w:rsidRPr="00DB5BAC">
        <w:rPr>
          <w:rFonts w:asciiTheme="majorHAnsi" w:hAnsiTheme="majorHAnsi"/>
          <w:sz w:val="20"/>
        </w:rPr>
        <w:t xml:space="preserve"> observ</w:t>
      </w:r>
      <w:r w:rsidR="00855394" w:rsidRPr="00DB5BAC">
        <w:rPr>
          <w:rFonts w:asciiTheme="majorHAnsi" w:hAnsiTheme="majorHAnsi"/>
          <w:sz w:val="20"/>
        </w:rPr>
        <w:t xml:space="preserve">a, </w:t>
      </w:r>
      <w:r w:rsidR="00270511" w:rsidRPr="00DB5BAC">
        <w:rPr>
          <w:rFonts w:asciiTheme="majorHAnsi" w:hAnsiTheme="majorHAnsi"/>
          <w:sz w:val="20"/>
        </w:rPr>
        <w:t xml:space="preserve">como </w:t>
      </w:r>
      <w:r w:rsidR="00391B4C">
        <w:rPr>
          <w:rFonts w:asciiTheme="majorHAnsi" w:hAnsiTheme="majorHAnsi"/>
          <w:sz w:val="20"/>
        </w:rPr>
        <w:t>cuestión inicial</w:t>
      </w:r>
      <w:r w:rsidR="00270511" w:rsidRPr="00DB5BAC">
        <w:rPr>
          <w:rFonts w:asciiTheme="majorHAnsi" w:hAnsiTheme="majorHAnsi"/>
          <w:sz w:val="20"/>
        </w:rPr>
        <w:t xml:space="preserve">, que la distinción controvertida en este caso es por nacionalidad, que está supeditada a un nivel particularmente estricto de escrutinio y, por consiguiente, da lugar a una </w:t>
      </w:r>
      <w:r w:rsidR="00EC7679" w:rsidRPr="00DB5BAC">
        <w:rPr>
          <w:rFonts w:asciiTheme="majorHAnsi" w:hAnsiTheme="majorHAnsi"/>
          <w:sz w:val="20"/>
        </w:rPr>
        <w:t>“</w:t>
      </w:r>
      <w:r w:rsidR="00855394" w:rsidRPr="00DB5BAC">
        <w:rPr>
          <w:rFonts w:asciiTheme="majorHAnsi" w:hAnsiTheme="majorHAnsi"/>
          <w:sz w:val="20"/>
        </w:rPr>
        <w:t>presunción de invalidez</w:t>
      </w:r>
      <w:r w:rsidR="00EC7679" w:rsidRPr="00DB5BAC">
        <w:rPr>
          <w:rFonts w:asciiTheme="majorHAnsi" w:hAnsiTheme="majorHAnsi"/>
          <w:sz w:val="20"/>
        </w:rPr>
        <w:t>”</w:t>
      </w:r>
      <w:r w:rsidR="00EC7679" w:rsidRPr="00DB5BAC">
        <w:rPr>
          <w:rStyle w:val="FootnoteReference"/>
          <w:rFonts w:asciiTheme="majorHAnsi" w:hAnsiTheme="majorHAnsi"/>
          <w:sz w:val="20"/>
        </w:rPr>
        <w:footnoteReference w:id="102"/>
      </w:r>
      <w:r w:rsidR="00855394" w:rsidRPr="00DB5BAC">
        <w:rPr>
          <w:rFonts w:asciiTheme="majorHAnsi" w:hAnsiTheme="majorHAnsi"/>
          <w:sz w:val="20"/>
        </w:rPr>
        <w:t>.</w:t>
      </w:r>
      <w:r w:rsidR="00EC7679" w:rsidRPr="00DB5BAC">
        <w:rPr>
          <w:rFonts w:asciiTheme="majorHAnsi" w:hAnsiTheme="majorHAnsi"/>
          <w:sz w:val="20"/>
        </w:rPr>
        <w:t xml:space="preserve"> </w:t>
      </w:r>
      <w:r w:rsidR="00270511" w:rsidRPr="00DB5BAC">
        <w:rPr>
          <w:rFonts w:asciiTheme="majorHAnsi" w:hAnsiTheme="majorHAnsi"/>
          <w:sz w:val="20"/>
        </w:rPr>
        <w:t>E</w:t>
      </w:r>
      <w:r w:rsidR="00EC7679" w:rsidRPr="00DB5BAC">
        <w:rPr>
          <w:rFonts w:asciiTheme="majorHAnsi" w:hAnsiTheme="majorHAnsi"/>
          <w:sz w:val="20"/>
        </w:rPr>
        <w:t>n particular,</w:t>
      </w:r>
      <w:r w:rsidR="00270511" w:rsidRPr="00DB5BAC">
        <w:rPr>
          <w:rFonts w:asciiTheme="majorHAnsi" w:hAnsiTheme="majorHAnsi"/>
          <w:sz w:val="20"/>
        </w:rPr>
        <w:t xml:space="preserve"> e</w:t>
      </w:r>
      <w:r w:rsidR="00EC7679" w:rsidRPr="00DB5BAC">
        <w:rPr>
          <w:rFonts w:asciiTheme="majorHAnsi" w:hAnsiTheme="majorHAnsi"/>
          <w:sz w:val="20"/>
        </w:rPr>
        <w:t xml:space="preserve">n </w:t>
      </w:r>
      <w:r w:rsidR="00270511" w:rsidRPr="00DB5BAC">
        <w:rPr>
          <w:rFonts w:asciiTheme="majorHAnsi" w:hAnsiTheme="majorHAnsi"/>
          <w:sz w:val="20"/>
        </w:rPr>
        <w:t xml:space="preserve">el </w:t>
      </w:r>
      <w:r w:rsidR="00385620" w:rsidRPr="00DB5BAC">
        <w:rPr>
          <w:rFonts w:asciiTheme="majorHAnsi" w:hAnsiTheme="majorHAnsi"/>
          <w:sz w:val="20"/>
        </w:rPr>
        <w:t>sistema interamericano</w:t>
      </w:r>
      <w:r w:rsidR="00270511" w:rsidRPr="00DB5BAC">
        <w:rPr>
          <w:rFonts w:asciiTheme="majorHAnsi" w:hAnsiTheme="majorHAnsi"/>
          <w:sz w:val="20"/>
        </w:rPr>
        <w:t>, el “escrutinio estricto”</w:t>
      </w:r>
      <w:r w:rsidR="00EC7679" w:rsidRPr="00DB5BAC">
        <w:rPr>
          <w:rFonts w:asciiTheme="majorHAnsi" w:hAnsiTheme="majorHAnsi"/>
          <w:sz w:val="20"/>
        </w:rPr>
        <w:t xml:space="preserve"> requi</w:t>
      </w:r>
      <w:r w:rsidR="00270511" w:rsidRPr="00DB5BAC">
        <w:rPr>
          <w:rFonts w:asciiTheme="majorHAnsi" w:hAnsiTheme="majorHAnsi"/>
          <w:sz w:val="20"/>
        </w:rPr>
        <w:t xml:space="preserve">ere </w:t>
      </w:r>
      <w:r w:rsidR="00EC7679" w:rsidRPr="00DB5BAC">
        <w:rPr>
          <w:rFonts w:asciiTheme="majorHAnsi" w:hAnsiTheme="majorHAnsi"/>
          <w:sz w:val="20"/>
        </w:rPr>
        <w:t xml:space="preserve">1) </w:t>
      </w:r>
      <w:r w:rsidR="00270511" w:rsidRPr="00DB5BAC">
        <w:rPr>
          <w:rFonts w:asciiTheme="majorHAnsi" w:hAnsiTheme="majorHAnsi"/>
          <w:sz w:val="20"/>
        </w:rPr>
        <w:t>que la distinción</w:t>
      </w:r>
      <w:r w:rsidR="00EC7679" w:rsidRPr="00DB5BAC">
        <w:rPr>
          <w:rFonts w:asciiTheme="majorHAnsi" w:hAnsiTheme="majorHAnsi"/>
          <w:sz w:val="20"/>
        </w:rPr>
        <w:t xml:space="preserve"> </w:t>
      </w:r>
      <w:r w:rsidR="00270511" w:rsidRPr="00DB5BAC">
        <w:rPr>
          <w:rFonts w:asciiTheme="majorHAnsi" w:hAnsiTheme="majorHAnsi"/>
          <w:sz w:val="20"/>
        </w:rPr>
        <w:t xml:space="preserve">se base </w:t>
      </w:r>
      <w:r w:rsidR="00492284">
        <w:rPr>
          <w:rFonts w:asciiTheme="majorHAnsi" w:hAnsiTheme="majorHAnsi"/>
          <w:sz w:val="20"/>
        </w:rPr>
        <w:t>en razones imperiosas, es decir que</w:t>
      </w:r>
      <w:r w:rsidR="0075305E" w:rsidRPr="00DB5BAC">
        <w:rPr>
          <w:rFonts w:asciiTheme="majorHAnsi" w:hAnsiTheme="majorHAnsi"/>
          <w:sz w:val="20"/>
        </w:rPr>
        <w:t xml:space="preserve"> no es suficiente que un Estado argumente la existencia de un fin legítimo, sino que el objetivo que se persigue con la distinción debe ser un fin particularmente importante o una necesidad social imperiosa</w:t>
      </w:r>
      <w:r w:rsidR="00EC7679" w:rsidRPr="00DB5BAC">
        <w:rPr>
          <w:rStyle w:val="FootnoteReference"/>
          <w:rFonts w:asciiTheme="majorHAnsi" w:hAnsiTheme="majorHAnsi"/>
          <w:sz w:val="20"/>
        </w:rPr>
        <w:footnoteReference w:id="103"/>
      </w:r>
      <w:r w:rsidR="00E74DB2" w:rsidRPr="00DB5BAC">
        <w:rPr>
          <w:rFonts w:asciiTheme="majorHAnsi" w:hAnsiTheme="majorHAnsi"/>
          <w:sz w:val="20"/>
        </w:rPr>
        <w:t>;</w:t>
      </w:r>
      <w:r w:rsidR="00EC7679" w:rsidRPr="00DB5BAC">
        <w:rPr>
          <w:rFonts w:asciiTheme="majorHAnsi" w:hAnsiTheme="majorHAnsi"/>
          <w:sz w:val="20"/>
        </w:rPr>
        <w:t xml:space="preserve"> </w:t>
      </w:r>
      <w:r w:rsidR="003C3BDD" w:rsidRPr="00DB5BAC">
        <w:rPr>
          <w:rFonts w:asciiTheme="majorHAnsi" w:hAnsiTheme="majorHAnsi"/>
          <w:sz w:val="20"/>
        </w:rPr>
        <w:t xml:space="preserve">2) </w:t>
      </w:r>
      <w:r w:rsidR="00E74DB2" w:rsidRPr="00DB5BAC">
        <w:rPr>
          <w:rFonts w:asciiTheme="majorHAnsi" w:hAnsiTheme="majorHAnsi"/>
          <w:sz w:val="20"/>
        </w:rPr>
        <w:t>no debe haber otra medida menos restrictiva</w:t>
      </w:r>
      <w:r w:rsidR="00492284">
        <w:rPr>
          <w:rFonts w:asciiTheme="majorHAnsi" w:hAnsiTheme="majorHAnsi"/>
          <w:sz w:val="20"/>
        </w:rPr>
        <w:t xml:space="preserve"> disponible, es decir que</w:t>
      </w:r>
      <w:r w:rsidR="00EC7679" w:rsidRPr="00DB5BAC">
        <w:rPr>
          <w:rFonts w:asciiTheme="majorHAnsi" w:hAnsiTheme="majorHAnsi"/>
          <w:sz w:val="20"/>
        </w:rPr>
        <w:t xml:space="preserve"> </w:t>
      </w:r>
      <w:r w:rsidR="00E74DB2" w:rsidRPr="00DB5BAC">
        <w:rPr>
          <w:rFonts w:asciiTheme="majorHAnsi" w:hAnsiTheme="majorHAnsi"/>
          <w:sz w:val="20"/>
        </w:rPr>
        <w:t>no es suficiente que la medida sea idónea o exista una relación lógica de causalidad entre la misma y el objetivo perseguido</w:t>
      </w:r>
      <w:r w:rsidR="00547BA6" w:rsidRPr="00DB5BAC">
        <w:rPr>
          <w:rStyle w:val="FootnoteReference"/>
          <w:rFonts w:asciiTheme="majorHAnsi" w:hAnsiTheme="majorHAnsi"/>
          <w:sz w:val="20"/>
        </w:rPr>
        <w:footnoteReference w:id="104"/>
      </w:r>
      <w:r w:rsidR="00E74DB2" w:rsidRPr="00DB5BAC">
        <w:rPr>
          <w:rFonts w:asciiTheme="majorHAnsi" w:hAnsiTheme="majorHAnsi"/>
          <w:sz w:val="20"/>
        </w:rPr>
        <w:t xml:space="preserve">; </w:t>
      </w:r>
      <w:r w:rsidR="00EC7679" w:rsidRPr="00DB5BAC">
        <w:rPr>
          <w:rFonts w:asciiTheme="majorHAnsi" w:hAnsiTheme="majorHAnsi"/>
          <w:sz w:val="20"/>
        </w:rPr>
        <w:t xml:space="preserve">3) </w:t>
      </w:r>
      <w:r w:rsidR="00E74DB2" w:rsidRPr="00DB5BAC">
        <w:rPr>
          <w:rFonts w:asciiTheme="majorHAnsi" w:hAnsiTheme="majorHAnsi"/>
          <w:sz w:val="20"/>
        </w:rPr>
        <w:t>debe ser estrictamente proporcional</w:t>
      </w:r>
      <w:r w:rsidR="00EC7679" w:rsidRPr="00DB5BAC">
        <w:rPr>
          <w:rFonts w:asciiTheme="majorHAnsi" w:hAnsiTheme="majorHAnsi"/>
          <w:sz w:val="20"/>
        </w:rPr>
        <w:t xml:space="preserve">, </w:t>
      </w:r>
      <w:r w:rsidR="00E74DB2" w:rsidRPr="00DB5BAC">
        <w:rPr>
          <w:rFonts w:asciiTheme="majorHAnsi" w:hAnsiTheme="majorHAnsi"/>
          <w:sz w:val="20"/>
        </w:rPr>
        <w:t>es decir que</w:t>
      </w:r>
      <w:r w:rsidR="00EC7679" w:rsidRPr="00DB5BAC">
        <w:rPr>
          <w:rFonts w:asciiTheme="majorHAnsi" w:hAnsiTheme="majorHAnsi"/>
          <w:sz w:val="20"/>
        </w:rPr>
        <w:t xml:space="preserve"> </w:t>
      </w:r>
      <w:r w:rsidRPr="00DB5BAC">
        <w:rPr>
          <w:rFonts w:asciiTheme="majorHAnsi" w:hAnsiTheme="majorHAnsi"/>
          <w:sz w:val="20"/>
        </w:rPr>
        <w:t>el Estado</w:t>
      </w:r>
      <w:r w:rsidR="00EC7679" w:rsidRPr="00DB5BAC">
        <w:rPr>
          <w:rFonts w:asciiTheme="majorHAnsi" w:hAnsiTheme="majorHAnsi"/>
          <w:sz w:val="20"/>
        </w:rPr>
        <w:t xml:space="preserve"> </w:t>
      </w:r>
      <w:r w:rsidR="00E74DB2" w:rsidRPr="00DB5BAC">
        <w:rPr>
          <w:rFonts w:asciiTheme="majorHAnsi" w:hAnsiTheme="majorHAnsi"/>
          <w:sz w:val="20"/>
        </w:rPr>
        <w:t>debe estar en condiciones de alegar la existencia de un equilibrio adecuado de intereses en términos de grado de sacrificio y grado de beneficio</w:t>
      </w:r>
      <w:r w:rsidR="00E74DB2" w:rsidRPr="00DB5BAC">
        <w:rPr>
          <w:rFonts w:asciiTheme="majorHAnsi" w:hAnsiTheme="majorHAnsi"/>
          <w:sz w:val="20"/>
          <w:vertAlign w:val="superscript"/>
        </w:rPr>
        <w:t xml:space="preserve"> </w:t>
      </w:r>
      <w:r w:rsidR="00547BA6" w:rsidRPr="00DB5BAC">
        <w:rPr>
          <w:rStyle w:val="FootnoteReference"/>
          <w:rFonts w:asciiTheme="majorHAnsi" w:hAnsiTheme="majorHAnsi"/>
          <w:sz w:val="20"/>
        </w:rPr>
        <w:footnoteReference w:id="105"/>
      </w:r>
      <w:r w:rsidR="00E74DB2" w:rsidRPr="00DB5BAC">
        <w:rPr>
          <w:rFonts w:asciiTheme="majorHAnsi" w:hAnsiTheme="majorHAnsi"/>
          <w:sz w:val="20"/>
        </w:rPr>
        <w:t xml:space="preserve">, y </w:t>
      </w:r>
      <w:r w:rsidR="00EC7679" w:rsidRPr="00DB5BAC">
        <w:rPr>
          <w:rFonts w:asciiTheme="majorHAnsi" w:hAnsiTheme="majorHAnsi"/>
          <w:sz w:val="20"/>
        </w:rPr>
        <w:t xml:space="preserve">4) </w:t>
      </w:r>
      <w:r w:rsidR="00E74DB2" w:rsidRPr="00DB5BAC">
        <w:rPr>
          <w:rFonts w:asciiTheme="majorHAnsi" w:hAnsiTheme="majorHAnsi"/>
          <w:sz w:val="20"/>
        </w:rPr>
        <w:t xml:space="preserve">la carga de la prueba en relación con estos elementos recae sobre </w:t>
      </w:r>
      <w:r w:rsidRPr="00DB5BAC">
        <w:rPr>
          <w:rFonts w:asciiTheme="majorHAnsi" w:hAnsiTheme="majorHAnsi"/>
          <w:sz w:val="20"/>
        </w:rPr>
        <w:t>el Estado</w:t>
      </w:r>
      <w:r w:rsidR="00547BA6" w:rsidRPr="00DB5BAC">
        <w:rPr>
          <w:rStyle w:val="FootnoteReference"/>
          <w:rFonts w:asciiTheme="majorHAnsi" w:hAnsiTheme="majorHAnsi"/>
          <w:sz w:val="20"/>
        </w:rPr>
        <w:footnoteReference w:id="106"/>
      </w:r>
      <w:r w:rsidR="00E74DB2" w:rsidRPr="00DB5BAC">
        <w:rPr>
          <w:rFonts w:asciiTheme="majorHAnsi" w:hAnsiTheme="majorHAnsi"/>
          <w:sz w:val="20"/>
        </w:rPr>
        <w:t xml:space="preserve">. La finalidad de la aplicación del </w:t>
      </w:r>
      <w:r w:rsidR="00270511" w:rsidRPr="00DB5BAC">
        <w:rPr>
          <w:rFonts w:asciiTheme="majorHAnsi" w:hAnsiTheme="majorHAnsi"/>
          <w:sz w:val="20"/>
        </w:rPr>
        <w:t>escrutinio estricto</w:t>
      </w:r>
      <w:r w:rsidR="00EC7679" w:rsidRPr="00DB5BAC">
        <w:rPr>
          <w:rFonts w:asciiTheme="majorHAnsi" w:hAnsiTheme="majorHAnsi"/>
          <w:sz w:val="20"/>
        </w:rPr>
        <w:t xml:space="preserve"> </w:t>
      </w:r>
      <w:r w:rsidR="00E74DB2" w:rsidRPr="00DB5BAC">
        <w:rPr>
          <w:rFonts w:asciiTheme="majorHAnsi" w:hAnsiTheme="majorHAnsi"/>
          <w:sz w:val="20"/>
        </w:rPr>
        <w:t>es garantizar que la distinción</w:t>
      </w:r>
      <w:r w:rsidR="00EC7679" w:rsidRPr="00DB5BAC">
        <w:rPr>
          <w:rFonts w:asciiTheme="majorHAnsi" w:hAnsiTheme="majorHAnsi"/>
          <w:sz w:val="20"/>
        </w:rPr>
        <w:t xml:space="preserve"> </w:t>
      </w:r>
      <w:r w:rsidR="00E74DB2" w:rsidRPr="00DB5BAC">
        <w:rPr>
          <w:rFonts w:asciiTheme="majorHAnsi" w:hAnsiTheme="majorHAnsi"/>
          <w:sz w:val="20"/>
        </w:rPr>
        <w:t>no se base en los prejuicios o estereotipos que habitualmente rodean las categorías sospechosas de distinción</w:t>
      </w:r>
      <w:r w:rsidR="00EC7679" w:rsidRPr="00DB5BAC">
        <w:rPr>
          <w:rStyle w:val="FootnoteReference"/>
          <w:rFonts w:asciiTheme="majorHAnsi" w:hAnsiTheme="majorHAnsi"/>
          <w:sz w:val="20"/>
        </w:rPr>
        <w:footnoteReference w:id="107"/>
      </w:r>
      <w:r w:rsidR="00E74DB2" w:rsidRPr="00DB5BAC">
        <w:rPr>
          <w:rFonts w:asciiTheme="majorHAnsi" w:hAnsiTheme="majorHAnsi"/>
          <w:sz w:val="20"/>
        </w:rPr>
        <w:t>.</w:t>
      </w:r>
    </w:p>
    <w:p w14:paraId="7024B945" w14:textId="77777777" w:rsidR="00D714AC" w:rsidRPr="00DB5BAC" w:rsidRDefault="00D714AC" w:rsidP="00D714AC">
      <w:pPr>
        <w:pStyle w:val="ListParagraph"/>
        <w:rPr>
          <w:rFonts w:asciiTheme="majorHAnsi" w:hAnsiTheme="majorHAnsi"/>
          <w:sz w:val="20"/>
          <w:lang w:val="es-ES"/>
        </w:rPr>
      </w:pPr>
    </w:p>
    <w:p w14:paraId="4BE47437" w14:textId="77777777" w:rsidR="00581016"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DB5BAC">
        <w:rPr>
          <w:rFonts w:asciiTheme="majorHAnsi" w:hAnsiTheme="majorHAnsi"/>
          <w:sz w:val="20"/>
        </w:rPr>
        <w:t>La Comisión</w:t>
      </w:r>
      <w:r w:rsidR="00547BA6" w:rsidRPr="00DB5BAC">
        <w:rPr>
          <w:rFonts w:asciiTheme="majorHAnsi" w:hAnsiTheme="majorHAnsi"/>
          <w:sz w:val="20"/>
        </w:rPr>
        <w:t xml:space="preserve"> </w:t>
      </w:r>
      <w:r w:rsidR="00CD1980" w:rsidRPr="00DB5BAC">
        <w:rPr>
          <w:rFonts w:asciiTheme="majorHAnsi" w:hAnsiTheme="majorHAnsi"/>
          <w:sz w:val="20"/>
        </w:rPr>
        <w:t>observa que la exclusión</w:t>
      </w:r>
      <w:r w:rsidR="00547BA6" w:rsidRPr="00DB5BAC">
        <w:rPr>
          <w:rFonts w:asciiTheme="majorHAnsi" w:hAnsiTheme="majorHAnsi"/>
          <w:sz w:val="20"/>
        </w:rPr>
        <w:t xml:space="preserve"> </w:t>
      </w:r>
      <w:r w:rsidR="00CD1980" w:rsidRPr="00DB5BAC">
        <w:rPr>
          <w:rFonts w:asciiTheme="majorHAnsi" w:hAnsiTheme="majorHAnsi"/>
          <w:sz w:val="20"/>
        </w:rPr>
        <w:t xml:space="preserve">de </w:t>
      </w:r>
      <w:r w:rsidR="005B1600" w:rsidRPr="00DB5BAC">
        <w:rPr>
          <w:rFonts w:asciiTheme="majorHAnsi" w:hAnsiTheme="majorHAnsi"/>
          <w:sz w:val="20"/>
        </w:rPr>
        <w:t>los hermanos Shibayama</w:t>
      </w:r>
      <w:r w:rsidR="00547BA6" w:rsidRPr="00DB5BAC">
        <w:rPr>
          <w:rFonts w:asciiTheme="majorHAnsi" w:hAnsiTheme="majorHAnsi"/>
          <w:sz w:val="20"/>
        </w:rPr>
        <w:t xml:space="preserve"> </w:t>
      </w:r>
      <w:r w:rsidR="00CD1980" w:rsidRPr="00DB5BAC">
        <w:rPr>
          <w:rFonts w:asciiTheme="majorHAnsi" w:hAnsiTheme="majorHAnsi"/>
          <w:sz w:val="20"/>
        </w:rPr>
        <w:t>de una reparación</w:t>
      </w:r>
      <w:r w:rsidR="00547BA6" w:rsidRPr="00DB5BAC">
        <w:rPr>
          <w:rFonts w:asciiTheme="majorHAnsi" w:hAnsiTheme="majorHAnsi"/>
          <w:sz w:val="20"/>
        </w:rPr>
        <w:t xml:space="preserve"> </w:t>
      </w:r>
      <w:r w:rsidR="00CD1980" w:rsidRPr="00DB5BAC">
        <w:rPr>
          <w:rFonts w:asciiTheme="majorHAnsi" w:hAnsiTheme="majorHAnsi"/>
          <w:sz w:val="20"/>
        </w:rPr>
        <w:t xml:space="preserve">de conformidad con la </w:t>
      </w:r>
      <w:r w:rsidR="00CA2EFA" w:rsidRPr="00DB5BAC">
        <w:rPr>
          <w:rFonts w:asciiTheme="majorHAnsi" w:hAnsiTheme="majorHAnsi"/>
          <w:sz w:val="20"/>
        </w:rPr>
        <w:t>Ley de Libertades Civiles</w:t>
      </w:r>
      <w:r w:rsidR="00547BA6" w:rsidRPr="00DB5BAC">
        <w:rPr>
          <w:rFonts w:asciiTheme="majorHAnsi" w:hAnsiTheme="majorHAnsi"/>
          <w:sz w:val="20"/>
        </w:rPr>
        <w:t xml:space="preserve"> constitu</w:t>
      </w:r>
      <w:r w:rsidR="00CD1980" w:rsidRPr="00DB5BAC">
        <w:rPr>
          <w:rFonts w:asciiTheme="majorHAnsi" w:hAnsiTheme="majorHAnsi"/>
          <w:sz w:val="20"/>
        </w:rPr>
        <w:t xml:space="preserve">ye una clara violación de su derecho a la </w:t>
      </w:r>
      <w:r w:rsidR="00333A05" w:rsidRPr="00DB5BAC">
        <w:rPr>
          <w:rFonts w:asciiTheme="majorHAnsi" w:hAnsiTheme="majorHAnsi"/>
          <w:sz w:val="20"/>
        </w:rPr>
        <w:t>igualdad ante la ley</w:t>
      </w:r>
      <w:r w:rsidR="003C3BDD" w:rsidRPr="00DB5BAC">
        <w:rPr>
          <w:rFonts w:asciiTheme="majorHAnsi" w:hAnsiTheme="majorHAnsi"/>
          <w:sz w:val="20"/>
        </w:rPr>
        <w:t xml:space="preserve">, </w:t>
      </w:r>
      <w:r w:rsidR="00CD1980" w:rsidRPr="00DB5BAC">
        <w:rPr>
          <w:rFonts w:asciiTheme="majorHAnsi" w:hAnsiTheme="majorHAnsi"/>
          <w:sz w:val="20"/>
        </w:rPr>
        <w:t>ya que</w:t>
      </w:r>
      <w:r w:rsidR="003C3BDD" w:rsidRPr="00DB5BAC">
        <w:rPr>
          <w:rFonts w:asciiTheme="majorHAnsi" w:hAnsiTheme="majorHAnsi"/>
          <w:sz w:val="20"/>
        </w:rPr>
        <w:t xml:space="preserve"> </w:t>
      </w:r>
      <w:r w:rsidRPr="00DB5BAC">
        <w:rPr>
          <w:rFonts w:asciiTheme="majorHAnsi" w:hAnsiTheme="majorHAnsi"/>
          <w:sz w:val="20"/>
        </w:rPr>
        <w:t>el Estado</w:t>
      </w:r>
      <w:r w:rsidR="003C3BDD" w:rsidRPr="00DB5BAC">
        <w:rPr>
          <w:rFonts w:asciiTheme="majorHAnsi" w:hAnsiTheme="majorHAnsi"/>
          <w:sz w:val="20"/>
        </w:rPr>
        <w:t xml:space="preserve"> </w:t>
      </w:r>
      <w:r w:rsidR="00CD1980" w:rsidRPr="00DB5BAC">
        <w:rPr>
          <w:rFonts w:asciiTheme="majorHAnsi" w:hAnsiTheme="majorHAnsi"/>
          <w:sz w:val="20"/>
        </w:rPr>
        <w:t xml:space="preserve">no </w:t>
      </w:r>
      <w:r w:rsidR="003C3BDD" w:rsidRPr="00DB5BAC">
        <w:rPr>
          <w:rFonts w:asciiTheme="majorHAnsi" w:hAnsiTheme="majorHAnsi"/>
          <w:sz w:val="20"/>
        </w:rPr>
        <w:t>ha</w:t>
      </w:r>
      <w:r w:rsidR="00CD1980" w:rsidRPr="00DB5BAC">
        <w:rPr>
          <w:rFonts w:asciiTheme="majorHAnsi" w:hAnsiTheme="majorHAnsi"/>
          <w:sz w:val="20"/>
        </w:rPr>
        <w:t xml:space="preserve"> cumplido su carga de demostrar la existencia de un interés superior al hacer la distinción, la falta de alternativas menos restrictivas y la estricta proporcionalidad de la medida</w:t>
      </w:r>
      <w:r w:rsidR="00547BA6" w:rsidRPr="00DB5BAC">
        <w:rPr>
          <w:rFonts w:asciiTheme="majorHAnsi" w:hAnsiTheme="majorHAnsi"/>
          <w:sz w:val="20"/>
        </w:rPr>
        <w:t xml:space="preserve">. </w:t>
      </w:r>
      <w:r w:rsidRPr="00DB5BAC">
        <w:rPr>
          <w:rFonts w:asciiTheme="majorHAnsi" w:hAnsiTheme="majorHAnsi"/>
          <w:sz w:val="20"/>
        </w:rPr>
        <w:t>La Comisión</w:t>
      </w:r>
      <w:r w:rsidR="0022230B" w:rsidRPr="00DB5BAC">
        <w:rPr>
          <w:rFonts w:asciiTheme="majorHAnsi" w:hAnsiTheme="majorHAnsi"/>
          <w:sz w:val="20"/>
        </w:rPr>
        <w:t xml:space="preserve"> consider</w:t>
      </w:r>
      <w:r w:rsidR="00BE5D70" w:rsidRPr="00DB5BAC">
        <w:rPr>
          <w:rFonts w:asciiTheme="majorHAnsi" w:hAnsiTheme="majorHAnsi"/>
          <w:sz w:val="20"/>
        </w:rPr>
        <w:t>a que</w:t>
      </w:r>
      <w:r w:rsidR="00581016" w:rsidRPr="00DB5BAC">
        <w:rPr>
          <w:rFonts w:asciiTheme="majorHAnsi" w:hAnsiTheme="majorHAnsi"/>
          <w:sz w:val="20"/>
        </w:rPr>
        <w:t xml:space="preserve">, </w:t>
      </w:r>
      <w:r w:rsidR="00BE5D70" w:rsidRPr="00DB5BAC">
        <w:rPr>
          <w:rFonts w:asciiTheme="majorHAnsi" w:hAnsiTheme="majorHAnsi"/>
          <w:sz w:val="20"/>
        </w:rPr>
        <w:t xml:space="preserve">en vista del reconocimiento por </w:t>
      </w:r>
      <w:r w:rsidRPr="00DB5BAC">
        <w:rPr>
          <w:rFonts w:asciiTheme="majorHAnsi" w:hAnsiTheme="majorHAnsi"/>
          <w:sz w:val="20"/>
        </w:rPr>
        <w:t>el Estado</w:t>
      </w:r>
      <w:r w:rsidR="00BE5D70" w:rsidRPr="00DB5BAC">
        <w:rPr>
          <w:rFonts w:asciiTheme="majorHAnsi" w:hAnsiTheme="majorHAnsi"/>
          <w:sz w:val="20"/>
        </w:rPr>
        <w:t xml:space="preserve"> de la </w:t>
      </w:r>
      <w:r w:rsidR="00581016" w:rsidRPr="00DB5BAC">
        <w:rPr>
          <w:rFonts w:asciiTheme="majorHAnsi" w:hAnsiTheme="majorHAnsi"/>
          <w:sz w:val="20"/>
        </w:rPr>
        <w:t>“</w:t>
      </w:r>
      <w:r w:rsidR="00BE5D70" w:rsidRPr="00DB5BAC">
        <w:rPr>
          <w:rFonts w:asciiTheme="majorHAnsi" w:hAnsiTheme="majorHAnsi"/>
          <w:sz w:val="20"/>
        </w:rPr>
        <w:t xml:space="preserve">injusticia </w:t>
      </w:r>
      <w:r w:rsidR="00581016" w:rsidRPr="00DB5BAC">
        <w:rPr>
          <w:rFonts w:asciiTheme="majorHAnsi" w:hAnsiTheme="majorHAnsi"/>
          <w:sz w:val="20"/>
        </w:rPr>
        <w:t xml:space="preserve">fundamental” </w:t>
      </w:r>
      <w:r w:rsidR="00BE5D70" w:rsidRPr="00DB5BAC">
        <w:rPr>
          <w:rFonts w:asciiTheme="majorHAnsi" w:hAnsiTheme="majorHAnsi"/>
          <w:sz w:val="20"/>
        </w:rPr>
        <w:t>del</w:t>
      </w:r>
      <w:r w:rsidR="00581016" w:rsidRPr="00DB5BAC">
        <w:rPr>
          <w:rFonts w:asciiTheme="majorHAnsi" w:hAnsiTheme="majorHAnsi"/>
          <w:sz w:val="20"/>
        </w:rPr>
        <w:t xml:space="preserve"> </w:t>
      </w:r>
      <w:r w:rsidR="00333A05" w:rsidRPr="00DB5BAC">
        <w:rPr>
          <w:rFonts w:asciiTheme="majorHAnsi" w:hAnsiTheme="majorHAnsi"/>
          <w:sz w:val="20"/>
        </w:rPr>
        <w:t>internamiento</w:t>
      </w:r>
      <w:r w:rsidR="00581016" w:rsidRPr="00DB5BAC">
        <w:rPr>
          <w:rFonts w:asciiTheme="majorHAnsi" w:hAnsiTheme="majorHAnsi"/>
          <w:sz w:val="20"/>
        </w:rPr>
        <w:t xml:space="preserve"> </w:t>
      </w:r>
      <w:r w:rsidR="00BE5D70" w:rsidRPr="00DB5BAC">
        <w:rPr>
          <w:rFonts w:asciiTheme="majorHAnsi" w:hAnsiTheme="majorHAnsi"/>
          <w:sz w:val="20"/>
        </w:rPr>
        <w:t>y de la necesidad de pedir disculpas a las personas que sufrieron ese régimen y de indemnizarlas, es irrazonable y claramente desproporcionado</w:t>
      </w:r>
      <w:r w:rsidR="00674296" w:rsidRPr="00DB5BAC">
        <w:rPr>
          <w:rFonts w:asciiTheme="majorHAnsi" w:hAnsiTheme="majorHAnsi"/>
          <w:sz w:val="20"/>
        </w:rPr>
        <w:t>, en lo que se refiere a la elegibilidad para recibir indemnización,</w:t>
      </w:r>
      <w:r w:rsidR="00BE5D70" w:rsidRPr="00DB5BAC">
        <w:rPr>
          <w:rFonts w:asciiTheme="majorHAnsi" w:hAnsiTheme="majorHAnsi"/>
          <w:sz w:val="20"/>
        </w:rPr>
        <w:t xml:space="preserve"> </w:t>
      </w:r>
      <w:r w:rsidR="00674296" w:rsidRPr="00DB5BAC">
        <w:rPr>
          <w:rFonts w:asciiTheme="majorHAnsi" w:hAnsiTheme="majorHAnsi"/>
          <w:sz w:val="20"/>
        </w:rPr>
        <w:t xml:space="preserve">hacer una distinción basada en la nacionalidad, factor que no guarda ninguna relación racional con la índole o la forma del sufrimiento ocasionado por el </w:t>
      </w:r>
      <w:r w:rsidR="00333A05" w:rsidRPr="00DB5BAC">
        <w:rPr>
          <w:rFonts w:asciiTheme="majorHAnsi" w:hAnsiTheme="majorHAnsi"/>
          <w:sz w:val="20"/>
        </w:rPr>
        <w:t>internamiento</w:t>
      </w:r>
      <w:r w:rsidR="00581016" w:rsidRPr="00DB5BAC">
        <w:rPr>
          <w:rFonts w:asciiTheme="majorHAnsi" w:hAnsiTheme="majorHAnsi"/>
          <w:sz w:val="20"/>
        </w:rPr>
        <w:t xml:space="preserve"> </w:t>
      </w:r>
      <w:r w:rsidR="00674296" w:rsidRPr="00DB5BAC">
        <w:rPr>
          <w:rFonts w:asciiTheme="majorHAnsi" w:hAnsiTheme="majorHAnsi"/>
          <w:sz w:val="20"/>
        </w:rPr>
        <w:t>a las personas que fueron objeto de este trato</w:t>
      </w:r>
      <w:r w:rsidR="00581016" w:rsidRPr="00DB5BAC">
        <w:rPr>
          <w:rFonts w:asciiTheme="majorHAnsi" w:hAnsiTheme="majorHAnsi"/>
          <w:sz w:val="20"/>
        </w:rPr>
        <w:t xml:space="preserve">. </w:t>
      </w:r>
      <w:r w:rsidR="00674296" w:rsidRPr="00DB5BAC">
        <w:rPr>
          <w:rFonts w:asciiTheme="majorHAnsi" w:hAnsiTheme="majorHAnsi"/>
          <w:sz w:val="20"/>
        </w:rPr>
        <w:t xml:space="preserve">Asimismo, el interés expresado por </w:t>
      </w:r>
      <w:r w:rsidRPr="00DB5BAC">
        <w:rPr>
          <w:rFonts w:asciiTheme="majorHAnsi" w:hAnsiTheme="majorHAnsi"/>
          <w:sz w:val="20"/>
        </w:rPr>
        <w:t>el Estado</w:t>
      </w:r>
      <w:r w:rsidR="00674296" w:rsidRPr="00DB5BAC">
        <w:rPr>
          <w:rFonts w:asciiTheme="majorHAnsi" w:hAnsiTheme="majorHAnsi"/>
          <w:sz w:val="20"/>
        </w:rPr>
        <w:t xml:space="preserve"> en limitar su responsabilidad económica a las personas que no eran ciudadanas o residentes permanentes en el momento de su </w:t>
      </w:r>
      <w:r w:rsidR="00333A05" w:rsidRPr="00DB5BAC">
        <w:rPr>
          <w:rFonts w:asciiTheme="majorHAnsi" w:hAnsiTheme="majorHAnsi"/>
          <w:sz w:val="20"/>
        </w:rPr>
        <w:t>internamiento</w:t>
      </w:r>
      <w:r w:rsidR="003C3BDD" w:rsidRPr="00DB5BAC">
        <w:rPr>
          <w:rFonts w:asciiTheme="majorHAnsi" w:hAnsiTheme="majorHAnsi"/>
          <w:sz w:val="20"/>
        </w:rPr>
        <w:t xml:space="preserve"> </w:t>
      </w:r>
      <w:r w:rsidR="00674296" w:rsidRPr="00DB5BAC">
        <w:rPr>
          <w:rFonts w:asciiTheme="majorHAnsi" w:hAnsiTheme="majorHAnsi"/>
          <w:sz w:val="20"/>
        </w:rPr>
        <w:t xml:space="preserve">no es imperioso en el sentido de </w:t>
      </w:r>
      <w:r w:rsidR="0084481C" w:rsidRPr="00DB5BAC">
        <w:rPr>
          <w:rFonts w:asciiTheme="majorHAnsi" w:hAnsiTheme="majorHAnsi"/>
          <w:sz w:val="20"/>
        </w:rPr>
        <w:t>represent</w:t>
      </w:r>
      <w:r w:rsidR="00674296" w:rsidRPr="00DB5BAC">
        <w:rPr>
          <w:rFonts w:asciiTheme="majorHAnsi" w:hAnsiTheme="majorHAnsi"/>
          <w:sz w:val="20"/>
        </w:rPr>
        <w:t xml:space="preserve">ar un </w:t>
      </w:r>
      <w:r w:rsidR="00492284">
        <w:rPr>
          <w:rFonts w:asciiTheme="majorHAnsi" w:hAnsiTheme="majorHAnsi"/>
          <w:sz w:val="20"/>
        </w:rPr>
        <w:t>“</w:t>
      </w:r>
      <w:r w:rsidR="00674296" w:rsidRPr="00DB5BAC">
        <w:rPr>
          <w:rFonts w:asciiTheme="majorHAnsi" w:hAnsiTheme="majorHAnsi"/>
          <w:sz w:val="20"/>
        </w:rPr>
        <w:t>interés público superior</w:t>
      </w:r>
      <w:r w:rsidR="00492284">
        <w:rPr>
          <w:rFonts w:asciiTheme="majorHAnsi" w:hAnsiTheme="majorHAnsi"/>
          <w:sz w:val="20"/>
        </w:rPr>
        <w:t>”</w:t>
      </w:r>
      <w:r w:rsidR="003C3BDD" w:rsidRPr="00DB5BAC">
        <w:rPr>
          <w:rFonts w:asciiTheme="majorHAnsi" w:hAnsiTheme="majorHAnsi"/>
          <w:sz w:val="20"/>
        </w:rPr>
        <w:t>:</w:t>
      </w:r>
      <w:r w:rsidR="00674296" w:rsidRPr="00DB5BAC">
        <w:rPr>
          <w:rFonts w:asciiTheme="majorHAnsi" w:hAnsiTheme="majorHAnsi"/>
          <w:sz w:val="20"/>
        </w:rPr>
        <w:t xml:space="preserve"> el monto relativamente pequeño de la indemnización</w:t>
      </w:r>
      <w:r w:rsidR="003C3BDD" w:rsidRPr="00DB5BAC">
        <w:rPr>
          <w:rFonts w:asciiTheme="majorHAnsi" w:hAnsiTheme="majorHAnsi"/>
          <w:sz w:val="20"/>
        </w:rPr>
        <w:t xml:space="preserve"> </w:t>
      </w:r>
      <w:r w:rsidR="00913041" w:rsidRPr="00DB5BAC">
        <w:rPr>
          <w:rFonts w:asciiTheme="majorHAnsi" w:hAnsiTheme="majorHAnsi"/>
          <w:sz w:val="20"/>
        </w:rPr>
        <w:t>($20</w:t>
      </w:r>
      <w:r w:rsidR="00674296" w:rsidRPr="00DB5BAC">
        <w:rPr>
          <w:rFonts w:asciiTheme="majorHAnsi" w:hAnsiTheme="majorHAnsi"/>
          <w:sz w:val="20"/>
        </w:rPr>
        <w:t>.</w:t>
      </w:r>
      <w:r w:rsidR="00913041" w:rsidRPr="00DB5BAC">
        <w:rPr>
          <w:rFonts w:asciiTheme="majorHAnsi" w:hAnsiTheme="majorHAnsi"/>
          <w:sz w:val="20"/>
        </w:rPr>
        <w:t xml:space="preserve">000) </w:t>
      </w:r>
      <w:r w:rsidR="00674296" w:rsidRPr="00DB5BAC">
        <w:rPr>
          <w:rFonts w:asciiTheme="majorHAnsi" w:hAnsiTheme="majorHAnsi"/>
          <w:sz w:val="20"/>
        </w:rPr>
        <w:t xml:space="preserve">en comparación </w:t>
      </w:r>
      <w:r w:rsidR="00674296" w:rsidRPr="00DB5BAC">
        <w:rPr>
          <w:rFonts w:asciiTheme="majorHAnsi" w:hAnsiTheme="majorHAnsi"/>
          <w:sz w:val="20"/>
        </w:rPr>
        <w:lastRenderedPageBreak/>
        <w:t xml:space="preserve">con los recursos de que dispone </w:t>
      </w:r>
      <w:r w:rsidRPr="00DB5BAC">
        <w:rPr>
          <w:rFonts w:asciiTheme="majorHAnsi" w:hAnsiTheme="majorHAnsi"/>
          <w:sz w:val="20"/>
        </w:rPr>
        <w:t>el Estado</w:t>
      </w:r>
      <w:r w:rsidR="00674296" w:rsidRPr="00DB5BAC">
        <w:rPr>
          <w:rFonts w:asciiTheme="majorHAnsi" w:hAnsiTheme="majorHAnsi"/>
          <w:sz w:val="20"/>
        </w:rPr>
        <w:t xml:space="preserve"> y el número extremadamente pequeño de posibles beneficiarios afectados por la restricción por razones de nacionalidad, en comparación con los </w:t>
      </w:r>
      <w:r w:rsidR="00913041" w:rsidRPr="00DB5BAC">
        <w:rPr>
          <w:rFonts w:asciiTheme="majorHAnsi" w:hAnsiTheme="majorHAnsi"/>
          <w:sz w:val="20"/>
        </w:rPr>
        <w:t>82</w:t>
      </w:r>
      <w:r w:rsidR="00674296" w:rsidRPr="00DB5BAC">
        <w:rPr>
          <w:rFonts w:asciiTheme="majorHAnsi" w:hAnsiTheme="majorHAnsi"/>
          <w:sz w:val="20"/>
        </w:rPr>
        <w:t>.</w:t>
      </w:r>
      <w:r w:rsidR="00913041" w:rsidRPr="00DB5BAC">
        <w:rPr>
          <w:rFonts w:asciiTheme="majorHAnsi" w:hAnsiTheme="majorHAnsi"/>
          <w:sz w:val="20"/>
        </w:rPr>
        <w:t>000</w:t>
      </w:r>
      <w:r w:rsidR="0084481C" w:rsidRPr="00DB5BAC">
        <w:rPr>
          <w:rFonts w:asciiTheme="majorHAnsi" w:hAnsiTheme="majorHAnsi"/>
          <w:sz w:val="20"/>
        </w:rPr>
        <w:t xml:space="preserve"> beneficiari</w:t>
      </w:r>
      <w:r w:rsidR="00674296" w:rsidRPr="00DB5BAC">
        <w:rPr>
          <w:rFonts w:asciiTheme="majorHAnsi" w:hAnsiTheme="majorHAnsi"/>
          <w:sz w:val="20"/>
        </w:rPr>
        <w:t>os, aproximadamente, que a la larga fueron indem</w:t>
      </w:r>
      <w:r w:rsidR="00492284">
        <w:rPr>
          <w:rFonts w:asciiTheme="majorHAnsi" w:hAnsiTheme="majorHAnsi"/>
          <w:sz w:val="20"/>
        </w:rPr>
        <w:t>nizados de acuerdo con esta ley—</w:t>
      </w:r>
      <w:r w:rsidR="00674296" w:rsidRPr="00DB5BAC">
        <w:rPr>
          <w:rFonts w:asciiTheme="majorHAnsi" w:hAnsiTheme="majorHAnsi"/>
          <w:sz w:val="20"/>
        </w:rPr>
        <w:t xml:space="preserve">entre ellos los </w:t>
      </w:r>
      <w:r w:rsidR="00913041" w:rsidRPr="00DB5BAC">
        <w:rPr>
          <w:rFonts w:asciiTheme="majorHAnsi" w:hAnsiTheme="majorHAnsi"/>
          <w:sz w:val="20"/>
        </w:rPr>
        <w:t xml:space="preserve">189 </w:t>
      </w:r>
      <w:r w:rsidR="00BB0303" w:rsidRPr="00DB5BAC">
        <w:rPr>
          <w:rFonts w:asciiTheme="majorHAnsi" w:hAnsiTheme="majorHAnsi"/>
          <w:sz w:val="20"/>
        </w:rPr>
        <w:t>japoneses latinoamericanos</w:t>
      </w:r>
      <w:r w:rsidR="00913041" w:rsidRPr="00DB5BAC">
        <w:rPr>
          <w:rFonts w:asciiTheme="majorHAnsi" w:hAnsiTheme="majorHAnsi"/>
          <w:sz w:val="20"/>
        </w:rPr>
        <w:t xml:space="preserve"> </w:t>
      </w:r>
      <w:r w:rsidR="00674296" w:rsidRPr="00DB5BAC">
        <w:rPr>
          <w:rFonts w:asciiTheme="majorHAnsi" w:hAnsiTheme="majorHAnsi"/>
          <w:sz w:val="20"/>
        </w:rPr>
        <w:t>que habían adquirido la residencia perma</w:t>
      </w:r>
      <w:r w:rsidR="00492284">
        <w:rPr>
          <w:rFonts w:asciiTheme="majorHAnsi" w:hAnsiTheme="majorHAnsi"/>
          <w:sz w:val="20"/>
        </w:rPr>
        <w:t>nente con carácter retroactivo—</w:t>
      </w:r>
      <w:r w:rsidR="00674296" w:rsidRPr="00DB5BAC">
        <w:rPr>
          <w:rFonts w:asciiTheme="majorHAnsi" w:hAnsiTheme="majorHAnsi"/>
          <w:sz w:val="20"/>
        </w:rPr>
        <w:t xml:space="preserve">muestran claramente que las supuestas preocupaciones </w:t>
      </w:r>
      <w:r w:rsidR="0084481C" w:rsidRPr="00DB5BAC">
        <w:rPr>
          <w:rFonts w:asciiTheme="majorHAnsi" w:hAnsiTheme="majorHAnsi"/>
          <w:sz w:val="20"/>
        </w:rPr>
        <w:t>fiscal</w:t>
      </w:r>
      <w:r w:rsidR="00674296" w:rsidRPr="00DB5BAC">
        <w:rPr>
          <w:rFonts w:asciiTheme="majorHAnsi" w:hAnsiTheme="majorHAnsi"/>
          <w:sz w:val="20"/>
        </w:rPr>
        <w:t xml:space="preserve">es no justifican </w:t>
      </w:r>
      <w:r w:rsidR="008C42AB" w:rsidRPr="00DB5BAC">
        <w:rPr>
          <w:rFonts w:asciiTheme="majorHAnsi" w:hAnsiTheme="majorHAnsi"/>
          <w:sz w:val="20"/>
        </w:rPr>
        <w:t xml:space="preserve">el hecho de que </w:t>
      </w:r>
      <w:r w:rsidRPr="00DB5BAC">
        <w:rPr>
          <w:rFonts w:asciiTheme="majorHAnsi" w:hAnsiTheme="majorHAnsi"/>
          <w:sz w:val="20"/>
        </w:rPr>
        <w:t>el Estado</w:t>
      </w:r>
      <w:r w:rsidR="008C42AB" w:rsidRPr="00DB5BAC">
        <w:rPr>
          <w:rFonts w:asciiTheme="majorHAnsi" w:hAnsiTheme="majorHAnsi"/>
          <w:sz w:val="20"/>
        </w:rPr>
        <w:t xml:space="preserve"> no haya indemnizado a personas que sufrieron bajo el mismo régimen</w:t>
      </w:r>
      <w:r w:rsidR="00913041" w:rsidRPr="00DB5BAC">
        <w:rPr>
          <w:rFonts w:asciiTheme="majorHAnsi" w:hAnsiTheme="majorHAnsi"/>
          <w:sz w:val="20"/>
        </w:rPr>
        <w:t xml:space="preserve">. </w:t>
      </w:r>
      <w:r w:rsidR="008C42AB" w:rsidRPr="00DB5BAC">
        <w:rPr>
          <w:rFonts w:asciiTheme="majorHAnsi" w:hAnsiTheme="majorHAnsi"/>
          <w:sz w:val="20"/>
        </w:rPr>
        <w:t>En vista de estas consideraciones</w:t>
      </w:r>
      <w:r w:rsidR="00913041" w:rsidRPr="00DB5BAC">
        <w:rPr>
          <w:rFonts w:asciiTheme="majorHAnsi" w:hAnsiTheme="majorHAnsi"/>
          <w:sz w:val="20"/>
        </w:rPr>
        <w:t xml:space="preserve">, </w:t>
      </w:r>
      <w:r w:rsidRPr="00DB5BAC">
        <w:rPr>
          <w:rFonts w:asciiTheme="majorHAnsi" w:hAnsiTheme="majorHAnsi"/>
          <w:sz w:val="20"/>
        </w:rPr>
        <w:t>la Comisión</w:t>
      </w:r>
      <w:r w:rsidR="00913041" w:rsidRPr="00DB5BAC">
        <w:rPr>
          <w:rFonts w:asciiTheme="majorHAnsi" w:hAnsiTheme="majorHAnsi"/>
          <w:sz w:val="20"/>
        </w:rPr>
        <w:t xml:space="preserve"> </w:t>
      </w:r>
      <w:r w:rsidR="008C42AB" w:rsidRPr="00DB5BAC">
        <w:rPr>
          <w:rFonts w:asciiTheme="majorHAnsi" w:hAnsiTheme="majorHAnsi"/>
          <w:sz w:val="20"/>
        </w:rPr>
        <w:t>no analizará los demás factores</w:t>
      </w:r>
      <w:r w:rsidR="00913041" w:rsidRPr="00DB5BAC">
        <w:rPr>
          <w:rFonts w:asciiTheme="majorHAnsi" w:hAnsiTheme="majorHAnsi"/>
          <w:sz w:val="20"/>
        </w:rPr>
        <w:t>.</w:t>
      </w:r>
    </w:p>
    <w:p w14:paraId="164B4E68" w14:textId="77777777" w:rsidR="00581016" w:rsidRPr="00DB5BAC" w:rsidRDefault="00581016" w:rsidP="00581016">
      <w:pPr>
        <w:pStyle w:val="ListParagraph"/>
        <w:rPr>
          <w:rFonts w:asciiTheme="majorHAnsi" w:hAnsiTheme="majorHAnsi"/>
          <w:sz w:val="20"/>
          <w:lang w:val="es-ES"/>
        </w:rPr>
      </w:pPr>
    </w:p>
    <w:p w14:paraId="620B98E3" w14:textId="77777777" w:rsidR="00721C51"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B050"/>
          <w:sz w:val="20"/>
        </w:rPr>
      </w:pPr>
      <w:r w:rsidRPr="00DB5BAC">
        <w:rPr>
          <w:rFonts w:asciiTheme="majorHAnsi" w:hAnsiTheme="majorHAnsi"/>
          <w:sz w:val="20"/>
        </w:rPr>
        <w:t>La Comisión</w:t>
      </w:r>
      <w:r w:rsidR="00581016" w:rsidRPr="00DB5BAC">
        <w:rPr>
          <w:rFonts w:asciiTheme="majorHAnsi" w:hAnsiTheme="majorHAnsi"/>
          <w:sz w:val="20"/>
        </w:rPr>
        <w:t xml:space="preserve"> observ</w:t>
      </w:r>
      <w:r w:rsidR="00424E82" w:rsidRPr="00DB5BAC">
        <w:rPr>
          <w:rFonts w:asciiTheme="majorHAnsi" w:hAnsiTheme="majorHAnsi"/>
          <w:sz w:val="20"/>
        </w:rPr>
        <w:t xml:space="preserve">a asimismo la inequidad </w:t>
      </w:r>
      <w:r w:rsidR="00581016" w:rsidRPr="00DB5BAC">
        <w:rPr>
          <w:rFonts w:asciiTheme="majorHAnsi" w:hAnsiTheme="majorHAnsi"/>
          <w:sz w:val="20"/>
        </w:rPr>
        <w:t xml:space="preserve">fundamental </w:t>
      </w:r>
      <w:r w:rsidR="00424E82" w:rsidRPr="00DB5BAC">
        <w:rPr>
          <w:rFonts w:asciiTheme="majorHAnsi" w:hAnsiTheme="majorHAnsi"/>
          <w:sz w:val="20"/>
        </w:rPr>
        <w:t xml:space="preserve">de la negativa a indemnizar a personas que se encontraban en una </w:t>
      </w:r>
      <w:r w:rsidR="00BB0303" w:rsidRPr="00DB5BAC">
        <w:rPr>
          <w:rFonts w:asciiTheme="majorHAnsi" w:hAnsiTheme="majorHAnsi"/>
          <w:sz w:val="20"/>
        </w:rPr>
        <w:t>situación migratoria</w:t>
      </w:r>
      <w:r w:rsidR="00581016" w:rsidRPr="00DB5BAC">
        <w:rPr>
          <w:rFonts w:asciiTheme="majorHAnsi" w:hAnsiTheme="majorHAnsi"/>
          <w:sz w:val="20"/>
        </w:rPr>
        <w:t xml:space="preserve"> irregular </w:t>
      </w:r>
      <w:r w:rsidR="00424E82" w:rsidRPr="00DB5BAC">
        <w:rPr>
          <w:rFonts w:asciiTheme="majorHAnsi" w:hAnsiTheme="majorHAnsi"/>
          <w:sz w:val="20"/>
        </w:rPr>
        <w:t>en el momento de su</w:t>
      </w:r>
      <w:r w:rsidR="00581016" w:rsidRPr="00DB5BAC">
        <w:rPr>
          <w:rFonts w:asciiTheme="majorHAnsi" w:hAnsiTheme="majorHAnsi"/>
          <w:sz w:val="20"/>
        </w:rPr>
        <w:t xml:space="preserve"> </w:t>
      </w:r>
      <w:r w:rsidR="00333A05" w:rsidRPr="00DB5BAC">
        <w:rPr>
          <w:rFonts w:asciiTheme="majorHAnsi" w:hAnsiTheme="majorHAnsi"/>
          <w:sz w:val="20"/>
        </w:rPr>
        <w:t>internamiento</w:t>
      </w:r>
      <w:r w:rsidR="00581016" w:rsidRPr="00DB5BAC">
        <w:rPr>
          <w:rFonts w:asciiTheme="majorHAnsi" w:hAnsiTheme="majorHAnsi"/>
          <w:sz w:val="20"/>
        </w:rPr>
        <w:t xml:space="preserve"> d</w:t>
      </w:r>
      <w:r w:rsidR="00424E82" w:rsidRPr="00DB5BAC">
        <w:rPr>
          <w:rFonts w:asciiTheme="majorHAnsi" w:hAnsiTheme="majorHAnsi"/>
          <w:sz w:val="20"/>
        </w:rPr>
        <w:t>ebido a que e</w:t>
      </w:r>
      <w:r w:rsidRPr="00DB5BAC">
        <w:rPr>
          <w:rFonts w:asciiTheme="majorHAnsi" w:hAnsiTheme="majorHAnsi"/>
          <w:sz w:val="20"/>
        </w:rPr>
        <w:t>l Estado</w:t>
      </w:r>
      <w:r w:rsidR="00424E82" w:rsidRPr="00DB5BAC">
        <w:rPr>
          <w:rFonts w:asciiTheme="majorHAnsi" w:hAnsiTheme="majorHAnsi"/>
          <w:sz w:val="20"/>
        </w:rPr>
        <w:t xml:space="preserve"> no regularizó dicha situación, lo cual pone de relieve la falta de razonabilidad de </w:t>
      </w:r>
      <w:r w:rsidR="0036460D">
        <w:rPr>
          <w:rFonts w:asciiTheme="majorHAnsi" w:hAnsiTheme="majorHAnsi"/>
          <w:sz w:val="20"/>
        </w:rPr>
        <w:t>la exclusión posterior de</w:t>
      </w:r>
      <w:r w:rsidR="00424E82" w:rsidRPr="00DB5BAC">
        <w:rPr>
          <w:rFonts w:asciiTheme="majorHAnsi" w:hAnsiTheme="majorHAnsi"/>
          <w:sz w:val="20"/>
        </w:rPr>
        <w:t xml:space="preserve"> los</w:t>
      </w:r>
      <w:r w:rsidR="00581016" w:rsidRPr="00DB5BAC">
        <w:rPr>
          <w:rFonts w:asciiTheme="majorHAnsi" w:hAnsiTheme="majorHAnsi"/>
          <w:color w:val="auto"/>
          <w:sz w:val="20"/>
        </w:rPr>
        <w:t xml:space="preserve"> </w:t>
      </w:r>
      <w:r w:rsidRPr="00DB5BAC">
        <w:rPr>
          <w:rFonts w:asciiTheme="majorHAnsi" w:hAnsiTheme="majorHAnsi"/>
          <w:color w:val="auto"/>
          <w:sz w:val="20"/>
        </w:rPr>
        <w:t>peticionarios</w:t>
      </w:r>
      <w:r w:rsidR="00581016" w:rsidRPr="00DB5BAC">
        <w:rPr>
          <w:rFonts w:asciiTheme="majorHAnsi" w:hAnsiTheme="majorHAnsi"/>
          <w:color w:val="auto"/>
          <w:sz w:val="20"/>
        </w:rPr>
        <w:t xml:space="preserve"> </w:t>
      </w:r>
      <w:r w:rsidR="00424E82" w:rsidRPr="00DB5BAC">
        <w:rPr>
          <w:rFonts w:asciiTheme="majorHAnsi" w:hAnsiTheme="majorHAnsi"/>
          <w:color w:val="auto"/>
          <w:sz w:val="20"/>
        </w:rPr>
        <w:t>de una reparación</w:t>
      </w:r>
      <w:r w:rsidR="00581016" w:rsidRPr="00DB5BAC">
        <w:rPr>
          <w:rFonts w:asciiTheme="majorHAnsi" w:hAnsiTheme="majorHAnsi"/>
          <w:color w:val="auto"/>
          <w:sz w:val="20"/>
        </w:rPr>
        <w:t xml:space="preserve">. </w:t>
      </w:r>
      <w:r w:rsidRPr="00DB5BAC">
        <w:rPr>
          <w:rFonts w:asciiTheme="majorHAnsi" w:hAnsiTheme="majorHAnsi"/>
          <w:color w:val="auto"/>
          <w:sz w:val="20"/>
        </w:rPr>
        <w:t>La Comisión</w:t>
      </w:r>
      <w:r w:rsidR="00581016" w:rsidRPr="00DB5BAC">
        <w:rPr>
          <w:rFonts w:asciiTheme="majorHAnsi" w:hAnsiTheme="majorHAnsi"/>
          <w:color w:val="auto"/>
          <w:sz w:val="20"/>
        </w:rPr>
        <w:t xml:space="preserve"> </w:t>
      </w:r>
      <w:r w:rsidR="00424E82" w:rsidRPr="00DB5BAC">
        <w:rPr>
          <w:rFonts w:asciiTheme="majorHAnsi" w:hAnsiTheme="majorHAnsi"/>
          <w:color w:val="auto"/>
          <w:sz w:val="20"/>
        </w:rPr>
        <w:t>observa que no se cuestiona el hecho de que, e</w:t>
      </w:r>
      <w:r w:rsidR="00581016" w:rsidRPr="00DB5BAC">
        <w:rPr>
          <w:rFonts w:asciiTheme="majorHAnsi" w:hAnsiTheme="majorHAnsi"/>
          <w:color w:val="auto"/>
          <w:sz w:val="20"/>
        </w:rPr>
        <w:t xml:space="preserve">n 1944, </w:t>
      </w:r>
      <w:r w:rsidRPr="00DB5BAC">
        <w:rPr>
          <w:rFonts w:asciiTheme="majorHAnsi" w:hAnsiTheme="majorHAnsi"/>
          <w:color w:val="auto"/>
          <w:sz w:val="20"/>
        </w:rPr>
        <w:t>Estados Unidos</w:t>
      </w:r>
      <w:r w:rsidR="0022230B" w:rsidRPr="00DB5BAC">
        <w:rPr>
          <w:rFonts w:asciiTheme="majorHAnsi" w:hAnsiTheme="majorHAnsi"/>
          <w:color w:val="auto"/>
          <w:sz w:val="20"/>
        </w:rPr>
        <w:t xml:space="preserve"> arrest</w:t>
      </w:r>
      <w:r w:rsidR="00424E82" w:rsidRPr="00DB5BAC">
        <w:rPr>
          <w:rFonts w:asciiTheme="majorHAnsi" w:hAnsiTheme="majorHAnsi"/>
          <w:color w:val="auto"/>
          <w:sz w:val="20"/>
        </w:rPr>
        <w:t xml:space="preserve">ó y transportó a </w:t>
      </w:r>
      <w:r w:rsidR="005B1600" w:rsidRPr="00DB5BAC">
        <w:rPr>
          <w:rFonts w:asciiTheme="majorHAnsi" w:hAnsiTheme="majorHAnsi"/>
          <w:color w:val="auto"/>
          <w:sz w:val="20"/>
        </w:rPr>
        <w:t>los Shibayama</w:t>
      </w:r>
      <w:r w:rsidR="00424E82" w:rsidRPr="00DB5BAC">
        <w:rPr>
          <w:rFonts w:asciiTheme="majorHAnsi" w:hAnsiTheme="majorHAnsi"/>
          <w:color w:val="auto"/>
          <w:sz w:val="20"/>
        </w:rPr>
        <w:t xml:space="preserve">, los introdujo en </w:t>
      </w:r>
      <w:r w:rsidRPr="00DB5BAC">
        <w:rPr>
          <w:rFonts w:asciiTheme="majorHAnsi" w:hAnsiTheme="majorHAnsi"/>
          <w:color w:val="auto"/>
          <w:sz w:val="20"/>
        </w:rPr>
        <w:t>Estados Unidos</w:t>
      </w:r>
      <w:r w:rsidR="00424E82" w:rsidRPr="00DB5BAC">
        <w:rPr>
          <w:rFonts w:asciiTheme="majorHAnsi" w:hAnsiTheme="majorHAnsi"/>
          <w:color w:val="auto"/>
          <w:sz w:val="20"/>
        </w:rPr>
        <w:t xml:space="preserve"> y los detuvo contra su voluntad. La Comisión observa que, después de ese período</w:t>
      </w:r>
      <w:r w:rsidR="00581016" w:rsidRPr="00DB5BAC">
        <w:rPr>
          <w:rFonts w:asciiTheme="majorHAnsi" w:hAnsiTheme="majorHAnsi"/>
          <w:color w:val="auto"/>
          <w:sz w:val="20"/>
        </w:rPr>
        <w:t xml:space="preserve">, </w:t>
      </w:r>
      <w:r w:rsidR="005B1600" w:rsidRPr="00DB5BAC">
        <w:rPr>
          <w:rFonts w:asciiTheme="majorHAnsi" w:hAnsiTheme="majorHAnsi"/>
          <w:color w:val="auto"/>
          <w:sz w:val="20"/>
        </w:rPr>
        <w:t>los Shibayama</w:t>
      </w:r>
      <w:r w:rsidR="0022230B" w:rsidRPr="00DB5BAC">
        <w:rPr>
          <w:rFonts w:asciiTheme="majorHAnsi" w:hAnsiTheme="majorHAnsi"/>
          <w:color w:val="auto"/>
          <w:sz w:val="20"/>
        </w:rPr>
        <w:t xml:space="preserve">, </w:t>
      </w:r>
      <w:r w:rsidR="00424E82" w:rsidRPr="00DB5BAC">
        <w:rPr>
          <w:rFonts w:asciiTheme="majorHAnsi" w:hAnsiTheme="majorHAnsi"/>
          <w:color w:val="auto"/>
          <w:sz w:val="20"/>
        </w:rPr>
        <w:t xml:space="preserve">igual que muchos de los </w:t>
      </w:r>
      <w:r w:rsidR="0022230B" w:rsidRPr="00DB5BAC">
        <w:rPr>
          <w:rFonts w:asciiTheme="majorHAnsi" w:hAnsiTheme="majorHAnsi"/>
          <w:color w:val="auto"/>
          <w:sz w:val="20"/>
        </w:rPr>
        <w:t xml:space="preserve">300 </w:t>
      </w:r>
      <w:r w:rsidR="00BB0303" w:rsidRPr="00DB5BAC">
        <w:rPr>
          <w:rFonts w:asciiTheme="majorHAnsi" w:hAnsiTheme="majorHAnsi"/>
          <w:color w:val="auto"/>
          <w:sz w:val="20"/>
        </w:rPr>
        <w:t>japoneses latinoamericanos</w:t>
      </w:r>
      <w:r w:rsidR="00424E82" w:rsidRPr="00DB5BAC">
        <w:rPr>
          <w:rFonts w:asciiTheme="majorHAnsi" w:hAnsiTheme="majorHAnsi"/>
          <w:color w:val="auto"/>
          <w:sz w:val="20"/>
        </w:rPr>
        <w:t xml:space="preserve">, aproximadamente, que quedaban en </w:t>
      </w:r>
      <w:r w:rsidRPr="00DB5BAC">
        <w:rPr>
          <w:rFonts w:asciiTheme="majorHAnsi" w:hAnsiTheme="majorHAnsi"/>
          <w:color w:val="auto"/>
          <w:sz w:val="20"/>
        </w:rPr>
        <w:t>Estados Unidos</w:t>
      </w:r>
      <w:r w:rsidR="0022230B" w:rsidRPr="00DB5BAC">
        <w:rPr>
          <w:rFonts w:asciiTheme="majorHAnsi" w:hAnsiTheme="majorHAnsi"/>
          <w:color w:val="auto"/>
          <w:sz w:val="20"/>
        </w:rPr>
        <w:t xml:space="preserve"> </w:t>
      </w:r>
      <w:r w:rsidR="00424E82" w:rsidRPr="00DB5BAC">
        <w:rPr>
          <w:rFonts w:asciiTheme="majorHAnsi" w:hAnsiTheme="majorHAnsi"/>
          <w:color w:val="auto"/>
          <w:sz w:val="20"/>
        </w:rPr>
        <w:t xml:space="preserve">después de </w:t>
      </w:r>
      <w:r w:rsidR="00BB0303" w:rsidRPr="00DB5BAC">
        <w:rPr>
          <w:rFonts w:asciiTheme="majorHAnsi" w:hAnsiTheme="majorHAnsi"/>
          <w:color w:val="auto"/>
          <w:sz w:val="20"/>
        </w:rPr>
        <w:t>la Segunda Guerra Mundial</w:t>
      </w:r>
      <w:r w:rsidR="0022230B" w:rsidRPr="00DB5BAC">
        <w:rPr>
          <w:rFonts w:asciiTheme="majorHAnsi" w:hAnsiTheme="majorHAnsi"/>
          <w:color w:val="auto"/>
          <w:sz w:val="20"/>
        </w:rPr>
        <w:t xml:space="preserve">, </w:t>
      </w:r>
      <w:r w:rsidR="00424E82" w:rsidRPr="00DB5BAC">
        <w:rPr>
          <w:rFonts w:asciiTheme="majorHAnsi" w:hAnsiTheme="majorHAnsi"/>
          <w:color w:val="auto"/>
          <w:sz w:val="20"/>
        </w:rPr>
        <w:t xml:space="preserve">quedaron en algo parecido a una tierra de nadie jurídica, ya que su situación, al haber sido llevados a </w:t>
      </w:r>
      <w:r w:rsidRPr="00DB5BAC">
        <w:rPr>
          <w:rFonts w:asciiTheme="majorHAnsi" w:hAnsiTheme="majorHAnsi"/>
          <w:color w:val="auto"/>
          <w:sz w:val="20"/>
        </w:rPr>
        <w:t>Estados Unidos</w:t>
      </w:r>
      <w:r w:rsidR="00581016" w:rsidRPr="00DB5BAC">
        <w:rPr>
          <w:rFonts w:asciiTheme="majorHAnsi" w:hAnsiTheme="majorHAnsi"/>
          <w:color w:val="auto"/>
          <w:sz w:val="20"/>
        </w:rPr>
        <w:t xml:space="preserve"> </w:t>
      </w:r>
      <w:r w:rsidR="00424E82" w:rsidRPr="00DB5BAC">
        <w:rPr>
          <w:rFonts w:asciiTheme="majorHAnsi" w:hAnsiTheme="majorHAnsi"/>
          <w:color w:val="auto"/>
          <w:sz w:val="20"/>
        </w:rPr>
        <w:t>por el Gobierno de</w:t>
      </w:r>
      <w:r w:rsidR="00581016" w:rsidRPr="00DB5BAC">
        <w:rPr>
          <w:rFonts w:asciiTheme="majorHAnsi" w:hAnsiTheme="majorHAnsi"/>
          <w:color w:val="auto"/>
          <w:sz w:val="20"/>
        </w:rPr>
        <w:t xml:space="preserve"> </w:t>
      </w:r>
      <w:r w:rsidRPr="00DB5BAC">
        <w:rPr>
          <w:rFonts w:asciiTheme="majorHAnsi" w:hAnsiTheme="majorHAnsi"/>
          <w:color w:val="auto"/>
          <w:sz w:val="20"/>
        </w:rPr>
        <w:t>Estados Unidos</w:t>
      </w:r>
      <w:r w:rsidR="00424E82" w:rsidRPr="00DB5BAC">
        <w:rPr>
          <w:rFonts w:asciiTheme="majorHAnsi" w:hAnsiTheme="majorHAnsi"/>
          <w:color w:val="auto"/>
          <w:sz w:val="20"/>
        </w:rPr>
        <w:t xml:space="preserve">, pero sin ser “admitidos legalmente” en el sentido de las leyes de inmigraciones, no estaba prevista en el marco jurídico vigente. En vista de esa situación inusual, los funcionarios del Servicio de Inmigraciones y Naturalización trataron de resolver su </w:t>
      </w:r>
      <w:r w:rsidR="00BB0303" w:rsidRPr="00DB5BAC">
        <w:rPr>
          <w:rFonts w:asciiTheme="majorHAnsi" w:hAnsiTheme="majorHAnsi"/>
          <w:color w:val="auto"/>
          <w:sz w:val="20"/>
        </w:rPr>
        <w:t>situación migratoria</w:t>
      </w:r>
      <w:r w:rsidR="0022230B" w:rsidRPr="00DB5BAC">
        <w:rPr>
          <w:rFonts w:asciiTheme="majorHAnsi" w:hAnsiTheme="majorHAnsi"/>
          <w:color w:val="auto"/>
          <w:sz w:val="20"/>
        </w:rPr>
        <w:t xml:space="preserve"> </w:t>
      </w:r>
      <w:r w:rsidR="00424E82" w:rsidRPr="00DB5BAC">
        <w:rPr>
          <w:rFonts w:asciiTheme="majorHAnsi" w:hAnsiTheme="majorHAnsi"/>
          <w:color w:val="auto"/>
          <w:sz w:val="20"/>
        </w:rPr>
        <w:t>recurriendo a las leyes de inmigraciones que estaban en vigor en ese momento, ante la falta de una respuesta del Congreso o del Poder Ejecutivo adaptada a las circunstancias para regularizar la situación de los</w:t>
      </w:r>
      <w:r w:rsidR="0022230B" w:rsidRPr="00DB5BAC">
        <w:rPr>
          <w:rFonts w:asciiTheme="majorHAnsi" w:hAnsiTheme="majorHAnsi"/>
          <w:color w:val="auto"/>
          <w:sz w:val="20"/>
        </w:rPr>
        <w:t xml:space="preserve"> </w:t>
      </w:r>
      <w:r w:rsidR="00BB0303" w:rsidRPr="00DB5BAC">
        <w:rPr>
          <w:rFonts w:asciiTheme="majorHAnsi" w:hAnsiTheme="majorHAnsi"/>
          <w:color w:val="auto"/>
          <w:sz w:val="20"/>
        </w:rPr>
        <w:t>japoneses latinoamericanos</w:t>
      </w:r>
      <w:r w:rsidR="00424E82" w:rsidRPr="00DB5BAC">
        <w:rPr>
          <w:rFonts w:asciiTheme="majorHAnsi" w:hAnsiTheme="majorHAnsi"/>
          <w:color w:val="auto"/>
          <w:sz w:val="20"/>
        </w:rPr>
        <w:t xml:space="preserve"> de una manera racional. Eso, a su vez, </w:t>
      </w:r>
      <w:r w:rsidR="00710487" w:rsidRPr="00DB5BAC">
        <w:rPr>
          <w:rFonts w:asciiTheme="majorHAnsi" w:hAnsiTheme="majorHAnsi"/>
          <w:color w:val="auto"/>
          <w:sz w:val="20"/>
        </w:rPr>
        <w:t xml:space="preserve">condujo a inequidades absurdas en la forma en que se desembolsó posteriormente la reparación dispuesta en </w:t>
      </w:r>
      <w:r w:rsidR="00725FFD" w:rsidRPr="00DB5BAC">
        <w:rPr>
          <w:rFonts w:asciiTheme="majorHAnsi" w:hAnsiTheme="majorHAnsi"/>
          <w:color w:val="auto"/>
          <w:sz w:val="20"/>
        </w:rPr>
        <w:t xml:space="preserve">la </w:t>
      </w:r>
      <w:r w:rsidR="00CA2EFA" w:rsidRPr="00DB5BAC">
        <w:rPr>
          <w:rFonts w:asciiTheme="majorHAnsi" w:hAnsiTheme="majorHAnsi"/>
          <w:color w:val="auto"/>
          <w:sz w:val="20"/>
        </w:rPr>
        <w:t>Ley de Libertades Civiles</w:t>
      </w:r>
      <w:r w:rsidR="00710487" w:rsidRPr="00DB5BAC">
        <w:rPr>
          <w:rFonts w:asciiTheme="majorHAnsi" w:hAnsiTheme="majorHAnsi"/>
          <w:color w:val="auto"/>
          <w:sz w:val="20"/>
        </w:rPr>
        <w:t>, según la cual la madre y la hermana de los hermanos recibieron reparación porque habían adquirido la condición migratoria legal con carácter retroactivo, pero los hermanos, que habían regularizado su situación mediante la partida voluntaria y la entrevista previa, no la recibieron</w:t>
      </w:r>
      <w:r w:rsidR="0022230B" w:rsidRPr="00DB5BAC">
        <w:rPr>
          <w:rFonts w:asciiTheme="majorHAnsi" w:hAnsiTheme="majorHAnsi"/>
          <w:color w:val="auto"/>
          <w:sz w:val="20"/>
        </w:rPr>
        <w:t xml:space="preserve">. </w:t>
      </w:r>
      <w:r w:rsidR="00710487" w:rsidRPr="00DB5BAC">
        <w:rPr>
          <w:rFonts w:asciiTheme="majorHAnsi" w:hAnsiTheme="majorHAnsi"/>
          <w:color w:val="auto"/>
          <w:sz w:val="20"/>
        </w:rPr>
        <w:t>La falta de un enfoque equitativo d</w:t>
      </w:r>
      <w:r w:rsidRPr="00DB5BAC">
        <w:rPr>
          <w:rFonts w:asciiTheme="majorHAnsi" w:hAnsiTheme="majorHAnsi"/>
          <w:color w:val="auto"/>
          <w:sz w:val="20"/>
        </w:rPr>
        <w:t>el Estado</w:t>
      </w:r>
      <w:r w:rsidR="0022230B" w:rsidRPr="00DB5BAC">
        <w:rPr>
          <w:rFonts w:asciiTheme="majorHAnsi" w:hAnsiTheme="majorHAnsi"/>
          <w:color w:val="auto"/>
          <w:sz w:val="20"/>
        </w:rPr>
        <w:t xml:space="preserve"> </w:t>
      </w:r>
      <w:r w:rsidR="00710487" w:rsidRPr="00DB5BAC">
        <w:rPr>
          <w:rFonts w:asciiTheme="majorHAnsi" w:hAnsiTheme="majorHAnsi"/>
          <w:color w:val="auto"/>
          <w:sz w:val="20"/>
        </w:rPr>
        <w:t xml:space="preserve">con respecto a la situación de los </w:t>
      </w:r>
      <w:r w:rsidR="00BB0303" w:rsidRPr="00DB5BAC">
        <w:rPr>
          <w:rFonts w:asciiTheme="majorHAnsi" w:hAnsiTheme="majorHAnsi"/>
          <w:color w:val="auto"/>
          <w:sz w:val="20"/>
        </w:rPr>
        <w:t>japoneses latinoamericanos</w:t>
      </w:r>
      <w:r w:rsidR="00B32067" w:rsidRPr="00DB5BAC">
        <w:rPr>
          <w:rFonts w:asciiTheme="majorHAnsi" w:hAnsiTheme="majorHAnsi"/>
          <w:color w:val="auto"/>
          <w:sz w:val="20"/>
        </w:rPr>
        <w:t xml:space="preserve"> </w:t>
      </w:r>
      <w:r w:rsidR="00710487" w:rsidRPr="00DB5BAC">
        <w:rPr>
          <w:rFonts w:asciiTheme="majorHAnsi" w:hAnsiTheme="majorHAnsi"/>
          <w:color w:val="auto"/>
          <w:sz w:val="20"/>
        </w:rPr>
        <w:t xml:space="preserve">después de la guerra también fue una causa fundamental de esta posterior desigualdad en la distribución de reparaciones de conformidad con </w:t>
      </w:r>
      <w:r w:rsidR="00725FFD" w:rsidRPr="00DB5BAC">
        <w:rPr>
          <w:rFonts w:asciiTheme="majorHAnsi" w:hAnsiTheme="majorHAnsi"/>
          <w:color w:val="auto"/>
          <w:sz w:val="20"/>
        </w:rPr>
        <w:t xml:space="preserve">la </w:t>
      </w:r>
      <w:r w:rsidR="00CA2EFA" w:rsidRPr="00DB5BAC">
        <w:rPr>
          <w:rFonts w:asciiTheme="majorHAnsi" w:hAnsiTheme="majorHAnsi"/>
          <w:color w:val="auto"/>
          <w:sz w:val="20"/>
        </w:rPr>
        <w:t>Ley de Libertades Civiles</w:t>
      </w:r>
      <w:r w:rsidR="00721C51" w:rsidRPr="00DB5BAC">
        <w:rPr>
          <w:rFonts w:asciiTheme="majorHAnsi" w:hAnsiTheme="majorHAnsi"/>
          <w:color w:val="auto"/>
          <w:sz w:val="20"/>
        </w:rPr>
        <w:t>.</w:t>
      </w:r>
      <w:r w:rsidR="0022230B" w:rsidRPr="00DB5BAC">
        <w:rPr>
          <w:rFonts w:asciiTheme="majorHAnsi" w:hAnsiTheme="majorHAnsi"/>
          <w:color w:val="auto"/>
          <w:sz w:val="20"/>
        </w:rPr>
        <w:t xml:space="preserve"> </w:t>
      </w:r>
    </w:p>
    <w:p w14:paraId="71F523A3" w14:textId="77777777" w:rsidR="00E35F22" w:rsidRPr="00DB5BAC" w:rsidRDefault="00E35F22" w:rsidP="00E35F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B050"/>
          <w:sz w:val="20"/>
        </w:rPr>
      </w:pPr>
    </w:p>
    <w:p w14:paraId="646528FC" w14:textId="77777777" w:rsidR="00E35F22" w:rsidRPr="00DB5BAC" w:rsidRDefault="003E2B57"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DB5BAC">
        <w:rPr>
          <w:rFonts w:asciiTheme="majorHAnsi" w:hAnsiTheme="majorHAnsi"/>
          <w:color w:val="auto"/>
          <w:sz w:val="20"/>
        </w:rPr>
        <w:t>Por último</w:t>
      </w:r>
      <w:r w:rsidR="00E35F22" w:rsidRPr="00DB5BAC">
        <w:rPr>
          <w:rFonts w:asciiTheme="majorHAnsi" w:hAnsiTheme="majorHAnsi"/>
          <w:color w:val="auto"/>
          <w:sz w:val="20"/>
        </w:rPr>
        <w:t xml:space="preserve">, </w:t>
      </w:r>
      <w:r w:rsidRPr="00DB5BAC">
        <w:rPr>
          <w:rFonts w:asciiTheme="majorHAnsi" w:hAnsiTheme="majorHAnsi"/>
          <w:color w:val="auto"/>
          <w:sz w:val="20"/>
        </w:rPr>
        <w:t>y en consonancia con el análisis precedente</w:t>
      </w:r>
      <w:r w:rsidR="00E35F22" w:rsidRPr="00DB5BAC">
        <w:rPr>
          <w:rFonts w:asciiTheme="majorHAnsi" w:hAnsiTheme="majorHAnsi"/>
          <w:color w:val="auto"/>
          <w:sz w:val="20"/>
        </w:rPr>
        <w:t xml:space="preserve">, </w:t>
      </w:r>
      <w:r w:rsidR="000648EF" w:rsidRPr="00DB5BAC">
        <w:rPr>
          <w:rFonts w:asciiTheme="majorHAnsi" w:hAnsiTheme="majorHAnsi"/>
          <w:color w:val="auto"/>
          <w:sz w:val="20"/>
        </w:rPr>
        <w:t>la Comisión</w:t>
      </w:r>
      <w:r w:rsidR="00E35F22" w:rsidRPr="00DB5BAC">
        <w:rPr>
          <w:rFonts w:asciiTheme="majorHAnsi" w:hAnsiTheme="majorHAnsi"/>
          <w:color w:val="auto"/>
          <w:sz w:val="20"/>
        </w:rPr>
        <w:t xml:space="preserve"> </w:t>
      </w:r>
      <w:r w:rsidR="00BB53E3" w:rsidRPr="00DB5BAC">
        <w:rPr>
          <w:rFonts w:asciiTheme="majorHAnsi" w:hAnsiTheme="majorHAnsi"/>
          <w:color w:val="auto"/>
          <w:sz w:val="20"/>
        </w:rPr>
        <w:t xml:space="preserve">concluye que las decisiones judiciales impartidas en relación con </w:t>
      </w:r>
      <w:r w:rsidR="005B1600" w:rsidRPr="00DB5BAC">
        <w:rPr>
          <w:rFonts w:asciiTheme="majorHAnsi" w:hAnsiTheme="majorHAnsi"/>
          <w:color w:val="auto"/>
          <w:sz w:val="20"/>
        </w:rPr>
        <w:t>los hermanos Shibayama</w:t>
      </w:r>
      <w:r w:rsidR="00E35F22" w:rsidRPr="00DB5BAC">
        <w:rPr>
          <w:rFonts w:asciiTheme="majorHAnsi" w:hAnsiTheme="majorHAnsi"/>
          <w:color w:val="auto"/>
          <w:sz w:val="20"/>
        </w:rPr>
        <w:t xml:space="preserve"> </w:t>
      </w:r>
      <w:r w:rsidR="00BB53E3" w:rsidRPr="00DB5BAC">
        <w:rPr>
          <w:rFonts w:asciiTheme="majorHAnsi" w:hAnsiTheme="majorHAnsi"/>
          <w:color w:val="auto"/>
          <w:sz w:val="20"/>
        </w:rPr>
        <w:t xml:space="preserve">por la </w:t>
      </w:r>
      <w:r w:rsidR="00341716" w:rsidRPr="00DB5BAC">
        <w:rPr>
          <w:rFonts w:asciiTheme="majorHAnsi" w:hAnsiTheme="majorHAnsi"/>
          <w:color w:val="auto"/>
          <w:sz w:val="20"/>
        </w:rPr>
        <w:t>Oficina de Administración de Reparaciones</w:t>
      </w:r>
      <w:r w:rsidR="00BB53E3" w:rsidRPr="00DB5BAC">
        <w:rPr>
          <w:rFonts w:asciiTheme="majorHAnsi" w:hAnsiTheme="majorHAnsi"/>
          <w:color w:val="auto"/>
          <w:sz w:val="20"/>
        </w:rPr>
        <w:t xml:space="preserve"> y posteriormente por los </w:t>
      </w:r>
      <w:r w:rsidR="00333A05" w:rsidRPr="00DB5BAC">
        <w:rPr>
          <w:rFonts w:asciiTheme="majorHAnsi" w:hAnsiTheme="majorHAnsi"/>
          <w:color w:val="auto"/>
          <w:sz w:val="20"/>
        </w:rPr>
        <w:t>tribunales federales</w:t>
      </w:r>
      <w:r w:rsidR="00BB53E3" w:rsidRPr="00DB5BAC">
        <w:rPr>
          <w:rFonts w:asciiTheme="majorHAnsi" w:hAnsiTheme="majorHAnsi"/>
          <w:color w:val="auto"/>
          <w:sz w:val="20"/>
        </w:rPr>
        <w:t xml:space="preserve"> también constituyeron violaciones de su derecho a la </w:t>
      </w:r>
      <w:r w:rsidR="00333A05" w:rsidRPr="00DB5BAC">
        <w:rPr>
          <w:rFonts w:asciiTheme="majorHAnsi" w:hAnsiTheme="majorHAnsi"/>
          <w:color w:val="auto"/>
          <w:sz w:val="20"/>
        </w:rPr>
        <w:t>igualdad ante la ley</w:t>
      </w:r>
      <w:r w:rsidR="00BB53E3" w:rsidRPr="00DB5BAC">
        <w:rPr>
          <w:rFonts w:asciiTheme="majorHAnsi" w:hAnsiTheme="majorHAnsi"/>
          <w:color w:val="auto"/>
          <w:sz w:val="20"/>
        </w:rPr>
        <w:t>, en lo que se refiere al derecho a un</w:t>
      </w:r>
      <w:r w:rsidR="00E35F22" w:rsidRPr="00DB5BAC">
        <w:rPr>
          <w:rFonts w:asciiTheme="majorHAnsi" w:hAnsiTheme="majorHAnsi"/>
          <w:color w:val="auto"/>
          <w:sz w:val="20"/>
        </w:rPr>
        <w:t xml:space="preserve"> </w:t>
      </w:r>
      <w:r w:rsidR="00333A05" w:rsidRPr="00DB5BAC">
        <w:rPr>
          <w:rFonts w:asciiTheme="majorHAnsi" w:hAnsiTheme="majorHAnsi"/>
          <w:color w:val="auto"/>
          <w:sz w:val="20"/>
        </w:rPr>
        <w:t>recurso efectivo</w:t>
      </w:r>
      <w:r w:rsidR="00E35F22" w:rsidRPr="00DB5BAC">
        <w:rPr>
          <w:rFonts w:asciiTheme="majorHAnsi" w:hAnsiTheme="majorHAnsi"/>
          <w:color w:val="auto"/>
          <w:sz w:val="20"/>
        </w:rPr>
        <w:t xml:space="preserve">, </w:t>
      </w:r>
      <w:r w:rsidR="00BB53E3" w:rsidRPr="00DB5BAC">
        <w:rPr>
          <w:rFonts w:asciiTheme="majorHAnsi" w:hAnsiTheme="majorHAnsi"/>
          <w:color w:val="auto"/>
          <w:sz w:val="20"/>
        </w:rPr>
        <w:t xml:space="preserve">porque </w:t>
      </w:r>
      <w:r w:rsidR="00492284">
        <w:rPr>
          <w:rFonts w:asciiTheme="majorHAnsi" w:hAnsiTheme="majorHAnsi"/>
          <w:color w:val="auto"/>
          <w:sz w:val="20"/>
        </w:rPr>
        <w:t>declararon la validez</w:t>
      </w:r>
      <w:r w:rsidR="00BB53E3" w:rsidRPr="00DB5BAC">
        <w:rPr>
          <w:rFonts w:asciiTheme="majorHAnsi" w:hAnsiTheme="majorHAnsi"/>
          <w:color w:val="auto"/>
          <w:sz w:val="20"/>
        </w:rPr>
        <w:t xml:space="preserve"> y aplicaron una ley discriminatoria que violó el derecho de los </w:t>
      </w:r>
      <w:r w:rsidR="000648EF" w:rsidRPr="00DB5BAC">
        <w:rPr>
          <w:rFonts w:asciiTheme="majorHAnsi" w:hAnsiTheme="majorHAnsi"/>
          <w:color w:val="auto"/>
          <w:sz w:val="20"/>
        </w:rPr>
        <w:t>peticionarios</w:t>
      </w:r>
      <w:r w:rsidR="00BB53E3" w:rsidRPr="00DB5BAC">
        <w:rPr>
          <w:rFonts w:asciiTheme="majorHAnsi" w:hAnsiTheme="majorHAnsi"/>
          <w:color w:val="auto"/>
          <w:sz w:val="20"/>
        </w:rPr>
        <w:t xml:space="preserve"> a la igualdad</w:t>
      </w:r>
      <w:r w:rsidR="00E35F22" w:rsidRPr="00DB5BAC">
        <w:rPr>
          <w:rFonts w:asciiTheme="majorHAnsi" w:hAnsiTheme="majorHAnsi"/>
          <w:color w:val="auto"/>
          <w:sz w:val="20"/>
        </w:rPr>
        <w:t xml:space="preserve">. </w:t>
      </w:r>
    </w:p>
    <w:p w14:paraId="17E246A8" w14:textId="77777777" w:rsidR="00721C51" w:rsidRPr="00DB5BAC" w:rsidRDefault="00721C51" w:rsidP="00721C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rPr>
      </w:pPr>
    </w:p>
    <w:p w14:paraId="5EBD5F37" w14:textId="77777777" w:rsidR="003A1E02" w:rsidRPr="00DB5BAC" w:rsidRDefault="005B1600" w:rsidP="003A1E02">
      <w:pPr>
        <w:pStyle w:val="Heading3"/>
        <w:ind w:hanging="810"/>
        <w:rPr>
          <w:lang w:val="es-ES"/>
        </w:rPr>
      </w:pPr>
      <w:bookmarkStart w:id="20" w:name="_Toc27473293"/>
      <w:r w:rsidRPr="00DB5BAC">
        <w:rPr>
          <w:lang w:val="es-ES"/>
        </w:rPr>
        <w:t>L</w:t>
      </w:r>
      <w:r w:rsidR="00BB53E3" w:rsidRPr="00DB5BAC">
        <w:rPr>
          <w:lang w:val="es-ES"/>
        </w:rPr>
        <w:t xml:space="preserve">as demás </w:t>
      </w:r>
      <w:r w:rsidR="00333A05" w:rsidRPr="00DB5BAC">
        <w:rPr>
          <w:lang w:val="es-ES"/>
        </w:rPr>
        <w:t>reclamaciones de reparación</w:t>
      </w:r>
      <w:r w:rsidR="00BB53E3" w:rsidRPr="00DB5BAC">
        <w:rPr>
          <w:lang w:val="es-ES"/>
        </w:rPr>
        <w:t xml:space="preserve"> de los hermanos Shibayama</w:t>
      </w:r>
      <w:bookmarkEnd w:id="20"/>
    </w:p>
    <w:p w14:paraId="21FAA610" w14:textId="77777777" w:rsidR="003A1E02" w:rsidRPr="00DB5BAC" w:rsidRDefault="003A1E02" w:rsidP="006F0D8C">
      <w:pPr>
        <w:pStyle w:val="ListParagraph"/>
        <w:rPr>
          <w:rFonts w:asciiTheme="majorHAnsi" w:hAnsiTheme="majorHAnsi"/>
          <w:sz w:val="20"/>
          <w:lang w:val="es-ES"/>
        </w:rPr>
      </w:pPr>
    </w:p>
    <w:p w14:paraId="27C16890" w14:textId="77777777" w:rsidR="00796B30" w:rsidRPr="00DB5BAC" w:rsidRDefault="005B1600"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DB5BAC">
        <w:rPr>
          <w:rFonts w:asciiTheme="majorHAnsi" w:hAnsiTheme="majorHAnsi"/>
          <w:sz w:val="20"/>
        </w:rPr>
        <w:t>Los hermanos Shibayama</w:t>
      </w:r>
      <w:r w:rsidR="006F0D8C" w:rsidRPr="00DB5BAC">
        <w:rPr>
          <w:rFonts w:asciiTheme="majorHAnsi" w:hAnsiTheme="majorHAnsi"/>
          <w:sz w:val="20"/>
        </w:rPr>
        <w:t xml:space="preserve"> </w:t>
      </w:r>
      <w:r w:rsidR="000347EF" w:rsidRPr="00DB5BAC">
        <w:rPr>
          <w:rFonts w:asciiTheme="majorHAnsi" w:hAnsiTheme="majorHAnsi"/>
          <w:sz w:val="20"/>
        </w:rPr>
        <w:t xml:space="preserve">han alegado también la imposibilidad de obtener reparación por presuntas violaciones de sus derechos que no están abarcadas por la </w:t>
      </w:r>
      <w:r w:rsidR="00CA2EFA" w:rsidRPr="00DB5BAC">
        <w:rPr>
          <w:rFonts w:asciiTheme="majorHAnsi" w:hAnsiTheme="majorHAnsi"/>
          <w:sz w:val="20"/>
        </w:rPr>
        <w:t>Ley de Libertades Civiles</w:t>
      </w:r>
      <w:r w:rsidR="00863347">
        <w:rPr>
          <w:rFonts w:asciiTheme="majorHAnsi" w:hAnsiTheme="majorHAnsi"/>
          <w:sz w:val="20"/>
        </w:rPr>
        <w:t>;</w:t>
      </w:r>
      <w:r w:rsidR="006F0D8C" w:rsidRPr="00DB5BAC">
        <w:rPr>
          <w:rFonts w:asciiTheme="majorHAnsi" w:hAnsiTheme="majorHAnsi"/>
          <w:sz w:val="20"/>
        </w:rPr>
        <w:t xml:space="preserve"> </w:t>
      </w:r>
      <w:r w:rsidR="000347EF" w:rsidRPr="00DB5BAC">
        <w:rPr>
          <w:rFonts w:asciiTheme="majorHAnsi" w:hAnsiTheme="majorHAnsi"/>
          <w:sz w:val="20"/>
        </w:rPr>
        <w:t>e</w:t>
      </w:r>
      <w:r w:rsidR="006F0D8C" w:rsidRPr="00DB5BAC">
        <w:rPr>
          <w:rFonts w:asciiTheme="majorHAnsi" w:hAnsiTheme="majorHAnsi"/>
          <w:sz w:val="20"/>
        </w:rPr>
        <w:t xml:space="preserve">n particular, </w:t>
      </w:r>
      <w:r w:rsidR="000347EF" w:rsidRPr="00DB5BAC">
        <w:rPr>
          <w:rFonts w:asciiTheme="majorHAnsi" w:hAnsiTheme="majorHAnsi"/>
          <w:sz w:val="20"/>
        </w:rPr>
        <w:t xml:space="preserve">las reclamaciones basadas en el </w:t>
      </w:r>
      <w:r w:rsidR="00412B98" w:rsidRPr="00DB5BAC">
        <w:rPr>
          <w:rFonts w:asciiTheme="majorHAnsi" w:hAnsiTheme="majorHAnsi"/>
          <w:sz w:val="20"/>
        </w:rPr>
        <w:t>derecho internacional humanitario</w:t>
      </w:r>
      <w:r w:rsidR="00796B30" w:rsidRPr="00DB5BAC">
        <w:rPr>
          <w:rFonts w:asciiTheme="majorHAnsi" w:hAnsiTheme="majorHAnsi"/>
          <w:sz w:val="20"/>
        </w:rPr>
        <w:t xml:space="preserve"> </w:t>
      </w:r>
      <w:r w:rsidR="000347EF" w:rsidRPr="00DB5BAC">
        <w:rPr>
          <w:rFonts w:asciiTheme="majorHAnsi" w:hAnsiTheme="majorHAnsi"/>
          <w:sz w:val="20"/>
        </w:rPr>
        <w:t xml:space="preserve">por el traslado forzado desde </w:t>
      </w:r>
      <w:r w:rsidR="00E939BA" w:rsidRPr="00DB5BAC">
        <w:rPr>
          <w:rFonts w:asciiTheme="majorHAnsi" w:hAnsiTheme="majorHAnsi"/>
          <w:sz w:val="20"/>
        </w:rPr>
        <w:t>Perú</w:t>
      </w:r>
      <w:r w:rsidR="00796B30" w:rsidRPr="00DB5BAC">
        <w:rPr>
          <w:rFonts w:asciiTheme="majorHAnsi" w:hAnsiTheme="majorHAnsi"/>
          <w:sz w:val="20"/>
        </w:rPr>
        <w:t xml:space="preserve"> </w:t>
      </w:r>
      <w:r w:rsidR="000347EF" w:rsidRPr="00DB5BAC">
        <w:rPr>
          <w:rFonts w:asciiTheme="majorHAnsi" w:hAnsiTheme="majorHAnsi"/>
          <w:sz w:val="20"/>
        </w:rPr>
        <w:t xml:space="preserve">y por la presunta tributación excesiva basada en su clasificación de </w:t>
      </w:r>
      <w:r w:rsidR="00796B30" w:rsidRPr="00DB5BAC">
        <w:rPr>
          <w:rFonts w:asciiTheme="majorHAnsi" w:hAnsiTheme="majorHAnsi"/>
          <w:sz w:val="20"/>
        </w:rPr>
        <w:t>“</w:t>
      </w:r>
      <w:r w:rsidR="00FF03EE" w:rsidRPr="00DB5BAC">
        <w:rPr>
          <w:rFonts w:asciiTheme="majorHAnsi" w:hAnsiTheme="majorHAnsi"/>
          <w:sz w:val="20"/>
        </w:rPr>
        <w:t>extranjeros indocumentados</w:t>
      </w:r>
      <w:r w:rsidR="00796B30" w:rsidRPr="00DB5BAC">
        <w:rPr>
          <w:rFonts w:asciiTheme="majorHAnsi" w:hAnsiTheme="majorHAnsi"/>
          <w:sz w:val="20"/>
        </w:rPr>
        <w:t>”</w:t>
      </w:r>
      <w:r w:rsidR="000347EF" w:rsidRPr="00DB5BAC">
        <w:rPr>
          <w:rFonts w:asciiTheme="majorHAnsi" w:hAnsiTheme="majorHAnsi"/>
          <w:sz w:val="20"/>
        </w:rPr>
        <w:t>.</w:t>
      </w:r>
      <w:r w:rsidR="00796B30" w:rsidRPr="00DB5BAC">
        <w:rPr>
          <w:rFonts w:asciiTheme="majorHAnsi" w:hAnsiTheme="majorHAnsi"/>
          <w:sz w:val="20"/>
        </w:rPr>
        <w:t xml:space="preserve"> </w:t>
      </w:r>
      <w:r w:rsidR="000648EF" w:rsidRPr="00DB5BAC">
        <w:rPr>
          <w:rFonts w:asciiTheme="majorHAnsi" w:hAnsiTheme="majorHAnsi"/>
          <w:sz w:val="20"/>
        </w:rPr>
        <w:t>La Comisión</w:t>
      </w:r>
      <w:r w:rsidR="00796B30" w:rsidRPr="00DB5BAC">
        <w:rPr>
          <w:rFonts w:asciiTheme="majorHAnsi" w:hAnsiTheme="majorHAnsi"/>
          <w:sz w:val="20"/>
        </w:rPr>
        <w:t xml:space="preserve"> rec</w:t>
      </w:r>
      <w:r w:rsidR="000347EF" w:rsidRPr="00DB5BAC">
        <w:rPr>
          <w:rFonts w:asciiTheme="majorHAnsi" w:hAnsiTheme="majorHAnsi"/>
          <w:sz w:val="20"/>
        </w:rPr>
        <w:t xml:space="preserve">uerda que no tiene competencia </w:t>
      </w:r>
      <w:r w:rsidR="00796B30" w:rsidRPr="00DB5BAC">
        <w:rPr>
          <w:rFonts w:asciiTheme="majorHAnsi" w:hAnsiTheme="majorHAnsi"/>
          <w:i/>
          <w:sz w:val="20"/>
        </w:rPr>
        <w:t>ratione temporis</w:t>
      </w:r>
      <w:r w:rsidR="00796B30" w:rsidRPr="00DB5BAC">
        <w:rPr>
          <w:rFonts w:asciiTheme="majorHAnsi" w:hAnsiTheme="majorHAnsi"/>
          <w:sz w:val="20"/>
        </w:rPr>
        <w:t xml:space="preserve"> </w:t>
      </w:r>
      <w:r w:rsidR="000347EF" w:rsidRPr="00DB5BAC">
        <w:rPr>
          <w:rFonts w:asciiTheme="majorHAnsi" w:hAnsiTheme="majorHAnsi"/>
          <w:sz w:val="20"/>
        </w:rPr>
        <w:t xml:space="preserve">para declarar la existencia de las presuntas violaciones subyacentes en este caso. Sin embargo, evidentemente tiene competencia para </w:t>
      </w:r>
      <w:r w:rsidR="00492284">
        <w:rPr>
          <w:rFonts w:asciiTheme="majorHAnsi" w:hAnsiTheme="majorHAnsi"/>
          <w:sz w:val="20"/>
        </w:rPr>
        <w:t>revisar</w:t>
      </w:r>
      <w:r w:rsidR="000347EF" w:rsidRPr="00DB5BAC">
        <w:rPr>
          <w:rFonts w:asciiTheme="majorHAnsi" w:hAnsiTheme="majorHAnsi"/>
          <w:sz w:val="20"/>
        </w:rPr>
        <w:t xml:space="preserve"> la existencia y eficacia del recurso que interpusieron ante los</w:t>
      </w:r>
      <w:r w:rsidR="003A1E02" w:rsidRPr="00DB5BAC">
        <w:rPr>
          <w:rFonts w:asciiTheme="majorHAnsi" w:hAnsiTheme="majorHAnsi"/>
          <w:sz w:val="20"/>
        </w:rPr>
        <w:t xml:space="preserve"> </w:t>
      </w:r>
      <w:r w:rsidR="00333A05" w:rsidRPr="00DB5BAC">
        <w:rPr>
          <w:rFonts w:asciiTheme="majorHAnsi" w:hAnsiTheme="majorHAnsi"/>
          <w:sz w:val="20"/>
        </w:rPr>
        <w:t>tribunales federales</w:t>
      </w:r>
      <w:r w:rsidR="003A1E02" w:rsidRPr="00DB5BAC">
        <w:rPr>
          <w:rFonts w:asciiTheme="majorHAnsi" w:hAnsiTheme="majorHAnsi"/>
          <w:sz w:val="20"/>
        </w:rPr>
        <w:t xml:space="preserve"> </w:t>
      </w:r>
      <w:r w:rsidR="000347EF" w:rsidRPr="00DB5BAC">
        <w:rPr>
          <w:rFonts w:asciiTheme="majorHAnsi" w:hAnsiTheme="majorHAnsi"/>
          <w:sz w:val="20"/>
        </w:rPr>
        <w:t xml:space="preserve">con el fin de obtener una sentencia sobre el fondo de su reclamación, ya que este litigio tuvo lugar entre </w:t>
      </w:r>
      <w:r w:rsidR="003A1E02" w:rsidRPr="00DB5BAC">
        <w:rPr>
          <w:rFonts w:asciiTheme="majorHAnsi" w:hAnsiTheme="majorHAnsi"/>
          <w:sz w:val="20"/>
        </w:rPr>
        <w:t xml:space="preserve">1999 </w:t>
      </w:r>
      <w:r w:rsidR="000347EF" w:rsidRPr="00DB5BAC">
        <w:rPr>
          <w:rFonts w:asciiTheme="majorHAnsi" w:hAnsiTheme="majorHAnsi"/>
          <w:sz w:val="20"/>
        </w:rPr>
        <w:t>y</w:t>
      </w:r>
      <w:r w:rsidR="003A1E02" w:rsidRPr="00DB5BAC">
        <w:rPr>
          <w:rFonts w:asciiTheme="majorHAnsi" w:hAnsiTheme="majorHAnsi"/>
          <w:sz w:val="20"/>
        </w:rPr>
        <w:t xml:space="preserve"> 2003</w:t>
      </w:r>
      <w:r w:rsidR="00796B30" w:rsidRPr="00DB5BAC">
        <w:rPr>
          <w:rFonts w:asciiTheme="majorHAnsi" w:hAnsiTheme="majorHAnsi"/>
          <w:sz w:val="20"/>
        </w:rPr>
        <w:t xml:space="preserve">. </w:t>
      </w:r>
    </w:p>
    <w:p w14:paraId="41D5315B" w14:textId="77777777" w:rsidR="00796B30" w:rsidRPr="00DB5BAC" w:rsidRDefault="00796B30" w:rsidP="00796B30">
      <w:pPr>
        <w:pStyle w:val="ListParagraph"/>
        <w:rPr>
          <w:rFonts w:asciiTheme="majorHAnsi" w:hAnsiTheme="majorHAnsi"/>
          <w:sz w:val="20"/>
          <w:lang w:val="es-ES"/>
        </w:rPr>
      </w:pPr>
    </w:p>
    <w:p w14:paraId="2AD3501E" w14:textId="77777777" w:rsidR="006F0D8C" w:rsidRPr="00DB5BAC" w:rsidRDefault="000648EF" w:rsidP="00D478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rPr>
      </w:pPr>
      <w:r w:rsidRPr="00DB5BAC">
        <w:rPr>
          <w:rFonts w:asciiTheme="majorHAnsi" w:hAnsiTheme="majorHAnsi"/>
          <w:sz w:val="20"/>
        </w:rPr>
        <w:t>La Comisión</w:t>
      </w:r>
      <w:r w:rsidR="00796B30" w:rsidRPr="00DB5BAC">
        <w:rPr>
          <w:rFonts w:asciiTheme="majorHAnsi" w:hAnsiTheme="majorHAnsi"/>
          <w:sz w:val="20"/>
        </w:rPr>
        <w:t xml:space="preserve"> consider</w:t>
      </w:r>
      <w:r w:rsidR="00423389" w:rsidRPr="00DB5BAC">
        <w:rPr>
          <w:rFonts w:asciiTheme="majorHAnsi" w:hAnsiTheme="majorHAnsi"/>
          <w:sz w:val="20"/>
        </w:rPr>
        <w:t>a que la decisión</w:t>
      </w:r>
      <w:r w:rsidR="00796B30" w:rsidRPr="00DB5BAC">
        <w:rPr>
          <w:rFonts w:asciiTheme="majorHAnsi" w:hAnsiTheme="majorHAnsi"/>
          <w:sz w:val="20"/>
        </w:rPr>
        <w:t xml:space="preserve"> </w:t>
      </w:r>
      <w:r w:rsidR="00423389" w:rsidRPr="00DB5BAC">
        <w:rPr>
          <w:rFonts w:asciiTheme="majorHAnsi" w:hAnsiTheme="majorHAnsi"/>
          <w:sz w:val="20"/>
        </w:rPr>
        <w:t xml:space="preserve">del </w:t>
      </w:r>
      <w:r w:rsidR="00344DD8" w:rsidRPr="00DB5BAC">
        <w:rPr>
          <w:rFonts w:asciiTheme="majorHAnsi" w:hAnsiTheme="majorHAnsi"/>
          <w:sz w:val="20"/>
        </w:rPr>
        <w:t>Tribunal de Reclamaciones Federales</w:t>
      </w:r>
      <w:r w:rsidR="00796B30" w:rsidRPr="00DB5BAC">
        <w:rPr>
          <w:rFonts w:asciiTheme="majorHAnsi" w:hAnsiTheme="majorHAnsi"/>
          <w:sz w:val="20"/>
        </w:rPr>
        <w:t xml:space="preserve"> </w:t>
      </w:r>
      <w:r w:rsidR="00423389" w:rsidRPr="00DB5BAC">
        <w:rPr>
          <w:rFonts w:asciiTheme="majorHAnsi" w:hAnsiTheme="majorHAnsi"/>
          <w:sz w:val="20"/>
        </w:rPr>
        <w:t xml:space="preserve">pone de manifiesto que el litigio en la instancia </w:t>
      </w:r>
      <w:r w:rsidR="008B5FA2" w:rsidRPr="00DB5BAC">
        <w:rPr>
          <w:rFonts w:asciiTheme="majorHAnsi" w:hAnsiTheme="majorHAnsi"/>
          <w:sz w:val="20"/>
        </w:rPr>
        <w:t xml:space="preserve">federal </w:t>
      </w:r>
      <w:r w:rsidR="00423389" w:rsidRPr="00DB5BAC">
        <w:rPr>
          <w:rFonts w:asciiTheme="majorHAnsi" w:hAnsiTheme="majorHAnsi"/>
          <w:sz w:val="20"/>
        </w:rPr>
        <w:t xml:space="preserve">no constituyó un </w:t>
      </w:r>
      <w:r w:rsidR="00333A05" w:rsidRPr="00DB5BAC">
        <w:rPr>
          <w:rFonts w:asciiTheme="majorHAnsi" w:hAnsiTheme="majorHAnsi"/>
          <w:sz w:val="20"/>
        </w:rPr>
        <w:t>recurso efectivo</w:t>
      </w:r>
      <w:r w:rsidR="00796B30" w:rsidRPr="00DB5BAC">
        <w:rPr>
          <w:rFonts w:asciiTheme="majorHAnsi" w:hAnsiTheme="majorHAnsi"/>
          <w:sz w:val="20"/>
        </w:rPr>
        <w:t xml:space="preserve"> </w:t>
      </w:r>
      <w:r w:rsidR="00423389" w:rsidRPr="00DB5BAC">
        <w:rPr>
          <w:rFonts w:asciiTheme="majorHAnsi" w:hAnsiTheme="majorHAnsi"/>
          <w:sz w:val="20"/>
        </w:rPr>
        <w:t>para</w:t>
      </w:r>
      <w:r w:rsidR="00796B30" w:rsidRPr="00DB5BAC">
        <w:rPr>
          <w:rFonts w:asciiTheme="majorHAnsi" w:hAnsiTheme="majorHAnsi"/>
          <w:sz w:val="20"/>
        </w:rPr>
        <w:t xml:space="preserve"> </w:t>
      </w:r>
      <w:r w:rsidR="005B1600" w:rsidRPr="00DB5BAC">
        <w:rPr>
          <w:rFonts w:asciiTheme="majorHAnsi" w:hAnsiTheme="majorHAnsi"/>
          <w:sz w:val="20"/>
        </w:rPr>
        <w:t>los hermanos Shibayama</w:t>
      </w:r>
      <w:r w:rsidR="00796B30" w:rsidRPr="00DB5BAC">
        <w:rPr>
          <w:rFonts w:asciiTheme="majorHAnsi" w:hAnsiTheme="majorHAnsi"/>
          <w:sz w:val="20"/>
        </w:rPr>
        <w:t xml:space="preserve">, </w:t>
      </w:r>
      <w:r w:rsidR="00423389" w:rsidRPr="00DB5BAC">
        <w:rPr>
          <w:rFonts w:asciiTheme="majorHAnsi" w:hAnsiTheme="majorHAnsi"/>
          <w:sz w:val="20"/>
        </w:rPr>
        <w:t>en el sentido de que no fue “capaz de producir el resultado para el cual había sido creado”</w:t>
      </w:r>
      <w:r w:rsidR="00492284">
        <w:rPr>
          <w:rFonts w:asciiTheme="majorHAnsi" w:hAnsiTheme="majorHAnsi"/>
          <w:sz w:val="20"/>
        </w:rPr>
        <w:t>, a saber, para revisar el fondo de sus reclamos distintos a los de la Ley de Libertades Civiles</w:t>
      </w:r>
      <w:r w:rsidR="00423389" w:rsidRPr="00DB5BAC">
        <w:rPr>
          <w:rFonts w:asciiTheme="majorHAnsi" w:hAnsiTheme="majorHAnsi"/>
          <w:sz w:val="20"/>
        </w:rPr>
        <w:t xml:space="preserve">. En ese sentido, inicialmente los </w:t>
      </w:r>
      <w:r w:rsidRPr="00DB5BAC">
        <w:rPr>
          <w:rFonts w:asciiTheme="majorHAnsi" w:hAnsiTheme="majorHAnsi"/>
          <w:sz w:val="20"/>
        </w:rPr>
        <w:t>peticionarios</w:t>
      </w:r>
      <w:r w:rsidR="00796B30" w:rsidRPr="00DB5BAC">
        <w:rPr>
          <w:rFonts w:asciiTheme="majorHAnsi" w:hAnsiTheme="majorHAnsi"/>
          <w:sz w:val="20"/>
        </w:rPr>
        <w:t xml:space="preserve"> </w:t>
      </w:r>
      <w:r w:rsidR="00423389" w:rsidRPr="00DB5BAC">
        <w:rPr>
          <w:rFonts w:asciiTheme="majorHAnsi" w:hAnsiTheme="majorHAnsi"/>
          <w:sz w:val="20"/>
        </w:rPr>
        <w:t>interpusieron su demanda alegando violaciones de sus derechos de acuerdo con</w:t>
      </w:r>
      <w:r w:rsidR="00796B30" w:rsidRPr="00DB5BAC">
        <w:rPr>
          <w:rFonts w:asciiTheme="majorHAnsi" w:hAnsiTheme="majorHAnsi"/>
          <w:sz w:val="20"/>
        </w:rPr>
        <w:t xml:space="preserve"> </w:t>
      </w:r>
      <w:r w:rsidR="00725FFD" w:rsidRPr="00DB5BAC">
        <w:rPr>
          <w:rFonts w:asciiTheme="majorHAnsi" w:hAnsiTheme="majorHAnsi"/>
          <w:sz w:val="20"/>
        </w:rPr>
        <w:t xml:space="preserve">la </w:t>
      </w:r>
      <w:r w:rsidR="00CA2EFA" w:rsidRPr="00DB5BAC">
        <w:rPr>
          <w:rFonts w:asciiTheme="majorHAnsi" w:hAnsiTheme="majorHAnsi"/>
          <w:sz w:val="20"/>
        </w:rPr>
        <w:t>Ley de Libertades Civiles</w:t>
      </w:r>
      <w:r w:rsidR="00796B30" w:rsidRPr="00DB5BAC">
        <w:rPr>
          <w:rFonts w:asciiTheme="majorHAnsi" w:hAnsiTheme="majorHAnsi"/>
          <w:sz w:val="20"/>
        </w:rPr>
        <w:t xml:space="preserve">, </w:t>
      </w:r>
      <w:r w:rsidR="00423389" w:rsidRPr="00DB5BAC">
        <w:rPr>
          <w:rFonts w:asciiTheme="majorHAnsi" w:hAnsiTheme="majorHAnsi"/>
          <w:sz w:val="20"/>
        </w:rPr>
        <w:t xml:space="preserve">la Quinta Enmienda </w:t>
      </w:r>
      <w:r w:rsidR="00721C51" w:rsidRPr="00DB5BAC">
        <w:rPr>
          <w:rFonts w:asciiTheme="majorHAnsi" w:hAnsiTheme="majorHAnsi"/>
          <w:sz w:val="20"/>
        </w:rPr>
        <w:t>(</w:t>
      </w:r>
      <w:r w:rsidR="00933202" w:rsidRPr="00DB5BAC">
        <w:rPr>
          <w:rFonts w:asciiTheme="majorHAnsi" w:hAnsiTheme="majorHAnsi"/>
          <w:sz w:val="20"/>
        </w:rPr>
        <w:t>igual protección</w:t>
      </w:r>
      <w:r w:rsidR="00721C51" w:rsidRPr="00DB5BAC">
        <w:rPr>
          <w:rFonts w:asciiTheme="majorHAnsi" w:hAnsiTheme="majorHAnsi"/>
          <w:sz w:val="20"/>
        </w:rPr>
        <w:t>)</w:t>
      </w:r>
      <w:r w:rsidR="00796B30" w:rsidRPr="00DB5BAC">
        <w:rPr>
          <w:rFonts w:asciiTheme="majorHAnsi" w:hAnsiTheme="majorHAnsi"/>
          <w:sz w:val="20"/>
        </w:rPr>
        <w:t xml:space="preserve">, </w:t>
      </w:r>
      <w:r w:rsidR="00423389" w:rsidRPr="00DB5BAC">
        <w:rPr>
          <w:rFonts w:asciiTheme="majorHAnsi" w:hAnsiTheme="majorHAnsi"/>
          <w:sz w:val="20"/>
        </w:rPr>
        <w:t xml:space="preserve">el </w:t>
      </w:r>
      <w:r w:rsidR="00412B98" w:rsidRPr="00DB5BAC">
        <w:rPr>
          <w:rFonts w:asciiTheme="majorHAnsi" w:hAnsiTheme="majorHAnsi"/>
          <w:sz w:val="20"/>
        </w:rPr>
        <w:t>derecho internacional humanitario</w:t>
      </w:r>
      <w:r w:rsidR="00423389" w:rsidRPr="00DB5BAC">
        <w:rPr>
          <w:rFonts w:asciiTheme="majorHAnsi" w:hAnsiTheme="majorHAnsi"/>
          <w:sz w:val="20"/>
        </w:rPr>
        <w:t xml:space="preserve"> y otras leyes </w:t>
      </w:r>
      <w:r w:rsidR="00796B30" w:rsidRPr="00DB5BAC">
        <w:rPr>
          <w:rFonts w:asciiTheme="majorHAnsi" w:hAnsiTheme="majorHAnsi"/>
          <w:sz w:val="20"/>
        </w:rPr>
        <w:t>federal</w:t>
      </w:r>
      <w:r w:rsidR="00423389" w:rsidRPr="00DB5BAC">
        <w:rPr>
          <w:rFonts w:asciiTheme="majorHAnsi" w:hAnsiTheme="majorHAnsi"/>
          <w:sz w:val="20"/>
        </w:rPr>
        <w:t>es</w:t>
      </w:r>
      <w:r w:rsidR="00796B30" w:rsidRPr="00DB5BAC">
        <w:rPr>
          <w:rFonts w:asciiTheme="majorHAnsi" w:hAnsiTheme="majorHAnsi"/>
          <w:sz w:val="20"/>
        </w:rPr>
        <w:t xml:space="preserve"> </w:t>
      </w:r>
      <w:r w:rsidR="00423389" w:rsidRPr="00DB5BAC">
        <w:rPr>
          <w:rFonts w:asciiTheme="majorHAnsi" w:hAnsiTheme="majorHAnsi"/>
          <w:sz w:val="20"/>
        </w:rPr>
        <w:t xml:space="preserve">en el Distrito Norte de </w:t>
      </w:r>
      <w:r w:rsidR="00796B30" w:rsidRPr="00DB5BAC">
        <w:rPr>
          <w:rFonts w:asciiTheme="majorHAnsi" w:hAnsiTheme="majorHAnsi"/>
          <w:sz w:val="20"/>
        </w:rPr>
        <w:t>California</w:t>
      </w:r>
      <w:r w:rsidR="00423389" w:rsidRPr="00DB5BAC">
        <w:rPr>
          <w:rFonts w:asciiTheme="majorHAnsi" w:hAnsiTheme="majorHAnsi"/>
          <w:sz w:val="20"/>
        </w:rPr>
        <w:t>. El caso fue trasladado posteriormente al</w:t>
      </w:r>
      <w:r w:rsidR="00796B30" w:rsidRPr="00DB5BAC">
        <w:rPr>
          <w:rFonts w:asciiTheme="majorHAnsi" w:hAnsiTheme="majorHAnsi"/>
          <w:sz w:val="20"/>
        </w:rPr>
        <w:t xml:space="preserve"> </w:t>
      </w:r>
      <w:r w:rsidR="00344DD8" w:rsidRPr="00DB5BAC">
        <w:rPr>
          <w:rFonts w:asciiTheme="majorHAnsi" w:hAnsiTheme="majorHAnsi"/>
          <w:sz w:val="20"/>
        </w:rPr>
        <w:t>Tribunal de Reclamaciones Federales</w:t>
      </w:r>
      <w:r w:rsidR="00796B30" w:rsidRPr="00DB5BAC">
        <w:rPr>
          <w:rFonts w:asciiTheme="majorHAnsi" w:hAnsiTheme="majorHAnsi"/>
          <w:sz w:val="20"/>
        </w:rPr>
        <w:t xml:space="preserve">, </w:t>
      </w:r>
      <w:r w:rsidR="00423389" w:rsidRPr="00DB5BAC">
        <w:rPr>
          <w:rFonts w:asciiTheme="majorHAnsi" w:hAnsiTheme="majorHAnsi"/>
          <w:sz w:val="20"/>
        </w:rPr>
        <w:t xml:space="preserve">que tiene jurisdicción </w:t>
      </w:r>
      <w:r w:rsidR="00796B30" w:rsidRPr="00DB5BAC">
        <w:rPr>
          <w:rFonts w:asciiTheme="majorHAnsi" w:hAnsiTheme="majorHAnsi"/>
          <w:sz w:val="20"/>
        </w:rPr>
        <w:t>exclusiv</w:t>
      </w:r>
      <w:r w:rsidR="00423389" w:rsidRPr="00DB5BAC">
        <w:rPr>
          <w:rFonts w:asciiTheme="majorHAnsi" w:hAnsiTheme="majorHAnsi"/>
          <w:sz w:val="20"/>
        </w:rPr>
        <w:t xml:space="preserve">a sobre reclamaciones </w:t>
      </w:r>
      <w:r w:rsidR="00725FFD" w:rsidRPr="00DB5BAC">
        <w:rPr>
          <w:rFonts w:asciiTheme="majorHAnsi" w:hAnsiTheme="majorHAnsi"/>
          <w:sz w:val="20"/>
        </w:rPr>
        <w:t>basad</w:t>
      </w:r>
      <w:r w:rsidR="00423389" w:rsidRPr="00DB5BAC">
        <w:rPr>
          <w:rFonts w:asciiTheme="majorHAnsi" w:hAnsiTheme="majorHAnsi"/>
          <w:sz w:val="20"/>
        </w:rPr>
        <w:t>a</w:t>
      </w:r>
      <w:r w:rsidR="00725FFD" w:rsidRPr="00DB5BAC">
        <w:rPr>
          <w:rFonts w:asciiTheme="majorHAnsi" w:hAnsiTheme="majorHAnsi"/>
          <w:sz w:val="20"/>
        </w:rPr>
        <w:t xml:space="preserve">s en la </w:t>
      </w:r>
      <w:r w:rsidR="00CA2EFA" w:rsidRPr="00DB5BAC">
        <w:rPr>
          <w:rFonts w:asciiTheme="majorHAnsi" w:hAnsiTheme="majorHAnsi"/>
          <w:sz w:val="20"/>
        </w:rPr>
        <w:t>Ley de Libertades Civiles</w:t>
      </w:r>
      <w:r w:rsidR="00423389" w:rsidRPr="00DB5BAC">
        <w:rPr>
          <w:rFonts w:asciiTheme="majorHAnsi" w:hAnsiTheme="majorHAnsi"/>
          <w:sz w:val="20"/>
        </w:rPr>
        <w:t xml:space="preserve">. </w:t>
      </w:r>
      <w:r w:rsidR="00863347">
        <w:rPr>
          <w:rFonts w:asciiTheme="majorHAnsi" w:hAnsiTheme="majorHAnsi"/>
          <w:sz w:val="20"/>
        </w:rPr>
        <w:t xml:space="preserve">El </w:t>
      </w:r>
      <w:r w:rsidR="00344DD8" w:rsidRPr="00DB5BAC">
        <w:rPr>
          <w:rFonts w:asciiTheme="majorHAnsi" w:hAnsiTheme="majorHAnsi"/>
          <w:sz w:val="20"/>
        </w:rPr>
        <w:t xml:space="preserve">Tribunal </w:t>
      </w:r>
      <w:r w:rsidR="00423389" w:rsidRPr="00DB5BAC">
        <w:rPr>
          <w:rFonts w:asciiTheme="majorHAnsi" w:hAnsiTheme="majorHAnsi"/>
          <w:sz w:val="20"/>
        </w:rPr>
        <w:t xml:space="preserve">desestimó las reclamaciones </w:t>
      </w:r>
      <w:r w:rsidR="00725FFD" w:rsidRPr="00DB5BAC">
        <w:rPr>
          <w:rFonts w:asciiTheme="majorHAnsi" w:hAnsiTheme="majorHAnsi"/>
          <w:sz w:val="20"/>
        </w:rPr>
        <w:t>de los peticionarios basad</w:t>
      </w:r>
      <w:r w:rsidR="00423389" w:rsidRPr="00DB5BAC">
        <w:rPr>
          <w:rFonts w:asciiTheme="majorHAnsi" w:hAnsiTheme="majorHAnsi"/>
          <w:sz w:val="20"/>
        </w:rPr>
        <w:t>a</w:t>
      </w:r>
      <w:r w:rsidR="00725FFD" w:rsidRPr="00DB5BAC">
        <w:rPr>
          <w:rFonts w:asciiTheme="majorHAnsi" w:hAnsiTheme="majorHAnsi"/>
          <w:sz w:val="20"/>
        </w:rPr>
        <w:t xml:space="preserve">s en </w:t>
      </w:r>
      <w:r w:rsidR="00863347">
        <w:rPr>
          <w:rFonts w:asciiTheme="majorHAnsi" w:hAnsiTheme="majorHAnsi"/>
          <w:sz w:val="20"/>
        </w:rPr>
        <w:t>dicha</w:t>
      </w:r>
      <w:r w:rsidR="00725FFD" w:rsidRPr="00DB5BAC">
        <w:rPr>
          <w:rFonts w:asciiTheme="majorHAnsi" w:hAnsiTheme="majorHAnsi"/>
          <w:sz w:val="20"/>
        </w:rPr>
        <w:t xml:space="preserve"> </w:t>
      </w:r>
      <w:r w:rsidR="00CA2EFA" w:rsidRPr="00DB5BAC">
        <w:rPr>
          <w:rFonts w:asciiTheme="majorHAnsi" w:hAnsiTheme="majorHAnsi"/>
          <w:sz w:val="20"/>
        </w:rPr>
        <w:t>Ley</w:t>
      </w:r>
      <w:r w:rsidR="00796B30" w:rsidRPr="00DB5BAC">
        <w:rPr>
          <w:rFonts w:asciiTheme="majorHAnsi" w:hAnsiTheme="majorHAnsi"/>
          <w:sz w:val="20"/>
        </w:rPr>
        <w:t xml:space="preserve">, </w:t>
      </w:r>
      <w:r w:rsidR="00423389" w:rsidRPr="00DB5BAC">
        <w:rPr>
          <w:rFonts w:asciiTheme="majorHAnsi" w:hAnsiTheme="majorHAnsi"/>
          <w:sz w:val="20"/>
        </w:rPr>
        <w:t xml:space="preserve">pero, en vez de trasladar las </w:t>
      </w:r>
      <w:r w:rsidR="00423389" w:rsidRPr="00DB5BAC">
        <w:rPr>
          <w:rFonts w:asciiTheme="majorHAnsi" w:hAnsiTheme="majorHAnsi"/>
          <w:sz w:val="20"/>
        </w:rPr>
        <w:lastRenderedPageBreak/>
        <w:t>reclamaciones restantes de vuelta al tribunal de distrito</w:t>
      </w:r>
      <w:r w:rsidR="008B5FA2" w:rsidRPr="00DB5BAC">
        <w:rPr>
          <w:rFonts w:asciiTheme="majorHAnsi" w:hAnsiTheme="majorHAnsi"/>
          <w:sz w:val="20"/>
        </w:rPr>
        <w:t xml:space="preserve">, </w:t>
      </w:r>
      <w:r w:rsidR="00423389" w:rsidRPr="00DB5BAC">
        <w:rPr>
          <w:rFonts w:asciiTheme="majorHAnsi" w:hAnsiTheme="majorHAnsi"/>
          <w:sz w:val="20"/>
        </w:rPr>
        <w:t xml:space="preserve">interpretó que </w:t>
      </w:r>
      <w:r w:rsidR="006D2D74">
        <w:rPr>
          <w:color w:val="auto"/>
          <w:sz w:val="20"/>
        </w:rPr>
        <w:t>“</w:t>
      </w:r>
      <w:r w:rsidR="006D2D74" w:rsidRPr="00DB5BAC">
        <w:rPr>
          <w:color w:val="auto"/>
          <w:sz w:val="20"/>
        </w:rPr>
        <w:t xml:space="preserve">todas las reclamaciones de los demandantes se basan en la denegación por el Estado del monto de la restitución establecido por ley y, en el fondo, lo único que </w:t>
      </w:r>
      <w:r w:rsidR="006D2D74">
        <w:rPr>
          <w:color w:val="auto"/>
          <w:sz w:val="20"/>
        </w:rPr>
        <w:t>piden es</w:t>
      </w:r>
      <w:r w:rsidR="006D2D74" w:rsidRPr="00DB5BAC">
        <w:rPr>
          <w:color w:val="auto"/>
          <w:sz w:val="20"/>
        </w:rPr>
        <w:t xml:space="preserve"> que les pag</w:t>
      </w:r>
      <w:r w:rsidR="006D2D74">
        <w:rPr>
          <w:color w:val="auto"/>
          <w:sz w:val="20"/>
        </w:rPr>
        <w:t>ue</w:t>
      </w:r>
      <w:r w:rsidR="006D2D74" w:rsidRPr="00DB5BAC">
        <w:rPr>
          <w:color w:val="auto"/>
          <w:sz w:val="20"/>
        </w:rPr>
        <w:t>n los $20.000</w:t>
      </w:r>
      <w:r w:rsidR="006D2D74">
        <w:rPr>
          <w:color w:val="auto"/>
          <w:sz w:val="20"/>
        </w:rPr>
        <w:t>”</w:t>
      </w:r>
      <w:r w:rsidR="00423389" w:rsidRPr="00DB5BAC">
        <w:rPr>
          <w:color w:val="auto"/>
          <w:sz w:val="20"/>
        </w:rPr>
        <w:t xml:space="preserve">, razón por la cual desestimó la demanda en su totalidad, al considerar que ninguna de esas reclamaciones restantes constituía motivo para otorgar reparación de acuerdo con </w:t>
      </w:r>
      <w:r w:rsidR="008B5FA2" w:rsidRPr="00DB5BAC">
        <w:rPr>
          <w:color w:val="auto"/>
          <w:sz w:val="20"/>
        </w:rPr>
        <w:t>l</w:t>
      </w:r>
      <w:r w:rsidR="00423389" w:rsidRPr="00DB5BAC">
        <w:rPr>
          <w:color w:val="auto"/>
          <w:sz w:val="20"/>
        </w:rPr>
        <w:t xml:space="preserve">a </w:t>
      </w:r>
      <w:r w:rsidR="00CA2EFA" w:rsidRPr="00DB5BAC">
        <w:rPr>
          <w:color w:val="auto"/>
          <w:sz w:val="20"/>
        </w:rPr>
        <w:t>Ley de Libertades Civiles</w:t>
      </w:r>
      <w:r w:rsidR="008B5FA2" w:rsidRPr="00DB5BAC">
        <w:rPr>
          <w:color w:val="auto"/>
          <w:sz w:val="20"/>
        </w:rPr>
        <w:t xml:space="preserve"> (</w:t>
      </w:r>
      <w:r w:rsidR="00423389" w:rsidRPr="00DB5BAC">
        <w:rPr>
          <w:color w:val="auto"/>
          <w:sz w:val="20"/>
        </w:rPr>
        <w:t>es decir, desembolsar el pago de</w:t>
      </w:r>
      <w:r w:rsidR="008B5FA2" w:rsidRPr="00DB5BAC">
        <w:rPr>
          <w:color w:val="auto"/>
          <w:sz w:val="20"/>
        </w:rPr>
        <w:t xml:space="preserve"> $20</w:t>
      </w:r>
      <w:r w:rsidR="00423389" w:rsidRPr="00DB5BAC">
        <w:rPr>
          <w:color w:val="auto"/>
          <w:sz w:val="20"/>
        </w:rPr>
        <w:t>.</w:t>
      </w:r>
      <w:r w:rsidR="008B5FA2" w:rsidRPr="00DB5BAC">
        <w:rPr>
          <w:color w:val="auto"/>
          <w:sz w:val="20"/>
        </w:rPr>
        <w:t xml:space="preserve">000). </w:t>
      </w:r>
      <w:r w:rsidR="00423389" w:rsidRPr="00DB5BAC">
        <w:rPr>
          <w:color w:val="auto"/>
          <w:sz w:val="20"/>
        </w:rPr>
        <w:t>De esta forma, no se proveyó a los</w:t>
      </w:r>
      <w:r w:rsidR="00B32067" w:rsidRPr="00DB5BAC">
        <w:rPr>
          <w:color w:val="auto"/>
          <w:sz w:val="20"/>
        </w:rPr>
        <w:t xml:space="preserve"> </w:t>
      </w:r>
      <w:r w:rsidRPr="00DB5BAC">
        <w:rPr>
          <w:color w:val="auto"/>
          <w:sz w:val="20"/>
        </w:rPr>
        <w:t>peticionarios</w:t>
      </w:r>
      <w:r w:rsidR="00B32067" w:rsidRPr="00DB5BAC">
        <w:rPr>
          <w:color w:val="auto"/>
          <w:sz w:val="20"/>
        </w:rPr>
        <w:t xml:space="preserve"> </w:t>
      </w:r>
      <w:r w:rsidR="00423389" w:rsidRPr="00DB5BAC">
        <w:rPr>
          <w:color w:val="auto"/>
          <w:sz w:val="20"/>
        </w:rPr>
        <w:t>un recurso para considerar el fondo de las reclamaciones que dif</w:t>
      </w:r>
      <w:r w:rsidR="00863347">
        <w:rPr>
          <w:color w:val="auto"/>
          <w:sz w:val="20"/>
        </w:rPr>
        <w:t>irieran s</w:t>
      </w:r>
      <w:r w:rsidR="00423389" w:rsidRPr="00DB5BAC">
        <w:rPr>
          <w:color w:val="auto"/>
          <w:sz w:val="20"/>
        </w:rPr>
        <w:t xml:space="preserve">ustancialmente de lo dispuesto en </w:t>
      </w:r>
      <w:r w:rsidR="00725FFD" w:rsidRPr="00DB5BAC">
        <w:rPr>
          <w:color w:val="auto"/>
          <w:sz w:val="20"/>
        </w:rPr>
        <w:t xml:space="preserve">la </w:t>
      </w:r>
      <w:r w:rsidR="00CA2EFA" w:rsidRPr="00DB5BAC">
        <w:rPr>
          <w:color w:val="auto"/>
          <w:sz w:val="20"/>
        </w:rPr>
        <w:t>Ley de Libertades Civiles</w:t>
      </w:r>
      <w:r w:rsidR="00B32067" w:rsidRPr="00DB5BAC">
        <w:rPr>
          <w:color w:val="auto"/>
          <w:sz w:val="20"/>
        </w:rPr>
        <w:t xml:space="preserve">. </w:t>
      </w:r>
    </w:p>
    <w:p w14:paraId="07B5637F" w14:textId="77777777" w:rsidR="007E61BE" w:rsidRPr="00DB5BAC" w:rsidRDefault="007E61BE" w:rsidP="00B320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rPr>
      </w:pPr>
    </w:p>
    <w:p w14:paraId="54B6B562" w14:textId="77777777" w:rsidR="003A1E02" w:rsidRPr="00DB5BAC" w:rsidRDefault="003A1E02" w:rsidP="00867971">
      <w:pPr>
        <w:pStyle w:val="Heading3"/>
        <w:keepNext/>
        <w:keepLines/>
        <w:ind w:hanging="810"/>
        <w:rPr>
          <w:lang w:val="es-ES"/>
        </w:rPr>
      </w:pPr>
      <w:bookmarkStart w:id="21" w:name="_Toc27473294"/>
      <w:r w:rsidRPr="00DB5BAC">
        <w:rPr>
          <w:lang w:val="es-ES"/>
        </w:rPr>
        <w:t>Conclusion</w:t>
      </w:r>
      <w:r w:rsidR="005B1600" w:rsidRPr="00DB5BAC">
        <w:rPr>
          <w:lang w:val="es-ES"/>
        </w:rPr>
        <w:t>e</w:t>
      </w:r>
      <w:r w:rsidRPr="00DB5BAC">
        <w:rPr>
          <w:lang w:val="es-ES"/>
        </w:rPr>
        <w:t>s</w:t>
      </w:r>
      <w:bookmarkEnd w:id="21"/>
    </w:p>
    <w:p w14:paraId="00595DED" w14:textId="77777777" w:rsidR="00FD1BB2" w:rsidRPr="00DB5BAC" w:rsidRDefault="00FD1BB2" w:rsidP="0086797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auto"/>
          <w:sz w:val="20"/>
        </w:rPr>
      </w:pPr>
    </w:p>
    <w:p w14:paraId="7F750118" w14:textId="77777777" w:rsidR="006C0ACF" w:rsidRPr="00C764F1" w:rsidRDefault="00423389" w:rsidP="00D47899">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DB5BAC">
        <w:rPr>
          <w:rFonts w:asciiTheme="majorHAnsi" w:hAnsiTheme="majorHAnsi"/>
          <w:color w:val="auto"/>
          <w:sz w:val="20"/>
        </w:rPr>
        <w:t xml:space="preserve">Sobre la </w:t>
      </w:r>
      <w:r w:rsidRPr="00C764F1">
        <w:rPr>
          <w:rFonts w:asciiTheme="majorHAnsi" w:hAnsiTheme="majorHAnsi"/>
          <w:color w:val="auto"/>
          <w:sz w:val="20"/>
        </w:rPr>
        <w:t>base del análisis precedente</w:t>
      </w:r>
      <w:r w:rsidR="00E35F22" w:rsidRPr="00C764F1">
        <w:rPr>
          <w:rFonts w:asciiTheme="majorHAnsi" w:hAnsiTheme="majorHAnsi"/>
          <w:color w:val="auto"/>
          <w:sz w:val="20"/>
        </w:rPr>
        <w:t xml:space="preserve">, </w:t>
      </w:r>
      <w:r w:rsidR="000648EF" w:rsidRPr="00C764F1">
        <w:rPr>
          <w:rFonts w:asciiTheme="majorHAnsi" w:hAnsiTheme="majorHAnsi"/>
          <w:color w:val="auto"/>
          <w:sz w:val="20"/>
        </w:rPr>
        <w:t>la Comisión</w:t>
      </w:r>
      <w:r w:rsidR="00893BD0" w:rsidRPr="00C764F1">
        <w:rPr>
          <w:rFonts w:asciiTheme="majorHAnsi" w:hAnsiTheme="majorHAnsi"/>
          <w:color w:val="auto"/>
          <w:sz w:val="20"/>
        </w:rPr>
        <w:t xml:space="preserve"> conclu</w:t>
      </w:r>
      <w:r w:rsidRPr="00C764F1">
        <w:rPr>
          <w:rFonts w:asciiTheme="majorHAnsi" w:hAnsiTheme="majorHAnsi"/>
          <w:color w:val="auto"/>
          <w:sz w:val="20"/>
        </w:rPr>
        <w:t xml:space="preserve">ye que </w:t>
      </w:r>
      <w:r w:rsidR="000648EF" w:rsidRPr="00C764F1">
        <w:rPr>
          <w:rFonts w:asciiTheme="majorHAnsi" w:hAnsiTheme="majorHAnsi"/>
          <w:color w:val="auto"/>
          <w:sz w:val="20"/>
        </w:rPr>
        <w:t>el Estado</w:t>
      </w:r>
      <w:r w:rsidR="00893BD0" w:rsidRPr="00C764F1">
        <w:rPr>
          <w:rFonts w:asciiTheme="majorHAnsi" w:hAnsiTheme="majorHAnsi"/>
          <w:color w:val="auto"/>
          <w:sz w:val="20"/>
        </w:rPr>
        <w:t xml:space="preserve"> </w:t>
      </w:r>
      <w:r w:rsidR="00AA7E79" w:rsidRPr="00C764F1">
        <w:rPr>
          <w:rFonts w:asciiTheme="majorHAnsi" w:hAnsiTheme="majorHAnsi"/>
          <w:color w:val="auto"/>
          <w:sz w:val="20"/>
        </w:rPr>
        <w:t>es responsable</w:t>
      </w:r>
      <w:r w:rsidR="00893BD0" w:rsidRPr="00C764F1">
        <w:rPr>
          <w:rFonts w:asciiTheme="majorHAnsi" w:hAnsiTheme="majorHAnsi"/>
          <w:color w:val="auto"/>
          <w:sz w:val="20"/>
        </w:rPr>
        <w:t xml:space="preserve"> </w:t>
      </w:r>
      <w:r w:rsidR="00AA7E79" w:rsidRPr="00C764F1">
        <w:rPr>
          <w:rFonts w:asciiTheme="majorHAnsi" w:hAnsiTheme="majorHAnsi"/>
          <w:color w:val="auto"/>
          <w:sz w:val="20"/>
        </w:rPr>
        <w:t>de la violación</w:t>
      </w:r>
      <w:r w:rsidR="00893BD0" w:rsidRPr="00C764F1">
        <w:rPr>
          <w:rFonts w:asciiTheme="majorHAnsi" w:hAnsiTheme="majorHAnsi"/>
          <w:color w:val="auto"/>
          <w:sz w:val="20"/>
        </w:rPr>
        <w:t xml:space="preserve"> </w:t>
      </w:r>
      <w:r w:rsidR="00AA7E79" w:rsidRPr="00C764F1">
        <w:rPr>
          <w:rFonts w:asciiTheme="majorHAnsi" w:hAnsiTheme="majorHAnsi"/>
          <w:color w:val="auto"/>
          <w:sz w:val="20"/>
        </w:rPr>
        <w:t>de los derechos a la</w:t>
      </w:r>
      <w:r w:rsidR="00893BD0" w:rsidRPr="00C764F1">
        <w:rPr>
          <w:rFonts w:asciiTheme="majorHAnsi" w:hAnsiTheme="majorHAnsi"/>
          <w:color w:val="auto"/>
          <w:sz w:val="20"/>
        </w:rPr>
        <w:t xml:space="preserve"> </w:t>
      </w:r>
      <w:r w:rsidR="00333A05" w:rsidRPr="00C764F1">
        <w:rPr>
          <w:rFonts w:asciiTheme="majorHAnsi" w:hAnsiTheme="majorHAnsi"/>
          <w:color w:val="auto"/>
          <w:sz w:val="20"/>
        </w:rPr>
        <w:t>igualdad ante la ley</w:t>
      </w:r>
      <w:r w:rsidR="003A1E02" w:rsidRPr="00C764F1">
        <w:rPr>
          <w:rFonts w:asciiTheme="majorHAnsi" w:hAnsiTheme="majorHAnsi"/>
          <w:color w:val="auto"/>
          <w:sz w:val="20"/>
        </w:rPr>
        <w:t xml:space="preserve"> </w:t>
      </w:r>
      <w:r w:rsidR="00AA7E79" w:rsidRPr="00C764F1">
        <w:rPr>
          <w:rFonts w:asciiTheme="majorHAnsi" w:hAnsiTheme="majorHAnsi"/>
          <w:color w:val="auto"/>
          <w:sz w:val="20"/>
        </w:rPr>
        <w:t xml:space="preserve">y a un </w:t>
      </w:r>
      <w:r w:rsidR="00333A05" w:rsidRPr="00C764F1">
        <w:rPr>
          <w:rFonts w:asciiTheme="majorHAnsi" w:hAnsiTheme="majorHAnsi"/>
          <w:color w:val="auto"/>
          <w:sz w:val="20"/>
        </w:rPr>
        <w:t>recurso efectivo</w:t>
      </w:r>
      <w:r w:rsidR="00893BD0" w:rsidRPr="00C764F1">
        <w:rPr>
          <w:rFonts w:asciiTheme="majorHAnsi" w:hAnsiTheme="majorHAnsi"/>
          <w:color w:val="auto"/>
          <w:sz w:val="20"/>
        </w:rPr>
        <w:t xml:space="preserve"> establ</w:t>
      </w:r>
      <w:r w:rsidR="00AA7E79" w:rsidRPr="00C764F1">
        <w:rPr>
          <w:rFonts w:asciiTheme="majorHAnsi" w:hAnsiTheme="majorHAnsi"/>
          <w:color w:val="auto"/>
          <w:sz w:val="20"/>
        </w:rPr>
        <w:t xml:space="preserve">ecidos en los artículos </w:t>
      </w:r>
      <w:r w:rsidR="003A1E02" w:rsidRPr="00C764F1">
        <w:rPr>
          <w:rFonts w:asciiTheme="majorHAnsi" w:hAnsiTheme="majorHAnsi"/>
          <w:color w:val="auto"/>
          <w:sz w:val="20"/>
        </w:rPr>
        <w:t xml:space="preserve">II </w:t>
      </w:r>
      <w:r w:rsidR="00AA7E79" w:rsidRPr="00C764F1">
        <w:rPr>
          <w:rFonts w:asciiTheme="majorHAnsi" w:hAnsiTheme="majorHAnsi"/>
          <w:color w:val="auto"/>
          <w:sz w:val="20"/>
        </w:rPr>
        <w:t>y</w:t>
      </w:r>
      <w:r w:rsidR="003A1E02" w:rsidRPr="00C764F1">
        <w:rPr>
          <w:rFonts w:asciiTheme="majorHAnsi" w:hAnsiTheme="majorHAnsi"/>
          <w:color w:val="auto"/>
          <w:sz w:val="20"/>
        </w:rPr>
        <w:t xml:space="preserve"> XVIII</w:t>
      </w:r>
      <w:r w:rsidR="00893BD0" w:rsidRPr="00C764F1">
        <w:rPr>
          <w:rFonts w:asciiTheme="majorHAnsi" w:hAnsiTheme="majorHAnsi"/>
          <w:color w:val="auto"/>
          <w:sz w:val="20"/>
        </w:rPr>
        <w:t xml:space="preserve"> </w:t>
      </w:r>
      <w:r w:rsidR="00AA7E79" w:rsidRPr="00C764F1">
        <w:rPr>
          <w:rFonts w:asciiTheme="majorHAnsi" w:hAnsiTheme="majorHAnsi"/>
          <w:color w:val="auto"/>
          <w:sz w:val="20"/>
        </w:rPr>
        <w:t xml:space="preserve">de la </w:t>
      </w:r>
      <w:r w:rsidR="005B1600" w:rsidRPr="00C764F1">
        <w:rPr>
          <w:rFonts w:asciiTheme="majorHAnsi" w:hAnsiTheme="majorHAnsi"/>
          <w:color w:val="auto"/>
          <w:sz w:val="20"/>
        </w:rPr>
        <w:t>Declaración Americana</w:t>
      </w:r>
      <w:r w:rsidR="00893BD0" w:rsidRPr="00C764F1">
        <w:rPr>
          <w:rFonts w:asciiTheme="majorHAnsi" w:hAnsiTheme="majorHAnsi"/>
          <w:color w:val="auto"/>
          <w:sz w:val="20"/>
        </w:rPr>
        <w:t xml:space="preserve">, </w:t>
      </w:r>
      <w:r w:rsidR="00AA7E79" w:rsidRPr="00C764F1">
        <w:rPr>
          <w:rFonts w:asciiTheme="majorHAnsi" w:hAnsiTheme="majorHAnsi"/>
          <w:color w:val="auto"/>
          <w:sz w:val="20"/>
        </w:rPr>
        <w:t xml:space="preserve">en detrimento de </w:t>
      </w:r>
      <w:r w:rsidR="003A1E02" w:rsidRPr="00C764F1">
        <w:rPr>
          <w:rFonts w:asciiTheme="majorHAnsi" w:hAnsiTheme="majorHAnsi"/>
          <w:color w:val="auto"/>
          <w:sz w:val="20"/>
        </w:rPr>
        <w:t>Isamu Carlos, Kenichi Javier</w:t>
      </w:r>
      <w:r w:rsidR="00AA7E79" w:rsidRPr="00C764F1">
        <w:rPr>
          <w:rFonts w:asciiTheme="majorHAnsi" w:hAnsiTheme="majorHAnsi"/>
          <w:color w:val="auto"/>
          <w:sz w:val="20"/>
        </w:rPr>
        <w:t xml:space="preserve"> y </w:t>
      </w:r>
      <w:r w:rsidR="003A1E02" w:rsidRPr="00C764F1">
        <w:rPr>
          <w:rFonts w:asciiTheme="majorHAnsi" w:hAnsiTheme="majorHAnsi"/>
          <w:color w:val="auto"/>
          <w:sz w:val="20"/>
        </w:rPr>
        <w:t>Takeshi Jorge Shibayama</w:t>
      </w:r>
      <w:r w:rsidR="00893BD0" w:rsidRPr="00C764F1">
        <w:rPr>
          <w:rFonts w:asciiTheme="majorHAnsi" w:hAnsiTheme="majorHAnsi"/>
          <w:color w:val="auto"/>
          <w:sz w:val="20"/>
        </w:rPr>
        <w:t>.</w:t>
      </w:r>
      <w:r w:rsidR="0073631B" w:rsidRPr="00C764F1">
        <w:rPr>
          <w:rFonts w:asciiTheme="majorHAnsi" w:hAnsiTheme="majorHAnsi"/>
          <w:color w:val="auto"/>
          <w:sz w:val="20"/>
        </w:rPr>
        <w:t xml:space="preserve"> </w:t>
      </w:r>
    </w:p>
    <w:p w14:paraId="46B7F82C" w14:textId="77777777" w:rsidR="006C0ACF" w:rsidRPr="00C764F1" w:rsidRDefault="006C0ACF" w:rsidP="006C0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auto"/>
          <w:sz w:val="20"/>
        </w:rPr>
      </w:pPr>
    </w:p>
    <w:p w14:paraId="1AB87AFD" w14:textId="77777777" w:rsidR="003B0BE8" w:rsidRPr="00C764F1" w:rsidRDefault="003B0BE8" w:rsidP="003B0BE8">
      <w:pPr>
        <w:pStyle w:val="Heading1"/>
        <w:ind w:left="1440" w:hanging="810"/>
      </w:pPr>
      <w:bookmarkStart w:id="22" w:name="_Toc27473295"/>
      <w:r w:rsidRPr="00C764F1">
        <w:t>ACTUACIONES POSTERIORES AL INFORME No. 154/18</w:t>
      </w:r>
      <w:bookmarkEnd w:id="22"/>
    </w:p>
    <w:p w14:paraId="32530EEF" w14:textId="77777777" w:rsidR="003B0BE8" w:rsidRPr="00C764F1" w:rsidRDefault="003B0BE8" w:rsidP="003B0BE8">
      <w:pPr>
        <w:rPr>
          <w:lang w:val="es-ES_tradnl"/>
        </w:rPr>
      </w:pPr>
    </w:p>
    <w:p w14:paraId="3770A431" w14:textId="77777777" w:rsidR="003B0BE8" w:rsidRPr="00C764F1" w:rsidRDefault="003B0BE8" w:rsidP="00D47899">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C764F1">
        <w:rPr>
          <w:rFonts w:asciiTheme="majorHAnsi" w:hAnsiTheme="majorHAnsi"/>
          <w:color w:val="auto"/>
          <w:sz w:val="20"/>
          <w:lang w:val="es-ES_tradnl"/>
        </w:rPr>
        <w:t>El 7 de diciembre de 2018, durante su 170 periodo de sesiones, la Comisión aprobó el Informe de Fondo No. 154/1</w:t>
      </w:r>
      <w:r w:rsidR="00470F46" w:rsidRPr="00C764F1">
        <w:rPr>
          <w:rFonts w:asciiTheme="majorHAnsi" w:hAnsiTheme="majorHAnsi"/>
          <w:color w:val="auto"/>
          <w:sz w:val="20"/>
          <w:lang w:val="es-ES_tradnl"/>
        </w:rPr>
        <w:t>8</w:t>
      </w:r>
      <w:r w:rsidRPr="00C764F1">
        <w:rPr>
          <w:rFonts w:asciiTheme="majorHAnsi" w:hAnsiTheme="majorHAnsi"/>
          <w:color w:val="auto"/>
          <w:sz w:val="20"/>
          <w:lang w:val="es-ES_tradnl"/>
        </w:rPr>
        <w:t xml:space="preserve">, con las siguientes recomendaciones al Estado: </w:t>
      </w:r>
    </w:p>
    <w:p w14:paraId="7757BC92" w14:textId="77777777" w:rsidR="00D47899" w:rsidRPr="00C764F1" w:rsidRDefault="00D47899" w:rsidP="00D47899">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auto"/>
          <w:sz w:val="20"/>
        </w:rPr>
      </w:pPr>
    </w:p>
    <w:p w14:paraId="7BEA25E5" w14:textId="77777777" w:rsidR="003B0BE8" w:rsidRPr="00DB5BAC" w:rsidRDefault="003B0BE8" w:rsidP="00D47899">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hanging="90"/>
        <w:jc w:val="both"/>
        <w:rPr>
          <w:rFonts w:eastAsia="Times New Roman" w:cs="Tahoma"/>
          <w:color w:val="auto"/>
          <w:sz w:val="20"/>
          <w:szCs w:val="20"/>
          <w:bdr w:val="none" w:sz="0" w:space="0" w:color="auto"/>
          <w:lang w:val="es-ES"/>
        </w:rPr>
      </w:pPr>
      <w:r w:rsidRPr="00C764F1">
        <w:rPr>
          <w:rFonts w:eastAsia="Times New Roman" w:cs="Tahoma"/>
          <w:sz w:val="20"/>
          <w:szCs w:val="20"/>
          <w:bdr w:val="none" w:sz="0" w:space="0" w:color="auto"/>
          <w:lang w:val="es-ES"/>
        </w:rPr>
        <w:t xml:space="preserve">Reparar integralmente las violaciones de derechos humanos declaradas en el presente informe tanto en el aspecto material como inmaterial. El Estado deberá adoptar las medidas de compensación económica y satisfacción. </w:t>
      </w:r>
      <w:r w:rsidRPr="00C764F1">
        <w:rPr>
          <w:rFonts w:eastAsia="Times New Roman" w:cs="Tahoma"/>
          <w:color w:val="auto"/>
          <w:sz w:val="20"/>
          <w:szCs w:val="20"/>
          <w:bdr w:val="none" w:sz="0" w:space="0" w:color="auto"/>
          <w:lang w:val="es-ES"/>
        </w:rPr>
        <w:t>En ese sentido, el Estado</w:t>
      </w:r>
      <w:r w:rsidRPr="00DB5BAC">
        <w:rPr>
          <w:rFonts w:eastAsia="Times New Roman" w:cs="Tahoma"/>
          <w:color w:val="auto"/>
          <w:sz w:val="20"/>
          <w:szCs w:val="20"/>
          <w:bdr w:val="none" w:sz="0" w:space="0" w:color="auto"/>
          <w:lang w:val="es-ES"/>
        </w:rPr>
        <w:t xml:space="preserve"> debería tener en cuenta las reparaciones solicitadas por </w:t>
      </w:r>
      <w:r>
        <w:rPr>
          <w:rFonts w:eastAsia="Times New Roman" w:cs="Tahoma"/>
          <w:color w:val="auto"/>
          <w:sz w:val="20"/>
          <w:szCs w:val="20"/>
          <w:bdr w:val="none" w:sz="0" w:space="0" w:color="auto"/>
          <w:lang w:val="es-ES"/>
        </w:rPr>
        <w:t>la parte peticionaria</w:t>
      </w:r>
      <w:r w:rsidRPr="00DB5BAC">
        <w:rPr>
          <w:rFonts w:eastAsia="Times New Roman" w:cs="Tahoma"/>
          <w:color w:val="auto"/>
          <w:sz w:val="20"/>
          <w:szCs w:val="20"/>
          <w:bdr w:val="none" w:sz="0" w:space="0" w:color="auto"/>
          <w:lang w:val="es-ES"/>
        </w:rPr>
        <w:t xml:space="preserve"> cuando las partes lleguen a un acuerdo con respecto a los que constituye una reparación integral en este caso;</w:t>
      </w:r>
    </w:p>
    <w:p w14:paraId="60BCC1F1" w14:textId="77777777" w:rsidR="003B0BE8" w:rsidRPr="00DB5BAC" w:rsidRDefault="003B0BE8" w:rsidP="00D478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hanging="90"/>
        <w:jc w:val="both"/>
        <w:rPr>
          <w:rFonts w:eastAsia="Times New Roman" w:cs="Tahoma"/>
          <w:color w:val="auto"/>
          <w:sz w:val="20"/>
          <w:szCs w:val="20"/>
          <w:bdr w:val="none" w:sz="0" w:space="0" w:color="auto"/>
          <w:lang w:val="es-ES"/>
        </w:rPr>
      </w:pPr>
    </w:p>
    <w:p w14:paraId="44692F37" w14:textId="77777777" w:rsidR="003B0BE8" w:rsidRPr="00DB5BAC" w:rsidRDefault="003B0BE8" w:rsidP="00D47899">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hanging="90"/>
        <w:jc w:val="both"/>
        <w:rPr>
          <w:rFonts w:eastAsia="Times New Roman" w:cs="Tahoma"/>
          <w:color w:val="auto"/>
          <w:sz w:val="20"/>
          <w:szCs w:val="20"/>
          <w:bdr w:val="none" w:sz="0" w:space="0" w:color="auto"/>
          <w:lang w:val="es-ES"/>
        </w:rPr>
      </w:pPr>
      <w:r>
        <w:rPr>
          <w:rFonts w:eastAsia="Times New Roman" w:cs="Tahoma"/>
          <w:color w:val="auto"/>
          <w:sz w:val="20"/>
          <w:szCs w:val="20"/>
          <w:bdr w:val="none" w:sz="0" w:space="0" w:color="auto"/>
          <w:lang w:val="es-ES"/>
        </w:rPr>
        <w:t>Tomar</w:t>
      </w:r>
      <w:r w:rsidRPr="00DB5BAC">
        <w:rPr>
          <w:rFonts w:eastAsia="Times New Roman" w:cs="Tahoma"/>
          <w:color w:val="auto"/>
          <w:sz w:val="20"/>
          <w:szCs w:val="20"/>
          <w:bdr w:val="none" w:sz="0" w:space="0" w:color="auto"/>
          <w:lang w:val="es-ES"/>
        </w:rPr>
        <w:t xml:space="preserve"> las medidas necesarias para asegurar la plena divulgación de la información del gobierno sobre el programa de deportación e internamiento de japoneses latinoamericanos durante la Segunda Guerra Mundial y sobre el destino de las personas sometidas a este programa.</w:t>
      </w:r>
    </w:p>
    <w:p w14:paraId="124523B4" w14:textId="77777777" w:rsidR="003B0BE8" w:rsidRPr="00DB5BAC" w:rsidRDefault="003B0BE8" w:rsidP="003B0BE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auto"/>
          <w:sz w:val="20"/>
        </w:rPr>
      </w:pPr>
    </w:p>
    <w:p w14:paraId="01777840" w14:textId="77777777" w:rsidR="00C764F1" w:rsidRPr="00F27BD9" w:rsidRDefault="00D47899" w:rsidP="00D47899">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lang w:val="es-ES_tradnl"/>
        </w:rPr>
      </w:pPr>
      <w:r w:rsidRPr="000A4A91">
        <w:rPr>
          <w:rFonts w:asciiTheme="majorHAnsi" w:hAnsiTheme="majorHAnsi"/>
          <w:color w:val="auto"/>
          <w:sz w:val="20"/>
          <w:lang w:val="es-ES_tradnl"/>
        </w:rPr>
        <w:t xml:space="preserve">El 30 de enero de 2019, </w:t>
      </w:r>
      <w:r w:rsidRPr="00F27BD9">
        <w:rPr>
          <w:rFonts w:asciiTheme="majorHAnsi" w:hAnsiTheme="majorHAnsi"/>
          <w:color w:val="auto"/>
          <w:sz w:val="20"/>
          <w:lang w:val="es-ES_tradnl"/>
        </w:rPr>
        <w:t xml:space="preserve">la Comisión transmitió el informe al Estado con un plazo de dos meses para que presentara información respecto de las medidas adoptadas para cumplir con las recomendaciones establecidas en dicho informe. </w:t>
      </w:r>
      <w:r w:rsidR="00C764F1" w:rsidRPr="00F27BD9">
        <w:rPr>
          <w:rFonts w:asciiTheme="majorHAnsi" w:hAnsiTheme="majorHAnsi"/>
          <w:color w:val="auto"/>
          <w:sz w:val="20"/>
          <w:lang w:val="es-ES_tradnl"/>
        </w:rPr>
        <w:t>La Comisión no recibió ninguna respuesta de Estados Unidos ni de los peticionarios respecto del Informe 154/18</w:t>
      </w:r>
      <w:r w:rsidRPr="00F27BD9">
        <w:rPr>
          <w:rFonts w:asciiTheme="majorHAnsi" w:hAnsiTheme="majorHAnsi"/>
          <w:color w:val="auto"/>
          <w:sz w:val="20"/>
          <w:lang w:val="es-ES_tradnl"/>
        </w:rPr>
        <w:t>.</w:t>
      </w:r>
    </w:p>
    <w:p w14:paraId="5F4CEA24" w14:textId="77777777" w:rsidR="00C764F1" w:rsidRPr="00F27BD9" w:rsidRDefault="00C764F1" w:rsidP="00C764F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auto"/>
          <w:sz w:val="20"/>
          <w:lang w:val="es-ES_tradnl"/>
        </w:rPr>
      </w:pPr>
    </w:p>
    <w:p w14:paraId="24BF5E71" w14:textId="77777777" w:rsidR="00C764F1" w:rsidRPr="00F27BD9" w:rsidRDefault="00C764F1" w:rsidP="00C764F1">
      <w:pPr>
        <w:pStyle w:val="Heading1"/>
        <w:ind w:left="1440" w:hanging="810"/>
      </w:pPr>
      <w:bookmarkStart w:id="23" w:name="_Toc27473296"/>
      <w:r w:rsidRPr="00F27BD9">
        <w:t>ACTUACIO</w:t>
      </w:r>
      <w:r w:rsidR="000A4A91" w:rsidRPr="00F27BD9">
        <w:t>NES POSTERIORES AL INFORME No. 99</w:t>
      </w:r>
      <w:r w:rsidRPr="00F27BD9">
        <w:t>/1</w:t>
      </w:r>
      <w:r w:rsidR="000A4A91" w:rsidRPr="00F27BD9">
        <w:t>9</w:t>
      </w:r>
      <w:bookmarkEnd w:id="23"/>
    </w:p>
    <w:p w14:paraId="5C96E18D" w14:textId="77777777" w:rsidR="00C764F1" w:rsidRPr="00F27BD9" w:rsidRDefault="00C764F1" w:rsidP="00C764F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auto"/>
          <w:sz w:val="20"/>
          <w:lang w:val="es-ES_tradnl"/>
        </w:rPr>
      </w:pPr>
    </w:p>
    <w:p w14:paraId="2357C986" w14:textId="77777777" w:rsidR="00D47899" w:rsidRPr="00F27BD9" w:rsidRDefault="00D47899" w:rsidP="00D47899">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lang w:val="es-ES_tradnl"/>
        </w:rPr>
      </w:pPr>
      <w:r w:rsidRPr="00F27BD9">
        <w:rPr>
          <w:rFonts w:asciiTheme="majorHAnsi" w:hAnsiTheme="majorHAnsi"/>
          <w:color w:val="auto"/>
          <w:sz w:val="20"/>
          <w:lang w:val="es-ES_tradnl"/>
        </w:rPr>
        <w:t xml:space="preserve"> </w:t>
      </w:r>
      <w:r w:rsidR="00C764F1" w:rsidRPr="00F27BD9">
        <w:rPr>
          <w:rFonts w:asciiTheme="majorHAnsi" w:hAnsiTheme="majorHAnsi"/>
          <w:color w:val="auto"/>
          <w:sz w:val="20"/>
          <w:lang w:val="es-ES_tradnl"/>
        </w:rPr>
        <w:t xml:space="preserve">El 21 de junio de 2019, </w:t>
      </w:r>
      <w:r w:rsidR="000A4A91" w:rsidRPr="00F27BD9">
        <w:rPr>
          <w:rFonts w:asciiTheme="majorHAnsi" w:hAnsiTheme="majorHAnsi"/>
          <w:color w:val="auto"/>
          <w:sz w:val="20"/>
          <w:lang w:val="es-ES_tradnl"/>
        </w:rPr>
        <w:t xml:space="preserve">la CIDH aprobó el Informe de Fondo Final No. 99/19, en el que reiteró al Estado todas sus recomendaciones. El 3 de julio de 2019, la Comisión trasladó el informe al Estado y a la parte peticionaria, con un plazo de dos meses para informar sobre las medidas adoptadas para cumplir con las recomendaciones. A la fecha, la Comisión no ha recibido respuesta alguna de Estados Unidos ni de los peticionarios, con respecto al Informe No. 99/19. </w:t>
      </w:r>
    </w:p>
    <w:p w14:paraId="79DAD159" w14:textId="77777777" w:rsidR="003B0BE8" w:rsidRPr="003B0BE8" w:rsidRDefault="003B0BE8" w:rsidP="003B0BE8"/>
    <w:p w14:paraId="5A9E41F6" w14:textId="77777777" w:rsidR="003B0BE8" w:rsidRPr="003B0BE8" w:rsidRDefault="003B0BE8" w:rsidP="003B0BE8">
      <w:pPr>
        <w:rPr>
          <w:lang w:val="es-ES_tradnl"/>
        </w:rPr>
      </w:pPr>
    </w:p>
    <w:p w14:paraId="04555350" w14:textId="77777777" w:rsidR="00D12193" w:rsidRPr="00F27BD9" w:rsidRDefault="001E28D1" w:rsidP="003B0BE8">
      <w:pPr>
        <w:pStyle w:val="Heading1"/>
        <w:ind w:left="1440" w:hanging="810"/>
        <w:rPr>
          <w:lang w:val="es-ES"/>
        </w:rPr>
      </w:pPr>
      <w:bookmarkStart w:id="24" w:name="_Toc27473297"/>
      <w:r w:rsidRPr="00F27BD9">
        <w:rPr>
          <w:lang w:val="es-ES"/>
        </w:rPr>
        <w:t>CONCLUSION</w:t>
      </w:r>
      <w:r w:rsidR="000648EF" w:rsidRPr="00F27BD9">
        <w:rPr>
          <w:lang w:val="es-ES"/>
        </w:rPr>
        <w:t xml:space="preserve">ES Y </w:t>
      </w:r>
      <w:r w:rsidRPr="00F27BD9">
        <w:rPr>
          <w:lang w:val="es-ES"/>
        </w:rPr>
        <w:t>RECOM</w:t>
      </w:r>
      <w:r w:rsidR="000648EF" w:rsidRPr="00F27BD9">
        <w:rPr>
          <w:lang w:val="es-ES"/>
        </w:rPr>
        <w:t>ENDACIONES</w:t>
      </w:r>
      <w:r w:rsidR="00CD5502" w:rsidRPr="00F27BD9">
        <w:rPr>
          <w:lang w:val="es-ES"/>
        </w:rPr>
        <w:t xml:space="preserve"> FINALES</w:t>
      </w:r>
      <w:bookmarkEnd w:id="24"/>
    </w:p>
    <w:p w14:paraId="5869C87A" w14:textId="77777777" w:rsidR="00D12193" w:rsidRPr="00DB5BAC" w:rsidRDefault="00D12193" w:rsidP="00D12193">
      <w:pPr>
        <w:suppressAutoHyphens/>
        <w:rPr>
          <w:rFonts w:asciiTheme="majorHAnsi" w:hAnsiTheme="majorHAnsi"/>
          <w:b/>
          <w:sz w:val="20"/>
        </w:rPr>
      </w:pPr>
    </w:p>
    <w:p w14:paraId="6D3CD4CC" w14:textId="77777777" w:rsidR="00CD5502" w:rsidRPr="00F27BD9" w:rsidRDefault="00CD5502" w:rsidP="00CD5502">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F27BD9">
        <w:rPr>
          <w:rFonts w:asciiTheme="majorHAnsi" w:hAnsiTheme="majorHAnsi"/>
          <w:color w:val="auto"/>
          <w:sz w:val="20"/>
        </w:rPr>
        <w:t xml:space="preserve">De la información disponible a la fecha de aprobación del presente informe, la Comisión advierte que el Estado no ha cumplido con las recomendaciones establecidas en su informe de fondo. </w:t>
      </w:r>
    </w:p>
    <w:p w14:paraId="51BC8634" w14:textId="77777777" w:rsidR="00CD5502" w:rsidRPr="00F27BD9" w:rsidRDefault="00CD5502" w:rsidP="00CD55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color w:val="auto"/>
          <w:sz w:val="20"/>
        </w:rPr>
      </w:pPr>
    </w:p>
    <w:p w14:paraId="4875488A" w14:textId="77777777" w:rsidR="003A1E02" w:rsidRPr="00F27BD9" w:rsidRDefault="00CD5502" w:rsidP="00CD5502">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F27BD9">
        <w:rPr>
          <w:rFonts w:asciiTheme="majorHAnsi" w:hAnsiTheme="majorHAnsi"/>
          <w:color w:val="auto"/>
          <w:sz w:val="20"/>
        </w:rPr>
        <w:t xml:space="preserve">Sobre </w:t>
      </w:r>
      <w:r w:rsidR="005B1600" w:rsidRPr="00F27BD9">
        <w:rPr>
          <w:rFonts w:asciiTheme="majorHAnsi" w:hAnsiTheme="majorHAnsi"/>
          <w:color w:val="auto"/>
          <w:sz w:val="20"/>
        </w:rPr>
        <w:t>la base de sus determinaciones jurídicas y fácticas</w:t>
      </w:r>
      <w:r w:rsidR="003A1E02" w:rsidRPr="00F27BD9">
        <w:rPr>
          <w:rFonts w:asciiTheme="majorHAnsi" w:hAnsiTheme="majorHAnsi"/>
          <w:color w:val="auto"/>
          <w:sz w:val="20"/>
        </w:rPr>
        <w:t xml:space="preserve">, </w:t>
      </w:r>
      <w:r w:rsidR="000648EF" w:rsidRPr="00F27BD9">
        <w:rPr>
          <w:rFonts w:asciiTheme="majorHAnsi" w:hAnsiTheme="majorHAnsi"/>
          <w:color w:val="auto"/>
          <w:sz w:val="20"/>
        </w:rPr>
        <w:t>la Comisión Interamericana</w:t>
      </w:r>
      <w:r w:rsidR="003A1E02" w:rsidRPr="00F27BD9">
        <w:rPr>
          <w:rFonts w:asciiTheme="majorHAnsi" w:hAnsiTheme="majorHAnsi"/>
          <w:color w:val="auto"/>
          <w:sz w:val="20"/>
        </w:rPr>
        <w:t xml:space="preserve"> conclu</w:t>
      </w:r>
      <w:r w:rsidR="005B1600" w:rsidRPr="00F27BD9">
        <w:rPr>
          <w:rFonts w:asciiTheme="majorHAnsi" w:hAnsiTheme="majorHAnsi"/>
          <w:color w:val="auto"/>
          <w:sz w:val="20"/>
        </w:rPr>
        <w:t xml:space="preserve">ye que </w:t>
      </w:r>
      <w:r w:rsidR="000648EF" w:rsidRPr="00F27BD9">
        <w:rPr>
          <w:rFonts w:asciiTheme="majorHAnsi" w:hAnsiTheme="majorHAnsi"/>
          <w:color w:val="auto"/>
          <w:sz w:val="20"/>
        </w:rPr>
        <w:t>el Estado</w:t>
      </w:r>
      <w:r w:rsidR="003A1E02" w:rsidRPr="00F27BD9">
        <w:rPr>
          <w:rFonts w:asciiTheme="majorHAnsi" w:hAnsiTheme="majorHAnsi"/>
          <w:color w:val="auto"/>
          <w:sz w:val="20"/>
        </w:rPr>
        <w:t xml:space="preserve"> </w:t>
      </w:r>
      <w:r w:rsidR="005B1600" w:rsidRPr="00F27BD9">
        <w:rPr>
          <w:rFonts w:asciiTheme="majorHAnsi" w:hAnsiTheme="majorHAnsi"/>
          <w:color w:val="auto"/>
          <w:sz w:val="20"/>
        </w:rPr>
        <w:t xml:space="preserve">es responsable de la violación de los artículos </w:t>
      </w:r>
      <w:r w:rsidR="003A1E02" w:rsidRPr="00F27BD9">
        <w:rPr>
          <w:rFonts w:asciiTheme="majorHAnsi" w:hAnsiTheme="majorHAnsi"/>
          <w:color w:val="auto"/>
          <w:sz w:val="20"/>
        </w:rPr>
        <w:t>II (</w:t>
      </w:r>
      <w:r w:rsidR="00333A05" w:rsidRPr="00F27BD9">
        <w:rPr>
          <w:rFonts w:asciiTheme="majorHAnsi" w:hAnsiTheme="majorHAnsi"/>
          <w:color w:val="auto"/>
          <w:sz w:val="20"/>
        </w:rPr>
        <w:t>igualdad ante la ley</w:t>
      </w:r>
      <w:r w:rsidR="003A1E02" w:rsidRPr="00F27BD9">
        <w:rPr>
          <w:rFonts w:asciiTheme="majorHAnsi" w:hAnsiTheme="majorHAnsi"/>
          <w:color w:val="auto"/>
          <w:sz w:val="20"/>
        </w:rPr>
        <w:t>)</w:t>
      </w:r>
      <w:r w:rsidR="00F87211" w:rsidRPr="00F27BD9">
        <w:rPr>
          <w:rFonts w:asciiTheme="majorHAnsi" w:hAnsiTheme="majorHAnsi"/>
          <w:color w:val="auto"/>
          <w:sz w:val="20"/>
        </w:rPr>
        <w:t xml:space="preserve"> </w:t>
      </w:r>
      <w:r w:rsidR="005B1600" w:rsidRPr="00F27BD9">
        <w:rPr>
          <w:rFonts w:asciiTheme="majorHAnsi" w:hAnsiTheme="majorHAnsi"/>
          <w:color w:val="auto"/>
          <w:sz w:val="20"/>
        </w:rPr>
        <w:t>y</w:t>
      </w:r>
      <w:r w:rsidR="003A1E02" w:rsidRPr="00F27BD9">
        <w:rPr>
          <w:rFonts w:asciiTheme="majorHAnsi" w:hAnsiTheme="majorHAnsi"/>
          <w:color w:val="auto"/>
          <w:sz w:val="20"/>
        </w:rPr>
        <w:t xml:space="preserve"> XVIII (</w:t>
      </w:r>
      <w:r w:rsidR="005B1600" w:rsidRPr="00F27BD9">
        <w:rPr>
          <w:rFonts w:asciiTheme="majorHAnsi" w:hAnsiTheme="majorHAnsi"/>
          <w:color w:val="auto"/>
          <w:sz w:val="20"/>
        </w:rPr>
        <w:t>derecho de justicia</w:t>
      </w:r>
      <w:r w:rsidR="003A1E02" w:rsidRPr="00F27BD9">
        <w:rPr>
          <w:rFonts w:asciiTheme="majorHAnsi" w:hAnsiTheme="majorHAnsi"/>
          <w:color w:val="auto"/>
          <w:sz w:val="20"/>
        </w:rPr>
        <w:t>)</w:t>
      </w:r>
      <w:r w:rsidR="005650D1" w:rsidRPr="00F27BD9">
        <w:rPr>
          <w:rFonts w:asciiTheme="majorHAnsi" w:hAnsiTheme="majorHAnsi"/>
          <w:color w:val="auto"/>
          <w:sz w:val="20"/>
        </w:rPr>
        <w:t xml:space="preserve"> </w:t>
      </w:r>
      <w:r w:rsidR="005B1600" w:rsidRPr="00F27BD9">
        <w:rPr>
          <w:rFonts w:asciiTheme="majorHAnsi" w:hAnsiTheme="majorHAnsi"/>
          <w:color w:val="auto"/>
          <w:sz w:val="20"/>
        </w:rPr>
        <w:t>de la Declaración Americana</w:t>
      </w:r>
      <w:r w:rsidR="003A1E02" w:rsidRPr="00F27BD9">
        <w:rPr>
          <w:rFonts w:asciiTheme="majorHAnsi" w:hAnsiTheme="majorHAnsi"/>
          <w:color w:val="auto"/>
          <w:sz w:val="20"/>
        </w:rPr>
        <w:t xml:space="preserve">. </w:t>
      </w:r>
      <w:r w:rsidR="000A4A91" w:rsidRPr="00F27BD9">
        <w:rPr>
          <w:rFonts w:asciiTheme="majorHAnsi" w:hAnsiTheme="majorHAnsi"/>
          <w:color w:val="auto"/>
          <w:sz w:val="20"/>
        </w:rPr>
        <w:t>En consecuencia</w:t>
      </w:r>
      <w:r w:rsidR="003A1E02" w:rsidRPr="00F27BD9">
        <w:rPr>
          <w:rFonts w:asciiTheme="majorHAnsi" w:hAnsiTheme="majorHAnsi"/>
          <w:color w:val="auto"/>
          <w:sz w:val="20"/>
        </w:rPr>
        <w:t>:</w:t>
      </w:r>
    </w:p>
    <w:p w14:paraId="566CB331" w14:textId="77777777" w:rsidR="00006896" w:rsidRPr="00F27BD9"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sz w:val="20"/>
        </w:rPr>
      </w:pPr>
    </w:p>
    <w:p w14:paraId="23234F92" w14:textId="77777777" w:rsidR="00006896" w:rsidRPr="00F27BD9" w:rsidRDefault="00006896" w:rsidP="00006896">
      <w:pPr>
        <w:ind w:firstLine="720"/>
        <w:jc w:val="both"/>
        <w:rPr>
          <w:b/>
          <w:sz w:val="20"/>
        </w:rPr>
      </w:pPr>
      <w:r w:rsidRPr="00F27BD9">
        <w:rPr>
          <w:b/>
          <w:sz w:val="20"/>
        </w:rPr>
        <w:tab/>
      </w:r>
      <w:r w:rsidR="000648EF" w:rsidRPr="00F27BD9">
        <w:rPr>
          <w:b/>
          <w:sz w:val="20"/>
        </w:rPr>
        <w:t>LA COMISIÓN INTERAMERICANA DE DERECHOS HUMANOS</w:t>
      </w:r>
      <w:r w:rsidR="005B1600" w:rsidRPr="00F27BD9">
        <w:rPr>
          <w:b/>
          <w:sz w:val="20"/>
        </w:rPr>
        <w:t xml:space="preserve"> RE</w:t>
      </w:r>
      <w:r w:rsidR="00CD5502" w:rsidRPr="00F27BD9">
        <w:rPr>
          <w:b/>
          <w:sz w:val="20"/>
        </w:rPr>
        <w:t xml:space="preserve">ITERA </w:t>
      </w:r>
      <w:r w:rsidR="005B1600" w:rsidRPr="00F27BD9">
        <w:rPr>
          <w:b/>
          <w:sz w:val="20"/>
        </w:rPr>
        <w:t xml:space="preserve">A </w:t>
      </w:r>
      <w:r w:rsidR="000648EF" w:rsidRPr="00F27BD9">
        <w:rPr>
          <w:b/>
          <w:sz w:val="20"/>
        </w:rPr>
        <w:t>ESTADOS UNIDOS DE AMÉRICA</w:t>
      </w:r>
      <w:r w:rsidR="000A4A91" w:rsidRPr="00F27BD9">
        <w:rPr>
          <w:b/>
          <w:sz w:val="20"/>
        </w:rPr>
        <w:t xml:space="preserve"> LAS SIGUIENTES RECOMENDACIONES</w:t>
      </w:r>
      <w:r w:rsidR="005B1600" w:rsidRPr="00F27BD9">
        <w:rPr>
          <w:b/>
          <w:sz w:val="20"/>
        </w:rPr>
        <w:t>:</w:t>
      </w:r>
    </w:p>
    <w:p w14:paraId="1CB055AE" w14:textId="77777777" w:rsidR="00006896" w:rsidRPr="00F27BD9" w:rsidRDefault="00006896" w:rsidP="00006896">
      <w:pPr>
        <w:ind w:firstLine="720"/>
        <w:jc w:val="both"/>
        <w:rPr>
          <w:b/>
          <w:sz w:val="20"/>
        </w:rPr>
      </w:pPr>
    </w:p>
    <w:p w14:paraId="33D3AC2F" w14:textId="77777777" w:rsidR="00006896" w:rsidRPr="00F27BD9"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rPr>
      </w:pPr>
      <w:r w:rsidRPr="00F27BD9">
        <w:rPr>
          <w:rFonts w:ascii="Helvetica" w:eastAsia="Times New Roman" w:hAnsi="Helvetica"/>
          <w:color w:val="666666"/>
          <w:sz w:val="15"/>
          <w:szCs w:val="15"/>
          <w:bdr w:val="none" w:sz="0" w:space="0" w:color="auto"/>
        </w:rPr>
        <w:t> </w:t>
      </w:r>
    </w:p>
    <w:p w14:paraId="5A8154D9" w14:textId="77777777" w:rsidR="001971BE" w:rsidRPr="00F27BD9" w:rsidRDefault="00F90C70" w:rsidP="00D4789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color w:val="auto"/>
          <w:sz w:val="20"/>
          <w:szCs w:val="20"/>
          <w:bdr w:val="none" w:sz="0" w:space="0" w:color="auto"/>
          <w:lang w:val="es-ES"/>
        </w:rPr>
      </w:pPr>
      <w:r w:rsidRPr="00F27BD9">
        <w:rPr>
          <w:rFonts w:eastAsia="Times New Roman" w:cs="Tahoma"/>
          <w:sz w:val="20"/>
          <w:szCs w:val="20"/>
          <w:bdr w:val="none" w:sz="0" w:space="0" w:color="auto"/>
          <w:lang w:val="es-ES"/>
        </w:rPr>
        <w:lastRenderedPageBreak/>
        <w:t xml:space="preserve">Reparar integralmente las violaciones de derechos humanos declaradas en el presente informe tanto en el aspecto material como inmaterial. El Estado deberá adoptar las medidas de compensación económica y satisfacción. </w:t>
      </w:r>
      <w:r w:rsidR="005C400B" w:rsidRPr="00F27BD9">
        <w:rPr>
          <w:rFonts w:eastAsia="Times New Roman" w:cs="Tahoma"/>
          <w:color w:val="auto"/>
          <w:sz w:val="20"/>
          <w:szCs w:val="20"/>
          <w:bdr w:val="none" w:sz="0" w:space="0" w:color="auto"/>
          <w:lang w:val="es-ES"/>
        </w:rPr>
        <w:t xml:space="preserve">En ese sentido, </w:t>
      </w:r>
      <w:r w:rsidR="000648EF" w:rsidRPr="00F27BD9">
        <w:rPr>
          <w:rFonts w:eastAsia="Times New Roman" w:cs="Tahoma"/>
          <w:color w:val="auto"/>
          <w:sz w:val="20"/>
          <w:szCs w:val="20"/>
          <w:bdr w:val="none" w:sz="0" w:space="0" w:color="auto"/>
          <w:lang w:val="es-ES"/>
        </w:rPr>
        <w:t>el Estado</w:t>
      </w:r>
      <w:r w:rsidR="006F0D8C" w:rsidRPr="00F27BD9">
        <w:rPr>
          <w:rFonts w:eastAsia="Times New Roman" w:cs="Tahoma"/>
          <w:color w:val="auto"/>
          <w:sz w:val="20"/>
          <w:szCs w:val="20"/>
          <w:bdr w:val="none" w:sz="0" w:space="0" w:color="auto"/>
          <w:lang w:val="es-ES"/>
        </w:rPr>
        <w:t xml:space="preserve"> </w:t>
      </w:r>
      <w:r w:rsidR="005C400B" w:rsidRPr="00F27BD9">
        <w:rPr>
          <w:rFonts w:eastAsia="Times New Roman" w:cs="Tahoma"/>
          <w:color w:val="auto"/>
          <w:sz w:val="20"/>
          <w:szCs w:val="20"/>
          <w:bdr w:val="none" w:sz="0" w:space="0" w:color="auto"/>
          <w:lang w:val="es-ES"/>
        </w:rPr>
        <w:t xml:space="preserve">debería tener en cuenta las reparaciones solicitadas por </w:t>
      </w:r>
      <w:r w:rsidRPr="00F27BD9">
        <w:rPr>
          <w:rFonts w:eastAsia="Times New Roman" w:cs="Tahoma"/>
          <w:color w:val="auto"/>
          <w:sz w:val="20"/>
          <w:szCs w:val="20"/>
          <w:bdr w:val="none" w:sz="0" w:space="0" w:color="auto"/>
          <w:lang w:val="es-ES"/>
        </w:rPr>
        <w:t>la parte peticionaria</w:t>
      </w:r>
      <w:r w:rsidR="006F0D8C" w:rsidRPr="00F27BD9">
        <w:rPr>
          <w:rFonts w:eastAsia="Times New Roman" w:cs="Tahoma"/>
          <w:color w:val="auto"/>
          <w:sz w:val="20"/>
          <w:szCs w:val="20"/>
          <w:bdr w:val="none" w:sz="0" w:space="0" w:color="auto"/>
          <w:lang w:val="es-ES"/>
        </w:rPr>
        <w:t xml:space="preserve"> </w:t>
      </w:r>
      <w:r w:rsidR="005C400B" w:rsidRPr="00F27BD9">
        <w:rPr>
          <w:rFonts w:eastAsia="Times New Roman" w:cs="Tahoma"/>
          <w:color w:val="auto"/>
          <w:sz w:val="20"/>
          <w:szCs w:val="20"/>
          <w:bdr w:val="none" w:sz="0" w:space="0" w:color="auto"/>
          <w:lang w:val="es-ES"/>
        </w:rPr>
        <w:t>cuando</w:t>
      </w:r>
      <w:r w:rsidR="006F0D8C" w:rsidRPr="00F27BD9">
        <w:rPr>
          <w:rFonts w:eastAsia="Times New Roman" w:cs="Tahoma"/>
          <w:color w:val="auto"/>
          <w:sz w:val="20"/>
          <w:szCs w:val="20"/>
          <w:bdr w:val="none" w:sz="0" w:space="0" w:color="auto"/>
          <w:lang w:val="es-ES"/>
        </w:rPr>
        <w:t xml:space="preserve"> </w:t>
      </w:r>
      <w:r w:rsidR="00545CB4" w:rsidRPr="00F27BD9">
        <w:rPr>
          <w:rFonts w:eastAsia="Times New Roman" w:cs="Tahoma"/>
          <w:color w:val="auto"/>
          <w:sz w:val="20"/>
          <w:szCs w:val="20"/>
          <w:bdr w:val="none" w:sz="0" w:space="0" w:color="auto"/>
          <w:lang w:val="es-ES"/>
        </w:rPr>
        <w:t>las partes</w:t>
      </w:r>
      <w:r w:rsidR="006F0D8C" w:rsidRPr="00F27BD9">
        <w:rPr>
          <w:rFonts w:eastAsia="Times New Roman" w:cs="Tahoma"/>
          <w:color w:val="auto"/>
          <w:sz w:val="20"/>
          <w:szCs w:val="20"/>
          <w:bdr w:val="none" w:sz="0" w:space="0" w:color="auto"/>
          <w:lang w:val="es-ES"/>
        </w:rPr>
        <w:t xml:space="preserve"> </w:t>
      </w:r>
      <w:r w:rsidR="005C400B" w:rsidRPr="00F27BD9">
        <w:rPr>
          <w:rFonts w:eastAsia="Times New Roman" w:cs="Tahoma"/>
          <w:color w:val="auto"/>
          <w:sz w:val="20"/>
          <w:szCs w:val="20"/>
          <w:bdr w:val="none" w:sz="0" w:space="0" w:color="auto"/>
          <w:lang w:val="es-ES"/>
        </w:rPr>
        <w:t>lleguen a un acuerdo con respecto a los que constituye una reparación</w:t>
      </w:r>
      <w:r w:rsidR="00796B30" w:rsidRPr="00F27BD9">
        <w:rPr>
          <w:rFonts w:eastAsia="Times New Roman" w:cs="Tahoma"/>
          <w:color w:val="auto"/>
          <w:sz w:val="20"/>
          <w:szCs w:val="20"/>
          <w:bdr w:val="none" w:sz="0" w:space="0" w:color="auto"/>
          <w:lang w:val="es-ES"/>
        </w:rPr>
        <w:t xml:space="preserve"> integral </w:t>
      </w:r>
      <w:r w:rsidR="005C400B" w:rsidRPr="00F27BD9">
        <w:rPr>
          <w:rFonts w:eastAsia="Times New Roman" w:cs="Tahoma"/>
          <w:color w:val="auto"/>
          <w:sz w:val="20"/>
          <w:szCs w:val="20"/>
          <w:bdr w:val="none" w:sz="0" w:space="0" w:color="auto"/>
          <w:lang w:val="es-ES"/>
        </w:rPr>
        <w:t>en este caso</w:t>
      </w:r>
      <w:r w:rsidR="005B1600" w:rsidRPr="00F27BD9">
        <w:rPr>
          <w:rFonts w:eastAsia="Times New Roman" w:cs="Tahoma"/>
          <w:color w:val="auto"/>
          <w:sz w:val="20"/>
          <w:szCs w:val="20"/>
          <w:bdr w:val="none" w:sz="0" w:space="0" w:color="auto"/>
          <w:lang w:val="es-ES"/>
        </w:rPr>
        <w:t>;</w:t>
      </w:r>
    </w:p>
    <w:p w14:paraId="2EA0F781" w14:textId="77777777" w:rsidR="000C4C2C" w:rsidRPr="00F27BD9" w:rsidRDefault="000C4C2C" w:rsidP="00CF197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color w:val="auto"/>
          <w:sz w:val="20"/>
          <w:szCs w:val="20"/>
          <w:bdr w:val="none" w:sz="0" w:space="0" w:color="auto"/>
          <w:lang w:val="es-ES"/>
        </w:rPr>
      </w:pPr>
    </w:p>
    <w:p w14:paraId="7043CE33" w14:textId="77777777" w:rsidR="000C4C2C" w:rsidRPr="00F27BD9" w:rsidRDefault="00F90C70" w:rsidP="00D4789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color w:val="auto"/>
          <w:sz w:val="20"/>
          <w:szCs w:val="20"/>
          <w:bdr w:val="none" w:sz="0" w:space="0" w:color="auto"/>
          <w:lang w:val="es-ES"/>
        </w:rPr>
      </w:pPr>
      <w:r w:rsidRPr="00F27BD9">
        <w:rPr>
          <w:rFonts w:eastAsia="Times New Roman" w:cs="Tahoma"/>
          <w:color w:val="auto"/>
          <w:sz w:val="20"/>
          <w:szCs w:val="20"/>
          <w:bdr w:val="none" w:sz="0" w:space="0" w:color="auto"/>
          <w:lang w:val="es-ES"/>
        </w:rPr>
        <w:t>Tomar</w:t>
      </w:r>
      <w:r w:rsidR="005C400B" w:rsidRPr="00F27BD9">
        <w:rPr>
          <w:rFonts w:eastAsia="Times New Roman" w:cs="Tahoma"/>
          <w:color w:val="auto"/>
          <w:sz w:val="20"/>
          <w:szCs w:val="20"/>
          <w:bdr w:val="none" w:sz="0" w:space="0" w:color="auto"/>
          <w:lang w:val="es-ES"/>
        </w:rPr>
        <w:t xml:space="preserve"> las medidas necesarias para asegurar la plena divulgación de la información del gobierno sobre el programa de deportación e </w:t>
      </w:r>
      <w:r w:rsidR="00333A05" w:rsidRPr="00F27BD9">
        <w:rPr>
          <w:rFonts w:eastAsia="Times New Roman" w:cs="Tahoma"/>
          <w:color w:val="auto"/>
          <w:sz w:val="20"/>
          <w:szCs w:val="20"/>
          <w:bdr w:val="none" w:sz="0" w:space="0" w:color="auto"/>
          <w:lang w:val="es-ES"/>
        </w:rPr>
        <w:t>internamiento</w:t>
      </w:r>
      <w:r w:rsidR="00CF1970" w:rsidRPr="00F27BD9">
        <w:rPr>
          <w:rFonts w:eastAsia="Times New Roman" w:cs="Tahoma"/>
          <w:color w:val="auto"/>
          <w:sz w:val="20"/>
          <w:szCs w:val="20"/>
          <w:bdr w:val="none" w:sz="0" w:space="0" w:color="auto"/>
          <w:lang w:val="es-ES"/>
        </w:rPr>
        <w:t xml:space="preserve"> </w:t>
      </w:r>
      <w:r w:rsidR="005C400B" w:rsidRPr="00F27BD9">
        <w:rPr>
          <w:rFonts w:eastAsia="Times New Roman" w:cs="Tahoma"/>
          <w:color w:val="auto"/>
          <w:sz w:val="20"/>
          <w:szCs w:val="20"/>
          <w:bdr w:val="none" w:sz="0" w:space="0" w:color="auto"/>
          <w:lang w:val="es-ES"/>
        </w:rPr>
        <w:t>de</w:t>
      </w:r>
      <w:r w:rsidR="00CF1970" w:rsidRPr="00F27BD9">
        <w:rPr>
          <w:rFonts w:eastAsia="Times New Roman" w:cs="Tahoma"/>
          <w:color w:val="auto"/>
          <w:sz w:val="20"/>
          <w:szCs w:val="20"/>
          <w:bdr w:val="none" w:sz="0" w:space="0" w:color="auto"/>
          <w:lang w:val="es-ES"/>
        </w:rPr>
        <w:t xml:space="preserve"> </w:t>
      </w:r>
      <w:r w:rsidR="00BB0303" w:rsidRPr="00F27BD9">
        <w:rPr>
          <w:rFonts w:eastAsia="Times New Roman" w:cs="Tahoma"/>
          <w:color w:val="auto"/>
          <w:sz w:val="20"/>
          <w:szCs w:val="20"/>
          <w:bdr w:val="none" w:sz="0" w:space="0" w:color="auto"/>
          <w:lang w:val="es-ES"/>
        </w:rPr>
        <w:t>japoneses latinoamericanos</w:t>
      </w:r>
      <w:r w:rsidR="00CF1970" w:rsidRPr="00F27BD9">
        <w:rPr>
          <w:rFonts w:eastAsia="Times New Roman" w:cs="Tahoma"/>
          <w:color w:val="auto"/>
          <w:sz w:val="20"/>
          <w:szCs w:val="20"/>
          <w:bdr w:val="none" w:sz="0" w:space="0" w:color="auto"/>
          <w:lang w:val="es-ES"/>
        </w:rPr>
        <w:t xml:space="preserve"> dur</w:t>
      </w:r>
      <w:r w:rsidR="005C400B" w:rsidRPr="00F27BD9">
        <w:rPr>
          <w:rFonts w:eastAsia="Times New Roman" w:cs="Tahoma"/>
          <w:color w:val="auto"/>
          <w:sz w:val="20"/>
          <w:szCs w:val="20"/>
          <w:bdr w:val="none" w:sz="0" w:space="0" w:color="auto"/>
          <w:lang w:val="es-ES"/>
        </w:rPr>
        <w:t>ante la</w:t>
      </w:r>
      <w:r w:rsidR="00CF1970" w:rsidRPr="00F27BD9">
        <w:rPr>
          <w:rFonts w:eastAsia="Times New Roman" w:cs="Tahoma"/>
          <w:color w:val="auto"/>
          <w:sz w:val="20"/>
          <w:szCs w:val="20"/>
          <w:bdr w:val="none" w:sz="0" w:space="0" w:color="auto"/>
          <w:lang w:val="es-ES"/>
        </w:rPr>
        <w:t xml:space="preserve"> </w:t>
      </w:r>
      <w:r w:rsidR="0090313E" w:rsidRPr="00F27BD9">
        <w:rPr>
          <w:rFonts w:eastAsia="Times New Roman" w:cs="Tahoma"/>
          <w:color w:val="auto"/>
          <w:sz w:val="20"/>
          <w:szCs w:val="20"/>
          <w:bdr w:val="none" w:sz="0" w:space="0" w:color="auto"/>
          <w:lang w:val="es-ES"/>
        </w:rPr>
        <w:t>Segunda Guerra Mundial</w:t>
      </w:r>
      <w:r w:rsidR="005C400B" w:rsidRPr="00F27BD9">
        <w:rPr>
          <w:rFonts w:eastAsia="Times New Roman" w:cs="Tahoma"/>
          <w:color w:val="auto"/>
          <w:sz w:val="20"/>
          <w:szCs w:val="20"/>
          <w:bdr w:val="none" w:sz="0" w:space="0" w:color="auto"/>
          <w:lang w:val="es-ES"/>
        </w:rPr>
        <w:t xml:space="preserve"> y sobre el destino de las personas sometidas a este programa</w:t>
      </w:r>
      <w:r w:rsidR="005B1600" w:rsidRPr="00F27BD9">
        <w:rPr>
          <w:rFonts w:eastAsia="Times New Roman" w:cs="Tahoma"/>
          <w:color w:val="auto"/>
          <w:sz w:val="20"/>
          <w:szCs w:val="20"/>
          <w:bdr w:val="none" w:sz="0" w:space="0" w:color="auto"/>
          <w:lang w:val="es-ES"/>
        </w:rPr>
        <w:t>.</w:t>
      </w:r>
    </w:p>
    <w:p w14:paraId="744A7F86" w14:textId="77777777" w:rsidR="001971BE" w:rsidRPr="00F27BD9" w:rsidRDefault="001971BE" w:rsidP="00F87211">
      <w:pPr>
        <w:pStyle w:val="ListParagraph"/>
        <w:rPr>
          <w:rFonts w:eastAsia="Times New Roman" w:cs="Tahoma"/>
          <w:sz w:val="20"/>
          <w:szCs w:val="20"/>
          <w:bdr w:val="none" w:sz="0" w:space="0" w:color="auto"/>
          <w:lang w:val="es-ES"/>
        </w:rPr>
      </w:pPr>
    </w:p>
    <w:p w14:paraId="690B2167" w14:textId="77777777" w:rsidR="00CD5502" w:rsidRPr="00F27BD9" w:rsidRDefault="000A4A91" w:rsidP="00CD5502">
      <w:pPr>
        <w:pStyle w:val="Heading1"/>
        <w:ind w:left="1440" w:hanging="1080"/>
      </w:pPr>
      <w:bookmarkStart w:id="25" w:name="_Toc27473298"/>
      <w:r w:rsidRPr="00F27BD9">
        <w:t>PUBLICACIÓN</w:t>
      </w:r>
      <w:bookmarkEnd w:id="25"/>
      <w:r w:rsidRPr="00F27BD9">
        <w:t xml:space="preserve"> </w:t>
      </w:r>
    </w:p>
    <w:p w14:paraId="6B0D51A5" w14:textId="77777777" w:rsidR="00CD5502" w:rsidRPr="00F27BD9" w:rsidRDefault="00CD5502" w:rsidP="00CD5502">
      <w:pPr>
        <w:rPr>
          <w:lang w:val="es-ES_tradnl"/>
        </w:rPr>
      </w:pPr>
    </w:p>
    <w:p w14:paraId="79020FFD" w14:textId="77777777" w:rsidR="00F36293" w:rsidRDefault="004519C1" w:rsidP="00F36293">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rPr>
      </w:pPr>
      <w:r w:rsidRPr="00F27BD9">
        <w:rPr>
          <w:rFonts w:asciiTheme="majorHAnsi" w:hAnsiTheme="majorHAnsi"/>
          <w:color w:val="auto"/>
          <w:sz w:val="20"/>
          <w:lang w:val="es-ES_tradnl"/>
        </w:rPr>
        <w:t>D</w:t>
      </w:r>
      <w:r w:rsidRPr="00F27BD9">
        <w:rPr>
          <w:rFonts w:asciiTheme="majorHAnsi" w:hAnsiTheme="majorHAnsi"/>
          <w:color w:val="auto"/>
          <w:sz w:val="20"/>
          <w:lang w:val="es-VE"/>
        </w:rPr>
        <w:t>e conformidad con lo dispuesto en</w:t>
      </w:r>
      <w:r w:rsidR="000A4A91" w:rsidRPr="00F27BD9">
        <w:rPr>
          <w:rFonts w:asciiTheme="majorHAnsi" w:hAnsiTheme="majorHAnsi"/>
          <w:color w:val="auto"/>
          <w:sz w:val="20"/>
          <w:lang w:val="es-VE"/>
        </w:rPr>
        <w:t xml:space="preserve"> el artículo </w:t>
      </w:r>
      <w:r w:rsidRPr="00F27BD9">
        <w:rPr>
          <w:rFonts w:asciiTheme="majorHAnsi" w:hAnsiTheme="majorHAnsi"/>
          <w:color w:val="auto"/>
          <w:sz w:val="20"/>
          <w:lang w:val="es-VE"/>
        </w:rPr>
        <w:t>47.</w:t>
      </w:r>
      <w:r w:rsidR="000A4A91" w:rsidRPr="00F27BD9">
        <w:rPr>
          <w:rFonts w:asciiTheme="majorHAnsi" w:hAnsiTheme="majorHAnsi"/>
          <w:color w:val="auto"/>
          <w:sz w:val="20"/>
          <w:lang w:val="es-VE"/>
        </w:rPr>
        <w:t>3</w:t>
      </w:r>
      <w:r w:rsidRPr="00F27BD9">
        <w:rPr>
          <w:rFonts w:asciiTheme="majorHAnsi" w:hAnsiTheme="majorHAnsi"/>
          <w:color w:val="auto"/>
          <w:sz w:val="20"/>
          <w:lang w:val="es-VE"/>
        </w:rPr>
        <w:t xml:space="preserve"> de su Reglamento, la Comisión Interamericana de Derechos Humanos </w:t>
      </w:r>
      <w:r w:rsidR="000A4A91" w:rsidRPr="00F27BD9">
        <w:rPr>
          <w:rFonts w:eastAsia="MS Mincho" w:cs="Times New Roman"/>
          <w:sz w:val="20"/>
          <w:bdr w:val="none" w:sz="0" w:space="0" w:color="auto"/>
          <w:lang w:eastAsia="en-US"/>
        </w:rPr>
        <w:t>la Comisión Interamericana de Derechos Humanos decide publicar este informe e incluirlo en su Informe Anual a la Asamblea General de la Organización de Estados Americanos. La Comisión Interamericana, de acuerdo a las normas establecidas en los instrumentos que regulan su mandato, continuará evaluando las medidas adoptadas por Estados Unidos respecto de las recomendaciones arriba señaladas, hasta que determine que se ha dado un total cumplimiento de las mismas.</w:t>
      </w:r>
    </w:p>
    <w:p w14:paraId="5F2C5039" w14:textId="77777777" w:rsidR="00F36293" w:rsidRPr="00F36293" w:rsidRDefault="00F36293" w:rsidP="00F36293">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auto"/>
          <w:sz w:val="20"/>
        </w:rPr>
      </w:pPr>
    </w:p>
    <w:p w14:paraId="420E8987" w14:textId="77777777" w:rsidR="00F36293" w:rsidRPr="00F36293" w:rsidRDefault="00F36293" w:rsidP="00F36293">
      <w:pPr>
        <w:suppressAutoHyphens/>
        <w:ind w:firstLine="630"/>
        <w:jc w:val="both"/>
        <w:rPr>
          <w:rFonts w:asciiTheme="majorHAnsi" w:hAnsiTheme="majorHAnsi" w:cs="Arial"/>
          <w:noProof/>
          <w:spacing w:val="-2"/>
          <w:sz w:val="20"/>
          <w:lang w:val="es-CL"/>
        </w:rPr>
      </w:pPr>
      <w:r w:rsidRPr="00F36293">
        <w:rPr>
          <w:rFonts w:asciiTheme="majorHAnsi" w:hAnsiTheme="majorHAnsi" w:cs="Arial"/>
          <w:noProof/>
          <w:spacing w:val="-2"/>
          <w:sz w:val="20"/>
          <w:lang w:val="es-CL"/>
        </w:rPr>
        <w:t xml:space="preserve">Aprobado por la Comisión Interamericana de Derechos Humanos, a los </w:t>
      </w:r>
      <w:r>
        <w:rPr>
          <w:rFonts w:asciiTheme="majorHAnsi" w:hAnsiTheme="majorHAnsi" w:cs="Arial"/>
          <w:noProof/>
          <w:spacing w:val="-2"/>
          <w:sz w:val="20"/>
          <w:lang w:val="es-CL"/>
        </w:rPr>
        <w:t>22</w:t>
      </w:r>
      <w:r w:rsidRPr="00F36293">
        <w:rPr>
          <w:rFonts w:asciiTheme="majorHAnsi" w:hAnsiTheme="majorHAnsi" w:cs="Arial"/>
          <w:noProof/>
          <w:spacing w:val="-2"/>
          <w:sz w:val="20"/>
          <w:lang w:val="es-CL"/>
        </w:rPr>
        <w:t xml:space="preserve"> días del mes de </w:t>
      </w:r>
      <w:r>
        <w:rPr>
          <w:rFonts w:asciiTheme="majorHAnsi" w:hAnsiTheme="majorHAnsi" w:cs="Arial"/>
          <w:noProof/>
          <w:spacing w:val="-2"/>
          <w:sz w:val="20"/>
          <w:lang w:val="es-CL"/>
        </w:rPr>
        <w:t>abril</w:t>
      </w:r>
      <w:r w:rsidRPr="00F36293">
        <w:rPr>
          <w:rFonts w:asciiTheme="majorHAnsi" w:hAnsiTheme="majorHAnsi" w:cs="Arial"/>
          <w:noProof/>
          <w:spacing w:val="-2"/>
          <w:sz w:val="20"/>
          <w:lang w:val="es-CL"/>
        </w:rPr>
        <w:t xml:space="preserve"> de 20</w:t>
      </w:r>
      <w:r>
        <w:rPr>
          <w:rFonts w:asciiTheme="majorHAnsi" w:hAnsiTheme="majorHAnsi" w:cs="Arial"/>
          <w:noProof/>
          <w:spacing w:val="-2"/>
          <w:sz w:val="20"/>
          <w:lang w:val="es-CL"/>
        </w:rPr>
        <w:t>20</w:t>
      </w:r>
      <w:r w:rsidRPr="00F36293">
        <w:rPr>
          <w:rFonts w:asciiTheme="majorHAnsi" w:hAnsiTheme="majorHAnsi" w:cs="Arial"/>
          <w:noProof/>
          <w:spacing w:val="-2"/>
          <w:sz w:val="20"/>
          <w:lang w:val="es-CL"/>
        </w:rPr>
        <w:t>.  (Firmado): Joel Hernández</w:t>
      </w:r>
      <w:r>
        <w:rPr>
          <w:rFonts w:asciiTheme="majorHAnsi" w:hAnsiTheme="majorHAnsi" w:cs="Arial"/>
          <w:noProof/>
          <w:spacing w:val="-2"/>
          <w:sz w:val="20"/>
          <w:lang w:val="es-CL"/>
        </w:rPr>
        <w:t xml:space="preserve"> García</w:t>
      </w:r>
      <w:r w:rsidRPr="00F36293">
        <w:rPr>
          <w:rFonts w:asciiTheme="majorHAnsi" w:hAnsiTheme="majorHAnsi" w:cs="Arial"/>
          <w:noProof/>
          <w:spacing w:val="-2"/>
          <w:sz w:val="20"/>
          <w:lang w:val="es-CL"/>
        </w:rPr>
        <w:t>, President</w:t>
      </w:r>
      <w:r>
        <w:rPr>
          <w:rFonts w:asciiTheme="majorHAnsi" w:hAnsiTheme="majorHAnsi" w:cs="Arial"/>
          <w:noProof/>
          <w:spacing w:val="-2"/>
          <w:sz w:val="20"/>
          <w:lang w:val="es-CL"/>
        </w:rPr>
        <w:t>e</w:t>
      </w:r>
      <w:r w:rsidRPr="00F36293">
        <w:rPr>
          <w:rFonts w:asciiTheme="majorHAnsi" w:hAnsiTheme="majorHAnsi" w:cs="Arial"/>
          <w:noProof/>
          <w:spacing w:val="-2"/>
          <w:sz w:val="20"/>
          <w:lang w:val="es-CL"/>
        </w:rPr>
        <w:t>; Antonia Urrejola</w:t>
      </w:r>
      <w:r>
        <w:rPr>
          <w:rFonts w:asciiTheme="majorHAnsi" w:hAnsiTheme="majorHAnsi" w:cs="Arial"/>
          <w:noProof/>
          <w:spacing w:val="-2"/>
          <w:sz w:val="20"/>
          <w:lang w:val="es-CL"/>
        </w:rPr>
        <w:t xml:space="preserve"> Noguera,</w:t>
      </w:r>
      <w:r w:rsidRPr="00F36293">
        <w:rPr>
          <w:rFonts w:asciiTheme="majorHAnsi" w:hAnsiTheme="majorHAnsi" w:cs="Arial"/>
          <w:noProof/>
          <w:spacing w:val="-2"/>
          <w:sz w:val="20"/>
          <w:lang w:val="es-CL"/>
        </w:rPr>
        <w:t xml:space="preserve"> Primer Vicepresident</w:t>
      </w:r>
      <w:r>
        <w:rPr>
          <w:rFonts w:asciiTheme="majorHAnsi" w:hAnsiTheme="majorHAnsi" w:cs="Arial"/>
          <w:noProof/>
          <w:spacing w:val="-2"/>
          <w:sz w:val="20"/>
          <w:lang w:val="es-CL"/>
        </w:rPr>
        <w:t>a</w:t>
      </w:r>
      <w:r w:rsidRPr="00F36293">
        <w:rPr>
          <w:rFonts w:asciiTheme="majorHAnsi" w:hAnsiTheme="majorHAnsi" w:cs="Arial"/>
          <w:noProof/>
          <w:spacing w:val="-2"/>
          <w:sz w:val="20"/>
          <w:lang w:val="es-CL"/>
        </w:rPr>
        <w:t>; Flávia Piovesan, Segunda Vicepresidenta; Margarette May Macaulay, Esmeralda E. Arosemena Bernal de Troitiño</w:t>
      </w:r>
      <w:r>
        <w:rPr>
          <w:rFonts w:asciiTheme="majorHAnsi" w:hAnsiTheme="majorHAnsi" w:cs="Arial"/>
          <w:noProof/>
          <w:spacing w:val="-2"/>
          <w:sz w:val="20"/>
          <w:lang w:val="es-CL"/>
        </w:rPr>
        <w:t xml:space="preserve"> y</w:t>
      </w:r>
      <w:r w:rsidRPr="00F36293">
        <w:rPr>
          <w:rFonts w:asciiTheme="majorHAnsi" w:hAnsiTheme="majorHAnsi" w:cs="Arial"/>
          <w:noProof/>
          <w:spacing w:val="-2"/>
          <w:sz w:val="20"/>
          <w:lang w:val="es-CL"/>
        </w:rPr>
        <w:t xml:space="preserve">, </w:t>
      </w:r>
      <w:r>
        <w:rPr>
          <w:rFonts w:asciiTheme="majorHAnsi" w:hAnsiTheme="majorHAnsi" w:cs="Arial"/>
          <w:noProof/>
          <w:spacing w:val="-2"/>
          <w:sz w:val="20"/>
          <w:lang w:val="es-CL"/>
        </w:rPr>
        <w:t>Julissa Mantilla Falc</w:t>
      </w:r>
      <w:r>
        <w:rPr>
          <w:rFonts w:asciiTheme="majorHAnsi" w:hAnsiTheme="majorHAnsi" w:cs="Arial"/>
          <w:noProof/>
          <w:spacing w:val="-2"/>
          <w:sz w:val="20"/>
        </w:rPr>
        <w:t xml:space="preserve">ón </w:t>
      </w:r>
      <w:r w:rsidRPr="00F36293">
        <w:rPr>
          <w:rFonts w:asciiTheme="majorHAnsi" w:hAnsiTheme="majorHAnsi" w:cs="Arial"/>
          <w:noProof/>
          <w:spacing w:val="-2"/>
          <w:sz w:val="20"/>
          <w:lang w:val="es-CL"/>
        </w:rPr>
        <w:t>Miembros de la Comisión.</w:t>
      </w:r>
    </w:p>
    <w:p w14:paraId="42BECC52" w14:textId="77777777" w:rsidR="00006896" w:rsidRPr="00F36293" w:rsidRDefault="00006896" w:rsidP="0033028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548DD4" w:themeColor="text2" w:themeTint="99"/>
          <w:sz w:val="20"/>
          <w:lang w:val="es-CL"/>
        </w:rPr>
      </w:pPr>
    </w:p>
    <w:sectPr w:rsidR="00006896" w:rsidRPr="00F362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4EB65" w14:textId="77777777" w:rsidR="00D46918" w:rsidRDefault="00D46918">
      <w:r>
        <w:separator/>
      </w:r>
    </w:p>
  </w:endnote>
  <w:endnote w:type="continuationSeparator" w:id="0">
    <w:p w14:paraId="704B03C6" w14:textId="77777777" w:rsidR="00D46918" w:rsidRDefault="00D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4B117861" w14:textId="77777777" w:rsidR="003F186B" w:rsidRPr="00934A2C" w:rsidRDefault="003F1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5B27">
          <w:rPr>
            <w:noProof/>
            <w:sz w:val="16"/>
            <w:szCs w:val="22"/>
          </w:rPr>
          <w:t>19</w:t>
        </w:r>
        <w:r w:rsidRPr="00934A2C">
          <w:rPr>
            <w:noProof/>
            <w:sz w:val="16"/>
            <w:szCs w:val="22"/>
          </w:rPr>
          <w:fldChar w:fldCharType="end"/>
        </w:r>
      </w:p>
    </w:sdtContent>
  </w:sdt>
  <w:p w14:paraId="784405B7" w14:textId="77777777" w:rsidR="003F186B" w:rsidRDefault="003F1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FC57" w14:textId="77777777" w:rsidR="003F186B" w:rsidRPr="00934A2C" w:rsidRDefault="003F186B">
    <w:pPr>
      <w:pStyle w:val="Footer"/>
      <w:jc w:val="center"/>
      <w:rPr>
        <w:sz w:val="16"/>
        <w:szCs w:val="22"/>
      </w:rPr>
    </w:pPr>
  </w:p>
  <w:p w14:paraId="699168EC" w14:textId="77777777" w:rsidR="003F186B" w:rsidRDefault="003F1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2D7ED" w14:textId="77777777" w:rsidR="00D46918" w:rsidRPr="000F35ED" w:rsidRDefault="00D46918">
      <w:pPr>
        <w:rPr>
          <w:rFonts w:asciiTheme="majorHAnsi" w:hAnsiTheme="majorHAnsi"/>
          <w:szCs w:val="16"/>
        </w:rPr>
      </w:pPr>
      <w:r w:rsidRPr="000F35ED">
        <w:rPr>
          <w:rFonts w:asciiTheme="majorHAnsi" w:hAnsiTheme="majorHAnsi"/>
          <w:szCs w:val="16"/>
        </w:rPr>
        <w:separator/>
      </w:r>
    </w:p>
  </w:footnote>
  <w:footnote w:type="continuationSeparator" w:id="0">
    <w:p w14:paraId="49B25484" w14:textId="77777777" w:rsidR="00D46918" w:rsidRPr="000F35ED" w:rsidRDefault="00D46918" w:rsidP="000F35ED">
      <w:pPr>
        <w:rPr>
          <w:rFonts w:asciiTheme="majorHAnsi" w:hAnsiTheme="majorHAnsi"/>
          <w:szCs w:val="16"/>
        </w:rPr>
      </w:pPr>
      <w:r w:rsidRPr="000F35ED">
        <w:rPr>
          <w:rFonts w:asciiTheme="majorHAnsi" w:hAnsiTheme="majorHAnsi"/>
          <w:szCs w:val="16"/>
        </w:rPr>
        <w:separator/>
      </w:r>
    </w:p>
    <w:p w14:paraId="59612AE3" w14:textId="77777777" w:rsidR="00D46918" w:rsidRPr="000F35ED" w:rsidRDefault="00D4691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02B38D4" w14:textId="77777777" w:rsidR="00D46918" w:rsidRPr="000F35ED" w:rsidRDefault="00D46918" w:rsidP="000F35ED">
      <w:pPr>
        <w:jc w:val="right"/>
        <w:rPr>
          <w:rFonts w:asciiTheme="majorHAnsi" w:hAnsiTheme="majorHAnsi"/>
          <w:szCs w:val="16"/>
        </w:rPr>
      </w:pPr>
      <w:r>
        <w:rPr>
          <w:rFonts w:asciiTheme="majorHAnsi" w:hAnsiTheme="majorHAnsi"/>
          <w:szCs w:val="16"/>
        </w:rPr>
        <w:t>[c</w:t>
      </w:r>
      <w:r w:rsidRPr="000F35ED">
        <w:rPr>
          <w:rFonts w:asciiTheme="majorHAnsi" w:hAnsiTheme="majorHAnsi"/>
          <w:szCs w:val="16"/>
        </w:rPr>
        <w:t>ontinúa…</w:t>
      </w:r>
      <w:r>
        <w:rPr>
          <w:rFonts w:asciiTheme="majorHAnsi" w:hAnsiTheme="majorHAnsi"/>
          <w:szCs w:val="16"/>
        </w:rPr>
        <w:t>]</w:t>
      </w:r>
    </w:p>
  </w:footnote>
  <w:footnote w:id="2">
    <w:p w14:paraId="7E06A6D4"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color w:val="auto"/>
          <w:szCs w:val="16"/>
          <w:lang w:val="es-ES"/>
        </w:rPr>
        <w:footnoteRef/>
      </w:r>
      <w:r w:rsidRPr="00504F81">
        <w:rPr>
          <w:rFonts w:asciiTheme="majorHAnsi" w:hAnsiTheme="majorHAnsi"/>
          <w:color w:val="auto"/>
          <w:szCs w:val="16"/>
          <w:lang w:val="es-ES"/>
        </w:rPr>
        <w:t xml:space="preserve"> CIDH, Informe No. 26/06. Caso 12.545. Admisibilidad. Isamu Carlos Shibayama y otros. Estados Unidos. 16 de marzo de 2006. Presuntas violaciones admisibles: artículos II, XVIII y XXVI de la Declaración Americana de los Derechos y Deberes del Hombre. </w:t>
      </w:r>
    </w:p>
  </w:footnote>
  <w:footnote w:id="3">
    <w:p w14:paraId="603B0BB9"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4C79C4">
        <w:rPr>
          <w:rFonts w:asciiTheme="majorHAnsi" w:hAnsiTheme="majorHAnsi"/>
          <w:szCs w:val="16"/>
          <w:lang w:val="es-US"/>
        </w:rPr>
        <w:t xml:space="preserve"> </w:t>
      </w:r>
      <w:r w:rsidRPr="004C79C4">
        <w:rPr>
          <w:rFonts w:asciiTheme="majorHAnsi" w:hAnsiTheme="majorHAnsi"/>
          <w:i/>
          <w:szCs w:val="16"/>
          <w:lang w:val="es-US"/>
        </w:rPr>
        <w:t xml:space="preserve">Véase </w:t>
      </w:r>
      <w:r w:rsidRPr="004C79C4">
        <w:rPr>
          <w:rFonts w:asciiTheme="majorHAnsi" w:hAnsiTheme="majorHAnsi"/>
          <w:color w:val="auto"/>
          <w:szCs w:val="16"/>
          <w:lang w:val="es-US"/>
        </w:rPr>
        <w:t xml:space="preserve">CIDH, Informe No. 26/06. Caso 12.545. </w:t>
      </w:r>
      <w:r w:rsidRPr="00504F81">
        <w:rPr>
          <w:rFonts w:asciiTheme="majorHAnsi" w:hAnsiTheme="majorHAnsi"/>
          <w:color w:val="auto"/>
          <w:szCs w:val="16"/>
          <w:lang w:val="es-ES"/>
        </w:rPr>
        <w:t>Admisibilidad. Isamu Carlos Shibayama y otros. Estados Unidos. 16 de marzo de 2006, párrs. 39-40.</w:t>
      </w:r>
    </w:p>
  </w:footnote>
  <w:footnote w:id="4">
    <w:p w14:paraId="543DAA06"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
    <w:p w14:paraId="5CB07EA5" w14:textId="77777777" w:rsidR="003F186B" w:rsidRPr="00504F81" w:rsidRDefault="003F186B" w:rsidP="008A14D3">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Archivos Nacionales de Estados Unidos, “Japanese Relocation During World War II” (última revisión del 10 de abril de 2017). </w:t>
      </w:r>
      <w:r>
        <w:rPr>
          <w:rFonts w:asciiTheme="majorHAnsi" w:hAnsiTheme="majorHAnsi"/>
          <w:szCs w:val="16"/>
          <w:lang w:val="es-ES"/>
        </w:rPr>
        <w:t xml:space="preserve">Disponible </w:t>
      </w:r>
      <w:r w:rsidRPr="00504F81">
        <w:rPr>
          <w:rFonts w:asciiTheme="majorHAnsi" w:hAnsiTheme="majorHAnsi"/>
          <w:szCs w:val="16"/>
          <w:lang w:val="es-ES"/>
        </w:rPr>
        <w:t>en</w:t>
      </w:r>
      <w:r>
        <w:rPr>
          <w:rFonts w:asciiTheme="majorHAnsi" w:hAnsiTheme="majorHAnsi"/>
          <w:szCs w:val="16"/>
          <w:lang w:val="es-ES"/>
        </w:rPr>
        <w:t>:</w:t>
      </w:r>
      <w:r w:rsidRPr="00504F81">
        <w:rPr>
          <w:rFonts w:asciiTheme="majorHAnsi" w:hAnsiTheme="majorHAnsi"/>
          <w:szCs w:val="16"/>
          <w:lang w:val="es-ES"/>
        </w:rPr>
        <w:t xml:space="preserve"> </w:t>
      </w:r>
      <w:hyperlink r:id="rId1" w:history="1">
        <w:r w:rsidRPr="00504F81">
          <w:rPr>
            <w:rStyle w:val="Hyperlink"/>
            <w:rFonts w:asciiTheme="majorHAnsi" w:hAnsiTheme="majorHAnsi"/>
            <w:szCs w:val="16"/>
            <w:lang w:val="es-ES"/>
          </w:rPr>
          <w:t>https://www.archives.gov/education/lessons/japanese-relocation</w:t>
        </w:r>
      </w:hyperlink>
      <w:r w:rsidRPr="00504F81">
        <w:rPr>
          <w:rFonts w:asciiTheme="majorHAnsi" w:hAnsiTheme="majorHAnsi"/>
          <w:szCs w:val="16"/>
          <w:lang w:val="es-ES"/>
        </w:rPr>
        <w:t xml:space="preserve">. </w:t>
      </w:r>
    </w:p>
  </w:footnote>
  <w:footnote w:id="6">
    <w:p w14:paraId="79F7714E"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7">
    <w:p w14:paraId="24C2B6B9" w14:textId="77777777" w:rsidR="003F186B" w:rsidRPr="003B3A9B" w:rsidRDefault="003F186B" w:rsidP="00481E5F">
      <w:pPr>
        <w:pStyle w:val="FootnoteText"/>
        <w:jc w:val="both"/>
        <w:rPr>
          <w:rFonts w:asciiTheme="majorHAnsi" w:hAnsiTheme="majorHAnsi"/>
          <w:szCs w:val="16"/>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sidRPr="00815935">
        <w:rPr>
          <w:rFonts w:asciiTheme="majorHAnsi" w:hAnsiTheme="majorHAnsi"/>
          <w:szCs w:val="16"/>
        </w:rPr>
        <w:t>Anexo a</w:t>
      </w:r>
      <w:r w:rsidRPr="003B3A9B">
        <w:rPr>
          <w:rFonts w:asciiTheme="majorHAnsi" w:hAnsiTheme="majorHAnsi"/>
          <w:szCs w:val="16"/>
        </w:rPr>
        <w:t xml:space="preserve"> la petición inicial.</w:t>
      </w:r>
    </w:p>
  </w:footnote>
  <w:footnote w:id="8">
    <w:p w14:paraId="5CE8949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3B3A9B">
        <w:rPr>
          <w:rFonts w:asciiTheme="majorHAnsi" w:hAnsiTheme="majorHAnsi"/>
          <w:szCs w:val="16"/>
        </w:rPr>
        <w:t xml:space="preserve"> “Appendix: Latin Americans”, en </w:t>
      </w:r>
      <w:r w:rsidRPr="003B3A9B">
        <w:rPr>
          <w:rFonts w:asciiTheme="majorHAnsi" w:hAnsiTheme="majorHAnsi"/>
          <w:i/>
          <w:szCs w:val="16"/>
        </w:rPr>
        <w:t xml:space="preserve">Personal Justice Denied: Report of the Commission on Wartime Relocation and Internment of Civilians </w:t>
      </w:r>
      <w:r w:rsidRPr="003B3A9B">
        <w:rPr>
          <w:rFonts w:asciiTheme="majorHAnsi" w:hAnsiTheme="majorHAnsi"/>
          <w:szCs w:val="16"/>
        </w:rPr>
        <w:t xml:space="preserve">(Washington, DC, y Seattle: Civil Liberties Public Education Fund y Universidad de Washington, 1997). </w:t>
      </w:r>
      <w:r w:rsidRPr="00504F81">
        <w:rPr>
          <w:rFonts w:asciiTheme="majorHAnsi" w:hAnsiTheme="majorHAnsi"/>
          <w:szCs w:val="16"/>
          <w:lang w:val="es-ES"/>
        </w:rPr>
        <w:t>Publicado originalmente en dos tomos (1982-1983) [en adelante “</w:t>
      </w:r>
      <w:r w:rsidRPr="00504F81">
        <w:rPr>
          <w:rFonts w:asciiTheme="majorHAnsi" w:hAnsiTheme="majorHAnsi"/>
          <w:i/>
          <w:szCs w:val="16"/>
          <w:lang w:val="es-ES"/>
        </w:rPr>
        <w:t>Personal Justice Denied</w:t>
      </w:r>
      <w:r w:rsidRPr="00504F81">
        <w:rPr>
          <w:rFonts w:asciiTheme="majorHAnsi" w:hAnsiTheme="majorHAns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p w14:paraId="61989C2C" w14:textId="77777777" w:rsidR="003F186B" w:rsidRPr="004C79C4" w:rsidRDefault="003F186B" w:rsidP="00481E5F">
      <w:pPr>
        <w:pStyle w:val="FootnoteText"/>
        <w:jc w:val="both"/>
        <w:rPr>
          <w:rFonts w:asciiTheme="majorHAnsi" w:hAnsiTheme="majorHAnsi"/>
          <w:szCs w:val="16"/>
          <w:lang w:val="es-ES"/>
        </w:rPr>
      </w:pPr>
      <w:r w:rsidRPr="00504F81">
        <w:rPr>
          <w:rFonts w:asciiTheme="majorHAnsi" w:hAnsiTheme="majorHAnsi"/>
          <w:szCs w:val="16"/>
          <w:lang w:val="es-ES"/>
        </w:rPr>
        <w:tab/>
        <w:t xml:space="preserve">En este sentido, la Comisión señala que, durante la tramitación de este caso, recibió información de otras personas y grupos acerca del destino de miles de alemanes latinoamericanos, otras personas de ascendencia europea y sus familiares que fueron sometidos a regímenes similares de detención y deportación a Estados Unidos para su internamiento durante la Segunda Guerra Mundial. </w:t>
      </w:r>
      <w:r w:rsidRPr="004C79C4">
        <w:rPr>
          <w:rFonts w:asciiTheme="majorHAnsi" w:hAnsiTheme="majorHAnsi"/>
          <w:i/>
          <w:szCs w:val="16"/>
          <w:lang w:val="es-ES"/>
        </w:rPr>
        <w:t>Véase</w:t>
      </w:r>
      <w:r w:rsidRPr="004C79C4">
        <w:rPr>
          <w:rFonts w:asciiTheme="majorHAnsi" w:hAnsiTheme="majorHAnsi"/>
          <w:szCs w:val="16"/>
          <w:lang w:val="es-ES"/>
        </w:rPr>
        <w:t xml:space="preserve"> Carta de Heidi Gurcke Donald (German American Internee Coalition) a la CIDH (17 de mayo de 2006); </w:t>
      </w:r>
      <w:r w:rsidRPr="004C79C4">
        <w:rPr>
          <w:rFonts w:asciiTheme="majorHAnsi" w:hAnsiTheme="majorHAnsi"/>
          <w:i/>
          <w:szCs w:val="16"/>
          <w:lang w:val="es-ES"/>
        </w:rPr>
        <w:t>véase también</w:t>
      </w:r>
      <w:r w:rsidRPr="004C79C4">
        <w:rPr>
          <w:rFonts w:asciiTheme="majorHAnsi" w:hAnsiTheme="majorHAnsi"/>
          <w:szCs w:val="16"/>
          <w:lang w:val="es-ES"/>
        </w:rPr>
        <w:t xml:space="preserve"> Heidi Gurcke Donald, </w:t>
      </w:r>
      <w:r w:rsidRPr="004C79C4">
        <w:rPr>
          <w:rFonts w:asciiTheme="majorHAnsi" w:hAnsiTheme="majorHAnsi"/>
          <w:i/>
          <w:szCs w:val="16"/>
          <w:lang w:val="es-ES"/>
        </w:rPr>
        <w:t>We Were Not the Enemy: Remembering the United States’ Latin-American Civilian Internment Program of World War II</w:t>
      </w:r>
      <w:r w:rsidRPr="004C79C4">
        <w:rPr>
          <w:rFonts w:asciiTheme="majorHAnsi" w:hAnsiTheme="majorHAnsi"/>
          <w:szCs w:val="16"/>
          <w:lang w:val="es-ES"/>
        </w:rPr>
        <w:t xml:space="preserve"> (Lincoln, NE: iUniverse, 2006).</w:t>
      </w:r>
    </w:p>
  </w:footnote>
  <w:footnote w:id="9">
    <w:p w14:paraId="36AC3CD8"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10">
    <w:p w14:paraId="08A703C9"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Carta de Juan Kudo a Valerie O’Brian, Oficina de Administración de Reparaciones (29 de noviembre de 1988). </w:t>
      </w:r>
      <w:r>
        <w:rPr>
          <w:rFonts w:asciiTheme="majorHAnsi" w:hAnsiTheme="majorHAnsi"/>
          <w:szCs w:val="16"/>
          <w:lang w:val="es-ES"/>
        </w:rPr>
        <w:t>Anexo a</w:t>
      </w:r>
      <w:r w:rsidRPr="00504F81">
        <w:rPr>
          <w:rFonts w:asciiTheme="majorHAnsi" w:hAnsiTheme="majorHAnsi"/>
          <w:szCs w:val="16"/>
          <w:lang w:val="es-ES"/>
        </w:rPr>
        <w:t xml:space="preserve"> la petición inicial; Declaración de Grace Shimizu en el arreglo </w:t>
      </w:r>
      <w:r w:rsidRPr="00504F81">
        <w:rPr>
          <w:rFonts w:asciiTheme="majorHAnsi" w:hAnsiTheme="majorHAnsi"/>
          <w:i/>
          <w:szCs w:val="16"/>
          <w:lang w:val="es-ES"/>
        </w:rPr>
        <w:t>Mochizuki</w:t>
      </w:r>
      <w:r w:rsidRPr="00504F81">
        <w:rPr>
          <w:rFonts w:asciiTheme="majorHAnsi" w:hAnsiTheme="majorHAnsi"/>
          <w:szCs w:val="16"/>
          <w:lang w:val="es-ES"/>
        </w:rPr>
        <w:t xml:space="preserve"> (7 de enero de 1999). </w:t>
      </w:r>
      <w:r>
        <w:rPr>
          <w:rFonts w:asciiTheme="majorHAnsi" w:hAnsiTheme="majorHAnsi"/>
          <w:szCs w:val="16"/>
          <w:lang w:val="es-ES"/>
        </w:rPr>
        <w:t>Anexo a</w:t>
      </w:r>
      <w:r w:rsidRPr="00504F81">
        <w:rPr>
          <w:rFonts w:asciiTheme="majorHAnsi" w:hAnsiTheme="majorHAnsi"/>
          <w:szCs w:val="16"/>
          <w:lang w:val="es-ES"/>
        </w:rPr>
        <w:t xml:space="preserve"> la carta de los peticionarios del 30 de septiembre de 2003.</w:t>
      </w:r>
    </w:p>
  </w:footnote>
  <w:footnote w:id="11">
    <w:p w14:paraId="0A48FD48"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12">
    <w:p w14:paraId="2D295CAB"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13">
    <w:p w14:paraId="26D4D7BA"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Carta de Juan Kudo a Valerie O’Brian, Oficina de Administración de Reparaciones (29 de noviembre de 1988). </w:t>
      </w:r>
      <w:r>
        <w:rPr>
          <w:rFonts w:asciiTheme="majorHAnsi" w:hAnsiTheme="majorHAnsi"/>
          <w:szCs w:val="16"/>
          <w:lang w:val="es-ES"/>
        </w:rPr>
        <w:t>Anexo a</w:t>
      </w:r>
      <w:r w:rsidRPr="00504F81">
        <w:rPr>
          <w:rFonts w:asciiTheme="majorHAnsi" w:hAnsiTheme="majorHAnsi"/>
          <w:szCs w:val="16"/>
          <w:lang w:val="es-ES"/>
        </w:rPr>
        <w:t xml:space="preserve"> la petición inicial;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14">
    <w:p w14:paraId="4E64B89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15">
    <w:p w14:paraId="090B21CD"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16">
    <w:p w14:paraId="0B1C62E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conjunta de los hechos, exposición de los hechos por el demandante y exposición de los hechos por el demandado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[en adelante “Estipulación de los hechos”]. </w:t>
      </w:r>
      <w:r>
        <w:rPr>
          <w:rFonts w:asciiTheme="majorHAnsi" w:hAnsiTheme="majorHAnsi"/>
          <w:szCs w:val="16"/>
          <w:lang w:val="es-ES"/>
        </w:rPr>
        <w:t>Anexo a</w:t>
      </w:r>
      <w:r w:rsidRPr="00504F81">
        <w:rPr>
          <w:rFonts w:asciiTheme="majorHAnsi" w:hAnsiTheme="majorHAnsi"/>
          <w:szCs w:val="16"/>
          <w:lang w:val="es-ES"/>
        </w:rPr>
        <w:t xml:space="preserve"> la petición inicial. </w:t>
      </w:r>
    </w:p>
  </w:footnote>
  <w:footnote w:id="17">
    <w:p w14:paraId="5B0A2E6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sidRPr="00EB0027">
        <w:rPr>
          <w:rFonts w:asciiTheme="majorHAnsi" w:hAnsiTheme="majorHAnsi"/>
          <w:szCs w:val="16"/>
        </w:rPr>
        <w:t xml:space="preserve">Anexo a la petición inicial; New York Times, </w:t>
      </w:r>
      <w:r w:rsidRPr="00EB0027">
        <w:rPr>
          <w:rFonts w:asciiTheme="majorHAnsi" w:hAnsiTheme="majorHAnsi"/>
          <w:i/>
          <w:szCs w:val="16"/>
        </w:rPr>
        <w:t>Isamu Shibayama Dies at 88, His Quest for Reparations Unfulfilled</w:t>
      </w:r>
      <w:r w:rsidRPr="00EB0027">
        <w:rPr>
          <w:rFonts w:asciiTheme="majorHAnsi" w:hAnsiTheme="majorHAnsi"/>
          <w:szCs w:val="16"/>
        </w:rPr>
        <w:t xml:space="preserve"> (17 de agosto de 2018). </w:t>
      </w:r>
      <w:r>
        <w:rPr>
          <w:rFonts w:asciiTheme="majorHAnsi" w:hAnsiTheme="majorHAnsi"/>
          <w:szCs w:val="16"/>
          <w:lang w:val="es-ES"/>
        </w:rPr>
        <w:t>Disponible</w:t>
      </w:r>
      <w:r w:rsidRPr="00504F81">
        <w:rPr>
          <w:rFonts w:asciiTheme="majorHAnsi" w:hAnsiTheme="majorHAnsi"/>
          <w:szCs w:val="16"/>
          <w:lang w:val="es-ES"/>
        </w:rPr>
        <w:t xml:space="preserve"> en </w:t>
      </w:r>
      <w:hyperlink r:id="rId2" w:history="1">
        <w:r w:rsidRPr="00504F81">
          <w:rPr>
            <w:rStyle w:val="Hyperlink"/>
            <w:rFonts w:asciiTheme="majorHAnsi" w:hAnsiTheme="majorHAnsi"/>
            <w:szCs w:val="16"/>
            <w:lang w:val="es-ES"/>
          </w:rPr>
          <w:t>https://www.nytimes.com/2018/08/17/obituaries/isamu-shibayama-dies-at-88-his-quest-for-reparations-unfulfilled.html</w:t>
        </w:r>
      </w:hyperlink>
      <w:r w:rsidRPr="00504F81">
        <w:rPr>
          <w:rFonts w:asciiTheme="majorHAnsi" w:hAnsiTheme="majorHAnsi"/>
          <w:szCs w:val="16"/>
          <w:lang w:val="es-ES"/>
        </w:rPr>
        <w:t xml:space="preserve">. </w:t>
      </w:r>
    </w:p>
  </w:footnote>
  <w:footnote w:id="18">
    <w:p w14:paraId="30A3D986" w14:textId="77777777" w:rsidR="003F186B" w:rsidRPr="00504F81" w:rsidRDefault="003F186B" w:rsidP="00481E5F">
      <w:pPr>
        <w:pStyle w:val="FootnoteText"/>
        <w:jc w:val="both"/>
        <w:rPr>
          <w:rFonts w:asciiTheme="majorHAnsi" w:hAnsiTheme="majorHAnsi"/>
          <w:b/>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19">
    <w:p w14:paraId="18DCBFED"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w:t>
      </w:r>
      <w:r>
        <w:rPr>
          <w:rFonts w:asciiTheme="majorHAnsi" w:hAnsiTheme="majorHAnsi"/>
          <w:szCs w:val="16"/>
          <w:lang w:val="es-ES"/>
        </w:rPr>
        <w:t>Servicio de Inmigraciones y Naturalización.</w:t>
      </w:r>
      <w:r w:rsidRPr="00504F81">
        <w:rPr>
          <w:rFonts w:asciiTheme="majorHAnsi" w:hAnsiTheme="majorHAnsi"/>
          <w:szCs w:val="16"/>
          <w:lang w:val="es-ES"/>
        </w:rPr>
        <w:t xml:space="preserve"> Transcripción de la audiencia de deportación reabierta (10 de agosto de 1954).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20">
    <w:p w14:paraId="67BB9D3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Declaración de Rose Nishimura en el arreglo </w:t>
      </w:r>
      <w:r w:rsidRPr="00504F81">
        <w:rPr>
          <w:rFonts w:asciiTheme="majorHAnsi" w:hAnsiTheme="majorHAnsi"/>
          <w:i/>
          <w:szCs w:val="16"/>
          <w:lang w:val="es-ES"/>
        </w:rPr>
        <w:t>Mochizuki</w:t>
      </w:r>
      <w:r w:rsidRPr="00504F81">
        <w:rPr>
          <w:rFonts w:asciiTheme="majorHAnsi" w:hAnsiTheme="majorHAnsi"/>
          <w:szCs w:val="16"/>
          <w:lang w:val="es-ES"/>
        </w:rPr>
        <w:t xml:space="preserve"> (6 de enero de 1999). </w:t>
      </w:r>
      <w:r>
        <w:rPr>
          <w:rFonts w:asciiTheme="majorHAnsi" w:hAnsiTheme="majorHAnsi"/>
          <w:szCs w:val="16"/>
          <w:lang w:val="es-ES"/>
        </w:rPr>
        <w:t>Anexo a</w:t>
      </w:r>
      <w:r w:rsidRPr="00504F81">
        <w:rPr>
          <w:rFonts w:asciiTheme="majorHAnsi" w:hAnsiTheme="majorHAnsi"/>
          <w:szCs w:val="16"/>
          <w:lang w:val="es-ES"/>
        </w:rPr>
        <w:t xml:space="preserve"> la carta de los peticionarios del 30 de septiembre de 2003.</w:t>
      </w:r>
    </w:p>
  </w:footnote>
  <w:footnote w:id="21">
    <w:p w14:paraId="238A668D"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p w14:paraId="0F8CEB78" w14:textId="77777777" w:rsidR="003F186B" w:rsidRPr="00504F81" w:rsidRDefault="003F186B" w:rsidP="00481E5F">
      <w:pPr>
        <w:pStyle w:val="FootnoteText"/>
        <w:jc w:val="both"/>
        <w:rPr>
          <w:rFonts w:asciiTheme="majorHAnsi" w:hAnsiTheme="majorHAnsi"/>
          <w:szCs w:val="16"/>
          <w:lang w:val="es-ES"/>
        </w:rPr>
      </w:pPr>
      <w:r w:rsidRPr="00504F81">
        <w:rPr>
          <w:rFonts w:asciiTheme="majorHAnsi" w:hAnsiTheme="majorHAnsi"/>
          <w:szCs w:val="16"/>
          <w:lang w:val="es-ES"/>
        </w:rPr>
        <w:tab/>
        <w:t xml:space="preserve">En lo que se refiere a estas primeras deportaciones, en </w:t>
      </w:r>
      <w:r w:rsidRPr="00504F81">
        <w:rPr>
          <w:rFonts w:asciiTheme="majorHAnsi" w:hAnsiTheme="majorHAnsi"/>
          <w:i/>
          <w:szCs w:val="16"/>
          <w:lang w:val="es-ES"/>
        </w:rPr>
        <w:t>Personal Justice Denied</w:t>
      </w:r>
      <w:r w:rsidRPr="00504F81">
        <w:rPr>
          <w:rFonts w:asciiTheme="majorHAnsi" w:hAnsiTheme="majorHAnsi"/>
          <w:szCs w:val="16"/>
          <w:lang w:val="es-ES"/>
        </w:rPr>
        <w:t xml:space="preserve"> se afirma que </w:t>
      </w:r>
      <w:r>
        <w:rPr>
          <w:rFonts w:asciiTheme="majorHAnsi" w:hAnsiTheme="majorHAnsi"/>
          <w:szCs w:val="16"/>
          <w:lang w:val="es-ES"/>
        </w:rPr>
        <w:t>“</w:t>
      </w:r>
      <w:r w:rsidRPr="00504F81">
        <w:rPr>
          <w:rFonts w:asciiTheme="majorHAnsi" w:hAnsiTheme="majorHAnsi"/>
          <w:szCs w:val="16"/>
          <w:lang w:val="es-ES"/>
        </w:rPr>
        <w:t xml:space="preserve">no se siguieron los procedimientos legales normales: no se emitieron órdenes de arresto para ninguno de los peruanos, no les concedieron audiencias y no fueron acusados formalmente después del arresto. Al llegar a Estados Unidos, </w:t>
      </w:r>
      <w:r>
        <w:rPr>
          <w:rFonts w:asciiTheme="majorHAnsi" w:hAnsiTheme="majorHAnsi"/>
          <w:szCs w:val="16"/>
          <w:lang w:val="es-ES"/>
        </w:rPr>
        <w:t xml:space="preserve">[…] los particulares </w:t>
      </w:r>
      <w:r w:rsidRPr="00504F81">
        <w:rPr>
          <w:rFonts w:asciiTheme="majorHAnsi" w:hAnsiTheme="majorHAnsi"/>
          <w:szCs w:val="16"/>
          <w:lang w:val="es-ES"/>
        </w:rPr>
        <w:t xml:space="preserve">fueron enviados a campos de internamiento del Servicio de Inmigraciones y Naturalización en Texas. En la mayoría de los casos les confiscaron el pasaporte antes de desembarcar, y el Departamento de Estado ordenó a los cónsules estadounidenses en Perú y en otros países que no les expidieran visas antes de la partida. </w:t>
      </w:r>
      <w:r>
        <w:rPr>
          <w:rFonts w:asciiTheme="majorHAnsi" w:hAnsiTheme="majorHAnsi"/>
          <w:szCs w:val="16"/>
          <w:lang w:val="es-ES"/>
        </w:rPr>
        <w:t xml:space="preserve">[…] </w:t>
      </w:r>
      <w:r w:rsidRPr="00504F81">
        <w:rPr>
          <w:rFonts w:asciiTheme="majorHAnsi" w:hAnsiTheme="majorHAnsi"/>
          <w:szCs w:val="16"/>
          <w:lang w:val="es-ES"/>
        </w:rPr>
        <w:t>La clasificación categórica de algun</w:t>
      </w:r>
      <w:r>
        <w:rPr>
          <w:rFonts w:asciiTheme="majorHAnsi" w:hAnsiTheme="majorHAnsi"/>
          <w:szCs w:val="16"/>
          <w:lang w:val="es-ES"/>
        </w:rPr>
        <w:t>as como</w:t>
      </w:r>
      <w:r w:rsidRPr="00504F81">
        <w:rPr>
          <w:rFonts w:asciiTheme="majorHAnsi" w:hAnsiTheme="majorHAnsi"/>
          <w:szCs w:val="16"/>
          <w:lang w:val="es-ES"/>
        </w:rPr>
        <w:t xml:space="preserve"> personas </w:t>
      </w:r>
      <w:r>
        <w:rPr>
          <w:rFonts w:asciiTheme="majorHAnsi" w:hAnsiTheme="majorHAnsi"/>
          <w:szCs w:val="16"/>
          <w:lang w:val="es-ES"/>
        </w:rPr>
        <w:t>‘</w:t>
      </w:r>
      <w:r w:rsidRPr="00504F81">
        <w:rPr>
          <w:rFonts w:asciiTheme="majorHAnsi" w:hAnsiTheme="majorHAnsi"/>
          <w:szCs w:val="16"/>
          <w:lang w:val="es-ES"/>
        </w:rPr>
        <w:t>presuntamente peligrosas</w:t>
      </w:r>
      <w:r>
        <w:rPr>
          <w:rFonts w:asciiTheme="majorHAnsi" w:hAnsiTheme="majorHAnsi"/>
          <w:szCs w:val="16"/>
          <w:lang w:val="es-ES"/>
        </w:rPr>
        <w:t>’</w:t>
      </w:r>
      <w:r w:rsidRPr="00504F81">
        <w:rPr>
          <w:rFonts w:asciiTheme="majorHAnsi" w:hAnsiTheme="majorHAnsi"/>
          <w:szCs w:val="16"/>
          <w:lang w:val="es-ES"/>
        </w:rPr>
        <w:t xml:space="preserve"> posibilitó la deportación de muchos particulares porque Estados Unidos no estaba dispuesto a investigar la necesidad de deportar a cada uno</w:t>
      </w:r>
      <w:r>
        <w:rPr>
          <w:rFonts w:asciiTheme="majorHAnsi" w:hAnsiTheme="majorHAnsi"/>
          <w:szCs w:val="16"/>
          <w:lang w:val="es-ES"/>
        </w:rPr>
        <w:t>”</w:t>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22">
    <w:p w14:paraId="2C320F9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23">
    <w:p w14:paraId="178C17A1"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Testimonio de Isamu Shibayama en la audiencia sobre el fondo.</w:t>
      </w:r>
    </w:p>
  </w:footnote>
  <w:footnote w:id="24">
    <w:p w14:paraId="747328D1"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Declaración de Rose Nishimura en el arreglo </w:t>
      </w:r>
      <w:r w:rsidRPr="00504F81">
        <w:rPr>
          <w:rFonts w:asciiTheme="majorHAnsi" w:hAnsiTheme="majorHAnsi"/>
          <w:i/>
          <w:szCs w:val="16"/>
          <w:lang w:val="es-ES"/>
        </w:rPr>
        <w:t>Mochizuki</w:t>
      </w:r>
      <w:r w:rsidRPr="00504F81">
        <w:rPr>
          <w:rFonts w:asciiTheme="majorHAnsi" w:hAnsiTheme="majorHAnsi"/>
          <w:szCs w:val="16"/>
          <w:lang w:val="es-ES"/>
        </w:rPr>
        <w:t xml:space="preserve"> (6 de enero de 1999). </w:t>
      </w:r>
      <w:r>
        <w:rPr>
          <w:rFonts w:asciiTheme="majorHAnsi" w:hAnsiTheme="majorHAnsi"/>
          <w:szCs w:val="16"/>
          <w:lang w:val="es-ES"/>
        </w:rPr>
        <w:t>Anexo a</w:t>
      </w:r>
      <w:r w:rsidRPr="00504F81">
        <w:rPr>
          <w:rFonts w:asciiTheme="majorHAnsi" w:hAnsiTheme="majorHAnsi"/>
          <w:szCs w:val="16"/>
          <w:lang w:val="es-ES"/>
        </w:rPr>
        <w:t xml:space="preserve"> la carta de los peticionarios del 30 de septiembre de 2003.</w:t>
      </w:r>
    </w:p>
  </w:footnote>
  <w:footnote w:id="25">
    <w:p w14:paraId="00F1D603"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Declaración de Rose Nishimura en el arreglo </w:t>
      </w:r>
      <w:r w:rsidRPr="00504F81">
        <w:rPr>
          <w:rFonts w:asciiTheme="majorHAnsi" w:hAnsiTheme="majorHAnsi"/>
          <w:i/>
          <w:szCs w:val="16"/>
          <w:lang w:val="es-ES"/>
        </w:rPr>
        <w:t>Mochizuki</w:t>
      </w:r>
      <w:r w:rsidRPr="00504F81">
        <w:rPr>
          <w:rFonts w:asciiTheme="majorHAnsi" w:hAnsiTheme="majorHAnsi"/>
          <w:szCs w:val="16"/>
          <w:lang w:val="es-ES"/>
        </w:rPr>
        <w:t xml:space="preserve"> (6 de enero de 1999). </w:t>
      </w:r>
      <w:r>
        <w:rPr>
          <w:rFonts w:asciiTheme="majorHAnsi" w:hAnsiTheme="majorHAnsi"/>
          <w:szCs w:val="16"/>
          <w:lang w:val="es-ES"/>
        </w:rPr>
        <w:t>Anexo a</w:t>
      </w:r>
      <w:r w:rsidRPr="00504F81">
        <w:rPr>
          <w:rFonts w:asciiTheme="majorHAnsi" w:hAnsiTheme="majorHAnsi"/>
          <w:szCs w:val="16"/>
          <w:lang w:val="es-ES"/>
        </w:rPr>
        <w:t xml:space="preserve"> la carta de los peticionarios del 30 de septiembre de 2003.</w:t>
      </w:r>
    </w:p>
  </w:footnote>
  <w:footnote w:id="26">
    <w:p w14:paraId="58ABDCC6"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27">
    <w:p w14:paraId="54416DC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28">
    <w:p w14:paraId="6D1E168E"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29">
    <w:p w14:paraId="3654318F"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Junto con unos 130 “extranjeros enemigos” de Bolivia, Costa Rica y Ecuador.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30">
    <w:p w14:paraId="56FE0B0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31">
    <w:p w14:paraId="6AFAABDD"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32">
    <w:p w14:paraId="2DA03BB1"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 Declaración de Rose A. Nishimura en el arreglo </w:t>
      </w:r>
      <w:r w:rsidRPr="00504F81">
        <w:rPr>
          <w:rFonts w:asciiTheme="majorHAnsi" w:hAnsiTheme="majorHAnsi"/>
          <w:i/>
          <w:szCs w:val="16"/>
          <w:lang w:val="es-ES"/>
        </w:rPr>
        <w:t>Mochizuki</w:t>
      </w:r>
      <w:r w:rsidRPr="00504F81">
        <w:rPr>
          <w:rFonts w:asciiTheme="majorHAnsi" w:hAnsiTheme="majorHAnsi"/>
          <w:szCs w:val="16"/>
          <w:lang w:val="es-ES"/>
        </w:rPr>
        <w:t xml:space="preserve"> (6 de enero de 1999). </w:t>
      </w:r>
      <w:r>
        <w:rPr>
          <w:rFonts w:asciiTheme="majorHAnsi" w:hAnsiTheme="majorHAnsi"/>
          <w:szCs w:val="16"/>
          <w:lang w:val="es-ES"/>
        </w:rPr>
        <w:t>Anexo a</w:t>
      </w:r>
      <w:r w:rsidRPr="00504F81">
        <w:rPr>
          <w:rFonts w:asciiTheme="majorHAnsi" w:hAnsiTheme="majorHAnsi"/>
          <w:szCs w:val="16"/>
          <w:lang w:val="es-ES"/>
        </w:rPr>
        <w:t xml:space="preserve"> la carta de los peticionarios del 30 de septiembre de 2003.</w:t>
      </w:r>
    </w:p>
  </w:footnote>
  <w:footnote w:id="33">
    <w:p w14:paraId="771EB94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34">
    <w:p w14:paraId="70B60F83"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35">
    <w:p w14:paraId="137DFC38"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 Declaración de Rose A. Nishimura en el arreglo </w:t>
      </w:r>
      <w:r w:rsidRPr="00504F81">
        <w:rPr>
          <w:rFonts w:asciiTheme="majorHAnsi" w:hAnsiTheme="majorHAnsi"/>
          <w:i/>
          <w:szCs w:val="16"/>
          <w:lang w:val="es-ES"/>
        </w:rPr>
        <w:t>Mochizuki</w:t>
      </w:r>
      <w:r w:rsidRPr="00504F81">
        <w:rPr>
          <w:rFonts w:asciiTheme="majorHAnsi" w:hAnsiTheme="majorHAnsi"/>
          <w:szCs w:val="16"/>
          <w:lang w:val="es-ES"/>
        </w:rPr>
        <w:t xml:space="preserve"> (6 de enero de 1999). </w:t>
      </w:r>
      <w:r>
        <w:rPr>
          <w:rFonts w:asciiTheme="majorHAnsi" w:hAnsiTheme="majorHAnsi"/>
          <w:szCs w:val="16"/>
          <w:lang w:val="es-ES"/>
        </w:rPr>
        <w:t>Anexo a</w:t>
      </w:r>
      <w:r w:rsidRPr="00504F81">
        <w:rPr>
          <w:rFonts w:asciiTheme="majorHAnsi" w:hAnsiTheme="majorHAnsi"/>
          <w:szCs w:val="16"/>
          <w:lang w:val="es-ES"/>
        </w:rPr>
        <w:t xml:space="preserve"> la carta de los peticionarios del 30 de septiembre de 2003.</w:t>
      </w:r>
    </w:p>
  </w:footnote>
  <w:footnote w:id="36">
    <w:p w14:paraId="6341ABE9"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(reclamación federal presentada 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 </w:t>
      </w:r>
    </w:p>
  </w:footnote>
  <w:footnote w:id="37">
    <w:p w14:paraId="696CF2FE"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38">
    <w:p w14:paraId="13B2E2F4"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39">
    <w:p w14:paraId="50B9549A"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Servicio de Inmigraciones y Naturalización. Transcripción de la audiencia de deportación reabierta (10 de agosto de 1954). </w:t>
      </w:r>
      <w:r>
        <w:rPr>
          <w:rFonts w:asciiTheme="majorHAnsi" w:hAnsiTheme="majorHAnsi"/>
          <w:szCs w:val="16"/>
          <w:lang w:val="es-ES"/>
        </w:rPr>
        <w:t>Anexo a</w:t>
      </w:r>
      <w:r w:rsidRPr="00504F81">
        <w:rPr>
          <w:rFonts w:asciiTheme="majorHAnsi" w:hAnsiTheme="majorHAnsi"/>
          <w:szCs w:val="16"/>
          <w:lang w:val="es-ES"/>
        </w:rPr>
        <w:t xml:space="preserve"> la petición inicial. Los hermanos corrigieron posteriormente esta aseveración, indicando que ellos y sus padres </w:t>
      </w:r>
      <w:r>
        <w:rPr>
          <w:rFonts w:asciiTheme="majorHAnsi" w:hAnsiTheme="majorHAnsi"/>
          <w:szCs w:val="16"/>
          <w:lang w:val="es-ES"/>
        </w:rPr>
        <w:t>“</w:t>
      </w:r>
      <w:r w:rsidRPr="00504F81">
        <w:rPr>
          <w:rFonts w:asciiTheme="majorHAnsi" w:hAnsiTheme="majorHAnsi"/>
          <w:szCs w:val="16"/>
          <w:lang w:val="es-ES"/>
        </w:rPr>
        <w:t>habían sido llevados a Estados Unidos por la fuerza para ser internados en ese país</w:t>
      </w:r>
      <w:r>
        <w:rPr>
          <w:rFonts w:asciiTheme="majorHAnsi" w:hAnsiTheme="majorHAnsi"/>
          <w:szCs w:val="16"/>
          <w:lang w:val="es-ES"/>
        </w:rPr>
        <w:t>”</w:t>
      </w:r>
      <w:r w:rsidRPr="00504F81">
        <w:rPr>
          <w:rFonts w:asciiTheme="majorHAnsi" w:hAnsiTheme="majorHAnsi"/>
          <w:szCs w:val="16"/>
          <w:lang w:val="es-ES"/>
        </w:rPr>
        <w:t>. Íd.</w:t>
      </w:r>
    </w:p>
    <w:p w14:paraId="70EF66FE" w14:textId="77777777" w:rsidR="003F186B" w:rsidRPr="00504F81" w:rsidRDefault="003F186B" w:rsidP="00481E5F">
      <w:pPr>
        <w:pStyle w:val="FootnoteText"/>
        <w:jc w:val="both"/>
        <w:rPr>
          <w:rFonts w:asciiTheme="majorHAnsi" w:hAnsiTheme="majorHAnsi"/>
          <w:szCs w:val="16"/>
          <w:lang w:val="es-ES"/>
        </w:rPr>
      </w:pPr>
      <w:r w:rsidRPr="00504F81">
        <w:rPr>
          <w:rFonts w:asciiTheme="majorHAnsi" w:hAnsiTheme="majorHAnsi"/>
          <w:szCs w:val="16"/>
          <w:lang w:val="es-ES"/>
        </w:rPr>
        <w:tab/>
        <w:t xml:space="preserve">Es posible que hayan recibido esta clasificación porque casi la mitad de los internados japoneses eran familiares, entre ellos hijos de japoneses inmigrantes, que habían pedido que les permitieran reunirse con sus maridos y madres en los campos de internamiento hasta que los deportaran a Japón. A los familiares los clasificaban como “internados voluntarios”.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40">
    <w:p w14:paraId="2B4F1051"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41">
    <w:p w14:paraId="1331B896"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42">
    <w:p w14:paraId="75831F11"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43">
    <w:p w14:paraId="424BC171"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44">
    <w:p w14:paraId="6F48E609"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45">
    <w:p w14:paraId="5AADED3D"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p w14:paraId="5D7334AB" w14:textId="77777777" w:rsidR="003F186B" w:rsidRPr="00504F81" w:rsidRDefault="003F186B" w:rsidP="00481E5F">
      <w:pPr>
        <w:pStyle w:val="FootnoteText"/>
        <w:jc w:val="both"/>
        <w:rPr>
          <w:rFonts w:asciiTheme="majorHAnsi" w:hAnsiTheme="majorHAnsi"/>
          <w:szCs w:val="16"/>
          <w:lang w:val="es-ES"/>
        </w:rPr>
      </w:pPr>
      <w:r w:rsidRPr="00504F81">
        <w:rPr>
          <w:rFonts w:asciiTheme="majorHAnsi" w:hAnsiTheme="majorHAnsi"/>
          <w:szCs w:val="16"/>
          <w:lang w:val="es-ES"/>
        </w:rPr>
        <w:tab/>
        <w:t xml:space="preserve">En </w:t>
      </w:r>
      <w:r w:rsidRPr="00504F81">
        <w:rPr>
          <w:rFonts w:asciiTheme="majorHAnsi" w:hAnsiTheme="majorHAnsi"/>
          <w:i/>
          <w:szCs w:val="16"/>
          <w:lang w:val="es-ES"/>
        </w:rPr>
        <w:t>Personal Justice Denied</w:t>
      </w:r>
      <w:r w:rsidRPr="00504F81">
        <w:rPr>
          <w:rFonts w:asciiTheme="majorHAnsi" w:hAnsiTheme="majorHAnsi"/>
          <w:szCs w:val="16"/>
          <w:lang w:val="es-ES"/>
        </w:rPr>
        <w:t xml:space="preserve"> se señala que Estados Unidos </w:t>
      </w:r>
      <w:r>
        <w:rPr>
          <w:rFonts w:asciiTheme="majorHAnsi" w:hAnsiTheme="majorHAnsi"/>
          <w:szCs w:val="16"/>
          <w:lang w:val="es-ES"/>
        </w:rPr>
        <w:t>“</w:t>
      </w:r>
      <w:r w:rsidRPr="00504F81">
        <w:rPr>
          <w:rFonts w:asciiTheme="majorHAnsi" w:hAnsiTheme="majorHAnsi"/>
          <w:szCs w:val="16"/>
          <w:lang w:val="es-ES"/>
        </w:rPr>
        <w:t xml:space="preserve">trató de devolver a su punto de origen en América Latina a internados que no habían sido clasificados como peligrosos y que se negaban a ser deportados a países del Eje, pero los intereses hemisféricos comunes que habían fomentado la deportación habían </w:t>
      </w:r>
      <w:r>
        <w:rPr>
          <w:rFonts w:asciiTheme="majorHAnsi" w:hAnsiTheme="majorHAnsi"/>
          <w:szCs w:val="16"/>
          <w:lang w:val="es-ES"/>
        </w:rPr>
        <w:t>desvanecido</w:t>
      </w:r>
      <w:r w:rsidRPr="00504F81">
        <w:rPr>
          <w:rFonts w:asciiTheme="majorHAnsi" w:hAnsiTheme="majorHAnsi"/>
          <w:szCs w:val="16"/>
          <w:lang w:val="es-ES"/>
        </w:rPr>
        <w:t xml:space="preserve"> y el gobierno ahora tenía que negociar el retorno de internados a América Latina recurriendo a acuerdos débiles redactados a toda prisa en tiempo de guerra, ya que Estados Unidos no había exigido garantías iniciales en las que se definiera el destino de los deportados después de la guerra.</w:t>
      </w:r>
      <w:r>
        <w:rPr>
          <w:rFonts w:asciiTheme="majorHAnsi" w:hAnsiTheme="majorHAnsi"/>
          <w:szCs w:val="16"/>
          <w:lang w:val="es-ES"/>
        </w:rPr>
        <w:t xml:space="preserve"> […]</w:t>
      </w:r>
      <w:r w:rsidRPr="00504F81">
        <w:rPr>
          <w:rFonts w:asciiTheme="majorHAnsi" w:hAnsiTheme="majorHAnsi"/>
          <w:szCs w:val="16"/>
          <w:lang w:val="es-ES"/>
        </w:rPr>
        <w:t xml:space="preserve"> Perú </w:t>
      </w:r>
      <w:r>
        <w:rPr>
          <w:rFonts w:asciiTheme="majorHAnsi" w:hAnsiTheme="majorHAnsi"/>
          <w:szCs w:val="16"/>
          <w:lang w:val="es-ES"/>
        </w:rPr>
        <w:t xml:space="preserve">[…] </w:t>
      </w:r>
      <w:r w:rsidRPr="00504F81">
        <w:rPr>
          <w:rFonts w:asciiTheme="majorHAnsi" w:hAnsiTheme="majorHAnsi"/>
          <w:szCs w:val="16"/>
          <w:lang w:val="es-ES"/>
        </w:rPr>
        <w:t>quería restringir el retorno de internados japoneses (pero no de alemanes)</w:t>
      </w:r>
      <w:r>
        <w:rPr>
          <w:rFonts w:asciiTheme="majorHAnsi" w:hAnsiTheme="majorHAnsi"/>
          <w:szCs w:val="16"/>
          <w:lang w:val="es-ES"/>
        </w:rPr>
        <w:t>”</w:t>
      </w:r>
      <w:r w:rsidRPr="00504F81">
        <w:rPr>
          <w:rFonts w:asciiTheme="majorHAnsi" w:hAnsiTheme="majorHAnsi"/>
          <w:szCs w:val="16"/>
          <w:lang w:val="es-ES"/>
        </w:rPr>
        <w:t xml:space="preserve">. “Appendix: Latin Americans”, en </w:t>
      </w:r>
      <w:r w:rsidRPr="00504F81">
        <w:rPr>
          <w:rFonts w:asciiTheme="majorHAnsi" w:hAnsiTheme="majorHAnsi"/>
          <w:i/>
          <w:szCs w:val="16"/>
          <w:lang w:val="es-ES"/>
        </w:rPr>
        <w:t>Personal Justice Denied</w:t>
      </w:r>
      <w:r w:rsidRPr="00504F81">
        <w:rPr>
          <w:rFonts w:asciiTheme="majorHAnsi" w:hAnsiTheme="majorHAnsi"/>
          <w:szCs w:val="16"/>
          <w:lang w:val="es-ES"/>
        </w:rPr>
        <w:t>.</w:t>
      </w:r>
      <w:r w:rsidRPr="00504F81">
        <w:rPr>
          <w:rFonts w:asciiTheme="majorHAnsi" w:hAnsiTheme="majorHAnsi"/>
          <w:i/>
          <w:szCs w:val="16"/>
          <w:lang w:val="es-ES"/>
        </w:rPr>
        <w:t xml:space="preserve"> </w:t>
      </w:r>
      <w:r>
        <w:rPr>
          <w:rFonts w:asciiTheme="majorHAnsi" w:hAnsiTheme="majorHAnsi"/>
          <w:szCs w:val="16"/>
          <w:lang w:val="es-ES"/>
        </w:rPr>
        <w:t>Anexo a</w:t>
      </w:r>
      <w:r w:rsidRPr="00504F81">
        <w:rPr>
          <w:rFonts w:asciiTheme="majorHAnsi" w:hAnsiTheme="majorHAnsi"/>
          <w:szCs w:val="16"/>
          <w:lang w:val="es-ES"/>
        </w:rPr>
        <w:t xml:space="preserve"> la carta de los peticionarios del 7 de marzo de 2017.</w:t>
      </w:r>
    </w:p>
  </w:footnote>
  <w:footnote w:id="46">
    <w:p w14:paraId="27B87976" w14:textId="77777777" w:rsidR="003F186B" w:rsidRPr="00504F81" w:rsidRDefault="003F186B" w:rsidP="00481E5F">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Testimonio de los peticionarios en la audiencia sobre el fondo.</w:t>
      </w:r>
    </w:p>
  </w:footnote>
  <w:footnote w:id="47">
    <w:p w14:paraId="6B186893"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48">
    <w:p w14:paraId="2270BEE6" w14:textId="77777777" w:rsidR="003F186B" w:rsidRPr="00504F81" w:rsidRDefault="003F186B" w:rsidP="00481E5F">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Testimonio de Bekki Shibayama en la audiencia sobre el fondo.</w:t>
      </w:r>
    </w:p>
  </w:footnote>
  <w:footnote w:id="49">
    <w:p w14:paraId="5A583BD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Servicio de Inmigraciones y Naturalización.</w:t>
      </w:r>
      <w:r w:rsidRPr="00504F81">
        <w:rPr>
          <w:rFonts w:asciiTheme="majorHAnsi" w:hAnsiTheme="majorHAnsi"/>
          <w:szCs w:val="16"/>
          <w:lang w:val="es-ES"/>
        </w:rPr>
        <w:t xml:space="preserve"> Transcripción de la audiencia de deportación reabierta (10 de agosto de 1954); Estipulación de los hechos en </w:t>
      </w:r>
      <w:r w:rsidRPr="00504F81">
        <w:rPr>
          <w:rFonts w:asciiTheme="majorHAnsi" w:hAnsiTheme="majorHAnsi"/>
          <w:i/>
          <w:szCs w:val="16"/>
          <w:lang w:val="es-ES"/>
        </w:rPr>
        <w:t>Shibayama y otros c. Estados Unidos</w:t>
      </w:r>
      <w:r w:rsidRPr="00504F81">
        <w:rPr>
          <w:rFonts w:asciiTheme="majorHAnsi" w:hAnsiTheme="majorHAnsi"/>
          <w:szCs w:val="16"/>
          <w:lang w:val="es-ES"/>
        </w:rPr>
        <w:t xml:space="preserve"> (presentada </w:t>
      </w:r>
      <w:r>
        <w:rPr>
          <w:rFonts w:asciiTheme="majorHAnsi" w:hAnsiTheme="majorHAnsi"/>
          <w:szCs w:val="16"/>
          <w:lang w:val="es-ES"/>
        </w:rPr>
        <w:t xml:space="preserve">ante el Tribunal de Reclamaciones Federales </w:t>
      </w:r>
      <w:r w:rsidRPr="00504F81">
        <w:rPr>
          <w:rFonts w:asciiTheme="majorHAnsi" w:hAnsiTheme="majorHAnsi"/>
          <w:szCs w:val="16"/>
          <w:lang w:val="es-ES"/>
        </w:rPr>
        <w:t xml:space="preserve">el 2 de agosto de 2000).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0">
    <w:p w14:paraId="05FBBEF6"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 Testimonio de Isamu Shibayama en la audiencia sobre el fondo.</w:t>
      </w:r>
    </w:p>
  </w:footnote>
  <w:footnote w:id="51">
    <w:p w14:paraId="25D9846A"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 </w:t>
      </w:r>
      <w:r w:rsidRPr="00504F81">
        <w:rPr>
          <w:rFonts w:asciiTheme="majorHAnsi" w:hAnsiTheme="majorHAnsi"/>
          <w:i/>
          <w:szCs w:val="16"/>
          <w:lang w:val="es-ES"/>
        </w:rPr>
        <w:t>véase también</w:t>
      </w:r>
      <w:r w:rsidRPr="00504F81">
        <w:rPr>
          <w:rFonts w:asciiTheme="majorHAnsi" w:hAnsiTheme="majorHAnsi"/>
          <w:szCs w:val="16"/>
          <w:lang w:val="es-ES"/>
        </w:rPr>
        <w:t xml:space="preserve"> </w:t>
      </w:r>
      <w:r>
        <w:rPr>
          <w:rFonts w:asciiTheme="majorHAnsi" w:hAnsiTheme="majorHAnsi"/>
          <w:szCs w:val="16"/>
          <w:lang w:val="es-ES"/>
        </w:rPr>
        <w:t>Servicio de Inmigraciones y Naturalización.</w:t>
      </w:r>
      <w:r w:rsidRPr="00504F81">
        <w:rPr>
          <w:rFonts w:asciiTheme="majorHAnsi" w:hAnsiTheme="majorHAnsi"/>
          <w:szCs w:val="16"/>
          <w:lang w:val="es-ES"/>
        </w:rPr>
        <w:t xml:space="preserve"> Transcripción de la audiencia de deportación reabierta (10 de agosto de 1954). </w:t>
      </w:r>
      <w:r>
        <w:rPr>
          <w:rFonts w:asciiTheme="majorHAnsi" w:hAnsiTheme="majorHAnsi"/>
          <w:szCs w:val="16"/>
          <w:lang w:val="es-ES"/>
        </w:rPr>
        <w:t>Anexo a</w:t>
      </w:r>
      <w:r w:rsidRPr="00504F81">
        <w:rPr>
          <w:rFonts w:asciiTheme="majorHAnsi" w:hAnsiTheme="majorHAnsi"/>
          <w:szCs w:val="16"/>
          <w:lang w:val="es-ES"/>
        </w:rPr>
        <w:t xml:space="preserve"> la petición inicial.</w:t>
      </w:r>
    </w:p>
    <w:p w14:paraId="24B98DF5" w14:textId="77777777" w:rsidR="003F186B" w:rsidRPr="00504F81" w:rsidRDefault="003F186B" w:rsidP="00481E5F">
      <w:pPr>
        <w:pStyle w:val="FootnoteText"/>
        <w:jc w:val="both"/>
        <w:rPr>
          <w:rFonts w:asciiTheme="majorHAnsi" w:hAnsiTheme="majorHAnsi"/>
          <w:szCs w:val="16"/>
          <w:lang w:val="es-ES"/>
        </w:rPr>
      </w:pPr>
      <w:r w:rsidRPr="00504F81">
        <w:rPr>
          <w:rFonts w:asciiTheme="majorHAnsi" w:hAnsiTheme="majorHAnsi"/>
          <w:szCs w:val="16"/>
          <w:lang w:val="es-ES"/>
        </w:rPr>
        <w:tab/>
        <w:t xml:space="preserve">A diferencia del trato recibido por Isamu Shibayama de las autoridades </w:t>
      </w:r>
      <w:r>
        <w:rPr>
          <w:rFonts w:asciiTheme="majorHAnsi" w:hAnsiTheme="majorHAnsi"/>
          <w:szCs w:val="16"/>
          <w:lang w:val="es-ES"/>
        </w:rPr>
        <w:t>migratorias</w:t>
      </w:r>
      <w:r w:rsidRPr="00504F81">
        <w:rPr>
          <w:rFonts w:asciiTheme="majorHAnsi" w:hAnsiTheme="majorHAnsi"/>
          <w:szCs w:val="16"/>
          <w:lang w:val="es-ES"/>
        </w:rPr>
        <w:t xml:space="preserve">, al parecer hubo algunos peruanos japoneses que se encontraban en una situación similar, que habían sido secuestrados y llevados a Estados Unidos sin condición de inmigrantes legales, pero que obtuvieron la ciudadanía en virtud de la misma ley después de servir en las fuerzas armadas. </w:t>
      </w:r>
      <w:r w:rsidRPr="00504F81">
        <w:rPr>
          <w:rFonts w:asciiTheme="majorHAnsi" w:hAnsiTheme="majorHAnsi"/>
          <w:i/>
          <w:szCs w:val="16"/>
          <w:lang w:val="es-ES"/>
        </w:rPr>
        <w:t xml:space="preserve">Véase </w:t>
      </w:r>
      <w:r w:rsidRPr="00504F81">
        <w:rPr>
          <w:rFonts w:asciiTheme="majorHAnsi" w:hAnsiTheme="majorHAnsi"/>
          <w:szCs w:val="16"/>
          <w:lang w:val="es-ES"/>
        </w:rPr>
        <w:t xml:space="preserve">Carta de Juan Kudo a Valerie O’Brian, Oficina de Administración de Reparaciones (29 de noviembre de 1988).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2">
    <w:p w14:paraId="7D87B35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w:t>
      </w:r>
      <w:r>
        <w:rPr>
          <w:rFonts w:asciiTheme="majorHAnsi" w:hAnsiTheme="majorHAnsi"/>
          <w:szCs w:val="16"/>
          <w:lang w:val="es-ES"/>
        </w:rPr>
        <w:t>Servicio de Inmigraciones y Naturalización.</w:t>
      </w:r>
      <w:r w:rsidRPr="00504F81">
        <w:rPr>
          <w:rFonts w:asciiTheme="majorHAnsi" w:hAnsiTheme="majorHAnsi"/>
          <w:szCs w:val="16"/>
          <w:lang w:val="es-ES"/>
        </w:rPr>
        <w:t xml:space="preserve"> Transcripción de la audiencia de deportación reabierta (10 de agosto de 1954).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3">
    <w:p w14:paraId="59F8DBF0" w14:textId="77777777" w:rsidR="003F186B" w:rsidRPr="00504F81" w:rsidRDefault="003F186B" w:rsidP="00481E5F">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Testimonio de los peticionarios en la audiencia sobre el fondo.</w:t>
      </w:r>
    </w:p>
  </w:footnote>
  <w:footnote w:id="54">
    <w:p w14:paraId="3B1A686B"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5">
    <w:p w14:paraId="7F24AFBA"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6">
    <w:p w14:paraId="3D767120"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7">
    <w:p w14:paraId="03DEAA87"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58">
    <w:p w14:paraId="10409E9D"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Declaración de Rose Nishimura en el arreglo </w:t>
      </w:r>
      <w:r w:rsidRPr="00504F81">
        <w:rPr>
          <w:rFonts w:asciiTheme="majorHAnsi" w:hAnsiTheme="majorHAnsi"/>
          <w:i/>
          <w:szCs w:val="16"/>
          <w:lang w:val="es-ES"/>
        </w:rPr>
        <w:t>Mochizuki</w:t>
      </w:r>
      <w:r w:rsidRPr="00504F81">
        <w:rPr>
          <w:rFonts w:asciiTheme="majorHAnsi" w:hAnsiTheme="majorHAnsi"/>
          <w:szCs w:val="16"/>
          <w:lang w:val="es-ES"/>
        </w:rPr>
        <w:t xml:space="preserve"> (6 de enero de 1999). </w:t>
      </w:r>
      <w:r>
        <w:rPr>
          <w:rFonts w:asciiTheme="majorHAnsi" w:hAnsiTheme="majorHAnsi"/>
          <w:szCs w:val="16"/>
          <w:lang w:val="es-ES"/>
        </w:rPr>
        <w:t>Anexo a</w:t>
      </w:r>
      <w:r w:rsidRPr="00504F81">
        <w:rPr>
          <w:rFonts w:asciiTheme="majorHAnsi" w:hAnsiTheme="majorHAnsi"/>
          <w:szCs w:val="16"/>
          <w:lang w:val="es-ES"/>
        </w:rPr>
        <w:t xml:space="preserve"> la carta de los peticionarios del 30 de septiembre de 2003.</w:t>
      </w:r>
    </w:p>
  </w:footnote>
  <w:footnote w:id="59">
    <w:p w14:paraId="1A11AEE6"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Texto de la Ley de Libertades Civiles de 1988.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60">
    <w:p w14:paraId="336F7A6F" w14:textId="77777777" w:rsidR="003F186B" w:rsidRPr="00504F81" w:rsidRDefault="003F186B" w:rsidP="00481E5F">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Ley de Libertades Civiles de 1988, Código de Estados Unidos, Título 50, artículo 1989b-7(2).</w:t>
      </w:r>
    </w:p>
  </w:footnote>
  <w:footnote w:id="61">
    <w:p w14:paraId="56B8B5B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Por ejemplo, la madre y una hermana de los hermanos Shibayama obtuvieron reparación en virtud de la Ley de Libertades Civiles porque habían recibido la condición de residentes permanentes con carácter retroactivo: al parecer, la madre logró </w:t>
      </w:r>
      <w:r>
        <w:rPr>
          <w:rFonts w:asciiTheme="majorHAnsi" w:hAnsiTheme="majorHAnsi"/>
          <w:szCs w:val="16"/>
          <w:lang w:val="es-ES"/>
        </w:rPr>
        <w:t xml:space="preserve">regularizar </w:t>
      </w:r>
      <w:r w:rsidRPr="00504F81">
        <w:rPr>
          <w:rFonts w:asciiTheme="majorHAnsi" w:hAnsiTheme="majorHAnsi"/>
          <w:szCs w:val="16"/>
          <w:lang w:val="es-ES"/>
        </w:rPr>
        <w:t xml:space="preserve">su condición migratoria en 1952, aproximadamente, sin salir de Estados Unidos, y la hermana se casó con un ciudadano estadounidense y de esa manera </w:t>
      </w:r>
      <w:r>
        <w:rPr>
          <w:rFonts w:asciiTheme="majorHAnsi" w:hAnsiTheme="majorHAnsi"/>
          <w:szCs w:val="16"/>
          <w:lang w:val="es-ES"/>
        </w:rPr>
        <w:t xml:space="preserve">pudo regularizar </w:t>
      </w:r>
      <w:r w:rsidRPr="00504F81">
        <w:rPr>
          <w:rFonts w:asciiTheme="majorHAnsi" w:hAnsiTheme="majorHAnsi"/>
          <w:szCs w:val="16"/>
          <w:lang w:val="es-ES"/>
        </w:rPr>
        <w:t xml:space="preserve">su condición migratoria con efecto retroactivo. </w:t>
      </w:r>
      <w:r w:rsidRPr="00504F81">
        <w:rPr>
          <w:rFonts w:asciiTheme="majorHAnsi" w:hAnsiTheme="majorHAnsi"/>
          <w:i/>
          <w:szCs w:val="16"/>
          <w:lang w:val="es-ES"/>
        </w:rPr>
        <w:t>Véase, por ejemplo,</w:t>
      </w:r>
      <w:r w:rsidRPr="00504F81">
        <w:rPr>
          <w:rFonts w:asciiTheme="majorHAnsi" w:hAnsiTheme="majorHAnsi"/>
          <w:szCs w:val="16"/>
          <w:lang w:val="es-ES"/>
        </w:rPr>
        <w:t xml:space="preserve"> la petición inicial en 1; </w:t>
      </w:r>
      <w:r>
        <w:rPr>
          <w:rFonts w:asciiTheme="majorHAnsi" w:hAnsiTheme="majorHAnsi"/>
          <w:szCs w:val="16"/>
          <w:lang w:val="es-ES"/>
        </w:rPr>
        <w:t>Servicio de Inmigraciones y Naturalización.</w:t>
      </w:r>
      <w:r w:rsidRPr="00504F81">
        <w:rPr>
          <w:rFonts w:asciiTheme="majorHAnsi" w:hAnsiTheme="majorHAnsi"/>
          <w:szCs w:val="16"/>
          <w:lang w:val="es-ES"/>
        </w:rPr>
        <w:t xml:space="preserve"> Transcripción de la audiencia de deportación reabierta (10 de agosto de 1954).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62">
    <w:p w14:paraId="0720DD18"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Texto de la Ley de Libertades Civiles de 1988. </w:t>
      </w:r>
      <w:r>
        <w:rPr>
          <w:rFonts w:asciiTheme="majorHAnsi" w:hAnsiTheme="majorHAnsi"/>
          <w:szCs w:val="16"/>
          <w:lang w:val="es-ES"/>
        </w:rPr>
        <w:t>Anexo a</w:t>
      </w:r>
      <w:r w:rsidRPr="00504F81">
        <w:rPr>
          <w:rFonts w:asciiTheme="majorHAnsi" w:hAnsiTheme="majorHAnsi"/>
          <w:szCs w:val="16"/>
          <w:lang w:val="es-ES"/>
        </w:rPr>
        <w:t xml:space="preserve"> la petición inicial; </w:t>
      </w:r>
      <w:r w:rsidRPr="00504F81">
        <w:rPr>
          <w:rFonts w:asciiTheme="majorHAnsi" w:hAnsiTheme="majorHAnsi"/>
          <w:i/>
          <w:szCs w:val="16"/>
          <w:lang w:val="es-ES"/>
        </w:rPr>
        <w:t>véase también</w:t>
      </w:r>
      <w:r w:rsidRPr="00504F81">
        <w:rPr>
          <w:rFonts w:asciiTheme="majorHAnsi" w:hAnsiTheme="majorHAnsi"/>
          <w:szCs w:val="16"/>
          <w:lang w:val="es-ES"/>
        </w:rPr>
        <w:t xml:space="preserve"> </w:t>
      </w:r>
      <w:r w:rsidRPr="00504F81">
        <w:rPr>
          <w:rFonts w:asciiTheme="majorHAnsi" w:hAnsiTheme="majorHAnsi"/>
          <w:color w:val="auto"/>
          <w:szCs w:val="16"/>
          <w:lang w:val="es-ES"/>
        </w:rPr>
        <w:t xml:space="preserve">CIDH, Informe No. 26/06. Caso 12.545. Admisibilidad. </w:t>
      </w:r>
      <w:r w:rsidRPr="00AB271B">
        <w:rPr>
          <w:rFonts w:asciiTheme="majorHAnsi" w:hAnsiTheme="majorHAnsi"/>
          <w:i/>
          <w:color w:val="auto"/>
          <w:szCs w:val="16"/>
          <w:lang w:val="es-ES"/>
        </w:rPr>
        <w:t>I</w:t>
      </w:r>
      <w:r w:rsidRPr="00504F81">
        <w:rPr>
          <w:rFonts w:asciiTheme="majorHAnsi" w:hAnsiTheme="majorHAnsi"/>
          <w:i/>
          <w:color w:val="auto"/>
          <w:szCs w:val="16"/>
          <w:lang w:val="es-ES"/>
        </w:rPr>
        <w:t>samu Carlos Shibayama y otros c. Estados Unidos</w:t>
      </w:r>
      <w:r w:rsidRPr="00504F81">
        <w:rPr>
          <w:rFonts w:asciiTheme="majorHAnsi" w:hAnsiTheme="majorHAnsi"/>
          <w:color w:val="auto"/>
          <w:szCs w:val="16"/>
          <w:lang w:val="es-ES"/>
        </w:rPr>
        <w:t>. 16 de marzo de 2006, párrs. 49-50.</w:t>
      </w:r>
    </w:p>
  </w:footnote>
  <w:footnote w:id="63">
    <w:p w14:paraId="12CE957F"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 </w:t>
      </w:r>
    </w:p>
  </w:footnote>
  <w:footnote w:id="64">
    <w:p w14:paraId="1A49F05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65">
    <w:p w14:paraId="219542B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66">
    <w:p w14:paraId="762C7663"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w:t>
      </w:r>
      <w:r w:rsidRPr="00B1349B">
        <w:rPr>
          <w:rFonts w:asciiTheme="majorHAnsi" w:hAnsiTheme="majorHAnsi"/>
          <w:szCs w:val="16"/>
          <w:lang w:val="es-ES"/>
        </w:rPr>
        <w:t>Tribunal de Reclamaciones Federales de Estados Unidos</w:t>
      </w:r>
      <w:r>
        <w:rPr>
          <w:rFonts w:asciiTheme="majorHAnsi" w:hAnsiTheme="majorHAnsi"/>
          <w:szCs w:val="16"/>
          <w:lang w:val="es-ES"/>
        </w:rPr>
        <w:t>,</w:t>
      </w:r>
      <w:r w:rsidRPr="00B1349B">
        <w:rPr>
          <w:rFonts w:asciiTheme="majorHAnsi" w:hAnsiTheme="majorHAnsi"/>
          <w:szCs w:val="16"/>
          <w:lang w:val="es-ES"/>
        </w:rPr>
        <w:t xml:space="preserve"> </w:t>
      </w:r>
      <w:r w:rsidRPr="00504F81">
        <w:rPr>
          <w:rFonts w:asciiTheme="majorHAnsi" w:hAnsiTheme="majorHAnsi"/>
          <w:szCs w:val="16"/>
          <w:lang w:val="es-ES"/>
        </w:rPr>
        <w:t>41</w:t>
      </w:r>
      <w:r>
        <w:rPr>
          <w:rFonts w:asciiTheme="majorHAnsi" w:hAnsiTheme="majorHAnsi"/>
          <w:szCs w:val="16"/>
          <w:lang w:val="es-ES"/>
        </w:rPr>
        <w:t xml:space="preserve">, en </w:t>
      </w:r>
      <w:r w:rsidRPr="00504F81">
        <w:rPr>
          <w:rFonts w:asciiTheme="majorHAnsi" w:hAnsiTheme="majorHAnsi"/>
          <w:szCs w:val="16"/>
          <w:lang w:val="es-ES"/>
        </w:rPr>
        <w:t>54 (1998).</w:t>
      </w:r>
    </w:p>
  </w:footnote>
  <w:footnote w:id="67">
    <w:p w14:paraId="22C697FF"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68">
    <w:p w14:paraId="37C1D7FF"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69">
    <w:p w14:paraId="22881A9E"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Orden de traslado (Tribunal Federal de Primera Instancia para el Distrito del Norte de California, 12 de octubre de 1999). </w:t>
      </w:r>
      <w:r>
        <w:rPr>
          <w:rFonts w:asciiTheme="majorHAnsi" w:hAnsiTheme="majorHAnsi"/>
          <w:szCs w:val="16"/>
          <w:lang w:val="es-ES"/>
        </w:rPr>
        <w:t>Anexo a</w:t>
      </w:r>
      <w:r w:rsidRPr="00504F81">
        <w:rPr>
          <w:rFonts w:asciiTheme="majorHAnsi" w:hAnsiTheme="majorHAnsi"/>
          <w:szCs w:val="16"/>
          <w:lang w:val="es-ES"/>
        </w:rPr>
        <w:t xml:space="preserve"> la petición inicial. </w:t>
      </w:r>
    </w:p>
  </w:footnote>
  <w:footnote w:id="70">
    <w:p w14:paraId="5A71F617" w14:textId="77777777" w:rsidR="003F186B" w:rsidRPr="00504F81" w:rsidRDefault="003F186B" w:rsidP="00457E63">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3F186B">
        <w:rPr>
          <w:rFonts w:asciiTheme="majorHAnsi" w:hAnsiTheme="majorHAnsi"/>
          <w:lang w:val="es-ES"/>
        </w:rPr>
        <w:t xml:space="preserve"> Archivos Nacionales. </w:t>
      </w:r>
      <w:r w:rsidRPr="003F186B">
        <w:rPr>
          <w:rFonts w:asciiTheme="majorHAnsi" w:hAnsiTheme="majorHAnsi"/>
          <w:i/>
          <w:lang w:val="es-ES"/>
        </w:rPr>
        <w:t>Japanese Americans: Search the Compensation and Reparations for the Evacuation, Relocation, and Internment Index (Redress Case Files)</w:t>
      </w:r>
      <w:r w:rsidRPr="003F186B">
        <w:rPr>
          <w:rFonts w:asciiTheme="majorHAnsi" w:hAnsiTheme="majorHAnsi"/>
          <w:lang w:val="es-ES"/>
        </w:rPr>
        <w:t xml:space="preserve"> (última revisión: 22 de febrero de 2017). </w:t>
      </w:r>
      <w:r w:rsidRPr="00504F81">
        <w:rPr>
          <w:rFonts w:asciiTheme="majorHAnsi" w:hAnsiTheme="majorHAnsi"/>
          <w:lang w:val="es-ES"/>
        </w:rPr>
        <w:t xml:space="preserve">Se encuentra en </w:t>
      </w:r>
      <w:hyperlink r:id="rId3" w:history="1">
        <w:r w:rsidRPr="00504F81">
          <w:rPr>
            <w:rStyle w:val="Hyperlink"/>
            <w:rFonts w:asciiTheme="majorHAnsi" w:hAnsiTheme="majorHAnsi"/>
            <w:lang w:val="es-ES"/>
          </w:rPr>
          <w:t>https://www.archives.gov/research/japanese-americans/redress</w:t>
        </w:r>
      </w:hyperlink>
      <w:r w:rsidRPr="00504F81">
        <w:rPr>
          <w:rFonts w:asciiTheme="majorHAnsi" w:hAnsiTheme="majorHAnsi"/>
          <w:lang w:val="es-ES"/>
        </w:rPr>
        <w:t xml:space="preserve">. </w:t>
      </w:r>
    </w:p>
  </w:footnote>
  <w:footnote w:id="71">
    <w:p w14:paraId="60FAB043"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Orden del Tribunal de Reclamaciones Federales de Estados Unidos (3 de enero de 2003); </w:t>
      </w:r>
      <w:r w:rsidRPr="00504F81">
        <w:rPr>
          <w:rFonts w:asciiTheme="majorHAnsi" w:hAnsiTheme="majorHAnsi"/>
          <w:i/>
          <w:szCs w:val="16"/>
          <w:lang w:val="es-ES"/>
        </w:rPr>
        <w:t>véase también</w:t>
      </w:r>
      <w:r w:rsidRPr="00504F81">
        <w:rPr>
          <w:rFonts w:asciiTheme="majorHAnsi" w:hAnsiTheme="majorHAnsi"/>
          <w:szCs w:val="16"/>
          <w:lang w:val="es-ES"/>
        </w:rPr>
        <w:t xml:space="preserve"> Opinión del Tribunal de Reclamaciones Federales de Estados Unidos (19 de diciembre de 2002).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72">
    <w:p w14:paraId="0C48E75D"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Orden del Tribunal de Reclamaciones Federales de Estados Unidos (3 de enero de 2003).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73">
    <w:p w14:paraId="63E09946"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Orden del Tribunal de Reclamaciones Federales de Estados Unidos (3 de enero de 2003).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74">
    <w:p w14:paraId="3A64FF00"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Petición inicial, en la nota 14 de pie de página.</w:t>
      </w:r>
    </w:p>
  </w:footnote>
  <w:footnote w:id="75">
    <w:p w14:paraId="4F978468"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w:t>
      </w:r>
      <w:r>
        <w:rPr>
          <w:rFonts w:asciiTheme="majorHAnsi" w:hAnsiTheme="majorHAnsi"/>
          <w:szCs w:val="16"/>
          <w:lang w:val="es-ES"/>
        </w:rPr>
        <w:t>,</w:t>
      </w:r>
      <w:r w:rsidRPr="00504F81">
        <w:rPr>
          <w:rFonts w:asciiTheme="majorHAnsi" w:hAnsiTheme="majorHAnsi"/>
          <w:szCs w:val="16"/>
          <w:lang w:val="es-ES"/>
        </w:rPr>
        <w:t xml:space="preserve"> 29-30.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76">
    <w:p w14:paraId="02BF68B8"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w:t>
      </w:r>
      <w:r>
        <w:rPr>
          <w:rFonts w:asciiTheme="majorHAnsi" w:hAnsiTheme="majorHAnsi"/>
          <w:szCs w:val="16"/>
          <w:lang w:val="es-ES"/>
        </w:rPr>
        <w:t>nidos (19 de diciembre de 2002),</w:t>
      </w:r>
      <w:r w:rsidRPr="00504F81">
        <w:rPr>
          <w:rFonts w:asciiTheme="majorHAnsi" w:hAnsiTheme="majorHAnsi"/>
          <w:szCs w:val="16"/>
          <w:lang w:val="es-ES"/>
        </w:rPr>
        <w:t xml:space="preserve"> 30-32.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77">
    <w:p w14:paraId="042113A5"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Íd. en 33 (donde se cita el caso de </w:t>
      </w:r>
      <w:r w:rsidRPr="00504F81">
        <w:rPr>
          <w:rFonts w:asciiTheme="majorHAnsi" w:hAnsiTheme="majorHAnsi"/>
          <w:i/>
          <w:szCs w:val="16"/>
          <w:lang w:val="es-ES"/>
        </w:rPr>
        <w:t>Kanemoto c. Reno</w:t>
      </w:r>
      <w:r w:rsidRPr="00504F81">
        <w:rPr>
          <w:rFonts w:asciiTheme="majorHAnsi" w:hAnsiTheme="majorHAnsi"/>
          <w:szCs w:val="16"/>
          <w:lang w:val="es-ES"/>
        </w:rPr>
        <w:t>, 41 F.3d 641, 646 [</w:t>
      </w:r>
      <w:r w:rsidRPr="00AB271B">
        <w:rPr>
          <w:rFonts w:asciiTheme="majorHAnsi" w:hAnsiTheme="majorHAnsi"/>
          <w:szCs w:val="16"/>
          <w:lang w:val="es-ES"/>
        </w:rPr>
        <w:t>Tribunal Federal de Apelaciones para el Circuito Federal</w:t>
      </w:r>
      <w:r>
        <w:rPr>
          <w:rFonts w:asciiTheme="majorHAnsi" w:hAnsiTheme="majorHAnsi"/>
          <w:szCs w:val="16"/>
          <w:lang w:val="es-ES"/>
        </w:rPr>
        <w:t xml:space="preserve">, </w:t>
      </w:r>
      <w:r w:rsidRPr="00504F81">
        <w:rPr>
          <w:rFonts w:asciiTheme="majorHAnsi" w:hAnsiTheme="majorHAnsi"/>
          <w:szCs w:val="16"/>
          <w:lang w:val="es-ES"/>
        </w:rPr>
        <w:t>1994]).</w:t>
      </w:r>
    </w:p>
  </w:footnote>
  <w:footnote w:id="78">
    <w:p w14:paraId="03FB4849"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w:t>
      </w:r>
      <w:r w:rsidRPr="00AB271B">
        <w:rPr>
          <w:rFonts w:asciiTheme="majorHAnsi" w:hAnsiTheme="majorHAnsi"/>
          <w:szCs w:val="16"/>
          <w:lang w:val="es-ES"/>
        </w:rPr>
        <w:t>Tribunal de Reclamaciones Federales de Estados Unidos</w:t>
      </w:r>
      <w:r>
        <w:rPr>
          <w:rFonts w:asciiTheme="majorHAnsi" w:hAnsiTheme="majorHAnsi"/>
          <w:szCs w:val="16"/>
          <w:lang w:val="es-ES"/>
        </w:rPr>
        <w:t>, 52,</w:t>
      </w:r>
      <w:r w:rsidRPr="00504F81">
        <w:rPr>
          <w:rFonts w:asciiTheme="majorHAnsi" w:hAnsiTheme="majorHAnsi"/>
          <w:szCs w:val="16"/>
          <w:lang w:val="es-ES"/>
        </w:rPr>
        <w:t xml:space="preserve"> </w:t>
      </w:r>
      <w:r>
        <w:rPr>
          <w:rFonts w:asciiTheme="majorHAnsi" w:hAnsiTheme="majorHAnsi"/>
          <w:szCs w:val="16"/>
          <w:lang w:val="es-ES"/>
        </w:rPr>
        <w:t>en</w:t>
      </w:r>
      <w:r w:rsidRPr="00504F81">
        <w:rPr>
          <w:rFonts w:asciiTheme="majorHAnsi" w:hAnsiTheme="majorHAnsi"/>
          <w:szCs w:val="16"/>
          <w:lang w:val="es-ES"/>
        </w:rPr>
        <w:t xml:space="preserve"> 440-444.</w:t>
      </w:r>
    </w:p>
  </w:footnote>
  <w:footnote w:id="79">
    <w:p w14:paraId="5A10CA7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w:t>
      </w:r>
      <w:r>
        <w:rPr>
          <w:rFonts w:asciiTheme="majorHAnsi" w:hAnsiTheme="majorHAnsi"/>
          <w:szCs w:val="16"/>
          <w:lang w:val="es-ES"/>
        </w:rPr>
        <w:t xml:space="preserve">nidos (19 de diciembre de 2002), </w:t>
      </w:r>
      <w:r w:rsidRPr="00504F81">
        <w:rPr>
          <w:rFonts w:asciiTheme="majorHAnsi" w:hAnsiTheme="majorHAnsi"/>
          <w:szCs w:val="16"/>
          <w:lang w:val="es-ES"/>
        </w:rPr>
        <w:t xml:space="preserve">37.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80">
    <w:p w14:paraId="5134EDE9"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w:t>
      </w:r>
      <w:r>
        <w:rPr>
          <w:rFonts w:asciiTheme="majorHAnsi" w:hAnsiTheme="majorHAnsi"/>
          <w:szCs w:val="16"/>
          <w:lang w:val="es-ES"/>
        </w:rPr>
        <w:t>,</w:t>
      </w:r>
      <w:r w:rsidRPr="00504F81">
        <w:rPr>
          <w:rFonts w:asciiTheme="majorHAnsi" w:hAnsiTheme="majorHAnsi"/>
          <w:szCs w:val="16"/>
          <w:lang w:val="es-ES"/>
        </w:rPr>
        <w:t xml:space="preserve"> 40.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81">
    <w:p w14:paraId="7697E80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w:t>
      </w:r>
      <w:r>
        <w:rPr>
          <w:rFonts w:asciiTheme="majorHAnsi" w:hAnsiTheme="majorHAnsi"/>
          <w:szCs w:val="16"/>
          <w:lang w:val="es-ES"/>
        </w:rPr>
        <w:t>,</w:t>
      </w:r>
      <w:r w:rsidRPr="00504F81">
        <w:rPr>
          <w:rFonts w:asciiTheme="majorHAnsi" w:hAnsiTheme="majorHAnsi"/>
          <w:szCs w:val="16"/>
          <w:lang w:val="es-ES"/>
        </w:rPr>
        <w:t xml:space="preserve"> 39-40.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82">
    <w:p w14:paraId="3CADFD7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Opinión del Tribunal de Reclamaciones Federales de Estados Unidos (19 de diciembre de 2002)</w:t>
      </w:r>
      <w:r>
        <w:rPr>
          <w:rFonts w:asciiTheme="majorHAnsi" w:hAnsiTheme="majorHAnsi"/>
          <w:szCs w:val="16"/>
          <w:lang w:val="es-ES"/>
        </w:rPr>
        <w:t>,</w:t>
      </w:r>
      <w:r w:rsidRPr="00504F81">
        <w:rPr>
          <w:rFonts w:asciiTheme="majorHAnsi" w:hAnsiTheme="majorHAnsi"/>
          <w:szCs w:val="16"/>
          <w:lang w:val="es-ES"/>
        </w:rPr>
        <w:t xml:space="preserve"> 41. </w:t>
      </w:r>
      <w:r>
        <w:rPr>
          <w:rFonts w:asciiTheme="majorHAnsi" w:hAnsiTheme="majorHAnsi"/>
          <w:szCs w:val="16"/>
          <w:lang w:val="es-ES"/>
        </w:rPr>
        <w:t>Anexo a</w:t>
      </w:r>
      <w:r w:rsidRPr="00504F81">
        <w:rPr>
          <w:rFonts w:asciiTheme="majorHAnsi" w:hAnsiTheme="majorHAnsi"/>
          <w:szCs w:val="16"/>
          <w:lang w:val="es-ES"/>
        </w:rPr>
        <w:t xml:space="preserve"> la petición inicial.</w:t>
      </w:r>
    </w:p>
  </w:footnote>
  <w:footnote w:id="83">
    <w:p w14:paraId="79E251E3" w14:textId="77777777" w:rsidR="003F186B" w:rsidRPr="00504F81" w:rsidRDefault="003F186B" w:rsidP="00481E5F">
      <w:pPr>
        <w:pStyle w:val="FootnoteText"/>
        <w:jc w:val="both"/>
        <w:rPr>
          <w:rFonts w:asciiTheme="majorHAnsi" w:hAnsiTheme="majorHAnsi"/>
          <w: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w:t>
      </w:r>
      <w:r w:rsidRPr="00504F81">
        <w:rPr>
          <w:rFonts w:asciiTheme="majorHAnsi" w:hAnsiTheme="majorHAnsi"/>
          <w:color w:val="auto"/>
          <w:szCs w:val="16"/>
          <w:lang w:val="es-ES"/>
        </w:rPr>
        <w:t xml:space="preserve">CIDH, Informe No. 26/06. Caso 12.545. Admisibilidad. </w:t>
      </w:r>
      <w:r w:rsidRPr="0038312C">
        <w:rPr>
          <w:rFonts w:asciiTheme="majorHAnsi" w:hAnsiTheme="majorHAnsi"/>
          <w:i/>
          <w:color w:val="auto"/>
          <w:szCs w:val="16"/>
          <w:lang w:val="es-ES"/>
        </w:rPr>
        <w:t>Isamu Carlos Shibayama y otros c. Estados Unidos</w:t>
      </w:r>
      <w:r w:rsidRPr="00504F81">
        <w:rPr>
          <w:rFonts w:asciiTheme="majorHAnsi" w:hAnsiTheme="majorHAnsi"/>
          <w:color w:val="auto"/>
          <w:szCs w:val="16"/>
          <w:lang w:val="es-ES"/>
        </w:rPr>
        <w:t xml:space="preserve">. 16 de marzo de 2006, párrs. 50-51; </w:t>
      </w:r>
      <w:r w:rsidRPr="00504F81">
        <w:rPr>
          <w:rFonts w:asciiTheme="majorHAnsi" w:hAnsiTheme="majorHAnsi"/>
          <w:i/>
          <w:color w:val="auto"/>
          <w:szCs w:val="16"/>
          <w:lang w:val="es-ES"/>
        </w:rPr>
        <w:t>véase también</w:t>
      </w:r>
      <w:r w:rsidRPr="00504F81">
        <w:rPr>
          <w:rFonts w:asciiTheme="majorHAnsi" w:hAnsiTheme="majorHAnsi"/>
          <w:color w:val="auto"/>
          <w:szCs w:val="16"/>
          <w:lang w:val="es-ES"/>
        </w:rPr>
        <w:t xml:space="preserve"> Orden en el caso </w:t>
      </w:r>
      <w:r w:rsidRPr="00504F81">
        <w:rPr>
          <w:rFonts w:asciiTheme="majorHAnsi" w:hAnsiTheme="majorHAnsi"/>
          <w:i/>
          <w:color w:val="auto"/>
          <w:szCs w:val="16"/>
          <w:lang w:val="es-ES"/>
        </w:rPr>
        <w:t>Shima c. Estados Unidos</w:t>
      </w:r>
      <w:r w:rsidRPr="00504F81">
        <w:rPr>
          <w:rFonts w:asciiTheme="majorHAnsi" w:hAnsiTheme="majorHAnsi"/>
          <w:color w:val="auto"/>
          <w:szCs w:val="16"/>
          <w:lang w:val="es-ES"/>
        </w:rPr>
        <w:t xml:space="preserve"> (Tribunal Federal de Distrito para el Distrito Central de California, 7 de julio de 2000) (en la cual se da lugar a</w:t>
      </w:r>
      <w:r>
        <w:rPr>
          <w:rFonts w:asciiTheme="majorHAnsi" w:hAnsiTheme="majorHAnsi"/>
          <w:color w:val="auto"/>
          <w:szCs w:val="16"/>
          <w:lang w:val="es-ES"/>
        </w:rPr>
        <w:t xml:space="preserve"> la petición </w:t>
      </w:r>
      <w:r w:rsidRPr="00504F81">
        <w:rPr>
          <w:rFonts w:asciiTheme="majorHAnsi" w:hAnsiTheme="majorHAnsi"/>
          <w:color w:val="auto"/>
          <w:szCs w:val="16"/>
          <w:lang w:val="es-ES"/>
        </w:rPr>
        <w:t>de desestimación presentad</w:t>
      </w:r>
      <w:r>
        <w:rPr>
          <w:rFonts w:asciiTheme="majorHAnsi" w:hAnsiTheme="majorHAnsi"/>
          <w:color w:val="auto"/>
          <w:szCs w:val="16"/>
          <w:lang w:val="es-ES"/>
        </w:rPr>
        <w:t>a</w:t>
      </w:r>
      <w:r w:rsidRPr="00504F81">
        <w:rPr>
          <w:rFonts w:asciiTheme="majorHAnsi" w:hAnsiTheme="majorHAnsi"/>
          <w:color w:val="auto"/>
          <w:szCs w:val="16"/>
          <w:lang w:val="es-ES"/>
        </w:rPr>
        <w:t xml:space="preserve"> por el demandado); Orden en el caso </w:t>
      </w:r>
      <w:r w:rsidRPr="00504F81">
        <w:rPr>
          <w:rFonts w:asciiTheme="majorHAnsi" w:hAnsiTheme="majorHAnsi"/>
          <w:i/>
          <w:color w:val="auto"/>
          <w:szCs w:val="16"/>
          <w:lang w:val="es-ES"/>
        </w:rPr>
        <w:t>Kato y otros c. Estados Unidos</w:t>
      </w:r>
      <w:r w:rsidRPr="00504F81">
        <w:rPr>
          <w:rFonts w:asciiTheme="majorHAnsi" w:hAnsiTheme="majorHAnsi"/>
          <w:color w:val="auto"/>
          <w:szCs w:val="16"/>
          <w:lang w:val="es-ES"/>
        </w:rPr>
        <w:t xml:space="preserve"> (Tribunal Federal de Distrito para el Distrito Central de California, 3 de abril de 2000) (en la cual se da lugar a</w:t>
      </w:r>
      <w:r>
        <w:rPr>
          <w:rFonts w:asciiTheme="majorHAnsi" w:hAnsiTheme="majorHAnsi"/>
          <w:color w:val="auto"/>
          <w:szCs w:val="16"/>
          <w:lang w:val="es-ES"/>
        </w:rPr>
        <w:t xml:space="preserve"> la petición </w:t>
      </w:r>
      <w:r w:rsidRPr="00504F81">
        <w:rPr>
          <w:rFonts w:asciiTheme="majorHAnsi" w:hAnsiTheme="majorHAnsi"/>
          <w:color w:val="auto"/>
          <w:szCs w:val="16"/>
          <w:lang w:val="es-ES"/>
        </w:rPr>
        <w:t>de desestimación presentad</w:t>
      </w:r>
      <w:r>
        <w:rPr>
          <w:rFonts w:asciiTheme="majorHAnsi" w:hAnsiTheme="majorHAnsi"/>
          <w:color w:val="auto"/>
          <w:szCs w:val="16"/>
          <w:lang w:val="es-ES"/>
        </w:rPr>
        <w:t>a</w:t>
      </w:r>
      <w:r w:rsidRPr="00504F81">
        <w:rPr>
          <w:rFonts w:asciiTheme="majorHAnsi" w:hAnsiTheme="majorHAnsi"/>
          <w:color w:val="auto"/>
          <w:szCs w:val="16"/>
          <w:lang w:val="es-ES"/>
        </w:rPr>
        <w:t xml:space="preserve"> por el demandado); Orden en el caso </w:t>
      </w:r>
      <w:r w:rsidRPr="00504F81">
        <w:rPr>
          <w:rFonts w:asciiTheme="majorHAnsi" w:hAnsiTheme="majorHAnsi"/>
          <w:i/>
          <w:color w:val="auto"/>
          <w:szCs w:val="16"/>
          <w:lang w:val="es-ES"/>
        </w:rPr>
        <w:t>Shima c. Ashcroft</w:t>
      </w:r>
      <w:r w:rsidRPr="00504F81">
        <w:rPr>
          <w:rFonts w:asciiTheme="majorHAnsi" w:hAnsiTheme="majorHAnsi"/>
          <w:color w:val="auto"/>
          <w:szCs w:val="16"/>
          <w:lang w:val="es-ES"/>
        </w:rPr>
        <w:t xml:space="preserve"> (Noveno Circuito, 17 de abril de 2001) (mediante la cual se desestima la apelación); Orden en el caso </w:t>
      </w:r>
      <w:r w:rsidRPr="00504F81">
        <w:rPr>
          <w:rFonts w:asciiTheme="majorHAnsi" w:hAnsiTheme="majorHAnsi"/>
          <w:i/>
          <w:color w:val="auto"/>
          <w:szCs w:val="16"/>
          <w:lang w:val="es-ES"/>
        </w:rPr>
        <w:t>Kato y otros c. Estados Unidos</w:t>
      </w:r>
      <w:r w:rsidRPr="00504F81">
        <w:rPr>
          <w:rFonts w:asciiTheme="majorHAnsi" w:hAnsiTheme="majorHAnsi"/>
          <w:color w:val="auto"/>
          <w:szCs w:val="16"/>
          <w:lang w:val="es-ES"/>
        </w:rPr>
        <w:t xml:space="preserve"> (Noveno Circuito, 11 de diciembre de 2001) (mediante la cual se desestima la apelación); Petición de auto de avocación en el caso </w:t>
      </w:r>
      <w:r w:rsidRPr="00504F81">
        <w:rPr>
          <w:rFonts w:asciiTheme="majorHAnsi" w:hAnsiTheme="majorHAnsi"/>
          <w:i/>
          <w:color w:val="auto"/>
          <w:szCs w:val="16"/>
          <w:lang w:val="es-ES"/>
        </w:rPr>
        <w:t>Kato y otros c. Estados Unidos y otros</w:t>
      </w:r>
      <w:r w:rsidRPr="00504F81">
        <w:rPr>
          <w:rFonts w:asciiTheme="majorHAnsi" w:hAnsiTheme="majorHAnsi"/>
          <w:color w:val="auto"/>
          <w:szCs w:val="16"/>
          <w:lang w:val="es-ES"/>
        </w:rPr>
        <w:t xml:space="preserve"> presentada el 29 de junio de 2001 y lista de orden del período de sesiones de</w:t>
      </w:r>
      <w:r>
        <w:rPr>
          <w:rFonts w:asciiTheme="majorHAnsi" w:hAnsiTheme="majorHAnsi"/>
          <w:color w:val="auto"/>
          <w:szCs w:val="16"/>
          <w:lang w:val="es-ES"/>
        </w:rPr>
        <w:t xml:space="preserve"> </w:t>
      </w:r>
      <w:r w:rsidRPr="00504F81">
        <w:rPr>
          <w:rFonts w:asciiTheme="majorHAnsi" w:hAnsiTheme="majorHAnsi"/>
          <w:color w:val="auto"/>
          <w:szCs w:val="16"/>
          <w:lang w:val="es-ES"/>
        </w:rPr>
        <w:t xml:space="preserve">la Corte Suprema de Estados Unidos con fecha del 1 de octubre de 2001 (mediante la cual se deniega el auto de avocación). </w:t>
      </w:r>
      <w:r>
        <w:rPr>
          <w:rFonts w:asciiTheme="majorHAnsi" w:hAnsiTheme="majorHAnsi"/>
          <w:color w:val="auto"/>
          <w:szCs w:val="16"/>
          <w:lang w:val="es-ES"/>
        </w:rPr>
        <w:t>Anexos a</w:t>
      </w:r>
      <w:r w:rsidRPr="00504F81">
        <w:rPr>
          <w:rFonts w:asciiTheme="majorHAnsi" w:hAnsiTheme="majorHAnsi"/>
          <w:color w:val="auto"/>
          <w:szCs w:val="16"/>
          <w:lang w:val="es-ES"/>
        </w:rPr>
        <w:t xml:space="preserve"> la carta de los peticionarios del 30 de septiembre de 2003.</w:t>
      </w:r>
    </w:p>
  </w:footnote>
  <w:footnote w:id="84">
    <w:p w14:paraId="7A6C7B7B" w14:textId="77777777" w:rsidR="003F186B" w:rsidRPr="00504F81" w:rsidRDefault="003F186B" w:rsidP="00F87C10">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CIDH, Informe No. 3/87, Caso 9647, </w:t>
      </w:r>
      <w:r w:rsidRPr="00504F81">
        <w:rPr>
          <w:rFonts w:asciiTheme="majorHAnsi" w:hAnsiTheme="majorHAnsi"/>
          <w:i/>
          <w:szCs w:val="16"/>
          <w:lang w:val="es-ES"/>
        </w:rPr>
        <w:t>Roach y Pinkerton, Estados Unidos</w:t>
      </w:r>
      <w:r w:rsidRPr="00504F81">
        <w:rPr>
          <w:rFonts w:asciiTheme="majorHAnsi" w:hAnsiTheme="majorHAnsi"/>
          <w:szCs w:val="16"/>
          <w:lang w:val="es-ES"/>
        </w:rPr>
        <w:t xml:space="preserve"> (1987), párrs. 48-49; Corte</w:t>
      </w:r>
      <w:r>
        <w:rPr>
          <w:rFonts w:asciiTheme="majorHAnsi" w:hAnsiTheme="majorHAnsi"/>
          <w:szCs w:val="16"/>
          <w:lang w:val="es-ES"/>
        </w:rPr>
        <w:t xml:space="preserve"> IDH.</w:t>
      </w:r>
      <w:r w:rsidRPr="00504F81">
        <w:rPr>
          <w:rFonts w:asciiTheme="majorHAnsi" w:hAnsiTheme="majorHAnsi"/>
          <w:szCs w:val="16"/>
          <w:lang w:val="es-ES"/>
        </w:rPr>
        <w:t xml:space="preserve"> </w:t>
      </w:r>
      <w:r w:rsidRPr="00504F81">
        <w:rPr>
          <w:rFonts w:asciiTheme="majorHAnsi" w:hAnsiTheme="majorHAnsi"/>
          <w:i/>
          <w:szCs w:val="16"/>
          <w:lang w:val="es-ES"/>
        </w:rPr>
        <w:t>Interpretación de la Declaración Americana de los Derechos y Deberes del Hombre en el marco del artículo 64 de la Convención Americana sobre Derechos Humanos</w:t>
      </w:r>
      <w:r w:rsidRPr="00504F81">
        <w:rPr>
          <w:rFonts w:asciiTheme="majorHAnsi" w:hAnsiTheme="majorHAnsi"/>
          <w:szCs w:val="16"/>
          <w:lang w:val="es-ES"/>
        </w:rPr>
        <w:t xml:space="preserve">. Opinión Consultiva OC-10/89 </w:t>
      </w:r>
      <w:r>
        <w:rPr>
          <w:rFonts w:asciiTheme="majorHAnsi" w:hAnsiTheme="majorHAnsi"/>
          <w:szCs w:val="16"/>
          <w:lang w:val="es-ES"/>
        </w:rPr>
        <w:t>del</w:t>
      </w:r>
      <w:r w:rsidRPr="00504F81">
        <w:rPr>
          <w:rFonts w:asciiTheme="majorHAnsi" w:hAnsiTheme="majorHAnsi"/>
          <w:szCs w:val="16"/>
          <w:lang w:val="es-ES"/>
        </w:rPr>
        <w:t xml:space="preserve"> 14 de julio de 1989 [en adelante “</w:t>
      </w:r>
      <w:r w:rsidRPr="00504F81">
        <w:rPr>
          <w:rFonts w:asciiTheme="majorHAnsi" w:hAnsiTheme="majorHAnsi"/>
          <w:i/>
          <w:szCs w:val="16"/>
          <w:lang w:val="es-ES"/>
        </w:rPr>
        <w:t>Interpretación de la Declaración Americana</w:t>
      </w:r>
      <w:r w:rsidRPr="00504F81">
        <w:rPr>
          <w:rFonts w:asciiTheme="majorHAnsi" w:hAnsiTheme="majorHAnsi"/>
          <w:szCs w:val="16"/>
          <w:lang w:val="es-ES"/>
        </w:rPr>
        <w:t>”], párr. 43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w:t>
      </w:r>
    </w:p>
  </w:footnote>
  <w:footnote w:id="85">
    <w:p w14:paraId="2ECA0E01" w14:textId="77777777" w:rsidR="003F186B" w:rsidRPr="00504F81" w:rsidRDefault="003F186B" w:rsidP="00481E5F">
      <w:pPr>
        <w:pStyle w:val="Footnotes"/>
        <w:spacing w:after="0"/>
        <w:ind w:firstLine="0"/>
        <w:rPr>
          <w:rFonts w:asciiTheme="majorHAnsi" w:hAnsiTheme="majorHAnsi"/>
          <w:b/>
          <w:sz w:val="16"/>
          <w:szCs w:val="16"/>
          <w:lang w:val="es-ES"/>
        </w:rPr>
      </w:pPr>
      <w:r w:rsidRPr="00504F81">
        <w:rPr>
          <w:rStyle w:val="FootnoteReference"/>
          <w:rFonts w:asciiTheme="majorHAnsi" w:hAnsiTheme="majorHAnsi"/>
          <w:sz w:val="16"/>
          <w:szCs w:val="16"/>
          <w:lang w:val="es-ES"/>
        </w:rPr>
        <w:footnoteRef/>
      </w:r>
      <w:r w:rsidRPr="00504F81">
        <w:rPr>
          <w:rFonts w:asciiTheme="majorHAnsi" w:hAnsiTheme="majorHAnsi"/>
          <w:sz w:val="16"/>
          <w:szCs w:val="16"/>
          <w:lang w:val="es-ES"/>
        </w:rPr>
        <w:t xml:space="preserve"> CIDH, Informe No. 50/16, Caso 12.834, Fondo (Publicación), </w:t>
      </w:r>
      <w:r>
        <w:rPr>
          <w:rFonts w:asciiTheme="majorHAnsi" w:hAnsiTheme="majorHAnsi"/>
          <w:i/>
          <w:sz w:val="16"/>
          <w:szCs w:val="16"/>
          <w:lang w:val="es-ES"/>
        </w:rPr>
        <w:t>Trabajadores indocumentados c. Estados Unidos</w:t>
      </w:r>
      <w:r w:rsidRPr="00504F81">
        <w:rPr>
          <w:rFonts w:asciiTheme="majorHAnsi" w:hAnsiTheme="majorHAnsi"/>
          <w:sz w:val="16"/>
          <w:szCs w:val="16"/>
          <w:lang w:val="es-ES"/>
        </w:rPr>
        <w:t xml:space="preserve">, 30 de noviembre de 2016, párr. 68. </w:t>
      </w:r>
      <w:r w:rsidRPr="00504F81">
        <w:rPr>
          <w:rFonts w:asciiTheme="majorHAnsi" w:hAnsiTheme="majorHAnsi"/>
          <w:i/>
          <w:sz w:val="16"/>
          <w:szCs w:val="16"/>
          <w:lang w:val="es-ES"/>
        </w:rPr>
        <w:t>Véase</w:t>
      </w:r>
      <w:r w:rsidRPr="00504F81">
        <w:rPr>
          <w:rFonts w:asciiTheme="majorHAnsi" w:hAnsiTheme="majorHAnsi"/>
          <w:sz w:val="16"/>
          <w:szCs w:val="16"/>
          <w:lang w:val="es-ES"/>
        </w:rPr>
        <w:t xml:space="preserve"> Corte</w:t>
      </w:r>
      <w:r>
        <w:rPr>
          <w:rFonts w:asciiTheme="majorHAnsi" w:hAnsiTheme="majorHAnsi"/>
          <w:sz w:val="16"/>
          <w:szCs w:val="16"/>
          <w:lang w:val="es-ES"/>
        </w:rPr>
        <w:t xml:space="preserve"> </w:t>
      </w:r>
      <w:r w:rsidRPr="00504F81">
        <w:rPr>
          <w:rFonts w:asciiTheme="majorHAnsi" w:hAnsiTheme="majorHAnsi"/>
          <w:sz w:val="16"/>
          <w:szCs w:val="16"/>
          <w:lang w:val="es-ES"/>
        </w:rPr>
        <w:t xml:space="preserve">IDH, </w:t>
      </w:r>
      <w:r w:rsidRPr="00504F81">
        <w:rPr>
          <w:rFonts w:asciiTheme="majorHAnsi" w:hAnsiTheme="majorHAnsi"/>
          <w:i/>
          <w:sz w:val="16"/>
          <w:szCs w:val="16"/>
          <w:lang w:val="es-ES"/>
        </w:rPr>
        <w:t>Interpretación de la Declaración Americana</w:t>
      </w:r>
      <w:r w:rsidRPr="00504F81">
        <w:rPr>
          <w:rFonts w:asciiTheme="majorHAnsi" w:hAnsiTheme="majorHAnsi"/>
          <w:sz w:val="16"/>
          <w:szCs w:val="16"/>
          <w:lang w:val="es-ES"/>
        </w:rPr>
        <w:t xml:space="preserve">. Opinión Consultiva OC-10/89 </w:t>
      </w:r>
      <w:r>
        <w:rPr>
          <w:rFonts w:asciiTheme="majorHAnsi" w:hAnsiTheme="majorHAnsi"/>
          <w:sz w:val="16"/>
          <w:szCs w:val="16"/>
          <w:lang w:val="es-ES"/>
        </w:rPr>
        <w:t>del</w:t>
      </w:r>
      <w:r w:rsidRPr="00504F81">
        <w:rPr>
          <w:rFonts w:asciiTheme="majorHAnsi" w:hAnsiTheme="majorHAnsi"/>
          <w:sz w:val="16"/>
          <w:szCs w:val="16"/>
          <w:lang w:val="es-ES"/>
        </w:rPr>
        <w:t xml:space="preserve"> 14 de julio de 1989, párr. 37. </w:t>
      </w:r>
      <w:r w:rsidRPr="00504F81">
        <w:rPr>
          <w:rFonts w:asciiTheme="majorHAnsi" w:hAnsiTheme="majorHAnsi"/>
          <w:i/>
          <w:sz w:val="16"/>
          <w:szCs w:val="16"/>
          <w:lang w:val="es-ES"/>
        </w:rPr>
        <w:t xml:space="preserve">Véase también </w:t>
      </w:r>
      <w:r>
        <w:rPr>
          <w:rFonts w:asciiTheme="majorHAnsi" w:hAnsiTheme="majorHAnsi"/>
          <w:sz w:val="16"/>
          <w:szCs w:val="16"/>
          <w:lang w:val="es-ES"/>
        </w:rPr>
        <w:t>Corte Internacional de Justicia</w:t>
      </w:r>
      <w:r w:rsidRPr="00504F81">
        <w:rPr>
          <w:rFonts w:asciiTheme="majorHAnsi" w:hAnsiTheme="majorHAnsi"/>
          <w:sz w:val="16"/>
          <w:szCs w:val="16"/>
          <w:lang w:val="es-ES"/>
        </w:rPr>
        <w:t xml:space="preserve"> (CIJ), </w:t>
      </w:r>
      <w:r w:rsidRPr="00504F81">
        <w:rPr>
          <w:rFonts w:asciiTheme="majorHAnsi" w:hAnsiTheme="majorHAnsi"/>
          <w:i/>
          <w:sz w:val="16"/>
          <w:szCs w:val="16"/>
          <w:lang w:val="es-ES"/>
        </w:rPr>
        <w:t>Consecuencias jurídicas para los estados de la continuada presencia de Sudáfrica en Namibia (África Sudoccidental) no obstante la Resolución 276 (1970) del Consejo de Seguridad</w:t>
      </w:r>
      <w:r w:rsidRPr="00504F81">
        <w:rPr>
          <w:rFonts w:asciiTheme="majorHAnsi" w:hAnsiTheme="majorHAnsi"/>
          <w:sz w:val="16"/>
          <w:szCs w:val="16"/>
          <w:lang w:val="es-ES"/>
        </w:rPr>
        <w:t>, Opinión Consultiva, CIJ, Informes de 1971, p. 16 ad 31 (</w:t>
      </w:r>
      <w:r>
        <w:rPr>
          <w:rFonts w:asciiTheme="majorHAnsi" w:hAnsiTheme="majorHAnsi"/>
          <w:sz w:val="16"/>
          <w:szCs w:val="16"/>
          <w:lang w:val="es-ES"/>
        </w:rPr>
        <w:t>“</w:t>
      </w:r>
      <w:r w:rsidRPr="00504F81">
        <w:rPr>
          <w:rFonts w:asciiTheme="majorHAnsi" w:hAnsiTheme="majorHAnsi"/>
          <w:sz w:val="16"/>
          <w:szCs w:val="16"/>
          <w:lang w:val="es-ES"/>
        </w:rPr>
        <w:t>un instrumento internacional debe interpretarse y aplicarse dentro del marco general del sistema jurídico vigente a la fecha de la interpretación</w:t>
      </w:r>
      <w:r>
        <w:rPr>
          <w:rFonts w:asciiTheme="majorHAnsi" w:hAnsiTheme="majorHAnsi"/>
          <w:sz w:val="16"/>
          <w:szCs w:val="16"/>
          <w:lang w:val="es-ES"/>
        </w:rPr>
        <w:t>”</w:t>
      </w:r>
      <w:r w:rsidRPr="00504F81">
        <w:rPr>
          <w:rFonts w:asciiTheme="majorHAnsi" w:hAnsiTheme="majorHAnsi"/>
          <w:sz w:val="16"/>
          <w:szCs w:val="16"/>
          <w:lang w:val="es-ES"/>
        </w:rPr>
        <w:t>).</w:t>
      </w:r>
    </w:p>
  </w:footnote>
  <w:footnote w:id="86">
    <w:p w14:paraId="1887FAA2"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CIDH, </w:t>
      </w:r>
      <w:r w:rsidRPr="00504F81">
        <w:rPr>
          <w:rFonts w:asciiTheme="majorHAnsi" w:hAnsiTheme="majorHAnsi"/>
          <w:i/>
          <w:szCs w:val="16"/>
          <w:lang w:val="es-ES"/>
        </w:rPr>
        <w:t>Informe sobre Terrorismo y Derechos Humanos</w:t>
      </w:r>
      <w:r w:rsidRPr="00504F81">
        <w:rPr>
          <w:rFonts w:asciiTheme="majorHAnsi" w:hAnsiTheme="majorHAnsi"/>
          <w:szCs w:val="16"/>
          <w:lang w:val="es-ES"/>
        </w:rPr>
        <w:t xml:space="preserve"> (2002), párr. 45 (citas omitidas). </w:t>
      </w:r>
      <w:r w:rsidRPr="00504F81">
        <w:rPr>
          <w:rFonts w:asciiTheme="majorHAnsi" w:hAnsiTheme="majorHAnsi"/>
          <w:i/>
          <w:szCs w:val="16"/>
          <w:lang w:val="es-ES"/>
        </w:rPr>
        <w:t xml:space="preserve">Véase también </w:t>
      </w:r>
      <w:r w:rsidRPr="00504F81">
        <w:rPr>
          <w:rFonts w:asciiTheme="majorHAnsi" w:hAnsiTheme="majorHAnsi"/>
          <w:szCs w:val="16"/>
          <w:lang w:val="es-ES"/>
        </w:rPr>
        <w:t xml:space="preserve">CIDH, Informe No. 109/99. Caso 10.951. </w:t>
      </w:r>
      <w:r w:rsidRPr="00504F81">
        <w:rPr>
          <w:rFonts w:asciiTheme="majorHAnsi" w:hAnsiTheme="majorHAnsi"/>
          <w:i/>
          <w:szCs w:val="16"/>
          <w:lang w:val="es-ES"/>
        </w:rPr>
        <w:t>Coard y otros, Estados Unidos</w:t>
      </w:r>
      <w:r w:rsidRPr="00504F81">
        <w:rPr>
          <w:rFonts w:asciiTheme="majorHAnsi" w:hAnsiTheme="majorHAnsi"/>
          <w:szCs w:val="16"/>
          <w:lang w:val="es-ES"/>
        </w:rPr>
        <w:t>. 29 de septiembre de 1999</w:t>
      </w:r>
      <w:r w:rsidRPr="00504F81">
        <w:rPr>
          <w:rFonts w:asciiTheme="majorHAnsi" w:hAnsiTheme="majorHAnsi" w:cs="Arial"/>
          <w:szCs w:val="16"/>
          <w:lang w:val="es-ES"/>
        </w:rPr>
        <w:t>, párr. 42.</w:t>
      </w:r>
    </w:p>
  </w:footnote>
  <w:footnote w:id="87">
    <w:p w14:paraId="33A6CA28" w14:textId="77777777" w:rsidR="003F186B" w:rsidRPr="00504F81" w:rsidRDefault="003F186B" w:rsidP="00481E5F">
      <w:pPr>
        <w:pStyle w:val="Footnotes"/>
        <w:spacing w:after="0"/>
        <w:ind w:firstLine="0"/>
        <w:rPr>
          <w:rFonts w:asciiTheme="majorHAnsi" w:hAnsiTheme="majorHAnsi"/>
          <w:sz w:val="16"/>
          <w:szCs w:val="16"/>
          <w:lang w:val="es-ES"/>
        </w:rPr>
      </w:pPr>
      <w:r w:rsidRPr="00504F81">
        <w:rPr>
          <w:rStyle w:val="FootnoteReference"/>
          <w:rFonts w:asciiTheme="majorHAnsi" w:hAnsiTheme="majorHAnsi"/>
          <w:sz w:val="16"/>
          <w:szCs w:val="16"/>
          <w:lang w:val="es-ES"/>
        </w:rPr>
        <w:footnoteRef/>
      </w:r>
      <w:r w:rsidRPr="00504F81">
        <w:rPr>
          <w:rFonts w:asciiTheme="majorHAnsi" w:hAnsiTheme="majorHAnsi"/>
          <w:sz w:val="16"/>
          <w:szCs w:val="16"/>
          <w:lang w:val="es-ES"/>
        </w:rPr>
        <w:t xml:space="preserve"> </w:t>
      </w:r>
      <w:r w:rsidRPr="00504F81">
        <w:rPr>
          <w:rFonts w:asciiTheme="majorHAnsi" w:hAnsiTheme="majorHAnsi"/>
          <w:i/>
          <w:sz w:val="16"/>
          <w:szCs w:val="16"/>
          <w:lang w:val="es-ES"/>
        </w:rPr>
        <w:t xml:space="preserve">Véase </w:t>
      </w:r>
      <w:r w:rsidRPr="00504F81">
        <w:rPr>
          <w:rFonts w:asciiTheme="majorHAnsi" w:hAnsiTheme="majorHAnsi"/>
          <w:sz w:val="16"/>
          <w:szCs w:val="16"/>
          <w:lang w:val="es-ES"/>
        </w:rPr>
        <w:t xml:space="preserve">CIDH, </w:t>
      </w:r>
      <w:r w:rsidRPr="00504F81">
        <w:rPr>
          <w:rFonts w:asciiTheme="majorHAnsi" w:hAnsiTheme="majorHAnsi"/>
          <w:i/>
          <w:iCs/>
          <w:sz w:val="16"/>
          <w:szCs w:val="16"/>
          <w:lang w:val="es-ES"/>
        </w:rPr>
        <w:t>Informe sobre la situación de derechos humanos de las personas que solicitan asilo en el sistema canadiense para la determinación de la condición de refugiado</w:t>
      </w:r>
      <w:r w:rsidRPr="00504F81">
        <w:rPr>
          <w:rFonts w:asciiTheme="majorHAnsi" w:hAnsiTheme="majorHAnsi"/>
          <w:sz w:val="16"/>
          <w:szCs w:val="16"/>
          <w:lang w:val="es-ES"/>
        </w:rPr>
        <w:t xml:space="preserve"> (2000), párr. 38; CIDH, </w:t>
      </w:r>
      <w:r w:rsidRPr="00504F81">
        <w:rPr>
          <w:rFonts w:asciiTheme="majorHAnsi" w:hAnsiTheme="majorHAnsi"/>
          <w:i/>
          <w:sz w:val="16"/>
          <w:szCs w:val="16"/>
          <w:lang w:val="es-ES"/>
        </w:rPr>
        <w:t>Garza c. Estados Unidos</w:t>
      </w:r>
      <w:r w:rsidRPr="00504F81">
        <w:rPr>
          <w:rFonts w:asciiTheme="majorHAnsi" w:hAnsiTheme="majorHAnsi"/>
          <w:sz w:val="16"/>
          <w:szCs w:val="16"/>
          <w:lang w:val="es-ES"/>
        </w:rPr>
        <w:t>, Caso No. 12.275, Informe Anual de la CIDH 2000, párrs. 88-89.</w:t>
      </w:r>
    </w:p>
  </w:footnote>
  <w:footnote w:id="88">
    <w:p w14:paraId="20A627F1"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El artículo II </w:t>
      </w:r>
      <w:r>
        <w:rPr>
          <w:rFonts w:asciiTheme="majorHAnsi" w:hAnsiTheme="majorHAnsi"/>
          <w:szCs w:val="16"/>
          <w:lang w:val="es-ES"/>
        </w:rPr>
        <w:t>establece</w:t>
      </w:r>
      <w:r w:rsidRPr="00504F81">
        <w:rPr>
          <w:rFonts w:asciiTheme="majorHAnsi" w:hAnsiTheme="majorHAnsi"/>
          <w:szCs w:val="16"/>
          <w:lang w:val="es-ES"/>
        </w:rPr>
        <w:t>: “Todas las personas son iguales ante la Ley y tienen los derechos y deberes consagrados en esta declaración sin distinción de raza, sexo, idioma, credo ni otra alguna”.</w:t>
      </w:r>
    </w:p>
  </w:footnote>
  <w:footnote w:id="89">
    <w:p w14:paraId="21570000"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El artículo XVIII </w:t>
      </w:r>
      <w:r>
        <w:rPr>
          <w:rFonts w:asciiTheme="majorHAnsi" w:hAnsiTheme="majorHAnsi"/>
          <w:szCs w:val="16"/>
          <w:lang w:val="es-ES"/>
        </w:rPr>
        <w:t>establece</w:t>
      </w:r>
      <w:r w:rsidRPr="00504F81">
        <w:rPr>
          <w:rFonts w:asciiTheme="majorHAnsi" w:hAnsiTheme="majorHAnsi"/>
          <w:szCs w:val="16"/>
          <w:lang w:val="es-ES"/>
        </w:rPr>
        <w:t>: “</w:t>
      </w:r>
      <w:r>
        <w:rPr>
          <w:rFonts w:asciiTheme="majorHAnsi" w:hAnsiTheme="majorHAnsi"/>
          <w:szCs w:val="16"/>
          <w:lang w:val="es-ES"/>
        </w:rPr>
        <w:t>Toda persona puede re</w:t>
      </w:r>
      <w:r w:rsidRPr="00504F81">
        <w:rPr>
          <w:rFonts w:asciiTheme="majorHAnsi" w:hAnsiTheme="majorHAnsi"/>
          <w:szCs w:val="16"/>
          <w:lang w:val="es-ES"/>
        </w:rPr>
        <w:t>currir a los tribunales para hacer valer sus derechos.</w:t>
      </w:r>
      <w:r>
        <w:rPr>
          <w:rFonts w:asciiTheme="majorHAnsi" w:hAnsiTheme="majorHAnsi"/>
          <w:szCs w:val="16"/>
          <w:lang w:val="es-ES"/>
        </w:rPr>
        <w:t xml:space="preserve"> </w:t>
      </w:r>
      <w:r w:rsidRPr="00504F81">
        <w:rPr>
          <w:rFonts w:asciiTheme="majorHAnsi" w:hAnsiTheme="majorHAnsi"/>
          <w:szCs w:val="16"/>
          <w:lang w:val="es-ES"/>
        </w:rPr>
        <w:t>Asimismo debe disponer de un procedimiento sencillo y breve por el cual la justicia lo ampare contra actos de la autoridad que violen, en perjuicio suyo, alguno de los derechos fundamentales consagrados constitucionalmente”.</w:t>
      </w:r>
    </w:p>
  </w:footnote>
  <w:footnote w:id="90">
    <w:p w14:paraId="21A7C35D" w14:textId="77777777" w:rsidR="003F186B" w:rsidRPr="00504F81" w:rsidRDefault="003F186B" w:rsidP="00481E5F">
      <w:pPr>
        <w:pStyle w:val="FootnoteText"/>
        <w:jc w:val="both"/>
        <w:rPr>
          <w:rFonts w:asciiTheme="majorHAnsi" w:hAnsiTheme="majorHAnsi" w:cstheme="majorHAnsi"/>
          <w:szCs w:val="16"/>
          <w:lang w:val="es-ES"/>
        </w:rPr>
      </w:pPr>
      <w:r w:rsidRPr="00504F81">
        <w:rPr>
          <w:rStyle w:val="FootnoteReference"/>
          <w:rFonts w:asciiTheme="majorHAnsi" w:hAnsiTheme="majorHAnsi" w:cstheme="majorHAnsi"/>
          <w:szCs w:val="16"/>
          <w:lang w:val="es-ES"/>
        </w:rPr>
        <w:footnoteRef/>
      </w:r>
      <w:r w:rsidRPr="00504F81">
        <w:rPr>
          <w:rFonts w:asciiTheme="majorHAnsi" w:hAnsiTheme="majorHAnsi" w:cstheme="majorHAnsi"/>
          <w:szCs w:val="16"/>
          <w:lang w:val="es-ES"/>
        </w:rPr>
        <w:t xml:space="preserve"> </w:t>
      </w:r>
      <w:r w:rsidRPr="00504F81">
        <w:rPr>
          <w:rFonts w:asciiTheme="majorHAnsi" w:hAnsiTheme="majorHAnsi" w:cstheme="majorHAnsi"/>
          <w:i/>
          <w:szCs w:val="16"/>
          <w:lang w:val="es-ES"/>
        </w:rPr>
        <w:t>Véase</w:t>
      </w:r>
      <w:r w:rsidRPr="00504F81">
        <w:rPr>
          <w:rFonts w:asciiTheme="majorHAnsi" w:hAnsiTheme="majorHAnsi" w:cstheme="majorHAnsi"/>
          <w:i/>
          <w:iCs/>
          <w:szCs w:val="16"/>
          <w:lang w:val="es-ES"/>
        </w:rPr>
        <w:t xml:space="preserve"> </w:t>
      </w:r>
      <w:r w:rsidRPr="00504F81">
        <w:rPr>
          <w:rFonts w:asciiTheme="majorHAnsi" w:hAnsiTheme="majorHAnsi"/>
          <w:szCs w:val="16"/>
          <w:lang w:val="es-ES"/>
        </w:rPr>
        <w:t>Corte</w:t>
      </w:r>
      <w:r>
        <w:rPr>
          <w:rFonts w:asciiTheme="majorHAnsi" w:hAnsiTheme="majorHAnsi"/>
          <w:szCs w:val="16"/>
          <w:lang w:val="es-ES"/>
        </w:rPr>
        <w:t xml:space="preserve"> </w:t>
      </w:r>
      <w:r w:rsidRPr="00504F81">
        <w:rPr>
          <w:rFonts w:asciiTheme="majorHAnsi" w:hAnsiTheme="majorHAnsi"/>
          <w:szCs w:val="16"/>
          <w:lang w:val="es-ES"/>
        </w:rPr>
        <w:t>IDH</w:t>
      </w:r>
      <w:r>
        <w:rPr>
          <w:rFonts w:asciiTheme="majorHAnsi" w:hAnsiTheme="majorHAnsi"/>
          <w:szCs w:val="16"/>
          <w:lang w:val="es-ES"/>
        </w:rPr>
        <w:t>,</w:t>
      </w:r>
      <w:r w:rsidRPr="00504F81">
        <w:rPr>
          <w:rFonts w:asciiTheme="majorHAnsi" w:hAnsiTheme="majorHAnsi"/>
          <w:szCs w:val="16"/>
          <w:lang w:val="es-ES"/>
        </w:rPr>
        <w:t xml:space="preserve"> </w:t>
      </w:r>
      <w:r w:rsidRPr="00504F81">
        <w:rPr>
          <w:rFonts w:asciiTheme="majorHAnsi" w:hAnsiTheme="majorHAnsi"/>
          <w:i/>
          <w:szCs w:val="16"/>
          <w:lang w:val="es-ES"/>
        </w:rPr>
        <w:t>Condición jurídica y derechos de los migrantes indocumentados</w:t>
      </w:r>
      <w:r w:rsidRPr="00504F81">
        <w:rPr>
          <w:rFonts w:asciiTheme="majorHAnsi" w:hAnsiTheme="majorHAnsi"/>
          <w:szCs w:val="16"/>
          <w:lang w:val="es-ES"/>
        </w:rPr>
        <w:t>, Opinión Consultiva OC-18/03 del 17 de septiembre de 2003, párr.</w:t>
      </w:r>
      <w:r w:rsidRPr="00504F81">
        <w:rPr>
          <w:rFonts w:asciiTheme="majorHAnsi" w:hAnsiTheme="majorHAnsi" w:cstheme="majorHAnsi"/>
          <w:szCs w:val="16"/>
          <w:lang w:val="es-ES"/>
        </w:rPr>
        <w:t xml:space="preserve"> 101. </w:t>
      </w:r>
      <w:r w:rsidRPr="00504F81">
        <w:rPr>
          <w:rFonts w:asciiTheme="majorHAnsi" w:hAnsiTheme="majorHAnsi" w:cstheme="majorHAnsi"/>
          <w:i/>
          <w:szCs w:val="16"/>
          <w:lang w:val="es-ES"/>
        </w:rPr>
        <w:t>Véase también</w:t>
      </w:r>
      <w:r w:rsidRPr="00504F81">
        <w:rPr>
          <w:rFonts w:asciiTheme="majorHAnsi" w:hAnsiTheme="majorHAnsi" w:cstheme="majorHAnsi"/>
          <w:szCs w:val="16"/>
          <w:lang w:val="es-ES"/>
        </w:rPr>
        <w:t xml:space="preserve"> CIDH, Informe No. 50/16, Caso 12.834, Fondo (Publicación), </w:t>
      </w:r>
      <w:r>
        <w:rPr>
          <w:rFonts w:asciiTheme="majorHAnsi" w:hAnsiTheme="majorHAnsi" w:cstheme="majorHAnsi"/>
          <w:i/>
          <w:szCs w:val="16"/>
          <w:lang w:val="es-ES"/>
        </w:rPr>
        <w:t xml:space="preserve">Trabajadores indocumentados. </w:t>
      </w:r>
      <w:r w:rsidRPr="00152FF5">
        <w:rPr>
          <w:rFonts w:asciiTheme="majorHAnsi" w:hAnsiTheme="majorHAnsi" w:cstheme="majorHAnsi"/>
          <w:szCs w:val="16"/>
          <w:lang w:val="es-ES"/>
        </w:rPr>
        <w:t>Estados Unidos</w:t>
      </w:r>
      <w:r w:rsidRPr="00504F81">
        <w:rPr>
          <w:rFonts w:asciiTheme="majorHAnsi" w:hAnsiTheme="majorHAnsi" w:cstheme="majorHAnsi"/>
          <w:szCs w:val="16"/>
          <w:lang w:val="es-ES"/>
        </w:rPr>
        <w:t xml:space="preserve">, 30 de noviembre de 2016, párr. 72 (donde se cita CIDH, Informe Nº 80/11, Caso 12.626, </w:t>
      </w:r>
      <w:r w:rsidRPr="00504F81">
        <w:rPr>
          <w:rFonts w:asciiTheme="majorHAnsi" w:hAnsiTheme="majorHAnsi" w:cstheme="majorHAnsi"/>
          <w:i/>
          <w:szCs w:val="16"/>
          <w:lang w:val="es-ES"/>
        </w:rPr>
        <w:t xml:space="preserve">Jessica Lenahan (Gonzales) </w:t>
      </w:r>
      <w:r>
        <w:rPr>
          <w:rFonts w:asciiTheme="majorHAnsi" w:hAnsiTheme="majorHAnsi" w:cstheme="majorHAnsi"/>
          <w:i/>
          <w:szCs w:val="16"/>
          <w:lang w:val="es-ES"/>
        </w:rPr>
        <w:t xml:space="preserve">y otros. </w:t>
      </w:r>
      <w:r w:rsidRPr="00152FF5">
        <w:rPr>
          <w:rFonts w:asciiTheme="majorHAnsi" w:hAnsiTheme="majorHAnsi" w:cstheme="majorHAnsi"/>
          <w:szCs w:val="16"/>
          <w:lang w:val="es-ES"/>
        </w:rPr>
        <w:t>Estados Unidos</w:t>
      </w:r>
      <w:r w:rsidRPr="00504F81">
        <w:rPr>
          <w:rFonts w:asciiTheme="majorHAnsi" w:hAnsiTheme="majorHAnsi" w:cstheme="majorHAnsi"/>
          <w:szCs w:val="16"/>
          <w:lang w:val="es-ES"/>
        </w:rPr>
        <w:t xml:space="preserve">, 21 de julio de 2011, párr. 107; CIDH, Informe 40/04, Caso 12.053, </w:t>
      </w:r>
      <w:r w:rsidRPr="00504F81">
        <w:rPr>
          <w:rFonts w:asciiTheme="majorHAnsi" w:hAnsiTheme="majorHAnsi" w:cstheme="majorHAnsi"/>
          <w:i/>
          <w:iCs/>
          <w:szCs w:val="16"/>
          <w:lang w:val="es-ES"/>
        </w:rPr>
        <w:t>Comunidades indígenas mayas del distrito de Toledo</w:t>
      </w:r>
      <w:r>
        <w:rPr>
          <w:rFonts w:asciiTheme="majorHAnsi" w:hAnsiTheme="majorHAnsi" w:cstheme="majorHAnsi"/>
          <w:i/>
          <w:iCs/>
          <w:szCs w:val="16"/>
          <w:lang w:val="es-ES"/>
        </w:rPr>
        <w:t>.</w:t>
      </w:r>
      <w:r>
        <w:rPr>
          <w:rFonts w:asciiTheme="majorHAnsi" w:hAnsiTheme="majorHAnsi" w:cstheme="majorHAnsi"/>
          <w:i/>
          <w:szCs w:val="16"/>
          <w:lang w:val="es-ES"/>
        </w:rPr>
        <w:t xml:space="preserve"> </w:t>
      </w:r>
      <w:r w:rsidRPr="00152FF5">
        <w:rPr>
          <w:rFonts w:asciiTheme="majorHAnsi" w:hAnsiTheme="majorHAnsi" w:cstheme="majorHAnsi"/>
          <w:szCs w:val="16"/>
          <w:lang w:val="es-ES"/>
        </w:rPr>
        <w:t>Belice</w:t>
      </w:r>
      <w:r w:rsidRPr="00504F81">
        <w:rPr>
          <w:rFonts w:asciiTheme="majorHAnsi" w:hAnsiTheme="majorHAnsi" w:cstheme="majorHAnsi"/>
          <w:i/>
          <w:szCs w:val="16"/>
          <w:lang w:val="es-ES"/>
        </w:rPr>
        <w:t xml:space="preserve">, </w:t>
      </w:r>
      <w:r w:rsidRPr="00504F81">
        <w:rPr>
          <w:rFonts w:asciiTheme="majorHAnsi" w:hAnsiTheme="majorHAnsi" w:cstheme="majorHAnsi"/>
          <w:szCs w:val="16"/>
          <w:lang w:val="es-ES"/>
        </w:rPr>
        <w:t>12 de octubre de 2004, párr. 163;</w:t>
      </w:r>
      <w:r>
        <w:rPr>
          <w:rFonts w:asciiTheme="majorHAnsi" w:hAnsiTheme="majorHAnsi" w:cstheme="majorHAnsi"/>
          <w:szCs w:val="16"/>
          <w:lang w:val="es-ES"/>
        </w:rPr>
        <w:t xml:space="preserve"> </w:t>
      </w:r>
      <w:r w:rsidRPr="00504F81">
        <w:rPr>
          <w:rFonts w:asciiTheme="majorHAnsi" w:hAnsiTheme="majorHAnsi" w:cstheme="majorHAnsi"/>
          <w:szCs w:val="16"/>
          <w:lang w:val="es-ES"/>
        </w:rPr>
        <w:t xml:space="preserve">CIDH, Informe 67/06, Caso 12.476, </w:t>
      </w:r>
      <w:r w:rsidRPr="00504F81">
        <w:rPr>
          <w:rFonts w:asciiTheme="majorHAnsi" w:hAnsiTheme="majorHAnsi" w:cstheme="majorHAnsi"/>
          <w:i/>
          <w:szCs w:val="16"/>
          <w:lang w:val="es-ES"/>
        </w:rPr>
        <w:t xml:space="preserve">Oscar Elías Bicet </w:t>
      </w:r>
      <w:r>
        <w:rPr>
          <w:rFonts w:asciiTheme="majorHAnsi" w:hAnsiTheme="majorHAnsi" w:cstheme="majorHAnsi"/>
          <w:i/>
          <w:szCs w:val="16"/>
          <w:lang w:val="es-ES"/>
        </w:rPr>
        <w:t xml:space="preserve">y otros. </w:t>
      </w:r>
      <w:r w:rsidRPr="00152FF5">
        <w:rPr>
          <w:rFonts w:asciiTheme="majorHAnsi" w:hAnsiTheme="majorHAnsi" w:cstheme="majorHAnsi"/>
          <w:szCs w:val="16"/>
          <w:lang w:val="es-ES"/>
        </w:rPr>
        <w:t>Cuba</w:t>
      </w:r>
      <w:r w:rsidRPr="00504F81">
        <w:rPr>
          <w:rFonts w:asciiTheme="majorHAnsi" w:hAnsiTheme="majorHAnsi" w:cstheme="majorHAnsi"/>
          <w:szCs w:val="16"/>
          <w:lang w:val="es-ES"/>
        </w:rPr>
        <w:t xml:space="preserve">, 21 de octubre de 2006, párr. 228; CIDH, </w:t>
      </w:r>
      <w:r w:rsidRPr="00504F81">
        <w:rPr>
          <w:rFonts w:asciiTheme="majorHAnsi" w:hAnsiTheme="majorHAnsi" w:cstheme="majorHAnsi"/>
          <w:i/>
          <w:szCs w:val="16"/>
          <w:lang w:val="es-ES"/>
        </w:rPr>
        <w:t>Informe sobre Terrorismo y Derechos Humanos</w:t>
      </w:r>
      <w:r>
        <w:rPr>
          <w:rFonts w:asciiTheme="majorHAnsi" w:hAnsiTheme="majorHAnsi" w:cstheme="majorHAnsi"/>
          <w:szCs w:val="16"/>
          <w:lang w:val="es-ES"/>
        </w:rPr>
        <w:t xml:space="preserve"> </w:t>
      </w:r>
      <w:r>
        <w:rPr>
          <w:rFonts w:asciiTheme="majorHAnsi" w:hAnsiTheme="majorHAnsi" w:cstheme="majorHAnsi"/>
          <w:szCs w:val="16"/>
          <w:lang w:val="es-US"/>
        </w:rPr>
        <w:t>(</w:t>
      </w:r>
      <w:r w:rsidRPr="00504F81">
        <w:rPr>
          <w:rFonts w:asciiTheme="majorHAnsi" w:hAnsiTheme="majorHAnsi" w:cstheme="majorHAnsi"/>
          <w:szCs w:val="16"/>
          <w:lang w:val="es-ES"/>
        </w:rPr>
        <w:t>2002</w:t>
      </w:r>
      <w:r>
        <w:rPr>
          <w:rFonts w:asciiTheme="majorHAnsi" w:hAnsiTheme="majorHAnsi" w:cstheme="majorHAnsi"/>
          <w:szCs w:val="16"/>
          <w:lang w:val="es-ES"/>
        </w:rPr>
        <w:t>)</w:t>
      </w:r>
      <w:r w:rsidRPr="00504F81">
        <w:rPr>
          <w:rFonts w:asciiTheme="majorHAnsi" w:hAnsiTheme="majorHAnsi" w:cstheme="majorHAnsi"/>
          <w:szCs w:val="16"/>
          <w:lang w:val="es-ES"/>
        </w:rPr>
        <w:t>, párr. 335).</w:t>
      </w:r>
    </w:p>
    <w:p w14:paraId="3BFE8593" w14:textId="77777777" w:rsidR="003F186B" w:rsidRPr="00504F81" w:rsidRDefault="003F186B" w:rsidP="00481E5F">
      <w:pPr>
        <w:pStyle w:val="FootnoteText"/>
        <w:ind w:firstLine="720"/>
        <w:jc w:val="both"/>
        <w:rPr>
          <w:rFonts w:asciiTheme="majorHAnsi" w:hAnsiTheme="majorHAnsi" w:cstheme="majorHAnsi"/>
          <w:szCs w:val="16"/>
          <w:lang w:val="es-ES"/>
        </w:rPr>
      </w:pPr>
      <w:r w:rsidRPr="00504F81">
        <w:rPr>
          <w:rFonts w:asciiTheme="majorHAnsi" w:hAnsiTheme="majorHAnsi" w:cstheme="majorHAnsi"/>
          <w:i/>
          <w:szCs w:val="16"/>
          <w:lang w:val="es-ES"/>
        </w:rPr>
        <w:t>Véase también</w:t>
      </w:r>
      <w:r w:rsidRPr="00504F81">
        <w:rPr>
          <w:rFonts w:asciiTheme="majorHAnsi" w:hAnsiTheme="majorHAnsi" w:cstheme="majorHAnsi"/>
          <w:szCs w:val="16"/>
          <w:lang w:val="es-ES"/>
        </w:rPr>
        <w:t xml:space="preserve"> Pacto Internacional de Derechos Civiles y Políticos (artículos 2</w:t>
      </w:r>
      <w:r>
        <w:rPr>
          <w:rFonts w:asciiTheme="majorHAnsi" w:hAnsiTheme="majorHAnsi" w:cstheme="majorHAnsi"/>
          <w:szCs w:val="16"/>
          <w:lang w:val="es-ES"/>
        </w:rPr>
        <w:t xml:space="preserve"> y</w:t>
      </w:r>
      <w:r w:rsidRPr="00504F81">
        <w:rPr>
          <w:rFonts w:asciiTheme="majorHAnsi" w:hAnsiTheme="majorHAnsi" w:cstheme="majorHAnsi"/>
          <w:szCs w:val="16"/>
          <w:lang w:val="es-ES"/>
        </w:rPr>
        <w:t xml:space="preserve"> 26); Pacto Internacional de Derechos Económicos, Sociales y Culturales (artículos 2.2, 3); Convenio Europeo de Derechos Humanos (artículo 14); Carta Africana de los Derechos del Hombre y de los Pueblos (artículo 2).</w:t>
      </w:r>
    </w:p>
  </w:footnote>
  <w:footnote w:id="91">
    <w:p w14:paraId="2E573A7C" w14:textId="77777777" w:rsidR="003F186B" w:rsidRPr="00504F81" w:rsidRDefault="003F186B" w:rsidP="00481E5F">
      <w:pPr>
        <w:pStyle w:val="Footnotes"/>
        <w:spacing w:after="0"/>
        <w:ind w:firstLine="0"/>
        <w:rPr>
          <w:rFonts w:asciiTheme="majorHAnsi" w:hAnsiTheme="majorHAnsi"/>
          <w:sz w:val="16"/>
          <w:szCs w:val="16"/>
          <w:lang w:val="es-ES"/>
        </w:rPr>
      </w:pPr>
      <w:r w:rsidRPr="00504F81">
        <w:rPr>
          <w:rStyle w:val="FootnoteReference"/>
          <w:rFonts w:asciiTheme="majorHAnsi" w:hAnsiTheme="majorHAnsi"/>
          <w:sz w:val="16"/>
          <w:szCs w:val="16"/>
          <w:lang w:val="es-ES"/>
        </w:rPr>
        <w:footnoteRef/>
      </w:r>
      <w:r w:rsidRPr="00504F81">
        <w:rPr>
          <w:rFonts w:asciiTheme="majorHAnsi" w:hAnsiTheme="majorHAnsi"/>
          <w:sz w:val="16"/>
          <w:szCs w:val="16"/>
          <w:lang w:val="es-ES"/>
        </w:rPr>
        <w:t xml:space="preserve"> CIDH, Informe No. 50/16, Caso 12.834, Fondo (Publicación), </w:t>
      </w:r>
      <w:r w:rsidRPr="00152FF5">
        <w:rPr>
          <w:rFonts w:asciiTheme="majorHAnsi" w:hAnsiTheme="majorHAnsi"/>
          <w:i/>
          <w:sz w:val="16"/>
          <w:szCs w:val="16"/>
          <w:lang w:val="es-ES"/>
        </w:rPr>
        <w:t>Trabajadores indocumentados. Estados Unidos</w:t>
      </w:r>
      <w:r w:rsidRPr="00504F81">
        <w:rPr>
          <w:rFonts w:asciiTheme="majorHAnsi" w:hAnsiTheme="majorHAnsi"/>
          <w:sz w:val="16"/>
          <w:szCs w:val="16"/>
          <w:lang w:val="es-ES"/>
        </w:rPr>
        <w:t xml:space="preserve">, 30 de noviembre de 2016, párr. 75 (donde se cita Comité de Derechos Humanos de las Naciones Unidas, </w:t>
      </w:r>
      <w:r w:rsidRPr="00A0048F">
        <w:rPr>
          <w:rFonts w:asciiTheme="majorHAnsi" w:hAnsiTheme="majorHAnsi"/>
          <w:i/>
          <w:sz w:val="16"/>
          <w:szCs w:val="16"/>
          <w:lang w:val="es-ES"/>
        </w:rPr>
        <w:t>Compilación de observaciones generales y recomendaciones generales adoptadas por los órganos de tratados de derechos humanos</w:t>
      </w:r>
      <w:r w:rsidRPr="00504F81">
        <w:rPr>
          <w:rFonts w:asciiTheme="majorHAnsi" w:hAnsiTheme="majorHAnsi"/>
          <w:sz w:val="16"/>
          <w:szCs w:val="16"/>
          <w:lang w:val="es-ES"/>
        </w:rPr>
        <w:t xml:space="preserve">, HRI/GEN/1/Rev.1 (1994), Observación General 18, No discriminación, p. 26). </w:t>
      </w:r>
    </w:p>
  </w:footnote>
  <w:footnote w:id="92">
    <w:p w14:paraId="636B77F8" w14:textId="77777777" w:rsidR="003F186B" w:rsidRPr="00504F81" w:rsidRDefault="003F186B" w:rsidP="00481E5F">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w:t>
      </w:r>
      <w:r w:rsidRPr="00504F81">
        <w:rPr>
          <w:rFonts w:asciiTheme="majorHAnsi" w:hAnsiTheme="majorHAnsi"/>
          <w:i/>
          <w:lang w:val="es-ES"/>
        </w:rPr>
        <w:t xml:space="preserve">Véase, por ejemplo, </w:t>
      </w:r>
      <w:r w:rsidRPr="00504F81">
        <w:rPr>
          <w:rFonts w:asciiTheme="majorHAnsi" w:hAnsiTheme="majorHAnsi"/>
          <w:lang w:val="es-ES"/>
        </w:rPr>
        <w:t>Corte</w:t>
      </w:r>
      <w:r>
        <w:rPr>
          <w:rFonts w:asciiTheme="majorHAnsi" w:hAnsiTheme="majorHAnsi"/>
          <w:lang w:val="es-ES"/>
        </w:rPr>
        <w:t xml:space="preserve"> </w:t>
      </w:r>
      <w:r w:rsidRPr="00504F81">
        <w:rPr>
          <w:rFonts w:asciiTheme="majorHAnsi" w:hAnsiTheme="majorHAnsi"/>
          <w:lang w:val="es-ES"/>
        </w:rPr>
        <w:t>IDH</w:t>
      </w:r>
      <w:r w:rsidRPr="00504F81">
        <w:rPr>
          <w:rFonts w:asciiTheme="majorHAnsi" w:eastAsia="Times New Roman" w:hAnsiTheme="majorHAnsi"/>
          <w:bCs/>
          <w:lang w:val="es-ES"/>
        </w:rPr>
        <w:t xml:space="preserve">. </w:t>
      </w:r>
      <w:r w:rsidRPr="00504F81">
        <w:rPr>
          <w:rFonts w:asciiTheme="majorHAnsi" w:eastAsia="Times New Roman" w:hAnsiTheme="majorHAnsi"/>
          <w:bCs/>
          <w:i/>
          <w:lang w:val="es-ES"/>
        </w:rPr>
        <w:t>Furl</w:t>
      </w:r>
      <w:r>
        <w:rPr>
          <w:rFonts w:asciiTheme="majorHAnsi" w:eastAsia="Times New Roman" w:hAnsiTheme="majorHAnsi"/>
          <w:bCs/>
          <w:i/>
          <w:lang w:val="es-ES"/>
        </w:rPr>
        <w:t>á</w:t>
      </w:r>
      <w:r w:rsidRPr="00504F81">
        <w:rPr>
          <w:rFonts w:asciiTheme="majorHAnsi" w:eastAsia="Times New Roman" w:hAnsiTheme="majorHAnsi"/>
          <w:bCs/>
          <w:i/>
          <w:lang w:val="es-ES"/>
        </w:rPr>
        <w:t>n y familiares vs. Argentina</w:t>
      </w:r>
      <w:r w:rsidRPr="00504F81">
        <w:rPr>
          <w:rFonts w:asciiTheme="majorHAnsi" w:eastAsia="Times New Roman" w:hAnsiTheme="majorHAnsi"/>
          <w:bCs/>
          <w:lang w:val="es-ES"/>
        </w:rPr>
        <w:t>. Sentencia de 31 de agosto de 2012, párr. 267.</w:t>
      </w:r>
    </w:p>
  </w:footnote>
  <w:footnote w:id="93">
    <w:p w14:paraId="2CE64587" w14:textId="77777777" w:rsidR="003F186B" w:rsidRPr="00504F81" w:rsidRDefault="003F186B" w:rsidP="00481E5F">
      <w:pPr>
        <w:pStyle w:val="Footnotes"/>
        <w:spacing w:after="0"/>
        <w:ind w:firstLine="0"/>
        <w:rPr>
          <w:rFonts w:asciiTheme="majorHAnsi" w:hAnsiTheme="majorHAnsi"/>
          <w:sz w:val="16"/>
          <w:szCs w:val="16"/>
          <w:lang w:val="es-ES"/>
        </w:rPr>
      </w:pPr>
      <w:r w:rsidRPr="00504F81">
        <w:rPr>
          <w:rStyle w:val="FootnoteReference"/>
          <w:rFonts w:asciiTheme="majorHAnsi" w:hAnsiTheme="majorHAnsi"/>
          <w:sz w:val="16"/>
          <w:szCs w:val="16"/>
          <w:lang w:val="es-ES"/>
        </w:rPr>
        <w:footnoteRef/>
      </w:r>
      <w:r w:rsidRPr="00504F81">
        <w:rPr>
          <w:rFonts w:asciiTheme="majorHAnsi" w:hAnsiTheme="majorHAnsi"/>
          <w:sz w:val="16"/>
          <w:szCs w:val="16"/>
          <w:lang w:val="es-ES"/>
        </w:rPr>
        <w:t xml:space="preserve"> CIDH, Informe No. 50/16, Caso 12.834, Fondo (Publicación), </w:t>
      </w:r>
      <w:r w:rsidRPr="00152FF5">
        <w:rPr>
          <w:rFonts w:asciiTheme="majorHAnsi" w:hAnsiTheme="majorHAnsi"/>
          <w:i/>
          <w:sz w:val="16"/>
          <w:szCs w:val="16"/>
          <w:lang w:val="es-ES"/>
        </w:rPr>
        <w:t>Trabajadores indocumentados. Estados Unidos</w:t>
      </w:r>
      <w:r w:rsidRPr="00504F81">
        <w:rPr>
          <w:rFonts w:asciiTheme="majorHAnsi" w:hAnsiTheme="majorHAnsi"/>
          <w:sz w:val="16"/>
          <w:szCs w:val="16"/>
          <w:lang w:val="es-ES"/>
        </w:rPr>
        <w:t xml:space="preserve">, 30 de noviembre de 2016, párr. 74; CIDH, Informe No. 51/01, Caso 9903, </w:t>
      </w:r>
      <w:r w:rsidRPr="00504F81">
        <w:rPr>
          <w:rFonts w:asciiTheme="majorHAnsi" w:hAnsiTheme="majorHAnsi"/>
          <w:i/>
          <w:sz w:val="16"/>
          <w:szCs w:val="16"/>
          <w:lang w:val="es-ES"/>
        </w:rPr>
        <w:t xml:space="preserve">Rafael Ferrer-Mazorra </w:t>
      </w:r>
      <w:r>
        <w:rPr>
          <w:rFonts w:asciiTheme="majorHAnsi" w:hAnsiTheme="majorHAnsi"/>
          <w:i/>
          <w:sz w:val="16"/>
          <w:szCs w:val="16"/>
          <w:lang w:val="es-ES"/>
        </w:rPr>
        <w:t xml:space="preserve">y otros. </w:t>
      </w:r>
      <w:r w:rsidRPr="00152FF5">
        <w:rPr>
          <w:rFonts w:asciiTheme="majorHAnsi" w:hAnsiTheme="majorHAnsi"/>
          <w:sz w:val="16"/>
          <w:szCs w:val="16"/>
          <w:lang w:val="es-ES"/>
        </w:rPr>
        <w:t>Estados Unidos</w:t>
      </w:r>
      <w:r w:rsidRPr="00504F81">
        <w:rPr>
          <w:rFonts w:asciiTheme="majorHAnsi" w:hAnsiTheme="majorHAnsi"/>
          <w:sz w:val="16"/>
          <w:szCs w:val="16"/>
          <w:lang w:val="es-ES"/>
        </w:rPr>
        <w:t>, 4</w:t>
      </w:r>
      <w:r>
        <w:rPr>
          <w:rFonts w:asciiTheme="majorHAnsi" w:hAnsiTheme="majorHAnsi"/>
          <w:sz w:val="16"/>
          <w:szCs w:val="16"/>
          <w:lang w:val="es-ES"/>
        </w:rPr>
        <w:t xml:space="preserve"> de abril de</w:t>
      </w:r>
      <w:r w:rsidRPr="00504F81">
        <w:rPr>
          <w:rFonts w:asciiTheme="majorHAnsi" w:hAnsiTheme="majorHAnsi"/>
          <w:sz w:val="16"/>
          <w:szCs w:val="16"/>
          <w:lang w:val="es-ES"/>
        </w:rPr>
        <w:t xml:space="preserve"> 2001, párr. 238 (donde se cita</w:t>
      </w:r>
      <w:r>
        <w:rPr>
          <w:rFonts w:asciiTheme="majorHAnsi" w:hAnsiTheme="majorHAnsi"/>
          <w:sz w:val="16"/>
          <w:szCs w:val="16"/>
          <w:lang w:val="es-ES"/>
        </w:rPr>
        <w:t>,</w:t>
      </w:r>
      <w:r w:rsidRPr="00504F81">
        <w:rPr>
          <w:rFonts w:asciiTheme="majorHAnsi" w:hAnsiTheme="majorHAnsi"/>
          <w:sz w:val="16"/>
          <w:szCs w:val="16"/>
          <w:lang w:val="es-ES"/>
        </w:rPr>
        <w:t xml:space="preserve"> </w:t>
      </w:r>
      <w:r>
        <w:rPr>
          <w:rFonts w:asciiTheme="majorHAnsi" w:hAnsiTheme="majorHAnsi"/>
          <w:sz w:val="16"/>
          <w:szCs w:val="16"/>
          <w:lang w:val="es-ES"/>
        </w:rPr>
        <w:t>en apoyo de su posición, Corte Europea de Derechos Humanos</w:t>
      </w:r>
      <w:r w:rsidRPr="00504F81">
        <w:rPr>
          <w:rFonts w:asciiTheme="majorHAnsi" w:eastAsia="Times New Roman" w:hAnsiTheme="majorHAnsi"/>
          <w:color w:val="000000"/>
          <w:sz w:val="16"/>
          <w:szCs w:val="16"/>
          <w:lang w:val="es-ES"/>
        </w:rPr>
        <w:t>, </w:t>
      </w:r>
      <w:r>
        <w:rPr>
          <w:rFonts w:asciiTheme="majorHAnsi" w:eastAsia="Times New Roman" w:hAnsiTheme="majorHAnsi"/>
          <w:i/>
          <w:color w:val="000000"/>
          <w:sz w:val="16"/>
          <w:szCs w:val="16"/>
          <w:lang w:val="es-ES"/>
        </w:rPr>
        <w:t xml:space="preserve">Caso </w:t>
      </w:r>
      <w:r w:rsidRPr="00504F81">
        <w:rPr>
          <w:rFonts w:asciiTheme="majorHAnsi" w:eastAsia="Times New Roman" w:hAnsiTheme="majorHAnsi"/>
          <w:i/>
          <w:iCs/>
          <w:color w:val="000000"/>
          <w:sz w:val="16"/>
          <w:szCs w:val="16"/>
          <w:lang w:val="es-ES"/>
        </w:rPr>
        <w:t>Belgian Linguistics</w:t>
      </w:r>
      <w:r w:rsidRPr="00504F81">
        <w:rPr>
          <w:rFonts w:asciiTheme="majorHAnsi" w:eastAsia="Times New Roman" w:hAnsiTheme="majorHAnsi"/>
          <w:color w:val="000000"/>
          <w:sz w:val="16"/>
          <w:szCs w:val="16"/>
          <w:lang w:val="es-ES"/>
        </w:rPr>
        <w:t>, 23</w:t>
      </w:r>
      <w:r>
        <w:rPr>
          <w:rFonts w:asciiTheme="majorHAnsi" w:eastAsia="Times New Roman" w:hAnsiTheme="majorHAnsi"/>
          <w:color w:val="000000"/>
          <w:sz w:val="16"/>
          <w:szCs w:val="16"/>
          <w:lang w:val="es-ES"/>
        </w:rPr>
        <w:t xml:space="preserve"> de julio de</w:t>
      </w:r>
      <w:r w:rsidRPr="00504F81">
        <w:rPr>
          <w:rFonts w:asciiTheme="majorHAnsi" w:eastAsia="Times New Roman" w:hAnsiTheme="majorHAnsi"/>
          <w:color w:val="000000"/>
          <w:sz w:val="16"/>
          <w:szCs w:val="16"/>
          <w:lang w:val="es-ES"/>
        </w:rPr>
        <w:t xml:space="preserve"> 1968, Serie A Nº 6, 1 E.H.R.R. 252, p. 35, párr. 10). </w:t>
      </w:r>
    </w:p>
  </w:footnote>
  <w:footnote w:id="94">
    <w:p w14:paraId="19061D1E" w14:textId="77777777" w:rsidR="003F186B" w:rsidRPr="00486E69" w:rsidRDefault="003F186B" w:rsidP="00481E5F">
      <w:pPr>
        <w:pStyle w:val="FootnoteText"/>
        <w:jc w:val="both"/>
        <w:rPr>
          <w:rFonts w:asciiTheme="majorHAnsi" w:hAnsiTheme="majorHAnsi"/>
          <w:szCs w:val="16"/>
          <w:lang w:val="pt-BR"/>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CIDH, </w:t>
      </w:r>
      <w:r w:rsidRPr="00504F81">
        <w:rPr>
          <w:rFonts w:asciiTheme="majorHAnsi" w:hAnsiTheme="majorHAnsi"/>
          <w:i/>
          <w:szCs w:val="16"/>
          <w:lang w:val="es-ES"/>
        </w:rPr>
        <w:t xml:space="preserve">Informe sobre Terrorismo y Derechos Humanos </w:t>
      </w:r>
      <w:r w:rsidRPr="00504F81">
        <w:rPr>
          <w:rFonts w:asciiTheme="majorHAnsi" w:hAnsiTheme="majorHAnsi"/>
          <w:szCs w:val="16"/>
          <w:lang w:val="es-ES"/>
        </w:rPr>
        <w:t>(2002), párr. 338 (donde se cita, </w:t>
      </w:r>
      <w:r w:rsidRPr="00504F81">
        <w:rPr>
          <w:rFonts w:asciiTheme="majorHAnsi" w:hAnsiTheme="majorHAnsi"/>
          <w:iCs/>
          <w:szCs w:val="16"/>
          <w:lang w:val="es-ES"/>
        </w:rPr>
        <w:t>entre otros</w:t>
      </w:r>
      <w:r w:rsidRPr="00504F81">
        <w:rPr>
          <w:rFonts w:asciiTheme="majorHAnsi" w:hAnsiTheme="majorHAnsi"/>
          <w:szCs w:val="16"/>
          <w:lang w:val="es-ES"/>
        </w:rPr>
        <w:t xml:space="preserve">, a Repetto, Inés, Corte Suprema de Justicia </w:t>
      </w:r>
      <w:r w:rsidRPr="003B3A9B">
        <w:rPr>
          <w:rFonts w:asciiTheme="majorHAnsi" w:hAnsiTheme="majorHAnsi"/>
          <w:szCs w:val="16"/>
          <w:lang w:val="es-US"/>
        </w:rPr>
        <w:t>[</w:t>
      </w:r>
      <w:r w:rsidRPr="00504F81">
        <w:rPr>
          <w:rFonts w:asciiTheme="majorHAnsi" w:hAnsiTheme="majorHAnsi"/>
          <w:szCs w:val="16"/>
          <w:lang w:val="es-ES"/>
        </w:rPr>
        <w:t>Argentina</w:t>
      </w:r>
      <w:r>
        <w:rPr>
          <w:rFonts w:asciiTheme="majorHAnsi" w:hAnsiTheme="majorHAnsi"/>
          <w:szCs w:val="16"/>
          <w:lang w:val="es-ES"/>
        </w:rPr>
        <w:t>]</w:t>
      </w:r>
      <w:r w:rsidRPr="00504F81">
        <w:rPr>
          <w:rFonts w:asciiTheme="majorHAnsi" w:hAnsiTheme="majorHAnsi"/>
          <w:szCs w:val="16"/>
          <w:lang w:val="es-ES"/>
        </w:rPr>
        <w:t>, 8 de noviembre de 1988</w:t>
      </w:r>
      <w:r>
        <w:rPr>
          <w:rFonts w:asciiTheme="majorHAnsi" w:hAnsiTheme="majorHAnsi"/>
          <w:szCs w:val="16"/>
          <w:lang w:val="es-ES"/>
        </w:rPr>
        <w:t>;</w:t>
      </w:r>
      <w:r w:rsidRPr="00504F81">
        <w:rPr>
          <w:rFonts w:asciiTheme="majorHAnsi" w:hAnsiTheme="majorHAnsi"/>
          <w:szCs w:val="16"/>
          <w:lang w:val="es-ES"/>
        </w:rPr>
        <w:t xml:space="preserve"> jueces Petracchi y Bacqué, párr. 6; </w:t>
      </w:r>
      <w:r w:rsidRPr="00504F81">
        <w:rPr>
          <w:rFonts w:asciiTheme="majorHAnsi" w:hAnsiTheme="majorHAnsi"/>
          <w:i/>
          <w:szCs w:val="16"/>
          <w:lang w:val="es-ES"/>
        </w:rPr>
        <w:t>Loving v. Virginia</w:t>
      </w:r>
      <w:r w:rsidRPr="00504F81">
        <w:rPr>
          <w:rFonts w:asciiTheme="majorHAnsi" w:hAnsiTheme="majorHAnsi"/>
          <w:szCs w:val="16"/>
          <w:lang w:val="es-ES"/>
        </w:rPr>
        <w:t xml:space="preserve">, 388 US 1, 87 </w:t>
      </w:r>
      <w:r>
        <w:rPr>
          <w:rFonts w:asciiTheme="majorHAnsi" w:hAnsiTheme="majorHAnsi"/>
          <w:szCs w:val="16"/>
          <w:lang w:val="es-ES"/>
        </w:rPr>
        <w:t>[</w:t>
      </w:r>
      <w:r w:rsidRPr="00504F81">
        <w:rPr>
          <w:rFonts w:asciiTheme="majorHAnsi" w:hAnsiTheme="majorHAnsi"/>
          <w:szCs w:val="16"/>
          <w:lang w:val="es-ES"/>
        </w:rPr>
        <w:t>1967</w:t>
      </w:r>
      <w:r>
        <w:rPr>
          <w:rFonts w:asciiTheme="majorHAnsi" w:hAnsiTheme="majorHAnsi"/>
          <w:szCs w:val="16"/>
          <w:lang w:val="es-ES"/>
        </w:rPr>
        <w:t>]</w:t>
      </w:r>
      <w:r w:rsidRPr="00504F81">
        <w:rPr>
          <w:rFonts w:asciiTheme="majorHAnsi" w:hAnsiTheme="majorHAnsi"/>
          <w:szCs w:val="16"/>
          <w:lang w:val="es-ES"/>
        </w:rPr>
        <w:t xml:space="preserve">, Corte Europea de Derechos Humanos, </w:t>
      </w:r>
      <w:r w:rsidRPr="00504F81">
        <w:rPr>
          <w:rFonts w:asciiTheme="majorHAnsi" w:hAnsiTheme="majorHAnsi"/>
          <w:i/>
          <w:szCs w:val="16"/>
          <w:lang w:val="es-ES"/>
        </w:rPr>
        <w:t>Abdulaziz v. Reino Unido</w:t>
      </w:r>
      <w:r w:rsidRPr="00504F81">
        <w:rPr>
          <w:rFonts w:asciiTheme="majorHAnsi" w:hAnsiTheme="majorHAnsi"/>
          <w:szCs w:val="16"/>
          <w:lang w:val="es-ES"/>
        </w:rPr>
        <w:t xml:space="preserve">, Sentencia de 28 de mayo de 1985, Ser. </w:t>
      </w:r>
      <w:r w:rsidRPr="003B0BE8">
        <w:rPr>
          <w:rFonts w:asciiTheme="majorHAnsi" w:hAnsiTheme="majorHAnsi"/>
          <w:szCs w:val="16"/>
          <w:lang w:val="es-ES"/>
        </w:rPr>
        <w:t xml:space="preserve">A Nº 94, párr. </w:t>
      </w:r>
      <w:r w:rsidRPr="00486E69">
        <w:rPr>
          <w:rFonts w:asciiTheme="majorHAnsi" w:hAnsiTheme="majorHAnsi"/>
          <w:szCs w:val="16"/>
          <w:lang w:val="pt-BR"/>
        </w:rPr>
        <w:t>79).</w:t>
      </w:r>
    </w:p>
  </w:footnote>
  <w:footnote w:id="95">
    <w:p w14:paraId="1A97CFE8" w14:textId="77777777" w:rsidR="003F186B" w:rsidRPr="00504F81" w:rsidRDefault="003F186B" w:rsidP="00481E5F">
      <w:pPr>
        <w:pStyle w:val="Footnotes"/>
        <w:spacing w:after="0"/>
        <w:ind w:firstLine="0"/>
        <w:rPr>
          <w:rFonts w:asciiTheme="majorHAnsi" w:hAnsiTheme="majorHAnsi"/>
          <w:sz w:val="16"/>
          <w:szCs w:val="16"/>
          <w:lang w:val="es-ES"/>
        </w:rPr>
      </w:pPr>
      <w:r w:rsidRPr="00504F81">
        <w:rPr>
          <w:rStyle w:val="FootnoteReference"/>
          <w:rFonts w:asciiTheme="majorHAnsi" w:hAnsiTheme="majorHAnsi"/>
          <w:sz w:val="16"/>
          <w:szCs w:val="16"/>
          <w:lang w:val="es-ES"/>
        </w:rPr>
        <w:footnoteRef/>
      </w:r>
      <w:r w:rsidRPr="00486E69">
        <w:rPr>
          <w:rFonts w:asciiTheme="majorHAnsi" w:hAnsiTheme="majorHAnsi"/>
          <w:sz w:val="16"/>
          <w:szCs w:val="16"/>
          <w:lang w:val="pt-BR"/>
        </w:rPr>
        <w:t xml:space="preserve"> CIDH, Informe No. 113/14, Caso 11.661, Fondo, </w:t>
      </w:r>
      <w:r>
        <w:rPr>
          <w:rFonts w:asciiTheme="majorHAnsi" w:hAnsiTheme="majorHAnsi"/>
          <w:i/>
          <w:sz w:val="16"/>
          <w:szCs w:val="16"/>
          <w:lang w:val="pt-BR"/>
        </w:rPr>
        <w:t>Manickavasagam Suresh,</w:t>
      </w:r>
      <w:r w:rsidRPr="00486E69">
        <w:rPr>
          <w:rFonts w:asciiTheme="majorHAnsi" w:hAnsiTheme="majorHAnsi"/>
          <w:sz w:val="16"/>
          <w:szCs w:val="16"/>
          <w:lang w:val="pt-BR"/>
        </w:rPr>
        <w:t xml:space="preserve"> </w:t>
      </w:r>
      <w:r w:rsidRPr="00152FF5">
        <w:rPr>
          <w:rFonts w:asciiTheme="majorHAnsi" w:hAnsiTheme="majorHAnsi"/>
          <w:sz w:val="16"/>
          <w:szCs w:val="16"/>
          <w:lang w:val="pt-BR"/>
        </w:rPr>
        <w:t>Canadá</w:t>
      </w:r>
      <w:r w:rsidRPr="00486E69">
        <w:rPr>
          <w:rFonts w:asciiTheme="majorHAnsi" w:hAnsiTheme="majorHAnsi"/>
          <w:sz w:val="16"/>
          <w:szCs w:val="16"/>
          <w:lang w:val="pt-BR"/>
        </w:rPr>
        <w:t xml:space="preserve">, 7 de noviembre de 2014, párr. </w:t>
      </w:r>
      <w:r w:rsidRPr="00504F81">
        <w:rPr>
          <w:rFonts w:asciiTheme="majorHAnsi" w:hAnsiTheme="majorHAnsi"/>
          <w:sz w:val="16"/>
          <w:szCs w:val="16"/>
          <w:lang w:val="es-ES"/>
        </w:rPr>
        <w:t xml:space="preserve">86; CIDH, Informe No. 51/01, Caso 9903, </w:t>
      </w:r>
      <w:r w:rsidRPr="00504F81">
        <w:rPr>
          <w:rFonts w:asciiTheme="majorHAnsi" w:hAnsiTheme="majorHAnsi"/>
          <w:i/>
          <w:sz w:val="16"/>
          <w:szCs w:val="16"/>
          <w:lang w:val="es-ES"/>
        </w:rPr>
        <w:t>Rafael Ferrer-Mazorra y otros</w:t>
      </w:r>
      <w:r>
        <w:rPr>
          <w:rFonts w:asciiTheme="majorHAnsi" w:hAnsiTheme="majorHAnsi"/>
          <w:i/>
          <w:sz w:val="16"/>
          <w:szCs w:val="16"/>
          <w:lang w:val="es-ES"/>
        </w:rPr>
        <w:t>.</w:t>
      </w:r>
      <w:r w:rsidRPr="00504F81">
        <w:rPr>
          <w:rFonts w:asciiTheme="majorHAnsi" w:hAnsiTheme="majorHAnsi"/>
          <w:i/>
          <w:sz w:val="16"/>
          <w:szCs w:val="16"/>
          <w:lang w:val="es-ES"/>
        </w:rPr>
        <w:t xml:space="preserve"> </w:t>
      </w:r>
      <w:r w:rsidRPr="00152FF5">
        <w:rPr>
          <w:rFonts w:asciiTheme="majorHAnsi" w:hAnsiTheme="majorHAnsi"/>
          <w:sz w:val="16"/>
          <w:szCs w:val="16"/>
          <w:lang w:val="es-ES"/>
        </w:rPr>
        <w:t>Estados Unidos</w:t>
      </w:r>
      <w:r w:rsidRPr="00504F81">
        <w:rPr>
          <w:rFonts w:asciiTheme="majorHAnsi" w:hAnsiTheme="majorHAnsi"/>
          <w:sz w:val="16"/>
          <w:szCs w:val="16"/>
          <w:lang w:val="es-ES"/>
        </w:rPr>
        <w:t xml:space="preserve">, 4 de abril de 2001, párr. 239. </w:t>
      </w:r>
      <w:r w:rsidRPr="00504F81">
        <w:rPr>
          <w:rFonts w:asciiTheme="majorHAnsi" w:hAnsiTheme="majorHAnsi"/>
          <w:i/>
          <w:sz w:val="16"/>
          <w:szCs w:val="16"/>
          <w:lang w:val="es-ES"/>
        </w:rPr>
        <w:t>Véase también</w:t>
      </w:r>
      <w:r w:rsidRPr="00504F81">
        <w:rPr>
          <w:rFonts w:asciiTheme="majorHAnsi" w:hAnsiTheme="majorHAnsi"/>
          <w:sz w:val="16"/>
          <w:szCs w:val="16"/>
          <w:lang w:val="es-ES"/>
        </w:rPr>
        <w:t xml:space="preserve"> CIDH, </w:t>
      </w:r>
      <w:r w:rsidRPr="00504F81">
        <w:rPr>
          <w:rFonts w:asciiTheme="majorHAnsi" w:hAnsiTheme="majorHAnsi"/>
          <w:i/>
          <w:iCs/>
          <w:sz w:val="16"/>
          <w:szCs w:val="16"/>
          <w:lang w:val="es-ES"/>
        </w:rPr>
        <w:t>Informe sobre la situación de derechos humanos de las personas que solicitan asilo en el sistema canadiense para la determinación de la condición de refugiado</w:t>
      </w:r>
      <w:r>
        <w:rPr>
          <w:rFonts w:asciiTheme="majorHAnsi" w:hAnsiTheme="majorHAnsi"/>
          <w:iCs/>
          <w:sz w:val="16"/>
          <w:szCs w:val="16"/>
          <w:lang w:val="es-ES"/>
        </w:rPr>
        <w:t xml:space="preserve"> </w:t>
      </w:r>
      <w:r>
        <w:rPr>
          <w:rFonts w:asciiTheme="majorHAnsi" w:hAnsiTheme="majorHAnsi"/>
          <w:sz w:val="16"/>
          <w:szCs w:val="16"/>
          <w:lang w:val="es-ES"/>
        </w:rPr>
        <w:t>(</w:t>
      </w:r>
      <w:r w:rsidRPr="00504F81">
        <w:rPr>
          <w:rFonts w:asciiTheme="majorHAnsi" w:hAnsiTheme="majorHAnsi"/>
          <w:sz w:val="16"/>
          <w:szCs w:val="16"/>
          <w:lang w:val="es-ES"/>
        </w:rPr>
        <w:t xml:space="preserve">2000), párr. 96. </w:t>
      </w:r>
    </w:p>
  </w:footnote>
  <w:footnote w:id="96">
    <w:p w14:paraId="4D0FC01C"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Véase Corte</w:t>
      </w:r>
      <w:r>
        <w:rPr>
          <w:rFonts w:asciiTheme="majorHAnsi" w:hAnsiTheme="majorHAnsi"/>
          <w:szCs w:val="16"/>
          <w:lang w:val="es-ES"/>
        </w:rPr>
        <w:t xml:space="preserve"> </w:t>
      </w:r>
      <w:r w:rsidRPr="00504F81">
        <w:rPr>
          <w:rFonts w:asciiTheme="majorHAnsi" w:hAnsiTheme="majorHAnsi"/>
          <w:szCs w:val="16"/>
          <w:lang w:val="es-ES"/>
        </w:rPr>
        <w:t xml:space="preserve">IDH, </w:t>
      </w:r>
      <w:r w:rsidRPr="00504F81">
        <w:rPr>
          <w:rFonts w:asciiTheme="majorHAnsi" w:hAnsiTheme="majorHAnsi"/>
          <w:i/>
          <w:szCs w:val="16"/>
          <w:lang w:val="es-ES"/>
        </w:rPr>
        <w:t>Velásquez Rodríguez V. Honduras</w:t>
      </w:r>
      <w:r w:rsidRPr="00504F81">
        <w:rPr>
          <w:rFonts w:asciiTheme="majorHAnsi" w:hAnsiTheme="majorHAnsi"/>
          <w:szCs w:val="16"/>
          <w:lang w:val="es-ES"/>
        </w:rPr>
        <w:t>. Sentencia de 29 de julio de 1988, párr. 154, párr. 167; Corte</w:t>
      </w:r>
      <w:r>
        <w:rPr>
          <w:rFonts w:asciiTheme="majorHAnsi" w:hAnsiTheme="majorHAnsi"/>
          <w:szCs w:val="16"/>
          <w:lang w:val="es-ES"/>
        </w:rPr>
        <w:t xml:space="preserve"> </w:t>
      </w:r>
      <w:r w:rsidRPr="00504F81">
        <w:rPr>
          <w:rFonts w:asciiTheme="majorHAnsi" w:hAnsiTheme="majorHAnsi"/>
          <w:szCs w:val="16"/>
          <w:lang w:val="es-ES"/>
        </w:rPr>
        <w:t xml:space="preserve">IDH, </w:t>
      </w:r>
      <w:r>
        <w:rPr>
          <w:rFonts w:asciiTheme="majorHAnsi" w:hAnsiTheme="majorHAnsi"/>
          <w:i/>
          <w:szCs w:val="16"/>
          <w:lang w:val="es-ES"/>
        </w:rPr>
        <w:t xml:space="preserve">Caso </w:t>
      </w:r>
      <w:r w:rsidRPr="00504F81">
        <w:rPr>
          <w:rFonts w:asciiTheme="majorHAnsi" w:hAnsiTheme="majorHAnsi"/>
          <w:i/>
          <w:szCs w:val="16"/>
          <w:lang w:val="es-ES"/>
        </w:rPr>
        <w:t>Velásquez Rodríguez</w:t>
      </w:r>
      <w:r w:rsidRPr="00504F81">
        <w:rPr>
          <w:rFonts w:asciiTheme="majorHAnsi" w:hAnsiTheme="majorHAnsi"/>
          <w:szCs w:val="16"/>
          <w:lang w:val="es-ES"/>
        </w:rPr>
        <w:t>, Reparaciones y Costas, Sentencia de 21 de julio de 1989, párrs. 25-26, 50-51, donde se citan, </w:t>
      </w:r>
      <w:r w:rsidRPr="00504F81">
        <w:rPr>
          <w:rFonts w:asciiTheme="majorHAnsi" w:hAnsiTheme="majorHAnsi"/>
          <w:iCs/>
          <w:szCs w:val="16"/>
          <w:lang w:val="es-ES"/>
        </w:rPr>
        <w:t>entre otros</w:t>
      </w:r>
      <w:r w:rsidRPr="00504F81">
        <w:rPr>
          <w:rFonts w:asciiTheme="majorHAnsi" w:hAnsiTheme="majorHAnsi"/>
          <w:szCs w:val="16"/>
          <w:lang w:val="es-ES"/>
        </w:rPr>
        <w:t xml:space="preserve">, </w:t>
      </w:r>
      <w:r w:rsidRPr="00504F81">
        <w:rPr>
          <w:rFonts w:asciiTheme="majorHAnsi" w:hAnsiTheme="majorHAnsi"/>
          <w:i/>
          <w:szCs w:val="16"/>
          <w:lang w:val="es-ES"/>
        </w:rPr>
        <w:t>La fábrica de Chorzów</w:t>
      </w:r>
      <w:r w:rsidRPr="00504F81">
        <w:rPr>
          <w:rFonts w:asciiTheme="majorHAnsi" w:hAnsiTheme="majorHAnsi"/>
          <w:szCs w:val="16"/>
          <w:lang w:val="es-ES"/>
        </w:rPr>
        <w:t xml:space="preserve">, Fondo, Sentencia No. 13, 1928, Corte Permanente de Justicia Internacional, Serie A, No. 9, p. 21; </w:t>
      </w:r>
      <w:r w:rsidRPr="00504F81">
        <w:rPr>
          <w:rFonts w:asciiTheme="majorHAnsi" w:hAnsiTheme="majorHAnsi"/>
          <w:i/>
          <w:szCs w:val="16"/>
          <w:lang w:val="es-ES"/>
        </w:rPr>
        <w:t>Reparation for Injuries Suffered in the Service of the United Nations</w:t>
      </w:r>
      <w:r w:rsidRPr="00504F81">
        <w:rPr>
          <w:rFonts w:asciiTheme="majorHAnsi" w:hAnsiTheme="majorHAnsi"/>
          <w:szCs w:val="16"/>
          <w:lang w:val="es-ES"/>
        </w:rPr>
        <w:t>, Opinión Consultiva, CIJ, Informes de 1949, p. 184; Corte</w:t>
      </w:r>
      <w:r>
        <w:rPr>
          <w:rFonts w:asciiTheme="majorHAnsi" w:hAnsiTheme="majorHAnsi"/>
          <w:szCs w:val="16"/>
          <w:lang w:val="es-ES"/>
        </w:rPr>
        <w:t xml:space="preserve"> </w:t>
      </w:r>
      <w:r w:rsidRPr="00504F81">
        <w:rPr>
          <w:rFonts w:asciiTheme="majorHAnsi" w:hAnsiTheme="majorHAnsi"/>
          <w:szCs w:val="16"/>
          <w:lang w:val="es-ES"/>
        </w:rPr>
        <w:t xml:space="preserve">IDH, Opinión Consultiva OC-11/90, </w:t>
      </w:r>
      <w:r w:rsidRPr="00504F81">
        <w:rPr>
          <w:rFonts w:asciiTheme="majorHAnsi" w:hAnsiTheme="majorHAnsi"/>
          <w:i/>
          <w:szCs w:val="16"/>
          <w:lang w:val="es-ES"/>
        </w:rPr>
        <w:t>Excepciones al agotamiento de los recursos internos (Arts. 46.1, 46.2.a y 46.2.b, Convención Americana sobre Derechos Humanos)</w:t>
      </w:r>
      <w:r w:rsidRPr="00504F81">
        <w:rPr>
          <w:rFonts w:asciiTheme="majorHAnsi" w:hAnsiTheme="majorHAnsi"/>
          <w:szCs w:val="16"/>
          <w:lang w:val="es-ES"/>
        </w:rPr>
        <w:t>, 10 de agosto de 1990, Serie</w:t>
      </w:r>
      <w:r>
        <w:rPr>
          <w:rFonts w:asciiTheme="majorHAnsi" w:hAnsiTheme="majorHAnsi"/>
          <w:szCs w:val="16"/>
          <w:lang w:val="es-ES"/>
        </w:rPr>
        <w:t xml:space="preserve"> </w:t>
      </w:r>
      <w:r w:rsidRPr="00504F81">
        <w:rPr>
          <w:rFonts w:asciiTheme="majorHAnsi" w:hAnsiTheme="majorHAnsi"/>
          <w:szCs w:val="16"/>
          <w:lang w:val="es-ES"/>
        </w:rPr>
        <w:t>A Nº 11, párr. 23; Corte</w:t>
      </w:r>
      <w:r>
        <w:rPr>
          <w:rFonts w:asciiTheme="majorHAnsi" w:hAnsiTheme="majorHAnsi"/>
          <w:szCs w:val="16"/>
          <w:lang w:val="es-ES"/>
        </w:rPr>
        <w:t xml:space="preserve"> </w:t>
      </w:r>
      <w:r w:rsidRPr="00504F81">
        <w:rPr>
          <w:rFonts w:asciiTheme="majorHAnsi" w:hAnsiTheme="majorHAnsi"/>
          <w:szCs w:val="16"/>
          <w:lang w:val="es-ES"/>
        </w:rPr>
        <w:t xml:space="preserve">IDH, </w:t>
      </w:r>
      <w:r w:rsidRPr="00504F81">
        <w:rPr>
          <w:rFonts w:asciiTheme="majorHAnsi" w:hAnsiTheme="majorHAnsi"/>
          <w:i/>
          <w:szCs w:val="16"/>
          <w:lang w:val="es-ES"/>
        </w:rPr>
        <w:t>Caso Aloeboetoe y otros Vs. Surinam</w:t>
      </w:r>
      <w:r w:rsidRPr="00504F81">
        <w:rPr>
          <w:rFonts w:asciiTheme="majorHAnsi" w:hAnsiTheme="majorHAnsi"/>
          <w:szCs w:val="16"/>
          <w:lang w:val="es-ES"/>
        </w:rPr>
        <w:t>, Reparaciones y Costas, Sentencia de 10 de septiembre de 1993, párrs. 51-52.</w:t>
      </w:r>
    </w:p>
  </w:footnote>
  <w:footnote w:id="97">
    <w:p w14:paraId="7049E14A"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w:t>
      </w:r>
      <w:r w:rsidRPr="00504F81">
        <w:rPr>
          <w:rFonts w:asciiTheme="majorHAnsi" w:hAnsiTheme="majorHAnsi"/>
          <w:i/>
          <w:szCs w:val="16"/>
          <w:lang w:val="es-ES"/>
        </w:rPr>
        <w:t>Véase</w:t>
      </w:r>
      <w:r w:rsidRPr="00504F81">
        <w:rPr>
          <w:rFonts w:asciiTheme="majorHAnsi" w:hAnsiTheme="majorHAnsi"/>
          <w:szCs w:val="16"/>
          <w:lang w:val="es-ES"/>
        </w:rPr>
        <w:t>, entre otros, Corte</w:t>
      </w:r>
      <w:r>
        <w:rPr>
          <w:rFonts w:asciiTheme="majorHAnsi" w:hAnsiTheme="majorHAnsi"/>
          <w:szCs w:val="16"/>
          <w:lang w:val="es-ES"/>
        </w:rPr>
        <w:t xml:space="preserve"> </w:t>
      </w:r>
      <w:r w:rsidRPr="00504F81">
        <w:rPr>
          <w:rFonts w:asciiTheme="majorHAnsi" w:hAnsiTheme="majorHAnsi"/>
          <w:szCs w:val="16"/>
          <w:lang w:val="es-ES"/>
        </w:rPr>
        <w:t>IDH,</w:t>
      </w:r>
      <w:r w:rsidRPr="00504F81">
        <w:rPr>
          <w:rFonts w:asciiTheme="majorHAnsi" w:hAnsiTheme="majorHAnsi"/>
          <w:i/>
          <w:szCs w:val="16"/>
          <w:lang w:val="es-ES"/>
        </w:rPr>
        <w:t xml:space="preserve"> Hilaire y otros Vs. Trinidad y Tobago</w:t>
      </w:r>
      <w:r w:rsidRPr="00504F81">
        <w:rPr>
          <w:rFonts w:asciiTheme="majorHAnsi" w:hAnsiTheme="majorHAnsi"/>
          <w:szCs w:val="16"/>
          <w:lang w:val="es-ES"/>
        </w:rPr>
        <w:t xml:space="preserve">, Sentencia de 21 de junio de 2002, párr. 145; </w:t>
      </w:r>
      <w:r w:rsidRPr="00504F81">
        <w:rPr>
          <w:rFonts w:asciiTheme="majorHAnsi" w:hAnsiTheme="majorHAnsi"/>
          <w:i/>
          <w:szCs w:val="16"/>
          <w:lang w:val="es-ES"/>
        </w:rPr>
        <w:t>Caso 19 Comerciantes Vs. Colombia</w:t>
      </w:r>
      <w:r w:rsidRPr="00504F81">
        <w:rPr>
          <w:rFonts w:asciiTheme="majorHAnsi" w:hAnsiTheme="majorHAnsi"/>
          <w:szCs w:val="16"/>
          <w:lang w:val="es-ES"/>
        </w:rPr>
        <w:t xml:space="preserve">, Sentencia de 5 de julio de 2004, párr. 191; </w:t>
      </w:r>
      <w:r w:rsidRPr="00504F81">
        <w:rPr>
          <w:rFonts w:asciiTheme="majorHAnsi" w:hAnsiTheme="majorHAnsi"/>
          <w:i/>
          <w:szCs w:val="16"/>
          <w:lang w:val="es-ES"/>
        </w:rPr>
        <w:t>Caso de las Hermanas Serrano Cruz Vs. El Salvador</w:t>
      </w:r>
      <w:r w:rsidRPr="00504F81">
        <w:rPr>
          <w:rFonts w:asciiTheme="majorHAnsi" w:hAnsiTheme="majorHAnsi"/>
          <w:szCs w:val="16"/>
          <w:lang w:val="es-ES"/>
        </w:rPr>
        <w:t xml:space="preserve">, Sentencia de 1 de marzo de 2005, párr. 69. </w:t>
      </w:r>
    </w:p>
  </w:footnote>
  <w:footnote w:id="98">
    <w:p w14:paraId="5D54BC08" w14:textId="77777777" w:rsidR="003F186B" w:rsidRPr="00504F81" w:rsidRDefault="003F186B" w:rsidP="00481E5F">
      <w:pPr>
        <w:pStyle w:val="FootnoteText"/>
        <w:jc w:val="both"/>
        <w:rPr>
          <w:rFonts w:asciiTheme="majorHAnsi" w:hAnsiTheme="majorHAnsi"/>
          <w: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w:t>
      </w:r>
      <w:r w:rsidRPr="00504F81">
        <w:rPr>
          <w:rFonts w:asciiTheme="majorHAnsi" w:hAnsiTheme="majorHAnsi"/>
          <w:i/>
          <w:szCs w:val="16"/>
          <w:lang w:val="es-ES"/>
        </w:rPr>
        <w:t>Véase</w:t>
      </w:r>
      <w:r w:rsidRPr="00504F81">
        <w:rPr>
          <w:rFonts w:asciiTheme="majorHAnsi" w:hAnsiTheme="majorHAnsi"/>
          <w:szCs w:val="16"/>
          <w:lang w:val="es-ES"/>
        </w:rPr>
        <w:t xml:space="preserve">, </w:t>
      </w:r>
      <w:r w:rsidRPr="00504F81">
        <w:rPr>
          <w:rFonts w:asciiTheme="majorHAnsi" w:hAnsiTheme="majorHAnsi"/>
          <w:i/>
          <w:szCs w:val="16"/>
          <w:lang w:val="es-ES"/>
        </w:rPr>
        <w:t>por ejemplo</w:t>
      </w:r>
      <w:r w:rsidRPr="00504F81">
        <w:rPr>
          <w:rFonts w:asciiTheme="majorHAnsi" w:hAnsiTheme="majorHAnsi"/>
          <w:szCs w:val="16"/>
          <w:lang w:val="es-ES"/>
        </w:rPr>
        <w:t xml:space="preserve">, CIDH, </w:t>
      </w:r>
      <w:r w:rsidRPr="00504F81">
        <w:rPr>
          <w:rFonts w:asciiTheme="majorHAnsi" w:hAnsiTheme="majorHAnsi"/>
          <w:i/>
          <w:szCs w:val="16"/>
          <w:lang w:val="es-ES"/>
        </w:rPr>
        <w:t>Hacia el cierre de Guantánamo</w:t>
      </w:r>
      <w:r w:rsidRPr="00504F81">
        <w:rPr>
          <w:rFonts w:asciiTheme="majorHAnsi" w:hAnsiTheme="majorHAnsi"/>
          <w:szCs w:val="16"/>
          <w:lang w:val="es-ES"/>
        </w:rPr>
        <w:t xml:space="preserve"> (2015), párr. 153; </w:t>
      </w:r>
      <w:r w:rsidRPr="00504F81">
        <w:rPr>
          <w:rFonts w:asciiTheme="majorHAnsi" w:hAnsiTheme="majorHAnsi"/>
          <w:i/>
          <w:szCs w:val="16"/>
          <w:lang w:val="es-ES"/>
        </w:rPr>
        <w:t>véa</w:t>
      </w:r>
      <w:r>
        <w:rPr>
          <w:rFonts w:asciiTheme="majorHAnsi" w:hAnsiTheme="majorHAnsi"/>
          <w:i/>
          <w:szCs w:val="16"/>
          <w:lang w:val="es-ES"/>
        </w:rPr>
        <w:t>n</w:t>
      </w:r>
      <w:r w:rsidRPr="00504F81">
        <w:rPr>
          <w:rFonts w:asciiTheme="majorHAnsi" w:hAnsiTheme="majorHAnsi"/>
          <w:i/>
          <w:szCs w:val="16"/>
          <w:lang w:val="es-ES"/>
        </w:rPr>
        <w:t xml:space="preserve">se también </w:t>
      </w:r>
      <w:r w:rsidRPr="00504F81">
        <w:rPr>
          <w:rFonts w:asciiTheme="majorHAnsi" w:hAnsiTheme="majorHAnsi"/>
          <w:szCs w:val="16"/>
          <w:lang w:val="es-ES"/>
        </w:rPr>
        <w:t>Corte</w:t>
      </w:r>
      <w:r>
        <w:rPr>
          <w:rFonts w:asciiTheme="majorHAnsi" w:hAnsiTheme="majorHAnsi"/>
          <w:szCs w:val="16"/>
          <w:lang w:val="es-ES"/>
        </w:rPr>
        <w:t xml:space="preserve"> </w:t>
      </w:r>
      <w:r w:rsidRPr="00504F81">
        <w:rPr>
          <w:rFonts w:asciiTheme="majorHAnsi" w:hAnsiTheme="majorHAnsi"/>
          <w:szCs w:val="16"/>
          <w:lang w:val="es-ES"/>
        </w:rPr>
        <w:t xml:space="preserve">IDH, </w:t>
      </w:r>
      <w:r w:rsidRPr="00504F81">
        <w:rPr>
          <w:rFonts w:asciiTheme="majorHAnsi" w:hAnsiTheme="majorHAnsi"/>
          <w:i/>
          <w:szCs w:val="16"/>
          <w:lang w:val="es-ES"/>
        </w:rPr>
        <w:t>Condición jurídica y derechos de los migrantes indocumentados</w:t>
      </w:r>
      <w:r w:rsidRPr="00504F81">
        <w:rPr>
          <w:rFonts w:asciiTheme="majorHAnsi" w:hAnsiTheme="majorHAnsi"/>
          <w:szCs w:val="16"/>
          <w:lang w:val="es-ES"/>
        </w:rPr>
        <w:t xml:space="preserve">, Opinión Consultiva OC-18/03 del 17 de septiembre de 2003, párr. 109; CIDH, </w:t>
      </w:r>
      <w:r w:rsidRPr="00504F81">
        <w:rPr>
          <w:rFonts w:asciiTheme="majorHAnsi" w:hAnsiTheme="majorHAnsi"/>
          <w:i/>
          <w:szCs w:val="16"/>
          <w:lang w:val="es-ES"/>
        </w:rPr>
        <w:t xml:space="preserve">Informe sobre los derechos humanos de las personas privadas de libertad en las Américas </w:t>
      </w:r>
      <w:r w:rsidRPr="00504F81">
        <w:rPr>
          <w:rFonts w:asciiTheme="majorHAnsi" w:hAnsiTheme="majorHAnsi"/>
          <w:szCs w:val="16"/>
          <w:lang w:val="es-ES"/>
        </w:rPr>
        <w:t>(2011), párr. 246 (donde se cita Corte</w:t>
      </w:r>
      <w:r>
        <w:rPr>
          <w:rFonts w:asciiTheme="majorHAnsi" w:hAnsiTheme="majorHAnsi"/>
          <w:szCs w:val="16"/>
          <w:lang w:val="es-ES"/>
        </w:rPr>
        <w:t xml:space="preserve"> </w:t>
      </w:r>
      <w:r w:rsidRPr="00504F81">
        <w:rPr>
          <w:rFonts w:asciiTheme="majorHAnsi" w:hAnsiTheme="majorHAnsi"/>
          <w:szCs w:val="16"/>
          <w:lang w:val="es-ES"/>
        </w:rPr>
        <w:t xml:space="preserve">IDH, </w:t>
      </w:r>
      <w:r w:rsidRPr="00504F81">
        <w:rPr>
          <w:rFonts w:asciiTheme="majorHAnsi" w:hAnsiTheme="majorHAnsi"/>
          <w:i/>
          <w:szCs w:val="16"/>
          <w:lang w:val="es-ES"/>
        </w:rPr>
        <w:t>Velásquez Rodríguez Vs. Honduras</w:t>
      </w:r>
      <w:r w:rsidRPr="00504F81">
        <w:rPr>
          <w:rFonts w:asciiTheme="majorHAnsi" w:hAnsiTheme="majorHAnsi"/>
          <w:szCs w:val="16"/>
          <w:lang w:val="es-ES"/>
        </w:rPr>
        <w:t xml:space="preserve">. Sentencia de 29 de julio de 1988, párr. 66; </w:t>
      </w:r>
      <w:r w:rsidRPr="00504F81">
        <w:rPr>
          <w:rFonts w:asciiTheme="majorHAnsi" w:hAnsiTheme="majorHAnsi"/>
          <w:i/>
          <w:szCs w:val="16"/>
          <w:lang w:val="es-ES"/>
        </w:rPr>
        <w:t xml:space="preserve">Garantías judiciales en estados de emergencia </w:t>
      </w:r>
      <w:r w:rsidRPr="003B3A9B">
        <w:rPr>
          <w:rFonts w:asciiTheme="majorHAnsi" w:hAnsiTheme="majorHAnsi"/>
          <w:i/>
          <w:szCs w:val="16"/>
          <w:lang w:val="es-US"/>
        </w:rPr>
        <w:t>[</w:t>
      </w:r>
      <w:r w:rsidRPr="00504F81">
        <w:rPr>
          <w:rFonts w:asciiTheme="majorHAnsi" w:hAnsiTheme="majorHAnsi"/>
          <w:i/>
          <w:szCs w:val="16"/>
          <w:lang w:val="es-ES"/>
        </w:rPr>
        <w:t>arts. 27,2, 25 y 8 Convención Americana sobre Derechos Humanos</w:t>
      </w:r>
      <w:r>
        <w:rPr>
          <w:rFonts w:asciiTheme="majorHAnsi" w:hAnsiTheme="majorHAnsi"/>
          <w:i/>
          <w:szCs w:val="16"/>
          <w:lang w:val="es-ES"/>
        </w:rPr>
        <w:t>]</w:t>
      </w:r>
      <w:r w:rsidRPr="00504F81">
        <w:rPr>
          <w:rFonts w:asciiTheme="majorHAnsi" w:hAnsiTheme="majorHAnsi"/>
          <w:szCs w:val="16"/>
          <w:lang w:val="es-ES"/>
        </w:rPr>
        <w:t>. Opinión Consultiva OC‐9/87 del 6 de octubre de 1987, párr. 24).</w:t>
      </w:r>
    </w:p>
  </w:footnote>
  <w:footnote w:id="99">
    <w:p w14:paraId="16BE6B55" w14:textId="77777777" w:rsidR="003F186B" w:rsidRPr="00504F81" w:rsidRDefault="003F186B" w:rsidP="00481E5F">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CIDH, </w:t>
      </w:r>
      <w:r w:rsidRPr="00504F81">
        <w:rPr>
          <w:rFonts w:asciiTheme="majorHAnsi" w:hAnsiTheme="majorHAnsi"/>
          <w:i/>
          <w:szCs w:val="16"/>
          <w:lang w:val="es-ES"/>
        </w:rPr>
        <w:t>Informe sobre los derechos humanos de las personas privadas de libertad en las Américas</w:t>
      </w:r>
      <w:r w:rsidRPr="00504F81">
        <w:rPr>
          <w:rFonts w:asciiTheme="majorHAnsi" w:hAnsiTheme="majorHAnsi"/>
          <w:szCs w:val="16"/>
          <w:lang w:val="es-ES"/>
        </w:rPr>
        <w:t xml:space="preserve"> (2011), párr. 246 (donde se cita Corte</w:t>
      </w:r>
      <w:r>
        <w:rPr>
          <w:rFonts w:asciiTheme="majorHAnsi" w:hAnsiTheme="majorHAnsi"/>
          <w:szCs w:val="16"/>
          <w:lang w:val="es-ES"/>
        </w:rPr>
        <w:t xml:space="preserve"> </w:t>
      </w:r>
      <w:r w:rsidRPr="00504F81">
        <w:rPr>
          <w:rFonts w:asciiTheme="majorHAnsi" w:hAnsiTheme="majorHAnsi"/>
          <w:szCs w:val="16"/>
          <w:lang w:val="es-ES"/>
        </w:rPr>
        <w:t xml:space="preserve">IDH, </w:t>
      </w:r>
      <w:r w:rsidRPr="00504F81">
        <w:rPr>
          <w:rFonts w:asciiTheme="majorHAnsi" w:hAnsiTheme="majorHAnsi"/>
          <w:i/>
          <w:szCs w:val="16"/>
          <w:lang w:val="es-ES"/>
        </w:rPr>
        <w:t>Velásquez Rodríguez Vs. Honduras</w:t>
      </w:r>
      <w:r w:rsidRPr="00504F81">
        <w:rPr>
          <w:rFonts w:asciiTheme="majorHAnsi" w:hAnsiTheme="majorHAnsi"/>
          <w:szCs w:val="16"/>
          <w:lang w:val="es-ES"/>
        </w:rPr>
        <w:t>, párr. 66).</w:t>
      </w:r>
    </w:p>
  </w:footnote>
  <w:footnote w:id="100">
    <w:p w14:paraId="222848FD" w14:textId="77777777" w:rsidR="003F186B" w:rsidRPr="00504F81" w:rsidRDefault="003F186B" w:rsidP="00481E5F">
      <w:pPr>
        <w:pStyle w:val="FootnoteText"/>
        <w:jc w:val="both"/>
        <w:rPr>
          <w:rFonts w:asciiTheme="majorHAnsi" w:hAnsiTheme="majorHAnsi"/>
          <w: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w:t>
      </w:r>
      <w:r w:rsidRPr="00504F81">
        <w:rPr>
          <w:rFonts w:asciiTheme="majorHAnsi" w:hAnsiTheme="majorHAnsi"/>
          <w:i/>
          <w:szCs w:val="16"/>
          <w:lang w:val="es-ES"/>
        </w:rPr>
        <w:t>Véa</w:t>
      </w:r>
      <w:r>
        <w:rPr>
          <w:rFonts w:asciiTheme="majorHAnsi" w:hAnsiTheme="majorHAnsi"/>
          <w:i/>
          <w:szCs w:val="16"/>
          <w:lang w:val="es-ES"/>
        </w:rPr>
        <w:t>ns</w:t>
      </w:r>
      <w:r w:rsidRPr="00504F81">
        <w:rPr>
          <w:rFonts w:asciiTheme="majorHAnsi" w:hAnsiTheme="majorHAnsi"/>
          <w:i/>
          <w:szCs w:val="16"/>
          <w:lang w:val="es-ES"/>
        </w:rPr>
        <w:t>e</w:t>
      </w:r>
      <w:r w:rsidRPr="00504F81">
        <w:rPr>
          <w:rFonts w:asciiTheme="majorHAnsi" w:hAnsiTheme="majorHAnsi"/>
          <w:szCs w:val="16"/>
          <w:lang w:val="es-ES"/>
        </w:rPr>
        <w:t>, por ejemplo, Corte</w:t>
      </w:r>
      <w:r>
        <w:rPr>
          <w:rFonts w:asciiTheme="majorHAnsi" w:hAnsiTheme="majorHAnsi"/>
          <w:szCs w:val="16"/>
          <w:lang w:val="es-ES"/>
        </w:rPr>
        <w:t xml:space="preserve"> </w:t>
      </w:r>
      <w:r w:rsidRPr="00504F81">
        <w:rPr>
          <w:rFonts w:asciiTheme="majorHAnsi" w:hAnsiTheme="majorHAnsi"/>
          <w:szCs w:val="16"/>
          <w:lang w:val="es-ES"/>
        </w:rPr>
        <w:t>IDH,</w:t>
      </w:r>
      <w:r w:rsidRPr="00504F81">
        <w:rPr>
          <w:rFonts w:asciiTheme="majorHAnsi" w:hAnsiTheme="majorHAnsi"/>
          <w:i/>
          <w:szCs w:val="16"/>
          <w:lang w:val="es-ES"/>
        </w:rPr>
        <w:t xml:space="preserve"> Caso del Tribunal Constitucional Vs. Perú</w:t>
      </w:r>
      <w:r w:rsidRPr="00504F81">
        <w:rPr>
          <w:rFonts w:asciiTheme="majorHAnsi" w:hAnsiTheme="majorHAnsi"/>
          <w:szCs w:val="16"/>
          <w:lang w:val="es-ES"/>
        </w:rPr>
        <w:t xml:space="preserve">, Sentencia de 31 de enero de 2001, párrs. 73, 75; </w:t>
      </w:r>
      <w:r w:rsidRPr="00504F81">
        <w:rPr>
          <w:rFonts w:asciiTheme="majorHAnsi" w:hAnsiTheme="majorHAnsi"/>
          <w:i/>
          <w:szCs w:val="16"/>
          <w:lang w:val="es-ES"/>
        </w:rPr>
        <w:t>Caso Apitz Barbera y otros (“Corte Primera de lo Contencioso Administrativo”) vs. Venezuela</w:t>
      </w:r>
      <w:r w:rsidRPr="00504F81">
        <w:rPr>
          <w:rFonts w:asciiTheme="majorHAnsi" w:hAnsiTheme="majorHAnsi"/>
          <w:szCs w:val="16"/>
          <w:lang w:val="es-ES"/>
        </w:rPr>
        <w:t xml:space="preserve">, Sentencia de 5 de agosto de 2008, párr. 138; </w:t>
      </w:r>
      <w:r w:rsidRPr="00504F81">
        <w:rPr>
          <w:rFonts w:asciiTheme="majorHAnsi" w:hAnsiTheme="majorHAnsi"/>
          <w:i/>
          <w:szCs w:val="16"/>
          <w:lang w:val="es-ES"/>
        </w:rPr>
        <w:t xml:space="preserve">véase también </w:t>
      </w:r>
      <w:r w:rsidRPr="00504F81">
        <w:rPr>
          <w:rFonts w:asciiTheme="majorHAnsi" w:hAnsiTheme="majorHAnsi" w:cs="Times New Roman"/>
          <w:bCs/>
          <w:lang w:val="es-ES"/>
        </w:rPr>
        <w:t xml:space="preserve">Corte IDH, </w:t>
      </w:r>
      <w:r w:rsidRPr="00504F81">
        <w:rPr>
          <w:rFonts w:asciiTheme="majorHAnsi" w:hAnsiTheme="majorHAnsi" w:cs="Times New Roman"/>
          <w:bCs/>
          <w:i/>
          <w:lang w:val="es-ES"/>
        </w:rPr>
        <w:t>Caso Maldonado Ordóñez Vs. Guatemala</w:t>
      </w:r>
      <w:r w:rsidRPr="00504F81">
        <w:rPr>
          <w:rFonts w:asciiTheme="majorHAnsi" w:hAnsiTheme="majorHAnsi" w:cs="Times New Roman"/>
          <w:bCs/>
          <w:lang w:val="es-ES"/>
        </w:rPr>
        <w:t>.</w:t>
      </w:r>
      <w:r>
        <w:rPr>
          <w:rFonts w:asciiTheme="majorHAnsi" w:hAnsiTheme="majorHAnsi" w:cs="Times New Roman"/>
          <w:bCs/>
          <w:lang w:val="es-ES"/>
        </w:rPr>
        <w:t xml:space="preserve"> Sentencia de 3 de mayo de 2016,</w:t>
      </w:r>
      <w:r w:rsidRPr="00504F81">
        <w:rPr>
          <w:rFonts w:asciiTheme="majorHAnsi" w:hAnsiTheme="majorHAnsi" w:cs="Times New Roman"/>
          <w:bCs/>
          <w:lang w:val="es-ES"/>
        </w:rPr>
        <w:t xml:space="preserve"> </w:t>
      </w:r>
      <w:r>
        <w:rPr>
          <w:rFonts w:asciiTheme="majorHAnsi" w:hAnsiTheme="majorHAnsi" w:cs="Times New Roman"/>
          <w:bCs/>
          <w:lang w:val="es-ES"/>
        </w:rPr>
        <w:t>p</w:t>
      </w:r>
      <w:r w:rsidRPr="00504F81">
        <w:rPr>
          <w:rFonts w:asciiTheme="majorHAnsi" w:hAnsiTheme="majorHAnsi" w:cs="Times New Roman"/>
          <w:bCs/>
          <w:lang w:val="es-ES"/>
        </w:rPr>
        <w:t>árr. 109.</w:t>
      </w:r>
    </w:p>
  </w:footnote>
  <w:footnote w:id="101">
    <w:p w14:paraId="7E84D2B8" w14:textId="77777777" w:rsidR="003F186B" w:rsidRPr="00504F81" w:rsidRDefault="003F186B" w:rsidP="00547BA6">
      <w:pPr>
        <w:pStyle w:val="FootnoteText"/>
        <w:jc w:val="both"/>
        <w:rPr>
          <w:rFonts w:asciiTheme="majorHAnsi" w:hAnsiTheme="majorHAnsi"/>
          <w:szCs w:val="16"/>
          <w:lang w:val="es-ES"/>
        </w:rPr>
      </w:pPr>
      <w:r w:rsidRPr="00504F81">
        <w:rPr>
          <w:rStyle w:val="FootnoteReference"/>
          <w:rFonts w:asciiTheme="majorHAnsi" w:hAnsiTheme="majorHAnsi"/>
          <w:szCs w:val="16"/>
          <w:lang w:val="es-ES"/>
        </w:rPr>
        <w:footnoteRef/>
      </w:r>
      <w:r w:rsidRPr="00504F81">
        <w:rPr>
          <w:rFonts w:asciiTheme="majorHAnsi" w:hAnsiTheme="majorHAnsi"/>
          <w:szCs w:val="16"/>
          <w:lang w:val="es-ES"/>
        </w:rPr>
        <w:t xml:space="preserve"> Observaciones del Estado sobre el fondo (22 de enero de 2007). </w:t>
      </w:r>
    </w:p>
  </w:footnote>
  <w:footnote w:id="102">
    <w:p w14:paraId="4894E19E" w14:textId="77777777" w:rsidR="003F186B" w:rsidRPr="00504F81" w:rsidRDefault="003F186B" w:rsidP="00547BA6">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w:t>
      </w:r>
      <w:r w:rsidRPr="00504F81">
        <w:rPr>
          <w:rFonts w:asciiTheme="majorHAnsi" w:hAnsiTheme="majorHAnsi"/>
          <w:i/>
          <w:lang w:val="es-ES"/>
        </w:rPr>
        <w:t>Véase, por ejemplo</w:t>
      </w:r>
      <w:r w:rsidRPr="00504F81">
        <w:rPr>
          <w:rFonts w:asciiTheme="majorHAnsi" w:hAnsiTheme="majorHAnsi"/>
          <w:lang w:val="es-ES"/>
        </w:rPr>
        <w:t xml:space="preserve">, CIDH, Informe No. 64/12. Caso 12.271. Fondo. </w:t>
      </w:r>
      <w:r w:rsidRPr="00504F81">
        <w:rPr>
          <w:rFonts w:asciiTheme="majorHAnsi" w:hAnsiTheme="majorHAnsi"/>
          <w:i/>
          <w:lang w:val="es-ES"/>
        </w:rPr>
        <w:t>Benito Tide Méndez</w:t>
      </w:r>
      <w:r>
        <w:rPr>
          <w:rFonts w:asciiTheme="majorHAnsi" w:hAnsiTheme="majorHAnsi"/>
          <w:i/>
          <w:lang w:val="es-ES"/>
        </w:rPr>
        <w:t xml:space="preserve"> c.</w:t>
      </w:r>
      <w:r w:rsidRPr="00504F81">
        <w:rPr>
          <w:rFonts w:asciiTheme="majorHAnsi" w:hAnsiTheme="majorHAnsi"/>
          <w:i/>
          <w:lang w:val="es-ES"/>
        </w:rPr>
        <w:t xml:space="preserve"> República Dominicana</w:t>
      </w:r>
      <w:r w:rsidRPr="00504F81">
        <w:rPr>
          <w:rFonts w:asciiTheme="majorHAnsi" w:hAnsiTheme="majorHAnsi"/>
          <w:lang w:val="es-ES"/>
        </w:rPr>
        <w:t>. 29 de marzo de 2012, párr. 228.</w:t>
      </w:r>
    </w:p>
  </w:footnote>
  <w:footnote w:id="103">
    <w:p w14:paraId="12A03F25" w14:textId="77777777" w:rsidR="003F186B" w:rsidRPr="00504F81" w:rsidRDefault="003F186B" w:rsidP="00A62F39">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Íd. en párr. 229 (donde se cita CIDH, </w:t>
      </w:r>
      <w:r w:rsidRPr="00504F81">
        <w:rPr>
          <w:rFonts w:asciiTheme="majorHAnsi" w:hAnsiTheme="majorHAnsi"/>
          <w:i/>
          <w:lang w:val="es-ES"/>
        </w:rPr>
        <w:t>Acceso a la justicia para mujeres víctimas de violencias en las Américas</w:t>
      </w:r>
      <w:r w:rsidRPr="00504F81">
        <w:rPr>
          <w:rFonts w:asciiTheme="majorHAnsi" w:hAnsiTheme="majorHAnsi"/>
          <w:lang w:val="es-ES"/>
        </w:rPr>
        <w:t xml:space="preserve"> </w:t>
      </w:r>
      <w:r w:rsidRPr="003B3A9B">
        <w:rPr>
          <w:rFonts w:asciiTheme="majorHAnsi" w:hAnsiTheme="majorHAnsi"/>
          <w:lang w:val="es-US"/>
        </w:rPr>
        <w:t>[</w:t>
      </w:r>
      <w:r w:rsidRPr="00504F81">
        <w:rPr>
          <w:rFonts w:asciiTheme="majorHAnsi" w:hAnsiTheme="majorHAnsi"/>
          <w:lang w:val="es-ES"/>
        </w:rPr>
        <w:t>2007</w:t>
      </w:r>
      <w:r>
        <w:rPr>
          <w:rFonts w:asciiTheme="majorHAnsi" w:hAnsiTheme="majorHAnsi"/>
          <w:lang w:val="es-ES"/>
        </w:rPr>
        <w:t>]</w:t>
      </w:r>
      <w:r w:rsidRPr="00504F81">
        <w:rPr>
          <w:rFonts w:asciiTheme="majorHAnsi" w:hAnsiTheme="majorHAnsi"/>
          <w:lang w:val="es-ES"/>
        </w:rPr>
        <w:t xml:space="preserve">, párrs. 80, 83; </w:t>
      </w:r>
      <w:r w:rsidRPr="00504F81">
        <w:rPr>
          <w:rFonts w:asciiTheme="majorHAnsi" w:hAnsiTheme="majorHAnsi"/>
          <w:i/>
          <w:iCs/>
          <w:lang w:val="es-ES"/>
        </w:rPr>
        <w:t>Informe sobre Terrorismo y Derechos Humanos</w:t>
      </w:r>
      <w:r w:rsidRPr="00504F81">
        <w:rPr>
          <w:rFonts w:asciiTheme="majorHAnsi" w:hAnsiTheme="majorHAnsi"/>
          <w:lang w:val="es-ES"/>
        </w:rPr>
        <w:t xml:space="preserve"> </w:t>
      </w:r>
      <w:r>
        <w:rPr>
          <w:rFonts w:asciiTheme="majorHAnsi" w:hAnsiTheme="majorHAnsi"/>
          <w:lang w:val="es-ES"/>
        </w:rPr>
        <w:t>[</w:t>
      </w:r>
      <w:r w:rsidRPr="00504F81">
        <w:rPr>
          <w:rFonts w:asciiTheme="majorHAnsi" w:hAnsiTheme="majorHAnsi"/>
          <w:lang w:val="es-ES"/>
        </w:rPr>
        <w:t>2002</w:t>
      </w:r>
      <w:r>
        <w:rPr>
          <w:rFonts w:asciiTheme="majorHAnsi" w:hAnsiTheme="majorHAnsi"/>
          <w:lang w:val="es-ES"/>
        </w:rPr>
        <w:t>]</w:t>
      </w:r>
      <w:r w:rsidRPr="00504F81">
        <w:rPr>
          <w:rFonts w:asciiTheme="majorHAnsi" w:hAnsiTheme="majorHAnsi"/>
          <w:lang w:val="es-ES"/>
        </w:rPr>
        <w:t xml:space="preserve">, párr. 338; Informe No. 4/01, </w:t>
      </w:r>
      <w:r w:rsidRPr="00504F81">
        <w:rPr>
          <w:rFonts w:asciiTheme="majorHAnsi" w:hAnsiTheme="majorHAnsi"/>
          <w:i/>
          <w:lang w:val="es-ES"/>
        </w:rPr>
        <w:t xml:space="preserve">María Eugenia Morales de Sierra </w:t>
      </w:r>
      <w:r>
        <w:rPr>
          <w:rFonts w:asciiTheme="majorHAnsi" w:hAnsiTheme="majorHAnsi"/>
          <w:i/>
          <w:lang w:val="es-ES"/>
        </w:rPr>
        <w:t>[</w:t>
      </w:r>
      <w:r w:rsidRPr="00504F81">
        <w:rPr>
          <w:rFonts w:asciiTheme="majorHAnsi" w:hAnsiTheme="majorHAnsi"/>
          <w:i/>
          <w:lang w:val="es-ES"/>
        </w:rPr>
        <w:t>Guatemala</w:t>
      </w:r>
      <w:r>
        <w:rPr>
          <w:rFonts w:asciiTheme="majorHAnsi" w:hAnsiTheme="majorHAnsi"/>
          <w:i/>
          <w:lang w:val="es-ES"/>
        </w:rPr>
        <w:t>]</w:t>
      </w:r>
      <w:r w:rsidRPr="00504F81">
        <w:rPr>
          <w:rFonts w:asciiTheme="majorHAnsi" w:hAnsiTheme="majorHAnsi"/>
          <w:lang w:val="es-ES"/>
        </w:rPr>
        <w:t xml:space="preserve">, 19 de enero de 2001, párr. 36; Informe Anual 1999, </w:t>
      </w:r>
      <w:r w:rsidRPr="00504F81">
        <w:rPr>
          <w:rFonts w:asciiTheme="majorHAnsi" w:hAnsiTheme="majorHAnsi"/>
          <w:i/>
          <w:lang w:val="es-ES"/>
        </w:rPr>
        <w:t>Consideraciones sobre la compatibilidad de las medidas de acción afirmativa concebidas para promover la participación política de la mujer con los principios de igualdad y no discriminación</w:t>
      </w:r>
      <w:r w:rsidRPr="00504F81">
        <w:rPr>
          <w:rFonts w:asciiTheme="majorHAnsi" w:hAnsiTheme="majorHAnsi"/>
          <w:lang w:val="es-ES"/>
        </w:rPr>
        <w:t xml:space="preserve">, capítulo VI; Corte Europea de Derechos Humanos, </w:t>
      </w:r>
      <w:r w:rsidRPr="00504F81">
        <w:rPr>
          <w:rFonts w:asciiTheme="majorHAnsi" w:hAnsiTheme="majorHAnsi"/>
          <w:i/>
          <w:lang w:val="es-ES"/>
        </w:rPr>
        <w:t>Salgueiro da Silva Mouta v. Portugal</w:t>
      </w:r>
      <w:r w:rsidRPr="00504F81">
        <w:rPr>
          <w:rFonts w:asciiTheme="majorHAnsi" w:hAnsiTheme="majorHAnsi"/>
          <w:lang w:val="es-ES"/>
        </w:rPr>
        <w:t xml:space="preserve">, Aplicación No. 33290/96, 21 de diciembre de 1999, párr. 29; </w:t>
      </w:r>
      <w:r w:rsidRPr="00504F81">
        <w:rPr>
          <w:rFonts w:asciiTheme="majorHAnsi" w:hAnsiTheme="majorHAnsi"/>
          <w:i/>
          <w:lang w:val="es-ES"/>
        </w:rPr>
        <w:t>Belgian Linguistics</w:t>
      </w:r>
      <w:r w:rsidRPr="00504F81">
        <w:rPr>
          <w:rFonts w:asciiTheme="majorHAnsi" w:hAnsiTheme="majorHAnsi"/>
          <w:lang w:val="es-ES"/>
        </w:rPr>
        <w:t xml:space="preserve"> </w:t>
      </w:r>
      <w:r>
        <w:rPr>
          <w:rFonts w:asciiTheme="majorHAnsi" w:hAnsiTheme="majorHAnsi"/>
          <w:lang w:val="es-ES"/>
        </w:rPr>
        <w:t>[</w:t>
      </w:r>
      <w:r w:rsidRPr="00504F81">
        <w:rPr>
          <w:rFonts w:asciiTheme="majorHAnsi" w:hAnsiTheme="majorHAnsi"/>
          <w:lang w:val="es-ES"/>
        </w:rPr>
        <w:t>Fondo</w:t>
      </w:r>
      <w:r>
        <w:rPr>
          <w:rFonts w:asciiTheme="majorHAnsi" w:hAnsiTheme="majorHAnsi"/>
          <w:lang w:val="es-ES"/>
        </w:rPr>
        <w:t>]</w:t>
      </w:r>
      <w:r w:rsidRPr="00504F81">
        <w:rPr>
          <w:rFonts w:asciiTheme="majorHAnsi" w:hAnsiTheme="majorHAnsi"/>
          <w:lang w:val="es-ES"/>
        </w:rPr>
        <w:t xml:space="preserve">, Sentencia de 23 de julio de 1968, p. 34; </w:t>
      </w:r>
      <w:r w:rsidRPr="00504F81">
        <w:rPr>
          <w:rFonts w:asciiTheme="majorHAnsi" w:hAnsiTheme="majorHAnsi"/>
          <w:i/>
          <w:lang w:val="es-ES"/>
        </w:rPr>
        <w:t>Lustig-Prean y Beckett v. Reino Unido</w:t>
      </w:r>
      <w:r w:rsidRPr="00504F81">
        <w:rPr>
          <w:rFonts w:asciiTheme="majorHAnsi" w:hAnsiTheme="majorHAnsi"/>
          <w:lang w:val="es-ES"/>
        </w:rPr>
        <w:t>, Ap</w:t>
      </w:r>
      <w:r>
        <w:rPr>
          <w:rFonts w:asciiTheme="majorHAnsi" w:hAnsiTheme="majorHAnsi"/>
          <w:lang w:val="es-ES"/>
        </w:rPr>
        <w:t>licaciones</w:t>
      </w:r>
      <w:r w:rsidRPr="00504F81">
        <w:rPr>
          <w:rFonts w:asciiTheme="majorHAnsi" w:hAnsiTheme="majorHAnsi"/>
          <w:lang w:val="es-ES"/>
        </w:rPr>
        <w:t xml:space="preserve"> Nos. 31417/96 </w:t>
      </w:r>
      <w:r>
        <w:rPr>
          <w:rFonts w:asciiTheme="majorHAnsi" w:hAnsiTheme="majorHAnsi"/>
          <w:lang w:val="es-ES"/>
        </w:rPr>
        <w:t>y</w:t>
      </w:r>
      <w:r w:rsidRPr="00504F81">
        <w:rPr>
          <w:rFonts w:asciiTheme="majorHAnsi" w:hAnsiTheme="majorHAnsi"/>
          <w:lang w:val="es-ES"/>
        </w:rPr>
        <w:t xml:space="preserve"> 32377/96, Sept. 27, 1999, párr. 80; </w:t>
      </w:r>
      <w:r w:rsidRPr="00504F81">
        <w:rPr>
          <w:rFonts w:asciiTheme="majorHAnsi" w:hAnsiTheme="majorHAnsi"/>
          <w:i/>
          <w:lang w:val="es-ES"/>
        </w:rPr>
        <w:t>Smith y Grady v. Reino Unido</w:t>
      </w:r>
      <w:r w:rsidRPr="00504F81">
        <w:rPr>
          <w:rFonts w:asciiTheme="majorHAnsi" w:hAnsiTheme="majorHAnsi"/>
          <w:lang w:val="es-ES"/>
        </w:rPr>
        <w:t xml:space="preserve">, Aplicaciones Nos. 33985/96 y 33986/96, 27 de septiembre de 1999, párr. 87). </w:t>
      </w:r>
    </w:p>
  </w:footnote>
  <w:footnote w:id="104">
    <w:p w14:paraId="28A332A1" w14:textId="77777777" w:rsidR="003F186B" w:rsidRPr="00504F81" w:rsidRDefault="003F186B" w:rsidP="00913041">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Íd. en párr. 229; CIDH, Informe No. 38/96, </w:t>
      </w:r>
      <w:r w:rsidRPr="00504F81">
        <w:rPr>
          <w:rFonts w:asciiTheme="majorHAnsi" w:hAnsiTheme="majorHAnsi"/>
          <w:i/>
          <w:lang w:val="es-ES"/>
        </w:rPr>
        <w:t>X e Y (Argentina)</w:t>
      </w:r>
      <w:r w:rsidRPr="00504F81">
        <w:rPr>
          <w:rFonts w:asciiTheme="majorHAnsi" w:hAnsiTheme="majorHAnsi"/>
          <w:lang w:val="es-ES"/>
        </w:rPr>
        <w:t xml:space="preserve">, 15 de octubre de 1996, párr. 74; CIDH, </w:t>
      </w:r>
      <w:r w:rsidRPr="00504F81">
        <w:rPr>
          <w:rFonts w:asciiTheme="majorHAnsi" w:hAnsiTheme="majorHAnsi"/>
          <w:i/>
          <w:lang w:val="es-ES"/>
        </w:rPr>
        <w:t>Acceso a la justicia para mujeres víctimas de violencias en las Américas</w:t>
      </w:r>
      <w:r w:rsidRPr="00504F81">
        <w:rPr>
          <w:rFonts w:asciiTheme="majorHAnsi" w:hAnsiTheme="majorHAnsi"/>
          <w:lang w:val="es-ES"/>
        </w:rPr>
        <w:t xml:space="preserve"> (2007), párr. 83. </w:t>
      </w:r>
      <w:r w:rsidRPr="00056C69">
        <w:rPr>
          <w:rFonts w:asciiTheme="majorHAnsi" w:hAnsiTheme="majorHAnsi"/>
          <w:i/>
          <w:lang w:val="es-ES"/>
        </w:rPr>
        <w:t>Véase también</w:t>
      </w:r>
      <w:r w:rsidRPr="00504F81">
        <w:rPr>
          <w:rFonts w:asciiTheme="majorHAnsi" w:hAnsiTheme="majorHAnsi"/>
          <w:lang w:val="es-ES"/>
        </w:rPr>
        <w:t xml:space="preserve"> Corte Europea de Derechos Humanos, </w:t>
      </w:r>
      <w:r w:rsidRPr="00504F81">
        <w:rPr>
          <w:rFonts w:asciiTheme="majorHAnsi" w:hAnsiTheme="majorHAnsi"/>
          <w:i/>
          <w:lang w:val="es-ES"/>
        </w:rPr>
        <w:t>Karner v. Austria</w:t>
      </w:r>
      <w:r w:rsidRPr="00504F81">
        <w:rPr>
          <w:rFonts w:asciiTheme="majorHAnsi" w:hAnsiTheme="majorHAnsi"/>
          <w:lang w:val="es-ES"/>
        </w:rPr>
        <w:t xml:space="preserve">, Aplicación No. 40016/98, 24 de julio de 2003, párr. 41; </w:t>
      </w:r>
      <w:r w:rsidRPr="00504F81">
        <w:rPr>
          <w:rFonts w:asciiTheme="majorHAnsi" w:hAnsiTheme="majorHAnsi"/>
          <w:i/>
          <w:lang w:val="es-ES"/>
        </w:rPr>
        <w:t>Salgueiro da Silva Mouta v. Portugal</w:t>
      </w:r>
      <w:r w:rsidRPr="00504F81">
        <w:rPr>
          <w:rFonts w:asciiTheme="majorHAnsi" w:hAnsiTheme="majorHAnsi"/>
          <w:lang w:val="es-ES"/>
        </w:rPr>
        <w:t xml:space="preserve">, Aplicación No. 33290/96, 21 de diciembre de 1999, párr. 29; </w:t>
      </w:r>
      <w:r w:rsidRPr="00504F81">
        <w:rPr>
          <w:rFonts w:asciiTheme="majorHAnsi" w:hAnsiTheme="majorHAnsi"/>
          <w:i/>
          <w:lang w:val="es-ES"/>
        </w:rPr>
        <w:t>Belgian Linguistics</w:t>
      </w:r>
      <w:r w:rsidRPr="00504F81">
        <w:rPr>
          <w:rFonts w:asciiTheme="majorHAnsi" w:hAnsiTheme="majorHAnsi"/>
          <w:lang w:val="es-ES"/>
        </w:rPr>
        <w:t xml:space="preserve"> (Fondo), Sentencia de 23 de julio de 1968, p. 34.</w:t>
      </w:r>
    </w:p>
  </w:footnote>
  <w:footnote w:id="105">
    <w:p w14:paraId="17DA0935" w14:textId="77777777" w:rsidR="003F186B" w:rsidRPr="00504F81" w:rsidRDefault="003F186B" w:rsidP="00913041">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Íd. en párr. 229; CIDH, Demanda ante la Corte</w:t>
      </w:r>
      <w:r>
        <w:rPr>
          <w:rFonts w:asciiTheme="majorHAnsi" w:hAnsiTheme="majorHAnsi"/>
          <w:lang w:val="es-ES"/>
        </w:rPr>
        <w:t xml:space="preserve"> </w:t>
      </w:r>
      <w:r w:rsidRPr="00504F81">
        <w:rPr>
          <w:rFonts w:asciiTheme="majorHAnsi" w:hAnsiTheme="majorHAnsi"/>
          <w:lang w:val="es-ES"/>
        </w:rPr>
        <w:t xml:space="preserve">IDH, </w:t>
      </w:r>
      <w:r w:rsidRPr="00504F81">
        <w:rPr>
          <w:rFonts w:asciiTheme="majorHAnsi" w:hAnsiTheme="majorHAnsi"/>
          <w:i/>
          <w:lang w:val="es-ES"/>
        </w:rPr>
        <w:t>Caso Karen Atala e Hijas v. Chile</w:t>
      </w:r>
      <w:r w:rsidRPr="00504F81">
        <w:rPr>
          <w:rFonts w:asciiTheme="majorHAnsi" w:hAnsiTheme="majorHAnsi"/>
          <w:lang w:val="es-ES"/>
        </w:rPr>
        <w:t>, 17 de septiembre de 2010, párr. 89.</w:t>
      </w:r>
    </w:p>
  </w:footnote>
  <w:footnote w:id="106">
    <w:p w14:paraId="229FEB01" w14:textId="77777777" w:rsidR="003F186B" w:rsidRPr="00504F81" w:rsidRDefault="003F186B" w:rsidP="00913041">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CIDH, Informe No. 64/12. Caso 12.271. Fondo. </w:t>
      </w:r>
      <w:r w:rsidRPr="00504F81">
        <w:rPr>
          <w:rFonts w:asciiTheme="majorHAnsi" w:hAnsiTheme="majorHAnsi"/>
          <w:i/>
          <w:lang w:val="es-ES"/>
        </w:rPr>
        <w:t>Benito Tide Méndez</w:t>
      </w:r>
      <w:r>
        <w:rPr>
          <w:rFonts w:asciiTheme="majorHAnsi" w:hAnsiTheme="majorHAnsi"/>
          <w:i/>
          <w:lang w:val="es-ES"/>
        </w:rPr>
        <w:t xml:space="preserve"> c.</w:t>
      </w:r>
      <w:r w:rsidRPr="00504F81">
        <w:rPr>
          <w:rFonts w:asciiTheme="majorHAnsi" w:hAnsiTheme="majorHAnsi"/>
          <w:i/>
          <w:lang w:val="es-ES"/>
        </w:rPr>
        <w:t xml:space="preserve"> República Dominicana</w:t>
      </w:r>
      <w:r w:rsidRPr="00504F81">
        <w:rPr>
          <w:rFonts w:asciiTheme="majorHAnsi" w:hAnsiTheme="majorHAnsi"/>
          <w:lang w:val="es-ES"/>
        </w:rPr>
        <w:t>. 29 de marzo de 2012, párr. 228.</w:t>
      </w:r>
    </w:p>
  </w:footnote>
  <w:footnote w:id="107">
    <w:p w14:paraId="6C075A68" w14:textId="77777777" w:rsidR="003F186B" w:rsidRPr="00504F81" w:rsidRDefault="003F186B" w:rsidP="00913041">
      <w:pPr>
        <w:pStyle w:val="FootnoteText"/>
        <w:jc w:val="both"/>
        <w:rPr>
          <w:rFonts w:asciiTheme="majorHAnsi" w:hAnsiTheme="majorHAnsi"/>
          <w:lang w:val="es-ES"/>
        </w:rPr>
      </w:pPr>
      <w:r w:rsidRPr="00504F81">
        <w:rPr>
          <w:rStyle w:val="FootnoteReference"/>
          <w:rFonts w:asciiTheme="majorHAnsi" w:hAnsiTheme="majorHAnsi"/>
          <w:lang w:val="es-ES"/>
        </w:rPr>
        <w:footnoteRef/>
      </w:r>
      <w:r w:rsidRPr="00504F81">
        <w:rPr>
          <w:rFonts w:asciiTheme="majorHAnsi" w:hAnsiTheme="majorHAnsi"/>
          <w:lang w:val="es-ES"/>
        </w:rPr>
        <w:t xml:space="preserve"> </w:t>
      </w:r>
      <w:r w:rsidRPr="00504F81">
        <w:rPr>
          <w:rFonts w:asciiTheme="majorHAnsi" w:hAnsiTheme="majorHAnsi"/>
          <w:i/>
          <w:lang w:val="es-ES"/>
        </w:rPr>
        <w:t xml:space="preserve">Véase, por ejemplo, </w:t>
      </w:r>
      <w:r w:rsidRPr="00504F81">
        <w:rPr>
          <w:rFonts w:asciiTheme="majorHAnsi" w:hAnsiTheme="majorHAnsi"/>
          <w:lang w:val="es-ES"/>
        </w:rPr>
        <w:t>CIDH, Demanda ante la Corte</w:t>
      </w:r>
      <w:r>
        <w:rPr>
          <w:rFonts w:asciiTheme="majorHAnsi" w:hAnsiTheme="majorHAnsi"/>
          <w:lang w:val="es-ES"/>
        </w:rPr>
        <w:t xml:space="preserve"> </w:t>
      </w:r>
      <w:r w:rsidRPr="00504F81">
        <w:rPr>
          <w:rFonts w:asciiTheme="majorHAnsi" w:hAnsiTheme="majorHAnsi"/>
          <w:lang w:val="es-ES"/>
        </w:rPr>
        <w:t xml:space="preserve">IDH, </w:t>
      </w:r>
      <w:r w:rsidRPr="00504F81">
        <w:rPr>
          <w:rFonts w:asciiTheme="majorHAnsi" w:hAnsiTheme="majorHAnsi"/>
          <w:i/>
          <w:lang w:val="es-ES"/>
        </w:rPr>
        <w:t>Caso Karen Atala e Hijas v. Chile</w:t>
      </w:r>
      <w:r w:rsidRPr="00504F81">
        <w:rPr>
          <w:rFonts w:asciiTheme="majorHAnsi" w:hAnsiTheme="majorHAnsi"/>
          <w:lang w:val="es-ES"/>
        </w:rPr>
        <w:t>, 17 de septiembre de 2010, párr.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1E54" w14:textId="77777777" w:rsidR="003F186B" w:rsidRDefault="003F186B" w:rsidP="00810B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D714127" w14:textId="77777777" w:rsidR="003F186B" w:rsidRDefault="003F1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07A43" w14:textId="77777777" w:rsidR="003F186B" w:rsidRDefault="003F186B"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191C3730" wp14:editId="6A7DF7BD">
          <wp:extent cx="1972237" cy="104775"/>
          <wp:effectExtent l="0" t="0" r="9525" b="0"/>
          <wp:docPr id="12" name="Picture 1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07F5A26" w14:textId="77777777" w:rsidR="003F186B" w:rsidRPr="00EC7D62" w:rsidRDefault="00963643" w:rsidP="00A50FCF">
    <w:pPr>
      <w:pStyle w:val="Header"/>
      <w:tabs>
        <w:tab w:val="clear" w:pos="4320"/>
        <w:tab w:val="clear" w:pos="8640"/>
      </w:tabs>
      <w:jc w:val="center"/>
      <w:rPr>
        <w:sz w:val="22"/>
        <w:szCs w:val="22"/>
      </w:rPr>
    </w:pPr>
    <w:r>
      <w:rPr>
        <w:noProof/>
        <w:sz w:val="22"/>
        <w:szCs w:val="22"/>
        <w:bdr w:val="nil"/>
      </w:rPr>
      <w:pict w14:anchorId="7D95FC8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3AE"/>
    <w:multiLevelType w:val="hybridMultilevel"/>
    <w:tmpl w:val="477013A6"/>
    <w:lvl w:ilvl="0" w:tplc="4806875E">
      <w:start w:val="1"/>
      <w:numFmt w:val="decimal"/>
      <w:pStyle w:val="Heading3"/>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F43882"/>
    <w:multiLevelType w:val="hybridMultilevel"/>
    <w:tmpl w:val="2640CD3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1B68F9"/>
    <w:multiLevelType w:val="hybridMultilevel"/>
    <w:tmpl w:val="CCFC6DE0"/>
    <w:lvl w:ilvl="0" w:tplc="0E2C0DEE">
      <w:start w:val="1"/>
      <w:numFmt w:val="upperLetter"/>
      <w:pStyle w:val="Heading2"/>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D4794A"/>
    <w:multiLevelType w:val="hybridMultilevel"/>
    <w:tmpl w:val="78E42F8C"/>
    <w:lvl w:ilvl="0" w:tplc="4F12ED34">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2A0BA1"/>
    <w:multiLevelType w:val="hybridMultilevel"/>
    <w:tmpl w:val="2CD42E86"/>
    <w:lvl w:ilvl="0" w:tplc="BB94D16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C02464"/>
    <w:multiLevelType w:val="hybridMultilevel"/>
    <w:tmpl w:val="A5FC542E"/>
    <w:lvl w:ilvl="0" w:tplc="26805F96">
      <w:start w:val="62"/>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B577B29"/>
    <w:multiLevelType w:val="hybridMultilevel"/>
    <w:tmpl w:val="2EACE122"/>
    <w:lvl w:ilvl="0" w:tplc="EF9AB118">
      <w:start w:val="63"/>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32904E8"/>
    <w:multiLevelType w:val="hybridMultilevel"/>
    <w:tmpl w:val="B2C258BC"/>
    <w:lvl w:ilvl="0" w:tplc="77985E2E">
      <w:start w:val="6"/>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1F1E2B36"/>
    <w:lvl w:ilvl="0" w:tplc="3580F6B4">
      <w:start w:val="1"/>
      <w:numFmt w:val="decimal"/>
      <w:lvlText w:val="%1."/>
      <w:lvlJc w:val="left"/>
      <w:pPr>
        <w:ind w:left="243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E75996"/>
    <w:multiLevelType w:val="hybridMultilevel"/>
    <w:tmpl w:val="A5345B98"/>
    <w:lvl w:ilvl="0" w:tplc="3580F6B4">
      <w:start w:val="1"/>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86C4BBC"/>
    <w:multiLevelType w:val="hybridMultilevel"/>
    <w:tmpl w:val="F1026116"/>
    <w:lvl w:ilvl="0" w:tplc="3580F6B4">
      <w:start w:val="1"/>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2"/>
  </w:num>
  <w:num w:numId="5">
    <w:abstractNumId w:val="53"/>
  </w:num>
  <w:num w:numId="6">
    <w:abstractNumId w:val="29"/>
  </w:num>
  <w:num w:numId="7">
    <w:abstractNumId w:val="6"/>
  </w:num>
  <w:num w:numId="8">
    <w:abstractNumId w:val="18"/>
  </w:num>
  <w:num w:numId="9">
    <w:abstractNumId w:val="46"/>
  </w:num>
  <w:num w:numId="10">
    <w:abstractNumId w:val="1"/>
  </w:num>
  <w:num w:numId="11">
    <w:abstractNumId w:val="40"/>
  </w:num>
  <w:num w:numId="12">
    <w:abstractNumId w:val="41"/>
  </w:num>
  <w:num w:numId="13">
    <w:abstractNumId w:val="48"/>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8"/>
  </w:num>
  <w:num w:numId="39">
    <w:abstractNumId w:val="42"/>
  </w:num>
  <w:num w:numId="40">
    <w:abstractNumId w:val="43"/>
  </w:num>
  <w:num w:numId="41">
    <w:abstractNumId w:val="52"/>
  </w:num>
  <w:num w:numId="42">
    <w:abstractNumId w:val="55"/>
  </w:num>
  <w:num w:numId="43">
    <w:abstractNumId w:val="56"/>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1"/>
  </w:num>
  <w:num w:numId="52">
    <w:abstractNumId w:val="44"/>
  </w:num>
  <w:num w:numId="53">
    <w:abstractNumId w:val="49"/>
  </w:num>
  <w:num w:numId="54">
    <w:abstractNumId w:val="27"/>
  </w:num>
  <w:num w:numId="55">
    <w:abstractNumId w:val="50"/>
  </w:num>
  <w:num w:numId="56">
    <w:abstractNumId w:val="0"/>
  </w:num>
  <w:num w:numId="57">
    <w:abstractNumId w:val="47"/>
  </w:num>
  <w:num w:numId="58">
    <w:abstractNumId w:val="17"/>
    <w:lvlOverride w:ilvl="0">
      <w:startOverride w:val="1"/>
    </w:lvlOverride>
  </w:num>
  <w:num w:numId="59">
    <w:abstractNumId w:val="17"/>
  </w:num>
  <w:num w:numId="60">
    <w:abstractNumId w:val="17"/>
    <w:lvlOverride w:ilvl="0">
      <w:startOverride w:val="2"/>
    </w:lvlOverride>
  </w:num>
  <w:num w:numId="61">
    <w:abstractNumId w:val="12"/>
  </w:num>
  <w:num w:numId="62">
    <w:abstractNumId w:val="45"/>
  </w:num>
  <w:num w:numId="63">
    <w:abstractNumId w:val="26"/>
  </w:num>
  <w:num w:numId="64">
    <w:abstractNumId w:val="54"/>
  </w:num>
  <w:num w:numId="65">
    <w:abstractNumId w:val="37"/>
  </w:num>
  <w:num w:numId="66">
    <w:abstractNumId w:val="39"/>
  </w:num>
  <w:num w:numId="67">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896"/>
    <w:rsid w:val="00006E1F"/>
    <w:rsid w:val="000070D7"/>
    <w:rsid w:val="000158FD"/>
    <w:rsid w:val="00016FEE"/>
    <w:rsid w:val="0001788C"/>
    <w:rsid w:val="0002553C"/>
    <w:rsid w:val="000275C1"/>
    <w:rsid w:val="000326B5"/>
    <w:rsid w:val="000347EF"/>
    <w:rsid w:val="0003506B"/>
    <w:rsid w:val="00037E28"/>
    <w:rsid w:val="00040249"/>
    <w:rsid w:val="00040C3A"/>
    <w:rsid w:val="00054B0F"/>
    <w:rsid w:val="00056C69"/>
    <w:rsid w:val="00063087"/>
    <w:rsid w:val="00064659"/>
    <w:rsid w:val="000648EF"/>
    <w:rsid w:val="00067A5D"/>
    <w:rsid w:val="000716C5"/>
    <w:rsid w:val="00075E23"/>
    <w:rsid w:val="00080473"/>
    <w:rsid w:val="00080A30"/>
    <w:rsid w:val="00084294"/>
    <w:rsid w:val="0008768F"/>
    <w:rsid w:val="000918B8"/>
    <w:rsid w:val="0009344A"/>
    <w:rsid w:val="000A28E7"/>
    <w:rsid w:val="000A392E"/>
    <w:rsid w:val="000A4A91"/>
    <w:rsid w:val="000A54BF"/>
    <w:rsid w:val="000A575F"/>
    <w:rsid w:val="000A576A"/>
    <w:rsid w:val="000A66CF"/>
    <w:rsid w:val="000B01B7"/>
    <w:rsid w:val="000B2C73"/>
    <w:rsid w:val="000C4215"/>
    <w:rsid w:val="000C4C2C"/>
    <w:rsid w:val="000C538E"/>
    <w:rsid w:val="000D10DB"/>
    <w:rsid w:val="000D60AE"/>
    <w:rsid w:val="000D77A5"/>
    <w:rsid w:val="000E5EB5"/>
    <w:rsid w:val="000F35ED"/>
    <w:rsid w:val="000F3DDA"/>
    <w:rsid w:val="00107131"/>
    <w:rsid w:val="0010736F"/>
    <w:rsid w:val="00113F73"/>
    <w:rsid w:val="00121CC2"/>
    <w:rsid w:val="00126808"/>
    <w:rsid w:val="0012734F"/>
    <w:rsid w:val="001325FC"/>
    <w:rsid w:val="0013287A"/>
    <w:rsid w:val="00133EE5"/>
    <w:rsid w:val="00142C85"/>
    <w:rsid w:val="00145B27"/>
    <w:rsid w:val="00150351"/>
    <w:rsid w:val="00152FF5"/>
    <w:rsid w:val="001603F2"/>
    <w:rsid w:val="00164433"/>
    <w:rsid w:val="00166189"/>
    <w:rsid w:val="00167A34"/>
    <w:rsid w:val="00181F34"/>
    <w:rsid w:val="001971BE"/>
    <w:rsid w:val="001A0681"/>
    <w:rsid w:val="001A1A62"/>
    <w:rsid w:val="001A4106"/>
    <w:rsid w:val="001A7870"/>
    <w:rsid w:val="001B2CCB"/>
    <w:rsid w:val="001C103F"/>
    <w:rsid w:val="001C1B41"/>
    <w:rsid w:val="001C7CF5"/>
    <w:rsid w:val="001D18C7"/>
    <w:rsid w:val="001D3F7C"/>
    <w:rsid w:val="001D65EF"/>
    <w:rsid w:val="001E15B6"/>
    <w:rsid w:val="001E2682"/>
    <w:rsid w:val="001E28D1"/>
    <w:rsid w:val="001E3636"/>
    <w:rsid w:val="001E3BB8"/>
    <w:rsid w:val="001E4670"/>
    <w:rsid w:val="001F55F2"/>
    <w:rsid w:val="00204B61"/>
    <w:rsid w:val="0021098A"/>
    <w:rsid w:val="0021280C"/>
    <w:rsid w:val="002167BA"/>
    <w:rsid w:val="00220881"/>
    <w:rsid w:val="0022230B"/>
    <w:rsid w:val="002250A3"/>
    <w:rsid w:val="00235217"/>
    <w:rsid w:val="00235CCE"/>
    <w:rsid w:val="00246D1F"/>
    <w:rsid w:val="00247403"/>
    <w:rsid w:val="00247542"/>
    <w:rsid w:val="00247AF5"/>
    <w:rsid w:val="00266690"/>
    <w:rsid w:val="00266B61"/>
    <w:rsid w:val="0026712A"/>
    <w:rsid w:val="002704DB"/>
    <w:rsid w:val="00270511"/>
    <w:rsid w:val="00270C0E"/>
    <w:rsid w:val="00276DF8"/>
    <w:rsid w:val="00277EF9"/>
    <w:rsid w:val="00281AB2"/>
    <w:rsid w:val="002827DD"/>
    <w:rsid w:val="00290076"/>
    <w:rsid w:val="0029122C"/>
    <w:rsid w:val="002A0AAE"/>
    <w:rsid w:val="002A24C5"/>
    <w:rsid w:val="002A2FE1"/>
    <w:rsid w:val="002A5820"/>
    <w:rsid w:val="002A5A2B"/>
    <w:rsid w:val="002B2A2E"/>
    <w:rsid w:val="002C20EA"/>
    <w:rsid w:val="002C4393"/>
    <w:rsid w:val="002C4919"/>
    <w:rsid w:val="002C52FC"/>
    <w:rsid w:val="002D2B26"/>
    <w:rsid w:val="002D53F5"/>
    <w:rsid w:val="002D7EA2"/>
    <w:rsid w:val="002E187C"/>
    <w:rsid w:val="002E4940"/>
    <w:rsid w:val="002E4AEA"/>
    <w:rsid w:val="002F3699"/>
    <w:rsid w:val="002F47B8"/>
    <w:rsid w:val="00301EA9"/>
    <w:rsid w:val="00302733"/>
    <w:rsid w:val="00303D52"/>
    <w:rsid w:val="00305293"/>
    <w:rsid w:val="00307ABC"/>
    <w:rsid w:val="00314078"/>
    <w:rsid w:val="0031535D"/>
    <w:rsid w:val="00315F22"/>
    <w:rsid w:val="00320AB9"/>
    <w:rsid w:val="0033028D"/>
    <w:rsid w:val="0033169F"/>
    <w:rsid w:val="00333A05"/>
    <w:rsid w:val="00334B16"/>
    <w:rsid w:val="003372D0"/>
    <w:rsid w:val="00337E8A"/>
    <w:rsid w:val="00341716"/>
    <w:rsid w:val="00344298"/>
    <w:rsid w:val="00344DD8"/>
    <w:rsid w:val="00346C95"/>
    <w:rsid w:val="00353E32"/>
    <w:rsid w:val="00356185"/>
    <w:rsid w:val="00360380"/>
    <w:rsid w:val="00361415"/>
    <w:rsid w:val="0036460D"/>
    <w:rsid w:val="00365872"/>
    <w:rsid w:val="0037519E"/>
    <w:rsid w:val="00376A30"/>
    <w:rsid w:val="0038312C"/>
    <w:rsid w:val="00385620"/>
    <w:rsid w:val="00386CF0"/>
    <w:rsid w:val="00391B4C"/>
    <w:rsid w:val="00391BAF"/>
    <w:rsid w:val="0039356F"/>
    <w:rsid w:val="003948EA"/>
    <w:rsid w:val="003A11B6"/>
    <w:rsid w:val="003A1E02"/>
    <w:rsid w:val="003A79D3"/>
    <w:rsid w:val="003B0BE8"/>
    <w:rsid w:val="003B3A9B"/>
    <w:rsid w:val="003C3BDD"/>
    <w:rsid w:val="003C549A"/>
    <w:rsid w:val="003C676B"/>
    <w:rsid w:val="003D3BC2"/>
    <w:rsid w:val="003D67C7"/>
    <w:rsid w:val="003D7C03"/>
    <w:rsid w:val="003E2B57"/>
    <w:rsid w:val="003E432F"/>
    <w:rsid w:val="003E6CA1"/>
    <w:rsid w:val="003F186B"/>
    <w:rsid w:val="00411998"/>
    <w:rsid w:val="00412B98"/>
    <w:rsid w:val="004165C2"/>
    <w:rsid w:val="004204C5"/>
    <w:rsid w:val="00421C9F"/>
    <w:rsid w:val="004228F5"/>
    <w:rsid w:val="00423389"/>
    <w:rsid w:val="00424E82"/>
    <w:rsid w:val="00426114"/>
    <w:rsid w:val="00432289"/>
    <w:rsid w:val="00434DA4"/>
    <w:rsid w:val="00436510"/>
    <w:rsid w:val="00437655"/>
    <w:rsid w:val="00441ECB"/>
    <w:rsid w:val="004519C1"/>
    <w:rsid w:val="00453FEE"/>
    <w:rsid w:val="00457E63"/>
    <w:rsid w:val="00460DEF"/>
    <w:rsid w:val="004618ED"/>
    <w:rsid w:val="00461CC9"/>
    <w:rsid w:val="00462AE5"/>
    <w:rsid w:val="00467B7E"/>
    <w:rsid w:val="00470F46"/>
    <w:rsid w:val="00472031"/>
    <w:rsid w:val="0047478B"/>
    <w:rsid w:val="00476B96"/>
    <w:rsid w:val="00477592"/>
    <w:rsid w:val="00481E5F"/>
    <w:rsid w:val="004827A8"/>
    <w:rsid w:val="00482BD6"/>
    <w:rsid w:val="00482EC8"/>
    <w:rsid w:val="00486E69"/>
    <w:rsid w:val="00486F1C"/>
    <w:rsid w:val="00492284"/>
    <w:rsid w:val="004928C5"/>
    <w:rsid w:val="0049419D"/>
    <w:rsid w:val="004C20D2"/>
    <w:rsid w:val="004C4B62"/>
    <w:rsid w:val="004C5490"/>
    <w:rsid w:val="004C54C9"/>
    <w:rsid w:val="004C620B"/>
    <w:rsid w:val="004C790D"/>
    <w:rsid w:val="004C79C4"/>
    <w:rsid w:val="004D195F"/>
    <w:rsid w:val="004D2720"/>
    <w:rsid w:val="004D6025"/>
    <w:rsid w:val="004D6618"/>
    <w:rsid w:val="004E1794"/>
    <w:rsid w:val="004E2649"/>
    <w:rsid w:val="004E4D44"/>
    <w:rsid w:val="004E65F9"/>
    <w:rsid w:val="004F47A6"/>
    <w:rsid w:val="004F627D"/>
    <w:rsid w:val="00501399"/>
    <w:rsid w:val="00503472"/>
    <w:rsid w:val="0050464C"/>
    <w:rsid w:val="00504F81"/>
    <w:rsid w:val="0050633D"/>
    <w:rsid w:val="00507BC4"/>
    <w:rsid w:val="005128E4"/>
    <w:rsid w:val="005133DB"/>
    <w:rsid w:val="00517199"/>
    <w:rsid w:val="00525560"/>
    <w:rsid w:val="00531815"/>
    <w:rsid w:val="005354F3"/>
    <w:rsid w:val="00536923"/>
    <w:rsid w:val="00536DED"/>
    <w:rsid w:val="00537851"/>
    <w:rsid w:val="00537EB4"/>
    <w:rsid w:val="005430CE"/>
    <w:rsid w:val="0054340F"/>
    <w:rsid w:val="00544C49"/>
    <w:rsid w:val="00545CB4"/>
    <w:rsid w:val="00547BA6"/>
    <w:rsid w:val="00550281"/>
    <w:rsid w:val="00550DA2"/>
    <w:rsid w:val="005516A1"/>
    <w:rsid w:val="0055222C"/>
    <w:rsid w:val="00552E50"/>
    <w:rsid w:val="00554C5C"/>
    <w:rsid w:val="00563A9A"/>
    <w:rsid w:val="005650D1"/>
    <w:rsid w:val="00565744"/>
    <w:rsid w:val="0057402A"/>
    <w:rsid w:val="005763CC"/>
    <w:rsid w:val="005764F4"/>
    <w:rsid w:val="005771D0"/>
    <w:rsid w:val="00581016"/>
    <w:rsid w:val="0059191A"/>
    <w:rsid w:val="005921FF"/>
    <w:rsid w:val="005937F1"/>
    <w:rsid w:val="00595C1D"/>
    <w:rsid w:val="005A604C"/>
    <w:rsid w:val="005A6D0E"/>
    <w:rsid w:val="005B1600"/>
    <w:rsid w:val="005B3907"/>
    <w:rsid w:val="005B52B0"/>
    <w:rsid w:val="005B6806"/>
    <w:rsid w:val="005C400B"/>
    <w:rsid w:val="005C4225"/>
    <w:rsid w:val="005C4CA5"/>
    <w:rsid w:val="005C7F37"/>
    <w:rsid w:val="005D0DB1"/>
    <w:rsid w:val="005D11F1"/>
    <w:rsid w:val="005D526F"/>
    <w:rsid w:val="005D5AA7"/>
    <w:rsid w:val="005D79E6"/>
    <w:rsid w:val="005E2E50"/>
    <w:rsid w:val="005E4CEB"/>
    <w:rsid w:val="005F0DAD"/>
    <w:rsid w:val="005F0F33"/>
    <w:rsid w:val="005F309E"/>
    <w:rsid w:val="005F42F9"/>
    <w:rsid w:val="00600DEB"/>
    <w:rsid w:val="006125C3"/>
    <w:rsid w:val="00621ADE"/>
    <w:rsid w:val="00624611"/>
    <w:rsid w:val="006262DD"/>
    <w:rsid w:val="00627C9F"/>
    <w:rsid w:val="006311E9"/>
    <w:rsid w:val="00632354"/>
    <w:rsid w:val="0063580F"/>
    <w:rsid w:val="00642810"/>
    <w:rsid w:val="00642A2F"/>
    <w:rsid w:val="00645EA3"/>
    <w:rsid w:val="006509AD"/>
    <w:rsid w:val="00652333"/>
    <w:rsid w:val="0065430C"/>
    <w:rsid w:val="00656E16"/>
    <w:rsid w:val="00664E14"/>
    <w:rsid w:val="00671312"/>
    <w:rsid w:val="00672B8D"/>
    <w:rsid w:val="00674296"/>
    <w:rsid w:val="00677F92"/>
    <w:rsid w:val="0068009E"/>
    <w:rsid w:val="00681556"/>
    <w:rsid w:val="00692219"/>
    <w:rsid w:val="00697B1E"/>
    <w:rsid w:val="006A17D2"/>
    <w:rsid w:val="006A4B39"/>
    <w:rsid w:val="006A5DDE"/>
    <w:rsid w:val="006A73E6"/>
    <w:rsid w:val="006A7656"/>
    <w:rsid w:val="006B2D5C"/>
    <w:rsid w:val="006B4D40"/>
    <w:rsid w:val="006B70BC"/>
    <w:rsid w:val="006B7198"/>
    <w:rsid w:val="006C0ACF"/>
    <w:rsid w:val="006C0F64"/>
    <w:rsid w:val="006C1A20"/>
    <w:rsid w:val="006C4EB1"/>
    <w:rsid w:val="006D2D74"/>
    <w:rsid w:val="006D5357"/>
    <w:rsid w:val="006E0166"/>
    <w:rsid w:val="006E7B34"/>
    <w:rsid w:val="006F0D8C"/>
    <w:rsid w:val="00702203"/>
    <w:rsid w:val="0070697F"/>
    <w:rsid w:val="00710487"/>
    <w:rsid w:val="0072199C"/>
    <w:rsid w:val="00721C51"/>
    <w:rsid w:val="00722C9F"/>
    <w:rsid w:val="0072423E"/>
    <w:rsid w:val="007253B8"/>
    <w:rsid w:val="00725FFD"/>
    <w:rsid w:val="00726B20"/>
    <w:rsid w:val="0073444D"/>
    <w:rsid w:val="0073631B"/>
    <w:rsid w:val="0073741F"/>
    <w:rsid w:val="00740662"/>
    <w:rsid w:val="0075305E"/>
    <w:rsid w:val="0076643F"/>
    <w:rsid w:val="00774F9D"/>
    <w:rsid w:val="00777F63"/>
    <w:rsid w:val="00794E75"/>
    <w:rsid w:val="00796B30"/>
    <w:rsid w:val="007A2592"/>
    <w:rsid w:val="007A5450"/>
    <w:rsid w:val="007A5817"/>
    <w:rsid w:val="007A7DA4"/>
    <w:rsid w:val="007B471E"/>
    <w:rsid w:val="007B4BD3"/>
    <w:rsid w:val="007B60E9"/>
    <w:rsid w:val="007B6CC3"/>
    <w:rsid w:val="007C27A7"/>
    <w:rsid w:val="007C3334"/>
    <w:rsid w:val="007C6F2C"/>
    <w:rsid w:val="007C6F9F"/>
    <w:rsid w:val="007C756A"/>
    <w:rsid w:val="007D148E"/>
    <w:rsid w:val="007D2B98"/>
    <w:rsid w:val="007D2DA3"/>
    <w:rsid w:val="007D7711"/>
    <w:rsid w:val="007E21BC"/>
    <w:rsid w:val="007E2D55"/>
    <w:rsid w:val="007E61BE"/>
    <w:rsid w:val="007F7E9A"/>
    <w:rsid w:val="00803F1C"/>
    <w:rsid w:val="0080600E"/>
    <w:rsid w:val="00806A85"/>
    <w:rsid w:val="00807E58"/>
    <w:rsid w:val="00810B25"/>
    <w:rsid w:val="00815021"/>
    <w:rsid w:val="00815935"/>
    <w:rsid w:val="00817612"/>
    <w:rsid w:val="008217E6"/>
    <w:rsid w:val="008266A7"/>
    <w:rsid w:val="0083207C"/>
    <w:rsid w:val="008338A4"/>
    <w:rsid w:val="00837C45"/>
    <w:rsid w:val="00840F02"/>
    <w:rsid w:val="00841E0E"/>
    <w:rsid w:val="00844730"/>
    <w:rsid w:val="0084481C"/>
    <w:rsid w:val="008457C2"/>
    <w:rsid w:val="00855394"/>
    <w:rsid w:val="008561DB"/>
    <w:rsid w:val="00857A82"/>
    <w:rsid w:val="00863347"/>
    <w:rsid w:val="00867971"/>
    <w:rsid w:val="00873836"/>
    <w:rsid w:val="00882E97"/>
    <w:rsid w:val="00883419"/>
    <w:rsid w:val="00883FF8"/>
    <w:rsid w:val="00885737"/>
    <w:rsid w:val="00887D37"/>
    <w:rsid w:val="00890650"/>
    <w:rsid w:val="00893BD0"/>
    <w:rsid w:val="00897E12"/>
    <w:rsid w:val="008A14D3"/>
    <w:rsid w:val="008A7E0F"/>
    <w:rsid w:val="008B12F5"/>
    <w:rsid w:val="008B5FA2"/>
    <w:rsid w:val="008B692D"/>
    <w:rsid w:val="008C0A93"/>
    <w:rsid w:val="008C3098"/>
    <w:rsid w:val="008C42AB"/>
    <w:rsid w:val="008C46A2"/>
    <w:rsid w:val="008D29F7"/>
    <w:rsid w:val="008D65EC"/>
    <w:rsid w:val="008D768D"/>
    <w:rsid w:val="008E3759"/>
    <w:rsid w:val="008E3D57"/>
    <w:rsid w:val="008F1912"/>
    <w:rsid w:val="008F1B28"/>
    <w:rsid w:val="008F25AD"/>
    <w:rsid w:val="008F604B"/>
    <w:rsid w:val="008F7113"/>
    <w:rsid w:val="008F74E3"/>
    <w:rsid w:val="0090089A"/>
    <w:rsid w:val="009014A4"/>
    <w:rsid w:val="0090270B"/>
    <w:rsid w:val="0090313E"/>
    <w:rsid w:val="009032F3"/>
    <w:rsid w:val="009041DC"/>
    <w:rsid w:val="00913041"/>
    <w:rsid w:val="00917B5A"/>
    <w:rsid w:val="00920A58"/>
    <w:rsid w:val="00920A8C"/>
    <w:rsid w:val="00920E9D"/>
    <w:rsid w:val="0092111F"/>
    <w:rsid w:val="0092258C"/>
    <w:rsid w:val="0093319D"/>
    <w:rsid w:val="00933202"/>
    <w:rsid w:val="009346EA"/>
    <w:rsid w:val="00934A2C"/>
    <w:rsid w:val="00951CBC"/>
    <w:rsid w:val="009539FB"/>
    <w:rsid w:val="00955BEB"/>
    <w:rsid w:val="00955F6D"/>
    <w:rsid w:val="009609E8"/>
    <w:rsid w:val="00961898"/>
    <w:rsid w:val="00963643"/>
    <w:rsid w:val="0096706E"/>
    <w:rsid w:val="00973475"/>
    <w:rsid w:val="00975C4E"/>
    <w:rsid w:val="00981FBA"/>
    <w:rsid w:val="00996063"/>
    <w:rsid w:val="00997BC5"/>
    <w:rsid w:val="009A0BE3"/>
    <w:rsid w:val="009A4F41"/>
    <w:rsid w:val="009B381B"/>
    <w:rsid w:val="009B4E9B"/>
    <w:rsid w:val="009B5828"/>
    <w:rsid w:val="009C4EAA"/>
    <w:rsid w:val="009D1753"/>
    <w:rsid w:val="009D7611"/>
    <w:rsid w:val="009E0B61"/>
    <w:rsid w:val="009E53DE"/>
    <w:rsid w:val="009F0C3E"/>
    <w:rsid w:val="009F323A"/>
    <w:rsid w:val="009F7339"/>
    <w:rsid w:val="00A0048F"/>
    <w:rsid w:val="00A2598E"/>
    <w:rsid w:val="00A31D71"/>
    <w:rsid w:val="00A31E7B"/>
    <w:rsid w:val="00A328B3"/>
    <w:rsid w:val="00A33B1E"/>
    <w:rsid w:val="00A368D4"/>
    <w:rsid w:val="00A433AC"/>
    <w:rsid w:val="00A50FCF"/>
    <w:rsid w:val="00A528D1"/>
    <w:rsid w:val="00A52DF5"/>
    <w:rsid w:val="00A5703E"/>
    <w:rsid w:val="00A610CD"/>
    <w:rsid w:val="00A62F39"/>
    <w:rsid w:val="00A66AA8"/>
    <w:rsid w:val="00A66EA8"/>
    <w:rsid w:val="00A74FFC"/>
    <w:rsid w:val="00A75E63"/>
    <w:rsid w:val="00A809AF"/>
    <w:rsid w:val="00A814FA"/>
    <w:rsid w:val="00A868AD"/>
    <w:rsid w:val="00AA09A2"/>
    <w:rsid w:val="00AA10AB"/>
    <w:rsid w:val="00AA2450"/>
    <w:rsid w:val="00AA2D61"/>
    <w:rsid w:val="00AA7996"/>
    <w:rsid w:val="00AA7E79"/>
    <w:rsid w:val="00AB271B"/>
    <w:rsid w:val="00AC19CB"/>
    <w:rsid w:val="00AC55D4"/>
    <w:rsid w:val="00AD3BDC"/>
    <w:rsid w:val="00AD40E8"/>
    <w:rsid w:val="00AD57A1"/>
    <w:rsid w:val="00AE2AD7"/>
    <w:rsid w:val="00AE5488"/>
    <w:rsid w:val="00AE6F91"/>
    <w:rsid w:val="00AF000C"/>
    <w:rsid w:val="00AF5571"/>
    <w:rsid w:val="00AF5847"/>
    <w:rsid w:val="00AF7988"/>
    <w:rsid w:val="00B06713"/>
    <w:rsid w:val="00B07184"/>
    <w:rsid w:val="00B07341"/>
    <w:rsid w:val="00B1349B"/>
    <w:rsid w:val="00B2019C"/>
    <w:rsid w:val="00B30539"/>
    <w:rsid w:val="00B314DB"/>
    <w:rsid w:val="00B32067"/>
    <w:rsid w:val="00B34CE7"/>
    <w:rsid w:val="00B361F2"/>
    <w:rsid w:val="00B3718B"/>
    <w:rsid w:val="00B405AB"/>
    <w:rsid w:val="00B4443E"/>
    <w:rsid w:val="00B4632A"/>
    <w:rsid w:val="00B513B1"/>
    <w:rsid w:val="00B516A9"/>
    <w:rsid w:val="00B530F1"/>
    <w:rsid w:val="00B53E25"/>
    <w:rsid w:val="00B54A0C"/>
    <w:rsid w:val="00B57681"/>
    <w:rsid w:val="00B632D6"/>
    <w:rsid w:val="00B673BD"/>
    <w:rsid w:val="00B67999"/>
    <w:rsid w:val="00B87521"/>
    <w:rsid w:val="00B91BFE"/>
    <w:rsid w:val="00B93931"/>
    <w:rsid w:val="00BA0C3A"/>
    <w:rsid w:val="00BA276C"/>
    <w:rsid w:val="00BA461E"/>
    <w:rsid w:val="00BB0303"/>
    <w:rsid w:val="00BB2C95"/>
    <w:rsid w:val="00BB306F"/>
    <w:rsid w:val="00BB421D"/>
    <w:rsid w:val="00BB4867"/>
    <w:rsid w:val="00BB53E3"/>
    <w:rsid w:val="00BC1180"/>
    <w:rsid w:val="00BC2DC8"/>
    <w:rsid w:val="00BC3988"/>
    <w:rsid w:val="00BD2280"/>
    <w:rsid w:val="00BD411E"/>
    <w:rsid w:val="00BD45C8"/>
    <w:rsid w:val="00BD4B89"/>
    <w:rsid w:val="00BD7433"/>
    <w:rsid w:val="00BD7E02"/>
    <w:rsid w:val="00BE21AC"/>
    <w:rsid w:val="00BE5D70"/>
    <w:rsid w:val="00BF02CB"/>
    <w:rsid w:val="00BF11D3"/>
    <w:rsid w:val="00BF1664"/>
    <w:rsid w:val="00BF23BD"/>
    <w:rsid w:val="00BF623C"/>
    <w:rsid w:val="00BF6FD8"/>
    <w:rsid w:val="00C01BA5"/>
    <w:rsid w:val="00C03680"/>
    <w:rsid w:val="00C054DF"/>
    <w:rsid w:val="00C07AEF"/>
    <w:rsid w:val="00C10DE1"/>
    <w:rsid w:val="00C10FFF"/>
    <w:rsid w:val="00C11D1A"/>
    <w:rsid w:val="00C21762"/>
    <w:rsid w:val="00C24543"/>
    <w:rsid w:val="00C256A2"/>
    <w:rsid w:val="00C40789"/>
    <w:rsid w:val="00C4273B"/>
    <w:rsid w:val="00C448F0"/>
    <w:rsid w:val="00C46EE5"/>
    <w:rsid w:val="00C478CF"/>
    <w:rsid w:val="00C51260"/>
    <w:rsid w:val="00C51515"/>
    <w:rsid w:val="00C51AA0"/>
    <w:rsid w:val="00C532E7"/>
    <w:rsid w:val="00C53C19"/>
    <w:rsid w:val="00C5660B"/>
    <w:rsid w:val="00C62A75"/>
    <w:rsid w:val="00C663D4"/>
    <w:rsid w:val="00C66B72"/>
    <w:rsid w:val="00C700C3"/>
    <w:rsid w:val="00C706CA"/>
    <w:rsid w:val="00C75282"/>
    <w:rsid w:val="00C764F1"/>
    <w:rsid w:val="00C810D8"/>
    <w:rsid w:val="00C837BB"/>
    <w:rsid w:val="00C944E1"/>
    <w:rsid w:val="00C9567A"/>
    <w:rsid w:val="00C96545"/>
    <w:rsid w:val="00C97129"/>
    <w:rsid w:val="00CA214D"/>
    <w:rsid w:val="00CA2EFA"/>
    <w:rsid w:val="00CA5422"/>
    <w:rsid w:val="00CB212D"/>
    <w:rsid w:val="00CB2583"/>
    <w:rsid w:val="00CB2660"/>
    <w:rsid w:val="00CC205D"/>
    <w:rsid w:val="00CC5E90"/>
    <w:rsid w:val="00CC63CF"/>
    <w:rsid w:val="00CD046C"/>
    <w:rsid w:val="00CD1980"/>
    <w:rsid w:val="00CD5502"/>
    <w:rsid w:val="00CE076C"/>
    <w:rsid w:val="00CE1EA5"/>
    <w:rsid w:val="00CE5199"/>
    <w:rsid w:val="00CE66D5"/>
    <w:rsid w:val="00CF1970"/>
    <w:rsid w:val="00CF637A"/>
    <w:rsid w:val="00CF722A"/>
    <w:rsid w:val="00D0109A"/>
    <w:rsid w:val="00D032B2"/>
    <w:rsid w:val="00D059DE"/>
    <w:rsid w:val="00D12193"/>
    <w:rsid w:val="00D13FCE"/>
    <w:rsid w:val="00D26E61"/>
    <w:rsid w:val="00D306D1"/>
    <w:rsid w:val="00D34786"/>
    <w:rsid w:val="00D37BFC"/>
    <w:rsid w:val="00D46918"/>
    <w:rsid w:val="00D47899"/>
    <w:rsid w:val="00D47A8E"/>
    <w:rsid w:val="00D501F8"/>
    <w:rsid w:val="00D51019"/>
    <w:rsid w:val="00D51A00"/>
    <w:rsid w:val="00D52D14"/>
    <w:rsid w:val="00D56B9E"/>
    <w:rsid w:val="00D62AF9"/>
    <w:rsid w:val="00D712D3"/>
    <w:rsid w:val="00D71422"/>
    <w:rsid w:val="00D714AC"/>
    <w:rsid w:val="00D72DC6"/>
    <w:rsid w:val="00D73DBB"/>
    <w:rsid w:val="00D7558D"/>
    <w:rsid w:val="00D76498"/>
    <w:rsid w:val="00D81D92"/>
    <w:rsid w:val="00D83D73"/>
    <w:rsid w:val="00D857D0"/>
    <w:rsid w:val="00D94A15"/>
    <w:rsid w:val="00D96E66"/>
    <w:rsid w:val="00DA13AD"/>
    <w:rsid w:val="00DA48A0"/>
    <w:rsid w:val="00DA6AD3"/>
    <w:rsid w:val="00DA7B5F"/>
    <w:rsid w:val="00DB1156"/>
    <w:rsid w:val="00DB5BAC"/>
    <w:rsid w:val="00DC11E7"/>
    <w:rsid w:val="00DC7023"/>
    <w:rsid w:val="00DC769A"/>
    <w:rsid w:val="00DD3D86"/>
    <w:rsid w:val="00DD629F"/>
    <w:rsid w:val="00DD7BD7"/>
    <w:rsid w:val="00DF1EC4"/>
    <w:rsid w:val="00DF4286"/>
    <w:rsid w:val="00E0340B"/>
    <w:rsid w:val="00E04A90"/>
    <w:rsid w:val="00E07326"/>
    <w:rsid w:val="00E1134E"/>
    <w:rsid w:val="00E219C7"/>
    <w:rsid w:val="00E24EAD"/>
    <w:rsid w:val="00E310DE"/>
    <w:rsid w:val="00E35F22"/>
    <w:rsid w:val="00E36904"/>
    <w:rsid w:val="00E43118"/>
    <w:rsid w:val="00E43157"/>
    <w:rsid w:val="00E43913"/>
    <w:rsid w:val="00E45EFB"/>
    <w:rsid w:val="00E461CE"/>
    <w:rsid w:val="00E56641"/>
    <w:rsid w:val="00E57611"/>
    <w:rsid w:val="00E720CA"/>
    <w:rsid w:val="00E74DB2"/>
    <w:rsid w:val="00E77C3F"/>
    <w:rsid w:val="00E810C3"/>
    <w:rsid w:val="00E84EB5"/>
    <w:rsid w:val="00E85662"/>
    <w:rsid w:val="00E8789F"/>
    <w:rsid w:val="00E87957"/>
    <w:rsid w:val="00E909AA"/>
    <w:rsid w:val="00E939BA"/>
    <w:rsid w:val="00E97B71"/>
    <w:rsid w:val="00EA3D34"/>
    <w:rsid w:val="00EA6487"/>
    <w:rsid w:val="00EB0027"/>
    <w:rsid w:val="00EB0E69"/>
    <w:rsid w:val="00EB27A2"/>
    <w:rsid w:val="00EB454D"/>
    <w:rsid w:val="00EC7679"/>
    <w:rsid w:val="00ED76BE"/>
    <w:rsid w:val="00EE267D"/>
    <w:rsid w:val="00EE2D3B"/>
    <w:rsid w:val="00EE6F33"/>
    <w:rsid w:val="00EF4CFF"/>
    <w:rsid w:val="00EF619B"/>
    <w:rsid w:val="00F00B55"/>
    <w:rsid w:val="00F0293C"/>
    <w:rsid w:val="00F02AD1"/>
    <w:rsid w:val="00F078C9"/>
    <w:rsid w:val="00F23169"/>
    <w:rsid w:val="00F253CC"/>
    <w:rsid w:val="00F27BD9"/>
    <w:rsid w:val="00F36293"/>
    <w:rsid w:val="00F37106"/>
    <w:rsid w:val="00F379CF"/>
    <w:rsid w:val="00F37BE2"/>
    <w:rsid w:val="00F449B4"/>
    <w:rsid w:val="00F5186B"/>
    <w:rsid w:val="00F519CF"/>
    <w:rsid w:val="00F55669"/>
    <w:rsid w:val="00F56BA5"/>
    <w:rsid w:val="00F60E22"/>
    <w:rsid w:val="00F6580B"/>
    <w:rsid w:val="00F672F1"/>
    <w:rsid w:val="00F73104"/>
    <w:rsid w:val="00F805FB"/>
    <w:rsid w:val="00F81119"/>
    <w:rsid w:val="00F81395"/>
    <w:rsid w:val="00F8435B"/>
    <w:rsid w:val="00F85986"/>
    <w:rsid w:val="00F87211"/>
    <w:rsid w:val="00F87C10"/>
    <w:rsid w:val="00F902EB"/>
    <w:rsid w:val="00F90C70"/>
    <w:rsid w:val="00F917D1"/>
    <w:rsid w:val="00F93D85"/>
    <w:rsid w:val="00F9653B"/>
    <w:rsid w:val="00FA5A8D"/>
    <w:rsid w:val="00FA5E63"/>
    <w:rsid w:val="00FA697A"/>
    <w:rsid w:val="00FB62CF"/>
    <w:rsid w:val="00FB70E5"/>
    <w:rsid w:val="00FB7AA2"/>
    <w:rsid w:val="00FC02FC"/>
    <w:rsid w:val="00FC22DD"/>
    <w:rsid w:val="00FC2A5F"/>
    <w:rsid w:val="00FD1BB2"/>
    <w:rsid w:val="00FD3C3B"/>
    <w:rsid w:val="00FD5A99"/>
    <w:rsid w:val="00FE07DD"/>
    <w:rsid w:val="00FE2982"/>
    <w:rsid w:val="00FE37C2"/>
    <w:rsid w:val="00FE6B45"/>
    <w:rsid w:val="00FF03EE"/>
    <w:rsid w:val="00FF55F3"/>
    <w:rsid w:val="00FF5851"/>
    <w:rsid w:val="00FF5D63"/>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83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Arial Unicode MS" w:hAnsi="Cambria" w:cs="Calibri"/>
        <w:color w:val="000000"/>
        <w:sz w:val="16"/>
        <w:u w:color="000000"/>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899"/>
  </w:style>
  <w:style w:type="paragraph" w:styleId="Heading1">
    <w:name w:val="heading 1"/>
    <w:basedOn w:val="ListParagraph"/>
    <w:next w:val="Normal"/>
    <w:link w:val="Heading1Char"/>
    <w:uiPriority w:val="9"/>
    <w:qFormat/>
    <w:rsid w:val="00C53C19"/>
    <w:pPr>
      <w:numPr>
        <w:numId w:val="54"/>
      </w:numPr>
      <w:suppressAutoHyphens/>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C53C19"/>
    <w:pPr>
      <w:numPr>
        <w:numId w:val="59"/>
      </w:numPr>
      <w:suppressAutoHyphens/>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3A1E02"/>
    <w:pPr>
      <w:numPr>
        <w:numId w:val="56"/>
      </w:numPr>
      <w:ind w:left="1440"/>
      <w:jc w:val="both"/>
      <w:outlineLvl w:val="2"/>
    </w:pPr>
    <w:rPr>
      <w:b/>
      <w:color w:val="auto"/>
      <w:sz w:val="20"/>
      <w:szCs w:val="20"/>
    </w:rPr>
  </w:style>
  <w:style w:type="paragraph" w:styleId="Heading4">
    <w:name w:val="heading 4"/>
    <w:basedOn w:val="ListParagraph"/>
    <w:next w:val="Normal"/>
    <w:link w:val="Heading4Char"/>
    <w:uiPriority w:val="9"/>
    <w:unhideWhenUsed/>
    <w:qFormat/>
    <w:rsid w:val="00BD7433"/>
    <w:pPr>
      <w:ind w:left="1800" w:hanging="360"/>
      <w:jc w:val="both"/>
      <w:outlineLvl w:val="3"/>
    </w:pPr>
    <w:rPr>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sz w:val="24"/>
      <w:szCs w:val="24"/>
    </w:rPr>
  </w:style>
  <w:style w:type="paragraph" w:styleId="Footer">
    <w:name w:val="footer"/>
    <w:link w:val="FooterChar"/>
    <w:uiPriority w:val="99"/>
    <w:pPr>
      <w:tabs>
        <w:tab w:val="center" w:pos="4513"/>
        <w:tab w:val="right" w:pos="9026"/>
      </w:tabs>
    </w:pPr>
    <w:rPr>
      <w:rFonts w:eastAsia="Cambria" w:cs="Cambria"/>
      <w:sz w:val="24"/>
      <w:szCs w:val="24"/>
      <w:lang w:val="en-US"/>
    </w:rPr>
  </w:style>
  <w:style w:type="paragraph" w:customStyle="1" w:styleId="Cuerpo">
    <w:name w:val="Cuerpo"/>
    <w:rPr>
      <w:rFonts w:eastAsia="Cambria" w:cs="Cambria"/>
      <w:sz w:val="24"/>
      <w:szCs w:val="24"/>
    </w:rPr>
  </w:style>
  <w:style w:type="paragraph" w:styleId="BodyTextIndent">
    <w:name w:val="Body Text Indent"/>
    <w:pPr>
      <w:ind w:left="2160" w:hanging="720"/>
    </w:pPr>
    <w:rPr>
      <w:rFonts w:eastAsia="Times New Roman"/>
      <w:sz w:val="24"/>
      <w:szCs w:val="24"/>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eastAsia="Cambria" w:cs="Cambria"/>
      <w:sz w:val="24"/>
      <w:szCs w:val="24"/>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53C19"/>
    <w:rPr>
      <w:rFonts w:asciiTheme="majorHAnsi" w:eastAsia="Cambria" w:hAnsiTheme="majorHAnsi" w:cs="Cambria"/>
      <w:b/>
      <w:sz w:val="2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142C85"/>
    <w:pPr>
      <w:tabs>
        <w:tab w:val="right" w:leader="dot" w:pos="9350"/>
      </w:tabs>
      <w:spacing w:after="100"/>
      <w:ind w:left="1080" w:hanging="36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C53C19"/>
    <w:rPr>
      <w:rFonts w:asciiTheme="majorHAnsi" w:eastAsia="Cambria" w:hAnsiTheme="majorHAnsi" w:cs="Cambria"/>
      <w:b/>
      <w:sz w:val="20"/>
      <w:lang w:val="es-ES_tradnl"/>
    </w:rPr>
  </w:style>
  <w:style w:type="character" w:customStyle="1" w:styleId="Heading3Char">
    <w:name w:val="Heading 3 Char"/>
    <w:basedOn w:val="DefaultParagraphFont"/>
    <w:link w:val="Heading3"/>
    <w:rsid w:val="003A1E02"/>
    <w:rPr>
      <w:rFonts w:eastAsia="Cambria" w:cs="Cambria"/>
      <w:b/>
      <w:color w:val="auto"/>
      <w:sz w:val="20"/>
      <w:lang w:val="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customStyle="1" w:styleId="Heading4Char">
    <w:name w:val="Heading 4 Char"/>
    <w:basedOn w:val="DefaultParagraphFont"/>
    <w:link w:val="Heading4"/>
    <w:uiPriority w:val="9"/>
    <w:rsid w:val="00BD7433"/>
    <w:rPr>
      <w:rFonts w:ascii="Cambria" w:eastAsia="Cambria" w:hAnsi="Cambria" w:cs="Cambria"/>
      <w:b/>
      <w:u w:color="000000"/>
      <w:lang w:val="en-US"/>
    </w:rPr>
  </w:style>
  <w:style w:type="paragraph" w:styleId="TOCHeading">
    <w:name w:val="TOC Heading"/>
    <w:basedOn w:val="Heading1"/>
    <w:next w:val="Normal"/>
    <w:uiPriority w:val="39"/>
    <w:unhideWhenUsed/>
    <w:qFormat/>
    <w:rsid w:val="00C53C19"/>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 w:type="character" w:styleId="Strong">
    <w:name w:val="Strong"/>
    <w:basedOn w:val="DefaultParagraphFont"/>
    <w:uiPriority w:val="22"/>
    <w:qFormat/>
    <w:rsid w:val="00A868AD"/>
    <w:rPr>
      <w:b/>
      <w:bCs/>
    </w:rPr>
  </w:style>
  <w:style w:type="paragraph" w:customStyle="1" w:styleId="Footnotes">
    <w:name w:val="Footnotes"/>
    <w:basedOn w:val="FootnoteText"/>
    <w:qFormat/>
    <w:rsid w:val="001A1A62"/>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character" w:customStyle="1" w:styleId="apple-converted-space">
    <w:name w:val="apple-converted-space"/>
    <w:basedOn w:val="DefaultParagraphFont"/>
    <w:rsid w:val="001A1A62"/>
  </w:style>
  <w:style w:type="character" w:styleId="CommentReference">
    <w:name w:val="annotation reference"/>
    <w:basedOn w:val="DefaultParagraphFont"/>
    <w:uiPriority w:val="99"/>
    <w:semiHidden/>
    <w:unhideWhenUsed/>
    <w:rsid w:val="009B5828"/>
    <w:rPr>
      <w:sz w:val="16"/>
      <w:szCs w:val="16"/>
    </w:rPr>
  </w:style>
  <w:style w:type="paragraph" w:styleId="CommentText">
    <w:name w:val="annotation text"/>
    <w:basedOn w:val="Normal"/>
    <w:link w:val="CommentTextChar"/>
    <w:uiPriority w:val="99"/>
    <w:semiHidden/>
    <w:unhideWhenUsed/>
    <w:rsid w:val="009B5828"/>
    <w:rPr>
      <w:sz w:val="20"/>
    </w:rPr>
  </w:style>
  <w:style w:type="character" w:customStyle="1" w:styleId="CommentTextChar">
    <w:name w:val="Comment Text Char"/>
    <w:basedOn w:val="DefaultParagraphFont"/>
    <w:link w:val="CommentText"/>
    <w:uiPriority w:val="99"/>
    <w:semiHidden/>
    <w:rsid w:val="009B5828"/>
    <w:rPr>
      <w:sz w:val="20"/>
    </w:rPr>
  </w:style>
  <w:style w:type="paragraph" w:styleId="CommentSubject">
    <w:name w:val="annotation subject"/>
    <w:basedOn w:val="CommentText"/>
    <w:next w:val="CommentText"/>
    <w:link w:val="CommentSubjectChar"/>
    <w:uiPriority w:val="99"/>
    <w:semiHidden/>
    <w:unhideWhenUsed/>
    <w:rsid w:val="009B5828"/>
    <w:rPr>
      <w:b/>
      <w:bCs/>
    </w:rPr>
  </w:style>
  <w:style w:type="character" w:customStyle="1" w:styleId="CommentSubjectChar">
    <w:name w:val="Comment Subject Char"/>
    <w:basedOn w:val="CommentTextChar"/>
    <w:link w:val="CommentSubject"/>
    <w:uiPriority w:val="99"/>
    <w:semiHidden/>
    <w:rsid w:val="009B5828"/>
    <w:rPr>
      <w:b/>
      <w:bCs/>
      <w:sz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E35F2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hAnsi="Times New Roman" w:cs="Times New Roman"/>
      <w:color w:val="auto"/>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65521">
      <w:bodyDiv w:val="1"/>
      <w:marLeft w:val="0"/>
      <w:marRight w:val="0"/>
      <w:marTop w:val="0"/>
      <w:marBottom w:val="0"/>
      <w:divBdr>
        <w:top w:val="none" w:sz="0" w:space="0" w:color="auto"/>
        <w:left w:val="none" w:sz="0" w:space="0" w:color="auto"/>
        <w:bottom w:val="none" w:sz="0" w:space="0" w:color="auto"/>
        <w:right w:val="none" w:sz="0" w:space="0" w:color="auto"/>
      </w:divBdr>
    </w:div>
    <w:div w:id="1026562492">
      <w:bodyDiv w:val="1"/>
      <w:marLeft w:val="0"/>
      <w:marRight w:val="0"/>
      <w:marTop w:val="0"/>
      <w:marBottom w:val="0"/>
      <w:divBdr>
        <w:top w:val="none" w:sz="0" w:space="0" w:color="auto"/>
        <w:left w:val="none" w:sz="0" w:space="0" w:color="auto"/>
        <w:bottom w:val="none" w:sz="0" w:space="0" w:color="auto"/>
        <w:right w:val="none" w:sz="0" w:space="0" w:color="auto"/>
      </w:divBdr>
      <w:divsChild>
        <w:div w:id="129016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2556">
      <w:bodyDiv w:val="1"/>
      <w:marLeft w:val="0"/>
      <w:marRight w:val="0"/>
      <w:marTop w:val="0"/>
      <w:marBottom w:val="0"/>
      <w:divBdr>
        <w:top w:val="none" w:sz="0" w:space="0" w:color="auto"/>
        <w:left w:val="none" w:sz="0" w:space="0" w:color="auto"/>
        <w:bottom w:val="none" w:sz="0" w:space="0" w:color="auto"/>
        <w:right w:val="none" w:sz="0" w:space="0" w:color="auto"/>
      </w:divBdr>
    </w:div>
    <w:div w:id="1257129243">
      <w:bodyDiv w:val="1"/>
      <w:marLeft w:val="0"/>
      <w:marRight w:val="0"/>
      <w:marTop w:val="0"/>
      <w:marBottom w:val="0"/>
      <w:divBdr>
        <w:top w:val="none" w:sz="0" w:space="0" w:color="auto"/>
        <w:left w:val="none" w:sz="0" w:space="0" w:color="auto"/>
        <w:bottom w:val="none" w:sz="0" w:space="0" w:color="auto"/>
        <w:right w:val="none" w:sz="0" w:space="0" w:color="auto"/>
      </w:divBdr>
    </w:div>
    <w:div w:id="13462490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520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rchives.gov/research/japanese-americans/redress" TargetMode="External"/><Relationship Id="rId2" Type="http://schemas.openxmlformats.org/officeDocument/2006/relationships/hyperlink" Target="https://www.nytimes.com/2018/08/17/obituaries/isamu-shibayama-dies-at-88-his-quest-for-reparations-unfulfilled.html" TargetMode="External"/><Relationship Id="rId1" Type="http://schemas.openxmlformats.org/officeDocument/2006/relationships/hyperlink" Target="https://www.archives.gov/education/lessons/japanese-relo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6539-4D07-504D-A402-B6F8665A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9336</Words>
  <Characters>53221</Characters>
  <Application>Microsoft Office Word</Application>
  <DocSecurity>0</DocSecurity>
  <Lines>443</Lines>
  <Paragraphs>124</Paragraphs>
  <ScaleCrop>false</ScaleCrop>
  <Company/>
  <LinksUpToDate>false</LinksUpToDate>
  <CharactersWithSpaces>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2021-02-23T22:12:00Z</dcterms:created>
  <dcterms:modified xsi:type="dcterms:W3CDTF">2021-02-23T22:12:00Z</dcterms:modified>
</cp:coreProperties>
</file>