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2FA2" w14:textId="77777777" w:rsidR="00040C3A" w:rsidRPr="00D8219A" w:rsidRDefault="00362A89" w:rsidP="00627C9F">
      <w:pPr>
        <w:jc w:val="both"/>
        <w:rPr>
          <w:rFonts w:asciiTheme="majorHAnsi" w:hAnsiTheme="majorHAnsi" w:cs="Univers"/>
          <w:b/>
          <w:bCs/>
          <w:sz w:val="22"/>
          <w:szCs w:val="22"/>
          <w:lang w:val="es-ES_tradnl"/>
        </w:rPr>
      </w:pPr>
      <w:r w:rsidRPr="001B5C63">
        <w:rPr>
          <w:rFonts w:asciiTheme="majorHAnsi" w:hAnsiTheme="majorHAnsi"/>
          <w:noProof/>
          <w:sz w:val="22"/>
          <w:szCs w:val="22"/>
        </w:rPr>
        <w:t xml:space="preserve"> </w:t>
      </w:r>
      <w:r w:rsidR="00F73C1E" w:rsidRPr="00D8219A">
        <w:rPr>
          <w:rFonts w:asciiTheme="majorHAnsi" w:hAnsiTheme="majorHAnsi"/>
          <w:noProof/>
          <w:sz w:val="22"/>
          <w:szCs w:val="22"/>
        </w:rPr>
        <mc:AlternateContent>
          <mc:Choice Requires="wps">
            <w:drawing>
              <wp:anchor distT="0" distB="0" distL="114300" distR="114300" simplePos="0" relativeHeight="251688960" behindDoc="0" locked="0" layoutInCell="1" allowOverlap="1" wp14:anchorId="6B125BF2" wp14:editId="3A5E3DD6">
                <wp:simplePos x="0" y="0"/>
                <wp:positionH relativeFrom="column">
                  <wp:posOffset>-466725</wp:posOffset>
                </wp:positionH>
                <wp:positionV relativeFrom="paragraph">
                  <wp:posOffset>-485775</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93D80" id="Rectangle 1" o:spid="_x0000_s1026" style="position:absolute;margin-left:-36.75pt;margin-top:-38.25pt;width:121.5pt;height:71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" fillcolor="#4a7194" stroked="f" strokeweight="2pt"/>
            </w:pict>
          </mc:Fallback>
        </mc:AlternateContent>
      </w:r>
      <w:r w:rsidR="00B31EBE" w:rsidRPr="00D8219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C771C60" wp14:editId="10885C5B">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F52674" w14:textId="77777777" w:rsidR="00D9585D" w:rsidRDefault="00D9585D" w:rsidP="00F73C1E">
                            <w:pPr>
                              <w:jc w:val="both"/>
                            </w:pPr>
                            <w:r>
                              <w:t xml:space="preserve">   </w:t>
                            </w:r>
                            <w:r>
                              <w:rPr>
                                <w:noProof/>
                              </w:rPr>
                              <w:drawing>
                                <wp:inline distT="0" distB="0" distL="0" distR="0" wp14:anchorId="4BA57D5D" wp14:editId="26C72B8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71C60"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13F52674" w14:textId="77777777" w:rsidR="00D9585D" w:rsidRDefault="00D9585D" w:rsidP="00F73C1E">
                      <w:pPr>
                        <w:jc w:val="both"/>
                      </w:pPr>
                      <w:r>
                        <w:t xml:space="preserve">   </w:t>
                      </w:r>
                      <w:r>
                        <w:rPr>
                          <w:noProof/>
                        </w:rPr>
                        <w:drawing>
                          <wp:inline distT="0" distB="0" distL="0" distR="0" wp14:anchorId="4BA57D5D" wp14:editId="26C72B8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v:textbox>
              </v:shape>
            </w:pict>
          </mc:Fallback>
        </mc:AlternateContent>
      </w:r>
    </w:p>
    <w:p w14:paraId="386951AA" w14:textId="77777777" w:rsidR="00040C3A" w:rsidRPr="00D8219A" w:rsidRDefault="00040C3A" w:rsidP="00040C3A">
      <w:pPr>
        <w:tabs>
          <w:tab w:val="center" w:pos="5400"/>
        </w:tabs>
        <w:suppressAutoHyphens/>
        <w:jc w:val="both"/>
        <w:rPr>
          <w:rFonts w:asciiTheme="majorHAnsi" w:hAnsiTheme="majorHAnsi"/>
          <w:sz w:val="22"/>
          <w:szCs w:val="22"/>
          <w:lang w:val="es-ES"/>
        </w:rPr>
      </w:pPr>
    </w:p>
    <w:p w14:paraId="3B6EAB51" w14:textId="77777777" w:rsidR="00040C3A" w:rsidRPr="00D8219A" w:rsidRDefault="00040C3A" w:rsidP="00040C3A">
      <w:pPr>
        <w:tabs>
          <w:tab w:val="center" w:pos="5400"/>
        </w:tabs>
        <w:suppressAutoHyphens/>
        <w:jc w:val="both"/>
        <w:rPr>
          <w:rFonts w:asciiTheme="majorHAnsi" w:hAnsiTheme="majorHAnsi"/>
          <w:sz w:val="22"/>
          <w:szCs w:val="22"/>
          <w:lang w:val="es-ES"/>
        </w:rPr>
      </w:pPr>
    </w:p>
    <w:p w14:paraId="1FAF23FC" w14:textId="77777777" w:rsidR="005128E4" w:rsidRPr="00D8219A" w:rsidRDefault="005128E4" w:rsidP="00040C3A">
      <w:pPr>
        <w:tabs>
          <w:tab w:val="center" w:pos="5400"/>
        </w:tabs>
        <w:suppressAutoHyphens/>
        <w:rPr>
          <w:rFonts w:asciiTheme="majorHAnsi" w:hAnsiTheme="majorHAnsi"/>
          <w:sz w:val="22"/>
          <w:szCs w:val="22"/>
          <w:lang w:val="es-ES_tradnl"/>
        </w:rPr>
      </w:pPr>
    </w:p>
    <w:p w14:paraId="1D04410F" w14:textId="77777777" w:rsidR="005128E4" w:rsidRPr="00D8219A" w:rsidRDefault="005128E4" w:rsidP="00040C3A">
      <w:pPr>
        <w:tabs>
          <w:tab w:val="center" w:pos="5400"/>
        </w:tabs>
        <w:suppressAutoHyphens/>
        <w:rPr>
          <w:rFonts w:asciiTheme="majorHAnsi" w:hAnsiTheme="majorHAnsi"/>
          <w:sz w:val="22"/>
          <w:szCs w:val="22"/>
          <w:lang w:val="es-ES_tradnl"/>
        </w:rPr>
      </w:pPr>
    </w:p>
    <w:p w14:paraId="47408D01" w14:textId="77777777" w:rsidR="005128E4" w:rsidRPr="00D8219A" w:rsidRDefault="005128E4" w:rsidP="00040C3A">
      <w:pPr>
        <w:tabs>
          <w:tab w:val="center" w:pos="5400"/>
        </w:tabs>
        <w:suppressAutoHyphens/>
        <w:rPr>
          <w:rFonts w:asciiTheme="majorHAnsi" w:hAnsiTheme="majorHAnsi"/>
          <w:sz w:val="22"/>
          <w:szCs w:val="22"/>
          <w:lang w:val="es-ES_tradnl"/>
        </w:rPr>
      </w:pPr>
    </w:p>
    <w:p w14:paraId="126E2DD1" w14:textId="77777777" w:rsidR="00040C3A" w:rsidRPr="00D8219A" w:rsidRDefault="00040C3A" w:rsidP="005128E4">
      <w:pPr>
        <w:tabs>
          <w:tab w:val="center" w:pos="5400"/>
        </w:tabs>
        <w:suppressAutoHyphens/>
        <w:jc w:val="center"/>
        <w:rPr>
          <w:rFonts w:asciiTheme="majorHAnsi" w:hAnsiTheme="majorHAnsi"/>
          <w:sz w:val="22"/>
          <w:szCs w:val="22"/>
          <w:lang w:val="es-ES_tradnl"/>
        </w:rPr>
      </w:pPr>
    </w:p>
    <w:p w14:paraId="27E06539" w14:textId="77777777" w:rsidR="00040C3A" w:rsidRPr="00D8219A" w:rsidRDefault="00040C3A" w:rsidP="005128E4">
      <w:pPr>
        <w:tabs>
          <w:tab w:val="center" w:pos="5400"/>
        </w:tabs>
        <w:suppressAutoHyphens/>
        <w:jc w:val="center"/>
        <w:rPr>
          <w:rFonts w:asciiTheme="majorHAnsi" w:hAnsiTheme="majorHAnsi"/>
          <w:sz w:val="22"/>
          <w:szCs w:val="22"/>
          <w:lang w:val="es-ES_tradnl"/>
        </w:rPr>
      </w:pPr>
    </w:p>
    <w:p w14:paraId="6697FB52" w14:textId="77777777" w:rsidR="005B52B0" w:rsidRPr="00D8219A" w:rsidRDefault="005B52B0" w:rsidP="005128E4">
      <w:pPr>
        <w:tabs>
          <w:tab w:val="center" w:pos="5400"/>
        </w:tabs>
        <w:suppressAutoHyphens/>
        <w:jc w:val="center"/>
        <w:rPr>
          <w:rFonts w:asciiTheme="majorHAnsi" w:hAnsiTheme="majorHAnsi"/>
          <w:sz w:val="22"/>
          <w:szCs w:val="22"/>
          <w:lang w:val="es-ES_tradnl"/>
        </w:rPr>
      </w:pPr>
    </w:p>
    <w:p w14:paraId="6F915ACB" w14:textId="77777777" w:rsidR="005B52B0" w:rsidRPr="00D8219A" w:rsidRDefault="005B52B0" w:rsidP="005128E4">
      <w:pPr>
        <w:tabs>
          <w:tab w:val="center" w:pos="5400"/>
        </w:tabs>
        <w:suppressAutoHyphens/>
        <w:jc w:val="center"/>
        <w:rPr>
          <w:rFonts w:asciiTheme="majorHAnsi" w:hAnsiTheme="majorHAnsi"/>
          <w:sz w:val="22"/>
          <w:szCs w:val="22"/>
          <w:lang w:val="es-ES_tradnl"/>
        </w:rPr>
      </w:pPr>
    </w:p>
    <w:p w14:paraId="36550E11" w14:textId="77777777" w:rsidR="005B52B0" w:rsidRPr="00D8219A" w:rsidRDefault="005B52B0" w:rsidP="005128E4">
      <w:pPr>
        <w:tabs>
          <w:tab w:val="center" w:pos="5400"/>
        </w:tabs>
        <w:suppressAutoHyphens/>
        <w:jc w:val="center"/>
        <w:rPr>
          <w:rFonts w:asciiTheme="majorHAnsi" w:hAnsiTheme="majorHAnsi"/>
          <w:sz w:val="22"/>
          <w:szCs w:val="22"/>
          <w:lang w:val="es-ES_tradnl"/>
        </w:rPr>
      </w:pPr>
    </w:p>
    <w:p w14:paraId="78096070" w14:textId="77777777" w:rsidR="00040C3A" w:rsidRPr="00D8219A" w:rsidRDefault="00040C3A" w:rsidP="00040C3A">
      <w:pPr>
        <w:tabs>
          <w:tab w:val="center" w:pos="5400"/>
        </w:tabs>
        <w:suppressAutoHyphens/>
        <w:jc w:val="center"/>
        <w:rPr>
          <w:rFonts w:asciiTheme="majorHAnsi" w:hAnsiTheme="majorHAnsi"/>
          <w:sz w:val="22"/>
          <w:szCs w:val="22"/>
          <w:lang w:val="es-ES_tradnl"/>
        </w:rPr>
      </w:pPr>
    </w:p>
    <w:p w14:paraId="1AC5A6B8" w14:textId="77777777" w:rsidR="00040C3A" w:rsidRPr="00D8219A" w:rsidRDefault="00040C3A" w:rsidP="00040C3A">
      <w:pPr>
        <w:tabs>
          <w:tab w:val="center" w:pos="5400"/>
        </w:tabs>
        <w:suppressAutoHyphens/>
        <w:jc w:val="center"/>
        <w:rPr>
          <w:rFonts w:asciiTheme="majorHAnsi" w:hAnsiTheme="majorHAnsi"/>
          <w:sz w:val="22"/>
          <w:szCs w:val="22"/>
          <w:lang w:val="es-ES_tradnl"/>
        </w:rPr>
      </w:pPr>
    </w:p>
    <w:p w14:paraId="2B99A867" w14:textId="77777777" w:rsidR="00040C3A" w:rsidRPr="00D8219A" w:rsidRDefault="00040C3A" w:rsidP="00040C3A">
      <w:pPr>
        <w:tabs>
          <w:tab w:val="center" w:pos="5400"/>
        </w:tabs>
        <w:suppressAutoHyphens/>
        <w:jc w:val="center"/>
        <w:rPr>
          <w:rFonts w:asciiTheme="majorHAnsi" w:hAnsiTheme="majorHAnsi"/>
          <w:sz w:val="22"/>
          <w:szCs w:val="22"/>
          <w:lang w:val="es-ES_tradnl"/>
        </w:rPr>
      </w:pPr>
    </w:p>
    <w:p w14:paraId="40DE3CCD" w14:textId="77777777" w:rsidR="00040C3A" w:rsidRPr="00D8219A" w:rsidRDefault="00362A89" w:rsidP="00040C3A">
      <w:pPr>
        <w:tabs>
          <w:tab w:val="center" w:pos="5400"/>
        </w:tabs>
        <w:suppressAutoHyphens/>
        <w:jc w:val="center"/>
        <w:rPr>
          <w:rFonts w:asciiTheme="majorHAnsi" w:hAnsiTheme="majorHAnsi"/>
          <w:sz w:val="22"/>
          <w:szCs w:val="22"/>
          <w:lang w:val="es-ES_tradnl"/>
        </w:rPr>
      </w:pPr>
      <w:r w:rsidRPr="00D8219A">
        <w:rPr>
          <w:rFonts w:asciiTheme="majorHAnsi" w:hAnsiTheme="majorHAnsi"/>
          <w:noProof/>
          <w:sz w:val="22"/>
          <w:szCs w:val="22"/>
        </w:rPr>
        <mc:AlternateContent>
          <mc:Choice Requires="wps">
            <w:drawing>
              <wp:anchor distT="0" distB="0" distL="114300" distR="114300" simplePos="0" relativeHeight="251691008" behindDoc="0" locked="0" layoutInCell="1" allowOverlap="1" wp14:anchorId="5A4BBB7D" wp14:editId="26649F9A">
                <wp:simplePos x="0" y="0"/>
                <wp:positionH relativeFrom="column">
                  <wp:posOffset>-342900</wp:posOffset>
                </wp:positionH>
                <wp:positionV relativeFrom="paragraph">
                  <wp:posOffset>132715</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22CEC1" w14:textId="77777777" w:rsidR="00362A89" w:rsidRPr="004B7EB6" w:rsidRDefault="00362A89" w:rsidP="00362A89">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3C62A8B1" w14:textId="77777777" w:rsidR="00362A89" w:rsidRPr="004B7EB6" w:rsidRDefault="00362A89" w:rsidP="00362A89">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A12FE2">
                              <w:rPr>
                                <w:rFonts w:asciiTheme="minorHAnsi" w:hAnsiTheme="minorHAnsi"/>
                                <w:color w:val="FFFFFF" w:themeColor="background1"/>
                                <w:sz w:val="22"/>
                                <w:lang w:val="pt-BR"/>
                              </w:rPr>
                              <w:t>214</w:t>
                            </w:r>
                          </w:p>
                          <w:p w14:paraId="2FEE5B67" w14:textId="77777777" w:rsidR="00362A89" w:rsidRPr="004B7EB6" w:rsidRDefault="00A12FE2" w:rsidP="00362A89">
                            <w:pPr>
                              <w:jc w:val="right"/>
                              <w:rPr>
                                <w:rFonts w:asciiTheme="minorHAnsi" w:hAnsiTheme="minorHAnsi"/>
                                <w:color w:val="FFFFFF" w:themeColor="background1"/>
                                <w:sz w:val="22"/>
                              </w:rPr>
                            </w:pPr>
                            <w:r>
                              <w:rPr>
                                <w:rFonts w:asciiTheme="minorHAnsi" w:hAnsiTheme="minorHAnsi"/>
                                <w:color w:val="FFFFFF" w:themeColor="background1"/>
                                <w:sz w:val="22"/>
                              </w:rPr>
                              <w:t>August</w:t>
                            </w:r>
                            <w:r w:rsidR="00362A89">
                              <w:rPr>
                                <w:rFonts w:asciiTheme="minorHAnsi" w:hAnsiTheme="minorHAnsi"/>
                                <w:color w:val="FFFFFF" w:themeColor="background1"/>
                                <w:sz w:val="22"/>
                              </w:rPr>
                              <w:t xml:space="preserve"> </w:t>
                            </w:r>
                            <w:r>
                              <w:rPr>
                                <w:rFonts w:asciiTheme="minorHAnsi" w:hAnsiTheme="minorHAnsi"/>
                                <w:color w:val="FFFFFF" w:themeColor="background1"/>
                                <w:sz w:val="22"/>
                              </w:rPr>
                              <w:t>3,</w:t>
                            </w:r>
                            <w:r w:rsidR="00362A89">
                              <w:rPr>
                                <w:rFonts w:asciiTheme="minorHAnsi" w:hAnsiTheme="minorHAnsi"/>
                                <w:color w:val="FFFFFF" w:themeColor="background1"/>
                                <w:sz w:val="22"/>
                              </w:rPr>
                              <w:t xml:space="preserve"> 2020</w:t>
                            </w:r>
                          </w:p>
                          <w:p w14:paraId="663554BC" w14:textId="77777777" w:rsidR="00362A89" w:rsidRPr="004B7EB6" w:rsidRDefault="00362A89" w:rsidP="00362A89">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BBB7D" id="Text Box 8" o:spid="_x0000_s1027" type="#_x0000_t202" style="position:absolute;left:0;text-align:left;margin-left:-27pt;margin-top:10.45pt;width:105.05pt;height:10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" filled="f" stroked="f" strokeweight=".5pt">
                <v:textbox>
                  <w:txbxContent>
                    <w:p w14:paraId="7222CEC1" w14:textId="77777777" w:rsidR="00362A89" w:rsidRPr="004B7EB6" w:rsidRDefault="00362A89" w:rsidP="00362A89">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3C62A8B1" w14:textId="77777777" w:rsidR="00362A89" w:rsidRPr="004B7EB6" w:rsidRDefault="00362A89" w:rsidP="00362A89">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A12FE2">
                        <w:rPr>
                          <w:rFonts w:asciiTheme="minorHAnsi" w:hAnsiTheme="minorHAnsi"/>
                          <w:color w:val="FFFFFF" w:themeColor="background1"/>
                          <w:sz w:val="22"/>
                          <w:lang w:val="pt-BR"/>
                        </w:rPr>
                        <w:t>214</w:t>
                      </w:r>
                    </w:p>
                    <w:p w14:paraId="2FEE5B67" w14:textId="77777777" w:rsidR="00362A89" w:rsidRPr="004B7EB6" w:rsidRDefault="00A12FE2" w:rsidP="00362A89">
                      <w:pPr>
                        <w:jc w:val="right"/>
                        <w:rPr>
                          <w:rFonts w:asciiTheme="minorHAnsi" w:hAnsiTheme="minorHAnsi"/>
                          <w:color w:val="FFFFFF" w:themeColor="background1"/>
                          <w:sz w:val="22"/>
                        </w:rPr>
                      </w:pPr>
                      <w:r>
                        <w:rPr>
                          <w:rFonts w:asciiTheme="minorHAnsi" w:hAnsiTheme="minorHAnsi"/>
                          <w:color w:val="FFFFFF" w:themeColor="background1"/>
                          <w:sz w:val="22"/>
                        </w:rPr>
                        <w:t>August</w:t>
                      </w:r>
                      <w:r w:rsidR="00362A89">
                        <w:rPr>
                          <w:rFonts w:asciiTheme="minorHAnsi" w:hAnsiTheme="minorHAnsi"/>
                          <w:color w:val="FFFFFF" w:themeColor="background1"/>
                          <w:sz w:val="22"/>
                        </w:rPr>
                        <w:t xml:space="preserve"> </w:t>
                      </w:r>
                      <w:r>
                        <w:rPr>
                          <w:rFonts w:asciiTheme="minorHAnsi" w:hAnsiTheme="minorHAnsi"/>
                          <w:color w:val="FFFFFF" w:themeColor="background1"/>
                          <w:sz w:val="22"/>
                        </w:rPr>
                        <w:t>3,</w:t>
                      </w:r>
                      <w:r w:rsidR="00362A89">
                        <w:rPr>
                          <w:rFonts w:asciiTheme="minorHAnsi" w:hAnsiTheme="minorHAnsi"/>
                          <w:color w:val="FFFFFF" w:themeColor="background1"/>
                          <w:sz w:val="22"/>
                        </w:rPr>
                        <w:t xml:space="preserve"> 2020</w:t>
                      </w:r>
                    </w:p>
                    <w:p w14:paraId="663554BC" w14:textId="77777777" w:rsidR="00362A89" w:rsidRPr="004B7EB6" w:rsidRDefault="00362A89" w:rsidP="00362A89">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Inglés</w:t>
                      </w:r>
                    </w:p>
                  </w:txbxContent>
                </v:textbox>
              </v:shape>
            </w:pict>
          </mc:Fallback>
        </mc:AlternateContent>
      </w:r>
      <w:r w:rsidR="00E533FF" w:rsidRPr="00D8219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D4B8DB7" wp14:editId="56889D37">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021D5" w14:textId="77777777" w:rsidR="00D9585D" w:rsidRPr="00F32EEE" w:rsidRDefault="00D9585D" w:rsidP="004B7EB6">
                            <w:pPr>
                              <w:spacing w:line="276" w:lineRule="auto"/>
                              <w:rPr>
                                <w:rFonts w:asciiTheme="majorHAnsi" w:hAnsiTheme="majorHAnsi" w:cs="Arial"/>
                                <w:b/>
                                <w:bCs/>
                                <w:color w:val="0D0D0D" w:themeColor="text1" w:themeTint="F2"/>
                                <w:sz w:val="36"/>
                                <w:szCs w:val="40"/>
                                <w:lang w:val="es-UY"/>
                              </w:rPr>
                            </w:pPr>
                            <w:r w:rsidRPr="00F32EEE">
                              <w:rPr>
                                <w:rFonts w:asciiTheme="majorHAnsi" w:hAnsiTheme="majorHAnsi" w:cs="Arial"/>
                                <w:b/>
                                <w:bCs/>
                                <w:color w:val="0D0D0D" w:themeColor="text1" w:themeTint="F2"/>
                                <w:sz w:val="36"/>
                                <w:szCs w:val="40"/>
                                <w:lang w:val="es-UY"/>
                              </w:rPr>
                              <w:t xml:space="preserve">INFORME No. </w:t>
                            </w:r>
                            <w:r w:rsidR="00A12FE2">
                              <w:rPr>
                                <w:rFonts w:asciiTheme="majorHAnsi" w:hAnsiTheme="majorHAnsi" w:cs="Arial"/>
                                <w:b/>
                                <w:bCs/>
                                <w:color w:val="0D0D0D" w:themeColor="text1" w:themeTint="F2"/>
                                <w:sz w:val="36"/>
                                <w:szCs w:val="40"/>
                                <w:lang w:val="es-UY"/>
                              </w:rPr>
                              <w:t>200</w:t>
                            </w:r>
                            <w:r w:rsidRPr="00F32EEE">
                              <w:rPr>
                                <w:rFonts w:asciiTheme="majorHAnsi" w:hAnsiTheme="majorHAnsi" w:cs="Arial"/>
                                <w:b/>
                                <w:bCs/>
                                <w:color w:val="0D0D0D" w:themeColor="text1" w:themeTint="F2"/>
                                <w:sz w:val="36"/>
                                <w:szCs w:val="40"/>
                                <w:lang w:val="es-UY"/>
                              </w:rPr>
                              <w:t>/</w:t>
                            </w:r>
                            <w:r>
                              <w:rPr>
                                <w:rFonts w:asciiTheme="majorHAnsi" w:hAnsiTheme="majorHAnsi" w:cs="Arial"/>
                                <w:b/>
                                <w:bCs/>
                                <w:color w:val="0D0D0D" w:themeColor="text1" w:themeTint="F2"/>
                                <w:sz w:val="36"/>
                                <w:szCs w:val="40"/>
                                <w:lang w:val="es-UY"/>
                              </w:rPr>
                              <w:t>20</w:t>
                            </w:r>
                          </w:p>
                          <w:p w14:paraId="3D8ECB5C" w14:textId="77777777" w:rsidR="00D9585D" w:rsidRPr="00187D3F" w:rsidRDefault="00D9585D" w:rsidP="004B7EB6">
                            <w:pPr>
                              <w:spacing w:line="276" w:lineRule="auto"/>
                              <w:rPr>
                                <w:rFonts w:asciiTheme="majorHAnsi" w:hAnsiTheme="majorHAnsi" w:cs="Arial"/>
                                <w:b/>
                                <w:bCs/>
                                <w:color w:val="0D0D0D" w:themeColor="text1" w:themeTint="F2"/>
                                <w:sz w:val="36"/>
                                <w:szCs w:val="40"/>
                                <w:lang w:val="es-UY"/>
                              </w:rPr>
                            </w:pPr>
                            <w:r w:rsidRPr="00187D3F">
                              <w:rPr>
                                <w:rFonts w:asciiTheme="majorHAnsi" w:hAnsiTheme="majorHAnsi" w:cs="Arial"/>
                                <w:b/>
                                <w:bCs/>
                                <w:color w:val="0D0D0D" w:themeColor="text1" w:themeTint="F2"/>
                                <w:sz w:val="36"/>
                                <w:szCs w:val="40"/>
                                <w:lang w:val="es-UY"/>
                              </w:rPr>
                              <w:t>CASO 13.356</w:t>
                            </w:r>
                          </w:p>
                          <w:p w14:paraId="2A1C603D" w14:textId="77777777" w:rsidR="00D9585D" w:rsidRPr="00187D3F" w:rsidRDefault="00D9585D" w:rsidP="001061FC">
                            <w:pPr>
                              <w:spacing w:line="276" w:lineRule="auto"/>
                              <w:rPr>
                                <w:rFonts w:asciiTheme="majorHAnsi" w:hAnsiTheme="majorHAnsi" w:cs="Arial"/>
                                <w:color w:val="0D0D0D" w:themeColor="text1" w:themeTint="F2"/>
                                <w:szCs w:val="22"/>
                                <w:lang w:val="es-UY"/>
                              </w:rPr>
                            </w:pPr>
                            <w:r w:rsidRPr="00187D3F">
                              <w:rPr>
                                <w:rFonts w:asciiTheme="majorHAnsi" w:hAnsiTheme="majorHAnsi" w:cs="Arial"/>
                                <w:color w:val="0D0D0D" w:themeColor="text1" w:themeTint="F2"/>
                                <w:szCs w:val="22"/>
                                <w:lang w:val="es-UY"/>
                              </w:rPr>
                              <w:t xml:space="preserve">INFORME SOBRE ADMISIBILIDAD Y </w:t>
                            </w:r>
                            <w:r>
                              <w:rPr>
                                <w:rFonts w:asciiTheme="majorHAnsi" w:hAnsiTheme="majorHAnsi" w:cs="Arial"/>
                                <w:color w:val="0D0D0D" w:themeColor="text1" w:themeTint="F2"/>
                                <w:szCs w:val="22"/>
                                <w:lang w:val="es-UY"/>
                              </w:rPr>
                              <w:t>FONDO</w:t>
                            </w:r>
                            <w:r w:rsidRPr="00187D3F">
                              <w:rPr>
                                <w:rFonts w:asciiTheme="majorHAnsi" w:hAnsiTheme="majorHAnsi" w:cs="Arial"/>
                                <w:color w:val="0D0D0D" w:themeColor="text1" w:themeTint="F2"/>
                                <w:szCs w:val="22"/>
                                <w:lang w:val="es-UY"/>
                              </w:rPr>
                              <w:t xml:space="preserve"> </w:t>
                            </w:r>
                            <w:r>
                              <w:rPr>
                                <w:rFonts w:asciiTheme="majorHAnsi" w:hAnsiTheme="majorHAnsi" w:cs="Arial"/>
                                <w:color w:val="0D0D0D" w:themeColor="text1" w:themeTint="F2"/>
                                <w:szCs w:val="22"/>
                                <w:lang w:val="es-UY"/>
                              </w:rPr>
                              <w:t>(</w:t>
                            </w:r>
                            <w:r w:rsidR="00362A89">
                              <w:rPr>
                                <w:rFonts w:asciiTheme="majorHAnsi" w:hAnsiTheme="majorHAnsi" w:cs="Arial"/>
                                <w:color w:val="0D0D0D" w:themeColor="text1" w:themeTint="F2"/>
                                <w:szCs w:val="22"/>
                                <w:lang w:val="es-UY"/>
                              </w:rPr>
                              <w:t>PUBLICACIÓN</w:t>
                            </w:r>
                            <w:r>
                              <w:rPr>
                                <w:rFonts w:asciiTheme="majorHAnsi" w:hAnsiTheme="majorHAnsi" w:cs="Arial"/>
                                <w:color w:val="0D0D0D" w:themeColor="text1" w:themeTint="F2"/>
                                <w:szCs w:val="22"/>
                                <w:lang w:val="es-UY"/>
                              </w:rPr>
                              <w:t>)</w:t>
                            </w:r>
                          </w:p>
                          <w:p w14:paraId="1DA4D982" w14:textId="77777777" w:rsidR="00D9585D" w:rsidRPr="00187D3F" w:rsidRDefault="00D9585D" w:rsidP="004B7EB6">
                            <w:pPr>
                              <w:spacing w:line="276" w:lineRule="auto"/>
                              <w:rPr>
                                <w:rFonts w:asciiTheme="majorHAnsi" w:hAnsiTheme="majorHAnsi" w:cs="Arial"/>
                                <w:color w:val="0D0D0D" w:themeColor="text1" w:themeTint="F2"/>
                                <w:szCs w:val="22"/>
                                <w:lang w:val="es-UY"/>
                              </w:rPr>
                            </w:pPr>
                          </w:p>
                          <w:p w14:paraId="5838FF6E" w14:textId="77777777" w:rsidR="00D9585D" w:rsidRPr="00187D3F" w:rsidRDefault="00D9585D" w:rsidP="004B7EB6">
                            <w:pPr>
                              <w:spacing w:line="276" w:lineRule="auto"/>
                              <w:rPr>
                                <w:rFonts w:asciiTheme="majorHAnsi" w:hAnsiTheme="majorHAnsi" w:cs="Arial"/>
                                <w:color w:val="0D0D0D" w:themeColor="text1" w:themeTint="F2"/>
                                <w:szCs w:val="22"/>
                                <w:lang w:val="es-UY"/>
                              </w:rPr>
                            </w:pPr>
                          </w:p>
                          <w:p w14:paraId="1DAC0970" w14:textId="77777777" w:rsidR="00D9585D" w:rsidRPr="00187D3F" w:rsidRDefault="00D9585D" w:rsidP="004B7EB6">
                            <w:pPr>
                              <w:spacing w:line="276" w:lineRule="auto"/>
                              <w:rPr>
                                <w:rFonts w:asciiTheme="majorHAnsi" w:hAnsiTheme="majorHAnsi" w:cs="Arial"/>
                                <w:color w:val="0D0D0D" w:themeColor="text1" w:themeTint="F2"/>
                                <w:szCs w:val="22"/>
                                <w:lang w:val="es-UY"/>
                              </w:rPr>
                            </w:pPr>
                            <w:r>
                              <w:rPr>
                                <w:rFonts w:asciiTheme="majorHAnsi" w:hAnsiTheme="majorHAnsi" w:cs="Arial"/>
                                <w:color w:val="0D0D0D" w:themeColor="text1" w:themeTint="F2"/>
                                <w:szCs w:val="22"/>
                                <w:lang w:val="es-UY"/>
                              </w:rPr>
                              <w:t>NELSON IVÁ</w:t>
                            </w:r>
                            <w:r w:rsidRPr="00187D3F">
                              <w:rPr>
                                <w:rFonts w:asciiTheme="majorHAnsi" w:hAnsiTheme="majorHAnsi" w:cs="Arial"/>
                                <w:color w:val="0D0D0D" w:themeColor="text1" w:themeTint="F2"/>
                                <w:szCs w:val="22"/>
                                <w:lang w:val="es-UY"/>
                              </w:rPr>
                              <w:t>N SERRANO SÁENZ</w:t>
                            </w:r>
                          </w:p>
                          <w:p w14:paraId="6BF2C56F" w14:textId="77777777" w:rsidR="00D9585D" w:rsidRPr="00187D3F" w:rsidRDefault="00D9585D" w:rsidP="004B7EB6">
                            <w:pPr>
                              <w:spacing w:line="276" w:lineRule="auto"/>
                              <w:rPr>
                                <w:rFonts w:asciiTheme="majorHAnsi" w:hAnsiTheme="majorHAnsi"/>
                                <w:color w:val="0D0D0D" w:themeColor="text1" w:themeTint="F2"/>
                                <w:lang w:val="es-UY"/>
                              </w:rPr>
                            </w:pPr>
                            <w:r w:rsidRPr="00187D3F">
                              <w:rPr>
                                <w:rFonts w:asciiTheme="majorHAnsi" w:hAnsiTheme="majorHAnsi" w:cs="Arial"/>
                                <w:color w:val="0D0D0D" w:themeColor="text1" w:themeTint="F2"/>
                                <w:szCs w:val="22"/>
                                <w:lang w:val="es-UY"/>
                              </w:rPr>
                              <w:t>ESTADOS UNIDOS DE AMÉRICA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B8DB7"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14:paraId="5C3021D5" w14:textId="77777777" w:rsidR="00D9585D" w:rsidRPr="00F32EEE" w:rsidRDefault="00D9585D" w:rsidP="004B7EB6">
                      <w:pPr>
                        <w:spacing w:line="276" w:lineRule="auto"/>
                        <w:rPr>
                          <w:rFonts w:asciiTheme="majorHAnsi" w:hAnsiTheme="majorHAnsi" w:cs="Arial"/>
                          <w:b/>
                          <w:bCs/>
                          <w:color w:val="0D0D0D" w:themeColor="text1" w:themeTint="F2"/>
                          <w:sz w:val="36"/>
                          <w:szCs w:val="40"/>
                          <w:lang w:val="es-UY"/>
                        </w:rPr>
                      </w:pPr>
                      <w:r w:rsidRPr="00F32EEE">
                        <w:rPr>
                          <w:rFonts w:asciiTheme="majorHAnsi" w:hAnsiTheme="majorHAnsi" w:cs="Arial"/>
                          <w:b/>
                          <w:bCs/>
                          <w:color w:val="0D0D0D" w:themeColor="text1" w:themeTint="F2"/>
                          <w:sz w:val="36"/>
                          <w:szCs w:val="40"/>
                          <w:lang w:val="es-UY"/>
                        </w:rPr>
                        <w:t xml:space="preserve">INFORME No. </w:t>
                      </w:r>
                      <w:r w:rsidR="00A12FE2">
                        <w:rPr>
                          <w:rFonts w:asciiTheme="majorHAnsi" w:hAnsiTheme="majorHAnsi" w:cs="Arial"/>
                          <w:b/>
                          <w:bCs/>
                          <w:color w:val="0D0D0D" w:themeColor="text1" w:themeTint="F2"/>
                          <w:sz w:val="36"/>
                          <w:szCs w:val="40"/>
                          <w:lang w:val="es-UY"/>
                        </w:rPr>
                        <w:t>200</w:t>
                      </w:r>
                      <w:r w:rsidRPr="00F32EEE">
                        <w:rPr>
                          <w:rFonts w:asciiTheme="majorHAnsi" w:hAnsiTheme="majorHAnsi" w:cs="Arial"/>
                          <w:b/>
                          <w:bCs/>
                          <w:color w:val="0D0D0D" w:themeColor="text1" w:themeTint="F2"/>
                          <w:sz w:val="36"/>
                          <w:szCs w:val="40"/>
                          <w:lang w:val="es-UY"/>
                        </w:rPr>
                        <w:t>/</w:t>
                      </w:r>
                      <w:r>
                        <w:rPr>
                          <w:rFonts w:asciiTheme="majorHAnsi" w:hAnsiTheme="majorHAnsi" w:cs="Arial"/>
                          <w:b/>
                          <w:bCs/>
                          <w:color w:val="0D0D0D" w:themeColor="text1" w:themeTint="F2"/>
                          <w:sz w:val="36"/>
                          <w:szCs w:val="40"/>
                          <w:lang w:val="es-UY"/>
                        </w:rPr>
                        <w:t>20</w:t>
                      </w:r>
                    </w:p>
                    <w:p w14:paraId="3D8ECB5C" w14:textId="77777777" w:rsidR="00D9585D" w:rsidRPr="00187D3F" w:rsidRDefault="00D9585D" w:rsidP="004B7EB6">
                      <w:pPr>
                        <w:spacing w:line="276" w:lineRule="auto"/>
                        <w:rPr>
                          <w:rFonts w:asciiTheme="majorHAnsi" w:hAnsiTheme="majorHAnsi" w:cs="Arial"/>
                          <w:b/>
                          <w:bCs/>
                          <w:color w:val="0D0D0D" w:themeColor="text1" w:themeTint="F2"/>
                          <w:sz w:val="36"/>
                          <w:szCs w:val="40"/>
                          <w:lang w:val="es-UY"/>
                        </w:rPr>
                      </w:pPr>
                      <w:r w:rsidRPr="00187D3F">
                        <w:rPr>
                          <w:rFonts w:asciiTheme="majorHAnsi" w:hAnsiTheme="majorHAnsi" w:cs="Arial"/>
                          <w:b/>
                          <w:bCs/>
                          <w:color w:val="0D0D0D" w:themeColor="text1" w:themeTint="F2"/>
                          <w:sz w:val="36"/>
                          <w:szCs w:val="40"/>
                          <w:lang w:val="es-UY"/>
                        </w:rPr>
                        <w:t>CASO 13.356</w:t>
                      </w:r>
                    </w:p>
                    <w:p w14:paraId="2A1C603D" w14:textId="77777777" w:rsidR="00D9585D" w:rsidRPr="00187D3F" w:rsidRDefault="00D9585D" w:rsidP="001061FC">
                      <w:pPr>
                        <w:spacing w:line="276" w:lineRule="auto"/>
                        <w:rPr>
                          <w:rFonts w:asciiTheme="majorHAnsi" w:hAnsiTheme="majorHAnsi" w:cs="Arial"/>
                          <w:color w:val="0D0D0D" w:themeColor="text1" w:themeTint="F2"/>
                          <w:szCs w:val="22"/>
                          <w:lang w:val="es-UY"/>
                        </w:rPr>
                      </w:pPr>
                      <w:r w:rsidRPr="00187D3F">
                        <w:rPr>
                          <w:rFonts w:asciiTheme="majorHAnsi" w:hAnsiTheme="majorHAnsi" w:cs="Arial"/>
                          <w:color w:val="0D0D0D" w:themeColor="text1" w:themeTint="F2"/>
                          <w:szCs w:val="22"/>
                          <w:lang w:val="es-UY"/>
                        </w:rPr>
                        <w:t xml:space="preserve">INFORME SOBRE ADMISIBILIDAD Y </w:t>
                      </w:r>
                      <w:r>
                        <w:rPr>
                          <w:rFonts w:asciiTheme="majorHAnsi" w:hAnsiTheme="majorHAnsi" w:cs="Arial"/>
                          <w:color w:val="0D0D0D" w:themeColor="text1" w:themeTint="F2"/>
                          <w:szCs w:val="22"/>
                          <w:lang w:val="es-UY"/>
                        </w:rPr>
                        <w:t>FONDO</w:t>
                      </w:r>
                      <w:r w:rsidRPr="00187D3F">
                        <w:rPr>
                          <w:rFonts w:asciiTheme="majorHAnsi" w:hAnsiTheme="majorHAnsi" w:cs="Arial"/>
                          <w:color w:val="0D0D0D" w:themeColor="text1" w:themeTint="F2"/>
                          <w:szCs w:val="22"/>
                          <w:lang w:val="es-UY"/>
                        </w:rPr>
                        <w:t xml:space="preserve"> </w:t>
                      </w:r>
                      <w:r>
                        <w:rPr>
                          <w:rFonts w:asciiTheme="majorHAnsi" w:hAnsiTheme="majorHAnsi" w:cs="Arial"/>
                          <w:color w:val="0D0D0D" w:themeColor="text1" w:themeTint="F2"/>
                          <w:szCs w:val="22"/>
                          <w:lang w:val="es-UY"/>
                        </w:rPr>
                        <w:t>(</w:t>
                      </w:r>
                      <w:r w:rsidR="00362A89">
                        <w:rPr>
                          <w:rFonts w:asciiTheme="majorHAnsi" w:hAnsiTheme="majorHAnsi" w:cs="Arial"/>
                          <w:color w:val="0D0D0D" w:themeColor="text1" w:themeTint="F2"/>
                          <w:szCs w:val="22"/>
                          <w:lang w:val="es-UY"/>
                        </w:rPr>
                        <w:t>PUBLICACIÓN</w:t>
                      </w:r>
                      <w:r>
                        <w:rPr>
                          <w:rFonts w:asciiTheme="majorHAnsi" w:hAnsiTheme="majorHAnsi" w:cs="Arial"/>
                          <w:color w:val="0D0D0D" w:themeColor="text1" w:themeTint="F2"/>
                          <w:szCs w:val="22"/>
                          <w:lang w:val="es-UY"/>
                        </w:rPr>
                        <w:t>)</w:t>
                      </w:r>
                    </w:p>
                    <w:p w14:paraId="1DA4D982" w14:textId="77777777" w:rsidR="00D9585D" w:rsidRPr="00187D3F" w:rsidRDefault="00D9585D" w:rsidP="004B7EB6">
                      <w:pPr>
                        <w:spacing w:line="276" w:lineRule="auto"/>
                        <w:rPr>
                          <w:rFonts w:asciiTheme="majorHAnsi" w:hAnsiTheme="majorHAnsi" w:cs="Arial"/>
                          <w:color w:val="0D0D0D" w:themeColor="text1" w:themeTint="F2"/>
                          <w:szCs w:val="22"/>
                          <w:lang w:val="es-UY"/>
                        </w:rPr>
                      </w:pPr>
                    </w:p>
                    <w:p w14:paraId="5838FF6E" w14:textId="77777777" w:rsidR="00D9585D" w:rsidRPr="00187D3F" w:rsidRDefault="00D9585D" w:rsidP="004B7EB6">
                      <w:pPr>
                        <w:spacing w:line="276" w:lineRule="auto"/>
                        <w:rPr>
                          <w:rFonts w:asciiTheme="majorHAnsi" w:hAnsiTheme="majorHAnsi" w:cs="Arial"/>
                          <w:color w:val="0D0D0D" w:themeColor="text1" w:themeTint="F2"/>
                          <w:szCs w:val="22"/>
                          <w:lang w:val="es-UY"/>
                        </w:rPr>
                      </w:pPr>
                    </w:p>
                    <w:p w14:paraId="1DAC0970" w14:textId="77777777" w:rsidR="00D9585D" w:rsidRPr="00187D3F" w:rsidRDefault="00D9585D" w:rsidP="004B7EB6">
                      <w:pPr>
                        <w:spacing w:line="276" w:lineRule="auto"/>
                        <w:rPr>
                          <w:rFonts w:asciiTheme="majorHAnsi" w:hAnsiTheme="majorHAnsi" w:cs="Arial"/>
                          <w:color w:val="0D0D0D" w:themeColor="text1" w:themeTint="F2"/>
                          <w:szCs w:val="22"/>
                          <w:lang w:val="es-UY"/>
                        </w:rPr>
                      </w:pPr>
                      <w:r>
                        <w:rPr>
                          <w:rFonts w:asciiTheme="majorHAnsi" w:hAnsiTheme="majorHAnsi" w:cs="Arial"/>
                          <w:color w:val="0D0D0D" w:themeColor="text1" w:themeTint="F2"/>
                          <w:szCs w:val="22"/>
                          <w:lang w:val="es-UY"/>
                        </w:rPr>
                        <w:t>NELSON IVÁ</w:t>
                      </w:r>
                      <w:r w:rsidRPr="00187D3F">
                        <w:rPr>
                          <w:rFonts w:asciiTheme="majorHAnsi" w:hAnsiTheme="majorHAnsi" w:cs="Arial"/>
                          <w:color w:val="0D0D0D" w:themeColor="text1" w:themeTint="F2"/>
                          <w:szCs w:val="22"/>
                          <w:lang w:val="es-UY"/>
                        </w:rPr>
                        <w:t>N SERRANO SÁENZ</w:t>
                      </w:r>
                    </w:p>
                    <w:p w14:paraId="6BF2C56F" w14:textId="77777777" w:rsidR="00D9585D" w:rsidRPr="00187D3F" w:rsidRDefault="00D9585D" w:rsidP="004B7EB6">
                      <w:pPr>
                        <w:spacing w:line="276" w:lineRule="auto"/>
                        <w:rPr>
                          <w:rFonts w:asciiTheme="majorHAnsi" w:hAnsiTheme="majorHAnsi"/>
                          <w:color w:val="0D0D0D" w:themeColor="text1" w:themeTint="F2"/>
                          <w:lang w:val="es-UY"/>
                        </w:rPr>
                      </w:pPr>
                      <w:r w:rsidRPr="00187D3F">
                        <w:rPr>
                          <w:rFonts w:asciiTheme="majorHAnsi" w:hAnsiTheme="majorHAnsi" w:cs="Arial"/>
                          <w:color w:val="0D0D0D" w:themeColor="text1" w:themeTint="F2"/>
                          <w:szCs w:val="22"/>
                          <w:lang w:val="es-UY"/>
                        </w:rPr>
                        <w:t>ESTADOS UNIDOS DE AMÉRICA</w:t>
                      </w:r>
                    </w:p>
                  </w:txbxContent>
                </v:textbox>
              </v:shape>
            </w:pict>
          </mc:Fallback>
        </mc:AlternateContent>
      </w:r>
    </w:p>
    <w:p w14:paraId="28CF65F5" w14:textId="77777777" w:rsidR="00040C3A" w:rsidRPr="00D8219A" w:rsidRDefault="00040C3A" w:rsidP="00040C3A">
      <w:pPr>
        <w:tabs>
          <w:tab w:val="center" w:pos="5400"/>
        </w:tabs>
        <w:suppressAutoHyphens/>
        <w:jc w:val="center"/>
        <w:rPr>
          <w:rFonts w:asciiTheme="majorHAnsi" w:hAnsiTheme="majorHAnsi"/>
          <w:sz w:val="22"/>
          <w:szCs w:val="22"/>
          <w:lang w:val="es-ES_tradnl"/>
        </w:rPr>
      </w:pPr>
    </w:p>
    <w:p w14:paraId="3787278B" w14:textId="77777777" w:rsidR="00040C3A" w:rsidRPr="00D8219A" w:rsidRDefault="00040C3A" w:rsidP="00040C3A">
      <w:pPr>
        <w:tabs>
          <w:tab w:val="center" w:pos="5400"/>
        </w:tabs>
        <w:suppressAutoHyphens/>
        <w:jc w:val="center"/>
        <w:rPr>
          <w:rFonts w:asciiTheme="majorHAnsi" w:hAnsiTheme="majorHAnsi" w:cs="Arial"/>
          <w:sz w:val="22"/>
          <w:szCs w:val="22"/>
          <w:lang w:val="es-ES_tradnl"/>
        </w:rPr>
      </w:pPr>
    </w:p>
    <w:p w14:paraId="5704DA88" w14:textId="77777777" w:rsidR="00040C3A" w:rsidRPr="00D8219A" w:rsidRDefault="00040C3A" w:rsidP="00040C3A">
      <w:pPr>
        <w:tabs>
          <w:tab w:val="center" w:pos="5400"/>
        </w:tabs>
        <w:suppressAutoHyphens/>
        <w:jc w:val="center"/>
        <w:rPr>
          <w:rFonts w:asciiTheme="majorHAnsi" w:hAnsiTheme="majorHAnsi"/>
          <w:sz w:val="22"/>
          <w:szCs w:val="22"/>
          <w:lang w:val="es-ES_tradnl"/>
        </w:rPr>
      </w:pPr>
    </w:p>
    <w:p w14:paraId="704087D8" w14:textId="77777777" w:rsidR="00040C3A" w:rsidRPr="00D8219A" w:rsidRDefault="00040C3A" w:rsidP="00040C3A">
      <w:pPr>
        <w:tabs>
          <w:tab w:val="center" w:pos="5400"/>
        </w:tabs>
        <w:suppressAutoHyphens/>
        <w:jc w:val="center"/>
        <w:rPr>
          <w:rFonts w:asciiTheme="majorHAnsi" w:hAnsiTheme="majorHAnsi"/>
          <w:sz w:val="22"/>
          <w:szCs w:val="22"/>
          <w:lang w:val="es-ES_tradnl"/>
        </w:rPr>
      </w:pPr>
    </w:p>
    <w:p w14:paraId="76A84DA5" w14:textId="77777777" w:rsidR="00040C3A" w:rsidRPr="00D8219A" w:rsidRDefault="00040C3A" w:rsidP="00040C3A">
      <w:pPr>
        <w:tabs>
          <w:tab w:val="center" w:pos="5400"/>
        </w:tabs>
        <w:suppressAutoHyphens/>
        <w:jc w:val="center"/>
        <w:rPr>
          <w:rFonts w:asciiTheme="majorHAnsi" w:hAnsiTheme="majorHAnsi"/>
          <w:sz w:val="22"/>
          <w:szCs w:val="22"/>
          <w:lang w:val="es-ES_tradnl"/>
        </w:rPr>
      </w:pPr>
    </w:p>
    <w:p w14:paraId="31B7AD9A" w14:textId="77777777" w:rsidR="00040C3A" w:rsidRPr="00D8219A" w:rsidRDefault="00040C3A" w:rsidP="00040C3A">
      <w:pPr>
        <w:tabs>
          <w:tab w:val="center" w:pos="5400"/>
        </w:tabs>
        <w:suppressAutoHyphens/>
        <w:jc w:val="center"/>
        <w:rPr>
          <w:rFonts w:asciiTheme="majorHAnsi" w:hAnsiTheme="majorHAnsi"/>
          <w:sz w:val="22"/>
          <w:szCs w:val="22"/>
          <w:lang w:val="es-ES_tradnl"/>
        </w:rPr>
      </w:pPr>
    </w:p>
    <w:p w14:paraId="6E8BADC1" w14:textId="77777777" w:rsidR="005128E4" w:rsidRPr="00D8219A" w:rsidRDefault="005128E4" w:rsidP="00040C3A">
      <w:pPr>
        <w:tabs>
          <w:tab w:val="center" w:pos="5400"/>
        </w:tabs>
        <w:suppressAutoHyphens/>
        <w:jc w:val="center"/>
        <w:rPr>
          <w:rFonts w:asciiTheme="majorHAnsi" w:hAnsiTheme="majorHAnsi"/>
          <w:sz w:val="22"/>
          <w:szCs w:val="22"/>
          <w:lang w:val="es-ES_tradnl"/>
        </w:rPr>
      </w:pPr>
    </w:p>
    <w:p w14:paraId="7F95C9E2" w14:textId="77777777" w:rsidR="00040C3A" w:rsidRPr="00D8219A" w:rsidRDefault="00040C3A" w:rsidP="00040C3A">
      <w:pPr>
        <w:tabs>
          <w:tab w:val="center" w:pos="5400"/>
        </w:tabs>
        <w:suppressAutoHyphens/>
        <w:jc w:val="center"/>
        <w:rPr>
          <w:rFonts w:asciiTheme="majorHAnsi" w:hAnsiTheme="majorHAnsi"/>
          <w:sz w:val="22"/>
          <w:szCs w:val="22"/>
          <w:lang w:val="es-ES_tradnl"/>
        </w:rPr>
      </w:pPr>
    </w:p>
    <w:p w14:paraId="306EDE36" w14:textId="77777777" w:rsidR="005128E4" w:rsidRPr="00D8219A" w:rsidRDefault="005128E4" w:rsidP="00040C3A">
      <w:pPr>
        <w:tabs>
          <w:tab w:val="center" w:pos="5400"/>
        </w:tabs>
        <w:suppressAutoHyphens/>
        <w:jc w:val="center"/>
        <w:rPr>
          <w:rFonts w:asciiTheme="majorHAnsi" w:hAnsiTheme="majorHAnsi"/>
          <w:sz w:val="22"/>
          <w:szCs w:val="22"/>
          <w:lang w:val="es-ES_tradnl"/>
        </w:rPr>
      </w:pPr>
    </w:p>
    <w:p w14:paraId="284F81E1" w14:textId="77777777" w:rsidR="005128E4" w:rsidRPr="00D8219A" w:rsidRDefault="005128E4" w:rsidP="00040C3A">
      <w:pPr>
        <w:tabs>
          <w:tab w:val="center" w:pos="5400"/>
        </w:tabs>
        <w:suppressAutoHyphens/>
        <w:jc w:val="center"/>
        <w:rPr>
          <w:rFonts w:asciiTheme="majorHAnsi" w:hAnsiTheme="majorHAnsi"/>
          <w:sz w:val="22"/>
          <w:szCs w:val="22"/>
          <w:lang w:val="es-ES_tradnl"/>
        </w:rPr>
      </w:pPr>
    </w:p>
    <w:p w14:paraId="0D365A6D" w14:textId="77777777" w:rsidR="005128E4" w:rsidRPr="00D8219A" w:rsidRDefault="005128E4" w:rsidP="00040C3A">
      <w:pPr>
        <w:tabs>
          <w:tab w:val="center" w:pos="5400"/>
        </w:tabs>
        <w:suppressAutoHyphens/>
        <w:jc w:val="center"/>
        <w:rPr>
          <w:rFonts w:asciiTheme="majorHAnsi" w:hAnsiTheme="majorHAnsi"/>
          <w:sz w:val="22"/>
          <w:szCs w:val="22"/>
          <w:lang w:val="es-ES_tradnl"/>
        </w:rPr>
      </w:pPr>
    </w:p>
    <w:p w14:paraId="7937B839" w14:textId="77777777" w:rsidR="00040C3A" w:rsidRPr="00D8219A" w:rsidRDefault="00040C3A" w:rsidP="00040C3A">
      <w:pPr>
        <w:tabs>
          <w:tab w:val="center" w:pos="5400"/>
        </w:tabs>
        <w:suppressAutoHyphens/>
        <w:jc w:val="center"/>
        <w:rPr>
          <w:rFonts w:asciiTheme="majorHAnsi" w:hAnsiTheme="majorHAnsi"/>
          <w:sz w:val="22"/>
          <w:szCs w:val="22"/>
          <w:lang w:val="es-ES_tradnl"/>
        </w:rPr>
      </w:pPr>
    </w:p>
    <w:p w14:paraId="69A35E7D" w14:textId="77777777" w:rsidR="00040C3A" w:rsidRPr="00D8219A" w:rsidRDefault="00040C3A" w:rsidP="00040C3A">
      <w:pPr>
        <w:tabs>
          <w:tab w:val="center" w:pos="5400"/>
        </w:tabs>
        <w:suppressAutoHyphens/>
        <w:jc w:val="center"/>
        <w:rPr>
          <w:rFonts w:asciiTheme="majorHAnsi" w:hAnsiTheme="majorHAnsi"/>
          <w:sz w:val="22"/>
          <w:szCs w:val="22"/>
          <w:lang w:val="es-ES_tradnl"/>
        </w:rPr>
      </w:pPr>
    </w:p>
    <w:p w14:paraId="3B6CBDF2" w14:textId="77777777" w:rsidR="002C1641" w:rsidRPr="00D8219A" w:rsidRDefault="002C1641" w:rsidP="00040C3A">
      <w:pPr>
        <w:tabs>
          <w:tab w:val="center" w:pos="5400"/>
        </w:tabs>
        <w:suppressAutoHyphens/>
        <w:jc w:val="center"/>
        <w:rPr>
          <w:rFonts w:asciiTheme="majorHAnsi" w:hAnsiTheme="majorHAnsi"/>
          <w:sz w:val="18"/>
          <w:szCs w:val="22"/>
          <w:lang w:val="es-ES_tradnl"/>
        </w:rPr>
      </w:pPr>
    </w:p>
    <w:p w14:paraId="55BFD344" w14:textId="77777777" w:rsidR="002C1641" w:rsidRPr="00D8219A" w:rsidRDefault="002C1641" w:rsidP="00040C3A">
      <w:pPr>
        <w:tabs>
          <w:tab w:val="center" w:pos="5400"/>
        </w:tabs>
        <w:suppressAutoHyphens/>
        <w:jc w:val="center"/>
        <w:rPr>
          <w:rFonts w:asciiTheme="majorHAnsi" w:hAnsiTheme="majorHAnsi"/>
          <w:sz w:val="18"/>
          <w:szCs w:val="22"/>
          <w:lang w:val="es-ES_tradnl"/>
        </w:rPr>
      </w:pPr>
    </w:p>
    <w:p w14:paraId="3B18B630" w14:textId="77777777" w:rsidR="002C1641" w:rsidRPr="00D8219A" w:rsidRDefault="002C1641" w:rsidP="00040C3A">
      <w:pPr>
        <w:tabs>
          <w:tab w:val="center" w:pos="5400"/>
        </w:tabs>
        <w:suppressAutoHyphens/>
        <w:jc w:val="center"/>
        <w:rPr>
          <w:rFonts w:asciiTheme="majorHAnsi" w:hAnsiTheme="majorHAnsi"/>
          <w:sz w:val="18"/>
          <w:szCs w:val="22"/>
          <w:lang w:val="es-ES_tradnl"/>
        </w:rPr>
      </w:pPr>
    </w:p>
    <w:p w14:paraId="3E122B26" w14:textId="77777777" w:rsidR="002C1641" w:rsidRPr="00D8219A" w:rsidRDefault="002C1641" w:rsidP="00040C3A">
      <w:pPr>
        <w:tabs>
          <w:tab w:val="center" w:pos="5400"/>
        </w:tabs>
        <w:suppressAutoHyphens/>
        <w:jc w:val="center"/>
        <w:rPr>
          <w:rFonts w:asciiTheme="majorHAnsi" w:hAnsiTheme="majorHAnsi"/>
          <w:sz w:val="18"/>
          <w:szCs w:val="22"/>
          <w:lang w:val="es-ES_tradnl"/>
        </w:rPr>
      </w:pPr>
    </w:p>
    <w:p w14:paraId="5A0E373B" w14:textId="77777777" w:rsidR="002C1641" w:rsidRPr="00D8219A" w:rsidRDefault="002C1641" w:rsidP="00040C3A">
      <w:pPr>
        <w:tabs>
          <w:tab w:val="center" w:pos="5400"/>
        </w:tabs>
        <w:suppressAutoHyphens/>
        <w:jc w:val="center"/>
        <w:rPr>
          <w:rFonts w:asciiTheme="majorHAnsi" w:hAnsiTheme="majorHAnsi"/>
          <w:sz w:val="18"/>
          <w:szCs w:val="22"/>
          <w:lang w:val="es-ES_tradnl"/>
        </w:rPr>
      </w:pPr>
    </w:p>
    <w:p w14:paraId="6E69B7E2" w14:textId="77777777" w:rsidR="002C1641" w:rsidRPr="00D8219A" w:rsidRDefault="002C1641" w:rsidP="00040C3A">
      <w:pPr>
        <w:tabs>
          <w:tab w:val="center" w:pos="5400"/>
        </w:tabs>
        <w:suppressAutoHyphens/>
        <w:jc w:val="center"/>
        <w:rPr>
          <w:rFonts w:asciiTheme="majorHAnsi" w:hAnsiTheme="majorHAnsi"/>
          <w:sz w:val="18"/>
          <w:szCs w:val="22"/>
          <w:lang w:val="es-ES_tradnl"/>
        </w:rPr>
      </w:pPr>
    </w:p>
    <w:p w14:paraId="68C0570E" w14:textId="77777777" w:rsidR="002C1641" w:rsidRPr="00D8219A" w:rsidRDefault="002C1641" w:rsidP="00040C3A">
      <w:pPr>
        <w:tabs>
          <w:tab w:val="center" w:pos="5400"/>
        </w:tabs>
        <w:suppressAutoHyphens/>
        <w:jc w:val="center"/>
        <w:rPr>
          <w:rFonts w:asciiTheme="majorHAnsi" w:hAnsiTheme="majorHAnsi"/>
          <w:sz w:val="18"/>
          <w:szCs w:val="22"/>
          <w:lang w:val="es-ES_tradnl"/>
        </w:rPr>
      </w:pPr>
    </w:p>
    <w:p w14:paraId="35D89AF7" w14:textId="77777777" w:rsidR="002C1641" w:rsidRPr="00D8219A" w:rsidRDefault="002C1641" w:rsidP="00040C3A">
      <w:pPr>
        <w:tabs>
          <w:tab w:val="center" w:pos="5400"/>
        </w:tabs>
        <w:suppressAutoHyphens/>
        <w:jc w:val="center"/>
        <w:rPr>
          <w:rFonts w:asciiTheme="majorHAnsi" w:hAnsiTheme="majorHAnsi"/>
          <w:sz w:val="18"/>
          <w:szCs w:val="22"/>
          <w:lang w:val="es-ES_tradnl"/>
        </w:rPr>
      </w:pPr>
    </w:p>
    <w:p w14:paraId="51BDB844" w14:textId="77777777" w:rsidR="002C1641" w:rsidRPr="00D8219A" w:rsidRDefault="002C1641" w:rsidP="00040C3A">
      <w:pPr>
        <w:tabs>
          <w:tab w:val="center" w:pos="5400"/>
        </w:tabs>
        <w:suppressAutoHyphens/>
        <w:jc w:val="center"/>
        <w:rPr>
          <w:rFonts w:asciiTheme="majorHAnsi" w:hAnsiTheme="majorHAnsi"/>
          <w:sz w:val="18"/>
          <w:szCs w:val="22"/>
          <w:lang w:val="es-ES_tradnl"/>
        </w:rPr>
      </w:pPr>
    </w:p>
    <w:p w14:paraId="7652EDEE" w14:textId="77777777" w:rsidR="002C1641" w:rsidRPr="00D8219A" w:rsidRDefault="002C1641" w:rsidP="00040C3A">
      <w:pPr>
        <w:tabs>
          <w:tab w:val="center" w:pos="5400"/>
        </w:tabs>
        <w:suppressAutoHyphens/>
        <w:jc w:val="center"/>
        <w:rPr>
          <w:rFonts w:asciiTheme="majorHAnsi" w:hAnsiTheme="majorHAnsi"/>
          <w:sz w:val="18"/>
          <w:szCs w:val="22"/>
          <w:lang w:val="es-ES_tradnl"/>
        </w:rPr>
      </w:pPr>
    </w:p>
    <w:p w14:paraId="667EAC82" w14:textId="77777777" w:rsidR="002C1641" w:rsidRPr="00D8219A" w:rsidRDefault="002C1641" w:rsidP="00040C3A">
      <w:pPr>
        <w:tabs>
          <w:tab w:val="center" w:pos="5400"/>
        </w:tabs>
        <w:suppressAutoHyphens/>
        <w:jc w:val="center"/>
        <w:rPr>
          <w:rFonts w:asciiTheme="majorHAnsi" w:hAnsiTheme="majorHAnsi"/>
          <w:sz w:val="18"/>
          <w:szCs w:val="22"/>
          <w:lang w:val="es-ES_tradnl"/>
        </w:rPr>
      </w:pPr>
    </w:p>
    <w:p w14:paraId="24ACEA8B" w14:textId="77777777" w:rsidR="002C1641" w:rsidRPr="00D8219A" w:rsidRDefault="002C1641" w:rsidP="00040C3A">
      <w:pPr>
        <w:tabs>
          <w:tab w:val="center" w:pos="5400"/>
        </w:tabs>
        <w:suppressAutoHyphens/>
        <w:jc w:val="center"/>
        <w:rPr>
          <w:rFonts w:asciiTheme="majorHAnsi" w:hAnsiTheme="majorHAnsi"/>
          <w:sz w:val="18"/>
          <w:szCs w:val="22"/>
          <w:lang w:val="es-ES_tradnl"/>
        </w:rPr>
      </w:pPr>
    </w:p>
    <w:p w14:paraId="18AE9EE1" w14:textId="77777777" w:rsidR="002C1641" w:rsidRPr="00D8219A" w:rsidRDefault="003C32BC" w:rsidP="00040C3A">
      <w:pPr>
        <w:tabs>
          <w:tab w:val="center" w:pos="5400"/>
        </w:tabs>
        <w:suppressAutoHyphens/>
        <w:jc w:val="center"/>
        <w:rPr>
          <w:rFonts w:asciiTheme="majorHAnsi" w:hAnsiTheme="majorHAnsi"/>
          <w:sz w:val="18"/>
          <w:szCs w:val="22"/>
          <w:lang w:val="es-ES_tradnl"/>
        </w:rPr>
      </w:pPr>
      <w:r w:rsidRPr="00D8219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2042B02" wp14:editId="04F2D860">
                <wp:simplePos x="0" y="0"/>
                <wp:positionH relativeFrom="column">
                  <wp:posOffset>1209675</wp:posOffset>
                </wp:positionH>
                <wp:positionV relativeFrom="paragraph">
                  <wp:posOffset>73660</wp:posOffset>
                </wp:positionV>
                <wp:extent cx="4595495" cy="1104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0DCCB1" w14:textId="77777777" w:rsidR="00A12FE2" w:rsidRDefault="00D9585D" w:rsidP="00A12FE2">
                            <w:pPr>
                              <w:tabs>
                                <w:tab w:val="center" w:pos="5400"/>
                              </w:tabs>
                              <w:suppressAutoHyphens/>
                              <w:spacing w:before="60"/>
                              <w:rPr>
                                <w:rFonts w:asciiTheme="majorHAnsi" w:hAnsiTheme="majorHAnsi"/>
                                <w:color w:val="0D0D0D" w:themeColor="text1" w:themeTint="F2"/>
                                <w:sz w:val="18"/>
                                <w:szCs w:val="20"/>
                                <w:lang w:val="es-UY"/>
                              </w:rPr>
                            </w:pPr>
                            <w:r w:rsidRPr="00187D3F">
                              <w:rPr>
                                <w:rFonts w:asciiTheme="majorHAnsi" w:hAnsiTheme="majorHAnsi"/>
                                <w:color w:val="0D0D0D" w:themeColor="text1" w:themeTint="F2"/>
                                <w:sz w:val="18"/>
                                <w:szCs w:val="20"/>
                                <w:lang w:val="es-UY"/>
                              </w:rPr>
                              <w:t xml:space="preserve">Aprobado </w:t>
                            </w:r>
                            <w:r w:rsidR="00A12FE2">
                              <w:rPr>
                                <w:rFonts w:asciiTheme="majorHAnsi" w:hAnsiTheme="majorHAnsi"/>
                                <w:color w:val="0D0D0D" w:themeColor="text1" w:themeTint="F2"/>
                                <w:sz w:val="18"/>
                                <w:szCs w:val="20"/>
                                <w:lang w:val="es-UY"/>
                              </w:rPr>
                              <w:t xml:space="preserve">electrónicamente </w:t>
                            </w:r>
                            <w:r w:rsidRPr="00187D3F">
                              <w:rPr>
                                <w:rFonts w:asciiTheme="majorHAnsi" w:hAnsiTheme="majorHAnsi"/>
                                <w:color w:val="0D0D0D" w:themeColor="text1" w:themeTint="F2"/>
                                <w:sz w:val="18"/>
                                <w:szCs w:val="20"/>
                                <w:lang w:val="es-UY"/>
                              </w:rPr>
                              <w:t xml:space="preserve">por la Comisión </w:t>
                            </w:r>
                            <w:r w:rsidRPr="00080366">
                              <w:rPr>
                                <w:rFonts w:asciiTheme="majorHAnsi" w:hAnsiTheme="majorHAnsi"/>
                                <w:color w:val="0D0D0D" w:themeColor="text1" w:themeTint="F2"/>
                                <w:sz w:val="18"/>
                                <w:szCs w:val="20"/>
                                <w:lang w:val="es-UY"/>
                              </w:rPr>
                              <w:t xml:space="preserve">el </w:t>
                            </w:r>
                            <w:r w:rsidR="00A12FE2">
                              <w:rPr>
                                <w:rFonts w:asciiTheme="majorHAnsi" w:hAnsiTheme="majorHAnsi"/>
                                <w:color w:val="0D0D0D" w:themeColor="text1" w:themeTint="F2"/>
                                <w:sz w:val="18"/>
                                <w:szCs w:val="20"/>
                                <w:lang w:val="es-UY"/>
                              </w:rPr>
                              <w:t>3</w:t>
                            </w:r>
                            <w:r w:rsidRPr="00080366">
                              <w:rPr>
                                <w:rFonts w:asciiTheme="majorHAnsi" w:hAnsiTheme="majorHAnsi"/>
                                <w:color w:val="0D0D0D" w:themeColor="text1" w:themeTint="F2"/>
                                <w:sz w:val="18"/>
                                <w:szCs w:val="20"/>
                                <w:lang w:val="es-UY"/>
                              </w:rPr>
                              <w:t xml:space="preserve"> </w:t>
                            </w:r>
                            <w:r>
                              <w:rPr>
                                <w:rFonts w:asciiTheme="majorHAnsi" w:hAnsiTheme="majorHAnsi"/>
                                <w:color w:val="0D0D0D" w:themeColor="text1" w:themeTint="F2"/>
                                <w:sz w:val="18"/>
                                <w:szCs w:val="20"/>
                                <w:lang w:val="es-UY"/>
                              </w:rPr>
                              <w:t xml:space="preserve">de </w:t>
                            </w:r>
                            <w:r w:rsidR="00A12FE2">
                              <w:rPr>
                                <w:rFonts w:asciiTheme="majorHAnsi" w:hAnsiTheme="majorHAnsi"/>
                                <w:color w:val="0D0D0D" w:themeColor="text1" w:themeTint="F2"/>
                                <w:sz w:val="18"/>
                                <w:szCs w:val="20"/>
                                <w:lang w:val="es-UY"/>
                              </w:rPr>
                              <w:t>agosto</w:t>
                            </w:r>
                            <w:r>
                              <w:rPr>
                                <w:rFonts w:asciiTheme="majorHAnsi" w:hAnsiTheme="majorHAnsi"/>
                                <w:color w:val="0D0D0D" w:themeColor="text1" w:themeTint="F2"/>
                                <w:sz w:val="18"/>
                                <w:szCs w:val="20"/>
                                <w:lang w:val="es-UY"/>
                              </w:rPr>
                              <w:t xml:space="preserve"> de 2020</w:t>
                            </w:r>
                          </w:p>
                          <w:p w14:paraId="02728CDA" w14:textId="77777777" w:rsidR="00D9585D" w:rsidRDefault="00D9585D" w:rsidP="00A12FE2">
                            <w:pPr>
                              <w:tabs>
                                <w:tab w:val="center" w:pos="5400"/>
                              </w:tabs>
                              <w:suppressAutoHyphens/>
                              <w:spacing w:before="60"/>
                              <w:rPr>
                                <w:rFonts w:asciiTheme="majorHAnsi" w:hAnsiTheme="majorHAnsi"/>
                                <w:color w:val="0D0D0D" w:themeColor="text1" w:themeTint="F2"/>
                                <w:sz w:val="18"/>
                                <w:szCs w:val="20"/>
                                <w:lang w:val="es-UY"/>
                              </w:rPr>
                            </w:pPr>
                          </w:p>
                          <w:p w14:paraId="7F9245E8" w14:textId="77777777" w:rsidR="00D9585D" w:rsidRPr="00080366" w:rsidRDefault="00D9585D" w:rsidP="00080366">
                            <w:pPr>
                              <w:tabs>
                                <w:tab w:val="center" w:pos="5400"/>
                              </w:tabs>
                              <w:suppressAutoHyphens/>
                              <w:spacing w:before="60"/>
                              <w:rPr>
                                <w:rFonts w:asciiTheme="majorHAnsi" w:hAnsiTheme="majorHAnsi"/>
                                <w:color w:val="0D0D0D" w:themeColor="text1" w:themeTint="F2"/>
                                <w:sz w:val="18"/>
                                <w:szCs w:val="22"/>
                                <w:lang w:val="es-UY"/>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42B02" id="Text Box 7" o:spid="_x0000_s1029" type="#_x0000_t202" style="position:absolute;left:0;text-align:left;margin-left:95.25pt;margin-top:5.8pt;width:361.85pt;height: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" filled="f" stroked="f" strokeweight=".5pt">
                <v:textbox>
                  <w:txbxContent>
                    <w:p w14:paraId="4E0DCCB1" w14:textId="77777777" w:rsidR="00A12FE2" w:rsidRDefault="00D9585D" w:rsidP="00A12FE2">
                      <w:pPr>
                        <w:tabs>
                          <w:tab w:val="center" w:pos="5400"/>
                        </w:tabs>
                        <w:suppressAutoHyphens/>
                        <w:spacing w:before="60"/>
                        <w:rPr>
                          <w:rFonts w:asciiTheme="majorHAnsi" w:hAnsiTheme="majorHAnsi"/>
                          <w:color w:val="0D0D0D" w:themeColor="text1" w:themeTint="F2"/>
                          <w:sz w:val="18"/>
                          <w:szCs w:val="20"/>
                          <w:lang w:val="es-UY"/>
                        </w:rPr>
                      </w:pPr>
                      <w:r w:rsidRPr="00187D3F">
                        <w:rPr>
                          <w:rFonts w:asciiTheme="majorHAnsi" w:hAnsiTheme="majorHAnsi"/>
                          <w:color w:val="0D0D0D" w:themeColor="text1" w:themeTint="F2"/>
                          <w:sz w:val="18"/>
                          <w:szCs w:val="20"/>
                          <w:lang w:val="es-UY"/>
                        </w:rPr>
                        <w:t xml:space="preserve">Aprobado </w:t>
                      </w:r>
                      <w:r w:rsidR="00A12FE2">
                        <w:rPr>
                          <w:rFonts w:asciiTheme="majorHAnsi" w:hAnsiTheme="majorHAnsi"/>
                          <w:color w:val="0D0D0D" w:themeColor="text1" w:themeTint="F2"/>
                          <w:sz w:val="18"/>
                          <w:szCs w:val="20"/>
                          <w:lang w:val="es-UY"/>
                        </w:rPr>
                        <w:t xml:space="preserve">electrónicamente </w:t>
                      </w:r>
                      <w:r w:rsidRPr="00187D3F">
                        <w:rPr>
                          <w:rFonts w:asciiTheme="majorHAnsi" w:hAnsiTheme="majorHAnsi"/>
                          <w:color w:val="0D0D0D" w:themeColor="text1" w:themeTint="F2"/>
                          <w:sz w:val="18"/>
                          <w:szCs w:val="20"/>
                          <w:lang w:val="es-UY"/>
                        </w:rPr>
                        <w:t xml:space="preserve">por la Comisión </w:t>
                      </w:r>
                      <w:r w:rsidRPr="00080366">
                        <w:rPr>
                          <w:rFonts w:asciiTheme="majorHAnsi" w:hAnsiTheme="majorHAnsi"/>
                          <w:color w:val="0D0D0D" w:themeColor="text1" w:themeTint="F2"/>
                          <w:sz w:val="18"/>
                          <w:szCs w:val="20"/>
                          <w:lang w:val="es-UY"/>
                        </w:rPr>
                        <w:t xml:space="preserve">el </w:t>
                      </w:r>
                      <w:r w:rsidR="00A12FE2">
                        <w:rPr>
                          <w:rFonts w:asciiTheme="majorHAnsi" w:hAnsiTheme="majorHAnsi"/>
                          <w:color w:val="0D0D0D" w:themeColor="text1" w:themeTint="F2"/>
                          <w:sz w:val="18"/>
                          <w:szCs w:val="20"/>
                          <w:lang w:val="es-UY"/>
                        </w:rPr>
                        <w:t>3</w:t>
                      </w:r>
                      <w:r w:rsidRPr="00080366">
                        <w:rPr>
                          <w:rFonts w:asciiTheme="majorHAnsi" w:hAnsiTheme="majorHAnsi"/>
                          <w:color w:val="0D0D0D" w:themeColor="text1" w:themeTint="F2"/>
                          <w:sz w:val="18"/>
                          <w:szCs w:val="20"/>
                          <w:lang w:val="es-UY"/>
                        </w:rPr>
                        <w:t xml:space="preserve"> </w:t>
                      </w:r>
                      <w:r>
                        <w:rPr>
                          <w:rFonts w:asciiTheme="majorHAnsi" w:hAnsiTheme="majorHAnsi"/>
                          <w:color w:val="0D0D0D" w:themeColor="text1" w:themeTint="F2"/>
                          <w:sz w:val="18"/>
                          <w:szCs w:val="20"/>
                          <w:lang w:val="es-UY"/>
                        </w:rPr>
                        <w:t xml:space="preserve">de </w:t>
                      </w:r>
                      <w:r w:rsidR="00A12FE2">
                        <w:rPr>
                          <w:rFonts w:asciiTheme="majorHAnsi" w:hAnsiTheme="majorHAnsi"/>
                          <w:color w:val="0D0D0D" w:themeColor="text1" w:themeTint="F2"/>
                          <w:sz w:val="18"/>
                          <w:szCs w:val="20"/>
                          <w:lang w:val="es-UY"/>
                        </w:rPr>
                        <w:t>agosto</w:t>
                      </w:r>
                      <w:r>
                        <w:rPr>
                          <w:rFonts w:asciiTheme="majorHAnsi" w:hAnsiTheme="majorHAnsi"/>
                          <w:color w:val="0D0D0D" w:themeColor="text1" w:themeTint="F2"/>
                          <w:sz w:val="18"/>
                          <w:szCs w:val="20"/>
                          <w:lang w:val="es-UY"/>
                        </w:rPr>
                        <w:t xml:space="preserve"> de 2020</w:t>
                      </w:r>
                    </w:p>
                    <w:p w14:paraId="02728CDA" w14:textId="77777777" w:rsidR="00D9585D" w:rsidRDefault="00D9585D" w:rsidP="00A12FE2">
                      <w:pPr>
                        <w:tabs>
                          <w:tab w:val="center" w:pos="5400"/>
                        </w:tabs>
                        <w:suppressAutoHyphens/>
                        <w:spacing w:before="60"/>
                        <w:rPr>
                          <w:rFonts w:asciiTheme="majorHAnsi" w:hAnsiTheme="majorHAnsi"/>
                          <w:color w:val="0D0D0D" w:themeColor="text1" w:themeTint="F2"/>
                          <w:sz w:val="18"/>
                          <w:szCs w:val="20"/>
                          <w:lang w:val="es-UY"/>
                        </w:rPr>
                      </w:pPr>
                    </w:p>
                    <w:p w14:paraId="7F9245E8" w14:textId="77777777" w:rsidR="00D9585D" w:rsidRPr="00080366" w:rsidRDefault="00D9585D" w:rsidP="00080366">
                      <w:pPr>
                        <w:tabs>
                          <w:tab w:val="center" w:pos="5400"/>
                        </w:tabs>
                        <w:suppressAutoHyphens/>
                        <w:spacing w:before="60"/>
                        <w:rPr>
                          <w:rFonts w:asciiTheme="majorHAnsi" w:hAnsiTheme="majorHAnsi"/>
                          <w:color w:val="0D0D0D" w:themeColor="text1" w:themeTint="F2"/>
                          <w:sz w:val="18"/>
                          <w:szCs w:val="22"/>
                          <w:lang w:val="es-UY"/>
                        </w:rPr>
                      </w:pPr>
                    </w:p>
                  </w:txbxContent>
                </v:textbox>
              </v:shape>
            </w:pict>
          </mc:Fallback>
        </mc:AlternateContent>
      </w:r>
    </w:p>
    <w:p w14:paraId="7E11E30B" w14:textId="77777777" w:rsidR="002C1641" w:rsidRPr="00D8219A" w:rsidRDefault="002C1641" w:rsidP="00040C3A">
      <w:pPr>
        <w:tabs>
          <w:tab w:val="center" w:pos="5400"/>
        </w:tabs>
        <w:suppressAutoHyphens/>
        <w:jc w:val="center"/>
        <w:rPr>
          <w:rFonts w:asciiTheme="majorHAnsi" w:hAnsiTheme="majorHAnsi"/>
          <w:sz w:val="18"/>
          <w:szCs w:val="22"/>
          <w:lang w:val="es-ES_tradnl"/>
        </w:rPr>
      </w:pPr>
    </w:p>
    <w:p w14:paraId="0F401DE0" w14:textId="77777777" w:rsidR="002C1641" w:rsidRPr="00D8219A" w:rsidRDefault="002C1641" w:rsidP="00040C3A">
      <w:pPr>
        <w:tabs>
          <w:tab w:val="center" w:pos="5400"/>
        </w:tabs>
        <w:suppressAutoHyphens/>
        <w:jc w:val="center"/>
        <w:rPr>
          <w:rFonts w:asciiTheme="majorHAnsi" w:hAnsiTheme="majorHAnsi"/>
          <w:sz w:val="18"/>
          <w:szCs w:val="22"/>
          <w:lang w:val="es-ES_tradnl"/>
        </w:rPr>
      </w:pPr>
    </w:p>
    <w:p w14:paraId="29C6DE09" w14:textId="77777777" w:rsidR="002C1641" w:rsidRPr="00D8219A" w:rsidRDefault="002C1641" w:rsidP="00040C3A">
      <w:pPr>
        <w:tabs>
          <w:tab w:val="center" w:pos="5400"/>
        </w:tabs>
        <w:suppressAutoHyphens/>
        <w:jc w:val="center"/>
        <w:rPr>
          <w:rFonts w:asciiTheme="majorHAnsi" w:hAnsiTheme="majorHAnsi"/>
          <w:sz w:val="18"/>
          <w:szCs w:val="22"/>
          <w:lang w:val="es-ES_tradnl"/>
        </w:rPr>
      </w:pPr>
    </w:p>
    <w:p w14:paraId="4D40D9EF" w14:textId="77777777" w:rsidR="002C1641" w:rsidRPr="00D8219A" w:rsidRDefault="002C1641" w:rsidP="00040C3A">
      <w:pPr>
        <w:tabs>
          <w:tab w:val="center" w:pos="5400"/>
        </w:tabs>
        <w:suppressAutoHyphens/>
        <w:jc w:val="center"/>
        <w:rPr>
          <w:rFonts w:asciiTheme="majorHAnsi" w:hAnsiTheme="majorHAnsi"/>
          <w:sz w:val="18"/>
          <w:szCs w:val="22"/>
          <w:lang w:val="es-ES_tradnl"/>
        </w:rPr>
      </w:pPr>
    </w:p>
    <w:p w14:paraId="4BF5776C" w14:textId="77777777" w:rsidR="002C1641" w:rsidRPr="00D8219A" w:rsidRDefault="003C32BC" w:rsidP="00040C3A">
      <w:pPr>
        <w:tabs>
          <w:tab w:val="center" w:pos="5400"/>
        </w:tabs>
        <w:suppressAutoHyphens/>
        <w:jc w:val="center"/>
        <w:rPr>
          <w:rFonts w:asciiTheme="majorHAnsi" w:hAnsiTheme="majorHAnsi"/>
          <w:sz w:val="18"/>
          <w:szCs w:val="22"/>
          <w:lang w:val="es-ES_tradnl"/>
        </w:rPr>
      </w:pPr>
      <w:r w:rsidRPr="00D8219A">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3639CE2" wp14:editId="4F868B4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8BBC99" w14:textId="77777777" w:rsidR="00D9585D" w:rsidRDefault="00D9585D" w:rsidP="00F644E6">
                            <w:pPr>
                              <w:spacing w:line="276" w:lineRule="auto"/>
                              <w:rPr>
                                <w:rFonts w:asciiTheme="majorHAnsi" w:hAnsiTheme="majorHAnsi"/>
                                <w:b/>
                                <w:color w:val="595959" w:themeColor="text1" w:themeTint="A6"/>
                                <w:sz w:val="18"/>
                                <w:lang w:val="pt-BR"/>
                              </w:rPr>
                            </w:pPr>
                          </w:p>
                          <w:p w14:paraId="6FCF178A" w14:textId="77777777" w:rsidR="00D9585D" w:rsidRDefault="00D9585D" w:rsidP="00F644E6">
                            <w:pPr>
                              <w:spacing w:line="276" w:lineRule="auto"/>
                              <w:rPr>
                                <w:rFonts w:asciiTheme="majorHAnsi" w:hAnsiTheme="majorHAnsi"/>
                                <w:color w:val="595959" w:themeColor="text1" w:themeTint="A6"/>
                                <w:sz w:val="18"/>
                                <w:lang w:val="es-UY"/>
                              </w:rPr>
                            </w:pPr>
                            <w:r w:rsidRPr="009F6E68">
                              <w:rPr>
                                <w:rFonts w:asciiTheme="majorHAnsi" w:hAnsiTheme="majorHAnsi"/>
                                <w:b/>
                                <w:color w:val="595959" w:themeColor="text1" w:themeTint="A6"/>
                                <w:sz w:val="18"/>
                                <w:lang w:val="pt-BR"/>
                              </w:rPr>
                              <w:t xml:space="preserve">Citar como </w:t>
                            </w:r>
                            <w:r w:rsidRPr="009F6E68">
                              <w:rPr>
                                <w:rFonts w:asciiTheme="majorHAnsi" w:hAnsiTheme="majorHAnsi"/>
                                <w:color w:val="595959" w:themeColor="text1" w:themeTint="A6"/>
                                <w:sz w:val="18"/>
                                <w:lang w:val="pt-BR"/>
                              </w:rPr>
                              <w:t xml:space="preserve">CIDH, Informe No. </w:t>
                            </w:r>
                            <w:r w:rsidR="00A12FE2" w:rsidRPr="00A12FE2">
                              <w:rPr>
                                <w:rFonts w:asciiTheme="majorHAnsi" w:hAnsiTheme="majorHAnsi"/>
                                <w:color w:val="595959" w:themeColor="text1" w:themeTint="A6"/>
                                <w:sz w:val="18"/>
                                <w:lang w:val="pt-BR"/>
                              </w:rPr>
                              <w:t>200</w:t>
                            </w:r>
                            <w:r w:rsidRPr="00A12FE2">
                              <w:rPr>
                                <w:rFonts w:asciiTheme="majorHAnsi" w:hAnsiTheme="majorHAnsi"/>
                                <w:color w:val="595959" w:themeColor="text1" w:themeTint="A6"/>
                                <w:sz w:val="18"/>
                                <w:lang w:val="pt-BR"/>
                              </w:rPr>
                              <w:t xml:space="preserve">/20, Caso 13.356. </w:t>
                            </w:r>
                            <w:r w:rsidRPr="00080366">
                              <w:rPr>
                                <w:rFonts w:asciiTheme="majorHAnsi" w:hAnsiTheme="majorHAnsi"/>
                                <w:color w:val="595959" w:themeColor="text1" w:themeTint="A6"/>
                                <w:sz w:val="18"/>
                                <w:lang w:val="es-UY"/>
                              </w:rPr>
                              <w:t xml:space="preserve">Admisibilidad y </w:t>
                            </w:r>
                            <w:r>
                              <w:rPr>
                                <w:rFonts w:asciiTheme="majorHAnsi" w:hAnsiTheme="majorHAnsi"/>
                                <w:color w:val="595959" w:themeColor="text1" w:themeTint="A6"/>
                                <w:sz w:val="18"/>
                                <w:lang w:val="es-UY"/>
                              </w:rPr>
                              <w:t>Fondo (</w:t>
                            </w:r>
                            <w:r w:rsidR="00362A89">
                              <w:rPr>
                                <w:rFonts w:asciiTheme="majorHAnsi" w:hAnsiTheme="majorHAnsi"/>
                                <w:color w:val="595959" w:themeColor="text1" w:themeTint="A6"/>
                                <w:sz w:val="18"/>
                                <w:lang w:val="es-UY"/>
                              </w:rPr>
                              <w:t>Publicación</w:t>
                            </w:r>
                            <w:r>
                              <w:rPr>
                                <w:rFonts w:asciiTheme="majorHAnsi" w:hAnsiTheme="majorHAnsi"/>
                                <w:color w:val="595959" w:themeColor="text1" w:themeTint="A6"/>
                                <w:sz w:val="18"/>
                                <w:lang w:val="es-UY"/>
                              </w:rPr>
                              <w:t>)</w:t>
                            </w:r>
                            <w:r w:rsidRPr="00080366">
                              <w:rPr>
                                <w:rFonts w:asciiTheme="majorHAnsi" w:hAnsiTheme="majorHAnsi"/>
                                <w:color w:val="595959" w:themeColor="text1" w:themeTint="A6"/>
                                <w:sz w:val="18"/>
                                <w:lang w:val="es-UY"/>
                              </w:rPr>
                              <w:t xml:space="preserve">. Nelson Iván Serrano Sáenz. Estados Unidos de América. </w:t>
                            </w:r>
                            <w:r w:rsidR="00A12FE2">
                              <w:rPr>
                                <w:rFonts w:asciiTheme="majorHAnsi" w:hAnsiTheme="majorHAnsi"/>
                                <w:color w:val="595959" w:themeColor="text1" w:themeTint="A6"/>
                                <w:sz w:val="18"/>
                                <w:lang w:val="es-UY"/>
                              </w:rPr>
                              <w:t>3 de agosto de 2020</w:t>
                            </w:r>
                            <w:r w:rsidRPr="00080366">
                              <w:rPr>
                                <w:rFonts w:asciiTheme="majorHAnsi" w:hAnsiTheme="majorHAnsi"/>
                                <w:color w:val="595959" w:themeColor="text1" w:themeTint="A6"/>
                                <w:sz w:val="18"/>
                                <w:lang w:val="es-UY"/>
                              </w:rPr>
                              <w:t>.</w:t>
                            </w:r>
                          </w:p>
                          <w:p w14:paraId="76C700CA" w14:textId="77777777" w:rsidR="00A12FE2" w:rsidRPr="00080366" w:rsidRDefault="00A12FE2" w:rsidP="00F644E6">
                            <w:pPr>
                              <w:spacing w:line="276" w:lineRule="auto"/>
                              <w:rPr>
                                <w:rFonts w:asciiTheme="majorHAnsi" w:hAnsiTheme="majorHAnsi"/>
                                <w:color w:val="595959" w:themeColor="text1" w:themeTint="A6"/>
                                <w:sz w:val="18"/>
                                <w:lang w:val="es-UY"/>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39CE2"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348BBC99" w14:textId="77777777" w:rsidR="00D9585D" w:rsidRDefault="00D9585D" w:rsidP="00F644E6">
                      <w:pPr>
                        <w:spacing w:line="276" w:lineRule="auto"/>
                        <w:rPr>
                          <w:rFonts w:asciiTheme="majorHAnsi" w:hAnsiTheme="majorHAnsi"/>
                          <w:b/>
                          <w:color w:val="595959" w:themeColor="text1" w:themeTint="A6"/>
                          <w:sz w:val="18"/>
                          <w:lang w:val="pt-BR"/>
                        </w:rPr>
                      </w:pPr>
                    </w:p>
                    <w:p w14:paraId="6FCF178A" w14:textId="77777777" w:rsidR="00D9585D" w:rsidRDefault="00D9585D" w:rsidP="00F644E6">
                      <w:pPr>
                        <w:spacing w:line="276" w:lineRule="auto"/>
                        <w:rPr>
                          <w:rFonts w:asciiTheme="majorHAnsi" w:hAnsiTheme="majorHAnsi"/>
                          <w:color w:val="595959" w:themeColor="text1" w:themeTint="A6"/>
                          <w:sz w:val="18"/>
                          <w:lang w:val="es-UY"/>
                        </w:rPr>
                      </w:pPr>
                      <w:r w:rsidRPr="009F6E68">
                        <w:rPr>
                          <w:rFonts w:asciiTheme="majorHAnsi" w:hAnsiTheme="majorHAnsi"/>
                          <w:b/>
                          <w:color w:val="595959" w:themeColor="text1" w:themeTint="A6"/>
                          <w:sz w:val="18"/>
                          <w:lang w:val="pt-BR"/>
                        </w:rPr>
                        <w:t xml:space="preserve">Citar como </w:t>
                      </w:r>
                      <w:r w:rsidRPr="009F6E68">
                        <w:rPr>
                          <w:rFonts w:asciiTheme="majorHAnsi" w:hAnsiTheme="majorHAnsi"/>
                          <w:color w:val="595959" w:themeColor="text1" w:themeTint="A6"/>
                          <w:sz w:val="18"/>
                          <w:lang w:val="pt-BR"/>
                        </w:rPr>
                        <w:t xml:space="preserve">CIDH, Informe No. </w:t>
                      </w:r>
                      <w:r w:rsidR="00A12FE2" w:rsidRPr="00A12FE2">
                        <w:rPr>
                          <w:rFonts w:asciiTheme="majorHAnsi" w:hAnsiTheme="majorHAnsi"/>
                          <w:color w:val="595959" w:themeColor="text1" w:themeTint="A6"/>
                          <w:sz w:val="18"/>
                          <w:lang w:val="pt-BR"/>
                        </w:rPr>
                        <w:t>200</w:t>
                      </w:r>
                      <w:r w:rsidRPr="00A12FE2">
                        <w:rPr>
                          <w:rFonts w:asciiTheme="majorHAnsi" w:hAnsiTheme="majorHAnsi"/>
                          <w:color w:val="595959" w:themeColor="text1" w:themeTint="A6"/>
                          <w:sz w:val="18"/>
                          <w:lang w:val="pt-BR"/>
                        </w:rPr>
                        <w:t xml:space="preserve">/20, Caso 13.356. </w:t>
                      </w:r>
                      <w:r w:rsidRPr="00080366">
                        <w:rPr>
                          <w:rFonts w:asciiTheme="majorHAnsi" w:hAnsiTheme="majorHAnsi"/>
                          <w:color w:val="595959" w:themeColor="text1" w:themeTint="A6"/>
                          <w:sz w:val="18"/>
                          <w:lang w:val="es-UY"/>
                        </w:rPr>
                        <w:t xml:space="preserve">Admisibilidad y </w:t>
                      </w:r>
                      <w:r>
                        <w:rPr>
                          <w:rFonts w:asciiTheme="majorHAnsi" w:hAnsiTheme="majorHAnsi"/>
                          <w:color w:val="595959" w:themeColor="text1" w:themeTint="A6"/>
                          <w:sz w:val="18"/>
                          <w:lang w:val="es-UY"/>
                        </w:rPr>
                        <w:t>Fondo (</w:t>
                      </w:r>
                      <w:r w:rsidR="00362A89">
                        <w:rPr>
                          <w:rFonts w:asciiTheme="majorHAnsi" w:hAnsiTheme="majorHAnsi"/>
                          <w:color w:val="595959" w:themeColor="text1" w:themeTint="A6"/>
                          <w:sz w:val="18"/>
                          <w:lang w:val="es-UY"/>
                        </w:rPr>
                        <w:t>Publicación</w:t>
                      </w:r>
                      <w:r>
                        <w:rPr>
                          <w:rFonts w:asciiTheme="majorHAnsi" w:hAnsiTheme="majorHAnsi"/>
                          <w:color w:val="595959" w:themeColor="text1" w:themeTint="A6"/>
                          <w:sz w:val="18"/>
                          <w:lang w:val="es-UY"/>
                        </w:rPr>
                        <w:t>)</w:t>
                      </w:r>
                      <w:r w:rsidRPr="00080366">
                        <w:rPr>
                          <w:rFonts w:asciiTheme="majorHAnsi" w:hAnsiTheme="majorHAnsi"/>
                          <w:color w:val="595959" w:themeColor="text1" w:themeTint="A6"/>
                          <w:sz w:val="18"/>
                          <w:lang w:val="es-UY"/>
                        </w:rPr>
                        <w:t xml:space="preserve">. Nelson Iván Serrano Sáenz. Estados Unidos de América. </w:t>
                      </w:r>
                      <w:r w:rsidR="00A12FE2">
                        <w:rPr>
                          <w:rFonts w:asciiTheme="majorHAnsi" w:hAnsiTheme="majorHAnsi"/>
                          <w:color w:val="595959" w:themeColor="text1" w:themeTint="A6"/>
                          <w:sz w:val="18"/>
                          <w:lang w:val="es-UY"/>
                        </w:rPr>
                        <w:t>3 de agosto de 2020</w:t>
                      </w:r>
                      <w:r w:rsidRPr="00080366">
                        <w:rPr>
                          <w:rFonts w:asciiTheme="majorHAnsi" w:hAnsiTheme="majorHAnsi"/>
                          <w:color w:val="595959" w:themeColor="text1" w:themeTint="A6"/>
                          <w:sz w:val="18"/>
                          <w:lang w:val="es-UY"/>
                        </w:rPr>
                        <w:t>.</w:t>
                      </w:r>
                    </w:p>
                    <w:p w14:paraId="76C700CA" w14:textId="77777777" w:rsidR="00A12FE2" w:rsidRPr="00080366" w:rsidRDefault="00A12FE2" w:rsidP="00F644E6">
                      <w:pPr>
                        <w:spacing w:line="276" w:lineRule="auto"/>
                        <w:rPr>
                          <w:rFonts w:asciiTheme="majorHAnsi" w:hAnsiTheme="majorHAnsi"/>
                          <w:color w:val="595959" w:themeColor="text1" w:themeTint="A6"/>
                          <w:sz w:val="18"/>
                          <w:lang w:val="es-UY"/>
                        </w:rPr>
                      </w:pPr>
                    </w:p>
                  </w:txbxContent>
                </v:textbox>
              </v:shape>
            </w:pict>
          </mc:Fallback>
        </mc:AlternateContent>
      </w:r>
    </w:p>
    <w:p w14:paraId="22F33CA8" w14:textId="77777777" w:rsidR="002C1641" w:rsidRPr="00D8219A" w:rsidRDefault="002C1641" w:rsidP="00040C3A">
      <w:pPr>
        <w:tabs>
          <w:tab w:val="center" w:pos="5400"/>
        </w:tabs>
        <w:suppressAutoHyphens/>
        <w:jc w:val="center"/>
        <w:rPr>
          <w:rFonts w:asciiTheme="majorHAnsi" w:hAnsiTheme="majorHAnsi"/>
          <w:sz w:val="18"/>
          <w:szCs w:val="22"/>
          <w:lang w:val="es-ES_tradnl"/>
        </w:rPr>
      </w:pPr>
    </w:p>
    <w:p w14:paraId="686ACB60" w14:textId="77777777" w:rsidR="002C1641" w:rsidRPr="00D8219A" w:rsidRDefault="002C1641" w:rsidP="00040C3A">
      <w:pPr>
        <w:tabs>
          <w:tab w:val="center" w:pos="5400"/>
        </w:tabs>
        <w:suppressAutoHyphens/>
        <w:jc w:val="center"/>
        <w:rPr>
          <w:rFonts w:asciiTheme="majorHAnsi" w:hAnsiTheme="majorHAnsi"/>
          <w:sz w:val="18"/>
          <w:szCs w:val="22"/>
          <w:lang w:val="es-ES_tradnl"/>
        </w:rPr>
      </w:pPr>
    </w:p>
    <w:p w14:paraId="6409139D" w14:textId="77777777" w:rsidR="003C32BC" w:rsidRPr="00D8219A" w:rsidRDefault="003C32BC" w:rsidP="003C32BC">
      <w:pPr>
        <w:tabs>
          <w:tab w:val="center" w:pos="5400"/>
        </w:tabs>
        <w:suppressAutoHyphens/>
        <w:jc w:val="center"/>
        <w:rPr>
          <w:rFonts w:asciiTheme="majorHAnsi" w:hAnsiTheme="majorHAnsi"/>
          <w:sz w:val="18"/>
          <w:szCs w:val="22"/>
        </w:rPr>
      </w:pPr>
    </w:p>
    <w:p w14:paraId="4B4263E6" w14:textId="77777777" w:rsidR="003C32BC" w:rsidRPr="00D8219A" w:rsidRDefault="006311DA" w:rsidP="003C32BC">
      <w:pPr>
        <w:tabs>
          <w:tab w:val="center" w:pos="5400"/>
        </w:tabs>
        <w:suppressAutoHyphens/>
        <w:jc w:val="center"/>
        <w:rPr>
          <w:rFonts w:asciiTheme="majorHAnsi" w:hAnsiTheme="majorHAnsi"/>
          <w:sz w:val="18"/>
          <w:szCs w:val="22"/>
        </w:rPr>
      </w:pPr>
      <w:r w:rsidRPr="00D8219A">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779A0253" wp14:editId="6A581AB1">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D117CF" w14:textId="77777777" w:rsidR="00D9585D" w:rsidRPr="004B7EB6" w:rsidRDefault="00D9585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A0253"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13D117CF" w14:textId="77777777" w:rsidR="00D9585D" w:rsidRPr="004B7EB6" w:rsidRDefault="00D9585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D8219A">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104F1E9" wp14:editId="45C149E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759F1" w14:textId="77777777" w:rsidR="00D9585D" w:rsidRDefault="00D9585D">
                            <w:r>
                              <w:rPr>
                                <w:noProof/>
                              </w:rPr>
                              <w:drawing>
                                <wp:inline distT="0" distB="0" distL="0" distR="0" wp14:anchorId="41DCE215" wp14:editId="51DA20E3">
                                  <wp:extent cx="150812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812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4F1E9"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114759F1" w14:textId="77777777" w:rsidR="00D9585D" w:rsidRDefault="00D9585D">
                      <w:r>
                        <w:rPr>
                          <w:noProof/>
                        </w:rPr>
                        <w:drawing>
                          <wp:inline distT="0" distB="0" distL="0" distR="0" wp14:anchorId="41DCE215" wp14:editId="51DA20E3">
                            <wp:extent cx="150812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8125" cy="387985"/>
                                    </a:xfrm>
                                    <a:prstGeom prst="rect">
                                      <a:avLst/>
                                    </a:prstGeom>
                                  </pic:spPr>
                                </pic:pic>
                              </a:graphicData>
                            </a:graphic>
                          </wp:inline>
                        </w:drawing>
                      </w:r>
                    </w:p>
                  </w:txbxContent>
                </v:textbox>
              </v:shape>
            </w:pict>
          </mc:Fallback>
        </mc:AlternateContent>
      </w:r>
    </w:p>
    <w:p w14:paraId="4CFF3DAE" w14:textId="77777777" w:rsidR="007607C4" w:rsidRPr="00D8219A" w:rsidRDefault="007607C4" w:rsidP="003C32BC">
      <w:pPr>
        <w:tabs>
          <w:tab w:val="center" w:pos="5400"/>
        </w:tabs>
        <w:suppressAutoHyphens/>
        <w:jc w:val="center"/>
        <w:rPr>
          <w:rFonts w:asciiTheme="majorHAnsi" w:hAnsiTheme="majorHAnsi"/>
          <w:sz w:val="18"/>
          <w:szCs w:val="22"/>
        </w:rPr>
        <w:sectPr w:rsidR="007607C4" w:rsidRPr="00D8219A"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76EE0EDB" w14:textId="77777777" w:rsidR="00FC3EB4" w:rsidRPr="00D8219A" w:rsidRDefault="00187D3F" w:rsidP="00FC3EB4">
      <w:pPr>
        <w:tabs>
          <w:tab w:val="center" w:pos="5400"/>
        </w:tabs>
        <w:suppressAutoHyphens/>
        <w:spacing w:line="276" w:lineRule="auto"/>
        <w:jc w:val="center"/>
        <w:rPr>
          <w:rFonts w:asciiTheme="majorHAnsi" w:hAnsiTheme="majorHAnsi"/>
          <w:b/>
          <w:szCs w:val="20"/>
        </w:rPr>
      </w:pPr>
      <w:r w:rsidRPr="00D8219A">
        <w:rPr>
          <w:rFonts w:asciiTheme="majorHAnsi" w:hAnsiTheme="majorHAnsi"/>
          <w:b/>
          <w:szCs w:val="20"/>
        </w:rPr>
        <w:lastRenderedPageBreak/>
        <w:t>ÍNDICE</w:t>
      </w:r>
    </w:p>
    <w:sdt>
      <w:sdtPr>
        <w:rPr>
          <w:rFonts w:ascii="Times New Roman" w:eastAsia="Arial Unicode MS" w:hAnsi="Times New Roman" w:cs="Times New Roman"/>
          <w:b w:val="0"/>
          <w:bCs w:val="0"/>
          <w:color w:val="auto"/>
          <w:sz w:val="20"/>
          <w:szCs w:val="20"/>
          <w:bdr w:val="nil"/>
          <w:lang w:eastAsia="en-US"/>
        </w:rPr>
        <w:id w:val="-1131082457"/>
        <w:docPartObj>
          <w:docPartGallery w:val="Table of Contents"/>
          <w:docPartUnique/>
        </w:docPartObj>
      </w:sdtPr>
      <w:sdtEndPr>
        <w:rPr>
          <w:noProof/>
        </w:rPr>
      </w:sdtEndPr>
      <w:sdtContent>
        <w:p w14:paraId="25BCCED0" w14:textId="77777777" w:rsidR="00BF4967" w:rsidRPr="00D8219A" w:rsidRDefault="00BF4967">
          <w:pPr>
            <w:pStyle w:val="TOCHeading"/>
            <w:rPr>
              <w:sz w:val="20"/>
              <w:szCs w:val="20"/>
            </w:rPr>
          </w:pPr>
        </w:p>
        <w:p w14:paraId="5756C0BA" w14:textId="4738708D" w:rsidR="007E39BF" w:rsidRDefault="00BF4967">
          <w:pPr>
            <w:pStyle w:val="TOC1"/>
            <w:rPr>
              <w:rFonts w:asciiTheme="minorHAnsi" w:eastAsiaTheme="minorEastAsia" w:hAnsiTheme="minorHAnsi" w:cstheme="minorBidi"/>
              <w:b w:val="0"/>
              <w:sz w:val="24"/>
              <w:szCs w:val="24"/>
              <w:bdr w:val="none" w:sz="0" w:space="0" w:color="auto"/>
              <w:lang w:val="es-US" w:eastAsia="zh-CN"/>
            </w:rPr>
          </w:pPr>
          <w:r w:rsidRPr="00B965E0">
            <w:fldChar w:fldCharType="begin"/>
          </w:r>
          <w:r w:rsidRPr="00B965E0">
            <w:instrText xml:space="preserve"> TOC \o "1-3" \h \z \u </w:instrText>
          </w:r>
          <w:r w:rsidRPr="00B965E0">
            <w:fldChar w:fldCharType="separate"/>
          </w:r>
          <w:hyperlink w:anchor="_Toc69212232" w:history="1">
            <w:r w:rsidR="007E39BF" w:rsidRPr="00A356DB">
              <w:rPr>
                <w:rStyle w:val="Hyperlink"/>
              </w:rPr>
              <w:t>I.</w:t>
            </w:r>
            <w:r w:rsidR="007E39BF">
              <w:rPr>
                <w:rFonts w:asciiTheme="minorHAnsi" w:eastAsiaTheme="minorEastAsia" w:hAnsiTheme="minorHAnsi" w:cstheme="minorBidi"/>
                <w:b w:val="0"/>
                <w:sz w:val="24"/>
                <w:szCs w:val="24"/>
                <w:bdr w:val="none" w:sz="0" w:space="0" w:color="auto"/>
                <w:lang w:val="es-US" w:eastAsia="zh-CN"/>
              </w:rPr>
              <w:tab/>
            </w:r>
            <w:r w:rsidR="007E39BF" w:rsidRPr="00A356DB">
              <w:rPr>
                <w:rStyle w:val="Hyperlink"/>
              </w:rPr>
              <w:t>RESUMEN</w:t>
            </w:r>
            <w:r w:rsidR="007E39BF">
              <w:rPr>
                <w:webHidden/>
              </w:rPr>
              <w:tab/>
            </w:r>
            <w:r w:rsidR="007E39BF">
              <w:rPr>
                <w:webHidden/>
              </w:rPr>
              <w:fldChar w:fldCharType="begin"/>
            </w:r>
            <w:r w:rsidR="007E39BF">
              <w:rPr>
                <w:webHidden/>
              </w:rPr>
              <w:instrText xml:space="preserve"> PAGEREF _Toc69212232 \h </w:instrText>
            </w:r>
            <w:r w:rsidR="007E39BF">
              <w:rPr>
                <w:webHidden/>
              </w:rPr>
            </w:r>
            <w:r w:rsidR="007E39BF">
              <w:rPr>
                <w:webHidden/>
              </w:rPr>
              <w:fldChar w:fldCharType="separate"/>
            </w:r>
            <w:r w:rsidR="00787DB7">
              <w:rPr>
                <w:webHidden/>
              </w:rPr>
              <w:t>1</w:t>
            </w:r>
            <w:r w:rsidR="007E39BF">
              <w:rPr>
                <w:webHidden/>
              </w:rPr>
              <w:fldChar w:fldCharType="end"/>
            </w:r>
          </w:hyperlink>
        </w:p>
        <w:p w14:paraId="362C7E21" w14:textId="166F5507" w:rsidR="007E39BF" w:rsidRDefault="00787DB7">
          <w:pPr>
            <w:pStyle w:val="TOC1"/>
            <w:rPr>
              <w:rFonts w:asciiTheme="minorHAnsi" w:eastAsiaTheme="minorEastAsia" w:hAnsiTheme="minorHAnsi" w:cstheme="minorBidi"/>
              <w:b w:val="0"/>
              <w:sz w:val="24"/>
              <w:szCs w:val="24"/>
              <w:bdr w:val="none" w:sz="0" w:space="0" w:color="auto"/>
              <w:lang w:val="es-US" w:eastAsia="zh-CN"/>
            </w:rPr>
          </w:pPr>
          <w:hyperlink w:anchor="_Toc69212233" w:history="1">
            <w:r w:rsidR="007E39BF" w:rsidRPr="00A356DB">
              <w:rPr>
                <w:rStyle w:val="Hyperlink"/>
              </w:rPr>
              <w:t>II.</w:t>
            </w:r>
            <w:r w:rsidR="007E39BF">
              <w:rPr>
                <w:rFonts w:asciiTheme="minorHAnsi" w:eastAsiaTheme="minorEastAsia" w:hAnsiTheme="minorHAnsi" w:cstheme="minorBidi"/>
                <w:b w:val="0"/>
                <w:sz w:val="24"/>
                <w:szCs w:val="24"/>
                <w:bdr w:val="none" w:sz="0" w:space="0" w:color="auto"/>
                <w:lang w:val="es-US" w:eastAsia="zh-CN"/>
              </w:rPr>
              <w:tab/>
            </w:r>
            <w:r w:rsidR="007E39BF" w:rsidRPr="00A356DB">
              <w:rPr>
                <w:rStyle w:val="Hyperlink"/>
              </w:rPr>
              <w:t>POSICIONES DE LAS PARTES</w:t>
            </w:r>
            <w:r w:rsidR="007E39BF">
              <w:rPr>
                <w:webHidden/>
              </w:rPr>
              <w:tab/>
            </w:r>
            <w:r w:rsidR="007E39BF">
              <w:rPr>
                <w:webHidden/>
              </w:rPr>
              <w:fldChar w:fldCharType="begin"/>
            </w:r>
            <w:r w:rsidR="007E39BF">
              <w:rPr>
                <w:webHidden/>
              </w:rPr>
              <w:instrText xml:space="preserve"> PAGEREF _Toc69212233 \h </w:instrText>
            </w:r>
            <w:r w:rsidR="007E39BF">
              <w:rPr>
                <w:webHidden/>
              </w:rPr>
            </w:r>
            <w:r w:rsidR="007E39BF">
              <w:rPr>
                <w:webHidden/>
              </w:rPr>
              <w:fldChar w:fldCharType="separate"/>
            </w:r>
            <w:r>
              <w:rPr>
                <w:webHidden/>
              </w:rPr>
              <w:t>1</w:t>
            </w:r>
            <w:r w:rsidR="007E39BF">
              <w:rPr>
                <w:webHidden/>
              </w:rPr>
              <w:fldChar w:fldCharType="end"/>
            </w:r>
          </w:hyperlink>
        </w:p>
        <w:p w14:paraId="63EF9AAB" w14:textId="346C2657" w:rsidR="007E39BF" w:rsidRDefault="00787DB7">
          <w:pPr>
            <w:pStyle w:val="TOC2"/>
            <w:rPr>
              <w:rFonts w:asciiTheme="minorHAnsi" w:eastAsiaTheme="minorEastAsia" w:hAnsiTheme="minorHAnsi" w:cstheme="minorBidi"/>
              <w:noProof/>
              <w:bdr w:val="none" w:sz="0" w:space="0" w:color="auto"/>
              <w:lang w:val="es-US" w:eastAsia="zh-CN"/>
            </w:rPr>
          </w:pPr>
          <w:hyperlink w:anchor="_Toc69212234" w:history="1">
            <w:r w:rsidR="007E39BF" w:rsidRPr="00A356DB">
              <w:rPr>
                <w:rStyle w:val="Hyperlink"/>
                <w:noProof/>
              </w:rPr>
              <w:t>A.</w:t>
            </w:r>
            <w:r w:rsidR="007E39BF">
              <w:rPr>
                <w:rFonts w:asciiTheme="minorHAnsi" w:eastAsiaTheme="minorEastAsia" w:hAnsiTheme="minorHAnsi" w:cstheme="minorBidi"/>
                <w:noProof/>
                <w:bdr w:val="none" w:sz="0" w:space="0" w:color="auto"/>
                <w:lang w:val="es-US" w:eastAsia="zh-CN"/>
              </w:rPr>
              <w:tab/>
            </w:r>
            <w:r w:rsidR="007E39BF" w:rsidRPr="00A356DB">
              <w:rPr>
                <w:rStyle w:val="Hyperlink"/>
                <w:noProof/>
              </w:rPr>
              <w:t>Peticionario</w:t>
            </w:r>
            <w:r w:rsidR="007E39BF">
              <w:rPr>
                <w:noProof/>
                <w:webHidden/>
              </w:rPr>
              <w:tab/>
            </w:r>
            <w:r w:rsidR="007E39BF">
              <w:rPr>
                <w:noProof/>
                <w:webHidden/>
              </w:rPr>
              <w:fldChar w:fldCharType="begin"/>
            </w:r>
            <w:r w:rsidR="007E39BF">
              <w:rPr>
                <w:noProof/>
                <w:webHidden/>
              </w:rPr>
              <w:instrText xml:space="preserve"> PAGEREF _Toc69212234 \h </w:instrText>
            </w:r>
            <w:r w:rsidR="007E39BF">
              <w:rPr>
                <w:noProof/>
                <w:webHidden/>
              </w:rPr>
            </w:r>
            <w:r w:rsidR="007E39BF">
              <w:rPr>
                <w:noProof/>
                <w:webHidden/>
              </w:rPr>
              <w:fldChar w:fldCharType="separate"/>
            </w:r>
            <w:r>
              <w:rPr>
                <w:noProof/>
                <w:webHidden/>
              </w:rPr>
              <w:t>1</w:t>
            </w:r>
            <w:r w:rsidR="007E39BF">
              <w:rPr>
                <w:noProof/>
                <w:webHidden/>
              </w:rPr>
              <w:fldChar w:fldCharType="end"/>
            </w:r>
          </w:hyperlink>
        </w:p>
        <w:p w14:paraId="7A0D746C" w14:textId="27740579" w:rsidR="007E39BF" w:rsidRDefault="00787DB7">
          <w:pPr>
            <w:pStyle w:val="TOC2"/>
            <w:rPr>
              <w:rFonts w:asciiTheme="minorHAnsi" w:eastAsiaTheme="minorEastAsia" w:hAnsiTheme="minorHAnsi" w:cstheme="minorBidi"/>
              <w:noProof/>
              <w:bdr w:val="none" w:sz="0" w:space="0" w:color="auto"/>
              <w:lang w:val="es-US" w:eastAsia="zh-CN"/>
            </w:rPr>
          </w:pPr>
          <w:hyperlink w:anchor="_Toc69212235" w:history="1">
            <w:r w:rsidR="007E39BF" w:rsidRPr="00A356DB">
              <w:rPr>
                <w:rStyle w:val="Hyperlink"/>
                <w:noProof/>
              </w:rPr>
              <w:t>B.</w:t>
            </w:r>
            <w:r w:rsidR="007E39BF">
              <w:rPr>
                <w:rFonts w:asciiTheme="minorHAnsi" w:eastAsiaTheme="minorEastAsia" w:hAnsiTheme="minorHAnsi" w:cstheme="minorBidi"/>
                <w:noProof/>
                <w:bdr w:val="none" w:sz="0" w:space="0" w:color="auto"/>
                <w:lang w:val="es-US" w:eastAsia="zh-CN"/>
              </w:rPr>
              <w:tab/>
            </w:r>
            <w:r w:rsidR="007E39BF" w:rsidRPr="00A356DB">
              <w:rPr>
                <w:rStyle w:val="Hyperlink"/>
                <w:noProof/>
              </w:rPr>
              <w:t>Estado</w:t>
            </w:r>
            <w:r w:rsidR="007E39BF">
              <w:rPr>
                <w:noProof/>
                <w:webHidden/>
              </w:rPr>
              <w:tab/>
            </w:r>
            <w:r w:rsidR="007E39BF">
              <w:rPr>
                <w:noProof/>
                <w:webHidden/>
              </w:rPr>
              <w:fldChar w:fldCharType="begin"/>
            </w:r>
            <w:r w:rsidR="007E39BF">
              <w:rPr>
                <w:noProof/>
                <w:webHidden/>
              </w:rPr>
              <w:instrText xml:space="preserve"> PAGEREF _Toc69212235 \h </w:instrText>
            </w:r>
            <w:r w:rsidR="007E39BF">
              <w:rPr>
                <w:noProof/>
                <w:webHidden/>
              </w:rPr>
            </w:r>
            <w:r w:rsidR="007E39BF">
              <w:rPr>
                <w:noProof/>
                <w:webHidden/>
              </w:rPr>
              <w:fldChar w:fldCharType="separate"/>
            </w:r>
            <w:r>
              <w:rPr>
                <w:noProof/>
                <w:webHidden/>
              </w:rPr>
              <w:t>2</w:t>
            </w:r>
            <w:r w:rsidR="007E39BF">
              <w:rPr>
                <w:noProof/>
                <w:webHidden/>
              </w:rPr>
              <w:fldChar w:fldCharType="end"/>
            </w:r>
          </w:hyperlink>
        </w:p>
        <w:p w14:paraId="71385F6C" w14:textId="6A9A29BD" w:rsidR="007E39BF" w:rsidRDefault="00787DB7">
          <w:pPr>
            <w:pStyle w:val="TOC1"/>
            <w:rPr>
              <w:rFonts w:asciiTheme="minorHAnsi" w:eastAsiaTheme="minorEastAsia" w:hAnsiTheme="minorHAnsi" w:cstheme="minorBidi"/>
              <w:b w:val="0"/>
              <w:sz w:val="24"/>
              <w:szCs w:val="24"/>
              <w:bdr w:val="none" w:sz="0" w:space="0" w:color="auto"/>
              <w:lang w:val="es-US" w:eastAsia="zh-CN"/>
            </w:rPr>
          </w:pPr>
          <w:hyperlink w:anchor="_Toc69212236" w:history="1">
            <w:r w:rsidR="007E39BF" w:rsidRPr="00A356DB">
              <w:rPr>
                <w:rStyle w:val="Hyperlink"/>
              </w:rPr>
              <w:t>III.</w:t>
            </w:r>
            <w:r w:rsidR="007E39BF">
              <w:rPr>
                <w:rFonts w:asciiTheme="minorHAnsi" w:eastAsiaTheme="minorEastAsia" w:hAnsiTheme="minorHAnsi" w:cstheme="minorBidi"/>
                <w:b w:val="0"/>
                <w:sz w:val="24"/>
                <w:szCs w:val="24"/>
                <w:bdr w:val="none" w:sz="0" w:space="0" w:color="auto"/>
                <w:lang w:val="es-US" w:eastAsia="zh-CN"/>
              </w:rPr>
              <w:tab/>
            </w:r>
            <w:r w:rsidR="007E39BF" w:rsidRPr="00A356DB">
              <w:rPr>
                <w:rStyle w:val="Hyperlink"/>
              </w:rPr>
              <w:t>ADMISIBILIDAD</w:t>
            </w:r>
            <w:r w:rsidR="007E39BF">
              <w:rPr>
                <w:webHidden/>
              </w:rPr>
              <w:tab/>
            </w:r>
            <w:r w:rsidR="007E39BF">
              <w:rPr>
                <w:webHidden/>
              </w:rPr>
              <w:fldChar w:fldCharType="begin"/>
            </w:r>
            <w:r w:rsidR="007E39BF">
              <w:rPr>
                <w:webHidden/>
              </w:rPr>
              <w:instrText xml:space="preserve"> PAGEREF _Toc69212236 \h </w:instrText>
            </w:r>
            <w:r w:rsidR="007E39BF">
              <w:rPr>
                <w:webHidden/>
              </w:rPr>
            </w:r>
            <w:r w:rsidR="007E39BF">
              <w:rPr>
                <w:webHidden/>
              </w:rPr>
              <w:fldChar w:fldCharType="separate"/>
            </w:r>
            <w:r>
              <w:rPr>
                <w:webHidden/>
              </w:rPr>
              <w:t>2</w:t>
            </w:r>
            <w:r w:rsidR="007E39BF">
              <w:rPr>
                <w:webHidden/>
              </w:rPr>
              <w:fldChar w:fldCharType="end"/>
            </w:r>
          </w:hyperlink>
        </w:p>
        <w:p w14:paraId="1AB1ACBF" w14:textId="316A7BF9" w:rsidR="007E39BF" w:rsidRDefault="00787DB7">
          <w:pPr>
            <w:pStyle w:val="TOC2"/>
            <w:rPr>
              <w:rFonts w:asciiTheme="minorHAnsi" w:eastAsiaTheme="minorEastAsia" w:hAnsiTheme="minorHAnsi" w:cstheme="minorBidi"/>
              <w:noProof/>
              <w:bdr w:val="none" w:sz="0" w:space="0" w:color="auto"/>
              <w:lang w:val="es-US" w:eastAsia="zh-CN"/>
            </w:rPr>
          </w:pPr>
          <w:hyperlink w:anchor="_Toc69212237" w:history="1">
            <w:r w:rsidR="007E39BF" w:rsidRPr="00A356DB">
              <w:rPr>
                <w:rStyle w:val="Hyperlink"/>
                <w:noProof/>
                <w:lang w:val="es-UY"/>
              </w:rPr>
              <w:t>A.</w:t>
            </w:r>
            <w:r w:rsidR="007E39BF">
              <w:rPr>
                <w:rFonts w:asciiTheme="minorHAnsi" w:eastAsiaTheme="minorEastAsia" w:hAnsiTheme="minorHAnsi" w:cstheme="minorBidi"/>
                <w:noProof/>
                <w:bdr w:val="none" w:sz="0" w:space="0" w:color="auto"/>
                <w:lang w:val="es-US" w:eastAsia="zh-CN"/>
              </w:rPr>
              <w:tab/>
            </w:r>
            <w:r w:rsidR="007E39BF" w:rsidRPr="00A356DB">
              <w:rPr>
                <w:rStyle w:val="Hyperlink"/>
                <w:noProof/>
                <w:lang w:val="es-UY"/>
              </w:rPr>
              <w:t xml:space="preserve">Competencia, duplicación de procedimientos y </w:t>
            </w:r>
            <w:r w:rsidR="007E39BF" w:rsidRPr="00A356DB">
              <w:rPr>
                <w:rStyle w:val="Hyperlink"/>
                <w:i/>
                <w:noProof/>
                <w:lang w:val="es-UY"/>
              </w:rPr>
              <w:t>res judicata</w:t>
            </w:r>
            <w:r w:rsidR="007E39BF" w:rsidRPr="00A356DB">
              <w:rPr>
                <w:rStyle w:val="Hyperlink"/>
                <w:noProof/>
                <w:lang w:val="es-UY"/>
              </w:rPr>
              <w:t xml:space="preserve"> internacional</w:t>
            </w:r>
            <w:r w:rsidR="007E39BF">
              <w:rPr>
                <w:noProof/>
                <w:webHidden/>
              </w:rPr>
              <w:tab/>
            </w:r>
            <w:r w:rsidR="007E39BF">
              <w:rPr>
                <w:noProof/>
                <w:webHidden/>
              </w:rPr>
              <w:fldChar w:fldCharType="begin"/>
            </w:r>
            <w:r w:rsidR="007E39BF">
              <w:rPr>
                <w:noProof/>
                <w:webHidden/>
              </w:rPr>
              <w:instrText xml:space="preserve"> PAGEREF _Toc69212237 \h </w:instrText>
            </w:r>
            <w:r w:rsidR="007E39BF">
              <w:rPr>
                <w:noProof/>
                <w:webHidden/>
              </w:rPr>
            </w:r>
            <w:r w:rsidR="007E39BF">
              <w:rPr>
                <w:noProof/>
                <w:webHidden/>
              </w:rPr>
              <w:fldChar w:fldCharType="separate"/>
            </w:r>
            <w:r>
              <w:rPr>
                <w:noProof/>
                <w:webHidden/>
              </w:rPr>
              <w:t>2</w:t>
            </w:r>
            <w:r w:rsidR="007E39BF">
              <w:rPr>
                <w:noProof/>
                <w:webHidden/>
              </w:rPr>
              <w:fldChar w:fldCharType="end"/>
            </w:r>
          </w:hyperlink>
        </w:p>
        <w:p w14:paraId="2D3CCE44" w14:textId="1B3F3E12" w:rsidR="007E39BF" w:rsidRDefault="00787DB7">
          <w:pPr>
            <w:pStyle w:val="TOC2"/>
            <w:rPr>
              <w:rFonts w:asciiTheme="minorHAnsi" w:eastAsiaTheme="minorEastAsia" w:hAnsiTheme="minorHAnsi" w:cstheme="minorBidi"/>
              <w:noProof/>
              <w:bdr w:val="none" w:sz="0" w:space="0" w:color="auto"/>
              <w:lang w:val="es-US" w:eastAsia="zh-CN"/>
            </w:rPr>
          </w:pPr>
          <w:hyperlink w:anchor="_Toc69212238" w:history="1">
            <w:r w:rsidR="007E39BF" w:rsidRPr="00A356DB">
              <w:rPr>
                <w:rStyle w:val="Hyperlink"/>
                <w:noProof/>
                <w:lang w:val="es-UY"/>
              </w:rPr>
              <w:t>B.</w:t>
            </w:r>
            <w:r w:rsidR="007E39BF">
              <w:rPr>
                <w:rFonts w:asciiTheme="minorHAnsi" w:eastAsiaTheme="minorEastAsia" w:hAnsiTheme="minorHAnsi" w:cstheme="minorBidi"/>
                <w:noProof/>
                <w:bdr w:val="none" w:sz="0" w:space="0" w:color="auto"/>
                <w:lang w:val="es-US" w:eastAsia="zh-CN"/>
              </w:rPr>
              <w:tab/>
            </w:r>
            <w:r w:rsidR="007E39BF" w:rsidRPr="00A356DB">
              <w:rPr>
                <w:rStyle w:val="Hyperlink"/>
                <w:noProof/>
                <w:lang w:val="es-UY"/>
              </w:rPr>
              <w:t>Agotamiento de recursos internos y plazo de presentación</w:t>
            </w:r>
            <w:r w:rsidR="007E39BF">
              <w:rPr>
                <w:noProof/>
                <w:webHidden/>
              </w:rPr>
              <w:tab/>
            </w:r>
            <w:r w:rsidR="007E39BF">
              <w:rPr>
                <w:noProof/>
                <w:webHidden/>
              </w:rPr>
              <w:fldChar w:fldCharType="begin"/>
            </w:r>
            <w:r w:rsidR="007E39BF">
              <w:rPr>
                <w:noProof/>
                <w:webHidden/>
              </w:rPr>
              <w:instrText xml:space="preserve"> PAGEREF _Toc69212238 \h </w:instrText>
            </w:r>
            <w:r w:rsidR="007E39BF">
              <w:rPr>
                <w:noProof/>
                <w:webHidden/>
              </w:rPr>
            </w:r>
            <w:r w:rsidR="007E39BF">
              <w:rPr>
                <w:noProof/>
                <w:webHidden/>
              </w:rPr>
              <w:fldChar w:fldCharType="separate"/>
            </w:r>
            <w:r>
              <w:rPr>
                <w:noProof/>
                <w:webHidden/>
              </w:rPr>
              <w:t>3</w:t>
            </w:r>
            <w:r w:rsidR="007E39BF">
              <w:rPr>
                <w:noProof/>
                <w:webHidden/>
              </w:rPr>
              <w:fldChar w:fldCharType="end"/>
            </w:r>
          </w:hyperlink>
        </w:p>
        <w:p w14:paraId="10C1C6FF" w14:textId="12A6EB10" w:rsidR="007E39BF" w:rsidRDefault="00787DB7">
          <w:pPr>
            <w:pStyle w:val="TOC2"/>
            <w:rPr>
              <w:rFonts w:asciiTheme="minorHAnsi" w:eastAsiaTheme="minorEastAsia" w:hAnsiTheme="minorHAnsi" w:cstheme="minorBidi"/>
              <w:noProof/>
              <w:bdr w:val="none" w:sz="0" w:space="0" w:color="auto"/>
              <w:lang w:val="es-US" w:eastAsia="zh-CN"/>
            </w:rPr>
          </w:pPr>
          <w:hyperlink w:anchor="_Toc69212239" w:history="1">
            <w:r w:rsidR="007E39BF" w:rsidRPr="00A356DB">
              <w:rPr>
                <w:rStyle w:val="Hyperlink"/>
                <w:noProof/>
              </w:rPr>
              <w:t>C.</w:t>
            </w:r>
            <w:r w:rsidR="007E39BF">
              <w:rPr>
                <w:rFonts w:asciiTheme="minorHAnsi" w:eastAsiaTheme="minorEastAsia" w:hAnsiTheme="minorHAnsi" w:cstheme="minorBidi"/>
                <w:noProof/>
                <w:bdr w:val="none" w:sz="0" w:space="0" w:color="auto"/>
                <w:lang w:val="es-US" w:eastAsia="zh-CN"/>
              </w:rPr>
              <w:tab/>
            </w:r>
            <w:r w:rsidR="007E39BF" w:rsidRPr="00A356DB">
              <w:rPr>
                <w:rStyle w:val="Hyperlink"/>
                <w:noProof/>
              </w:rPr>
              <w:t>Caracterización</w:t>
            </w:r>
            <w:r w:rsidR="007E39BF">
              <w:rPr>
                <w:noProof/>
                <w:webHidden/>
              </w:rPr>
              <w:tab/>
            </w:r>
            <w:r w:rsidR="007E39BF">
              <w:rPr>
                <w:noProof/>
                <w:webHidden/>
              </w:rPr>
              <w:fldChar w:fldCharType="begin"/>
            </w:r>
            <w:r w:rsidR="007E39BF">
              <w:rPr>
                <w:noProof/>
                <w:webHidden/>
              </w:rPr>
              <w:instrText xml:space="preserve"> PAGEREF _Toc69212239 \h </w:instrText>
            </w:r>
            <w:r w:rsidR="007E39BF">
              <w:rPr>
                <w:noProof/>
                <w:webHidden/>
              </w:rPr>
            </w:r>
            <w:r w:rsidR="007E39BF">
              <w:rPr>
                <w:noProof/>
                <w:webHidden/>
              </w:rPr>
              <w:fldChar w:fldCharType="separate"/>
            </w:r>
            <w:r>
              <w:rPr>
                <w:noProof/>
                <w:webHidden/>
              </w:rPr>
              <w:t>4</w:t>
            </w:r>
            <w:r w:rsidR="007E39BF">
              <w:rPr>
                <w:noProof/>
                <w:webHidden/>
              </w:rPr>
              <w:fldChar w:fldCharType="end"/>
            </w:r>
          </w:hyperlink>
        </w:p>
        <w:p w14:paraId="74FBD244" w14:textId="66BCF3AD" w:rsidR="007E39BF" w:rsidRDefault="00787DB7">
          <w:pPr>
            <w:pStyle w:val="TOC1"/>
            <w:rPr>
              <w:rFonts w:asciiTheme="minorHAnsi" w:eastAsiaTheme="minorEastAsia" w:hAnsiTheme="minorHAnsi" w:cstheme="minorBidi"/>
              <w:b w:val="0"/>
              <w:sz w:val="24"/>
              <w:szCs w:val="24"/>
              <w:bdr w:val="none" w:sz="0" w:space="0" w:color="auto"/>
              <w:lang w:val="es-US" w:eastAsia="zh-CN"/>
            </w:rPr>
          </w:pPr>
          <w:hyperlink w:anchor="_Toc69212240" w:history="1">
            <w:r w:rsidR="007E39BF" w:rsidRPr="00A356DB">
              <w:rPr>
                <w:rStyle w:val="Hyperlink"/>
              </w:rPr>
              <w:t>IV.</w:t>
            </w:r>
            <w:r w:rsidR="007E39BF">
              <w:rPr>
                <w:rFonts w:asciiTheme="minorHAnsi" w:eastAsiaTheme="minorEastAsia" w:hAnsiTheme="minorHAnsi" w:cstheme="minorBidi"/>
                <w:b w:val="0"/>
                <w:sz w:val="24"/>
                <w:szCs w:val="24"/>
                <w:bdr w:val="none" w:sz="0" w:space="0" w:color="auto"/>
                <w:lang w:val="es-US" w:eastAsia="zh-CN"/>
              </w:rPr>
              <w:tab/>
            </w:r>
            <w:r w:rsidR="007E39BF" w:rsidRPr="00A356DB">
              <w:rPr>
                <w:rStyle w:val="Hyperlink"/>
              </w:rPr>
              <w:t>DETERMINACIONES DE HECHO</w:t>
            </w:r>
            <w:r w:rsidR="007E39BF">
              <w:rPr>
                <w:webHidden/>
              </w:rPr>
              <w:tab/>
            </w:r>
            <w:r w:rsidR="007E39BF">
              <w:rPr>
                <w:webHidden/>
              </w:rPr>
              <w:fldChar w:fldCharType="begin"/>
            </w:r>
            <w:r w:rsidR="007E39BF">
              <w:rPr>
                <w:webHidden/>
              </w:rPr>
              <w:instrText xml:space="preserve"> PAGEREF _Toc69212240 \h </w:instrText>
            </w:r>
            <w:r w:rsidR="007E39BF">
              <w:rPr>
                <w:webHidden/>
              </w:rPr>
            </w:r>
            <w:r w:rsidR="007E39BF">
              <w:rPr>
                <w:webHidden/>
              </w:rPr>
              <w:fldChar w:fldCharType="separate"/>
            </w:r>
            <w:r>
              <w:rPr>
                <w:webHidden/>
              </w:rPr>
              <w:t>4</w:t>
            </w:r>
            <w:r w:rsidR="007E39BF">
              <w:rPr>
                <w:webHidden/>
              </w:rPr>
              <w:fldChar w:fldCharType="end"/>
            </w:r>
          </w:hyperlink>
        </w:p>
        <w:p w14:paraId="7BBE6C4B" w14:textId="347C1B68" w:rsidR="007E39BF" w:rsidRDefault="00787DB7">
          <w:pPr>
            <w:pStyle w:val="TOC2"/>
            <w:rPr>
              <w:rFonts w:asciiTheme="minorHAnsi" w:eastAsiaTheme="minorEastAsia" w:hAnsiTheme="minorHAnsi" w:cstheme="minorBidi"/>
              <w:noProof/>
              <w:bdr w:val="none" w:sz="0" w:space="0" w:color="auto"/>
              <w:lang w:val="es-US" w:eastAsia="zh-CN"/>
            </w:rPr>
          </w:pPr>
          <w:hyperlink w:anchor="_Toc69212241" w:history="1">
            <w:r w:rsidR="007E39BF" w:rsidRPr="00A356DB">
              <w:rPr>
                <w:rStyle w:val="Hyperlink"/>
                <w:noProof/>
              </w:rPr>
              <w:t>A.</w:t>
            </w:r>
            <w:r w:rsidR="007E39BF">
              <w:rPr>
                <w:rFonts w:asciiTheme="minorHAnsi" w:eastAsiaTheme="minorEastAsia" w:hAnsiTheme="minorHAnsi" w:cstheme="minorBidi"/>
                <w:noProof/>
                <w:bdr w:val="none" w:sz="0" w:space="0" w:color="auto"/>
                <w:lang w:val="es-US" w:eastAsia="zh-CN"/>
              </w:rPr>
              <w:tab/>
            </w:r>
            <w:r w:rsidR="007E39BF" w:rsidRPr="00A356DB">
              <w:rPr>
                <w:rStyle w:val="Hyperlink"/>
                <w:noProof/>
              </w:rPr>
              <w:t>Antecedentes</w:t>
            </w:r>
            <w:r w:rsidR="007E39BF">
              <w:rPr>
                <w:noProof/>
                <w:webHidden/>
              </w:rPr>
              <w:tab/>
            </w:r>
            <w:r w:rsidR="007E39BF">
              <w:rPr>
                <w:noProof/>
                <w:webHidden/>
              </w:rPr>
              <w:fldChar w:fldCharType="begin"/>
            </w:r>
            <w:r w:rsidR="007E39BF">
              <w:rPr>
                <w:noProof/>
                <w:webHidden/>
              </w:rPr>
              <w:instrText xml:space="preserve"> PAGEREF _Toc69212241 \h </w:instrText>
            </w:r>
            <w:r w:rsidR="007E39BF">
              <w:rPr>
                <w:noProof/>
                <w:webHidden/>
              </w:rPr>
            </w:r>
            <w:r w:rsidR="007E39BF">
              <w:rPr>
                <w:noProof/>
                <w:webHidden/>
              </w:rPr>
              <w:fldChar w:fldCharType="separate"/>
            </w:r>
            <w:r>
              <w:rPr>
                <w:noProof/>
                <w:webHidden/>
              </w:rPr>
              <w:t>4</w:t>
            </w:r>
            <w:r w:rsidR="007E39BF">
              <w:rPr>
                <w:noProof/>
                <w:webHidden/>
              </w:rPr>
              <w:fldChar w:fldCharType="end"/>
            </w:r>
          </w:hyperlink>
        </w:p>
        <w:p w14:paraId="534D612C" w14:textId="261139EC" w:rsidR="007E39BF" w:rsidRDefault="00787DB7">
          <w:pPr>
            <w:pStyle w:val="TOC2"/>
            <w:rPr>
              <w:rFonts w:asciiTheme="minorHAnsi" w:eastAsiaTheme="minorEastAsia" w:hAnsiTheme="minorHAnsi" w:cstheme="minorBidi"/>
              <w:noProof/>
              <w:bdr w:val="none" w:sz="0" w:space="0" w:color="auto"/>
              <w:lang w:val="es-US" w:eastAsia="zh-CN"/>
            </w:rPr>
          </w:pPr>
          <w:hyperlink w:anchor="_Toc69212242" w:history="1">
            <w:r w:rsidR="007E39BF" w:rsidRPr="00A356DB">
              <w:rPr>
                <w:rStyle w:val="Hyperlink"/>
                <w:noProof/>
              </w:rPr>
              <w:t xml:space="preserve">B. </w:t>
            </w:r>
            <w:r w:rsidR="007E39BF">
              <w:rPr>
                <w:rFonts w:asciiTheme="minorHAnsi" w:eastAsiaTheme="minorEastAsia" w:hAnsiTheme="minorHAnsi" w:cstheme="minorBidi"/>
                <w:noProof/>
                <w:bdr w:val="none" w:sz="0" w:space="0" w:color="auto"/>
                <w:lang w:val="es-US" w:eastAsia="zh-CN"/>
              </w:rPr>
              <w:tab/>
            </w:r>
            <w:r w:rsidR="007E39BF" w:rsidRPr="00A356DB">
              <w:rPr>
                <w:rStyle w:val="Hyperlink"/>
                <w:noProof/>
              </w:rPr>
              <w:t>Marco jurídico</w:t>
            </w:r>
            <w:r w:rsidR="007E39BF" w:rsidRPr="00A356DB">
              <w:rPr>
                <w:rStyle w:val="Hyperlink"/>
                <w:noProof/>
                <w:lang w:val="es-UY"/>
              </w:rPr>
              <w:t xml:space="preserve"> relevante</w:t>
            </w:r>
            <w:r w:rsidR="007E39BF">
              <w:rPr>
                <w:noProof/>
                <w:webHidden/>
              </w:rPr>
              <w:tab/>
            </w:r>
            <w:r w:rsidR="007E39BF">
              <w:rPr>
                <w:noProof/>
                <w:webHidden/>
              </w:rPr>
              <w:fldChar w:fldCharType="begin"/>
            </w:r>
            <w:r w:rsidR="007E39BF">
              <w:rPr>
                <w:noProof/>
                <w:webHidden/>
              </w:rPr>
              <w:instrText xml:space="preserve"> PAGEREF _Toc69212242 \h </w:instrText>
            </w:r>
            <w:r w:rsidR="007E39BF">
              <w:rPr>
                <w:noProof/>
                <w:webHidden/>
              </w:rPr>
            </w:r>
            <w:r w:rsidR="007E39BF">
              <w:rPr>
                <w:noProof/>
                <w:webHidden/>
              </w:rPr>
              <w:fldChar w:fldCharType="separate"/>
            </w:r>
            <w:r>
              <w:rPr>
                <w:noProof/>
                <w:webHidden/>
              </w:rPr>
              <w:t>5</w:t>
            </w:r>
            <w:r w:rsidR="007E39BF">
              <w:rPr>
                <w:noProof/>
                <w:webHidden/>
              </w:rPr>
              <w:fldChar w:fldCharType="end"/>
            </w:r>
          </w:hyperlink>
        </w:p>
        <w:p w14:paraId="5A95AC6D" w14:textId="3FC895FF" w:rsidR="007E39BF" w:rsidRDefault="00787DB7">
          <w:pPr>
            <w:pStyle w:val="TOC2"/>
            <w:rPr>
              <w:rFonts w:asciiTheme="minorHAnsi" w:eastAsiaTheme="minorEastAsia" w:hAnsiTheme="minorHAnsi" w:cstheme="minorBidi"/>
              <w:noProof/>
              <w:bdr w:val="none" w:sz="0" w:space="0" w:color="auto"/>
              <w:lang w:val="es-US" w:eastAsia="zh-CN"/>
            </w:rPr>
          </w:pPr>
          <w:hyperlink w:anchor="_Toc69212243" w:history="1">
            <w:r w:rsidR="007E39BF" w:rsidRPr="00A356DB">
              <w:rPr>
                <w:rStyle w:val="Hyperlink"/>
                <w:noProof/>
              </w:rPr>
              <w:t>C.</w:t>
            </w:r>
            <w:r w:rsidR="007E39BF">
              <w:rPr>
                <w:rFonts w:asciiTheme="minorHAnsi" w:eastAsiaTheme="minorEastAsia" w:hAnsiTheme="minorHAnsi" w:cstheme="minorBidi"/>
                <w:noProof/>
                <w:bdr w:val="none" w:sz="0" w:space="0" w:color="auto"/>
                <w:lang w:val="es-US" w:eastAsia="zh-CN"/>
              </w:rPr>
              <w:tab/>
            </w:r>
            <w:r w:rsidR="007E39BF" w:rsidRPr="00A356DB">
              <w:rPr>
                <w:rStyle w:val="Hyperlink"/>
                <w:noProof/>
              </w:rPr>
              <w:t>Hechos del caso</w:t>
            </w:r>
            <w:r w:rsidR="007E39BF">
              <w:rPr>
                <w:noProof/>
                <w:webHidden/>
              </w:rPr>
              <w:tab/>
            </w:r>
            <w:r w:rsidR="007E39BF">
              <w:rPr>
                <w:noProof/>
                <w:webHidden/>
              </w:rPr>
              <w:fldChar w:fldCharType="begin"/>
            </w:r>
            <w:r w:rsidR="007E39BF">
              <w:rPr>
                <w:noProof/>
                <w:webHidden/>
              </w:rPr>
              <w:instrText xml:space="preserve"> PAGEREF _Toc69212243 \h </w:instrText>
            </w:r>
            <w:r w:rsidR="007E39BF">
              <w:rPr>
                <w:noProof/>
                <w:webHidden/>
              </w:rPr>
            </w:r>
            <w:r w:rsidR="007E39BF">
              <w:rPr>
                <w:noProof/>
                <w:webHidden/>
              </w:rPr>
              <w:fldChar w:fldCharType="separate"/>
            </w:r>
            <w:r>
              <w:rPr>
                <w:noProof/>
                <w:webHidden/>
              </w:rPr>
              <w:t>5</w:t>
            </w:r>
            <w:r w:rsidR="007E39BF">
              <w:rPr>
                <w:noProof/>
                <w:webHidden/>
              </w:rPr>
              <w:fldChar w:fldCharType="end"/>
            </w:r>
          </w:hyperlink>
        </w:p>
        <w:p w14:paraId="3B04AA77" w14:textId="660B6CAE" w:rsidR="007E39BF" w:rsidRDefault="00787DB7">
          <w:pPr>
            <w:pStyle w:val="TOC2"/>
            <w:rPr>
              <w:rFonts w:asciiTheme="minorHAnsi" w:eastAsiaTheme="minorEastAsia" w:hAnsiTheme="minorHAnsi" w:cstheme="minorBidi"/>
              <w:noProof/>
              <w:bdr w:val="none" w:sz="0" w:space="0" w:color="auto"/>
              <w:lang w:val="es-US" w:eastAsia="zh-CN"/>
            </w:rPr>
          </w:pPr>
          <w:hyperlink w:anchor="_Toc69212244" w:history="1">
            <w:r w:rsidR="007E39BF" w:rsidRPr="00A356DB">
              <w:rPr>
                <w:rStyle w:val="Hyperlink"/>
                <w:noProof/>
                <w:lang w:val="es-UY"/>
              </w:rPr>
              <w:t>D.</w:t>
            </w:r>
            <w:r w:rsidR="007E39BF">
              <w:rPr>
                <w:rFonts w:asciiTheme="minorHAnsi" w:eastAsiaTheme="minorEastAsia" w:hAnsiTheme="minorHAnsi" w:cstheme="minorBidi"/>
                <w:noProof/>
                <w:bdr w:val="none" w:sz="0" w:space="0" w:color="auto"/>
                <w:lang w:val="es-US" w:eastAsia="zh-CN"/>
              </w:rPr>
              <w:tab/>
            </w:r>
            <w:r w:rsidR="007E39BF" w:rsidRPr="00A356DB">
              <w:rPr>
                <w:rStyle w:val="Hyperlink"/>
                <w:noProof/>
                <w:lang w:val="es-UY"/>
              </w:rPr>
              <w:t>Detención, juicio y sentencia de muerte impuesta al señor Serrano</w:t>
            </w:r>
            <w:r w:rsidR="007E39BF">
              <w:rPr>
                <w:noProof/>
                <w:webHidden/>
              </w:rPr>
              <w:tab/>
            </w:r>
            <w:r w:rsidR="007E39BF">
              <w:rPr>
                <w:noProof/>
                <w:webHidden/>
              </w:rPr>
              <w:fldChar w:fldCharType="begin"/>
            </w:r>
            <w:r w:rsidR="007E39BF">
              <w:rPr>
                <w:noProof/>
                <w:webHidden/>
              </w:rPr>
              <w:instrText xml:space="preserve"> PAGEREF _Toc69212244 \h </w:instrText>
            </w:r>
            <w:r w:rsidR="007E39BF">
              <w:rPr>
                <w:noProof/>
                <w:webHidden/>
              </w:rPr>
            </w:r>
            <w:r w:rsidR="007E39BF">
              <w:rPr>
                <w:noProof/>
                <w:webHidden/>
              </w:rPr>
              <w:fldChar w:fldCharType="separate"/>
            </w:r>
            <w:r>
              <w:rPr>
                <w:noProof/>
                <w:webHidden/>
              </w:rPr>
              <w:t>6</w:t>
            </w:r>
            <w:r w:rsidR="007E39BF">
              <w:rPr>
                <w:noProof/>
                <w:webHidden/>
              </w:rPr>
              <w:fldChar w:fldCharType="end"/>
            </w:r>
          </w:hyperlink>
        </w:p>
        <w:p w14:paraId="3D0C5B0B" w14:textId="6530BA0F" w:rsidR="007E39BF" w:rsidRDefault="00787DB7">
          <w:pPr>
            <w:pStyle w:val="TOC2"/>
            <w:rPr>
              <w:rFonts w:asciiTheme="minorHAnsi" w:eastAsiaTheme="minorEastAsia" w:hAnsiTheme="minorHAnsi" w:cstheme="minorBidi"/>
              <w:noProof/>
              <w:bdr w:val="none" w:sz="0" w:space="0" w:color="auto"/>
              <w:lang w:val="es-US" w:eastAsia="zh-CN"/>
            </w:rPr>
          </w:pPr>
          <w:hyperlink w:anchor="_Toc69212245" w:history="1">
            <w:r w:rsidR="007E39BF" w:rsidRPr="00A356DB">
              <w:rPr>
                <w:rStyle w:val="Hyperlink"/>
                <w:noProof/>
                <w:lang w:val="es-UY"/>
              </w:rPr>
              <w:t>E.</w:t>
            </w:r>
            <w:r w:rsidR="007E39BF">
              <w:rPr>
                <w:rFonts w:asciiTheme="minorHAnsi" w:eastAsiaTheme="minorEastAsia" w:hAnsiTheme="minorHAnsi" w:cstheme="minorBidi"/>
                <w:noProof/>
                <w:bdr w:val="none" w:sz="0" w:space="0" w:color="auto"/>
                <w:lang w:val="es-US" w:eastAsia="zh-CN"/>
              </w:rPr>
              <w:tab/>
            </w:r>
            <w:r w:rsidR="007E39BF" w:rsidRPr="00A356DB">
              <w:rPr>
                <w:rStyle w:val="Hyperlink"/>
                <w:noProof/>
                <w:lang w:val="es-UY"/>
              </w:rPr>
              <w:t>Procedimientos posteriores a la condena</w:t>
            </w:r>
            <w:r w:rsidR="007E39BF">
              <w:rPr>
                <w:noProof/>
                <w:webHidden/>
              </w:rPr>
              <w:tab/>
            </w:r>
            <w:r w:rsidR="007E39BF">
              <w:rPr>
                <w:noProof/>
                <w:webHidden/>
              </w:rPr>
              <w:fldChar w:fldCharType="begin"/>
            </w:r>
            <w:r w:rsidR="007E39BF">
              <w:rPr>
                <w:noProof/>
                <w:webHidden/>
              </w:rPr>
              <w:instrText xml:space="preserve"> PAGEREF _Toc69212245 \h </w:instrText>
            </w:r>
            <w:r w:rsidR="007E39BF">
              <w:rPr>
                <w:noProof/>
                <w:webHidden/>
              </w:rPr>
            </w:r>
            <w:r w:rsidR="007E39BF">
              <w:rPr>
                <w:noProof/>
                <w:webHidden/>
              </w:rPr>
              <w:fldChar w:fldCharType="separate"/>
            </w:r>
            <w:r>
              <w:rPr>
                <w:noProof/>
                <w:webHidden/>
              </w:rPr>
              <w:t>8</w:t>
            </w:r>
            <w:r w:rsidR="007E39BF">
              <w:rPr>
                <w:noProof/>
                <w:webHidden/>
              </w:rPr>
              <w:fldChar w:fldCharType="end"/>
            </w:r>
          </w:hyperlink>
        </w:p>
        <w:p w14:paraId="1E0D773C" w14:textId="63BADB11" w:rsidR="007E39BF" w:rsidRDefault="00787DB7">
          <w:pPr>
            <w:pStyle w:val="TOC2"/>
            <w:rPr>
              <w:rFonts w:asciiTheme="minorHAnsi" w:eastAsiaTheme="minorEastAsia" w:hAnsiTheme="minorHAnsi" w:cstheme="minorBidi"/>
              <w:noProof/>
              <w:bdr w:val="none" w:sz="0" w:space="0" w:color="auto"/>
              <w:lang w:val="es-US" w:eastAsia="zh-CN"/>
            </w:rPr>
          </w:pPr>
          <w:hyperlink w:anchor="_Toc69212246" w:history="1">
            <w:r w:rsidR="007E39BF" w:rsidRPr="00A356DB">
              <w:rPr>
                <w:rStyle w:val="Hyperlink"/>
                <w:noProof/>
              </w:rPr>
              <w:t>F.</w:t>
            </w:r>
            <w:r w:rsidR="007E39BF">
              <w:rPr>
                <w:rFonts w:asciiTheme="minorHAnsi" w:eastAsiaTheme="minorEastAsia" w:hAnsiTheme="minorHAnsi" w:cstheme="minorBidi"/>
                <w:noProof/>
                <w:bdr w:val="none" w:sz="0" w:space="0" w:color="auto"/>
                <w:lang w:val="es-US" w:eastAsia="zh-CN"/>
              </w:rPr>
              <w:tab/>
            </w:r>
            <w:r w:rsidR="007E39BF" w:rsidRPr="00A356DB">
              <w:rPr>
                <w:rStyle w:val="Hyperlink"/>
                <w:noProof/>
              </w:rPr>
              <w:t>Hurst v. Florida</w:t>
            </w:r>
            <w:r w:rsidR="007E39BF">
              <w:rPr>
                <w:noProof/>
                <w:webHidden/>
              </w:rPr>
              <w:tab/>
            </w:r>
            <w:r w:rsidR="007E39BF">
              <w:rPr>
                <w:noProof/>
                <w:webHidden/>
              </w:rPr>
              <w:fldChar w:fldCharType="begin"/>
            </w:r>
            <w:r w:rsidR="007E39BF">
              <w:rPr>
                <w:noProof/>
                <w:webHidden/>
              </w:rPr>
              <w:instrText xml:space="preserve"> PAGEREF _Toc69212246 \h </w:instrText>
            </w:r>
            <w:r w:rsidR="007E39BF">
              <w:rPr>
                <w:noProof/>
                <w:webHidden/>
              </w:rPr>
            </w:r>
            <w:r w:rsidR="007E39BF">
              <w:rPr>
                <w:noProof/>
                <w:webHidden/>
              </w:rPr>
              <w:fldChar w:fldCharType="separate"/>
            </w:r>
            <w:r>
              <w:rPr>
                <w:noProof/>
                <w:webHidden/>
              </w:rPr>
              <w:t>9</w:t>
            </w:r>
            <w:r w:rsidR="007E39BF">
              <w:rPr>
                <w:noProof/>
                <w:webHidden/>
              </w:rPr>
              <w:fldChar w:fldCharType="end"/>
            </w:r>
          </w:hyperlink>
        </w:p>
        <w:p w14:paraId="05A40228" w14:textId="5F6229CC" w:rsidR="007E39BF" w:rsidRDefault="00787DB7">
          <w:pPr>
            <w:pStyle w:val="TOC1"/>
            <w:rPr>
              <w:rFonts w:asciiTheme="minorHAnsi" w:eastAsiaTheme="minorEastAsia" w:hAnsiTheme="minorHAnsi" w:cstheme="minorBidi"/>
              <w:b w:val="0"/>
              <w:sz w:val="24"/>
              <w:szCs w:val="24"/>
              <w:bdr w:val="none" w:sz="0" w:space="0" w:color="auto"/>
              <w:lang w:val="es-US" w:eastAsia="zh-CN"/>
            </w:rPr>
          </w:pPr>
          <w:hyperlink w:anchor="_Toc69212247" w:history="1">
            <w:r w:rsidR="007E39BF" w:rsidRPr="00A356DB">
              <w:rPr>
                <w:rStyle w:val="Hyperlink"/>
              </w:rPr>
              <w:t>V.</w:t>
            </w:r>
            <w:r w:rsidR="007E39BF">
              <w:rPr>
                <w:rFonts w:asciiTheme="minorHAnsi" w:eastAsiaTheme="minorEastAsia" w:hAnsiTheme="minorHAnsi" w:cstheme="minorBidi"/>
                <w:b w:val="0"/>
                <w:sz w:val="24"/>
                <w:szCs w:val="24"/>
                <w:bdr w:val="none" w:sz="0" w:space="0" w:color="auto"/>
                <w:lang w:val="es-US" w:eastAsia="zh-CN"/>
              </w:rPr>
              <w:tab/>
            </w:r>
            <w:r w:rsidR="007E39BF" w:rsidRPr="00A356DB">
              <w:rPr>
                <w:rStyle w:val="Hyperlink"/>
              </w:rPr>
              <w:t>ANÁLISIS DE DERECHO</w:t>
            </w:r>
            <w:r w:rsidR="007E39BF">
              <w:rPr>
                <w:webHidden/>
              </w:rPr>
              <w:tab/>
            </w:r>
            <w:r w:rsidR="007E39BF">
              <w:rPr>
                <w:webHidden/>
              </w:rPr>
              <w:fldChar w:fldCharType="begin"/>
            </w:r>
            <w:r w:rsidR="007E39BF">
              <w:rPr>
                <w:webHidden/>
              </w:rPr>
              <w:instrText xml:space="preserve"> PAGEREF _Toc69212247 \h </w:instrText>
            </w:r>
            <w:r w:rsidR="007E39BF">
              <w:rPr>
                <w:webHidden/>
              </w:rPr>
            </w:r>
            <w:r w:rsidR="007E39BF">
              <w:rPr>
                <w:webHidden/>
              </w:rPr>
              <w:fldChar w:fldCharType="separate"/>
            </w:r>
            <w:r>
              <w:rPr>
                <w:webHidden/>
              </w:rPr>
              <w:t>9</w:t>
            </w:r>
            <w:r w:rsidR="007E39BF">
              <w:rPr>
                <w:webHidden/>
              </w:rPr>
              <w:fldChar w:fldCharType="end"/>
            </w:r>
          </w:hyperlink>
        </w:p>
        <w:p w14:paraId="7FF36556" w14:textId="5F80C854" w:rsidR="007E39BF" w:rsidRDefault="00787DB7">
          <w:pPr>
            <w:pStyle w:val="TOC2"/>
            <w:rPr>
              <w:rFonts w:asciiTheme="minorHAnsi" w:eastAsiaTheme="minorEastAsia" w:hAnsiTheme="minorHAnsi" w:cstheme="minorBidi"/>
              <w:noProof/>
              <w:bdr w:val="none" w:sz="0" w:space="0" w:color="auto"/>
              <w:lang w:val="es-US" w:eastAsia="zh-CN"/>
            </w:rPr>
          </w:pPr>
          <w:hyperlink w:anchor="_Toc69212248" w:history="1">
            <w:r w:rsidR="007E39BF" w:rsidRPr="00A356DB">
              <w:rPr>
                <w:rStyle w:val="Hyperlink"/>
                <w:noProof/>
              </w:rPr>
              <w:t>A.</w:t>
            </w:r>
            <w:r w:rsidR="007E39BF">
              <w:rPr>
                <w:rFonts w:asciiTheme="minorHAnsi" w:eastAsiaTheme="minorEastAsia" w:hAnsiTheme="minorHAnsi" w:cstheme="minorBidi"/>
                <w:noProof/>
                <w:bdr w:val="none" w:sz="0" w:space="0" w:color="auto"/>
                <w:lang w:val="es-US" w:eastAsia="zh-CN"/>
              </w:rPr>
              <w:tab/>
            </w:r>
            <w:r w:rsidR="007E39BF" w:rsidRPr="00A356DB">
              <w:rPr>
                <w:rStyle w:val="Hyperlink"/>
                <w:noProof/>
              </w:rPr>
              <w:t>Consideraciones preliminares</w:t>
            </w:r>
            <w:r w:rsidR="007E39BF">
              <w:rPr>
                <w:noProof/>
                <w:webHidden/>
              </w:rPr>
              <w:tab/>
            </w:r>
            <w:r w:rsidR="007E39BF">
              <w:rPr>
                <w:noProof/>
                <w:webHidden/>
              </w:rPr>
              <w:fldChar w:fldCharType="begin"/>
            </w:r>
            <w:r w:rsidR="007E39BF">
              <w:rPr>
                <w:noProof/>
                <w:webHidden/>
              </w:rPr>
              <w:instrText xml:space="preserve"> PAGEREF _Toc69212248 \h </w:instrText>
            </w:r>
            <w:r w:rsidR="007E39BF">
              <w:rPr>
                <w:noProof/>
                <w:webHidden/>
              </w:rPr>
            </w:r>
            <w:r w:rsidR="007E39BF">
              <w:rPr>
                <w:noProof/>
                <w:webHidden/>
              </w:rPr>
              <w:fldChar w:fldCharType="separate"/>
            </w:r>
            <w:r>
              <w:rPr>
                <w:noProof/>
                <w:webHidden/>
              </w:rPr>
              <w:t>10</w:t>
            </w:r>
            <w:r w:rsidR="007E39BF">
              <w:rPr>
                <w:noProof/>
                <w:webHidden/>
              </w:rPr>
              <w:fldChar w:fldCharType="end"/>
            </w:r>
          </w:hyperlink>
        </w:p>
        <w:p w14:paraId="378385E9" w14:textId="01A06E07" w:rsidR="007E39BF" w:rsidRDefault="00787DB7">
          <w:pPr>
            <w:pStyle w:val="TOC2"/>
            <w:rPr>
              <w:rFonts w:asciiTheme="minorHAnsi" w:eastAsiaTheme="minorEastAsia" w:hAnsiTheme="minorHAnsi" w:cstheme="minorBidi"/>
              <w:noProof/>
              <w:bdr w:val="none" w:sz="0" w:space="0" w:color="auto"/>
              <w:lang w:val="es-US" w:eastAsia="zh-CN"/>
            </w:rPr>
          </w:pPr>
          <w:hyperlink w:anchor="_Toc69212249" w:history="1">
            <w:r w:rsidR="007E39BF" w:rsidRPr="00A356DB">
              <w:rPr>
                <w:rStyle w:val="Hyperlink"/>
                <w:noProof/>
              </w:rPr>
              <w:t>B.</w:t>
            </w:r>
            <w:r w:rsidR="007E39BF">
              <w:rPr>
                <w:rFonts w:asciiTheme="minorHAnsi" w:eastAsiaTheme="minorEastAsia" w:hAnsiTheme="minorHAnsi" w:cstheme="minorBidi"/>
                <w:noProof/>
                <w:bdr w:val="none" w:sz="0" w:space="0" w:color="auto"/>
                <w:lang w:val="es-US" w:eastAsia="zh-CN"/>
              </w:rPr>
              <w:tab/>
            </w:r>
            <w:r w:rsidR="007E39BF" w:rsidRPr="00A356DB">
              <w:rPr>
                <w:rStyle w:val="Hyperlink"/>
                <w:noProof/>
              </w:rPr>
              <w:t>Responsabilidad internacional extraterritorial</w:t>
            </w:r>
            <w:r w:rsidR="007E39BF">
              <w:rPr>
                <w:noProof/>
                <w:webHidden/>
              </w:rPr>
              <w:tab/>
            </w:r>
            <w:r w:rsidR="007E39BF">
              <w:rPr>
                <w:noProof/>
                <w:webHidden/>
              </w:rPr>
              <w:fldChar w:fldCharType="begin"/>
            </w:r>
            <w:r w:rsidR="007E39BF">
              <w:rPr>
                <w:noProof/>
                <w:webHidden/>
              </w:rPr>
              <w:instrText xml:space="preserve"> PAGEREF _Toc69212249 \h </w:instrText>
            </w:r>
            <w:r w:rsidR="007E39BF">
              <w:rPr>
                <w:noProof/>
                <w:webHidden/>
              </w:rPr>
            </w:r>
            <w:r w:rsidR="007E39BF">
              <w:rPr>
                <w:noProof/>
                <w:webHidden/>
              </w:rPr>
              <w:fldChar w:fldCharType="separate"/>
            </w:r>
            <w:r>
              <w:rPr>
                <w:noProof/>
                <w:webHidden/>
              </w:rPr>
              <w:t>11</w:t>
            </w:r>
            <w:r w:rsidR="007E39BF">
              <w:rPr>
                <w:noProof/>
                <w:webHidden/>
              </w:rPr>
              <w:fldChar w:fldCharType="end"/>
            </w:r>
          </w:hyperlink>
        </w:p>
        <w:p w14:paraId="4BB50440" w14:textId="4414AB5A" w:rsidR="007E39BF" w:rsidRDefault="00787DB7">
          <w:pPr>
            <w:pStyle w:val="TOC2"/>
            <w:rPr>
              <w:rFonts w:asciiTheme="minorHAnsi" w:eastAsiaTheme="minorEastAsia" w:hAnsiTheme="minorHAnsi" w:cstheme="minorBidi"/>
              <w:noProof/>
              <w:bdr w:val="none" w:sz="0" w:space="0" w:color="auto"/>
              <w:lang w:val="es-US" w:eastAsia="zh-CN"/>
            </w:rPr>
          </w:pPr>
          <w:hyperlink w:anchor="_Toc69212250" w:history="1">
            <w:r w:rsidR="007E39BF" w:rsidRPr="00A356DB">
              <w:rPr>
                <w:rStyle w:val="Hyperlink"/>
                <w:noProof/>
                <w:lang w:val="es-UY"/>
              </w:rPr>
              <w:t>C.</w:t>
            </w:r>
            <w:r w:rsidR="007E39BF">
              <w:rPr>
                <w:rFonts w:asciiTheme="minorHAnsi" w:eastAsiaTheme="minorEastAsia" w:hAnsiTheme="minorHAnsi" w:cstheme="minorBidi"/>
                <w:noProof/>
                <w:bdr w:val="none" w:sz="0" w:space="0" w:color="auto"/>
                <w:lang w:val="es-US" w:eastAsia="zh-CN"/>
              </w:rPr>
              <w:tab/>
            </w:r>
            <w:r w:rsidR="007E39BF" w:rsidRPr="00A356DB">
              <w:rPr>
                <w:rStyle w:val="Hyperlink"/>
                <w:noProof/>
                <w:lang w:val="es-UY"/>
              </w:rPr>
              <w:t>Derecho de protección frente a un arresto arbitrario previsto en la Declaración Americana</w:t>
            </w:r>
            <w:r w:rsidR="007E39BF">
              <w:rPr>
                <w:noProof/>
                <w:webHidden/>
              </w:rPr>
              <w:tab/>
            </w:r>
            <w:r w:rsidR="007E39BF">
              <w:rPr>
                <w:noProof/>
                <w:webHidden/>
              </w:rPr>
              <w:fldChar w:fldCharType="begin"/>
            </w:r>
            <w:r w:rsidR="007E39BF">
              <w:rPr>
                <w:noProof/>
                <w:webHidden/>
              </w:rPr>
              <w:instrText xml:space="preserve"> PAGEREF _Toc69212250 \h </w:instrText>
            </w:r>
            <w:r w:rsidR="007E39BF">
              <w:rPr>
                <w:noProof/>
                <w:webHidden/>
              </w:rPr>
            </w:r>
            <w:r w:rsidR="007E39BF">
              <w:rPr>
                <w:noProof/>
                <w:webHidden/>
              </w:rPr>
              <w:fldChar w:fldCharType="separate"/>
            </w:r>
            <w:r>
              <w:rPr>
                <w:noProof/>
                <w:webHidden/>
              </w:rPr>
              <w:t>11</w:t>
            </w:r>
            <w:r w:rsidR="007E39BF">
              <w:rPr>
                <w:noProof/>
                <w:webHidden/>
              </w:rPr>
              <w:fldChar w:fldCharType="end"/>
            </w:r>
          </w:hyperlink>
        </w:p>
        <w:p w14:paraId="7A70E576" w14:textId="2713DD5F" w:rsidR="007E39BF" w:rsidRDefault="00787DB7">
          <w:pPr>
            <w:pStyle w:val="TOC2"/>
            <w:rPr>
              <w:rFonts w:asciiTheme="minorHAnsi" w:eastAsiaTheme="minorEastAsia" w:hAnsiTheme="minorHAnsi" w:cstheme="minorBidi"/>
              <w:noProof/>
              <w:bdr w:val="none" w:sz="0" w:space="0" w:color="auto"/>
              <w:lang w:val="es-US" w:eastAsia="zh-CN"/>
            </w:rPr>
          </w:pPr>
          <w:hyperlink w:anchor="_Toc69212251" w:history="1">
            <w:r w:rsidR="007E39BF" w:rsidRPr="00A356DB">
              <w:rPr>
                <w:rStyle w:val="Hyperlink"/>
                <w:noProof/>
                <w:lang w:val="es-UY"/>
              </w:rPr>
              <w:t>1.</w:t>
            </w:r>
            <w:r w:rsidR="007E39BF">
              <w:rPr>
                <w:rFonts w:asciiTheme="minorHAnsi" w:eastAsiaTheme="minorEastAsia" w:hAnsiTheme="minorHAnsi" w:cstheme="minorBidi"/>
                <w:noProof/>
                <w:bdr w:val="none" w:sz="0" w:space="0" w:color="auto"/>
                <w:lang w:val="es-US" w:eastAsia="zh-CN"/>
              </w:rPr>
              <w:tab/>
            </w:r>
            <w:r w:rsidR="007E39BF" w:rsidRPr="00A356DB">
              <w:rPr>
                <w:rStyle w:val="Hyperlink"/>
                <w:noProof/>
                <w:lang w:val="es-UY"/>
              </w:rPr>
              <w:t>Consideraciones generales referentes a la protección frente al arresto ilegal y arbitrario</w:t>
            </w:r>
            <w:r w:rsidR="007E39BF">
              <w:rPr>
                <w:noProof/>
                <w:webHidden/>
              </w:rPr>
              <w:tab/>
            </w:r>
            <w:r w:rsidR="007E39BF">
              <w:rPr>
                <w:noProof/>
                <w:webHidden/>
              </w:rPr>
              <w:fldChar w:fldCharType="begin"/>
            </w:r>
            <w:r w:rsidR="007E39BF">
              <w:rPr>
                <w:noProof/>
                <w:webHidden/>
              </w:rPr>
              <w:instrText xml:space="preserve"> PAGEREF _Toc69212251 \h </w:instrText>
            </w:r>
            <w:r w:rsidR="007E39BF">
              <w:rPr>
                <w:noProof/>
                <w:webHidden/>
              </w:rPr>
            </w:r>
            <w:r w:rsidR="007E39BF">
              <w:rPr>
                <w:noProof/>
                <w:webHidden/>
              </w:rPr>
              <w:fldChar w:fldCharType="separate"/>
            </w:r>
            <w:r>
              <w:rPr>
                <w:noProof/>
                <w:webHidden/>
              </w:rPr>
              <w:t>11</w:t>
            </w:r>
            <w:r w:rsidR="007E39BF">
              <w:rPr>
                <w:noProof/>
                <w:webHidden/>
              </w:rPr>
              <w:fldChar w:fldCharType="end"/>
            </w:r>
          </w:hyperlink>
        </w:p>
        <w:p w14:paraId="581FD461" w14:textId="3247D047" w:rsidR="007E39BF" w:rsidRDefault="00787DB7">
          <w:pPr>
            <w:pStyle w:val="TOC2"/>
            <w:rPr>
              <w:rFonts w:asciiTheme="minorHAnsi" w:eastAsiaTheme="minorEastAsia" w:hAnsiTheme="minorHAnsi" w:cstheme="minorBidi"/>
              <w:noProof/>
              <w:bdr w:val="none" w:sz="0" w:space="0" w:color="auto"/>
              <w:lang w:val="es-US" w:eastAsia="zh-CN"/>
            </w:rPr>
          </w:pPr>
          <w:hyperlink w:anchor="_Toc69212252" w:history="1">
            <w:r w:rsidR="007E39BF" w:rsidRPr="00A356DB">
              <w:rPr>
                <w:rStyle w:val="Hyperlink"/>
                <w:noProof/>
              </w:rPr>
              <w:t>2.</w:t>
            </w:r>
            <w:r w:rsidR="007E39BF">
              <w:rPr>
                <w:rFonts w:asciiTheme="minorHAnsi" w:eastAsiaTheme="minorEastAsia" w:hAnsiTheme="minorHAnsi" w:cstheme="minorBidi"/>
                <w:noProof/>
                <w:bdr w:val="none" w:sz="0" w:space="0" w:color="auto"/>
                <w:lang w:val="es-US" w:eastAsia="zh-CN"/>
              </w:rPr>
              <w:tab/>
            </w:r>
            <w:r w:rsidR="007E39BF" w:rsidRPr="00A356DB">
              <w:rPr>
                <w:rStyle w:val="Hyperlink"/>
                <w:noProof/>
              </w:rPr>
              <w:t>Análisis del caso</w:t>
            </w:r>
            <w:r w:rsidR="007E39BF">
              <w:rPr>
                <w:noProof/>
                <w:webHidden/>
              </w:rPr>
              <w:tab/>
            </w:r>
            <w:r w:rsidR="007E39BF">
              <w:rPr>
                <w:noProof/>
                <w:webHidden/>
              </w:rPr>
              <w:fldChar w:fldCharType="begin"/>
            </w:r>
            <w:r w:rsidR="007E39BF">
              <w:rPr>
                <w:noProof/>
                <w:webHidden/>
              </w:rPr>
              <w:instrText xml:space="preserve"> PAGEREF _Toc69212252 \h </w:instrText>
            </w:r>
            <w:r w:rsidR="007E39BF">
              <w:rPr>
                <w:noProof/>
                <w:webHidden/>
              </w:rPr>
            </w:r>
            <w:r w:rsidR="007E39BF">
              <w:rPr>
                <w:noProof/>
                <w:webHidden/>
              </w:rPr>
              <w:fldChar w:fldCharType="separate"/>
            </w:r>
            <w:r>
              <w:rPr>
                <w:noProof/>
                <w:webHidden/>
              </w:rPr>
              <w:t>12</w:t>
            </w:r>
            <w:r w:rsidR="007E39BF">
              <w:rPr>
                <w:noProof/>
                <w:webHidden/>
              </w:rPr>
              <w:fldChar w:fldCharType="end"/>
            </w:r>
          </w:hyperlink>
        </w:p>
        <w:p w14:paraId="58237876" w14:textId="1C3C87E6" w:rsidR="007E39BF" w:rsidRDefault="00787DB7">
          <w:pPr>
            <w:pStyle w:val="TOC2"/>
            <w:rPr>
              <w:rFonts w:asciiTheme="minorHAnsi" w:eastAsiaTheme="minorEastAsia" w:hAnsiTheme="minorHAnsi" w:cstheme="minorBidi"/>
              <w:noProof/>
              <w:bdr w:val="none" w:sz="0" w:space="0" w:color="auto"/>
              <w:lang w:val="es-US" w:eastAsia="zh-CN"/>
            </w:rPr>
          </w:pPr>
          <w:hyperlink w:anchor="_Toc69212253" w:history="1">
            <w:r w:rsidR="007E39BF" w:rsidRPr="00A356DB">
              <w:rPr>
                <w:rStyle w:val="Hyperlink"/>
                <w:noProof/>
                <w:lang w:val="es-UY"/>
              </w:rPr>
              <w:t>D.</w:t>
            </w:r>
            <w:r w:rsidR="007E39BF">
              <w:rPr>
                <w:rFonts w:asciiTheme="minorHAnsi" w:eastAsiaTheme="minorEastAsia" w:hAnsiTheme="minorHAnsi" w:cstheme="minorBidi"/>
                <w:noProof/>
                <w:bdr w:val="none" w:sz="0" w:space="0" w:color="auto"/>
                <w:lang w:val="es-US" w:eastAsia="zh-CN"/>
              </w:rPr>
              <w:tab/>
            </w:r>
            <w:r w:rsidR="007E39BF" w:rsidRPr="00A356DB">
              <w:rPr>
                <w:rStyle w:val="Hyperlink"/>
                <w:noProof/>
                <w:lang w:val="es-UY"/>
              </w:rPr>
              <w:t>Derechos a un juicio justo y al debido proceso, en relación con el derecho a la vida, la libertad y la seguridad personal, y con el derecho a obtener protección contra el arresto arbitrario, previstos en la Declaración Americana</w:t>
            </w:r>
            <w:r w:rsidR="007E39BF">
              <w:rPr>
                <w:noProof/>
                <w:webHidden/>
              </w:rPr>
              <w:tab/>
            </w:r>
            <w:r w:rsidR="007E39BF">
              <w:rPr>
                <w:noProof/>
                <w:webHidden/>
              </w:rPr>
              <w:fldChar w:fldCharType="begin"/>
            </w:r>
            <w:r w:rsidR="007E39BF">
              <w:rPr>
                <w:noProof/>
                <w:webHidden/>
              </w:rPr>
              <w:instrText xml:space="preserve"> PAGEREF _Toc69212253 \h </w:instrText>
            </w:r>
            <w:r w:rsidR="007E39BF">
              <w:rPr>
                <w:noProof/>
                <w:webHidden/>
              </w:rPr>
            </w:r>
            <w:r w:rsidR="007E39BF">
              <w:rPr>
                <w:noProof/>
                <w:webHidden/>
              </w:rPr>
              <w:fldChar w:fldCharType="separate"/>
            </w:r>
            <w:r>
              <w:rPr>
                <w:noProof/>
                <w:webHidden/>
              </w:rPr>
              <w:t>13</w:t>
            </w:r>
            <w:r w:rsidR="007E39BF">
              <w:rPr>
                <w:noProof/>
                <w:webHidden/>
              </w:rPr>
              <w:fldChar w:fldCharType="end"/>
            </w:r>
          </w:hyperlink>
        </w:p>
        <w:p w14:paraId="63D11DEF" w14:textId="130DDCB0" w:rsidR="007E39BF" w:rsidRDefault="00787DB7">
          <w:pPr>
            <w:pStyle w:val="TOC2"/>
            <w:rPr>
              <w:rFonts w:asciiTheme="minorHAnsi" w:eastAsiaTheme="minorEastAsia" w:hAnsiTheme="minorHAnsi" w:cstheme="minorBidi"/>
              <w:noProof/>
              <w:bdr w:val="none" w:sz="0" w:space="0" w:color="auto"/>
              <w:lang w:val="es-US" w:eastAsia="zh-CN"/>
            </w:rPr>
          </w:pPr>
          <w:hyperlink w:anchor="_Toc69212254" w:history="1">
            <w:r w:rsidR="007E39BF" w:rsidRPr="00A356DB">
              <w:rPr>
                <w:rStyle w:val="Hyperlink"/>
                <w:noProof/>
                <w:lang w:val="es-UY"/>
              </w:rPr>
              <w:t>E.</w:t>
            </w:r>
            <w:r w:rsidR="007E39BF">
              <w:rPr>
                <w:rFonts w:asciiTheme="minorHAnsi" w:eastAsiaTheme="minorEastAsia" w:hAnsiTheme="minorHAnsi" w:cstheme="minorBidi"/>
                <w:noProof/>
                <w:bdr w:val="none" w:sz="0" w:space="0" w:color="auto"/>
                <w:lang w:val="es-US" w:eastAsia="zh-CN"/>
              </w:rPr>
              <w:tab/>
            </w:r>
            <w:r w:rsidR="007E39BF" w:rsidRPr="00A356DB">
              <w:rPr>
                <w:rStyle w:val="Hyperlink"/>
                <w:noProof/>
                <w:lang w:val="es-UY"/>
              </w:rPr>
              <w:t>Derecho a la protección contra castigos crueles, infamantes o inusitados</w:t>
            </w:r>
            <w:r w:rsidR="007E39BF">
              <w:rPr>
                <w:noProof/>
                <w:webHidden/>
              </w:rPr>
              <w:tab/>
            </w:r>
            <w:r w:rsidR="007E39BF">
              <w:rPr>
                <w:noProof/>
                <w:webHidden/>
              </w:rPr>
              <w:fldChar w:fldCharType="begin"/>
            </w:r>
            <w:r w:rsidR="007E39BF">
              <w:rPr>
                <w:noProof/>
                <w:webHidden/>
              </w:rPr>
              <w:instrText xml:space="preserve"> PAGEREF _Toc69212254 \h </w:instrText>
            </w:r>
            <w:r w:rsidR="007E39BF">
              <w:rPr>
                <w:noProof/>
                <w:webHidden/>
              </w:rPr>
            </w:r>
            <w:r w:rsidR="007E39BF">
              <w:rPr>
                <w:noProof/>
                <w:webHidden/>
              </w:rPr>
              <w:fldChar w:fldCharType="separate"/>
            </w:r>
            <w:r>
              <w:rPr>
                <w:noProof/>
                <w:webHidden/>
              </w:rPr>
              <w:t>14</w:t>
            </w:r>
            <w:r w:rsidR="007E39BF">
              <w:rPr>
                <w:noProof/>
                <w:webHidden/>
              </w:rPr>
              <w:fldChar w:fldCharType="end"/>
            </w:r>
          </w:hyperlink>
        </w:p>
        <w:p w14:paraId="68763635" w14:textId="1D62552B" w:rsidR="007E39BF" w:rsidRDefault="00787DB7">
          <w:pPr>
            <w:pStyle w:val="TOC2"/>
            <w:rPr>
              <w:rFonts w:asciiTheme="minorHAnsi" w:eastAsiaTheme="minorEastAsia" w:hAnsiTheme="minorHAnsi" w:cstheme="minorBidi"/>
              <w:noProof/>
              <w:bdr w:val="none" w:sz="0" w:space="0" w:color="auto"/>
              <w:lang w:val="es-US" w:eastAsia="zh-CN"/>
            </w:rPr>
          </w:pPr>
          <w:hyperlink w:anchor="_Toc69212255" w:history="1">
            <w:r w:rsidR="007E39BF" w:rsidRPr="00A356DB">
              <w:rPr>
                <w:rStyle w:val="Hyperlink"/>
                <w:noProof/>
              </w:rPr>
              <w:t>F.</w:t>
            </w:r>
            <w:r w:rsidR="007E39BF">
              <w:rPr>
                <w:rFonts w:asciiTheme="minorHAnsi" w:eastAsiaTheme="minorEastAsia" w:hAnsiTheme="minorHAnsi" w:cstheme="minorBidi"/>
                <w:noProof/>
                <w:bdr w:val="none" w:sz="0" w:space="0" w:color="auto"/>
                <w:lang w:val="es-US" w:eastAsia="zh-CN"/>
              </w:rPr>
              <w:tab/>
            </w:r>
            <w:r w:rsidR="007E39BF" w:rsidRPr="00A356DB">
              <w:rPr>
                <w:rStyle w:val="Hyperlink"/>
                <w:noProof/>
              </w:rPr>
              <w:t>The right to life and the right to protection against cruel, infamous or unusual punishment with respect to the eventual execution of Nelson Iván Serrano Sáenz</w:t>
            </w:r>
            <w:r w:rsidR="007E39BF">
              <w:rPr>
                <w:noProof/>
                <w:webHidden/>
              </w:rPr>
              <w:tab/>
            </w:r>
            <w:r w:rsidR="007E39BF">
              <w:rPr>
                <w:noProof/>
                <w:webHidden/>
              </w:rPr>
              <w:fldChar w:fldCharType="begin"/>
            </w:r>
            <w:r w:rsidR="007E39BF">
              <w:rPr>
                <w:noProof/>
                <w:webHidden/>
              </w:rPr>
              <w:instrText xml:space="preserve"> PAGEREF _Toc69212255 \h </w:instrText>
            </w:r>
            <w:r w:rsidR="007E39BF">
              <w:rPr>
                <w:noProof/>
                <w:webHidden/>
              </w:rPr>
            </w:r>
            <w:r w:rsidR="007E39BF">
              <w:rPr>
                <w:noProof/>
                <w:webHidden/>
              </w:rPr>
              <w:fldChar w:fldCharType="separate"/>
            </w:r>
            <w:r>
              <w:rPr>
                <w:noProof/>
                <w:webHidden/>
              </w:rPr>
              <w:t>15</w:t>
            </w:r>
            <w:r w:rsidR="007E39BF">
              <w:rPr>
                <w:noProof/>
                <w:webHidden/>
              </w:rPr>
              <w:fldChar w:fldCharType="end"/>
            </w:r>
          </w:hyperlink>
        </w:p>
        <w:p w14:paraId="1A0A8E09" w14:textId="62B46DFF" w:rsidR="007E39BF" w:rsidRDefault="00787DB7">
          <w:pPr>
            <w:pStyle w:val="TOC1"/>
            <w:rPr>
              <w:rFonts w:asciiTheme="minorHAnsi" w:eastAsiaTheme="minorEastAsia" w:hAnsiTheme="minorHAnsi" w:cstheme="minorBidi"/>
              <w:b w:val="0"/>
              <w:sz w:val="24"/>
              <w:szCs w:val="24"/>
              <w:bdr w:val="none" w:sz="0" w:space="0" w:color="auto"/>
              <w:lang w:val="es-US" w:eastAsia="zh-CN"/>
            </w:rPr>
          </w:pPr>
          <w:hyperlink w:anchor="_Toc69212256" w:history="1">
            <w:r w:rsidR="007E39BF" w:rsidRPr="00A356DB">
              <w:rPr>
                <w:rStyle w:val="Hyperlink"/>
                <w:lang w:val="es-US"/>
              </w:rPr>
              <w:t>VI.</w:t>
            </w:r>
            <w:r w:rsidR="007E39BF">
              <w:rPr>
                <w:rFonts w:asciiTheme="minorHAnsi" w:eastAsiaTheme="minorEastAsia" w:hAnsiTheme="minorHAnsi" w:cstheme="minorBidi"/>
                <w:b w:val="0"/>
                <w:sz w:val="24"/>
                <w:szCs w:val="24"/>
                <w:bdr w:val="none" w:sz="0" w:space="0" w:color="auto"/>
                <w:lang w:val="es-US" w:eastAsia="zh-CN"/>
              </w:rPr>
              <w:tab/>
            </w:r>
            <w:r w:rsidR="007E39BF" w:rsidRPr="00A356DB">
              <w:rPr>
                <w:rStyle w:val="Hyperlink"/>
                <w:lang w:val="es-US"/>
              </w:rPr>
              <w:t>ACCIONES SUBSIGUIENTES AL INFORME No. 153/19</w:t>
            </w:r>
            <w:r w:rsidR="007E39BF">
              <w:rPr>
                <w:webHidden/>
              </w:rPr>
              <w:tab/>
            </w:r>
            <w:r w:rsidR="007E39BF">
              <w:rPr>
                <w:webHidden/>
              </w:rPr>
              <w:fldChar w:fldCharType="begin"/>
            </w:r>
            <w:r w:rsidR="007E39BF">
              <w:rPr>
                <w:webHidden/>
              </w:rPr>
              <w:instrText xml:space="preserve"> PAGEREF _Toc69212256 \h </w:instrText>
            </w:r>
            <w:r w:rsidR="007E39BF">
              <w:rPr>
                <w:webHidden/>
              </w:rPr>
            </w:r>
            <w:r w:rsidR="007E39BF">
              <w:rPr>
                <w:webHidden/>
              </w:rPr>
              <w:fldChar w:fldCharType="separate"/>
            </w:r>
            <w:r>
              <w:rPr>
                <w:webHidden/>
              </w:rPr>
              <w:t>15</w:t>
            </w:r>
            <w:r w:rsidR="007E39BF">
              <w:rPr>
                <w:webHidden/>
              </w:rPr>
              <w:fldChar w:fldCharType="end"/>
            </w:r>
          </w:hyperlink>
        </w:p>
        <w:p w14:paraId="21F7AFA3" w14:textId="1AFFFE89" w:rsidR="007E39BF" w:rsidRDefault="00787DB7">
          <w:pPr>
            <w:pStyle w:val="TOC1"/>
            <w:rPr>
              <w:rFonts w:asciiTheme="minorHAnsi" w:eastAsiaTheme="minorEastAsia" w:hAnsiTheme="minorHAnsi" w:cstheme="minorBidi"/>
              <w:b w:val="0"/>
              <w:sz w:val="24"/>
              <w:szCs w:val="24"/>
              <w:bdr w:val="none" w:sz="0" w:space="0" w:color="auto"/>
              <w:lang w:val="es-US" w:eastAsia="zh-CN"/>
            </w:rPr>
          </w:pPr>
          <w:hyperlink w:anchor="_Toc69212257" w:history="1">
            <w:r w:rsidR="007E39BF" w:rsidRPr="00A356DB">
              <w:rPr>
                <w:rStyle w:val="Hyperlink"/>
                <w:lang w:val="es-ES"/>
              </w:rPr>
              <w:t>VII.</w:t>
            </w:r>
            <w:r w:rsidR="007E39BF">
              <w:rPr>
                <w:rFonts w:asciiTheme="minorHAnsi" w:eastAsiaTheme="minorEastAsia" w:hAnsiTheme="minorHAnsi" w:cstheme="minorBidi"/>
                <w:b w:val="0"/>
                <w:sz w:val="24"/>
                <w:szCs w:val="24"/>
                <w:bdr w:val="none" w:sz="0" w:space="0" w:color="auto"/>
                <w:lang w:val="es-US" w:eastAsia="zh-CN"/>
              </w:rPr>
              <w:tab/>
            </w:r>
            <w:r w:rsidR="007E39BF" w:rsidRPr="00A356DB">
              <w:rPr>
                <w:rStyle w:val="Hyperlink"/>
                <w:lang w:val="es-ES"/>
              </w:rPr>
              <w:t>ACCIONES POSTERIORES AL INFORME No. 24/20</w:t>
            </w:r>
            <w:r w:rsidR="007E39BF">
              <w:rPr>
                <w:webHidden/>
              </w:rPr>
              <w:tab/>
            </w:r>
            <w:r w:rsidR="007E39BF">
              <w:rPr>
                <w:webHidden/>
              </w:rPr>
              <w:fldChar w:fldCharType="begin"/>
            </w:r>
            <w:r w:rsidR="007E39BF">
              <w:rPr>
                <w:webHidden/>
              </w:rPr>
              <w:instrText xml:space="preserve"> PAGEREF _Toc69212257 \h </w:instrText>
            </w:r>
            <w:r w:rsidR="007E39BF">
              <w:rPr>
                <w:webHidden/>
              </w:rPr>
            </w:r>
            <w:r w:rsidR="007E39BF">
              <w:rPr>
                <w:webHidden/>
              </w:rPr>
              <w:fldChar w:fldCharType="separate"/>
            </w:r>
            <w:r>
              <w:rPr>
                <w:webHidden/>
              </w:rPr>
              <w:t>16</w:t>
            </w:r>
            <w:r w:rsidR="007E39BF">
              <w:rPr>
                <w:webHidden/>
              </w:rPr>
              <w:fldChar w:fldCharType="end"/>
            </w:r>
          </w:hyperlink>
        </w:p>
        <w:p w14:paraId="3619B4D1" w14:textId="18947DE1" w:rsidR="007E39BF" w:rsidRDefault="00787DB7">
          <w:pPr>
            <w:pStyle w:val="TOC1"/>
            <w:rPr>
              <w:rFonts w:asciiTheme="minorHAnsi" w:eastAsiaTheme="minorEastAsia" w:hAnsiTheme="minorHAnsi" w:cstheme="minorBidi"/>
              <w:b w:val="0"/>
              <w:sz w:val="24"/>
              <w:szCs w:val="24"/>
              <w:bdr w:val="none" w:sz="0" w:space="0" w:color="auto"/>
              <w:lang w:val="es-US" w:eastAsia="zh-CN"/>
            </w:rPr>
          </w:pPr>
          <w:hyperlink w:anchor="_Toc69212258" w:history="1">
            <w:r w:rsidR="007E39BF" w:rsidRPr="00A356DB">
              <w:rPr>
                <w:rStyle w:val="Hyperlink"/>
              </w:rPr>
              <w:t>VIII.</w:t>
            </w:r>
            <w:r w:rsidR="007E39BF">
              <w:rPr>
                <w:rFonts w:asciiTheme="minorHAnsi" w:eastAsiaTheme="minorEastAsia" w:hAnsiTheme="minorHAnsi" w:cstheme="minorBidi"/>
                <w:b w:val="0"/>
                <w:sz w:val="24"/>
                <w:szCs w:val="24"/>
                <w:bdr w:val="none" w:sz="0" w:space="0" w:color="auto"/>
                <w:lang w:val="es-US" w:eastAsia="zh-CN"/>
              </w:rPr>
              <w:tab/>
            </w:r>
            <w:r w:rsidR="007E39BF" w:rsidRPr="00A356DB">
              <w:rPr>
                <w:rStyle w:val="Hyperlink"/>
              </w:rPr>
              <w:t>CONCLUSIONES Y RECOMENDACIONES FINALES:</w:t>
            </w:r>
            <w:r w:rsidR="007E39BF">
              <w:rPr>
                <w:webHidden/>
              </w:rPr>
              <w:tab/>
            </w:r>
            <w:r w:rsidR="007E39BF">
              <w:rPr>
                <w:webHidden/>
              </w:rPr>
              <w:fldChar w:fldCharType="begin"/>
            </w:r>
            <w:r w:rsidR="007E39BF">
              <w:rPr>
                <w:webHidden/>
              </w:rPr>
              <w:instrText xml:space="preserve"> PAGEREF _Toc69212258 \h </w:instrText>
            </w:r>
            <w:r w:rsidR="007E39BF">
              <w:rPr>
                <w:webHidden/>
              </w:rPr>
            </w:r>
            <w:r w:rsidR="007E39BF">
              <w:rPr>
                <w:webHidden/>
              </w:rPr>
              <w:fldChar w:fldCharType="separate"/>
            </w:r>
            <w:r>
              <w:rPr>
                <w:webHidden/>
              </w:rPr>
              <w:t>16</w:t>
            </w:r>
            <w:r w:rsidR="007E39BF">
              <w:rPr>
                <w:webHidden/>
              </w:rPr>
              <w:fldChar w:fldCharType="end"/>
            </w:r>
          </w:hyperlink>
        </w:p>
        <w:p w14:paraId="133A7D09" w14:textId="121A0C78" w:rsidR="007E39BF" w:rsidRDefault="00787DB7">
          <w:pPr>
            <w:pStyle w:val="TOC1"/>
            <w:rPr>
              <w:rFonts w:asciiTheme="minorHAnsi" w:eastAsiaTheme="minorEastAsia" w:hAnsiTheme="minorHAnsi" w:cstheme="minorBidi"/>
              <w:b w:val="0"/>
              <w:sz w:val="24"/>
              <w:szCs w:val="24"/>
              <w:bdr w:val="none" w:sz="0" w:space="0" w:color="auto"/>
              <w:lang w:val="es-US" w:eastAsia="zh-CN"/>
            </w:rPr>
          </w:pPr>
          <w:hyperlink w:anchor="_Toc69212259" w:history="1">
            <w:r w:rsidR="007E39BF" w:rsidRPr="00A356DB">
              <w:rPr>
                <w:rStyle w:val="Hyperlink"/>
              </w:rPr>
              <w:t>IX.</w:t>
            </w:r>
            <w:r w:rsidR="007E39BF">
              <w:rPr>
                <w:rFonts w:asciiTheme="minorHAnsi" w:eastAsiaTheme="minorEastAsia" w:hAnsiTheme="minorHAnsi" w:cstheme="minorBidi"/>
                <w:b w:val="0"/>
                <w:sz w:val="24"/>
                <w:szCs w:val="24"/>
                <w:bdr w:val="none" w:sz="0" w:space="0" w:color="auto"/>
                <w:lang w:val="es-US" w:eastAsia="zh-CN"/>
              </w:rPr>
              <w:tab/>
            </w:r>
            <w:r w:rsidR="007E39BF" w:rsidRPr="00A356DB">
              <w:rPr>
                <w:rStyle w:val="Hyperlink"/>
              </w:rPr>
              <w:t>PUBLICACIÓN</w:t>
            </w:r>
            <w:r w:rsidR="007E39BF">
              <w:rPr>
                <w:webHidden/>
              </w:rPr>
              <w:tab/>
            </w:r>
            <w:r w:rsidR="007E39BF">
              <w:rPr>
                <w:webHidden/>
              </w:rPr>
              <w:fldChar w:fldCharType="begin"/>
            </w:r>
            <w:r w:rsidR="007E39BF">
              <w:rPr>
                <w:webHidden/>
              </w:rPr>
              <w:instrText xml:space="preserve"> PAGEREF _Toc69212259 \h </w:instrText>
            </w:r>
            <w:r w:rsidR="007E39BF">
              <w:rPr>
                <w:webHidden/>
              </w:rPr>
            </w:r>
            <w:r w:rsidR="007E39BF">
              <w:rPr>
                <w:webHidden/>
              </w:rPr>
              <w:fldChar w:fldCharType="separate"/>
            </w:r>
            <w:r>
              <w:rPr>
                <w:webHidden/>
              </w:rPr>
              <w:t>18</w:t>
            </w:r>
            <w:r w:rsidR="007E39BF">
              <w:rPr>
                <w:webHidden/>
              </w:rPr>
              <w:fldChar w:fldCharType="end"/>
            </w:r>
          </w:hyperlink>
        </w:p>
        <w:p w14:paraId="45DB8435" w14:textId="77777777" w:rsidR="00BF4967" w:rsidRPr="00D8219A" w:rsidRDefault="00BF4967">
          <w:pPr>
            <w:rPr>
              <w:rFonts w:asciiTheme="majorHAnsi" w:hAnsiTheme="majorHAnsi"/>
              <w:sz w:val="20"/>
              <w:szCs w:val="20"/>
            </w:rPr>
          </w:pPr>
          <w:r w:rsidRPr="00B965E0">
            <w:rPr>
              <w:rFonts w:asciiTheme="majorHAnsi" w:hAnsiTheme="majorHAnsi"/>
              <w:b/>
              <w:bCs/>
              <w:noProof/>
              <w:sz w:val="20"/>
              <w:szCs w:val="20"/>
            </w:rPr>
            <w:fldChar w:fldCharType="end"/>
          </w:r>
        </w:p>
      </w:sdtContent>
    </w:sdt>
    <w:p w14:paraId="116BB91A" w14:textId="77777777" w:rsidR="007607C4" w:rsidRPr="00D8219A" w:rsidRDefault="007607C4" w:rsidP="00145EDC">
      <w:pPr>
        <w:tabs>
          <w:tab w:val="center" w:pos="5400"/>
        </w:tabs>
        <w:suppressAutoHyphens/>
        <w:spacing w:line="276" w:lineRule="auto"/>
        <w:rPr>
          <w:rFonts w:asciiTheme="majorHAnsi" w:hAnsiTheme="majorHAnsi"/>
          <w:sz w:val="20"/>
          <w:szCs w:val="20"/>
        </w:rPr>
      </w:pPr>
    </w:p>
    <w:p w14:paraId="6CA8D7BC" w14:textId="77777777" w:rsidR="007607C4" w:rsidRPr="00D8219A" w:rsidRDefault="007607C4" w:rsidP="00145EDC">
      <w:pPr>
        <w:tabs>
          <w:tab w:val="center" w:pos="5400"/>
        </w:tabs>
        <w:suppressAutoHyphens/>
        <w:spacing w:line="276" w:lineRule="auto"/>
        <w:rPr>
          <w:rFonts w:asciiTheme="majorHAnsi" w:hAnsiTheme="majorHAnsi"/>
          <w:sz w:val="20"/>
          <w:szCs w:val="20"/>
        </w:rPr>
      </w:pPr>
    </w:p>
    <w:p w14:paraId="24693777" w14:textId="77777777" w:rsidR="007607C4" w:rsidRPr="00D8219A" w:rsidRDefault="007607C4" w:rsidP="00145EDC">
      <w:pPr>
        <w:tabs>
          <w:tab w:val="center" w:pos="5400"/>
        </w:tabs>
        <w:suppressAutoHyphens/>
        <w:spacing w:line="276" w:lineRule="auto"/>
        <w:rPr>
          <w:rFonts w:asciiTheme="majorHAnsi" w:hAnsiTheme="majorHAnsi"/>
          <w:sz w:val="20"/>
          <w:szCs w:val="20"/>
        </w:rPr>
      </w:pPr>
    </w:p>
    <w:p w14:paraId="7381A6EB" w14:textId="77777777" w:rsidR="007607C4" w:rsidRPr="00D8219A" w:rsidRDefault="007607C4" w:rsidP="00145EDC">
      <w:pPr>
        <w:tabs>
          <w:tab w:val="center" w:pos="5400"/>
        </w:tabs>
        <w:suppressAutoHyphens/>
        <w:spacing w:line="276" w:lineRule="auto"/>
        <w:rPr>
          <w:rFonts w:asciiTheme="majorHAnsi" w:hAnsiTheme="majorHAnsi"/>
          <w:sz w:val="20"/>
          <w:szCs w:val="20"/>
        </w:rPr>
      </w:pPr>
    </w:p>
    <w:p w14:paraId="4FED8BA4" w14:textId="77777777" w:rsidR="007607C4" w:rsidRPr="00D8219A" w:rsidRDefault="007607C4" w:rsidP="00145EDC">
      <w:pPr>
        <w:tabs>
          <w:tab w:val="center" w:pos="5400"/>
        </w:tabs>
        <w:suppressAutoHyphens/>
        <w:spacing w:line="276" w:lineRule="auto"/>
        <w:rPr>
          <w:rFonts w:asciiTheme="majorHAnsi" w:hAnsiTheme="majorHAnsi"/>
          <w:sz w:val="20"/>
          <w:szCs w:val="20"/>
        </w:rPr>
      </w:pPr>
    </w:p>
    <w:p w14:paraId="6712FF99" w14:textId="77777777" w:rsidR="007607C4" w:rsidRPr="00D8219A" w:rsidRDefault="007607C4" w:rsidP="00145EDC">
      <w:pPr>
        <w:tabs>
          <w:tab w:val="center" w:pos="5400"/>
        </w:tabs>
        <w:suppressAutoHyphens/>
        <w:spacing w:line="276" w:lineRule="auto"/>
        <w:rPr>
          <w:rFonts w:asciiTheme="majorHAnsi" w:hAnsiTheme="majorHAnsi"/>
          <w:sz w:val="20"/>
          <w:szCs w:val="20"/>
        </w:rPr>
      </w:pPr>
    </w:p>
    <w:p w14:paraId="5EE4756F" w14:textId="77777777" w:rsidR="007607C4" w:rsidRPr="00D8219A" w:rsidRDefault="007607C4" w:rsidP="00145EDC">
      <w:pPr>
        <w:tabs>
          <w:tab w:val="center" w:pos="5400"/>
        </w:tabs>
        <w:suppressAutoHyphens/>
        <w:spacing w:line="276" w:lineRule="auto"/>
        <w:rPr>
          <w:rFonts w:asciiTheme="majorHAnsi" w:hAnsiTheme="majorHAnsi"/>
          <w:sz w:val="20"/>
          <w:szCs w:val="20"/>
        </w:rPr>
      </w:pPr>
    </w:p>
    <w:p w14:paraId="7D7A0FE4" w14:textId="77777777" w:rsidR="007607C4" w:rsidRPr="00D8219A" w:rsidRDefault="007607C4" w:rsidP="00145EDC">
      <w:pPr>
        <w:tabs>
          <w:tab w:val="center" w:pos="5400"/>
        </w:tabs>
        <w:suppressAutoHyphens/>
        <w:spacing w:line="276" w:lineRule="auto"/>
        <w:rPr>
          <w:rFonts w:asciiTheme="majorHAnsi" w:hAnsiTheme="majorHAnsi"/>
          <w:sz w:val="20"/>
          <w:szCs w:val="20"/>
        </w:rPr>
      </w:pPr>
    </w:p>
    <w:p w14:paraId="4EC0A599" w14:textId="77777777" w:rsidR="001B5C63" w:rsidRPr="00D8219A" w:rsidRDefault="001B5C63" w:rsidP="00D83C3C">
      <w:pPr>
        <w:pStyle w:val="Heading1"/>
        <w:keepNext w:val="0"/>
        <w:keepLines w:val="0"/>
        <w:numPr>
          <w:ilvl w:val="0"/>
          <w:numId w:val="55"/>
        </w:numPr>
        <w:tabs>
          <w:tab w:val="left" w:pos="360"/>
        </w:tabs>
        <w:suppressAutoHyphens/>
        <w:spacing w:before="0"/>
        <w:ind w:left="360" w:hanging="360"/>
        <w:rPr>
          <w:color w:val="auto"/>
          <w:sz w:val="20"/>
          <w:szCs w:val="20"/>
        </w:rPr>
        <w:sectPr w:rsidR="001B5C63" w:rsidRPr="00D8219A" w:rsidSect="006311DA">
          <w:footerReference w:type="first" r:id="rId14"/>
          <w:pgSz w:w="12240" w:h="15840"/>
          <w:pgMar w:top="1440" w:right="1440" w:bottom="1440" w:left="1440" w:header="720" w:footer="720" w:gutter="0"/>
          <w:pgNumType w:start="1"/>
          <w:cols w:space="720"/>
          <w:docGrid w:linePitch="326"/>
        </w:sectPr>
      </w:pPr>
    </w:p>
    <w:p w14:paraId="4F9DBD84" w14:textId="77777777" w:rsidR="001061FC" w:rsidRPr="00D8219A" w:rsidRDefault="00187D3F" w:rsidP="00D83C3C">
      <w:pPr>
        <w:pStyle w:val="Heading1"/>
        <w:keepNext w:val="0"/>
        <w:keepLines w:val="0"/>
        <w:numPr>
          <w:ilvl w:val="0"/>
          <w:numId w:val="55"/>
        </w:numPr>
        <w:tabs>
          <w:tab w:val="left" w:pos="360"/>
        </w:tabs>
        <w:suppressAutoHyphens/>
        <w:spacing w:before="0"/>
        <w:ind w:left="360" w:hanging="360"/>
        <w:rPr>
          <w:color w:val="auto"/>
          <w:sz w:val="20"/>
          <w:szCs w:val="20"/>
        </w:rPr>
      </w:pPr>
      <w:bookmarkStart w:id="0" w:name="_Toc69212232"/>
      <w:r w:rsidRPr="00D8219A">
        <w:rPr>
          <w:color w:val="auto"/>
          <w:sz w:val="20"/>
          <w:szCs w:val="20"/>
        </w:rPr>
        <w:lastRenderedPageBreak/>
        <w:t>RESUMEN</w:t>
      </w:r>
      <w:bookmarkEnd w:id="0"/>
      <w:r w:rsidR="001061FC" w:rsidRPr="00D8219A">
        <w:rPr>
          <w:color w:val="auto"/>
          <w:sz w:val="20"/>
          <w:szCs w:val="20"/>
        </w:rPr>
        <w:t xml:space="preserve"> </w:t>
      </w:r>
    </w:p>
    <w:p w14:paraId="717C501C" w14:textId="77777777" w:rsidR="001B5C63" w:rsidRPr="00D8219A" w:rsidRDefault="001B5C63" w:rsidP="001B5C63"/>
    <w:p w14:paraId="491A363C" w14:textId="77777777" w:rsidR="001061FC" w:rsidRPr="00D8219A" w:rsidRDefault="00FF5C2B" w:rsidP="00B66BC9">
      <w:pPr>
        <w:pStyle w:val="parrafos"/>
        <w:ind w:left="0" w:firstLine="0"/>
        <w:rPr>
          <w:lang w:val="es-UY"/>
        </w:rPr>
      </w:pPr>
      <w:r w:rsidRPr="00D8219A">
        <w:rPr>
          <w:color w:val="auto"/>
          <w:lang w:val="es-UY"/>
        </w:rPr>
        <w:t>El</w:t>
      </w:r>
      <w:r w:rsidR="00B90F45" w:rsidRPr="00D8219A">
        <w:rPr>
          <w:color w:val="auto"/>
          <w:lang w:val="es-UY"/>
        </w:rPr>
        <w:t xml:space="preserve"> 20</w:t>
      </w:r>
      <w:r w:rsidRPr="00D8219A">
        <w:rPr>
          <w:color w:val="auto"/>
          <w:lang w:val="es-UY"/>
        </w:rPr>
        <w:t xml:space="preserve"> de noviembre de 20</w:t>
      </w:r>
      <w:r w:rsidR="00B90F45" w:rsidRPr="00D8219A">
        <w:rPr>
          <w:color w:val="auto"/>
          <w:lang w:val="es-UY"/>
        </w:rPr>
        <w:t>11</w:t>
      </w:r>
      <w:r w:rsidR="008D2F96" w:rsidRPr="00D8219A">
        <w:rPr>
          <w:color w:val="auto"/>
          <w:lang w:val="es-UY"/>
        </w:rPr>
        <w:t xml:space="preserve"> </w:t>
      </w:r>
      <w:r w:rsidRPr="00D8219A">
        <w:rPr>
          <w:color w:val="auto"/>
          <w:lang w:val="es-UY"/>
        </w:rPr>
        <w:t>la Comisión Interamericana de Derechos Humanos</w:t>
      </w:r>
      <w:r w:rsidR="008D2F96" w:rsidRPr="00D8219A">
        <w:rPr>
          <w:color w:val="auto"/>
          <w:lang w:val="es-UY"/>
        </w:rPr>
        <w:t xml:space="preserve"> (la</w:t>
      </w:r>
      <w:r w:rsidRPr="00D8219A">
        <w:rPr>
          <w:color w:val="auto"/>
          <w:lang w:val="es-UY"/>
        </w:rPr>
        <w:t xml:space="preserve"> “</w:t>
      </w:r>
      <w:r w:rsidR="008D2F96" w:rsidRPr="00D8219A">
        <w:rPr>
          <w:color w:val="auto"/>
          <w:lang w:val="es-UY"/>
        </w:rPr>
        <w:t>Comisión Interamericana</w:t>
      </w:r>
      <w:r w:rsidRPr="00D8219A">
        <w:rPr>
          <w:color w:val="auto"/>
          <w:lang w:val="es-UY"/>
        </w:rPr>
        <w:t>” o</w:t>
      </w:r>
      <w:r w:rsidR="001061FC" w:rsidRPr="00D8219A">
        <w:rPr>
          <w:color w:val="auto"/>
          <w:lang w:val="es-UY"/>
        </w:rPr>
        <w:t xml:space="preserve"> “</w:t>
      </w:r>
      <w:r w:rsidRPr="00D8219A">
        <w:rPr>
          <w:color w:val="auto"/>
          <w:lang w:val="es-UY"/>
        </w:rPr>
        <w:t>CIDH</w:t>
      </w:r>
      <w:r w:rsidR="001061FC" w:rsidRPr="00D8219A">
        <w:rPr>
          <w:color w:val="auto"/>
          <w:lang w:val="es-UY"/>
        </w:rPr>
        <w:t xml:space="preserve">”) </w:t>
      </w:r>
      <w:r w:rsidR="008D2F96" w:rsidRPr="00D8219A">
        <w:rPr>
          <w:color w:val="auto"/>
          <w:lang w:val="es-UY"/>
        </w:rPr>
        <w:t>recibió una</w:t>
      </w:r>
      <w:r w:rsidR="00146078" w:rsidRPr="00D8219A">
        <w:rPr>
          <w:color w:val="auto"/>
          <w:lang w:val="es-UY"/>
        </w:rPr>
        <w:t xml:space="preserve"> petición y</w:t>
      </w:r>
      <w:r w:rsidR="008D2F96" w:rsidRPr="00D8219A">
        <w:rPr>
          <w:color w:val="auto"/>
          <w:lang w:val="es-UY"/>
        </w:rPr>
        <w:t xml:space="preserve"> </w:t>
      </w:r>
      <w:r w:rsidR="009674EE" w:rsidRPr="00D8219A">
        <w:rPr>
          <w:color w:val="auto"/>
          <w:lang w:val="es-UY"/>
        </w:rPr>
        <w:t xml:space="preserve">una </w:t>
      </w:r>
      <w:r w:rsidR="008D2F96" w:rsidRPr="00D8219A">
        <w:rPr>
          <w:color w:val="auto"/>
          <w:lang w:val="es-UY"/>
        </w:rPr>
        <w:t>solicitud de medidas cautelares</w:t>
      </w:r>
      <w:r w:rsidR="001061FC" w:rsidRPr="00D8219A">
        <w:rPr>
          <w:rStyle w:val="FootnoteReference"/>
          <w:color w:val="auto"/>
          <w:lang w:val="es-ES_tradnl"/>
        </w:rPr>
        <w:footnoteReference w:id="2"/>
      </w:r>
      <w:r w:rsidR="001061FC" w:rsidRPr="00D8219A">
        <w:rPr>
          <w:color w:val="auto"/>
          <w:lang w:val="es-ES_tradnl"/>
        </w:rPr>
        <w:t xml:space="preserve"> present</w:t>
      </w:r>
      <w:r w:rsidR="008D2F96" w:rsidRPr="00D8219A">
        <w:rPr>
          <w:color w:val="auto"/>
          <w:lang w:val="es-ES_tradnl"/>
        </w:rPr>
        <w:t>ada</w:t>
      </w:r>
      <w:r w:rsidR="009674EE" w:rsidRPr="00D8219A">
        <w:rPr>
          <w:color w:val="auto"/>
          <w:lang w:val="es-ES_tradnl"/>
        </w:rPr>
        <w:t>s</w:t>
      </w:r>
      <w:r w:rsidR="008D2F96" w:rsidRPr="00D8219A">
        <w:rPr>
          <w:color w:val="auto"/>
          <w:lang w:val="es-ES_tradnl"/>
        </w:rPr>
        <w:t xml:space="preserve"> por</w:t>
      </w:r>
      <w:r w:rsidR="001061FC" w:rsidRPr="00D8219A">
        <w:rPr>
          <w:color w:val="auto"/>
          <w:lang w:val="es-ES_tradnl"/>
        </w:rPr>
        <w:t xml:space="preserve"> </w:t>
      </w:r>
      <w:r w:rsidR="00B90F45" w:rsidRPr="00D8219A">
        <w:rPr>
          <w:color w:val="auto"/>
          <w:lang w:val="es-ES_tradnl"/>
        </w:rPr>
        <w:t>Francisco Serrano</w:t>
      </w:r>
      <w:r w:rsidR="008D2F96" w:rsidRPr="00D8219A">
        <w:rPr>
          <w:color w:val="auto"/>
          <w:lang w:val="es-ES_tradnl"/>
        </w:rPr>
        <w:t xml:space="preserve"> (el</w:t>
      </w:r>
      <w:r w:rsidR="001061FC" w:rsidRPr="00D8219A">
        <w:rPr>
          <w:color w:val="auto"/>
          <w:lang w:val="es-ES_tradnl"/>
        </w:rPr>
        <w:t xml:space="preserve"> “</w:t>
      </w:r>
      <w:r w:rsidR="008D2F96" w:rsidRPr="00D8219A">
        <w:rPr>
          <w:color w:val="auto"/>
          <w:lang w:val="es-ES_tradnl"/>
        </w:rPr>
        <w:t>peticionario</w:t>
      </w:r>
      <w:r w:rsidR="001061FC" w:rsidRPr="00D8219A">
        <w:rPr>
          <w:color w:val="auto"/>
          <w:lang w:val="es-ES_tradnl"/>
        </w:rPr>
        <w:t>”)</w:t>
      </w:r>
      <w:r w:rsidR="001061FC" w:rsidRPr="00D8219A">
        <w:rPr>
          <w:rStyle w:val="FootnoteReference"/>
          <w:color w:val="auto"/>
        </w:rPr>
        <w:footnoteReference w:id="3"/>
      </w:r>
      <w:r w:rsidR="008D2F96" w:rsidRPr="00D8219A">
        <w:rPr>
          <w:color w:val="auto"/>
          <w:lang w:val="es-ES_tradnl"/>
        </w:rPr>
        <w:t xml:space="preserve">, en que se aducía la responsabilidad </w:t>
      </w:r>
      <w:r w:rsidR="009A30D6" w:rsidRPr="00D8219A">
        <w:rPr>
          <w:color w:val="auto"/>
          <w:lang w:val="es-ES_tradnl"/>
        </w:rPr>
        <w:t>internacional</w:t>
      </w:r>
      <w:r w:rsidR="008D2F96" w:rsidRPr="00D8219A">
        <w:rPr>
          <w:color w:val="auto"/>
          <w:lang w:val="es-ES_tradnl"/>
        </w:rPr>
        <w:t xml:space="preserve"> de </w:t>
      </w:r>
      <w:r w:rsidR="00616685" w:rsidRPr="00D8219A">
        <w:rPr>
          <w:color w:val="auto"/>
          <w:lang w:val="es-ES_tradnl"/>
        </w:rPr>
        <w:t>Estados Unidos</w:t>
      </w:r>
      <w:r w:rsidR="008D2F96" w:rsidRPr="00D8219A">
        <w:rPr>
          <w:color w:val="auto"/>
          <w:lang w:val="es-ES_tradnl"/>
        </w:rPr>
        <w:t xml:space="preserve"> de América (el “</w:t>
      </w:r>
      <w:r w:rsidR="009A30D6" w:rsidRPr="00D8219A">
        <w:rPr>
          <w:color w:val="auto"/>
          <w:lang w:val="es-ES_tradnl"/>
        </w:rPr>
        <w:t>Estado</w:t>
      </w:r>
      <w:r w:rsidR="008D2F96" w:rsidRPr="00D8219A">
        <w:rPr>
          <w:color w:val="auto"/>
          <w:lang w:val="es-ES_tradnl"/>
        </w:rPr>
        <w:t>” o “</w:t>
      </w:r>
      <w:r w:rsidR="00616685" w:rsidRPr="00D8219A">
        <w:rPr>
          <w:color w:val="auto"/>
          <w:lang w:val="es-ES_tradnl"/>
        </w:rPr>
        <w:t>Estados Unidos</w:t>
      </w:r>
      <w:r w:rsidR="008D2F96" w:rsidRPr="00D8219A">
        <w:rPr>
          <w:color w:val="auto"/>
          <w:lang w:val="es-ES_tradnl"/>
        </w:rPr>
        <w:t>”</w:t>
      </w:r>
      <w:r w:rsidR="00146078" w:rsidRPr="00D8219A">
        <w:rPr>
          <w:color w:val="auto"/>
          <w:lang w:val="es-ES_tradnl"/>
        </w:rPr>
        <w:t>)</w:t>
      </w:r>
      <w:r w:rsidR="008D2F96" w:rsidRPr="00D8219A">
        <w:rPr>
          <w:color w:val="auto"/>
          <w:lang w:val="es-ES_tradnl"/>
        </w:rPr>
        <w:t xml:space="preserve"> por</w:t>
      </w:r>
      <w:r w:rsidR="009674EE" w:rsidRPr="00D8219A">
        <w:rPr>
          <w:color w:val="auto"/>
          <w:lang w:val="es-ES_tradnl"/>
        </w:rPr>
        <w:t xml:space="preserve"> la </w:t>
      </w:r>
      <w:r w:rsidR="008D2F96" w:rsidRPr="00D8219A">
        <w:rPr>
          <w:color w:val="auto"/>
          <w:lang w:val="es-ES_tradnl"/>
        </w:rPr>
        <w:t>viola</w:t>
      </w:r>
      <w:r w:rsidR="009A30D6" w:rsidRPr="00D8219A">
        <w:rPr>
          <w:color w:val="auto"/>
          <w:lang w:val="es-ES_tradnl"/>
        </w:rPr>
        <w:t>ción</w:t>
      </w:r>
      <w:r w:rsidR="008D2F96" w:rsidRPr="00D8219A">
        <w:rPr>
          <w:color w:val="auto"/>
          <w:lang w:val="es-ES_tradnl"/>
        </w:rPr>
        <w:t xml:space="preserve"> de los derechos humanos de </w:t>
      </w:r>
      <w:r w:rsidR="00BF2ACF" w:rsidRPr="00D8219A">
        <w:rPr>
          <w:color w:val="auto"/>
          <w:lang w:val="es-UY"/>
        </w:rPr>
        <w:t>Nelson Iván Serrano Sáenz</w:t>
      </w:r>
      <w:r w:rsidR="004B5893" w:rsidRPr="00D8219A">
        <w:rPr>
          <w:color w:val="auto"/>
          <w:lang w:val="es-UY"/>
        </w:rPr>
        <w:t xml:space="preserve"> (“</w:t>
      </w:r>
      <w:r w:rsidR="008D2F96" w:rsidRPr="00D8219A">
        <w:rPr>
          <w:color w:val="auto"/>
          <w:lang w:val="es-UY"/>
        </w:rPr>
        <w:t xml:space="preserve">el </w:t>
      </w:r>
      <w:r w:rsidR="001B5C63" w:rsidRPr="00D8219A">
        <w:rPr>
          <w:color w:val="auto"/>
          <w:lang w:val="es-UY"/>
        </w:rPr>
        <w:t>señor</w:t>
      </w:r>
      <w:r w:rsidR="008D2F96" w:rsidRPr="00D8219A">
        <w:rPr>
          <w:color w:val="auto"/>
          <w:lang w:val="es-UY"/>
        </w:rPr>
        <w:t xml:space="preserve"> </w:t>
      </w:r>
      <w:r w:rsidR="004B5893" w:rsidRPr="00D8219A">
        <w:rPr>
          <w:color w:val="auto"/>
          <w:lang w:val="es-UY"/>
        </w:rPr>
        <w:t>Serrano</w:t>
      </w:r>
      <w:r w:rsidR="00771B3A" w:rsidRPr="00D8219A">
        <w:rPr>
          <w:color w:val="auto"/>
          <w:lang w:val="es-UY"/>
        </w:rPr>
        <w:t>”</w:t>
      </w:r>
      <w:r w:rsidR="004B5893" w:rsidRPr="00D8219A">
        <w:rPr>
          <w:color w:val="auto"/>
          <w:lang w:val="es-UY"/>
        </w:rPr>
        <w:t>)</w:t>
      </w:r>
      <w:r w:rsidR="00B90F45" w:rsidRPr="00D8219A">
        <w:rPr>
          <w:color w:val="auto"/>
          <w:lang w:val="es-UY"/>
        </w:rPr>
        <w:t xml:space="preserve">, </w:t>
      </w:r>
      <w:r w:rsidR="008D2F96" w:rsidRPr="00D8219A">
        <w:rPr>
          <w:color w:val="auto"/>
          <w:lang w:val="es-UY"/>
        </w:rPr>
        <w:t xml:space="preserve">con doble ciudadanía de </w:t>
      </w:r>
      <w:r w:rsidR="00881E4C" w:rsidRPr="00D8219A">
        <w:rPr>
          <w:color w:val="auto"/>
          <w:lang w:val="es-UY"/>
        </w:rPr>
        <w:t>Ecuador</w:t>
      </w:r>
      <w:r w:rsidR="00C931D3" w:rsidRPr="00D8219A">
        <w:rPr>
          <w:color w:val="auto"/>
          <w:lang w:val="es-UY"/>
        </w:rPr>
        <w:t xml:space="preserve"> y de</w:t>
      </w:r>
      <w:r w:rsidR="00881E4C" w:rsidRPr="00D8219A">
        <w:rPr>
          <w:color w:val="auto"/>
          <w:lang w:val="es-UY"/>
        </w:rPr>
        <w:t xml:space="preserve"> </w:t>
      </w:r>
      <w:r w:rsidR="00EB430E" w:rsidRPr="00D8219A">
        <w:rPr>
          <w:color w:val="auto"/>
          <w:lang w:val="es-UY"/>
        </w:rPr>
        <w:t>Estados Unidos</w:t>
      </w:r>
      <w:r w:rsidR="008D2F96" w:rsidRPr="00D8219A">
        <w:rPr>
          <w:color w:val="auto"/>
          <w:lang w:val="es-UY"/>
        </w:rPr>
        <w:t>, quien se encuentra</w:t>
      </w:r>
      <w:r w:rsidR="00E53E52" w:rsidRPr="00D8219A">
        <w:rPr>
          <w:color w:val="auto"/>
          <w:lang w:val="es-UY"/>
        </w:rPr>
        <w:t xml:space="preserve"> </w:t>
      </w:r>
      <w:r w:rsidR="008D2F96" w:rsidRPr="00D8219A">
        <w:rPr>
          <w:color w:val="auto"/>
          <w:lang w:val="es-UY"/>
        </w:rPr>
        <w:t xml:space="preserve">en el </w:t>
      </w:r>
      <w:r w:rsidR="007F3320" w:rsidRPr="00D8219A">
        <w:rPr>
          <w:color w:val="auto"/>
          <w:lang w:val="es-UY"/>
        </w:rPr>
        <w:t>corredor de la m</w:t>
      </w:r>
      <w:r w:rsidR="008D2F96" w:rsidRPr="00D8219A">
        <w:rPr>
          <w:color w:val="auto"/>
          <w:lang w:val="es-UY"/>
        </w:rPr>
        <w:t>uerte en</w:t>
      </w:r>
      <w:r w:rsidR="00E6080B" w:rsidRPr="00D8219A">
        <w:rPr>
          <w:color w:val="auto"/>
          <w:lang w:val="es-UY"/>
        </w:rPr>
        <w:t xml:space="preserve"> Florida</w:t>
      </w:r>
      <w:r w:rsidR="001061FC" w:rsidRPr="00D8219A">
        <w:rPr>
          <w:lang w:val="es-UY"/>
        </w:rPr>
        <w:t xml:space="preserve">. </w:t>
      </w:r>
    </w:p>
    <w:p w14:paraId="0D9F8393" w14:textId="77777777" w:rsidR="001061FC" w:rsidRPr="00D8219A" w:rsidRDefault="001061FC" w:rsidP="00F069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rPr>
          <w:rFonts w:asciiTheme="majorHAnsi" w:hAnsiTheme="majorHAnsi"/>
          <w:color w:val="000000" w:themeColor="text1"/>
          <w:sz w:val="20"/>
          <w:szCs w:val="20"/>
          <w:lang w:val="es-UY"/>
        </w:rPr>
      </w:pPr>
    </w:p>
    <w:p w14:paraId="3B8767D5" w14:textId="77777777" w:rsidR="008D2F96" w:rsidRPr="00D8219A" w:rsidRDefault="008D2F96" w:rsidP="00F069FF">
      <w:pPr>
        <w:pStyle w:val="parrafos"/>
        <w:ind w:left="0" w:firstLine="0"/>
        <w:rPr>
          <w:lang w:val="es-UY"/>
        </w:rPr>
      </w:pPr>
      <w:r w:rsidRPr="00D8219A">
        <w:rPr>
          <w:lang w:val="es-UY"/>
        </w:rPr>
        <w:t>El 10 de agosto de</w:t>
      </w:r>
      <w:r w:rsidR="00FF5C2B" w:rsidRPr="00D8219A">
        <w:rPr>
          <w:lang w:val="es-UY"/>
        </w:rPr>
        <w:t xml:space="preserve"> 20</w:t>
      </w:r>
      <w:r w:rsidR="00B90F45" w:rsidRPr="00D8219A">
        <w:rPr>
          <w:lang w:val="es-UY"/>
        </w:rPr>
        <w:t xml:space="preserve">17 </w:t>
      </w:r>
      <w:r w:rsidR="00187D3F" w:rsidRPr="00D8219A">
        <w:rPr>
          <w:lang w:val="es-UY"/>
        </w:rPr>
        <w:t>la Comisión</w:t>
      </w:r>
      <w:r w:rsidR="00C20519" w:rsidRPr="00D8219A">
        <w:rPr>
          <w:lang w:val="es-UY"/>
        </w:rPr>
        <w:t xml:space="preserve"> </w:t>
      </w:r>
      <w:r w:rsidR="00C14128" w:rsidRPr="00D8219A">
        <w:rPr>
          <w:lang w:val="es-UY"/>
        </w:rPr>
        <w:t>notificó a las partes la aplica</w:t>
      </w:r>
      <w:r w:rsidR="0065471F" w:rsidRPr="00D8219A">
        <w:rPr>
          <w:lang w:val="es-UY"/>
        </w:rPr>
        <w:t>bilidad</w:t>
      </w:r>
      <w:r w:rsidR="00C14128" w:rsidRPr="00D8219A">
        <w:rPr>
          <w:lang w:val="es-UY"/>
        </w:rPr>
        <w:t xml:space="preserve"> del </w:t>
      </w:r>
      <w:r w:rsidR="00B002F7" w:rsidRPr="00D8219A">
        <w:rPr>
          <w:lang w:val="es-UY"/>
        </w:rPr>
        <w:t>artículo</w:t>
      </w:r>
      <w:r w:rsidR="00C14128" w:rsidRPr="00D8219A">
        <w:rPr>
          <w:lang w:val="es-UY"/>
        </w:rPr>
        <w:t xml:space="preserve"> 3</w:t>
      </w:r>
      <w:r w:rsidR="00146078" w:rsidRPr="00D8219A">
        <w:rPr>
          <w:lang w:val="es-UY"/>
        </w:rPr>
        <w:t>6(3) de su Reglamento, ya que la</w:t>
      </w:r>
      <w:r w:rsidR="00C14128" w:rsidRPr="00D8219A">
        <w:rPr>
          <w:lang w:val="es-UY"/>
        </w:rPr>
        <w:t xml:space="preserve"> </w:t>
      </w:r>
      <w:r w:rsidR="009A30D6" w:rsidRPr="00D8219A">
        <w:rPr>
          <w:lang w:val="es-UY"/>
        </w:rPr>
        <w:t>petici</w:t>
      </w:r>
      <w:r w:rsidR="00146078" w:rsidRPr="00D8219A">
        <w:rPr>
          <w:lang w:val="es-UY"/>
        </w:rPr>
        <w:t>ón</w:t>
      </w:r>
      <w:r w:rsidR="00C931D3" w:rsidRPr="00D8219A">
        <w:rPr>
          <w:lang w:val="es-UY"/>
        </w:rPr>
        <w:t xml:space="preserve"> está comprendida en</w:t>
      </w:r>
      <w:r w:rsidR="00FC03DC" w:rsidRPr="00D8219A">
        <w:rPr>
          <w:lang w:val="es-UY"/>
        </w:rPr>
        <w:t>tre</w:t>
      </w:r>
      <w:r w:rsidR="00C14128" w:rsidRPr="00D8219A">
        <w:rPr>
          <w:lang w:val="es-UY"/>
        </w:rPr>
        <w:t xml:space="preserve"> los </w:t>
      </w:r>
      <w:r w:rsidR="009A30D6" w:rsidRPr="00D8219A">
        <w:rPr>
          <w:lang w:val="es-UY"/>
        </w:rPr>
        <w:t>criterios</w:t>
      </w:r>
      <w:r w:rsidR="00C14128" w:rsidRPr="00D8219A">
        <w:rPr>
          <w:lang w:val="es-UY"/>
        </w:rPr>
        <w:t xml:space="preserve"> establecidos en su Resolu</w:t>
      </w:r>
      <w:r w:rsidR="009A30D6" w:rsidRPr="00D8219A">
        <w:rPr>
          <w:lang w:val="es-UY"/>
        </w:rPr>
        <w:t>ción</w:t>
      </w:r>
      <w:r w:rsidR="00C14128" w:rsidRPr="00D8219A">
        <w:rPr>
          <w:lang w:val="es-UY"/>
        </w:rPr>
        <w:t xml:space="preserve"> 1/16, y se puso a</w:t>
      </w:r>
      <w:r w:rsidR="0065471F" w:rsidRPr="00D8219A">
        <w:rPr>
          <w:lang w:val="es-UY"/>
        </w:rPr>
        <w:t xml:space="preserve"> su</w:t>
      </w:r>
      <w:r w:rsidR="00C14128" w:rsidRPr="00D8219A">
        <w:rPr>
          <w:lang w:val="es-UY"/>
        </w:rPr>
        <w:t xml:space="preserve"> disposi</w:t>
      </w:r>
      <w:r w:rsidR="009A30D6" w:rsidRPr="00D8219A">
        <w:rPr>
          <w:lang w:val="es-UY"/>
        </w:rPr>
        <w:t>ción</w:t>
      </w:r>
      <w:r w:rsidR="00C14128" w:rsidRPr="00D8219A">
        <w:rPr>
          <w:lang w:val="es-UY"/>
        </w:rPr>
        <w:t xml:space="preserve"> para llegar a un arreglo amistoso. Las partes gozaron de los plazos previstos en el Reglamento de la CIDH para presentar </w:t>
      </w:r>
      <w:r w:rsidR="009A30D6" w:rsidRPr="00D8219A">
        <w:rPr>
          <w:lang w:val="es-UY"/>
        </w:rPr>
        <w:t>observaciones</w:t>
      </w:r>
      <w:r w:rsidR="006E7EBA" w:rsidRPr="00D8219A">
        <w:rPr>
          <w:lang w:val="es-UY"/>
        </w:rPr>
        <w:t xml:space="preserve"> adicionales sobre </w:t>
      </w:r>
      <w:r w:rsidR="00DB4038" w:rsidRPr="00D8219A">
        <w:rPr>
          <w:lang w:val="es-UY"/>
        </w:rPr>
        <w:t>el fondo</w:t>
      </w:r>
      <w:r w:rsidR="006E7EBA" w:rsidRPr="00D8219A">
        <w:rPr>
          <w:lang w:val="es-UY"/>
        </w:rPr>
        <w:t>. Toda la informa</w:t>
      </w:r>
      <w:r w:rsidR="009A30D6" w:rsidRPr="00D8219A">
        <w:rPr>
          <w:lang w:val="es-UY"/>
        </w:rPr>
        <w:t>ción</w:t>
      </w:r>
      <w:r w:rsidR="006E7EBA" w:rsidRPr="00D8219A">
        <w:rPr>
          <w:lang w:val="es-UY"/>
        </w:rPr>
        <w:t xml:space="preserve"> recibida por la </w:t>
      </w:r>
      <w:r w:rsidR="009A30D6" w:rsidRPr="00D8219A">
        <w:rPr>
          <w:lang w:val="es-UY"/>
        </w:rPr>
        <w:t>Comisión</w:t>
      </w:r>
      <w:r w:rsidR="006E7EBA" w:rsidRPr="00D8219A">
        <w:rPr>
          <w:lang w:val="es-UY"/>
        </w:rPr>
        <w:t xml:space="preserve"> fue debidamente transmitida a las partes.</w:t>
      </w:r>
    </w:p>
    <w:p w14:paraId="54A73084" w14:textId="77777777" w:rsidR="001061FC" w:rsidRPr="00D8219A" w:rsidRDefault="001061FC" w:rsidP="001061FC">
      <w:pPr>
        <w:pStyle w:val="ListParagraph"/>
        <w:tabs>
          <w:tab w:val="left" w:pos="360"/>
        </w:tabs>
        <w:rPr>
          <w:rFonts w:asciiTheme="majorHAnsi" w:hAnsiTheme="majorHAnsi"/>
          <w:color w:val="000000" w:themeColor="text1"/>
          <w:sz w:val="20"/>
          <w:szCs w:val="20"/>
          <w:lang w:val="es-UY"/>
        </w:rPr>
      </w:pPr>
    </w:p>
    <w:p w14:paraId="2CFD2580" w14:textId="77777777" w:rsidR="001061FC" w:rsidRPr="00D8219A" w:rsidRDefault="00187D3F" w:rsidP="00D83C3C">
      <w:pPr>
        <w:pStyle w:val="Heading1"/>
        <w:keepNext w:val="0"/>
        <w:keepLines w:val="0"/>
        <w:numPr>
          <w:ilvl w:val="0"/>
          <w:numId w:val="55"/>
        </w:numPr>
        <w:suppressAutoHyphens/>
        <w:spacing w:before="0"/>
        <w:ind w:left="360" w:hanging="360"/>
        <w:rPr>
          <w:color w:val="auto"/>
          <w:sz w:val="20"/>
          <w:szCs w:val="20"/>
        </w:rPr>
      </w:pPr>
      <w:bookmarkStart w:id="1" w:name="_Toc69212233"/>
      <w:r w:rsidRPr="00D8219A">
        <w:rPr>
          <w:color w:val="auto"/>
          <w:sz w:val="20"/>
          <w:szCs w:val="20"/>
        </w:rPr>
        <w:t>POSICIONES DE LAS PARTES</w:t>
      </w:r>
      <w:bookmarkEnd w:id="1"/>
    </w:p>
    <w:p w14:paraId="06946869" w14:textId="77777777" w:rsidR="001061FC" w:rsidRPr="00D8219A" w:rsidRDefault="001061FC" w:rsidP="001061FC">
      <w:pPr>
        <w:tabs>
          <w:tab w:val="left" w:pos="360"/>
        </w:tabs>
        <w:suppressAutoHyphens/>
        <w:rPr>
          <w:rFonts w:asciiTheme="majorHAnsi" w:hAnsiTheme="majorHAnsi"/>
          <w:sz w:val="20"/>
          <w:szCs w:val="20"/>
          <w:lang w:val="es-ES_tradnl"/>
        </w:rPr>
      </w:pPr>
    </w:p>
    <w:p w14:paraId="06762D82" w14:textId="77777777" w:rsidR="001061FC" w:rsidRPr="00D8219A" w:rsidRDefault="00187D3F" w:rsidP="00D83C3C">
      <w:pPr>
        <w:pStyle w:val="Heading2"/>
        <w:keepNext w:val="0"/>
        <w:keepLines w:val="0"/>
        <w:numPr>
          <w:ilvl w:val="0"/>
          <w:numId w:val="56"/>
        </w:numPr>
        <w:tabs>
          <w:tab w:val="left" w:pos="360"/>
        </w:tabs>
        <w:suppressAutoHyphens/>
        <w:spacing w:before="0"/>
        <w:ind w:left="360"/>
        <w:rPr>
          <w:color w:val="auto"/>
          <w:sz w:val="20"/>
          <w:szCs w:val="20"/>
        </w:rPr>
      </w:pPr>
      <w:bookmarkStart w:id="2" w:name="_Toc69212234"/>
      <w:r w:rsidRPr="00D8219A">
        <w:rPr>
          <w:color w:val="auto"/>
          <w:sz w:val="20"/>
          <w:szCs w:val="20"/>
        </w:rPr>
        <w:t>Peticionario</w:t>
      </w:r>
      <w:bookmarkEnd w:id="2"/>
    </w:p>
    <w:p w14:paraId="7EBC91E4" w14:textId="77777777" w:rsidR="001061FC" w:rsidRPr="00D8219A" w:rsidRDefault="001061FC" w:rsidP="001061FC">
      <w:pPr>
        <w:tabs>
          <w:tab w:val="left" w:pos="360"/>
        </w:tabs>
        <w:suppressAutoHyphens/>
        <w:rPr>
          <w:rFonts w:asciiTheme="majorHAnsi" w:hAnsiTheme="majorHAnsi"/>
          <w:sz w:val="20"/>
          <w:szCs w:val="20"/>
          <w:lang w:val="es-ES_tradnl"/>
        </w:rPr>
      </w:pPr>
    </w:p>
    <w:p w14:paraId="2335C47A" w14:textId="77777777" w:rsidR="007D191E" w:rsidRPr="00D8219A" w:rsidRDefault="006E7EBA" w:rsidP="00B66BC9">
      <w:pPr>
        <w:pStyle w:val="parrafos"/>
        <w:ind w:left="0" w:firstLine="0"/>
        <w:rPr>
          <w:lang w:val="es-UY"/>
        </w:rPr>
      </w:pPr>
      <w:r w:rsidRPr="00D8219A">
        <w:rPr>
          <w:lang w:val="es-ES_tradnl"/>
        </w:rPr>
        <w:t>El</w:t>
      </w:r>
      <w:r w:rsidR="007D191E" w:rsidRPr="00D8219A">
        <w:rPr>
          <w:lang w:val="es-ES_tradnl"/>
        </w:rPr>
        <w:t xml:space="preserve"> </w:t>
      </w:r>
      <w:r w:rsidR="008D2F96" w:rsidRPr="00D8219A">
        <w:rPr>
          <w:lang w:val="es-ES_tradnl"/>
        </w:rPr>
        <w:t>peticionario</w:t>
      </w:r>
      <w:r w:rsidR="007D191E" w:rsidRPr="00D8219A">
        <w:rPr>
          <w:lang w:val="es-ES_tradnl"/>
        </w:rPr>
        <w:t xml:space="preserve"> </w:t>
      </w:r>
      <w:r w:rsidRPr="00D8219A">
        <w:rPr>
          <w:lang w:val="es-ES_tradnl"/>
        </w:rPr>
        <w:t xml:space="preserve">alega que en </w:t>
      </w:r>
      <w:r w:rsidR="00B943E5" w:rsidRPr="00D8219A">
        <w:rPr>
          <w:lang w:val="es-ES_tradnl"/>
        </w:rPr>
        <w:t>a</w:t>
      </w:r>
      <w:r w:rsidRPr="00D8219A">
        <w:rPr>
          <w:lang w:val="es-ES_tradnl"/>
        </w:rPr>
        <w:t xml:space="preserve">gosto de 2002 el </w:t>
      </w:r>
      <w:r w:rsidR="001B5C63" w:rsidRPr="00D8219A">
        <w:rPr>
          <w:lang w:val="es-ES_tradnl"/>
        </w:rPr>
        <w:t>señor</w:t>
      </w:r>
      <w:r w:rsidRPr="00D8219A">
        <w:rPr>
          <w:lang w:val="es-ES_tradnl"/>
        </w:rPr>
        <w:t xml:space="preserve"> Serrano, </w:t>
      </w:r>
      <w:r w:rsidR="0065471F" w:rsidRPr="00D8219A">
        <w:rPr>
          <w:lang w:val="es-ES_tradnl"/>
        </w:rPr>
        <w:t xml:space="preserve">con </w:t>
      </w:r>
      <w:r w:rsidRPr="00D8219A">
        <w:rPr>
          <w:lang w:val="es-ES_tradnl"/>
        </w:rPr>
        <w:t>doble</w:t>
      </w:r>
      <w:r w:rsidR="0065471F" w:rsidRPr="00D8219A">
        <w:rPr>
          <w:lang w:val="es-ES_tradnl"/>
        </w:rPr>
        <w:t xml:space="preserve"> ciudadanía</w:t>
      </w:r>
      <w:r w:rsidRPr="00D8219A">
        <w:rPr>
          <w:lang w:val="es-ES_tradnl"/>
        </w:rPr>
        <w:t xml:space="preserve"> de Ecuador y de </w:t>
      </w:r>
      <w:r w:rsidR="00616685" w:rsidRPr="00D8219A">
        <w:rPr>
          <w:lang w:val="es-ES_tradnl"/>
        </w:rPr>
        <w:t>Estados Unidos</w:t>
      </w:r>
      <w:r w:rsidRPr="00D8219A">
        <w:rPr>
          <w:lang w:val="es-ES_tradnl"/>
        </w:rPr>
        <w:t>, fue secuestrado</w:t>
      </w:r>
      <w:r w:rsidR="007B17F9" w:rsidRPr="00D8219A">
        <w:rPr>
          <w:lang w:val="es-ES_tradnl"/>
        </w:rPr>
        <w:t xml:space="preserve"> ilegalmente</w:t>
      </w:r>
      <w:r w:rsidRPr="00D8219A">
        <w:rPr>
          <w:lang w:val="es-ES_tradnl"/>
        </w:rPr>
        <w:t xml:space="preserve"> y entregado a </w:t>
      </w:r>
      <w:r w:rsidR="00616685" w:rsidRPr="00D8219A">
        <w:rPr>
          <w:lang w:val="es-ES_tradnl"/>
        </w:rPr>
        <w:t>Estados Unidos</w:t>
      </w:r>
      <w:r w:rsidR="0065471F" w:rsidRPr="00D8219A">
        <w:rPr>
          <w:lang w:val="es-ES_tradnl"/>
        </w:rPr>
        <w:t xml:space="preserve"> desde Ecuador </w:t>
      </w:r>
      <w:r w:rsidRPr="00D8219A">
        <w:rPr>
          <w:lang w:val="es-ES_tradnl"/>
        </w:rPr>
        <w:t xml:space="preserve">para ser sometido a juicio por cuatro homicidios cometidos en Florida en 1997. Alega que </w:t>
      </w:r>
      <w:r w:rsidR="0065471F" w:rsidRPr="00D8219A">
        <w:rPr>
          <w:lang w:val="es-ES_tradnl"/>
        </w:rPr>
        <w:t>en 2007, no obstante</w:t>
      </w:r>
      <w:r w:rsidRPr="00D8219A">
        <w:rPr>
          <w:lang w:val="es-ES_tradnl"/>
        </w:rPr>
        <w:t xml:space="preserve"> </w:t>
      </w:r>
      <w:r w:rsidR="00DB4038" w:rsidRPr="00D8219A">
        <w:rPr>
          <w:lang w:val="es-ES_tradnl"/>
        </w:rPr>
        <w:t>la existencia de</w:t>
      </w:r>
      <w:r w:rsidRPr="00D8219A">
        <w:rPr>
          <w:lang w:val="es-ES_tradnl"/>
        </w:rPr>
        <w:t xml:space="preserve"> sólida</w:t>
      </w:r>
      <w:r w:rsidR="00DB4038" w:rsidRPr="00D8219A">
        <w:rPr>
          <w:lang w:val="es-ES_tradnl"/>
        </w:rPr>
        <w:t>s</w:t>
      </w:r>
      <w:r w:rsidRPr="00D8219A">
        <w:rPr>
          <w:lang w:val="es-ES_tradnl"/>
        </w:rPr>
        <w:t xml:space="preserve"> p</w:t>
      </w:r>
      <w:r w:rsidR="00B943E5" w:rsidRPr="00D8219A">
        <w:rPr>
          <w:lang w:val="es-ES_tradnl"/>
        </w:rPr>
        <w:t>rueba</w:t>
      </w:r>
      <w:r w:rsidR="00DB4038" w:rsidRPr="00D8219A">
        <w:rPr>
          <w:lang w:val="es-ES_tradnl"/>
        </w:rPr>
        <w:t>s</w:t>
      </w:r>
      <w:r w:rsidR="00B943E5" w:rsidRPr="00D8219A">
        <w:rPr>
          <w:lang w:val="es-ES_tradnl"/>
        </w:rPr>
        <w:t xml:space="preserve"> exculpatoria</w:t>
      </w:r>
      <w:r w:rsidR="00DB4038" w:rsidRPr="00D8219A">
        <w:rPr>
          <w:lang w:val="es-ES_tradnl"/>
        </w:rPr>
        <w:t>s</w:t>
      </w:r>
      <w:r w:rsidR="00B943E5" w:rsidRPr="00D8219A">
        <w:rPr>
          <w:lang w:val="es-ES_tradnl"/>
        </w:rPr>
        <w:t>, incluida una coartada corr</w:t>
      </w:r>
      <w:r w:rsidR="0065471F" w:rsidRPr="00D8219A">
        <w:rPr>
          <w:lang w:val="es-ES_tradnl"/>
        </w:rPr>
        <w:t>oborada por una cámara de video;</w:t>
      </w:r>
      <w:r w:rsidR="00FC03DC" w:rsidRPr="00D8219A">
        <w:rPr>
          <w:lang w:val="es-ES_tradnl"/>
        </w:rPr>
        <w:t xml:space="preserve"> </w:t>
      </w:r>
      <w:r w:rsidR="00B943E5" w:rsidRPr="00D8219A">
        <w:rPr>
          <w:lang w:val="es-ES_tradnl"/>
        </w:rPr>
        <w:t>declaraciones testimoniales contradictorias</w:t>
      </w:r>
      <w:r w:rsidR="0065471F" w:rsidRPr="00D8219A">
        <w:rPr>
          <w:lang w:val="es-ES_tradnl"/>
        </w:rPr>
        <w:t>,</w:t>
      </w:r>
      <w:r w:rsidR="00B943E5" w:rsidRPr="00D8219A">
        <w:rPr>
          <w:lang w:val="es-ES_tradnl"/>
        </w:rPr>
        <w:t xml:space="preserve"> y</w:t>
      </w:r>
      <w:r w:rsidR="00FC03DC" w:rsidRPr="00D8219A">
        <w:rPr>
          <w:lang w:val="es-ES_tradnl"/>
        </w:rPr>
        <w:t xml:space="preserve"> </w:t>
      </w:r>
      <w:r w:rsidR="00B943E5" w:rsidRPr="00D8219A">
        <w:rPr>
          <w:lang w:val="es-ES_tradnl"/>
        </w:rPr>
        <w:t>ausencia de prueba</w:t>
      </w:r>
      <w:r w:rsidR="00DB4038" w:rsidRPr="00D8219A">
        <w:rPr>
          <w:lang w:val="es-ES_tradnl"/>
        </w:rPr>
        <w:t>s</w:t>
      </w:r>
      <w:r w:rsidR="00B943E5" w:rsidRPr="00D8219A">
        <w:rPr>
          <w:lang w:val="es-ES_tradnl"/>
        </w:rPr>
        <w:t xml:space="preserve"> forense</w:t>
      </w:r>
      <w:r w:rsidR="00DB4038" w:rsidRPr="00D8219A">
        <w:rPr>
          <w:lang w:val="es-ES_tradnl"/>
        </w:rPr>
        <w:t>s</w:t>
      </w:r>
      <w:r w:rsidR="00B943E5" w:rsidRPr="00D8219A">
        <w:rPr>
          <w:lang w:val="es-ES_tradnl"/>
        </w:rPr>
        <w:t xml:space="preserve"> legítima</w:t>
      </w:r>
      <w:r w:rsidR="00DB4038" w:rsidRPr="00D8219A">
        <w:rPr>
          <w:lang w:val="es-ES_tradnl"/>
        </w:rPr>
        <w:t>s</w:t>
      </w:r>
      <w:r w:rsidR="00B943E5" w:rsidRPr="00D8219A">
        <w:rPr>
          <w:lang w:val="es-ES_tradnl"/>
        </w:rPr>
        <w:t xml:space="preserve"> en su contra, el</w:t>
      </w:r>
      <w:r w:rsidR="009A30D6" w:rsidRPr="00D8219A">
        <w:rPr>
          <w:lang w:val="es-ES_tradnl"/>
        </w:rPr>
        <w:t xml:space="preserve"> </w:t>
      </w:r>
      <w:r w:rsidR="001B5C63" w:rsidRPr="00D8219A">
        <w:rPr>
          <w:lang w:val="es-ES_tradnl"/>
        </w:rPr>
        <w:t>señor</w:t>
      </w:r>
      <w:r w:rsidR="009A30D6" w:rsidRPr="00D8219A">
        <w:rPr>
          <w:lang w:val="es-ES_tradnl"/>
        </w:rPr>
        <w:t xml:space="preserve"> Serrano</w:t>
      </w:r>
      <w:r w:rsidR="00B943E5" w:rsidRPr="00D8219A">
        <w:rPr>
          <w:lang w:val="es-ES_tradnl"/>
        </w:rPr>
        <w:t xml:space="preserve"> fue declarado culpable y condenado a muerte</w:t>
      </w:r>
      <w:r w:rsidR="008959ED" w:rsidRPr="00D8219A">
        <w:rPr>
          <w:lang w:val="es-UY"/>
        </w:rPr>
        <w:t>.</w:t>
      </w:r>
      <w:r w:rsidR="00C963E4" w:rsidRPr="00D8219A">
        <w:rPr>
          <w:lang w:val="es-UY"/>
        </w:rPr>
        <w:t xml:space="preserve"> </w:t>
      </w:r>
    </w:p>
    <w:p w14:paraId="60BF3E7B" w14:textId="77777777" w:rsidR="00F51611" w:rsidRPr="00D8219A" w:rsidRDefault="00F51611" w:rsidP="00F069FF">
      <w:pPr>
        <w:pStyle w:val="parrafos"/>
        <w:numPr>
          <w:ilvl w:val="0"/>
          <w:numId w:val="0"/>
        </w:numPr>
        <w:rPr>
          <w:lang w:val="es-UY"/>
        </w:rPr>
      </w:pPr>
    </w:p>
    <w:p w14:paraId="23CCDD6F" w14:textId="77777777" w:rsidR="00B943E5" w:rsidRPr="00D8219A" w:rsidRDefault="00B943E5" w:rsidP="00F069FF">
      <w:pPr>
        <w:pStyle w:val="parrafos"/>
        <w:ind w:left="0" w:firstLine="0"/>
        <w:rPr>
          <w:lang w:val="es-UY"/>
        </w:rPr>
      </w:pPr>
      <w:r w:rsidRPr="00D8219A">
        <w:rPr>
          <w:lang w:val="es-UY"/>
        </w:rPr>
        <w:t xml:space="preserve">Según el </w:t>
      </w:r>
      <w:r w:rsidR="009A30D6" w:rsidRPr="00D8219A">
        <w:rPr>
          <w:lang w:val="es-UY"/>
        </w:rPr>
        <w:t>peticionario</w:t>
      </w:r>
      <w:r w:rsidR="00FC03DC" w:rsidRPr="00D8219A">
        <w:rPr>
          <w:lang w:val="es-UY"/>
        </w:rPr>
        <w:t>,</w:t>
      </w:r>
      <w:r w:rsidRPr="00D8219A">
        <w:rPr>
          <w:lang w:val="es-UY"/>
        </w:rPr>
        <w:t xml:space="preserve"> una semana antes de la entrega ilegal d</w:t>
      </w:r>
      <w:r w:rsidR="009A30D6" w:rsidRPr="00D8219A">
        <w:rPr>
          <w:lang w:val="es-UY"/>
        </w:rPr>
        <w:t xml:space="preserve">el </w:t>
      </w:r>
      <w:r w:rsidR="001B5C63" w:rsidRPr="00D8219A">
        <w:rPr>
          <w:lang w:val="es-UY"/>
        </w:rPr>
        <w:t>señor</w:t>
      </w:r>
      <w:r w:rsidR="009A30D6" w:rsidRPr="00D8219A">
        <w:rPr>
          <w:lang w:val="es-UY"/>
        </w:rPr>
        <w:t xml:space="preserve"> Serrano</w:t>
      </w:r>
      <w:r w:rsidRPr="00D8219A">
        <w:rPr>
          <w:lang w:val="es-UY"/>
        </w:rPr>
        <w:t xml:space="preserve"> </w:t>
      </w:r>
      <w:r w:rsidR="009A30D6" w:rsidRPr="00D8219A">
        <w:rPr>
          <w:lang w:val="es-UY"/>
        </w:rPr>
        <w:t>Estado</w:t>
      </w:r>
      <w:r w:rsidRPr="00D8219A">
        <w:rPr>
          <w:lang w:val="es-UY"/>
        </w:rPr>
        <w:t xml:space="preserve">s Unidos remitió una solicitud </w:t>
      </w:r>
      <w:r w:rsidR="009A30D6" w:rsidRPr="00D8219A">
        <w:rPr>
          <w:lang w:val="es-UY"/>
        </w:rPr>
        <w:t>diplomática</w:t>
      </w:r>
      <w:r w:rsidRPr="00D8219A">
        <w:rPr>
          <w:lang w:val="es-UY"/>
        </w:rPr>
        <w:t xml:space="preserve"> formal </w:t>
      </w:r>
      <w:r w:rsidR="00DB4038" w:rsidRPr="00D8219A">
        <w:rPr>
          <w:lang w:val="es-UY"/>
        </w:rPr>
        <w:t>para su</w:t>
      </w:r>
      <w:r w:rsidRPr="00D8219A">
        <w:rPr>
          <w:lang w:val="es-UY"/>
        </w:rPr>
        <w:t xml:space="preserve"> extradi</w:t>
      </w:r>
      <w:r w:rsidR="009A30D6" w:rsidRPr="00D8219A">
        <w:rPr>
          <w:lang w:val="es-UY"/>
        </w:rPr>
        <w:t>ción</w:t>
      </w:r>
      <w:r w:rsidRPr="00D8219A">
        <w:rPr>
          <w:lang w:val="es-UY"/>
        </w:rPr>
        <w:t xml:space="preserve"> invocando el tratado bilateral con </w:t>
      </w:r>
      <w:r w:rsidR="009A30D6" w:rsidRPr="00D8219A">
        <w:rPr>
          <w:lang w:val="es-UY"/>
        </w:rPr>
        <w:t>Ecuador</w:t>
      </w:r>
      <w:r w:rsidRPr="00D8219A">
        <w:rPr>
          <w:lang w:val="es-UY"/>
        </w:rPr>
        <w:t>. En su solicitud de extradi</w:t>
      </w:r>
      <w:r w:rsidR="009A30D6" w:rsidRPr="00D8219A">
        <w:rPr>
          <w:lang w:val="es-UY"/>
        </w:rPr>
        <w:t>ción</w:t>
      </w:r>
      <w:r w:rsidR="001F200D" w:rsidRPr="00D8219A">
        <w:rPr>
          <w:lang w:val="es-UY"/>
        </w:rPr>
        <w:t xml:space="preserve"> Estados Unidos</w:t>
      </w:r>
      <w:r w:rsidRPr="00D8219A">
        <w:rPr>
          <w:lang w:val="es-UY"/>
        </w:rPr>
        <w:t xml:space="preserve"> </w:t>
      </w:r>
      <w:r w:rsidR="00AC37D8" w:rsidRPr="00D8219A">
        <w:rPr>
          <w:lang w:val="es-UY"/>
        </w:rPr>
        <w:t>expres</w:t>
      </w:r>
      <w:r w:rsidRPr="00D8219A">
        <w:rPr>
          <w:lang w:val="es-UY"/>
        </w:rPr>
        <w:t>ó q</w:t>
      </w:r>
      <w:r w:rsidR="00D9547B" w:rsidRPr="00D8219A">
        <w:rPr>
          <w:lang w:val="es-UY"/>
        </w:rPr>
        <w:t>u</w:t>
      </w:r>
      <w:r w:rsidRPr="00D8219A">
        <w:rPr>
          <w:lang w:val="es-UY"/>
        </w:rPr>
        <w:t>e</w:t>
      </w:r>
      <w:r w:rsidR="00DB4038" w:rsidRPr="00D8219A">
        <w:rPr>
          <w:lang w:val="es-UY"/>
        </w:rPr>
        <w:t>,</w:t>
      </w:r>
      <w:r w:rsidRPr="00D8219A">
        <w:rPr>
          <w:lang w:val="es-UY"/>
        </w:rPr>
        <w:t xml:space="preserve"> a cambio de la coopera</w:t>
      </w:r>
      <w:r w:rsidR="009A30D6" w:rsidRPr="00D8219A">
        <w:rPr>
          <w:lang w:val="es-UY"/>
        </w:rPr>
        <w:t>ción</w:t>
      </w:r>
      <w:r w:rsidRPr="00D8219A">
        <w:rPr>
          <w:lang w:val="es-UY"/>
        </w:rPr>
        <w:t xml:space="preserve"> de </w:t>
      </w:r>
      <w:r w:rsidR="009A30D6" w:rsidRPr="00D8219A">
        <w:rPr>
          <w:lang w:val="es-UY"/>
        </w:rPr>
        <w:t>Ecuador</w:t>
      </w:r>
      <w:r w:rsidRPr="00D8219A">
        <w:rPr>
          <w:lang w:val="es-UY"/>
        </w:rPr>
        <w:t xml:space="preserve"> en la extradi</w:t>
      </w:r>
      <w:r w:rsidR="009A30D6" w:rsidRPr="00D8219A">
        <w:rPr>
          <w:lang w:val="es-UY"/>
        </w:rPr>
        <w:t>ción</w:t>
      </w:r>
      <w:r w:rsidRPr="00D8219A">
        <w:rPr>
          <w:lang w:val="es-UY"/>
        </w:rPr>
        <w:t xml:space="preserve"> d</w:t>
      </w:r>
      <w:r w:rsidR="001F200D" w:rsidRPr="00D8219A">
        <w:rPr>
          <w:lang w:val="es-UY"/>
        </w:rPr>
        <w:t xml:space="preserve">el </w:t>
      </w:r>
      <w:r w:rsidR="001B5C63" w:rsidRPr="00D8219A">
        <w:rPr>
          <w:lang w:val="es-UY"/>
        </w:rPr>
        <w:t>señor</w:t>
      </w:r>
      <w:r w:rsidR="007259D8" w:rsidRPr="00D8219A">
        <w:rPr>
          <w:lang w:val="es-UY"/>
        </w:rPr>
        <w:t xml:space="preserve"> Serrano</w:t>
      </w:r>
      <w:r w:rsidR="00DB4038" w:rsidRPr="00D8219A">
        <w:rPr>
          <w:lang w:val="es-UY"/>
        </w:rPr>
        <w:t>,</w:t>
      </w:r>
      <w:r w:rsidRPr="00D8219A">
        <w:rPr>
          <w:lang w:val="es-UY"/>
        </w:rPr>
        <w:t xml:space="preserve"> “no se solicitar[ía] ni impondría la pena de muerte” en su caso. El </w:t>
      </w:r>
      <w:r w:rsidR="009A30D6" w:rsidRPr="00D8219A">
        <w:rPr>
          <w:lang w:val="es-UY"/>
        </w:rPr>
        <w:t>peticionario</w:t>
      </w:r>
      <w:r w:rsidRPr="00D8219A">
        <w:rPr>
          <w:lang w:val="es-UY"/>
        </w:rPr>
        <w:t xml:space="preserve"> ma</w:t>
      </w:r>
      <w:r w:rsidR="001F200D" w:rsidRPr="00D8219A">
        <w:rPr>
          <w:lang w:val="es-UY"/>
        </w:rPr>
        <w:t>n</w:t>
      </w:r>
      <w:r w:rsidRPr="00D8219A">
        <w:rPr>
          <w:lang w:val="es-UY"/>
        </w:rPr>
        <w:t>ifiesta que el 31 de agosto de 2002,</w:t>
      </w:r>
      <w:r w:rsidR="00AC37D8" w:rsidRPr="00D8219A">
        <w:rPr>
          <w:lang w:val="es-UY"/>
        </w:rPr>
        <w:t xml:space="preserve"> desentendiéndose por completo</w:t>
      </w:r>
      <w:r w:rsidRPr="00D8219A">
        <w:rPr>
          <w:lang w:val="es-UY"/>
        </w:rPr>
        <w:t xml:space="preserve"> </w:t>
      </w:r>
      <w:r w:rsidR="00AC37D8" w:rsidRPr="00D8219A">
        <w:rPr>
          <w:lang w:val="es-UY"/>
        </w:rPr>
        <w:t xml:space="preserve">de </w:t>
      </w:r>
      <w:r w:rsidRPr="00D8219A">
        <w:rPr>
          <w:lang w:val="es-UY"/>
        </w:rPr>
        <w:t>la solicitud del Departamento de Estado</w:t>
      </w:r>
      <w:r w:rsidR="00D0718A" w:rsidRPr="00D8219A">
        <w:rPr>
          <w:lang w:val="es-UY"/>
        </w:rPr>
        <w:t>,</w:t>
      </w:r>
      <w:r w:rsidRPr="00D8219A">
        <w:rPr>
          <w:lang w:val="es-UY"/>
        </w:rPr>
        <w:t xml:space="preserve"> las autoridades de Florida</w:t>
      </w:r>
      <w:r w:rsidR="00FC03DC" w:rsidRPr="00D8219A">
        <w:rPr>
          <w:lang w:val="es-UY"/>
        </w:rPr>
        <w:t xml:space="preserve"> llevaron a cabo la</w:t>
      </w:r>
      <w:r w:rsidRPr="00D8219A">
        <w:rPr>
          <w:lang w:val="es-UY"/>
        </w:rPr>
        <w:t xml:space="preserve"> entrega ilegal. U</w:t>
      </w:r>
      <w:r w:rsidR="00FB3B57" w:rsidRPr="00D8219A">
        <w:rPr>
          <w:lang w:val="es-UY"/>
        </w:rPr>
        <w:t>n</w:t>
      </w:r>
      <w:r w:rsidRPr="00D8219A">
        <w:rPr>
          <w:lang w:val="es-UY"/>
        </w:rPr>
        <w:t xml:space="preserve">a vez que </w:t>
      </w:r>
      <w:r w:rsidR="009A30D6" w:rsidRPr="00D8219A">
        <w:rPr>
          <w:lang w:val="es-UY"/>
        </w:rPr>
        <w:t xml:space="preserve">el </w:t>
      </w:r>
      <w:r w:rsidR="001B5C63" w:rsidRPr="00D8219A">
        <w:rPr>
          <w:lang w:val="es-UY"/>
        </w:rPr>
        <w:t>señor</w:t>
      </w:r>
      <w:r w:rsidR="009A30D6" w:rsidRPr="00D8219A">
        <w:rPr>
          <w:lang w:val="es-UY"/>
        </w:rPr>
        <w:t xml:space="preserve"> Serrano</w:t>
      </w:r>
      <w:r w:rsidRPr="00D8219A">
        <w:rPr>
          <w:lang w:val="es-UY"/>
        </w:rPr>
        <w:t xml:space="preserve"> fue secuestrado y entregado por </w:t>
      </w:r>
      <w:r w:rsidR="00616685" w:rsidRPr="00D8219A">
        <w:rPr>
          <w:lang w:val="es-UY"/>
        </w:rPr>
        <w:t>Estados Unidos</w:t>
      </w:r>
      <w:r w:rsidR="00B011E1" w:rsidRPr="00D8219A">
        <w:rPr>
          <w:lang w:val="es-UY"/>
        </w:rPr>
        <w:t xml:space="preserve"> la fiscalía solicitó la</w:t>
      </w:r>
      <w:r w:rsidR="00EE70AE" w:rsidRPr="00D8219A">
        <w:rPr>
          <w:lang w:val="es-UY"/>
        </w:rPr>
        <w:t xml:space="preserve"> imposición de la pena de muerte</w:t>
      </w:r>
      <w:r w:rsidR="00B011E1" w:rsidRPr="00D8219A">
        <w:rPr>
          <w:lang w:val="es-UY"/>
        </w:rPr>
        <w:t>,</w:t>
      </w:r>
      <w:r w:rsidR="00B621C2" w:rsidRPr="00D8219A">
        <w:rPr>
          <w:lang w:val="es-UY"/>
        </w:rPr>
        <w:t xml:space="preserve"> en desconocimiento de</w:t>
      </w:r>
      <w:r w:rsidR="003C4952" w:rsidRPr="00D8219A">
        <w:rPr>
          <w:lang w:val="es-UY"/>
        </w:rPr>
        <w:t xml:space="preserve"> la </w:t>
      </w:r>
      <w:r w:rsidR="007B63F9" w:rsidRPr="00D8219A">
        <w:rPr>
          <w:lang w:val="es-UY"/>
        </w:rPr>
        <w:t xml:space="preserve">garantía </w:t>
      </w:r>
      <w:r w:rsidR="003C4952" w:rsidRPr="00D8219A">
        <w:rPr>
          <w:lang w:val="es-UY"/>
        </w:rPr>
        <w:t xml:space="preserve">diplomática dada a </w:t>
      </w:r>
      <w:r w:rsidR="009A30D6" w:rsidRPr="00D8219A">
        <w:rPr>
          <w:lang w:val="es-UY"/>
        </w:rPr>
        <w:t>Ecuador</w:t>
      </w:r>
      <w:r w:rsidR="003C4952" w:rsidRPr="00D8219A">
        <w:rPr>
          <w:lang w:val="es-UY"/>
        </w:rPr>
        <w:t>.</w:t>
      </w:r>
      <w:r w:rsidR="00D0718A" w:rsidRPr="00D8219A">
        <w:rPr>
          <w:lang w:val="es-UY"/>
        </w:rPr>
        <w:t xml:space="preserve"> </w:t>
      </w:r>
    </w:p>
    <w:p w14:paraId="0557C29F" w14:textId="77777777" w:rsidR="00B943E5" w:rsidRPr="00D8219A" w:rsidRDefault="00B943E5" w:rsidP="00B943E5">
      <w:pPr>
        <w:pStyle w:val="ListParagraph"/>
        <w:rPr>
          <w:rFonts w:asciiTheme="majorHAnsi" w:hAnsiTheme="majorHAnsi"/>
          <w:lang w:val="es-UY"/>
        </w:rPr>
      </w:pPr>
    </w:p>
    <w:p w14:paraId="12D1F254" w14:textId="77777777" w:rsidR="003C4952" w:rsidRPr="00D8219A" w:rsidRDefault="003C4952" w:rsidP="003C4952">
      <w:pPr>
        <w:pStyle w:val="parrafos"/>
        <w:ind w:left="0" w:firstLine="0"/>
        <w:rPr>
          <w:lang w:val="es-UY"/>
        </w:rPr>
      </w:pPr>
      <w:r w:rsidRPr="00D8219A">
        <w:rPr>
          <w:lang w:val="es-UY"/>
        </w:rPr>
        <w:t xml:space="preserve">El </w:t>
      </w:r>
      <w:r w:rsidR="009A30D6" w:rsidRPr="00D8219A">
        <w:rPr>
          <w:lang w:val="es-UY"/>
        </w:rPr>
        <w:t>peticionario</w:t>
      </w:r>
      <w:r w:rsidRPr="00D8219A">
        <w:rPr>
          <w:lang w:val="es-UY"/>
        </w:rPr>
        <w:t xml:space="preserve"> indica que Ecua</w:t>
      </w:r>
      <w:r w:rsidR="00D9547B" w:rsidRPr="00D8219A">
        <w:rPr>
          <w:lang w:val="es-UY"/>
        </w:rPr>
        <w:t>dor</w:t>
      </w:r>
      <w:r w:rsidRPr="00D8219A">
        <w:rPr>
          <w:lang w:val="es-UY"/>
        </w:rPr>
        <w:t xml:space="preserve"> ha asumido responsabilid</w:t>
      </w:r>
      <w:r w:rsidR="00B66BC9" w:rsidRPr="00D8219A">
        <w:rPr>
          <w:lang w:val="es-UY"/>
        </w:rPr>
        <w:t>ad</w:t>
      </w:r>
      <w:r w:rsidR="00714E31" w:rsidRPr="00D8219A">
        <w:rPr>
          <w:lang w:val="es-UY"/>
        </w:rPr>
        <w:t xml:space="preserve"> por su</w:t>
      </w:r>
      <w:r w:rsidRPr="00D8219A">
        <w:rPr>
          <w:lang w:val="es-UY"/>
        </w:rPr>
        <w:t xml:space="preserve"> papel en la viola</w:t>
      </w:r>
      <w:r w:rsidR="009A30D6" w:rsidRPr="00D8219A">
        <w:rPr>
          <w:lang w:val="es-UY"/>
        </w:rPr>
        <w:t>ción</w:t>
      </w:r>
      <w:r w:rsidRPr="00D8219A">
        <w:rPr>
          <w:lang w:val="es-UY"/>
        </w:rPr>
        <w:t xml:space="preserve"> de los derechos de</w:t>
      </w:r>
      <w:r w:rsidR="009A30D6" w:rsidRPr="00D8219A">
        <w:rPr>
          <w:lang w:val="es-UY"/>
        </w:rPr>
        <w:t xml:space="preserve">l </w:t>
      </w:r>
      <w:r w:rsidR="001B5C63" w:rsidRPr="00D8219A">
        <w:rPr>
          <w:lang w:val="es-UY"/>
        </w:rPr>
        <w:t>señor</w:t>
      </w:r>
      <w:r w:rsidR="009A30D6" w:rsidRPr="00D8219A">
        <w:rPr>
          <w:lang w:val="es-UY"/>
        </w:rPr>
        <w:t xml:space="preserve"> Serrano,</w:t>
      </w:r>
      <w:r w:rsidRPr="00D8219A">
        <w:rPr>
          <w:lang w:val="es-UY"/>
        </w:rPr>
        <w:t xml:space="preserve"> y</w:t>
      </w:r>
      <w:r w:rsidR="00B621C2" w:rsidRPr="00D8219A">
        <w:rPr>
          <w:lang w:val="es-UY"/>
        </w:rPr>
        <w:t xml:space="preserve"> que</w:t>
      </w:r>
      <w:r w:rsidRPr="00D8219A">
        <w:rPr>
          <w:lang w:val="es-UY"/>
        </w:rPr>
        <w:t xml:space="preserve"> remitió </w:t>
      </w:r>
      <w:r w:rsidR="00831C1F" w:rsidRPr="00D8219A">
        <w:rPr>
          <w:lang w:val="es-UY"/>
        </w:rPr>
        <w:t>a</w:t>
      </w:r>
      <w:r w:rsidRPr="00D8219A">
        <w:rPr>
          <w:lang w:val="es-UY"/>
        </w:rPr>
        <w:t xml:space="preserve"> </w:t>
      </w:r>
      <w:r w:rsidR="009A30D6" w:rsidRPr="00D8219A">
        <w:rPr>
          <w:lang w:val="es-UY"/>
        </w:rPr>
        <w:t>Estado</w:t>
      </w:r>
      <w:r w:rsidRPr="00D8219A">
        <w:rPr>
          <w:lang w:val="es-UY"/>
        </w:rPr>
        <w:t>s</w:t>
      </w:r>
      <w:r w:rsidR="009A30D6" w:rsidRPr="00D8219A">
        <w:rPr>
          <w:lang w:val="es-UY"/>
        </w:rPr>
        <w:t xml:space="preserve"> Unidos</w:t>
      </w:r>
      <w:r w:rsidR="00831C1F" w:rsidRPr="00D8219A">
        <w:rPr>
          <w:lang w:val="es-UY"/>
        </w:rPr>
        <w:t xml:space="preserve"> una nota de protesta en que</w:t>
      </w:r>
      <w:r w:rsidRPr="00D8219A">
        <w:rPr>
          <w:lang w:val="es-UY"/>
        </w:rPr>
        <w:t xml:space="preserve"> reclama</w:t>
      </w:r>
      <w:r w:rsidR="00831C1F" w:rsidRPr="00D8219A">
        <w:rPr>
          <w:lang w:val="es-UY"/>
        </w:rPr>
        <w:t>ba</w:t>
      </w:r>
      <w:r w:rsidR="00714E31" w:rsidRPr="00D8219A">
        <w:rPr>
          <w:lang w:val="es-UY"/>
        </w:rPr>
        <w:t xml:space="preserve"> el</w:t>
      </w:r>
      <w:r w:rsidRPr="00D8219A">
        <w:rPr>
          <w:lang w:val="es-UY"/>
        </w:rPr>
        <w:t xml:space="preserve"> </w:t>
      </w:r>
      <w:r w:rsidR="00831C1F" w:rsidRPr="00D8219A">
        <w:rPr>
          <w:lang w:val="es-UY"/>
        </w:rPr>
        <w:t xml:space="preserve">retorno </w:t>
      </w:r>
      <w:r w:rsidRPr="00D8219A">
        <w:rPr>
          <w:lang w:val="es-UY"/>
        </w:rPr>
        <w:t xml:space="preserve">a </w:t>
      </w:r>
      <w:r w:rsidR="009A30D6" w:rsidRPr="00D8219A">
        <w:rPr>
          <w:lang w:val="es-UY"/>
        </w:rPr>
        <w:t>Ecuador</w:t>
      </w:r>
      <w:r w:rsidR="00714E31" w:rsidRPr="00D8219A">
        <w:rPr>
          <w:lang w:val="es-UY"/>
        </w:rPr>
        <w:t xml:space="preserve"> de dicha persona</w:t>
      </w:r>
      <w:r w:rsidRPr="00D8219A">
        <w:rPr>
          <w:lang w:val="es-UY"/>
        </w:rPr>
        <w:t>. La Corte</w:t>
      </w:r>
      <w:r w:rsidR="00831C1F" w:rsidRPr="00D8219A">
        <w:rPr>
          <w:lang w:val="es-UY"/>
        </w:rPr>
        <w:t xml:space="preserve"> Suprema de Florida, en cambio, citó</w:t>
      </w:r>
      <w:r w:rsidR="009A30D6" w:rsidRPr="00D8219A">
        <w:rPr>
          <w:lang w:val="es-UY"/>
        </w:rPr>
        <w:t xml:space="preserve"> jurisprudencia</w:t>
      </w:r>
      <w:r w:rsidRPr="00D8219A">
        <w:rPr>
          <w:lang w:val="es-UY"/>
        </w:rPr>
        <w:t xml:space="preserve"> de la Corte Suprema de </w:t>
      </w:r>
      <w:r w:rsidR="00616685" w:rsidRPr="00D8219A">
        <w:rPr>
          <w:lang w:val="es-UY"/>
        </w:rPr>
        <w:t>Estados Unidos</w:t>
      </w:r>
      <w:r w:rsidR="00831C1F" w:rsidRPr="00D8219A">
        <w:rPr>
          <w:lang w:val="es-UY"/>
        </w:rPr>
        <w:t xml:space="preserve"> </w:t>
      </w:r>
      <w:r w:rsidRPr="00D8219A">
        <w:rPr>
          <w:lang w:val="es-UY"/>
        </w:rPr>
        <w:t xml:space="preserve">para declarar que </w:t>
      </w:r>
      <w:r w:rsidR="009A30D6" w:rsidRPr="00D8219A">
        <w:rPr>
          <w:lang w:val="es-UY"/>
        </w:rPr>
        <w:t xml:space="preserve">el </w:t>
      </w:r>
      <w:r w:rsidR="001B5C63" w:rsidRPr="00D8219A">
        <w:rPr>
          <w:lang w:val="es-UY"/>
        </w:rPr>
        <w:t>señor</w:t>
      </w:r>
      <w:r w:rsidR="009A30D6" w:rsidRPr="00D8219A">
        <w:rPr>
          <w:lang w:val="es-UY"/>
        </w:rPr>
        <w:t xml:space="preserve"> Serrano</w:t>
      </w:r>
      <w:r w:rsidRPr="00D8219A">
        <w:rPr>
          <w:lang w:val="es-UY"/>
        </w:rPr>
        <w:t xml:space="preserve"> carecía de </w:t>
      </w:r>
      <w:r w:rsidR="009A30D6" w:rsidRPr="00D8219A">
        <w:rPr>
          <w:lang w:val="es-UY"/>
        </w:rPr>
        <w:t>fundamentos</w:t>
      </w:r>
      <w:r w:rsidRPr="00D8219A">
        <w:rPr>
          <w:lang w:val="es-UY"/>
        </w:rPr>
        <w:t xml:space="preserve"> para impugnar la manera en que fue llevado al país para ser sometido a juicio por un delito. Según el </w:t>
      </w:r>
      <w:r w:rsidR="009A30D6" w:rsidRPr="00D8219A">
        <w:rPr>
          <w:lang w:val="es-UY"/>
        </w:rPr>
        <w:t>peticionario</w:t>
      </w:r>
      <w:r w:rsidR="00ED2D2F" w:rsidRPr="00D8219A">
        <w:rPr>
          <w:lang w:val="es-UY"/>
        </w:rPr>
        <w:t>,</w:t>
      </w:r>
      <w:r w:rsidRPr="00D8219A">
        <w:rPr>
          <w:lang w:val="es-UY"/>
        </w:rPr>
        <w:t xml:space="preserve"> la </w:t>
      </w:r>
      <w:r w:rsidR="00B621C2" w:rsidRPr="00D8219A">
        <w:rPr>
          <w:lang w:val="es-UY"/>
        </w:rPr>
        <w:t>práctica de entrega irregular se</w:t>
      </w:r>
      <w:r w:rsidRPr="00D8219A">
        <w:rPr>
          <w:lang w:val="es-UY"/>
        </w:rPr>
        <w:t xml:space="preserve"> admi</w:t>
      </w:r>
      <w:r w:rsidR="00B621C2" w:rsidRPr="00D8219A">
        <w:rPr>
          <w:lang w:val="es-UY"/>
        </w:rPr>
        <w:t>te</w:t>
      </w:r>
      <w:r w:rsidRPr="00D8219A">
        <w:rPr>
          <w:lang w:val="es-UY"/>
        </w:rPr>
        <w:t xml:space="preserve"> en cuestiones penales de rutina conforme al derecho interno.</w:t>
      </w:r>
    </w:p>
    <w:p w14:paraId="1B4A4C92" w14:textId="77777777" w:rsidR="003C4952" w:rsidRPr="00D8219A" w:rsidRDefault="003C4952" w:rsidP="003C4952">
      <w:pPr>
        <w:pStyle w:val="ListParagraph"/>
        <w:rPr>
          <w:rFonts w:asciiTheme="majorHAnsi" w:hAnsiTheme="majorHAnsi"/>
          <w:lang w:val="es-UY"/>
        </w:rPr>
      </w:pPr>
    </w:p>
    <w:p w14:paraId="0C683E88" w14:textId="77777777" w:rsidR="008C0C39" w:rsidRPr="00D8219A" w:rsidRDefault="003C4952" w:rsidP="008C0C39">
      <w:pPr>
        <w:pStyle w:val="parrafos"/>
        <w:ind w:left="0" w:firstLine="0"/>
        <w:rPr>
          <w:lang w:val="es-UY"/>
        </w:rPr>
      </w:pPr>
      <w:r w:rsidRPr="00D8219A">
        <w:rPr>
          <w:lang w:val="es-UY"/>
        </w:rPr>
        <w:t xml:space="preserve"> El</w:t>
      </w:r>
      <w:r w:rsidR="00927C0B" w:rsidRPr="00D8219A">
        <w:rPr>
          <w:lang w:val="es-UY"/>
        </w:rPr>
        <w:t xml:space="preserve"> </w:t>
      </w:r>
      <w:r w:rsidR="008D2F96" w:rsidRPr="00D8219A">
        <w:rPr>
          <w:lang w:val="es-UY"/>
        </w:rPr>
        <w:t>peticionario</w:t>
      </w:r>
      <w:r w:rsidR="00927C0B" w:rsidRPr="00D8219A">
        <w:rPr>
          <w:lang w:val="es-UY"/>
        </w:rPr>
        <w:t xml:space="preserve"> al</w:t>
      </w:r>
      <w:r w:rsidRPr="00D8219A">
        <w:rPr>
          <w:lang w:val="es-UY"/>
        </w:rPr>
        <w:t xml:space="preserve">ega además que durante el juicio seguido </w:t>
      </w:r>
      <w:r w:rsidR="00ED2D2F" w:rsidRPr="00D8219A">
        <w:rPr>
          <w:lang w:val="es-UY"/>
        </w:rPr>
        <w:t>contra e</w:t>
      </w:r>
      <w:r w:rsidR="009A30D6" w:rsidRPr="00D8219A">
        <w:rPr>
          <w:lang w:val="es-UY"/>
        </w:rPr>
        <w:t xml:space="preserve">l </w:t>
      </w:r>
      <w:r w:rsidR="001B5C63" w:rsidRPr="00D8219A">
        <w:rPr>
          <w:lang w:val="es-UY"/>
        </w:rPr>
        <w:t>señor</w:t>
      </w:r>
      <w:r w:rsidR="009A30D6" w:rsidRPr="00D8219A">
        <w:rPr>
          <w:lang w:val="es-UY"/>
        </w:rPr>
        <w:t xml:space="preserve"> Serrano</w:t>
      </w:r>
      <w:r w:rsidR="00CD5EC6" w:rsidRPr="00D8219A">
        <w:rPr>
          <w:lang w:val="es-UY"/>
        </w:rPr>
        <w:t xml:space="preserve"> la F</w:t>
      </w:r>
      <w:r w:rsidRPr="00D8219A">
        <w:rPr>
          <w:lang w:val="es-UY"/>
        </w:rPr>
        <w:t>iscalía ocultó prueba</w:t>
      </w:r>
      <w:r w:rsidR="00ED2D2F" w:rsidRPr="00D8219A">
        <w:rPr>
          <w:lang w:val="es-UY"/>
        </w:rPr>
        <w:t>s</w:t>
      </w:r>
      <w:r w:rsidRPr="00D8219A">
        <w:rPr>
          <w:lang w:val="es-UY"/>
        </w:rPr>
        <w:t xml:space="preserve"> </w:t>
      </w:r>
      <w:r w:rsidR="00ED2D2F" w:rsidRPr="00D8219A">
        <w:rPr>
          <w:lang w:val="es-UY"/>
        </w:rPr>
        <w:t>exculpatorias</w:t>
      </w:r>
      <w:r w:rsidRPr="00D8219A">
        <w:rPr>
          <w:lang w:val="es-UY"/>
        </w:rPr>
        <w:t>, incluida prueba de ADN</w:t>
      </w:r>
      <w:r w:rsidR="00CD5EC6" w:rsidRPr="00D8219A">
        <w:rPr>
          <w:lang w:val="es-UY"/>
        </w:rPr>
        <w:t xml:space="preserve">, </w:t>
      </w:r>
      <w:r w:rsidR="00B621C2" w:rsidRPr="00D8219A">
        <w:rPr>
          <w:lang w:val="es-UY"/>
        </w:rPr>
        <w:t>así como</w:t>
      </w:r>
      <w:r w:rsidRPr="00D8219A">
        <w:rPr>
          <w:lang w:val="es-UY"/>
        </w:rPr>
        <w:t xml:space="preserve"> </w:t>
      </w:r>
      <w:r w:rsidR="00B621C2" w:rsidRPr="00D8219A">
        <w:rPr>
          <w:lang w:val="es-UY"/>
        </w:rPr>
        <w:t>hechos</w:t>
      </w:r>
      <w:r w:rsidRPr="00D8219A">
        <w:rPr>
          <w:lang w:val="es-UY"/>
        </w:rPr>
        <w:t xml:space="preserve"> crucial</w:t>
      </w:r>
      <w:r w:rsidR="00B621C2" w:rsidRPr="00D8219A">
        <w:rPr>
          <w:lang w:val="es-UY"/>
        </w:rPr>
        <w:t xml:space="preserve">es </w:t>
      </w:r>
      <w:r w:rsidR="00885CC6" w:rsidRPr="00D8219A">
        <w:rPr>
          <w:lang w:val="es-UY"/>
        </w:rPr>
        <w:t>de los que ten</w:t>
      </w:r>
      <w:r w:rsidR="00A17535" w:rsidRPr="00D8219A">
        <w:rPr>
          <w:lang w:val="es-UY"/>
        </w:rPr>
        <w:t>í</w:t>
      </w:r>
      <w:r w:rsidR="00885CC6" w:rsidRPr="00D8219A">
        <w:rPr>
          <w:lang w:val="es-UY"/>
        </w:rPr>
        <w:t>a</w:t>
      </w:r>
      <w:r w:rsidR="00B621C2" w:rsidRPr="00D8219A">
        <w:rPr>
          <w:lang w:val="es-UY"/>
        </w:rPr>
        <w:t xml:space="preserve"> conocimiento,</w:t>
      </w:r>
      <w:r w:rsidRPr="00D8219A">
        <w:rPr>
          <w:lang w:val="es-UY"/>
        </w:rPr>
        <w:t xml:space="preserve"> referente</w:t>
      </w:r>
      <w:r w:rsidR="00B621C2" w:rsidRPr="00D8219A">
        <w:rPr>
          <w:lang w:val="es-UY"/>
        </w:rPr>
        <w:t>s</w:t>
      </w:r>
      <w:r w:rsidRPr="00D8219A">
        <w:rPr>
          <w:lang w:val="es-UY"/>
        </w:rPr>
        <w:t xml:space="preserve"> </w:t>
      </w:r>
      <w:r w:rsidR="00B66BC9" w:rsidRPr="00D8219A">
        <w:rPr>
          <w:lang w:val="es-UY"/>
        </w:rPr>
        <w:t>a la coartada d</w:t>
      </w:r>
      <w:r w:rsidR="009A30D6" w:rsidRPr="00D8219A">
        <w:rPr>
          <w:lang w:val="es-UY"/>
        </w:rPr>
        <w:t xml:space="preserve">el </w:t>
      </w:r>
      <w:r w:rsidR="001B5C63" w:rsidRPr="00D8219A">
        <w:rPr>
          <w:lang w:val="es-UY"/>
        </w:rPr>
        <w:t>señor</w:t>
      </w:r>
      <w:r w:rsidR="009A30D6" w:rsidRPr="00D8219A">
        <w:rPr>
          <w:lang w:val="es-UY"/>
        </w:rPr>
        <w:t xml:space="preserve"> Serrano</w:t>
      </w:r>
      <w:r w:rsidR="00B66BC9" w:rsidRPr="00D8219A">
        <w:rPr>
          <w:lang w:val="es-UY"/>
        </w:rPr>
        <w:t>, que habría</w:t>
      </w:r>
      <w:r w:rsidR="00B621C2" w:rsidRPr="00D8219A">
        <w:rPr>
          <w:lang w:val="es-UY"/>
        </w:rPr>
        <w:t>n</w:t>
      </w:r>
      <w:r w:rsidR="00B66BC9" w:rsidRPr="00D8219A">
        <w:rPr>
          <w:lang w:val="es-UY"/>
        </w:rPr>
        <w:t xml:space="preserve"> demostrado </w:t>
      </w:r>
      <w:r w:rsidR="00D9547B" w:rsidRPr="00D8219A">
        <w:rPr>
          <w:lang w:val="es-UY"/>
        </w:rPr>
        <w:t>su inocencia. Aduce asimismo qu</w:t>
      </w:r>
      <w:r w:rsidR="00B66BC9" w:rsidRPr="00D8219A">
        <w:rPr>
          <w:lang w:val="es-UY"/>
        </w:rPr>
        <w:t>e los</w:t>
      </w:r>
      <w:r w:rsidR="00B621C2" w:rsidRPr="00D8219A">
        <w:rPr>
          <w:lang w:val="es-UY"/>
        </w:rPr>
        <w:t xml:space="preserve"> defensores</w:t>
      </w:r>
      <w:r w:rsidR="00B66BC9" w:rsidRPr="00D8219A">
        <w:rPr>
          <w:lang w:val="es-UY"/>
        </w:rPr>
        <w:t xml:space="preserve"> </w:t>
      </w:r>
      <w:r w:rsidR="00B621C2" w:rsidRPr="00D8219A">
        <w:rPr>
          <w:lang w:val="es-UY"/>
        </w:rPr>
        <w:t xml:space="preserve">de oficio </w:t>
      </w:r>
      <w:r w:rsidR="00B66BC9" w:rsidRPr="00D8219A">
        <w:rPr>
          <w:lang w:val="es-UY"/>
        </w:rPr>
        <w:t xml:space="preserve">designados por el </w:t>
      </w:r>
      <w:r w:rsidR="009A30D6" w:rsidRPr="00D8219A">
        <w:rPr>
          <w:lang w:val="es-UY"/>
        </w:rPr>
        <w:t>Estado</w:t>
      </w:r>
      <w:r w:rsidR="00CD5EC6" w:rsidRPr="00D8219A">
        <w:rPr>
          <w:lang w:val="es-UY"/>
        </w:rPr>
        <w:t xml:space="preserve"> en</w:t>
      </w:r>
      <w:r w:rsidR="00B621C2" w:rsidRPr="00D8219A">
        <w:rPr>
          <w:lang w:val="es-UY"/>
        </w:rPr>
        <w:t xml:space="preserve"> la</w:t>
      </w:r>
      <w:r w:rsidR="00CD5EC6" w:rsidRPr="00D8219A">
        <w:rPr>
          <w:lang w:val="es-UY"/>
        </w:rPr>
        <w:t xml:space="preserve"> primera instancia </w:t>
      </w:r>
      <w:r w:rsidR="00B66BC9" w:rsidRPr="00D8219A">
        <w:rPr>
          <w:lang w:val="es-UY"/>
        </w:rPr>
        <w:t>omitieron</w:t>
      </w:r>
      <w:r w:rsidR="00CD5EC6" w:rsidRPr="00D8219A">
        <w:rPr>
          <w:lang w:val="es-UY"/>
        </w:rPr>
        <w:t>,</w:t>
      </w:r>
      <w:r w:rsidR="00B66BC9" w:rsidRPr="00D8219A">
        <w:rPr>
          <w:lang w:val="es-UY"/>
        </w:rPr>
        <w:t xml:space="preserve"> por negligencia</w:t>
      </w:r>
      <w:r w:rsidR="00CD5EC6" w:rsidRPr="00D8219A">
        <w:rPr>
          <w:lang w:val="es-UY"/>
        </w:rPr>
        <w:t>,</w:t>
      </w:r>
      <w:r w:rsidR="00B66BC9" w:rsidRPr="00D8219A">
        <w:rPr>
          <w:lang w:val="es-UY"/>
        </w:rPr>
        <w:t xml:space="preserve"> llamar la aten</w:t>
      </w:r>
      <w:r w:rsidR="009A30D6" w:rsidRPr="00D8219A">
        <w:rPr>
          <w:lang w:val="es-UY"/>
        </w:rPr>
        <w:t>ción</w:t>
      </w:r>
      <w:r w:rsidR="00B66BC9" w:rsidRPr="00D8219A">
        <w:rPr>
          <w:lang w:val="es-UY"/>
        </w:rPr>
        <w:t xml:space="preserve"> sobre inexactitudes </w:t>
      </w:r>
      <w:r w:rsidR="00ED2D2F" w:rsidRPr="00D8219A">
        <w:rPr>
          <w:lang w:val="es-UY"/>
        </w:rPr>
        <w:t>de</w:t>
      </w:r>
      <w:r w:rsidR="00B66BC9" w:rsidRPr="00D8219A">
        <w:rPr>
          <w:lang w:val="es-UY"/>
        </w:rPr>
        <w:t xml:space="preserve"> la teoría del </w:t>
      </w:r>
      <w:r w:rsidR="009A30D6" w:rsidRPr="00D8219A">
        <w:rPr>
          <w:lang w:val="es-UY"/>
        </w:rPr>
        <w:t>Estado</w:t>
      </w:r>
      <w:r w:rsidR="00D9547B" w:rsidRPr="00D8219A">
        <w:rPr>
          <w:lang w:val="es-UY"/>
        </w:rPr>
        <w:t xml:space="preserve">. </w:t>
      </w:r>
      <w:r w:rsidR="00FA7CB9" w:rsidRPr="00D8219A">
        <w:rPr>
          <w:lang w:val="es-UY"/>
        </w:rPr>
        <w:t>Según el peticionario es</w:t>
      </w:r>
      <w:r w:rsidR="00ED2D2F" w:rsidRPr="00D8219A">
        <w:rPr>
          <w:lang w:val="es-UY"/>
        </w:rPr>
        <w:t>t</w:t>
      </w:r>
      <w:r w:rsidR="00FA7CB9" w:rsidRPr="00D8219A">
        <w:rPr>
          <w:lang w:val="es-UY"/>
        </w:rPr>
        <w:t>e manejo inadecuado del caso</w:t>
      </w:r>
      <w:r w:rsidR="00EE784B" w:rsidRPr="00D8219A">
        <w:rPr>
          <w:lang w:val="es-UY"/>
        </w:rPr>
        <w:t xml:space="preserve"> obedece a</w:t>
      </w:r>
      <w:r w:rsidR="00FA7CB9" w:rsidRPr="00D8219A">
        <w:rPr>
          <w:lang w:val="es-UY"/>
        </w:rPr>
        <w:t xml:space="preserve"> </w:t>
      </w:r>
      <w:r w:rsidR="00ED2D2F" w:rsidRPr="00D8219A">
        <w:rPr>
          <w:lang w:val="es-UY"/>
        </w:rPr>
        <w:t xml:space="preserve">la </w:t>
      </w:r>
      <w:r w:rsidR="00FA7CB9" w:rsidRPr="00D8219A">
        <w:rPr>
          <w:lang w:val="es-UY"/>
        </w:rPr>
        <w:t xml:space="preserve">colusión </w:t>
      </w:r>
      <w:r w:rsidR="00ED2D2F" w:rsidRPr="00D8219A">
        <w:rPr>
          <w:lang w:val="es-UY"/>
        </w:rPr>
        <w:t>entre</w:t>
      </w:r>
      <w:r w:rsidR="00FA7CB9" w:rsidRPr="00D8219A">
        <w:rPr>
          <w:lang w:val="es-UY"/>
        </w:rPr>
        <w:t xml:space="preserve"> toda una </w:t>
      </w:r>
      <w:r w:rsidR="009A30D6" w:rsidRPr="00D8219A">
        <w:rPr>
          <w:lang w:val="es-UY"/>
        </w:rPr>
        <w:t>d</w:t>
      </w:r>
      <w:r w:rsidR="00FA7CB9" w:rsidRPr="00D8219A">
        <w:rPr>
          <w:lang w:val="es-UY"/>
        </w:rPr>
        <w:t xml:space="preserve">ivisión de </w:t>
      </w:r>
      <w:r w:rsidR="00ED2D2F" w:rsidRPr="00D8219A">
        <w:rPr>
          <w:lang w:val="es-UY"/>
        </w:rPr>
        <w:t>las fuerzas de seguridad d</w:t>
      </w:r>
      <w:r w:rsidR="00FA7CB9" w:rsidRPr="00D8219A">
        <w:rPr>
          <w:lang w:val="es-UY"/>
        </w:rPr>
        <w:t>el Condado de Polk, Florida (inclu</w:t>
      </w:r>
      <w:r w:rsidR="00ED2D2F" w:rsidRPr="00D8219A">
        <w:rPr>
          <w:lang w:val="es-UY"/>
        </w:rPr>
        <w:t>yendo</w:t>
      </w:r>
      <w:r w:rsidR="00FA7CB9" w:rsidRPr="00D8219A">
        <w:rPr>
          <w:lang w:val="es-UY"/>
        </w:rPr>
        <w:t xml:space="preserve"> la Fiscalía y la Corte)</w:t>
      </w:r>
      <w:r w:rsidR="00EE784B" w:rsidRPr="00D8219A">
        <w:rPr>
          <w:lang w:val="es-UY"/>
        </w:rPr>
        <w:t>,</w:t>
      </w:r>
      <w:r w:rsidR="00FA7CB9" w:rsidRPr="00D8219A">
        <w:rPr>
          <w:lang w:val="es-UY"/>
        </w:rPr>
        <w:t xml:space="preserve"> que según se </w:t>
      </w:r>
      <w:r w:rsidR="009A30D6" w:rsidRPr="00D8219A">
        <w:rPr>
          <w:lang w:val="es-UY"/>
        </w:rPr>
        <w:t>alega</w:t>
      </w:r>
      <w:r w:rsidR="00FA7CB9" w:rsidRPr="00D8219A">
        <w:rPr>
          <w:lang w:val="es-UY"/>
        </w:rPr>
        <w:t xml:space="preserve"> se </w:t>
      </w:r>
      <w:r w:rsidR="009A30D6" w:rsidRPr="00D8219A">
        <w:rPr>
          <w:lang w:val="es-UY"/>
        </w:rPr>
        <w:t>comprometieron</w:t>
      </w:r>
      <w:r w:rsidR="00FA7CB9" w:rsidRPr="00D8219A">
        <w:rPr>
          <w:lang w:val="es-UY"/>
        </w:rPr>
        <w:t xml:space="preserve"> a entregar y </w:t>
      </w:r>
      <w:r w:rsidR="00EE784B" w:rsidRPr="00D8219A">
        <w:rPr>
          <w:lang w:val="es-UY"/>
        </w:rPr>
        <w:t>condenar ilegalmente a</w:t>
      </w:r>
      <w:r w:rsidR="008C0C39" w:rsidRPr="00D8219A">
        <w:rPr>
          <w:lang w:val="es-UY"/>
        </w:rPr>
        <w:t xml:space="preserve">l </w:t>
      </w:r>
      <w:r w:rsidR="001B5C63" w:rsidRPr="00D8219A">
        <w:rPr>
          <w:lang w:val="es-UY"/>
        </w:rPr>
        <w:lastRenderedPageBreak/>
        <w:t>señor</w:t>
      </w:r>
      <w:r w:rsidR="008C0C39" w:rsidRPr="00D8219A">
        <w:rPr>
          <w:lang w:val="es-UY"/>
        </w:rPr>
        <w:t xml:space="preserve"> Serrano por cuatro homicidios pese a la total</w:t>
      </w:r>
      <w:r w:rsidR="00A17535" w:rsidRPr="00D8219A">
        <w:rPr>
          <w:lang w:val="es-UY"/>
        </w:rPr>
        <w:t xml:space="preserve"> ausencia</w:t>
      </w:r>
      <w:r w:rsidR="008C0C39" w:rsidRPr="00D8219A">
        <w:rPr>
          <w:lang w:val="es-UY"/>
        </w:rPr>
        <w:t xml:space="preserve"> de pruebas </w:t>
      </w:r>
      <w:r w:rsidR="00ED2D2F" w:rsidRPr="00D8219A">
        <w:rPr>
          <w:lang w:val="es-UY"/>
        </w:rPr>
        <w:t xml:space="preserve">en su </w:t>
      </w:r>
      <w:r w:rsidR="008C0C39" w:rsidRPr="00D8219A">
        <w:rPr>
          <w:lang w:val="es-UY"/>
        </w:rPr>
        <w:t>contra. El peticionario alega que los fiscales</w:t>
      </w:r>
      <w:r w:rsidR="00ED2D2F" w:rsidRPr="00D8219A">
        <w:rPr>
          <w:lang w:val="es-UY"/>
        </w:rPr>
        <w:t xml:space="preserve"> ignoraron pruebas exculpatorias sustanciales,</w:t>
      </w:r>
      <w:r w:rsidR="008C0C39" w:rsidRPr="00D8219A">
        <w:rPr>
          <w:lang w:val="es-UY"/>
        </w:rPr>
        <w:t xml:space="preserve"> al igual que los abogados defensores</w:t>
      </w:r>
      <w:r w:rsidR="00A17535" w:rsidRPr="00D8219A">
        <w:rPr>
          <w:lang w:val="es-UY"/>
        </w:rPr>
        <w:t xml:space="preserve"> </w:t>
      </w:r>
      <w:r w:rsidR="002378D9" w:rsidRPr="00D8219A">
        <w:rPr>
          <w:lang w:val="es-UY"/>
        </w:rPr>
        <w:t xml:space="preserve">del señor Serrano </w:t>
      </w:r>
      <w:r w:rsidR="008C0C39" w:rsidRPr="00D8219A">
        <w:rPr>
          <w:lang w:val="es-UY"/>
        </w:rPr>
        <w:t>designados por el Estado.</w:t>
      </w:r>
    </w:p>
    <w:p w14:paraId="16339172" w14:textId="77777777" w:rsidR="008C0C39" w:rsidRPr="00D8219A" w:rsidRDefault="008C0C39" w:rsidP="008C0C39">
      <w:pPr>
        <w:pStyle w:val="ListParagraph"/>
        <w:rPr>
          <w:rFonts w:asciiTheme="majorHAnsi" w:hAnsiTheme="majorHAnsi"/>
          <w:lang w:val="es-UY"/>
        </w:rPr>
      </w:pPr>
    </w:p>
    <w:p w14:paraId="535F7211" w14:textId="77777777" w:rsidR="008C0C39" w:rsidRPr="00D8219A" w:rsidRDefault="008C0C39" w:rsidP="008C0C39">
      <w:pPr>
        <w:pStyle w:val="parrafos"/>
        <w:ind w:left="0" w:firstLine="0"/>
        <w:rPr>
          <w:lang w:val="es-UY"/>
        </w:rPr>
      </w:pPr>
      <w:r w:rsidRPr="00D8219A">
        <w:rPr>
          <w:lang w:val="es-UY"/>
        </w:rPr>
        <w:t>Con respecto al requisito de agotamiento de</w:t>
      </w:r>
      <w:r w:rsidR="00B124C1" w:rsidRPr="00D8219A">
        <w:rPr>
          <w:lang w:val="es-UY"/>
        </w:rPr>
        <w:t xml:space="preserve"> los </w:t>
      </w:r>
      <w:r w:rsidRPr="00D8219A">
        <w:rPr>
          <w:lang w:val="es-UY"/>
        </w:rPr>
        <w:t xml:space="preserve">recursos internos, el peticionario indica que el juicio y la condena </w:t>
      </w:r>
      <w:r w:rsidR="00C602E6" w:rsidRPr="00D8219A">
        <w:rPr>
          <w:lang w:val="es-UY"/>
        </w:rPr>
        <w:t xml:space="preserve">del </w:t>
      </w:r>
      <w:r w:rsidR="001B5C63" w:rsidRPr="00D8219A">
        <w:rPr>
          <w:lang w:val="es-UY"/>
        </w:rPr>
        <w:t>señor</w:t>
      </w:r>
      <w:r w:rsidRPr="00D8219A">
        <w:rPr>
          <w:lang w:val="es-UY"/>
        </w:rPr>
        <w:t xml:space="preserve"> Serrano fueron confirmad</w:t>
      </w:r>
      <w:r w:rsidR="006A2414" w:rsidRPr="00D8219A">
        <w:rPr>
          <w:lang w:val="es-UY"/>
        </w:rPr>
        <w:t>o</w:t>
      </w:r>
      <w:r w:rsidRPr="00D8219A">
        <w:rPr>
          <w:lang w:val="es-UY"/>
        </w:rPr>
        <w:t xml:space="preserve">s en apelación directa. En su última </w:t>
      </w:r>
      <w:r w:rsidR="00B621C2" w:rsidRPr="00D8219A">
        <w:rPr>
          <w:lang w:val="es-UY"/>
        </w:rPr>
        <w:t xml:space="preserve">comunicación </w:t>
      </w:r>
      <w:r w:rsidRPr="00D8219A">
        <w:rPr>
          <w:lang w:val="es-UY"/>
        </w:rPr>
        <w:t>el</w:t>
      </w:r>
      <w:r w:rsidR="007E24B8" w:rsidRPr="00D8219A">
        <w:rPr>
          <w:lang w:val="es-UY"/>
        </w:rPr>
        <w:t xml:space="preserve"> peticionario manifestó que el</w:t>
      </w:r>
      <w:r w:rsidRPr="00D8219A">
        <w:rPr>
          <w:lang w:val="es-UY"/>
        </w:rPr>
        <w:t xml:space="preserve"> 20 de febrero de 2018 la Corte Supr</w:t>
      </w:r>
      <w:r w:rsidR="007E24B8" w:rsidRPr="00D8219A">
        <w:rPr>
          <w:lang w:val="es-UY"/>
        </w:rPr>
        <w:t xml:space="preserve">ema de </w:t>
      </w:r>
      <w:r w:rsidR="00616685" w:rsidRPr="00D8219A">
        <w:rPr>
          <w:lang w:val="es-UY"/>
        </w:rPr>
        <w:t>Estados Unidos</w:t>
      </w:r>
      <w:r w:rsidR="007E24B8" w:rsidRPr="00D8219A">
        <w:rPr>
          <w:lang w:val="es-UY"/>
        </w:rPr>
        <w:t xml:space="preserve"> había rechazado</w:t>
      </w:r>
      <w:r w:rsidRPr="00D8219A">
        <w:rPr>
          <w:lang w:val="es-UY"/>
        </w:rPr>
        <w:t xml:space="preserve"> </w:t>
      </w:r>
      <w:r w:rsidR="002378D9" w:rsidRPr="00D8219A">
        <w:rPr>
          <w:lang w:val="es-UY"/>
        </w:rPr>
        <w:t>el auto de certiorari</w:t>
      </w:r>
      <w:r w:rsidRPr="00D8219A">
        <w:rPr>
          <w:lang w:val="es-UY"/>
        </w:rPr>
        <w:t xml:space="preserve"> </w:t>
      </w:r>
      <w:r w:rsidR="007E24B8" w:rsidRPr="00D8219A">
        <w:rPr>
          <w:lang w:val="es-UY"/>
        </w:rPr>
        <w:t>formulad</w:t>
      </w:r>
      <w:r w:rsidR="002378D9" w:rsidRPr="00D8219A">
        <w:rPr>
          <w:lang w:val="es-UY"/>
        </w:rPr>
        <w:t>o</w:t>
      </w:r>
      <w:r w:rsidR="007E24B8" w:rsidRPr="00D8219A">
        <w:rPr>
          <w:lang w:val="es-UY"/>
        </w:rPr>
        <w:t xml:space="preserve"> por </w:t>
      </w:r>
      <w:r w:rsidR="00C602E6" w:rsidRPr="00D8219A">
        <w:rPr>
          <w:lang w:val="es-UY"/>
        </w:rPr>
        <w:t xml:space="preserve">el </w:t>
      </w:r>
      <w:r w:rsidR="001B5C63" w:rsidRPr="00D8219A">
        <w:rPr>
          <w:lang w:val="es-UY"/>
        </w:rPr>
        <w:t>señor</w:t>
      </w:r>
      <w:r w:rsidR="007E24B8" w:rsidRPr="00D8219A">
        <w:rPr>
          <w:lang w:val="es-UY"/>
        </w:rPr>
        <w:t xml:space="preserve"> Serrano y que no existía</w:t>
      </w:r>
      <w:r w:rsidRPr="00D8219A">
        <w:rPr>
          <w:lang w:val="es-UY"/>
        </w:rPr>
        <w:t xml:space="preserve">n recursos adicionales </w:t>
      </w:r>
      <w:r w:rsidR="0019194C" w:rsidRPr="00D8219A">
        <w:rPr>
          <w:lang w:val="es-UY"/>
        </w:rPr>
        <w:t xml:space="preserve">que fueran </w:t>
      </w:r>
      <w:r w:rsidRPr="00D8219A">
        <w:rPr>
          <w:lang w:val="es-UY"/>
        </w:rPr>
        <w:t xml:space="preserve">adecuados y </w:t>
      </w:r>
      <w:r w:rsidR="0019194C" w:rsidRPr="00D8219A">
        <w:rPr>
          <w:lang w:val="es-UY"/>
        </w:rPr>
        <w:t>efectivos</w:t>
      </w:r>
      <w:r w:rsidRPr="00D8219A">
        <w:rPr>
          <w:lang w:val="es-UY"/>
        </w:rPr>
        <w:t>. Con respecto a la decisión</w:t>
      </w:r>
      <w:r w:rsidR="00FC4C52" w:rsidRPr="00D8219A">
        <w:rPr>
          <w:lang w:val="es-UY"/>
        </w:rPr>
        <w:t xml:space="preserve"> del caso</w:t>
      </w:r>
      <w:r w:rsidRPr="00D8219A">
        <w:rPr>
          <w:lang w:val="es-UY"/>
        </w:rPr>
        <w:t xml:space="preserve"> Hurst dictada por la Corte Suprema de </w:t>
      </w:r>
      <w:r w:rsidR="00616685" w:rsidRPr="00D8219A">
        <w:rPr>
          <w:lang w:val="es-UY"/>
        </w:rPr>
        <w:t>Estados Unidos</w:t>
      </w:r>
      <w:r w:rsidRPr="00D8219A">
        <w:rPr>
          <w:lang w:val="es-UY"/>
        </w:rPr>
        <w:t>,</w:t>
      </w:r>
      <w:r w:rsidR="00FC4C52" w:rsidRPr="00D8219A">
        <w:rPr>
          <w:lang w:val="es-UY"/>
        </w:rPr>
        <w:t xml:space="preserve"> que</w:t>
      </w:r>
      <w:r w:rsidRPr="00D8219A">
        <w:rPr>
          <w:lang w:val="es-UY"/>
        </w:rPr>
        <w:t xml:space="preserve"> declar</w:t>
      </w:r>
      <w:r w:rsidR="00FC4C52" w:rsidRPr="00D8219A">
        <w:rPr>
          <w:lang w:val="es-UY"/>
        </w:rPr>
        <w:t>ó</w:t>
      </w:r>
      <w:r w:rsidRPr="00D8219A">
        <w:rPr>
          <w:lang w:val="es-UY"/>
        </w:rPr>
        <w:t xml:space="preserve"> inconstitucional el </w:t>
      </w:r>
      <w:r w:rsidR="0019194C" w:rsidRPr="00D8219A">
        <w:rPr>
          <w:lang w:val="es-UY"/>
        </w:rPr>
        <w:t xml:space="preserve">el plan de imposición de la pena capital </w:t>
      </w:r>
      <w:r w:rsidRPr="00D8219A">
        <w:rPr>
          <w:lang w:val="es-UY"/>
        </w:rPr>
        <w:t>de Florida, el peticionario</w:t>
      </w:r>
      <w:r w:rsidR="00703BA0" w:rsidRPr="00D8219A">
        <w:rPr>
          <w:lang w:val="es-UY"/>
        </w:rPr>
        <w:t>, en su última comunicación,</w:t>
      </w:r>
      <w:r w:rsidR="007E24B8" w:rsidRPr="00D8219A">
        <w:rPr>
          <w:lang w:val="es-UY"/>
        </w:rPr>
        <w:t xml:space="preserve"> alega</w:t>
      </w:r>
      <w:r w:rsidRPr="00D8219A">
        <w:rPr>
          <w:lang w:val="es-UY"/>
        </w:rPr>
        <w:t xml:space="preserve"> que no presenta nuevos recursos internos para una determinación de admisibilidad porque subsiste la posibilida</w:t>
      </w:r>
      <w:r w:rsidR="00D25BE2" w:rsidRPr="00D8219A">
        <w:rPr>
          <w:lang w:val="es-UY"/>
        </w:rPr>
        <w:t>d de que el Estado ejecute al</w:t>
      </w:r>
      <w:r w:rsidRPr="00D8219A">
        <w:rPr>
          <w:lang w:val="es-UY"/>
        </w:rPr>
        <w:t xml:space="preserve"> </w:t>
      </w:r>
      <w:r w:rsidR="001B5C63" w:rsidRPr="00D8219A">
        <w:rPr>
          <w:lang w:val="es-UY"/>
        </w:rPr>
        <w:t>señor</w:t>
      </w:r>
      <w:r w:rsidRPr="00D8219A">
        <w:rPr>
          <w:lang w:val="es-UY"/>
        </w:rPr>
        <w:t xml:space="preserve"> Serrano</w:t>
      </w:r>
      <w:r w:rsidR="007E24B8" w:rsidRPr="00D8219A">
        <w:rPr>
          <w:lang w:val="es-UY"/>
        </w:rPr>
        <w:t>.</w:t>
      </w:r>
      <w:r w:rsidRPr="00D8219A">
        <w:rPr>
          <w:lang w:val="es-UY"/>
        </w:rPr>
        <w:t xml:space="preserve"> El peticionario concluye que Estados Unidos ha violado los derechos a la vida, res</w:t>
      </w:r>
      <w:r w:rsidR="006A2414" w:rsidRPr="00D8219A">
        <w:rPr>
          <w:lang w:val="es-UY"/>
        </w:rPr>
        <w:t xml:space="preserve">idencia y </w:t>
      </w:r>
      <w:r w:rsidR="00EB4DBA" w:rsidRPr="00D8219A">
        <w:rPr>
          <w:lang w:val="es-UY"/>
        </w:rPr>
        <w:t>tránsi</w:t>
      </w:r>
      <w:r w:rsidR="006A2414" w:rsidRPr="00D8219A">
        <w:rPr>
          <w:lang w:val="es-UY"/>
        </w:rPr>
        <w:t>to</w:t>
      </w:r>
      <w:r w:rsidR="00EB4DBA" w:rsidRPr="00D8219A">
        <w:rPr>
          <w:lang w:val="es-UY"/>
        </w:rPr>
        <w:t>,</w:t>
      </w:r>
      <w:r w:rsidR="00677068" w:rsidRPr="00D8219A">
        <w:rPr>
          <w:lang w:val="es-UY"/>
        </w:rPr>
        <w:t xml:space="preserve"> justicia,</w:t>
      </w:r>
      <w:r w:rsidR="00EB4DBA" w:rsidRPr="00D8219A">
        <w:rPr>
          <w:lang w:val="es-UY"/>
        </w:rPr>
        <w:t xml:space="preserve"> </w:t>
      </w:r>
      <w:r w:rsidR="00770BAB" w:rsidRPr="00D8219A">
        <w:rPr>
          <w:lang w:val="es-UY"/>
        </w:rPr>
        <w:t xml:space="preserve"> nacionalidad, </w:t>
      </w:r>
      <w:r w:rsidRPr="00D8219A">
        <w:rPr>
          <w:lang w:val="es-UY"/>
        </w:rPr>
        <w:t xml:space="preserve">protección frente </w:t>
      </w:r>
      <w:r w:rsidR="00EB4DBA" w:rsidRPr="00D8219A">
        <w:rPr>
          <w:lang w:val="es-UY"/>
        </w:rPr>
        <w:t>a la detención arbitraria</w:t>
      </w:r>
      <w:r w:rsidRPr="00D8219A">
        <w:rPr>
          <w:lang w:val="es-UY"/>
        </w:rPr>
        <w:t xml:space="preserve"> y</w:t>
      </w:r>
      <w:r w:rsidR="00677068" w:rsidRPr="00D8219A">
        <w:rPr>
          <w:lang w:val="es-UY"/>
        </w:rPr>
        <w:t xml:space="preserve"> a un juicio regular</w:t>
      </w:r>
      <w:r w:rsidRPr="00D8219A">
        <w:rPr>
          <w:lang w:val="es-UY"/>
        </w:rPr>
        <w:t xml:space="preserve"> est</w:t>
      </w:r>
      <w:r w:rsidR="00D067F2" w:rsidRPr="00D8219A">
        <w:rPr>
          <w:lang w:val="es-UY"/>
        </w:rPr>
        <w:t>ipulados</w:t>
      </w:r>
      <w:r w:rsidRPr="00D8219A">
        <w:rPr>
          <w:lang w:val="es-UY"/>
        </w:rPr>
        <w:t xml:space="preserve"> en los </w:t>
      </w:r>
      <w:r w:rsidR="00B002F7" w:rsidRPr="00D8219A">
        <w:rPr>
          <w:lang w:val="es-UY"/>
        </w:rPr>
        <w:t>artículo</w:t>
      </w:r>
      <w:r w:rsidRPr="00D8219A">
        <w:rPr>
          <w:lang w:val="es-UY"/>
        </w:rPr>
        <w:t>s I, VIII, XVIII, XIX, XXV y XXI de la Declaración Americana.</w:t>
      </w:r>
    </w:p>
    <w:p w14:paraId="0FA7E419" w14:textId="77777777" w:rsidR="008C0C39" w:rsidRPr="00D8219A" w:rsidRDefault="008C0C39" w:rsidP="008C0C39">
      <w:pPr>
        <w:pStyle w:val="parrafos"/>
        <w:numPr>
          <w:ilvl w:val="0"/>
          <w:numId w:val="0"/>
        </w:numPr>
        <w:rPr>
          <w:lang w:val="es-UY"/>
        </w:rPr>
      </w:pPr>
      <w:r w:rsidRPr="00D8219A">
        <w:rPr>
          <w:lang w:val="es-UY"/>
        </w:rPr>
        <w:t xml:space="preserve"> </w:t>
      </w:r>
    </w:p>
    <w:p w14:paraId="36E65877" w14:textId="77777777" w:rsidR="008C0C39" w:rsidRPr="00D8219A" w:rsidRDefault="008C0C39" w:rsidP="008C0C39">
      <w:pPr>
        <w:pStyle w:val="Heading2"/>
        <w:keepNext w:val="0"/>
        <w:keepLines w:val="0"/>
        <w:numPr>
          <w:ilvl w:val="0"/>
          <w:numId w:val="56"/>
        </w:numPr>
        <w:tabs>
          <w:tab w:val="left" w:pos="360"/>
        </w:tabs>
        <w:suppressAutoHyphens/>
        <w:spacing w:before="0"/>
        <w:ind w:left="360"/>
        <w:rPr>
          <w:color w:val="auto"/>
          <w:sz w:val="20"/>
          <w:szCs w:val="20"/>
        </w:rPr>
      </w:pPr>
      <w:bookmarkStart w:id="3" w:name="_Toc69212235"/>
      <w:r w:rsidRPr="00D8219A">
        <w:rPr>
          <w:color w:val="auto"/>
          <w:sz w:val="20"/>
          <w:szCs w:val="20"/>
        </w:rPr>
        <w:t>Estado</w:t>
      </w:r>
      <w:bookmarkEnd w:id="3"/>
    </w:p>
    <w:p w14:paraId="3DDCAEB6" w14:textId="77777777" w:rsidR="008C0C39" w:rsidRPr="00D8219A" w:rsidRDefault="008C0C39" w:rsidP="008C0C39">
      <w:pPr>
        <w:tabs>
          <w:tab w:val="left" w:pos="360"/>
        </w:tabs>
        <w:suppressAutoHyphens/>
        <w:rPr>
          <w:rFonts w:asciiTheme="majorHAnsi" w:hAnsiTheme="majorHAnsi"/>
          <w:sz w:val="20"/>
          <w:szCs w:val="20"/>
        </w:rPr>
      </w:pPr>
    </w:p>
    <w:p w14:paraId="56276205" w14:textId="77777777" w:rsidR="008C0C39" w:rsidRPr="00D8219A" w:rsidRDefault="008C0C39" w:rsidP="008C0C39">
      <w:pPr>
        <w:pStyle w:val="parrafos"/>
        <w:ind w:left="0" w:firstLine="0"/>
        <w:rPr>
          <w:lang w:val="es-UY"/>
        </w:rPr>
      </w:pPr>
      <w:r w:rsidRPr="00D8219A">
        <w:rPr>
          <w:lang w:val="es-UY"/>
        </w:rPr>
        <w:t>El Estado no presentó observaciones adicionales en la etapa de</w:t>
      </w:r>
      <w:r w:rsidR="00AB1912" w:rsidRPr="00D8219A">
        <w:rPr>
          <w:lang w:val="es-UY"/>
        </w:rPr>
        <w:t xml:space="preserve"> </w:t>
      </w:r>
      <w:r w:rsidR="005D215C" w:rsidRPr="00D8219A">
        <w:rPr>
          <w:lang w:val="es-UY"/>
        </w:rPr>
        <w:t>fondo</w:t>
      </w:r>
      <w:r w:rsidRPr="00D8219A">
        <w:rPr>
          <w:lang w:val="es-UY"/>
        </w:rPr>
        <w:t>. Durante la</w:t>
      </w:r>
      <w:r w:rsidR="00AB1912" w:rsidRPr="00D8219A">
        <w:rPr>
          <w:lang w:val="es-UY"/>
        </w:rPr>
        <w:t xml:space="preserve"> fase de admisibilidad</w:t>
      </w:r>
      <w:r w:rsidRPr="00D8219A">
        <w:rPr>
          <w:lang w:val="es-UY"/>
        </w:rPr>
        <w:t xml:space="preserve"> Estado</w:t>
      </w:r>
      <w:r w:rsidR="00AB1912" w:rsidRPr="00D8219A">
        <w:rPr>
          <w:lang w:val="es-UY"/>
        </w:rPr>
        <w:t>s Unidos alegó</w:t>
      </w:r>
      <w:r w:rsidRPr="00D8219A">
        <w:rPr>
          <w:lang w:val="es-UY"/>
        </w:rPr>
        <w:t xml:space="preserve"> que el peticionario no había agotado los recursos internos ni había “formulado </w:t>
      </w:r>
      <w:r w:rsidR="00D067F2" w:rsidRPr="00D8219A">
        <w:rPr>
          <w:lang w:val="es-UY"/>
        </w:rPr>
        <w:t>ninguna manifestación</w:t>
      </w:r>
      <w:r w:rsidR="00AB1912" w:rsidRPr="00D8219A">
        <w:rPr>
          <w:lang w:val="es-UY"/>
        </w:rPr>
        <w:t xml:space="preserve"> de que</w:t>
      </w:r>
      <w:r w:rsidR="00D067F2" w:rsidRPr="00D8219A">
        <w:rPr>
          <w:lang w:val="es-UY"/>
        </w:rPr>
        <w:t xml:space="preserve"> esos procedimientos </w:t>
      </w:r>
      <w:r w:rsidR="00AB1912" w:rsidRPr="00D8219A">
        <w:rPr>
          <w:lang w:val="es-UY"/>
        </w:rPr>
        <w:t>hubier</w:t>
      </w:r>
      <w:r w:rsidRPr="00D8219A">
        <w:rPr>
          <w:lang w:val="es-UY"/>
        </w:rPr>
        <w:t>a</w:t>
      </w:r>
      <w:r w:rsidR="00D067F2" w:rsidRPr="00D8219A">
        <w:rPr>
          <w:lang w:val="es-UY"/>
        </w:rPr>
        <w:t xml:space="preserve">n padecido una demora indebida ni ninguna </w:t>
      </w:r>
      <w:r w:rsidRPr="00D8219A">
        <w:rPr>
          <w:lang w:val="es-UY"/>
        </w:rPr>
        <w:t>otra irregularidad que obv[iara] el re</w:t>
      </w:r>
      <w:r w:rsidR="00AB1912" w:rsidRPr="00D8219A">
        <w:rPr>
          <w:lang w:val="es-UY"/>
        </w:rPr>
        <w:t>quisito</w:t>
      </w:r>
      <w:r w:rsidRPr="00D8219A">
        <w:rPr>
          <w:lang w:val="es-UY"/>
        </w:rPr>
        <w:t xml:space="preserve"> de agotamiento.”  Específicamente, el</w:t>
      </w:r>
      <w:r w:rsidR="00C11E77" w:rsidRPr="00D8219A">
        <w:rPr>
          <w:lang w:val="es-UY"/>
        </w:rPr>
        <w:t xml:space="preserve"> Estado alegó que la apelación de</w:t>
      </w:r>
      <w:r w:rsidRPr="00D8219A">
        <w:rPr>
          <w:lang w:val="es-UY"/>
        </w:rPr>
        <w:t xml:space="preserve"> la sentencia posterior a la</w:t>
      </w:r>
      <w:r w:rsidR="008D3DD9" w:rsidRPr="00D8219A">
        <w:rPr>
          <w:lang w:val="es-UY"/>
        </w:rPr>
        <w:t xml:space="preserve"> declaración de culpabilidad</w:t>
      </w:r>
      <w:r w:rsidRPr="00D8219A">
        <w:rPr>
          <w:lang w:val="es-UY"/>
        </w:rPr>
        <w:t xml:space="preserve"> dictada por la Corte d</w:t>
      </w:r>
      <w:r w:rsidR="00143DFA" w:rsidRPr="00D8219A">
        <w:rPr>
          <w:lang w:val="es-UY"/>
        </w:rPr>
        <w:t xml:space="preserve">e Circuito del Condado de Polk </w:t>
      </w:r>
      <w:r w:rsidRPr="00D8219A">
        <w:rPr>
          <w:lang w:val="es-UY"/>
        </w:rPr>
        <w:t xml:space="preserve">el 29 de diciembre de 2014, que estaba pendiente entonces, podía dar lugar </w:t>
      </w:r>
      <w:r w:rsidR="005515CB" w:rsidRPr="00D8219A">
        <w:rPr>
          <w:lang w:val="es-UY"/>
        </w:rPr>
        <w:t xml:space="preserve">a la anulación de la sentencia dictada contra </w:t>
      </w:r>
      <w:r w:rsidRPr="00D8219A">
        <w:rPr>
          <w:lang w:val="es-UY"/>
        </w:rPr>
        <w:t xml:space="preserve">el </w:t>
      </w:r>
      <w:r w:rsidR="001B5C63" w:rsidRPr="00D8219A">
        <w:rPr>
          <w:lang w:val="es-UY"/>
        </w:rPr>
        <w:t>señor</w:t>
      </w:r>
      <w:r w:rsidRPr="00D8219A">
        <w:rPr>
          <w:lang w:val="es-UY"/>
        </w:rPr>
        <w:t xml:space="preserve"> Serrano. El Estado concluye que la petición es, por lo tanto, inadmisible</w:t>
      </w:r>
      <w:r w:rsidR="00143DFA" w:rsidRPr="00D8219A">
        <w:rPr>
          <w:lang w:val="es-UY"/>
        </w:rPr>
        <w:t>, y corresponde rechazarla.</w:t>
      </w:r>
      <w:r w:rsidRPr="00D8219A">
        <w:rPr>
          <w:lang w:val="es-UY"/>
        </w:rPr>
        <w:t xml:space="preserve"> Estados Unidos no ha presentado ningún </w:t>
      </w:r>
      <w:r w:rsidR="00482DFA" w:rsidRPr="00D8219A">
        <w:rPr>
          <w:lang w:val="es-UY"/>
        </w:rPr>
        <w:t>argumento relacionado</w:t>
      </w:r>
      <w:r w:rsidR="00143DFA" w:rsidRPr="00D8219A">
        <w:rPr>
          <w:lang w:val="es-UY"/>
        </w:rPr>
        <w:t xml:space="preserve"> con </w:t>
      </w:r>
      <w:r w:rsidRPr="00D8219A">
        <w:rPr>
          <w:lang w:val="es-UY"/>
        </w:rPr>
        <w:t>el fondo del asunto.</w:t>
      </w:r>
    </w:p>
    <w:p w14:paraId="3FE834DB" w14:textId="77777777" w:rsidR="008C0C39" w:rsidRPr="00D8219A" w:rsidRDefault="008C0C39" w:rsidP="008C0C39">
      <w:pPr>
        <w:pStyle w:val="ListParagraph"/>
        <w:tabs>
          <w:tab w:val="left" w:pos="360"/>
        </w:tabs>
        <w:rPr>
          <w:rFonts w:asciiTheme="majorHAnsi" w:hAnsiTheme="majorHAnsi"/>
          <w:color w:val="auto"/>
          <w:sz w:val="20"/>
          <w:szCs w:val="20"/>
          <w:lang w:val="es-UY"/>
        </w:rPr>
      </w:pPr>
    </w:p>
    <w:p w14:paraId="4A4083A2" w14:textId="77777777" w:rsidR="008C0C39" w:rsidRPr="00D8219A" w:rsidRDefault="008C0C39" w:rsidP="008C0C39">
      <w:pPr>
        <w:pStyle w:val="Heading1"/>
        <w:keepNext w:val="0"/>
        <w:keepLines w:val="0"/>
        <w:numPr>
          <w:ilvl w:val="0"/>
          <w:numId w:val="55"/>
        </w:numPr>
        <w:suppressAutoHyphens/>
        <w:spacing w:before="0"/>
        <w:ind w:left="360" w:hanging="360"/>
        <w:rPr>
          <w:color w:val="auto"/>
          <w:sz w:val="20"/>
          <w:szCs w:val="20"/>
        </w:rPr>
      </w:pPr>
      <w:bookmarkStart w:id="4" w:name="_Toc69212236"/>
      <w:r w:rsidRPr="00D8219A">
        <w:rPr>
          <w:color w:val="auto"/>
          <w:sz w:val="20"/>
          <w:szCs w:val="20"/>
        </w:rPr>
        <w:t>ADMISIBILIDAD</w:t>
      </w:r>
      <w:bookmarkEnd w:id="4"/>
    </w:p>
    <w:p w14:paraId="2806C208" w14:textId="77777777" w:rsidR="008C0C39" w:rsidRPr="00D8219A" w:rsidRDefault="008C0C39" w:rsidP="008C0C39">
      <w:pPr>
        <w:pStyle w:val="Heading1"/>
        <w:keepNext w:val="0"/>
        <w:keepLines w:val="0"/>
        <w:numPr>
          <w:ilvl w:val="0"/>
          <w:numId w:val="0"/>
        </w:numPr>
        <w:suppressAutoHyphens/>
        <w:spacing w:before="0"/>
        <w:ind w:left="360"/>
        <w:rPr>
          <w:color w:val="auto"/>
          <w:sz w:val="20"/>
          <w:szCs w:val="20"/>
        </w:rPr>
      </w:pPr>
    </w:p>
    <w:p w14:paraId="264E8121" w14:textId="77777777" w:rsidR="008C0C39" w:rsidRPr="00D8219A" w:rsidRDefault="008C0C39" w:rsidP="00C243B4">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lang w:val="es-UY"/>
        </w:rPr>
      </w:pPr>
      <w:bookmarkStart w:id="5" w:name="_Toc69212237"/>
      <w:bookmarkStart w:id="6" w:name="_Toc6349142"/>
      <w:r w:rsidRPr="00D8219A">
        <w:rPr>
          <w:rFonts w:cs="Times New Roman"/>
          <w:color w:val="auto"/>
          <w:sz w:val="20"/>
          <w:szCs w:val="20"/>
          <w:lang w:val="es-UY"/>
        </w:rPr>
        <w:t xml:space="preserve">Competencia, duplicación de procedimientos y </w:t>
      </w:r>
      <w:r w:rsidRPr="00D8219A">
        <w:rPr>
          <w:rFonts w:cs="Times New Roman"/>
          <w:i/>
          <w:color w:val="auto"/>
          <w:sz w:val="20"/>
          <w:szCs w:val="20"/>
          <w:lang w:val="es-UY"/>
        </w:rPr>
        <w:t>res judicata</w:t>
      </w:r>
      <w:r w:rsidRPr="00D8219A">
        <w:rPr>
          <w:rFonts w:cs="Times New Roman"/>
          <w:color w:val="auto"/>
          <w:sz w:val="20"/>
          <w:szCs w:val="20"/>
          <w:lang w:val="es-UY"/>
        </w:rPr>
        <w:t xml:space="preserve"> internacional</w:t>
      </w:r>
      <w:bookmarkEnd w:id="5"/>
      <w:r w:rsidRPr="00D8219A">
        <w:rPr>
          <w:rFonts w:cs="Times New Roman"/>
          <w:color w:val="auto"/>
          <w:sz w:val="20"/>
          <w:szCs w:val="20"/>
          <w:lang w:val="es-UY"/>
        </w:rPr>
        <w:t xml:space="preserve"> </w:t>
      </w:r>
      <w:bookmarkEnd w:id="6"/>
    </w:p>
    <w:p w14:paraId="2CBC88C2" w14:textId="77777777" w:rsidR="008C0C39" w:rsidRPr="00D8219A" w:rsidRDefault="008C0C39" w:rsidP="008C0C39">
      <w:pPr>
        <w:pStyle w:val="ListParagraph"/>
        <w:suppressAutoHyphens/>
        <w:rPr>
          <w:rFonts w:asciiTheme="majorHAnsi" w:hAnsiTheme="majorHAnsi" w:cs="Times New Roman"/>
          <w:b/>
          <w:sz w:val="20"/>
          <w:szCs w:val="20"/>
          <w:lang w:val="es-UY"/>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8C0C39" w:rsidRPr="00D8219A" w14:paraId="2CE810F5" w14:textId="77777777" w:rsidTr="00422303">
        <w:trPr>
          <w:cantSplit/>
        </w:trPr>
        <w:tc>
          <w:tcPr>
            <w:tcW w:w="3600" w:type="dxa"/>
            <w:tcBorders>
              <w:top w:val="single" w:sz="4" w:space="0" w:color="auto"/>
              <w:bottom w:val="single" w:sz="6" w:space="0" w:color="auto"/>
            </w:tcBorders>
            <w:shd w:val="clear" w:color="auto" w:fill="386294"/>
            <w:vAlign w:val="center"/>
          </w:tcPr>
          <w:p w14:paraId="57D7560A" w14:textId="77777777" w:rsidR="008C0C39" w:rsidRPr="00D8219A" w:rsidRDefault="008C0C39" w:rsidP="00422303">
            <w:pPr>
              <w:jc w:val="center"/>
              <w:rPr>
                <w:rFonts w:asciiTheme="majorHAnsi" w:hAnsiTheme="majorHAnsi"/>
                <w:b/>
                <w:bCs/>
                <w:i/>
                <w:color w:val="FFFFFF" w:themeColor="background1"/>
                <w:sz w:val="20"/>
                <w:szCs w:val="20"/>
              </w:rPr>
            </w:pPr>
            <w:r w:rsidRPr="00D8219A">
              <w:rPr>
                <w:rFonts w:asciiTheme="majorHAnsi" w:hAnsiTheme="majorHAnsi"/>
                <w:b/>
                <w:bCs/>
                <w:color w:val="FFFFFF" w:themeColor="background1"/>
                <w:sz w:val="20"/>
                <w:szCs w:val="20"/>
              </w:rPr>
              <w:t>Competencia</w:t>
            </w:r>
            <w:r w:rsidRPr="00D8219A">
              <w:rPr>
                <w:rFonts w:asciiTheme="majorHAnsi" w:hAnsiTheme="majorHAnsi"/>
                <w:b/>
                <w:bCs/>
                <w:i/>
                <w:color w:val="FFFFFF" w:themeColor="background1"/>
                <w:sz w:val="20"/>
                <w:szCs w:val="20"/>
              </w:rPr>
              <w:t xml:space="preserve"> Ratione personae:</w:t>
            </w:r>
          </w:p>
        </w:tc>
        <w:tc>
          <w:tcPr>
            <w:tcW w:w="5760" w:type="dxa"/>
            <w:vAlign w:val="center"/>
          </w:tcPr>
          <w:p w14:paraId="7B0C961F" w14:textId="77777777" w:rsidR="008C0C39" w:rsidRPr="00D8219A" w:rsidRDefault="008C0C39" w:rsidP="00422303">
            <w:pPr>
              <w:rPr>
                <w:rFonts w:asciiTheme="majorHAnsi" w:hAnsiTheme="majorHAnsi"/>
                <w:bCs/>
                <w:sz w:val="20"/>
                <w:szCs w:val="20"/>
              </w:rPr>
            </w:pPr>
            <w:r w:rsidRPr="00D8219A">
              <w:rPr>
                <w:rFonts w:asciiTheme="majorHAnsi" w:hAnsiTheme="majorHAnsi"/>
                <w:bCs/>
                <w:sz w:val="20"/>
                <w:szCs w:val="20"/>
              </w:rPr>
              <w:t>Sí</w:t>
            </w:r>
          </w:p>
        </w:tc>
      </w:tr>
      <w:tr w:rsidR="008C0C39" w:rsidRPr="00D8219A" w14:paraId="32DE82D8" w14:textId="77777777" w:rsidTr="00422303">
        <w:trPr>
          <w:cantSplit/>
          <w:trHeight w:val="734"/>
        </w:trPr>
        <w:tc>
          <w:tcPr>
            <w:tcW w:w="3600" w:type="dxa"/>
            <w:tcBorders>
              <w:top w:val="single" w:sz="6" w:space="0" w:color="auto"/>
              <w:bottom w:val="single" w:sz="6" w:space="0" w:color="auto"/>
            </w:tcBorders>
            <w:shd w:val="clear" w:color="auto" w:fill="386294"/>
            <w:vAlign w:val="center"/>
          </w:tcPr>
          <w:p w14:paraId="5DDF5DD8" w14:textId="77777777" w:rsidR="008C0C39" w:rsidRPr="00D8219A" w:rsidRDefault="008C0C39" w:rsidP="00422303">
            <w:pPr>
              <w:jc w:val="center"/>
              <w:rPr>
                <w:rFonts w:asciiTheme="majorHAnsi" w:hAnsiTheme="majorHAnsi"/>
                <w:b/>
                <w:bCs/>
                <w:color w:val="FFFFFF" w:themeColor="background1"/>
                <w:sz w:val="20"/>
                <w:szCs w:val="20"/>
              </w:rPr>
            </w:pPr>
            <w:r w:rsidRPr="00D8219A">
              <w:rPr>
                <w:rFonts w:asciiTheme="majorHAnsi" w:hAnsiTheme="majorHAnsi"/>
                <w:b/>
                <w:bCs/>
                <w:color w:val="FFFFFF" w:themeColor="background1"/>
                <w:sz w:val="20"/>
                <w:szCs w:val="20"/>
              </w:rPr>
              <w:t>Competencia</w:t>
            </w:r>
            <w:r w:rsidRPr="00D8219A">
              <w:rPr>
                <w:rFonts w:asciiTheme="majorHAnsi" w:hAnsiTheme="majorHAnsi"/>
                <w:b/>
                <w:bCs/>
                <w:i/>
                <w:color w:val="FFFFFF" w:themeColor="background1"/>
                <w:sz w:val="20"/>
                <w:szCs w:val="20"/>
              </w:rPr>
              <w:t xml:space="preserve"> Ratione loci</w:t>
            </w:r>
            <w:r w:rsidRPr="00D8219A">
              <w:rPr>
                <w:rFonts w:asciiTheme="majorHAnsi" w:hAnsiTheme="majorHAnsi"/>
                <w:b/>
                <w:bCs/>
                <w:color w:val="FFFFFF" w:themeColor="background1"/>
                <w:sz w:val="20"/>
                <w:szCs w:val="20"/>
              </w:rPr>
              <w:t>:</w:t>
            </w:r>
          </w:p>
        </w:tc>
        <w:tc>
          <w:tcPr>
            <w:tcW w:w="5760" w:type="dxa"/>
            <w:vAlign w:val="center"/>
          </w:tcPr>
          <w:p w14:paraId="5D201550" w14:textId="77777777" w:rsidR="008C0C39" w:rsidRPr="00D8219A" w:rsidRDefault="008C0C39" w:rsidP="00422303">
            <w:pPr>
              <w:rPr>
                <w:rFonts w:asciiTheme="majorHAnsi" w:hAnsiTheme="majorHAnsi"/>
                <w:bCs/>
                <w:sz w:val="20"/>
                <w:szCs w:val="20"/>
              </w:rPr>
            </w:pPr>
            <w:r w:rsidRPr="00D8219A">
              <w:rPr>
                <w:rFonts w:asciiTheme="majorHAnsi" w:hAnsiTheme="majorHAnsi"/>
                <w:bCs/>
                <w:sz w:val="20"/>
                <w:szCs w:val="20"/>
              </w:rPr>
              <w:t>Sí</w:t>
            </w:r>
          </w:p>
        </w:tc>
      </w:tr>
      <w:tr w:rsidR="008C0C39" w:rsidRPr="00D8219A" w14:paraId="2B1CC8B8" w14:textId="77777777" w:rsidTr="00422303">
        <w:trPr>
          <w:cantSplit/>
        </w:trPr>
        <w:tc>
          <w:tcPr>
            <w:tcW w:w="3600" w:type="dxa"/>
            <w:tcBorders>
              <w:top w:val="single" w:sz="6" w:space="0" w:color="auto"/>
              <w:bottom w:val="single" w:sz="6" w:space="0" w:color="auto"/>
            </w:tcBorders>
            <w:shd w:val="clear" w:color="auto" w:fill="386294"/>
            <w:vAlign w:val="center"/>
          </w:tcPr>
          <w:p w14:paraId="1D4E57B6" w14:textId="77777777" w:rsidR="008C0C39" w:rsidRPr="00D8219A" w:rsidRDefault="008C0C39" w:rsidP="00422303">
            <w:pPr>
              <w:jc w:val="center"/>
              <w:rPr>
                <w:rFonts w:asciiTheme="majorHAnsi" w:hAnsiTheme="majorHAnsi"/>
                <w:b/>
                <w:bCs/>
                <w:color w:val="FFFFFF" w:themeColor="background1"/>
                <w:sz w:val="20"/>
                <w:szCs w:val="20"/>
              </w:rPr>
            </w:pPr>
            <w:r w:rsidRPr="00D8219A">
              <w:rPr>
                <w:rFonts w:asciiTheme="majorHAnsi" w:hAnsiTheme="majorHAnsi"/>
                <w:b/>
                <w:bCs/>
                <w:color w:val="FFFFFF" w:themeColor="background1"/>
                <w:sz w:val="20"/>
                <w:szCs w:val="20"/>
              </w:rPr>
              <w:t>Competencia</w:t>
            </w:r>
            <w:r w:rsidRPr="00D8219A">
              <w:rPr>
                <w:rFonts w:asciiTheme="majorHAnsi" w:hAnsiTheme="majorHAnsi"/>
                <w:b/>
                <w:bCs/>
                <w:i/>
                <w:color w:val="FFFFFF" w:themeColor="background1"/>
                <w:sz w:val="20"/>
                <w:szCs w:val="20"/>
              </w:rPr>
              <w:t xml:space="preserve"> Ratione temporis</w:t>
            </w:r>
            <w:r w:rsidRPr="00D8219A">
              <w:rPr>
                <w:rFonts w:asciiTheme="majorHAnsi" w:hAnsiTheme="majorHAnsi"/>
                <w:b/>
                <w:bCs/>
                <w:color w:val="FFFFFF" w:themeColor="background1"/>
                <w:sz w:val="20"/>
                <w:szCs w:val="20"/>
              </w:rPr>
              <w:t>:</w:t>
            </w:r>
          </w:p>
        </w:tc>
        <w:tc>
          <w:tcPr>
            <w:tcW w:w="5760" w:type="dxa"/>
            <w:vAlign w:val="center"/>
          </w:tcPr>
          <w:p w14:paraId="6187A048" w14:textId="77777777" w:rsidR="008C0C39" w:rsidRPr="00D8219A" w:rsidRDefault="008C0C39" w:rsidP="00422303">
            <w:pPr>
              <w:rPr>
                <w:rFonts w:asciiTheme="majorHAnsi" w:hAnsiTheme="majorHAnsi"/>
                <w:bCs/>
                <w:sz w:val="20"/>
                <w:szCs w:val="20"/>
              </w:rPr>
            </w:pPr>
            <w:r w:rsidRPr="00D8219A">
              <w:rPr>
                <w:rFonts w:asciiTheme="majorHAnsi" w:hAnsiTheme="majorHAnsi"/>
                <w:bCs/>
                <w:sz w:val="20"/>
                <w:szCs w:val="20"/>
              </w:rPr>
              <w:t>Sí</w:t>
            </w:r>
          </w:p>
        </w:tc>
      </w:tr>
      <w:tr w:rsidR="008C0C39" w:rsidRPr="00A12FE2" w14:paraId="75D1045A" w14:textId="77777777" w:rsidTr="00422303">
        <w:trPr>
          <w:cantSplit/>
        </w:trPr>
        <w:tc>
          <w:tcPr>
            <w:tcW w:w="3600" w:type="dxa"/>
            <w:tcBorders>
              <w:top w:val="single" w:sz="6" w:space="0" w:color="auto"/>
              <w:bottom w:val="single" w:sz="6" w:space="0" w:color="auto"/>
            </w:tcBorders>
            <w:shd w:val="clear" w:color="auto" w:fill="386294"/>
            <w:vAlign w:val="center"/>
          </w:tcPr>
          <w:p w14:paraId="0A4CF72A" w14:textId="77777777" w:rsidR="008C0C39" w:rsidRPr="00D8219A" w:rsidRDefault="008C0C39" w:rsidP="00422303">
            <w:pPr>
              <w:jc w:val="center"/>
              <w:rPr>
                <w:rFonts w:asciiTheme="majorHAnsi" w:hAnsiTheme="majorHAnsi"/>
                <w:b/>
                <w:bCs/>
                <w:color w:val="FFFFFF" w:themeColor="background1"/>
                <w:sz w:val="20"/>
                <w:szCs w:val="20"/>
              </w:rPr>
            </w:pPr>
            <w:r w:rsidRPr="00D8219A">
              <w:rPr>
                <w:rFonts w:asciiTheme="majorHAnsi" w:hAnsiTheme="majorHAnsi"/>
                <w:b/>
                <w:bCs/>
                <w:color w:val="FFFFFF" w:themeColor="background1"/>
                <w:sz w:val="20"/>
                <w:szCs w:val="20"/>
              </w:rPr>
              <w:t>Competencia</w:t>
            </w:r>
            <w:r w:rsidRPr="00D8219A">
              <w:rPr>
                <w:rFonts w:asciiTheme="majorHAnsi" w:hAnsiTheme="majorHAnsi"/>
                <w:b/>
                <w:bCs/>
                <w:i/>
                <w:color w:val="FFFFFF" w:themeColor="background1"/>
                <w:sz w:val="20"/>
                <w:szCs w:val="20"/>
              </w:rPr>
              <w:t xml:space="preserve"> Ratione materiae</w:t>
            </w:r>
            <w:r w:rsidRPr="00D8219A">
              <w:rPr>
                <w:rFonts w:asciiTheme="majorHAnsi" w:hAnsiTheme="majorHAnsi"/>
                <w:b/>
                <w:bCs/>
                <w:color w:val="FFFFFF" w:themeColor="background1"/>
                <w:sz w:val="20"/>
                <w:szCs w:val="20"/>
              </w:rPr>
              <w:t>:</w:t>
            </w:r>
          </w:p>
        </w:tc>
        <w:tc>
          <w:tcPr>
            <w:tcW w:w="5760" w:type="dxa"/>
            <w:vAlign w:val="center"/>
          </w:tcPr>
          <w:p w14:paraId="45B2C233" w14:textId="77777777" w:rsidR="008C0C39" w:rsidRPr="00D8219A" w:rsidRDefault="008C0C39" w:rsidP="00736E3B">
            <w:pPr>
              <w:jc w:val="both"/>
              <w:rPr>
                <w:rFonts w:asciiTheme="majorHAnsi" w:hAnsiTheme="majorHAnsi"/>
                <w:bCs/>
                <w:sz w:val="20"/>
                <w:szCs w:val="20"/>
                <w:lang w:val="es-UY"/>
              </w:rPr>
            </w:pPr>
            <w:r w:rsidRPr="00D8219A">
              <w:rPr>
                <w:rFonts w:asciiTheme="majorHAnsi" w:hAnsiTheme="majorHAnsi"/>
                <w:bCs/>
                <w:sz w:val="20"/>
                <w:szCs w:val="20"/>
                <w:lang w:val="es-UY"/>
              </w:rPr>
              <w:t>Sí, Declaración Americana sobre los Derechos y Deberes del Hombre (i</w:t>
            </w:r>
            <w:r w:rsidR="00736E3B" w:rsidRPr="00D8219A">
              <w:rPr>
                <w:rFonts w:asciiTheme="majorHAnsi" w:hAnsiTheme="majorHAnsi"/>
                <w:bCs/>
                <w:sz w:val="20"/>
                <w:szCs w:val="20"/>
                <w:lang w:val="es-UY"/>
              </w:rPr>
              <w:t>ns</w:t>
            </w:r>
            <w:r w:rsidRPr="00D8219A">
              <w:rPr>
                <w:rFonts w:asciiTheme="majorHAnsi" w:hAnsiTheme="majorHAnsi"/>
                <w:bCs/>
                <w:sz w:val="20"/>
                <w:szCs w:val="20"/>
                <w:lang w:val="es-UY"/>
              </w:rPr>
              <w:t>trumento de ratificación de la Carta de la OEA depositado el 19 de junio de 1951)</w:t>
            </w:r>
          </w:p>
        </w:tc>
      </w:tr>
      <w:tr w:rsidR="008C0C39" w:rsidRPr="00D8219A" w14:paraId="127D65B3" w14:textId="77777777" w:rsidTr="00422303">
        <w:trPr>
          <w:cantSplit/>
        </w:trPr>
        <w:tc>
          <w:tcPr>
            <w:tcW w:w="3600" w:type="dxa"/>
            <w:tcBorders>
              <w:top w:val="single" w:sz="6" w:space="0" w:color="auto"/>
              <w:bottom w:val="single" w:sz="6" w:space="0" w:color="auto"/>
            </w:tcBorders>
            <w:shd w:val="clear" w:color="auto" w:fill="386294"/>
            <w:vAlign w:val="center"/>
          </w:tcPr>
          <w:p w14:paraId="6EA0EB20" w14:textId="77777777" w:rsidR="008C0C39" w:rsidRPr="00D8219A" w:rsidRDefault="008C0C39" w:rsidP="00422303">
            <w:pPr>
              <w:jc w:val="center"/>
              <w:rPr>
                <w:rFonts w:asciiTheme="majorHAnsi" w:hAnsiTheme="majorHAnsi"/>
                <w:b/>
                <w:bCs/>
                <w:color w:val="FFFFFF" w:themeColor="background1"/>
                <w:sz w:val="20"/>
                <w:szCs w:val="20"/>
                <w:lang w:val="es-UY"/>
              </w:rPr>
            </w:pPr>
            <w:r w:rsidRPr="00D8219A">
              <w:rPr>
                <w:rFonts w:asciiTheme="majorHAnsi" w:hAnsiTheme="majorHAnsi"/>
                <w:b/>
                <w:bCs/>
                <w:color w:val="FFFFFF" w:themeColor="background1"/>
                <w:sz w:val="20"/>
                <w:szCs w:val="20"/>
                <w:lang w:val="es-UY"/>
              </w:rPr>
              <w:t xml:space="preserve">Duplicación de procedimientos y </w:t>
            </w:r>
            <w:r w:rsidRPr="00D8219A">
              <w:rPr>
                <w:rFonts w:asciiTheme="majorHAnsi" w:hAnsiTheme="majorHAnsi"/>
                <w:b/>
                <w:bCs/>
                <w:i/>
                <w:iCs/>
                <w:color w:val="FFFFFF" w:themeColor="background1"/>
                <w:sz w:val="20"/>
                <w:szCs w:val="20"/>
                <w:lang w:val="es-UY"/>
              </w:rPr>
              <w:t>res judicata</w:t>
            </w:r>
            <w:r w:rsidRPr="00D8219A">
              <w:rPr>
                <w:rFonts w:asciiTheme="majorHAnsi" w:hAnsiTheme="majorHAnsi"/>
                <w:b/>
                <w:bCs/>
                <w:iCs/>
                <w:color w:val="FFFFFF" w:themeColor="background1"/>
                <w:sz w:val="20"/>
                <w:szCs w:val="20"/>
                <w:lang w:val="es-UY"/>
              </w:rPr>
              <w:t xml:space="preserve"> internacional </w:t>
            </w:r>
            <w:r w:rsidRPr="00D8219A">
              <w:rPr>
                <w:rFonts w:asciiTheme="majorHAnsi" w:hAnsiTheme="majorHAnsi"/>
                <w:b/>
                <w:bCs/>
                <w:color w:val="FFFFFF" w:themeColor="background1"/>
                <w:sz w:val="20"/>
                <w:szCs w:val="20"/>
                <w:lang w:val="es-UY"/>
              </w:rPr>
              <w:t>:</w:t>
            </w:r>
          </w:p>
        </w:tc>
        <w:tc>
          <w:tcPr>
            <w:tcW w:w="5760" w:type="dxa"/>
            <w:vAlign w:val="center"/>
          </w:tcPr>
          <w:p w14:paraId="2E692356" w14:textId="77777777" w:rsidR="008C0C39" w:rsidRPr="00D8219A" w:rsidRDefault="008C0C39" w:rsidP="00422303">
            <w:pPr>
              <w:jc w:val="both"/>
              <w:rPr>
                <w:rFonts w:asciiTheme="majorHAnsi" w:hAnsiTheme="majorHAnsi"/>
                <w:bCs/>
                <w:sz w:val="20"/>
                <w:szCs w:val="20"/>
              </w:rPr>
            </w:pPr>
            <w:r w:rsidRPr="00D8219A">
              <w:rPr>
                <w:rFonts w:asciiTheme="majorHAnsi" w:hAnsiTheme="majorHAnsi"/>
                <w:bCs/>
                <w:sz w:val="20"/>
                <w:szCs w:val="20"/>
              </w:rPr>
              <w:t>No</w:t>
            </w:r>
          </w:p>
        </w:tc>
      </w:tr>
    </w:tbl>
    <w:p w14:paraId="6FB33421" w14:textId="77777777" w:rsidR="008C0C39" w:rsidRPr="00D8219A" w:rsidRDefault="008C0C39" w:rsidP="008C0C3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48E3C75B" w14:textId="77777777" w:rsidR="008C0C39" w:rsidRPr="00D8219A" w:rsidRDefault="008C0C39" w:rsidP="008C0C3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UY"/>
        </w:rPr>
      </w:pPr>
      <w:r w:rsidRPr="00D8219A">
        <w:rPr>
          <w:rFonts w:asciiTheme="majorHAnsi" w:hAnsiTheme="majorHAnsi"/>
          <w:sz w:val="20"/>
          <w:szCs w:val="20"/>
          <w:lang w:val="es-UY"/>
        </w:rPr>
        <w:t>Conforme al derecho internacional y</w:t>
      </w:r>
      <w:r w:rsidR="000D4D38" w:rsidRPr="00D8219A">
        <w:rPr>
          <w:rFonts w:asciiTheme="majorHAnsi" w:hAnsiTheme="majorHAnsi"/>
          <w:sz w:val="20"/>
          <w:szCs w:val="20"/>
          <w:lang w:val="es-UY"/>
        </w:rPr>
        <w:t xml:space="preserve"> a</w:t>
      </w:r>
      <w:r w:rsidRPr="00D8219A">
        <w:rPr>
          <w:rFonts w:asciiTheme="majorHAnsi" w:hAnsiTheme="majorHAnsi"/>
          <w:sz w:val="20"/>
          <w:szCs w:val="20"/>
          <w:lang w:val="es-UY"/>
        </w:rPr>
        <w:t xml:space="preserve"> la jurisprudencia de la CIDH</w:t>
      </w:r>
      <w:r w:rsidR="000D4D38" w:rsidRPr="00D8219A">
        <w:rPr>
          <w:rFonts w:asciiTheme="majorHAnsi" w:hAnsiTheme="majorHAnsi"/>
          <w:sz w:val="20"/>
          <w:szCs w:val="20"/>
          <w:lang w:val="es-UY"/>
        </w:rPr>
        <w:t>,</w:t>
      </w:r>
      <w:r w:rsidR="00CB1607" w:rsidRPr="00D8219A">
        <w:rPr>
          <w:rFonts w:asciiTheme="majorHAnsi" w:hAnsiTheme="majorHAnsi"/>
          <w:sz w:val="20"/>
          <w:szCs w:val="20"/>
          <w:lang w:val="es-UY"/>
        </w:rPr>
        <w:t xml:space="preserve"> aunque el concepto de</w:t>
      </w:r>
      <w:r w:rsidRPr="00D8219A">
        <w:rPr>
          <w:rFonts w:asciiTheme="majorHAnsi" w:hAnsiTheme="majorHAnsi"/>
          <w:sz w:val="20"/>
          <w:szCs w:val="20"/>
          <w:lang w:val="es-UY"/>
        </w:rPr>
        <w:t xml:space="preserve"> jurisdicción generalmente se refiere a </w:t>
      </w:r>
      <w:r w:rsidR="00BE0802" w:rsidRPr="00D8219A">
        <w:rPr>
          <w:rFonts w:asciiTheme="majorHAnsi" w:hAnsiTheme="majorHAnsi"/>
          <w:sz w:val="20"/>
          <w:szCs w:val="20"/>
          <w:lang w:val="es-UY"/>
        </w:rPr>
        <w:t xml:space="preserve">la </w:t>
      </w:r>
      <w:r w:rsidRPr="00D8219A">
        <w:rPr>
          <w:rFonts w:asciiTheme="majorHAnsi" w:hAnsiTheme="majorHAnsi"/>
          <w:sz w:val="20"/>
          <w:szCs w:val="20"/>
          <w:lang w:val="es-UY"/>
        </w:rPr>
        <w:t xml:space="preserve">autoridad sobre </w:t>
      </w:r>
      <w:r w:rsidR="00BE0802" w:rsidRPr="00D8219A">
        <w:rPr>
          <w:rFonts w:asciiTheme="majorHAnsi" w:hAnsiTheme="majorHAnsi"/>
          <w:sz w:val="20"/>
          <w:szCs w:val="20"/>
          <w:lang w:val="es-UY"/>
        </w:rPr>
        <w:t xml:space="preserve">las </w:t>
      </w:r>
      <w:r w:rsidRPr="00D8219A">
        <w:rPr>
          <w:rFonts w:asciiTheme="majorHAnsi" w:hAnsiTheme="majorHAnsi"/>
          <w:sz w:val="20"/>
          <w:szCs w:val="20"/>
          <w:lang w:val="es-UY"/>
        </w:rPr>
        <w:t>personas que se encuentren en el territorio de un Estado, los derechos humanos son inherentes a todos los seres humanos y no se basan en su ciudadanía o ubicación</w:t>
      </w:r>
      <w:r w:rsidR="00CB1607" w:rsidRPr="00D8219A">
        <w:rPr>
          <w:rFonts w:asciiTheme="majorHAnsi" w:hAnsiTheme="majorHAnsi"/>
          <w:sz w:val="20"/>
          <w:szCs w:val="20"/>
          <w:lang w:val="es-UY"/>
        </w:rPr>
        <w:t xml:space="preserve"> física</w:t>
      </w:r>
      <w:r w:rsidRPr="00D8219A">
        <w:rPr>
          <w:rFonts w:asciiTheme="majorHAnsi" w:hAnsiTheme="majorHAnsi"/>
          <w:sz w:val="20"/>
          <w:szCs w:val="20"/>
          <w:lang w:val="es-UY"/>
        </w:rPr>
        <w:t>. La Comisión ha establecido a ese respecto:</w:t>
      </w:r>
    </w:p>
    <w:p w14:paraId="6563C127" w14:textId="77777777" w:rsidR="008C0C39" w:rsidRPr="00D8219A" w:rsidRDefault="008C0C39" w:rsidP="008C0C3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lang w:val="es-UY"/>
        </w:rPr>
      </w:pPr>
    </w:p>
    <w:p w14:paraId="3EF5DFDE" w14:textId="77777777" w:rsidR="008C0C39" w:rsidRPr="00D8219A" w:rsidRDefault="008C0C39" w:rsidP="008C0C3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360" w:right="360"/>
        <w:jc w:val="both"/>
        <w:rPr>
          <w:rFonts w:asciiTheme="majorHAnsi" w:hAnsiTheme="majorHAnsi"/>
          <w:sz w:val="18"/>
          <w:szCs w:val="18"/>
          <w:lang w:val="es-UY"/>
        </w:rPr>
      </w:pPr>
      <w:r w:rsidRPr="00D8219A">
        <w:rPr>
          <w:rFonts w:asciiTheme="majorHAnsi" w:hAnsiTheme="majorHAnsi"/>
          <w:sz w:val="18"/>
          <w:szCs w:val="18"/>
          <w:lang w:val="es-US"/>
        </w:rPr>
        <w:t>Dado que los derechos individuales son inherentes a las personas, todos los Estados americanos están obligados a respetar los derechos de cualquier persona sujeta a su jurisdicción. Si bien ello se refiere comúnmente a las personas que se hallan dentro del territorio de un Estado, en determinadas circunstancias puede referirse a situaciones en que la persona está presente en el territorio de un Estado, pero se encuentra sujeta al control o autoridad de otro Estado, por lo general a través de los actos de los agentes de este último en el exterior</w:t>
      </w:r>
      <w:r w:rsidRPr="00D8219A">
        <w:rPr>
          <w:rFonts w:asciiTheme="majorHAnsi" w:hAnsiTheme="majorHAnsi"/>
          <w:sz w:val="18"/>
          <w:szCs w:val="18"/>
          <w:lang w:val="es-UY"/>
        </w:rPr>
        <w:t>.</w:t>
      </w:r>
      <w:r w:rsidRPr="00D8219A">
        <w:rPr>
          <w:rStyle w:val="FootnoteReference"/>
          <w:rFonts w:asciiTheme="majorHAnsi" w:hAnsiTheme="majorHAnsi"/>
          <w:sz w:val="18"/>
          <w:szCs w:val="18"/>
        </w:rPr>
        <w:footnoteReference w:id="4"/>
      </w:r>
      <w:r w:rsidRPr="00D8219A">
        <w:rPr>
          <w:rFonts w:asciiTheme="majorHAnsi" w:hAnsiTheme="majorHAnsi"/>
          <w:sz w:val="18"/>
          <w:szCs w:val="18"/>
          <w:lang w:val="es-UY"/>
        </w:rPr>
        <w:t xml:space="preserve"> </w:t>
      </w:r>
    </w:p>
    <w:p w14:paraId="799A144C" w14:textId="77777777" w:rsidR="008C0C39" w:rsidRPr="00D8219A" w:rsidRDefault="008C0C39" w:rsidP="008C0C3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UY"/>
        </w:rPr>
      </w:pPr>
    </w:p>
    <w:p w14:paraId="2709A0D8" w14:textId="77777777" w:rsidR="008C0C39" w:rsidRPr="00D8219A" w:rsidRDefault="008C0C39" w:rsidP="008C0C3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lang w:val="es-UY"/>
        </w:rPr>
      </w:pPr>
      <w:r w:rsidRPr="00D8219A">
        <w:rPr>
          <w:rFonts w:asciiTheme="majorHAnsi" w:hAnsiTheme="majorHAnsi"/>
          <w:sz w:val="20"/>
          <w:szCs w:val="20"/>
          <w:lang w:val="es-UY"/>
        </w:rPr>
        <w:t>A la luz de es</w:t>
      </w:r>
      <w:r w:rsidR="00BE0802" w:rsidRPr="00D8219A">
        <w:rPr>
          <w:rFonts w:asciiTheme="majorHAnsi" w:hAnsiTheme="majorHAnsi"/>
          <w:sz w:val="20"/>
          <w:szCs w:val="20"/>
          <w:lang w:val="es-UY"/>
        </w:rPr>
        <w:t>t</w:t>
      </w:r>
      <w:r w:rsidRPr="00D8219A">
        <w:rPr>
          <w:rFonts w:asciiTheme="majorHAnsi" w:hAnsiTheme="majorHAnsi"/>
          <w:sz w:val="20"/>
          <w:szCs w:val="20"/>
          <w:lang w:val="es-UY"/>
        </w:rPr>
        <w:t>as consideraciones, como</w:t>
      </w:r>
      <w:r w:rsidR="00CB1607" w:rsidRPr="00D8219A">
        <w:rPr>
          <w:rFonts w:asciiTheme="majorHAnsi" w:hAnsiTheme="majorHAnsi"/>
          <w:sz w:val="20"/>
          <w:szCs w:val="20"/>
          <w:lang w:val="es-UY"/>
        </w:rPr>
        <w:t xml:space="preserve"> se alega que</w:t>
      </w:r>
      <w:r w:rsidRPr="00D8219A">
        <w:rPr>
          <w:rFonts w:asciiTheme="majorHAnsi" w:hAnsiTheme="majorHAnsi"/>
          <w:sz w:val="20"/>
          <w:szCs w:val="20"/>
          <w:lang w:val="es-UY"/>
        </w:rPr>
        <w:t xml:space="preserve"> las autoridades de </w:t>
      </w:r>
      <w:r w:rsidR="00616685" w:rsidRPr="00D8219A">
        <w:rPr>
          <w:rFonts w:asciiTheme="majorHAnsi" w:hAnsiTheme="majorHAnsi"/>
          <w:sz w:val="20"/>
          <w:szCs w:val="20"/>
          <w:lang w:val="es-UY"/>
        </w:rPr>
        <w:t>Estados Unidos</w:t>
      </w:r>
      <w:r w:rsidRPr="00D8219A">
        <w:rPr>
          <w:rFonts w:asciiTheme="majorHAnsi" w:hAnsiTheme="majorHAnsi"/>
          <w:sz w:val="20"/>
          <w:szCs w:val="20"/>
          <w:lang w:val="es-UY"/>
        </w:rPr>
        <w:t>, en su carácter oficial,</w:t>
      </w:r>
      <w:r w:rsidR="008F6F74" w:rsidRPr="00D8219A">
        <w:rPr>
          <w:rFonts w:asciiTheme="majorHAnsi" w:hAnsiTheme="majorHAnsi"/>
          <w:sz w:val="20"/>
          <w:szCs w:val="20"/>
          <w:lang w:val="es-UY"/>
        </w:rPr>
        <w:t xml:space="preserve"> recurrieron a un</w:t>
      </w:r>
      <w:r w:rsidRPr="00D8219A">
        <w:rPr>
          <w:rFonts w:asciiTheme="majorHAnsi" w:hAnsiTheme="majorHAnsi"/>
          <w:sz w:val="20"/>
          <w:szCs w:val="20"/>
          <w:lang w:val="es-UY"/>
        </w:rPr>
        <w:t xml:space="preserve">a entrega ilegal </w:t>
      </w:r>
      <w:r w:rsidR="008F6F74" w:rsidRPr="00D8219A">
        <w:rPr>
          <w:rFonts w:asciiTheme="majorHAnsi" w:hAnsiTheme="majorHAnsi"/>
          <w:sz w:val="20"/>
          <w:szCs w:val="20"/>
          <w:lang w:val="es-UY"/>
        </w:rPr>
        <w:t>desde</w:t>
      </w:r>
      <w:r w:rsidRPr="00D8219A">
        <w:rPr>
          <w:rFonts w:asciiTheme="majorHAnsi" w:hAnsiTheme="majorHAnsi"/>
          <w:sz w:val="20"/>
          <w:szCs w:val="20"/>
          <w:lang w:val="es-UY"/>
        </w:rPr>
        <w:t xml:space="preserve"> territorio ecuatoriano</w:t>
      </w:r>
      <w:r w:rsidR="008F6F74" w:rsidRPr="00D8219A">
        <w:rPr>
          <w:rFonts w:asciiTheme="majorHAnsi" w:hAnsiTheme="majorHAnsi"/>
          <w:sz w:val="20"/>
          <w:szCs w:val="20"/>
          <w:lang w:val="es-UY"/>
        </w:rPr>
        <w:t>,</w:t>
      </w:r>
      <w:r w:rsidRPr="00D8219A">
        <w:rPr>
          <w:rFonts w:asciiTheme="majorHAnsi" w:hAnsiTheme="majorHAnsi"/>
          <w:sz w:val="20"/>
          <w:szCs w:val="20"/>
          <w:lang w:val="es-UY"/>
        </w:rPr>
        <w:t xml:space="preserve"> la CIDH posee competencia </w:t>
      </w:r>
      <w:r w:rsidRPr="00D8219A">
        <w:rPr>
          <w:rFonts w:asciiTheme="majorHAnsi" w:hAnsiTheme="majorHAnsi"/>
          <w:i/>
          <w:sz w:val="20"/>
          <w:szCs w:val="20"/>
          <w:lang w:val="es-UY"/>
        </w:rPr>
        <w:t>ratione loci</w:t>
      </w:r>
      <w:r w:rsidRPr="00D8219A">
        <w:rPr>
          <w:rFonts w:asciiTheme="majorHAnsi" w:hAnsiTheme="majorHAnsi"/>
          <w:sz w:val="20"/>
          <w:szCs w:val="20"/>
          <w:lang w:val="es-UY"/>
        </w:rPr>
        <w:t xml:space="preserve"> para analizar las violaciones de los derechos del </w:t>
      </w:r>
      <w:r w:rsidR="001B5C63" w:rsidRPr="00D8219A">
        <w:rPr>
          <w:rFonts w:asciiTheme="majorHAnsi" w:hAnsiTheme="majorHAnsi"/>
          <w:sz w:val="20"/>
          <w:szCs w:val="20"/>
          <w:lang w:val="es-UY"/>
        </w:rPr>
        <w:t>señor</w:t>
      </w:r>
      <w:r w:rsidRPr="00D8219A">
        <w:rPr>
          <w:rFonts w:asciiTheme="majorHAnsi" w:hAnsiTheme="majorHAnsi"/>
          <w:sz w:val="20"/>
          <w:szCs w:val="20"/>
          <w:lang w:val="es-UY"/>
        </w:rPr>
        <w:t xml:space="preserve"> Serrano supuestamente </w:t>
      </w:r>
      <w:r w:rsidR="008F6F74" w:rsidRPr="00D8219A">
        <w:rPr>
          <w:rFonts w:asciiTheme="majorHAnsi" w:hAnsiTheme="majorHAnsi"/>
          <w:sz w:val="20"/>
          <w:szCs w:val="20"/>
          <w:lang w:val="es-UY"/>
        </w:rPr>
        <w:t>perpetra</w:t>
      </w:r>
      <w:r w:rsidRPr="00D8219A">
        <w:rPr>
          <w:rFonts w:asciiTheme="majorHAnsi" w:hAnsiTheme="majorHAnsi"/>
          <w:sz w:val="20"/>
          <w:szCs w:val="20"/>
          <w:lang w:val="es-UY"/>
        </w:rPr>
        <w:t>das por autoridades de Estados</w:t>
      </w:r>
      <w:r w:rsidR="008F6F74" w:rsidRPr="00D8219A">
        <w:rPr>
          <w:rFonts w:asciiTheme="majorHAnsi" w:hAnsiTheme="majorHAnsi"/>
          <w:sz w:val="20"/>
          <w:szCs w:val="20"/>
          <w:lang w:val="es-UY"/>
        </w:rPr>
        <w:t xml:space="preserve"> Unidos</w:t>
      </w:r>
      <w:r w:rsidRPr="00D8219A">
        <w:rPr>
          <w:rFonts w:asciiTheme="majorHAnsi" w:hAnsiTheme="majorHAnsi"/>
          <w:sz w:val="20"/>
          <w:szCs w:val="20"/>
          <w:lang w:val="es-UY"/>
        </w:rPr>
        <w:t xml:space="preserve"> en Ecuador. La CIDH señala que las otras </w:t>
      </w:r>
      <w:r w:rsidR="008B1D56" w:rsidRPr="00D8219A">
        <w:rPr>
          <w:rFonts w:asciiTheme="majorHAnsi" w:hAnsiTheme="majorHAnsi"/>
          <w:sz w:val="20"/>
          <w:szCs w:val="20"/>
          <w:lang w:val="es-UY"/>
        </w:rPr>
        <w:t xml:space="preserve">supuestas </w:t>
      </w:r>
      <w:r w:rsidRPr="00D8219A">
        <w:rPr>
          <w:rFonts w:asciiTheme="majorHAnsi" w:hAnsiTheme="majorHAnsi"/>
          <w:sz w:val="20"/>
          <w:szCs w:val="20"/>
          <w:lang w:val="es-UY"/>
        </w:rPr>
        <w:t>violaciones de derechos relacionadas con procedimientos penales y con la aplicación de la pena de muerte tuvieron lugar en</w:t>
      </w:r>
      <w:r w:rsidR="008B1D56" w:rsidRPr="00D8219A">
        <w:rPr>
          <w:rFonts w:asciiTheme="majorHAnsi" w:hAnsiTheme="majorHAnsi"/>
          <w:sz w:val="20"/>
          <w:szCs w:val="20"/>
          <w:lang w:val="es-UY"/>
        </w:rPr>
        <w:t xml:space="preserve"> el </w:t>
      </w:r>
      <w:r w:rsidRPr="00D8219A">
        <w:rPr>
          <w:rFonts w:asciiTheme="majorHAnsi" w:hAnsiTheme="majorHAnsi"/>
          <w:sz w:val="20"/>
          <w:szCs w:val="20"/>
          <w:lang w:val="es-UY"/>
        </w:rPr>
        <w:t>territorio de Estados</w:t>
      </w:r>
      <w:r w:rsidR="008B1D56" w:rsidRPr="00D8219A">
        <w:rPr>
          <w:rFonts w:asciiTheme="majorHAnsi" w:hAnsiTheme="majorHAnsi"/>
          <w:sz w:val="20"/>
          <w:szCs w:val="20"/>
          <w:lang w:val="es-UY"/>
        </w:rPr>
        <w:t xml:space="preserve"> Unidos.</w:t>
      </w:r>
      <w:r w:rsidRPr="00D8219A">
        <w:rPr>
          <w:rFonts w:asciiTheme="majorHAnsi" w:hAnsiTheme="majorHAnsi"/>
          <w:sz w:val="20"/>
          <w:szCs w:val="20"/>
          <w:lang w:val="es-UY"/>
        </w:rPr>
        <w:t xml:space="preserve"> </w:t>
      </w:r>
    </w:p>
    <w:p w14:paraId="376C546A" w14:textId="77777777" w:rsidR="008C0C39" w:rsidRPr="00D8219A" w:rsidRDefault="008C0C39" w:rsidP="008C0C3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UY"/>
        </w:rPr>
      </w:pPr>
    </w:p>
    <w:p w14:paraId="51EF2718" w14:textId="77777777" w:rsidR="008C0C39" w:rsidRPr="00D8219A" w:rsidRDefault="008C0C39" w:rsidP="00C243B4">
      <w:pPr>
        <w:pStyle w:val="Heading2"/>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lang w:val="es-UY"/>
        </w:rPr>
      </w:pPr>
      <w:bookmarkStart w:id="7" w:name="_Toc69212238"/>
      <w:bookmarkStart w:id="8" w:name="_Toc6349143"/>
      <w:r w:rsidRPr="00D8219A">
        <w:rPr>
          <w:rFonts w:cs="Times New Roman"/>
          <w:color w:val="auto"/>
          <w:sz w:val="20"/>
          <w:szCs w:val="20"/>
          <w:lang w:val="es-UY"/>
        </w:rPr>
        <w:t xml:space="preserve">Agotamiento de recursos internos y </w:t>
      </w:r>
      <w:r w:rsidR="00BE0802" w:rsidRPr="00D8219A">
        <w:rPr>
          <w:rFonts w:cs="Times New Roman"/>
          <w:color w:val="auto"/>
          <w:sz w:val="20"/>
          <w:szCs w:val="20"/>
          <w:lang w:val="es-UY"/>
        </w:rPr>
        <w:t>plazo de presentación</w:t>
      </w:r>
      <w:bookmarkEnd w:id="7"/>
      <w:r w:rsidRPr="00D8219A">
        <w:rPr>
          <w:rFonts w:cs="Times New Roman"/>
          <w:color w:val="auto"/>
          <w:sz w:val="20"/>
          <w:szCs w:val="20"/>
          <w:lang w:val="es-UY"/>
        </w:rPr>
        <w:t xml:space="preserve"> </w:t>
      </w:r>
      <w:bookmarkEnd w:id="8"/>
    </w:p>
    <w:p w14:paraId="5EBBB396" w14:textId="77777777" w:rsidR="008C0C39" w:rsidRPr="00D8219A" w:rsidRDefault="008C0C39" w:rsidP="008C0C39">
      <w:pPr>
        <w:suppressAutoHyphens/>
        <w:rPr>
          <w:rFonts w:asciiTheme="majorHAnsi" w:hAnsiTheme="majorHAnsi"/>
          <w:b/>
          <w:sz w:val="20"/>
          <w:szCs w:val="20"/>
          <w:lang w:val="es-UY"/>
        </w:rPr>
      </w:pPr>
    </w:p>
    <w:p w14:paraId="61E56299" w14:textId="77777777" w:rsidR="008C0C39" w:rsidRPr="00D8219A" w:rsidRDefault="003E649E" w:rsidP="008C0C39">
      <w:pPr>
        <w:pStyle w:val="parrafos"/>
        <w:ind w:left="0" w:firstLine="0"/>
        <w:rPr>
          <w:lang w:val="es-UY"/>
        </w:rPr>
      </w:pPr>
      <w:r w:rsidRPr="00D8219A">
        <w:rPr>
          <w:lang w:val="es-UY"/>
        </w:rPr>
        <w:t xml:space="preserve">De </w:t>
      </w:r>
      <w:r w:rsidR="0048165A" w:rsidRPr="00D8219A">
        <w:rPr>
          <w:lang w:val="es-UY"/>
        </w:rPr>
        <w:t>acuerdo a</w:t>
      </w:r>
      <w:r w:rsidRPr="00D8219A">
        <w:rPr>
          <w:lang w:val="es-UY"/>
        </w:rPr>
        <w:t xml:space="preserve"> </w:t>
      </w:r>
      <w:r w:rsidR="008C0C39" w:rsidRPr="00D8219A">
        <w:rPr>
          <w:lang w:val="es-UY"/>
        </w:rPr>
        <w:t>la información disponible y</w:t>
      </w:r>
      <w:r w:rsidR="00B34006" w:rsidRPr="00D8219A">
        <w:rPr>
          <w:lang w:val="es-UY"/>
        </w:rPr>
        <w:t xml:space="preserve"> </w:t>
      </w:r>
      <w:r w:rsidR="00043A9B" w:rsidRPr="00D8219A">
        <w:rPr>
          <w:lang w:val="es-UY"/>
        </w:rPr>
        <w:t>conforme a lo</w:t>
      </w:r>
      <w:r w:rsidR="008C0C39" w:rsidRPr="00D8219A">
        <w:rPr>
          <w:lang w:val="es-UY"/>
        </w:rPr>
        <w:t xml:space="preserve"> establecido en los hechos</w:t>
      </w:r>
      <w:r w:rsidRPr="00D8219A">
        <w:rPr>
          <w:lang w:val="es-UY"/>
        </w:rPr>
        <w:t xml:space="preserve"> que más abajo se exponen</w:t>
      </w:r>
      <w:r w:rsidR="008C0C39" w:rsidRPr="00D8219A">
        <w:rPr>
          <w:lang w:val="es-UY"/>
        </w:rPr>
        <w:t xml:space="preserve">, el </w:t>
      </w:r>
      <w:r w:rsidR="001B5C63" w:rsidRPr="00D8219A">
        <w:rPr>
          <w:lang w:val="es-UY"/>
        </w:rPr>
        <w:t>señor</w:t>
      </w:r>
      <w:r w:rsidR="008C0C39" w:rsidRPr="00D8219A">
        <w:rPr>
          <w:lang w:val="es-UY"/>
        </w:rPr>
        <w:t xml:space="preserve"> Serrano fue</w:t>
      </w:r>
      <w:r w:rsidR="00043A9B" w:rsidRPr="00D8219A">
        <w:rPr>
          <w:lang w:val="es-UY"/>
        </w:rPr>
        <w:t xml:space="preserve"> condenado</w:t>
      </w:r>
      <w:r w:rsidR="008C0C39" w:rsidRPr="00D8219A">
        <w:rPr>
          <w:lang w:val="es-UY"/>
        </w:rPr>
        <w:t xml:space="preserve"> a muerte por la Corte de</w:t>
      </w:r>
      <w:r w:rsidR="002A3EAF" w:rsidRPr="00D8219A">
        <w:rPr>
          <w:lang w:val="es-UY"/>
        </w:rPr>
        <w:t xml:space="preserve"> Apelaciones para el Décimo</w:t>
      </w:r>
      <w:r w:rsidR="008C0C39" w:rsidRPr="00D8219A">
        <w:rPr>
          <w:lang w:val="es-UY"/>
        </w:rPr>
        <w:t xml:space="preserve"> Circuito</w:t>
      </w:r>
      <w:r w:rsidR="002A3EAF" w:rsidRPr="00D8219A">
        <w:rPr>
          <w:lang w:val="es-UY"/>
        </w:rPr>
        <w:t>,</w:t>
      </w:r>
      <w:r w:rsidR="008C0C39" w:rsidRPr="00D8219A">
        <w:rPr>
          <w:lang w:val="es-UY"/>
        </w:rPr>
        <w:t xml:space="preserve"> </w:t>
      </w:r>
      <w:r w:rsidR="00043A9B" w:rsidRPr="00D8219A">
        <w:rPr>
          <w:lang w:val="es-UY"/>
        </w:rPr>
        <w:t xml:space="preserve">con sede </w:t>
      </w:r>
      <w:r w:rsidR="008C0C39" w:rsidRPr="00D8219A">
        <w:rPr>
          <w:lang w:val="es-UY"/>
        </w:rPr>
        <w:t>en el Condado de Polk, Florida, el 26 de junio de 2007. El 17 de marzo de 2011 la Corte Suprema de Florida confirmó la condena y la</w:t>
      </w:r>
      <w:r w:rsidR="002A3EAF" w:rsidRPr="00D8219A">
        <w:rPr>
          <w:lang w:val="es-UY"/>
        </w:rPr>
        <w:t xml:space="preserve"> pena</w:t>
      </w:r>
      <w:r w:rsidR="008C0C39" w:rsidRPr="00D8219A">
        <w:rPr>
          <w:lang w:val="es-UY"/>
        </w:rPr>
        <w:t xml:space="preserve">. El 13 de junio de 2011 se rechazó una petición de reexamen de la causa, y el 5 de diciembre de 2011 la Corte Suprema de </w:t>
      </w:r>
      <w:r w:rsidR="00616685" w:rsidRPr="00D8219A">
        <w:rPr>
          <w:lang w:val="es-UY"/>
        </w:rPr>
        <w:t>Estados Unidos</w:t>
      </w:r>
      <w:r w:rsidR="008C0C39" w:rsidRPr="00D8219A">
        <w:rPr>
          <w:lang w:val="es-UY"/>
        </w:rPr>
        <w:t xml:space="preserve"> denegó </w:t>
      </w:r>
      <w:r w:rsidR="002378D9" w:rsidRPr="00D8219A">
        <w:rPr>
          <w:lang w:val="es-UY"/>
        </w:rPr>
        <w:t>el auto de certiorari</w:t>
      </w:r>
      <w:r w:rsidR="008C0C39" w:rsidRPr="00D8219A">
        <w:rPr>
          <w:lang w:val="es-UY"/>
        </w:rPr>
        <w:t>. T</w:t>
      </w:r>
      <w:r w:rsidR="002A3EAF" w:rsidRPr="00D8219A">
        <w:rPr>
          <w:lang w:val="es-UY"/>
        </w:rPr>
        <w:t>r</w:t>
      </w:r>
      <w:r w:rsidR="008C0C39" w:rsidRPr="00D8219A">
        <w:rPr>
          <w:lang w:val="es-UY"/>
        </w:rPr>
        <w:t xml:space="preserve">as la decisión adoptada el 12 de enero de 2016 por la Corte Suprema de </w:t>
      </w:r>
      <w:r w:rsidR="00616685" w:rsidRPr="00D8219A">
        <w:rPr>
          <w:lang w:val="es-UY"/>
        </w:rPr>
        <w:t>Estados Unidos</w:t>
      </w:r>
      <w:r w:rsidR="008C0C39" w:rsidRPr="00D8219A">
        <w:rPr>
          <w:lang w:val="es-UY"/>
        </w:rPr>
        <w:t xml:space="preserve"> en el caso Hurst v. Florida</w:t>
      </w:r>
      <w:r w:rsidR="008C0C39" w:rsidRPr="00D8219A">
        <w:rPr>
          <w:rStyle w:val="FootnoteReference"/>
        </w:rPr>
        <w:footnoteReference w:id="5"/>
      </w:r>
      <w:r w:rsidR="008C0C39" w:rsidRPr="00D8219A">
        <w:rPr>
          <w:lang w:val="es-UY"/>
        </w:rPr>
        <w:t xml:space="preserve"> el </w:t>
      </w:r>
      <w:r w:rsidR="001B5C63" w:rsidRPr="00D8219A">
        <w:rPr>
          <w:lang w:val="es-UY"/>
        </w:rPr>
        <w:t>señor</w:t>
      </w:r>
      <w:r w:rsidR="008C0C39" w:rsidRPr="00D8219A">
        <w:rPr>
          <w:lang w:val="es-UY"/>
        </w:rPr>
        <w:t xml:space="preserve"> Serrano enmendó la apelación a su sentencia de muerte. El 11 de mayo de 2017 la Corte Suprema de Florida rechazó la apelación por las razones originalmente aducidas, pero basándose en Hurst v. Florida revocó la sentencia de muerte y ordenó la realización de un nuevo juicio penal. La Corte Suprema de Florida denegó </w:t>
      </w:r>
      <w:r w:rsidR="002378D9" w:rsidRPr="00D8219A">
        <w:rPr>
          <w:lang w:val="es-UY"/>
        </w:rPr>
        <w:t>el auto de certiorari</w:t>
      </w:r>
      <w:r w:rsidR="008C0C39" w:rsidRPr="00D8219A">
        <w:rPr>
          <w:lang w:val="es-UY"/>
        </w:rPr>
        <w:t xml:space="preserve"> formulad</w:t>
      </w:r>
      <w:r w:rsidR="002378D9" w:rsidRPr="00D8219A">
        <w:rPr>
          <w:lang w:val="es-UY"/>
        </w:rPr>
        <w:t>o</w:t>
      </w:r>
      <w:r w:rsidR="008C0C39" w:rsidRPr="00D8219A">
        <w:rPr>
          <w:lang w:val="es-UY"/>
        </w:rPr>
        <w:t xml:space="preserve"> por el </w:t>
      </w:r>
      <w:r w:rsidR="001B5C63" w:rsidRPr="00D8219A">
        <w:rPr>
          <w:lang w:val="es-UY"/>
        </w:rPr>
        <w:t>señor</w:t>
      </w:r>
      <w:r w:rsidR="008C0C39" w:rsidRPr="00D8219A">
        <w:rPr>
          <w:lang w:val="es-UY"/>
        </w:rPr>
        <w:t xml:space="preserve"> Serrano contra la apelación denegada por la Corte Suprema de Florida en febrero de 2018. Al 10 de a</w:t>
      </w:r>
      <w:r w:rsidRPr="00D8219A">
        <w:rPr>
          <w:lang w:val="es-UY"/>
        </w:rPr>
        <w:t xml:space="preserve">bril de 2018 aún no se había </w:t>
      </w:r>
      <w:r w:rsidR="00BE0802" w:rsidRPr="00D8219A">
        <w:rPr>
          <w:lang w:val="es-UY"/>
        </w:rPr>
        <w:t xml:space="preserve">fijado </w:t>
      </w:r>
      <w:r w:rsidR="008C0C39" w:rsidRPr="00D8219A">
        <w:rPr>
          <w:lang w:val="es-UY"/>
        </w:rPr>
        <w:t>la fecha de la nueva audiencia de dicta</w:t>
      </w:r>
      <w:r w:rsidR="002A3EAF" w:rsidRPr="00D8219A">
        <w:rPr>
          <w:lang w:val="es-UY"/>
        </w:rPr>
        <w:t xml:space="preserve">do de sentencia en el caso del </w:t>
      </w:r>
      <w:r w:rsidR="001B5C63" w:rsidRPr="00D8219A">
        <w:rPr>
          <w:lang w:val="es-UY"/>
        </w:rPr>
        <w:t>señor</w:t>
      </w:r>
      <w:r w:rsidR="002A3EAF" w:rsidRPr="00D8219A">
        <w:rPr>
          <w:lang w:val="es-UY"/>
        </w:rPr>
        <w:t xml:space="preserve"> Serrano</w:t>
      </w:r>
      <w:r w:rsidR="008C0C39" w:rsidRPr="00D8219A">
        <w:rPr>
          <w:lang w:val="es-UY"/>
        </w:rPr>
        <w:t>.</w:t>
      </w:r>
    </w:p>
    <w:p w14:paraId="38047102" w14:textId="77777777" w:rsidR="008C0C39" w:rsidRPr="00D8219A" w:rsidRDefault="008C0C39" w:rsidP="008C0C39">
      <w:pPr>
        <w:pStyle w:val="parrafos"/>
        <w:numPr>
          <w:ilvl w:val="0"/>
          <w:numId w:val="0"/>
        </w:numPr>
        <w:rPr>
          <w:lang w:val="es-UY"/>
        </w:rPr>
      </w:pPr>
      <w:r w:rsidRPr="00D8219A">
        <w:rPr>
          <w:lang w:val="es-UY"/>
        </w:rPr>
        <w:t xml:space="preserve"> </w:t>
      </w:r>
    </w:p>
    <w:p w14:paraId="1D702302" w14:textId="77777777" w:rsidR="008C0C39" w:rsidRPr="00D8219A" w:rsidRDefault="005E242D" w:rsidP="008C0C39">
      <w:pPr>
        <w:pStyle w:val="parrafos"/>
        <w:ind w:left="0" w:firstLine="0"/>
        <w:rPr>
          <w:lang w:val="es-UY"/>
        </w:rPr>
      </w:pPr>
      <w:r w:rsidRPr="00D8219A">
        <w:rPr>
          <w:lang w:val="es-UY"/>
        </w:rPr>
        <w:t xml:space="preserve"> </w:t>
      </w:r>
      <w:r w:rsidR="008C0C39" w:rsidRPr="00D8219A">
        <w:rPr>
          <w:lang w:val="es-UY"/>
        </w:rPr>
        <w:t>En su última comunicación ante la</w:t>
      </w:r>
      <w:r w:rsidRPr="00D8219A">
        <w:rPr>
          <w:lang w:val="es-UY"/>
        </w:rPr>
        <w:t xml:space="preserve"> CIDH el peticionario alega que</w:t>
      </w:r>
      <w:r w:rsidR="008C0C39" w:rsidRPr="00D8219A">
        <w:rPr>
          <w:lang w:val="es-UY"/>
        </w:rPr>
        <w:t xml:space="preserve"> dada la denegación</w:t>
      </w:r>
      <w:r w:rsidRPr="00D8219A">
        <w:rPr>
          <w:lang w:val="es-UY"/>
        </w:rPr>
        <w:t>,</w:t>
      </w:r>
      <w:r w:rsidR="008C0C39" w:rsidRPr="00D8219A">
        <w:rPr>
          <w:lang w:val="es-UY"/>
        </w:rPr>
        <w:t xml:space="preserve"> por la Corte Suprema de </w:t>
      </w:r>
      <w:r w:rsidR="00616685" w:rsidRPr="00D8219A">
        <w:rPr>
          <w:lang w:val="es-UY"/>
        </w:rPr>
        <w:t>Estados Unidos</w:t>
      </w:r>
      <w:r w:rsidRPr="00D8219A">
        <w:rPr>
          <w:lang w:val="es-UY"/>
        </w:rPr>
        <w:t>,</w:t>
      </w:r>
      <w:r w:rsidR="008C0C39" w:rsidRPr="00D8219A">
        <w:rPr>
          <w:lang w:val="es-UY"/>
        </w:rPr>
        <w:t xml:space="preserve"> </w:t>
      </w:r>
      <w:r w:rsidR="002378D9" w:rsidRPr="00D8219A">
        <w:rPr>
          <w:lang w:val="es-UY"/>
        </w:rPr>
        <w:t>del auto de certiorari</w:t>
      </w:r>
      <w:r w:rsidR="008C0C39" w:rsidRPr="00D8219A">
        <w:rPr>
          <w:lang w:val="es-UY"/>
        </w:rPr>
        <w:t xml:space="preserve"> formulad</w:t>
      </w:r>
      <w:r w:rsidR="002378D9" w:rsidRPr="00D8219A">
        <w:rPr>
          <w:lang w:val="es-UY"/>
        </w:rPr>
        <w:t>o</w:t>
      </w:r>
      <w:r w:rsidR="008C0C39" w:rsidRPr="00D8219A">
        <w:rPr>
          <w:lang w:val="es-UY"/>
        </w:rPr>
        <w:t xml:space="preserve"> por el </w:t>
      </w:r>
      <w:r w:rsidR="001B5C63" w:rsidRPr="00D8219A">
        <w:rPr>
          <w:lang w:val="es-UY"/>
        </w:rPr>
        <w:t>señor</w:t>
      </w:r>
      <w:r w:rsidR="008C0C39" w:rsidRPr="00D8219A">
        <w:rPr>
          <w:lang w:val="es-UY"/>
        </w:rPr>
        <w:t xml:space="preserve"> Serrano el 20 de febrero de 2018, no existen recursos adicionales que sean adecuados y efectivos. El peticionario alega que la orden de mayo de 2017 de la Corte Suprema de Florida que revoca la sentencia de muerte </w:t>
      </w:r>
      <w:r w:rsidR="002F088A" w:rsidRPr="00D8219A">
        <w:rPr>
          <w:lang w:val="es-UY"/>
        </w:rPr>
        <w:t>que se le impuso</w:t>
      </w:r>
      <w:r w:rsidR="008C0C39" w:rsidRPr="00D8219A">
        <w:rPr>
          <w:lang w:val="es-UY"/>
        </w:rPr>
        <w:t xml:space="preserve"> no presenta nuevos recursos internos para una determinación de admisibilidad, porque aún</w:t>
      </w:r>
      <w:r w:rsidR="003E649E" w:rsidRPr="00D8219A">
        <w:rPr>
          <w:lang w:val="es-UY"/>
        </w:rPr>
        <w:t xml:space="preserve"> subsiste</w:t>
      </w:r>
      <w:r w:rsidR="008C0C39" w:rsidRPr="00D8219A">
        <w:rPr>
          <w:lang w:val="es-UY"/>
        </w:rPr>
        <w:t xml:space="preserve"> la posibilidad de que se</w:t>
      </w:r>
      <w:r w:rsidRPr="00D8219A">
        <w:rPr>
          <w:lang w:val="es-UY"/>
        </w:rPr>
        <w:t xml:space="preserve"> le</w:t>
      </w:r>
      <w:r w:rsidR="008C0C39" w:rsidRPr="00D8219A">
        <w:rPr>
          <w:lang w:val="es-UY"/>
        </w:rPr>
        <w:t xml:space="preserve"> ejecut</w:t>
      </w:r>
      <w:r w:rsidRPr="00D8219A">
        <w:rPr>
          <w:lang w:val="es-UY"/>
        </w:rPr>
        <w:t>e</w:t>
      </w:r>
      <w:r w:rsidR="008C0C39" w:rsidRPr="00D8219A">
        <w:rPr>
          <w:lang w:val="es-UY"/>
        </w:rPr>
        <w:t xml:space="preserve">. Estados Unidos, en su última comunicación, recibida el 17 de julio de 2015, mientras la petición estaba en la etapa de admisibilidad, alegó que </w:t>
      </w:r>
      <w:r w:rsidR="002F088A" w:rsidRPr="00D8219A">
        <w:rPr>
          <w:lang w:val="es-UY"/>
        </w:rPr>
        <w:t xml:space="preserve">la petición era inadmisible por falta de agotamiento de recursos internos, </w:t>
      </w:r>
      <w:r w:rsidR="003E649E" w:rsidRPr="00D8219A">
        <w:rPr>
          <w:lang w:val="es-UY"/>
        </w:rPr>
        <w:t>pues estaba pendiente</w:t>
      </w:r>
      <w:r w:rsidR="002F088A" w:rsidRPr="00D8219A">
        <w:rPr>
          <w:lang w:val="es-UY"/>
        </w:rPr>
        <w:t xml:space="preserve"> la apelación interpuesta con</w:t>
      </w:r>
      <w:r w:rsidR="003E649E" w:rsidRPr="00D8219A">
        <w:rPr>
          <w:lang w:val="es-UY"/>
        </w:rPr>
        <w:t>tra el rechazo de la petición</w:t>
      </w:r>
      <w:r w:rsidR="002F088A" w:rsidRPr="00D8219A">
        <w:rPr>
          <w:lang w:val="es-UY"/>
        </w:rPr>
        <w:t>. El Estado sostuvo también que no cabía una excepción a la regla.</w:t>
      </w:r>
    </w:p>
    <w:p w14:paraId="71FBCFED" w14:textId="77777777" w:rsidR="008C0C39" w:rsidRPr="00D8219A" w:rsidRDefault="008C0C39" w:rsidP="008C0C39">
      <w:pPr>
        <w:pStyle w:val="ListParagraph"/>
        <w:rPr>
          <w:rFonts w:asciiTheme="majorHAnsi" w:hAnsiTheme="majorHAnsi"/>
          <w:lang w:val="es-UY"/>
        </w:rPr>
      </w:pPr>
    </w:p>
    <w:p w14:paraId="6464ACE2" w14:textId="77777777" w:rsidR="008C0C39" w:rsidRPr="00D8219A" w:rsidRDefault="00D35664" w:rsidP="008C0C39">
      <w:pPr>
        <w:pStyle w:val="parrafos"/>
        <w:ind w:left="0" w:firstLine="0"/>
        <w:rPr>
          <w:lang w:val="es-UY"/>
        </w:rPr>
      </w:pPr>
      <w:r w:rsidRPr="00D8219A">
        <w:rPr>
          <w:lang w:val="es-UY"/>
        </w:rPr>
        <w:t>La CIDH señala que la regl</w:t>
      </w:r>
      <w:r w:rsidR="008C0C39" w:rsidRPr="00D8219A">
        <w:rPr>
          <w:lang w:val="es-UY"/>
        </w:rPr>
        <w:t xml:space="preserve">a que exige el agotamiento de los recursos internos no significa que las supuestas víctimas tengan que agotar todos los recursos disponibles. A ese respecto la Comisión ha sostenido repetidamente que “la regla que exige el previo agotamiento de los recursos internos está concebida en interés del Estado, pues busca dispensarlo de responder ante un órgano internacional por actos que se le imputen antes </w:t>
      </w:r>
      <w:r w:rsidR="00D448B9" w:rsidRPr="00D8219A">
        <w:rPr>
          <w:lang w:val="es-UY"/>
        </w:rPr>
        <w:t>de qu</w:t>
      </w:r>
      <w:r w:rsidR="008C0C39" w:rsidRPr="00D8219A">
        <w:rPr>
          <w:lang w:val="es-UY"/>
        </w:rPr>
        <w:t>e haya tenido la oportunidad de remediarlos por medios internos.</w:t>
      </w:r>
      <w:r w:rsidRPr="00D8219A">
        <w:rPr>
          <w:lang w:val="es-UY"/>
        </w:rPr>
        <w:t>”</w:t>
      </w:r>
      <w:r w:rsidR="008C0C39" w:rsidRPr="00D8219A">
        <w:rPr>
          <w:rStyle w:val="FootnoteReference"/>
        </w:rPr>
        <w:footnoteReference w:id="6"/>
      </w:r>
      <w:r w:rsidR="008C0C39" w:rsidRPr="00D8219A">
        <w:rPr>
          <w:lang w:val="es-UY"/>
        </w:rPr>
        <w:t xml:space="preserve"> Por lo tant</w:t>
      </w:r>
      <w:r w:rsidRPr="00D8219A">
        <w:rPr>
          <w:lang w:val="es-UY"/>
        </w:rPr>
        <w:t>o,</w:t>
      </w:r>
      <w:r w:rsidR="008C0C39" w:rsidRPr="00D8219A">
        <w:rPr>
          <w:lang w:val="es-UY"/>
        </w:rPr>
        <w:t xml:space="preserve"> si la supuesta víctima planteó la cuestión por algún medio alternativo legal y apropiado conforme al sistema jurídico interno y el Estado tuvo la oportunidad de remediar la cuestión comprendida en su jurisdicción</w:t>
      </w:r>
      <w:r w:rsidR="003E649E" w:rsidRPr="00D8219A">
        <w:rPr>
          <w:lang w:val="es-UY"/>
        </w:rPr>
        <w:t>, se ha cumplido</w:t>
      </w:r>
      <w:r w:rsidR="008C0C39" w:rsidRPr="00D8219A">
        <w:rPr>
          <w:lang w:val="es-UY"/>
        </w:rPr>
        <w:t xml:space="preserve"> la fina</w:t>
      </w:r>
      <w:r w:rsidR="003E649E" w:rsidRPr="00D8219A">
        <w:rPr>
          <w:lang w:val="es-UY"/>
        </w:rPr>
        <w:t>lidad de la norma internacional</w:t>
      </w:r>
      <w:r w:rsidR="008C0C39" w:rsidRPr="00D8219A">
        <w:rPr>
          <w:lang w:val="es-UY"/>
        </w:rPr>
        <w:t>.</w:t>
      </w:r>
      <w:r w:rsidR="008C0C39" w:rsidRPr="00D8219A">
        <w:rPr>
          <w:rStyle w:val="FootnoteReference"/>
          <w:lang w:val="es-UY"/>
        </w:rPr>
        <w:footnoteReference w:id="7"/>
      </w:r>
    </w:p>
    <w:p w14:paraId="054948A0" w14:textId="77777777" w:rsidR="008C0C39" w:rsidRPr="00D8219A" w:rsidRDefault="008C0C39" w:rsidP="008C0C39">
      <w:pPr>
        <w:pStyle w:val="ListParagraph"/>
        <w:rPr>
          <w:rFonts w:asciiTheme="majorHAnsi" w:hAnsiTheme="majorHAnsi"/>
          <w:lang w:val="es-UY"/>
        </w:rPr>
      </w:pPr>
    </w:p>
    <w:p w14:paraId="6773D287" w14:textId="77777777" w:rsidR="008C0C39" w:rsidRPr="00D8219A" w:rsidRDefault="008C0C39" w:rsidP="008C0C39">
      <w:pPr>
        <w:pStyle w:val="parrafos"/>
        <w:ind w:left="0" w:firstLine="0"/>
        <w:rPr>
          <w:lang w:val="es-UY"/>
        </w:rPr>
      </w:pPr>
      <w:r w:rsidRPr="00D8219A">
        <w:rPr>
          <w:lang w:val="es-UY"/>
        </w:rPr>
        <w:t xml:space="preserve">La CIDH señala que las alegaciones planteadas ante el </w:t>
      </w:r>
      <w:r w:rsidR="00423949" w:rsidRPr="00D8219A">
        <w:rPr>
          <w:lang w:val="es-UY"/>
        </w:rPr>
        <w:t>s</w:t>
      </w:r>
      <w:r w:rsidRPr="00D8219A">
        <w:rPr>
          <w:lang w:val="es-UY"/>
        </w:rPr>
        <w:t xml:space="preserve">istema interamericano se </w:t>
      </w:r>
      <w:r w:rsidR="0071151D" w:rsidRPr="00D8219A">
        <w:rPr>
          <w:lang w:val="es-UY"/>
        </w:rPr>
        <w:t>formular</w:t>
      </w:r>
      <w:r w:rsidRPr="00D8219A">
        <w:rPr>
          <w:lang w:val="es-UY"/>
        </w:rPr>
        <w:t>on ante cortes nacionales. La Comisi</w:t>
      </w:r>
      <w:r w:rsidR="004D3871" w:rsidRPr="00D8219A">
        <w:rPr>
          <w:lang w:val="es-UY"/>
        </w:rPr>
        <w:t>ón toma nota asimismo de que</w:t>
      </w:r>
      <w:r w:rsidRPr="00D8219A">
        <w:rPr>
          <w:lang w:val="es-UY"/>
        </w:rPr>
        <w:t xml:space="preserve"> </w:t>
      </w:r>
      <w:r w:rsidR="002D76B4" w:rsidRPr="00D8219A">
        <w:rPr>
          <w:lang w:val="es-UY"/>
        </w:rPr>
        <w:t xml:space="preserve">tras la decisión del caso Hurst v. Florida </w:t>
      </w:r>
      <w:r w:rsidRPr="00D8219A">
        <w:rPr>
          <w:lang w:val="es-UY"/>
        </w:rPr>
        <w:t>Estado</w:t>
      </w:r>
      <w:r w:rsidR="00CF207A" w:rsidRPr="00D8219A">
        <w:rPr>
          <w:lang w:val="es-UY"/>
        </w:rPr>
        <w:t xml:space="preserve">s </w:t>
      </w:r>
      <w:r w:rsidRPr="00D8219A">
        <w:rPr>
          <w:lang w:val="es-UY"/>
        </w:rPr>
        <w:t>Unidos no ha planteado ningún argumento de falta de ago</w:t>
      </w:r>
      <w:r w:rsidR="00FC3785" w:rsidRPr="00D8219A">
        <w:rPr>
          <w:lang w:val="es-UY"/>
        </w:rPr>
        <w:t>tamiento de recursos internos</w:t>
      </w:r>
      <w:r w:rsidRPr="00D8219A">
        <w:rPr>
          <w:lang w:val="es-UY"/>
        </w:rPr>
        <w:t xml:space="preserve"> rela</w:t>
      </w:r>
      <w:r w:rsidR="00FC3785" w:rsidRPr="00D8219A">
        <w:rPr>
          <w:lang w:val="es-UY"/>
        </w:rPr>
        <w:t>cionado</w:t>
      </w:r>
      <w:r w:rsidRPr="00D8219A">
        <w:rPr>
          <w:lang w:val="es-UY"/>
        </w:rPr>
        <w:t xml:space="preserve"> con la decisión de revocar la sentencia de muerte del </w:t>
      </w:r>
      <w:r w:rsidR="001B5C63" w:rsidRPr="00D8219A">
        <w:rPr>
          <w:lang w:val="es-UY"/>
        </w:rPr>
        <w:t>señor</w:t>
      </w:r>
      <w:r w:rsidRPr="00D8219A">
        <w:rPr>
          <w:lang w:val="es-UY"/>
        </w:rPr>
        <w:t xml:space="preserve"> Serrano. Basada en los factores que anteceden la Comisión Interamericana concluye que el peticionario agotó adecuadamente los recursos disponibles en el sistema jurídico interno y por lo tanto que las reclamaciones de las supuestas víctimas ante la Comisión no dejan de ser s</w:t>
      </w:r>
      <w:r w:rsidR="004D3871" w:rsidRPr="00D8219A">
        <w:rPr>
          <w:lang w:val="es-UY"/>
        </w:rPr>
        <w:t>usceptibles de consideración en virtud d</w:t>
      </w:r>
      <w:r w:rsidRPr="00D8219A">
        <w:rPr>
          <w:lang w:val="es-UY"/>
        </w:rPr>
        <w:t xml:space="preserve">el requisito de agotamiento de recursos internos </w:t>
      </w:r>
      <w:r w:rsidR="004D3871" w:rsidRPr="00D8219A">
        <w:rPr>
          <w:lang w:val="es-UY"/>
        </w:rPr>
        <w:t>previsto en el</w:t>
      </w:r>
      <w:r w:rsidRPr="00D8219A">
        <w:rPr>
          <w:lang w:val="es-UY"/>
        </w:rPr>
        <w:t xml:space="preserve"> </w:t>
      </w:r>
      <w:r w:rsidR="00B002F7" w:rsidRPr="00D8219A">
        <w:rPr>
          <w:lang w:val="es-UY"/>
        </w:rPr>
        <w:lastRenderedPageBreak/>
        <w:t>artículo</w:t>
      </w:r>
      <w:r w:rsidRPr="00D8219A">
        <w:rPr>
          <w:lang w:val="es-UY"/>
        </w:rPr>
        <w:t xml:space="preserve"> 31(1) de su Reglamento. La Comisión también concluye que se ha cumplido el requisito especificado en el </w:t>
      </w:r>
      <w:r w:rsidR="00B002F7" w:rsidRPr="00D8219A">
        <w:rPr>
          <w:lang w:val="es-UY"/>
        </w:rPr>
        <w:t>artículo</w:t>
      </w:r>
      <w:r w:rsidRPr="00D8219A">
        <w:rPr>
          <w:lang w:val="es-UY"/>
        </w:rPr>
        <w:t xml:space="preserve"> 32(1) de su Reglamento.</w:t>
      </w:r>
    </w:p>
    <w:p w14:paraId="61606BEB" w14:textId="77777777" w:rsidR="008C0C39" w:rsidRPr="00D8219A" w:rsidRDefault="008C0C39" w:rsidP="008C0C39">
      <w:pPr>
        <w:pStyle w:val="parrafos"/>
        <w:numPr>
          <w:ilvl w:val="0"/>
          <w:numId w:val="0"/>
        </w:numPr>
        <w:rPr>
          <w:lang w:val="es-UY"/>
        </w:rPr>
      </w:pPr>
    </w:p>
    <w:p w14:paraId="4B18FF45" w14:textId="77777777" w:rsidR="008C0C39" w:rsidRPr="00D8219A" w:rsidRDefault="00BE0802" w:rsidP="00C243B4">
      <w:pPr>
        <w:pStyle w:val="Heading2"/>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rPr>
      </w:pPr>
      <w:bookmarkStart w:id="9" w:name="_Toc69212239"/>
      <w:r w:rsidRPr="00D8219A">
        <w:rPr>
          <w:rFonts w:cs="Times New Roman"/>
          <w:color w:val="auto"/>
          <w:sz w:val="20"/>
          <w:szCs w:val="20"/>
        </w:rPr>
        <w:t>Caracterización</w:t>
      </w:r>
      <w:bookmarkEnd w:id="9"/>
    </w:p>
    <w:p w14:paraId="1905DF4C" w14:textId="77777777" w:rsidR="008C0C39" w:rsidRPr="00D8219A" w:rsidRDefault="008C0C39" w:rsidP="008C0C39">
      <w:pPr>
        <w:suppressAutoHyphens/>
        <w:rPr>
          <w:rFonts w:asciiTheme="majorHAnsi" w:hAnsiTheme="majorHAnsi"/>
          <w:b/>
          <w:sz w:val="20"/>
          <w:szCs w:val="20"/>
        </w:rPr>
      </w:pPr>
    </w:p>
    <w:p w14:paraId="1154294C" w14:textId="77777777" w:rsidR="008C0C39" w:rsidRPr="00D8219A" w:rsidRDefault="008C0C39" w:rsidP="008C0C39">
      <w:pPr>
        <w:pStyle w:val="BodyTextInden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uppressAutoHyphens/>
        <w:ind w:left="0" w:firstLine="0"/>
        <w:jc w:val="both"/>
        <w:rPr>
          <w:rFonts w:asciiTheme="majorHAnsi" w:hAnsiTheme="majorHAnsi"/>
          <w:sz w:val="20"/>
          <w:szCs w:val="20"/>
          <w:lang w:val="es-UY"/>
        </w:rPr>
      </w:pPr>
      <w:r w:rsidRPr="00D8219A">
        <w:rPr>
          <w:rFonts w:asciiTheme="majorHAnsi" w:hAnsiTheme="majorHAnsi"/>
          <w:sz w:val="20"/>
          <w:szCs w:val="20"/>
          <w:lang w:val="es-UY"/>
        </w:rPr>
        <w:t xml:space="preserve">La Comisión considera que, </w:t>
      </w:r>
      <w:r w:rsidR="00BE0802" w:rsidRPr="00D8219A">
        <w:rPr>
          <w:rFonts w:asciiTheme="majorHAnsi" w:hAnsiTheme="majorHAnsi"/>
          <w:sz w:val="20"/>
          <w:szCs w:val="20"/>
          <w:lang w:val="es-UY"/>
        </w:rPr>
        <w:t>de ser probados</w:t>
      </w:r>
      <w:r w:rsidRPr="00D8219A">
        <w:rPr>
          <w:rFonts w:asciiTheme="majorHAnsi" w:hAnsiTheme="majorHAnsi"/>
          <w:sz w:val="20"/>
          <w:szCs w:val="20"/>
          <w:lang w:val="es-UY"/>
        </w:rPr>
        <w:t xml:space="preserve">, los hechos alegados por el peticionario tenderían a </w:t>
      </w:r>
      <w:r w:rsidR="00F75744" w:rsidRPr="00D8219A">
        <w:rPr>
          <w:rFonts w:asciiTheme="majorHAnsi" w:hAnsiTheme="majorHAnsi"/>
          <w:sz w:val="20"/>
          <w:szCs w:val="20"/>
          <w:lang w:val="es-UY"/>
        </w:rPr>
        <w:t xml:space="preserve">caracterizar </w:t>
      </w:r>
      <w:r w:rsidRPr="00D8219A">
        <w:rPr>
          <w:rFonts w:asciiTheme="majorHAnsi" w:hAnsiTheme="majorHAnsi"/>
          <w:sz w:val="20"/>
          <w:szCs w:val="20"/>
          <w:lang w:val="es-UY"/>
        </w:rPr>
        <w:t xml:space="preserve">violaciones de los derechos enunciados en los </w:t>
      </w:r>
      <w:r w:rsidR="00B002F7" w:rsidRPr="00D8219A">
        <w:rPr>
          <w:rFonts w:asciiTheme="majorHAnsi" w:hAnsiTheme="majorHAnsi"/>
          <w:sz w:val="20"/>
          <w:szCs w:val="20"/>
          <w:lang w:val="es-UY"/>
        </w:rPr>
        <w:t>artículo</w:t>
      </w:r>
      <w:r w:rsidRPr="00D8219A">
        <w:rPr>
          <w:rFonts w:asciiTheme="majorHAnsi" w:hAnsiTheme="majorHAnsi"/>
          <w:sz w:val="20"/>
          <w:szCs w:val="20"/>
          <w:lang w:val="es-UY"/>
        </w:rPr>
        <w:t>s I, XVIII, XXV y XXVI de la Declaración Americana</w:t>
      </w:r>
      <w:r w:rsidR="00F75744" w:rsidRPr="00D8219A">
        <w:rPr>
          <w:rFonts w:asciiTheme="majorHAnsi" w:hAnsiTheme="majorHAnsi"/>
          <w:sz w:val="20"/>
          <w:szCs w:val="20"/>
          <w:lang w:val="es-UY"/>
        </w:rPr>
        <w:t xml:space="preserve"> en perjuicio del señor Serrano</w:t>
      </w:r>
      <w:r w:rsidRPr="00D8219A">
        <w:rPr>
          <w:rFonts w:asciiTheme="majorHAnsi" w:hAnsiTheme="majorHAnsi"/>
          <w:sz w:val="20"/>
          <w:szCs w:val="20"/>
          <w:lang w:val="es-UY"/>
        </w:rPr>
        <w:t xml:space="preserve">. </w:t>
      </w:r>
    </w:p>
    <w:p w14:paraId="64C11569" w14:textId="77777777" w:rsidR="008C0C39" w:rsidRPr="00D8219A" w:rsidRDefault="008C0C39" w:rsidP="008C0C39">
      <w:pPr>
        <w:rPr>
          <w:rFonts w:asciiTheme="majorHAnsi" w:eastAsiaTheme="majorEastAsia" w:hAnsiTheme="majorHAnsi" w:cstheme="majorBidi"/>
          <w:b/>
          <w:bCs/>
          <w:sz w:val="20"/>
          <w:szCs w:val="20"/>
          <w:lang w:val="es-UY"/>
        </w:rPr>
      </w:pPr>
    </w:p>
    <w:p w14:paraId="5E5F3DF3" w14:textId="77777777" w:rsidR="008C0C39" w:rsidRPr="00D8219A" w:rsidRDefault="00F75744" w:rsidP="008C0C39">
      <w:pPr>
        <w:pStyle w:val="Heading1"/>
        <w:keepNext w:val="0"/>
        <w:keepLines w:val="0"/>
        <w:numPr>
          <w:ilvl w:val="0"/>
          <w:numId w:val="55"/>
        </w:numPr>
        <w:suppressAutoHyphens/>
        <w:spacing w:before="0"/>
        <w:ind w:left="360" w:hanging="360"/>
        <w:rPr>
          <w:color w:val="auto"/>
          <w:sz w:val="20"/>
          <w:szCs w:val="20"/>
        </w:rPr>
      </w:pPr>
      <w:bookmarkStart w:id="10" w:name="_Toc69212240"/>
      <w:r w:rsidRPr="00D8219A">
        <w:rPr>
          <w:color w:val="auto"/>
          <w:sz w:val="20"/>
          <w:szCs w:val="20"/>
        </w:rPr>
        <w:t>DETERMINACIONES DE HECHO</w:t>
      </w:r>
      <w:bookmarkEnd w:id="10"/>
    </w:p>
    <w:p w14:paraId="06D88732" w14:textId="77777777" w:rsidR="008C0C39" w:rsidRPr="00D8219A" w:rsidRDefault="008C0C39" w:rsidP="008C0C39">
      <w:pPr>
        <w:pStyle w:val="Heading2"/>
        <w:tabs>
          <w:tab w:val="left" w:pos="360"/>
          <w:tab w:val="left" w:pos="720"/>
        </w:tabs>
        <w:rPr>
          <w:color w:val="auto"/>
          <w:sz w:val="20"/>
          <w:szCs w:val="20"/>
        </w:rPr>
      </w:pPr>
      <w:bookmarkStart w:id="11" w:name="_Toc69212241"/>
      <w:r w:rsidRPr="00D8219A">
        <w:rPr>
          <w:bCs w:val="0"/>
          <w:color w:val="auto"/>
          <w:sz w:val="20"/>
          <w:szCs w:val="20"/>
        </w:rPr>
        <w:t>A.</w:t>
      </w:r>
      <w:r w:rsidRPr="00D8219A">
        <w:rPr>
          <w:color w:val="auto"/>
          <w:sz w:val="20"/>
          <w:szCs w:val="20"/>
        </w:rPr>
        <w:tab/>
        <w:t>Antecedent</w:t>
      </w:r>
      <w:r w:rsidR="00572577" w:rsidRPr="00D8219A">
        <w:rPr>
          <w:color w:val="auto"/>
          <w:sz w:val="20"/>
          <w:szCs w:val="20"/>
        </w:rPr>
        <w:t>e</w:t>
      </w:r>
      <w:r w:rsidRPr="00D8219A">
        <w:rPr>
          <w:color w:val="auto"/>
          <w:sz w:val="20"/>
          <w:szCs w:val="20"/>
        </w:rPr>
        <w:t>s</w:t>
      </w:r>
      <w:bookmarkEnd w:id="11"/>
    </w:p>
    <w:p w14:paraId="3BC73C91" w14:textId="77777777" w:rsidR="008C0C39" w:rsidRPr="00D8219A" w:rsidRDefault="008C0C39" w:rsidP="008C0C39">
      <w:pPr>
        <w:pStyle w:val="ListParagraph"/>
        <w:tabs>
          <w:tab w:val="left" w:pos="360"/>
        </w:tabs>
        <w:ind w:left="0"/>
        <w:rPr>
          <w:rFonts w:asciiTheme="majorHAnsi" w:hAnsiTheme="majorHAnsi"/>
          <w:b/>
          <w:color w:val="auto"/>
          <w:sz w:val="20"/>
          <w:szCs w:val="20"/>
        </w:rPr>
      </w:pPr>
    </w:p>
    <w:p w14:paraId="656B5161" w14:textId="77777777" w:rsidR="008C0C39" w:rsidRPr="00D8219A" w:rsidRDefault="008C0C39" w:rsidP="001B5C63">
      <w:pPr>
        <w:pStyle w:val="BodyTextInden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uppressAutoHyphens/>
        <w:ind w:left="0" w:firstLine="0"/>
        <w:jc w:val="both"/>
        <w:rPr>
          <w:rFonts w:asciiTheme="majorHAnsi" w:hAnsiTheme="majorHAnsi" w:cstheme="minorHAnsi"/>
          <w:sz w:val="20"/>
          <w:szCs w:val="20"/>
          <w:lang w:val="es-UY"/>
        </w:rPr>
      </w:pPr>
      <w:r w:rsidRPr="00D8219A">
        <w:rPr>
          <w:rFonts w:asciiTheme="majorHAnsi" w:hAnsiTheme="majorHAnsi" w:cstheme="minorHAnsi"/>
          <w:sz w:val="20"/>
          <w:szCs w:val="20"/>
          <w:lang w:val="es-UY"/>
        </w:rPr>
        <w:t xml:space="preserve">El 10 de marzo de 2003 la Comisión Interamericana recibió una petición en que se alegaba la responsabilidad del Estado de Ecuador por la detención ilegal del </w:t>
      </w:r>
      <w:r w:rsidR="001B5C63" w:rsidRPr="00D8219A">
        <w:rPr>
          <w:rFonts w:asciiTheme="majorHAnsi" w:hAnsiTheme="majorHAnsi" w:cstheme="minorHAnsi"/>
          <w:sz w:val="20"/>
          <w:szCs w:val="20"/>
          <w:lang w:val="es-UY"/>
        </w:rPr>
        <w:t>señor</w:t>
      </w:r>
      <w:r w:rsidRPr="00D8219A">
        <w:rPr>
          <w:rFonts w:asciiTheme="majorHAnsi" w:hAnsiTheme="majorHAnsi" w:cstheme="minorHAnsi"/>
          <w:sz w:val="20"/>
          <w:szCs w:val="20"/>
          <w:lang w:val="es-UY"/>
        </w:rPr>
        <w:t xml:space="preserve"> Serrano y su inmediata deportación a </w:t>
      </w:r>
      <w:r w:rsidR="00616685" w:rsidRPr="00D8219A">
        <w:rPr>
          <w:rFonts w:asciiTheme="majorHAnsi" w:hAnsiTheme="majorHAnsi" w:cstheme="minorHAnsi"/>
          <w:sz w:val="20"/>
          <w:szCs w:val="20"/>
          <w:lang w:val="es-UY"/>
        </w:rPr>
        <w:t>Estados Unidos</w:t>
      </w:r>
      <w:r w:rsidRPr="00D8219A">
        <w:rPr>
          <w:rFonts w:asciiTheme="majorHAnsi" w:hAnsiTheme="majorHAnsi" w:cstheme="minorHAnsi"/>
          <w:sz w:val="20"/>
          <w:szCs w:val="20"/>
          <w:lang w:val="es-UY"/>
        </w:rPr>
        <w:t xml:space="preserve">. El 17 de julio de 2008 la CIDH adoptó el Informe </w:t>
      </w:r>
      <w:r w:rsidR="00996BE8" w:rsidRPr="00D8219A">
        <w:rPr>
          <w:rFonts w:asciiTheme="majorHAnsi" w:hAnsiTheme="majorHAnsi" w:cstheme="minorHAnsi"/>
          <w:sz w:val="20"/>
          <w:szCs w:val="20"/>
          <w:lang w:val="es-UY"/>
        </w:rPr>
        <w:t>de Fondo</w:t>
      </w:r>
      <w:r w:rsidR="00B1650D" w:rsidRPr="00D8219A">
        <w:rPr>
          <w:rFonts w:asciiTheme="majorHAnsi" w:hAnsiTheme="majorHAnsi" w:cstheme="minorHAnsi"/>
          <w:sz w:val="20"/>
          <w:szCs w:val="20"/>
          <w:lang w:val="es-UY"/>
        </w:rPr>
        <w:t xml:space="preserve"> No. 29/08, concluyendo que</w:t>
      </w:r>
      <w:r w:rsidR="00996BE8" w:rsidRPr="00D8219A">
        <w:rPr>
          <w:rFonts w:asciiTheme="majorHAnsi" w:hAnsiTheme="majorHAnsi" w:cstheme="minorHAnsi"/>
          <w:sz w:val="20"/>
          <w:szCs w:val="20"/>
          <w:lang w:val="es-UY"/>
        </w:rPr>
        <w:t>:</w:t>
      </w:r>
    </w:p>
    <w:p w14:paraId="611DD3BF" w14:textId="77777777" w:rsidR="008C0C39" w:rsidRPr="00D8219A" w:rsidRDefault="008C0C39" w:rsidP="008C0C39">
      <w:pPr>
        <w:pStyle w:val="parrafos"/>
        <w:numPr>
          <w:ilvl w:val="0"/>
          <w:numId w:val="0"/>
        </w:numPr>
        <w:rPr>
          <w:lang w:val="es-UY"/>
        </w:rPr>
      </w:pPr>
    </w:p>
    <w:p w14:paraId="50513A9A" w14:textId="77777777" w:rsidR="008C0C39" w:rsidRPr="00D8219A" w:rsidRDefault="008C0C39" w:rsidP="001B5C63">
      <w:pPr>
        <w:pStyle w:val="parrafos"/>
        <w:numPr>
          <w:ilvl w:val="0"/>
          <w:numId w:val="0"/>
        </w:numPr>
        <w:ind w:left="360" w:right="360"/>
        <w:rPr>
          <w:sz w:val="18"/>
          <w:szCs w:val="18"/>
          <w:lang w:val="es-UY"/>
        </w:rPr>
      </w:pPr>
      <w:r w:rsidRPr="00D8219A">
        <w:rPr>
          <w:sz w:val="18"/>
          <w:szCs w:val="18"/>
          <w:lang w:val="es-UY"/>
        </w:rPr>
        <w:t>Nelson Iván Serrano Sáenz fue detenido ilegalmente por el Estado de Ecuador el</w:t>
      </w:r>
      <w:r w:rsidR="00B1650D" w:rsidRPr="00D8219A">
        <w:rPr>
          <w:sz w:val="18"/>
          <w:szCs w:val="18"/>
          <w:lang w:val="es-UY"/>
        </w:rPr>
        <w:t xml:space="preserve"> 31 de agosto de 2002 en Quito; </w:t>
      </w:r>
      <w:r w:rsidRPr="00D8219A">
        <w:rPr>
          <w:sz w:val="18"/>
          <w:szCs w:val="18"/>
          <w:lang w:val="es-UY"/>
        </w:rPr>
        <w:t>que el Estado lo mantuvo incomunicado y en condiciones inhumanas, y que luego lo deportó de manera igualmente ilegal y sumaría a Estados Unidos, donde la víctima ha sido condenada a muerte por el asesinato de cuatro personas, hechos de los que se ha declarado inocente.</w:t>
      </w:r>
      <w:r w:rsidRPr="00D8219A">
        <w:rPr>
          <w:rStyle w:val="FootnoteReference"/>
          <w:lang w:val="es-UY"/>
        </w:rPr>
        <w:t xml:space="preserve"> </w:t>
      </w:r>
      <w:r w:rsidRPr="00D8219A">
        <w:rPr>
          <w:rStyle w:val="FootnoteReference"/>
          <w:sz w:val="18"/>
          <w:szCs w:val="18"/>
        </w:rPr>
        <w:footnoteReference w:id="8"/>
      </w:r>
    </w:p>
    <w:p w14:paraId="5741F538" w14:textId="77777777" w:rsidR="008C0C39" w:rsidRPr="00D8219A" w:rsidRDefault="008C0C39" w:rsidP="008C0C39">
      <w:pPr>
        <w:pStyle w:val="parrafos"/>
        <w:numPr>
          <w:ilvl w:val="0"/>
          <w:numId w:val="0"/>
        </w:numPr>
        <w:rPr>
          <w:lang w:val="es-UY"/>
        </w:rPr>
      </w:pPr>
    </w:p>
    <w:p w14:paraId="186945EE" w14:textId="77777777" w:rsidR="008C0C39" w:rsidRPr="00D8219A" w:rsidRDefault="008C0C39" w:rsidP="008C0C39">
      <w:pPr>
        <w:pStyle w:val="parrafos"/>
        <w:ind w:left="0" w:firstLine="0"/>
        <w:rPr>
          <w:lang w:val="es-UY"/>
        </w:rPr>
      </w:pPr>
      <w:r w:rsidRPr="00D8219A">
        <w:rPr>
          <w:lang w:val="es-UY"/>
        </w:rPr>
        <w:t xml:space="preserve">La Comisión recomendó al </w:t>
      </w:r>
      <w:r w:rsidR="003E563A" w:rsidRPr="00D8219A">
        <w:rPr>
          <w:lang w:val="es-UY"/>
        </w:rPr>
        <w:t>Estado e</w:t>
      </w:r>
      <w:r w:rsidRPr="00D8219A">
        <w:rPr>
          <w:lang w:val="es-UY"/>
        </w:rPr>
        <w:t>cuatoriano:</w:t>
      </w:r>
    </w:p>
    <w:p w14:paraId="19AC741C" w14:textId="77777777" w:rsidR="008C0C39" w:rsidRPr="00D8219A" w:rsidRDefault="008C0C39" w:rsidP="008C0C39">
      <w:pPr>
        <w:pStyle w:val="parrafos"/>
        <w:numPr>
          <w:ilvl w:val="0"/>
          <w:numId w:val="0"/>
        </w:numPr>
        <w:rPr>
          <w:lang w:val="es-UY"/>
        </w:rPr>
      </w:pPr>
    </w:p>
    <w:p w14:paraId="07EF15F1" w14:textId="77777777" w:rsidR="008C0C39" w:rsidRPr="00D8219A" w:rsidRDefault="008C0C39" w:rsidP="00C243B4">
      <w:pPr>
        <w:pStyle w:val="parrafos"/>
        <w:numPr>
          <w:ilvl w:val="0"/>
          <w:numId w:val="63"/>
        </w:numPr>
        <w:tabs>
          <w:tab w:val="clear" w:pos="1440"/>
          <w:tab w:val="left" w:pos="720"/>
        </w:tabs>
        <w:ind w:left="720" w:hanging="360"/>
        <w:rPr>
          <w:bdr w:val="none" w:sz="0" w:space="0" w:color="auto"/>
          <w:lang w:val="es-ES_tradnl" w:eastAsia="es-UY"/>
        </w:rPr>
      </w:pPr>
      <w:r w:rsidRPr="00D8219A">
        <w:rPr>
          <w:bdr w:val="none" w:sz="0" w:space="0" w:color="auto"/>
          <w:lang w:val="es-ES_tradnl" w:eastAsia="es-UY"/>
        </w:rPr>
        <w:t>Que reconozca de inmediato las violaciones de derechos humanos cometidas por sus autoridades en detrimento de Nelson Iván Serrano Sánchez y adopte las medidas jurídicas y diplomáticas necesarias y oportunas encaminadas a la devolución de dicha persona a su país natal</w:t>
      </w:r>
      <w:r w:rsidR="00B1650D" w:rsidRPr="00D8219A">
        <w:rPr>
          <w:bdr w:val="none" w:sz="0" w:space="0" w:color="auto"/>
          <w:lang w:val="es-ES_tradnl" w:eastAsia="es-UY"/>
        </w:rPr>
        <w:t>,</w:t>
      </w:r>
      <w:r w:rsidRPr="00D8219A">
        <w:rPr>
          <w:bdr w:val="none" w:sz="0" w:space="0" w:color="auto"/>
          <w:lang w:val="es-ES_tradnl" w:eastAsia="es-UY"/>
        </w:rPr>
        <w:t xml:space="preserve"> del que fue</w:t>
      </w:r>
      <w:r w:rsidR="00745B25" w:rsidRPr="00D8219A">
        <w:rPr>
          <w:bdr w:val="none" w:sz="0" w:space="0" w:color="auto"/>
          <w:lang w:val="es-ES_tradnl" w:eastAsia="es-UY"/>
        </w:rPr>
        <w:t xml:space="preserve"> arbitraria</w:t>
      </w:r>
      <w:r w:rsidRPr="00D8219A">
        <w:rPr>
          <w:bdr w:val="none" w:sz="0" w:space="0" w:color="auto"/>
          <w:lang w:val="es-ES_tradnl" w:eastAsia="es-UY"/>
        </w:rPr>
        <w:t>mente deportado.</w:t>
      </w:r>
    </w:p>
    <w:p w14:paraId="7A2961C4" w14:textId="77777777" w:rsidR="008C0C39" w:rsidRPr="00D8219A" w:rsidRDefault="008C0C39" w:rsidP="001B5C63">
      <w:pPr>
        <w:pStyle w:val="parrafos"/>
        <w:numPr>
          <w:ilvl w:val="0"/>
          <w:numId w:val="0"/>
        </w:numPr>
        <w:tabs>
          <w:tab w:val="clear" w:pos="1440"/>
          <w:tab w:val="left" w:pos="720"/>
        </w:tabs>
        <w:ind w:left="720" w:hanging="360"/>
        <w:rPr>
          <w:bdr w:val="none" w:sz="0" w:space="0" w:color="auto"/>
          <w:lang w:val="es-ES_tradnl" w:eastAsia="es-UY"/>
        </w:rPr>
      </w:pPr>
    </w:p>
    <w:p w14:paraId="20988448" w14:textId="77777777" w:rsidR="008C0C39" w:rsidRPr="00D8219A" w:rsidRDefault="008C0C39" w:rsidP="00C243B4">
      <w:pPr>
        <w:pStyle w:val="parrafos"/>
        <w:numPr>
          <w:ilvl w:val="0"/>
          <w:numId w:val="63"/>
        </w:numPr>
        <w:tabs>
          <w:tab w:val="clear" w:pos="1440"/>
          <w:tab w:val="left" w:pos="720"/>
        </w:tabs>
        <w:ind w:left="720" w:hanging="360"/>
        <w:rPr>
          <w:sz w:val="27"/>
          <w:szCs w:val="27"/>
          <w:bdr w:val="none" w:sz="0" w:space="0" w:color="auto"/>
          <w:lang w:val="es-UY" w:eastAsia="es-UY"/>
        </w:rPr>
      </w:pPr>
      <w:r w:rsidRPr="00D8219A">
        <w:rPr>
          <w:bdr w:val="none" w:sz="0" w:space="0" w:color="auto"/>
          <w:lang w:val="es-ES_tradnl" w:eastAsia="es-UY"/>
        </w:rPr>
        <w:t>Que proporcione asistencia jurídica a Nelson Iván Serrano Sáenz de acuerdo al derecho internacional.</w:t>
      </w:r>
    </w:p>
    <w:p w14:paraId="16177D2D" w14:textId="77777777" w:rsidR="008C0C39" w:rsidRPr="00D8219A" w:rsidRDefault="008C0C39" w:rsidP="001B5C63">
      <w:pPr>
        <w:pStyle w:val="parrafos"/>
        <w:numPr>
          <w:ilvl w:val="0"/>
          <w:numId w:val="0"/>
        </w:numPr>
        <w:tabs>
          <w:tab w:val="clear" w:pos="1440"/>
          <w:tab w:val="left" w:pos="720"/>
        </w:tabs>
        <w:ind w:left="720" w:hanging="360"/>
        <w:rPr>
          <w:sz w:val="27"/>
          <w:szCs w:val="27"/>
          <w:bdr w:val="none" w:sz="0" w:space="0" w:color="auto"/>
          <w:lang w:val="es-UY" w:eastAsia="es-UY"/>
        </w:rPr>
      </w:pPr>
    </w:p>
    <w:p w14:paraId="1E29D19C" w14:textId="77777777" w:rsidR="008C0C39" w:rsidRPr="00D8219A" w:rsidRDefault="008C0C39" w:rsidP="00C243B4">
      <w:pPr>
        <w:pStyle w:val="parrafos"/>
        <w:numPr>
          <w:ilvl w:val="0"/>
          <w:numId w:val="63"/>
        </w:numPr>
        <w:tabs>
          <w:tab w:val="clear" w:pos="1440"/>
          <w:tab w:val="left" w:pos="720"/>
        </w:tabs>
        <w:ind w:left="720" w:hanging="360"/>
        <w:rPr>
          <w:sz w:val="27"/>
          <w:szCs w:val="27"/>
          <w:bdr w:val="none" w:sz="0" w:space="0" w:color="auto"/>
          <w:lang w:val="es-UY" w:eastAsia="es-UY"/>
        </w:rPr>
      </w:pPr>
      <w:r w:rsidRPr="00D8219A">
        <w:rPr>
          <w:bdr w:val="none" w:sz="0" w:space="0" w:color="auto"/>
          <w:lang w:val="es-ES_tradnl" w:eastAsia="es-UY"/>
        </w:rPr>
        <w:t xml:space="preserve">Que adecue su ordenamiento jurídico interno de conformidad </w:t>
      </w:r>
      <w:r w:rsidR="00DA2E1B" w:rsidRPr="00D8219A">
        <w:rPr>
          <w:bdr w:val="none" w:sz="0" w:space="0" w:color="auto"/>
          <w:lang w:val="es-ES_tradnl" w:eastAsia="es-UY"/>
        </w:rPr>
        <w:t>con e</w:t>
      </w:r>
      <w:r w:rsidRPr="00D8219A">
        <w:rPr>
          <w:bdr w:val="none" w:sz="0" w:space="0" w:color="auto"/>
          <w:lang w:val="es-ES_tradnl" w:eastAsia="es-UY"/>
        </w:rPr>
        <w:t>l artículo 25 de la Convención Americana, a fin de brindar un recurso sencillo y efectivo en el ámbito judicial para las personas sometidas a procesos de deportación.</w:t>
      </w:r>
    </w:p>
    <w:p w14:paraId="455B123B" w14:textId="77777777" w:rsidR="008C0C39" w:rsidRPr="00D8219A" w:rsidRDefault="008C0C39" w:rsidP="001B5C63">
      <w:pPr>
        <w:pStyle w:val="parrafos"/>
        <w:numPr>
          <w:ilvl w:val="0"/>
          <w:numId w:val="0"/>
        </w:numPr>
        <w:tabs>
          <w:tab w:val="clear" w:pos="1440"/>
          <w:tab w:val="left" w:pos="720"/>
        </w:tabs>
        <w:ind w:left="720" w:hanging="360"/>
        <w:rPr>
          <w:sz w:val="27"/>
          <w:szCs w:val="27"/>
          <w:bdr w:val="none" w:sz="0" w:space="0" w:color="auto"/>
          <w:lang w:val="es-UY" w:eastAsia="es-UY"/>
        </w:rPr>
      </w:pPr>
    </w:p>
    <w:p w14:paraId="51D742FD" w14:textId="77777777" w:rsidR="008C0C39" w:rsidRPr="00D8219A" w:rsidRDefault="008C0C39" w:rsidP="00C243B4">
      <w:pPr>
        <w:pStyle w:val="parrafos"/>
        <w:numPr>
          <w:ilvl w:val="0"/>
          <w:numId w:val="63"/>
        </w:numPr>
        <w:tabs>
          <w:tab w:val="clear" w:pos="1440"/>
          <w:tab w:val="left" w:pos="720"/>
        </w:tabs>
        <w:ind w:left="720" w:hanging="360"/>
        <w:rPr>
          <w:sz w:val="27"/>
          <w:szCs w:val="27"/>
          <w:bdr w:val="none" w:sz="0" w:space="0" w:color="auto"/>
          <w:lang w:val="es-UY" w:eastAsia="es-UY"/>
        </w:rPr>
      </w:pPr>
      <w:r w:rsidRPr="00D8219A">
        <w:rPr>
          <w:bdr w:val="none" w:sz="0" w:space="0" w:color="auto"/>
          <w:lang w:val="es-ES_tradnl" w:eastAsia="es-UY"/>
        </w:rPr>
        <w:t xml:space="preserve">Que </w:t>
      </w:r>
      <w:r w:rsidR="00CD4B3E" w:rsidRPr="00D8219A">
        <w:rPr>
          <w:bdr w:val="none" w:sz="0" w:space="0" w:color="auto"/>
          <w:lang w:val="es-ES_tradnl" w:eastAsia="es-UY"/>
        </w:rPr>
        <w:t>otorgue adecuadas reparaciones</w:t>
      </w:r>
      <w:r w:rsidRPr="00D8219A">
        <w:rPr>
          <w:bdr w:val="none" w:sz="0" w:space="0" w:color="auto"/>
          <w:lang w:val="es-ES_tradnl" w:eastAsia="es-UY"/>
        </w:rPr>
        <w:t xml:space="preserve"> a Nelson Iván Serrano Sáenz por las violaciones de sus derechos humanos </w:t>
      </w:r>
      <w:r w:rsidR="00CD4B3E" w:rsidRPr="00D8219A">
        <w:rPr>
          <w:bdr w:val="none" w:sz="0" w:space="0" w:color="auto"/>
          <w:lang w:val="es-ES_tradnl" w:eastAsia="es-UY"/>
        </w:rPr>
        <w:t>conforme a lo establecido</w:t>
      </w:r>
      <w:r w:rsidRPr="00D8219A">
        <w:rPr>
          <w:bdr w:val="none" w:sz="0" w:space="0" w:color="auto"/>
          <w:lang w:val="es-ES_tradnl" w:eastAsia="es-UY"/>
        </w:rPr>
        <w:t xml:space="preserve"> en e[ste] informe.</w:t>
      </w:r>
    </w:p>
    <w:p w14:paraId="4A31D0C8" w14:textId="77777777" w:rsidR="008C0C39" w:rsidRPr="00D8219A" w:rsidRDefault="008C0C39" w:rsidP="008C0C39">
      <w:pPr>
        <w:pStyle w:val="parrafos"/>
        <w:numPr>
          <w:ilvl w:val="0"/>
          <w:numId w:val="0"/>
        </w:numPr>
        <w:ind w:left="720" w:hanging="360"/>
        <w:rPr>
          <w:sz w:val="27"/>
          <w:szCs w:val="27"/>
          <w:bdr w:val="none" w:sz="0" w:space="0" w:color="auto"/>
          <w:lang w:val="es-UY" w:eastAsia="es-UY"/>
        </w:rPr>
      </w:pPr>
    </w:p>
    <w:p w14:paraId="74235F92" w14:textId="77777777" w:rsidR="008C0C39" w:rsidRPr="00D8219A" w:rsidRDefault="008C0C39" w:rsidP="008C0C39">
      <w:pPr>
        <w:pStyle w:val="parrafos"/>
        <w:ind w:left="0" w:firstLine="0"/>
        <w:rPr>
          <w:lang w:val="es-UY"/>
        </w:rPr>
      </w:pPr>
      <w:r w:rsidRPr="00D8219A">
        <w:rPr>
          <w:lang w:val="es-UY"/>
        </w:rPr>
        <w:t>Tras la notificación del informe</w:t>
      </w:r>
      <w:r w:rsidR="00B1650D" w:rsidRPr="00D8219A">
        <w:rPr>
          <w:lang w:val="es-UY"/>
        </w:rPr>
        <w:t>,</w:t>
      </w:r>
      <w:r w:rsidRPr="00D8219A">
        <w:rPr>
          <w:lang w:val="es-UY"/>
        </w:rPr>
        <w:t xml:space="preserve"> el Estado </w:t>
      </w:r>
      <w:r w:rsidR="00DA2E1B" w:rsidRPr="00D8219A">
        <w:rPr>
          <w:lang w:val="es-UY"/>
        </w:rPr>
        <w:t>tomó parte en</w:t>
      </w:r>
      <w:r w:rsidRPr="00D8219A">
        <w:rPr>
          <w:lang w:val="es-UY"/>
        </w:rPr>
        <w:t xml:space="preserve"> </w:t>
      </w:r>
      <w:r w:rsidR="00487DBA" w:rsidRPr="00D8219A">
        <w:rPr>
          <w:lang w:val="es-UY"/>
        </w:rPr>
        <w:t xml:space="preserve">deliberaciones </w:t>
      </w:r>
      <w:r w:rsidRPr="00D8219A">
        <w:rPr>
          <w:lang w:val="es-UY"/>
        </w:rPr>
        <w:t>encaminadas a establecer mecanismos de cumpl</w:t>
      </w:r>
      <w:r w:rsidR="00B1650D" w:rsidRPr="00D8219A">
        <w:rPr>
          <w:lang w:val="es-UY"/>
        </w:rPr>
        <w:t xml:space="preserve">imiento de las recomendaciones; </w:t>
      </w:r>
      <w:r w:rsidRPr="00D8219A">
        <w:rPr>
          <w:lang w:val="es-UY"/>
        </w:rPr>
        <w:t>en especial la contratación de una representación jurídica especializada para l</w:t>
      </w:r>
      <w:r w:rsidR="00CD4B3E" w:rsidRPr="00D8219A">
        <w:rPr>
          <w:lang w:val="es-UY"/>
        </w:rPr>
        <w:t xml:space="preserve">a defensa del </w:t>
      </w:r>
      <w:r w:rsidR="001B5C63" w:rsidRPr="00D8219A">
        <w:rPr>
          <w:lang w:val="es-UY"/>
        </w:rPr>
        <w:t>señor</w:t>
      </w:r>
      <w:r w:rsidR="00CD4B3E" w:rsidRPr="00D8219A">
        <w:rPr>
          <w:lang w:val="es-UY"/>
        </w:rPr>
        <w:t xml:space="preserve"> Serrano en</w:t>
      </w:r>
      <w:r w:rsidRPr="00D8219A">
        <w:rPr>
          <w:lang w:val="es-UY"/>
        </w:rPr>
        <w:t xml:space="preserve"> Estados Unidos. El 8 de octubre de 2008 el Estado </w:t>
      </w:r>
      <w:r w:rsidR="00DA2E1B" w:rsidRPr="00D8219A">
        <w:rPr>
          <w:lang w:val="es-UY"/>
        </w:rPr>
        <w:t>sancion</w:t>
      </w:r>
      <w:r w:rsidRPr="00D8219A">
        <w:rPr>
          <w:lang w:val="es-UY"/>
        </w:rPr>
        <w:t>ó un decreto que cre</w:t>
      </w:r>
      <w:r w:rsidR="00996BE8" w:rsidRPr="00D8219A">
        <w:rPr>
          <w:lang w:val="es-UY"/>
        </w:rPr>
        <w:t>ó</w:t>
      </w:r>
      <w:r w:rsidRPr="00D8219A">
        <w:rPr>
          <w:lang w:val="es-UY"/>
        </w:rPr>
        <w:t xml:space="preserve"> una comisión especial para la investigación de la deportación </w:t>
      </w:r>
      <w:r w:rsidR="00B1650D" w:rsidRPr="00D8219A">
        <w:rPr>
          <w:lang w:val="es-UY"/>
        </w:rPr>
        <w:t xml:space="preserve">del </w:t>
      </w:r>
      <w:r w:rsidR="001B5C63" w:rsidRPr="00D8219A">
        <w:rPr>
          <w:lang w:val="es-UY"/>
        </w:rPr>
        <w:t>señor</w:t>
      </w:r>
      <w:r w:rsidR="00B1650D" w:rsidRPr="00D8219A">
        <w:rPr>
          <w:lang w:val="es-UY"/>
        </w:rPr>
        <w:t xml:space="preserve"> Serrano</w:t>
      </w:r>
      <w:r w:rsidR="00996BE8" w:rsidRPr="00D8219A">
        <w:rPr>
          <w:lang w:val="es-UY"/>
        </w:rPr>
        <w:t>, en cuyo</w:t>
      </w:r>
      <w:r w:rsidRPr="00D8219A">
        <w:rPr>
          <w:lang w:val="es-UY"/>
        </w:rPr>
        <w:t xml:space="preserve"> informe final</w:t>
      </w:r>
      <w:r w:rsidR="00996BE8" w:rsidRPr="00D8219A">
        <w:rPr>
          <w:lang w:val="es-UY"/>
        </w:rPr>
        <w:t xml:space="preserve"> d</w:t>
      </w:r>
      <w:r w:rsidRPr="00D8219A">
        <w:rPr>
          <w:lang w:val="es-UY"/>
        </w:rPr>
        <w:t>el 8 de diciembre de 2008,</w:t>
      </w:r>
      <w:r w:rsidR="00DA2E1B" w:rsidRPr="00D8219A">
        <w:rPr>
          <w:lang w:val="es-UY"/>
        </w:rPr>
        <w:t xml:space="preserve"> </w:t>
      </w:r>
      <w:r w:rsidRPr="00D8219A">
        <w:rPr>
          <w:lang w:val="es-UY"/>
        </w:rPr>
        <w:t xml:space="preserve">reconoció que el Estado había violado </w:t>
      </w:r>
      <w:r w:rsidR="002C2385" w:rsidRPr="00D8219A">
        <w:rPr>
          <w:lang w:val="es-UY"/>
        </w:rPr>
        <w:t xml:space="preserve">los </w:t>
      </w:r>
      <w:r w:rsidRPr="00D8219A">
        <w:rPr>
          <w:lang w:val="es-UY"/>
        </w:rPr>
        <w:t xml:space="preserve">derechos del </w:t>
      </w:r>
      <w:r w:rsidR="001B5C63" w:rsidRPr="00D8219A">
        <w:rPr>
          <w:lang w:val="es-UY"/>
        </w:rPr>
        <w:t>señor</w:t>
      </w:r>
      <w:r w:rsidRPr="00D8219A">
        <w:rPr>
          <w:lang w:val="es-UY"/>
        </w:rPr>
        <w:t xml:space="preserve"> Serrano. El 6 de marzo de 2009 el Estado ecuatoriano remitió</w:t>
      </w:r>
      <w:r w:rsidR="00CD4B3E" w:rsidRPr="00D8219A">
        <w:rPr>
          <w:lang w:val="es-UY"/>
        </w:rPr>
        <w:t xml:space="preserve"> al Gobierno de Estados Unidos</w:t>
      </w:r>
      <w:r w:rsidRPr="00D8219A">
        <w:rPr>
          <w:lang w:val="es-UY"/>
        </w:rPr>
        <w:t xml:space="preserve"> una nota de protesta, </w:t>
      </w:r>
      <w:r w:rsidR="008B6BC1" w:rsidRPr="00D8219A">
        <w:rPr>
          <w:lang w:val="es-UY"/>
        </w:rPr>
        <w:t>a la que adjuntó</w:t>
      </w:r>
      <w:r w:rsidRPr="00D8219A">
        <w:rPr>
          <w:lang w:val="es-UY"/>
        </w:rPr>
        <w:t xml:space="preserve"> el “Informe de la Comisión sobre la Investigación del Proceso de Deportación de Nelson Iván Serrano Sáenz”</w:t>
      </w:r>
      <w:r w:rsidR="00C8702D" w:rsidRPr="00D8219A">
        <w:rPr>
          <w:lang w:val="es-UY"/>
        </w:rPr>
        <w:t xml:space="preserve">, </w:t>
      </w:r>
      <w:r w:rsidRPr="00D8219A">
        <w:rPr>
          <w:lang w:val="es-UY"/>
        </w:rPr>
        <w:t>indicando</w:t>
      </w:r>
      <w:r w:rsidR="0043255E" w:rsidRPr="00D8219A">
        <w:rPr>
          <w:lang w:val="es-UY"/>
        </w:rPr>
        <w:t>,</w:t>
      </w:r>
      <w:r w:rsidRPr="00D8219A">
        <w:rPr>
          <w:lang w:val="es-UY"/>
        </w:rPr>
        <w:t xml:space="preserve"> </w:t>
      </w:r>
      <w:r w:rsidRPr="00D8219A">
        <w:rPr>
          <w:i/>
          <w:lang w:val="es-UY"/>
        </w:rPr>
        <w:t>inter alia</w:t>
      </w:r>
      <w:r w:rsidR="008E5050" w:rsidRPr="00D8219A">
        <w:rPr>
          <w:lang w:val="es-UY"/>
        </w:rPr>
        <w:t>:</w:t>
      </w:r>
    </w:p>
    <w:p w14:paraId="0C1658DB" w14:textId="77777777" w:rsidR="008C0C39" w:rsidRPr="00D8219A" w:rsidRDefault="008C0C39" w:rsidP="008C0C39">
      <w:pPr>
        <w:pStyle w:val="parrafos"/>
        <w:numPr>
          <w:ilvl w:val="0"/>
          <w:numId w:val="0"/>
        </w:numPr>
        <w:rPr>
          <w:lang w:val="es-UY"/>
        </w:rPr>
      </w:pPr>
      <w:r w:rsidRPr="00D8219A">
        <w:rPr>
          <w:lang w:val="es-UY"/>
        </w:rPr>
        <w:tab/>
      </w:r>
    </w:p>
    <w:p w14:paraId="505B83ED" w14:textId="77777777" w:rsidR="00832F3B" w:rsidRPr="00D8219A" w:rsidRDefault="008E5050" w:rsidP="002C2385">
      <w:pPr>
        <w:pStyle w:val="parrafos"/>
        <w:numPr>
          <w:ilvl w:val="0"/>
          <w:numId w:val="0"/>
        </w:numPr>
        <w:ind w:right="360"/>
        <w:rPr>
          <w:color w:val="000000"/>
          <w:sz w:val="16"/>
          <w:szCs w:val="16"/>
          <w:lang w:val="es-UY"/>
        </w:rPr>
      </w:pPr>
      <w:r w:rsidRPr="00D8219A">
        <w:rPr>
          <w:lang w:val="es-UY"/>
        </w:rPr>
        <w:tab/>
      </w:r>
      <w:r w:rsidR="00832F3B" w:rsidRPr="00D8219A">
        <w:rPr>
          <w:color w:val="000000"/>
          <w:sz w:val="16"/>
          <w:szCs w:val="16"/>
          <w:lang w:val="es-UY"/>
        </w:rPr>
        <w:t xml:space="preserve">El Gobierno ecuatoriano, mediante Resolución del Ministerio de Gobierno, demanda y exige la inmediata </w:t>
      </w:r>
    </w:p>
    <w:p w14:paraId="61E1080B" w14:textId="77777777" w:rsidR="008C0C39" w:rsidRPr="00D8219A" w:rsidRDefault="00832F3B" w:rsidP="002C2385">
      <w:pPr>
        <w:pStyle w:val="parrafos"/>
        <w:numPr>
          <w:ilvl w:val="0"/>
          <w:numId w:val="0"/>
        </w:numPr>
        <w:ind w:left="360" w:right="360"/>
        <w:rPr>
          <w:sz w:val="18"/>
          <w:szCs w:val="18"/>
          <w:lang w:val="es-UY"/>
        </w:rPr>
      </w:pPr>
      <w:r w:rsidRPr="00D8219A">
        <w:rPr>
          <w:color w:val="000000"/>
          <w:sz w:val="16"/>
          <w:szCs w:val="16"/>
          <w:lang w:val="es-UY"/>
        </w:rPr>
        <w:t xml:space="preserve">devolución del señor Nelson Serrano, ciudadano ecuatoriano, a su país de origen el Ecuador, en donde enfrentaría el juicio correspondiente, como debía haber sucedido de haberse respetado las leyes, la Constitución ecuatorianas y la Convención sobre Extradiciones firmada entre </w:t>
      </w:r>
      <w:r w:rsidR="00616685" w:rsidRPr="00D8219A">
        <w:rPr>
          <w:color w:val="000000"/>
          <w:sz w:val="16"/>
          <w:szCs w:val="16"/>
          <w:lang w:val="es-UY"/>
        </w:rPr>
        <w:t>Estados Unidos</w:t>
      </w:r>
      <w:r w:rsidRPr="00D8219A">
        <w:rPr>
          <w:color w:val="000000"/>
          <w:sz w:val="16"/>
          <w:szCs w:val="16"/>
          <w:lang w:val="es-UY"/>
        </w:rPr>
        <w:t xml:space="preserve"> de Norte América (sic) y el Ecuador</w:t>
      </w:r>
      <w:r w:rsidR="008C0C39" w:rsidRPr="00D8219A">
        <w:rPr>
          <w:sz w:val="18"/>
          <w:szCs w:val="18"/>
          <w:lang w:val="es-UY"/>
        </w:rPr>
        <w:t>.</w:t>
      </w:r>
      <w:r w:rsidR="008C0C39" w:rsidRPr="00D8219A">
        <w:rPr>
          <w:rStyle w:val="FootnoteReference"/>
          <w:sz w:val="18"/>
          <w:szCs w:val="18"/>
        </w:rPr>
        <w:footnoteReference w:id="9"/>
      </w:r>
      <w:r w:rsidRPr="00D8219A">
        <w:rPr>
          <w:sz w:val="18"/>
          <w:szCs w:val="18"/>
          <w:lang w:val="es-UY"/>
        </w:rPr>
        <w:t xml:space="preserve">    </w:t>
      </w:r>
    </w:p>
    <w:p w14:paraId="10FE6BE2" w14:textId="77777777" w:rsidR="008C0C39" w:rsidRPr="00D8219A" w:rsidRDefault="008C0C39" w:rsidP="008C0C39">
      <w:pPr>
        <w:pStyle w:val="parrafos"/>
        <w:numPr>
          <w:ilvl w:val="0"/>
          <w:numId w:val="0"/>
        </w:numPr>
        <w:rPr>
          <w:lang w:val="es-UY"/>
        </w:rPr>
      </w:pPr>
    </w:p>
    <w:p w14:paraId="0B7D876F" w14:textId="77777777" w:rsidR="008C0C39" w:rsidRPr="00D8219A" w:rsidRDefault="008C0C39" w:rsidP="008C0C39">
      <w:pPr>
        <w:pStyle w:val="parrafos"/>
        <w:ind w:left="0" w:firstLine="0"/>
        <w:rPr>
          <w:lang w:val="es-UY"/>
        </w:rPr>
      </w:pPr>
      <w:r w:rsidRPr="00D8219A">
        <w:rPr>
          <w:lang w:val="es-UY"/>
        </w:rPr>
        <w:t>En vista de las medidas adoptadas po</w:t>
      </w:r>
      <w:r w:rsidR="00C8702D" w:rsidRPr="00D8219A">
        <w:rPr>
          <w:lang w:val="es-UY"/>
        </w:rPr>
        <w:t>r Ecuador</w:t>
      </w:r>
      <w:r w:rsidRPr="00D8219A">
        <w:rPr>
          <w:lang w:val="es-UY"/>
        </w:rPr>
        <w:t xml:space="preserve"> para cumplir</w:t>
      </w:r>
      <w:r w:rsidR="002C2385" w:rsidRPr="00D8219A">
        <w:rPr>
          <w:lang w:val="es-UY"/>
        </w:rPr>
        <w:t xml:space="preserve"> con</w:t>
      </w:r>
      <w:r w:rsidRPr="00D8219A">
        <w:rPr>
          <w:lang w:val="es-UY"/>
        </w:rPr>
        <w:t xml:space="preserve"> sus recomendaciones, el 6 de marzo de 2009 la CIDH resolvió no </w:t>
      </w:r>
      <w:r w:rsidR="002C2385" w:rsidRPr="00D8219A">
        <w:rPr>
          <w:lang w:val="es-UY"/>
        </w:rPr>
        <w:t xml:space="preserve">enviar </w:t>
      </w:r>
      <w:r w:rsidRPr="00D8219A">
        <w:rPr>
          <w:lang w:val="es-UY"/>
        </w:rPr>
        <w:t xml:space="preserve">el caso a la jurisdicción de la Corte Interamericana de Derechos Humanos. El 6 de agosto de 2009 la CIDH publicó el Informe </w:t>
      </w:r>
      <w:r w:rsidR="002C2385" w:rsidRPr="00D8219A">
        <w:rPr>
          <w:lang w:val="es-UY"/>
        </w:rPr>
        <w:t>de Fondo</w:t>
      </w:r>
      <w:r w:rsidRPr="00D8219A">
        <w:rPr>
          <w:lang w:val="es-UY"/>
        </w:rPr>
        <w:t xml:space="preserve"> No. 84/09, reiterando sus conclusiones, así como las siguientes recomendaciones </w:t>
      </w:r>
      <w:r w:rsidR="001C1547" w:rsidRPr="00D8219A">
        <w:rPr>
          <w:lang w:val="es-UY"/>
        </w:rPr>
        <w:t xml:space="preserve">dirigidas </w:t>
      </w:r>
      <w:r w:rsidRPr="00D8219A">
        <w:rPr>
          <w:lang w:val="es-UY"/>
        </w:rPr>
        <w:t xml:space="preserve">al Estado: </w:t>
      </w:r>
    </w:p>
    <w:p w14:paraId="69C167FE" w14:textId="77777777" w:rsidR="008C0C39" w:rsidRPr="00D8219A" w:rsidRDefault="008C0C39" w:rsidP="008C0C39">
      <w:pPr>
        <w:pStyle w:val="parrafos"/>
        <w:numPr>
          <w:ilvl w:val="0"/>
          <w:numId w:val="0"/>
        </w:numPr>
        <w:rPr>
          <w:lang w:val="es-UY"/>
        </w:rPr>
      </w:pPr>
    </w:p>
    <w:p w14:paraId="3BBF5DBB" w14:textId="77777777" w:rsidR="008C0C39" w:rsidRPr="00D8219A" w:rsidRDefault="008C0C39" w:rsidP="00C243B4">
      <w:pPr>
        <w:pStyle w:val="parrafos"/>
        <w:numPr>
          <w:ilvl w:val="0"/>
          <w:numId w:val="64"/>
        </w:numPr>
        <w:rPr>
          <w:lang w:val="es-UY"/>
        </w:rPr>
      </w:pPr>
      <w:r w:rsidRPr="00D8219A">
        <w:rPr>
          <w:lang w:val="es-UY"/>
        </w:rPr>
        <w:t xml:space="preserve">Que continúe brindando asistencia jurídica a Nelson Iván Serrano Sáenz de acuerdo al derecho internacional. </w:t>
      </w:r>
    </w:p>
    <w:p w14:paraId="377B9C56" w14:textId="77777777" w:rsidR="009010DD" w:rsidRPr="00D8219A" w:rsidRDefault="009010DD" w:rsidP="009010DD">
      <w:pPr>
        <w:pStyle w:val="parrafos"/>
        <w:numPr>
          <w:ilvl w:val="0"/>
          <w:numId w:val="0"/>
        </w:numPr>
        <w:ind w:left="720"/>
        <w:rPr>
          <w:lang w:val="es-UY"/>
        </w:rPr>
      </w:pPr>
    </w:p>
    <w:p w14:paraId="1C295B12" w14:textId="77777777" w:rsidR="008C0C39" w:rsidRPr="00D8219A" w:rsidRDefault="008C0C39" w:rsidP="00C243B4">
      <w:pPr>
        <w:pStyle w:val="parrafos"/>
        <w:numPr>
          <w:ilvl w:val="0"/>
          <w:numId w:val="64"/>
        </w:numPr>
        <w:rPr>
          <w:lang w:val="es-UY"/>
        </w:rPr>
      </w:pPr>
      <w:r w:rsidRPr="00D8219A">
        <w:rPr>
          <w:lang w:val="es-UY"/>
        </w:rPr>
        <w:t>Que adecue su ordenamiento jurídico interno de conformidad al artículo 25 de la Convención Americana, a fin de brindar un recurso sencillo y efectivo en el ámbito judicial para las personas sometidas a procesos de deportación.</w:t>
      </w:r>
    </w:p>
    <w:p w14:paraId="7997947B" w14:textId="77777777" w:rsidR="009010DD" w:rsidRPr="00D8219A" w:rsidRDefault="009010DD" w:rsidP="009010DD">
      <w:pPr>
        <w:pStyle w:val="parrafos"/>
        <w:numPr>
          <w:ilvl w:val="0"/>
          <w:numId w:val="0"/>
        </w:numPr>
        <w:ind w:left="720"/>
        <w:rPr>
          <w:lang w:val="es-UY"/>
        </w:rPr>
      </w:pPr>
    </w:p>
    <w:p w14:paraId="472835CF" w14:textId="77777777" w:rsidR="008C0C39" w:rsidRPr="00D8219A" w:rsidRDefault="008C0C39" w:rsidP="00C243B4">
      <w:pPr>
        <w:pStyle w:val="parrafos"/>
        <w:numPr>
          <w:ilvl w:val="0"/>
          <w:numId w:val="64"/>
        </w:numPr>
        <w:rPr>
          <w:lang w:val="es-UY"/>
        </w:rPr>
      </w:pPr>
      <w:r w:rsidRPr="00D8219A">
        <w:rPr>
          <w:lang w:val="es-UY"/>
        </w:rPr>
        <w:t>Que repare adecuadamente a Nelson Iván Serrano Sáenz por las violaciones de sus derechos humanos establecidas en el presente informe.</w:t>
      </w:r>
    </w:p>
    <w:p w14:paraId="6CA51B3E" w14:textId="77777777" w:rsidR="008C0C39" w:rsidRPr="00D8219A" w:rsidRDefault="008C0C39" w:rsidP="008C0C39">
      <w:pPr>
        <w:pStyle w:val="Heading2"/>
        <w:tabs>
          <w:tab w:val="left" w:pos="360"/>
        </w:tabs>
        <w:rPr>
          <w:bCs w:val="0"/>
          <w:color w:val="auto"/>
          <w:sz w:val="20"/>
          <w:szCs w:val="20"/>
        </w:rPr>
      </w:pPr>
      <w:bookmarkStart w:id="12" w:name="_Toc69212242"/>
      <w:r w:rsidRPr="00D8219A">
        <w:rPr>
          <w:bCs w:val="0"/>
          <w:color w:val="auto"/>
          <w:sz w:val="20"/>
          <w:szCs w:val="20"/>
        </w:rPr>
        <w:t xml:space="preserve">B. </w:t>
      </w:r>
      <w:r w:rsidRPr="00D8219A">
        <w:rPr>
          <w:bCs w:val="0"/>
          <w:color w:val="auto"/>
          <w:sz w:val="20"/>
          <w:szCs w:val="20"/>
        </w:rPr>
        <w:tab/>
        <w:t>Marco jurídico</w:t>
      </w:r>
      <w:r w:rsidRPr="00D8219A">
        <w:rPr>
          <w:bCs w:val="0"/>
          <w:color w:val="auto"/>
          <w:sz w:val="20"/>
          <w:szCs w:val="20"/>
          <w:lang w:val="es-UY"/>
        </w:rPr>
        <w:t xml:space="preserve"> </w:t>
      </w:r>
      <w:r w:rsidR="002C2385" w:rsidRPr="00D8219A">
        <w:rPr>
          <w:bCs w:val="0"/>
          <w:color w:val="auto"/>
          <w:sz w:val="20"/>
          <w:szCs w:val="20"/>
          <w:lang w:val="es-UY"/>
        </w:rPr>
        <w:t>relevante</w:t>
      </w:r>
      <w:bookmarkEnd w:id="12"/>
    </w:p>
    <w:p w14:paraId="1512F996" w14:textId="77777777" w:rsidR="008C0C39" w:rsidRPr="00D8219A" w:rsidRDefault="008C0C39" w:rsidP="008C0C39">
      <w:pPr>
        <w:pStyle w:val="ListParagraph"/>
        <w:tabs>
          <w:tab w:val="left" w:pos="360"/>
        </w:tabs>
        <w:ind w:left="0"/>
        <w:jc w:val="both"/>
        <w:rPr>
          <w:rFonts w:asciiTheme="majorHAnsi" w:hAnsiTheme="majorHAnsi"/>
          <w:b/>
          <w:color w:val="auto"/>
          <w:sz w:val="20"/>
          <w:szCs w:val="20"/>
        </w:rPr>
      </w:pPr>
    </w:p>
    <w:p w14:paraId="13FD9DE0" w14:textId="77777777" w:rsidR="008C0C39" w:rsidRPr="00D8219A" w:rsidRDefault="008C0C39" w:rsidP="008C0C39">
      <w:pPr>
        <w:pStyle w:val="parrafos"/>
        <w:ind w:left="0" w:firstLine="0"/>
        <w:rPr>
          <w:lang w:val="es-UY"/>
        </w:rPr>
      </w:pPr>
      <w:r w:rsidRPr="00D8219A">
        <w:rPr>
          <w:lang w:val="es-UY"/>
        </w:rPr>
        <w:t xml:space="preserve">El Tratado de Extradición entre Estados Unidos y Ecuador, que entró en vigor en 1873 y fue ulteriormente enmendado en 1939, enuncia los siguientes procedimientos en el </w:t>
      </w:r>
      <w:r w:rsidR="00B002F7" w:rsidRPr="00D8219A">
        <w:rPr>
          <w:lang w:val="es-UY"/>
        </w:rPr>
        <w:t>artículo</w:t>
      </w:r>
      <w:r w:rsidRPr="00D8219A">
        <w:rPr>
          <w:lang w:val="es-UY"/>
        </w:rPr>
        <w:t xml:space="preserve"> 5 del tratado, a fin de llevar a cabo una extradición:</w:t>
      </w:r>
    </w:p>
    <w:p w14:paraId="039E5E90" w14:textId="77777777" w:rsidR="008C0C39" w:rsidRPr="00D8219A" w:rsidRDefault="008C0C39" w:rsidP="008C0C39">
      <w:pPr>
        <w:pStyle w:val="parrafos"/>
        <w:numPr>
          <w:ilvl w:val="0"/>
          <w:numId w:val="0"/>
        </w:numPr>
        <w:rPr>
          <w:lang w:val="es-UY"/>
        </w:rPr>
      </w:pPr>
    </w:p>
    <w:p w14:paraId="6D9E7906" w14:textId="77777777" w:rsidR="008C0C39" w:rsidRPr="00D8219A" w:rsidRDefault="008C0C39" w:rsidP="00A30993">
      <w:pPr>
        <w:pStyle w:val="parrafos"/>
        <w:numPr>
          <w:ilvl w:val="0"/>
          <w:numId w:val="0"/>
        </w:numPr>
        <w:ind w:left="360" w:right="360"/>
        <w:rPr>
          <w:sz w:val="18"/>
          <w:lang w:val="es-UY"/>
        </w:rPr>
      </w:pPr>
      <w:r w:rsidRPr="00D8219A">
        <w:rPr>
          <w:sz w:val="18"/>
          <w:lang w:val="es-UY"/>
        </w:rPr>
        <w:t>Las requisitorias para la extradición de fugitivos ante la</w:t>
      </w:r>
      <w:r w:rsidR="00482DFA" w:rsidRPr="00D8219A">
        <w:rPr>
          <w:sz w:val="18"/>
          <w:lang w:val="es-UY"/>
        </w:rPr>
        <w:t xml:space="preserve"> justicia serán hechas por los a</w:t>
      </w:r>
      <w:r w:rsidRPr="00D8219A">
        <w:rPr>
          <w:sz w:val="18"/>
          <w:lang w:val="es-UY"/>
        </w:rPr>
        <w:t xml:space="preserve">gentes diplomáticos respectivos de las partes contratantes, o en caso de su ausencia del país o de la capital del Gobierno, pueden practicarse por los superiores oficiales consulares. Si la persona de que se pide la extradición está condenada por un crimen, la requisitoria debe ser acompañada de una copia de la sentencia del Tribunal que le ha condenado, autenticada con su sello y con atestación del carácter oficial del juez firmante dada por la autoridad ejecutiva propia, y legalización de la última por el Ministro o Cónsul del Ecuador o de </w:t>
      </w:r>
      <w:r w:rsidR="00616685" w:rsidRPr="00D8219A">
        <w:rPr>
          <w:sz w:val="18"/>
          <w:lang w:val="es-UY"/>
        </w:rPr>
        <w:t>Estados Unidos</w:t>
      </w:r>
      <w:r w:rsidRPr="00D8219A">
        <w:rPr>
          <w:sz w:val="18"/>
          <w:lang w:val="es-UY"/>
        </w:rPr>
        <w:t xml:space="preserve"> respectivamente. Al contrario, cuando el fugitivo solo está acusado de crimen, una copia debidamente legalizada del auto de prisión para arrestarle en el país donde el crimen ha sido cometido y de las deposiciones sobre que tal auto ha sido expedido, debe acompañar tal requisición. El Presidente o la autoridad ejecutiva propia del Ecuador o el Presidente de </w:t>
      </w:r>
      <w:r w:rsidR="00616685" w:rsidRPr="00D8219A">
        <w:rPr>
          <w:sz w:val="18"/>
          <w:lang w:val="es-UY"/>
        </w:rPr>
        <w:t>Estados Unidos</w:t>
      </w:r>
      <w:r w:rsidRPr="00D8219A">
        <w:rPr>
          <w:sz w:val="18"/>
          <w:lang w:val="es-UY"/>
        </w:rPr>
        <w:t>, pueden, pues, acordar la prisión del fugitivo con el fin de llevarle a presencia de la autoridad judicial competente para examinar la cuestión de entrega. Si entonces se decidiere según la ley y el testimonio que la extradición es debida conforme a esta Convención, el fugitivo será entregado según las formalidades prescritas en tales casos.</w:t>
      </w:r>
    </w:p>
    <w:p w14:paraId="7395DCA7" w14:textId="77777777" w:rsidR="008C0C39" w:rsidRPr="00D8219A" w:rsidRDefault="008C0C39" w:rsidP="008C0C39">
      <w:pPr>
        <w:pStyle w:val="parrafos"/>
        <w:numPr>
          <w:ilvl w:val="0"/>
          <w:numId w:val="0"/>
        </w:numPr>
        <w:ind w:left="360"/>
        <w:rPr>
          <w:lang w:val="es-UY"/>
        </w:rPr>
      </w:pPr>
    </w:p>
    <w:p w14:paraId="573EEE13" w14:textId="77777777" w:rsidR="008C0C39" w:rsidRPr="00D8219A" w:rsidRDefault="008C0C39" w:rsidP="008C0C39">
      <w:pPr>
        <w:pStyle w:val="parrafos"/>
        <w:ind w:left="0" w:firstLine="0"/>
        <w:rPr>
          <w:lang w:val="es-UY"/>
        </w:rPr>
      </w:pPr>
      <w:r w:rsidRPr="00D8219A">
        <w:rPr>
          <w:lang w:val="es-UY"/>
        </w:rPr>
        <w:t xml:space="preserve">A la fecha de detención del </w:t>
      </w:r>
      <w:r w:rsidR="001B5C63" w:rsidRPr="00D8219A">
        <w:rPr>
          <w:lang w:val="es-UY"/>
        </w:rPr>
        <w:t>señor</w:t>
      </w:r>
      <w:r w:rsidRPr="00D8219A">
        <w:rPr>
          <w:lang w:val="es-UY"/>
        </w:rPr>
        <w:t xml:space="preserve"> Serrano en Ecuador, el Capítulo V (“Normas para la deportación de extranjeros”) de la Ley de Inmigración de 1971 vigente en Ecuador establecía: </w:t>
      </w:r>
    </w:p>
    <w:p w14:paraId="24402F0A" w14:textId="77777777" w:rsidR="008C0C39" w:rsidRPr="00D8219A" w:rsidRDefault="008C0C39" w:rsidP="008C0C39">
      <w:pPr>
        <w:pStyle w:val="parrafos"/>
        <w:numPr>
          <w:ilvl w:val="0"/>
          <w:numId w:val="0"/>
        </w:numPr>
        <w:rPr>
          <w:lang w:val="es-UY"/>
        </w:rPr>
      </w:pPr>
    </w:p>
    <w:p w14:paraId="4D5947D5" w14:textId="77777777" w:rsidR="008C0C39" w:rsidRPr="00D8219A" w:rsidRDefault="008C0C39" w:rsidP="00A30993">
      <w:pPr>
        <w:pStyle w:val="parrafos"/>
        <w:numPr>
          <w:ilvl w:val="0"/>
          <w:numId w:val="0"/>
        </w:numPr>
        <w:ind w:left="360" w:right="360"/>
        <w:rPr>
          <w:sz w:val="18"/>
          <w:szCs w:val="18"/>
          <w:lang w:val="es-UY"/>
        </w:rPr>
      </w:pPr>
      <w:r w:rsidRPr="00D8219A">
        <w:rPr>
          <w:sz w:val="18"/>
          <w:szCs w:val="18"/>
          <w:lang w:val="es-UY"/>
        </w:rPr>
        <w:t xml:space="preserve">Artículo 19.- El Ministro de Gobierno, Cultos, Policía y Municipalidades por conducto del Servicio de Migración de la Policía Nacional procederá a deportar a todo extranjero sujeto al fuero territorial que permaneciere en el país comprendido en los siguientes casos […] IV.- Los delincuentes comunes que no pudieren ser juzgados en el Ecuador por falta de jurisdicción territorial. </w:t>
      </w:r>
    </w:p>
    <w:p w14:paraId="75258EDE" w14:textId="77777777" w:rsidR="008C0C39" w:rsidRPr="00D8219A" w:rsidRDefault="008C0C39" w:rsidP="00A30993">
      <w:pPr>
        <w:pStyle w:val="parrafos"/>
        <w:numPr>
          <w:ilvl w:val="0"/>
          <w:numId w:val="0"/>
        </w:numPr>
        <w:ind w:left="360" w:right="360"/>
        <w:rPr>
          <w:sz w:val="18"/>
          <w:szCs w:val="18"/>
          <w:lang w:val="es-UY"/>
        </w:rPr>
      </w:pPr>
    </w:p>
    <w:p w14:paraId="3CE6C858" w14:textId="77777777" w:rsidR="008C0C39" w:rsidRPr="00D8219A" w:rsidRDefault="008C0C39" w:rsidP="00A30993">
      <w:pPr>
        <w:pStyle w:val="parrafos"/>
        <w:numPr>
          <w:ilvl w:val="0"/>
          <w:numId w:val="0"/>
        </w:numPr>
        <w:ind w:left="360" w:right="360"/>
        <w:rPr>
          <w:sz w:val="18"/>
          <w:szCs w:val="18"/>
          <w:lang w:val="es-UY"/>
        </w:rPr>
      </w:pPr>
      <w:r w:rsidRPr="00D8219A">
        <w:rPr>
          <w:sz w:val="18"/>
          <w:szCs w:val="18"/>
          <w:lang w:val="es-UY"/>
        </w:rPr>
        <w:t xml:space="preserve">Artículo 20.- Los agentes de policía del Servicio de Migración que tuvieren conocimiento de alguno de los hechos </w:t>
      </w:r>
    </w:p>
    <w:p w14:paraId="7CA0AECF" w14:textId="77777777" w:rsidR="008C0C39" w:rsidRPr="00D8219A" w:rsidRDefault="008C0C39" w:rsidP="00A30993">
      <w:pPr>
        <w:pStyle w:val="parrafos"/>
        <w:numPr>
          <w:ilvl w:val="0"/>
          <w:numId w:val="0"/>
        </w:numPr>
        <w:ind w:left="360" w:right="360"/>
        <w:rPr>
          <w:sz w:val="18"/>
          <w:szCs w:val="18"/>
          <w:lang w:val="es-UY"/>
        </w:rPr>
      </w:pPr>
      <w:r w:rsidRPr="00D8219A">
        <w:rPr>
          <w:sz w:val="18"/>
          <w:szCs w:val="18"/>
          <w:lang w:val="es-UY"/>
        </w:rPr>
        <w:t>constitutivos de las causas de deportación, podrán realizar el arresto del extranjero imputado y, en tal caso, lo pondrán inmediatamente a órdenes de la jueza o juez de contravenciones de la provincia en que se efectuó la detención, para que inicie la respectiva acción, en la que no se admitirá fianza carcelaria.</w:t>
      </w:r>
      <w:r w:rsidRPr="00D8219A">
        <w:rPr>
          <w:rStyle w:val="FootnoteReference"/>
          <w:lang w:val="es-UY"/>
        </w:rPr>
        <w:t xml:space="preserve"> </w:t>
      </w:r>
      <w:r w:rsidRPr="00D8219A">
        <w:rPr>
          <w:rStyle w:val="FootnoteReference"/>
          <w:sz w:val="18"/>
          <w:szCs w:val="18"/>
        </w:rPr>
        <w:footnoteReference w:id="10"/>
      </w:r>
    </w:p>
    <w:p w14:paraId="3B5F290B" w14:textId="77777777" w:rsidR="008C0C39" w:rsidRPr="00D8219A" w:rsidRDefault="008C0C39" w:rsidP="008C0C39">
      <w:pPr>
        <w:pStyle w:val="Heading2"/>
        <w:tabs>
          <w:tab w:val="left" w:pos="360"/>
        </w:tabs>
        <w:rPr>
          <w:bCs w:val="0"/>
          <w:color w:val="auto"/>
          <w:sz w:val="20"/>
          <w:szCs w:val="20"/>
        </w:rPr>
      </w:pPr>
      <w:bookmarkStart w:id="13" w:name="_Toc69212243"/>
      <w:r w:rsidRPr="00D8219A">
        <w:rPr>
          <w:bCs w:val="0"/>
          <w:color w:val="auto"/>
          <w:sz w:val="20"/>
          <w:szCs w:val="20"/>
        </w:rPr>
        <w:t>C.</w:t>
      </w:r>
      <w:r w:rsidRPr="00D8219A">
        <w:rPr>
          <w:bCs w:val="0"/>
          <w:color w:val="auto"/>
          <w:sz w:val="20"/>
          <w:szCs w:val="20"/>
        </w:rPr>
        <w:tab/>
        <w:t>Hechos del caso</w:t>
      </w:r>
      <w:bookmarkEnd w:id="13"/>
      <w:r w:rsidRPr="00D8219A">
        <w:rPr>
          <w:bCs w:val="0"/>
          <w:color w:val="auto"/>
          <w:sz w:val="20"/>
          <w:szCs w:val="20"/>
        </w:rPr>
        <w:t xml:space="preserve"> </w:t>
      </w:r>
    </w:p>
    <w:p w14:paraId="4CB66FED" w14:textId="77777777" w:rsidR="008C0C39" w:rsidRPr="00D8219A" w:rsidRDefault="008C0C39" w:rsidP="008C0C39">
      <w:pPr>
        <w:pStyle w:val="ListParagraph"/>
        <w:tabs>
          <w:tab w:val="left" w:pos="360"/>
        </w:tabs>
        <w:ind w:left="0"/>
        <w:jc w:val="both"/>
        <w:rPr>
          <w:rFonts w:asciiTheme="majorHAnsi" w:hAnsiTheme="majorHAnsi"/>
          <w:b/>
          <w:color w:val="auto"/>
          <w:sz w:val="20"/>
          <w:szCs w:val="20"/>
        </w:rPr>
      </w:pPr>
    </w:p>
    <w:p w14:paraId="0DF0A447" w14:textId="77777777" w:rsidR="008C0C39" w:rsidRPr="00D8219A" w:rsidRDefault="008C0C39" w:rsidP="008C0C3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UY"/>
        </w:rPr>
      </w:pPr>
      <w:r w:rsidRPr="00D8219A">
        <w:rPr>
          <w:rFonts w:asciiTheme="majorHAnsi" w:hAnsiTheme="majorHAnsi"/>
          <w:sz w:val="20"/>
          <w:szCs w:val="20"/>
          <w:lang w:val="es-UY"/>
        </w:rPr>
        <w:t>Los hechos que a continuación se describen fueron establecidos por tribu</w:t>
      </w:r>
      <w:r w:rsidR="0055776C" w:rsidRPr="00D8219A">
        <w:rPr>
          <w:rFonts w:asciiTheme="majorHAnsi" w:hAnsiTheme="majorHAnsi"/>
          <w:sz w:val="20"/>
          <w:szCs w:val="20"/>
          <w:lang w:val="es-UY"/>
        </w:rPr>
        <w:t>n</w:t>
      </w:r>
      <w:r w:rsidRPr="00D8219A">
        <w:rPr>
          <w:rFonts w:asciiTheme="majorHAnsi" w:hAnsiTheme="majorHAnsi"/>
          <w:sz w:val="20"/>
          <w:szCs w:val="20"/>
          <w:lang w:val="es-UY"/>
        </w:rPr>
        <w:t>ales de justicia nacionales y no han sido cuestionados por los peticionarios.</w:t>
      </w:r>
    </w:p>
    <w:p w14:paraId="63DAEEB7" w14:textId="77777777" w:rsidR="008C0C39" w:rsidRPr="00D8219A" w:rsidRDefault="008C0C39" w:rsidP="008C0C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jc w:val="both"/>
        <w:textAlignment w:val="baseline"/>
        <w:rPr>
          <w:rFonts w:asciiTheme="majorHAnsi" w:hAnsiTheme="majorHAnsi"/>
          <w:sz w:val="20"/>
          <w:szCs w:val="20"/>
          <w:lang w:val="es-UY"/>
        </w:rPr>
      </w:pPr>
    </w:p>
    <w:p w14:paraId="6104C1CA" w14:textId="77777777" w:rsidR="008C0C39" w:rsidRPr="00D8219A" w:rsidRDefault="008C0C39" w:rsidP="008C0C3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UY"/>
        </w:rPr>
      </w:pPr>
      <w:r w:rsidRPr="00D8219A">
        <w:rPr>
          <w:rFonts w:asciiTheme="majorHAnsi" w:hAnsiTheme="majorHAnsi"/>
          <w:sz w:val="20"/>
          <w:szCs w:val="20"/>
          <w:lang w:val="es-UY"/>
        </w:rPr>
        <w:t xml:space="preserve">El 3 de diciembre de 1997 George Gonsalves, Frank Dosso, Diane Patisso y George Patisso fueron asesinados en Erie Manufacturing and Garment Conveyor Systems, en Bartow, Florida. George Gonsalves y </w:t>
      </w:r>
      <w:r w:rsidRPr="00D8219A">
        <w:rPr>
          <w:rFonts w:asciiTheme="majorHAnsi" w:hAnsiTheme="majorHAnsi"/>
          <w:sz w:val="20"/>
          <w:szCs w:val="20"/>
          <w:lang w:val="es-UY"/>
        </w:rPr>
        <w:lastRenderedPageBreak/>
        <w:t>Felice Dosso, padre y suegro de Frank Dosso, Diane Patisso y George Patisso, respectivamente, eran socios de Nelson Serrano desde med</w:t>
      </w:r>
      <w:r w:rsidR="0059427D" w:rsidRPr="00D8219A">
        <w:rPr>
          <w:rFonts w:asciiTheme="majorHAnsi" w:hAnsiTheme="majorHAnsi"/>
          <w:sz w:val="20"/>
          <w:szCs w:val="20"/>
          <w:lang w:val="es-UY"/>
        </w:rPr>
        <w:t xml:space="preserve">iados de la década los ochenta </w:t>
      </w:r>
      <w:r w:rsidRPr="00D8219A">
        <w:rPr>
          <w:rFonts w:asciiTheme="majorHAnsi" w:hAnsiTheme="majorHAnsi"/>
          <w:sz w:val="20"/>
          <w:szCs w:val="20"/>
          <w:lang w:val="es-UY"/>
        </w:rPr>
        <w:t>hasta el verano de 1997. Numerosos empleados de Erie testimoniaron la tensión</w:t>
      </w:r>
      <w:r w:rsidR="003D2802" w:rsidRPr="00D8219A">
        <w:rPr>
          <w:rFonts w:asciiTheme="majorHAnsi" w:hAnsiTheme="majorHAnsi"/>
          <w:sz w:val="20"/>
          <w:szCs w:val="20"/>
          <w:lang w:val="es-UY"/>
        </w:rPr>
        <w:t xml:space="preserve"> existente </w:t>
      </w:r>
      <w:r w:rsidRPr="00D8219A">
        <w:rPr>
          <w:rFonts w:asciiTheme="majorHAnsi" w:hAnsiTheme="majorHAnsi"/>
          <w:sz w:val="20"/>
          <w:szCs w:val="20"/>
          <w:lang w:val="es-UY"/>
        </w:rPr>
        <w:t>en las relaciones entre Serrano y los otros dos socios.</w:t>
      </w:r>
    </w:p>
    <w:p w14:paraId="0E8B3E06" w14:textId="77777777" w:rsidR="008C0C39" w:rsidRPr="00D8219A" w:rsidRDefault="008C0C39" w:rsidP="008C0C39">
      <w:pPr>
        <w:pStyle w:val="ListParagraph"/>
        <w:rPr>
          <w:rFonts w:asciiTheme="majorHAnsi" w:hAnsiTheme="majorHAnsi"/>
          <w:sz w:val="20"/>
          <w:szCs w:val="20"/>
          <w:lang w:val="es-UY"/>
        </w:rPr>
      </w:pPr>
    </w:p>
    <w:p w14:paraId="0ED72547" w14:textId="77777777" w:rsidR="008C0C39" w:rsidRPr="00D8219A" w:rsidRDefault="008C0C39" w:rsidP="008C0C3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UY"/>
        </w:rPr>
      </w:pPr>
      <w:r w:rsidRPr="00D8219A">
        <w:rPr>
          <w:rFonts w:asciiTheme="majorHAnsi" w:hAnsiTheme="majorHAnsi"/>
          <w:sz w:val="20"/>
          <w:szCs w:val="20"/>
          <w:lang w:val="es-UY"/>
        </w:rPr>
        <w:t>En la tarde de los asesinatos la mayoría de los empleados de Erie terminaron su trabajo a las 5 de la tarde o poco después</w:t>
      </w:r>
      <w:r w:rsidR="00AB5572" w:rsidRPr="00D8219A">
        <w:rPr>
          <w:rFonts w:asciiTheme="majorHAnsi" w:hAnsiTheme="majorHAnsi"/>
          <w:sz w:val="20"/>
          <w:szCs w:val="20"/>
          <w:lang w:val="es-UY"/>
        </w:rPr>
        <w:t xml:space="preserve"> de esa hora.</w:t>
      </w:r>
      <w:r w:rsidRPr="00D8219A">
        <w:rPr>
          <w:rFonts w:asciiTheme="majorHAnsi" w:hAnsiTheme="majorHAnsi"/>
          <w:sz w:val="20"/>
          <w:szCs w:val="20"/>
          <w:lang w:val="es-UY"/>
        </w:rPr>
        <w:t xml:space="preserve"> Cuando familiares comenzaron a llamar y no </w:t>
      </w:r>
      <w:r w:rsidR="00AB5572" w:rsidRPr="00D8219A">
        <w:rPr>
          <w:rFonts w:asciiTheme="majorHAnsi" w:hAnsiTheme="majorHAnsi"/>
          <w:sz w:val="20"/>
          <w:szCs w:val="20"/>
          <w:lang w:val="es-UY"/>
        </w:rPr>
        <w:t xml:space="preserve">pudieron </w:t>
      </w:r>
      <w:r w:rsidRPr="00D8219A">
        <w:rPr>
          <w:rFonts w:asciiTheme="majorHAnsi" w:hAnsiTheme="majorHAnsi"/>
          <w:sz w:val="20"/>
          <w:szCs w:val="20"/>
          <w:lang w:val="es-UY"/>
        </w:rPr>
        <w:t>obt</w:t>
      </w:r>
      <w:r w:rsidR="00AB5572" w:rsidRPr="00D8219A">
        <w:rPr>
          <w:rFonts w:asciiTheme="majorHAnsi" w:hAnsiTheme="majorHAnsi"/>
          <w:sz w:val="20"/>
          <w:szCs w:val="20"/>
          <w:lang w:val="es-UY"/>
        </w:rPr>
        <w:t>ener</w:t>
      </w:r>
      <w:r w:rsidRPr="00D8219A">
        <w:rPr>
          <w:rFonts w:asciiTheme="majorHAnsi" w:hAnsiTheme="majorHAnsi"/>
          <w:sz w:val="20"/>
          <w:szCs w:val="20"/>
          <w:lang w:val="es-UY"/>
        </w:rPr>
        <w:t xml:space="preserve"> respuesta, Felice Dosso y su esposo fueron en automóvil a Erie y encontraron los cadáveres de su hija, su hijo, su yerno y George Gonsalves. Las víctimas habían sido baleadas estilo ejecución con dos armas de fuego (de calibre</w:t>
      </w:r>
      <w:r w:rsidR="00AB5572" w:rsidRPr="00D8219A">
        <w:rPr>
          <w:rFonts w:asciiTheme="majorHAnsi" w:hAnsiTheme="majorHAnsi"/>
          <w:sz w:val="20"/>
          <w:szCs w:val="20"/>
          <w:lang w:val="es-UY"/>
        </w:rPr>
        <w:t>s</w:t>
      </w:r>
      <w:r w:rsidRPr="00D8219A">
        <w:rPr>
          <w:rFonts w:asciiTheme="majorHAnsi" w:hAnsiTheme="majorHAnsi"/>
          <w:sz w:val="20"/>
          <w:szCs w:val="20"/>
          <w:lang w:val="es-UY"/>
        </w:rPr>
        <w:t xml:space="preserve"> .22 y .32). La investigación </w:t>
      </w:r>
      <w:r w:rsidR="00C12689" w:rsidRPr="00D8219A">
        <w:rPr>
          <w:rFonts w:asciiTheme="majorHAnsi" w:hAnsiTheme="majorHAnsi"/>
          <w:sz w:val="20"/>
          <w:szCs w:val="20"/>
          <w:lang w:val="es-UY"/>
        </w:rPr>
        <w:t>s</w:t>
      </w:r>
      <w:r w:rsidRPr="00D8219A">
        <w:rPr>
          <w:rFonts w:asciiTheme="majorHAnsi" w:hAnsiTheme="majorHAnsi"/>
          <w:sz w:val="20"/>
          <w:szCs w:val="20"/>
          <w:lang w:val="es-UY"/>
        </w:rPr>
        <w:t xml:space="preserve">e centró inmediatamente en el </w:t>
      </w:r>
      <w:r w:rsidR="001B5C63" w:rsidRPr="00D8219A">
        <w:rPr>
          <w:rFonts w:asciiTheme="majorHAnsi" w:hAnsiTheme="majorHAnsi"/>
          <w:sz w:val="20"/>
          <w:szCs w:val="20"/>
          <w:lang w:val="es-UY"/>
        </w:rPr>
        <w:t>señor</w:t>
      </w:r>
      <w:r w:rsidRPr="00D8219A">
        <w:rPr>
          <w:rFonts w:asciiTheme="majorHAnsi" w:hAnsiTheme="majorHAnsi"/>
          <w:sz w:val="20"/>
          <w:szCs w:val="20"/>
          <w:lang w:val="es-UY"/>
        </w:rPr>
        <w:t xml:space="preserve"> Serrano. Tan pronto como éste regresó a su domicilio tras un viaje de negocios a Atlanta el 4 de diciembre de 1997, detectives le solicitaron que concurriera a la estación de policía para ser entrevistado. Serrano relató el itinerario de su viaje de negocios, que h</w:t>
      </w:r>
      <w:r w:rsidR="007040AB" w:rsidRPr="00D8219A">
        <w:rPr>
          <w:rFonts w:asciiTheme="majorHAnsi" w:hAnsiTheme="majorHAnsi"/>
          <w:sz w:val="20"/>
          <w:szCs w:val="20"/>
          <w:lang w:val="es-UY"/>
        </w:rPr>
        <w:t>abía incluido su salida temprano por</w:t>
      </w:r>
      <w:r w:rsidRPr="00D8219A">
        <w:rPr>
          <w:rFonts w:asciiTheme="majorHAnsi" w:hAnsiTheme="majorHAnsi"/>
          <w:sz w:val="20"/>
          <w:szCs w:val="20"/>
          <w:lang w:val="es-UY"/>
        </w:rPr>
        <w:t xml:space="preserve"> la mañana del 2 de diciembre, vol</w:t>
      </w:r>
      <w:r w:rsidR="00AB5572" w:rsidRPr="00D8219A">
        <w:rPr>
          <w:rFonts w:asciiTheme="majorHAnsi" w:hAnsiTheme="majorHAnsi"/>
          <w:sz w:val="20"/>
          <w:szCs w:val="20"/>
          <w:lang w:val="es-UY"/>
        </w:rPr>
        <w:t>ando de Orlando a Washington DC</w:t>
      </w:r>
      <w:r w:rsidR="007040AB" w:rsidRPr="00D8219A">
        <w:rPr>
          <w:rFonts w:asciiTheme="majorHAnsi" w:hAnsiTheme="majorHAnsi"/>
          <w:sz w:val="20"/>
          <w:szCs w:val="20"/>
          <w:lang w:val="es-UY"/>
        </w:rPr>
        <w:t xml:space="preserve">, </w:t>
      </w:r>
      <w:r w:rsidRPr="00D8219A">
        <w:rPr>
          <w:rFonts w:asciiTheme="majorHAnsi" w:hAnsiTheme="majorHAnsi"/>
          <w:sz w:val="20"/>
          <w:szCs w:val="20"/>
          <w:lang w:val="es-UY"/>
        </w:rPr>
        <w:t>y</w:t>
      </w:r>
      <w:r w:rsidR="00423FEE" w:rsidRPr="00D8219A">
        <w:rPr>
          <w:rFonts w:asciiTheme="majorHAnsi" w:hAnsiTheme="majorHAnsi"/>
          <w:sz w:val="20"/>
          <w:szCs w:val="20"/>
          <w:lang w:val="es-UY"/>
        </w:rPr>
        <w:t xml:space="preserve"> su regreso </w:t>
      </w:r>
      <w:r w:rsidRPr="00D8219A">
        <w:rPr>
          <w:rFonts w:asciiTheme="majorHAnsi" w:hAnsiTheme="majorHAnsi"/>
          <w:sz w:val="20"/>
          <w:szCs w:val="20"/>
          <w:lang w:val="es-UY"/>
        </w:rPr>
        <w:t xml:space="preserve">de Washington DC a Atlanta en la tarde del 2 de diciembre. El </w:t>
      </w:r>
      <w:r w:rsidR="001B5C63" w:rsidRPr="00D8219A">
        <w:rPr>
          <w:rFonts w:asciiTheme="majorHAnsi" w:hAnsiTheme="majorHAnsi"/>
          <w:sz w:val="20"/>
          <w:szCs w:val="20"/>
          <w:lang w:val="es-UY"/>
        </w:rPr>
        <w:t>señor</w:t>
      </w:r>
      <w:r w:rsidRPr="00D8219A">
        <w:rPr>
          <w:rFonts w:asciiTheme="majorHAnsi" w:hAnsiTheme="majorHAnsi"/>
          <w:sz w:val="20"/>
          <w:szCs w:val="20"/>
          <w:lang w:val="es-UY"/>
        </w:rPr>
        <w:t xml:space="preserve"> Serrano señaló que había permanecido en Atlanta hasta el 4 de diciembre de 1997.</w:t>
      </w:r>
    </w:p>
    <w:p w14:paraId="6EBDD800" w14:textId="77777777" w:rsidR="008C0C39" w:rsidRPr="00D8219A" w:rsidRDefault="008C0C39" w:rsidP="008C0C39">
      <w:pPr>
        <w:pStyle w:val="ListParagraph"/>
        <w:rPr>
          <w:rFonts w:asciiTheme="majorHAnsi" w:hAnsiTheme="majorHAnsi"/>
          <w:sz w:val="20"/>
          <w:szCs w:val="20"/>
          <w:lang w:val="es-UY"/>
        </w:rPr>
      </w:pPr>
    </w:p>
    <w:p w14:paraId="04147595" w14:textId="77777777" w:rsidR="008C0C39" w:rsidRPr="00D8219A" w:rsidRDefault="008C0C39" w:rsidP="008C0C3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lang w:val="es-UY"/>
        </w:rPr>
      </w:pPr>
      <w:r w:rsidRPr="00D8219A">
        <w:rPr>
          <w:rFonts w:asciiTheme="majorHAnsi" w:hAnsiTheme="majorHAnsi"/>
          <w:sz w:val="20"/>
          <w:szCs w:val="20"/>
          <w:lang w:val="es-UY"/>
        </w:rPr>
        <w:t xml:space="preserve"> La persona invocada</w:t>
      </w:r>
      <w:r w:rsidR="007040AB" w:rsidRPr="00D8219A">
        <w:rPr>
          <w:rFonts w:asciiTheme="majorHAnsi" w:hAnsiTheme="majorHAnsi"/>
          <w:sz w:val="20"/>
          <w:szCs w:val="20"/>
          <w:lang w:val="es-UY"/>
        </w:rPr>
        <w:t xml:space="preserve"> por el </w:t>
      </w:r>
      <w:r w:rsidR="001B5C63" w:rsidRPr="00D8219A">
        <w:rPr>
          <w:rFonts w:asciiTheme="majorHAnsi" w:hAnsiTheme="majorHAnsi"/>
          <w:sz w:val="20"/>
          <w:szCs w:val="20"/>
          <w:lang w:val="es-UY"/>
        </w:rPr>
        <w:t>señor</w:t>
      </w:r>
      <w:r w:rsidR="007040AB" w:rsidRPr="00D8219A">
        <w:rPr>
          <w:rFonts w:asciiTheme="majorHAnsi" w:hAnsiTheme="majorHAnsi"/>
          <w:sz w:val="20"/>
          <w:szCs w:val="20"/>
          <w:lang w:val="es-UY"/>
        </w:rPr>
        <w:t xml:space="preserve"> Serrano</w:t>
      </w:r>
      <w:r w:rsidRPr="00D8219A">
        <w:rPr>
          <w:rFonts w:asciiTheme="majorHAnsi" w:hAnsiTheme="majorHAnsi"/>
          <w:sz w:val="20"/>
          <w:szCs w:val="20"/>
          <w:lang w:val="es-UY"/>
        </w:rPr>
        <w:t xml:space="preserve"> como coartada </w:t>
      </w:r>
      <w:r w:rsidR="00AB5572" w:rsidRPr="00D8219A">
        <w:rPr>
          <w:rFonts w:asciiTheme="majorHAnsi" w:hAnsiTheme="majorHAnsi"/>
          <w:sz w:val="20"/>
          <w:szCs w:val="20"/>
          <w:lang w:val="es-UY"/>
        </w:rPr>
        <w:t xml:space="preserve">de su presencia en Atlanta </w:t>
      </w:r>
      <w:r w:rsidRPr="00D8219A">
        <w:rPr>
          <w:rFonts w:asciiTheme="majorHAnsi" w:hAnsiTheme="majorHAnsi"/>
          <w:sz w:val="20"/>
          <w:szCs w:val="20"/>
          <w:lang w:val="es-UY"/>
        </w:rPr>
        <w:t xml:space="preserve">declaró que se había encontrado con él el 3 de diciembre alrededor de las 9:45 a.m., y que la reunión había durado aproximadamente una hora. Los investigadores obtuvieron </w:t>
      </w:r>
      <w:r w:rsidR="00EF02F0" w:rsidRPr="00D8219A">
        <w:rPr>
          <w:rFonts w:asciiTheme="majorHAnsi" w:hAnsiTheme="majorHAnsi"/>
          <w:sz w:val="20"/>
          <w:szCs w:val="20"/>
          <w:lang w:val="es-UY"/>
        </w:rPr>
        <w:t>los</w:t>
      </w:r>
      <w:r w:rsidRPr="00D8219A">
        <w:rPr>
          <w:rFonts w:asciiTheme="majorHAnsi" w:hAnsiTheme="majorHAnsi"/>
          <w:sz w:val="20"/>
          <w:szCs w:val="20"/>
          <w:lang w:val="es-UY"/>
        </w:rPr>
        <w:t xml:space="preserve"> video</w:t>
      </w:r>
      <w:r w:rsidR="00EF02F0" w:rsidRPr="00D8219A">
        <w:rPr>
          <w:rFonts w:asciiTheme="majorHAnsi" w:hAnsiTheme="majorHAnsi"/>
          <w:sz w:val="20"/>
          <w:szCs w:val="20"/>
          <w:lang w:val="es-UY"/>
        </w:rPr>
        <w:t>s</w:t>
      </w:r>
      <w:r w:rsidRPr="00D8219A">
        <w:rPr>
          <w:rFonts w:asciiTheme="majorHAnsi" w:hAnsiTheme="majorHAnsi"/>
          <w:sz w:val="20"/>
          <w:szCs w:val="20"/>
          <w:lang w:val="es-UY"/>
        </w:rPr>
        <w:t xml:space="preserve"> de vigilancia del hotel del aeropuerto</w:t>
      </w:r>
      <w:r w:rsidR="003330EC" w:rsidRPr="00D8219A">
        <w:rPr>
          <w:rFonts w:asciiTheme="majorHAnsi" w:hAnsiTheme="majorHAnsi"/>
          <w:sz w:val="20"/>
          <w:szCs w:val="20"/>
          <w:lang w:val="es-UY"/>
        </w:rPr>
        <w:t>,</w:t>
      </w:r>
      <w:r w:rsidRPr="00D8219A">
        <w:rPr>
          <w:rFonts w:asciiTheme="majorHAnsi" w:hAnsiTheme="majorHAnsi"/>
          <w:sz w:val="20"/>
          <w:szCs w:val="20"/>
          <w:lang w:val="es-UY"/>
        </w:rPr>
        <w:t xml:space="preserve"> que mostraban al </w:t>
      </w:r>
      <w:r w:rsidR="001B5C63" w:rsidRPr="00D8219A">
        <w:rPr>
          <w:rFonts w:asciiTheme="majorHAnsi" w:hAnsiTheme="majorHAnsi"/>
          <w:sz w:val="20"/>
          <w:szCs w:val="20"/>
          <w:lang w:val="es-UY"/>
        </w:rPr>
        <w:t>señor</w:t>
      </w:r>
      <w:r w:rsidRPr="00D8219A">
        <w:rPr>
          <w:rFonts w:asciiTheme="majorHAnsi" w:hAnsiTheme="majorHAnsi"/>
          <w:sz w:val="20"/>
          <w:szCs w:val="20"/>
          <w:lang w:val="es-UY"/>
        </w:rPr>
        <w:t xml:space="preserve"> Serrano en el vestíbulo del hotel a las 12.19 p.m. el 3 de diciembre. A las 10:17 p.m. el </w:t>
      </w:r>
      <w:r w:rsidR="001B5C63" w:rsidRPr="00D8219A">
        <w:rPr>
          <w:rFonts w:asciiTheme="majorHAnsi" w:hAnsiTheme="majorHAnsi"/>
          <w:sz w:val="20"/>
          <w:szCs w:val="20"/>
          <w:lang w:val="es-UY"/>
        </w:rPr>
        <w:t>señor</w:t>
      </w:r>
      <w:r w:rsidRPr="00D8219A">
        <w:rPr>
          <w:rFonts w:asciiTheme="majorHAnsi" w:hAnsiTheme="majorHAnsi"/>
          <w:sz w:val="20"/>
          <w:szCs w:val="20"/>
          <w:lang w:val="es-UY"/>
        </w:rPr>
        <w:t xml:space="preserve"> Serrano </w:t>
      </w:r>
      <w:r w:rsidR="00423FEE" w:rsidRPr="00D8219A">
        <w:rPr>
          <w:rFonts w:asciiTheme="majorHAnsi" w:hAnsiTheme="majorHAnsi"/>
          <w:sz w:val="20"/>
          <w:szCs w:val="20"/>
          <w:lang w:val="es-UY"/>
        </w:rPr>
        <w:t>aparecía</w:t>
      </w:r>
      <w:r w:rsidRPr="00D8219A">
        <w:rPr>
          <w:rFonts w:asciiTheme="majorHAnsi" w:hAnsiTheme="majorHAnsi"/>
          <w:sz w:val="20"/>
          <w:szCs w:val="20"/>
          <w:lang w:val="es-UY"/>
        </w:rPr>
        <w:t xml:space="preserve"> nuevamente en el video, entrando </w:t>
      </w:r>
      <w:r w:rsidR="00EF02F0" w:rsidRPr="00D8219A">
        <w:rPr>
          <w:rFonts w:asciiTheme="majorHAnsi" w:hAnsiTheme="majorHAnsi"/>
          <w:sz w:val="20"/>
          <w:szCs w:val="20"/>
          <w:lang w:val="es-UY"/>
        </w:rPr>
        <w:t>a</w:t>
      </w:r>
      <w:r w:rsidRPr="00D8219A">
        <w:rPr>
          <w:rFonts w:asciiTheme="majorHAnsi" w:hAnsiTheme="majorHAnsi"/>
          <w:sz w:val="20"/>
          <w:szCs w:val="20"/>
          <w:lang w:val="es-UY"/>
        </w:rPr>
        <w:t xml:space="preserve">l vestíbulo del hotel desde el exterior, vistiendo el mismo suéter y la misma chaqueta que </w:t>
      </w:r>
      <w:r w:rsidR="00EF02F0" w:rsidRPr="00D8219A">
        <w:rPr>
          <w:rFonts w:asciiTheme="majorHAnsi" w:hAnsiTheme="majorHAnsi"/>
          <w:sz w:val="20"/>
          <w:szCs w:val="20"/>
          <w:lang w:val="es-UY"/>
        </w:rPr>
        <w:t>en</w:t>
      </w:r>
      <w:r w:rsidRPr="00D8219A">
        <w:rPr>
          <w:rFonts w:asciiTheme="majorHAnsi" w:hAnsiTheme="majorHAnsi"/>
          <w:sz w:val="20"/>
          <w:szCs w:val="20"/>
          <w:lang w:val="es-UY"/>
        </w:rPr>
        <w:t xml:space="preserve"> la tarde</w:t>
      </w:r>
      <w:r w:rsidR="00EF02F0" w:rsidRPr="00D8219A">
        <w:rPr>
          <w:rFonts w:asciiTheme="majorHAnsi" w:hAnsiTheme="majorHAnsi"/>
          <w:sz w:val="20"/>
          <w:szCs w:val="20"/>
          <w:lang w:val="es-UY"/>
        </w:rPr>
        <w:t xml:space="preserve"> anterior</w:t>
      </w:r>
      <w:r w:rsidRPr="00D8219A">
        <w:rPr>
          <w:rFonts w:asciiTheme="majorHAnsi" w:hAnsiTheme="majorHAnsi"/>
          <w:sz w:val="20"/>
          <w:szCs w:val="20"/>
          <w:lang w:val="es-UY"/>
        </w:rPr>
        <w:t xml:space="preserve">. El Estado teorizó que el día de los asesinatos el </w:t>
      </w:r>
      <w:r w:rsidR="001B5C63" w:rsidRPr="00D8219A">
        <w:rPr>
          <w:rFonts w:asciiTheme="majorHAnsi" w:hAnsiTheme="majorHAnsi"/>
          <w:sz w:val="20"/>
          <w:szCs w:val="20"/>
          <w:lang w:val="es-UY"/>
        </w:rPr>
        <w:t>señor</w:t>
      </w:r>
      <w:r w:rsidRPr="00D8219A">
        <w:rPr>
          <w:rFonts w:asciiTheme="majorHAnsi" w:hAnsiTheme="majorHAnsi"/>
          <w:sz w:val="20"/>
          <w:szCs w:val="20"/>
          <w:lang w:val="es-UY"/>
        </w:rPr>
        <w:t xml:space="preserve"> Serrano voló desde Atlanta a Orlando con un alias e inmediatamente después de los asesinatos partió en un vuelo de regreso a Atlanta usando otro alias. La </w:t>
      </w:r>
      <w:r w:rsidR="00EF02F0" w:rsidRPr="00D8219A">
        <w:rPr>
          <w:rFonts w:asciiTheme="majorHAnsi" w:hAnsiTheme="majorHAnsi"/>
          <w:sz w:val="20"/>
          <w:szCs w:val="20"/>
          <w:lang w:val="es-UY"/>
        </w:rPr>
        <w:t>huella</w:t>
      </w:r>
      <w:r w:rsidRPr="00D8219A">
        <w:rPr>
          <w:rFonts w:asciiTheme="majorHAnsi" w:hAnsiTheme="majorHAnsi"/>
          <w:sz w:val="20"/>
          <w:szCs w:val="20"/>
          <w:lang w:val="es-UY"/>
        </w:rPr>
        <w:t xml:space="preserve"> del </w:t>
      </w:r>
      <w:r w:rsidR="001B5C63" w:rsidRPr="00D8219A">
        <w:rPr>
          <w:rFonts w:asciiTheme="majorHAnsi" w:hAnsiTheme="majorHAnsi"/>
          <w:sz w:val="20"/>
          <w:szCs w:val="20"/>
          <w:lang w:val="es-UY"/>
        </w:rPr>
        <w:t>señor</w:t>
      </w:r>
      <w:r w:rsidRPr="00D8219A">
        <w:rPr>
          <w:rFonts w:asciiTheme="majorHAnsi" w:hAnsiTheme="majorHAnsi"/>
          <w:sz w:val="20"/>
          <w:szCs w:val="20"/>
          <w:lang w:val="es-UY"/>
        </w:rPr>
        <w:t xml:space="preserve"> Serrano fue hallada en una boleta de un estacionami</w:t>
      </w:r>
      <w:r w:rsidR="003330EC" w:rsidRPr="00D8219A">
        <w:rPr>
          <w:rFonts w:asciiTheme="majorHAnsi" w:hAnsiTheme="majorHAnsi"/>
          <w:sz w:val="20"/>
          <w:szCs w:val="20"/>
          <w:lang w:val="es-UY"/>
        </w:rPr>
        <w:t>ento en el aeropuerto de Orlando</w:t>
      </w:r>
      <w:r w:rsidRPr="00D8219A">
        <w:rPr>
          <w:rFonts w:asciiTheme="majorHAnsi" w:hAnsiTheme="majorHAnsi"/>
          <w:sz w:val="20"/>
          <w:szCs w:val="20"/>
          <w:lang w:val="es-UY"/>
        </w:rPr>
        <w:t xml:space="preserve">, lo que según el Estado indicaba que había partido desde el aeropuerto de Orlando a las 3:49 p.m. </w:t>
      </w:r>
      <w:r w:rsidR="00E21EBD" w:rsidRPr="00D8219A">
        <w:rPr>
          <w:rFonts w:asciiTheme="majorHAnsi" w:hAnsiTheme="majorHAnsi"/>
          <w:sz w:val="20"/>
          <w:szCs w:val="20"/>
          <w:lang w:val="es-UY"/>
        </w:rPr>
        <w:t xml:space="preserve"> </w:t>
      </w:r>
    </w:p>
    <w:p w14:paraId="1FEF9917" w14:textId="77777777" w:rsidR="008C0C39" w:rsidRPr="00D8219A" w:rsidRDefault="008C0C39" w:rsidP="00C243B4">
      <w:pPr>
        <w:pStyle w:val="Heading2"/>
        <w:numPr>
          <w:ilvl w:val="0"/>
          <w:numId w:val="59"/>
        </w:numPr>
        <w:tabs>
          <w:tab w:val="left" w:pos="360"/>
        </w:tabs>
        <w:ind w:left="360"/>
        <w:rPr>
          <w:bCs w:val="0"/>
          <w:color w:val="auto"/>
          <w:sz w:val="20"/>
          <w:szCs w:val="20"/>
          <w:lang w:val="es-UY"/>
        </w:rPr>
      </w:pPr>
      <w:bookmarkStart w:id="14" w:name="_Toc69212244"/>
      <w:r w:rsidRPr="00D8219A">
        <w:rPr>
          <w:bCs w:val="0"/>
          <w:color w:val="auto"/>
          <w:sz w:val="20"/>
          <w:szCs w:val="20"/>
          <w:lang w:val="es-UY"/>
        </w:rPr>
        <w:t xml:space="preserve">Detención, juicio y sentencia de muerte impuesta al </w:t>
      </w:r>
      <w:r w:rsidR="001B5C63" w:rsidRPr="00D8219A">
        <w:rPr>
          <w:bCs w:val="0"/>
          <w:color w:val="auto"/>
          <w:sz w:val="20"/>
          <w:szCs w:val="20"/>
          <w:lang w:val="es-UY"/>
        </w:rPr>
        <w:t>señor</w:t>
      </w:r>
      <w:r w:rsidRPr="00D8219A">
        <w:rPr>
          <w:bCs w:val="0"/>
          <w:color w:val="auto"/>
          <w:sz w:val="20"/>
          <w:szCs w:val="20"/>
          <w:lang w:val="es-UY"/>
        </w:rPr>
        <w:t xml:space="preserve"> Serrano</w:t>
      </w:r>
      <w:bookmarkEnd w:id="14"/>
    </w:p>
    <w:p w14:paraId="45D0D787" w14:textId="77777777" w:rsidR="008C0C39" w:rsidRPr="00D8219A" w:rsidRDefault="008C0C39" w:rsidP="008C0C39">
      <w:pPr>
        <w:pStyle w:val="parrafos"/>
        <w:numPr>
          <w:ilvl w:val="0"/>
          <w:numId w:val="0"/>
        </w:numPr>
        <w:rPr>
          <w:lang w:val="es-UY"/>
        </w:rPr>
      </w:pPr>
    </w:p>
    <w:p w14:paraId="77E93D84" w14:textId="77777777" w:rsidR="008C0C39" w:rsidRPr="00D8219A" w:rsidRDefault="008C0C39" w:rsidP="008C0C39">
      <w:pPr>
        <w:pStyle w:val="parrafos"/>
        <w:ind w:left="0" w:firstLine="0"/>
        <w:rPr>
          <w:lang w:val="es-UY"/>
        </w:rPr>
      </w:pPr>
      <w:r w:rsidRPr="00D8219A">
        <w:rPr>
          <w:lang w:val="es-UY"/>
        </w:rPr>
        <w:t xml:space="preserve">De acuerdo con los hechos probados establecidos por </w:t>
      </w:r>
      <w:r w:rsidR="00315DD6" w:rsidRPr="00D8219A">
        <w:rPr>
          <w:lang w:val="es-UY"/>
        </w:rPr>
        <w:t xml:space="preserve">la CIDH en su </w:t>
      </w:r>
      <w:r w:rsidR="00961992" w:rsidRPr="00D8219A">
        <w:rPr>
          <w:lang w:val="es-UY"/>
        </w:rPr>
        <w:t>I</w:t>
      </w:r>
      <w:r w:rsidR="00315DD6" w:rsidRPr="00D8219A">
        <w:rPr>
          <w:lang w:val="es-UY"/>
        </w:rPr>
        <w:t>nforme No. 84/09 arriba mencionado</w:t>
      </w:r>
      <w:r w:rsidR="00F11E03" w:rsidRPr="00D8219A">
        <w:rPr>
          <w:lang w:val="es-UY"/>
        </w:rPr>
        <w:t xml:space="preserve"> respecto al Estad</w:t>
      </w:r>
      <w:r w:rsidRPr="00D8219A">
        <w:rPr>
          <w:lang w:val="es-UY"/>
        </w:rPr>
        <w:t xml:space="preserve">o de Ecuador, el </w:t>
      </w:r>
      <w:r w:rsidR="001B5C63" w:rsidRPr="00D8219A">
        <w:rPr>
          <w:lang w:val="es-UY"/>
        </w:rPr>
        <w:t>señor</w:t>
      </w:r>
      <w:r w:rsidRPr="00D8219A">
        <w:rPr>
          <w:lang w:val="es-UY"/>
        </w:rPr>
        <w:t xml:space="preserve"> Serrano nació en Quito, Ecuador, el 15 de septiembre de 1938. El 3 de diciembre de 1971 </w:t>
      </w:r>
      <w:r w:rsidR="00961992" w:rsidRPr="00D8219A">
        <w:rPr>
          <w:lang w:val="es-UY"/>
        </w:rPr>
        <w:t>obtuvo la ciudadanía estadounidense por naturalización</w:t>
      </w:r>
      <w:r w:rsidRPr="00D8219A">
        <w:rPr>
          <w:lang w:val="es-UY"/>
        </w:rPr>
        <w:t xml:space="preserve"> y renunció a su ciudadanía ecuatoriana, </w:t>
      </w:r>
      <w:r w:rsidR="00423FEE" w:rsidRPr="00D8219A">
        <w:rPr>
          <w:lang w:val="es-UY"/>
        </w:rPr>
        <w:t>conforme a lo previst</w:t>
      </w:r>
      <w:r w:rsidR="00EA57B1" w:rsidRPr="00D8219A">
        <w:rPr>
          <w:lang w:val="es-UY"/>
        </w:rPr>
        <w:t>o por</w:t>
      </w:r>
      <w:r w:rsidRPr="00D8219A">
        <w:rPr>
          <w:lang w:val="es-UY"/>
        </w:rPr>
        <w:t xml:space="preserve"> la Constitución entonces vigente. Tras la entrada en vigor de una nueva Constitución que admitía la doble nacionalidad, el </w:t>
      </w:r>
      <w:r w:rsidR="001B5C63" w:rsidRPr="00D8219A">
        <w:rPr>
          <w:lang w:val="es-UY"/>
        </w:rPr>
        <w:t>señor</w:t>
      </w:r>
      <w:r w:rsidRPr="00D8219A">
        <w:rPr>
          <w:lang w:val="es-UY"/>
        </w:rPr>
        <w:t xml:space="preserve"> Serrano obtuvo su pasaporte ecuatoriano en el Consulado de Ecuador en Miami, y el 21 de agosto de 2000 ingresó </w:t>
      </w:r>
      <w:r w:rsidR="00F11E03" w:rsidRPr="00D8219A">
        <w:rPr>
          <w:lang w:val="es-UY"/>
        </w:rPr>
        <w:t>a</w:t>
      </w:r>
      <w:r w:rsidRPr="00D8219A">
        <w:rPr>
          <w:lang w:val="es-UY"/>
        </w:rPr>
        <w:t xml:space="preserve"> Ecuador con su pasaporte ecuatoriano.  </w:t>
      </w:r>
      <w:r w:rsidR="000353F0" w:rsidRPr="00D8219A">
        <w:rPr>
          <w:lang w:val="es-UY"/>
        </w:rPr>
        <w:t>A partir de</w:t>
      </w:r>
      <w:r w:rsidRPr="00D8219A">
        <w:rPr>
          <w:lang w:val="es-UY"/>
        </w:rPr>
        <w:t xml:space="preserve"> esa fecha </w:t>
      </w:r>
      <w:r w:rsidR="00F11E03" w:rsidRPr="00D8219A">
        <w:rPr>
          <w:lang w:val="es-UY"/>
        </w:rPr>
        <w:t>constituyó domicilio</w:t>
      </w:r>
      <w:r w:rsidRPr="00D8219A">
        <w:rPr>
          <w:lang w:val="es-UY"/>
        </w:rPr>
        <w:t xml:space="preserve"> en Ecuador como nacional de ese país y realizó actos jurídicos como ecuatoriano.</w:t>
      </w:r>
      <w:r w:rsidRPr="00D8219A">
        <w:rPr>
          <w:rStyle w:val="FootnoteReference"/>
        </w:rPr>
        <w:footnoteReference w:id="11"/>
      </w:r>
    </w:p>
    <w:p w14:paraId="49E9EB3C" w14:textId="77777777" w:rsidR="008C0C39" w:rsidRPr="00D8219A" w:rsidRDefault="008C0C39" w:rsidP="008C0C39">
      <w:pPr>
        <w:pStyle w:val="ListParagraph"/>
        <w:rPr>
          <w:rFonts w:asciiTheme="majorHAnsi" w:hAnsiTheme="majorHAnsi"/>
          <w:sz w:val="20"/>
          <w:szCs w:val="20"/>
          <w:lang w:val="es-UY"/>
        </w:rPr>
      </w:pPr>
    </w:p>
    <w:p w14:paraId="2DF2476C" w14:textId="77777777" w:rsidR="008C0C39" w:rsidRPr="00D8219A" w:rsidRDefault="008C0C39" w:rsidP="008C0C39">
      <w:pPr>
        <w:pStyle w:val="parrafos"/>
        <w:ind w:left="0" w:firstLine="0"/>
        <w:rPr>
          <w:lang w:val="es-UY"/>
        </w:rPr>
      </w:pPr>
      <w:r w:rsidRPr="00D8219A">
        <w:rPr>
          <w:lang w:val="es-UY"/>
        </w:rPr>
        <w:t>El 17 de mayo de 2001</w:t>
      </w:r>
      <w:r w:rsidR="00E5185E" w:rsidRPr="00D8219A">
        <w:rPr>
          <w:lang w:val="es-UY"/>
        </w:rPr>
        <w:t xml:space="preserve"> se formularon contra</w:t>
      </w:r>
      <w:r w:rsidRPr="00D8219A">
        <w:rPr>
          <w:lang w:val="es-UY"/>
        </w:rPr>
        <w:t xml:space="preserve"> el </w:t>
      </w:r>
      <w:r w:rsidR="001B5C63" w:rsidRPr="00D8219A">
        <w:rPr>
          <w:lang w:val="es-UY"/>
        </w:rPr>
        <w:t>señor</w:t>
      </w:r>
      <w:r w:rsidRPr="00D8219A">
        <w:rPr>
          <w:lang w:val="es-UY"/>
        </w:rPr>
        <w:t xml:space="preserve"> Serrano</w:t>
      </w:r>
      <w:r w:rsidR="00993336" w:rsidRPr="00D8219A">
        <w:rPr>
          <w:lang w:val="es-UY"/>
        </w:rPr>
        <w:t xml:space="preserve"> cuatros cargos penales por</w:t>
      </w:r>
      <w:r w:rsidRPr="00D8219A">
        <w:rPr>
          <w:lang w:val="es-UY"/>
        </w:rPr>
        <w:t xml:space="preserve"> homicidio en primer grado en el Condado de Polk, en Florida.</w:t>
      </w:r>
      <w:r w:rsidRPr="00D8219A">
        <w:rPr>
          <w:rStyle w:val="FootnoteReference"/>
        </w:rPr>
        <w:footnoteReference w:id="12"/>
      </w:r>
      <w:r w:rsidRPr="00D8219A">
        <w:rPr>
          <w:rStyle w:val="FootnoteReference"/>
          <w:lang w:val="es-UY"/>
        </w:rPr>
        <w:t xml:space="preserve"> </w:t>
      </w:r>
      <w:r w:rsidRPr="00D8219A">
        <w:rPr>
          <w:lang w:val="es-UY"/>
        </w:rPr>
        <w:t>Según la información proporcionada por el peticionario y no cuestionada por el Estado, el agente especial a cargo de la investigación fue</w:t>
      </w:r>
      <w:r w:rsidR="00B2039A" w:rsidRPr="00D8219A">
        <w:rPr>
          <w:lang w:val="es-UY"/>
        </w:rPr>
        <w:t xml:space="preserve"> reasignado a un caso diferente, </w:t>
      </w:r>
      <w:r w:rsidR="002506A3" w:rsidRPr="00D8219A">
        <w:rPr>
          <w:lang w:val="es-UY"/>
        </w:rPr>
        <w:t>pues se creía</w:t>
      </w:r>
      <w:r w:rsidRPr="00D8219A">
        <w:rPr>
          <w:lang w:val="es-UY"/>
        </w:rPr>
        <w:t xml:space="preserve"> que el </w:t>
      </w:r>
      <w:r w:rsidR="001B5C63" w:rsidRPr="00D8219A">
        <w:rPr>
          <w:lang w:val="es-UY"/>
        </w:rPr>
        <w:t>señor</w:t>
      </w:r>
      <w:r w:rsidRPr="00D8219A">
        <w:rPr>
          <w:lang w:val="es-UY"/>
        </w:rPr>
        <w:t xml:space="preserve"> Serrano se hallaba fuera de la jurisdicción de </w:t>
      </w:r>
      <w:r w:rsidR="00616685" w:rsidRPr="00D8219A">
        <w:rPr>
          <w:lang w:val="es-UY"/>
        </w:rPr>
        <w:t>Estados Unidos</w:t>
      </w:r>
      <w:r w:rsidRPr="00D8219A">
        <w:rPr>
          <w:lang w:val="es-UY"/>
        </w:rPr>
        <w:t>. Tras adquirir una lista de contactos en Ecuador el agente especial instó a sus superiores a proseguir la in</w:t>
      </w:r>
      <w:r w:rsidR="006F7CFB" w:rsidRPr="00D8219A">
        <w:rPr>
          <w:lang w:val="es-UY"/>
        </w:rPr>
        <w:t>ve</w:t>
      </w:r>
      <w:r w:rsidRPr="00D8219A">
        <w:rPr>
          <w:lang w:val="es-UY"/>
        </w:rPr>
        <w:t xml:space="preserve">stigación, y </w:t>
      </w:r>
      <w:r w:rsidR="00A541EE" w:rsidRPr="00D8219A">
        <w:rPr>
          <w:lang w:val="es-UY"/>
        </w:rPr>
        <w:t xml:space="preserve">habiendo </w:t>
      </w:r>
      <w:r w:rsidR="0048165A" w:rsidRPr="00D8219A">
        <w:rPr>
          <w:lang w:val="es-UY"/>
        </w:rPr>
        <w:t>sido reasignado</w:t>
      </w:r>
      <w:r w:rsidRPr="00D8219A">
        <w:rPr>
          <w:lang w:val="es-UY"/>
        </w:rPr>
        <w:t xml:space="preserve"> al caso viajó a Quito, Ecuador.</w:t>
      </w:r>
      <w:r w:rsidRPr="00D8219A">
        <w:rPr>
          <w:rStyle w:val="FootnoteReference"/>
        </w:rPr>
        <w:footnoteReference w:id="13"/>
      </w:r>
      <w:r w:rsidRPr="00D8219A">
        <w:rPr>
          <w:lang w:val="es-UY"/>
        </w:rPr>
        <w:t xml:space="preserve"> Según una carta del Departamento de Estado de </w:t>
      </w:r>
      <w:r w:rsidR="00616685" w:rsidRPr="00D8219A">
        <w:rPr>
          <w:lang w:val="es-UY"/>
        </w:rPr>
        <w:t>Estados Unidos</w:t>
      </w:r>
      <w:r w:rsidRPr="00D8219A">
        <w:rPr>
          <w:lang w:val="es-UY"/>
        </w:rPr>
        <w:t xml:space="preserve"> fechada el 23 de a</w:t>
      </w:r>
      <w:r w:rsidR="00BD009E" w:rsidRPr="00D8219A">
        <w:rPr>
          <w:lang w:val="es-UY"/>
        </w:rPr>
        <w:t>gosto de 2002</w:t>
      </w:r>
      <w:r w:rsidR="0078331E" w:rsidRPr="00D8219A">
        <w:rPr>
          <w:lang w:val="es-UY"/>
        </w:rPr>
        <w:t>,</w:t>
      </w:r>
      <w:r w:rsidR="00BD009E" w:rsidRPr="00D8219A">
        <w:rPr>
          <w:lang w:val="es-UY"/>
        </w:rPr>
        <w:t xml:space="preserve"> Estados</w:t>
      </w:r>
      <w:r w:rsidRPr="00D8219A">
        <w:rPr>
          <w:lang w:val="es-UY"/>
        </w:rPr>
        <w:t xml:space="preserve"> Unidos solicitó la extradición del </w:t>
      </w:r>
      <w:r w:rsidR="001B5C63" w:rsidRPr="00D8219A">
        <w:rPr>
          <w:lang w:val="es-UY"/>
        </w:rPr>
        <w:t>señor</w:t>
      </w:r>
      <w:r w:rsidRPr="00D8219A">
        <w:rPr>
          <w:lang w:val="es-UY"/>
        </w:rPr>
        <w:t xml:space="preserve"> Serrano en los términos siguientes:</w:t>
      </w:r>
    </w:p>
    <w:p w14:paraId="42AABFEB" w14:textId="77777777" w:rsidR="008C0C39" w:rsidRPr="00D8219A" w:rsidRDefault="008C0C39" w:rsidP="008C0C39">
      <w:pPr>
        <w:pStyle w:val="ListParagraph"/>
        <w:rPr>
          <w:rFonts w:asciiTheme="majorHAnsi" w:hAnsiTheme="majorHAnsi"/>
          <w:sz w:val="20"/>
          <w:szCs w:val="20"/>
          <w:lang w:val="es-UY"/>
        </w:rPr>
      </w:pPr>
    </w:p>
    <w:p w14:paraId="2B91715D" w14:textId="77777777" w:rsidR="008C0C39" w:rsidRPr="00D8219A" w:rsidRDefault="009C1732" w:rsidP="009C1732">
      <w:pPr>
        <w:pStyle w:val="ListParagraph"/>
        <w:ind w:left="360" w:right="360"/>
        <w:jc w:val="both"/>
        <w:rPr>
          <w:rFonts w:asciiTheme="majorHAnsi" w:hAnsiTheme="majorHAnsi"/>
          <w:sz w:val="18"/>
          <w:szCs w:val="18"/>
          <w:lang w:val="es-UY"/>
        </w:rPr>
      </w:pPr>
      <w:r w:rsidRPr="00D8219A">
        <w:rPr>
          <w:rFonts w:asciiTheme="majorHAnsi" w:hAnsiTheme="majorHAnsi"/>
          <w:sz w:val="18"/>
          <w:szCs w:val="18"/>
          <w:lang w:val="es-UY"/>
        </w:rPr>
        <w:t xml:space="preserve">A </w:t>
      </w:r>
      <w:r w:rsidR="008C0C39" w:rsidRPr="00D8219A">
        <w:rPr>
          <w:rFonts w:asciiTheme="majorHAnsi" w:hAnsiTheme="majorHAnsi"/>
          <w:sz w:val="18"/>
          <w:szCs w:val="18"/>
          <w:lang w:val="es-UY"/>
        </w:rPr>
        <w:t>Nelson Iván Serrano</w:t>
      </w:r>
      <w:r w:rsidR="004376FE" w:rsidRPr="00D8219A">
        <w:rPr>
          <w:rFonts w:asciiTheme="majorHAnsi" w:hAnsiTheme="majorHAnsi"/>
          <w:sz w:val="18"/>
          <w:szCs w:val="18"/>
          <w:lang w:val="es-UY"/>
        </w:rPr>
        <w:t xml:space="preserve"> </w:t>
      </w:r>
      <w:r w:rsidRPr="00D8219A">
        <w:rPr>
          <w:rFonts w:asciiTheme="majorHAnsi" w:hAnsiTheme="majorHAnsi"/>
          <w:sz w:val="18"/>
          <w:szCs w:val="18"/>
          <w:lang w:val="es-UY"/>
        </w:rPr>
        <w:t xml:space="preserve">le han </w:t>
      </w:r>
      <w:r w:rsidR="004376FE" w:rsidRPr="00D8219A">
        <w:rPr>
          <w:rFonts w:asciiTheme="majorHAnsi" w:hAnsiTheme="majorHAnsi"/>
          <w:sz w:val="18"/>
          <w:szCs w:val="18"/>
          <w:lang w:val="es-UY"/>
        </w:rPr>
        <w:t xml:space="preserve">sido </w:t>
      </w:r>
      <w:r w:rsidRPr="00D8219A">
        <w:rPr>
          <w:rFonts w:asciiTheme="majorHAnsi" w:hAnsiTheme="majorHAnsi"/>
          <w:sz w:val="18"/>
          <w:szCs w:val="18"/>
          <w:lang w:val="es-UY"/>
        </w:rPr>
        <w:t>imputado</w:t>
      </w:r>
      <w:r w:rsidR="004376FE" w:rsidRPr="00D8219A">
        <w:rPr>
          <w:rFonts w:asciiTheme="majorHAnsi" w:hAnsiTheme="majorHAnsi"/>
          <w:sz w:val="18"/>
          <w:szCs w:val="18"/>
          <w:lang w:val="es-UY"/>
        </w:rPr>
        <w:t>s</w:t>
      </w:r>
      <w:r w:rsidRPr="00D8219A">
        <w:rPr>
          <w:rFonts w:asciiTheme="majorHAnsi" w:hAnsiTheme="majorHAnsi"/>
          <w:sz w:val="18"/>
          <w:szCs w:val="18"/>
          <w:lang w:val="es-UY"/>
        </w:rPr>
        <w:t xml:space="preserve"> </w:t>
      </w:r>
      <w:r w:rsidR="008C0C39" w:rsidRPr="00D8219A">
        <w:rPr>
          <w:rFonts w:asciiTheme="majorHAnsi" w:hAnsiTheme="majorHAnsi"/>
          <w:sz w:val="18"/>
          <w:szCs w:val="18"/>
          <w:lang w:val="es-UY"/>
        </w:rPr>
        <w:t>cuatro cargo</w:t>
      </w:r>
      <w:r w:rsidR="00BD009E" w:rsidRPr="00D8219A">
        <w:rPr>
          <w:rFonts w:asciiTheme="majorHAnsi" w:hAnsiTheme="majorHAnsi"/>
          <w:sz w:val="18"/>
          <w:szCs w:val="18"/>
          <w:lang w:val="es-UY"/>
        </w:rPr>
        <w:t>s</w:t>
      </w:r>
      <w:r w:rsidR="008C0C39" w:rsidRPr="00D8219A">
        <w:rPr>
          <w:rFonts w:asciiTheme="majorHAnsi" w:hAnsiTheme="majorHAnsi"/>
          <w:sz w:val="18"/>
          <w:szCs w:val="18"/>
          <w:lang w:val="es-UY"/>
        </w:rPr>
        <w:t xml:space="preserve"> de Homicidio en Primer Grado. Confo</w:t>
      </w:r>
      <w:r w:rsidR="007C3A84" w:rsidRPr="00D8219A">
        <w:rPr>
          <w:rFonts w:asciiTheme="majorHAnsi" w:hAnsiTheme="majorHAnsi"/>
          <w:sz w:val="18"/>
          <w:szCs w:val="18"/>
          <w:lang w:val="es-UY"/>
        </w:rPr>
        <w:t>rme a la legislación de Florida</w:t>
      </w:r>
      <w:r w:rsidR="008C0C39" w:rsidRPr="00D8219A">
        <w:rPr>
          <w:rFonts w:asciiTheme="majorHAnsi" w:hAnsiTheme="majorHAnsi"/>
          <w:sz w:val="18"/>
          <w:szCs w:val="18"/>
          <w:lang w:val="es-UY"/>
        </w:rPr>
        <w:t xml:space="preserve"> la condena prevista por Homicidio en Primer Grado es de muerte o prisión perpetua. Tras la debida consideración</w:t>
      </w:r>
      <w:r w:rsidR="007C3A84" w:rsidRPr="00D8219A">
        <w:rPr>
          <w:rFonts w:asciiTheme="majorHAnsi" w:hAnsiTheme="majorHAnsi"/>
          <w:sz w:val="18"/>
          <w:szCs w:val="18"/>
          <w:lang w:val="es-UY"/>
        </w:rPr>
        <w:t xml:space="preserve"> del </w:t>
      </w:r>
      <w:r w:rsidR="00D556AF" w:rsidRPr="00D8219A">
        <w:rPr>
          <w:rFonts w:asciiTheme="majorHAnsi" w:hAnsiTheme="majorHAnsi"/>
          <w:sz w:val="18"/>
          <w:szCs w:val="18"/>
          <w:lang w:val="es-UY"/>
        </w:rPr>
        <w:t>caso y</w:t>
      </w:r>
      <w:r w:rsidR="008C0C39" w:rsidRPr="00D8219A">
        <w:rPr>
          <w:rFonts w:asciiTheme="majorHAnsi" w:hAnsiTheme="majorHAnsi"/>
          <w:sz w:val="18"/>
          <w:szCs w:val="18"/>
          <w:lang w:val="es-UY"/>
        </w:rPr>
        <w:t xml:space="preserve"> conforme a los principios de derecho internacional</w:t>
      </w:r>
      <w:r w:rsidR="007C3A84" w:rsidRPr="00D8219A">
        <w:rPr>
          <w:rFonts w:asciiTheme="majorHAnsi" w:hAnsiTheme="majorHAnsi"/>
          <w:sz w:val="18"/>
          <w:szCs w:val="18"/>
          <w:lang w:val="es-UY"/>
        </w:rPr>
        <w:t xml:space="preserve"> aplicables, el Gobierno de </w:t>
      </w:r>
      <w:r w:rsidR="008C0C39" w:rsidRPr="00D8219A">
        <w:rPr>
          <w:rFonts w:asciiTheme="majorHAnsi" w:hAnsiTheme="majorHAnsi"/>
          <w:sz w:val="18"/>
          <w:szCs w:val="18"/>
          <w:lang w:val="es-UY"/>
        </w:rPr>
        <w:lastRenderedPageBreak/>
        <w:t>Estados Unidos asegura al Gobierno de Ecuador que si Nelson Iván Serrano es extraditado por Ecuador no se promoverá ni impondrá en es</w:t>
      </w:r>
      <w:r w:rsidR="00F44463" w:rsidRPr="00D8219A">
        <w:rPr>
          <w:rFonts w:asciiTheme="majorHAnsi" w:hAnsiTheme="majorHAnsi"/>
          <w:sz w:val="18"/>
          <w:szCs w:val="18"/>
          <w:lang w:val="es-UY"/>
        </w:rPr>
        <w:t>t</w:t>
      </w:r>
      <w:r w:rsidR="008C0C39" w:rsidRPr="00D8219A">
        <w:rPr>
          <w:rFonts w:asciiTheme="majorHAnsi" w:hAnsiTheme="majorHAnsi"/>
          <w:sz w:val="18"/>
          <w:szCs w:val="18"/>
          <w:lang w:val="es-UY"/>
        </w:rPr>
        <w:t>e caso la pena de muerte.</w:t>
      </w:r>
      <w:r w:rsidR="008C0C39" w:rsidRPr="00D8219A">
        <w:rPr>
          <w:rStyle w:val="FootnoteReference"/>
          <w:rFonts w:asciiTheme="majorHAnsi" w:hAnsiTheme="majorHAnsi"/>
          <w:lang w:val="es-UY"/>
        </w:rPr>
        <w:t xml:space="preserve"> </w:t>
      </w:r>
      <w:r w:rsidR="008C0C39" w:rsidRPr="00D8219A">
        <w:rPr>
          <w:rStyle w:val="FootnoteReference"/>
          <w:rFonts w:asciiTheme="majorHAnsi" w:hAnsiTheme="majorHAnsi"/>
          <w:sz w:val="18"/>
          <w:szCs w:val="18"/>
        </w:rPr>
        <w:footnoteReference w:id="14"/>
      </w:r>
    </w:p>
    <w:p w14:paraId="05B6D235" w14:textId="77777777" w:rsidR="008C0C39" w:rsidRPr="00D8219A" w:rsidRDefault="008C0C39" w:rsidP="008C0C39">
      <w:pPr>
        <w:pStyle w:val="parrafos"/>
        <w:numPr>
          <w:ilvl w:val="0"/>
          <w:numId w:val="0"/>
        </w:numPr>
        <w:rPr>
          <w:lang w:val="es-UY"/>
        </w:rPr>
      </w:pPr>
    </w:p>
    <w:p w14:paraId="51AAF16D" w14:textId="77777777" w:rsidR="008C0C39" w:rsidRPr="00D8219A" w:rsidRDefault="008C0C39" w:rsidP="008C0C39">
      <w:pPr>
        <w:pStyle w:val="parrafos"/>
        <w:ind w:left="0" w:firstLine="0"/>
        <w:rPr>
          <w:lang w:val="es-UY"/>
        </w:rPr>
      </w:pPr>
      <w:r w:rsidRPr="00D8219A">
        <w:rPr>
          <w:lang w:val="es-UY"/>
        </w:rPr>
        <w:t>El agente especial pasó varios días visitando a altos funcionarios de diversos Ministerios ecuatorianos</w:t>
      </w:r>
      <w:r w:rsidR="00EB673E" w:rsidRPr="00D8219A">
        <w:rPr>
          <w:lang w:val="es-UY"/>
        </w:rPr>
        <w:t>,</w:t>
      </w:r>
      <w:r w:rsidRPr="00D8219A">
        <w:rPr>
          <w:lang w:val="es-UY"/>
        </w:rPr>
        <w:t xml:space="preserve"> y se le dijo que el </w:t>
      </w:r>
      <w:r w:rsidR="001B5C63" w:rsidRPr="00D8219A">
        <w:rPr>
          <w:lang w:val="es-UY"/>
        </w:rPr>
        <w:t>señor</w:t>
      </w:r>
      <w:r w:rsidRPr="00D8219A">
        <w:rPr>
          <w:lang w:val="es-UY"/>
        </w:rPr>
        <w:t xml:space="preserve"> </w:t>
      </w:r>
      <w:r w:rsidR="00755DFF" w:rsidRPr="00D8219A">
        <w:rPr>
          <w:lang w:val="es-UY"/>
        </w:rPr>
        <w:t>Serrano nunca sería entregado. Además, u</w:t>
      </w:r>
      <w:r w:rsidRPr="00D8219A">
        <w:rPr>
          <w:lang w:val="es-UY"/>
        </w:rPr>
        <w:t>n agente</w:t>
      </w:r>
      <w:r w:rsidR="000A11AB" w:rsidRPr="00D8219A">
        <w:rPr>
          <w:lang w:val="es-UY"/>
        </w:rPr>
        <w:t xml:space="preserve"> del servicio antinarcóticos </w:t>
      </w:r>
      <w:r w:rsidR="00755DFF" w:rsidRPr="00D8219A">
        <w:rPr>
          <w:lang w:val="es-UY"/>
        </w:rPr>
        <w:t xml:space="preserve">de Estados Unidos </w:t>
      </w:r>
      <w:r w:rsidR="000A11AB" w:rsidRPr="00D8219A">
        <w:rPr>
          <w:lang w:val="es-UY"/>
        </w:rPr>
        <w:t>qu</w:t>
      </w:r>
      <w:r w:rsidRPr="00D8219A">
        <w:rPr>
          <w:lang w:val="es-UY"/>
        </w:rPr>
        <w:t xml:space="preserve">e </w:t>
      </w:r>
      <w:r w:rsidR="00755DFF" w:rsidRPr="00D8219A">
        <w:rPr>
          <w:lang w:val="es-UY"/>
        </w:rPr>
        <w:t>se encontraba</w:t>
      </w:r>
      <w:r w:rsidR="000A11AB" w:rsidRPr="00D8219A">
        <w:rPr>
          <w:lang w:val="es-UY"/>
        </w:rPr>
        <w:t xml:space="preserve"> en Quito le</w:t>
      </w:r>
      <w:r w:rsidR="00755DFF" w:rsidRPr="00D8219A">
        <w:rPr>
          <w:lang w:val="es-UY"/>
        </w:rPr>
        <w:t xml:space="preserve"> aconsejó</w:t>
      </w:r>
      <w:r w:rsidRPr="00D8219A">
        <w:rPr>
          <w:lang w:val="es-UY"/>
        </w:rPr>
        <w:t xml:space="preserve"> regresar a </w:t>
      </w:r>
      <w:r w:rsidR="00616685" w:rsidRPr="00D8219A">
        <w:rPr>
          <w:lang w:val="es-UY"/>
        </w:rPr>
        <w:t>Estados Unidos</w:t>
      </w:r>
      <w:r w:rsidR="00CD2C97" w:rsidRPr="00D8219A">
        <w:rPr>
          <w:lang w:val="es-UY"/>
        </w:rPr>
        <w:t>,</w:t>
      </w:r>
      <w:r w:rsidR="00755DFF" w:rsidRPr="00D8219A">
        <w:rPr>
          <w:lang w:val="es-UY"/>
        </w:rPr>
        <w:t xml:space="preserve"> dada la futilidad de</w:t>
      </w:r>
      <w:r w:rsidRPr="00D8219A">
        <w:rPr>
          <w:lang w:val="es-UY"/>
        </w:rPr>
        <w:t xml:space="preserve"> sus esfuerzos. No obstante, el agente especial permaneció en Ecuador y halló el vacío legal que buscaba para demostrar que el </w:t>
      </w:r>
      <w:r w:rsidR="001B5C63" w:rsidRPr="00D8219A">
        <w:rPr>
          <w:lang w:val="es-UY"/>
        </w:rPr>
        <w:t>señor</w:t>
      </w:r>
      <w:r w:rsidRPr="00D8219A">
        <w:rPr>
          <w:lang w:val="es-UY"/>
        </w:rPr>
        <w:t xml:space="preserve"> Serrano e</w:t>
      </w:r>
      <w:r w:rsidR="000A11AB" w:rsidRPr="00D8219A">
        <w:rPr>
          <w:lang w:val="es-UY"/>
        </w:rPr>
        <w:t>n</w:t>
      </w:r>
      <w:r w:rsidRPr="00D8219A">
        <w:rPr>
          <w:lang w:val="es-UY"/>
        </w:rPr>
        <w:t xml:space="preserve"> realidad no era ciudadano ecuatoriano</w:t>
      </w:r>
      <w:r w:rsidR="000A11AB" w:rsidRPr="00D8219A">
        <w:rPr>
          <w:lang w:val="es-UY"/>
        </w:rPr>
        <w:t>,</w:t>
      </w:r>
      <w:r w:rsidRPr="00D8219A">
        <w:rPr>
          <w:lang w:val="es-UY"/>
        </w:rPr>
        <w:t xml:space="preserve"> a fin de que pudiera ser deportado</w:t>
      </w:r>
      <w:r w:rsidR="000A11AB" w:rsidRPr="00D8219A">
        <w:rPr>
          <w:lang w:val="es-UY"/>
        </w:rPr>
        <w:t>,</w:t>
      </w:r>
      <w:r w:rsidRPr="00D8219A">
        <w:rPr>
          <w:lang w:val="es-UY"/>
        </w:rPr>
        <w:t xml:space="preserve"> en lugar de extraditado.</w:t>
      </w:r>
      <w:r w:rsidRPr="00D8219A">
        <w:rPr>
          <w:rStyle w:val="FootnoteReference"/>
        </w:rPr>
        <w:footnoteReference w:id="15"/>
      </w:r>
      <w:r w:rsidRPr="00D8219A">
        <w:rPr>
          <w:lang w:val="es-UY"/>
        </w:rPr>
        <w:t xml:space="preserve"> El agente especial más tarde declaró bajo juramento ante la Corte de</w:t>
      </w:r>
      <w:r w:rsidR="000A11AB" w:rsidRPr="00D8219A">
        <w:rPr>
          <w:lang w:val="es-UY"/>
        </w:rPr>
        <w:t xml:space="preserve"> Apelaciones para el</w:t>
      </w:r>
      <w:r w:rsidRPr="00D8219A">
        <w:rPr>
          <w:lang w:val="es-UY"/>
        </w:rPr>
        <w:t xml:space="preserve"> 10° Circuito del Condado de Polk que había pagado 300 dólares a un mayor ecuatoriano para que éste pudiera pagar a funcionarios policiales ecuatorianos fuera de servicio para realizar el secuestro del </w:t>
      </w:r>
      <w:r w:rsidR="001B5C63" w:rsidRPr="00D8219A">
        <w:rPr>
          <w:lang w:val="es-UY"/>
        </w:rPr>
        <w:t>señor</w:t>
      </w:r>
      <w:r w:rsidRPr="00D8219A">
        <w:rPr>
          <w:lang w:val="es-UY"/>
        </w:rPr>
        <w:t xml:space="preserve"> Serrano.</w:t>
      </w:r>
      <w:r w:rsidRPr="00D8219A">
        <w:rPr>
          <w:rStyle w:val="FootnoteReference"/>
        </w:rPr>
        <w:footnoteReference w:id="16"/>
      </w:r>
    </w:p>
    <w:p w14:paraId="25FCC8F4" w14:textId="77777777" w:rsidR="008C0C39" w:rsidRPr="00D8219A" w:rsidRDefault="008C0C39" w:rsidP="008C0C39">
      <w:pPr>
        <w:pStyle w:val="parrafos"/>
        <w:numPr>
          <w:ilvl w:val="0"/>
          <w:numId w:val="0"/>
        </w:numPr>
        <w:rPr>
          <w:lang w:val="es-UY"/>
        </w:rPr>
      </w:pPr>
    </w:p>
    <w:p w14:paraId="6DB5F0C2" w14:textId="77777777" w:rsidR="008C0C39" w:rsidRPr="00D8219A" w:rsidRDefault="008C0C39" w:rsidP="008C0C39">
      <w:pPr>
        <w:pStyle w:val="parrafos"/>
        <w:ind w:left="0" w:firstLine="0"/>
        <w:rPr>
          <w:lang w:val="es-UY"/>
        </w:rPr>
      </w:pPr>
      <w:r w:rsidRPr="00D8219A">
        <w:rPr>
          <w:lang w:val="es-UY"/>
        </w:rPr>
        <w:t xml:space="preserve">El 30 de agosto de 2002 el Intendente General de Policía de Pichincha ordenó la detención del </w:t>
      </w:r>
      <w:r w:rsidR="001B5C63" w:rsidRPr="00D8219A">
        <w:rPr>
          <w:lang w:val="es-UY"/>
        </w:rPr>
        <w:t>señor</w:t>
      </w:r>
      <w:r w:rsidRPr="00D8219A">
        <w:rPr>
          <w:lang w:val="es-UY"/>
        </w:rPr>
        <w:t xml:space="preserve"> Serrano</w:t>
      </w:r>
      <w:r w:rsidR="000A11AB" w:rsidRPr="00D8219A">
        <w:rPr>
          <w:lang w:val="es-UY"/>
        </w:rPr>
        <w:t>,</w:t>
      </w:r>
      <w:r w:rsidRPr="00D8219A">
        <w:rPr>
          <w:lang w:val="es-UY"/>
        </w:rPr>
        <w:t xml:space="preserve"> basada en el Código de Procedimiento Penal y en la Ley de Inmigración.</w:t>
      </w:r>
      <w:r w:rsidRPr="00D8219A">
        <w:rPr>
          <w:rStyle w:val="FootnoteReference"/>
        </w:rPr>
        <w:footnoteReference w:id="17"/>
      </w:r>
      <w:r w:rsidRPr="00D8219A">
        <w:rPr>
          <w:lang w:val="es-UY"/>
        </w:rPr>
        <w:t xml:space="preserve"> El 31 de agosto el </w:t>
      </w:r>
      <w:r w:rsidR="001B5C63" w:rsidRPr="00D8219A">
        <w:rPr>
          <w:lang w:val="es-UY"/>
        </w:rPr>
        <w:t>señor</w:t>
      </w:r>
      <w:r w:rsidRPr="00D8219A">
        <w:rPr>
          <w:lang w:val="es-UY"/>
        </w:rPr>
        <w:t xml:space="preserve"> Serrano fue arrestado en Quito, Ecuador. Ese mismo día se emitió una orden de deportación</w:t>
      </w:r>
      <w:r w:rsidR="00CD2C97" w:rsidRPr="00D8219A">
        <w:rPr>
          <w:lang w:val="es-UY"/>
        </w:rPr>
        <w:t>,</w:t>
      </w:r>
      <w:r w:rsidRPr="00D8219A">
        <w:rPr>
          <w:lang w:val="es-UY"/>
        </w:rPr>
        <w:t xml:space="preserve"> y el </w:t>
      </w:r>
      <w:r w:rsidR="001B5C63" w:rsidRPr="00D8219A">
        <w:rPr>
          <w:lang w:val="es-UY"/>
        </w:rPr>
        <w:t>señor</w:t>
      </w:r>
      <w:r w:rsidR="000A11AB" w:rsidRPr="00D8219A">
        <w:rPr>
          <w:lang w:val="es-UY"/>
        </w:rPr>
        <w:t xml:space="preserve"> Serrano fue deportado a </w:t>
      </w:r>
      <w:r w:rsidR="00D556AF" w:rsidRPr="00D8219A">
        <w:rPr>
          <w:lang w:val="es-UY"/>
        </w:rPr>
        <w:t>E</w:t>
      </w:r>
      <w:r w:rsidRPr="00D8219A">
        <w:rPr>
          <w:lang w:val="es-UY"/>
        </w:rPr>
        <w:t>stados Unidos el 1 de septiembre de 2002.</w:t>
      </w:r>
      <w:r w:rsidRPr="00D8219A">
        <w:rPr>
          <w:rStyle w:val="FootnoteReference"/>
        </w:rPr>
        <w:footnoteReference w:id="18"/>
      </w:r>
      <w:r w:rsidRPr="00D8219A">
        <w:rPr>
          <w:lang w:val="es-UY"/>
        </w:rPr>
        <w:t xml:space="preserve"> </w:t>
      </w:r>
    </w:p>
    <w:p w14:paraId="77E2448D" w14:textId="77777777" w:rsidR="008C0C39" w:rsidRPr="00D8219A" w:rsidRDefault="008C0C39" w:rsidP="008C0C39">
      <w:pPr>
        <w:pStyle w:val="parrafos"/>
        <w:numPr>
          <w:ilvl w:val="0"/>
          <w:numId w:val="0"/>
        </w:numPr>
        <w:rPr>
          <w:lang w:val="es-UY"/>
        </w:rPr>
      </w:pPr>
    </w:p>
    <w:p w14:paraId="3E6CBBA6" w14:textId="77777777" w:rsidR="008C0C39" w:rsidRPr="00D8219A" w:rsidRDefault="008C0C39" w:rsidP="008C0C39">
      <w:pPr>
        <w:pStyle w:val="parrafos"/>
        <w:ind w:left="0" w:firstLine="0"/>
        <w:rPr>
          <w:lang w:val="es-UY"/>
        </w:rPr>
      </w:pPr>
      <w:r w:rsidRPr="00D8219A">
        <w:rPr>
          <w:lang w:val="es-UY"/>
        </w:rPr>
        <w:t>El 11 de octubre de 2006</w:t>
      </w:r>
      <w:r w:rsidR="001017C5" w:rsidRPr="00D8219A">
        <w:rPr>
          <w:lang w:val="es-UY"/>
        </w:rPr>
        <w:t xml:space="preserve"> </w:t>
      </w:r>
      <w:r w:rsidR="007635C6" w:rsidRPr="00D8219A">
        <w:rPr>
          <w:lang w:val="es-UY"/>
        </w:rPr>
        <w:t>el jurado rind</w:t>
      </w:r>
      <w:r w:rsidRPr="00D8219A">
        <w:rPr>
          <w:lang w:val="es-UY"/>
        </w:rPr>
        <w:t>ió un veredicto de culpabilidad por homicidio en primer grado con respecto a las cuatro imputaciones</w:t>
      </w:r>
      <w:r w:rsidR="006830CA" w:rsidRPr="00D8219A">
        <w:rPr>
          <w:lang w:val="es-UY"/>
        </w:rPr>
        <w:t>,</w:t>
      </w:r>
      <w:r w:rsidRPr="00D8219A">
        <w:rPr>
          <w:lang w:val="es-UY"/>
        </w:rPr>
        <w:t xml:space="preserve"> y el 24 de octubre de 2006 el jurado, por voto de nueve a tres, recomendó que el </w:t>
      </w:r>
      <w:r w:rsidR="001B5C63" w:rsidRPr="00D8219A">
        <w:rPr>
          <w:lang w:val="es-UY"/>
        </w:rPr>
        <w:t>señor</w:t>
      </w:r>
      <w:r w:rsidRPr="00D8219A">
        <w:rPr>
          <w:lang w:val="es-UY"/>
        </w:rPr>
        <w:t xml:space="preserve"> Serrano fuera condenado a muerte por cada uno de los cuatro homicidios. La Corte siguió las recomendaciones del jurado,</w:t>
      </w:r>
      <w:r w:rsidR="006830CA" w:rsidRPr="00D8219A">
        <w:rPr>
          <w:lang w:val="es-UY"/>
        </w:rPr>
        <w:t xml:space="preserve"> y el 26 de junio de 2007</w:t>
      </w:r>
      <w:r w:rsidRPr="00D8219A">
        <w:rPr>
          <w:lang w:val="es-UY"/>
        </w:rPr>
        <w:t xml:space="preserve"> lo sentenció a muerte por cada uno de los cuatro homicidios.</w:t>
      </w:r>
      <w:r w:rsidRPr="00D8219A">
        <w:rPr>
          <w:rStyle w:val="FootnoteReference"/>
        </w:rPr>
        <w:footnoteReference w:id="19"/>
      </w:r>
      <w:r w:rsidRPr="00D8219A">
        <w:rPr>
          <w:lang w:val="es-UY"/>
        </w:rPr>
        <w:t xml:space="preserve"> </w:t>
      </w:r>
    </w:p>
    <w:p w14:paraId="6C67B4D5" w14:textId="77777777" w:rsidR="008C0C39" w:rsidRPr="00D8219A" w:rsidRDefault="008C0C39" w:rsidP="008C0C39">
      <w:pPr>
        <w:pStyle w:val="ListParagraph"/>
        <w:rPr>
          <w:rFonts w:asciiTheme="majorHAnsi" w:hAnsiTheme="majorHAnsi"/>
          <w:sz w:val="20"/>
          <w:szCs w:val="20"/>
          <w:lang w:val="es-UY"/>
        </w:rPr>
      </w:pPr>
    </w:p>
    <w:p w14:paraId="61912DF0" w14:textId="77777777" w:rsidR="008C0C39" w:rsidRPr="00D8219A" w:rsidRDefault="008C0C39" w:rsidP="008C0C39">
      <w:pPr>
        <w:pStyle w:val="parrafos"/>
        <w:ind w:left="0" w:firstLine="0"/>
        <w:rPr>
          <w:lang w:val="es-UY"/>
        </w:rPr>
      </w:pPr>
      <w:r w:rsidRPr="00D8219A">
        <w:rPr>
          <w:lang w:val="es-UY"/>
        </w:rPr>
        <w:t xml:space="preserve">El 2 de julio de 2008 el </w:t>
      </w:r>
      <w:r w:rsidR="001B5C63" w:rsidRPr="00D8219A">
        <w:rPr>
          <w:lang w:val="es-UY"/>
        </w:rPr>
        <w:t>señor</w:t>
      </w:r>
      <w:r w:rsidRPr="00D8219A">
        <w:rPr>
          <w:lang w:val="es-UY"/>
        </w:rPr>
        <w:t xml:space="preserve"> Serrano</w:t>
      </w:r>
      <w:r w:rsidR="006A6A09" w:rsidRPr="00D8219A">
        <w:rPr>
          <w:lang w:val="es-UY"/>
        </w:rPr>
        <w:t xml:space="preserve"> interpuso un recurso de apelación directa contra</w:t>
      </w:r>
      <w:r w:rsidRPr="00D8219A">
        <w:rPr>
          <w:lang w:val="es-UY"/>
        </w:rPr>
        <w:t xml:space="preserve"> la </w:t>
      </w:r>
      <w:r w:rsidR="00975DC0" w:rsidRPr="00D8219A">
        <w:rPr>
          <w:lang w:val="es-UY"/>
        </w:rPr>
        <w:t>sentencia condenatoria</w:t>
      </w:r>
      <w:r w:rsidRPr="00D8219A">
        <w:rPr>
          <w:lang w:val="es-UY"/>
        </w:rPr>
        <w:t xml:space="preserve"> y la</w:t>
      </w:r>
      <w:r w:rsidR="00975DC0" w:rsidRPr="00D8219A">
        <w:rPr>
          <w:lang w:val="es-UY"/>
        </w:rPr>
        <w:t xml:space="preserve"> pena</w:t>
      </w:r>
      <w:r w:rsidR="006A6A09" w:rsidRPr="00D8219A">
        <w:rPr>
          <w:lang w:val="es-UY"/>
        </w:rPr>
        <w:t xml:space="preserve"> que le habían sido impuestas</w:t>
      </w:r>
      <w:r w:rsidRPr="00D8219A">
        <w:rPr>
          <w:lang w:val="es-UY"/>
        </w:rPr>
        <w:t>.</w:t>
      </w:r>
      <w:r w:rsidRPr="00D8219A">
        <w:rPr>
          <w:rStyle w:val="FootnoteReference"/>
        </w:rPr>
        <w:footnoteReference w:id="20"/>
      </w:r>
      <w:r w:rsidRPr="00D8219A">
        <w:rPr>
          <w:lang w:val="es-UY"/>
        </w:rPr>
        <w:t xml:space="preserve"> La defensa alegó que los argumentos de la fiscalía se basaban en prueba indicia</w:t>
      </w:r>
      <w:r w:rsidR="0078331E" w:rsidRPr="00D8219A">
        <w:rPr>
          <w:lang w:val="es-UY"/>
        </w:rPr>
        <w:t>ria</w:t>
      </w:r>
      <w:r w:rsidRPr="00D8219A">
        <w:rPr>
          <w:lang w:val="es-UY"/>
        </w:rPr>
        <w:t xml:space="preserve"> y q</w:t>
      </w:r>
      <w:r w:rsidR="004748F3" w:rsidRPr="00D8219A">
        <w:rPr>
          <w:lang w:val="es-UY"/>
        </w:rPr>
        <w:t>ue una prueba indicia</w:t>
      </w:r>
      <w:r w:rsidR="0078331E" w:rsidRPr="00D8219A">
        <w:rPr>
          <w:lang w:val="es-UY"/>
        </w:rPr>
        <w:t>ria</w:t>
      </w:r>
      <w:r w:rsidR="004748F3" w:rsidRPr="00D8219A">
        <w:rPr>
          <w:lang w:val="es-UY"/>
        </w:rPr>
        <w:t xml:space="preserve"> es</w:t>
      </w:r>
      <w:r w:rsidRPr="00D8219A">
        <w:rPr>
          <w:lang w:val="es-UY"/>
        </w:rPr>
        <w:t xml:space="preserve"> insuficiente para</w:t>
      </w:r>
      <w:r w:rsidR="006A6A09" w:rsidRPr="00D8219A">
        <w:rPr>
          <w:lang w:val="es-UY"/>
        </w:rPr>
        <w:t xml:space="preserve"> una condena. También adujo</w:t>
      </w:r>
      <w:r w:rsidRPr="00D8219A">
        <w:rPr>
          <w:lang w:val="es-UY"/>
        </w:rPr>
        <w:t xml:space="preserve"> que los funcionarios de </w:t>
      </w:r>
      <w:r w:rsidR="003424B5" w:rsidRPr="00D8219A">
        <w:rPr>
          <w:lang w:val="es-UY"/>
        </w:rPr>
        <w:t>la fuerza pública</w:t>
      </w:r>
      <w:r w:rsidRPr="00D8219A">
        <w:rPr>
          <w:lang w:val="es-UY"/>
        </w:rPr>
        <w:t xml:space="preserve"> de Florida habían secuestrado al </w:t>
      </w:r>
      <w:r w:rsidR="001B5C63" w:rsidRPr="00D8219A">
        <w:rPr>
          <w:lang w:val="es-UY"/>
        </w:rPr>
        <w:t>señor</w:t>
      </w:r>
      <w:r w:rsidRPr="00D8219A">
        <w:rPr>
          <w:lang w:val="es-UY"/>
        </w:rPr>
        <w:t xml:space="preserve"> Serrano en Ecuador y lo habían llevado por la fuerza a </w:t>
      </w:r>
      <w:r w:rsidR="00616685" w:rsidRPr="00D8219A">
        <w:rPr>
          <w:lang w:val="es-UY"/>
        </w:rPr>
        <w:t>Estados Unidos</w:t>
      </w:r>
      <w:r w:rsidRPr="00D8219A">
        <w:rPr>
          <w:lang w:val="es-UY"/>
        </w:rPr>
        <w:t>, violando</w:t>
      </w:r>
      <w:r w:rsidR="00330F05" w:rsidRPr="00D8219A">
        <w:rPr>
          <w:lang w:val="es-UY"/>
        </w:rPr>
        <w:t xml:space="preserve"> </w:t>
      </w:r>
      <w:r w:rsidRPr="00D8219A">
        <w:rPr>
          <w:lang w:val="es-UY"/>
        </w:rPr>
        <w:t>e</w:t>
      </w:r>
      <w:r w:rsidR="004748F3" w:rsidRPr="00D8219A">
        <w:rPr>
          <w:lang w:val="es-UY"/>
        </w:rPr>
        <w:t>l Tratado de Extradición Estados Unidos</w:t>
      </w:r>
      <w:r w:rsidRPr="00D8219A">
        <w:rPr>
          <w:lang w:val="es-UY"/>
        </w:rPr>
        <w:t xml:space="preserve"> – Ecuador,</w:t>
      </w:r>
      <w:r w:rsidR="00330F05" w:rsidRPr="00D8219A">
        <w:rPr>
          <w:lang w:val="es-UY"/>
        </w:rPr>
        <w:t xml:space="preserve"> y</w:t>
      </w:r>
      <w:r w:rsidRPr="00D8219A">
        <w:rPr>
          <w:lang w:val="es-UY"/>
        </w:rPr>
        <w:t xml:space="preserve"> </w:t>
      </w:r>
      <w:r w:rsidR="003424B5" w:rsidRPr="00D8219A">
        <w:rPr>
          <w:lang w:val="es-UY"/>
        </w:rPr>
        <w:t>en violación al</w:t>
      </w:r>
      <w:r w:rsidRPr="00D8219A">
        <w:rPr>
          <w:lang w:val="es-UY"/>
        </w:rPr>
        <w:t xml:space="preserve"> derecho </w:t>
      </w:r>
      <w:r w:rsidR="00C602E6" w:rsidRPr="00D8219A">
        <w:rPr>
          <w:lang w:val="es-UY"/>
        </w:rPr>
        <w:t xml:space="preserve">del </w:t>
      </w:r>
      <w:r w:rsidR="001B5C63" w:rsidRPr="00D8219A">
        <w:rPr>
          <w:lang w:val="es-UY"/>
        </w:rPr>
        <w:t>señor</w:t>
      </w:r>
      <w:r w:rsidRPr="00D8219A">
        <w:rPr>
          <w:lang w:val="es-UY"/>
        </w:rPr>
        <w:t xml:space="preserve"> Serrano al debido proceso.</w:t>
      </w:r>
    </w:p>
    <w:p w14:paraId="199C3305" w14:textId="77777777" w:rsidR="008C0C39" w:rsidRPr="00D8219A" w:rsidRDefault="008C0C39" w:rsidP="008C0C39">
      <w:pPr>
        <w:pStyle w:val="ListParagraph"/>
        <w:rPr>
          <w:rFonts w:asciiTheme="majorHAnsi" w:hAnsiTheme="majorHAnsi"/>
          <w:sz w:val="20"/>
          <w:szCs w:val="20"/>
          <w:lang w:val="es-UY"/>
        </w:rPr>
      </w:pPr>
    </w:p>
    <w:p w14:paraId="185E10B3" w14:textId="77777777" w:rsidR="008C0C39" w:rsidRPr="00D8219A" w:rsidRDefault="008C0C39" w:rsidP="008C0C39">
      <w:pPr>
        <w:pStyle w:val="parrafos"/>
        <w:ind w:left="0" w:firstLine="0"/>
      </w:pPr>
      <w:r w:rsidRPr="00D8219A">
        <w:rPr>
          <w:lang w:val="es-UY"/>
        </w:rPr>
        <w:t>El 17 de marzo de 2011 la Corte Suprema de Florida confirmó las declaraciones de culpabilidad y las penas. La corte sostuvo:</w:t>
      </w:r>
    </w:p>
    <w:p w14:paraId="6BB35A3F" w14:textId="77777777" w:rsidR="008C0C39" w:rsidRPr="00D8219A" w:rsidRDefault="008C0C39" w:rsidP="008C0C39">
      <w:pPr>
        <w:pStyle w:val="ListParagraph"/>
        <w:rPr>
          <w:rFonts w:asciiTheme="majorHAnsi" w:hAnsiTheme="majorHAnsi"/>
          <w:sz w:val="20"/>
          <w:szCs w:val="20"/>
        </w:rPr>
      </w:pPr>
    </w:p>
    <w:p w14:paraId="5A9A1E11" w14:textId="77777777" w:rsidR="008C0C39" w:rsidRPr="00D8219A" w:rsidRDefault="008C0C39" w:rsidP="008C0C39">
      <w:pPr>
        <w:pStyle w:val="parrafos"/>
        <w:numPr>
          <w:ilvl w:val="0"/>
          <w:numId w:val="0"/>
        </w:numPr>
        <w:ind w:left="360" w:right="360"/>
        <w:rPr>
          <w:sz w:val="18"/>
          <w:szCs w:val="18"/>
          <w:lang w:val="es-UY"/>
        </w:rPr>
      </w:pPr>
      <w:r w:rsidRPr="00D8219A">
        <w:rPr>
          <w:sz w:val="18"/>
          <w:szCs w:val="18"/>
          <w:lang w:val="es-UY"/>
        </w:rPr>
        <w:t xml:space="preserve">Primero, que el Estado </w:t>
      </w:r>
      <w:r w:rsidR="00676797" w:rsidRPr="00D8219A">
        <w:rPr>
          <w:sz w:val="18"/>
          <w:szCs w:val="18"/>
          <w:lang w:val="es-UY"/>
        </w:rPr>
        <w:t>[</w:t>
      </w:r>
      <w:r w:rsidRPr="00D8219A">
        <w:rPr>
          <w:sz w:val="18"/>
          <w:szCs w:val="18"/>
          <w:lang w:val="es-UY"/>
        </w:rPr>
        <w:t>había intro</w:t>
      </w:r>
      <w:r w:rsidR="005C376B" w:rsidRPr="00D8219A">
        <w:rPr>
          <w:sz w:val="18"/>
          <w:szCs w:val="18"/>
          <w:lang w:val="es-UY"/>
        </w:rPr>
        <w:t>ducido</w:t>
      </w:r>
      <w:r w:rsidR="00676797" w:rsidRPr="00D8219A">
        <w:rPr>
          <w:sz w:val="18"/>
          <w:szCs w:val="18"/>
          <w:lang w:val="es-UY"/>
        </w:rPr>
        <w:t>]</w:t>
      </w:r>
      <w:r w:rsidR="005C376B" w:rsidRPr="00D8219A">
        <w:rPr>
          <w:sz w:val="18"/>
          <w:szCs w:val="18"/>
          <w:lang w:val="es-UY"/>
        </w:rPr>
        <w:t xml:space="preserve"> prueba indicial</w:t>
      </w:r>
      <w:r w:rsidR="00222432" w:rsidRPr="00D8219A">
        <w:rPr>
          <w:sz w:val="18"/>
          <w:szCs w:val="18"/>
          <w:lang w:val="es-UY"/>
        </w:rPr>
        <w:t xml:space="preserve"> de un intrincado plan encaminado a crear una coartada, plan que</w:t>
      </w:r>
      <w:r w:rsidR="005C376B" w:rsidRPr="00D8219A">
        <w:rPr>
          <w:sz w:val="18"/>
          <w:szCs w:val="18"/>
          <w:lang w:val="es-UY"/>
        </w:rPr>
        <w:t xml:space="preserve"> </w:t>
      </w:r>
      <w:r w:rsidRPr="00D8219A">
        <w:rPr>
          <w:sz w:val="18"/>
          <w:szCs w:val="18"/>
          <w:lang w:val="es-UY"/>
        </w:rPr>
        <w:t xml:space="preserve">Serrano </w:t>
      </w:r>
      <w:r w:rsidR="00222432" w:rsidRPr="00D8219A">
        <w:rPr>
          <w:sz w:val="18"/>
          <w:szCs w:val="18"/>
          <w:lang w:val="es-UY"/>
        </w:rPr>
        <w:t>[había elaborado y comenzado</w:t>
      </w:r>
      <w:r w:rsidRPr="00D8219A">
        <w:rPr>
          <w:sz w:val="18"/>
          <w:szCs w:val="18"/>
          <w:lang w:val="es-UY"/>
        </w:rPr>
        <w:t xml:space="preserve"> a implementar</w:t>
      </w:r>
      <w:r w:rsidR="00222432" w:rsidRPr="00D8219A">
        <w:rPr>
          <w:sz w:val="18"/>
          <w:szCs w:val="18"/>
          <w:lang w:val="es-UY"/>
        </w:rPr>
        <w:t>] con antelaci</w:t>
      </w:r>
      <w:r w:rsidR="0048165A" w:rsidRPr="00D8219A">
        <w:rPr>
          <w:sz w:val="18"/>
          <w:szCs w:val="18"/>
          <w:lang w:val="es-UY"/>
        </w:rPr>
        <w:t>ón.</w:t>
      </w:r>
    </w:p>
    <w:p w14:paraId="658063B1" w14:textId="77777777" w:rsidR="008C0C39" w:rsidRPr="00D8219A" w:rsidRDefault="008C0C39" w:rsidP="008C0C39">
      <w:pPr>
        <w:pStyle w:val="parrafos"/>
        <w:numPr>
          <w:ilvl w:val="0"/>
          <w:numId w:val="0"/>
        </w:numPr>
        <w:ind w:left="360" w:right="360"/>
        <w:rPr>
          <w:sz w:val="18"/>
          <w:szCs w:val="18"/>
          <w:lang w:val="es-UY"/>
        </w:rPr>
      </w:pPr>
      <w:r w:rsidRPr="00D8219A">
        <w:rPr>
          <w:sz w:val="18"/>
          <w:szCs w:val="18"/>
          <w:lang w:val="es-UY"/>
        </w:rPr>
        <w:t>[…]</w:t>
      </w:r>
    </w:p>
    <w:p w14:paraId="097D5E43" w14:textId="77777777" w:rsidR="008C0C39" w:rsidRPr="00D8219A" w:rsidRDefault="008C0C39" w:rsidP="008C0C39">
      <w:pPr>
        <w:pStyle w:val="parrafos"/>
        <w:numPr>
          <w:ilvl w:val="0"/>
          <w:numId w:val="0"/>
        </w:numPr>
        <w:ind w:left="360" w:right="360"/>
        <w:rPr>
          <w:sz w:val="18"/>
          <w:szCs w:val="18"/>
          <w:lang w:val="es-UY"/>
        </w:rPr>
      </w:pPr>
      <w:r w:rsidRPr="00D8219A">
        <w:rPr>
          <w:sz w:val="18"/>
          <w:szCs w:val="18"/>
          <w:lang w:val="es-UY"/>
        </w:rPr>
        <w:t xml:space="preserve">Segundo, </w:t>
      </w:r>
      <w:r w:rsidR="00676797" w:rsidRPr="00D8219A">
        <w:rPr>
          <w:sz w:val="18"/>
          <w:szCs w:val="18"/>
          <w:lang w:val="es-UY"/>
        </w:rPr>
        <w:t xml:space="preserve">que el Estado [había introducido] </w:t>
      </w:r>
      <w:r w:rsidRPr="00D8219A">
        <w:rPr>
          <w:sz w:val="18"/>
          <w:szCs w:val="18"/>
          <w:lang w:val="es-UY"/>
        </w:rPr>
        <w:t xml:space="preserve">prueba indicial para ubicar a Serrano en Erie en el momento de los </w:t>
      </w:r>
      <w:r w:rsidR="00D556AF" w:rsidRPr="00D8219A">
        <w:rPr>
          <w:sz w:val="18"/>
          <w:szCs w:val="18"/>
          <w:lang w:val="es-UY"/>
        </w:rPr>
        <w:t>asesinatos</w:t>
      </w:r>
      <w:r w:rsidRPr="00D8219A">
        <w:rPr>
          <w:sz w:val="18"/>
          <w:szCs w:val="18"/>
          <w:lang w:val="es-UY"/>
        </w:rPr>
        <w:t>. Específicamente, el Estado p</w:t>
      </w:r>
      <w:r w:rsidR="005C376B" w:rsidRPr="00D8219A">
        <w:rPr>
          <w:sz w:val="18"/>
          <w:szCs w:val="18"/>
          <w:lang w:val="es-UY"/>
        </w:rPr>
        <w:t>resentó pruebas de una teja saca</w:t>
      </w:r>
      <w:r w:rsidRPr="00D8219A">
        <w:rPr>
          <w:sz w:val="18"/>
          <w:szCs w:val="18"/>
          <w:lang w:val="es-UY"/>
        </w:rPr>
        <w:t xml:space="preserve">da </w:t>
      </w:r>
      <w:r w:rsidR="008B6023" w:rsidRPr="00D8219A">
        <w:rPr>
          <w:sz w:val="18"/>
          <w:szCs w:val="18"/>
          <w:lang w:val="es-UY"/>
        </w:rPr>
        <w:t>de</w:t>
      </w:r>
      <w:r w:rsidRPr="00D8219A">
        <w:rPr>
          <w:sz w:val="18"/>
          <w:szCs w:val="18"/>
          <w:lang w:val="es-UY"/>
        </w:rPr>
        <w:t xml:space="preserve">l techo de </w:t>
      </w:r>
      <w:r w:rsidR="0044248F" w:rsidRPr="00D8219A">
        <w:rPr>
          <w:sz w:val="18"/>
          <w:szCs w:val="18"/>
          <w:lang w:val="es-UY"/>
        </w:rPr>
        <w:t xml:space="preserve">la oficina anterior de Serrano; </w:t>
      </w:r>
      <w:r w:rsidRPr="00D8219A">
        <w:rPr>
          <w:sz w:val="18"/>
          <w:szCs w:val="18"/>
          <w:lang w:val="es-UY"/>
        </w:rPr>
        <w:t>testimonio de que Serrano</w:t>
      </w:r>
      <w:r w:rsidR="0044248F" w:rsidRPr="00D8219A">
        <w:rPr>
          <w:sz w:val="18"/>
          <w:szCs w:val="18"/>
          <w:lang w:val="es-UY"/>
        </w:rPr>
        <w:t xml:space="preserve"> solía</w:t>
      </w:r>
      <w:r w:rsidRPr="00D8219A">
        <w:rPr>
          <w:sz w:val="18"/>
          <w:szCs w:val="18"/>
          <w:lang w:val="es-UY"/>
        </w:rPr>
        <w:t xml:space="preserve"> oculta</w:t>
      </w:r>
      <w:r w:rsidR="0044248F" w:rsidRPr="00D8219A">
        <w:rPr>
          <w:sz w:val="18"/>
          <w:szCs w:val="18"/>
          <w:lang w:val="es-UY"/>
        </w:rPr>
        <w:t>r</w:t>
      </w:r>
      <w:r w:rsidRPr="00D8219A">
        <w:rPr>
          <w:sz w:val="18"/>
          <w:szCs w:val="18"/>
          <w:lang w:val="es-UY"/>
        </w:rPr>
        <w:t xml:space="preserve"> cosas en e</w:t>
      </w:r>
      <w:r w:rsidR="0044248F" w:rsidRPr="00D8219A">
        <w:rPr>
          <w:sz w:val="18"/>
          <w:szCs w:val="18"/>
          <w:lang w:val="es-UY"/>
        </w:rPr>
        <w:t xml:space="preserve">l tejado de su oficina anterior; </w:t>
      </w:r>
      <w:r w:rsidRPr="00D8219A">
        <w:rPr>
          <w:sz w:val="18"/>
          <w:szCs w:val="18"/>
          <w:lang w:val="es-UY"/>
        </w:rPr>
        <w:t xml:space="preserve">testimonio de que Serrano habría ocultado cosas en el techo quitando una teja en su oficina, y testimonio de que la impresión de un zapato en una silla debajo de la teja quitada era coincidente con la de un zapato de propiedad de Serrano. El Estado introdujo también un bosquejo </w:t>
      </w:r>
      <w:r w:rsidR="005C376B" w:rsidRPr="00D8219A">
        <w:rPr>
          <w:sz w:val="18"/>
          <w:szCs w:val="18"/>
          <w:lang w:val="es-UY"/>
        </w:rPr>
        <w:t xml:space="preserve">compuesto </w:t>
      </w:r>
      <w:r w:rsidRPr="00D8219A">
        <w:rPr>
          <w:sz w:val="18"/>
          <w:szCs w:val="18"/>
          <w:lang w:val="es-UY"/>
        </w:rPr>
        <w:t xml:space="preserve">de un hombre visto fuera de la escena del crimen próximo al momento </w:t>
      </w:r>
      <w:r w:rsidRPr="00D8219A">
        <w:rPr>
          <w:sz w:val="18"/>
          <w:szCs w:val="18"/>
          <w:lang w:val="es-UY"/>
        </w:rPr>
        <w:lastRenderedPageBreak/>
        <w:t>de los a</w:t>
      </w:r>
      <w:r w:rsidR="005C376B" w:rsidRPr="00D8219A">
        <w:rPr>
          <w:sz w:val="18"/>
          <w:szCs w:val="18"/>
          <w:lang w:val="es-UY"/>
        </w:rPr>
        <w:t>sesinatos. El jurado pudo ver dicho</w:t>
      </w:r>
      <w:r w:rsidRPr="00D8219A">
        <w:rPr>
          <w:sz w:val="18"/>
          <w:szCs w:val="18"/>
          <w:lang w:val="es-UY"/>
        </w:rPr>
        <w:t xml:space="preserve"> bosquejo y compararlo con la</w:t>
      </w:r>
      <w:r w:rsidR="005C376B" w:rsidRPr="00D8219A">
        <w:rPr>
          <w:sz w:val="18"/>
          <w:szCs w:val="18"/>
          <w:lang w:val="es-UY"/>
        </w:rPr>
        <w:t xml:space="preserve"> imagen</w:t>
      </w:r>
      <w:r w:rsidRPr="00D8219A">
        <w:rPr>
          <w:sz w:val="18"/>
          <w:szCs w:val="18"/>
          <w:lang w:val="es-UY"/>
        </w:rPr>
        <w:t xml:space="preserve"> de Serrano el día</w:t>
      </w:r>
      <w:r w:rsidR="005C376B" w:rsidRPr="00D8219A">
        <w:rPr>
          <w:sz w:val="18"/>
          <w:szCs w:val="18"/>
          <w:lang w:val="es-UY"/>
        </w:rPr>
        <w:t xml:space="preserve"> de los asesinatos tal como </w:t>
      </w:r>
      <w:r w:rsidR="0044248F" w:rsidRPr="00D8219A">
        <w:rPr>
          <w:sz w:val="18"/>
          <w:szCs w:val="18"/>
          <w:lang w:val="es-UY"/>
        </w:rPr>
        <w:t>aparecía</w:t>
      </w:r>
      <w:r w:rsidRPr="00D8219A">
        <w:rPr>
          <w:sz w:val="18"/>
          <w:szCs w:val="18"/>
          <w:lang w:val="es-UY"/>
        </w:rPr>
        <w:t xml:space="preserve"> en el video de vigilancia del hotel de Atlanta.</w:t>
      </w:r>
    </w:p>
    <w:p w14:paraId="2995E577" w14:textId="77777777" w:rsidR="008C0C39" w:rsidRPr="00D8219A" w:rsidRDefault="008C0C39" w:rsidP="008C0C39">
      <w:pPr>
        <w:pStyle w:val="parrafos"/>
        <w:numPr>
          <w:ilvl w:val="0"/>
          <w:numId w:val="0"/>
        </w:numPr>
        <w:ind w:left="360" w:right="360"/>
        <w:rPr>
          <w:sz w:val="18"/>
          <w:szCs w:val="18"/>
          <w:lang w:val="es-UY"/>
        </w:rPr>
      </w:pPr>
      <w:r w:rsidRPr="00D8219A">
        <w:rPr>
          <w:sz w:val="18"/>
          <w:szCs w:val="18"/>
          <w:lang w:val="es-UY"/>
        </w:rPr>
        <w:t xml:space="preserve"> […]</w:t>
      </w:r>
    </w:p>
    <w:p w14:paraId="7690D7C0" w14:textId="77777777" w:rsidR="008C0C39" w:rsidRPr="00D8219A" w:rsidRDefault="008C0C39" w:rsidP="008C0C39">
      <w:pPr>
        <w:pStyle w:val="parrafos"/>
        <w:numPr>
          <w:ilvl w:val="0"/>
          <w:numId w:val="0"/>
        </w:numPr>
        <w:ind w:left="360" w:right="360"/>
        <w:rPr>
          <w:sz w:val="18"/>
          <w:szCs w:val="18"/>
          <w:lang w:val="es-UY"/>
        </w:rPr>
      </w:pPr>
      <w:r w:rsidRPr="00D8219A">
        <w:rPr>
          <w:sz w:val="18"/>
          <w:szCs w:val="18"/>
          <w:lang w:val="es-UY"/>
        </w:rPr>
        <w:t>Dada esa prueba sustancial</w:t>
      </w:r>
      <w:r w:rsidR="0044248F" w:rsidRPr="00D8219A">
        <w:rPr>
          <w:sz w:val="18"/>
          <w:szCs w:val="18"/>
          <w:lang w:val="es-UY"/>
        </w:rPr>
        <w:t xml:space="preserve"> comp</w:t>
      </w:r>
      <w:r w:rsidR="0048165A" w:rsidRPr="00D8219A">
        <w:rPr>
          <w:sz w:val="18"/>
          <w:szCs w:val="18"/>
          <w:lang w:val="es-UY"/>
        </w:rPr>
        <w:t>e</w:t>
      </w:r>
      <w:r w:rsidR="0044248F" w:rsidRPr="00D8219A">
        <w:rPr>
          <w:sz w:val="18"/>
          <w:szCs w:val="18"/>
          <w:lang w:val="es-UY"/>
        </w:rPr>
        <w:t xml:space="preserve">tente, </w:t>
      </w:r>
      <w:r w:rsidRPr="00D8219A">
        <w:rPr>
          <w:sz w:val="18"/>
          <w:szCs w:val="18"/>
          <w:lang w:val="es-UY"/>
        </w:rPr>
        <w:t>que respaldaba</w:t>
      </w:r>
      <w:r w:rsidR="005C376B" w:rsidRPr="00D8219A">
        <w:rPr>
          <w:sz w:val="18"/>
          <w:szCs w:val="18"/>
          <w:lang w:val="es-UY"/>
        </w:rPr>
        <w:t xml:space="preserve">, en ausencia de </w:t>
      </w:r>
      <w:r w:rsidR="008B6023" w:rsidRPr="00D8219A">
        <w:rPr>
          <w:sz w:val="18"/>
          <w:szCs w:val="18"/>
          <w:lang w:val="es-UY"/>
        </w:rPr>
        <w:t>toda otra</w:t>
      </w:r>
      <w:r w:rsidR="005C376B" w:rsidRPr="00D8219A">
        <w:rPr>
          <w:sz w:val="18"/>
          <w:szCs w:val="18"/>
          <w:lang w:val="es-UY"/>
        </w:rPr>
        <w:t xml:space="preserve"> inferencia,</w:t>
      </w:r>
      <w:r w:rsidRPr="00D8219A">
        <w:rPr>
          <w:sz w:val="18"/>
          <w:szCs w:val="18"/>
          <w:lang w:val="es-UY"/>
        </w:rPr>
        <w:t xml:space="preserve"> una inferencia de culpabilidad</w:t>
      </w:r>
      <w:r w:rsidR="005C376B" w:rsidRPr="00D8219A">
        <w:rPr>
          <w:sz w:val="18"/>
          <w:szCs w:val="18"/>
          <w:lang w:val="es-UY"/>
        </w:rPr>
        <w:t xml:space="preserve">, </w:t>
      </w:r>
      <w:r w:rsidRPr="00D8219A">
        <w:rPr>
          <w:sz w:val="18"/>
          <w:szCs w:val="18"/>
          <w:lang w:val="es-UY"/>
        </w:rPr>
        <w:t>concluimos que la prueba es suficiente para respaldar</w:t>
      </w:r>
      <w:r w:rsidR="008B6023" w:rsidRPr="00D8219A">
        <w:rPr>
          <w:sz w:val="18"/>
          <w:szCs w:val="18"/>
          <w:lang w:val="es-UY"/>
        </w:rPr>
        <w:t xml:space="preserve"> las sentencias condenatorias impuestas a </w:t>
      </w:r>
      <w:r w:rsidRPr="00D8219A">
        <w:rPr>
          <w:sz w:val="18"/>
          <w:szCs w:val="18"/>
          <w:lang w:val="es-UY"/>
        </w:rPr>
        <w:t>Serrano.</w:t>
      </w:r>
      <w:r w:rsidR="000F21CB" w:rsidRPr="00D8219A">
        <w:rPr>
          <w:sz w:val="18"/>
          <w:szCs w:val="18"/>
          <w:lang w:val="es-UY"/>
        </w:rPr>
        <w:t xml:space="preserve"> El tribunal de primera instancia</w:t>
      </w:r>
      <w:r w:rsidRPr="00D8219A">
        <w:rPr>
          <w:sz w:val="18"/>
          <w:szCs w:val="18"/>
          <w:lang w:val="es-UY"/>
        </w:rPr>
        <w:t xml:space="preserve"> rechazó, como correspondía, la petición de absolución formulada por Serrano.</w:t>
      </w:r>
      <w:r w:rsidRPr="00D8219A">
        <w:rPr>
          <w:rStyle w:val="FootnoteReference"/>
          <w:lang w:val="es-UY"/>
        </w:rPr>
        <w:t xml:space="preserve"> </w:t>
      </w:r>
      <w:r w:rsidRPr="00D8219A">
        <w:rPr>
          <w:rStyle w:val="FootnoteReference"/>
          <w:sz w:val="18"/>
          <w:szCs w:val="18"/>
        </w:rPr>
        <w:footnoteReference w:id="21"/>
      </w:r>
    </w:p>
    <w:p w14:paraId="2DB1D291" w14:textId="77777777" w:rsidR="008C0C39" w:rsidRPr="00D8219A" w:rsidRDefault="008C0C39" w:rsidP="008C0C39">
      <w:pPr>
        <w:pStyle w:val="ListParagraph"/>
        <w:rPr>
          <w:rFonts w:asciiTheme="majorHAnsi" w:hAnsiTheme="majorHAnsi"/>
          <w:sz w:val="20"/>
          <w:szCs w:val="20"/>
          <w:lang w:val="es-UY"/>
        </w:rPr>
      </w:pPr>
    </w:p>
    <w:p w14:paraId="19E7DB38" w14:textId="77777777" w:rsidR="008C0C39" w:rsidRPr="00D8219A" w:rsidRDefault="003424B5" w:rsidP="008C0C39">
      <w:pPr>
        <w:pStyle w:val="parrafos"/>
        <w:ind w:left="0" w:firstLine="0"/>
        <w:rPr>
          <w:lang w:val="es-UY"/>
        </w:rPr>
      </w:pPr>
      <w:r w:rsidRPr="00D8219A">
        <w:rPr>
          <w:lang w:val="es-UY"/>
        </w:rPr>
        <w:t>R</w:t>
      </w:r>
      <w:r w:rsidR="008C0C39" w:rsidRPr="00D8219A">
        <w:rPr>
          <w:lang w:val="es-UY"/>
        </w:rPr>
        <w:t>especto a</w:t>
      </w:r>
      <w:r w:rsidRPr="00D8219A">
        <w:rPr>
          <w:lang w:val="es-UY"/>
        </w:rPr>
        <w:t>l alegato</w:t>
      </w:r>
      <w:r w:rsidR="008C0C39" w:rsidRPr="00D8219A">
        <w:rPr>
          <w:lang w:val="es-UY"/>
        </w:rPr>
        <w:t xml:space="preserve"> de falta de </w:t>
      </w:r>
      <w:r w:rsidRPr="00D8219A">
        <w:rPr>
          <w:lang w:val="es-UY"/>
        </w:rPr>
        <w:t>competencia</w:t>
      </w:r>
      <w:r w:rsidR="008C0C39" w:rsidRPr="00D8219A">
        <w:rPr>
          <w:lang w:val="es-UY"/>
        </w:rPr>
        <w:t xml:space="preserve">, </w:t>
      </w:r>
      <w:r w:rsidRPr="00D8219A">
        <w:rPr>
          <w:lang w:val="es-UY"/>
        </w:rPr>
        <w:t>el tribunal</w:t>
      </w:r>
      <w:r w:rsidR="008C0C39" w:rsidRPr="00D8219A">
        <w:rPr>
          <w:lang w:val="es-UY"/>
        </w:rPr>
        <w:t xml:space="preserve"> confirmó el rechazo de la petición del </w:t>
      </w:r>
      <w:r w:rsidR="001B5C63" w:rsidRPr="00D8219A">
        <w:rPr>
          <w:lang w:val="es-UY"/>
        </w:rPr>
        <w:t>señor</w:t>
      </w:r>
      <w:r w:rsidR="008C0C39" w:rsidRPr="00D8219A">
        <w:rPr>
          <w:lang w:val="es-UY"/>
        </w:rPr>
        <w:t xml:space="preserve"> Serrano de</w:t>
      </w:r>
      <w:r w:rsidRPr="00D8219A">
        <w:rPr>
          <w:lang w:val="es-UY"/>
        </w:rPr>
        <w:t xml:space="preserve"> que se</w:t>
      </w:r>
      <w:r w:rsidR="008C0C39" w:rsidRPr="00D8219A">
        <w:rPr>
          <w:lang w:val="es-UY"/>
        </w:rPr>
        <w:t xml:space="preserve"> declara</w:t>
      </w:r>
      <w:r w:rsidRPr="00D8219A">
        <w:rPr>
          <w:lang w:val="es-UY"/>
        </w:rPr>
        <w:t>ra la</w:t>
      </w:r>
      <w:r w:rsidR="008C0C39" w:rsidRPr="00D8219A">
        <w:rPr>
          <w:lang w:val="es-UY"/>
        </w:rPr>
        <w:t xml:space="preserve"> falta de </w:t>
      </w:r>
      <w:r w:rsidRPr="00D8219A">
        <w:rPr>
          <w:lang w:val="es-UY"/>
        </w:rPr>
        <w:t xml:space="preserve">competencia y se desestimara </w:t>
      </w:r>
      <w:r w:rsidR="008C0C39" w:rsidRPr="00D8219A">
        <w:rPr>
          <w:lang w:val="es-UY"/>
        </w:rPr>
        <w:t>la sentencia. La corte sostuvo:</w:t>
      </w:r>
      <w:r w:rsidR="008B6023" w:rsidRPr="00D8219A">
        <w:rPr>
          <w:lang w:val="es-UY"/>
        </w:rPr>
        <w:t xml:space="preserve"> </w:t>
      </w:r>
    </w:p>
    <w:p w14:paraId="6ED1C550" w14:textId="77777777" w:rsidR="008C0C39" w:rsidRPr="00D8219A" w:rsidRDefault="008C0C39" w:rsidP="008C0C39">
      <w:pPr>
        <w:pStyle w:val="parrafos"/>
        <w:numPr>
          <w:ilvl w:val="0"/>
          <w:numId w:val="0"/>
        </w:numPr>
        <w:rPr>
          <w:lang w:val="es-UY"/>
        </w:rPr>
      </w:pPr>
      <w:r w:rsidRPr="00D8219A">
        <w:rPr>
          <w:lang w:val="es-UY"/>
        </w:rPr>
        <w:t xml:space="preserve"> </w:t>
      </w:r>
    </w:p>
    <w:p w14:paraId="008B8354" w14:textId="77777777" w:rsidR="008C0C39" w:rsidRPr="00D8219A" w:rsidRDefault="008C0C39" w:rsidP="008C0C39">
      <w:pPr>
        <w:pStyle w:val="parrafos"/>
        <w:numPr>
          <w:ilvl w:val="0"/>
          <w:numId w:val="0"/>
        </w:numPr>
        <w:ind w:left="360" w:right="360"/>
        <w:rPr>
          <w:sz w:val="18"/>
          <w:szCs w:val="18"/>
          <w:lang w:val="es-UY"/>
        </w:rPr>
      </w:pPr>
      <w:r w:rsidRPr="00D8219A">
        <w:rPr>
          <w:sz w:val="18"/>
          <w:szCs w:val="18"/>
          <w:lang w:val="es-UY"/>
        </w:rPr>
        <w:t>En Estados Unidos v. Alvarez-Machai</w:t>
      </w:r>
      <w:r w:rsidR="00C7659F" w:rsidRPr="00D8219A">
        <w:rPr>
          <w:sz w:val="18"/>
          <w:szCs w:val="18"/>
          <w:lang w:val="es-UY"/>
        </w:rPr>
        <w:t>n, 504 U.S. 655, 657 (1992),</w:t>
      </w:r>
      <w:r w:rsidRPr="00D8219A">
        <w:rPr>
          <w:sz w:val="18"/>
          <w:szCs w:val="18"/>
          <w:lang w:val="es-UY"/>
        </w:rPr>
        <w:t xml:space="preserve"> la Corte Suprema de </w:t>
      </w:r>
      <w:r w:rsidR="00616685" w:rsidRPr="00D8219A">
        <w:rPr>
          <w:sz w:val="18"/>
          <w:szCs w:val="18"/>
          <w:lang w:val="es-UY"/>
        </w:rPr>
        <w:t>Estados Unidos</w:t>
      </w:r>
      <w:r w:rsidRPr="00D8219A">
        <w:rPr>
          <w:sz w:val="18"/>
          <w:szCs w:val="18"/>
          <w:lang w:val="es-UY"/>
        </w:rPr>
        <w:t xml:space="preserve"> declar</w:t>
      </w:r>
      <w:r w:rsidR="00264DD2" w:rsidRPr="00D8219A">
        <w:rPr>
          <w:sz w:val="18"/>
          <w:szCs w:val="18"/>
          <w:lang w:val="es-UY"/>
        </w:rPr>
        <w:t>ó</w:t>
      </w:r>
      <w:r w:rsidRPr="00D8219A">
        <w:rPr>
          <w:sz w:val="18"/>
          <w:szCs w:val="18"/>
          <w:lang w:val="es-UY"/>
        </w:rPr>
        <w:t xml:space="preserve"> que un acusado secuestrado y llevado a Estados Unidos desde un país con el cual Estados Unidos tenga un tratado de extradición [no] adquiere por ello […] una defensa con respecto a la competencia de los tribunales de ese país.”</w:t>
      </w:r>
      <w:r w:rsidRPr="00D8219A">
        <w:rPr>
          <w:rStyle w:val="FootnoteReference"/>
          <w:lang w:val="es-UY"/>
        </w:rPr>
        <w:t xml:space="preserve"> </w:t>
      </w:r>
      <w:r w:rsidRPr="00D8219A">
        <w:rPr>
          <w:rStyle w:val="FootnoteReference"/>
          <w:sz w:val="18"/>
          <w:szCs w:val="18"/>
        </w:rPr>
        <w:footnoteReference w:id="22"/>
      </w:r>
    </w:p>
    <w:p w14:paraId="0339EB56" w14:textId="77777777" w:rsidR="008C0C39" w:rsidRPr="00D8219A" w:rsidRDefault="008C0C39" w:rsidP="008C0C39">
      <w:pPr>
        <w:pStyle w:val="parrafos"/>
        <w:numPr>
          <w:ilvl w:val="0"/>
          <w:numId w:val="0"/>
        </w:numPr>
        <w:rPr>
          <w:lang w:val="es-UY"/>
        </w:rPr>
      </w:pPr>
    </w:p>
    <w:p w14:paraId="6005F019" w14:textId="77777777" w:rsidR="008C0C39" w:rsidRPr="00D8219A" w:rsidRDefault="008C0C39" w:rsidP="008C0C39">
      <w:pPr>
        <w:pStyle w:val="parrafos"/>
        <w:ind w:left="0" w:firstLine="0"/>
        <w:rPr>
          <w:lang w:val="es-UY"/>
        </w:rPr>
      </w:pPr>
      <w:r w:rsidRPr="00D8219A">
        <w:rPr>
          <w:lang w:val="es-UY"/>
        </w:rPr>
        <w:t xml:space="preserve">El tribunal citó también la sentencia del caso Frisbie v. Collins, en que la Corte Suprema de </w:t>
      </w:r>
      <w:r w:rsidR="00616685" w:rsidRPr="00D8219A">
        <w:rPr>
          <w:lang w:val="es-UY"/>
        </w:rPr>
        <w:t>Estados Unidos</w:t>
      </w:r>
      <w:r w:rsidRPr="00D8219A">
        <w:rPr>
          <w:lang w:val="es-UY"/>
        </w:rPr>
        <w:t xml:space="preserve"> </w:t>
      </w:r>
      <w:r w:rsidR="00C26C73" w:rsidRPr="00D8219A">
        <w:rPr>
          <w:lang w:val="es-UY"/>
        </w:rPr>
        <w:t>declar</w:t>
      </w:r>
      <w:r w:rsidRPr="00D8219A">
        <w:rPr>
          <w:lang w:val="es-UY"/>
        </w:rPr>
        <w:t>ó lo siguiente: “[n]inguna disposición de la Constitución impone a un tribunal la obligación de permitir a una persona culpable eludir la justicia por</w:t>
      </w:r>
      <w:r w:rsidR="00D556AF" w:rsidRPr="00D8219A">
        <w:rPr>
          <w:lang w:val="es-UY"/>
        </w:rPr>
        <w:t xml:space="preserve"> el hecho de </w:t>
      </w:r>
      <w:r w:rsidRPr="00D8219A">
        <w:rPr>
          <w:lang w:val="es-UY"/>
        </w:rPr>
        <w:t>que haya sido llevada a juicio contra su voluntad.”</w:t>
      </w:r>
      <w:r w:rsidRPr="00D8219A">
        <w:rPr>
          <w:rStyle w:val="FootnoteReference"/>
        </w:rPr>
        <w:footnoteReference w:id="23"/>
      </w:r>
    </w:p>
    <w:p w14:paraId="5ED8DAB6" w14:textId="77777777" w:rsidR="008C0C39" w:rsidRPr="00D8219A" w:rsidRDefault="008C0C39" w:rsidP="008C0C39">
      <w:pPr>
        <w:pStyle w:val="parrafos"/>
        <w:numPr>
          <w:ilvl w:val="0"/>
          <w:numId w:val="0"/>
        </w:numPr>
        <w:rPr>
          <w:lang w:val="es-UY"/>
        </w:rPr>
      </w:pPr>
    </w:p>
    <w:p w14:paraId="404B71BA" w14:textId="77777777" w:rsidR="008C0C39" w:rsidRPr="00D8219A" w:rsidRDefault="008C0C39" w:rsidP="008C0C39">
      <w:pPr>
        <w:pStyle w:val="parrafos"/>
        <w:ind w:left="0" w:firstLine="0"/>
        <w:rPr>
          <w:lang w:val="es-UY"/>
        </w:rPr>
      </w:pPr>
      <w:r w:rsidRPr="00D8219A">
        <w:rPr>
          <w:lang w:val="es-UY"/>
        </w:rPr>
        <w:t xml:space="preserve">El 13 de junio de 2011 el </w:t>
      </w:r>
      <w:r w:rsidR="001B5C63" w:rsidRPr="00D8219A">
        <w:rPr>
          <w:lang w:val="es-UY"/>
        </w:rPr>
        <w:t>señor</w:t>
      </w:r>
      <w:r w:rsidRPr="00D8219A">
        <w:rPr>
          <w:lang w:val="es-UY"/>
        </w:rPr>
        <w:t xml:space="preserve"> Serrano presentó una petición de reexamen de la causa, que fue rechazada el 13 de junio de 2011. El 5 de diciembre de 2011 la Corte Suprema de </w:t>
      </w:r>
      <w:r w:rsidR="00616685" w:rsidRPr="00D8219A">
        <w:rPr>
          <w:lang w:val="es-UY"/>
        </w:rPr>
        <w:t>Estados Unidos</w:t>
      </w:r>
      <w:r w:rsidRPr="00D8219A">
        <w:rPr>
          <w:lang w:val="es-UY"/>
        </w:rPr>
        <w:t xml:space="preserve"> rechazó el recurso de </w:t>
      </w:r>
      <w:r w:rsidR="002378D9" w:rsidRPr="00D8219A">
        <w:rPr>
          <w:lang w:val="es-UY"/>
        </w:rPr>
        <w:t>certiorari</w:t>
      </w:r>
      <w:r w:rsidRPr="00D8219A">
        <w:rPr>
          <w:lang w:val="es-UY"/>
        </w:rPr>
        <w:t>.</w:t>
      </w:r>
      <w:r w:rsidRPr="00D8219A">
        <w:rPr>
          <w:rStyle w:val="FootnoteReference"/>
        </w:rPr>
        <w:footnoteReference w:id="24"/>
      </w:r>
      <w:r w:rsidRPr="00D8219A">
        <w:rPr>
          <w:lang w:val="es-UY"/>
        </w:rPr>
        <w:t xml:space="preserve"> </w:t>
      </w:r>
    </w:p>
    <w:p w14:paraId="2956BED8" w14:textId="77777777" w:rsidR="008C0C39" w:rsidRPr="00D8219A" w:rsidRDefault="008C0C39" w:rsidP="00C243B4">
      <w:pPr>
        <w:pStyle w:val="Heading2"/>
        <w:numPr>
          <w:ilvl w:val="0"/>
          <w:numId w:val="59"/>
        </w:numPr>
        <w:tabs>
          <w:tab w:val="left" w:pos="360"/>
        </w:tabs>
        <w:ind w:left="360"/>
        <w:rPr>
          <w:bCs w:val="0"/>
          <w:color w:val="auto"/>
          <w:sz w:val="20"/>
          <w:szCs w:val="20"/>
          <w:lang w:val="es-UY"/>
        </w:rPr>
      </w:pPr>
      <w:bookmarkStart w:id="15" w:name="_Toc69212245"/>
      <w:r w:rsidRPr="00D8219A">
        <w:rPr>
          <w:bCs w:val="0"/>
          <w:color w:val="auto"/>
          <w:sz w:val="20"/>
          <w:szCs w:val="20"/>
          <w:lang w:val="es-UY"/>
        </w:rPr>
        <w:t xml:space="preserve">Procedimientos posteriores a la </w:t>
      </w:r>
      <w:r w:rsidR="008B6023" w:rsidRPr="00D8219A">
        <w:rPr>
          <w:bCs w:val="0"/>
          <w:color w:val="auto"/>
          <w:sz w:val="20"/>
          <w:szCs w:val="20"/>
          <w:lang w:val="es-UY"/>
        </w:rPr>
        <w:t>condena</w:t>
      </w:r>
      <w:bookmarkEnd w:id="15"/>
    </w:p>
    <w:p w14:paraId="7FE428E0" w14:textId="77777777" w:rsidR="008C0C39" w:rsidRPr="00D8219A" w:rsidRDefault="008C0C39" w:rsidP="008C0C39">
      <w:pPr>
        <w:pStyle w:val="ListParagraph"/>
        <w:tabs>
          <w:tab w:val="left" w:pos="360"/>
        </w:tabs>
        <w:ind w:left="0"/>
        <w:jc w:val="both"/>
        <w:rPr>
          <w:rFonts w:asciiTheme="majorHAnsi" w:hAnsiTheme="majorHAnsi"/>
          <w:b/>
          <w:color w:val="auto"/>
          <w:sz w:val="20"/>
          <w:szCs w:val="20"/>
          <w:lang w:val="es-UY"/>
        </w:rPr>
      </w:pPr>
    </w:p>
    <w:p w14:paraId="6F01135B" w14:textId="77777777" w:rsidR="008C0C39" w:rsidRPr="00D8219A" w:rsidRDefault="008C0C39" w:rsidP="008C0C39">
      <w:pPr>
        <w:pStyle w:val="parrafos"/>
        <w:ind w:left="0" w:firstLine="0"/>
        <w:rPr>
          <w:lang w:val="es-UY"/>
        </w:rPr>
      </w:pPr>
      <w:r w:rsidRPr="00D8219A">
        <w:rPr>
          <w:lang w:val="es-UY"/>
        </w:rPr>
        <w:t>El</w:t>
      </w:r>
      <w:r w:rsidR="008A73DE" w:rsidRPr="00D8219A">
        <w:rPr>
          <w:lang w:val="es-UY"/>
        </w:rPr>
        <w:t xml:space="preserve"> 21 de noviembre de 2012</w:t>
      </w:r>
      <w:r w:rsidR="00366DA0" w:rsidRPr="00D8219A">
        <w:rPr>
          <w:lang w:val="es-UY"/>
        </w:rPr>
        <w:t xml:space="preserve"> el</w:t>
      </w:r>
      <w:r w:rsidRPr="00D8219A">
        <w:rPr>
          <w:lang w:val="es-UY"/>
        </w:rPr>
        <w:t xml:space="preserve"> </w:t>
      </w:r>
      <w:r w:rsidR="001B5C63" w:rsidRPr="00D8219A">
        <w:rPr>
          <w:lang w:val="es-UY"/>
        </w:rPr>
        <w:t>señor</w:t>
      </w:r>
      <w:r w:rsidRPr="00D8219A">
        <w:rPr>
          <w:lang w:val="es-UY"/>
        </w:rPr>
        <w:t xml:space="preserve"> Serrano presentó una “Petición inicial de amparo posterior a la </w:t>
      </w:r>
      <w:r w:rsidR="008B6023" w:rsidRPr="00D8219A">
        <w:rPr>
          <w:lang w:val="es-UY"/>
        </w:rPr>
        <w:t>condena</w:t>
      </w:r>
      <w:r w:rsidRPr="00D8219A">
        <w:rPr>
          <w:lang w:val="es-UY"/>
        </w:rPr>
        <w:t xml:space="preserve"> y un Memorando de Derecho adjunto”, así como cinco peticiones enmendadas entre el 3 de julio de 2013 y </w:t>
      </w:r>
      <w:r w:rsidR="00D556AF" w:rsidRPr="00D8219A">
        <w:rPr>
          <w:lang w:val="es-UY"/>
        </w:rPr>
        <w:t>el</w:t>
      </w:r>
      <w:r w:rsidRPr="00D8219A">
        <w:rPr>
          <w:lang w:val="es-UY"/>
        </w:rPr>
        <w:t xml:space="preserve"> 11 de abril de 2014. Invocó once causales de amparo con numerosas peticiones accesorias. La petición fue rechazada el 29 de diciembre de 2014.</w:t>
      </w:r>
      <w:r w:rsidRPr="00D8219A">
        <w:rPr>
          <w:rStyle w:val="FootnoteReference"/>
        </w:rPr>
        <w:footnoteReference w:id="25"/>
      </w:r>
    </w:p>
    <w:p w14:paraId="17507F2D" w14:textId="77777777" w:rsidR="008C0C39" w:rsidRPr="00D8219A" w:rsidRDefault="008C0C39" w:rsidP="008C0C39">
      <w:pPr>
        <w:pStyle w:val="parrafos"/>
        <w:numPr>
          <w:ilvl w:val="0"/>
          <w:numId w:val="0"/>
        </w:numPr>
        <w:rPr>
          <w:lang w:val="es-UY"/>
        </w:rPr>
      </w:pPr>
    </w:p>
    <w:p w14:paraId="062B913B" w14:textId="77777777" w:rsidR="008C0C39" w:rsidRPr="00D8219A" w:rsidRDefault="008B6023" w:rsidP="00F159FD">
      <w:pPr>
        <w:pStyle w:val="parrafos"/>
        <w:ind w:left="0" w:firstLine="0"/>
        <w:rPr>
          <w:lang w:val="es-UY"/>
        </w:rPr>
      </w:pPr>
      <w:r w:rsidRPr="00D8219A">
        <w:rPr>
          <w:lang w:val="es-UY"/>
        </w:rPr>
        <w:t xml:space="preserve">En su petición </w:t>
      </w:r>
      <w:r w:rsidR="008C0C39" w:rsidRPr="00D8219A">
        <w:rPr>
          <w:lang w:val="es-UY"/>
        </w:rPr>
        <w:t xml:space="preserve">el </w:t>
      </w:r>
      <w:r w:rsidR="001B5C63" w:rsidRPr="00D8219A">
        <w:rPr>
          <w:lang w:val="es-UY"/>
        </w:rPr>
        <w:t>señor</w:t>
      </w:r>
      <w:r w:rsidR="008C0C39" w:rsidRPr="00D8219A">
        <w:rPr>
          <w:lang w:val="es-UY"/>
        </w:rPr>
        <w:t xml:space="preserve"> Serrano alegó, entre otras cos</w:t>
      </w:r>
      <w:r w:rsidR="00CA035B" w:rsidRPr="00D8219A">
        <w:rPr>
          <w:lang w:val="es-UY"/>
        </w:rPr>
        <w:t xml:space="preserve">as, ineficaz asistencia letrada, </w:t>
      </w:r>
      <w:r w:rsidR="00801883" w:rsidRPr="00D8219A">
        <w:rPr>
          <w:lang w:val="es-UY"/>
        </w:rPr>
        <w:t xml:space="preserve">consistente </w:t>
      </w:r>
      <w:r w:rsidRPr="00D8219A">
        <w:rPr>
          <w:lang w:val="es-UY"/>
        </w:rPr>
        <w:t>en no haber</w:t>
      </w:r>
      <w:r w:rsidR="00D866B1" w:rsidRPr="00D8219A">
        <w:rPr>
          <w:lang w:val="es-UY"/>
        </w:rPr>
        <w:t>se</w:t>
      </w:r>
      <w:r w:rsidRPr="00D8219A">
        <w:rPr>
          <w:lang w:val="es-UY"/>
        </w:rPr>
        <w:t xml:space="preserve"> objetado </w:t>
      </w:r>
      <w:r w:rsidR="008C0C39" w:rsidRPr="00D8219A">
        <w:rPr>
          <w:lang w:val="es-UY"/>
        </w:rPr>
        <w:t>la admisión de</w:t>
      </w:r>
      <w:r w:rsidRPr="00D8219A">
        <w:rPr>
          <w:lang w:val="es-UY"/>
        </w:rPr>
        <w:t xml:space="preserve"> la</w:t>
      </w:r>
      <w:r w:rsidR="008C0C39" w:rsidRPr="00D8219A">
        <w:rPr>
          <w:lang w:val="es-UY"/>
        </w:rPr>
        <w:t xml:space="preserve"> declaración de un testigo de la acusación</w:t>
      </w:r>
      <w:r w:rsidR="00801883" w:rsidRPr="00D8219A">
        <w:rPr>
          <w:lang w:val="es-UY"/>
        </w:rPr>
        <w:t xml:space="preserve"> </w:t>
      </w:r>
      <w:r w:rsidR="00297619" w:rsidRPr="00D8219A">
        <w:rPr>
          <w:lang w:val="es-UY"/>
        </w:rPr>
        <w:t>ni los</w:t>
      </w:r>
      <w:r w:rsidR="008C0C39" w:rsidRPr="00D8219A">
        <w:rPr>
          <w:lang w:val="es-UY"/>
        </w:rPr>
        <w:t xml:space="preserve"> impropios comentarios del Fiscal d</w:t>
      </w:r>
      <w:r w:rsidR="00801883" w:rsidRPr="00D8219A">
        <w:rPr>
          <w:lang w:val="es-UY"/>
        </w:rPr>
        <w:t xml:space="preserve">urante los alegatos finales; </w:t>
      </w:r>
      <w:r w:rsidR="008C0C39" w:rsidRPr="00D8219A">
        <w:rPr>
          <w:lang w:val="es-UY"/>
        </w:rPr>
        <w:t>omisión de presentar una petición previa al juicio s</w:t>
      </w:r>
      <w:r w:rsidR="00D36D86" w:rsidRPr="00D8219A">
        <w:rPr>
          <w:lang w:val="es-UY"/>
        </w:rPr>
        <w:t>olicitando</w:t>
      </w:r>
      <w:r w:rsidR="00D866B1" w:rsidRPr="00D8219A">
        <w:rPr>
          <w:lang w:val="es-UY"/>
        </w:rPr>
        <w:t xml:space="preserve"> la realización de </w:t>
      </w:r>
      <w:r w:rsidR="00D36D86" w:rsidRPr="00D8219A">
        <w:rPr>
          <w:lang w:val="es-UY"/>
        </w:rPr>
        <w:t xml:space="preserve">una prueba de ADN en </w:t>
      </w:r>
      <w:r w:rsidR="008C0C39" w:rsidRPr="00D8219A">
        <w:rPr>
          <w:lang w:val="es-UY"/>
        </w:rPr>
        <w:t>un guante de plástico presuntamente dejado por el p</w:t>
      </w:r>
      <w:r w:rsidR="00CA035B" w:rsidRPr="00D8219A">
        <w:rPr>
          <w:lang w:val="es-UY"/>
        </w:rPr>
        <w:t>erpetrador del crimen, y om</w:t>
      </w:r>
      <w:r w:rsidR="006C0F7F" w:rsidRPr="00D8219A">
        <w:rPr>
          <w:lang w:val="es-UY"/>
        </w:rPr>
        <w:t>i</w:t>
      </w:r>
      <w:r w:rsidR="00CA035B" w:rsidRPr="00D8219A">
        <w:rPr>
          <w:lang w:val="es-UY"/>
        </w:rPr>
        <w:t>s</w:t>
      </w:r>
      <w:r w:rsidR="008C0C39" w:rsidRPr="00D8219A">
        <w:rPr>
          <w:lang w:val="es-UY"/>
        </w:rPr>
        <w:t xml:space="preserve">ión de presentar </w:t>
      </w:r>
      <w:r w:rsidR="00C5220A" w:rsidRPr="00D8219A">
        <w:rPr>
          <w:lang w:val="es-UY"/>
        </w:rPr>
        <w:t>prueba testimonial</w:t>
      </w:r>
      <w:r w:rsidR="008C0C39" w:rsidRPr="00D8219A">
        <w:rPr>
          <w:lang w:val="es-UY"/>
        </w:rPr>
        <w:t xml:space="preserve"> disponible de que el vuelo de Tampa a Atlanta en que el Estado admitió que el </w:t>
      </w:r>
      <w:r w:rsidR="001B5C63" w:rsidRPr="00D8219A">
        <w:rPr>
          <w:lang w:val="es-UY"/>
        </w:rPr>
        <w:t>señor</w:t>
      </w:r>
      <w:r w:rsidR="008C0C39" w:rsidRPr="00D8219A">
        <w:rPr>
          <w:lang w:val="es-UY"/>
        </w:rPr>
        <w:t xml:space="preserve"> Serrano</w:t>
      </w:r>
      <w:r w:rsidR="00A23D80" w:rsidRPr="00D8219A">
        <w:rPr>
          <w:lang w:val="es-UY"/>
        </w:rPr>
        <w:t xml:space="preserve"> fue un pasajero,</w:t>
      </w:r>
      <w:r w:rsidR="008C0C39" w:rsidRPr="00D8219A">
        <w:rPr>
          <w:lang w:val="es-UY"/>
        </w:rPr>
        <w:t xml:space="preserve"> llegó a las 9:55 p.m. </w:t>
      </w:r>
      <w:r w:rsidR="00A23D80" w:rsidRPr="00D8219A">
        <w:rPr>
          <w:lang w:val="es-UY"/>
        </w:rPr>
        <w:t>La corte no concluyó</w:t>
      </w:r>
      <w:r w:rsidR="008C0C39" w:rsidRPr="00D8219A">
        <w:rPr>
          <w:lang w:val="es-UY"/>
        </w:rPr>
        <w:t xml:space="preserve"> que el desempeño de los abogados </w:t>
      </w:r>
      <w:r w:rsidR="00A23D80" w:rsidRPr="00D8219A">
        <w:rPr>
          <w:lang w:val="es-UY"/>
        </w:rPr>
        <w:t>no hubiera alcanzado</w:t>
      </w:r>
      <w:r w:rsidR="008C0C39" w:rsidRPr="00D8219A">
        <w:rPr>
          <w:lang w:val="es-UY"/>
        </w:rPr>
        <w:t xml:space="preserve"> un estándar objetivo de razonabilidad y rechazó todas las peticiones secundarias. Con respecto a la prueba de ADN, la corte concluyó que el abogado actu</w:t>
      </w:r>
      <w:r w:rsidR="005A500F" w:rsidRPr="00D8219A">
        <w:rPr>
          <w:lang w:val="es-UY"/>
        </w:rPr>
        <w:t>ante</w:t>
      </w:r>
      <w:r w:rsidR="008C0C39" w:rsidRPr="00D8219A">
        <w:rPr>
          <w:lang w:val="es-UY"/>
        </w:rPr>
        <w:t xml:space="preserve"> en primera instancia sabía que no existían pruebas de ADN que vincularan al </w:t>
      </w:r>
      <w:r w:rsidR="001B5C63" w:rsidRPr="00D8219A">
        <w:rPr>
          <w:lang w:val="es-UY"/>
        </w:rPr>
        <w:t>señor</w:t>
      </w:r>
      <w:r w:rsidR="008C0C39" w:rsidRPr="00D8219A">
        <w:rPr>
          <w:lang w:val="es-UY"/>
        </w:rPr>
        <w:t xml:space="preserve"> Serr</w:t>
      </w:r>
      <w:r w:rsidR="006C0F7F" w:rsidRPr="00D8219A">
        <w:rPr>
          <w:lang w:val="es-UY"/>
        </w:rPr>
        <w:t>a</w:t>
      </w:r>
      <w:r w:rsidR="008C0C39" w:rsidRPr="00D8219A">
        <w:rPr>
          <w:lang w:val="es-UY"/>
        </w:rPr>
        <w:t>no con los asesinatos y por táctica no quiso</w:t>
      </w:r>
      <w:r w:rsidR="00CA035B" w:rsidRPr="00D8219A">
        <w:rPr>
          <w:lang w:val="es-UY"/>
        </w:rPr>
        <w:t xml:space="preserve"> promover la realización de exá</w:t>
      </w:r>
      <w:r w:rsidR="008C0C39" w:rsidRPr="00D8219A">
        <w:rPr>
          <w:lang w:val="es-UY"/>
        </w:rPr>
        <w:t>menes adici</w:t>
      </w:r>
      <w:r w:rsidR="005A500F" w:rsidRPr="00D8219A">
        <w:rPr>
          <w:lang w:val="es-UY"/>
        </w:rPr>
        <w:t xml:space="preserve">onales en el guante por temor a </w:t>
      </w:r>
      <w:r w:rsidR="008C0C39" w:rsidRPr="00D8219A">
        <w:rPr>
          <w:lang w:val="es-UY"/>
        </w:rPr>
        <w:t xml:space="preserve">que esos exámenes adicionales pudieran implicar al </w:t>
      </w:r>
      <w:r w:rsidR="001B5C63" w:rsidRPr="00D8219A">
        <w:rPr>
          <w:lang w:val="es-UY"/>
        </w:rPr>
        <w:t>señor</w:t>
      </w:r>
      <w:r w:rsidR="008C0C39" w:rsidRPr="00D8219A">
        <w:rPr>
          <w:lang w:val="es-UY"/>
        </w:rPr>
        <w:t xml:space="preserve"> Serrano.</w:t>
      </w:r>
    </w:p>
    <w:p w14:paraId="506F3A88" w14:textId="77777777" w:rsidR="008C0C39" w:rsidRPr="00D8219A" w:rsidRDefault="008C0C39" w:rsidP="008C0C39">
      <w:pPr>
        <w:pStyle w:val="ListParagraph"/>
        <w:rPr>
          <w:rFonts w:asciiTheme="majorHAnsi" w:hAnsiTheme="majorHAnsi"/>
          <w:lang w:val="es-UY"/>
        </w:rPr>
      </w:pPr>
    </w:p>
    <w:p w14:paraId="562552CA" w14:textId="77777777" w:rsidR="008C0C39" w:rsidRPr="00D8219A" w:rsidRDefault="00CA035B" w:rsidP="008C0C39">
      <w:pPr>
        <w:pStyle w:val="parrafos"/>
        <w:ind w:left="0" w:firstLine="0"/>
        <w:rPr>
          <w:lang w:val="es-UY"/>
        </w:rPr>
      </w:pPr>
      <w:r w:rsidRPr="00D8219A">
        <w:rPr>
          <w:lang w:val="es-UY"/>
        </w:rPr>
        <w:t xml:space="preserve"> La defensa</w:t>
      </w:r>
      <w:r w:rsidR="008C0C39" w:rsidRPr="00D8219A">
        <w:rPr>
          <w:lang w:val="es-UY"/>
        </w:rPr>
        <w:t xml:space="preserve"> del </w:t>
      </w:r>
      <w:r w:rsidR="001B5C63" w:rsidRPr="00D8219A">
        <w:rPr>
          <w:lang w:val="es-UY"/>
        </w:rPr>
        <w:t>señor</w:t>
      </w:r>
      <w:r w:rsidR="008C0C39" w:rsidRPr="00D8219A">
        <w:rPr>
          <w:lang w:val="es-UY"/>
        </w:rPr>
        <w:t xml:space="preserve"> Serrano</w:t>
      </w:r>
      <w:r w:rsidR="00D36D86" w:rsidRPr="00D8219A">
        <w:rPr>
          <w:lang w:val="es-UY"/>
        </w:rPr>
        <w:t xml:space="preserve"> también alegó que la F</w:t>
      </w:r>
      <w:r w:rsidR="008C0C39" w:rsidRPr="00D8219A">
        <w:rPr>
          <w:lang w:val="es-UY"/>
        </w:rPr>
        <w:t xml:space="preserve">iscalía había ocultado prueba exculpatoria, tal como la </w:t>
      </w:r>
      <w:r w:rsidR="00366DA0" w:rsidRPr="00D8219A">
        <w:rPr>
          <w:lang w:val="es-UY"/>
        </w:rPr>
        <w:t xml:space="preserve">garantía </w:t>
      </w:r>
      <w:r w:rsidR="008C0C39" w:rsidRPr="00D8219A">
        <w:rPr>
          <w:lang w:val="es-UY"/>
        </w:rPr>
        <w:t xml:space="preserve">dada por el Gobierno de </w:t>
      </w:r>
      <w:r w:rsidR="00616685" w:rsidRPr="00D8219A">
        <w:rPr>
          <w:lang w:val="es-UY"/>
        </w:rPr>
        <w:t>Estados Unidos</w:t>
      </w:r>
      <w:r w:rsidR="008C0C39" w:rsidRPr="00D8219A">
        <w:rPr>
          <w:lang w:val="es-UY"/>
        </w:rPr>
        <w:t xml:space="preserve"> de que no se pediría la imposición de la pena de muerte si el </w:t>
      </w:r>
      <w:r w:rsidR="001B5C63" w:rsidRPr="00D8219A">
        <w:rPr>
          <w:lang w:val="es-UY"/>
        </w:rPr>
        <w:t>señor</w:t>
      </w:r>
      <w:r w:rsidR="008C0C39" w:rsidRPr="00D8219A">
        <w:rPr>
          <w:lang w:val="es-UY"/>
        </w:rPr>
        <w:t xml:space="preserve"> Serrano fuera extraditado. La corte rechazó esa petición basándose en el hecho de que</w:t>
      </w:r>
      <w:r w:rsidR="00975633" w:rsidRPr="00D8219A">
        <w:rPr>
          <w:lang w:val="es-UY"/>
        </w:rPr>
        <w:t xml:space="preserve"> conforme a la legislación de </w:t>
      </w:r>
      <w:r w:rsidR="00D556AF" w:rsidRPr="00D8219A">
        <w:rPr>
          <w:lang w:val="es-UY"/>
        </w:rPr>
        <w:t>Florida la</w:t>
      </w:r>
      <w:r w:rsidR="008C0C39" w:rsidRPr="00D8219A">
        <w:rPr>
          <w:lang w:val="es-UY"/>
        </w:rPr>
        <w:t xml:space="preserve"> información sería inadmisib</w:t>
      </w:r>
      <w:r w:rsidR="00546C60" w:rsidRPr="00D8219A">
        <w:rPr>
          <w:lang w:val="es-UY"/>
        </w:rPr>
        <w:t>le como circunstancia atenuante</w:t>
      </w:r>
      <w:r w:rsidR="00975633" w:rsidRPr="00D8219A">
        <w:rPr>
          <w:lang w:val="es-UY"/>
        </w:rPr>
        <w:t xml:space="preserve">. </w:t>
      </w:r>
      <w:r w:rsidR="008C0C39" w:rsidRPr="00D8219A">
        <w:rPr>
          <w:lang w:val="es-UY"/>
        </w:rPr>
        <w:t>La corte sostuvo también que la prueba prese</w:t>
      </w:r>
      <w:r w:rsidR="00546C60" w:rsidRPr="00D8219A">
        <w:rPr>
          <w:lang w:val="es-UY"/>
        </w:rPr>
        <w:t xml:space="preserve">ntada </w:t>
      </w:r>
      <w:r w:rsidR="008C0C39" w:rsidRPr="00D8219A">
        <w:rPr>
          <w:lang w:val="es-UY"/>
        </w:rPr>
        <w:t xml:space="preserve">indicaba que el </w:t>
      </w:r>
      <w:r w:rsidR="001B5C63" w:rsidRPr="00D8219A">
        <w:rPr>
          <w:lang w:val="es-UY"/>
        </w:rPr>
        <w:t>señor</w:t>
      </w:r>
      <w:r w:rsidR="008C0C39" w:rsidRPr="00D8219A">
        <w:rPr>
          <w:lang w:val="es-UY"/>
        </w:rPr>
        <w:t xml:space="preserve"> Serrano fue deportado desde Ecuador, y no extraditado, y que él no había probado que hubiera sido sacado de Ecuador</w:t>
      </w:r>
      <w:r w:rsidR="00EF3339" w:rsidRPr="00D8219A">
        <w:rPr>
          <w:lang w:val="es-UY"/>
        </w:rPr>
        <w:t xml:space="preserve"> en forma indebida</w:t>
      </w:r>
      <w:r w:rsidR="008C0C39" w:rsidRPr="00D8219A">
        <w:rPr>
          <w:lang w:val="es-UY"/>
        </w:rPr>
        <w:t xml:space="preserve">. </w:t>
      </w:r>
    </w:p>
    <w:p w14:paraId="70E5F1FC" w14:textId="77777777" w:rsidR="008C0C39" w:rsidRPr="00D8219A" w:rsidRDefault="008C0C39" w:rsidP="008C0C39">
      <w:pPr>
        <w:pStyle w:val="parrafos"/>
        <w:numPr>
          <w:ilvl w:val="0"/>
          <w:numId w:val="0"/>
        </w:numPr>
        <w:rPr>
          <w:lang w:val="es-UY"/>
        </w:rPr>
      </w:pPr>
    </w:p>
    <w:p w14:paraId="4081523F" w14:textId="77777777" w:rsidR="008C0C39" w:rsidRPr="00D8219A" w:rsidRDefault="008C0C39" w:rsidP="008C0C39">
      <w:pPr>
        <w:pStyle w:val="parrafos"/>
        <w:ind w:left="0" w:firstLine="0"/>
        <w:rPr>
          <w:lang w:val="es-UY"/>
        </w:rPr>
      </w:pPr>
      <w:r w:rsidRPr="00D8219A">
        <w:rPr>
          <w:lang w:val="es-UY"/>
        </w:rPr>
        <w:lastRenderedPageBreak/>
        <w:t xml:space="preserve">La defensa también alegó </w:t>
      </w:r>
      <w:r w:rsidR="00E12DAA" w:rsidRPr="00D8219A">
        <w:rPr>
          <w:lang w:val="es-UY"/>
        </w:rPr>
        <w:t xml:space="preserve">que no existía </w:t>
      </w:r>
      <w:r w:rsidR="00124E27" w:rsidRPr="00D8219A">
        <w:rPr>
          <w:lang w:val="es-UY"/>
        </w:rPr>
        <w:t>competencia</w:t>
      </w:r>
      <w:r w:rsidRPr="00D8219A">
        <w:rPr>
          <w:lang w:val="es-UY"/>
        </w:rPr>
        <w:t xml:space="preserve"> respecto al </w:t>
      </w:r>
      <w:r w:rsidR="001B5C63" w:rsidRPr="00D8219A">
        <w:rPr>
          <w:lang w:val="es-UY"/>
        </w:rPr>
        <w:t>señor</w:t>
      </w:r>
      <w:r w:rsidRPr="00D8219A">
        <w:rPr>
          <w:lang w:val="es-UY"/>
        </w:rPr>
        <w:t xml:space="preserve"> Serrano</w:t>
      </w:r>
      <w:r w:rsidR="00E12DAA" w:rsidRPr="00D8219A">
        <w:rPr>
          <w:lang w:val="es-UY"/>
        </w:rPr>
        <w:t xml:space="preserve"> dado</w:t>
      </w:r>
      <w:r w:rsidR="00124E27" w:rsidRPr="00D8219A">
        <w:rPr>
          <w:lang w:val="es-UY"/>
        </w:rPr>
        <w:t xml:space="preserve"> que</w:t>
      </w:r>
      <w:r w:rsidRPr="00D8219A">
        <w:rPr>
          <w:lang w:val="es-UY"/>
        </w:rPr>
        <w:t xml:space="preserve"> funcionarios de </w:t>
      </w:r>
      <w:r w:rsidR="00616685" w:rsidRPr="00D8219A">
        <w:rPr>
          <w:lang w:val="es-UY"/>
        </w:rPr>
        <w:t>Estados Unidos</w:t>
      </w:r>
      <w:r w:rsidR="00A65DE2" w:rsidRPr="00D8219A">
        <w:rPr>
          <w:lang w:val="es-UY"/>
        </w:rPr>
        <w:t xml:space="preserve"> lo</w:t>
      </w:r>
      <w:r w:rsidRPr="00D8219A">
        <w:rPr>
          <w:lang w:val="es-UY"/>
        </w:rPr>
        <w:t xml:space="preserve"> habían sacado por la fuerza de Ecuador en violación de un tratado de extradición que es el único medio lícito por el cual Estados Unidos podía sacarlo de Ecuador, y </w:t>
      </w:r>
      <w:r w:rsidR="00124E27" w:rsidRPr="00D8219A">
        <w:rPr>
          <w:lang w:val="es-UY"/>
        </w:rPr>
        <w:t xml:space="preserve">de </w:t>
      </w:r>
      <w:r w:rsidRPr="00D8219A">
        <w:rPr>
          <w:lang w:val="es-UY"/>
        </w:rPr>
        <w:t>que el tratado prohíbe la extradición en casos en que pued</w:t>
      </w:r>
      <w:r w:rsidR="00A65DE2" w:rsidRPr="00D8219A">
        <w:rPr>
          <w:lang w:val="es-UY"/>
        </w:rPr>
        <w:t>a</w:t>
      </w:r>
      <w:r w:rsidRPr="00D8219A">
        <w:rPr>
          <w:lang w:val="es-UY"/>
        </w:rPr>
        <w:t xml:space="preserve"> recaer la pena de muerte. El </w:t>
      </w:r>
      <w:r w:rsidR="001B5C63" w:rsidRPr="00D8219A">
        <w:rPr>
          <w:lang w:val="es-UY"/>
        </w:rPr>
        <w:t>señor</w:t>
      </w:r>
      <w:r w:rsidRPr="00D8219A">
        <w:rPr>
          <w:lang w:val="es-UY"/>
        </w:rPr>
        <w:t xml:space="preserve"> Serrano alegó también que una carta oficial de protesta de 2009 re</w:t>
      </w:r>
      <w:r w:rsidR="00F13033" w:rsidRPr="00D8219A">
        <w:rPr>
          <w:lang w:val="es-UY"/>
        </w:rPr>
        <w:t xml:space="preserve">cibida del Gobierno ecuatoriano, </w:t>
      </w:r>
      <w:r w:rsidR="00124E27" w:rsidRPr="00D8219A">
        <w:rPr>
          <w:lang w:val="es-UY"/>
        </w:rPr>
        <w:t>así como</w:t>
      </w:r>
      <w:r w:rsidRPr="00D8219A">
        <w:rPr>
          <w:lang w:val="es-UY"/>
        </w:rPr>
        <w:t xml:space="preserve"> el informe </w:t>
      </w:r>
      <w:r w:rsidR="00E12DAA" w:rsidRPr="00D8219A">
        <w:rPr>
          <w:lang w:val="es-UY"/>
        </w:rPr>
        <w:t>de fondo de</w:t>
      </w:r>
      <w:r w:rsidR="004A2C45" w:rsidRPr="00D8219A">
        <w:rPr>
          <w:lang w:val="es-UY"/>
        </w:rPr>
        <w:t xml:space="preserve"> la CIDH</w:t>
      </w:r>
      <w:r w:rsidR="00F13033" w:rsidRPr="00D8219A">
        <w:rPr>
          <w:lang w:val="es-UY"/>
        </w:rPr>
        <w:t>,</w:t>
      </w:r>
      <w:r w:rsidR="004A2C45" w:rsidRPr="00D8219A">
        <w:rPr>
          <w:lang w:val="es-UY"/>
        </w:rPr>
        <w:t xml:space="preserve"> constituía</w:t>
      </w:r>
      <w:r w:rsidRPr="00D8219A">
        <w:rPr>
          <w:lang w:val="es-UY"/>
        </w:rPr>
        <w:t>n nuevas pruebas que debían considerarse. La corte concluyó que “la supuesta información adicional no altera[ba] las conclusiones anteriores de la Corte y que [ésta] una vez más conclu[ía] que tenía jurisdicción sobre el Acusado”.</w:t>
      </w:r>
      <w:r w:rsidRPr="00D8219A">
        <w:rPr>
          <w:rStyle w:val="FootnoteReference"/>
        </w:rPr>
        <w:footnoteReference w:id="26"/>
      </w:r>
      <w:r w:rsidRPr="00D8219A">
        <w:rPr>
          <w:lang w:val="es-UY"/>
        </w:rPr>
        <w:t xml:space="preserve"> La corte indicó también a</w:t>
      </w:r>
      <w:r w:rsidR="00E12DAA" w:rsidRPr="00D8219A">
        <w:rPr>
          <w:lang w:val="es-UY"/>
        </w:rPr>
        <w:t>l</w:t>
      </w:r>
      <w:r w:rsidRPr="00D8219A">
        <w:rPr>
          <w:lang w:val="es-UY"/>
        </w:rPr>
        <w:t xml:space="preserve"> respecto</w:t>
      </w:r>
      <w:r w:rsidR="00B82390" w:rsidRPr="00D8219A">
        <w:rPr>
          <w:lang w:val="es-UY"/>
        </w:rPr>
        <w:t xml:space="preserve"> que</w:t>
      </w:r>
      <w:r w:rsidRPr="00D8219A">
        <w:rPr>
          <w:rStyle w:val="FootnoteReference"/>
        </w:rPr>
        <w:footnoteReference w:id="27"/>
      </w:r>
      <w:r w:rsidRPr="00D8219A">
        <w:rPr>
          <w:lang w:val="es-UY"/>
        </w:rPr>
        <w:t xml:space="preserve"> </w:t>
      </w:r>
    </w:p>
    <w:p w14:paraId="3C3D24E9" w14:textId="77777777" w:rsidR="008C0C39" w:rsidRPr="00D8219A" w:rsidRDefault="008C0C39" w:rsidP="008C0C39">
      <w:pPr>
        <w:pStyle w:val="ListParagraph"/>
        <w:jc w:val="center"/>
        <w:rPr>
          <w:rFonts w:asciiTheme="majorHAnsi" w:hAnsiTheme="majorHAnsi"/>
          <w:sz w:val="20"/>
          <w:szCs w:val="20"/>
          <w:lang w:val="es-UY"/>
        </w:rPr>
      </w:pPr>
    </w:p>
    <w:p w14:paraId="10BDD950" w14:textId="77777777" w:rsidR="008C0C39" w:rsidRPr="00D8219A" w:rsidRDefault="00B82390" w:rsidP="008C0C39">
      <w:pPr>
        <w:pStyle w:val="parrafos"/>
        <w:numPr>
          <w:ilvl w:val="0"/>
          <w:numId w:val="0"/>
        </w:numPr>
        <w:ind w:left="360" w:right="360"/>
        <w:rPr>
          <w:sz w:val="18"/>
          <w:szCs w:val="18"/>
          <w:lang w:val="es-UY"/>
        </w:rPr>
      </w:pPr>
      <w:r w:rsidRPr="00D8219A">
        <w:rPr>
          <w:sz w:val="18"/>
          <w:szCs w:val="18"/>
          <w:lang w:val="es-UY"/>
        </w:rPr>
        <w:t>[s]</w:t>
      </w:r>
      <w:r w:rsidR="008C0C39" w:rsidRPr="00D8219A">
        <w:rPr>
          <w:sz w:val="18"/>
          <w:szCs w:val="18"/>
          <w:lang w:val="es-UY"/>
        </w:rPr>
        <w:t>i bien se habían iniciado y estaban en curso procedimientos de extradición</w:t>
      </w:r>
      <w:r w:rsidRPr="00D8219A">
        <w:rPr>
          <w:sz w:val="18"/>
          <w:szCs w:val="18"/>
          <w:lang w:val="es-UY"/>
        </w:rPr>
        <w:t>, resultaba</w:t>
      </w:r>
      <w:r w:rsidR="008C0C39" w:rsidRPr="00D8219A">
        <w:rPr>
          <w:sz w:val="18"/>
          <w:szCs w:val="18"/>
          <w:lang w:val="es-UY"/>
        </w:rPr>
        <w:t xml:space="preserve"> claro que Ecuador no extraditaría al </w:t>
      </w:r>
      <w:r w:rsidR="001B5C63" w:rsidRPr="00D8219A">
        <w:rPr>
          <w:sz w:val="18"/>
          <w:szCs w:val="18"/>
          <w:lang w:val="es-UY"/>
        </w:rPr>
        <w:t>señor</w:t>
      </w:r>
      <w:r w:rsidR="008C0C39" w:rsidRPr="00D8219A">
        <w:rPr>
          <w:sz w:val="18"/>
          <w:szCs w:val="18"/>
          <w:lang w:val="es-UY"/>
        </w:rPr>
        <w:t xml:space="preserve"> Serrano de vuelta a </w:t>
      </w:r>
      <w:r w:rsidR="00616685" w:rsidRPr="00D8219A">
        <w:rPr>
          <w:sz w:val="18"/>
          <w:szCs w:val="18"/>
          <w:lang w:val="es-UY"/>
        </w:rPr>
        <w:t>Estados Unidos</w:t>
      </w:r>
      <w:r w:rsidR="008C0C39" w:rsidRPr="00D8219A">
        <w:rPr>
          <w:sz w:val="18"/>
          <w:szCs w:val="18"/>
          <w:lang w:val="es-UY"/>
        </w:rPr>
        <w:t>.</w:t>
      </w:r>
    </w:p>
    <w:p w14:paraId="5E467D4B" w14:textId="77777777" w:rsidR="008C0C39" w:rsidRPr="00D8219A" w:rsidRDefault="008C0C39" w:rsidP="008C0C39">
      <w:pPr>
        <w:pStyle w:val="parrafos"/>
        <w:numPr>
          <w:ilvl w:val="0"/>
          <w:numId w:val="0"/>
        </w:numPr>
        <w:ind w:left="360" w:right="360"/>
        <w:rPr>
          <w:sz w:val="18"/>
          <w:szCs w:val="18"/>
          <w:lang w:val="es-UY"/>
        </w:rPr>
      </w:pPr>
      <w:r w:rsidRPr="00D8219A">
        <w:rPr>
          <w:sz w:val="18"/>
          <w:szCs w:val="18"/>
          <w:lang w:val="es-UY"/>
        </w:rPr>
        <w:t>E</w:t>
      </w:r>
      <w:r w:rsidR="00F13033" w:rsidRPr="00D8219A">
        <w:rPr>
          <w:sz w:val="18"/>
          <w:szCs w:val="18"/>
          <w:lang w:val="es-UY"/>
        </w:rPr>
        <w:t xml:space="preserve">n lugar de ello, se intentó </w:t>
      </w:r>
      <w:r w:rsidRPr="00D8219A">
        <w:rPr>
          <w:sz w:val="18"/>
          <w:szCs w:val="18"/>
          <w:lang w:val="es-UY"/>
        </w:rPr>
        <w:t xml:space="preserve">demostrar que el </w:t>
      </w:r>
      <w:r w:rsidR="001B5C63" w:rsidRPr="00D8219A">
        <w:rPr>
          <w:sz w:val="18"/>
          <w:szCs w:val="18"/>
          <w:lang w:val="es-UY"/>
        </w:rPr>
        <w:t>señor</w:t>
      </w:r>
      <w:r w:rsidRPr="00D8219A">
        <w:rPr>
          <w:sz w:val="18"/>
          <w:szCs w:val="18"/>
          <w:lang w:val="es-UY"/>
        </w:rPr>
        <w:t xml:space="preserve"> Serrano mantuvo su condición de ciudadano de </w:t>
      </w:r>
      <w:r w:rsidR="00616685" w:rsidRPr="00D8219A">
        <w:rPr>
          <w:sz w:val="18"/>
          <w:szCs w:val="18"/>
          <w:lang w:val="es-UY"/>
        </w:rPr>
        <w:t>Estados Unidos</w:t>
      </w:r>
      <w:r w:rsidRPr="00D8219A">
        <w:rPr>
          <w:sz w:val="18"/>
          <w:szCs w:val="18"/>
          <w:lang w:val="es-UY"/>
        </w:rPr>
        <w:t>, estuvo viajando con un pasaporte de los Estado</w:t>
      </w:r>
      <w:r w:rsidR="001003AC" w:rsidRPr="00D8219A">
        <w:rPr>
          <w:sz w:val="18"/>
          <w:szCs w:val="18"/>
          <w:lang w:val="es-UY"/>
        </w:rPr>
        <w:t>s</w:t>
      </w:r>
      <w:r w:rsidRPr="00D8219A">
        <w:rPr>
          <w:sz w:val="18"/>
          <w:szCs w:val="18"/>
          <w:lang w:val="es-UY"/>
        </w:rPr>
        <w:t xml:space="preserve"> Unidos y recién recuperó la ciudadanía ecuatoriana el 27 de marzo de 2003, unos siete meses después de haber sido deportado.</w:t>
      </w:r>
    </w:p>
    <w:p w14:paraId="51419F08" w14:textId="77777777" w:rsidR="008C0C39" w:rsidRPr="00D8219A" w:rsidRDefault="008C0C39" w:rsidP="008C0C39">
      <w:pPr>
        <w:pStyle w:val="ListParagraph"/>
        <w:tabs>
          <w:tab w:val="left" w:pos="360"/>
        </w:tabs>
        <w:ind w:left="360"/>
        <w:rPr>
          <w:rFonts w:asciiTheme="majorHAnsi" w:eastAsia="Arial Unicode MS" w:hAnsiTheme="majorHAnsi" w:cs="Times New Roman"/>
          <w:color w:val="000000" w:themeColor="text1"/>
          <w:sz w:val="18"/>
          <w:szCs w:val="18"/>
          <w:lang w:val="es-UY" w:eastAsia="en-US"/>
        </w:rPr>
      </w:pPr>
    </w:p>
    <w:p w14:paraId="5D7EC840" w14:textId="77777777" w:rsidR="008C0C39" w:rsidRPr="00D8219A" w:rsidRDefault="008C0C39" w:rsidP="008C0C39">
      <w:pPr>
        <w:pStyle w:val="ListParagraph"/>
        <w:tabs>
          <w:tab w:val="left" w:pos="360"/>
        </w:tabs>
        <w:ind w:left="360" w:right="360"/>
        <w:jc w:val="both"/>
        <w:rPr>
          <w:rFonts w:asciiTheme="majorHAnsi" w:eastAsia="Arial Unicode MS" w:hAnsiTheme="majorHAnsi" w:cs="Times New Roman"/>
          <w:color w:val="000000" w:themeColor="text1"/>
          <w:sz w:val="18"/>
          <w:szCs w:val="18"/>
          <w:lang w:val="es-UY" w:eastAsia="en-US"/>
        </w:rPr>
      </w:pPr>
      <w:r w:rsidRPr="00D8219A">
        <w:rPr>
          <w:rFonts w:asciiTheme="majorHAnsi" w:eastAsia="Arial Unicode MS" w:hAnsiTheme="majorHAnsi" w:cs="Times New Roman"/>
          <w:color w:val="000000" w:themeColor="text1"/>
          <w:sz w:val="18"/>
          <w:szCs w:val="18"/>
          <w:lang w:val="es-UY" w:eastAsia="en-US"/>
        </w:rPr>
        <w:t>[…] la conclusión de la Corte, a la luz de la prueba presentada, es que el acusado no fue extr</w:t>
      </w:r>
      <w:r w:rsidR="004A2C45" w:rsidRPr="00D8219A">
        <w:rPr>
          <w:rFonts w:asciiTheme="majorHAnsi" w:eastAsia="Arial Unicode MS" w:hAnsiTheme="majorHAnsi" w:cs="Times New Roman"/>
          <w:color w:val="000000" w:themeColor="text1"/>
          <w:sz w:val="18"/>
          <w:szCs w:val="18"/>
          <w:lang w:val="es-UY" w:eastAsia="en-US"/>
        </w:rPr>
        <w:t xml:space="preserve">aditado, sino </w:t>
      </w:r>
      <w:r w:rsidRPr="00D8219A">
        <w:rPr>
          <w:rFonts w:asciiTheme="majorHAnsi" w:eastAsia="Arial Unicode MS" w:hAnsiTheme="majorHAnsi" w:cs="Times New Roman"/>
          <w:color w:val="000000" w:themeColor="text1"/>
          <w:sz w:val="18"/>
          <w:szCs w:val="18"/>
          <w:lang w:val="es-UY" w:eastAsia="en-US"/>
        </w:rPr>
        <w:t>deportado</w:t>
      </w:r>
      <w:r w:rsidR="004A2C45" w:rsidRPr="00D8219A">
        <w:rPr>
          <w:rFonts w:asciiTheme="majorHAnsi" w:eastAsia="Arial Unicode MS" w:hAnsiTheme="majorHAnsi" w:cs="Times New Roman"/>
          <w:color w:val="000000" w:themeColor="text1"/>
          <w:sz w:val="18"/>
          <w:szCs w:val="18"/>
          <w:lang w:val="es-UY" w:eastAsia="en-US"/>
        </w:rPr>
        <w:t xml:space="preserve">, </w:t>
      </w:r>
      <w:r w:rsidRPr="00D8219A">
        <w:rPr>
          <w:rFonts w:asciiTheme="majorHAnsi" w:eastAsia="Arial Unicode MS" w:hAnsiTheme="majorHAnsi" w:cs="Times New Roman"/>
          <w:color w:val="000000" w:themeColor="text1"/>
          <w:sz w:val="18"/>
          <w:szCs w:val="18"/>
          <w:lang w:val="es-UY" w:eastAsia="en-US"/>
        </w:rPr>
        <w:t>de Ecuador.</w:t>
      </w:r>
    </w:p>
    <w:p w14:paraId="63D530FD" w14:textId="77777777" w:rsidR="008C0C39" w:rsidRPr="00D8219A" w:rsidRDefault="008C0C39" w:rsidP="008C0C39">
      <w:pPr>
        <w:pStyle w:val="ListParagraph"/>
        <w:tabs>
          <w:tab w:val="left" w:pos="360"/>
        </w:tabs>
        <w:ind w:left="0"/>
        <w:rPr>
          <w:rFonts w:asciiTheme="majorHAnsi" w:hAnsiTheme="majorHAnsi"/>
          <w:b/>
          <w:color w:val="auto"/>
          <w:sz w:val="20"/>
          <w:szCs w:val="20"/>
          <w:lang w:val="es-UY"/>
        </w:rPr>
      </w:pPr>
    </w:p>
    <w:p w14:paraId="04C54FC7" w14:textId="77777777" w:rsidR="008C0C39" w:rsidRPr="00D8219A" w:rsidRDefault="008C0C39" w:rsidP="008C0C39">
      <w:pPr>
        <w:pStyle w:val="parrafos"/>
        <w:ind w:left="0" w:firstLine="0"/>
        <w:rPr>
          <w:lang w:val="es-UY"/>
        </w:rPr>
      </w:pPr>
      <w:r w:rsidRPr="00D8219A">
        <w:rPr>
          <w:lang w:val="es-UY"/>
        </w:rPr>
        <w:t xml:space="preserve">El </w:t>
      </w:r>
      <w:r w:rsidR="001B5C63" w:rsidRPr="00D8219A">
        <w:rPr>
          <w:lang w:val="es-UY"/>
        </w:rPr>
        <w:t>señor</w:t>
      </w:r>
      <w:r w:rsidRPr="00D8219A">
        <w:rPr>
          <w:lang w:val="es-UY"/>
        </w:rPr>
        <w:t xml:space="preserve"> Serrano </w:t>
      </w:r>
      <w:r w:rsidR="007F2D8C" w:rsidRPr="00D8219A">
        <w:rPr>
          <w:lang w:val="es-UY"/>
        </w:rPr>
        <w:t>interpuso ante la Corte Suprema de Florida un recurso de</w:t>
      </w:r>
      <w:r w:rsidRPr="00D8219A">
        <w:rPr>
          <w:lang w:val="es-UY"/>
        </w:rPr>
        <w:t xml:space="preserve"> apelación contra el rechazo de la petición de amparo posterior a la sentencia condenatoria</w:t>
      </w:r>
      <w:r w:rsidR="007F2D8C" w:rsidRPr="00D8219A">
        <w:rPr>
          <w:lang w:val="es-UY"/>
        </w:rPr>
        <w:t>, recurso que fue rechazado</w:t>
      </w:r>
      <w:r w:rsidRPr="00D8219A">
        <w:rPr>
          <w:lang w:val="es-UY"/>
        </w:rPr>
        <w:t xml:space="preserve"> el 11 de mayo de 2017. El 20 de febrero de 2018 </w:t>
      </w:r>
      <w:r w:rsidR="00832927" w:rsidRPr="00D8219A">
        <w:rPr>
          <w:lang w:val="es-UY"/>
        </w:rPr>
        <w:t>la Corte Suprema denegó l</w:t>
      </w:r>
      <w:r w:rsidRPr="00D8219A">
        <w:rPr>
          <w:lang w:val="es-UY"/>
        </w:rPr>
        <w:t xml:space="preserve">a petición de un auto de </w:t>
      </w:r>
      <w:r w:rsidR="002378D9" w:rsidRPr="00D8219A">
        <w:rPr>
          <w:lang w:val="es-UY"/>
        </w:rPr>
        <w:t>certiorari</w:t>
      </w:r>
      <w:r w:rsidRPr="00D8219A">
        <w:rPr>
          <w:lang w:val="es-UY"/>
        </w:rPr>
        <w:t>.</w:t>
      </w:r>
      <w:r w:rsidRPr="00D8219A">
        <w:rPr>
          <w:rStyle w:val="FootnoteReference"/>
        </w:rPr>
        <w:footnoteReference w:id="28"/>
      </w:r>
    </w:p>
    <w:p w14:paraId="20922E0E" w14:textId="77777777" w:rsidR="008C0C39" w:rsidRPr="00D8219A" w:rsidRDefault="008C0C39" w:rsidP="00C243B4">
      <w:pPr>
        <w:pStyle w:val="Heading2"/>
        <w:numPr>
          <w:ilvl w:val="0"/>
          <w:numId w:val="59"/>
        </w:numPr>
        <w:tabs>
          <w:tab w:val="left" w:pos="360"/>
        </w:tabs>
        <w:ind w:left="360"/>
        <w:rPr>
          <w:bCs w:val="0"/>
          <w:color w:val="auto"/>
          <w:sz w:val="20"/>
          <w:szCs w:val="20"/>
        </w:rPr>
      </w:pPr>
      <w:bookmarkStart w:id="16" w:name="_Toc69212246"/>
      <w:r w:rsidRPr="00D8219A">
        <w:rPr>
          <w:bCs w:val="0"/>
          <w:color w:val="auto"/>
          <w:sz w:val="20"/>
          <w:szCs w:val="20"/>
        </w:rPr>
        <w:t>Hurst v. Florida</w:t>
      </w:r>
      <w:bookmarkEnd w:id="16"/>
    </w:p>
    <w:p w14:paraId="22FDA1BC" w14:textId="77777777" w:rsidR="008C0C39" w:rsidRPr="00D8219A" w:rsidRDefault="008C0C39" w:rsidP="008C0C39">
      <w:pPr>
        <w:pStyle w:val="parrafos"/>
        <w:numPr>
          <w:ilvl w:val="0"/>
          <w:numId w:val="0"/>
        </w:numPr>
      </w:pPr>
    </w:p>
    <w:p w14:paraId="77326A2F" w14:textId="77777777" w:rsidR="008C0C39" w:rsidRPr="00D8219A" w:rsidRDefault="008C0C39" w:rsidP="008C0C39">
      <w:pPr>
        <w:pStyle w:val="parrafos"/>
        <w:ind w:left="0" w:firstLine="0"/>
        <w:rPr>
          <w:lang w:val="es-UY"/>
        </w:rPr>
      </w:pPr>
      <w:r w:rsidRPr="00D8219A">
        <w:rPr>
          <w:lang w:val="es-UY"/>
        </w:rPr>
        <w:t xml:space="preserve">En una decisión adoptada por la Corte Suprema de </w:t>
      </w:r>
      <w:r w:rsidR="00616685" w:rsidRPr="00D8219A">
        <w:rPr>
          <w:lang w:val="es-UY"/>
        </w:rPr>
        <w:t>Estados Unidos</w:t>
      </w:r>
      <w:r w:rsidRPr="00D8219A">
        <w:rPr>
          <w:lang w:val="es-UY"/>
        </w:rPr>
        <w:t xml:space="preserve"> el 12 de enero de 2016 se consideró la cuestión de si el procedimiento de imposición de la pena de muerte dispuesta por la judicatura de Florida, que no requería la unanimidad del jurado para sentenciar a muerte a un acusado, violaba la Sexta Enmienda de la Constitución de </w:t>
      </w:r>
      <w:r w:rsidR="00616685" w:rsidRPr="00D8219A">
        <w:rPr>
          <w:lang w:val="es-UY"/>
        </w:rPr>
        <w:t>Estados Unidos</w:t>
      </w:r>
      <w:r w:rsidRPr="00D8219A">
        <w:rPr>
          <w:lang w:val="es-UY"/>
        </w:rPr>
        <w:t>. La Corte Suprema describió como sigue el régimen de imposición de la pena capital:</w:t>
      </w:r>
      <w:r w:rsidRPr="00D8219A">
        <w:rPr>
          <w:rStyle w:val="FootnoteReference"/>
        </w:rPr>
        <w:footnoteReference w:id="29"/>
      </w:r>
    </w:p>
    <w:p w14:paraId="64207273" w14:textId="77777777" w:rsidR="008C0C39" w:rsidRPr="00D8219A" w:rsidRDefault="008C0C39" w:rsidP="008C0C39">
      <w:pPr>
        <w:pStyle w:val="parrafos"/>
        <w:numPr>
          <w:ilvl w:val="0"/>
          <w:numId w:val="0"/>
        </w:numPr>
        <w:ind w:left="720" w:hanging="360"/>
        <w:rPr>
          <w:lang w:val="es-UY"/>
        </w:rPr>
      </w:pPr>
    </w:p>
    <w:p w14:paraId="4BD39CD7" w14:textId="77777777" w:rsidR="008C0C39" w:rsidRPr="00D8219A" w:rsidRDefault="008C0C39" w:rsidP="008C0C39">
      <w:pPr>
        <w:pStyle w:val="parrafos"/>
        <w:numPr>
          <w:ilvl w:val="0"/>
          <w:numId w:val="0"/>
        </w:numPr>
        <w:ind w:left="360" w:right="360"/>
        <w:rPr>
          <w:sz w:val="18"/>
          <w:szCs w:val="18"/>
          <w:lang w:val="es-UY"/>
        </w:rPr>
      </w:pPr>
      <w:r w:rsidRPr="00D8219A">
        <w:rPr>
          <w:sz w:val="18"/>
          <w:szCs w:val="18"/>
          <w:lang w:val="es-UY"/>
        </w:rPr>
        <w:t>Conforme al derecho de Florida la pena máxima que puede imponerse al autor de un delito grave sobre la única base de una sentencia penal es</w:t>
      </w:r>
      <w:r w:rsidR="00E55383" w:rsidRPr="00D8219A">
        <w:rPr>
          <w:sz w:val="18"/>
          <w:szCs w:val="18"/>
          <w:lang w:val="es-UY"/>
        </w:rPr>
        <w:t xml:space="preserve"> de</w:t>
      </w:r>
      <w:r w:rsidRPr="00D8219A">
        <w:rPr>
          <w:sz w:val="18"/>
          <w:szCs w:val="18"/>
          <w:lang w:val="es-UY"/>
        </w:rPr>
        <w:t xml:space="preserve"> prisión perpetua. Esa persona puede ser condenada a muerte, pero sólo si en un procedimiento penal adicional la corte concluye que</w:t>
      </w:r>
      <w:r w:rsidR="00E55383" w:rsidRPr="00D8219A">
        <w:rPr>
          <w:sz w:val="18"/>
          <w:szCs w:val="18"/>
          <w:lang w:val="es-UY"/>
        </w:rPr>
        <w:t xml:space="preserve"> deba</w:t>
      </w:r>
      <w:r w:rsidRPr="00D8219A">
        <w:rPr>
          <w:sz w:val="18"/>
          <w:szCs w:val="18"/>
          <w:lang w:val="es-UY"/>
        </w:rPr>
        <w:t xml:space="preserve"> ser condenada a muerte.” […] En ese procedimiento el juez </w:t>
      </w:r>
      <w:r w:rsidR="00E55383" w:rsidRPr="00D8219A">
        <w:rPr>
          <w:sz w:val="18"/>
          <w:szCs w:val="18"/>
          <w:lang w:val="es-UY"/>
        </w:rPr>
        <w:t>proveyent</w:t>
      </w:r>
      <w:r w:rsidRPr="00D8219A">
        <w:rPr>
          <w:sz w:val="18"/>
          <w:szCs w:val="18"/>
          <w:lang w:val="es-UY"/>
        </w:rPr>
        <w:t>e comienza por disponer una audiencia de prueba ante un jurado. A continuación el jurado, por voto mayoritario, dicta una “opinión consultiva” […] Pese a esa recomendación</w:t>
      </w:r>
      <w:r w:rsidR="00E55383" w:rsidRPr="00D8219A">
        <w:rPr>
          <w:sz w:val="18"/>
          <w:szCs w:val="18"/>
          <w:lang w:val="es-UY"/>
        </w:rPr>
        <w:t>,</w:t>
      </w:r>
      <w:r w:rsidRPr="00D8219A">
        <w:rPr>
          <w:sz w:val="18"/>
          <w:szCs w:val="18"/>
          <w:lang w:val="es-UY"/>
        </w:rPr>
        <w:t xml:space="preserve"> la corte, independientemente, debe discernir y sopesar las circunstancias agravantes y atenuantes antes de dictar una sentencia de vida o de muerte.</w:t>
      </w:r>
    </w:p>
    <w:p w14:paraId="1034AFA3" w14:textId="77777777" w:rsidR="00922EAA" w:rsidRPr="00D8219A" w:rsidRDefault="00922EAA" w:rsidP="00922EAA">
      <w:pPr>
        <w:pStyle w:val="parrafos"/>
        <w:numPr>
          <w:ilvl w:val="0"/>
          <w:numId w:val="0"/>
        </w:numPr>
        <w:ind w:right="360"/>
        <w:rPr>
          <w:sz w:val="18"/>
          <w:szCs w:val="18"/>
          <w:lang w:val="es-UY"/>
        </w:rPr>
      </w:pPr>
    </w:p>
    <w:p w14:paraId="5042B749" w14:textId="77777777" w:rsidR="008C0C39" w:rsidRPr="00D8219A" w:rsidRDefault="008C0C39" w:rsidP="008C0C39">
      <w:pPr>
        <w:pStyle w:val="parrafos"/>
        <w:numPr>
          <w:ilvl w:val="0"/>
          <w:numId w:val="0"/>
        </w:numPr>
        <w:rPr>
          <w:lang w:val="es-UY"/>
        </w:rPr>
      </w:pPr>
    </w:p>
    <w:p w14:paraId="2A7E58C4" w14:textId="77777777" w:rsidR="008C0C39" w:rsidRPr="00D8219A" w:rsidRDefault="008C0C39" w:rsidP="008C0C39">
      <w:pPr>
        <w:pStyle w:val="parrafos"/>
        <w:ind w:left="0" w:firstLine="0"/>
        <w:rPr>
          <w:lang w:val="es-UY"/>
        </w:rPr>
      </w:pPr>
      <w:r w:rsidRPr="00D8219A">
        <w:rPr>
          <w:lang w:val="es-UY"/>
        </w:rPr>
        <w:t xml:space="preserve">La Corte Suprema declaró </w:t>
      </w:r>
      <w:r w:rsidR="00BC6F28" w:rsidRPr="00D8219A">
        <w:rPr>
          <w:lang w:val="es-UY"/>
        </w:rPr>
        <w:t>inconstitucional</w:t>
      </w:r>
      <w:r w:rsidRPr="00D8219A">
        <w:rPr>
          <w:lang w:val="es-UY"/>
        </w:rPr>
        <w:t xml:space="preserve"> el régimen de </w:t>
      </w:r>
      <w:r w:rsidR="007F2283" w:rsidRPr="00D8219A">
        <w:rPr>
          <w:lang w:val="es-UY"/>
        </w:rPr>
        <w:t xml:space="preserve">la </w:t>
      </w:r>
      <w:r w:rsidRPr="00D8219A">
        <w:rPr>
          <w:lang w:val="es-UY"/>
        </w:rPr>
        <w:t>Florida en materia de pena capital, en que el jurado formula recomendaciones y el juez de todos modos debe determinar y sopesar, independientemente, circunstancias agravantes y atenuantes antes de dic</w:t>
      </w:r>
      <w:r w:rsidR="00483DE7" w:rsidRPr="00D8219A">
        <w:rPr>
          <w:lang w:val="es-UY"/>
        </w:rPr>
        <w:t>tar una sentencia de vida o de mu</w:t>
      </w:r>
      <w:r w:rsidRPr="00D8219A">
        <w:rPr>
          <w:lang w:val="es-UY"/>
        </w:rPr>
        <w:t>erte.</w:t>
      </w:r>
    </w:p>
    <w:p w14:paraId="4C202A99" w14:textId="77777777" w:rsidR="008C0C39" w:rsidRPr="00D8219A" w:rsidRDefault="008C0C39" w:rsidP="008C0C39">
      <w:pPr>
        <w:pStyle w:val="parrafos"/>
        <w:numPr>
          <w:ilvl w:val="0"/>
          <w:numId w:val="0"/>
        </w:numPr>
        <w:rPr>
          <w:lang w:val="es-UY"/>
        </w:rPr>
      </w:pPr>
    </w:p>
    <w:p w14:paraId="090F0FCB" w14:textId="77777777" w:rsidR="008C0C39" w:rsidRPr="00D8219A" w:rsidRDefault="00483DE7" w:rsidP="00F159FD">
      <w:pPr>
        <w:pStyle w:val="parrafos"/>
        <w:ind w:left="0" w:firstLine="0"/>
        <w:rPr>
          <w:lang w:val="es-UY"/>
        </w:rPr>
      </w:pPr>
      <w:r w:rsidRPr="00D8219A">
        <w:rPr>
          <w:lang w:val="es-UY"/>
        </w:rPr>
        <w:t>Tras la decisió</w:t>
      </w:r>
      <w:r w:rsidR="002029AA" w:rsidRPr="00D8219A">
        <w:rPr>
          <w:lang w:val="es-UY"/>
        </w:rPr>
        <w:t xml:space="preserve">n recaída en </w:t>
      </w:r>
      <w:r w:rsidRPr="00D8219A">
        <w:rPr>
          <w:lang w:val="es-UY"/>
        </w:rPr>
        <w:t xml:space="preserve">el caso Hurst, el </w:t>
      </w:r>
      <w:r w:rsidR="001B5C63" w:rsidRPr="00D8219A">
        <w:rPr>
          <w:lang w:val="es-UY"/>
        </w:rPr>
        <w:t>señor</w:t>
      </w:r>
      <w:r w:rsidRPr="00D8219A">
        <w:rPr>
          <w:lang w:val="es-UY"/>
        </w:rPr>
        <w:t xml:space="preserve"> Serrano, por haber sido sentenciado a muerte con respaldo de</w:t>
      </w:r>
      <w:r w:rsidR="008C0C39" w:rsidRPr="00D8219A">
        <w:rPr>
          <w:lang w:val="es-UY"/>
        </w:rPr>
        <w:t xml:space="preserve"> mayoría de </w:t>
      </w:r>
      <w:r w:rsidRPr="00D8219A">
        <w:rPr>
          <w:lang w:val="es-UY"/>
        </w:rPr>
        <w:t xml:space="preserve">opiniones </w:t>
      </w:r>
      <w:r w:rsidR="008C0C39" w:rsidRPr="00D8219A">
        <w:rPr>
          <w:lang w:val="es-UY"/>
        </w:rPr>
        <w:t>de 9 contra</w:t>
      </w:r>
      <w:r w:rsidR="00AB5485" w:rsidRPr="00D8219A">
        <w:rPr>
          <w:lang w:val="es-UY"/>
        </w:rPr>
        <w:t xml:space="preserve"> 3 del</w:t>
      </w:r>
      <w:r w:rsidR="008C0C39" w:rsidRPr="00D8219A">
        <w:rPr>
          <w:lang w:val="es-UY"/>
        </w:rPr>
        <w:t xml:space="preserve"> jurado en 2007, modificó la apelación de su sent</w:t>
      </w:r>
      <w:r w:rsidR="00F6418A" w:rsidRPr="00D8219A">
        <w:rPr>
          <w:lang w:val="es-UY"/>
        </w:rPr>
        <w:t>encia de muerte</w:t>
      </w:r>
      <w:r w:rsidR="008C0C39" w:rsidRPr="00D8219A">
        <w:rPr>
          <w:lang w:val="es-UY"/>
        </w:rPr>
        <w:t xml:space="preserve">. </w:t>
      </w:r>
      <w:r w:rsidRPr="00D8219A">
        <w:rPr>
          <w:lang w:val="es-UY"/>
        </w:rPr>
        <w:t xml:space="preserve">En mayo de 2017 la Corte Suprema de Florida revocó las sentencias de muerte del </w:t>
      </w:r>
      <w:r w:rsidR="001B5C63" w:rsidRPr="00D8219A">
        <w:rPr>
          <w:lang w:val="es-UY"/>
        </w:rPr>
        <w:t>señor</w:t>
      </w:r>
      <w:r w:rsidRPr="00D8219A">
        <w:rPr>
          <w:lang w:val="es-UY"/>
        </w:rPr>
        <w:t xml:space="preserve"> Serrano y</w:t>
      </w:r>
      <w:r w:rsidR="008C0C39" w:rsidRPr="00D8219A">
        <w:rPr>
          <w:lang w:val="es-UY"/>
        </w:rPr>
        <w:t xml:space="preserve"> ordenó la realización de un nuevo juicio de determinación de pena. </w:t>
      </w:r>
      <w:r w:rsidR="008E0E36" w:rsidRPr="00D8219A">
        <w:rPr>
          <w:lang w:val="es-UY"/>
        </w:rPr>
        <w:t>En</w:t>
      </w:r>
      <w:r w:rsidR="008C0C39" w:rsidRPr="00D8219A">
        <w:rPr>
          <w:lang w:val="es-UY"/>
        </w:rPr>
        <w:t xml:space="preserve"> su última comunicación ante la CIDH el peticionario señaló que</w:t>
      </w:r>
      <w:r w:rsidR="008E0E36" w:rsidRPr="00D8219A">
        <w:rPr>
          <w:lang w:val="es-UY"/>
        </w:rPr>
        <w:t xml:space="preserve"> a esa fecha --10 de abril de 2018-- </w:t>
      </w:r>
      <w:r w:rsidR="008C0C39" w:rsidRPr="00D8219A">
        <w:rPr>
          <w:lang w:val="es-UY"/>
        </w:rPr>
        <w:t xml:space="preserve">aún no se había </w:t>
      </w:r>
      <w:r w:rsidR="00643AE6" w:rsidRPr="00D8219A">
        <w:rPr>
          <w:lang w:val="es-UY"/>
        </w:rPr>
        <w:t xml:space="preserve">fijado </w:t>
      </w:r>
      <w:r w:rsidR="008C0C39" w:rsidRPr="00D8219A">
        <w:rPr>
          <w:lang w:val="es-UY"/>
        </w:rPr>
        <w:t>una nueva audiencia de</w:t>
      </w:r>
      <w:r w:rsidR="008E0E36" w:rsidRPr="00D8219A">
        <w:rPr>
          <w:lang w:val="es-UY"/>
        </w:rPr>
        <w:t xml:space="preserve"> </w:t>
      </w:r>
      <w:r w:rsidR="008A5F78" w:rsidRPr="00D8219A">
        <w:rPr>
          <w:lang w:val="es-UY"/>
        </w:rPr>
        <w:t>dictado</w:t>
      </w:r>
      <w:r w:rsidR="008E0E36" w:rsidRPr="00D8219A">
        <w:rPr>
          <w:lang w:val="es-UY"/>
        </w:rPr>
        <w:t xml:space="preserve"> de</w:t>
      </w:r>
      <w:r w:rsidR="008C0C39" w:rsidRPr="00D8219A">
        <w:rPr>
          <w:lang w:val="es-UY"/>
        </w:rPr>
        <w:t xml:space="preserve"> sentencia </w:t>
      </w:r>
      <w:r w:rsidR="0045178C" w:rsidRPr="00D8219A">
        <w:rPr>
          <w:lang w:val="es-UY"/>
        </w:rPr>
        <w:t xml:space="preserve">en </w:t>
      </w:r>
      <w:r w:rsidR="006B15AC" w:rsidRPr="00D8219A">
        <w:rPr>
          <w:lang w:val="es-UY"/>
        </w:rPr>
        <w:t xml:space="preserve">su </w:t>
      </w:r>
      <w:r w:rsidR="0045178C" w:rsidRPr="00D8219A">
        <w:rPr>
          <w:lang w:val="es-UY"/>
        </w:rPr>
        <w:t>caso.</w:t>
      </w:r>
      <w:r w:rsidR="00795D09" w:rsidRPr="00D8219A">
        <w:rPr>
          <w:lang w:val="es-UY"/>
        </w:rPr>
        <w:t xml:space="preserve"> </w:t>
      </w:r>
    </w:p>
    <w:p w14:paraId="21DD9AEA" w14:textId="77777777" w:rsidR="008C0C39" w:rsidRPr="00D8219A" w:rsidRDefault="008C0C39" w:rsidP="008C0C39">
      <w:pPr>
        <w:pStyle w:val="ListParagraph"/>
        <w:tabs>
          <w:tab w:val="left" w:pos="360"/>
        </w:tabs>
        <w:rPr>
          <w:rFonts w:asciiTheme="majorHAnsi" w:hAnsiTheme="majorHAnsi"/>
          <w:b/>
          <w:color w:val="FF0000"/>
          <w:sz w:val="20"/>
          <w:szCs w:val="20"/>
          <w:lang w:val="es-UY"/>
        </w:rPr>
      </w:pPr>
    </w:p>
    <w:p w14:paraId="4D8CD760" w14:textId="77777777" w:rsidR="008C0C39" w:rsidRPr="00D8219A" w:rsidRDefault="00643AE6" w:rsidP="008C0C39">
      <w:pPr>
        <w:pStyle w:val="Heading1"/>
        <w:keepNext w:val="0"/>
        <w:keepLines w:val="0"/>
        <w:numPr>
          <w:ilvl w:val="0"/>
          <w:numId w:val="55"/>
        </w:numPr>
        <w:suppressAutoHyphens/>
        <w:spacing w:before="0"/>
        <w:ind w:left="360" w:hanging="360"/>
        <w:rPr>
          <w:color w:val="auto"/>
          <w:sz w:val="20"/>
          <w:szCs w:val="20"/>
        </w:rPr>
      </w:pPr>
      <w:bookmarkStart w:id="17" w:name="_Toc69212247"/>
      <w:r w:rsidRPr="00D8219A">
        <w:rPr>
          <w:color w:val="auto"/>
          <w:sz w:val="20"/>
          <w:szCs w:val="20"/>
        </w:rPr>
        <w:t>ANÁLISIS DE DERECHO</w:t>
      </w:r>
      <w:bookmarkEnd w:id="17"/>
    </w:p>
    <w:p w14:paraId="2F2F6BF2" w14:textId="77777777" w:rsidR="008C0C39" w:rsidRPr="00D8219A" w:rsidRDefault="008C0C39" w:rsidP="008C0C39">
      <w:pPr>
        <w:tabs>
          <w:tab w:val="left" w:pos="360"/>
        </w:tabs>
        <w:suppressAutoHyphens/>
        <w:rPr>
          <w:rFonts w:asciiTheme="majorHAnsi" w:hAnsiTheme="majorHAnsi"/>
          <w:b/>
          <w:sz w:val="20"/>
          <w:szCs w:val="20"/>
          <w:lang w:val="es-ES_tradnl"/>
        </w:rPr>
      </w:pPr>
    </w:p>
    <w:p w14:paraId="494CF63C" w14:textId="77777777" w:rsidR="008C0C39" w:rsidRPr="00D8219A" w:rsidRDefault="008C0C39" w:rsidP="008C0C39">
      <w:pPr>
        <w:pStyle w:val="Heading2"/>
        <w:tabs>
          <w:tab w:val="left" w:pos="360"/>
        </w:tabs>
        <w:spacing w:before="0"/>
        <w:rPr>
          <w:color w:val="auto"/>
          <w:sz w:val="20"/>
          <w:szCs w:val="20"/>
        </w:rPr>
      </w:pPr>
      <w:bookmarkStart w:id="18" w:name="_Toc412815742"/>
      <w:bookmarkStart w:id="19" w:name="_Toc7803304"/>
      <w:bookmarkStart w:id="20" w:name="_Toc69212248"/>
      <w:r w:rsidRPr="00D8219A">
        <w:rPr>
          <w:color w:val="auto"/>
          <w:sz w:val="20"/>
          <w:szCs w:val="20"/>
        </w:rPr>
        <w:t>A.</w:t>
      </w:r>
      <w:r w:rsidRPr="00D8219A">
        <w:rPr>
          <w:color w:val="auto"/>
          <w:sz w:val="20"/>
          <w:szCs w:val="20"/>
        </w:rPr>
        <w:tab/>
      </w:r>
      <w:bookmarkEnd w:id="18"/>
      <w:r w:rsidRPr="00D8219A">
        <w:rPr>
          <w:color w:val="auto"/>
          <w:sz w:val="20"/>
          <w:szCs w:val="20"/>
        </w:rPr>
        <w:t>Consideraciones preliminares</w:t>
      </w:r>
      <w:bookmarkEnd w:id="19"/>
      <w:bookmarkEnd w:id="20"/>
    </w:p>
    <w:p w14:paraId="288F350A" w14:textId="77777777" w:rsidR="008C0C39" w:rsidRPr="00D8219A" w:rsidRDefault="008C0C39" w:rsidP="008C0C39">
      <w:pPr>
        <w:ind w:left="720"/>
        <w:jc w:val="both"/>
        <w:rPr>
          <w:rFonts w:asciiTheme="majorHAnsi" w:hAnsiTheme="majorHAnsi"/>
          <w:sz w:val="20"/>
          <w:szCs w:val="20"/>
        </w:rPr>
      </w:pPr>
    </w:p>
    <w:p w14:paraId="18F280ED" w14:textId="77777777" w:rsidR="008C0C39" w:rsidRPr="00D8219A" w:rsidRDefault="00920216" w:rsidP="008C0C39">
      <w:pPr>
        <w:pStyle w:val="parrafos"/>
        <w:ind w:left="0" w:firstLine="0"/>
        <w:rPr>
          <w:lang w:val="es-UY"/>
        </w:rPr>
      </w:pPr>
      <w:r w:rsidRPr="00D8219A">
        <w:rPr>
          <w:lang w:val="es-UY"/>
        </w:rPr>
        <w:t>La Comisión Interamericana consi</w:t>
      </w:r>
      <w:r w:rsidR="00292D1B" w:rsidRPr="00D8219A">
        <w:rPr>
          <w:lang w:val="es-UY"/>
        </w:rPr>
        <w:t>d</w:t>
      </w:r>
      <w:r w:rsidRPr="00D8219A">
        <w:rPr>
          <w:lang w:val="es-UY"/>
        </w:rPr>
        <w:t>era que</w:t>
      </w:r>
      <w:r w:rsidR="00643AE6" w:rsidRPr="00D8219A">
        <w:rPr>
          <w:lang w:val="es-UY"/>
        </w:rPr>
        <w:t>,</w:t>
      </w:r>
      <w:r w:rsidRPr="00D8219A">
        <w:rPr>
          <w:lang w:val="es-UY"/>
        </w:rPr>
        <w:t xml:space="preserve"> ant</w:t>
      </w:r>
      <w:r w:rsidR="008C0C39" w:rsidRPr="00D8219A">
        <w:rPr>
          <w:lang w:val="es-UY"/>
        </w:rPr>
        <w:t xml:space="preserve">es de </w:t>
      </w:r>
      <w:r w:rsidR="00643AE6" w:rsidRPr="00D8219A">
        <w:rPr>
          <w:lang w:val="es-UY"/>
        </w:rPr>
        <w:t xml:space="preserve">iniciar </w:t>
      </w:r>
      <w:r w:rsidR="008C0C39" w:rsidRPr="00D8219A">
        <w:rPr>
          <w:lang w:val="es-UY"/>
        </w:rPr>
        <w:t xml:space="preserve">su análisis de </w:t>
      </w:r>
      <w:r w:rsidR="00643AE6" w:rsidRPr="00D8219A">
        <w:rPr>
          <w:lang w:val="es-UY"/>
        </w:rPr>
        <w:t>fondo</w:t>
      </w:r>
      <w:r w:rsidR="008C0C39" w:rsidRPr="00D8219A">
        <w:rPr>
          <w:lang w:val="es-UY"/>
        </w:rPr>
        <w:t xml:space="preserve"> del caso de Nelson Iván Serrano Sáenz</w:t>
      </w:r>
      <w:r w:rsidR="00643AE6" w:rsidRPr="00D8219A">
        <w:rPr>
          <w:lang w:val="es-UY"/>
        </w:rPr>
        <w:t>,</w:t>
      </w:r>
      <w:r w:rsidR="008C0C39" w:rsidRPr="00D8219A">
        <w:rPr>
          <w:lang w:val="es-UY"/>
        </w:rPr>
        <w:t xml:space="preserve"> debe reiterar sus </w:t>
      </w:r>
      <w:r w:rsidR="00643AE6" w:rsidRPr="00D8219A">
        <w:rPr>
          <w:lang w:val="es-UY"/>
        </w:rPr>
        <w:t xml:space="preserve">decisiones </w:t>
      </w:r>
      <w:r w:rsidR="008C0C39" w:rsidRPr="00D8219A">
        <w:rPr>
          <w:lang w:val="es-UY"/>
        </w:rPr>
        <w:t xml:space="preserve">anteriores </w:t>
      </w:r>
      <w:r w:rsidR="00643AE6" w:rsidRPr="00D8219A">
        <w:rPr>
          <w:lang w:val="es-UY"/>
        </w:rPr>
        <w:t>respecto al escrutinio estricto que defe efectuarse</w:t>
      </w:r>
      <w:r w:rsidR="008C0C39" w:rsidRPr="00D8219A">
        <w:rPr>
          <w:lang w:val="es-UY"/>
        </w:rPr>
        <w:t xml:space="preserve"> en</w:t>
      </w:r>
      <w:r w:rsidR="00643AE6" w:rsidRPr="00D8219A">
        <w:rPr>
          <w:lang w:val="es-UY"/>
        </w:rPr>
        <w:t xml:space="preserve"> los</w:t>
      </w:r>
      <w:r w:rsidR="008C0C39" w:rsidRPr="00D8219A">
        <w:rPr>
          <w:lang w:val="es-UY"/>
        </w:rPr>
        <w:t xml:space="preserve"> casos </w:t>
      </w:r>
      <w:r w:rsidR="00643AE6" w:rsidRPr="00D8219A">
        <w:rPr>
          <w:lang w:val="es-UY"/>
        </w:rPr>
        <w:t xml:space="preserve">de delitos punibles </w:t>
      </w:r>
      <w:r w:rsidR="008C0C39" w:rsidRPr="00D8219A">
        <w:rPr>
          <w:lang w:val="es-UY"/>
        </w:rPr>
        <w:t xml:space="preserve"> con la pena de muerte. El derecho a la vida ha </w:t>
      </w:r>
      <w:r w:rsidR="00643AE6" w:rsidRPr="00D8219A">
        <w:rPr>
          <w:lang w:val="es-UY"/>
        </w:rPr>
        <w:t xml:space="preserve">sido </w:t>
      </w:r>
      <w:r w:rsidR="008C0C39" w:rsidRPr="00D8219A">
        <w:rPr>
          <w:lang w:val="es-UY"/>
        </w:rPr>
        <w:t>ampli</w:t>
      </w:r>
      <w:r w:rsidR="00643AE6" w:rsidRPr="00D8219A">
        <w:rPr>
          <w:lang w:val="es-UY"/>
        </w:rPr>
        <w:t>amente</w:t>
      </w:r>
      <w:r w:rsidR="008C0C39" w:rsidRPr="00D8219A">
        <w:rPr>
          <w:lang w:val="es-UY"/>
        </w:rPr>
        <w:t xml:space="preserve"> reconoci</w:t>
      </w:r>
      <w:r w:rsidR="00643AE6" w:rsidRPr="00D8219A">
        <w:rPr>
          <w:lang w:val="es-UY"/>
        </w:rPr>
        <w:t>d</w:t>
      </w:r>
      <w:r w:rsidR="008C0C39" w:rsidRPr="00D8219A">
        <w:rPr>
          <w:lang w:val="es-UY"/>
        </w:rPr>
        <w:t xml:space="preserve">o como </w:t>
      </w:r>
      <w:r w:rsidR="00643AE6" w:rsidRPr="00D8219A">
        <w:rPr>
          <w:lang w:val="es-UY"/>
        </w:rPr>
        <w:t xml:space="preserve">el </w:t>
      </w:r>
      <w:r w:rsidR="008C0C39" w:rsidRPr="00D8219A">
        <w:rPr>
          <w:lang w:val="es-UY"/>
        </w:rPr>
        <w:t xml:space="preserve">derecho humano </w:t>
      </w:r>
      <w:r w:rsidR="00643AE6" w:rsidRPr="00D8219A">
        <w:rPr>
          <w:lang w:val="es-UY"/>
        </w:rPr>
        <w:t xml:space="preserve">supremo </w:t>
      </w:r>
      <w:r w:rsidR="008C0C39" w:rsidRPr="00D8219A">
        <w:rPr>
          <w:lang w:val="es-UY"/>
        </w:rPr>
        <w:t xml:space="preserve">y como condición </w:t>
      </w:r>
      <w:r w:rsidR="008C0C39" w:rsidRPr="00D8219A">
        <w:rPr>
          <w:i/>
          <w:lang w:val="es-UY"/>
        </w:rPr>
        <w:t>sine qua no</w:t>
      </w:r>
      <w:r w:rsidR="00643AE6" w:rsidRPr="00D8219A">
        <w:rPr>
          <w:i/>
          <w:lang w:val="es-UY"/>
        </w:rPr>
        <w:t>n</w:t>
      </w:r>
      <w:r w:rsidR="008C0C39" w:rsidRPr="00D8219A">
        <w:rPr>
          <w:lang w:val="es-UY"/>
        </w:rPr>
        <w:t xml:space="preserve"> para el goce de todos los demás derechos.</w:t>
      </w:r>
    </w:p>
    <w:p w14:paraId="2A48B1BB" w14:textId="77777777" w:rsidR="008C0C39" w:rsidRPr="00D8219A" w:rsidRDefault="008C0C39" w:rsidP="008C0C39">
      <w:pPr>
        <w:pStyle w:val="parrafos"/>
        <w:numPr>
          <w:ilvl w:val="0"/>
          <w:numId w:val="0"/>
        </w:numPr>
        <w:rPr>
          <w:lang w:val="es-UY"/>
        </w:rPr>
      </w:pPr>
    </w:p>
    <w:p w14:paraId="41D71E29" w14:textId="77777777" w:rsidR="008C0C39" w:rsidRPr="00D8219A" w:rsidRDefault="008C0C39" w:rsidP="008C0C39">
      <w:pPr>
        <w:pStyle w:val="parrafos"/>
        <w:ind w:left="0" w:firstLine="0"/>
        <w:rPr>
          <w:lang w:val="es-UY"/>
        </w:rPr>
      </w:pPr>
      <w:r w:rsidRPr="00D8219A">
        <w:rPr>
          <w:lang w:val="es-UY"/>
        </w:rPr>
        <w:t xml:space="preserve">Ello determina la especial importancia de la obligación de la CIDH de asegurar que toda denegación del derecho a la vida a que pueda dar lugar la imposición de la pena de muerte cumpla estrictamente los requisitos estipulados en los instrumentos pertinentes del sistema interamericano de derechos humanos, incluida la Declaración Americana. Ese </w:t>
      </w:r>
      <w:r w:rsidR="00643AE6" w:rsidRPr="00D8219A">
        <w:rPr>
          <w:lang w:val="es-UY"/>
        </w:rPr>
        <w:t>escrutinio estricto</w:t>
      </w:r>
      <w:r w:rsidRPr="00D8219A">
        <w:rPr>
          <w:lang w:val="es-UY"/>
        </w:rPr>
        <w:t xml:space="preserve"> es congruente con el enfoque restrictivo adoptado por otros órganos internacionales de derecho</w:t>
      </w:r>
      <w:r w:rsidR="00753E64" w:rsidRPr="00D8219A">
        <w:rPr>
          <w:lang w:val="es-UY"/>
        </w:rPr>
        <w:t>s humanos en casos que involucre</w:t>
      </w:r>
      <w:r w:rsidRPr="00D8219A">
        <w:rPr>
          <w:lang w:val="es-UY"/>
        </w:rPr>
        <w:t>n la imposición de la pena de muerte,</w:t>
      </w:r>
      <w:r w:rsidRPr="00D8219A">
        <w:rPr>
          <w:rStyle w:val="FootnoteReference"/>
        </w:rPr>
        <w:footnoteReference w:id="30"/>
      </w:r>
      <w:r w:rsidRPr="00D8219A">
        <w:rPr>
          <w:lang w:val="es-UY"/>
        </w:rPr>
        <w:t xml:space="preserve"> y ha sido invocado y aplicado por la Comisión Interamericana en casos anteriores </w:t>
      </w:r>
      <w:r w:rsidR="00E907A5" w:rsidRPr="00D8219A">
        <w:rPr>
          <w:lang w:val="es-UY"/>
        </w:rPr>
        <w:t xml:space="preserve">puestos a su consideración, </w:t>
      </w:r>
      <w:r w:rsidRPr="00D8219A">
        <w:rPr>
          <w:lang w:val="es-UY"/>
        </w:rPr>
        <w:t>relativos a la pena capital.</w:t>
      </w:r>
      <w:r w:rsidRPr="00D8219A">
        <w:rPr>
          <w:rStyle w:val="FootnoteReference"/>
        </w:rPr>
        <w:footnoteReference w:id="31"/>
      </w:r>
      <w:r w:rsidRPr="00D8219A">
        <w:rPr>
          <w:lang w:val="es-UY"/>
        </w:rPr>
        <w:t xml:space="preserve"> Tal como la Comisión Interamericana lo ha explicado, ese estándar de análisis es la consecuencia necesaria de la sanción específica de que se trata y del derecho a un juicio justo y a todas las garantías del debido proceso</w:t>
      </w:r>
      <w:r w:rsidR="00643AE6" w:rsidRPr="00D8219A">
        <w:rPr>
          <w:lang w:val="es-UY"/>
        </w:rPr>
        <w:t xml:space="preserve"> correspondientes</w:t>
      </w:r>
      <w:r w:rsidRPr="00D8219A">
        <w:rPr>
          <w:lang w:val="es-UY"/>
        </w:rPr>
        <w:t>, entre otras.</w:t>
      </w:r>
      <w:r w:rsidRPr="00D8219A">
        <w:rPr>
          <w:rStyle w:val="FootnoteReference"/>
        </w:rPr>
        <w:footnoteReference w:id="32"/>
      </w:r>
      <w:r w:rsidRPr="00D8219A">
        <w:rPr>
          <w:lang w:val="es-UY"/>
        </w:rPr>
        <w:t xml:space="preserve"> Como lo expresó </w:t>
      </w:r>
      <w:r w:rsidR="00D43CBA" w:rsidRPr="00D8219A">
        <w:rPr>
          <w:lang w:val="es-UY"/>
        </w:rPr>
        <w:t>la Comisión,</w:t>
      </w:r>
    </w:p>
    <w:p w14:paraId="74ACF2D1" w14:textId="77777777" w:rsidR="008C0C39" w:rsidRPr="00D8219A" w:rsidRDefault="008C0C39" w:rsidP="008C0C39">
      <w:pPr>
        <w:pStyle w:val="ListParagraph"/>
        <w:rPr>
          <w:rFonts w:asciiTheme="majorHAnsi" w:hAnsiTheme="majorHAnsi"/>
          <w:sz w:val="20"/>
          <w:szCs w:val="20"/>
          <w:lang w:val="es-UY"/>
        </w:rPr>
      </w:pPr>
    </w:p>
    <w:p w14:paraId="29EC39A8" w14:textId="77777777" w:rsidR="008C0C39" w:rsidRPr="00D8219A" w:rsidRDefault="008C0C39" w:rsidP="008C0C39">
      <w:pPr>
        <w:autoSpaceDE w:val="0"/>
        <w:autoSpaceDN w:val="0"/>
        <w:adjustRightInd w:val="0"/>
        <w:ind w:left="360" w:right="360"/>
        <w:jc w:val="both"/>
        <w:rPr>
          <w:rFonts w:asciiTheme="majorHAnsi" w:hAnsiTheme="majorHAnsi" w:cs="Calibri"/>
          <w:sz w:val="18"/>
          <w:szCs w:val="18"/>
          <w:lang w:val="es-UY"/>
        </w:rPr>
      </w:pPr>
      <w:r w:rsidRPr="00D8219A">
        <w:rPr>
          <w:rFonts w:asciiTheme="majorHAnsi" w:hAnsiTheme="majorHAnsi"/>
          <w:color w:val="000000"/>
          <w:sz w:val="18"/>
          <w:szCs w:val="18"/>
          <w:lang w:val="es-UY"/>
        </w:rPr>
        <w:t>debido en parte a su carácter irrevocable e irreversible, la pena de muerte es una forma de castigo que se diferencia sustancialmente y en grado de otros medios de castigo, por lo cual reclama una certeza particularmente rigurosa en la determinación de la responsabilidad de una pe</w:t>
      </w:r>
      <w:r w:rsidR="00943711" w:rsidRPr="00D8219A">
        <w:rPr>
          <w:rFonts w:asciiTheme="majorHAnsi" w:hAnsiTheme="majorHAnsi"/>
          <w:color w:val="000000"/>
          <w:sz w:val="18"/>
          <w:szCs w:val="18"/>
          <w:lang w:val="es-UY"/>
        </w:rPr>
        <w:t>rsona por un delito que comport[e]</w:t>
      </w:r>
      <w:r w:rsidRPr="00D8219A">
        <w:rPr>
          <w:rFonts w:asciiTheme="majorHAnsi" w:hAnsiTheme="majorHAnsi"/>
          <w:color w:val="000000"/>
          <w:sz w:val="18"/>
          <w:szCs w:val="18"/>
          <w:lang w:val="es-UY"/>
        </w:rPr>
        <w:t xml:space="preserve"> la pena de muerte</w:t>
      </w:r>
      <w:r w:rsidRPr="00D8219A">
        <w:rPr>
          <w:rFonts w:asciiTheme="majorHAnsi" w:hAnsiTheme="majorHAnsi"/>
          <w:color w:val="000000"/>
          <w:sz w:val="20"/>
          <w:szCs w:val="20"/>
          <w:lang w:val="es-UY"/>
        </w:rPr>
        <w:t>.</w:t>
      </w:r>
      <w:r w:rsidRPr="00D8219A">
        <w:rPr>
          <w:rStyle w:val="FootnoteReference"/>
          <w:rFonts w:asciiTheme="majorHAnsi" w:hAnsiTheme="majorHAnsi"/>
          <w:sz w:val="18"/>
          <w:szCs w:val="18"/>
        </w:rPr>
        <w:footnoteReference w:id="33"/>
      </w:r>
    </w:p>
    <w:p w14:paraId="666CB413" w14:textId="77777777" w:rsidR="008C0C39" w:rsidRPr="00D8219A" w:rsidRDefault="008C0C39" w:rsidP="008C0C39">
      <w:pPr>
        <w:jc w:val="both"/>
        <w:rPr>
          <w:rFonts w:asciiTheme="majorHAnsi" w:hAnsiTheme="majorHAnsi"/>
          <w:sz w:val="20"/>
          <w:szCs w:val="20"/>
          <w:lang w:val="es-UY"/>
        </w:rPr>
      </w:pPr>
    </w:p>
    <w:p w14:paraId="73453921" w14:textId="77777777" w:rsidR="008C0C39" w:rsidRPr="00D8219A" w:rsidRDefault="008C0C39" w:rsidP="008C0C39">
      <w:pPr>
        <w:pStyle w:val="NormalWeb"/>
        <w:numPr>
          <w:ilvl w:val="0"/>
          <w:numId w:val="57"/>
        </w:numPr>
        <w:shd w:val="clear" w:color="auto" w:fill="FFFFFF"/>
        <w:tabs>
          <w:tab w:val="left" w:pos="360"/>
        </w:tabs>
        <w:spacing w:before="0" w:beforeAutospacing="0" w:after="0" w:afterAutospacing="0"/>
        <w:ind w:left="0" w:firstLine="0"/>
        <w:jc w:val="both"/>
        <w:rPr>
          <w:rFonts w:asciiTheme="majorHAnsi" w:eastAsia="Arial Unicode MS" w:hAnsiTheme="majorHAnsi"/>
          <w:sz w:val="20"/>
          <w:szCs w:val="20"/>
          <w:bdr w:val="nil"/>
          <w:lang w:val="es-UY"/>
        </w:rPr>
      </w:pPr>
      <w:r w:rsidRPr="00D8219A">
        <w:rPr>
          <w:rFonts w:asciiTheme="majorHAnsi" w:hAnsiTheme="majorHAnsi"/>
          <w:sz w:val="20"/>
          <w:szCs w:val="20"/>
          <w:lang w:val="es-UY"/>
        </w:rPr>
        <w:t>En consecuencia</w:t>
      </w:r>
      <w:r w:rsidR="00643AE6" w:rsidRPr="00D8219A">
        <w:rPr>
          <w:rFonts w:asciiTheme="majorHAnsi" w:hAnsiTheme="majorHAnsi"/>
          <w:sz w:val="20"/>
          <w:szCs w:val="20"/>
          <w:lang w:val="es-UY"/>
        </w:rPr>
        <w:t>,</w:t>
      </w:r>
      <w:r w:rsidRPr="00D8219A">
        <w:rPr>
          <w:rFonts w:asciiTheme="majorHAnsi" w:hAnsiTheme="majorHAnsi"/>
          <w:sz w:val="20"/>
          <w:szCs w:val="20"/>
          <w:lang w:val="es-UY"/>
        </w:rPr>
        <w:t xml:space="preserve"> la Comisión Interamericana examinará</w:t>
      </w:r>
      <w:r w:rsidR="00D43CBA" w:rsidRPr="00D8219A">
        <w:rPr>
          <w:rFonts w:asciiTheme="majorHAnsi" w:hAnsiTheme="majorHAnsi"/>
          <w:sz w:val="20"/>
          <w:szCs w:val="20"/>
          <w:lang w:val="es-UY"/>
        </w:rPr>
        <w:t xml:space="preserve"> con un </w:t>
      </w:r>
      <w:r w:rsidR="00D44E99" w:rsidRPr="00D8219A">
        <w:rPr>
          <w:rFonts w:asciiTheme="majorHAnsi" w:hAnsiTheme="majorHAnsi"/>
          <w:sz w:val="20"/>
          <w:szCs w:val="20"/>
          <w:lang w:val="es-UY"/>
        </w:rPr>
        <w:t>un escrutinio más estricto</w:t>
      </w:r>
      <w:r w:rsidR="00D43CBA" w:rsidRPr="00D8219A">
        <w:rPr>
          <w:rFonts w:asciiTheme="majorHAnsi" w:hAnsiTheme="majorHAnsi"/>
          <w:sz w:val="20"/>
          <w:szCs w:val="20"/>
          <w:lang w:val="es-UY"/>
        </w:rPr>
        <w:t xml:space="preserve"> </w:t>
      </w:r>
      <w:r w:rsidRPr="00D8219A">
        <w:rPr>
          <w:rFonts w:asciiTheme="majorHAnsi" w:hAnsiTheme="majorHAnsi"/>
          <w:sz w:val="20"/>
          <w:szCs w:val="20"/>
          <w:lang w:val="es-UY"/>
        </w:rPr>
        <w:t>lo alegado por el peticionario en el presente caso, como garantía de que los derechos a la vida, al debido proceso y a un juicio justo preceptuados por la Declaración Americana hayan sido respetados por el Estado. Con respecto a la naturaleza jurídica de la</w:t>
      </w:r>
      <w:r w:rsidRPr="00D8219A">
        <w:rPr>
          <w:rFonts w:asciiTheme="majorHAnsi" w:hAnsiTheme="majorHAnsi"/>
          <w:sz w:val="20"/>
          <w:lang w:val="es-UY"/>
        </w:rPr>
        <w:t xml:space="preserve"> Declaración Americana, la CIDH reitera que</w:t>
      </w:r>
      <w:r w:rsidRPr="00D8219A">
        <w:rPr>
          <w:rStyle w:val="FootnoteReference"/>
          <w:rFonts w:asciiTheme="majorHAnsi" w:hAnsiTheme="majorHAnsi"/>
          <w:sz w:val="20"/>
          <w:szCs w:val="20"/>
        </w:rPr>
        <w:footnoteReference w:id="34"/>
      </w:r>
      <w:r w:rsidRPr="00D8219A">
        <w:rPr>
          <w:rFonts w:asciiTheme="majorHAnsi" w:hAnsiTheme="majorHAnsi" w:cs="Tahoma"/>
          <w:color w:val="262626"/>
          <w:sz w:val="20"/>
          <w:szCs w:val="20"/>
          <w:lang w:val="es-UY"/>
        </w:rPr>
        <w:t xml:space="preserve"> </w:t>
      </w:r>
    </w:p>
    <w:p w14:paraId="41ADAD56" w14:textId="77777777" w:rsidR="008C0C39" w:rsidRPr="00D8219A" w:rsidRDefault="008C0C39" w:rsidP="008C0C39">
      <w:pPr>
        <w:tabs>
          <w:tab w:val="left" w:pos="630"/>
          <w:tab w:val="left" w:pos="810"/>
        </w:tabs>
        <w:autoSpaceDE w:val="0"/>
        <w:autoSpaceDN w:val="0"/>
        <w:adjustRightInd w:val="0"/>
        <w:jc w:val="both"/>
        <w:rPr>
          <w:rFonts w:asciiTheme="majorHAnsi" w:hAnsiTheme="majorHAnsi" w:cs="Calibri"/>
          <w:sz w:val="20"/>
          <w:szCs w:val="20"/>
          <w:lang w:val="es-UY"/>
        </w:rPr>
      </w:pPr>
    </w:p>
    <w:p w14:paraId="3EDF89F1" w14:textId="77777777" w:rsidR="008C0C39" w:rsidRPr="00D8219A" w:rsidRDefault="008C0C39" w:rsidP="008C0C39">
      <w:pPr>
        <w:tabs>
          <w:tab w:val="left" w:pos="630"/>
          <w:tab w:val="left" w:pos="810"/>
        </w:tabs>
        <w:autoSpaceDE w:val="0"/>
        <w:autoSpaceDN w:val="0"/>
        <w:adjustRightInd w:val="0"/>
        <w:ind w:left="360" w:right="360"/>
        <w:jc w:val="both"/>
        <w:rPr>
          <w:rFonts w:asciiTheme="majorHAnsi" w:hAnsiTheme="majorHAnsi"/>
          <w:sz w:val="18"/>
          <w:szCs w:val="18"/>
          <w:lang w:val="es-UY"/>
        </w:rPr>
      </w:pPr>
      <w:r w:rsidRPr="00D8219A">
        <w:rPr>
          <w:rFonts w:asciiTheme="majorHAnsi" w:hAnsiTheme="majorHAnsi"/>
          <w:sz w:val="18"/>
          <w:szCs w:val="18"/>
          <w:lang w:val="es-UY"/>
        </w:rPr>
        <w:t>[p]ara los Estados Miembros que no son parte de la Convención Americana, la Declaración es la fuente de obligaciones internacionales relacionadas con la Carta de la OEA. La Carta de la Organización confirió a la CIDH la función principal de promover la observancia y la protección de los derechos humanos en los Estados Miembros. El artículo 106 de la Carta de la OEA, sin embargo, no enumera o define esos derechos. La Asamblea General de la OEA, en su noveno período ordinario de sesiones</w:t>
      </w:r>
      <w:r w:rsidR="00597D07" w:rsidRPr="00D8219A">
        <w:rPr>
          <w:rFonts w:asciiTheme="majorHAnsi" w:hAnsiTheme="majorHAnsi"/>
          <w:sz w:val="18"/>
          <w:szCs w:val="18"/>
          <w:lang w:val="es-UY"/>
        </w:rPr>
        <w:t>,</w:t>
      </w:r>
      <w:r w:rsidRPr="00D8219A">
        <w:rPr>
          <w:rFonts w:asciiTheme="majorHAnsi" w:hAnsiTheme="majorHAnsi"/>
          <w:sz w:val="18"/>
          <w:szCs w:val="18"/>
          <w:lang w:val="es-UY"/>
        </w:rPr>
        <w:t xml:space="preserve"> celebrado en La Paz, Bolivia, en octubre de 1979, convin</w:t>
      </w:r>
      <w:r w:rsidR="00597D07" w:rsidRPr="00D8219A">
        <w:rPr>
          <w:rFonts w:asciiTheme="majorHAnsi" w:hAnsiTheme="majorHAnsi"/>
          <w:sz w:val="18"/>
          <w:szCs w:val="18"/>
          <w:lang w:val="es-UY"/>
        </w:rPr>
        <w:t xml:space="preserve">o en que esos derechos </w:t>
      </w:r>
      <w:r w:rsidRPr="00D8219A">
        <w:rPr>
          <w:rFonts w:asciiTheme="majorHAnsi" w:hAnsiTheme="majorHAnsi"/>
          <w:sz w:val="18"/>
          <w:szCs w:val="18"/>
          <w:lang w:val="es-UY"/>
        </w:rPr>
        <w:t>los enunciados y definidos en la Decla</w:t>
      </w:r>
      <w:r w:rsidR="00597D07" w:rsidRPr="00D8219A">
        <w:rPr>
          <w:rFonts w:asciiTheme="majorHAnsi" w:hAnsiTheme="majorHAnsi"/>
          <w:sz w:val="18"/>
          <w:szCs w:val="18"/>
          <w:lang w:val="es-UY"/>
        </w:rPr>
        <w:t xml:space="preserve">ración Americana. Por lo tanto </w:t>
      </w:r>
      <w:r w:rsidRPr="00D8219A">
        <w:rPr>
          <w:rFonts w:asciiTheme="majorHAnsi" w:hAnsiTheme="majorHAnsi"/>
          <w:sz w:val="18"/>
          <w:szCs w:val="18"/>
          <w:lang w:val="es-UY"/>
        </w:rPr>
        <w:t>la Declaración Americana cristaliza los principios fundamentales reconocidos por los Estados americanos. La Asamblea General de la OEA también ha reconocido repetidamente que la Declaración constituye una fuente de obligaciones internacionales para los Estados Miembros de la OEA.</w:t>
      </w:r>
    </w:p>
    <w:p w14:paraId="20BBCA41" w14:textId="77777777" w:rsidR="008C0C39" w:rsidRPr="00D8219A" w:rsidRDefault="008C0C39" w:rsidP="008C0C39">
      <w:pPr>
        <w:pStyle w:val="ListParagraph"/>
        <w:rPr>
          <w:rFonts w:asciiTheme="majorHAnsi" w:hAnsiTheme="majorHAnsi"/>
          <w:sz w:val="20"/>
          <w:szCs w:val="20"/>
          <w:lang w:val="es-UY"/>
        </w:rPr>
      </w:pPr>
    </w:p>
    <w:p w14:paraId="5F4AE213" w14:textId="77777777" w:rsidR="008C0C39" w:rsidRPr="00D8219A" w:rsidRDefault="008C0C39" w:rsidP="008C0C39">
      <w:pPr>
        <w:pStyle w:val="NormalWeb"/>
        <w:numPr>
          <w:ilvl w:val="0"/>
          <w:numId w:val="57"/>
        </w:numPr>
        <w:shd w:val="clear" w:color="auto" w:fill="FFFFFF"/>
        <w:tabs>
          <w:tab w:val="left" w:pos="360"/>
        </w:tabs>
        <w:spacing w:before="0" w:beforeAutospacing="0" w:after="0" w:afterAutospacing="0"/>
        <w:ind w:left="0" w:firstLine="0"/>
        <w:jc w:val="both"/>
        <w:rPr>
          <w:rFonts w:asciiTheme="majorHAnsi" w:eastAsia="Arial Unicode MS" w:hAnsiTheme="majorHAnsi"/>
          <w:sz w:val="20"/>
          <w:szCs w:val="20"/>
          <w:bdr w:val="nil"/>
          <w:lang w:val="es-UY"/>
        </w:rPr>
      </w:pPr>
      <w:r w:rsidRPr="00D8219A">
        <w:rPr>
          <w:rFonts w:asciiTheme="majorHAnsi" w:hAnsiTheme="majorHAnsi"/>
          <w:sz w:val="20"/>
          <w:lang w:val="es-UY"/>
        </w:rPr>
        <w:t>Finalmente</w:t>
      </w:r>
      <w:r w:rsidR="005536E1" w:rsidRPr="00D8219A">
        <w:rPr>
          <w:rFonts w:asciiTheme="majorHAnsi" w:hAnsiTheme="majorHAnsi"/>
          <w:sz w:val="20"/>
          <w:lang w:val="es-UY"/>
        </w:rPr>
        <w:t>,</w:t>
      </w:r>
      <w:r w:rsidRPr="00D8219A">
        <w:rPr>
          <w:rFonts w:asciiTheme="majorHAnsi" w:hAnsiTheme="majorHAnsi"/>
          <w:sz w:val="20"/>
          <w:lang w:val="es-UY"/>
        </w:rPr>
        <w:t xml:space="preserve"> la Comisi</w:t>
      </w:r>
      <w:r w:rsidR="00597D07" w:rsidRPr="00D8219A">
        <w:rPr>
          <w:rFonts w:asciiTheme="majorHAnsi" w:hAnsiTheme="majorHAnsi"/>
          <w:sz w:val="20"/>
          <w:lang w:val="es-UY"/>
        </w:rPr>
        <w:t>ón recuerda que su examen no con</w:t>
      </w:r>
      <w:r w:rsidRPr="00D8219A">
        <w:rPr>
          <w:rFonts w:asciiTheme="majorHAnsi" w:hAnsiTheme="majorHAnsi"/>
          <w:sz w:val="20"/>
          <w:lang w:val="es-UY"/>
        </w:rPr>
        <w:t>siste en determinar que la pena de muerte</w:t>
      </w:r>
      <w:r w:rsidR="00580D4E" w:rsidRPr="00D8219A">
        <w:rPr>
          <w:rFonts w:asciiTheme="majorHAnsi" w:hAnsiTheme="majorHAnsi"/>
          <w:sz w:val="20"/>
          <w:lang w:val="es-UY"/>
        </w:rPr>
        <w:t xml:space="preserve"> de por sí viole</w:t>
      </w:r>
      <w:r w:rsidRPr="00D8219A">
        <w:rPr>
          <w:rFonts w:asciiTheme="majorHAnsi" w:hAnsiTheme="majorHAnsi"/>
          <w:sz w:val="20"/>
          <w:lang w:val="es-UY"/>
        </w:rPr>
        <w:t xml:space="preserve"> la Declaración Americana. </w:t>
      </w:r>
      <w:r w:rsidR="00597D07" w:rsidRPr="00D8219A">
        <w:rPr>
          <w:rFonts w:asciiTheme="majorHAnsi" w:hAnsiTheme="majorHAnsi"/>
          <w:sz w:val="20"/>
          <w:lang w:val="es-UY"/>
        </w:rPr>
        <w:t>Lo que se considera en e</w:t>
      </w:r>
      <w:r w:rsidRPr="00D8219A">
        <w:rPr>
          <w:rFonts w:asciiTheme="majorHAnsi" w:hAnsiTheme="majorHAnsi"/>
          <w:sz w:val="20"/>
          <w:lang w:val="es-UY"/>
        </w:rPr>
        <w:t>sta</w:t>
      </w:r>
      <w:r w:rsidR="00597D07" w:rsidRPr="00D8219A">
        <w:rPr>
          <w:rFonts w:asciiTheme="majorHAnsi" w:hAnsiTheme="majorHAnsi"/>
          <w:sz w:val="20"/>
          <w:lang w:val="es-UY"/>
        </w:rPr>
        <w:t xml:space="preserve"> sección es</w:t>
      </w:r>
      <w:r w:rsidRPr="00D8219A">
        <w:rPr>
          <w:rFonts w:asciiTheme="majorHAnsi" w:hAnsiTheme="majorHAnsi"/>
          <w:sz w:val="20"/>
          <w:lang w:val="es-UY"/>
        </w:rPr>
        <w:t xml:space="preserve"> el estándar de revisi</w:t>
      </w:r>
      <w:r w:rsidR="005536E1" w:rsidRPr="00D8219A">
        <w:rPr>
          <w:rFonts w:asciiTheme="majorHAnsi" w:hAnsiTheme="majorHAnsi"/>
          <w:sz w:val="20"/>
          <w:lang w:val="es-UY"/>
        </w:rPr>
        <w:t>ó</w:t>
      </w:r>
      <w:r w:rsidRPr="00D8219A">
        <w:rPr>
          <w:rFonts w:asciiTheme="majorHAnsi" w:hAnsiTheme="majorHAnsi"/>
          <w:sz w:val="20"/>
          <w:lang w:val="es-UY"/>
        </w:rPr>
        <w:t>n de las supuestas violaciones de derechos humanos en el contexto</w:t>
      </w:r>
      <w:r w:rsidR="00D23513" w:rsidRPr="00D8219A">
        <w:rPr>
          <w:rFonts w:asciiTheme="majorHAnsi" w:hAnsiTheme="majorHAnsi"/>
          <w:sz w:val="20"/>
          <w:lang w:val="es-UY"/>
        </w:rPr>
        <w:t xml:space="preserve"> de un juicio que culmine e</w:t>
      </w:r>
      <w:r w:rsidRPr="00D8219A">
        <w:rPr>
          <w:rFonts w:asciiTheme="majorHAnsi" w:hAnsiTheme="majorHAnsi"/>
          <w:sz w:val="20"/>
          <w:lang w:val="es-UY"/>
        </w:rPr>
        <w:t>n la pena de muerte.</w:t>
      </w:r>
      <w:bookmarkStart w:id="21" w:name="_Toc485650798"/>
    </w:p>
    <w:p w14:paraId="56CFD129" w14:textId="77777777" w:rsidR="008C0C39" w:rsidRPr="00D8219A" w:rsidRDefault="008C0C39" w:rsidP="008C0C39">
      <w:pPr>
        <w:pStyle w:val="NormalWeb"/>
        <w:shd w:val="clear" w:color="auto" w:fill="FFFFFF"/>
        <w:tabs>
          <w:tab w:val="left" w:pos="360"/>
        </w:tabs>
        <w:spacing w:before="0" w:beforeAutospacing="0" w:after="0" w:afterAutospacing="0"/>
        <w:jc w:val="both"/>
        <w:rPr>
          <w:rFonts w:asciiTheme="majorHAnsi" w:hAnsiTheme="majorHAnsi"/>
          <w:sz w:val="20"/>
          <w:lang w:val="es-UY"/>
        </w:rPr>
      </w:pPr>
    </w:p>
    <w:p w14:paraId="7D97FF10" w14:textId="77777777" w:rsidR="008C0C39" w:rsidRPr="00D8219A" w:rsidRDefault="008C0C39" w:rsidP="008C0C39">
      <w:pPr>
        <w:pStyle w:val="Heading2"/>
        <w:tabs>
          <w:tab w:val="left" w:pos="360"/>
        </w:tabs>
        <w:spacing w:before="0"/>
        <w:rPr>
          <w:color w:val="auto"/>
          <w:sz w:val="20"/>
          <w:szCs w:val="20"/>
        </w:rPr>
      </w:pPr>
      <w:bookmarkStart w:id="22" w:name="_Toc69212249"/>
      <w:r w:rsidRPr="00D8219A">
        <w:rPr>
          <w:color w:val="auto"/>
          <w:sz w:val="20"/>
          <w:szCs w:val="20"/>
        </w:rPr>
        <w:lastRenderedPageBreak/>
        <w:t>B.</w:t>
      </w:r>
      <w:r w:rsidRPr="00D8219A">
        <w:rPr>
          <w:color w:val="auto"/>
          <w:sz w:val="20"/>
          <w:szCs w:val="20"/>
        </w:rPr>
        <w:tab/>
        <w:t xml:space="preserve">Responsabilidad </w:t>
      </w:r>
      <w:r w:rsidR="00C400EB" w:rsidRPr="00D8219A">
        <w:rPr>
          <w:color w:val="auto"/>
          <w:sz w:val="20"/>
          <w:szCs w:val="20"/>
        </w:rPr>
        <w:t xml:space="preserve">internacional </w:t>
      </w:r>
      <w:r w:rsidRPr="00D8219A">
        <w:rPr>
          <w:color w:val="auto"/>
          <w:sz w:val="20"/>
          <w:szCs w:val="20"/>
        </w:rPr>
        <w:t>extraterritorial</w:t>
      </w:r>
      <w:bookmarkEnd w:id="22"/>
      <w:r w:rsidRPr="00D8219A">
        <w:rPr>
          <w:color w:val="auto"/>
          <w:sz w:val="20"/>
          <w:szCs w:val="20"/>
        </w:rPr>
        <w:t xml:space="preserve"> </w:t>
      </w:r>
    </w:p>
    <w:p w14:paraId="4B20FB9A" w14:textId="77777777" w:rsidR="008C0C39" w:rsidRPr="00D8219A" w:rsidRDefault="008C0C39" w:rsidP="008C0C39">
      <w:pPr>
        <w:pStyle w:val="NormalWeb"/>
        <w:shd w:val="clear" w:color="auto" w:fill="FFFFFF"/>
        <w:tabs>
          <w:tab w:val="left" w:pos="360"/>
        </w:tabs>
        <w:spacing w:before="0" w:beforeAutospacing="0" w:after="0" w:afterAutospacing="0"/>
        <w:ind w:left="360" w:hanging="360"/>
        <w:jc w:val="both"/>
        <w:rPr>
          <w:rFonts w:asciiTheme="majorHAnsi" w:hAnsiTheme="majorHAnsi"/>
          <w:b/>
          <w:sz w:val="20"/>
        </w:rPr>
      </w:pPr>
    </w:p>
    <w:p w14:paraId="4B612746" w14:textId="77777777" w:rsidR="008C0C39" w:rsidRPr="00D8219A" w:rsidRDefault="008C0C39" w:rsidP="0065471F">
      <w:pPr>
        <w:pStyle w:val="NormalWeb"/>
        <w:numPr>
          <w:ilvl w:val="0"/>
          <w:numId w:val="57"/>
        </w:numPr>
        <w:shd w:val="clear" w:color="auto" w:fill="FFFFFF"/>
        <w:tabs>
          <w:tab w:val="left" w:pos="360"/>
        </w:tabs>
        <w:spacing w:before="0" w:beforeAutospacing="0" w:after="0" w:afterAutospacing="0"/>
        <w:ind w:left="0" w:firstLine="0"/>
        <w:jc w:val="both"/>
        <w:rPr>
          <w:rFonts w:asciiTheme="majorHAnsi" w:hAnsiTheme="majorHAnsi"/>
          <w:sz w:val="20"/>
          <w:lang w:val="es-UY"/>
        </w:rPr>
      </w:pPr>
      <w:r w:rsidRPr="00D8219A">
        <w:rPr>
          <w:rFonts w:asciiTheme="majorHAnsi" w:hAnsiTheme="majorHAnsi"/>
          <w:sz w:val="20"/>
          <w:lang w:val="es-UY"/>
        </w:rPr>
        <w:t xml:space="preserve">Como se señaló en la Sección III </w:t>
      </w:r>
      <w:r w:rsidR="00580D4E" w:rsidRPr="00D8219A">
        <w:rPr>
          <w:rFonts w:asciiTheme="majorHAnsi" w:hAnsiTheme="majorHAnsi"/>
          <w:sz w:val="20"/>
          <w:lang w:val="es-UY"/>
        </w:rPr>
        <w:t>d</w:t>
      </w:r>
      <w:r w:rsidRPr="00D8219A">
        <w:rPr>
          <w:rFonts w:asciiTheme="majorHAnsi" w:hAnsiTheme="majorHAnsi"/>
          <w:sz w:val="20"/>
          <w:lang w:val="es-UY"/>
        </w:rPr>
        <w:t xml:space="preserve">el presente informe, la competencia no es </w:t>
      </w:r>
      <w:r w:rsidR="00806FED" w:rsidRPr="00D8219A">
        <w:rPr>
          <w:rFonts w:asciiTheme="majorHAnsi" w:hAnsiTheme="majorHAnsi"/>
          <w:sz w:val="20"/>
          <w:lang w:val="es-UY"/>
        </w:rPr>
        <w:t xml:space="preserve">un concepto </w:t>
      </w:r>
      <w:r w:rsidRPr="00D8219A">
        <w:rPr>
          <w:rFonts w:asciiTheme="majorHAnsi" w:hAnsiTheme="majorHAnsi"/>
          <w:sz w:val="20"/>
          <w:lang w:val="es-UY"/>
        </w:rPr>
        <w:t>exclusivamente territorial. Los Estados tienen la obligación de respetar los derechos de todas las personas comprendi</w:t>
      </w:r>
      <w:r w:rsidR="006C16FB" w:rsidRPr="00D8219A">
        <w:rPr>
          <w:rFonts w:asciiTheme="majorHAnsi" w:hAnsiTheme="majorHAnsi"/>
          <w:sz w:val="20"/>
          <w:lang w:val="es-UY"/>
        </w:rPr>
        <w:t>das en su territorio y de las que esté</w:t>
      </w:r>
      <w:r w:rsidRPr="00D8219A">
        <w:rPr>
          <w:rFonts w:asciiTheme="majorHAnsi" w:hAnsiTheme="majorHAnsi"/>
          <w:sz w:val="20"/>
          <w:lang w:val="es-UY"/>
        </w:rPr>
        <w:t>n presentes en el territorio</w:t>
      </w:r>
      <w:r w:rsidR="002318AA" w:rsidRPr="00D8219A">
        <w:rPr>
          <w:rFonts w:asciiTheme="majorHAnsi" w:hAnsiTheme="majorHAnsi"/>
          <w:sz w:val="20"/>
          <w:lang w:val="es-UY"/>
        </w:rPr>
        <w:t xml:space="preserve"> de otro Estado pero sujetas</w:t>
      </w:r>
      <w:r w:rsidRPr="00D8219A">
        <w:rPr>
          <w:rFonts w:asciiTheme="majorHAnsi" w:hAnsiTheme="majorHAnsi"/>
          <w:sz w:val="20"/>
          <w:lang w:val="es-UY"/>
        </w:rPr>
        <w:t xml:space="preserve"> al control de sus agentes. La CIDH ha subrayado que al analizar el ámbito de competencia de la Declaración Americana es necesario determinar si existe un nexo causal entre</w:t>
      </w:r>
      <w:r w:rsidR="006C16FB" w:rsidRPr="00D8219A">
        <w:rPr>
          <w:rFonts w:asciiTheme="majorHAnsi" w:hAnsiTheme="majorHAnsi"/>
          <w:sz w:val="20"/>
          <w:lang w:val="es-UY"/>
        </w:rPr>
        <w:t xml:space="preserve"> el proceder extraterritorial de un Estado a través de</w:t>
      </w:r>
      <w:r w:rsidRPr="00D8219A">
        <w:rPr>
          <w:rFonts w:asciiTheme="majorHAnsi" w:hAnsiTheme="majorHAnsi"/>
          <w:sz w:val="20"/>
          <w:lang w:val="es-UY"/>
        </w:rPr>
        <w:t xml:space="preserve"> los actos u omisiones de sus agentes y/o de personas que hayan actuado bajo sus órdenes o con su aquiescencia, y la supuesta violación de los derechos y libertades de una persona.</w:t>
      </w:r>
      <w:r w:rsidRPr="00D8219A">
        <w:rPr>
          <w:rStyle w:val="FootnoteReference"/>
          <w:rFonts w:asciiTheme="majorHAnsi" w:hAnsiTheme="majorHAnsi"/>
          <w:sz w:val="20"/>
          <w:szCs w:val="20"/>
        </w:rPr>
        <w:footnoteReference w:id="35"/>
      </w:r>
      <w:r w:rsidRPr="00D8219A">
        <w:rPr>
          <w:rFonts w:asciiTheme="majorHAnsi" w:hAnsiTheme="majorHAnsi"/>
          <w:sz w:val="20"/>
          <w:szCs w:val="20"/>
          <w:lang w:val="es-UY"/>
        </w:rPr>
        <w:t xml:space="preserve"> </w:t>
      </w:r>
    </w:p>
    <w:p w14:paraId="692C8A95" w14:textId="77777777" w:rsidR="008C0C39" w:rsidRPr="00D8219A" w:rsidRDefault="008C0C39" w:rsidP="008C0C39">
      <w:pPr>
        <w:pStyle w:val="NormalWeb"/>
        <w:shd w:val="clear" w:color="auto" w:fill="FFFFFF"/>
        <w:tabs>
          <w:tab w:val="left" w:pos="360"/>
        </w:tabs>
        <w:spacing w:before="0" w:beforeAutospacing="0" w:after="0" w:afterAutospacing="0"/>
        <w:jc w:val="both"/>
        <w:rPr>
          <w:rFonts w:asciiTheme="majorHAnsi" w:hAnsiTheme="majorHAnsi"/>
          <w:sz w:val="20"/>
          <w:szCs w:val="20"/>
          <w:lang w:val="es-UY"/>
        </w:rPr>
      </w:pPr>
    </w:p>
    <w:p w14:paraId="6CCD7461" w14:textId="77777777" w:rsidR="008C0C39" w:rsidRPr="00D8219A" w:rsidRDefault="008C0C39" w:rsidP="008C0C39">
      <w:pPr>
        <w:pStyle w:val="NormalWeb"/>
        <w:numPr>
          <w:ilvl w:val="0"/>
          <w:numId w:val="57"/>
        </w:numPr>
        <w:shd w:val="clear" w:color="auto" w:fill="FFFFFF"/>
        <w:tabs>
          <w:tab w:val="left" w:pos="360"/>
        </w:tabs>
        <w:spacing w:before="0" w:beforeAutospacing="0" w:after="0" w:afterAutospacing="0"/>
        <w:ind w:left="0" w:firstLine="0"/>
        <w:jc w:val="both"/>
        <w:rPr>
          <w:rFonts w:asciiTheme="majorHAnsi" w:hAnsiTheme="majorHAnsi"/>
          <w:sz w:val="20"/>
          <w:szCs w:val="20"/>
          <w:lang w:val="es-UY"/>
        </w:rPr>
      </w:pPr>
      <w:r w:rsidRPr="00D8219A">
        <w:rPr>
          <w:rFonts w:asciiTheme="majorHAnsi" w:hAnsiTheme="majorHAnsi"/>
          <w:sz w:val="20"/>
          <w:lang w:val="es-UY"/>
        </w:rPr>
        <w:t>Otras entidades internacionales, al analizar el ámbito de aplicación de instrumentos internacionales de derechos humanos</w:t>
      </w:r>
      <w:r w:rsidR="003822A0" w:rsidRPr="00D8219A">
        <w:rPr>
          <w:rFonts w:asciiTheme="majorHAnsi" w:hAnsiTheme="majorHAnsi"/>
          <w:sz w:val="20"/>
          <w:lang w:val="es-UY"/>
        </w:rPr>
        <w:t>,</w:t>
      </w:r>
      <w:r w:rsidRPr="00D8219A">
        <w:rPr>
          <w:rFonts w:asciiTheme="majorHAnsi" w:hAnsiTheme="majorHAnsi"/>
          <w:sz w:val="20"/>
          <w:lang w:val="es-UY"/>
        </w:rPr>
        <w:t xml:space="preserve"> han considerado también </w:t>
      </w:r>
      <w:r w:rsidR="003822A0" w:rsidRPr="00D8219A">
        <w:rPr>
          <w:rFonts w:asciiTheme="majorHAnsi" w:hAnsiTheme="majorHAnsi"/>
          <w:sz w:val="20"/>
          <w:lang w:val="es-UY"/>
        </w:rPr>
        <w:t>la</w:t>
      </w:r>
      <w:r w:rsidRPr="00D8219A">
        <w:rPr>
          <w:rFonts w:asciiTheme="majorHAnsi" w:hAnsiTheme="majorHAnsi"/>
          <w:sz w:val="20"/>
          <w:lang w:val="es-UY"/>
        </w:rPr>
        <w:t xml:space="preserve"> posible aplicación extraterritorial</w:t>
      </w:r>
      <w:r w:rsidR="003822A0" w:rsidRPr="00D8219A">
        <w:rPr>
          <w:rFonts w:asciiTheme="majorHAnsi" w:hAnsiTheme="majorHAnsi"/>
          <w:sz w:val="20"/>
          <w:lang w:val="es-UY"/>
        </w:rPr>
        <w:t xml:space="preserve"> de los mismos</w:t>
      </w:r>
      <w:r w:rsidRPr="00D8219A">
        <w:rPr>
          <w:rFonts w:asciiTheme="majorHAnsi" w:hAnsiTheme="majorHAnsi"/>
          <w:sz w:val="20"/>
          <w:lang w:val="es-UY"/>
        </w:rPr>
        <w:t>.</w:t>
      </w:r>
      <w:r w:rsidRPr="00D8219A">
        <w:rPr>
          <w:rStyle w:val="FootnoteReference"/>
          <w:rFonts w:asciiTheme="majorHAnsi" w:hAnsiTheme="majorHAnsi"/>
          <w:sz w:val="20"/>
          <w:szCs w:val="20"/>
        </w:rPr>
        <w:footnoteReference w:id="36"/>
      </w:r>
      <w:r w:rsidRPr="00D8219A">
        <w:rPr>
          <w:rFonts w:asciiTheme="majorHAnsi" w:hAnsiTheme="majorHAnsi"/>
          <w:sz w:val="20"/>
          <w:lang w:val="es-UY"/>
        </w:rPr>
        <w:t xml:space="preserve"> La</w:t>
      </w:r>
      <w:r w:rsidRPr="00D8219A">
        <w:rPr>
          <w:rFonts w:asciiTheme="majorHAnsi" w:hAnsiTheme="majorHAnsi"/>
          <w:sz w:val="20"/>
          <w:szCs w:val="20"/>
          <w:lang w:val="es-UY"/>
        </w:rPr>
        <w:t xml:space="preserve"> Corte Europea de Derechos Humanos ha determinado que el término “jurisdicción” no está limitado al territorio de un Estado parte, ya que puede surgir responsabilidad por actos de sus autoridades que surtan efectos fuera de su territorio.</w:t>
      </w:r>
      <w:r w:rsidRPr="00D8219A">
        <w:rPr>
          <w:rStyle w:val="FootnoteReference"/>
          <w:rFonts w:asciiTheme="majorHAnsi" w:hAnsiTheme="majorHAnsi"/>
          <w:sz w:val="20"/>
          <w:szCs w:val="20"/>
        </w:rPr>
        <w:footnoteReference w:id="37"/>
      </w:r>
      <w:r w:rsidRPr="00D8219A">
        <w:rPr>
          <w:rStyle w:val="FootnoteReference"/>
          <w:rFonts w:asciiTheme="majorHAnsi" w:hAnsiTheme="majorHAnsi"/>
          <w:lang w:val="es-UY"/>
        </w:rPr>
        <w:t xml:space="preserve"> </w:t>
      </w:r>
      <w:r w:rsidRPr="00D8219A">
        <w:rPr>
          <w:rFonts w:asciiTheme="majorHAnsi" w:hAnsiTheme="majorHAnsi"/>
          <w:sz w:val="20"/>
          <w:szCs w:val="20"/>
          <w:lang w:val="es-UY"/>
        </w:rPr>
        <w:t>El ejercicio de la jurisdicción es una condición necesaria para hacer responsable a un Estado por actos u omisiones atribuibles al mismo que hayan dado lugar a una infracción de derechos y libertades protegidos.</w:t>
      </w:r>
      <w:r w:rsidRPr="00D8219A">
        <w:rPr>
          <w:rStyle w:val="FootnoteReference"/>
          <w:rFonts w:asciiTheme="majorHAnsi" w:hAnsiTheme="majorHAnsi"/>
          <w:sz w:val="20"/>
          <w:szCs w:val="20"/>
        </w:rPr>
        <w:footnoteReference w:id="38"/>
      </w:r>
      <w:r w:rsidR="003822A0" w:rsidRPr="00D8219A">
        <w:rPr>
          <w:rFonts w:asciiTheme="majorHAnsi" w:hAnsiTheme="majorHAnsi"/>
          <w:sz w:val="20"/>
          <w:szCs w:val="20"/>
          <w:lang w:val="es-UY"/>
        </w:rPr>
        <w:t xml:space="preserve"> Análogamente, en la</w:t>
      </w:r>
      <w:r w:rsidRPr="00D8219A">
        <w:rPr>
          <w:rFonts w:asciiTheme="majorHAnsi" w:hAnsiTheme="majorHAnsi"/>
          <w:sz w:val="20"/>
          <w:szCs w:val="20"/>
          <w:lang w:val="es-UY"/>
        </w:rPr>
        <w:t xml:space="preserve"> sentencia</w:t>
      </w:r>
      <w:r w:rsidR="003822A0" w:rsidRPr="00D8219A">
        <w:rPr>
          <w:rFonts w:asciiTheme="majorHAnsi" w:hAnsiTheme="majorHAnsi"/>
          <w:sz w:val="20"/>
          <w:szCs w:val="20"/>
          <w:lang w:val="es-UY"/>
        </w:rPr>
        <w:t xml:space="preserve"> que dictó</w:t>
      </w:r>
      <w:r w:rsidRPr="00D8219A">
        <w:rPr>
          <w:rFonts w:asciiTheme="majorHAnsi" w:hAnsiTheme="majorHAnsi"/>
          <w:sz w:val="20"/>
          <w:szCs w:val="20"/>
          <w:lang w:val="es-UY"/>
        </w:rPr>
        <w:t xml:space="preserve"> en</w:t>
      </w:r>
      <w:r w:rsidR="00ED529B" w:rsidRPr="00D8219A">
        <w:rPr>
          <w:rFonts w:asciiTheme="majorHAnsi" w:hAnsiTheme="majorHAnsi"/>
          <w:sz w:val="20"/>
          <w:szCs w:val="20"/>
          <w:lang w:val="es-UY"/>
        </w:rPr>
        <w:t xml:space="preserve"> el caso</w:t>
      </w:r>
      <w:r w:rsidRPr="00D8219A">
        <w:rPr>
          <w:rFonts w:asciiTheme="majorHAnsi" w:hAnsiTheme="majorHAnsi"/>
          <w:sz w:val="20"/>
          <w:szCs w:val="20"/>
          <w:lang w:val="es-UY"/>
        </w:rPr>
        <w:t xml:space="preserve"> Bankovic et al. c. Bélgica, </w:t>
      </w:r>
      <w:r w:rsidR="008D50E1" w:rsidRPr="00D8219A">
        <w:rPr>
          <w:rFonts w:asciiTheme="majorHAnsi" w:hAnsiTheme="majorHAnsi"/>
          <w:sz w:val="20"/>
          <w:szCs w:val="20"/>
          <w:lang w:val="es-UY"/>
        </w:rPr>
        <w:t>la Corte Europea</w:t>
      </w:r>
      <w:r w:rsidRPr="00D8219A">
        <w:rPr>
          <w:rFonts w:asciiTheme="majorHAnsi" w:hAnsiTheme="majorHAnsi"/>
          <w:sz w:val="20"/>
          <w:szCs w:val="20"/>
          <w:lang w:val="es-UY"/>
        </w:rPr>
        <w:t xml:space="preserve"> declaró que el significado del término “jurisdicción” deriva del derecho internacional y es primordialmente, pero no exclusivamente, territorial</w:t>
      </w:r>
      <w:r w:rsidR="003822A0" w:rsidRPr="00D8219A">
        <w:rPr>
          <w:rFonts w:asciiTheme="majorHAnsi" w:hAnsiTheme="majorHAnsi"/>
          <w:sz w:val="20"/>
          <w:szCs w:val="20"/>
          <w:lang w:val="es-UY"/>
        </w:rPr>
        <w:t>.</w:t>
      </w:r>
      <w:r w:rsidRPr="00D8219A">
        <w:rPr>
          <w:rFonts w:asciiTheme="majorHAnsi" w:hAnsiTheme="majorHAnsi"/>
          <w:sz w:val="20"/>
          <w:szCs w:val="20"/>
          <w:vertAlign w:val="superscript"/>
        </w:rPr>
        <w:footnoteReference w:id="39"/>
      </w:r>
      <w:r w:rsidRPr="00D8219A">
        <w:rPr>
          <w:rFonts w:asciiTheme="majorHAnsi" w:hAnsiTheme="majorHAnsi"/>
          <w:sz w:val="20"/>
          <w:szCs w:val="20"/>
          <w:vertAlign w:val="superscript"/>
          <w:lang w:val="es-UY"/>
        </w:rPr>
        <w:t xml:space="preserve"> </w:t>
      </w:r>
      <w:r w:rsidRPr="00D8219A">
        <w:rPr>
          <w:rFonts w:asciiTheme="majorHAnsi" w:hAnsiTheme="majorHAnsi"/>
          <w:sz w:val="20"/>
          <w:szCs w:val="20"/>
          <w:lang w:val="es-UY"/>
        </w:rPr>
        <w:t>Subsi</w:t>
      </w:r>
      <w:r w:rsidR="00ED529B" w:rsidRPr="00D8219A">
        <w:rPr>
          <w:rFonts w:asciiTheme="majorHAnsi" w:hAnsiTheme="majorHAnsi"/>
          <w:sz w:val="20"/>
          <w:szCs w:val="20"/>
          <w:lang w:val="es-UY"/>
        </w:rPr>
        <w:t>guientemente, en el caso</w:t>
      </w:r>
      <w:r w:rsidR="008D50E1" w:rsidRPr="00D8219A">
        <w:rPr>
          <w:rFonts w:asciiTheme="majorHAnsi" w:hAnsiTheme="majorHAnsi"/>
          <w:sz w:val="20"/>
          <w:szCs w:val="20"/>
          <w:lang w:val="es-UY"/>
        </w:rPr>
        <w:t xml:space="preserve"> Issa y otros c. Turquía,</w:t>
      </w:r>
      <w:r w:rsidRPr="00D8219A">
        <w:rPr>
          <w:rFonts w:asciiTheme="majorHAnsi" w:hAnsiTheme="majorHAnsi"/>
          <w:sz w:val="20"/>
          <w:szCs w:val="20"/>
          <w:lang w:val="es-UY"/>
        </w:rPr>
        <w:t xml:space="preserve"> </w:t>
      </w:r>
      <w:r w:rsidR="008D50E1" w:rsidRPr="00D8219A">
        <w:rPr>
          <w:rFonts w:asciiTheme="majorHAnsi" w:hAnsiTheme="majorHAnsi"/>
          <w:sz w:val="20"/>
          <w:szCs w:val="20"/>
          <w:lang w:val="es-UY"/>
        </w:rPr>
        <w:t xml:space="preserve">la Corte Europea </w:t>
      </w:r>
      <w:r w:rsidRPr="00D8219A">
        <w:rPr>
          <w:rFonts w:asciiTheme="majorHAnsi" w:hAnsiTheme="majorHAnsi"/>
          <w:sz w:val="20"/>
          <w:szCs w:val="20"/>
          <w:lang w:val="es-UY"/>
        </w:rPr>
        <w:t>reiteró que un Estado puede ser llamado a responsabilidad por la violación de derechos y lib</w:t>
      </w:r>
      <w:r w:rsidR="00806FED" w:rsidRPr="00D8219A">
        <w:rPr>
          <w:rFonts w:asciiTheme="majorHAnsi" w:hAnsiTheme="majorHAnsi"/>
          <w:sz w:val="20"/>
          <w:szCs w:val="20"/>
          <w:lang w:val="es-UY"/>
        </w:rPr>
        <w:t>ertades de personas que se halle</w:t>
      </w:r>
      <w:r w:rsidRPr="00D8219A">
        <w:rPr>
          <w:rFonts w:asciiTheme="majorHAnsi" w:hAnsiTheme="majorHAnsi"/>
          <w:sz w:val="20"/>
          <w:szCs w:val="20"/>
          <w:lang w:val="es-UY"/>
        </w:rPr>
        <w:t>n en el terr</w:t>
      </w:r>
      <w:r w:rsidR="00C310AC" w:rsidRPr="00D8219A">
        <w:rPr>
          <w:rFonts w:asciiTheme="majorHAnsi" w:hAnsiTheme="majorHAnsi"/>
          <w:sz w:val="20"/>
          <w:szCs w:val="20"/>
          <w:lang w:val="es-UY"/>
        </w:rPr>
        <w:t>itorio de otro Estado pero</w:t>
      </w:r>
      <w:r w:rsidRPr="00D8219A">
        <w:rPr>
          <w:rFonts w:asciiTheme="majorHAnsi" w:hAnsiTheme="majorHAnsi"/>
          <w:sz w:val="20"/>
          <w:szCs w:val="20"/>
          <w:lang w:val="es-UY"/>
        </w:rPr>
        <w:t xml:space="preserve"> sujetas al control y</w:t>
      </w:r>
      <w:r w:rsidR="00ED529B" w:rsidRPr="00D8219A">
        <w:rPr>
          <w:rFonts w:asciiTheme="majorHAnsi" w:hAnsiTheme="majorHAnsi"/>
          <w:sz w:val="20"/>
          <w:szCs w:val="20"/>
          <w:lang w:val="es-UY"/>
        </w:rPr>
        <w:t xml:space="preserve"> a</w:t>
      </w:r>
      <w:r w:rsidRPr="00D8219A">
        <w:rPr>
          <w:rFonts w:asciiTheme="majorHAnsi" w:hAnsiTheme="majorHAnsi"/>
          <w:sz w:val="20"/>
          <w:szCs w:val="20"/>
          <w:lang w:val="es-UY"/>
        </w:rPr>
        <w:t xml:space="preserve"> la autoridad de agentes del</w:t>
      </w:r>
      <w:r w:rsidR="00806FED" w:rsidRPr="00D8219A">
        <w:rPr>
          <w:rFonts w:asciiTheme="majorHAnsi" w:hAnsiTheme="majorHAnsi"/>
          <w:sz w:val="20"/>
          <w:szCs w:val="20"/>
          <w:lang w:val="es-UY"/>
        </w:rPr>
        <w:t xml:space="preserve"> Estado anterior que hayan actua</w:t>
      </w:r>
      <w:r w:rsidRPr="00D8219A">
        <w:rPr>
          <w:rFonts w:asciiTheme="majorHAnsi" w:hAnsiTheme="majorHAnsi"/>
          <w:sz w:val="20"/>
          <w:szCs w:val="20"/>
          <w:lang w:val="es-UY"/>
        </w:rPr>
        <w:t>do, legal o ilegalmente, en el territorio de este último.</w:t>
      </w:r>
      <w:r w:rsidRPr="00D8219A">
        <w:rPr>
          <w:rStyle w:val="FootnoteReference"/>
          <w:rFonts w:asciiTheme="majorHAnsi" w:hAnsiTheme="majorHAnsi"/>
          <w:sz w:val="20"/>
          <w:szCs w:val="20"/>
        </w:rPr>
        <w:footnoteReference w:id="40"/>
      </w:r>
      <w:r w:rsidRPr="00D8219A">
        <w:rPr>
          <w:rFonts w:asciiTheme="majorHAnsi" w:hAnsiTheme="majorHAnsi"/>
          <w:sz w:val="20"/>
          <w:szCs w:val="20"/>
          <w:lang w:val="es-UY"/>
        </w:rPr>
        <w:t xml:space="preserve"> </w:t>
      </w:r>
    </w:p>
    <w:p w14:paraId="20F6AFEA" w14:textId="77777777" w:rsidR="008C0C39" w:rsidRPr="00D8219A" w:rsidRDefault="008C0C39" w:rsidP="008C0C39">
      <w:pPr>
        <w:pStyle w:val="NormalWeb"/>
        <w:shd w:val="clear" w:color="auto" w:fill="FFFFFF"/>
        <w:tabs>
          <w:tab w:val="left" w:pos="360"/>
        </w:tabs>
        <w:spacing w:before="0" w:beforeAutospacing="0" w:after="0" w:afterAutospacing="0"/>
        <w:jc w:val="both"/>
        <w:rPr>
          <w:rFonts w:asciiTheme="majorHAnsi" w:hAnsiTheme="majorHAnsi"/>
          <w:sz w:val="20"/>
          <w:szCs w:val="20"/>
          <w:lang w:val="es-UY"/>
        </w:rPr>
      </w:pPr>
    </w:p>
    <w:p w14:paraId="32C77575" w14:textId="77777777" w:rsidR="008C0C39" w:rsidRPr="00D8219A" w:rsidRDefault="008C0C39" w:rsidP="008C0C39">
      <w:pPr>
        <w:pStyle w:val="NormalWeb"/>
        <w:numPr>
          <w:ilvl w:val="0"/>
          <w:numId w:val="57"/>
        </w:numPr>
        <w:shd w:val="clear" w:color="auto" w:fill="FFFFFF"/>
        <w:tabs>
          <w:tab w:val="left" w:pos="360"/>
        </w:tabs>
        <w:spacing w:before="0" w:beforeAutospacing="0" w:after="0" w:afterAutospacing="0"/>
        <w:ind w:left="0" w:firstLine="0"/>
        <w:jc w:val="both"/>
        <w:rPr>
          <w:rFonts w:asciiTheme="majorHAnsi" w:hAnsiTheme="majorHAnsi"/>
          <w:sz w:val="20"/>
          <w:szCs w:val="20"/>
          <w:lang w:val="es-UY"/>
        </w:rPr>
      </w:pPr>
      <w:r w:rsidRPr="00D8219A">
        <w:rPr>
          <w:rFonts w:asciiTheme="majorHAnsi" w:hAnsiTheme="majorHAnsi"/>
          <w:spacing w:val="-2"/>
          <w:sz w:val="20"/>
          <w:szCs w:val="20"/>
          <w:lang w:val="es-UY"/>
        </w:rPr>
        <w:t>Según la Corte Internacional de Justicia, si bien la jurisdicción de los Estados es primor</w:t>
      </w:r>
      <w:r w:rsidR="00ED529B" w:rsidRPr="00D8219A">
        <w:rPr>
          <w:rFonts w:asciiTheme="majorHAnsi" w:hAnsiTheme="majorHAnsi"/>
          <w:spacing w:val="-2"/>
          <w:sz w:val="20"/>
          <w:szCs w:val="20"/>
          <w:lang w:val="es-UY"/>
        </w:rPr>
        <w:t>dialmente territorial, en algun</w:t>
      </w:r>
      <w:r w:rsidRPr="00D8219A">
        <w:rPr>
          <w:rFonts w:asciiTheme="majorHAnsi" w:hAnsiTheme="majorHAnsi"/>
          <w:spacing w:val="-2"/>
          <w:sz w:val="20"/>
          <w:szCs w:val="20"/>
          <w:lang w:val="es-UY"/>
        </w:rPr>
        <w:t>o</w:t>
      </w:r>
      <w:r w:rsidR="00ED529B" w:rsidRPr="00D8219A">
        <w:rPr>
          <w:rFonts w:asciiTheme="majorHAnsi" w:hAnsiTheme="majorHAnsi"/>
          <w:spacing w:val="-2"/>
          <w:sz w:val="20"/>
          <w:szCs w:val="20"/>
          <w:lang w:val="es-UY"/>
        </w:rPr>
        <w:t>s</w:t>
      </w:r>
      <w:r w:rsidRPr="00D8219A">
        <w:rPr>
          <w:rFonts w:asciiTheme="majorHAnsi" w:hAnsiTheme="majorHAnsi"/>
          <w:spacing w:val="-2"/>
          <w:sz w:val="20"/>
          <w:szCs w:val="20"/>
          <w:lang w:val="es-UY"/>
        </w:rPr>
        <w:t xml:space="preserve"> casos puede ejercerse fuera del territorio nacional y en esos caso</w:t>
      </w:r>
      <w:r w:rsidR="00ED529B" w:rsidRPr="00D8219A">
        <w:rPr>
          <w:rFonts w:asciiTheme="majorHAnsi" w:hAnsiTheme="majorHAnsi"/>
          <w:spacing w:val="-2"/>
          <w:sz w:val="20"/>
          <w:szCs w:val="20"/>
          <w:lang w:val="es-UY"/>
        </w:rPr>
        <w:t>s</w:t>
      </w:r>
      <w:r w:rsidRPr="00D8219A">
        <w:rPr>
          <w:rFonts w:asciiTheme="majorHAnsi" w:hAnsiTheme="majorHAnsi"/>
          <w:spacing w:val="-2"/>
          <w:sz w:val="20"/>
          <w:szCs w:val="20"/>
          <w:lang w:val="es-UY"/>
        </w:rPr>
        <w:t xml:space="preserve"> los Estados partes del Pacto Internacional de Derechos Civiles y Políticos debería</w:t>
      </w:r>
      <w:r w:rsidR="00ED529B" w:rsidRPr="00D8219A">
        <w:rPr>
          <w:rFonts w:asciiTheme="majorHAnsi" w:hAnsiTheme="majorHAnsi"/>
          <w:spacing w:val="-2"/>
          <w:sz w:val="20"/>
          <w:szCs w:val="20"/>
          <w:lang w:val="es-UY"/>
        </w:rPr>
        <w:t xml:space="preserve">n </w:t>
      </w:r>
      <w:r w:rsidRPr="00D8219A">
        <w:rPr>
          <w:rFonts w:asciiTheme="majorHAnsi" w:hAnsiTheme="majorHAnsi"/>
          <w:spacing w:val="-2"/>
          <w:sz w:val="20"/>
          <w:szCs w:val="20"/>
          <w:lang w:val="es-UY"/>
        </w:rPr>
        <w:t>estar obligado</w:t>
      </w:r>
      <w:r w:rsidR="00ED529B" w:rsidRPr="00D8219A">
        <w:rPr>
          <w:rFonts w:asciiTheme="majorHAnsi" w:hAnsiTheme="majorHAnsi"/>
          <w:spacing w:val="-2"/>
          <w:sz w:val="20"/>
          <w:szCs w:val="20"/>
          <w:lang w:val="es-UY"/>
        </w:rPr>
        <w:t>s</w:t>
      </w:r>
      <w:r w:rsidRPr="00D8219A">
        <w:rPr>
          <w:rFonts w:asciiTheme="majorHAnsi" w:hAnsiTheme="majorHAnsi"/>
          <w:spacing w:val="-2"/>
          <w:sz w:val="20"/>
          <w:szCs w:val="20"/>
          <w:lang w:val="es-UY"/>
        </w:rPr>
        <w:t xml:space="preserve"> a cumplir sus disposiciones.</w:t>
      </w:r>
      <w:r w:rsidRPr="00D8219A">
        <w:rPr>
          <w:rStyle w:val="FootnoteReference"/>
          <w:rFonts w:asciiTheme="majorHAnsi" w:hAnsiTheme="majorHAnsi"/>
          <w:sz w:val="20"/>
          <w:szCs w:val="20"/>
          <w:lang w:eastAsia="es-ES_tradnl" w:bidi="x-none"/>
        </w:rPr>
        <w:footnoteReference w:id="41"/>
      </w:r>
      <w:r w:rsidRPr="00D8219A">
        <w:rPr>
          <w:rFonts w:asciiTheme="majorHAnsi" w:hAnsiTheme="majorHAnsi"/>
          <w:sz w:val="20"/>
          <w:szCs w:val="20"/>
          <w:lang w:val="es-UY" w:eastAsia="es-ES_tradnl" w:bidi="x-none"/>
        </w:rPr>
        <w:t xml:space="preserve"> El Comité de Derechos Humanos también ha considerado admisible la aplicación extraterritorial del Pacto sobre la base del requisito de la autoridad o el</w:t>
      </w:r>
      <w:r w:rsidRPr="00D8219A">
        <w:rPr>
          <w:rFonts w:asciiTheme="majorHAnsi" w:hAnsiTheme="majorHAnsi"/>
          <w:sz w:val="20"/>
          <w:szCs w:val="20"/>
          <w:lang w:val="es-UY"/>
        </w:rPr>
        <w:t xml:space="preserve"> control.</w:t>
      </w:r>
      <w:r w:rsidRPr="00D8219A">
        <w:rPr>
          <w:rStyle w:val="FootnoteReference"/>
          <w:rFonts w:asciiTheme="majorHAnsi" w:hAnsiTheme="majorHAnsi"/>
          <w:sz w:val="20"/>
          <w:szCs w:val="20"/>
        </w:rPr>
        <w:footnoteReference w:id="42"/>
      </w:r>
    </w:p>
    <w:p w14:paraId="28F1CDFD" w14:textId="77777777" w:rsidR="008C0C39" w:rsidRPr="00D8219A" w:rsidRDefault="008C0C39" w:rsidP="008C0C39">
      <w:pPr>
        <w:pStyle w:val="NormalWeb"/>
        <w:shd w:val="clear" w:color="auto" w:fill="FFFFFF"/>
        <w:tabs>
          <w:tab w:val="left" w:pos="360"/>
        </w:tabs>
        <w:spacing w:before="0" w:beforeAutospacing="0" w:after="0" w:afterAutospacing="0"/>
        <w:ind w:left="360" w:hanging="360"/>
        <w:jc w:val="both"/>
        <w:rPr>
          <w:rFonts w:asciiTheme="majorHAnsi" w:hAnsiTheme="majorHAnsi"/>
          <w:b/>
          <w:sz w:val="20"/>
          <w:lang w:val="es-UY"/>
        </w:rPr>
      </w:pPr>
    </w:p>
    <w:p w14:paraId="5F783D7F" w14:textId="77777777" w:rsidR="008C0C39" w:rsidRPr="00D8219A" w:rsidRDefault="008C0C39" w:rsidP="008C0C39">
      <w:pPr>
        <w:pStyle w:val="Heading2"/>
        <w:tabs>
          <w:tab w:val="left" w:pos="360"/>
        </w:tabs>
        <w:spacing w:before="0"/>
        <w:rPr>
          <w:color w:val="auto"/>
          <w:sz w:val="20"/>
          <w:szCs w:val="20"/>
          <w:lang w:val="es-UY"/>
        </w:rPr>
      </w:pPr>
      <w:bookmarkStart w:id="23" w:name="_Toc69212250"/>
      <w:r w:rsidRPr="00D8219A">
        <w:rPr>
          <w:color w:val="auto"/>
          <w:sz w:val="20"/>
          <w:szCs w:val="20"/>
          <w:lang w:val="es-UY"/>
        </w:rPr>
        <w:t>C.</w:t>
      </w:r>
      <w:r w:rsidRPr="00D8219A">
        <w:rPr>
          <w:color w:val="auto"/>
          <w:sz w:val="20"/>
          <w:szCs w:val="20"/>
          <w:lang w:val="es-UY"/>
        </w:rPr>
        <w:tab/>
        <w:t>Derecho de protección frente a un arresto arbitrario</w:t>
      </w:r>
      <w:r w:rsidRPr="00D8219A">
        <w:rPr>
          <w:rStyle w:val="FootnoteReference"/>
          <w:rFonts w:eastAsia="Arial Unicode MS"/>
          <w:bCs w:val="0"/>
          <w:color w:val="auto"/>
          <w:sz w:val="18"/>
          <w:szCs w:val="18"/>
        </w:rPr>
        <w:footnoteReference w:id="43"/>
      </w:r>
      <w:r w:rsidRPr="00D8219A">
        <w:rPr>
          <w:color w:val="auto"/>
          <w:sz w:val="20"/>
          <w:szCs w:val="20"/>
          <w:lang w:val="es-UY"/>
        </w:rPr>
        <w:t xml:space="preserve"> previsto en la Declaración Americana</w:t>
      </w:r>
      <w:bookmarkEnd w:id="23"/>
    </w:p>
    <w:p w14:paraId="22DC2221" w14:textId="77777777" w:rsidR="008C0C39" w:rsidRPr="00D8219A" w:rsidRDefault="008C0C39" w:rsidP="008C0C39">
      <w:pPr>
        <w:pStyle w:val="NormalWeb"/>
        <w:shd w:val="clear" w:color="auto" w:fill="FFFFFF"/>
        <w:tabs>
          <w:tab w:val="left" w:pos="360"/>
        </w:tabs>
        <w:spacing w:before="0" w:beforeAutospacing="0" w:after="0" w:afterAutospacing="0"/>
        <w:ind w:left="360" w:hanging="360"/>
        <w:jc w:val="both"/>
        <w:rPr>
          <w:rFonts w:asciiTheme="majorHAnsi" w:hAnsiTheme="majorHAnsi"/>
          <w:b/>
          <w:sz w:val="20"/>
          <w:lang w:val="es-UY"/>
        </w:rPr>
      </w:pPr>
    </w:p>
    <w:p w14:paraId="72162287" w14:textId="77777777" w:rsidR="008C0C39" w:rsidRPr="00D8219A" w:rsidRDefault="008C0C39" w:rsidP="00C243B4">
      <w:pPr>
        <w:pStyle w:val="Heading2"/>
        <w:numPr>
          <w:ilvl w:val="0"/>
          <w:numId w:val="62"/>
        </w:numPr>
        <w:tabs>
          <w:tab w:val="left" w:pos="360"/>
        </w:tabs>
        <w:spacing w:before="0"/>
        <w:ind w:left="360"/>
        <w:rPr>
          <w:color w:val="auto"/>
          <w:sz w:val="20"/>
          <w:szCs w:val="20"/>
          <w:lang w:val="es-UY"/>
        </w:rPr>
      </w:pPr>
      <w:bookmarkStart w:id="24" w:name="_Toc69212251"/>
      <w:r w:rsidRPr="00D8219A">
        <w:rPr>
          <w:color w:val="auto"/>
          <w:sz w:val="20"/>
          <w:szCs w:val="20"/>
          <w:lang w:val="es-UY"/>
        </w:rPr>
        <w:t>Consideraciones generales referentes a la protección frente al arresto ilegal y arbitrario</w:t>
      </w:r>
      <w:bookmarkEnd w:id="24"/>
    </w:p>
    <w:p w14:paraId="56378D60" w14:textId="77777777" w:rsidR="00F57C7C" w:rsidRPr="00D8219A" w:rsidRDefault="00F57C7C" w:rsidP="00F57C7C">
      <w:pPr>
        <w:rPr>
          <w:rFonts w:asciiTheme="majorHAnsi" w:hAnsiTheme="majorHAnsi"/>
          <w:lang w:val="es-UY"/>
        </w:rPr>
      </w:pPr>
    </w:p>
    <w:p w14:paraId="2C37914A" w14:textId="77777777" w:rsidR="008C0C39" w:rsidRPr="00D8219A" w:rsidRDefault="00D556AF" w:rsidP="00A30993">
      <w:pPr>
        <w:pStyle w:val="NormalWeb"/>
        <w:numPr>
          <w:ilvl w:val="0"/>
          <w:numId w:val="57"/>
        </w:numPr>
        <w:shd w:val="clear" w:color="auto" w:fill="FFFFFF"/>
        <w:tabs>
          <w:tab w:val="left" w:pos="360"/>
        </w:tabs>
        <w:spacing w:before="0" w:beforeAutospacing="0" w:after="0" w:afterAutospacing="0"/>
        <w:ind w:left="0" w:firstLine="0"/>
        <w:jc w:val="both"/>
        <w:rPr>
          <w:rFonts w:asciiTheme="majorHAnsi" w:hAnsiTheme="majorHAnsi"/>
          <w:sz w:val="20"/>
          <w:szCs w:val="20"/>
          <w:lang w:val="es-UY"/>
        </w:rPr>
      </w:pPr>
      <w:r w:rsidRPr="00D8219A">
        <w:rPr>
          <w:rFonts w:asciiTheme="majorHAnsi" w:hAnsiTheme="majorHAnsi"/>
          <w:sz w:val="20"/>
          <w:szCs w:val="20"/>
          <w:lang w:val="es-UY"/>
        </w:rPr>
        <w:t xml:space="preserve">El </w:t>
      </w:r>
      <w:r w:rsidR="00B002F7" w:rsidRPr="00D8219A">
        <w:rPr>
          <w:rFonts w:asciiTheme="majorHAnsi" w:hAnsiTheme="majorHAnsi"/>
          <w:sz w:val="20"/>
          <w:szCs w:val="20"/>
          <w:lang w:val="es-UY"/>
        </w:rPr>
        <w:t>artículo</w:t>
      </w:r>
      <w:r w:rsidR="008C0C39" w:rsidRPr="00D8219A">
        <w:rPr>
          <w:rFonts w:asciiTheme="majorHAnsi" w:hAnsiTheme="majorHAnsi"/>
          <w:sz w:val="20"/>
          <w:szCs w:val="20"/>
          <w:lang w:val="es-UY"/>
        </w:rPr>
        <w:t xml:space="preserve"> XXV de la Declaración Americana prevé garantías encaminadas a proteger a las personas frente una interferencia ilegal o arbitraria con su libertad, perpetrada por Estado. La CIDH ha establecido a ese respecto que </w:t>
      </w:r>
      <w:r w:rsidR="002A34A0" w:rsidRPr="00D8219A">
        <w:rPr>
          <w:rFonts w:asciiTheme="majorHAnsi" w:hAnsiTheme="majorHAnsi"/>
          <w:sz w:val="20"/>
          <w:szCs w:val="20"/>
          <w:lang w:val="es-UY"/>
        </w:rPr>
        <w:t>“</w:t>
      </w:r>
      <w:r w:rsidR="008C0C39" w:rsidRPr="00D8219A">
        <w:rPr>
          <w:rFonts w:asciiTheme="majorHAnsi" w:hAnsiTheme="majorHAnsi"/>
          <w:sz w:val="20"/>
          <w:szCs w:val="20"/>
          <w:lang w:val="es-UY"/>
        </w:rPr>
        <w:t>[e]</w:t>
      </w:r>
      <w:r w:rsidR="006C645E" w:rsidRPr="00D8219A">
        <w:rPr>
          <w:rFonts w:asciiTheme="majorHAnsi" w:hAnsiTheme="majorHAnsi"/>
          <w:sz w:val="20"/>
          <w:szCs w:val="20"/>
          <w:lang w:val="es-UY"/>
        </w:rPr>
        <w:t xml:space="preserve">ntre las protecciones garantizadas cabe mencionar los requisitos de que toda privación </w:t>
      </w:r>
      <w:r w:rsidRPr="00D8219A">
        <w:rPr>
          <w:rFonts w:asciiTheme="majorHAnsi" w:hAnsiTheme="majorHAnsi"/>
          <w:sz w:val="20"/>
          <w:szCs w:val="20"/>
          <w:lang w:val="es-UY"/>
        </w:rPr>
        <w:t>de</w:t>
      </w:r>
      <w:r w:rsidR="006C645E" w:rsidRPr="00D8219A">
        <w:rPr>
          <w:rFonts w:asciiTheme="majorHAnsi" w:hAnsiTheme="majorHAnsi"/>
          <w:sz w:val="20"/>
          <w:szCs w:val="20"/>
          <w:lang w:val="es-UY"/>
        </w:rPr>
        <w:t xml:space="preserve"> la libertad se realice de acuerdo con una ley preestablecida, que el detenido sea informado de las razones de la </w:t>
      </w:r>
      <w:r w:rsidR="006C645E" w:rsidRPr="00D8219A">
        <w:rPr>
          <w:rFonts w:asciiTheme="majorHAnsi" w:hAnsiTheme="majorHAnsi"/>
          <w:sz w:val="20"/>
          <w:szCs w:val="20"/>
          <w:lang w:val="es-UY"/>
        </w:rPr>
        <w:lastRenderedPageBreak/>
        <w:t>detención y notificado sin demora de las acusaciones que se le imputan; que toda persona privada de su libertad tiene derecho a un recurso jurídico, a obtener, sin demora, una determinación de la legalidad de su detención; y que la persona sea juzgada dentro de un plazo razonable  mientras continúa el proceso.</w:t>
      </w:r>
      <w:r w:rsidR="008C0C39" w:rsidRPr="00D8219A">
        <w:rPr>
          <w:rFonts w:asciiTheme="majorHAnsi" w:hAnsiTheme="majorHAnsi"/>
          <w:sz w:val="20"/>
          <w:szCs w:val="20"/>
          <w:lang w:val="es-UY"/>
        </w:rPr>
        <w:t>”</w:t>
      </w:r>
      <w:r w:rsidR="008C0C39" w:rsidRPr="00D8219A">
        <w:rPr>
          <w:rStyle w:val="FootnoteReference"/>
          <w:rFonts w:asciiTheme="majorHAnsi" w:hAnsiTheme="majorHAnsi"/>
          <w:sz w:val="20"/>
          <w:szCs w:val="20"/>
        </w:rPr>
        <w:footnoteReference w:id="44"/>
      </w:r>
    </w:p>
    <w:p w14:paraId="6ACD8F8F" w14:textId="77777777" w:rsidR="008C0C39" w:rsidRPr="00D8219A" w:rsidRDefault="008C0C39" w:rsidP="008C0C39">
      <w:pPr>
        <w:pStyle w:val="NormalWeb"/>
        <w:shd w:val="clear" w:color="auto" w:fill="FFFFFF"/>
        <w:tabs>
          <w:tab w:val="left" w:pos="360"/>
        </w:tabs>
        <w:spacing w:before="0" w:beforeAutospacing="0" w:after="0" w:afterAutospacing="0"/>
        <w:jc w:val="both"/>
        <w:rPr>
          <w:rFonts w:asciiTheme="majorHAnsi" w:hAnsiTheme="majorHAnsi"/>
          <w:sz w:val="20"/>
          <w:lang w:val="es-UY"/>
        </w:rPr>
      </w:pPr>
    </w:p>
    <w:p w14:paraId="6B094C52" w14:textId="77777777" w:rsidR="008C0C39" w:rsidRPr="00D8219A" w:rsidRDefault="00F57C7C" w:rsidP="00F159FD">
      <w:pPr>
        <w:pStyle w:val="NormalWeb"/>
        <w:numPr>
          <w:ilvl w:val="0"/>
          <w:numId w:val="57"/>
        </w:numPr>
        <w:shd w:val="clear" w:color="auto" w:fill="FFFFFF"/>
        <w:tabs>
          <w:tab w:val="left" w:pos="360"/>
        </w:tabs>
        <w:spacing w:before="0" w:beforeAutospacing="0" w:after="0" w:afterAutospacing="0"/>
        <w:ind w:left="0" w:firstLine="0"/>
        <w:jc w:val="both"/>
        <w:rPr>
          <w:rFonts w:asciiTheme="majorHAnsi" w:hAnsiTheme="majorHAnsi"/>
          <w:sz w:val="20"/>
          <w:lang w:val="es-UY"/>
        </w:rPr>
      </w:pPr>
      <w:r w:rsidRPr="00D8219A">
        <w:rPr>
          <w:rFonts w:asciiTheme="majorHAnsi" w:hAnsiTheme="majorHAnsi"/>
          <w:sz w:val="20"/>
          <w:szCs w:val="20"/>
          <w:lang w:val="es-UY"/>
        </w:rPr>
        <w:t>De acuerdo con los estándares interamericano</w:t>
      </w:r>
      <w:r w:rsidR="002C458F" w:rsidRPr="00D8219A">
        <w:rPr>
          <w:rFonts w:asciiTheme="majorHAnsi" w:hAnsiTheme="majorHAnsi"/>
          <w:sz w:val="20"/>
          <w:szCs w:val="20"/>
          <w:lang w:val="es-UY"/>
        </w:rPr>
        <w:t>s</w:t>
      </w:r>
      <w:r w:rsidRPr="00D8219A">
        <w:rPr>
          <w:rFonts w:asciiTheme="majorHAnsi" w:hAnsiTheme="majorHAnsi"/>
          <w:sz w:val="20"/>
          <w:szCs w:val="20"/>
          <w:lang w:val="es-UY"/>
        </w:rPr>
        <w:t xml:space="preserve"> sobre derechos humanos, ninguna persona puede  ser sometida  a arresto o encarcelamiento por razones</w:t>
      </w:r>
      <w:r w:rsidR="008373A6" w:rsidRPr="00D8219A">
        <w:rPr>
          <w:rFonts w:asciiTheme="majorHAnsi" w:hAnsiTheme="majorHAnsi"/>
          <w:sz w:val="20"/>
          <w:szCs w:val="20"/>
          <w:lang w:val="es-UY"/>
        </w:rPr>
        <w:t>,</w:t>
      </w:r>
      <w:r w:rsidRPr="00D8219A">
        <w:rPr>
          <w:rFonts w:asciiTheme="majorHAnsi" w:hAnsiTheme="majorHAnsi"/>
          <w:sz w:val="20"/>
          <w:szCs w:val="20"/>
          <w:lang w:val="es-UY"/>
        </w:rPr>
        <w:t xml:space="preserve"> o utilizando métodos</w:t>
      </w:r>
      <w:r w:rsidR="003C1329" w:rsidRPr="00D8219A">
        <w:rPr>
          <w:rFonts w:asciiTheme="majorHAnsi" w:hAnsiTheme="majorHAnsi"/>
          <w:sz w:val="20"/>
          <w:szCs w:val="20"/>
          <w:lang w:val="es-UY"/>
        </w:rPr>
        <w:t>,</w:t>
      </w:r>
      <w:r w:rsidRPr="00D8219A">
        <w:rPr>
          <w:rFonts w:asciiTheme="majorHAnsi" w:hAnsiTheme="majorHAnsi"/>
          <w:sz w:val="20"/>
          <w:szCs w:val="20"/>
          <w:lang w:val="es-UY"/>
        </w:rPr>
        <w:t xml:space="preserve"> que –por más que clasificados como </w:t>
      </w:r>
      <w:r w:rsidR="00D556AF" w:rsidRPr="00D8219A">
        <w:rPr>
          <w:rFonts w:asciiTheme="majorHAnsi" w:hAnsiTheme="majorHAnsi"/>
          <w:sz w:val="20"/>
          <w:szCs w:val="20"/>
          <w:lang w:val="es-UY"/>
        </w:rPr>
        <w:t>legales</w:t>
      </w:r>
      <w:r w:rsidRPr="00D8219A">
        <w:rPr>
          <w:rFonts w:asciiTheme="majorHAnsi" w:hAnsiTheme="majorHAnsi"/>
          <w:sz w:val="20"/>
          <w:szCs w:val="20"/>
          <w:lang w:val="es-UY"/>
        </w:rPr>
        <w:t xml:space="preserve"> – puedan ser incompatibles con los derechos individuales de la persona, porque sean</w:t>
      </w:r>
      <w:r w:rsidR="003C1329" w:rsidRPr="00D8219A">
        <w:rPr>
          <w:rFonts w:asciiTheme="majorHAnsi" w:hAnsiTheme="majorHAnsi"/>
          <w:sz w:val="20"/>
          <w:szCs w:val="20"/>
          <w:lang w:val="es-UY"/>
        </w:rPr>
        <w:t>,</w:t>
      </w:r>
      <w:r w:rsidRPr="00D8219A">
        <w:rPr>
          <w:rFonts w:asciiTheme="majorHAnsi" w:hAnsiTheme="majorHAnsi"/>
          <w:sz w:val="20"/>
          <w:szCs w:val="20"/>
          <w:lang w:val="es-UY"/>
        </w:rPr>
        <w:t xml:space="preserve"> </w:t>
      </w:r>
      <w:r w:rsidRPr="00D8219A">
        <w:rPr>
          <w:rFonts w:asciiTheme="majorHAnsi" w:hAnsiTheme="majorHAnsi"/>
          <w:i/>
          <w:sz w:val="20"/>
          <w:szCs w:val="20"/>
          <w:lang w:val="es-UY"/>
        </w:rPr>
        <w:t>inter alia</w:t>
      </w:r>
      <w:r w:rsidRPr="00D8219A">
        <w:rPr>
          <w:rFonts w:asciiTheme="majorHAnsi" w:hAnsiTheme="majorHAnsi"/>
          <w:sz w:val="20"/>
          <w:szCs w:val="20"/>
          <w:lang w:val="es-UY"/>
        </w:rPr>
        <w:t>, faltos de razonabilidad, imprevisibles o desproporcionados</w:t>
      </w:r>
      <w:r w:rsidR="008C0C39" w:rsidRPr="00D8219A">
        <w:rPr>
          <w:rFonts w:asciiTheme="majorHAnsi" w:hAnsiTheme="majorHAnsi"/>
          <w:sz w:val="20"/>
          <w:szCs w:val="20"/>
          <w:lang w:val="es-UY"/>
        </w:rPr>
        <w:t>.</w:t>
      </w:r>
      <w:r w:rsidR="008C0C39" w:rsidRPr="00D8219A">
        <w:rPr>
          <w:rStyle w:val="FootnoteReference"/>
          <w:rFonts w:asciiTheme="majorHAnsi" w:eastAsia="Arial Unicode MS" w:hAnsiTheme="majorHAnsi"/>
          <w:sz w:val="20"/>
          <w:szCs w:val="20"/>
          <w:bdr w:val="nil"/>
        </w:rPr>
        <w:footnoteReference w:id="45"/>
      </w:r>
      <w:r w:rsidR="008C0C39" w:rsidRPr="00D8219A">
        <w:rPr>
          <w:rFonts w:asciiTheme="majorHAnsi" w:hAnsiTheme="majorHAnsi"/>
          <w:sz w:val="20"/>
          <w:szCs w:val="20"/>
          <w:lang w:val="es-UY"/>
        </w:rPr>
        <w:t xml:space="preserve"> </w:t>
      </w:r>
      <w:r w:rsidRPr="00D8219A">
        <w:rPr>
          <w:rFonts w:asciiTheme="majorHAnsi" w:hAnsiTheme="majorHAnsi"/>
          <w:sz w:val="20"/>
          <w:szCs w:val="20"/>
          <w:lang w:val="es-UY"/>
        </w:rPr>
        <w:t>Además, de acuerdo con el Conjunto de Principios para la protección de todas las personas sometidas a cualquier forma de detención o prisión</w:t>
      </w:r>
      <w:r w:rsidR="003C1329" w:rsidRPr="00D8219A">
        <w:rPr>
          <w:rFonts w:asciiTheme="majorHAnsi" w:hAnsiTheme="majorHAnsi"/>
          <w:sz w:val="20"/>
          <w:szCs w:val="20"/>
          <w:lang w:val="es-UY"/>
        </w:rPr>
        <w:t>,</w:t>
      </w:r>
      <w:r w:rsidRPr="00D8219A">
        <w:rPr>
          <w:rFonts w:asciiTheme="majorHAnsi" w:hAnsiTheme="majorHAnsi"/>
          <w:b/>
          <w:sz w:val="20"/>
          <w:szCs w:val="20"/>
          <w:lang w:val="es-UY"/>
        </w:rPr>
        <w:t xml:space="preserve"> </w:t>
      </w:r>
      <w:r w:rsidRPr="00D8219A">
        <w:rPr>
          <w:rFonts w:asciiTheme="majorHAnsi" w:hAnsiTheme="majorHAnsi"/>
          <w:sz w:val="20"/>
          <w:szCs w:val="20"/>
          <w:lang w:val="es-UY"/>
        </w:rPr>
        <w:t>enunciados por las Naciones Unidas</w:t>
      </w:r>
      <w:r w:rsidR="00B37702" w:rsidRPr="00D8219A">
        <w:rPr>
          <w:rFonts w:asciiTheme="majorHAnsi" w:hAnsiTheme="majorHAnsi"/>
          <w:sz w:val="20"/>
          <w:szCs w:val="20"/>
          <w:lang w:val="es-UY"/>
        </w:rPr>
        <w:t>,</w:t>
      </w:r>
      <w:r w:rsidRPr="00D8219A">
        <w:rPr>
          <w:rFonts w:asciiTheme="majorHAnsi" w:hAnsiTheme="majorHAnsi"/>
          <w:sz w:val="20"/>
          <w:szCs w:val="20"/>
          <w:lang w:val="es-UY"/>
        </w:rPr>
        <w:t xml:space="preserve"> “</w:t>
      </w:r>
      <w:r w:rsidR="00B37702" w:rsidRPr="00D8219A">
        <w:rPr>
          <w:rFonts w:asciiTheme="majorHAnsi" w:hAnsiTheme="majorHAnsi"/>
          <w:color w:val="000000"/>
          <w:sz w:val="20"/>
          <w:szCs w:val="20"/>
          <w:shd w:val="clear" w:color="auto" w:fill="FFFFFF"/>
          <w:lang w:val="es-UY"/>
        </w:rPr>
        <w:t>[t]oda forma de detención o prisión y todas las medidas que afectan a los derechos humanos de las personas sometidas a cualquier forma de detención o prisión deberán ser ordenadas por un juez u otra autoridad, o quedar sujetas a la fiscalización efectiva de un juez u otra autoridad</w:t>
      </w:r>
      <w:r w:rsidR="008C0C39" w:rsidRPr="00D8219A">
        <w:rPr>
          <w:rFonts w:asciiTheme="majorHAnsi" w:hAnsiTheme="majorHAnsi"/>
          <w:sz w:val="20"/>
          <w:lang w:val="es-UY"/>
        </w:rPr>
        <w:t>.”</w:t>
      </w:r>
      <w:r w:rsidR="008C0C39" w:rsidRPr="00D8219A">
        <w:rPr>
          <w:rStyle w:val="FootnoteReference"/>
          <w:rFonts w:asciiTheme="majorHAnsi" w:eastAsia="Arial Unicode MS" w:hAnsiTheme="majorHAnsi"/>
          <w:sz w:val="18"/>
          <w:szCs w:val="18"/>
          <w:bdr w:val="nil"/>
        </w:rPr>
        <w:footnoteReference w:id="46"/>
      </w:r>
    </w:p>
    <w:p w14:paraId="5EC1CADE" w14:textId="77777777" w:rsidR="008C0C39" w:rsidRPr="00D8219A" w:rsidRDefault="008C0C39" w:rsidP="008C0C39">
      <w:pPr>
        <w:pStyle w:val="ListParagraph"/>
        <w:rPr>
          <w:rFonts w:asciiTheme="majorHAnsi" w:hAnsiTheme="majorHAnsi"/>
          <w:sz w:val="20"/>
          <w:lang w:val="es-UY"/>
        </w:rPr>
      </w:pPr>
    </w:p>
    <w:p w14:paraId="4B9081D6" w14:textId="77777777" w:rsidR="008C0C39" w:rsidRPr="00D8219A" w:rsidRDefault="008C0C39" w:rsidP="008C0C39">
      <w:pPr>
        <w:pStyle w:val="NormalWeb"/>
        <w:numPr>
          <w:ilvl w:val="0"/>
          <w:numId w:val="57"/>
        </w:numPr>
        <w:shd w:val="clear" w:color="auto" w:fill="FFFFFF"/>
        <w:tabs>
          <w:tab w:val="left" w:pos="360"/>
        </w:tabs>
        <w:spacing w:before="0" w:beforeAutospacing="0" w:after="0" w:afterAutospacing="0"/>
        <w:ind w:left="0" w:firstLine="0"/>
        <w:jc w:val="both"/>
        <w:rPr>
          <w:rFonts w:asciiTheme="majorHAnsi" w:hAnsiTheme="majorHAnsi"/>
          <w:sz w:val="20"/>
          <w:lang w:val="es-UY"/>
        </w:rPr>
      </w:pPr>
      <w:r w:rsidRPr="00D8219A">
        <w:rPr>
          <w:rFonts w:asciiTheme="majorHAnsi" w:hAnsiTheme="majorHAnsi"/>
          <w:sz w:val="20"/>
          <w:lang w:val="es-UY"/>
        </w:rPr>
        <w:t>Según la CIDH</w:t>
      </w:r>
      <w:r w:rsidR="00EA50BE" w:rsidRPr="00D8219A">
        <w:rPr>
          <w:rFonts w:asciiTheme="majorHAnsi" w:hAnsiTheme="majorHAnsi"/>
          <w:sz w:val="20"/>
          <w:lang w:val="es-UY"/>
        </w:rPr>
        <w:t>,</w:t>
      </w:r>
      <w:r w:rsidRPr="00D8219A">
        <w:rPr>
          <w:rFonts w:asciiTheme="majorHAnsi" w:hAnsiTheme="majorHAnsi"/>
          <w:sz w:val="20"/>
          <w:lang w:val="es-UY"/>
        </w:rPr>
        <w:t xml:space="preserve"> el análisis de la compatibilidad de la privación de libertad con la prohibición de una detención ilegal y arbitraria debería realizarse en tres fases. La primera consiste en determinar la legalidad de la detención desde un punto de vista material y formal. Para ello debe determinarse si el acto es compatible con la legislación interna del Estado en cuestión. El segundo paso supone el análisis de esas disposiciones internas en el contexto de las garantías establecida</w:t>
      </w:r>
      <w:r w:rsidR="0059020E" w:rsidRPr="00D8219A">
        <w:rPr>
          <w:rFonts w:asciiTheme="majorHAnsi" w:hAnsiTheme="majorHAnsi"/>
          <w:sz w:val="20"/>
          <w:lang w:val="es-UY"/>
        </w:rPr>
        <w:t>s</w:t>
      </w:r>
      <w:r w:rsidRPr="00D8219A">
        <w:rPr>
          <w:rFonts w:asciiTheme="majorHAnsi" w:hAnsiTheme="majorHAnsi"/>
          <w:sz w:val="20"/>
          <w:lang w:val="es-UY"/>
        </w:rPr>
        <w:t xml:space="preserve"> por instrumentos interamericanos de derechos humanos, a fin de determ</w:t>
      </w:r>
      <w:r w:rsidR="00532164" w:rsidRPr="00D8219A">
        <w:rPr>
          <w:rFonts w:asciiTheme="majorHAnsi" w:hAnsiTheme="majorHAnsi"/>
          <w:sz w:val="20"/>
          <w:lang w:val="es-UY"/>
        </w:rPr>
        <w:t>inar si son arbitraria</w:t>
      </w:r>
      <w:r w:rsidRPr="00D8219A">
        <w:rPr>
          <w:rFonts w:asciiTheme="majorHAnsi" w:hAnsiTheme="majorHAnsi"/>
          <w:sz w:val="20"/>
          <w:lang w:val="es-UY"/>
        </w:rPr>
        <w:t>s. Finalmente, aunque la detención cumpla los requisitos de una disposición jurídica interna que sea compatible con dichos instrumentos, debe determinarse si la aplicación de la norma, en el caso específico, ha sido arbitraria.</w:t>
      </w:r>
      <w:r w:rsidRPr="00D8219A">
        <w:rPr>
          <w:rStyle w:val="FootnoteReference"/>
          <w:rFonts w:asciiTheme="majorHAnsi" w:hAnsiTheme="majorHAnsi"/>
          <w:sz w:val="20"/>
        </w:rPr>
        <w:footnoteReference w:id="47"/>
      </w:r>
    </w:p>
    <w:p w14:paraId="01D1CAC2" w14:textId="77777777" w:rsidR="008C0C39" w:rsidRPr="00D8219A" w:rsidRDefault="008C0C39" w:rsidP="008C0C39">
      <w:pPr>
        <w:pStyle w:val="ListParagraph"/>
        <w:tabs>
          <w:tab w:val="left" w:pos="360"/>
        </w:tabs>
        <w:ind w:left="0"/>
        <w:jc w:val="both"/>
        <w:rPr>
          <w:rFonts w:asciiTheme="majorHAnsi" w:eastAsia="Times New Roman" w:hAnsiTheme="majorHAnsi" w:cs="Times New Roman"/>
          <w:color w:val="auto"/>
          <w:sz w:val="20"/>
          <w:bdr w:val="none" w:sz="0" w:space="0" w:color="auto"/>
          <w:lang w:val="es-UY" w:eastAsia="en-US"/>
        </w:rPr>
      </w:pPr>
    </w:p>
    <w:p w14:paraId="685C2A0C" w14:textId="77777777" w:rsidR="008C0C39" w:rsidRPr="00D8219A" w:rsidRDefault="008C0C39" w:rsidP="00C243B4">
      <w:pPr>
        <w:pStyle w:val="Heading2"/>
        <w:numPr>
          <w:ilvl w:val="0"/>
          <w:numId w:val="62"/>
        </w:numPr>
        <w:tabs>
          <w:tab w:val="left" w:pos="360"/>
        </w:tabs>
        <w:spacing w:before="0"/>
        <w:ind w:left="360"/>
        <w:rPr>
          <w:color w:val="auto"/>
          <w:sz w:val="20"/>
          <w:szCs w:val="20"/>
        </w:rPr>
      </w:pPr>
      <w:bookmarkStart w:id="25" w:name="_Toc69212252"/>
      <w:r w:rsidRPr="00D8219A">
        <w:rPr>
          <w:color w:val="auto"/>
          <w:sz w:val="20"/>
          <w:szCs w:val="20"/>
        </w:rPr>
        <w:t>Análisis del caso</w:t>
      </w:r>
      <w:bookmarkEnd w:id="25"/>
    </w:p>
    <w:p w14:paraId="32C609B2" w14:textId="77777777" w:rsidR="008C0C39" w:rsidRPr="00D8219A" w:rsidRDefault="008C0C39" w:rsidP="008C0C39">
      <w:pPr>
        <w:pStyle w:val="ListParagraph"/>
        <w:tabs>
          <w:tab w:val="left" w:pos="360"/>
        </w:tabs>
        <w:ind w:left="0"/>
        <w:jc w:val="both"/>
        <w:rPr>
          <w:rFonts w:asciiTheme="majorHAnsi" w:hAnsiTheme="majorHAnsi"/>
          <w:b/>
          <w:color w:val="auto"/>
          <w:sz w:val="20"/>
          <w:szCs w:val="20"/>
          <w:lang w:val="es-ES"/>
        </w:rPr>
      </w:pPr>
    </w:p>
    <w:p w14:paraId="726EBB64" w14:textId="77777777" w:rsidR="008C0C39" w:rsidRPr="00D8219A" w:rsidRDefault="008C0C39" w:rsidP="008C0C39">
      <w:pPr>
        <w:pStyle w:val="NormalWeb"/>
        <w:numPr>
          <w:ilvl w:val="0"/>
          <w:numId w:val="57"/>
        </w:numPr>
        <w:shd w:val="clear" w:color="auto" w:fill="FFFFFF"/>
        <w:tabs>
          <w:tab w:val="left" w:pos="360"/>
        </w:tabs>
        <w:spacing w:before="0" w:beforeAutospacing="0" w:after="0" w:afterAutospacing="0"/>
        <w:ind w:left="0" w:firstLine="0"/>
        <w:jc w:val="both"/>
        <w:rPr>
          <w:rFonts w:asciiTheme="majorHAnsi" w:hAnsiTheme="majorHAnsi"/>
          <w:sz w:val="20"/>
          <w:lang w:val="es-ES"/>
        </w:rPr>
      </w:pPr>
      <w:r w:rsidRPr="00D8219A">
        <w:rPr>
          <w:rFonts w:asciiTheme="majorHAnsi" w:hAnsiTheme="majorHAnsi"/>
          <w:sz w:val="20"/>
          <w:lang w:val="es-ES"/>
        </w:rPr>
        <w:t xml:space="preserve">La Comisión examinará ahora la cuestión de si el arresto del </w:t>
      </w:r>
      <w:r w:rsidR="001B5C63" w:rsidRPr="00D8219A">
        <w:rPr>
          <w:rFonts w:asciiTheme="majorHAnsi" w:hAnsiTheme="majorHAnsi"/>
          <w:sz w:val="20"/>
          <w:lang w:val="es-ES"/>
        </w:rPr>
        <w:t>señor</w:t>
      </w:r>
      <w:r w:rsidRPr="00D8219A">
        <w:rPr>
          <w:rFonts w:asciiTheme="majorHAnsi" w:hAnsiTheme="majorHAnsi"/>
          <w:sz w:val="20"/>
          <w:lang w:val="es-ES"/>
        </w:rPr>
        <w:t xml:space="preserve"> Serrano fue compatible con la prohibición de la detención ilegal y arbitraria y la medida en que hubo participación de agentes de Estado</w:t>
      </w:r>
      <w:r w:rsidR="00045910" w:rsidRPr="00D8219A">
        <w:rPr>
          <w:rFonts w:asciiTheme="majorHAnsi" w:hAnsiTheme="majorHAnsi"/>
          <w:sz w:val="20"/>
          <w:lang w:val="es-ES"/>
        </w:rPr>
        <w:t>s</w:t>
      </w:r>
      <w:r w:rsidR="00FC391C" w:rsidRPr="00D8219A">
        <w:rPr>
          <w:rFonts w:asciiTheme="majorHAnsi" w:hAnsiTheme="majorHAnsi"/>
          <w:sz w:val="20"/>
          <w:lang w:val="es-ES"/>
        </w:rPr>
        <w:t xml:space="preserve"> Unidos en el</w:t>
      </w:r>
      <w:r w:rsidRPr="00D8219A">
        <w:rPr>
          <w:rFonts w:asciiTheme="majorHAnsi" w:hAnsiTheme="majorHAnsi"/>
          <w:sz w:val="20"/>
          <w:lang w:val="es-ES"/>
        </w:rPr>
        <w:t xml:space="preserve"> carácter oficial</w:t>
      </w:r>
      <w:r w:rsidR="00FC391C" w:rsidRPr="00D8219A">
        <w:rPr>
          <w:rFonts w:asciiTheme="majorHAnsi" w:hAnsiTheme="majorHAnsi"/>
          <w:sz w:val="20"/>
          <w:lang w:val="es-ES"/>
        </w:rPr>
        <w:t xml:space="preserve"> de esos agentes</w:t>
      </w:r>
      <w:r w:rsidRPr="00D8219A">
        <w:rPr>
          <w:rFonts w:asciiTheme="majorHAnsi" w:hAnsiTheme="majorHAnsi"/>
          <w:sz w:val="20"/>
          <w:lang w:val="es-ES"/>
        </w:rPr>
        <w:t xml:space="preserve">. </w:t>
      </w:r>
    </w:p>
    <w:p w14:paraId="1D17E158" w14:textId="77777777" w:rsidR="008C0C39" w:rsidRPr="00D8219A" w:rsidRDefault="008C0C39" w:rsidP="008C0C39">
      <w:pPr>
        <w:pStyle w:val="NormalWeb"/>
        <w:shd w:val="clear" w:color="auto" w:fill="FFFFFF"/>
        <w:tabs>
          <w:tab w:val="left" w:pos="360"/>
        </w:tabs>
        <w:spacing w:before="0" w:beforeAutospacing="0" w:after="0" w:afterAutospacing="0"/>
        <w:jc w:val="both"/>
        <w:rPr>
          <w:rFonts w:asciiTheme="majorHAnsi" w:hAnsiTheme="majorHAnsi"/>
          <w:sz w:val="20"/>
          <w:lang w:val="es-ES"/>
        </w:rPr>
      </w:pPr>
    </w:p>
    <w:p w14:paraId="382CA3BE" w14:textId="77777777" w:rsidR="008C0C39" w:rsidRPr="00D8219A" w:rsidRDefault="008C0C39" w:rsidP="008C0C39">
      <w:pPr>
        <w:pStyle w:val="NormalWeb"/>
        <w:numPr>
          <w:ilvl w:val="0"/>
          <w:numId w:val="57"/>
        </w:numPr>
        <w:shd w:val="clear" w:color="auto" w:fill="FFFFFF"/>
        <w:tabs>
          <w:tab w:val="left" w:pos="360"/>
        </w:tabs>
        <w:spacing w:before="0" w:beforeAutospacing="0" w:after="0" w:afterAutospacing="0"/>
        <w:ind w:left="0" w:firstLine="0"/>
        <w:jc w:val="both"/>
        <w:rPr>
          <w:rFonts w:asciiTheme="majorHAnsi" w:hAnsiTheme="majorHAnsi"/>
          <w:sz w:val="20"/>
          <w:lang w:val="es-UY"/>
        </w:rPr>
      </w:pPr>
      <w:r w:rsidRPr="00D8219A">
        <w:rPr>
          <w:rFonts w:asciiTheme="majorHAnsi" w:hAnsiTheme="majorHAnsi"/>
          <w:sz w:val="20"/>
          <w:lang w:val="es-UY"/>
        </w:rPr>
        <w:t xml:space="preserve">Conforme a los hechos probados arriba descritos, en 1971 el </w:t>
      </w:r>
      <w:r w:rsidR="001B5C63" w:rsidRPr="00D8219A">
        <w:rPr>
          <w:rFonts w:asciiTheme="majorHAnsi" w:hAnsiTheme="majorHAnsi"/>
          <w:sz w:val="20"/>
          <w:lang w:val="es-UY"/>
        </w:rPr>
        <w:t>señor</w:t>
      </w:r>
      <w:r w:rsidRPr="00D8219A">
        <w:rPr>
          <w:rFonts w:asciiTheme="majorHAnsi" w:hAnsiTheme="majorHAnsi"/>
          <w:sz w:val="20"/>
          <w:lang w:val="es-UY"/>
        </w:rPr>
        <w:t xml:space="preserve"> Serrano se convirtió en ciudadano naturalizado de </w:t>
      </w:r>
      <w:r w:rsidR="00616685" w:rsidRPr="00D8219A">
        <w:rPr>
          <w:rFonts w:asciiTheme="majorHAnsi" w:hAnsiTheme="majorHAnsi"/>
          <w:sz w:val="20"/>
          <w:lang w:val="es-UY"/>
        </w:rPr>
        <w:t>Estados Unidos</w:t>
      </w:r>
      <w:r w:rsidRPr="00D8219A">
        <w:rPr>
          <w:rFonts w:asciiTheme="majorHAnsi" w:hAnsiTheme="majorHAnsi"/>
          <w:sz w:val="20"/>
          <w:lang w:val="es-UY"/>
        </w:rPr>
        <w:t xml:space="preserve"> y renunció a su nacionalidad ecuatoriana. Tras la entrada en vigor de una nueva Constitución que </w:t>
      </w:r>
      <w:r w:rsidR="009B0C55" w:rsidRPr="00D8219A">
        <w:rPr>
          <w:rFonts w:asciiTheme="majorHAnsi" w:hAnsiTheme="majorHAnsi"/>
          <w:sz w:val="20"/>
          <w:lang w:val="es-UY"/>
        </w:rPr>
        <w:t xml:space="preserve">permitió </w:t>
      </w:r>
      <w:r w:rsidRPr="00D8219A">
        <w:rPr>
          <w:rFonts w:asciiTheme="majorHAnsi" w:hAnsiTheme="majorHAnsi"/>
          <w:sz w:val="20"/>
          <w:lang w:val="es-UY"/>
        </w:rPr>
        <w:t>la doble nacionalid</w:t>
      </w:r>
      <w:r w:rsidR="009B7CE8" w:rsidRPr="00D8219A">
        <w:rPr>
          <w:rFonts w:asciiTheme="majorHAnsi" w:hAnsiTheme="majorHAnsi"/>
          <w:sz w:val="20"/>
          <w:lang w:val="es-UY"/>
        </w:rPr>
        <w:t xml:space="preserve">ad </w:t>
      </w:r>
      <w:r w:rsidRPr="00D8219A">
        <w:rPr>
          <w:rFonts w:asciiTheme="majorHAnsi" w:hAnsiTheme="majorHAnsi"/>
          <w:sz w:val="20"/>
          <w:lang w:val="es-UY"/>
        </w:rPr>
        <w:t>obtuvo su pasaporte ecua</w:t>
      </w:r>
      <w:r w:rsidR="008373A6" w:rsidRPr="00D8219A">
        <w:rPr>
          <w:rFonts w:asciiTheme="majorHAnsi" w:hAnsiTheme="majorHAnsi"/>
          <w:sz w:val="20"/>
          <w:lang w:val="es-UY"/>
        </w:rPr>
        <w:t>toriano, y el 21 de agosto de 20</w:t>
      </w:r>
      <w:r w:rsidRPr="00D8219A">
        <w:rPr>
          <w:rFonts w:asciiTheme="majorHAnsi" w:hAnsiTheme="majorHAnsi"/>
          <w:sz w:val="20"/>
          <w:lang w:val="es-UY"/>
        </w:rPr>
        <w:t xml:space="preserve">00 entró a Ecuador con su pasaporte ecuatoriano. Desde esa fecha ha </w:t>
      </w:r>
      <w:r w:rsidR="005C0637" w:rsidRPr="00D8219A">
        <w:rPr>
          <w:rFonts w:asciiTheme="majorHAnsi" w:hAnsiTheme="majorHAnsi"/>
          <w:sz w:val="20"/>
          <w:lang w:val="es-UY"/>
        </w:rPr>
        <w:t>constituido domicilio</w:t>
      </w:r>
      <w:r w:rsidRPr="00D8219A">
        <w:rPr>
          <w:rFonts w:asciiTheme="majorHAnsi" w:hAnsiTheme="majorHAnsi"/>
          <w:sz w:val="20"/>
          <w:lang w:val="es-UY"/>
        </w:rPr>
        <w:t xml:space="preserve"> en Ecuador como nacional de ese país y celebrado actos jurídicos como ecuatoriano.</w:t>
      </w:r>
    </w:p>
    <w:p w14:paraId="23928166" w14:textId="77777777" w:rsidR="008C0C39" w:rsidRPr="00D8219A" w:rsidRDefault="008C0C39" w:rsidP="008C0C39">
      <w:pPr>
        <w:pStyle w:val="ListParagraph"/>
        <w:rPr>
          <w:rFonts w:asciiTheme="majorHAnsi" w:eastAsia="Times New Roman" w:hAnsiTheme="majorHAnsi" w:cs="Times New Roman"/>
          <w:color w:val="auto"/>
          <w:sz w:val="20"/>
          <w:bdr w:val="none" w:sz="0" w:space="0" w:color="auto"/>
          <w:lang w:val="es-UY" w:eastAsia="en-US"/>
        </w:rPr>
      </w:pPr>
    </w:p>
    <w:p w14:paraId="467AE392" w14:textId="77777777" w:rsidR="008C0C39" w:rsidRPr="00D8219A" w:rsidRDefault="008C0C39" w:rsidP="008C0C39">
      <w:pPr>
        <w:pStyle w:val="NormalWeb"/>
        <w:numPr>
          <w:ilvl w:val="0"/>
          <w:numId w:val="57"/>
        </w:numPr>
        <w:shd w:val="clear" w:color="auto" w:fill="FFFFFF"/>
        <w:tabs>
          <w:tab w:val="left" w:pos="360"/>
        </w:tabs>
        <w:spacing w:before="0" w:beforeAutospacing="0" w:after="0" w:afterAutospacing="0"/>
        <w:ind w:left="0" w:firstLine="0"/>
        <w:jc w:val="both"/>
        <w:rPr>
          <w:rFonts w:asciiTheme="majorHAnsi" w:hAnsiTheme="majorHAnsi"/>
          <w:lang w:val="es-UY"/>
        </w:rPr>
      </w:pPr>
      <w:r w:rsidRPr="00D8219A">
        <w:rPr>
          <w:rFonts w:asciiTheme="majorHAnsi" w:hAnsiTheme="majorHAnsi"/>
          <w:sz w:val="20"/>
          <w:lang w:val="es-UY"/>
        </w:rPr>
        <w:t xml:space="preserve">Una vez que al </w:t>
      </w:r>
      <w:r w:rsidR="001B5C63" w:rsidRPr="00D8219A">
        <w:rPr>
          <w:rFonts w:asciiTheme="majorHAnsi" w:hAnsiTheme="majorHAnsi"/>
          <w:sz w:val="20"/>
          <w:lang w:val="es-UY"/>
        </w:rPr>
        <w:t>señor</w:t>
      </w:r>
      <w:r w:rsidRPr="00D8219A">
        <w:rPr>
          <w:rFonts w:asciiTheme="majorHAnsi" w:hAnsiTheme="majorHAnsi"/>
          <w:sz w:val="20"/>
          <w:lang w:val="es-UY"/>
        </w:rPr>
        <w:t xml:space="preserve"> Serrano le fueron imputados cuatro cargos de homicidio en primer grado en el Condado de Polk, Florida, en 2001, Estados Unidos solicitó su extradición y dio seguridades al Gobierno de </w:t>
      </w:r>
      <w:r w:rsidR="00AF52D1" w:rsidRPr="00D8219A">
        <w:rPr>
          <w:rFonts w:asciiTheme="majorHAnsi" w:hAnsiTheme="majorHAnsi"/>
          <w:sz w:val="20"/>
          <w:lang w:val="es-UY"/>
        </w:rPr>
        <w:t>Ecuador</w:t>
      </w:r>
      <w:r w:rsidRPr="00D8219A">
        <w:rPr>
          <w:rFonts w:asciiTheme="majorHAnsi" w:hAnsiTheme="majorHAnsi"/>
          <w:sz w:val="20"/>
          <w:lang w:val="es-UY"/>
        </w:rPr>
        <w:t xml:space="preserve"> de que “no se promover[ía] ni impondr[í]a la pena de muerte.” El agente especial a cargo de la investigación viajó a Quito, Ecuador</w:t>
      </w:r>
      <w:r w:rsidR="00FC391C" w:rsidRPr="00D8219A">
        <w:rPr>
          <w:rFonts w:asciiTheme="majorHAnsi" w:hAnsiTheme="majorHAnsi"/>
          <w:sz w:val="20"/>
          <w:lang w:val="es-UY"/>
        </w:rPr>
        <w:t>,</w:t>
      </w:r>
      <w:r w:rsidRPr="00D8219A">
        <w:rPr>
          <w:rFonts w:asciiTheme="majorHAnsi" w:hAnsiTheme="majorHAnsi"/>
          <w:sz w:val="20"/>
          <w:lang w:val="es-UY"/>
        </w:rPr>
        <w:t xml:space="preserve"> pasó varios días visitando a altos funcionarios de diversos Ministerios ecuatorianos y se le dijo que nunca se entregaría al </w:t>
      </w:r>
      <w:r w:rsidR="001B5C63" w:rsidRPr="00D8219A">
        <w:rPr>
          <w:rFonts w:asciiTheme="majorHAnsi" w:hAnsiTheme="majorHAnsi"/>
          <w:sz w:val="20"/>
          <w:lang w:val="es-UY"/>
        </w:rPr>
        <w:t>señor</w:t>
      </w:r>
      <w:r w:rsidRPr="00D8219A">
        <w:rPr>
          <w:rFonts w:asciiTheme="majorHAnsi" w:hAnsiTheme="majorHAnsi"/>
          <w:sz w:val="20"/>
          <w:lang w:val="es-UY"/>
        </w:rPr>
        <w:t xml:space="preserve"> Serrano.</w:t>
      </w:r>
    </w:p>
    <w:p w14:paraId="737936BF" w14:textId="77777777" w:rsidR="008C0C39" w:rsidRPr="00D8219A" w:rsidRDefault="008C0C39" w:rsidP="008C0C39">
      <w:pPr>
        <w:pStyle w:val="ListParagraph"/>
        <w:rPr>
          <w:rFonts w:asciiTheme="majorHAnsi" w:hAnsiTheme="majorHAnsi"/>
          <w:sz w:val="20"/>
          <w:lang w:val="es-UY"/>
        </w:rPr>
      </w:pPr>
    </w:p>
    <w:p w14:paraId="0C362E02" w14:textId="77777777" w:rsidR="008C0C39" w:rsidRPr="00D8219A" w:rsidRDefault="008C0C39" w:rsidP="008C0C39">
      <w:pPr>
        <w:pStyle w:val="NormalWeb"/>
        <w:numPr>
          <w:ilvl w:val="0"/>
          <w:numId w:val="57"/>
        </w:numPr>
        <w:shd w:val="clear" w:color="auto" w:fill="FFFFFF"/>
        <w:tabs>
          <w:tab w:val="left" w:pos="360"/>
        </w:tabs>
        <w:spacing w:before="0" w:beforeAutospacing="0" w:after="0" w:afterAutospacing="0"/>
        <w:ind w:left="0" w:firstLine="0"/>
        <w:jc w:val="both"/>
        <w:rPr>
          <w:rFonts w:asciiTheme="majorHAnsi" w:hAnsiTheme="majorHAnsi"/>
          <w:lang w:val="es-UY"/>
        </w:rPr>
      </w:pPr>
      <w:r w:rsidRPr="00D8219A">
        <w:rPr>
          <w:rFonts w:asciiTheme="majorHAnsi" w:hAnsiTheme="majorHAnsi"/>
          <w:sz w:val="20"/>
          <w:lang w:val="es-UY"/>
        </w:rPr>
        <w:t xml:space="preserve">No obstante, el agente especial permaneció en </w:t>
      </w:r>
      <w:r w:rsidR="00AF52D1" w:rsidRPr="00D8219A">
        <w:rPr>
          <w:rFonts w:asciiTheme="majorHAnsi" w:hAnsiTheme="majorHAnsi"/>
          <w:sz w:val="20"/>
          <w:lang w:val="es-UY"/>
        </w:rPr>
        <w:t>Ecuador</w:t>
      </w:r>
      <w:r w:rsidRPr="00D8219A">
        <w:rPr>
          <w:rFonts w:asciiTheme="majorHAnsi" w:hAnsiTheme="majorHAnsi"/>
          <w:sz w:val="20"/>
          <w:lang w:val="es-UY"/>
        </w:rPr>
        <w:t xml:space="preserve"> buscando un vacío legal para arrestar al </w:t>
      </w:r>
      <w:r w:rsidR="001B5C63" w:rsidRPr="00D8219A">
        <w:rPr>
          <w:rFonts w:asciiTheme="majorHAnsi" w:hAnsiTheme="majorHAnsi"/>
          <w:sz w:val="20"/>
          <w:lang w:val="es-UY"/>
        </w:rPr>
        <w:t>señor</w:t>
      </w:r>
      <w:r w:rsidRPr="00D8219A">
        <w:rPr>
          <w:rFonts w:asciiTheme="majorHAnsi" w:hAnsiTheme="majorHAnsi"/>
          <w:sz w:val="20"/>
          <w:lang w:val="es-UY"/>
        </w:rPr>
        <w:t xml:space="preserve"> Serrano. Sabiendo que éste nunca sería extraditado a su país de origen busc</w:t>
      </w:r>
      <w:r w:rsidR="00CE6616" w:rsidRPr="00D8219A">
        <w:rPr>
          <w:rFonts w:asciiTheme="majorHAnsi" w:hAnsiTheme="majorHAnsi"/>
          <w:sz w:val="20"/>
          <w:lang w:val="es-UY"/>
        </w:rPr>
        <w:t xml:space="preserve">ó una vía para demostrar que </w:t>
      </w:r>
      <w:r w:rsidRPr="00D8219A">
        <w:rPr>
          <w:rFonts w:asciiTheme="majorHAnsi" w:hAnsiTheme="majorHAnsi"/>
          <w:sz w:val="20"/>
          <w:lang w:val="es-UY"/>
        </w:rPr>
        <w:t xml:space="preserve">era ciudadano estadounidense porque había renunciado a su ciudadanía ecuatoriana y por lo tanto no debía </w:t>
      </w:r>
      <w:r w:rsidR="004230C3" w:rsidRPr="00D8219A">
        <w:rPr>
          <w:rFonts w:asciiTheme="majorHAnsi" w:hAnsiTheme="majorHAnsi"/>
          <w:sz w:val="20"/>
          <w:lang w:val="es-UY"/>
        </w:rPr>
        <w:t>ser extraditado, sino</w:t>
      </w:r>
      <w:r w:rsidRPr="00D8219A">
        <w:rPr>
          <w:rFonts w:asciiTheme="majorHAnsi" w:hAnsiTheme="majorHAnsi"/>
          <w:sz w:val="20"/>
          <w:lang w:val="es-UY"/>
        </w:rPr>
        <w:t xml:space="preserve"> deportado. Mediante pagos a funcionarios policiales fuera de servicio logró la detención del </w:t>
      </w:r>
      <w:r w:rsidR="001B5C63" w:rsidRPr="00D8219A">
        <w:rPr>
          <w:rFonts w:asciiTheme="majorHAnsi" w:hAnsiTheme="majorHAnsi"/>
          <w:sz w:val="20"/>
          <w:lang w:val="es-UY"/>
        </w:rPr>
        <w:t>señor</w:t>
      </w:r>
      <w:r w:rsidRPr="00D8219A">
        <w:rPr>
          <w:rFonts w:asciiTheme="majorHAnsi" w:hAnsiTheme="majorHAnsi"/>
          <w:sz w:val="20"/>
          <w:lang w:val="es-UY"/>
        </w:rPr>
        <w:t xml:space="preserve"> Serrano, el 31 de agosto de 2002</w:t>
      </w:r>
      <w:r w:rsidR="004230C3" w:rsidRPr="00D8219A">
        <w:rPr>
          <w:rFonts w:asciiTheme="majorHAnsi" w:hAnsiTheme="majorHAnsi"/>
          <w:sz w:val="20"/>
          <w:lang w:val="es-UY"/>
        </w:rPr>
        <w:t>,</w:t>
      </w:r>
      <w:r w:rsidRPr="00D8219A">
        <w:rPr>
          <w:rFonts w:asciiTheme="majorHAnsi" w:hAnsiTheme="majorHAnsi"/>
          <w:sz w:val="20"/>
          <w:lang w:val="es-UY"/>
        </w:rPr>
        <w:t xml:space="preserve"> y obtuvo su deportación en 24 horas. Estados Unidos no ha alegado que el agente especial </w:t>
      </w:r>
      <w:r w:rsidR="00291772" w:rsidRPr="00D8219A">
        <w:rPr>
          <w:rFonts w:asciiTheme="majorHAnsi" w:hAnsiTheme="majorHAnsi"/>
          <w:sz w:val="20"/>
          <w:lang w:val="es-UY"/>
        </w:rPr>
        <w:t>se hallara</w:t>
      </w:r>
      <w:r w:rsidRPr="00D8219A">
        <w:rPr>
          <w:rFonts w:asciiTheme="majorHAnsi" w:hAnsiTheme="majorHAnsi"/>
          <w:sz w:val="20"/>
          <w:lang w:val="es-UY"/>
        </w:rPr>
        <w:t xml:space="preserve"> en Ecuador actuando en su calidad oficial.</w:t>
      </w:r>
    </w:p>
    <w:p w14:paraId="158FB681" w14:textId="77777777" w:rsidR="008C0C39" w:rsidRPr="00D8219A" w:rsidRDefault="008C0C39" w:rsidP="008C0C39">
      <w:pPr>
        <w:pStyle w:val="ListParagraph"/>
        <w:rPr>
          <w:rFonts w:asciiTheme="majorHAnsi" w:hAnsiTheme="majorHAnsi"/>
          <w:sz w:val="20"/>
          <w:lang w:val="es-UY"/>
        </w:rPr>
      </w:pPr>
    </w:p>
    <w:p w14:paraId="45593A0C" w14:textId="77777777" w:rsidR="008C0C39" w:rsidRPr="00D8219A" w:rsidRDefault="008C0C39" w:rsidP="008C0C39">
      <w:pPr>
        <w:pStyle w:val="NormalWeb"/>
        <w:numPr>
          <w:ilvl w:val="0"/>
          <w:numId w:val="57"/>
        </w:numPr>
        <w:shd w:val="clear" w:color="auto" w:fill="FFFFFF"/>
        <w:tabs>
          <w:tab w:val="left" w:pos="360"/>
        </w:tabs>
        <w:spacing w:before="0" w:beforeAutospacing="0" w:after="0" w:afterAutospacing="0"/>
        <w:ind w:left="0" w:firstLine="0"/>
        <w:jc w:val="both"/>
        <w:rPr>
          <w:rFonts w:asciiTheme="majorHAnsi" w:hAnsiTheme="majorHAnsi"/>
          <w:sz w:val="20"/>
          <w:lang w:val="es-UY"/>
        </w:rPr>
      </w:pPr>
      <w:r w:rsidRPr="00D8219A">
        <w:rPr>
          <w:rFonts w:asciiTheme="majorHAnsi" w:hAnsiTheme="majorHAnsi"/>
          <w:sz w:val="20"/>
          <w:lang w:val="es-UY"/>
        </w:rPr>
        <w:lastRenderedPageBreak/>
        <w:t xml:space="preserve">Conforme al </w:t>
      </w:r>
      <w:r w:rsidR="00B002F7" w:rsidRPr="00D8219A">
        <w:rPr>
          <w:rFonts w:asciiTheme="majorHAnsi" w:hAnsiTheme="majorHAnsi"/>
          <w:sz w:val="20"/>
          <w:lang w:val="es-UY"/>
        </w:rPr>
        <w:t>artículo</w:t>
      </w:r>
      <w:r w:rsidRPr="00D8219A">
        <w:rPr>
          <w:rFonts w:asciiTheme="majorHAnsi" w:hAnsiTheme="majorHAnsi"/>
          <w:sz w:val="20"/>
          <w:lang w:val="es-UY"/>
        </w:rPr>
        <w:t xml:space="preserve"> XXV de la Declaración Americana y a </w:t>
      </w:r>
      <w:r w:rsidR="009B0C55" w:rsidRPr="00D8219A">
        <w:rPr>
          <w:rFonts w:asciiTheme="majorHAnsi" w:hAnsiTheme="majorHAnsi"/>
          <w:sz w:val="20"/>
          <w:lang w:val="es-UY"/>
        </w:rPr>
        <w:t>los estándares</w:t>
      </w:r>
      <w:r w:rsidRPr="00D8219A">
        <w:rPr>
          <w:rFonts w:asciiTheme="majorHAnsi" w:hAnsiTheme="majorHAnsi"/>
          <w:sz w:val="20"/>
          <w:lang w:val="es-UY"/>
        </w:rPr>
        <w:t xml:space="preserve"> interamerican</w:t>
      </w:r>
      <w:r w:rsidR="009B0C55" w:rsidRPr="00D8219A">
        <w:rPr>
          <w:rFonts w:asciiTheme="majorHAnsi" w:hAnsiTheme="majorHAnsi"/>
          <w:sz w:val="20"/>
          <w:lang w:val="es-UY"/>
        </w:rPr>
        <w:t>o</w:t>
      </w:r>
      <w:r w:rsidRPr="00D8219A">
        <w:rPr>
          <w:rFonts w:asciiTheme="majorHAnsi" w:hAnsiTheme="majorHAnsi"/>
          <w:sz w:val="20"/>
          <w:lang w:val="es-UY"/>
        </w:rPr>
        <w:t>s arriba mencionad</w:t>
      </w:r>
      <w:r w:rsidR="009B0C55" w:rsidRPr="00D8219A">
        <w:rPr>
          <w:rFonts w:asciiTheme="majorHAnsi" w:hAnsiTheme="majorHAnsi"/>
          <w:sz w:val="20"/>
          <w:lang w:val="es-UY"/>
        </w:rPr>
        <w:t>o</w:t>
      </w:r>
      <w:r w:rsidRPr="00D8219A">
        <w:rPr>
          <w:rFonts w:asciiTheme="majorHAnsi" w:hAnsiTheme="majorHAnsi"/>
          <w:sz w:val="20"/>
          <w:lang w:val="es-UY"/>
        </w:rPr>
        <w:t>s</w:t>
      </w:r>
      <w:r w:rsidR="0017730E" w:rsidRPr="00D8219A">
        <w:rPr>
          <w:rFonts w:asciiTheme="majorHAnsi" w:hAnsiTheme="majorHAnsi"/>
          <w:sz w:val="20"/>
          <w:lang w:val="es-UY"/>
        </w:rPr>
        <w:t>,</w:t>
      </w:r>
      <w:r w:rsidRPr="00D8219A">
        <w:rPr>
          <w:rFonts w:asciiTheme="majorHAnsi" w:hAnsiTheme="majorHAnsi"/>
          <w:sz w:val="20"/>
          <w:lang w:val="es-UY"/>
        </w:rPr>
        <w:t xml:space="preserve"> el derecho a la libertad personal sólo puede ser afectado</w:t>
      </w:r>
      <w:r w:rsidR="0017730E" w:rsidRPr="00D8219A">
        <w:rPr>
          <w:rFonts w:asciiTheme="majorHAnsi" w:hAnsiTheme="majorHAnsi"/>
          <w:sz w:val="20"/>
          <w:lang w:val="es-UY"/>
        </w:rPr>
        <w:t xml:space="preserve"> </w:t>
      </w:r>
      <w:r w:rsidR="009B0C55" w:rsidRPr="00D8219A">
        <w:rPr>
          <w:rFonts w:asciiTheme="majorHAnsi" w:hAnsiTheme="majorHAnsi"/>
          <w:sz w:val="20"/>
          <w:lang w:val="es-UY"/>
        </w:rPr>
        <w:t>de acuerdo con una ley</w:t>
      </w:r>
      <w:r w:rsidRPr="00D8219A">
        <w:rPr>
          <w:rFonts w:asciiTheme="majorHAnsi" w:hAnsiTheme="majorHAnsi"/>
          <w:sz w:val="20"/>
          <w:lang w:val="es-UY"/>
        </w:rPr>
        <w:t xml:space="preserve"> preexistente. Por lo tanto, cualquier requisito estipulado por el derecho interno que no se cumpla al privar a una persona de su libertad hará que esa privación de libertad sea ilegal y por lo tanto contraria a la Declaración Americana.</w:t>
      </w:r>
    </w:p>
    <w:p w14:paraId="0B14A745" w14:textId="77777777" w:rsidR="008C0C39" w:rsidRPr="00D8219A" w:rsidRDefault="008C0C39" w:rsidP="008C0C39">
      <w:pPr>
        <w:pStyle w:val="NormalWeb"/>
        <w:shd w:val="clear" w:color="auto" w:fill="FFFFFF"/>
        <w:tabs>
          <w:tab w:val="left" w:pos="360"/>
        </w:tabs>
        <w:spacing w:before="0" w:beforeAutospacing="0" w:after="0" w:afterAutospacing="0"/>
        <w:jc w:val="both"/>
        <w:rPr>
          <w:rFonts w:asciiTheme="majorHAnsi" w:hAnsiTheme="majorHAnsi"/>
          <w:sz w:val="20"/>
          <w:lang w:val="es-UY"/>
        </w:rPr>
      </w:pPr>
    </w:p>
    <w:p w14:paraId="3261AB6E" w14:textId="77777777" w:rsidR="008C0C39" w:rsidRPr="00D8219A" w:rsidRDefault="008C0C39" w:rsidP="008C0C39">
      <w:pPr>
        <w:pStyle w:val="parrafos"/>
        <w:ind w:left="0" w:firstLine="0"/>
        <w:rPr>
          <w:rFonts w:eastAsia="Times New Roman"/>
          <w:color w:val="auto"/>
          <w:szCs w:val="24"/>
          <w:bdr w:val="none" w:sz="0" w:space="0" w:color="auto"/>
          <w:lang w:val="es-UY"/>
        </w:rPr>
      </w:pPr>
      <w:r w:rsidRPr="00D8219A">
        <w:rPr>
          <w:rFonts w:eastAsia="Times New Roman"/>
          <w:color w:val="auto"/>
          <w:szCs w:val="24"/>
          <w:bdr w:val="none" w:sz="0" w:space="0" w:color="auto"/>
          <w:lang w:val="es-UY"/>
        </w:rPr>
        <w:t xml:space="preserve">Con respecto a la legalidad de la detención del </w:t>
      </w:r>
      <w:r w:rsidR="001B5C63" w:rsidRPr="00D8219A">
        <w:rPr>
          <w:rFonts w:eastAsia="Times New Roman"/>
          <w:color w:val="auto"/>
          <w:szCs w:val="24"/>
          <w:bdr w:val="none" w:sz="0" w:space="0" w:color="auto"/>
          <w:lang w:val="es-UY"/>
        </w:rPr>
        <w:t>señor</w:t>
      </w:r>
      <w:r w:rsidRPr="00D8219A">
        <w:rPr>
          <w:rFonts w:eastAsia="Times New Roman"/>
          <w:color w:val="auto"/>
          <w:szCs w:val="24"/>
          <w:bdr w:val="none" w:sz="0" w:space="0" w:color="auto"/>
          <w:lang w:val="es-UY"/>
        </w:rPr>
        <w:t xml:space="preserve"> Serrano, la CIDH señala que a la fecha de</w:t>
      </w:r>
      <w:r w:rsidR="009B0C55" w:rsidRPr="00D8219A">
        <w:rPr>
          <w:rFonts w:eastAsia="Times New Roman"/>
          <w:color w:val="auto"/>
          <w:szCs w:val="24"/>
          <w:bdr w:val="none" w:sz="0" w:space="0" w:color="auto"/>
          <w:lang w:val="es-UY"/>
        </w:rPr>
        <w:t xml:space="preserve"> su</w:t>
      </w:r>
      <w:r w:rsidRPr="00D8219A">
        <w:rPr>
          <w:rFonts w:eastAsia="Times New Roman"/>
          <w:color w:val="auto"/>
          <w:szCs w:val="24"/>
          <w:bdr w:val="none" w:sz="0" w:space="0" w:color="auto"/>
          <w:lang w:val="es-UY"/>
        </w:rPr>
        <w:t xml:space="preserve"> arresto la legislación ecuatoriana establecía que</w:t>
      </w:r>
      <w:r w:rsidR="00656399" w:rsidRPr="00D8219A">
        <w:rPr>
          <w:rFonts w:eastAsia="Times New Roman"/>
          <w:color w:val="auto"/>
          <w:szCs w:val="24"/>
          <w:bdr w:val="none" w:sz="0" w:space="0" w:color="auto"/>
          <w:lang w:val="es-UY"/>
        </w:rPr>
        <w:t xml:space="preserve"> las disposiciones sobre</w:t>
      </w:r>
      <w:r w:rsidRPr="00D8219A">
        <w:rPr>
          <w:rFonts w:eastAsia="Times New Roman"/>
          <w:color w:val="auto"/>
          <w:szCs w:val="24"/>
          <w:bdr w:val="none" w:sz="0" w:space="0" w:color="auto"/>
          <w:lang w:val="es-UY"/>
        </w:rPr>
        <w:t xml:space="preserve"> deportaciones se aplicaban a </w:t>
      </w:r>
      <w:r w:rsidRPr="00D8219A">
        <w:rPr>
          <w:rFonts w:eastAsia="Times New Roman"/>
          <w:color w:val="auto"/>
          <w:bdr w:val="none" w:sz="0" w:space="0" w:color="auto"/>
          <w:lang w:val="es-UY"/>
        </w:rPr>
        <w:t>“</w:t>
      </w:r>
      <w:r w:rsidRPr="00D8219A">
        <w:rPr>
          <w:lang w:val="es-UY"/>
        </w:rPr>
        <w:t xml:space="preserve">todo extranjero sujeto al fuero territorial” del Estado. A la fecha de su arresto, sin embargo, el </w:t>
      </w:r>
      <w:r w:rsidR="001B5C63" w:rsidRPr="00D8219A">
        <w:rPr>
          <w:lang w:val="es-UY"/>
        </w:rPr>
        <w:t>señor</w:t>
      </w:r>
      <w:r w:rsidRPr="00D8219A">
        <w:rPr>
          <w:lang w:val="es-UY"/>
        </w:rPr>
        <w:t xml:space="preserve"> Serrano era ciudadano ecuatoriano. Como consecuencia, su detención no fue compa</w:t>
      </w:r>
      <w:r w:rsidR="00907CE7" w:rsidRPr="00D8219A">
        <w:rPr>
          <w:lang w:val="es-UY"/>
        </w:rPr>
        <w:t>tible con la legislación interna, siendo</w:t>
      </w:r>
      <w:r w:rsidRPr="00D8219A">
        <w:rPr>
          <w:lang w:val="es-UY"/>
        </w:rPr>
        <w:t>, por lo tanto, ilegal. La Comisión señala que el arresto de un nacional con fines de deportación de su propio país en un contexto de obstáculos para la utilización del conducto regular, es decir la extradición, es c</w:t>
      </w:r>
      <w:r w:rsidR="00F159FD" w:rsidRPr="00D8219A">
        <w:rPr>
          <w:lang w:val="es-UY"/>
        </w:rPr>
        <w:t>laramente imprevisible y abusivo, y por lo tanto arbitrario</w:t>
      </w:r>
      <w:r w:rsidRPr="00D8219A">
        <w:rPr>
          <w:lang w:val="es-UY"/>
        </w:rPr>
        <w:t>.</w:t>
      </w:r>
    </w:p>
    <w:p w14:paraId="67FA58A0" w14:textId="77777777" w:rsidR="008C0C39" w:rsidRPr="00D8219A" w:rsidRDefault="008C0C39" w:rsidP="008C0C39">
      <w:pPr>
        <w:pStyle w:val="ListParagraph"/>
        <w:rPr>
          <w:rFonts w:asciiTheme="majorHAnsi" w:eastAsia="Times New Roman" w:hAnsiTheme="majorHAnsi"/>
          <w:color w:val="auto"/>
          <w:bdr w:val="none" w:sz="0" w:space="0" w:color="auto"/>
          <w:lang w:val="es-UY"/>
        </w:rPr>
      </w:pPr>
    </w:p>
    <w:p w14:paraId="0A26DEC6" w14:textId="77777777" w:rsidR="008C0C39" w:rsidRPr="00D8219A" w:rsidRDefault="008C0C39" w:rsidP="008C0C39">
      <w:pPr>
        <w:pStyle w:val="parrafos"/>
        <w:ind w:left="0" w:firstLine="0"/>
        <w:rPr>
          <w:rFonts w:eastAsia="Times New Roman"/>
          <w:color w:val="auto"/>
          <w:szCs w:val="24"/>
          <w:bdr w:val="none" w:sz="0" w:space="0" w:color="auto"/>
          <w:lang w:val="es-UY"/>
        </w:rPr>
      </w:pPr>
      <w:r w:rsidRPr="00D8219A">
        <w:rPr>
          <w:rFonts w:eastAsia="Times New Roman"/>
          <w:color w:val="auto"/>
          <w:szCs w:val="24"/>
          <w:bdr w:val="none" w:sz="0" w:space="0" w:color="auto"/>
          <w:lang w:val="es-UY"/>
        </w:rPr>
        <w:t xml:space="preserve"> Aunque la detención del </w:t>
      </w:r>
      <w:r w:rsidR="001B5C63" w:rsidRPr="00D8219A">
        <w:rPr>
          <w:rFonts w:eastAsia="Times New Roman"/>
          <w:color w:val="auto"/>
          <w:szCs w:val="24"/>
          <w:bdr w:val="none" w:sz="0" w:space="0" w:color="auto"/>
          <w:lang w:val="es-UY"/>
        </w:rPr>
        <w:t>señor</w:t>
      </w:r>
      <w:r w:rsidRPr="00D8219A">
        <w:rPr>
          <w:rFonts w:eastAsia="Times New Roman"/>
          <w:color w:val="auto"/>
          <w:szCs w:val="24"/>
          <w:bdr w:val="none" w:sz="0" w:space="0" w:color="auto"/>
          <w:lang w:val="es-UY"/>
        </w:rPr>
        <w:t xml:space="preserve"> Serrano fue realizada por autoridades ecuatorianas</w:t>
      </w:r>
      <w:r w:rsidR="0076355F" w:rsidRPr="00D8219A">
        <w:rPr>
          <w:rFonts w:eastAsia="Times New Roman"/>
          <w:color w:val="auto"/>
          <w:szCs w:val="24"/>
          <w:bdr w:val="none" w:sz="0" w:space="0" w:color="auto"/>
          <w:lang w:val="es-UY"/>
        </w:rPr>
        <w:t>, de acuerdo con la relación</w:t>
      </w:r>
      <w:r w:rsidR="00563431" w:rsidRPr="00D8219A">
        <w:rPr>
          <w:rFonts w:eastAsia="Times New Roman"/>
          <w:color w:val="auto"/>
          <w:szCs w:val="24"/>
          <w:bdr w:val="none" w:sz="0" w:space="0" w:color="auto"/>
          <w:lang w:val="es-UY"/>
        </w:rPr>
        <w:t xml:space="preserve"> de hechos arriba enunciada </w:t>
      </w:r>
      <w:r w:rsidRPr="00D8219A">
        <w:rPr>
          <w:rFonts w:eastAsia="Times New Roman"/>
          <w:color w:val="auto"/>
          <w:szCs w:val="24"/>
          <w:bdr w:val="none" w:sz="0" w:space="0" w:color="auto"/>
          <w:lang w:val="es-UY"/>
        </w:rPr>
        <w:t xml:space="preserve">el investigador de </w:t>
      </w:r>
      <w:r w:rsidR="00616685" w:rsidRPr="00D8219A">
        <w:rPr>
          <w:rFonts w:eastAsia="Times New Roman"/>
          <w:color w:val="auto"/>
          <w:szCs w:val="24"/>
          <w:bdr w:val="none" w:sz="0" w:space="0" w:color="auto"/>
          <w:lang w:val="es-UY"/>
        </w:rPr>
        <w:t>Estados Unidos</w:t>
      </w:r>
      <w:r w:rsidRPr="00D8219A">
        <w:rPr>
          <w:rFonts w:eastAsia="Times New Roman"/>
          <w:color w:val="auto"/>
          <w:szCs w:val="24"/>
          <w:bdr w:val="none" w:sz="0" w:space="0" w:color="auto"/>
          <w:lang w:val="es-UY"/>
        </w:rPr>
        <w:t xml:space="preserve"> a cargo del caso del </w:t>
      </w:r>
      <w:r w:rsidR="001B5C63" w:rsidRPr="00D8219A">
        <w:rPr>
          <w:rFonts w:eastAsia="Times New Roman"/>
          <w:color w:val="auto"/>
          <w:szCs w:val="24"/>
          <w:bdr w:val="none" w:sz="0" w:space="0" w:color="auto"/>
          <w:lang w:val="es-UY"/>
        </w:rPr>
        <w:t>señor</w:t>
      </w:r>
      <w:r w:rsidRPr="00D8219A">
        <w:rPr>
          <w:rFonts w:eastAsia="Times New Roman"/>
          <w:color w:val="auto"/>
          <w:szCs w:val="24"/>
          <w:bdr w:val="none" w:sz="0" w:space="0" w:color="auto"/>
          <w:lang w:val="es-UY"/>
        </w:rPr>
        <w:t xml:space="preserve"> Serrano cumplió un papel activo y de</w:t>
      </w:r>
      <w:r w:rsidR="00563431" w:rsidRPr="00D8219A">
        <w:rPr>
          <w:rFonts w:eastAsia="Times New Roman"/>
          <w:color w:val="auto"/>
          <w:szCs w:val="24"/>
          <w:bdr w:val="none" w:sz="0" w:space="0" w:color="auto"/>
          <w:lang w:val="es-UY"/>
        </w:rPr>
        <w:t>cisivo</w:t>
      </w:r>
      <w:r w:rsidRPr="00D8219A">
        <w:rPr>
          <w:rFonts w:eastAsia="Times New Roman"/>
          <w:color w:val="auto"/>
          <w:szCs w:val="24"/>
          <w:bdr w:val="none" w:sz="0" w:space="0" w:color="auto"/>
          <w:lang w:val="es-UY"/>
        </w:rPr>
        <w:t xml:space="preserve"> en el arresto de dicha persona. No sólo viajó a Ecuador</w:t>
      </w:r>
      <w:r w:rsidR="00306425" w:rsidRPr="00D8219A">
        <w:rPr>
          <w:rFonts w:eastAsia="Times New Roman"/>
          <w:color w:val="auto"/>
          <w:szCs w:val="24"/>
          <w:bdr w:val="none" w:sz="0" w:space="0" w:color="auto"/>
          <w:lang w:val="es-UY"/>
        </w:rPr>
        <w:t>,</w:t>
      </w:r>
      <w:r w:rsidRPr="00D8219A">
        <w:rPr>
          <w:rFonts w:eastAsia="Times New Roman"/>
          <w:color w:val="auto"/>
          <w:szCs w:val="24"/>
          <w:bdr w:val="none" w:sz="0" w:space="0" w:color="auto"/>
          <w:lang w:val="es-UY"/>
        </w:rPr>
        <w:t xml:space="preserve"> sino que además halló la manera de sortear las dificultades experimentadas por las autoridades estadounidenses para</w:t>
      </w:r>
      <w:r w:rsidR="00306425" w:rsidRPr="00D8219A">
        <w:rPr>
          <w:rFonts w:eastAsia="Times New Roman"/>
          <w:color w:val="auto"/>
          <w:szCs w:val="24"/>
          <w:bdr w:val="none" w:sz="0" w:space="0" w:color="auto"/>
          <w:lang w:val="es-UY"/>
        </w:rPr>
        <w:t xml:space="preserve"> llevar a juicio</w:t>
      </w:r>
      <w:r w:rsidRPr="00D8219A">
        <w:rPr>
          <w:rFonts w:eastAsia="Times New Roman"/>
          <w:color w:val="auto"/>
          <w:szCs w:val="24"/>
          <w:bdr w:val="none" w:sz="0" w:space="0" w:color="auto"/>
          <w:lang w:val="es-UY"/>
        </w:rPr>
        <w:t xml:space="preserve"> al </w:t>
      </w:r>
      <w:r w:rsidR="001B5C63" w:rsidRPr="00D8219A">
        <w:rPr>
          <w:rFonts w:eastAsia="Times New Roman"/>
          <w:color w:val="auto"/>
          <w:szCs w:val="24"/>
          <w:bdr w:val="none" w:sz="0" w:space="0" w:color="auto"/>
          <w:lang w:val="es-UY"/>
        </w:rPr>
        <w:t>señor</w:t>
      </w:r>
      <w:r w:rsidRPr="00D8219A">
        <w:rPr>
          <w:rFonts w:eastAsia="Times New Roman"/>
          <w:color w:val="auto"/>
          <w:szCs w:val="24"/>
          <w:bdr w:val="none" w:sz="0" w:space="0" w:color="auto"/>
          <w:lang w:val="es-UY"/>
        </w:rPr>
        <w:t xml:space="preserve"> Serrano.</w:t>
      </w:r>
    </w:p>
    <w:p w14:paraId="103D13F2" w14:textId="77777777" w:rsidR="008C0C39" w:rsidRPr="00D8219A" w:rsidRDefault="008C0C39" w:rsidP="008C0C39">
      <w:pPr>
        <w:pStyle w:val="ListParagraph"/>
        <w:rPr>
          <w:rFonts w:asciiTheme="majorHAnsi" w:hAnsiTheme="majorHAnsi"/>
          <w:sz w:val="20"/>
          <w:szCs w:val="20"/>
          <w:lang w:val="es-UY"/>
        </w:rPr>
      </w:pPr>
    </w:p>
    <w:p w14:paraId="1232DF5E" w14:textId="77777777" w:rsidR="008C0C39" w:rsidRPr="00D8219A" w:rsidRDefault="008C0C39" w:rsidP="008C0C39">
      <w:pPr>
        <w:pStyle w:val="parrafos"/>
        <w:ind w:left="0" w:firstLine="0"/>
        <w:rPr>
          <w:rFonts w:eastAsia="Times New Roman"/>
          <w:color w:val="auto"/>
          <w:szCs w:val="24"/>
          <w:bdr w:val="none" w:sz="0" w:space="0" w:color="auto"/>
          <w:lang w:val="es-UY"/>
        </w:rPr>
      </w:pPr>
      <w:r w:rsidRPr="00D8219A">
        <w:rPr>
          <w:lang w:val="es-UY"/>
        </w:rPr>
        <w:t xml:space="preserve">Por lo tanto, considerando </w:t>
      </w:r>
      <w:r w:rsidR="009B0C55" w:rsidRPr="00D8219A">
        <w:rPr>
          <w:lang w:val="es-UY"/>
        </w:rPr>
        <w:t>los estándares</w:t>
      </w:r>
      <w:r w:rsidRPr="00D8219A">
        <w:rPr>
          <w:lang w:val="es-UY"/>
        </w:rPr>
        <w:t xml:space="preserve"> internacionales </w:t>
      </w:r>
      <w:r w:rsidR="009B0C55" w:rsidRPr="00D8219A">
        <w:rPr>
          <w:lang w:val="es-UY"/>
        </w:rPr>
        <w:t xml:space="preserve">mencionados </w:t>
      </w:r>
      <w:r w:rsidRPr="00D8219A">
        <w:rPr>
          <w:lang w:val="es-UY"/>
        </w:rPr>
        <w:t>en la sección sobre responsabilidad del Estado, y el hecho de que el agente especial estaba actuando en su carácter oficial, la Comisión concluye que existe un nexo causal entre el proceder extraterritorial de Estados Unidos a través de su agente en Ecuador y la violación del derech</w:t>
      </w:r>
      <w:r w:rsidR="0099513D" w:rsidRPr="00D8219A">
        <w:rPr>
          <w:lang w:val="es-UY"/>
        </w:rPr>
        <w:t xml:space="preserve">o del </w:t>
      </w:r>
      <w:r w:rsidR="001B5C63" w:rsidRPr="00D8219A">
        <w:rPr>
          <w:lang w:val="es-UY"/>
        </w:rPr>
        <w:t>señor</w:t>
      </w:r>
      <w:r w:rsidR="0099513D" w:rsidRPr="00D8219A">
        <w:rPr>
          <w:lang w:val="es-UY"/>
        </w:rPr>
        <w:t xml:space="preserve"> Serrano de</w:t>
      </w:r>
      <w:r w:rsidRPr="00D8219A">
        <w:rPr>
          <w:lang w:val="es-UY"/>
        </w:rPr>
        <w:t xml:space="preserve"> gozar de protección frente al arresto ilegal, estipulado en el </w:t>
      </w:r>
      <w:r w:rsidR="00B002F7" w:rsidRPr="00D8219A">
        <w:rPr>
          <w:lang w:val="es-UY"/>
        </w:rPr>
        <w:t>artículo</w:t>
      </w:r>
      <w:r w:rsidRPr="00D8219A">
        <w:rPr>
          <w:lang w:val="es-UY"/>
        </w:rPr>
        <w:t xml:space="preserve"> XXV de la Declaración Americana.  </w:t>
      </w:r>
    </w:p>
    <w:p w14:paraId="44AFD252" w14:textId="77777777" w:rsidR="008C0C39" w:rsidRPr="00D8219A" w:rsidRDefault="008C0C39" w:rsidP="008C0C39">
      <w:pPr>
        <w:pStyle w:val="parrafos"/>
        <w:numPr>
          <w:ilvl w:val="0"/>
          <w:numId w:val="0"/>
        </w:numPr>
        <w:rPr>
          <w:rFonts w:eastAsia="Times New Roman"/>
          <w:color w:val="auto"/>
          <w:szCs w:val="24"/>
          <w:bdr w:val="none" w:sz="0" w:space="0" w:color="auto"/>
          <w:lang w:val="es-UY"/>
        </w:rPr>
      </w:pPr>
    </w:p>
    <w:p w14:paraId="28245DF8" w14:textId="77777777" w:rsidR="008C0C39" w:rsidRPr="00D8219A" w:rsidRDefault="008C0C39" w:rsidP="00CE6616">
      <w:pPr>
        <w:pStyle w:val="Heading2"/>
        <w:tabs>
          <w:tab w:val="left" w:pos="360"/>
        </w:tabs>
        <w:spacing w:before="0"/>
        <w:jc w:val="both"/>
        <w:rPr>
          <w:color w:val="auto"/>
          <w:sz w:val="20"/>
          <w:szCs w:val="20"/>
          <w:lang w:val="es-UY"/>
        </w:rPr>
      </w:pPr>
      <w:bookmarkStart w:id="26" w:name="_Toc69212253"/>
      <w:r w:rsidRPr="00D8219A">
        <w:rPr>
          <w:color w:val="auto"/>
          <w:sz w:val="20"/>
          <w:szCs w:val="20"/>
          <w:lang w:val="es-UY"/>
        </w:rPr>
        <w:t>D.</w:t>
      </w:r>
      <w:r w:rsidRPr="00D8219A">
        <w:rPr>
          <w:color w:val="auto"/>
          <w:sz w:val="20"/>
          <w:szCs w:val="20"/>
          <w:lang w:val="es-UY"/>
        </w:rPr>
        <w:tab/>
        <w:t>Derechos a un juicio justo</w:t>
      </w:r>
      <w:r w:rsidRPr="00D8219A">
        <w:rPr>
          <w:rStyle w:val="FootnoteReference"/>
          <w:rFonts w:eastAsia="Arial Unicode MS"/>
          <w:bCs w:val="0"/>
          <w:color w:val="auto"/>
          <w:sz w:val="18"/>
          <w:szCs w:val="18"/>
        </w:rPr>
        <w:footnoteReference w:id="48"/>
      </w:r>
      <w:r w:rsidRPr="00D8219A">
        <w:rPr>
          <w:color w:val="auto"/>
          <w:sz w:val="20"/>
          <w:szCs w:val="20"/>
          <w:lang w:val="es-UY"/>
        </w:rPr>
        <w:t xml:space="preserve"> y al debido proceso,</w:t>
      </w:r>
      <w:r w:rsidRPr="00D8219A">
        <w:rPr>
          <w:rStyle w:val="FootnoteReference"/>
          <w:rFonts w:eastAsia="Arial Unicode MS"/>
          <w:b w:val="0"/>
          <w:bCs w:val="0"/>
          <w:color w:val="auto"/>
          <w:sz w:val="18"/>
          <w:szCs w:val="18"/>
        </w:rPr>
        <w:footnoteReference w:id="49"/>
      </w:r>
      <w:r w:rsidRPr="00D8219A">
        <w:rPr>
          <w:b w:val="0"/>
          <w:color w:val="auto"/>
          <w:sz w:val="20"/>
          <w:szCs w:val="20"/>
          <w:lang w:val="es-UY"/>
        </w:rPr>
        <w:t xml:space="preserve"> </w:t>
      </w:r>
      <w:r w:rsidRPr="00D8219A">
        <w:rPr>
          <w:color w:val="auto"/>
          <w:sz w:val="20"/>
          <w:szCs w:val="20"/>
          <w:lang w:val="es-UY"/>
        </w:rPr>
        <w:t>en relación con el derecho a la vida, la libertad y la seguridad personal,</w:t>
      </w:r>
      <w:r w:rsidRPr="00D8219A">
        <w:rPr>
          <w:rStyle w:val="FootnoteReference"/>
          <w:rFonts w:eastAsia="Arial Unicode MS"/>
          <w:b w:val="0"/>
          <w:bCs w:val="0"/>
          <w:color w:val="auto"/>
          <w:sz w:val="18"/>
          <w:szCs w:val="18"/>
        </w:rPr>
        <w:footnoteReference w:id="50"/>
      </w:r>
      <w:r w:rsidRPr="00D8219A">
        <w:rPr>
          <w:b w:val="0"/>
          <w:color w:val="auto"/>
          <w:sz w:val="20"/>
          <w:szCs w:val="20"/>
          <w:lang w:val="es-UY"/>
        </w:rPr>
        <w:t xml:space="preserve"> </w:t>
      </w:r>
      <w:r w:rsidRPr="00D8219A">
        <w:rPr>
          <w:color w:val="auto"/>
          <w:sz w:val="20"/>
          <w:szCs w:val="20"/>
          <w:lang w:val="es-UY"/>
        </w:rPr>
        <w:t>y con el derecho a obtener protección contra el arresto arbitrario, previstos en la Declaración Americana</w:t>
      </w:r>
      <w:bookmarkEnd w:id="26"/>
    </w:p>
    <w:p w14:paraId="1635C631" w14:textId="77777777" w:rsidR="008C0C39" w:rsidRPr="00D8219A" w:rsidRDefault="008C0C39" w:rsidP="008C0C39">
      <w:pPr>
        <w:pStyle w:val="NormalWeb"/>
        <w:shd w:val="clear" w:color="auto" w:fill="FFFFFF"/>
        <w:tabs>
          <w:tab w:val="left" w:pos="360"/>
        </w:tabs>
        <w:spacing w:before="0" w:beforeAutospacing="0" w:after="0" w:afterAutospacing="0"/>
        <w:jc w:val="both"/>
        <w:rPr>
          <w:rFonts w:asciiTheme="majorHAnsi" w:hAnsiTheme="majorHAnsi"/>
          <w:sz w:val="20"/>
          <w:lang w:val="es-UY"/>
        </w:rPr>
      </w:pPr>
    </w:p>
    <w:p w14:paraId="28010A23" w14:textId="77777777" w:rsidR="008C0C39" w:rsidRPr="00D8219A" w:rsidRDefault="008C0C39" w:rsidP="008C0C39">
      <w:pPr>
        <w:pStyle w:val="parrafos"/>
        <w:ind w:left="0" w:firstLine="0"/>
        <w:rPr>
          <w:lang w:val="es-UY"/>
        </w:rPr>
      </w:pPr>
      <w:r w:rsidRPr="00D8219A">
        <w:rPr>
          <w:lang w:val="es-UY"/>
        </w:rPr>
        <w:t xml:space="preserve">Establecida la responsabilidad extraterritorial de </w:t>
      </w:r>
      <w:r w:rsidR="00616685" w:rsidRPr="00D8219A">
        <w:rPr>
          <w:lang w:val="es-UY"/>
        </w:rPr>
        <w:t>Estados Unidos</w:t>
      </w:r>
      <w:r w:rsidRPr="00D8219A">
        <w:rPr>
          <w:lang w:val="es-UY"/>
        </w:rPr>
        <w:t xml:space="preserve"> </w:t>
      </w:r>
      <w:r w:rsidR="009B0C55" w:rsidRPr="00D8219A">
        <w:rPr>
          <w:lang w:val="es-UY"/>
        </w:rPr>
        <w:t>por</w:t>
      </w:r>
      <w:r w:rsidRPr="00D8219A">
        <w:rPr>
          <w:lang w:val="es-UY"/>
        </w:rPr>
        <w:t xml:space="preserve"> la ilegal y arbitraria</w:t>
      </w:r>
      <w:r w:rsidR="00CC13F3" w:rsidRPr="00D8219A">
        <w:rPr>
          <w:lang w:val="es-UY"/>
        </w:rPr>
        <w:t xml:space="preserve"> detención</w:t>
      </w:r>
      <w:r w:rsidR="004360F5" w:rsidRPr="00D8219A">
        <w:rPr>
          <w:lang w:val="es-UY"/>
        </w:rPr>
        <w:t xml:space="preserve"> del </w:t>
      </w:r>
      <w:r w:rsidR="001B5C63" w:rsidRPr="00D8219A">
        <w:rPr>
          <w:lang w:val="es-UY"/>
        </w:rPr>
        <w:t>señor</w:t>
      </w:r>
      <w:r w:rsidR="004360F5" w:rsidRPr="00D8219A">
        <w:rPr>
          <w:lang w:val="es-UY"/>
        </w:rPr>
        <w:t xml:space="preserve"> Serrano</w:t>
      </w:r>
      <w:r w:rsidR="009B0C55" w:rsidRPr="00D8219A">
        <w:rPr>
          <w:lang w:val="es-UY"/>
        </w:rPr>
        <w:t>,</w:t>
      </w:r>
      <w:r w:rsidR="004360F5" w:rsidRPr="00D8219A">
        <w:rPr>
          <w:lang w:val="es-UY"/>
        </w:rPr>
        <w:t xml:space="preserve"> </w:t>
      </w:r>
      <w:r w:rsidRPr="00D8219A">
        <w:rPr>
          <w:lang w:val="es-UY"/>
        </w:rPr>
        <w:t xml:space="preserve">es necesario analizar la manera en que ese acto fue evaluado por las cortes de justicia de </w:t>
      </w:r>
      <w:r w:rsidR="00616685" w:rsidRPr="00D8219A">
        <w:rPr>
          <w:lang w:val="es-UY"/>
        </w:rPr>
        <w:t>Estados Unidos</w:t>
      </w:r>
      <w:r w:rsidRPr="00D8219A">
        <w:rPr>
          <w:lang w:val="es-UY"/>
        </w:rPr>
        <w:t xml:space="preserve"> e</w:t>
      </w:r>
      <w:r w:rsidR="00C33DD3" w:rsidRPr="00D8219A">
        <w:rPr>
          <w:lang w:val="es-UY"/>
        </w:rPr>
        <w:t>n</w:t>
      </w:r>
      <w:r w:rsidRPr="00D8219A">
        <w:rPr>
          <w:lang w:val="es-UY"/>
        </w:rPr>
        <w:t xml:space="preserve"> el marco del juicio penal que culminó con la sentencia de muerte d</w:t>
      </w:r>
      <w:r w:rsidR="00AF6097" w:rsidRPr="00D8219A">
        <w:rPr>
          <w:lang w:val="es-UY"/>
        </w:rPr>
        <w:t>ictada</w:t>
      </w:r>
      <w:r w:rsidRPr="00D8219A">
        <w:rPr>
          <w:lang w:val="es-UY"/>
        </w:rPr>
        <w:t xml:space="preserve"> contra el </w:t>
      </w:r>
      <w:r w:rsidR="001B5C63" w:rsidRPr="00D8219A">
        <w:rPr>
          <w:lang w:val="es-UY"/>
        </w:rPr>
        <w:t>señor</w:t>
      </w:r>
      <w:r w:rsidRPr="00D8219A">
        <w:rPr>
          <w:lang w:val="es-UY"/>
        </w:rPr>
        <w:t xml:space="preserve"> Serrano. La Comisión carece de competencia para revisar sentencias dictadas por </w:t>
      </w:r>
      <w:r w:rsidR="009B0C55" w:rsidRPr="00D8219A">
        <w:rPr>
          <w:lang w:val="es-UY"/>
        </w:rPr>
        <w:t>tribunales</w:t>
      </w:r>
      <w:r w:rsidRPr="00D8219A">
        <w:rPr>
          <w:lang w:val="es-UY"/>
        </w:rPr>
        <w:t xml:space="preserve"> nacionales dentro de sus esferas de competencia y respetado las debidas garantías judiciales. En principio ello se debe a que la CIDH no tiene la potestad de anteponer sus interpretaciones a la evaluación de los hechos efectuada por tribunales nacionales. La fórmula de la cuarta instancia no impide sin embargo</w:t>
      </w:r>
      <w:r w:rsidR="009C28CD" w:rsidRPr="00D8219A">
        <w:rPr>
          <w:lang w:val="es-UY"/>
        </w:rPr>
        <w:t xml:space="preserve"> </w:t>
      </w:r>
      <w:r w:rsidRPr="00D8219A">
        <w:rPr>
          <w:lang w:val="es-UY"/>
        </w:rPr>
        <w:t xml:space="preserve">a la Comisión considerar un caso en que las alegaciones del </w:t>
      </w:r>
      <w:r w:rsidR="00802F33" w:rsidRPr="00D8219A">
        <w:rPr>
          <w:lang w:val="es-UY"/>
        </w:rPr>
        <w:t>peticionario entrañen l</w:t>
      </w:r>
      <w:r w:rsidRPr="00D8219A">
        <w:rPr>
          <w:lang w:val="es-UY"/>
        </w:rPr>
        <w:t>a posible violación de cualquiera de los derechos enunciados en la Declaración. Esa potestad se ve reforzada en casos que involucren la imposici</w:t>
      </w:r>
      <w:r w:rsidR="00802F33" w:rsidRPr="00D8219A">
        <w:rPr>
          <w:lang w:val="es-UY"/>
        </w:rPr>
        <w:t>ón de la pena de muerte, dada la irreversibilidad de esta última.</w:t>
      </w:r>
    </w:p>
    <w:p w14:paraId="4AEEAD5E" w14:textId="77777777" w:rsidR="008C0C39" w:rsidRPr="00D8219A" w:rsidRDefault="008C0C39" w:rsidP="008C0C39">
      <w:pPr>
        <w:pStyle w:val="parrafos"/>
        <w:numPr>
          <w:ilvl w:val="0"/>
          <w:numId w:val="0"/>
        </w:numPr>
        <w:rPr>
          <w:lang w:val="es-UY"/>
        </w:rPr>
      </w:pPr>
      <w:r w:rsidRPr="00D8219A">
        <w:rPr>
          <w:lang w:val="es-UY"/>
        </w:rPr>
        <w:t xml:space="preserve"> </w:t>
      </w:r>
    </w:p>
    <w:p w14:paraId="417DC205" w14:textId="77777777" w:rsidR="008C0C39" w:rsidRPr="00D8219A" w:rsidRDefault="008C0C39" w:rsidP="008C0C39">
      <w:pPr>
        <w:pStyle w:val="parrafos"/>
        <w:ind w:left="0" w:firstLine="0"/>
        <w:rPr>
          <w:lang w:val="es-UY"/>
        </w:rPr>
      </w:pPr>
      <w:r w:rsidRPr="00D8219A">
        <w:rPr>
          <w:lang w:val="es-UY"/>
        </w:rPr>
        <w:t xml:space="preserve">Como se señaló anteriormente, tras la sentencia condenatoria dictada contra el </w:t>
      </w:r>
      <w:r w:rsidR="001B5C63" w:rsidRPr="00D8219A">
        <w:rPr>
          <w:lang w:val="es-UY"/>
        </w:rPr>
        <w:t>señor</w:t>
      </w:r>
      <w:r w:rsidRPr="00D8219A">
        <w:rPr>
          <w:lang w:val="es-UY"/>
        </w:rPr>
        <w:t xml:space="preserve"> Serrano, Estados Unidos solicitó su extradición y aseguró al Gobierno de </w:t>
      </w:r>
      <w:r w:rsidR="00AF52D1" w:rsidRPr="00D8219A">
        <w:rPr>
          <w:lang w:val="es-UY"/>
        </w:rPr>
        <w:t>Ecuador</w:t>
      </w:r>
      <w:r w:rsidRPr="00D8219A">
        <w:rPr>
          <w:lang w:val="es-UY"/>
        </w:rPr>
        <w:t xml:space="preserve"> que</w:t>
      </w:r>
      <w:r w:rsidR="00DC7736" w:rsidRPr="00D8219A">
        <w:rPr>
          <w:lang w:val="es-UY"/>
        </w:rPr>
        <w:t xml:space="preserve"> en el caso de esa persona</w:t>
      </w:r>
      <w:r w:rsidRPr="00D8219A">
        <w:rPr>
          <w:lang w:val="es-UY"/>
        </w:rPr>
        <w:t xml:space="preserve"> no se promovería </w:t>
      </w:r>
      <w:r w:rsidR="00C07FBF" w:rsidRPr="00D8219A">
        <w:rPr>
          <w:lang w:val="es-UY"/>
        </w:rPr>
        <w:t>ni ejecutaría la pena de muerte</w:t>
      </w:r>
      <w:r w:rsidRPr="00D8219A">
        <w:rPr>
          <w:lang w:val="es-UY"/>
        </w:rPr>
        <w:t xml:space="preserve">. No obstante, el proceso formal establecido en el </w:t>
      </w:r>
      <w:r w:rsidR="00B002F7" w:rsidRPr="00D8219A">
        <w:rPr>
          <w:lang w:val="es-UY"/>
        </w:rPr>
        <w:t>artículo</w:t>
      </w:r>
      <w:r w:rsidRPr="00D8219A">
        <w:rPr>
          <w:lang w:val="es-UY"/>
        </w:rPr>
        <w:t xml:space="preserve"> 5 del Tratado de Extradición entre Estados Unidos y Ecuador fue eludido por Estados Unidos, y como consecuencia el </w:t>
      </w:r>
      <w:r w:rsidR="001B5C63" w:rsidRPr="00D8219A">
        <w:rPr>
          <w:lang w:val="es-UY"/>
        </w:rPr>
        <w:t>señor</w:t>
      </w:r>
      <w:r w:rsidRPr="00D8219A">
        <w:rPr>
          <w:lang w:val="es-UY"/>
        </w:rPr>
        <w:t xml:space="preserve"> Serrano fue deportado en forma ilegal y expeditiva, tal como lo concluyó la CIDH en su informe No. 84/09. </w:t>
      </w:r>
      <w:r w:rsidR="007B50E0" w:rsidRPr="00D8219A">
        <w:rPr>
          <w:lang w:val="es-UY"/>
        </w:rPr>
        <w:t xml:space="preserve"> </w:t>
      </w:r>
    </w:p>
    <w:p w14:paraId="10890F9D" w14:textId="77777777" w:rsidR="008C0C39" w:rsidRPr="00D8219A" w:rsidRDefault="008C0C39" w:rsidP="008C0C39">
      <w:pPr>
        <w:pStyle w:val="ListParagraph"/>
        <w:rPr>
          <w:rFonts w:asciiTheme="majorHAnsi" w:hAnsiTheme="majorHAnsi"/>
          <w:lang w:val="es-UY"/>
        </w:rPr>
      </w:pPr>
    </w:p>
    <w:p w14:paraId="7528ACAF" w14:textId="77777777" w:rsidR="008C0C39" w:rsidRPr="00D8219A" w:rsidRDefault="008C0C39" w:rsidP="008C0C39">
      <w:pPr>
        <w:pStyle w:val="parrafos"/>
        <w:ind w:left="0" w:firstLine="0"/>
        <w:rPr>
          <w:lang w:val="es-UY"/>
        </w:rPr>
      </w:pPr>
      <w:r w:rsidRPr="00D8219A">
        <w:rPr>
          <w:lang w:val="es-UY"/>
        </w:rPr>
        <w:t>Conforme a los p</w:t>
      </w:r>
      <w:r w:rsidR="00863052" w:rsidRPr="00D8219A">
        <w:rPr>
          <w:lang w:val="es-UY"/>
        </w:rPr>
        <w:t>rocedimientos arriba descritos</w:t>
      </w:r>
      <w:r w:rsidRPr="00D8219A">
        <w:rPr>
          <w:lang w:val="es-UY"/>
        </w:rPr>
        <w:t xml:space="preserve"> el </w:t>
      </w:r>
      <w:r w:rsidR="001B5C63" w:rsidRPr="00D8219A">
        <w:rPr>
          <w:lang w:val="es-UY"/>
        </w:rPr>
        <w:t>señor</w:t>
      </w:r>
      <w:r w:rsidRPr="00D8219A">
        <w:rPr>
          <w:lang w:val="es-UY"/>
        </w:rPr>
        <w:t xml:space="preserve"> Serrano presentó </w:t>
      </w:r>
      <w:r w:rsidR="002079F8" w:rsidRPr="00D8219A">
        <w:rPr>
          <w:lang w:val="es-UY"/>
        </w:rPr>
        <w:t>a la corte de primera instancia</w:t>
      </w:r>
      <w:r w:rsidRPr="00D8219A">
        <w:rPr>
          <w:lang w:val="es-UY"/>
        </w:rPr>
        <w:t xml:space="preserve"> una petición de</w:t>
      </w:r>
      <w:r w:rsidR="00863052" w:rsidRPr="00D8219A">
        <w:rPr>
          <w:lang w:val="es-UY"/>
        </w:rPr>
        <w:t xml:space="preserve"> declaración</w:t>
      </w:r>
      <w:r w:rsidRPr="00D8219A">
        <w:rPr>
          <w:lang w:val="es-UY"/>
        </w:rPr>
        <w:t xml:space="preserve"> de </w:t>
      </w:r>
      <w:r w:rsidR="00863052" w:rsidRPr="00D8219A">
        <w:rPr>
          <w:lang w:val="es-UY"/>
        </w:rPr>
        <w:t>in</w:t>
      </w:r>
      <w:r w:rsidRPr="00D8219A">
        <w:rPr>
          <w:lang w:val="es-UY"/>
        </w:rPr>
        <w:t>competencia y revocación de la sentenci</w:t>
      </w:r>
      <w:r w:rsidR="007B50E0" w:rsidRPr="00D8219A">
        <w:rPr>
          <w:lang w:val="es-UY"/>
        </w:rPr>
        <w:t>a condenatoria, alegando que</w:t>
      </w:r>
      <w:r w:rsidRPr="00D8219A">
        <w:rPr>
          <w:lang w:val="es-UY"/>
        </w:rPr>
        <w:t xml:space="preserve"> </w:t>
      </w:r>
      <w:r w:rsidRPr="00D8219A">
        <w:rPr>
          <w:lang w:val="es-UY"/>
        </w:rPr>
        <w:lastRenderedPageBreak/>
        <w:t xml:space="preserve">funcionarios de los servicios de seguridad lo habían secuestrado en Ecuador y lo habían llevado por la fuerza a </w:t>
      </w:r>
      <w:r w:rsidR="00616685" w:rsidRPr="00D8219A">
        <w:rPr>
          <w:lang w:val="es-UY"/>
        </w:rPr>
        <w:t>Estados Unidos</w:t>
      </w:r>
      <w:r w:rsidRPr="00D8219A">
        <w:rPr>
          <w:lang w:val="es-UY"/>
        </w:rPr>
        <w:t xml:space="preserve"> en violación del Tratado de Extradición entre Estados</w:t>
      </w:r>
      <w:r w:rsidR="00A66E81" w:rsidRPr="00D8219A">
        <w:rPr>
          <w:lang w:val="es-UY"/>
        </w:rPr>
        <w:t xml:space="preserve"> Unidos</w:t>
      </w:r>
      <w:r w:rsidRPr="00D8219A">
        <w:rPr>
          <w:lang w:val="es-UY"/>
        </w:rPr>
        <w:t xml:space="preserve"> y Ecuador, que prohíbe la extradición en casos que involucren la imposición de la pena de muerte. La corte de primera instancia no hizo lugar a la petición y la Corte Suprema de Florida confirmó la denegatoria en apelación directa, basándose en jurisprudencia de la Corte Suprema de </w:t>
      </w:r>
      <w:r w:rsidR="00616685" w:rsidRPr="00D8219A">
        <w:rPr>
          <w:lang w:val="es-UY"/>
        </w:rPr>
        <w:t>Estados Unidos</w:t>
      </w:r>
      <w:r w:rsidRPr="00D8219A">
        <w:rPr>
          <w:lang w:val="es-UY"/>
        </w:rPr>
        <w:t xml:space="preserve"> que establece que un </w:t>
      </w:r>
      <w:r w:rsidR="00715FB0" w:rsidRPr="00D8219A">
        <w:rPr>
          <w:lang w:val="es-UY"/>
        </w:rPr>
        <w:t>acusado</w:t>
      </w:r>
      <w:r w:rsidRPr="00D8219A">
        <w:rPr>
          <w:lang w:val="es-UY"/>
        </w:rPr>
        <w:t xml:space="preserve"> penal que haya sido secuestrado de un país con el que Estados Unidos mantenga un tratado de extradición no puede alegar</w:t>
      </w:r>
      <w:r w:rsidR="001A3E81" w:rsidRPr="00D8219A">
        <w:rPr>
          <w:lang w:val="es-UY"/>
        </w:rPr>
        <w:t xml:space="preserve"> incompetencia de la corte</w:t>
      </w:r>
      <w:r w:rsidRPr="00D8219A">
        <w:rPr>
          <w:lang w:val="es-UY"/>
        </w:rPr>
        <w:t xml:space="preserve">. También se rechazó la petición de amparo posterior a la sentencia condenatoria, formulada por el </w:t>
      </w:r>
      <w:r w:rsidR="001B5C63" w:rsidRPr="00D8219A">
        <w:rPr>
          <w:lang w:val="es-UY"/>
        </w:rPr>
        <w:t>señor</w:t>
      </w:r>
      <w:r w:rsidRPr="00D8219A">
        <w:rPr>
          <w:lang w:val="es-UY"/>
        </w:rPr>
        <w:t xml:space="preserve"> Serrano por las mismas razones. La corte sostuvo que “[s]i bien se había</w:t>
      </w:r>
      <w:r w:rsidR="00900A8A" w:rsidRPr="00D8219A">
        <w:rPr>
          <w:lang w:val="es-UY"/>
        </w:rPr>
        <w:t>n</w:t>
      </w:r>
      <w:r w:rsidRPr="00D8219A">
        <w:rPr>
          <w:lang w:val="es-UY"/>
        </w:rPr>
        <w:t xml:space="preserve"> iniciado y estaban en curso procedimientos de </w:t>
      </w:r>
      <w:r w:rsidR="00900A8A" w:rsidRPr="00D8219A">
        <w:rPr>
          <w:lang w:val="es-UY"/>
        </w:rPr>
        <w:t>extradición, quedó en claro que</w:t>
      </w:r>
      <w:r w:rsidRPr="00D8219A">
        <w:rPr>
          <w:lang w:val="es-UY"/>
        </w:rPr>
        <w:t xml:space="preserve"> Ecuador no extraditaría al </w:t>
      </w:r>
      <w:r w:rsidR="001B5C63" w:rsidRPr="00D8219A">
        <w:rPr>
          <w:lang w:val="es-UY"/>
        </w:rPr>
        <w:t>señor</w:t>
      </w:r>
      <w:r w:rsidRPr="00D8219A">
        <w:rPr>
          <w:lang w:val="es-UY"/>
        </w:rPr>
        <w:t xml:space="preserve"> Serrano […], se </w:t>
      </w:r>
      <w:r w:rsidR="001A3E81" w:rsidRPr="00D8219A">
        <w:rPr>
          <w:lang w:val="es-UY"/>
        </w:rPr>
        <w:t>procuró</w:t>
      </w:r>
      <w:r w:rsidRPr="00D8219A">
        <w:rPr>
          <w:lang w:val="es-UY"/>
        </w:rPr>
        <w:t xml:space="preserve"> demostrar que el </w:t>
      </w:r>
      <w:r w:rsidR="001B5C63" w:rsidRPr="00D8219A">
        <w:rPr>
          <w:lang w:val="es-UY"/>
        </w:rPr>
        <w:t>señor</w:t>
      </w:r>
      <w:r w:rsidRPr="00D8219A">
        <w:rPr>
          <w:lang w:val="es-UY"/>
        </w:rPr>
        <w:t xml:space="preserve"> Serrano se consideraba a sí mismo como ciudadano de </w:t>
      </w:r>
      <w:r w:rsidR="00616685" w:rsidRPr="00D8219A">
        <w:rPr>
          <w:lang w:val="es-UY"/>
        </w:rPr>
        <w:t>Estados Unidos</w:t>
      </w:r>
      <w:r w:rsidRPr="00D8219A">
        <w:rPr>
          <w:lang w:val="es-UY"/>
        </w:rPr>
        <w:t xml:space="preserve">”, y concluyó que no [había sido] extraditado, sino deportado de Ecuador.” La corte sostuvo también que el </w:t>
      </w:r>
      <w:r w:rsidR="001B5C63" w:rsidRPr="00D8219A">
        <w:rPr>
          <w:lang w:val="es-UY"/>
        </w:rPr>
        <w:t>señor</w:t>
      </w:r>
      <w:r w:rsidRPr="00D8219A">
        <w:rPr>
          <w:lang w:val="es-UY"/>
        </w:rPr>
        <w:t xml:space="preserve"> Serrano “había renunciado a su ciudadanía ecuatoriana y recién</w:t>
      </w:r>
      <w:r w:rsidR="00C942B9" w:rsidRPr="00D8219A">
        <w:rPr>
          <w:lang w:val="es-UY"/>
        </w:rPr>
        <w:t xml:space="preserve"> la</w:t>
      </w:r>
      <w:r w:rsidRPr="00D8219A">
        <w:rPr>
          <w:lang w:val="es-UY"/>
        </w:rPr>
        <w:t xml:space="preserve"> había recuperado el 27 de marzo de 2003, </w:t>
      </w:r>
      <w:r w:rsidR="00C942B9" w:rsidRPr="00D8219A">
        <w:rPr>
          <w:lang w:val="es-UY"/>
        </w:rPr>
        <w:t>usos siete</w:t>
      </w:r>
      <w:r w:rsidRPr="00D8219A">
        <w:rPr>
          <w:lang w:val="es-UY"/>
        </w:rPr>
        <w:t xml:space="preserve"> meses después de haber sido deportado.” Como se ha probado, el 21 de agosto de 2000 el </w:t>
      </w:r>
      <w:r w:rsidR="001B5C63" w:rsidRPr="00D8219A">
        <w:rPr>
          <w:lang w:val="es-UY"/>
        </w:rPr>
        <w:t>señor</w:t>
      </w:r>
      <w:r w:rsidRPr="00D8219A">
        <w:rPr>
          <w:lang w:val="es-UY"/>
        </w:rPr>
        <w:t xml:space="preserve"> Serrano ingresó a Ecuador con su pasaporte ecuatoriano y </w:t>
      </w:r>
      <w:r w:rsidR="00F418FC" w:rsidRPr="00D8219A">
        <w:rPr>
          <w:lang w:val="es-UY"/>
        </w:rPr>
        <w:t>constituyó domicilio</w:t>
      </w:r>
      <w:r w:rsidRPr="00D8219A">
        <w:rPr>
          <w:lang w:val="es-UY"/>
        </w:rPr>
        <w:t xml:space="preserve"> en Ecuador como nacional de ese país.</w:t>
      </w:r>
    </w:p>
    <w:p w14:paraId="3475ADAF" w14:textId="77777777" w:rsidR="008C0C39" w:rsidRPr="00D8219A" w:rsidRDefault="008C0C39" w:rsidP="008C0C39">
      <w:pPr>
        <w:pStyle w:val="parrafos"/>
        <w:numPr>
          <w:ilvl w:val="0"/>
          <w:numId w:val="0"/>
        </w:numPr>
        <w:rPr>
          <w:lang w:val="es-UY"/>
        </w:rPr>
      </w:pPr>
    </w:p>
    <w:p w14:paraId="2194F302" w14:textId="77777777" w:rsidR="008C0C39" w:rsidRPr="00D8219A" w:rsidRDefault="002800FE" w:rsidP="008C0C39">
      <w:pPr>
        <w:pStyle w:val="parrafos"/>
        <w:ind w:left="0" w:firstLine="0"/>
        <w:rPr>
          <w:lang w:val="es-UY"/>
        </w:rPr>
      </w:pPr>
      <w:r w:rsidRPr="00D8219A">
        <w:rPr>
          <w:lang w:val="es-UY"/>
        </w:rPr>
        <w:t xml:space="preserve">Basándose en </w:t>
      </w:r>
      <w:r w:rsidR="008C0C39" w:rsidRPr="00D8219A">
        <w:rPr>
          <w:lang w:val="es-UY"/>
        </w:rPr>
        <w:t xml:space="preserve">la información disponible la CIDH señala que las cortes de justicia de </w:t>
      </w:r>
      <w:r w:rsidR="00616685" w:rsidRPr="00D8219A">
        <w:rPr>
          <w:lang w:val="es-UY"/>
        </w:rPr>
        <w:t>Estados Unidos</w:t>
      </w:r>
      <w:r w:rsidR="008C0C39" w:rsidRPr="00D8219A">
        <w:rPr>
          <w:lang w:val="es-UY"/>
        </w:rPr>
        <w:t xml:space="preserve"> no evaluaron el hecho de que el Tratado de Extradición, y por lo tanto la </w:t>
      </w:r>
      <w:r w:rsidR="009B0C55" w:rsidRPr="00D8219A">
        <w:rPr>
          <w:lang w:val="es-UY"/>
        </w:rPr>
        <w:t xml:space="preserve">garantía </w:t>
      </w:r>
      <w:r w:rsidR="008C0C39" w:rsidRPr="00D8219A">
        <w:rPr>
          <w:lang w:val="es-UY"/>
        </w:rPr>
        <w:t>diplomática,</w:t>
      </w:r>
      <w:r w:rsidR="00900A8A" w:rsidRPr="00D8219A">
        <w:rPr>
          <w:lang w:val="es-UY"/>
        </w:rPr>
        <w:t xml:space="preserve"> habían sido</w:t>
      </w:r>
      <w:r w:rsidR="008C0C39" w:rsidRPr="00D8219A">
        <w:rPr>
          <w:lang w:val="es-UY"/>
        </w:rPr>
        <w:t xml:space="preserve"> eludidos, ya que las autoridades de </w:t>
      </w:r>
      <w:r w:rsidR="00616685" w:rsidRPr="00D8219A">
        <w:rPr>
          <w:lang w:val="es-UY"/>
        </w:rPr>
        <w:t>Estados Unidos</w:t>
      </w:r>
      <w:r w:rsidR="008C0C39" w:rsidRPr="00D8219A">
        <w:rPr>
          <w:lang w:val="es-UY"/>
        </w:rPr>
        <w:t xml:space="preserve"> participaron activamente en la </w:t>
      </w:r>
      <w:r w:rsidR="00B625D5" w:rsidRPr="00D8219A">
        <w:rPr>
          <w:lang w:val="es-UY"/>
        </w:rPr>
        <w:t>altera</w:t>
      </w:r>
      <w:r w:rsidR="008C0C39" w:rsidRPr="00D8219A">
        <w:rPr>
          <w:lang w:val="es-UY"/>
        </w:rPr>
        <w:t xml:space="preserve">ción de la vía utilizada para llevar al </w:t>
      </w:r>
      <w:r w:rsidR="001B5C63" w:rsidRPr="00D8219A">
        <w:rPr>
          <w:lang w:val="es-UY"/>
        </w:rPr>
        <w:t>señor</w:t>
      </w:r>
      <w:r w:rsidR="008C0C39" w:rsidRPr="00D8219A">
        <w:rPr>
          <w:lang w:val="es-UY"/>
        </w:rPr>
        <w:t xml:space="preserve"> Serrano a </w:t>
      </w:r>
      <w:r w:rsidR="00616685" w:rsidRPr="00D8219A">
        <w:rPr>
          <w:lang w:val="es-UY"/>
        </w:rPr>
        <w:t>Estados Unidos</w:t>
      </w:r>
      <w:r w:rsidRPr="00D8219A">
        <w:rPr>
          <w:lang w:val="es-UY"/>
        </w:rPr>
        <w:t>. Considerando</w:t>
      </w:r>
      <w:r w:rsidR="008C0C39" w:rsidRPr="00D8219A">
        <w:rPr>
          <w:lang w:val="es-UY"/>
        </w:rPr>
        <w:t xml:space="preserve"> que agentes de </w:t>
      </w:r>
      <w:r w:rsidR="00616685" w:rsidRPr="00D8219A">
        <w:rPr>
          <w:lang w:val="es-UY"/>
        </w:rPr>
        <w:t>Estados Unidos</w:t>
      </w:r>
      <w:r w:rsidR="008C0C39" w:rsidRPr="00D8219A">
        <w:rPr>
          <w:lang w:val="es-UY"/>
        </w:rPr>
        <w:t xml:space="preserve"> actuaron ilegalmente a fin de llevar al </w:t>
      </w:r>
      <w:r w:rsidR="001B5C63" w:rsidRPr="00D8219A">
        <w:rPr>
          <w:lang w:val="es-UY"/>
        </w:rPr>
        <w:t>señor</w:t>
      </w:r>
      <w:r w:rsidR="008C0C39" w:rsidRPr="00D8219A">
        <w:rPr>
          <w:lang w:val="es-UY"/>
        </w:rPr>
        <w:t xml:space="preserve"> Serrano a la justicia, la seguridad diplomática de no aplicación de la pena de muerte debió haber sido respetada en el caso de esa persona. La CIDH señala también que conforme a la información disponible los actos ilegales perpetrados en Ecuador por el agente de </w:t>
      </w:r>
      <w:r w:rsidR="00616685" w:rsidRPr="00D8219A">
        <w:rPr>
          <w:lang w:val="es-UY"/>
        </w:rPr>
        <w:t>Estados Unidos</w:t>
      </w:r>
      <w:r w:rsidR="008C0C39" w:rsidRPr="00D8219A">
        <w:rPr>
          <w:lang w:val="es-UY"/>
        </w:rPr>
        <w:t xml:space="preserve"> nunca fueron investigados.</w:t>
      </w:r>
    </w:p>
    <w:p w14:paraId="6A3B64CC" w14:textId="77777777" w:rsidR="008C0C39" w:rsidRPr="00D8219A" w:rsidRDefault="008C0C39" w:rsidP="008C0C39">
      <w:pPr>
        <w:pStyle w:val="ListParagraph"/>
        <w:rPr>
          <w:rFonts w:asciiTheme="majorHAnsi" w:hAnsiTheme="majorHAnsi"/>
          <w:lang w:val="es-UY"/>
        </w:rPr>
      </w:pPr>
    </w:p>
    <w:p w14:paraId="0396D47C" w14:textId="77777777" w:rsidR="008C0C39" w:rsidRPr="00D8219A" w:rsidRDefault="008C0C39" w:rsidP="008C0C39">
      <w:pPr>
        <w:pStyle w:val="parrafos"/>
        <w:ind w:left="0" w:firstLine="0"/>
        <w:rPr>
          <w:lang w:val="es-UY"/>
        </w:rPr>
      </w:pPr>
      <w:r w:rsidRPr="00D8219A">
        <w:rPr>
          <w:lang w:val="es-UY"/>
        </w:rPr>
        <w:t>La Comisión considera que era fundamental una determinación seria y exhaustiva, por las autoridades judiciale</w:t>
      </w:r>
      <w:r w:rsidR="00C6717F" w:rsidRPr="00D8219A">
        <w:rPr>
          <w:lang w:val="es-UY"/>
        </w:rPr>
        <w:t xml:space="preserve">s de </w:t>
      </w:r>
      <w:r w:rsidR="00616685" w:rsidRPr="00D8219A">
        <w:rPr>
          <w:lang w:val="es-UY"/>
        </w:rPr>
        <w:t>Estados Unidos</w:t>
      </w:r>
      <w:r w:rsidR="00C6717F" w:rsidRPr="00D8219A">
        <w:rPr>
          <w:lang w:val="es-UY"/>
        </w:rPr>
        <w:t xml:space="preserve">, sobre </w:t>
      </w:r>
      <w:r w:rsidRPr="00D8219A">
        <w:rPr>
          <w:lang w:val="es-UY"/>
        </w:rPr>
        <w:t xml:space="preserve">el </w:t>
      </w:r>
      <w:r w:rsidR="00956F68" w:rsidRPr="00D8219A">
        <w:rPr>
          <w:lang w:val="es-UY"/>
        </w:rPr>
        <w:t>estatus legal</w:t>
      </w:r>
      <w:r w:rsidRPr="00D8219A">
        <w:rPr>
          <w:lang w:val="es-UY"/>
        </w:rPr>
        <w:t xml:space="preserve"> </w:t>
      </w:r>
      <w:r w:rsidR="00900A8A" w:rsidRPr="00D8219A">
        <w:rPr>
          <w:lang w:val="es-UY"/>
        </w:rPr>
        <w:t>en virtud d</w:t>
      </w:r>
      <w:r w:rsidRPr="00D8219A">
        <w:rPr>
          <w:lang w:val="es-UY"/>
        </w:rPr>
        <w:t xml:space="preserve">el cual el </w:t>
      </w:r>
      <w:r w:rsidR="001B5C63" w:rsidRPr="00D8219A">
        <w:rPr>
          <w:lang w:val="es-UY"/>
        </w:rPr>
        <w:t>señor</w:t>
      </w:r>
      <w:r w:rsidRPr="00D8219A">
        <w:rPr>
          <w:lang w:val="es-UY"/>
        </w:rPr>
        <w:t xml:space="preserve"> Serrano fue llevado a su jurisdicción, teniendo en </w:t>
      </w:r>
      <w:r w:rsidR="00780FEA" w:rsidRPr="00D8219A">
        <w:rPr>
          <w:lang w:val="es-UY"/>
        </w:rPr>
        <w:t>cuenta que si se concluyera que no podía haber sido deportad</w:t>
      </w:r>
      <w:r w:rsidR="00956F68" w:rsidRPr="00D8219A">
        <w:rPr>
          <w:lang w:val="es-UY"/>
        </w:rPr>
        <w:t>o</w:t>
      </w:r>
      <w:r w:rsidR="00780FEA" w:rsidRPr="00D8219A">
        <w:rPr>
          <w:lang w:val="es-UY"/>
        </w:rPr>
        <w:t xml:space="preserve"> porque era un </w:t>
      </w:r>
      <w:r w:rsidRPr="00D8219A">
        <w:rPr>
          <w:lang w:val="es-UY"/>
        </w:rPr>
        <w:t xml:space="preserve">nacional de Ecuador, la única vía aceptable era la extradición, con respecto a la cual Estados Unidos ya había proporcionado </w:t>
      </w:r>
      <w:r w:rsidR="00956F68" w:rsidRPr="00D8219A">
        <w:rPr>
          <w:lang w:val="es-UY"/>
        </w:rPr>
        <w:t xml:space="preserve">garantías </w:t>
      </w:r>
      <w:r w:rsidRPr="00D8219A">
        <w:rPr>
          <w:lang w:val="es-UY"/>
        </w:rPr>
        <w:t>diplomáticas de no imponer la pena de muerte. En ese sentido el análisis</w:t>
      </w:r>
      <w:r w:rsidR="00C6717F" w:rsidRPr="00D8219A">
        <w:rPr>
          <w:lang w:val="es-UY"/>
        </w:rPr>
        <w:t xml:space="preserve"> que antecede</w:t>
      </w:r>
      <w:r w:rsidRPr="00D8219A">
        <w:rPr>
          <w:lang w:val="es-UY"/>
        </w:rPr>
        <w:t xml:space="preserve"> </w:t>
      </w:r>
      <w:r w:rsidR="00C6717F" w:rsidRPr="00D8219A">
        <w:rPr>
          <w:lang w:val="es-UY"/>
        </w:rPr>
        <w:t xml:space="preserve">estuvo </w:t>
      </w:r>
      <w:r w:rsidRPr="00D8219A">
        <w:rPr>
          <w:lang w:val="es-UY"/>
        </w:rPr>
        <w:t>directamente vinculado con el derecho a la vida de la víctima, y no sólo con temas relacionados con la legalidad o arbitrariedad de su ar</w:t>
      </w:r>
      <w:r w:rsidR="00C6717F" w:rsidRPr="00D8219A">
        <w:rPr>
          <w:lang w:val="es-UY"/>
        </w:rPr>
        <w:t>resto o con el debido proceso.</w:t>
      </w:r>
    </w:p>
    <w:p w14:paraId="4C623B83" w14:textId="77777777" w:rsidR="008C0C39" w:rsidRPr="00D8219A" w:rsidRDefault="008C0C39" w:rsidP="008C0C39">
      <w:pPr>
        <w:pStyle w:val="ListParagraph"/>
        <w:rPr>
          <w:rFonts w:asciiTheme="majorHAnsi" w:hAnsiTheme="majorHAnsi"/>
          <w:lang w:val="es-UY"/>
        </w:rPr>
      </w:pPr>
    </w:p>
    <w:p w14:paraId="6F91FFB5" w14:textId="77777777" w:rsidR="008C0C39" w:rsidRPr="00D8219A" w:rsidRDefault="008C0C39" w:rsidP="008C0C39">
      <w:pPr>
        <w:pStyle w:val="parrafos"/>
        <w:ind w:left="0" w:firstLine="0"/>
        <w:rPr>
          <w:lang w:val="es-UY"/>
        </w:rPr>
      </w:pPr>
      <w:r w:rsidRPr="00D8219A">
        <w:rPr>
          <w:lang w:val="es-UY"/>
        </w:rPr>
        <w:t xml:space="preserve"> A la luz de las consideraciones que anteceden la CIDH concluye que</w:t>
      </w:r>
      <w:r w:rsidR="001F67B0" w:rsidRPr="00D8219A">
        <w:rPr>
          <w:lang w:val="es-UY"/>
        </w:rPr>
        <w:t xml:space="preserve"> conforme a lo dispuesto por los </w:t>
      </w:r>
      <w:r w:rsidR="00B002F7" w:rsidRPr="00D8219A">
        <w:rPr>
          <w:lang w:val="es-UY"/>
        </w:rPr>
        <w:t>artículo</w:t>
      </w:r>
      <w:r w:rsidR="001F67B0" w:rsidRPr="00D8219A">
        <w:rPr>
          <w:lang w:val="es-UY"/>
        </w:rPr>
        <w:t>s XVIII, XXVI y I de la Convención Americana</w:t>
      </w:r>
      <w:r w:rsidRPr="00D8219A">
        <w:rPr>
          <w:lang w:val="es-UY"/>
        </w:rPr>
        <w:t xml:space="preserve"> la omisión de </w:t>
      </w:r>
      <w:r w:rsidR="007E1F17" w:rsidRPr="00D8219A">
        <w:rPr>
          <w:lang w:val="es-UY"/>
        </w:rPr>
        <w:t>los tribunales</w:t>
      </w:r>
      <w:r w:rsidRPr="00D8219A">
        <w:rPr>
          <w:lang w:val="es-UY"/>
        </w:rPr>
        <w:t xml:space="preserve"> de</w:t>
      </w:r>
      <w:r w:rsidR="002F4088" w:rsidRPr="00D8219A">
        <w:rPr>
          <w:lang w:val="es-UY"/>
        </w:rPr>
        <w:t xml:space="preserve"> respetar la </w:t>
      </w:r>
      <w:r w:rsidR="000A4D47" w:rsidRPr="00D8219A">
        <w:rPr>
          <w:lang w:val="es-UY"/>
        </w:rPr>
        <w:t>seguridad diplomática sobre</w:t>
      </w:r>
      <w:r w:rsidRPr="00D8219A">
        <w:rPr>
          <w:lang w:val="es-UY"/>
        </w:rPr>
        <w:t xml:space="preserve"> no aplicación de la pena de muerte en el caso de que se trata constituye una violación de los derechos </w:t>
      </w:r>
      <w:r w:rsidR="008B0BDB" w:rsidRPr="00D8219A">
        <w:rPr>
          <w:lang w:val="es-UY"/>
        </w:rPr>
        <w:t>d</w:t>
      </w:r>
      <w:r w:rsidRPr="00D8219A">
        <w:rPr>
          <w:lang w:val="es-UY"/>
        </w:rPr>
        <w:t xml:space="preserve">el </w:t>
      </w:r>
      <w:r w:rsidR="001B5C63" w:rsidRPr="00D8219A">
        <w:rPr>
          <w:lang w:val="es-UY"/>
        </w:rPr>
        <w:t>señor</w:t>
      </w:r>
      <w:r w:rsidRPr="00D8219A">
        <w:rPr>
          <w:lang w:val="es-UY"/>
        </w:rPr>
        <w:t xml:space="preserve"> Serrano.</w:t>
      </w:r>
    </w:p>
    <w:p w14:paraId="4F0BAAE7" w14:textId="77777777" w:rsidR="008C0C39" w:rsidRPr="00D8219A" w:rsidRDefault="008C0C39" w:rsidP="008C0C39">
      <w:pPr>
        <w:pStyle w:val="ListParagraph"/>
        <w:rPr>
          <w:rFonts w:asciiTheme="majorHAnsi" w:hAnsiTheme="majorHAnsi"/>
          <w:lang w:val="es-UY"/>
        </w:rPr>
      </w:pPr>
    </w:p>
    <w:p w14:paraId="0DA84C58" w14:textId="77777777" w:rsidR="008C0C39" w:rsidRPr="00D8219A" w:rsidRDefault="008C0C39" w:rsidP="008C0C39">
      <w:pPr>
        <w:pStyle w:val="parrafos"/>
        <w:ind w:left="0" w:firstLine="0"/>
        <w:rPr>
          <w:lang w:val="es-UY"/>
        </w:rPr>
      </w:pPr>
      <w:r w:rsidRPr="00D8219A">
        <w:rPr>
          <w:lang w:val="es-UY"/>
        </w:rPr>
        <w:t xml:space="preserve">Con respecto a la supuesta falta de asistencia efectiva de </w:t>
      </w:r>
      <w:r w:rsidR="007E1F17" w:rsidRPr="00D8219A">
        <w:rPr>
          <w:lang w:val="es-UY"/>
        </w:rPr>
        <w:t xml:space="preserve">los </w:t>
      </w:r>
      <w:r w:rsidRPr="00D8219A">
        <w:rPr>
          <w:lang w:val="es-UY"/>
        </w:rPr>
        <w:t>abogado</w:t>
      </w:r>
      <w:r w:rsidR="002F4088" w:rsidRPr="00D8219A">
        <w:rPr>
          <w:lang w:val="es-UY"/>
        </w:rPr>
        <w:t>s</w:t>
      </w:r>
      <w:r w:rsidRPr="00D8219A">
        <w:rPr>
          <w:lang w:val="es-UY"/>
        </w:rPr>
        <w:t xml:space="preserve"> </w:t>
      </w:r>
      <w:r w:rsidR="007E1F17" w:rsidRPr="00D8219A">
        <w:rPr>
          <w:lang w:val="es-UY"/>
        </w:rPr>
        <w:t>de primera instancia</w:t>
      </w:r>
      <w:r w:rsidRPr="00D8219A">
        <w:rPr>
          <w:lang w:val="es-UY"/>
        </w:rPr>
        <w:t xml:space="preserve"> designado</w:t>
      </w:r>
      <w:r w:rsidR="002F4088" w:rsidRPr="00D8219A">
        <w:rPr>
          <w:lang w:val="es-UY"/>
        </w:rPr>
        <w:t>s</w:t>
      </w:r>
      <w:r w:rsidRPr="00D8219A">
        <w:rPr>
          <w:lang w:val="es-UY"/>
        </w:rPr>
        <w:t xml:space="preserve"> por el Estado</w:t>
      </w:r>
      <w:r w:rsidR="007E1F17" w:rsidRPr="00D8219A">
        <w:rPr>
          <w:lang w:val="es-UY"/>
        </w:rPr>
        <w:t>,</w:t>
      </w:r>
      <w:r w:rsidRPr="00D8219A">
        <w:rPr>
          <w:lang w:val="es-UY"/>
        </w:rPr>
        <w:t xml:space="preserve"> la Comisión señala que durante el juicio el abogado del </w:t>
      </w:r>
      <w:r w:rsidR="001B5C63" w:rsidRPr="00D8219A">
        <w:rPr>
          <w:lang w:val="es-UY"/>
        </w:rPr>
        <w:t>señor</w:t>
      </w:r>
      <w:r w:rsidRPr="00D8219A">
        <w:rPr>
          <w:lang w:val="es-UY"/>
        </w:rPr>
        <w:t xml:space="preserve"> Serrano alegó, </w:t>
      </w:r>
      <w:r w:rsidRPr="00D8219A">
        <w:rPr>
          <w:i/>
          <w:lang w:val="es-UY"/>
        </w:rPr>
        <w:t>inter alia</w:t>
      </w:r>
      <w:r w:rsidRPr="00D8219A">
        <w:rPr>
          <w:lang w:val="es-UY"/>
        </w:rPr>
        <w:t>, que los argumentos</w:t>
      </w:r>
      <w:r w:rsidR="008B0BDB" w:rsidRPr="00D8219A">
        <w:rPr>
          <w:lang w:val="es-UY"/>
        </w:rPr>
        <w:t xml:space="preserve"> de la Fiscalía eran indicia</w:t>
      </w:r>
      <w:r w:rsidR="007E1F17" w:rsidRPr="00D8219A">
        <w:rPr>
          <w:lang w:val="es-UY"/>
        </w:rPr>
        <w:t>rios</w:t>
      </w:r>
      <w:r w:rsidR="008B0BDB" w:rsidRPr="00D8219A">
        <w:rPr>
          <w:lang w:val="es-UY"/>
        </w:rPr>
        <w:t>;</w:t>
      </w:r>
      <w:r w:rsidR="00307B7E" w:rsidRPr="00D8219A">
        <w:rPr>
          <w:lang w:val="es-UY"/>
        </w:rPr>
        <w:t xml:space="preserve"> que la prueba </w:t>
      </w:r>
      <w:r w:rsidR="007E1F17" w:rsidRPr="00D8219A">
        <w:rPr>
          <w:lang w:val="es-UY"/>
        </w:rPr>
        <w:t>indiciaria</w:t>
      </w:r>
      <w:r w:rsidR="00307B7E" w:rsidRPr="00D8219A">
        <w:rPr>
          <w:lang w:val="es-UY"/>
        </w:rPr>
        <w:t xml:space="preserve"> e</w:t>
      </w:r>
      <w:r w:rsidR="00E26F13" w:rsidRPr="00D8219A">
        <w:rPr>
          <w:lang w:val="es-UY"/>
        </w:rPr>
        <w:t>s</w:t>
      </w:r>
      <w:r w:rsidRPr="00D8219A">
        <w:rPr>
          <w:lang w:val="es-UY"/>
        </w:rPr>
        <w:t xml:space="preserve"> </w:t>
      </w:r>
      <w:r w:rsidR="007E1F17" w:rsidRPr="00D8219A">
        <w:rPr>
          <w:lang w:val="es-UY"/>
        </w:rPr>
        <w:t>in</w:t>
      </w:r>
      <w:r w:rsidRPr="00D8219A">
        <w:rPr>
          <w:lang w:val="es-UY"/>
        </w:rPr>
        <w:t xml:space="preserve">suficiente para </w:t>
      </w:r>
      <w:r w:rsidR="00307B7E" w:rsidRPr="00D8219A">
        <w:rPr>
          <w:lang w:val="es-UY"/>
        </w:rPr>
        <w:t>respaldar</w:t>
      </w:r>
      <w:r w:rsidRPr="00D8219A">
        <w:rPr>
          <w:lang w:val="es-UY"/>
        </w:rPr>
        <w:t xml:space="preserve"> sentencias condenatorias, y que la sentencia condenatoria debía ser revocada por </w:t>
      </w:r>
      <w:r w:rsidR="007E1F17" w:rsidRPr="00D8219A">
        <w:rPr>
          <w:lang w:val="es-UY"/>
        </w:rPr>
        <w:t>falta de competencia</w:t>
      </w:r>
      <w:r w:rsidRPr="00D8219A">
        <w:rPr>
          <w:lang w:val="es-UY"/>
        </w:rPr>
        <w:t>. También señala que en apel</w:t>
      </w:r>
      <w:r w:rsidR="008B0BDB" w:rsidRPr="00D8219A">
        <w:rPr>
          <w:lang w:val="es-UY"/>
        </w:rPr>
        <w:t>ación directa la defensa planteó</w:t>
      </w:r>
      <w:r w:rsidRPr="00D8219A">
        <w:rPr>
          <w:lang w:val="es-UY"/>
        </w:rPr>
        <w:t xml:space="preserve"> nueve </w:t>
      </w:r>
      <w:r w:rsidR="007E1F17" w:rsidRPr="00D8219A">
        <w:rPr>
          <w:lang w:val="es-UY"/>
        </w:rPr>
        <w:t>aspectos</w:t>
      </w:r>
      <w:r w:rsidRPr="00D8219A">
        <w:rPr>
          <w:lang w:val="es-UY"/>
        </w:rPr>
        <w:t>. El abogado</w:t>
      </w:r>
      <w:r w:rsidR="00BF7301" w:rsidRPr="00D8219A">
        <w:rPr>
          <w:lang w:val="es-UY"/>
        </w:rPr>
        <w:t xml:space="preserve"> defensor</w:t>
      </w:r>
      <w:r w:rsidRPr="00D8219A">
        <w:rPr>
          <w:lang w:val="es-UY"/>
        </w:rPr>
        <w:t xml:space="preserve"> actuante tras la sentencia condenatoria adujo ineficaz asistencia del abogado </w:t>
      </w:r>
      <w:r w:rsidR="007E1F17" w:rsidRPr="00D8219A">
        <w:rPr>
          <w:lang w:val="es-UY"/>
        </w:rPr>
        <w:t>de</w:t>
      </w:r>
      <w:r w:rsidR="00E26F13" w:rsidRPr="00D8219A">
        <w:rPr>
          <w:lang w:val="es-UY"/>
        </w:rPr>
        <w:t xml:space="preserve"> primera instancia</w:t>
      </w:r>
      <w:r w:rsidR="00EB665F" w:rsidRPr="00D8219A">
        <w:rPr>
          <w:lang w:val="es-UY"/>
        </w:rPr>
        <w:t>,</w:t>
      </w:r>
      <w:r w:rsidR="00E26F13" w:rsidRPr="00D8219A">
        <w:rPr>
          <w:lang w:val="es-UY"/>
        </w:rPr>
        <w:t xml:space="preserve"> y</w:t>
      </w:r>
      <w:r w:rsidRPr="00D8219A">
        <w:rPr>
          <w:lang w:val="es-UY"/>
        </w:rPr>
        <w:t xml:space="preserve"> </w:t>
      </w:r>
      <w:r w:rsidR="007E1F17" w:rsidRPr="00D8219A">
        <w:rPr>
          <w:lang w:val="es-UY"/>
        </w:rPr>
        <w:t>el tribunal</w:t>
      </w:r>
      <w:r w:rsidRPr="00D8219A">
        <w:rPr>
          <w:lang w:val="es-UY"/>
        </w:rPr>
        <w:t>, tras analizar los fundamentos de cada una de las reclamacio</w:t>
      </w:r>
      <w:r w:rsidR="00BF7301" w:rsidRPr="00D8219A">
        <w:rPr>
          <w:lang w:val="es-UY"/>
        </w:rPr>
        <w:t>nes secundarias, concluyó</w:t>
      </w:r>
      <w:r w:rsidRPr="00D8219A">
        <w:rPr>
          <w:lang w:val="es-UY"/>
        </w:rPr>
        <w:t xml:space="preserve"> que el desempeño de los abogados no había sido inferior al </w:t>
      </w:r>
      <w:r w:rsidR="007F3320" w:rsidRPr="00D8219A">
        <w:rPr>
          <w:lang w:val="es-UY"/>
        </w:rPr>
        <w:t>requerido por</w:t>
      </w:r>
      <w:r w:rsidRPr="00D8219A">
        <w:rPr>
          <w:lang w:val="es-UY"/>
        </w:rPr>
        <w:t xml:space="preserve"> un estándar objetivo de razonabilidad. La Comisión carece de información para llegar a una conclusión diferente.</w:t>
      </w:r>
    </w:p>
    <w:p w14:paraId="0C857914" w14:textId="77777777" w:rsidR="002F3BA5" w:rsidRPr="00D8219A" w:rsidRDefault="002F3BA5" w:rsidP="002F3BA5">
      <w:pPr>
        <w:pStyle w:val="parrafos"/>
        <w:numPr>
          <w:ilvl w:val="0"/>
          <w:numId w:val="0"/>
        </w:numPr>
        <w:rPr>
          <w:rFonts w:eastAsia="Cambria" w:cs="Cambria"/>
          <w:color w:val="000000"/>
          <w:u w:color="000000"/>
          <w:lang w:val="es-UY" w:eastAsia="es-ES"/>
        </w:rPr>
      </w:pPr>
    </w:p>
    <w:p w14:paraId="7782B513" w14:textId="77777777" w:rsidR="002F3BA5" w:rsidRPr="00D8219A" w:rsidRDefault="002F3BA5" w:rsidP="00E9350D">
      <w:pPr>
        <w:pStyle w:val="Heading2"/>
        <w:tabs>
          <w:tab w:val="left" w:pos="360"/>
        </w:tabs>
        <w:spacing w:before="0"/>
        <w:jc w:val="both"/>
        <w:rPr>
          <w:color w:val="auto"/>
          <w:sz w:val="20"/>
          <w:szCs w:val="20"/>
          <w:lang w:val="es-UY"/>
        </w:rPr>
      </w:pPr>
      <w:bookmarkStart w:id="27" w:name="_Toc69212254"/>
      <w:r w:rsidRPr="00D8219A">
        <w:rPr>
          <w:color w:val="auto"/>
          <w:sz w:val="20"/>
          <w:szCs w:val="20"/>
          <w:lang w:val="es-UY"/>
        </w:rPr>
        <w:t>E.</w:t>
      </w:r>
      <w:r w:rsidRPr="00D8219A">
        <w:rPr>
          <w:color w:val="auto"/>
          <w:sz w:val="20"/>
          <w:szCs w:val="20"/>
          <w:lang w:val="es-UY"/>
        </w:rPr>
        <w:tab/>
        <w:t>Derecho a la protección contra castigos crueles, infamantes o inusitados</w:t>
      </w:r>
      <w:r w:rsidRPr="00D8219A">
        <w:rPr>
          <w:rStyle w:val="FootnoteReference"/>
          <w:rFonts w:eastAsia="Arial Unicode MS"/>
          <w:bCs w:val="0"/>
          <w:color w:val="000000" w:themeColor="text1"/>
          <w:sz w:val="20"/>
          <w:szCs w:val="20"/>
          <w:lang w:val="es-UY"/>
        </w:rPr>
        <w:footnoteReference w:id="51"/>
      </w:r>
      <w:bookmarkEnd w:id="27"/>
    </w:p>
    <w:p w14:paraId="6C699EAC" w14:textId="77777777" w:rsidR="008C0C39" w:rsidRPr="00D8219A" w:rsidRDefault="008C0C39" w:rsidP="008C0C39">
      <w:pPr>
        <w:pStyle w:val="parrafos"/>
        <w:numPr>
          <w:ilvl w:val="0"/>
          <w:numId w:val="0"/>
        </w:numPr>
        <w:ind w:left="720" w:hanging="360"/>
        <w:rPr>
          <w:lang w:val="es-UY"/>
        </w:rPr>
      </w:pPr>
    </w:p>
    <w:p w14:paraId="2AF92798" w14:textId="77777777" w:rsidR="00DC04F0" w:rsidRPr="00D8219A" w:rsidRDefault="00DC04F0" w:rsidP="008C0C39">
      <w:pPr>
        <w:pStyle w:val="parrafos"/>
        <w:ind w:left="0" w:firstLine="0"/>
        <w:rPr>
          <w:lang w:val="es-UY"/>
        </w:rPr>
      </w:pPr>
      <w:r w:rsidRPr="00D8219A">
        <w:rPr>
          <w:lang w:val="es-UY"/>
        </w:rPr>
        <w:t>Tanto en el derecho internacional de los derechos humanos como en el derecho comparado se ha venido desarrollando durante décadas</w:t>
      </w:r>
      <w:r w:rsidR="00D13D9E" w:rsidRPr="00D8219A">
        <w:rPr>
          <w:lang w:val="es-UY"/>
        </w:rPr>
        <w:t xml:space="preserve"> el tema de l</w:t>
      </w:r>
      <w:r w:rsidRPr="00D8219A">
        <w:rPr>
          <w:lang w:val="es-UY"/>
        </w:rPr>
        <w:t xml:space="preserve">a prolongada privación de libertad en el </w:t>
      </w:r>
      <w:r w:rsidR="007F3320" w:rsidRPr="00D8219A">
        <w:rPr>
          <w:lang w:val="es-UY"/>
        </w:rPr>
        <w:t>corredor de la m</w:t>
      </w:r>
      <w:r w:rsidR="00D13D9E" w:rsidRPr="00D8219A">
        <w:rPr>
          <w:lang w:val="es-UY"/>
        </w:rPr>
        <w:t xml:space="preserve">uerte, </w:t>
      </w:r>
      <w:r w:rsidR="00D13D9E" w:rsidRPr="00D8219A">
        <w:rPr>
          <w:lang w:val="es-UY"/>
        </w:rPr>
        <w:lastRenderedPageBreak/>
        <w:t>conocido como</w:t>
      </w:r>
      <w:r w:rsidRPr="00D8219A">
        <w:rPr>
          <w:lang w:val="es-UY"/>
        </w:rPr>
        <w:t xml:space="preserve"> “fenómeno del </w:t>
      </w:r>
      <w:r w:rsidR="007F3320" w:rsidRPr="00D8219A">
        <w:rPr>
          <w:lang w:val="es-UY"/>
        </w:rPr>
        <w:t>corredor de la m</w:t>
      </w:r>
      <w:r w:rsidRPr="00D8219A">
        <w:rPr>
          <w:lang w:val="es-UY"/>
        </w:rPr>
        <w:t>uerte”, a la luz de</w:t>
      </w:r>
      <w:r w:rsidR="002F4088" w:rsidRPr="00D8219A">
        <w:rPr>
          <w:lang w:val="es-UY"/>
        </w:rPr>
        <w:t xml:space="preserve"> la prohibi</w:t>
      </w:r>
      <w:r w:rsidR="000D758C" w:rsidRPr="00D8219A">
        <w:rPr>
          <w:lang w:val="es-UY"/>
        </w:rPr>
        <w:t>ción</w:t>
      </w:r>
      <w:r w:rsidR="002F4088" w:rsidRPr="00D8219A">
        <w:rPr>
          <w:lang w:val="es-UY"/>
        </w:rPr>
        <w:t xml:space="preserve"> de castigos crueles, inhumanos o </w:t>
      </w:r>
      <w:r w:rsidR="00D556AF" w:rsidRPr="00D8219A">
        <w:rPr>
          <w:lang w:val="es-UY"/>
        </w:rPr>
        <w:t>degradantes estipulada</w:t>
      </w:r>
      <w:r w:rsidR="002640D6" w:rsidRPr="00D8219A">
        <w:rPr>
          <w:lang w:val="es-UY"/>
        </w:rPr>
        <w:t xml:space="preserve"> </w:t>
      </w:r>
      <w:r w:rsidR="002F4088" w:rsidRPr="00D8219A">
        <w:rPr>
          <w:lang w:val="es-UY"/>
        </w:rPr>
        <w:t>en constituciones y en múltiples tratados internacionales, incluida la Declara</w:t>
      </w:r>
      <w:r w:rsidR="000D758C" w:rsidRPr="00D8219A">
        <w:rPr>
          <w:lang w:val="es-UY"/>
        </w:rPr>
        <w:t>ción</w:t>
      </w:r>
      <w:r w:rsidR="002F4088" w:rsidRPr="00D8219A">
        <w:rPr>
          <w:lang w:val="es-UY"/>
        </w:rPr>
        <w:t xml:space="preserve"> Americana (Artículos XXV y XXVI).</w:t>
      </w:r>
      <w:r w:rsidR="002F4088" w:rsidRPr="00D8219A">
        <w:rPr>
          <w:rStyle w:val="FootnoteReference"/>
          <w:lang w:val="es-UY"/>
        </w:rPr>
        <w:footnoteReference w:id="52"/>
      </w:r>
      <w:r w:rsidR="00812561" w:rsidRPr="00D8219A">
        <w:rPr>
          <w:lang w:val="es-UY"/>
        </w:rPr>
        <w:t xml:space="preserve"> Basándose en esos estándares, en el caso de Russell Bucklew la CIDH concluyó que “el mero hecho de pasar 20 años en el corredor de la muerte es, desde todo punto de vista, excesivo e inhumano.”</w:t>
      </w:r>
      <w:r w:rsidR="00812561" w:rsidRPr="00D8219A">
        <w:rPr>
          <w:rStyle w:val="FootnoteReference"/>
          <w:lang w:val="es-UY"/>
        </w:rPr>
        <w:footnoteReference w:id="53"/>
      </w:r>
    </w:p>
    <w:p w14:paraId="3370B67B" w14:textId="77777777" w:rsidR="002640D6" w:rsidRPr="00D8219A" w:rsidRDefault="002640D6" w:rsidP="002640D6">
      <w:pPr>
        <w:pStyle w:val="parrafos"/>
        <w:numPr>
          <w:ilvl w:val="0"/>
          <w:numId w:val="0"/>
        </w:numPr>
        <w:rPr>
          <w:lang w:val="es-UY"/>
        </w:rPr>
      </w:pPr>
    </w:p>
    <w:p w14:paraId="0615525F" w14:textId="77777777" w:rsidR="002640D6" w:rsidRPr="00D8219A" w:rsidRDefault="002640D6" w:rsidP="002640D6">
      <w:pPr>
        <w:pStyle w:val="parrafos"/>
        <w:ind w:left="0" w:firstLine="0"/>
        <w:rPr>
          <w:lang w:val="es-UY"/>
        </w:rPr>
      </w:pPr>
      <w:r w:rsidRPr="00D8219A">
        <w:rPr>
          <w:lang w:val="es-UY"/>
        </w:rPr>
        <w:t xml:space="preserve">Tal como se ha establecido en el presente informe, el </w:t>
      </w:r>
      <w:r w:rsidR="001B5C63" w:rsidRPr="00D8219A">
        <w:rPr>
          <w:lang w:val="es-UY"/>
        </w:rPr>
        <w:t>señor</w:t>
      </w:r>
      <w:r w:rsidRPr="00D8219A">
        <w:rPr>
          <w:lang w:val="es-UY"/>
        </w:rPr>
        <w:t xml:space="preserve"> Serrano ha permanecido privado de libertad en el </w:t>
      </w:r>
      <w:r w:rsidR="007F3320" w:rsidRPr="00D8219A">
        <w:rPr>
          <w:lang w:val="es-UY"/>
        </w:rPr>
        <w:t>corredor de la m</w:t>
      </w:r>
      <w:r w:rsidRPr="00D8219A">
        <w:rPr>
          <w:lang w:val="es-UY"/>
        </w:rPr>
        <w:t>uerte durante 17 años. La Comisión toma nota de que la dura</w:t>
      </w:r>
      <w:r w:rsidR="000D758C" w:rsidRPr="00D8219A">
        <w:rPr>
          <w:lang w:val="es-UY"/>
        </w:rPr>
        <w:t>ción</w:t>
      </w:r>
      <w:r w:rsidRPr="00D8219A">
        <w:rPr>
          <w:lang w:val="es-UY"/>
        </w:rPr>
        <w:t xml:space="preserve"> de la </w:t>
      </w:r>
      <w:r w:rsidR="00D556AF" w:rsidRPr="00D8219A">
        <w:rPr>
          <w:lang w:val="es-UY"/>
        </w:rPr>
        <w:t>permanencia</w:t>
      </w:r>
      <w:r w:rsidRPr="00D8219A">
        <w:rPr>
          <w:lang w:val="es-UY"/>
        </w:rPr>
        <w:t xml:space="preserve"> en el </w:t>
      </w:r>
      <w:r w:rsidR="007F3320" w:rsidRPr="00D8219A">
        <w:rPr>
          <w:lang w:val="es-UY"/>
        </w:rPr>
        <w:t>corredor de la m</w:t>
      </w:r>
      <w:r w:rsidRPr="00D8219A">
        <w:rPr>
          <w:lang w:val="es-UY"/>
        </w:rPr>
        <w:t xml:space="preserve">uerte supera el tiempo que otras cortes internacionales y nacionales han caracterizado como tratamiento cruel, inhumano y degradante. El mero hecho de pasar 17 años en el </w:t>
      </w:r>
      <w:r w:rsidR="007F3320" w:rsidRPr="00D8219A">
        <w:rPr>
          <w:lang w:val="es-UY"/>
        </w:rPr>
        <w:t>corredor de la m</w:t>
      </w:r>
      <w:r w:rsidRPr="00D8219A">
        <w:rPr>
          <w:lang w:val="es-UY"/>
        </w:rPr>
        <w:t xml:space="preserve">uerte es, desde todo punto de vista, excesivo e inhumano, y se ve agravado por la prolongada expectativa de que pueda ejecutarse la sentencia de muerte, y además por el hecho de que el </w:t>
      </w:r>
      <w:r w:rsidR="001B5C63" w:rsidRPr="00D8219A">
        <w:rPr>
          <w:lang w:val="es-UY"/>
        </w:rPr>
        <w:t>señor</w:t>
      </w:r>
      <w:r w:rsidRPr="00D8219A">
        <w:rPr>
          <w:lang w:val="es-UY"/>
        </w:rPr>
        <w:t xml:space="preserve"> Serrano tiene actualmente 80 años de edad y por lo tanto está en situación de vulnerabilidad. En consecuencia </w:t>
      </w:r>
      <w:r w:rsidR="00D556AF" w:rsidRPr="00D8219A">
        <w:rPr>
          <w:lang w:val="es-UY"/>
        </w:rPr>
        <w:t>Estados</w:t>
      </w:r>
      <w:r w:rsidRPr="00D8219A">
        <w:rPr>
          <w:lang w:val="es-UY"/>
        </w:rPr>
        <w:t xml:space="preserve"> Unidos es responsable de violar, en detrimento del </w:t>
      </w:r>
      <w:r w:rsidR="001B5C63" w:rsidRPr="00D8219A">
        <w:rPr>
          <w:lang w:val="es-UY"/>
        </w:rPr>
        <w:t>señor</w:t>
      </w:r>
      <w:r w:rsidRPr="00D8219A">
        <w:rPr>
          <w:lang w:val="es-UY"/>
        </w:rPr>
        <w:t xml:space="preserve"> Serrano, el derecho a un tratamiento </w:t>
      </w:r>
      <w:r w:rsidR="00D556AF" w:rsidRPr="00D8219A">
        <w:rPr>
          <w:lang w:val="es-UY"/>
        </w:rPr>
        <w:t>humano</w:t>
      </w:r>
      <w:r w:rsidRPr="00D8219A">
        <w:rPr>
          <w:lang w:val="es-UY"/>
        </w:rPr>
        <w:t xml:space="preserve"> y a no ser objeto de un castigo cruel, infamante o inusitado, establecido en la Declara</w:t>
      </w:r>
      <w:r w:rsidR="000D758C" w:rsidRPr="00D8219A">
        <w:rPr>
          <w:lang w:val="es-UY"/>
        </w:rPr>
        <w:t>ción</w:t>
      </w:r>
      <w:r w:rsidRPr="00D8219A">
        <w:rPr>
          <w:lang w:val="es-UY"/>
        </w:rPr>
        <w:t xml:space="preserve"> Americana.</w:t>
      </w:r>
    </w:p>
    <w:p w14:paraId="7B05B723" w14:textId="77777777" w:rsidR="00DC04F0" w:rsidRPr="00D8219A" w:rsidRDefault="00DC04F0" w:rsidP="00DC04F0">
      <w:pPr>
        <w:pStyle w:val="parrafos"/>
        <w:numPr>
          <w:ilvl w:val="0"/>
          <w:numId w:val="0"/>
        </w:numPr>
        <w:ind w:left="720" w:hanging="360"/>
        <w:rPr>
          <w:rFonts w:eastAsia="Times New Roman"/>
          <w:bCs/>
          <w:bdr w:val="none" w:sz="0" w:space="0" w:color="auto"/>
          <w:lang w:val="es-UY"/>
        </w:rPr>
      </w:pPr>
    </w:p>
    <w:p w14:paraId="254FB580" w14:textId="77777777" w:rsidR="008C0C39" w:rsidRPr="00D8219A" w:rsidRDefault="008C0C39" w:rsidP="008C0C39">
      <w:pPr>
        <w:pStyle w:val="Heading2"/>
        <w:tabs>
          <w:tab w:val="left" w:pos="360"/>
        </w:tabs>
        <w:spacing w:before="0"/>
        <w:jc w:val="both"/>
        <w:rPr>
          <w:color w:val="auto"/>
          <w:sz w:val="20"/>
          <w:szCs w:val="20"/>
        </w:rPr>
      </w:pPr>
      <w:bookmarkStart w:id="28" w:name="_Toc10792026"/>
      <w:bookmarkStart w:id="29" w:name="_Toc69212255"/>
      <w:bookmarkEnd w:id="21"/>
      <w:r w:rsidRPr="00D8219A">
        <w:rPr>
          <w:color w:val="auto"/>
          <w:sz w:val="20"/>
          <w:szCs w:val="20"/>
        </w:rPr>
        <w:t>F.</w:t>
      </w:r>
      <w:r w:rsidRPr="00D8219A">
        <w:rPr>
          <w:color w:val="auto"/>
          <w:sz w:val="20"/>
          <w:szCs w:val="20"/>
        </w:rPr>
        <w:tab/>
        <w:t xml:space="preserve">The right to life and the right to protection against cruel, infamous or unusual punishment with respect to the eventual execution of </w:t>
      </w:r>
      <w:bookmarkEnd w:id="28"/>
      <w:r w:rsidRPr="00D8219A">
        <w:rPr>
          <w:color w:val="auto"/>
          <w:sz w:val="20"/>
          <w:szCs w:val="20"/>
        </w:rPr>
        <w:t>Nelson Iván Serrano Sáenz</w:t>
      </w:r>
      <w:bookmarkEnd w:id="29"/>
    </w:p>
    <w:p w14:paraId="7DF2A5AB" w14:textId="77777777" w:rsidR="008C0C39" w:rsidRPr="00D8219A" w:rsidRDefault="008C0C39" w:rsidP="008C0C39">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2040"/>
        </w:tabs>
        <w:autoSpaceDE w:val="0"/>
        <w:autoSpaceDN w:val="0"/>
        <w:adjustRightInd w:val="0"/>
        <w:jc w:val="both"/>
        <w:rPr>
          <w:rFonts w:asciiTheme="majorHAnsi" w:hAnsiTheme="majorHAnsi"/>
          <w:bCs/>
          <w:sz w:val="20"/>
          <w:szCs w:val="20"/>
        </w:rPr>
      </w:pPr>
    </w:p>
    <w:p w14:paraId="60CA9DD6" w14:textId="77777777" w:rsidR="008C0C39" w:rsidRPr="00D8219A" w:rsidRDefault="00D8068D" w:rsidP="00D8068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Theme="majorHAnsi" w:hAnsiTheme="majorHAnsi"/>
          <w:sz w:val="20"/>
          <w:szCs w:val="20"/>
          <w:lang w:val="es-UY"/>
        </w:rPr>
      </w:pPr>
      <w:r w:rsidRPr="00D8219A">
        <w:rPr>
          <w:rFonts w:asciiTheme="majorHAnsi" w:hAnsiTheme="majorHAnsi"/>
          <w:sz w:val="20"/>
          <w:szCs w:val="20"/>
          <w:lang w:val="es-UY"/>
        </w:rPr>
        <w:t xml:space="preserve">Como se indicó </w:t>
      </w:r>
      <w:r w:rsidRPr="00D8219A">
        <w:rPr>
          <w:rFonts w:asciiTheme="majorHAnsi" w:hAnsiTheme="majorHAnsi"/>
          <w:i/>
          <w:sz w:val="20"/>
          <w:szCs w:val="20"/>
          <w:lang w:val="es-UY"/>
        </w:rPr>
        <w:t>supra</w:t>
      </w:r>
      <w:r w:rsidRPr="00D8219A">
        <w:rPr>
          <w:rFonts w:asciiTheme="majorHAnsi" w:hAnsiTheme="majorHAnsi"/>
          <w:sz w:val="20"/>
          <w:szCs w:val="20"/>
          <w:lang w:val="es-UY"/>
        </w:rPr>
        <w:t>,</w:t>
      </w:r>
      <w:r w:rsidR="008C0C39" w:rsidRPr="00D8219A">
        <w:rPr>
          <w:rFonts w:asciiTheme="majorHAnsi" w:hAnsiTheme="majorHAnsi"/>
          <w:sz w:val="20"/>
          <w:szCs w:val="20"/>
          <w:lang w:val="es-UY"/>
        </w:rPr>
        <w:t xml:space="preserve"> la Comisión Interamericana consider</w:t>
      </w:r>
      <w:r w:rsidRPr="00D8219A">
        <w:rPr>
          <w:rFonts w:asciiTheme="majorHAnsi" w:hAnsiTheme="majorHAnsi"/>
          <w:sz w:val="20"/>
          <w:szCs w:val="20"/>
          <w:lang w:val="es-UY"/>
        </w:rPr>
        <w:t xml:space="preserve">a que incumbe a los tribunales nacionales, y no a la Comisión, interpretar y aplicar el derecho nacional. No obstante, </w:t>
      </w:r>
      <w:r w:rsidR="00D556AF" w:rsidRPr="00D8219A">
        <w:rPr>
          <w:rFonts w:asciiTheme="majorHAnsi" w:hAnsiTheme="majorHAnsi"/>
          <w:sz w:val="20"/>
          <w:szCs w:val="20"/>
          <w:lang w:val="es-UY"/>
        </w:rPr>
        <w:t>la CIDH</w:t>
      </w:r>
      <w:r w:rsidRPr="00D8219A">
        <w:rPr>
          <w:rFonts w:asciiTheme="majorHAnsi" w:hAnsiTheme="majorHAnsi"/>
          <w:sz w:val="20"/>
          <w:szCs w:val="20"/>
          <w:lang w:val="es-UY"/>
        </w:rPr>
        <w:t xml:space="preserve"> debe asegurar que toda </w:t>
      </w:r>
      <w:r w:rsidR="00D556AF" w:rsidRPr="00D8219A">
        <w:rPr>
          <w:rFonts w:asciiTheme="majorHAnsi" w:hAnsiTheme="majorHAnsi"/>
          <w:sz w:val="20"/>
          <w:szCs w:val="20"/>
          <w:lang w:val="es-UY"/>
        </w:rPr>
        <w:t>privación</w:t>
      </w:r>
      <w:r w:rsidRPr="00D8219A">
        <w:rPr>
          <w:rFonts w:asciiTheme="majorHAnsi" w:hAnsiTheme="majorHAnsi"/>
          <w:sz w:val="20"/>
          <w:szCs w:val="20"/>
          <w:lang w:val="es-UY"/>
        </w:rPr>
        <w:t xml:space="preserve"> de libertad resultante de la imposi</w:t>
      </w:r>
      <w:r w:rsidR="000D758C" w:rsidRPr="00D8219A">
        <w:rPr>
          <w:rFonts w:asciiTheme="majorHAnsi" w:hAnsiTheme="majorHAnsi"/>
          <w:sz w:val="20"/>
          <w:szCs w:val="20"/>
          <w:lang w:val="es-UY"/>
        </w:rPr>
        <w:t>ción</w:t>
      </w:r>
      <w:r w:rsidRPr="00D8219A">
        <w:rPr>
          <w:rFonts w:asciiTheme="majorHAnsi" w:hAnsiTheme="majorHAnsi"/>
          <w:sz w:val="20"/>
          <w:szCs w:val="20"/>
          <w:lang w:val="es-UY"/>
        </w:rPr>
        <w:t xml:space="preserve"> de la pena de muerte cumpla los requisitos</w:t>
      </w:r>
      <w:r w:rsidR="008C0C39" w:rsidRPr="00D8219A">
        <w:rPr>
          <w:rFonts w:asciiTheme="majorHAnsi" w:hAnsiTheme="majorHAnsi"/>
          <w:sz w:val="20"/>
          <w:szCs w:val="20"/>
          <w:lang w:val="es-UY"/>
        </w:rPr>
        <w:t xml:space="preserve"> de la Declaración Americana.</w:t>
      </w:r>
      <w:r w:rsidR="008C0C39" w:rsidRPr="00D8219A">
        <w:rPr>
          <w:rStyle w:val="FootnoteReference"/>
          <w:rFonts w:asciiTheme="majorHAnsi" w:hAnsiTheme="majorHAnsi"/>
          <w:sz w:val="20"/>
          <w:szCs w:val="20"/>
        </w:rPr>
        <w:footnoteReference w:id="54"/>
      </w:r>
    </w:p>
    <w:p w14:paraId="5815F960" w14:textId="77777777" w:rsidR="008C0C39" w:rsidRPr="00D8219A" w:rsidRDefault="008C0C39" w:rsidP="008C0C3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Arial Unicode MS" w:hAnsiTheme="majorHAnsi" w:cs="Times New Roman"/>
          <w:color w:val="auto"/>
          <w:sz w:val="20"/>
          <w:szCs w:val="20"/>
          <w:lang w:val="es-UY" w:eastAsia="en-US"/>
        </w:rPr>
      </w:pPr>
    </w:p>
    <w:p w14:paraId="5E0CC186" w14:textId="77777777" w:rsidR="00055259" w:rsidRPr="00D8219A" w:rsidRDefault="00055259" w:rsidP="000552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Theme="majorHAnsi" w:hAnsiTheme="majorHAnsi"/>
          <w:sz w:val="20"/>
          <w:szCs w:val="20"/>
          <w:lang w:val="es-UY"/>
        </w:rPr>
      </w:pPr>
      <w:r w:rsidRPr="00D8219A">
        <w:rPr>
          <w:rFonts w:asciiTheme="majorHAnsi" w:hAnsiTheme="majorHAnsi"/>
          <w:sz w:val="20"/>
          <w:szCs w:val="20"/>
          <w:lang w:val="es-UY"/>
        </w:rPr>
        <w:t>A lo largo de todo este informe</w:t>
      </w:r>
      <w:r w:rsidR="008C0C39" w:rsidRPr="00D8219A">
        <w:rPr>
          <w:rFonts w:asciiTheme="majorHAnsi" w:hAnsiTheme="majorHAnsi"/>
          <w:sz w:val="20"/>
          <w:szCs w:val="20"/>
          <w:lang w:val="es-UY"/>
        </w:rPr>
        <w:t xml:space="preserve"> la Comisión establ</w:t>
      </w:r>
      <w:r w:rsidRPr="00D8219A">
        <w:rPr>
          <w:rFonts w:asciiTheme="majorHAnsi" w:hAnsiTheme="majorHAnsi"/>
          <w:sz w:val="20"/>
          <w:szCs w:val="20"/>
          <w:lang w:val="es-UY"/>
        </w:rPr>
        <w:t>eció que</w:t>
      </w:r>
      <w:r w:rsidR="008C0C39" w:rsidRPr="00D8219A">
        <w:rPr>
          <w:rFonts w:asciiTheme="majorHAnsi" w:hAnsiTheme="majorHAnsi"/>
          <w:sz w:val="20"/>
          <w:szCs w:val="20"/>
          <w:lang w:val="es-UY"/>
        </w:rPr>
        <w:t xml:space="preserve"> el </w:t>
      </w:r>
      <w:r w:rsidR="001B5C63" w:rsidRPr="00D8219A">
        <w:rPr>
          <w:rFonts w:asciiTheme="majorHAnsi" w:hAnsiTheme="majorHAnsi"/>
          <w:sz w:val="20"/>
          <w:szCs w:val="20"/>
          <w:lang w:val="es-UY"/>
        </w:rPr>
        <w:t>señor</w:t>
      </w:r>
      <w:r w:rsidR="008C0C39" w:rsidRPr="00D8219A">
        <w:rPr>
          <w:rFonts w:asciiTheme="majorHAnsi" w:hAnsiTheme="majorHAnsi"/>
          <w:sz w:val="20"/>
          <w:szCs w:val="20"/>
          <w:lang w:val="es-UY"/>
        </w:rPr>
        <w:t xml:space="preserve"> Serrano</w:t>
      </w:r>
      <w:r w:rsidRPr="00D8219A">
        <w:rPr>
          <w:rFonts w:asciiTheme="majorHAnsi" w:hAnsiTheme="majorHAnsi"/>
          <w:sz w:val="20"/>
          <w:szCs w:val="20"/>
          <w:lang w:val="es-UY"/>
        </w:rPr>
        <w:t xml:space="preserve"> fue objeto de arresto ilegal y arbitrario</w:t>
      </w:r>
      <w:r w:rsidR="00542547" w:rsidRPr="00D8219A">
        <w:rPr>
          <w:rFonts w:asciiTheme="majorHAnsi" w:hAnsiTheme="majorHAnsi"/>
          <w:sz w:val="20"/>
          <w:szCs w:val="20"/>
          <w:lang w:val="es-UY"/>
        </w:rPr>
        <w:t>;</w:t>
      </w:r>
      <w:r w:rsidRPr="00D8219A">
        <w:rPr>
          <w:rFonts w:asciiTheme="majorHAnsi" w:hAnsiTheme="majorHAnsi"/>
          <w:sz w:val="20"/>
          <w:szCs w:val="20"/>
          <w:lang w:val="es-UY"/>
        </w:rPr>
        <w:t xml:space="preserve"> que las cortes nacionales no respetaron la </w:t>
      </w:r>
      <w:r w:rsidR="00C30519" w:rsidRPr="00D8219A">
        <w:rPr>
          <w:rFonts w:asciiTheme="majorHAnsi" w:hAnsiTheme="majorHAnsi"/>
          <w:sz w:val="20"/>
          <w:szCs w:val="20"/>
          <w:lang w:val="es-UY"/>
        </w:rPr>
        <w:t xml:space="preserve">garantía </w:t>
      </w:r>
      <w:r w:rsidRPr="00D8219A">
        <w:rPr>
          <w:rFonts w:asciiTheme="majorHAnsi" w:hAnsiTheme="majorHAnsi"/>
          <w:sz w:val="20"/>
          <w:szCs w:val="20"/>
          <w:lang w:val="es-UY"/>
        </w:rPr>
        <w:t>diplomática de no aplica</w:t>
      </w:r>
      <w:r w:rsidR="000D758C" w:rsidRPr="00D8219A">
        <w:rPr>
          <w:rFonts w:asciiTheme="majorHAnsi" w:hAnsiTheme="majorHAnsi"/>
          <w:sz w:val="20"/>
          <w:szCs w:val="20"/>
          <w:lang w:val="es-UY"/>
        </w:rPr>
        <w:t>ción</w:t>
      </w:r>
      <w:r w:rsidRPr="00D8219A">
        <w:rPr>
          <w:rFonts w:asciiTheme="majorHAnsi" w:hAnsiTheme="majorHAnsi"/>
          <w:sz w:val="20"/>
          <w:szCs w:val="20"/>
          <w:lang w:val="es-UY"/>
        </w:rPr>
        <w:t xml:space="preserve"> de la pena de muerte</w:t>
      </w:r>
      <w:r w:rsidR="00542547" w:rsidRPr="00D8219A">
        <w:rPr>
          <w:rFonts w:asciiTheme="majorHAnsi" w:hAnsiTheme="majorHAnsi"/>
          <w:sz w:val="20"/>
          <w:szCs w:val="20"/>
          <w:lang w:val="es-UY"/>
        </w:rPr>
        <w:t>,</w:t>
      </w:r>
      <w:r w:rsidRPr="00D8219A">
        <w:rPr>
          <w:rFonts w:asciiTheme="majorHAnsi" w:hAnsiTheme="majorHAnsi"/>
          <w:sz w:val="20"/>
          <w:szCs w:val="20"/>
          <w:lang w:val="es-UY"/>
        </w:rPr>
        <w:t xml:space="preserve"> y que </w:t>
      </w:r>
      <w:r w:rsidR="00937527" w:rsidRPr="00D8219A">
        <w:rPr>
          <w:rFonts w:asciiTheme="majorHAnsi" w:hAnsiTheme="majorHAnsi"/>
          <w:sz w:val="20"/>
          <w:szCs w:val="20"/>
          <w:lang w:val="es-UY"/>
        </w:rPr>
        <w:t xml:space="preserve">los 17 años de permanencia en el </w:t>
      </w:r>
      <w:r w:rsidR="007F3320" w:rsidRPr="00D8219A">
        <w:rPr>
          <w:rFonts w:asciiTheme="majorHAnsi" w:hAnsiTheme="majorHAnsi"/>
          <w:sz w:val="20"/>
          <w:szCs w:val="20"/>
          <w:lang w:val="es-UY"/>
        </w:rPr>
        <w:t>corredor de la m</w:t>
      </w:r>
      <w:r w:rsidR="00937527" w:rsidRPr="00D8219A">
        <w:rPr>
          <w:rFonts w:asciiTheme="majorHAnsi" w:hAnsiTheme="majorHAnsi"/>
          <w:sz w:val="20"/>
          <w:szCs w:val="20"/>
          <w:lang w:val="es-UY"/>
        </w:rPr>
        <w:t xml:space="preserve">uerte experimentados por el </w:t>
      </w:r>
      <w:r w:rsidR="001B5C63" w:rsidRPr="00D8219A">
        <w:rPr>
          <w:rFonts w:asciiTheme="majorHAnsi" w:hAnsiTheme="majorHAnsi"/>
          <w:sz w:val="20"/>
          <w:szCs w:val="20"/>
          <w:lang w:val="es-UY"/>
        </w:rPr>
        <w:t>señor</w:t>
      </w:r>
      <w:r w:rsidR="00937527" w:rsidRPr="00D8219A">
        <w:rPr>
          <w:rFonts w:asciiTheme="majorHAnsi" w:hAnsiTheme="majorHAnsi"/>
          <w:sz w:val="20"/>
          <w:szCs w:val="20"/>
          <w:lang w:val="es-UY"/>
        </w:rPr>
        <w:t xml:space="preserve"> Serrano constituyen un tratamiento cruel e inhumano.</w:t>
      </w:r>
    </w:p>
    <w:p w14:paraId="2A690FDE" w14:textId="77777777" w:rsidR="00055259" w:rsidRPr="00D8219A" w:rsidRDefault="00055259" w:rsidP="00055259">
      <w:pPr>
        <w:pStyle w:val="ListParagraph"/>
        <w:rPr>
          <w:rFonts w:asciiTheme="majorHAnsi" w:hAnsiTheme="majorHAnsi"/>
          <w:sz w:val="20"/>
          <w:szCs w:val="20"/>
          <w:lang w:val="es-UY"/>
        </w:rPr>
      </w:pPr>
    </w:p>
    <w:p w14:paraId="1B92777D" w14:textId="77777777" w:rsidR="008C0C39" w:rsidRPr="00D8219A" w:rsidRDefault="008C0C39" w:rsidP="0093752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Theme="majorHAnsi" w:hAnsiTheme="majorHAnsi"/>
          <w:sz w:val="20"/>
          <w:szCs w:val="20"/>
          <w:lang w:val="es-UY"/>
        </w:rPr>
      </w:pPr>
      <w:r w:rsidRPr="00D8219A">
        <w:rPr>
          <w:rFonts w:asciiTheme="majorHAnsi" w:hAnsiTheme="majorHAnsi"/>
          <w:sz w:val="20"/>
          <w:szCs w:val="20"/>
          <w:lang w:val="es-UY"/>
        </w:rPr>
        <w:t xml:space="preserve"> </w:t>
      </w:r>
      <w:r w:rsidR="00937527" w:rsidRPr="00D8219A">
        <w:rPr>
          <w:rFonts w:asciiTheme="majorHAnsi" w:hAnsiTheme="majorHAnsi"/>
          <w:sz w:val="20"/>
          <w:szCs w:val="20"/>
          <w:lang w:val="es-UY"/>
        </w:rPr>
        <w:t xml:space="preserve">En tales circunstancias, la CIDH ha sostenido que ejecutar a una persona tras procedimientos </w:t>
      </w:r>
      <w:r w:rsidR="00542547" w:rsidRPr="00D8219A">
        <w:rPr>
          <w:rFonts w:asciiTheme="majorHAnsi" w:hAnsiTheme="majorHAnsi"/>
          <w:sz w:val="20"/>
          <w:szCs w:val="20"/>
          <w:lang w:val="es-UY"/>
        </w:rPr>
        <w:t>llevados</w:t>
      </w:r>
      <w:r w:rsidR="00937527" w:rsidRPr="00D8219A">
        <w:rPr>
          <w:rFonts w:asciiTheme="majorHAnsi" w:hAnsiTheme="majorHAnsi"/>
          <w:sz w:val="20"/>
          <w:szCs w:val="20"/>
          <w:lang w:val="es-UY"/>
        </w:rPr>
        <w:t xml:space="preserve"> a cabo en viola</w:t>
      </w:r>
      <w:r w:rsidR="000D758C" w:rsidRPr="00D8219A">
        <w:rPr>
          <w:rFonts w:asciiTheme="majorHAnsi" w:hAnsiTheme="majorHAnsi"/>
          <w:sz w:val="20"/>
          <w:szCs w:val="20"/>
          <w:lang w:val="es-UY"/>
        </w:rPr>
        <w:t>ción</w:t>
      </w:r>
      <w:r w:rsidR="00937527" w:rsidRPr="00D8219A">
        <w:rPr>
          <w:rFonts w:asciiTheme="majorHAnsi" w:hAnsiTheme="majorHAnsi"/>
          <w:sz w:val="20"/>
          <w:szCs w:val="20"/>
          <w:lang w:val="es-UY"/>
        </w:rPr>
        <w:t xml:space="preserve"> de sus derechos sería extremadamente grave y constituiría una viola</w:t>
      </w:r>
      <w:r w:rsidR="000D758C" w:rsidRPr="00D8219A">
        <w:rPr>
          <w:rFonts w:asciiTheme="majorHAnsi" w:hAnsiTheme="majorHAnsi"/>
          <w:sz w:val="20"/>
          <w:szCs w:val="20"/>
          <w:lang w:val="es-UY"/>
        </w:rPr>
        <w:t>ción</w:t>
      </w:r>
      <w:r w:rsidR="00937527" w:rsidRPr="00D8219A">
        <w:rPr>
          <w:rFonts w:asciiTheme="majorHAnsi" w:hAnsiTheme="majorHAnsi"/>
          <w:sz w:val="20"/>
          <w:szCs w:val="20"/>
          <w:lang w:val="es-UY"/>
        </w:rPr>
        <w:t xml:space="preserve"> deliberada del </w:t>
      </w:r>
      <w:r w:rsidR="00D556AF" w:rsidRPr="00D8219A">
        <w:rPr>
          <w:rFonts w:asciiTheme="majorHAnsi" w:hAnsiTheme="majorHAnsi"/>
          <w:sz w:val="20"/>
          <w:szCs w:val="20"/>
          <w:lang w:val="es-UY"/>
        </w:rPr>
        <w:t>derecho a</w:t>
      </w:r>
      <w:r w:rsidR="00937527" w:rsidRPr="00D8219A">
        <w:rPr>
          <w:rFonts w:asciiTheme="majorHAnsi" w:hAnsiTheme="majorHAnsi"/>
          <w:sz w:val="20"/>
          <w:szCs w:val="20"/>
          <w:lang w:val="es-UY"/>
        </w:rPr>
        <w:t xml:space="preserve"> la vida enunciado en el </w:t>
      </w:r>
      <w:r w:rsidR="00B002F7" w:rsidRPr="00D8219A">
        <w:rPr>
          <w:rFonts w:asciiTheme="majorHAnsi" w:hAnsiTheme="majorHAnsi"/>
          <w:sz w:val="20"/>
          <w:szCs w:val="20"/>
          <w:lang w:val="es-UY"/>
        </w:rPr>
        <w:t>artículo</w:t>
      </w:r>
      <w:r w:rsidRPr="00D8219A">
        <w:rPr>
          <w:rFonts w:asciiTheme="majorHAnsi" w:hAnsiTheme="majorHAnsi"/>
          <w:sz w:val="20"/>
          <w:szCs w:val="20"/>
          <w:lang w:val="es-UY"/>
        </w:rPr>
        <w:t xml:space="preserve"> I de la Declaración Americana.</w:t>
      </w:r>
      <w:r w:rsidRPr="00D8219A">
        <w:rPr>
          <w:rStyle w:val="FootnoteReference"/>
          <w:rFonts w:asciiTheme="majorHAnsi" w:hAnsiTheme="majorHAnsi"/>
          <w:sz w:val="20"/>
          <w:szCs w:val="20"/>
        </w:rPr>
        <w:footnoteReference w:id="55"/>
      </w:r>
      <w:r w:rsidRPr="00D8219A">
        <w:rPr>
          <w:rFonts w:asciiTheme="majorHAnsi" w:hAnsiTheme="majorHAnsi"/>
          <w:sz w:val="20"/>
          <w:szCs w:val="20"/>
          <w:lang w:val="es-UY"/>
        </w:rPr>
        <w:t xml:space="preserve"> </w:t>
      </w:r>
      <w:r w:rsidR="00937527" w:rsidRPr="00D8219A">
        <w:rPr>
          <w:rFonts w:asciiTheme="majorHAnsi" w:hAnsiTheme="majorHAnsi"/>
          <w:sz w:val="20"/>
          <w:szCs w:val="20"/>
          <w:lang w:val="es-UY"/>
        </w:rPr>
        <w:t xml:space="preserve">Además, sobre la base de las </w:t>
      </w:r>
      <w:r w:rsidR="00D556AF" w:rsidRPr="00D8219A">
        <w:rPr>
          <w:rFonts w:asciiTheme="majorHAnsi" w:hAnsiTheme="majorHAnsi"/>
          <w:sz w:val="20"/>
          <w:szCs w:val="20"/>
          <w:lang w:val="es-UY"/>
        </w:rPr>
        <w:t>conclusiones</w:t>
      </w:r>
      <w:r w:rsidR="00937527" w:rsidRPr="00D8219A">
        <w:rPr>
          <w:rFonts w:asciiTheme="majorHAnsi" w:hAnsiTheme="majorHAnsi"/>
          <w:sz w:val="20"/>
          <w:szCs w:val="20"/>
          <w:lang w:val="es-UY"/>
        </w:rPr>
        <w:t xml:space="preserve"> referentes a la priva</w:t>
      </w:r>
      <w:r w:rsidR="000D758C" w:rsidRPr="00D8219A">
        <w:rPr>
          <w:rFonts w:asciiTheme="majorHAnsi" w:hAnsiTheme="majorHAnsi"/>
          <w:sz w:val="20"/>
          <w:szCs w:val="20"/>
          <w:lang w:val="es-UY"/>
        </w:rPr>
        <w:t>ción</w:t>
      </w:r>
      <w:r w:rsidR="00937527" w:rsidRPr="00D8219A">
        <w:rPr>
          <w:rFonts w:asciiTheme="majorHAnsi" w:hAnsiTheme="majorHAnsi"/>
          <w:sz w:val="20"/>
          <w:szCs w:val="20"/>
          <w:lang w:val="es-UY"/>
        </w:rPr>
        <w:t xml:space="preserve"> de libertad en el </w:t>
      </w:r>
      <w:r w:rsidR="007F3320" w:rsidRPr="00D8219A">
        <w:rPr>
          <w:rFonts w:asciiTheme="majorHAnsi" w:hAnsiTheme="majorHAnsi"/>
          <w:sz w:val="20"/>
          <w:szCs w:val="20"/>
          <w:lang w:val="es-UY"/>
        </w:rPr>
        <w:t>corredor de la m</w:t>
      </w:r>
      <w:r w:rsidR="00937527" w:rsidRPr="00D8219A">
        <w:rPr>
          <w:rFonts w:asciiTheme="majorHAnsi" w:hAnsiTheme="majorHAnsi"/>
          <w:sz w:val="20"/>
          <w:szCs w:val="20"/>
          <w:lang w:val="es-UY"/>
        </w:rPr>
        <w:t>uerte, la eventual ejecu</w:t>
      </w:r>
      <w:r w:rsidR="000D758C" w:rsidRPr="00D8219A">
        <w:rPr>
          <w:rFonts w:asciiTheme="majorHAnsi" w:hAnsiTheme="majorHAnsi"/>
          <w:sz w:val="20"/>
          <w:szCs w:val="20"/>
          <w:lang w:val="es-UY"/>
        </w:rPr>
        <w:t>ción</w:t>
      </w:r>
      <w:r w:rsidR="00937527" w:rsidRPr="00D8219A">
        <w:rPr>
          <w:rFonts w:asciiTheme="majorHAnsi" w:hAnsiTheme="majorHAnsi"/>
          <w:sz w:val="20"/>
          <w:szCs w:val="20"/>
          <w:lang w:val="es-UY"/>
        </w:rPr>
        <w:t xml:space="preserve"> del </w:t>
      </w:r>
      <w:r w:rsidR="001B5C63" w:rsidRPr="00D8219A">
        <w:rPr>
          <w:rFonts w:asciiTheme="majorHAnsi" w:hAnsiTheme="majorHAnsi"/>
          <w:sz w:val="20"/>
          <w:szCs w:val="20"/>
          <w:lang w:val="es-UY"/>
        </w:rPr>
        <w:t>señor</w:t>
      </w:r>
      <w:r w:rsidR="00937527" w:rsidRPr="00D8219A">
        <w:rPr>
          <w:rFonts w:asciiTheme="majorHAnsi" w:hAnsiTheme="majorHAnsi"/>
          <w:sz w:val="20"/>
          <w:szCs w:val="20"/>
          <w:lang w:val="es-UY"/>
        </w:rPr>
        <w:t xml:space="preserve"> </w:t>
      </w:r>
      <w:r w:rsidR="00D556AF" w:rsidRPr="00D8219A">
        <w:rPr>
          <w:rFonts w:asciiTheme="majorHAnsi" w:hAnsiTheme="majorHAnsi"/>
          <w:sz w:val="20"/>
          <w:szCs w:val="20"/>
          <w:lang w:val="es-UY"/>
        </w:rPr>
        <w:t>Serrano</w:t>
      </w:r>
      <w:r w:rsidR="00937527" w:rsidRPr="00D8219A">
        <w:rPr>
          <w:rFonts w:asciiTheme="majorHAnsi" w:hAnsiTheme="majorHAnsi"/>
          <w:sz w:val="20"/>
          <w:szCs w:val="20"/>
          <w:lang w:val="es-UY"/>
        </w:rPr>
        <w:t xml:space="preserve"> constituiría, desde todo punto de vista, una viola</w:t>
      </w:r>
      <w:r w:rsidR="000D758C" w:rsidRPr="00D8219A">
        <w:rPr>
          <w:rFonts w:asciiTheme="majorHAnsi" w:hAnsiTheme="majorHAnsi"/>
          <w:sz w:val="20"/>
          <w:szCs w:val="20"/>
          <w:lang w:val="es-UY"/>
        </w:rPr>
        <w:t>ción</w:t>
      </w:r>
      <w:r w:rsidR="00937527" w:rsidRPr="00D8219A">
        <w:rPr>
          <w:rFonts w:asciiTheme="majorHAnsi" w:hAnsiTheme="majorHAnsi"/>
          <w:sz w:val="20"/>
          <w:szCs w:val="20"/>
          <w:lang w:val="es-UY"/>
        </w:rPr>
        <w:t xml:space="preserve"> del derecho de protec</w:t>
      </w:r>
      <w:r w:rsidR="000D758C" w:rsidRPr="00D8219A">
        <w:rPr>
          <w:rFonts w:asciiTheme="majorHAnsi" w:hAnsiTheme="majorHAnsi"/>
          <w:sz w:val="20"/>
          <w:szCs w:val="20"/>
          <w:lang w:val="es-UY"/>
        </w:rPr>
        <w:t>ción</w:t>
      </w:r>
      <w:r w:rsidR="00937527" w:rsidRPr="00D8219A">
        <w:rPr>
          <w:rFonts w:asciiTheme="majorHAnsi" w:hAnsiTheme="majorHAnsi"/>
          <w:sz w:val="20"/>
          <w:szCs w:val="20"/>
          <w:lang w:val="es-UY"/>
        </w:rPr>
        <w:t xml:space="preserve"> contra castigos crueles, infamantes o inusitados. A la luz de lo que antecede y teniendo en cuenta las determinaciones realizadas a lo largo del </w:t>
      </w:r>
      <w:r w:rsidR="00D556AF" w:rsidRPr="00D8219A">
        <w:rPr>
          <w:rFonts w:asciiTheme="majorHAnsi" w:hAnsiTheme="majorHAnsi"/>
          <w:sz w:val="20"/>
          <w:szCs w:val="20"/>
          <w:lang w:val="es-UY"/>
        </w:rPr>
        <w:t>presente</w:t>
      </w:r>
      <w:r w:rsidR="00937527" w:rsidRPr="00D8219A">
        <w:rPr>
          <w:rFonts w:asciiTheme="majorHAnsi" w:hAnsiTheme="majorHAnsi"/>
          <w:sz w:val="20"/>
          <w:szCs w:val="20"/>
          <w:lang w:val="es-UY"/>
        </w:rPr>
        <w:t xml:space="preserve"> informe, la CIDH concluye que la ejecu</w:t>
      </w:r>
      <w:r w:rsidR="000D758C" w:rsidRPr="00D8219A">
        <w:rPr>
          <w:rFonts w:asciiTheme="majorHAnsi" w:hAnsiTheme="majorHAnsi"/>
          <w:sz w:val="20"/>
          <w:szCs w:val="20"/>
          <w:lang w:val="es-UY"/>
        </w:rPr>
        <w:t>ción</w:t>
      </w:r>
      <w:r w:rsidR="00937527" w:rsidRPr="00D8219A">
        <w:rPr>
          <w:rFonts w:asciiTheme="majorHAnsi" w:hAnsiTheme="majorHAnsi"/>
          <w:sz w:val="20"/>
          <w:szCs w:val="20"/>
          <w:lang w:val="es-UY"/>
        </w:rPr>
        <w:t xml:space="preserve"> </w:t>
      </w:r>
      <w:r w:rsidR="00D556AF" w:rsidRPr="00D8219A">
        <w:rPr>
          <w:rFonts w:asciiTheme="majorHAnsi" w:hAnsiTheme="majorHAnsi"/>
          <w:sz w:val="20"/>
          <w:szCs w:val="20"/>
          <w:lang w:val="es-UY"/>
        </w:rPr>
        <w:t>del</w:t>
      </w:r>
      <w:r w:rsidR="00937527" w:rsidRPr="00D8219A">
        <w:rPr>
          <w:rFonts w:asciiTheme="majorHAnsi" w:hAnsiTheme="majorHAnsi"/>
          <w:sz w:val="20"/>
          <w:szCs w:val="20"/>
          <w:lang w:val="es-UY"/>
        </w:rPr>
        <w:t xml:space="preserve"> </w:t>
      </w:r>
      <w:r w:rsidR="001B5C63" w:rsidRPr="00D8219A">
        <w:rPr>
          <w:rFonts w:asciiTheme="majorHAnsi" w:hAnsiTheme="majorHAnsi"/>
          <w:sz w:val="20"/>
          <w:szCs w:val="20"/>
          <w:lang w:val="es-UY"/>
        </w:rPr>
        <w:t>señor</w:t>
      </w:r>
      <w:r w:rsidR="00937527" w:rsidRPr="00D8219A">
        <w:rPr>
          <w:rFonts w:asciiTheme="majorHAnsi" w:hAnsiTheme="majorHAnsi"/>
          <w:sz w:val="20"/>
          <w:szCs w:val="20"/>
          <w:lang w:val="es-UY"/>
        </w:rPr>
        <w:t xml:space="preserve"> Serrano constituiría una grave viola</w:t>
      </w:r>
      <w:r w:rsidR="000D758C" w:rsidRPr="00D8219A">
        <w:rPr>
          <w:rFonts w:asciiTheme="majorHAnsi" w:hAnsiTheme="majorHAnsi"/>
          <w:sz w:val="20"/>
          <w:szCs w:val="20"/>
          <w:lang w:val="es-UY"/>
        </w:rPr>
        <w:t>ción</w:t>
      </w:r>
      <w:r w:rsidR="00DE1724" w:rsidRPr="00D8219A">
        <w:rPr>
          <w:rFonts w:asciiTheme="majorHAnsi" w:hAnsiTheme="majorHAnsi"/>
          <w:sz w:val="20"/>
          <w:szCs w:val="20"/>
          <w:lang w:val="es-UY"/>
        </w:rPr>
        <w:t xml:space="preserve"> del</w:t>
      </w:r>
      <w:r w:rsidR="00D556AF" w:rsidRPr="00D8219A">
        <w:rPr>
          <w:rFonts w:asciiTheme="majorHAnsi" w:hAnsiTheme="majorHAnsi"/>
          <w:sz w:val="20"/>
          <w:szCs w:val="20"/>
          <w:lang w:val="es-UY"/>
        </w:rPr>
        <w:t xml:space="preserve"> derecho a </w:t>
      </w:r>
      <w:r w:rsidR="00937527" w:rsidRPr="00D8219A">
        <w:rPr>
          <w:rFonts w:asciiTheme="majorHAnsi" w:hAnsiTheme="majorHAnsi"/>
          <w:sz w:val="20"/>
          <w:szCs w:val="20"/>
          <w:lang w:val="es-UY"/>
        </w:rPr>
        <w:t>la vida</w:t>
      </w:r>
      <w:r w:rsidR="00DE1724" w:rsidRPr="00D8219A">
        <w:rPr>
          <w:rFonts w:asciiTheme="majorHAnsi" w:hAnsiTheme="majorHAnsi"/>
          <w:sz w:val="20"/>
          <w:szCs w:val="20"/>
          <w:lang w:val="es-UY"/>
        </w:rPr>
        <w:t xml:space="preserve"> de esa persona</w:t>
      </w:r>
      <w:r w:rsidR="00937527" w:rsidRPr="00D8219A">
        <w:rPr>
          <w:rFonts w:asciiTheme="majorHAnsi" w:hAnsiTheme="majorHAnsi"/>
          <w:sz w:val="20"/>
          <w:szCs w:val="20"/>
          <w:lang w:val="es-UY"/>
        </w:rPr>
        <w:t xml:space="preserve">, reconocido en el </w:t>
      </w:r>
      <w:r w:rsidR="00B002F7" w:rsidRPr="00D8219A">
        <w:rPr>
          <w:rFonts w:asciiTheme="majorHAnsi" w:hAnsiTheme="majorHAnsi"/>
          <w:sz w:val="20"/>
          <w:szCs w:val="20"/>
          <w:lang w:val="es-UY"/>
        </w:rPr>
        <w:t>artículo</w:t>
      </w:r>
      <w:r w:rsidR="00D556AF" w:rsidRPr="00D8219A">
        <w:rPr>
          <w:rFonts w:asciiTheme="majorHAnsi" w:hAnsiTheme="majorHAnsi"/>
          <w:sz w:val="20"/>
          <w:szCs w:val="20"/>
          <w:lang w:val="es-UY"/>
        </w:rPr>
        <w:t xml:space="preserve"> I</w:t>
      </w:r>
      <w:r w:rsidRPr="00D8219A">
        <w:rPr>
          <w:rFonts w:asciiTheme="majorHAnsi" w:hAnsiTheme="majorHAnsi"/>
          <w:sz w:val="20"/>
          <w:szCs w:val="20"/>
          <w:lang w:val="es-UY"/>
        </w:rPr>
        <w:t xml:space="preserve"> de la Declaración Americana.</w:t>
      </w:r>
    </w:p>
    <w:p w14:paraId="5CFEC6F5" w14:textId="77777777" w:rsidR="008C0C39" w:rsidRPr="00D8219A" w:rsidRDefault="00D74D51" w:rsidP="008C0C39">
      <w:pPr>
        <w:rPr>
          <w:rFonts w:asciiTheme="majorHAnsi" w:eastAsiaTheme="majorEastAsia" w:hAnsiTheme="majorHAnsi" w:cstheme="majorBidi"/>
          <w:b/>
          <w:bCs/>
          <w:sz w:val="20"/>
          <w:szCs w:val="20"/>
          <w:lang w:val="es-UY"/>
        </w:rPr>
      </w:pPr>
      <w:bookmarkStart w:id="30" w:name="_Toc535334407"/>
      <w:r w:rsidRPr="00D8219A">
        <w:rPr>
          <w:rFonts w:asciiTheme="majorHAnsi" w:eastAsiaTheme="majorEastAsia" w:hAnsiTheme="majorHAnsi" w:cstheme="majorBidi"/>
          <w:b/>
          <w:bCs/>
          <w:sz w:val="20"/>
          <w:szCs w:val="20"/>
          <w:lang w:val="es-UY"/>
        </w:rPr>
        <w:t xml:space="preserve"> </w:t>
      </w:r>
    </w:p>
    <w:p w14:paraId="352388F6" w14:textId="77777777" w:rsidR="00D9585D" w:rsidRPr="00D8219A" w:rsidRDefault="00D9585D" w:rsidP="008C0C39">
      <w:pPr>
        <w:pStyle w:val="Heading1"/>
        <w:keepNext w:val="0"/>
        <w:keepLines w:val="0"/>
        <w:numPr>
          <w:ilvl w:val="0"/>
          <w:numId w:val="55"/>
        </w:numPr>
        <w:suppressAutoHyphens/>
        <w:spacing w:before="0"/>
        <w:ind w:left="360" w:hanging="360"/>
        <w:rPr>
          <w:color w:val="auto"/>
          <w:sz w:val="20"/>
          <w:szCs w:val="20"/>
          <w:lang w:val="es-US"/>
        </w:rPr>
      </w:pPr>
      <w:bookmarkStart w:id="31" w:name="_Toc69212256"/>
      <w:r w:rsidRPr="00D8219A">
        <w:rPr>
          <w:color w:val="auto"/>
          <w:sz w:val="20"/>
          <w:szCs w:val="20"/>
          <w:lang w:val="es-US"/>
        </w:rPr>
        <w:t>ACCIONES SUBSIGUIENTES AL INFORME No. 153/19</w:t>
      </w:r>
      <w:bookmarkEnd w:id="31"/>
    </w:p>
    <w:p w14:paraId="2F4A04AF" w14:textId="77777777" w:rsidR="00D9585D" w:rsidRPr="00D8219A" w:rsidRDefault="00D9585D" w:rsidP="00D9585D">
      <w:pPr>
        <w:rPr>
          <w:lang w:val="es-US"/>
        </w:rPr>
      </w:pPr>
    </w:p>
    <w:p w14:paraId="45A273B5" w14:textId="77777777" w:rsidR="00D9585D" w:rsidRPr="00D8219A" w:rsidRDefault="00D9585D" w:rsidP="00E9350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Theme="majorHAnsi" w:hAnsiTheme="majorHAnsi"/>
          <w:sz w:val="20"/>
          <w:szCs w:val="20"/>
          <w:lang w:val="es-UY"/>
        </w:rPr>
      </w:pPr>
      <w:r w:rsidRPr="00D8219A">
        <w:rPr>
          <w:rFonts w:asciiTheme="majorHAnsi" w:hAnsiTheme="majorHAnsi"/>
          <w:sz w:val="20"/>
          <w:szCs w:val="20"/>
          <w:lang w:val="es-UY"/>
        </w:rPr>
        <w:t xml:space="preserve">El </w:t>
      </w:r>
      <w:r w:rsidR="00E9350D" w:rsidRPr="00D8219A">
        <w:rPr>
          <w:rFonts w:asciiTheme="majorHAnsi" w:hAnsiTheme="majorHAnsi"/>
          <w:sz w:val="20"/>
          <w:szCs w:val="20"/>
          <w:lang w:val="es-UY"/>
        </w:rPr>
        <w:t xml:space="preserve">28 de septiembre de 2019, la Comisión adoptó el Informe No. 153/19 sobre la admisibilidad y fondo del presente caso, el cual incluye los párrafos 1 a 73 </w:t>
      </w:r>
      <w:r w:rsidR="00E9350D" w:rsidRPr="00D8219A">
        <w:rPr>
          <w:rFonts w:asciiTheme="majorHAnsi" w:hAnsiTheme="majorHAnsi"/>
          <w:i/>
          <w:sz w:val="20"/>
          <w:szCs w:val="20"/>
          <w:lang w:val="es-UY"/>
        </w:rPr>
        <w:t>supra</w:t>
      </w:r>
      <w:r w:rsidR="00E9350D" w:rsidRPr="00D8219A">
        <w:rPr>
          <w:rFonts w:asciiTheme="majorHAnsi" w:hAnsiTheme="majorHAnsi"/>
          <w:sz w:val="20"/>
          <w:szCs w:val="20"/>
          <w:lang w:val="es-UY"/>
        </w:rPr>
        <w:t>, y emitió las siguientes recomendaciones al Estado:</w:t>
      </w:r>
    </w:p>
    <w:p w14:paraId="043DC132" w14:textId="77777777" w:rsidR="00E9350D" w:rsidRPr="00D8219A" w:rsidRDefault="00E9350D" w:rsidP="00D9585D">
      <w:pPr>
        <w:rPr>
          <w:sz w:val="20"/>
          <w:szCs w:val="20"/>
          <w:lang w:val="es-US"/>
        </w:rPr>
      </w:pPr>
    </w:p>
    <w:p w14:paraId="502957DB" w14:textId="77777777" w:rsidR="00E9350D" w:rsidRPr="00D8219A" w:rsidRDefault="00E9350D" w:rsidP="00E9350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asciiTheme="majorHAnsi" w:eastAsia="Times New Roman" w:hAnsiTheme="majorHAnsi" w:cs="Tahoma"/>
          <w:sz w:val="20"/>
          <w:szCs w:val="20"/>
          <w:bdr w:val="none" w:sz="0" w:space="0" w:color="auto"/>
          <w:lang w:val="es-UY"/>
        </w:rPr>
      </w:pPr>
      <w:r w:rsidRPr="00D8219A">
        <w:rPr>
          <w:rFonts w:asciiTheme="majorHAnsi" w:eastAsia="Times New Roman" w:hAnsiTheme="majorHAnsi" w:cs="Tahoma"/>
          <w:sz w:val="20"/>
          <w:szCs w:val="20"/>
          <w:bdr w:val="none" w:sz="0" w:space="0" w:color="auto"/>
          <w:lang w:val="es-UY"/>
        </w:rPr>
        <w:t xml:space="preserve">Otorgar a </w:t>
      </w:r>
      <w:r w:rsidRPr="00D8219A">
        <w:rPr>
          <w:rFonts w:asciiTheme="majorHAnsi" w:hAnsiTheme="majorHAnsi"/>
          <w:color w:val="000000" w:themeColor="text1"/>
          <w:sz w:val="20"/>
          <w:szCs w:val="20"/>
          <w:lang w:val="es-UY"/>
        </w:rPr>
        <w:t>Nelson Iván Serrano Sáenz</w:t>
      </w:r>
      <w:r w:rsidRPr="00D8219A">
        <w:rPr>
          <w:rFonts w:asciiTheme="majorHAnsi" w:eastAsia="Times New Roman" w:hAnsiTheme="majorHAnsi" w:cs="Tahoma"/>
          <w:sz w:val="20"/>
          <w:szCs w:val="20"/>
          <w:bdr w:val="none" w:sz="0" w:space="0" w:color="auto"/>
          <w:lang w:val="es-UY"/>
        </w:rPr>
        <w:t xml:space="preserve"> una reparación efectiva, que incluya la revisión de su juicio y sentencia, realizada conforme a las garantías de un proceso regular y del debido proceso enunciadas en los artículos </w:t>
      </w:r>
      <w:r w:rsidRPr="00D8219A">
        <w:rPr>
          <w:rFonts w:asciiTheme="majorHAnsi" w:hAnsiTheme="majorHAnsi"/>
          <w:color w:val="000000" w:themeColor="text1"/>
          <w:sz w:val="20"/>
          <w:szCs w:val="20"/>
          <w:lang w:val="es-UY"/>
        </w:rPr>
        <w:t xml:space="preserve">XVIII, XXV y XXVI </w:t>
      </w:r>
      <w:r w:rsidRPr="00D8219A">
        <w:rPr>
          <w:rFonts w:asciiTheme="majorHAnsi" w:eastAsia="Times New Roman" w:hAnsiTheme="majorHAnsi" w:cs="Tahoma"/>
          <w:sz w:val="20"/>
          <w:szCs w:val="20"/>
          <w:bdr w:val="none" w:sz="0" w:space="0" w:color="auto"/>
          <w:lang w:val="es-UY"/>
        </w:rPr>
        <w:t xml:space="preserve">de la Declaración Americana, y el pago de una indemnización pecuniaria. </w:t>
      </w:r>
      <w:r w:rsidRPr="00D8219A">
        <w:rPr>
          <w:rFonts w:asciiTheme="majorHAnsi" w:hAnsiTheme="majorHAnsi" w:cs="Arial"/>
          <w:color w:val="auto"/>
          <w:sz w:val="20"/>
          <w:szCs w:val="20"/>
          <w:lang w:val="es-UY"/>
        </w:rPr>
        <w:t xml:space="preserve">Teniendo en cuenta las conclusiones de la CIDH sobre el tiempo en que </w:t>
      </w:r>
      <w:r w:rsidRPr="00D8219A">
        <w:rPr>
          <w:rFonts w:asciiTheme="majorHAnsi" w:hAnsiTheme="majorHAnsi"/>
          <w:color w:val="000000" w:themeColor="text1"/>
          <w:sz w:val="20"/>
          <w:szCs w:val="20"/>
          <w:lang w:val="es-UY"/>
        </w:rPr>
        <w:t>Nelson Iván Serrano Sáenz ha estado confinado en el corredor de la muerte</w:t>
      </w:r>
      <w:r w:rsidRPr="00D8219A">
        <w:rPr>
          <w:rFonts w:asciiTheme="majorHAnsi" w:hAnsiTheme="majorHAnsi" w:cs="Arial"/>
          <w:color w:val="auto"/>
          <w:sz w:val="20"/>
          <w:szCs w:val="20"/>
          <w:lang w:val="es-UY"/>
        </w:rPr>
        <w:t>, la Comisión recomienda la conmutación de su sentencia condenatoria.</w:t>
      </w:r>
    </w:p>
    <w:p w14:paraId="5D1C4B57" w14:textId="77777777" w:rsidR="00E9350D" w:rsidRPr="00D8219A" w:rsidRDefault="00E9350D" w:rsidP="00E9350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asciiTheme="majorHAnsi" w:eastAsia="Times New Roman" w:hAnsiTheme="majorHAnsi" w:cs="Tahoma"/>
          <w:sz w:val="20"/>
          <w:szCs w:val="20"/>
          <w:bdr w:val="none" w:sz="0" w:space="0" w:color="auto"/>
          <w:lang w:val="es-UY"/>
        </w:rPr>
      </w:pPr>
    </w:p>
    <w:p w14:paraId="21834031" w14:textId="77777777" w:rsidR="00E9350D" w:rsidRPr="00D8219A" w:rsidRDefault="00E9350D" w:rsidP="00E9350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asciiTheme="majorHAnsi" w:eastAsia="Times New Roman" w:hAnsiTheme="majorHAnsi" w:cs="Tahoma"/>
          <w:sz w:val="20"/>
          <w:szCs w:val="20"/>
          <w:bdr w:val="none" w:sz="0" w:space="0" w:color="auto"/>
          <w:lang w:val="es-UY"/>
        </w:rPr>
      </w:pPr>
      <w:r w:rsidRPr="00D8219A">
        <w:rPr>
          <w:rFonts w:asciiTheme="majorHAnsi" w:hAnsiTheme="majorHAnsi"/>
          <w:sz w:val="20"/>
          <w:lang w:val="es-UY"/>
        </w:rPr>
        <w:t xml:space="preserve">Revisar sus leyes, procedimientos y prácticas a nivel estatal y, de ser aplicable, a nivel federal para asegurar que las personas acusadas de delitos capitales sean juzgadas, y, si fueran declaradas culpables, sean condenadas, de conformidad con los derechos establecidos en la Declaración Americana, incluidos los enunciados en los artículos I, XVIII, XXV y XXVI de la misma, y en especial, que los acusados que residan en el exterior, sean llevados a Estados Unidos en observancia de las garantías del debido proceso, y que se respeten las garantías diplomáticas de no aplicación de la pena de muerte.  </w:t>
      </w:r>
    </w:p>
    <w:p w14:paraId="43426DBE" w14:textId="77777777" w:rsidR="00E9350D" w:rsidRPr="00D8219A" w:rsidRDefault="00E9350D" w:rsidP="00E9350D">
      <w:pPr>
        <w:pStyle w:val="ListParagraph"/>
        <w:rPr>
          <w:rFonts w:asciiTheme="majorHAnsi" w:eastAsia="Times New Roman" w:hAnsiTheme="majorHAnsi" w:cs="Tahoma"/>
          <w:sz w:val="20"/>
          <w:szCs w:val="20"/>
          <w:bdr w:val="none" w:sz="0" w:space="0" w:color="auto"/>
          <w:lang w:val="es-UY"/>
        </w:rPr>
      </w:pPr>
    </w:p>
    <w:p w14:paraId="6678F8F9" w14:textId="77777777" w:rsidR="00E9350D" w:rsidRPr="00D8219A" w:rsidRDefault="00E9350D" w:rsidP="00E9350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asciiTheme="majorHAnsi" w:eastAsia="Times New Roman" w:hAnsiTheme="majorHAnsi" w:cs="Tahoma"/>
          <w:sz w:val="20"/>
          <w:szCs w:val="20"/>
          <w:bdr w:val="none" w:sz="0" w:space="0" w:color="auto"/>
          <w:lang w:val="es-UY"/>
        </w:rPr>
      </w:pPr>
      <w:r w:rsidRPr="00D8219A">
        <w:rPr>
          <w:rFonts w:asciiTheme="majorHAnsi" w:eastAsia="Times New Roman" w:hAnsiTheme="majorHAnsi" w:cs="Tahoma"/>
          <w:sz w:val="20"/>
          <w:szCs w:val="20"/>
          <w:bdr w:val="none" w:sz="0" w:space="0" w:color="auto"/>
          <w:lang w:val="es-UY"/>
        </w:rPr>
        <w:t>Asegurar que las condiciones en el corredor de la muerte sean compatibles con las normas internacionales de derechos humanos, de conformidad con el derecho a la protección contra los castigos crueles, infamantes o inusuales.</w:t>
      </w:r>
    </w:p>
    <w:p w14:paraId="49F45853" w14:textId="77777777" w:rsidR="00E9350D" w:rsidRPr="00D8219A" w:rsidRDefault="00E9350D" w:rsidP="00E9350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asciiTheme="majorHAnsi" w:eastAsia="Times New Roman" w:hAnsiTheme="majorHAnsi" w:cs="Tahoma"/>
          <w:sz w:val="20"/>
          <w:szCs w:val="20"/>
          <w:bdr w:val="none" w:sz="0" w:space="0" w:color="auto"/>
          <w:lang w:val="es-UY"/>
        </w:rPr>
      </w:pPr>
    </w:p>
    <w:p w14:paraId="3DED4943" w14:textId="77777777" w:rsidR="00E9350D" w:rsidRPr="00D8219A" w:rsidRDefault="00E9350D" w:rsidP="00E9350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asciiTheme="majorHAnsi" w:eastAsia="Times New Roman" w:hAnsiTheme="majorHAnsi" w:cs="Tahoma"/>
          <w:sz w:val="20"/>
          <w:szCs w:val="20"/>
          <w:bdr w:val="none" w:sz="0" w:space="0" w:color="auto"/>
          <w:lang w:val="es-UY"/>
        </w:rPr>
      </w:pPr>
      <w:r w:rsidRPr="00D8219A">
        <w:rPr>
          <w:rFonts w:asciiTheme="majorHAnsi" w:hAnsiTheme="majorHAnsi"/>
          <w:sz w:val="20"/>
          <w:lang w:val="es-UY"/>
        </w:rPr>
        <w:t>Dadas las violaciones de la Declaración Americana constatadas por la CIDH en el presente caso y en otros casos relativos a la aplicación de la pena de muerte, la Comisión Interamericana recomienda asimismo a Estados Unidos que disponga una moratoria de las ejecuciones de personas condenadas a muerte.</w:t>
      </w:r>
      <w:r w:rsidRPr="00D8219A">
        <w:rPr>
          <w:rStyle w:val="FootnoteReference"/>
          <w:rFonts w:asciiTheme="majorHAnsi" w:hAnsiTheme="majorHAnsi"/>
          <w:sz w:val="20"/>
        </w:rPr>
        <w:footnoteReference w:id="56"/>
      </w:r>
    </w:p>
    <w:p w14:paraId="53205266" w14:textId="77777777" w:rsidR="00E9350D" w:rsidRPr="00D8219A" w:rsidRDefault="00E9350D" w:rsidP="00D9585D">
      <w:pPr>
        <w:rPr>
          <w:rFonts w:asciiTheme="majorHAnsi" w:hAnsiTheme="majorHAnsi"/>
          <w:sz w:val="20"/>
          <w:szCs w:val="20"/>
          <w:lang w:val="es-UY"/>
        </w:rPr>
      </w:pPr>
    </w:p>
    <w:p w14:paraId="1A0602B3" w14:textId="77777777" w:rsidR="00E9350D" w:rsidRPr="00D8219A" w:rsidRDefault="00E9350D" w:rsidP="00E9350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Theme="majorHAnsi" w:hAnsiTheme="majorHAnsi"/>
          <w:sz w:val="20"/>
          <w:szCs w:val="20"/>
          <w:lang w:val="es-UY"/>
        </w:rPr>
      </w:pPr>
      <w:r w:rsidRPr="00D8219A">
        <w:rPr>
          <w:rFonts w:asciiTheme="majorHAnsi" w:hAnsiTheme="majorHAnsi"/>
          <w:sz w:val="20"/>
          <w:szCs w:val="20"/>
          <w:lang w:val="es-UY"/>
        </w:rPr>
        <w:t>El 21 de noviembre de 2019, la Comisión transmitió el informe al Estado con un plazo de dos meses para informar a la Comisión Interamericana sobre las medidas adoptadas para cumplir con sus recomendaciones. Ese mismo día la CIDH notificó a la parte peticionaria sobre la adopción del informe. A la fecha, la CIDH no ha recibido respuesta de los Estados Unidos sobre el Informe No. 153/19.</w:t>
      </w:r>
    </w:p>
    <w:p w14:paraId="73A2593A" w14:textId="77777777" w:rsidR="00D9585D" w:rsidRPr="00D8219A" w:rsidRDefault="00D9585D" w:rsidP="00D9585D">
      <w:pPr>
        <w:rPr>
          <w:lang w:val="es-US"/>
        </w:rPr>
      </w:pPr>
    </w:p>
    <w:p w14:paraId="3645FBDC" w14:textId="77777777" w:rsidR="007C39B8" w:rsidRPr="00A12FE2" w:rsidRDefault="007C39B8" w:rsidP="007C39B8">
      <w:pPr>
        <w:pStyle w:val="Heading1"/>
        <w:keepNext w:val="0"/>
        <w:keepLines w:val="0"/>
        <w:numPr>
          <w:ilvl w:val="0"/>
          <w:numId w:val="55"/>
        </w:numPr>
        <w:suppressAutoHyphens/>
        <w:spacing w:before="0"/>
        <w:ind w:left="540" w:hanging="540"/>
        <w:rPr>
          <w:color w:val="auto"/>
          <w:sz w:val="20"/>
          <w:szCs w:val="20"/>
          <w:lang w:val="es-ES"/>
        </w:rPr>
      </w:pPr>
      <w:bookmarkStart w:id="32" w:name="_Toc69212257"/>
      <w:r w:rsidRPr="00A12FE2">
        <w:rPr>
          <w:color w:val="auto"/>
          <w:sz w:val="20"/>
          <w:szCs w:val="20"/>
          <w:lang w:val="es-ES"/>
        </w:rPr>
        <w:t>ACCIONES POSTERIORES AL INFORME No. 24/20</w:t>
      </w:r>
      <w:bookmarkEnd w:id="32"/>
    </w:p>
    <w:p w14:paraId="35DBEF14" w14:textId="77777777" w:rsidR="007C39B8" w:rsidRPr="00A12FE2" w:rsidRDefault="007C39B8" w:rsidP="00775C7E">
      <w:pPr>
        <w:pStyle w:val="Heading1"/>
        <w:keepNext w:val="0"/>
        <w:keepLines w:val="0"/>
        <w:numPr>
          <w:ilvl w:val="0"/>
          <w:numId w:val="0"/>
        </w:numPr>
        <w:suppressAutoHyphens/>
        <w:spacing w:before="0"/>
        <w:jc w:val="both"/>
        <w:rPr>
          <w:rFonts w:eastAsia="Arial Unicode MS" w:cs="Times New Roman"/>
          <w:b w:val="0"/>
          <w:bCs w:val="0"/>
          <w:color w:val="auto"/>
          <w:sz w:val="20"/>
          <w:szCs w:val="20"/>
          <w:lang w:val="es-UY"/>
        </w:rPr>
      </w:pPr>
    </w:p>
    <w:p w14:paraId="516FA908" w14:textId="77777777" w:rsidR="00775C7E" w:rsidRPr="00A12FE2" w:rsidRDefault="00775C7E" w:rsidP="00775C7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Theme="majorHAnsi" w:hAnsiTheme="majorHAnsi"/>
          <w:sz w:val="20"/>
          <w:szCs w:val="20"/>
          <w:lang w:val="es-UY"/>
        </w:rPr>
      </w:pPr>
      <w:r w:rsidRPr="00A12FE2">
        <w:rPr>
          <w:rFonts w:asciiTheme="majorHAnsi" w:hAnsiTheme="majorHAnsi"/>
          <w:sz w:val="20"/>
          <w:szCs w:val="20"/>
          <w:lang w:val="es-UY"/>
        </w:rPr>
        <w:t>El 22 de abril de 2020, la C</w:t>
      </w:r>
      <w:r w:rsidR="00574B5D" w:rsidRPr="00A12FE2">
        <w:rPr>
          <w:rFonts w:asciiTheme="majorHAnsi" w:hAnsiTheme="majorHAnsi"/>
          <w:sz w:val="20"/>
          <w:szCs w:val="20"/>
          <w:lang w:val="es-UY"/>
        </w:rPr>
        <w:t xml:space="preserve">omisión aprobó el Informe </w:t>
      </w:r>
      <w:r w:rsidRPr="00A12FE2">
        <w:rPr>
          <w:rFonts w:asciiTheme="majorHAnsi" w:hAnsiTheme="majorHAnsi"/>
          <w:sz w:val="20"/>
          <w:szCs w:val="20"/>
          <w:lang w:val="es-UY"/>
        </w:rPr>
        <w:t xml:space="preserve">de </w:t>
      </w:r>
      <w:r w:rsidR="00574B5D" w:rsidRPr="00A12FE2">
        <w:rPr>
          <w:rFonts w:asciiTheme="majorHAnsi" w:hAnsiTheme="majorHAnsi"/>
          <w:sz w:val="20"/>
          <w:szCs w:val="20"/>
          <w:lang w:val="es-UY"/>
        </w:rPr>
        <w:t>Fondo</w:t>
      </w:r>
      <w:r w:rsidRPr="00A12FE2">
        <w:rPr>
          <w:rFonts w:asciiTheme="majorHAnsi" w:hAnsiTheme="majorHAnsi"/>
          <w:sz w:val="20"/>
          <w:szCs w:val="20"/>
          <w:lang w:val="es-UY"/>
        </w:rPr>
        <w:t xml:space="preserve"> </w:t>
      </w:r>
      <w:r w:rsidR="00574B5D" w:rsidRPr="00A12FE2">
        <w:rPr>
          <w:rFonts w:asciiTheme="majorHAnsi" w:hAnsiTheme="majorHAnsi"/>
          <w:sz w:val="20"/>
          <w:szCs w:val="20"/>
          <w:lang w:val="es-UY"/>
        </w:rPr>
        <w:t xml:space="preserve">Final </w:t>
      </w:r>
      <w:r w:rsidRPr="00A12FE2">
        <w:rPr>
          <w:rFonts w:asciiTheme="majorHAnsi" w:hAnsiTheme="majorHAnsi"/>
          <w:sz w:val="20"/>
          <w:szCs w:val="20"/>
          <w:lang w:val="es-UY"/>
        </w:rPr>
        <w:t xml:space="preserve">Nº 24/20, que abarca los párrafos 1 a 75 </w:t>
      </w:r>
      <w:r w:rsidRPr="00A12FE2">
        <w:rPr>
          <w:rFonts w:asciiTheme="majorHAnsi" w:hAnsiTheme="majorHAnsi"/>
          <w:i/>
          <w:sz w:val="20"/>
          <w:szCs w:val="20"/>
          <w:lang w:val="es-UY"/>
        </w:rPr>
        <w:t>supra</w:t>
      </w:r>
      <w:r w:rsidRPr="00A12FE2">
        <w:rPr>
          <w:rFonts w:asciiTheme="majorHAnsi" w:hAnsiTheme="majorHAnsi"/>
          <w:sz w:val="20"/>
          <w:szCs w:val="20"/>
          <w:lang w:val="es-UY"/>
        </w:rPr>
        <w:t xml:space="preserve">, y emitió sus conclusiones y recomendaciones finales al Estado. El 24 de abril de 2020, la Comisión remitió el informe al Estado y </w:t>
      </w:r>
      <w:r w:rsidR="00574B5D" w:rsidRPr="00A12FE2">
        <w:rPr>
          <w:rFonts w:asciiTheme="majorHAnsi" w:hAnsiTheme="majorHAnsi"/>
          <w:sz w:val="20"/>
          <w:szCs w:val="20"/>
          <w:lang w:val="es-UY"/>
        </w:rPr>
        <w:t>a la parte peticionaria</w:t>
      </w:r>
      <w:r w:rsidRPr="00A12FE2">
        <w:rPr>
          <w:rFonts w:asciiTheme="majorHAnsi" w:hAnsiTheme="majorHAnsi"/>
          <w:sz w:val="20"/>
          <w:szCs w:val="20"/>
          <w:lang w:val="es-UY"/>
        </w:rPr>
        <w:t xml:space="preserve"> con un plazo de un mes para informar a la Comisión Interamericana sobre las medidas adoptadas para cumplir con sus recomendaciones. El 22 de junio de 2020, la CIDH recibió las observaciones </w:t>
      </w:r>
      <w:r w:rsidR="00574B5D" w:rsidRPr="00A12FE2">
        <w:rPr>
          <w:rFonts w:asciiTheme="majorHAnsi" w:hAnsiTheme="majorHAnsi"/>
          <w:sz w:val="20"/>
          <w:szCs w:val="20"/>
          <w:lang w:val="es-UY"/>
        </w:rPr>
        <w:t>la parte peticionaria</w:t>
      </w:r>
      <w:r w:rsidRPr="00A12FE2">
        <w:rPr>
          <w:rFonts w:asciiTheme="majorHAnsi" w:hAnsiTheme="majorHAnsi"/>
          <w:sz w:val="20"/>
          <w:szCs w:val="20"/>
          <w:lang w:val="es-UY"/>
        </w:rPr>
        <w:t>. Hasta la fecha, la CIDH no ha recibido ninguna respuesta de los Estados Unidos en relación con el Informe No. 24/20.</w:t>
      </w:r>
    </w:p>
    <w:p w14:paraId="43B47EC8" w14:textId="77777777" w:rsidR="00775C7E" w:rsidRPr="00A12FE2" w:rsidRDefault="00775C7E" w:rsidP="00775C7E">
      <w:pPr>
        <w:pStyle w:val="Heading1"/>
        <w:numPr>
          <w:ilvl w:val="0"/>
          <w:numId w:val="0"/>
        </w:numPr>
        <w:suppressAutoHyphens/>
        <w:spacing w:before="0"/>
        <w:ind w:left="360"/>
        <w:jc w:val="both"/>
        <w:rPr>
          <w:rFonts w:eastAsia="Arial Unicode MS" w:cs="Times New Roman"/>
          <w:b w:val="0"/>
          <w:bCs w:val="0"/>
          <w:color w:val="auto"/>
          <w:sz w:val="20"/>
          <w:szCs w:val="20"/>
          <w:lang w:val="es-UY"/>
        </w:rPr>
      </w:pPr>
    </w:p>
    <w:p w14:paraId="7E70A78D" w14:textId="77777777" w:rsidR="007C39B8" w:rsidRPr="00A12FE2" w:rsidRDefault="00574B5D" w:rsidP="00775C7E">
      <w:pPr>
        <w:pStyle w:val="parrafos"/>
        <w:ind w:left="0" w:firstLine="0"/>
        <w:rPr>
          <w:lang w:val="es-UY"/>
        </w:rPr>
      </w:pPr>
      <w:r w:rsidRPr="00A12FE2">
        <w:rPr>
          <w:lang w:val="es-UY"/>
        </w:rPr>
        <w:t>La parte peticionaria</w:t>
      </w:r>
      <w:r w:rsidR="00775C7E" w:rsidRPr="00A12FE2">
        <w:rPr>
          <w:lang w:val="es-UY"/>
        </w:rPr>
        <w:t xml:space="preserve"> informa que la Corte Suprema de Florida emitió una decisión en 2020 que pone en duda la decisión de Hurst v. State. </w:t>
      </w:r>
      <w:r w:rsidRPr="00A12FE2">
        <w:rPr>
          <w:lang w:val="es-UY"/>
        </w:rPr>
        <w:t>I</w:t>
      </w:r>
      <w:r w:rsidR="00775C7E" w:rsidRPr="00A12FE2">
        <w:rPr>
          <w:lang w:val="es-UY"/>
        </w:rPr>
        <w:t xml:space="preserve">ndica que en el caso State v. Poole, </w:t>
      </w:r>
      <w:r w:rsidRPr="00A12FE2">
        <w:rPr>
          <w:lang w:val="es-UY"/>
        </w:rPr>
        <w:t>la Corte Suprema</w:t>
      </w:r>
      <w:r w:rsidR="00775C7E" w:rsidRPr="00A12FE2">
        <w:rPr>
          <w:lang w:val="es-UY"/>
        </w:rPr>
        <w:t xml:space="preserve"> de Florida detalló lo que consideró que eran varios errores en el caso de Hurst v. State, sosteniendo que la selección por un jurado de si condenar a un acusado a cadena perpetua o a muerte ". . . no es un 'hecho' que exponga al acusado a un castigo mayor que el autorizado por el veredicto de culpabilidad del jurado, no es un elemento. Y como no es un elemento, no es necesario someterlo a un jurado". Según </w:t>
      </w:r>
      <w:r w:rsidRPr="00A12FE2">
        <w:rPr>
          <w:lang w:val="es-UY"/>
        </w:rPr>
        <w:t>la parte peticionaria</w:t>
      </w:r>
      <w:r w:rsidR="00775C7E" w:rsidRPr="00A12FE2">
        <w:rPr>
          <w:lang w:val="es-UY"/>
        </w:rPr>
        <w:t xml:space="preserve">, </w:t>
      </w:r>
      <w:r w:rsidRPr="00A12FE2">
        <w:rPr>
          <w:lang w:val="es-UY"/>
        </w:rPr>
        <w:t>la Corte</w:t>
      </w:r>
      <w:r w:rsidR="00775C7E" w:rsidRPr="00A12FE2">
        <w:rPr>
          <w:lang w:val="es-UY"/>
        </w:rPr>
        <w:t xml:space="preserve"> declaró además ". . . para que no haya dudas, sostenemos que la prohibición de castigos crueles e inusuales de nuestra constitución estatal, artículo I, sección 17, no requiere una recomendación unánime del jurado - o cualquier recomendación del jurado - antes de que se pueda imponer una sentencia de muerte". </w:t>
      </w:r>
      <w:r w:rsidR="007C39B8" w:rsidRPr="00A12FE2">
        <w:rPr>
          <w:lang w:val="es-UY"/>
        </w:rPr>
        <w:t xml:space="preserve"> </w:t>
      </w:r>
    </w:p>
    <w:p w14:paraId="42D8D7D0" w14:textId="77777777" w:rsidR="00775C7E" w:rsidRPr="00A12FE2" w:rsidRDefault="00775C7E" w:rsidP="00775C7E">
      <w:pPr>
        <w:pStyle w:val="ListParagraph"/>
        <w:rPr>
          <w:sz w:val="20"/>
          <w:szCs w:val="20"/>
          <w:lang w:val="es-UY"/>
        </w:rPr>
      </w:pPr>
    </w:p>
    <w:p w14:paraId="13DC2FB1" w14:textId="77777777" w:rsidR="00775C7E" w:rsidRPr="00A12FE2" w:rsidRDefault="00574B5D" w:rsidP="00775C7E">
      <w:pPr>
        <w:pStyle w:val="parrafos"/>
        <w:ind w:left="0" w:firstLine="0"/>
        <w:rPr>
          <w:lang w:val="es-UY"/>
        </w:rPr>
      </w:pPr>
      <w:r w:rsidRPr="00A12FE2">
        <w:rPr>
          <w:lang w:val="es-UY"/>
        </w:rPr>
        <w:t>Asimismo</w:t>
      </w:r>
      <w:r w:rsidR="00775C7E" w:rsidRPr="00A12FE2">
        <w:rPr>
          <w:lang w:val="es-UY"/>
        </w:rPr>
        <w:t xml:space="preserve">, </w:t>
      </w:r>
      <w:r w:rsidRPr="00A12FE2">
        <w:rPr>
          <w:lang w:val="es-UY"/>
        </w:rPr>
        <w:t>la parte peticionaria</w:t>
      </w:r>
      <w:r w:rsidR="00775C7E" w:rsidRPr="00A12FE2">
        <w:rPr>
          <w:lang w:val="es-UY"/>
        </w:rPr>
        <w:t xml:space="preserve"> afirma que las graves consecuenc</w:t>
      </w:r>
      <w:r w:rsidRPr="00A12FE2">
        <w:rPr>
          <w:lang w:val="es-UY"/>
        </w:rPr>
        <w:t>ias a las que se enfrenta el señor</w:t>
      </w:r>
      <w:r w:rsidR="00775C7E" w:rsidRPr="00A12FE2">
        <w:rPr>
          <w:lang w:val="es-UY"/>
        </w:rPr>
        <w:t xml:space="preserve"> Serrano a la luz de esta revocación se ponen de manifiesto en las audiencias </w:t>
      </w:r>
      <w:r w:rsidRPr="00A12FE2">
        <w:rPr>
          <w:lang w:val="es-UY"/>
        </w:rPr>
        <w:t>de la Corte Suprema</w:t>
      </w:r>
      <w:r w:rsidR="00775C7E" w:rsidRPr="00A12FE2">
        <w:rPr>
          <w:lang w:val="es-UY"/>
        </w:rPr>
        <w:t xml:space="preserve"> de Florida, celebradas en junio de 2020, para restablecer las sentencias de muerte de dos acusados cuyas sentencias habían sido anuladas anteriormente tras la decisión del caso Hurst v. el Estado.</w:t>
      </w:r>
    </w:p>
    <w:p w14:paraId="011E46B6" w14:textId="77777777" w:rsidR="007C39B8" w:rsidRPr="00A12FE2" w:rsidRDefault="007C39B8" w:rsidP="007C39B8">
      <w:pPr>
        <w:pStyle w:val="Heading1"/>
        <w:keepNext w:val="0"/>
        <w:keepLines w:val="0"/>
        <w:numPr>
          <w:ilvl w:val="0"/>
          <w:numId w:val="0"/>
        </w:numPr>
        <w:suppressAutoHyphens/>
        <w:spacing w:before="0"/>
        <w:ind w:left="360"/>
        <w:rPr>
          <w:color w:val="auto"/>
          <w:sz w:val="20"/>
          <w:szCs w:val="20"/>
          <w:lang w:val="es-ES"/>
        </w:rPr>
      </w:pPr>
    </w:p>
    <w:p w14:paraId="018B6A72" w14:textId="77777777" w:rsidR="008C0C39" w:rsidRPr="00A12FE2" w:rsidRDefault="008C0C39" w:rsidP="007C39B8">
      <w:pPr>
        <w:pStyle w:val="Heading1"/>
        <w:keepNext w:val="0"/>
        <w:keepLines w:val="0"/>
        <w:numPr>
          <w:ilvl w:val="0"/>
          <w:numId w:val="55"/>
        </w:numPr>
        <w:suppressAutoHyphens/>
        <w:spacing w:before="0"/>
        <w:ind w:left="540" w:hanging="540"/>
        <w:rPr>
          <w:color w:val="auto"/>
          <w:sz w:val="20"/>
          <w:szCs w:val="20"/>
        </w:rPr>
      </w:pPr>
      <w:bookmarkStart w:id="33" w:name="_Toc69212258"/>
      <w:r w:rsidRPr="00A12FE2">
        <w:rPr>
          <w:color w:val="auto"/>
          <w:sz w:val="20"/>
          <w:szCs w:val="20"/>
        </w:rPr>
        <w:t>CONCLUSIONES Y RECOMENDACIONES</w:t>
      </w:r>
      <w:bookmarkEnd w:id="30"/>
      <w:r w:rsidR="00DC2601" w:rsidRPr="00A12FE2">
        <w:rPr>
          <w:color w:val="auto"/>
          <w:sz w:val="20"/>
          <w:szCs w:val="20"/>
        </w:rPr>
        <w:t xml:space="preserve"> FINALES:</w:t>
      </w:r>
      <w:bookmarkEnd w:id="33"/>
    </w:p>
    <w:p w14:paraId="5C7F3EFA" w14:textId="77777777" w:rsidR="008C0C39" w:rsidRPr="00A12FE2" w:rsidRDefault="008C0C39" w:rsidP="008C0C39">
      <w:pPr>
        <w:suppressAutoHyphens/>
        <w:ind w:left="1440" w:hanging="720"/>
        <w:rPr>
          <w:rFonts w:asciiTheme="majorHAnsi" w:hAnsiTheme="majorHAnsi"/>
          <w:b/>
          <w:sz w:val="20"/>
          <w:szCs w:val="20"/>
        </w:rPr>
      </w:pPr>
    </w:p>
    <w:p w14:paraId="189FDE91" w14:textId="77777777" w:rsidR="00151FA0" w:rsidRPr="00A12FE2" w:rsidRDefault="00151FA0" w:rsidP="00151FA0">
      <w:pPr>
        <w:pStyle w:val="parrafos"/>
        <w:ind w:left="0" w:firstLine="0"/>
        <w:rPr>
          <w:color w:val="auto"/>
          <w:lang w:val="es-UY"/>
        </w:rPr>
      </w:pPr>
      <w:r w:rsidRPr="00A12FE2">
        <w:rPr>
          <w:color w:val="auto"/>
          <w:lang w:val="es-UY"/>
        </w:rPr>
        <w:t>Como se indica en el presente informe, tras la decisión del caso Hurst v</w:t>
      </w:r>
      <w:r w:rsidR="00574B5D" w:rsidRPr="00A12FE2">
        <w:rPr>
          <w:color w:val="auto"/>
          <w:lang w:val="es-UY"/>
        </w:rPr>
        <w:t>. el Estado, el señor</w:t>
      </w:r>
      <w:r w:rsidRPr="00A12FE2">
        <w:rPr>
          <w:color w:val="auto"/>
          <w:lang w:val="es-UY"/>
        </w:rPr>
        <w:t xml:space="preserve"> Serrano enmendó la apelación de su condena a la pena de muerte, dado que había sido condenado a muerte por un voto del jurado de 9 a 3 en 2007. La CIDH considera que </w:t>
      </w:r>
      <w:r w:rsidR="00574B5D" w:rsidRPr="00A12FE2">
        <w:rPr>
          <w:color w:val="auto"/>
          <w:lang w:val="es-UY"/>
        </w:rPr>
        <w:t xml:space="preserve">la decisión </w:t>
      </w:r>
      <w:r w:rsidRPr="00A12FE2">
        <w:rPr>
          <w:color w:val="auto"/>
          <w:lang w:val="es-UY"/>
        </w:rPr>
        <w:t>emitid</w:t>
      </w:r>
      <w:r w:rsidR="00574B5D" w:rsidRPr="00A12FE2">
        <w:rPr>
          <w:color w:val="auto"/>
          <w:lang w:val="es-UY"/>
        </w:rPr>
        <w:t>a por 4-1</w:t>
      </w:r>
      <w:r w:rsidRPr="00A12FE2">
        <w:rPr>
          <w:color w:val="auto"/>
          <w:lang w:val="es-UY"/>
        </w:rPr>
        <w:t xml:space="preserve"> el 23 de enero de 2020 por </w:t>
      </w:r>
      <w:r w:rsidR="00574B5D" w:rsidRPr="00A12FE2">
        <w:rPr>
          <w:color w:val="auto"/>
          <w:lang w:val="es-UY"/>
        </w:rPr>
        <w:t xml:space="preserve">la Corte </w:t>
      </w:r>
      <w:r w:rsidRPr="00A12FE2">
        <w:rPr>
          <w:color w:val="auto"/>
          <w:lang w:val="es-UY"/>
        </w:rPr>
        <w:t>Supre</w:t>
      </w:r>
      <w:r w:rsidR="00574B5D" w:rsidRPr="00A12FE2">
        <w:rPr>
          <w:color w:val="auto"/>
          <w:lang w:val="es-UY"/>
        </w:rPr>
        <w:t>ma</w:t>
      </w:r>
      <w:r w:rsidRPr="00A12FE2">
        <w:rPr>
          <w:color w:val="auto"/>
          <w:lang w:val="es-UY"/>
        </w:rPr>
        <w:t xml:space="preserve"> de Florida en el caso State v. Poole crea incertidumbre sobre la situación de la apelación del </w:t>
      </w:r>
      <w:r w:rsidR="00574B5D" w:rsidRPr="00A12FE2">
        <w:rPr>
          <w:color w:val="auto"/>
          <w:lang w:val="es-UY"/>
        </w:rPr>
        <w:t>señor</w:t>
      </w:r>
      <w:r w:rsidRPr="00A12FE2">
        <w:rPr>
          <w:color w:val="auto"/>
          <w:lang w:val="es-UY"/>
        </w:rPr>
        <w:t xml:space="preserve"> Serrano, ya que aún no se ha programado una nueva audiencia de sentencia.</w:t>
      </w:r>
    </w:p>
    <w:p w14:paraId="482A0E75" w14:textId="77777777" w:rsidR="00151FA0" w:rsidRPr="00A12FE2" w:rsidRDefault="00151FA0" w:rsidP="00151FA0">
      <w:pPr>
        <w:pStyle w:val="parrafos"/>
        <w:numPr>
          <w:ilvl w:val="0"/>
          <w:numId w:val="0"/>
        </w:numPr>
        <w:rPr>
          <w:color w:val="auto"/>
          <w:lang w:val="es-UY"/>
        </w:rPr>
      </w:pPr>
    </w:p>
    <w:p w14:paraId="107977AC" w14:textId="77777777" w:rsidR="00151FA0" w:rsidRPr="00A12FE2" w:rsidRDefault="00151FA0" w:rsidP="00151FA0">
      <w:pPr>
        <w:pStyle w:val="parrafos"/>
        <w:ind w:left="0" w:firstLine="0"/>
        <w:rPr>
          <w:color w:val="auto"/>
          <w:lang w:val="es-UY"/>
        </w:rPr>
      </w:pPr>
      <w:r w:rsidRPr="00A12FE2">
        <w:rPr>
          <w:color w:val="auto"/>
          <w:lang w:val="es-UY"/>
        </w:rPr>
        <w:t>La CIDH también señala que, según la Asociación Americana de Abogados “cada estado con pena de muerte -excepto Alabama- así como el sistema federal de pena de muerte requiere que el jurado recomiende unánimemente una sentencia de muerte”</w:t>
      </w:r>
      <w:r w:rsidRPr="00A12FE2">
        <w:rPr>
          <w:rStyle w:val="FootnoteReference"/>
          <w:color w:val="auto"/>
          <w:lang w:val="es-UY"/>
        </w:rPr>
        <w:footnoteReference w:id="57"/>
      </w:r>
      <w:r w:rsidRPr="00A12FE2">
        <w:rPr>
          <w:color w:val="auto"/>
          <w:lang w:val="es-UY"/>
        </w:rPr>
        <w:t>.  Además, en su disidencia en Poole, el juez Jorge Labarga subrayó esta discrepancia, escribiendo que Florida había vuelto “a su condición de absoluto atípico entre las jurisdicciones de este país que utilizan la pena de muerte. La mayoría da luz verde para volver a una práctica que no sólo es inconsistente con las leyes de todos los estados, excepto uno de los 29 que mantienen la pena de muerte, sino que también es inconsistente con la ley que rige la pena de muerte federal”.</w:t>
      </w:r>
    </w:p>
    <w:p w14:paraId="1EF0BACF" w14:textId="77777777" w:rsidR="00151FA0" w:rsidRPr="00A12FE2" w:rsidRDefault="00151FA0" w:rsidP="00151FA0">
      <w:pPr>
        <w:pStyle w:val="parrafos"/>
        <w:numPr>
          <w:ilvl w:val="0"/>
          <w:numId w:val="0"/>
        </w:numPr>
        <w:rPr>
          <w:color w:val="auto"/>
          <w:lang w:val="es-UY"/>
        </w:rPr>
      </w:pPr>
    </w:p>
    <w:p w14:paraId="143B48F4" w14:textId="77777777" w:rsidR="00151FA0" w:rsidRPr="00A12FE2" w:rsidRDefault="00151FA0" w:rsidP="00151FA0">
      <w:pPr>
        <w:pStyle w:val="parrafos"/>
        <w:ind w:left="0" w:firstLine="0"/>
        <w:rPr>
          <w:color w:val="auto"/>
          <w:lang w:val="es-UY"/>
        </w:rPr>
      </w:pPr>
      <w:r w:rsidRPr="00A12FE2">
        <w:rPr>
          <w:color w:val="auto"/>
          <w:lang w:val="es-UY"/>
        </w:rPr>
        <w:t xml:space="preserve">La Asociación de Abogados de los Estados Unidos también expresó su preocupación respecto de la creación de varias distinciones arbitrarias entre </w:t>
      </w:r>
      <w:r w:rsidR="00574B5D" w:rsidRPr="00A12FE2">
        <w:rPr>
          <w:color w:val="auto"/>
          <w:lang w:val="es-UY"/>
        </w:rPr>
        <w:t>quienes</w:t>
      </w:r>
      <w:r w:rsidRPr="00A12FE2">
        <w:rPr>
          <w:color w:val="auto"/>
          <w:lang w:val="es-UY"/>
        </w:rPr>
        <w:t xml:space="preserve"> pueden obtener </w:t>
      </w:r>
      <w:r w:rsidR="00574B5D" w:rsidRPr="00A12FE2">
        <w:rPr>
          <w:color w:val="auto"/>
          <w:lang w:val="es-UY"/>
        </w:rPr>
        <w:t>la anulación</w:t>
      </w:r>
      <w:r w:rsidRPr="00A12FE2">
        <w:rPr>
          <w:color w:val="auto"/>
          <w:lang w:val="es-UY"/>
        </w:rPr>
        <w:t xml:space="preserve"> de las sentencias de muerte no unánimes y los que no pueden. A este respecto, la ABA señaló lo siguiente:</w:t>
      </w:r>
      <w:r w:rsidRPr="00A12FE2">
        <w:rPr>
          <w:rStyle w:val="FootnoteReference"/>
          <w:color w:val="auto"/>
          <w:lang w:val="es-UY"/>
        </w:rPr>
        <w:footnoteReference w:id="58"/>
      </w:r>
    </w:p>
    <w:p w14:paraId="416A837F" w14:textId="77777777" w:rsidR="00151FA0" w:rsidRPr="00A12FE2" w:rsidRDefault="00151FA0" w:rsidP="00151FA0">
      <w:pPr>
        <w:pStyle w:val="parrafos"/>
        <w:numPr>
          <w:ilvl w:val="0"/>
          <w:numId w:val="0"/>
        </w:numPr>
        <w:rPr>
          <w:color w:val="auto"/>
          <w:lang w:val="es-UY"/>
        </w:rPr>
      </w:pPr>
    </w:p>
    <w:p w14:paraId="2E436439" w14:textId="77777777" w:rsidR="00151FA0" w:rsidRPr="00A12FE2" w:rsidRDefault="00151FA0" w:rsidP="00151FA0">
      <w:pPr>
        <w:pStyle w:val="parrafos"/>
        <w:numPr>
          <w:ilvl w:val="0"/>
          <w:numId w:val="0"/>
        </w:numPr>
        <w:ind w:left="360" w:right="360"/>
        <w:rPr>
          <w:color w:val="auto"/>
          <w:sz w:val="18"/>
          <w:szCs w:val="18"/>
          <w:lang w:val="es-UY"/>
        </w:rPr>
      </w:pPr>
      <w:r w:rsidRPr="00A12FE2">
        <w:rPr>
          <w:color w:val="auto"/>
          <w:sz w:val="18"/>
          <w:szCs w:val="18"/>
          <w:lang w:val="es-UY"/>
        </w:rPr>
        <w:t>Algun</w:t>
      </w:r>
      <w:r w:rsidR="00574B5D" w:rsidRPr="00A12FE2">
        <w:rPr>
          <w:color w:val="auto"/>
          <w:sz w:val="18"/>
          <w:szCs w:val="18"/>
          <w:lang w:val="es-UY"/>
        </w:rPr>
        <w:t>as personas ya han tenido sus sentencias anuladas por</w:t>
      </w:r>
      <w:r w:rsidRPr="00A12FE2">
        <w:rPr>
          <w:color w:val="auto"/>
          <w:sz w:val="18"/>
          <w:szCs w:val="18"/>
          <w:lang w:val="es-UY"/>
        </w:rPr>
        <w:t xml:space="preserve"> Hurst y han sido condenad</w:t>
      </w:r>
      <w:r w:rsidR="00574B5D" w:rsidRPr="00A12FE2">
        <w:rPr>
          <w:color w:val="auto"/>
          <w:sz w:val="18"/>
          <w:szCs w:val="18"/>
          <w:lang w:val="es-UY"/>
        </w:rPr>
        <w:t>a</w:t>
      </w:r>
      <w:r w:rsidRPr="00A12FE2">
        <w:rPr>
          <w:color w:val="auto"/>
          <w:sz w:val="18"/>
          <w:szCs w:val="18"/>
          <w:lang w:val="es-UY"/>
        </w:rPr>
        <w:t>s de nuevo; otr</w:t>
      </w:r>
      <w:r w:rsidR="00574B5D" w:rsidRPr="00A12FE2">
        <w:rPr>
          <w:color w:val="auto"/>
          <w:sz w:val="18"/>
          <w:szCs w:val="18"/>
          <w:lang w:val="es-UY"/>
        </w:rPr>
        <w:t>a</w:t>
      </w:r>
      <w:r w:rsidRPr="00A12FE2">
        <w:rPr>
          <w:color w:val="auto"/>
          <w:sz w:val="18"/>
          <w:szCs w:val="18"/>
          <w:lang w:val="es-UY"/>
        </w:rPr>
        <w:t xml:space="preserve">s estaban a punto de comenzar las audiencias de nueva condena cuando se decidió </w:t>
      </w:r>
      <w:r w:rsidR="00574B5D" w:rsidRPr="00A12FE2">
        <w:rPr>
          <w:color w:val="auto"/>
          <w:sz w:val="18"/>
          <w:szCs w:val="18"/>
          <w:lang w:val="es-UY"/>
        </w:rPr>
        <w:t>el caso</w:t>
      </w:r>
      <w:r w:rsidRPr="00A12FE2">
        <w:rPr>
          <w:color w:val="auto"/>
          <w:sz w:val="18"/>
          <w:szCs w:val="18"/>
          <w:lang w:val="es-UY"/>
        </w:rPr>
        <w:t xml:space="preserve"> Poole; y otr</w:t>
      </w:r>
      <w:r w:rsidR="00574B5D" w:rsidRPr="00A12FE2">
        <w:rPr>
          <w:color w:val="auto"/>
          <w:sz w:val="18"/>
          <w:szCs w:val="18"/>
          <w:lang w:val="es-UY"/>
        </w:rPr>
        <w:t>a</w:t>
      </w:r>
      <w:r w:rsidRPr="00A12FE2">
        <w:rPr>
          <w:color w:val="auto"/>
          <w:sz w:val="18"/>
          <w:szCs w:val="18"/>
          <w:lang w:val="es-UY"/>
        </w:rPr>
        <w:t xml:space="preserve">s esperaban su turno mientras los tribunales </w:t>
      </w:r>
      <w:r w:rsidR="00574B5D" w:rsidRPr="00A12FE2">
        <w:rPr>
          <w:color w:val="auto"/>
          <w:sz w:val="18"/>
          <w:szCs w:val="18"/>
          <w:lang w:val="es-UY"/>
        </w:rPr>
        <w:t>examinaban</w:t>
      </w:r>
      <w:r w:rsidRPr="00A12FE2">
        <w:rPr>
          <w:color w:val="auto"/>
          <w:sz w:val="18"/>
          <w:szCs w:val="18"/>
          <w:lang w:val="es-UY"/>
        </w:rPr>
        <w:t xml:space="preserve"> los expedientes judiciales. El hecho de que un</w:t>
      </w:r>
      <w:r w:rsidR="00574B5D" w:rsidRPr="00A12FE2">
        <w:rPr>
          <w:color w:val="auto"/>
          <w:sz w:val="18"/>
          <w:szCs w:val="18"/>
          <w:lang w:val="es-UY"/>
        </w:rPr>
        <w:t>a persona</w:t>
      </w:r>
      <w:r w:rsidRPr="00A12FE2">
        <w:rPr>
          <w:color w:val="auto"/>
          <w:sz w:val="18"/>
          <w:szCs w:val="18"/>
          <w:lang w:val="es-UY"/>
        </w:rPr>
        <w:t xml:space="preserve"> en particular entre dentro de estas categorías es en gran medida una cuestión de suerte, influenciado por factores tales como retrasos en el tiempo, enfermedades de los funcionarios de los tribunales y otras cuestiones que están fuera del control de los prisioneros y que no están relacionadas con la naturaleza del caso criminal subyacente.</w:t>
      </w:r>
    </w:p>
    <w:p w14:paraId="6A68A450" w14:textId="77777777" w:rsidR="00151FA0" w:rsidRPr="00A12FE2" w:rsidRDefault="00151FA0" w:rsidP="00151FA0">
      <w:pPr>
        <w:pStyle w:val="parrafos"/>
        <w:numPr>
          <w:ilvl w:val="0"/>
          <w:numId w:val="0"/>
        </w:numPr>
        <w:rPr>
          <w:color w:val="auto"/>
          <w:lang w:val="es-UY"/>
        </w:rPr>
      </w:pPr>
    </w:p>
    <w:p w14:paraId="4B748773" w14:textId="77777777" w:rsidR="00151FA0" w:rsidRPr="00A12FE2" w:rsidRDefault="00151FA0" w:rsidP="00151FA0">
      <w:pPr>
        <w:pStyle w:val="parrafos"/>
        <w:ind w:left="0" w:firstLine="0"/>
        <w:rPr>
          <w:color w:val="auto"/>
          <w:lang w:val="es-UY"/>
        </w:rPr>
      </w:pPr>
      <w:r w:rsidRPr="00A12FE2">
        <w:rPr>
          <w:color w:val="auto"/>
          <w:lang w:val="es-UY"/>
        </w:rPr>
        <w:t>La Comisión observa a este respecto que la audiencia de nueva</w:t>
      </w:r>
      <w:r w:rsidR="00574B5D" w:rsidRPr="00A12FE2">
        <w:rPr>
          <w:color w:val="auto"/>
          <w:lang w:val="es-UY"/>
        </w:rPr>
        <w:t xml:space="preserve"> condena del señor</w:t>
      </w:r>
      <w:r w:rsidRPr="00A12FE2">
        <w:rPr>
          <w:color w:val="auto"/>
          <w:lang w:val="es-UY"/>
        </w:rPr>
        <w:t xml:space="preserve"> Serrano se ha reprogramado repetidamente desde 2017. Por lo tanto, por razones </w:t>
      </w:r>
      <w:r w:rsidR="00574B5D" w:rsidRPr="00A12FE2">
        <w:rPr>
          <w:color w:val="auto"/>
          <w:lang w:val="es-UY"/>
        </w:rPr>
        <w:t>que escapan a su control, el señor</w:t>
      </w:r>
      <w:r w:rsidRPr="00A12FE2">
        <w:rPr>
          <w:color w:val="auto"/>
          <w:lang w:val="es-UY"/>
        </w:rPr>
        <w:t xml:space="preserve"> Serrano ha caído arbitrariamente en la categoría de </w:t>
      </w:r>
      <w:r w:rsidR="00574B5D" w:rsidRPr="00A12FE2">
        <w:rPr>
          <w:color w:val="auto"/>
          <w:lang w:val="es-UY"/>
        </w:rPr>
        <w:t>personas</w:t>
      </w:r>
      <w:r w:rsidRPr="00A12FE2">
        <w:rPr>
          <w:color w:val="auto"/>
          <w:lang w:val="es-UY"/>
        </w:rPr>
        <w:t xml:space="preserve"> que estaban a punto de comenzar las audiencias de nueva condena y que podrían no obtener </w:t>
      </w:r>
      <w:r w:rsidR="00574B5D" w:rsidRPr="00A12FE2">
        <w:rPr>
          <w:color w:val="auto"/>
          <w:lang w:val="es-UY"/>
        </w:rPr>
        <w:t>la anulación</w:t>
      </w:r>
      <w:r w:rsidRPr="00A12FE2">
        <w:rPr>
          <w:color w:val="auto"/>
          <w:lang w:val="es-UY"/>
        </w:rPr>
        <w:t xml:space="preserve"> de la pena de muerte no unánime</w:t>
      </w:r>
      <w:r w:rsidR="00574B5D" w:rsidRPr="00A12FE2">
        <w:rPr>
          <w:color w:val="auto"/>
          <w:lang w:val="es-UY"/>
        </w:rPr>
        <w:t xml:space="preserve">, tras </w:t>
      </w:r>
      <w:r w:rsidRPr="00A12FE2">
        <w:rPr>
          <w:color w:val="auto"/>
          <w:lang w:val="es-UY"/>
        </w:rPr>
        <w:t xml:space="preserve">la </w:t>
      </w:r>
      <w:r w:rsidR="00574B5D" w:rsidRPr="00A12FE2">
        <w:rPr>
          <w:color w:val="auto"/>
          <w:lang w:val="es-UY"/>
        </w:rPr>
        <w:t>decisión</w:t>
      </w:r>
      <w:r w:rsidRPr="00A12FE2">
        <w:rPr>
          <w:color w:val="auto"/>
          <w:lang w:val="es-UY"/>
        </w:rPr>
        <w:t xml:space="preserve"> de la Corte Suprema de Florida.</w:t>
      </w:r>
    </w:p>
    <w:p w14:paraId="507D2051" w14:textId="77777777" w:rsidR="00151FA0" w:rsidRPr="00A12FE2" w:rsidRDefault="00151FA0" w:rsidP="00151FA0">
      <w:pPr>
        <w:pStyle w:val="parrafos"/>
        <w:numPr>
          <w:ilvl w:val="0"/>
          <w:numId w:val="0"/>
        </w:numPr>
        <w:rPr>
          <w:color w:val="auto"/>
          <w:lang w:val="es-UY"/>
        </w:rPr>
      </w:pPr>
    </w:p>
    <w:p w14:paraId="6B4D9F96" w14:textId="77777777" w:rsidR="00151FA0" w:rsidRPr="00A12FE2" w:rsidRDefault="00655254" w:rsidP="00151FA0">
      <w:pPr>
        <w:pStyle w:val="parrafos"/>
        <w:ind w:left="0" w:firstLine="0"/>
        <w:rPr>
          <w:color w:val="auto"/>
          <w:lang w:val="es-UY"/>
        </w:rPr>
      </w:pPr>
      <w:r w:rsidRPr="00A12FE2">
        <w:rPr>
          <w:color w:val="auto"/>
          <w:lang w:val="es-UY"/>
        </w:rPr>
        <w:t xml:space="preserve">Por lo tanto, </w:t>
      </w:r>
      <w:r w:rsidR="00574B5D" w:rsidRPr="00A12FE2">
        <w:rPr>
          <w:color w:val="auto"/>
          <w:lang w:val="es-UY"/>
        </w:rPr>
        <w:t>teniendo en cuenta dicha</w:t>
      </w:r>
      <w:r w:rsidR="00151FA0" w:rsidRPr="00A12FE2">
        <w:rPr>
          <w:color w:val="auto"/>
          <w:lang w:val="es-UY"/>
        </w:rPr>
        <w:t xml:space="preserve"> información, la Comisión considera que la decisión </w:t>
      </w:r>
      <w:r w:rsidR="00574B5D" w:rsidRPr="00A12FE2">
        <w:rPr>
          <w:color w:val="auto"/>
          <w:lang w:val="es-UY"/>
        </w:rPr>
        <w:t>de la Corte Suprema</w:t>
      </w:r>
      <w:r w:rsidR="00151FA0" w:rsidRPr="00A12FE2">
        <w:rPr>
          <w:color w:val="auto"/>
          <w:lang w:val="es-UY"/>
        </w:rPr>
        <w:t xml:space="preserve"> de Florida en el caso Poole crea una mayor incer</w:t>
      </w:r>
      <w:r w:rsidR="00574B5D" w:rsidRPr="00A12FE2">
        <w:rPr>
          <w:color w:val="auto"/>
          <w:lang w:val="es-UY"/>
        </w:rPr>
        <w:t>tidumbre en la situación del señor</w:t>
      </w:r>
      <w:r w:rsidR="00151FA0" w:rsidRPr="00A12FE2">
        <w:rPr>
          <w:color w:val="auto"/>
          <w:lang w:val="es-UY"/>
        </w:rPr>
        <w:t xml:space="preserve"> Serrano respecto a sus posibilidades de </w:t>
      </w:r>
      <w:r w:rsidR="00574B5D" w:rsidRPr="00A12FE2">
        <w:rPr>
          <w:color w:val="auto"/>
          <w:lang w:val="es-UY"/>
        </w:rPr>
        <w:t>recibir una nueva</w:t>
      </w:r>
      <w:r w:rsidR="00151FA0" w:rsidRPr="00A12FE2">
        <w:rPr>
          <w:color w:val="auto"/>
          <w:lang w:val="es-UY"/>
        </w:rPr>
        <w:t xml:space="preserve"> condenad</w:t>
      </w:r>
      <w:r w:rsidR="00574B5D" w:rsidRPr="00A12FE2">
        <w:rPr>
          <w:color w:val="auto"/>
          <w:lang w:val="es-UY"/>
        </w:rPr>
        <w:t>a</w:t>
      </w:r>
      <w:r w:rsidR="00151FA0" w:rsidRPr="00A12FE2">
        <w:rPr>
          <w:color w:val="auto"/>
          <w:lang w:val="es-UY"/>
        </w:rPr>
        <w:t xml:space="preserve"> de conformidad con las garantías de un juicio justo y el debido proceso.</w:t>
      </w:r>
    </w:p>
    <w:p w14:paraId="1BF0275E" w14:textId="77777777" w:rsidR="00151FA0" w:rsidRDefault="00151FA0" w:rsidP="00151FA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Theme="majorHAnsi" w:hAnsiTheme="majorHAnsi"/>
          <w:sz w:val="20"/>
          <w:szCs w:val="20"/>
          <w:lang w:val="es-UY"/>
        </w:rPr>
      </w:pPr>
    </w:p>
    <w:p w14:paraId="67230DF3" w14:textId="77777777" w:rsidR="008C0C39" w:rsidRPr="00D8219A" w:rsidRDefault="00D45808" w:rsidP="00E9350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ind w:left="0" w:firstLine="0"/>
        <w:jc w:val="both"/>
        <w:rPr>
          <w:rFonts w:asciiTheme="majorHAnsi" w:hAnsiTheme="majorHAnsi"/>
          <w:sz w:val="20"/>
          <w:szCs w:val="20"/>
          <w:lang w:val="es-UY"/>
        </w:rPr>
      </w:pPr>
      <w:r w:rsidRPr="00D8219A">
        <w:rPr>
          <w:rFonts w:asciiTheme="majorHAnsi" w:hAnsiTheme="majorHAnsi"/>
          <w:sz w:val="20"/>
          <w:szCs w:val="20"/>
          <w:lang w:val="es-UY"/>
        </w:rPr>
        <w:t>Con base en sus determinaciones de hecho y derecho,</w:t>
      </w:r>
      <w:r w:rsidR="008C0C39" w:rsidRPr="00D8219A">
        <w:rPr>
          <w:rFonts w:asciiTheme="majorHAnsi" w:hAnsiTheme="majorHAnsi"/>
          <w:sz w:val="20"/>
          <w:szCs w:val="20"/>
          <w:lang w:val="es-UY"/>
        </w:rPr>
        <w:t xml:space="preserve"> la Comisión Interamericana concluye que el Estado es responsable de la violación de los </w:t>
      </w:r>
      <w:r w:rsidR="00B002F7" w:rsidRPr="00D8219A">
        <w:rPr>
          <w:rFonts w:asciiTheme="majorHAnsi" w:hAnsiTheme="majorHAnsi"/>
          <w:sz w:val="20"/>
          <w:szCs w:val="20"/>
          <w:lang w:val="es-UY"/>
        </w:rPr>
        <w:t>artículo</w:t>
      </w:r>
      <w:r w:rsidR="008C0C39" w:rsidRPr="00D8219A">
        <w:rPr>
          <w:rFonts w:asciiTheme="majorHAnsi" w:hAnsiTheme="majorHAnsi"/>
          <w:sz w:val="20"/>
          <w:szCs w:val="20"/>
          <w:lang w:val="es-UY"/>
        </w:rPr>
        <w:t xml:space="preserve">s I (vida, libertad y seguridad), XVIII (justicia), XXV (protección contra la detención arbitraria) y XXVI (proceso regular) de la Declaración Americana. </w:t>
      </w:r>
    </w:p>
    <w:p w14:paraId="46DB0416" w14:textId="77777777" w:rsidR="00D74D51" w:rsidRPr="00D8219A" w:rsidRDefault="008C0C39" w:rsidP="008C0C39">
      <w:pPr>
        <w:tabs>
          <w:tab w:val="left" w:pos="360"/>
        </w:tabs>
        <w:jc w:val="both"/>
        <w:rPr>
          <w:rFonts w:asciiTheme="majorHAnsi" w:hAnsiTheme="majorHAnsi"/>
          <w:b/>
          <w:sz w:val="20"/>
          <w:szCs w:val="20"/>
          <w:lang w:val="es-UY"/>
        </w:rPr>
      </w:pPr>
      <w:r w:rsidRPr="00D8219A">
        <w:rPr>
          <w:rFonts w:asciiTheme="majorHAnsi" w:hAnsiTheme="majorHAnsi"/>
          <w:b/>
          <w:sz w:val="20"/>
          <w:szCs w:val="20"/>
          <w:lang w:val="es-UY"/>
        </w:rPr>
        <w:tab/>
      </w:r>
    </w:p>
    <w:p w14:paraId="5B388D8B" w14:textId="77777777" w:rsidR="008C0C39" w:rsidRPr="00D8219A" w:rsidRDefault="008C0C39" w:rsidP="00E9350D">
      <w:pPr>
        <w:tabs>
          <w:tab w:val="left" w:pos="360"/>
        </w:tabs>
        <w:jc w:val="both"/>
        <w:rPr>
          <w:rFonts w:asciiTheme="majorHAnsi" w:hAnsiTheme="majorHAnsi"/>
          <w:b/>
          <w:sz w:val="20"/>
          <w:szCs w:val="20"/>
          <w:lang w:val="es-UY"/>
        </w:rPr>
      </w:pPr>
      <w:r w:rsidRPr="00D8219A">
        <w:rPr>
          <w:rFonts w:asciiTheme="majorHAnsi" w:hAnsiTheme="majorHAnsi"/>
          <w:b/>
          <w:sz w:val="20"/>
          <w:szCs w:val="20"/>
          <w:lang w:val="es-UY"/>
        </w:rPr>
        <w:t>LA COMISIÓN INTERAMERICANA DE DER</w:t>
      </w:r>
      <w:r w:rsidR="002F3BA5" w:rsidRPr="00D8219A">
        <w:rPr>
          <w:rFonts w:asciiTheme="majorHAnsi" w:hAnsiTheme="majorHAnsi"/>
          <w:b/>
          <w:sz w:val="20"/>
          <w:szCs w:val="20"/>
          <w:lang w:val="es-UY"/>
        </w:rPr>
        <w:t xml:space="preserve">ECHOS HUMANOS </w:t>
      </w:r>
      <w:r w:rsidR="00E9350D" w:rsidRPr="00D8219A">
        <w:rPr>
          <w:rFonts w:asciiTheme="majorHAnsi" w:hAnsiTheme="majorHAnsi"/>
          <w:b/>
          <w:sz w:val="20"/>
          <w:szCs w:val="20"/>
          <w:lang w:val="es-UY"/>
        </w:rPr>
        <w:t>REITERA</w:t>
      </w:r>
      <w:r w:rsidR="002F3BA5" w:rsidRPr="00D8219A">
        <w:rPr>
          <w:rFonts w:asciiTheme="majorHAnsi" w:hAnsiTheme="majorHAnsi"/>
          <w:b/>
          <w:sz w:val="20"/>
          <w:szCs w:val="20"/>
          <w:lang w:val="es-UY"/>
        </w:rPr>
        <w:t xml:space="preserve"> </w:t>
      </w:r>
      <w:r w:rsidR="00D45808" w:rsidRPr="00D8219A">
        <w:rPr>
          <w:rFonts w:asciiTheme="majorHAnsi" w:hAnsiTheme="majorHAnsi"/>
          <w:b/>
          <w:sz w:val="20"/>
          <w:szCs w:val="20"/>
          <w:lang w:val="es-UY"/>
        </w:rPr>
        <w:t>A</w:t>
      </w:r>
      <w:r w:rsidRPr="00D8219A">
        <w:rPr>
          <w:rFonts w:asciiTheme="majorHAnsi" w:hAnsiTheme="majorHAnsi"/>
          <w:b/>
          <w:sz w:val="20"/>
          <w:szCs w:val="20"/>
          <w:lang w:val="es-UY"/>
        </w:rPr>
        <w:t xml:space="preserve"> ESTADOS UNIDOS DE AMÉRICA</w:t>
      </w:r>
      <w:r w:rsidR="00D45808" w:rsidRPr="00D8219A">
        <w:rPr>
          <w:rFonts w:asciiTheme="majorHAnsi" w:hAnsiTheme="majorHAnsi"/>
          <w:b/>
          <w:sz w:val="20"/>
          <w:szCs w:val="20"/>
          <w:lang w:val="es-UY"/>
        </w:rPr>
        <w:t>:</w:t>
      </w:r>
    </w:p>
    <w:p w14:paraId="239AE743" w14:textId="77777777" w:rsidR="008C0C39" w:rsidRPr="00D8219A" w:rsidRDefault="008C0C39" w:rsidP="008C0C39">
      <w:pPr>
        <w:ind w:firstLine="720"/>
        <w:jc w:val="both"/>
        <w:rPr>
          <w:rFonts w:asciiTheme="majorHAnsi" w:hAnsiTheme="majorHAnsi"/>
          <w:b/>
          <w:sz w:val="20"/>
          <w:szCs w:val="20"/>
          <w:lang w:val="es-UY"/>
        </w:rPr>
      </w:pPr>
    </w:p>
    <w:p w14:paraId="08A6C00C" w14:textId="77777777" w:rsidR="008C0C39" w:rsidRPr="00D8219A" w:rsidRDefault="008C0C39" w:rsidP="00C243B4">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asciiTheme="majorHAnsi" w:eastAsia="Times New Roman" w:hAnsiTheme="majorHAnsi" w:cs="Tahoma"/>
          <w:sz w:val="20"/>
          <w:szCs w:val="20"/>
          <w:bdr w:val="none" w:sz="0" w:space="0" w:color="auto"/>
          <w:lang w:val="es-UY"/>
        </w:rPr>
      </w:pPr>
      <w:r w:rsidRPr="00D8219A">
        <w:rPr>
          <w:rFonts w:asciiTheme="majorHAnsi" w:eastAsia="Times New Roman" w:hAnsiTheme="majorHAnsi" w:cs="Tahoma"/>
          <w:sz w:val="20"/>
          <w:szCs w:val="20"/>
          <w:bdr w:val="none" w:sz="0" w:space="0" w:color="auto"/>
          <w:lang w:val="es-UY"/>
        </w:rPr>
        <w:t>Otorg</w:t>
      </w:r>
      <w:r w:rsidR="00D45808" w:rsidRPr="00D8219A">
        <w:rPr>
          <w:rFonts w:asciiTheme="majorHAnsi" w:eastAsia="Times New Roman" w:hAnsiTheme="majorHAnsi" w:cs="Tahoma"/>
          <w:sz w:val="20"/>
          <w:szCs w:val="20"/>
          <w:bdr w:val="none" w:sz="0" w:space="0" w:color="auto"/>
          <w:lang w:val="es-UY"/>
        </w:rPr>
        <w:t>ar</w:t>
      </w:r>
      <w:r w:rsidRPr="00D8219A">
        <w:rPr>
          <w:rFonts w:asciiTheme="majorHAnsi" w:eastAsia="Times New Roman" w:hAnsiTheme="majorHAnsi" w:cs="Tahoma"/>
          <w:sz w:val="20"/>
          <w:szCs w:val="20"/>
          <w:bdr w:val="none" w:sz="0" w:space="0" w:color="auto"/>
          <w:lang w:val="es-UY"/>
        </w:rPr>
        <w:t xml:space="preserve"> a </w:t>
      </w:r>
      <w:r w:rsidRPr="00D8219A">
        <w:rPr>
          <w:rFonts w:asciiTheme="majorHAnsi" w:hAnsiTheme="majorHAnsi"/>
          <w:color w:val="000000" w:themeColor="text1"/>
          <w:sz w:val="20"/>
          <w:szCs w:val="20"/>
          <w:lang w:val="es-UY"/>
        </w:rPr>
        <w:t>Nelson Iván Serrano Sáenz</w:t>
      </w:r>
      <w:r w:rsidRPr="00D8219A">
        <w:rPr>
          <w:rFonts w:asciiTheme="majorHAnsi" w:eastAsia="Times New Roman" w:hAnsiTheme="majorHAnsi" w:cs="Tahoma"/>
          <w:sz w:val="20"/>
          <w:szCs w:val="20"/>
          <w:bdr w:val="none" w:sz="0" w:space="0" w:color="auto"/>
          <w:lang w:val="es-UY"/>
        </w:rPr>
        <w:t xml:space="preserve"> una reparación</w:t>
      </w:r>
      <w:r w:rsidR="00D3031E" w:rsidRPr="00D8219A">
        <w:rPr>
          <w:rFonts w:asciiTheme="majorHAnsi" w:eastAsia="Times New Roman" w:hAnsiTheme="majorHAnsi" w:cs="Tahoma"/>
          <w:sz w:val="20"/>
          <w:szCs w:val="20"/>
          <w:bdr w:val="none" w:sz="0" w:space="0" w:color="auto"/>
          <w:lang w:val="es-UY"/>
        </w:rPr>
        <w:t xml:space="preserve"> efectiva, que incluya</w:t>
      </w:r>
      <w:r w:rsidRPr="00D8219A">
        <w:rPr>
          <w:rFonts w:asciiTheme="majorHAnsi" w:eastAsia="Times New Roman" w:hAnsiTheme="majorHAnsi" w:cs="Tahoma"/>
          <w:sz w:val="20"/>
          <w:szCs w:val="20"/>
          <w:bdr w:val="none" w:sz="0" w:space="0" w:color="auto"/>
          <w:lang w:val="es-UY"/>
        </w:rPr>
        <w:t xml:space="preserve"> la revisión de su juicio y sentencia,</w:t>
      </w:r>
      <w:r w:rsidR="003C2F79" w:rsidRPr="00D8219A">
        <w:rPr>
          <w:rFonts w:asciiTheme="majorHAnsi" w:eastAsia="Times New Roman" w:hAnsiTheme="majorHAnsi" w:cs="Tahoma"/>
          <w:sz w:val="20"/>
          <w:szCs w:val="20"/>
          <w:bdr w:val="none" w:sz="0" w:space="0" w:color="auto"/>
          <w:lang w:val="es-UY"/>
        </w:rPr>
        <w:t xml:space="preserve"> realizada</w:t>
      </w:r>
      <w:r w:rsidRPr="00D8219A">
        <w:rPr>
          <w:rFonts w:asciiTheme="majorHAnsi" w:eastAsia="Times New Roman" w:hAnsiTheme="majorHAnsi" w:cs="Tahoma"/>
          <w:sz w:val="20"/>
          <w:szCs w:val="20"/>
          <w:bdr w:val="none" w:sz="0" w:space="0" w:color="auto"/>
          <w:lang w:val="es-UY"/>
        </w:rPr>
        <w:t xml:space="preserve"> conforme a las garantías de un proceso regula</w:t>
      </w:r>
      <w:r w:rsidR="002F3BA5" w:rsidRPr="00D8219A">
        <w:rPr>
          <w:rFonts w:asciiTheme="majorHAnsi" w:eastAsia="Times New Roman" w:hAnsiTheme="majorHAnsi" w:cs="Tahoma"/>
          <w:sz w:val="20"/>
          <w:szCs w:val="20"/>
          <w:bdr w:val="none" w:sz="0" w:space="0" w:color="auto"/>
          <w:lang w:val="es-UY"/>
        </w:rPr>
        <w:t>r y del debido proceso enunciada</w:t>
      </w:r>
      <w:r w:rsidRPr="00D8219A">
        <w:rPr>
          <w:rFonts w:asciiTheme="majorHAnsi" w:eastAsia="Times New Roman" w:hAnsiTheme="majorHAnsi" w:cs="Tahoma"/>
          <w:sz w:val="20"/>
          <w:szCs w:val="20"/>
          <w:bdr w:val="none" w:sz="0" w:space="0" w:color="auto"/>
          <w:lang w:val="es-UY"/>
        </w:rPr>
        <w:t xml:space="preserve">s en los </w:t>
      </w:r>
      <w:r w:rsidR="00B002F7" w:rsidRPr="00D8219A">
        <w:rPr>
          <w:rFonts w:asciiTheme="majorHAnsi" w:eastAsia="Times New Roman" w:hAnsiTheme="majorHAnsi" w:cs="Tahoma"/>
          <w:sz w:val="20"/>
          <w:szCs w:val="20"/>
          <w:bdr w:val="none" w:sz="0" w:space="0" w:color="auto"/>
          <w:lang w:val="es-UY"/>
        </w:rPr>
        <w:t>artículo</w:t>
      </w:r>
      <w:r w:rsidRPr="00D8219A">
        <w:rPr>
          <w:rFonts w:asciiTheme="majorHAnsi" w:eastAsia="Times New Roman" w:hAnsiTheme="majorHAnsi" w:cs="Tahoma"/>
          <w:sz w:val="20"/>
          <w:szCs w:val="20"/>
          <w:bdr w:val="none" w:sz="0" w:space="0" w:color="auto"/>
          <w:lang w:val="es-UY"/>
        </w:rPr>
        <w:t xml:space="preserve">s </w:t>
      </w:r>
      <w:r w:rsidRPr="00D8219A">
        <w:rPr>
          <w:rFonts w:asciiTheme="majorHAnsi" w:hAnsiTheme="majorHAnsi"/>
          <w:color w:val="000000" w:themeColor="text1"/>
          <w:sz w:val="20"/>
          <w:szCs w:val="20"/>
          <w:lang w:val="es-UY"/>
        </w:rPr>
        <w:t xml:space="preserve">XVIII, XXV y XXVI </w:t>
      </w:r>
      <w:r w:rsidRPr="00D8219A">
        <w:rPr>
          <w:rFonts w:asciiTheme="majorHAnsi" w:eastAsia="Times New Roman" w:hAnsiTheme="majorHAnsi" w:cs="Tahoma"/>
          <w:sz w:val="20"/>
          <w:szCs w:val="20"/>
          <w:bdr w:val="none" w:sz="0" w:space="0" w:color="auto"/>
          <w:lang w:val="es-UY"/>
        </w:rPr>
        <w:t xml:space="preserve">de la Declaración Americana, y el pago de una indemnización pecuniaria. </w:t>
      </w:r>
      <w:r w:rsidRPr="00D8219A">
        <w:rPr>
          <w:rFonts w:asciiTheme="majorHAnsi" w:hAnsiTheme="majorHAnsi" w:cs="Arial"/>
          <w:color w:val="auto"/>
          <w:sz w:val="20"/>
          <w:szCs w:val="20"/>
          <w:lang w:val="es-UY"/>
        </w:rPr>
        <w:t xml:space="preserve">Teniendo en cuenta las conclusiones de la CIDH sobre el </w:t>
      </w:r>
      <w:r w:rsidR="002F5ED4" w:rsidRPr="00D8219A">
        <w:rPr>
          <w:rFonts w:asciiTheme="majorHAnsi" w:hAnsiTheme="majorHAnsi" w:cs="Arial"/>
          <w:color w:val="auto"/>
          <w:sz w:val="20"/>
          <w:szCs w:val="20"/>
          <w:lang w:val="es-UY"/>
        </w:rPr>
        <w:t>tiemp</w:t>
      </w:r>
      <w:r w:rsidRPr="00D8219A">
        <w:rPr>
          <w:rFonts w:asciiTheme="majorHAnsi" w:hAnsiTheme="majorHAnsi" w:cs="Arial"/>
          <w:color w:val="auto"/>
          <w:sz w:val="20"/>
          <w:szCs w:val="20"/>
          <w:lang w:val="es-UY"/>
        </w:rPr>
        <w:t xml:space="preserve">o en que </w:t>
      </w:r>
      <w:r w:rsidRPr="00D8219A">
        <w:rPr>
          <w:rFonts w:asciiTheme="majorHAnsi" w:hAnsiTheme="majorHAnsi"/>
          <w:color w:val="000000" w:themeColor="text1"/>
          <w:sz w:val="20"/>
          <w:szCs w:val="20"/>
          <w:lang w:val="es-UY"/>
        </w:rPr>
        <w:t xml:space="preserve">Nelson Iván Serrano Sáenz ha estado confinado en el </w:t>
      </w:r>
      <w:r w:rsidR="007F3320" w:rsidRPr="00D8219A">
        <w:rPr>
          <w:rFonts w:asciiTheme="majorHAnsi" w:hAnsiTheme="majorHAnsi"/>
          <w:color w:val="000000" w:themeColor="text1"/>
          <w:sz w:val="20"/>
          <w:szCs w:val="20"/>
          <w:lang w:val="es-UY"/>
        </w:rPr>
        <w:t>corredor de la m</w:t>
      </w:r>
      <w:r w:rsidRPr="00D8219A">
        <w:rPr>
          <w:rFonts w:asciiTheme="majorHAnsi" w:hAnsiTheme="majorHAnsi"/>
          <w:color w:val="000000" w:themeColor="text1"/>
          <w:sz w:val="20"/>
          <w:szCs w:val="20"/>
          <w:lang w:val="es-UY"/>
        </w:rPr>
        <w:t>uerte</w:t>
      </w:r>
      <w:r w:rsidRPr="00D8219A">
        <w:rPr>
          <w:rFonts w:asciiTheme="majorHAnsi" w:hAnsiTheme="majorHAnsi" w:cs="Arial"/>
          <w:color w:val="auto"/>
          <w:sz w:val="20"/>
          <w:szCs w:val="20"/>
          <w:lang w:val="es-UY"/>
        </w:rPr>
        <w:t>, la Comisión recomienda la conmutación de su sentencia condenatoria.</w:t>
      </w:r>
    </w:p>
    <w:p w14:paraId="00224383" w14:textId="77777777" w:rsidR="008C0C39" w:rsidRPr="00D8219A" w:rsidRDefault="008C0C39" w:rsidP="00E9350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asciiTheme="majorHAnsi" w:eastAsia="Times New Roman" w:hAnsiTheme="majorHAnsi" w:cs="Tahoma"/>
          <w:sz w:val="20"/>
          <w:szCs w:val="20"/>
          <w:bdr w:val="none" w:sz="0" w:space="0" w:color="auto"/>
          <w:lang w:val="es-UY"/>
        </w:rPr>
      </w:pPr>
    </w:p>
    <w:p w14:paraId="3D84A014" w14:textId="77777777" w:rsidR="008C0C39" w:rsidRPr="00D8219A" w:rsidRDefault="008C0C39" w:rsidP="00C243B4">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asciiTheme="majorHAnsi" w:eastAsia="Times New Roman" w:hAnsiTheme="majorHAnsi" w:cs="Tahoma"/>
          <w:sz w:val="20"/>
          <w:szCs w:val="20"/>
          <w:bdr w:val="none" w:sz="0" w:space="0" w:color="auto"/>
          <w:lang w:val="es-UY"/>
        </w:rPr>
      </w:pPr>
      <w:r w:rsidRPr="00D8219A">
        <w:rPr>
          <w:rFonts w:asciiTheme="majorHAnsi" w:hAnsiTheme="majorHAnsi"/>
          <w:sz w:val="20"/>
          <w:lang w:val="es-UY"/>
        </w:rPr>
        <w:t>Revis</w:t>
      </w:r>
      <w:r w:rsidR="00D45808" w:rsidRPr="00D8219A">
        <w:rPr>
          <w:rFonts w:asciiTheme="majorHAnsi" w:hAnsiTheme="majorHAnsi"/>
          <w:sz w:val="20"/>
          <w:lang w:val="es-UY"/>
        </w:rPr>
        <w:t>ar</w:t>
      </w:r>
      <w:r w:rsidRPr="00D8219A">
        <w:rPr>
          <w:rFonts w:asciiTheme="majorHAnsi" w:hAnsiTheme="majorHAnsi"/>
          <w:sz w:val="20"/>
          <w:lang w:val="es-UY"/>
        </w:rPr>
        <w:t xml:space="preserve"> sus leyes, procedimientos y prácticas </w:t>
      </w:r>
      <w:r w:rsidR="00D9585D" w:rsidRPr="00D8219A">
        <w:rPr>
          <w:rFonts w:asciiTheme="majorHAnsi" w:hAnsiTheme="majorHAnsi"/>
          <w:sz w:val="20"/>
          <w:lang w:val="es-UY"/>
        </w:rPr>
        <w:t xml:space="preserve">a nivel estatal y, de ser aplicable, a nivel federal </w:t>
      </w:r>
      <w:r w:rsidRPr="00D8219A">
        <w:rPr>
          <w:rFonts w:asciiTheme="majorHAnsi" w:hAnsiTheme="majorHAnsi"/>
          <w:sz w:val="20"/>
          <w:lang w:val="es-UY"/>
        </w:rPr>
        <w:t>para asegurar que las personas acusadas de delitos capitales sea</w:t>
      </w:r>
      <w:r w:rsidR="00D45808" w:rsidRPr="00D8219A">
        <w:rPr>
          <w:rFonts w:asciiTheme="majorHAnsi" w:hAnsiTheme="majorHAnsi"/>
          <w:sz w:val="20"/>
          <w:lang w:val="es-UY"/>
        </w:rPr>
        <w:t>n</w:t>
      </w:r>
      <w:r w:rsidRPr="00D8219A">
        <w:rPr>
          <w:rFonts w:asciiTheme="majorHAnsi" w:hAnsiTheme="majorHAnsi"/>
          <w:sz w:val="20"/>
          <w:lang w:val="es-UY"/>
        </w:rPr>
        <w:t xml:space="preserve"> juzgadas</w:t>
      </w:r>
      <w:r w:rsidR="002F5ED4" w:rsidRPr="00D8219A">
        <w:rPr>
          <w:rFonts w:asciiTheme="majorHAnsi" w:hAnsiTheme="majorHAnsi"/>
          <w:sz w:val="20"/>
          <w:lang w:val="es-UY"/>
        </w:rPr>
        <w:t>,</w:t>
      </w:r>
      <w:r w:rsidRPr="00D8219A">
        <w:rPr>
          <w:rFonts w:asciiTheme="majorHAnsi" w:hAnsiTheme="majorHAnsi"/>
          <w:sz w:val="20"/>
          <w:lang w:val="es-UY"/>
        </w:rPr>
        <w:t xml:space="preserve"> y, si fueran declaradas culpables, sean condenadas</w:t>
      </w:r>
      <w:r w:rsidR="002F5ED4" w:rsidRPr="00D8219A">
        <w:rPr>
          <w:rFonts w:asciiTheme="majorHAnsi" w:hAnsiTheme="majorHAnsi"/>
          <w:sz w:val="20"/>
          <w:lang w:val="es-UY"/>
        </w:rPr>
        <w:t>,</w:t>
      </w:r>
      <w:r w:rsidRPr="00D8219A">
        <w:rPr>
          <w:rFonts w:asciiTheme="majorHAnsi" w:hAnsiTheme="majorHAnsi"/>
          <w:sz w:val="20"/>
          <w:lang w:val="es-UY"/>
        </w:rPr>
        <w:t xml:space="preserve"> de conformidad con los derechos </w:t>
      </w:r>
      <w:r w:rsidR="00D9585D" w:rsidRPr="00D8219A">
        <w:rPr>
          <w:rFonts w:asciiTheme="majorHAnsi" w:hAnsiTheme="majorHAnsi"/>
          <w:sz w:val="20"/>
          <w:lang w:val="es-UY"/>
        </w:rPr>
        <w:t xml:space="preserve">establecidos </w:t>
      </w:r>
      <w:r w:rsidRPr="00D8219A">
        <w:rPr>
          <w:rFonts w:asciiTheme="majorHAnsi" w:hAnsiTheme="majorHAnsi"/>
          <w:sz w:val="20"/>
          <w:lang w:val="es-UY"/>
        </w:rPr>
        <w:t xml:space="preserve">en la Declaración Americana, incluidos los </w:t>
      </w:r>
      <w:r w:rsidR="003C2F79" w:rsidRPr="00D8219A">
        <w:rPr>
          <w:rFonts w:asciiTheme="majorHAnsi" w:hAnsiTheme="majorHAnsi"/>
          <w:sz w:val="20"/>
          <w:lang w:val="es-UY"/>
        </w:rPr>
        <w:t xml:space="preserve">enunciados en los </w:t>
      </w:r>
      <w:r w:rsidR="00B002F7" w:rsidRPr="00D8219A">
        <w:rPr>
          <w:rFonts w:asciiTheme="majorHAnsi" w:hAnsiTheme="majorHAnsi"/>
          <w:sz w:val="20"/>
          <w:lang w:val="es-UY"/>
        </w:rPr>
        <w:t>artículo</w:t>
      </w:r>
      <w:r w:rsidRPr="00D8219A">
        <w:rPr>
          <w:rFonts w:asciiTheme="majorHAnsi" w:hAnsiTheme="majorHAnsi"/>
          <w:sz w:val="20"/>
          <w:lang w:val="es-UY"/>
        </w:rPr>
        <w:t>s I, XVIII, XXV y XXVI</w:t>
      </w:r>
      <w:bookmarkStart w:id="34" w:name="_ftn34"/>
      <w:bookmarkEnd w:id="34"/>
      <w:r w:rsidRPr="00D8219A">
        <w:rPr>
          <w:rFonts w:asciiTheme="majorHAnsi" w:hAnsiTheme="majorHAnsi"/>
          <w:sz w:val="20"/>
          <w:lang w:val="es-UY"/>
        </w:rPr>
        <w:t xml:space="preserve"> de la misma</w:t>
      </w:r>
      <w:r w:rsidR="00DC1BCD" w:rsidRPr="00D8219A">
        <w:rPr>
          <w:rFonts w:asciiTheme="majorHAnsi" w:hAnsiTheme="majorHAnsi"/>
          <w:sz w:val="20"/>
          <w:lang w:val="es-UY"/>
        </w:rPr>
        <w:t>,</w:t>
      </w:r>
      <w:r w:rsidRPr="00D8219A">
        <w:rPr>
          <w:rFonts w:asciiTheme="majorHAnsi" w:hAnsiTheme="majorHAnsi"/>
          <w:sz w:val="20"/>
          <w:lang w:val="es-UY"/>
        </w:rPr>
        <w:t xml:space="preserve"> y en especial</w:t>
      </w:r>
      <w:r w:rsidR="002F5ED4" w:rsidRPr="00D8219A">
        <w:rPr>
          <w:rFonts w:asciiTheme="majorHAnsi" w:hAnsiTheme="majorHAnsi"/>
          <w:sz w:val="20"/>
          <w:lang w:val="es-UY"/>
        </w:rPr>
        <w:t>,</w:t>
      </w:r>
      <w:r w:rsidRPr="00D8219A">
        <w:rPr>
          <w:rFonts w:asciiTheme="majorHAnsi" w:hAnsiTheme="majorHAnsi"/>
          <w:sz w:val="20"/>
          <w:lang w:val="es-UY"/>
        </w:rPr>
        <w:t xml:space="preserve"> que los acusados que residan en el exterior, sean llevados a </w:t>
      </w:r>
      <w:r w:rsidR="00616685" w:rsidRPr="00D8219A">
        <w:rPr>
          <w:rFonts w:asciiTheme="majorHAnsi" w:hAnsiTheme="majorHAnsi"/>
          <w:sz w:val="20"/>
          <w:lang w:val="es-UY"/>
        </w:rPr>
        <w:t>Estados Unidos</w:t>
      </w:r>
      <w:r w:rsidRPr="00D8219A">
        <w:rPr>
          <w:rFonts w:asciiTheme="majorHAnsi" w:hAnsiTheme="majorHAnsi"/>
          <w:sz w:val="20"/>
          <w:lang w:val="es-UY"/>
        </w:rPr>
        <w:t xml:space="preserve"> en observancia de las garantías del debido proceso, y que se respeten las </w:t>
      </w:r>
      <w:r w:rsidR="00D45808" w:rsidRPr="00D8219A">
        <w:rPr>
          <w:rFonts w:asciiTheme="majorHAnsi" w:hAnsiTheme="majorHAnsi"/>
          <w:sz w:val="20"/>
          <w:lang w:val="es-UY"/>
        </w:rPr>
        <w:t xml:space="preserve">garantías </w:t>
      </w:r>
      <w:r w:rsidRPr="00D8219A">
        <w:rPr>
          <w:rFonts w:asciiTheme="majorHAnsi" w:hAnsiTheme="majorHAnsi"/>
          <w:sz w:val="20"/>
          <w:lang w:val="es-UY"/>
        </w:rPr>
        <w:t xml:space="preserve">diplomáticas de no aplicación de la pena de muerte.  </w:t>
      </w:r>
    </w:p>
    <w:p w14:paraId="23FDEE8B" w14:textId="77777777" w:rsidR="00D9585D" w:rsidRPr="00D8219A" w:rsidRDefault="00D9585D" w:rsidP="00E9350D">
      <w:pPr>
        <w:pStyle w:val="ListParagraph"/>
        <w:ind w:left="360" w:hanging="360"/>
        <w:rPr>
          <w:rFonts w:asciiTheme="majorHAnsi" w:eastAsia="Times New Roman" w:hAnsiTheme="majorHAnsi" w:cs="Tahoma"/>
          <w:sz w:val="20"/>
          <w:szCs w:val="20"/>
          <w:bdr w:val="none" w:sz="0" w:space="0" w:color="auto"/>
          <w:lang w:val="es-UY"/>
        </w:rPr>
      </w:pPr>
    </w:p>
    <w:p w14:paraId="5FB5131A" w14:textId="77777777" w:rsidR="00DC1BCD" w:rsidRPr="00D8219A" w:rsidRDefault="00D9585D" w:rsidP="00C243B4">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asciiTheme="majorHAnsi" w:eastAsia="Times New Roman" w:hAnsiTheme="majorHAnsi" w:cs="Tahoma"/>
          <w:sz w:val="20"/>
          <w:szCs w:val="20"/>
          <w:bdr w:val="none" w:sz="0" w:space="0" w:color="auto"/>
          <w:lang w:val="es-UY"/>
        </w:rPr>
      </w:pPr>
      <w:r w:rsidRPr="00D8219A">
        <w:rPr>
          <w:rFonts w:asciiTheme="majorHAnsi" w:eastAsia="Times New Roman" w:hAnsiTheme="majorHAnsi" w:cs="Tahoma"/>
          <w:sz w:val="20"/>
          <w:szCs w:val="20"/>
          <w:bdr w:val="none" w:sz="0" w:space="0" w:color="auto"/>
          <w:lang w:val="es-UY"/>
        </w:rPr>
        <w:t>Asegurar que las condiciones en el corredor de la muerte sean compatibles con las normas internacionales de derechos humanos, de conformidad con el derecho a la protección contra los castigos crueles, infamantes o inusuales.</w:t>
      </w:r>
    </w:p>
    <w:p w14:paraId="40AAA6A9" w14:textId="77777777" w:rsidR="00DC1BCD" w:rsidRPr="00D8219A" w:rsidRDefault="00DC1BCD" w:rsidP="00E9350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asciiTheme="majorHAnsi" w:eastAsia="Times New Roman" w:hAnsiTheme="majorHAnsi" w:cs="Tahoma"/>
          <w:sz w:val="20"/>
          <w:szCs w:val="20"/>
          <w:bdr w:val="none" w:sz="0" w:space="0" w:color="auto"/>
          <w:lang w:val="es-UY"/>
        </w:rPr>
      </w:pPr>
    </w:p>
    <w:p w14:paraId="6DC86F8B" w14:textId="77777777" w:rsidR="008C0C39" w:rsidRPr="00D8219A" w:rsidRDefault="008C0C39" w:rsidP="00C243B4">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asciiTheme="majorHAnsi" w:eastAsia="Times New Roman" w:hAnsiTheme="majorHAnsi" w:cs="Tahoma"/>
          <w:sz w:val="20"/>
          <w:szCs w:val="20"/>
          <w:bdr w:val="none" w:sz="0" w:space="0" w:color="auto"/>
          <w:lang w:val="es-UY"/>
        </w:rPr>
      </w:pPr>
      <w:r w:rsidRPr="00D8219A">
        <w:rPr>
          <w:rFonts w:asciiTheme="majorHAnsi" w:hAnsiTheme="majorHAnsi"/>
          <w:sz w:val="20"/>
          <w:lang w:val="es-UY"/>
        </w:rPr>
        <w:t xml:space="preserve">Dadas las violaciones de la Declaración Americana constatadas por la CIDH en el presente caso y en otros </w:t>
      </w:r>
      <w:r w:rsidR="00DC1BCD" w:rsidRPr="00D8219A">
        <w:rPr>
          <w:rFonts w:asciiTheme="majorHAnsi" w:hAnsiTheme="majorHAnsi"/>
          <w:sz w:val="20"/>
          <w:lang w:val="es-UY"/>
        </w:rPr>
        <w:t>casos relativos a</w:t>
      </w:r>
      <w:r w:rsidRPr="00D8219A">
        <w:rPr>
          <w:rFonts w:asciiTheme="majorHAnsi" w:hAnsiTheme="majorHAnsi"/>
          <w:sz w:val="20"/>
          <w:lang w:val="es-UY"/>
        </w:rPr>
        <w:t xml:space="preserve"> la aplicación de la pena de muerte, la Comisión Interamer</w:t>
      </w:r>
      <w:r w:rsidR="00DC1BCD" w:rsidRPr="00D8219A">
        <w:rPr>
          <w:rFonts w:asciiTheme="majorHAnsi" w:hAnsiTheme="majorHAnsi"/>
          <w:sz w:val="20"/>
          <w:lang w:val="es-UY"/>
        </w:rPr>
        <w:t xml:space="preserve">icana recomienda asimismo a </w:t>
      </w:r>
      <w:r w:rsidRPr="00D8219A">
        <w:rPr>
          <w:rFonts w:asciiTheme="majorHAnsi" w:hAnsiTheme="majorHAnsi"/>
          <w:sz w:val="20"/>
          <w:lang w:val="es-UY"/>
        </w:rPr>
        <w:t>Estados Unidos que disponga una moratoria de las ejecuciones de personas condenadas a muerte.</w:t>
      </w:r>
      <w:r w:rsidRPr="00D8219A">
        <w:rPr>
          <w:rStyle w:val="FootnoteReference"/>
          <w:rFonts w:asciiTheme="majorHAnsi" w:hAnsiTheme="majorHAnsi"/>
          <w:sz w:val="20"/>
        </w:rPr>
        <w:footnoteReference w:id="59"/>
      </w:r>
    </w:p>
    <w:p w14:paraId="3D6C12A5" w14:textId="77777777" w:rsidR="00C55560" w:rsidRDefault="00C55560" w:rsidP="003C2F79">
      <w:pPr>
        <w:pStyle w:val="parrafos"/>
        <w:numPr>
          <w:ilvl w:val="0"/>
          <w:numId w:val="0"/>
        </w:numPr>
        <w:rPr>
          <w:lang w:val="es-UY"/>
        </w:rPr>
      </w:pPr>
    </w:p>
    <w:p w14:paraId="76141430" w14:textId="77777777" w:rsidR="00C243B4" w:rsidRPr="00A12FE2" w:rsidRDefault="00C243B4" w:rsidP="00C243B4">
      <w:pPr>
        <w:pStyle w:val="Heading1"/>
        <w:keepNext w:val="0"/>
        <w:keepLines w:val="0"/>
        <w:numPr>
          <w:ilvl w:val="0"/>
          <w:numId w:val="55"/>
        </w:numPr>
        <w:suppressAutoHyphens/>
        <w:spacing w:before="0"/>
        <w:ind w:left="540" w:hanging="540"/>
        <w:rPr>
          <w:color w:val="auto"/>
          <w:sz w:val="20"/>
          <w:szCs w:val="20"/>
        </w:rPr>
      </w:pPr>
      <w:bookmarkStart w:id="35" w:name="_Toc69212259"/>
      <w:r w:rsidRPr="00A12FE2">
        <w:rPr>
          <w:color w:val="auto"/>
          <w:sz w:val="20"/>
          <w:szCs w:val="20"/>
        </w:rPr>
        <w:t>PUBLICACIÓN</w:t>
      </w:r>
      <w:bookmarkEnd w:id="35"/>
    </w:p>
    <w:p w14:paraId="7B5763E1" w14:textId="77777777" w:rsidR="00C243B4" w:rsidRPr="00A12FE2" w:rsidRDefault="00C243B4" w:rsidP="00C243B4">
      <w:pPr>
        <w:rPr>
          <w:lang w:val="es-ES"/>
        </w:rPr>
      </w:pPr>
    </w:p>
    <w:p w14:paraId="629FA50C" w14:textId="77777777" w:rsidR="00C243B4" w:rsidRPr="007E39BF" w:rsidRDefault="00C243B4" w:rsidP="00C243B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s>
        <w:ind w:left="0" w:firstLine="0"/>
        <w:jc w:val="both"/>
        <w:rPr>
          <w:lang w:val="es-ES"/>
        </w:rPr>
      </w:pPr>
      <w:r w:rsidRPr="00A12FE2">
        <w:rPr>
          <w:rFonts w:ascii="Cambria" w:eastAsia="Times New Roman" w:hAnsi="Cambria"/>
          <w:sz w:val="20"/>
          <w:szCs w:val="20"/>
          <w:lang w:val="es-ES"/>
        </w:rPr>
        <w:t xml:space="preserve">En virtud de las consideraciones que anteceden y de lo dispuesto en el artículo 47.3 de su Reglamento, la CIDH decide publicar el presente informe e incluirlo en su Informe Anual a la Asamblea General de la Organización de los Estados Americanos. De acuerdo con las normas contenidas en los instrumentos que rigen su mandato, la Comisión continuará evaluando las medidas que tome Estados Unidos con respecto a las recomendaciones antedichas hasta que determine que se hayan cumplido plenamente. </w:t>
      </w:r>
    </w:p>
    <w:p w14:paraId="218BB65F" w14:textId="77777777" w:rsidR="007E39BF" w:rsidRPr="00A12FE2" w:rsidRDefault="007E39BF" w:rsidP="007E39BF">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s>
        <w:jc w:val="both"/>
        <w:rPr>
          <w:lang w:val="es-ES"/>
        </w:rPr>
      </w:pPr>
    </w:p>
    <w:p w14:paraId="07E01B67" w14:textId="77777777" w:rsidR="007E39BF" w:rsidRPr="007E39BF" w:rsidRDefault="007E39BF" w:rsidP="007E39BF">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s>
        <w:jc w:val="both"/>
        <w:rPr>
          <w:rFonts w:ascii="Cambria" w:eastAsia="Times New Roman" w:hAnsi="Cambria"/>
          <w:sz w:val="20"/>
          <w:szCs w:val="20"/>
          <w:lang w:val="es-ES"/>
        </w:rPr>
      </w:pPr>
      <w:r>
        <w:rPr>
          <w:rFonts w:ascii="Cambria" w:eastAsia="Times New Roman" w:hAnsi="Cambria"/>
          <w:sz w:val="20"/>
          <w:szCs w:val="20"/>
          <w:lang w:val="es-ES"/>
        </w:rPr>
        <w:tab/>
      </w:r>
      <w:r w:rsidRPr="007E39BF">
        <w:rPr>
          <w:rFonts w:ascii="Cambria" w:eastAsia="Times New Roman" w:hAnsi="Cambria"/>
          <w:sz w:val="20"/>
          <w:szCs w:val="20"/>
          <w:lang w:val="es-ES"/>
        </w:rPr>
        <w:t xml:space="preserve">Aprobado por la Comisión Interamericana de Derechos Humanos a los </w:t>
      </w:r>
      <w:r>
        <w:rPr>
          <w:rFonts w:ascii="Cambria" w:eastAsia="Times New Roman" w:hAnsi="Cambria"/>
          <w:sz w:val="20"/>
          <w:szCs w:val="20"/>
          <w:lang w:val="es-ES"/>
        </w:rPr>
        <w:t>3</w:t>
      </w:r>
      <w:r w:rsidRPr="007E39BF">
        <w:rPr>
          <w:rFonts w:ascii="Cambria" w:eastAsia="Times New Roman" w:hAnsi="Cambria"/>
          <w:sz w:val="20"/>
          <w:szCs w:val="20"/>
          <w:lang w:val="es-ES"/>
        </w:rPr>
        <w:t xml:space="preserve"> días del mes de </w:t>
      </w:r>
      <w:r>
        <w:rPr>
          <w:rFonts w:ascii="Cambria" w:eastAsia="Times New Roman" w:hAnsi="Cambria"/>
          <w:sz w:val="20"/>
          <w:szCs w:val="20"/>
          <w:lang w:val="es-ES"/>
        </w:rPr>
        <w:t>agosto</w:t>
      </w:r>
      <w:r w:rsidRPr="007E39BF">
        <w:rPr>
          <w:rFonts w:ascii="Cambria" w:eastAsia="Times New Roman" w:hAnsi="Cambria"/>
          <w:sz w:val="20"/>
          <w:szCs w:val="20"/>
          <w:lang w:val="es-ES"/>
        </w:rPr>
        <w:t xml:space="preserve"> de 2020. (Firmado): Joel Hernández, Presidente; Antonia Urrrejola</w:t>
      </w:r>
      <w:r>
        <w:rPr>
          <w:rFonts w:ascii="Cambria" w:eastAsia="Times New Roman" w:hAnsi="Cambria"/>
          <w:sz w:val="20"/>
          <w:szCs w:val="20"/>
          <w:lang w:val="es-ES"/>
        </w:rPr>
        <w:t xml:space="preserve"> Noguera</w:t>
      </w:r>
      <w:r w:rsidRPr="007E39BF">
        <w:rPr>
          <w:rFonts w:ascii="Cambria" w:eastAsia="Times New Roman" w:hAnsi="Cambria"/>
          <w:sz w:val="20"/>
          <w:szCs w:val="20"/>
          <w:lang w:val="es-ES"/>
        </w:rPr>
        <w:t xml:space="preserve">, Primera Vicepresidenta; Flávia Piovesan, Segunda Vicepresidenta; Esmeralda E. Arosemena Bernal de Troitiño, y Julissa Mantilla Falcón, </w:t>
      </w:r>
      <w:r>
        <w:rPr>
          <w:rFonts w:ascii="Cambria" w:eastAsia="Times New Roman" w:hAnsi="Cambria"/>
          <w:sz w:val="20"/>
          <w:szCs w:val="20"/>
          <w:lang w:val="es-ES"/>
        </w:rPr>
        <w:t>Comisionadas</w:t>
      </w:r>
      <w:r w:rsidRPr="007E39BF">
        <w:rPr>
          <w:rFonts w:ascii="Cambria" w:eastAsia="Times New Roman" w:hAnsi="Cambria"/>
          <w:sz w:val="20"/>
          <w:szCs w:val="20"/>
          <w:lang w:val="es-ES"/>
        </w:rPr>
        <w:t>.</w:t>
      </w:r>
    </w:p>
    <w:p w14:paraId="3B87FD6F" w14:textId="77777777" w:rsidR="00C243B4" w:rsidRPr="007E39BF" w:rsidRDefault="00C243B4" w:rsidP="003C2F79">
      <w:pPr>
        <w:pStyle w:val="parrafos"/>
        <w:numPr>
          <w:ilvl w:val="0"/>
          <w:numId w:val="0"/>
        </w:numPr>
        <w:rPr>
          <w:lang w:val="es-US"/>
        </w:rPr>
      </w:pPr>
    </w:p>
    <w:sectPr w:rsidR="00C243B4" w:rsidRPr="007E39BF" w:rsidSect="006311DA">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1235" w14:textId="77777777" w:rsidR="00F370CB" w:rsidRDefault="00F370CB" w:rsidP="00036A8A">
      <w:r>
        <w:separator/>
      </w:r>
    </w:p>
  </w:endnote>
  <w:endnote w:type="continuationSeparator" w:id="0">
    <w:p w14:paraId="452DB93A" w14:textId="77777777" w:rsidR="00F370CB" w:rsidRDefault="00F370C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510BAA86" w14:textId="77777777" w:rsidR="00D9585D" w:rsidRPr="006311DA" w:rsidRDefault="00D9585D">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965E0">
          <w:rPr>
            <w:noProof/>
            <w:sz w:val="16"/>
          </w:rPr>
          <w:t>1</w:t>
        </w:r>
        <w:r w:rsidRPr="006311DA">
          <w:rPr>
            <w:noProof/>
            <w:sz w:val="16"/>
          </w:rPr>
          <w:fldChar w:fldCharType="end"/>
        </w:r>
      </w:p>
    </w:sdtContent>
  </w:sdt>
  <w:p w14:paraId="4799C606" w14:textId="77777777" w:rsidR="00D9585D" w:rsidRDefault="00D95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0CEB" w14:textId="77777777" w:rsidR="00D9585D" w:rsidRDefault="00D9585D">
    <w:pPr>
      <w:pStyle w:val="Footer"/>
      <w:jc w:val="center"/>
    </w:pPr>
  </w:p>
  <w:p w14:paraId="3A428064" w14:textId="77777777" w:rsidR="00D9585D" w:rsidRDefault="00D95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E53EE26" w14:textId="77777777" w:rsidR="00D9585D" w:rsidRDefault="00D9585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4E42B75" w14:textId="77777777" w:rsidR="00D9585D" w:rsidRDefault="00D95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24C48" w14:textId="77777777" w:rsidR="00F370CB" w:rsidRPr="00036A8A" w:rsidRDefault="00F370C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AFBC0AA" w14:textId="77777777" w:rsidR="00F370CB" w:rsidRPr="00036A8A" w:rsidRDefault="00F370CB" w:rsidP="00036A8A">
      <w:pPr>
        <w:rPr>
          <w:rFonts w:asciiTheme="majorHAnsi" w:hAnsiTheme="majorHAnsi"/>
          <w:sz w:val="16"/>
          <w:szCs w:val="16"/>
        </w:rPr>
      </w:pPr>
      <w:r w:rsidRPr="00036A8A">
        <w:rPr>
          <w:rFonts w:asciiTheme="majorHAnsi" w:hAnsiTheme="majorHAnsi"/>
          <w:sz w:val="16"/>
          <w:szCs w:val="16"/>
        </w:rPr>
        <w:separator/>
      </w:r>
    </w:p>
    <w:p w14:paraId="371B0F40" w14:textId="77777777" w:rsidR="00F370CB" w:rsidRPr="00036A8A" w:rsidRDefault="00F370C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7C1E758" w14:textId="77777777" w:rsidR="00F370CB" w:rsidRPr="0093441A" w:rsidRDefault="00F370C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C0DC47E" w14:textId="77777777" w:rsidR="00D9585D" w:rsidRPr="00E9350D" w:rsidRDefault="00D9585D" w:rsidP="004B5893">
      <w:pPr>
        <w:pStyle w:val="FootnoteText"/>
        <w:jc w:val="both"/>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Fonts w:asciiTheme="majorHAnsi" w:hAnsiTheme="majorHAnsi"/>
          <w:sz w:val="16"/>
          <w:szCs w:val="16"/>
          <w:lang w:val="es-UY"/>
        </w:rPr>
        <w:t xml:space="preserve"> El 15 de diciembre de 2011 la CIDH hizo lugar a la adopción de medidas cautelares a favor del señor Serrano conforme a lo previsto el artículo 25(1) de su Reglamento, y solicitó a Estados Unidos que adoptara medidas necesarias para preservar la vida y la integridad física del señor Serrano a fin de no perturbar la tramitación de su caso ante el sistema interamericano. Esas medidas aún siguen vigentes. </w:t>
      </w:r>
    </w:p>
  </w:footnote>
  <w:footnote w:id="3">
    <w:p w14:paraId="1737F622" w14:textId="77777777" w:rsidR="00D9585D" w:rsidRPr="00E9350D" w:rsidRDefault="00D9585D" w:rsidP="007D191E">
      <w:pPr>
        <w:pStyle w:val="FootnoteText"/>
        <w:jc w:val="both"/>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Fonts w:asciiTheme="majorHAnsi" w:hAnsiTheme="majorHAnsi"/>
          <w:sz w:val="16"/>
          <w:szCs w:val="16"/>
          <w:lang w:val="es-UY"/>
        </w:rPr>
        <w:t xml:space="preserve"> El 7 de marzo de 2013 la Clínica Internacional de Derechos Humanos de la American University (IHRC, por sus siglas en inglés) se incorporó al juicio como copeticionaria, y el 16 de mayo de 2013 presentó una petición enmendada. </w:t>
      </w:r>
    </w:p>
  </w:footnote>
  <w:footnote w:id="4">
    <w:p w14:paraId="58EA4074" w14:textId="77777777" w:rsidR="00D9585D" w:rsidRPr="00E9350D" w:rsidRDefault="00D9585D" w:rsidP="008C0C39">
      <w:pPr>
        <w:pStyle w:val="FootnoteText"/>
        <w:jc w:val="both"/>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Fonts w:asciiTheme="majorHAnsi" w:hAnsiTheme="majorHAnsi"/>
          <w:sz w:val="16"/>
          <w:szCs w:val="16"/>
          <w:lang w:val="pt-BR"/>
        </w:rPr>
        <w:t xml:space="preserve"> CIDH, Informe No. 121/18, Caso No. 10.573. </w:t>
      </w:r>
      <w:r w:rsidRPr="00E9350D">
        <w:rPr>
          <w:rFonts w:asciiTheme="majorHAnsi" w:hAnsiTheme="majorHAnsi"/>
          <w:sz w:val="16"/>
          <w:szCs w:val="16"/>
          <w:lang w:val="es-UY"/>
        </w:rPr>
        <w:t>Méritos (Publicación). José Isabel Salas Galindo y otros. Estados Unidos. 5 de octubre de 2018, párr.  308.</w:t>
      </w:r>
    </w:p>
  </w:footnote>
  <w:footnote w:id="5">
    <w:p w14:paraId="2DB794A2" w14:textId="77777777" w:rsidR="00D9585D" w:rsidRPr="00E9350D" w:rsidRDefault="00D9585D" w:rsidP="008C0C39">
      <w:pPr>
        <w:pStyle w:val="FootnoteText"/>
        <w:rPr>
          <w:rFonts w:asciiTheme="majorHAnsi" w:hAnsiTheme="majorHAnsi"/>
          <w:sz w:val="16"/>
          <w:szCs w:val="16"/>
          <w:lang w:val="es-UY"/>
        </w:rPr>
      </w:pPr>
      <w:r w:rsidRPr="00E9350D">
        <w:rPr>
          <w:rStyle w:val="FootnoteReference"/>
          <w:rFonts w:asciiTheme="majorHAnsi" w:hAnsiTheme="majorHAnsi"/>
          <w:color w:val="auto"/>
          <w:sz w:val="16"/>
          <w:szCs w:val="16"/>
        </w:rPr>
        <w:footnoteRef/>
      </w:r>
      <w:r w:rsidRPr="00E9350D">
        <w:rPr>
          <w:rStyle w:val="FootnoteReference"/>
          <w:rFonts w:asciiTheme="majorHAnsi" w:hAnsiTheme="majorHAnsi"/>
          <w:color w:val="auto"/>
          <w:sz w:val="16"/>
          <w:szCs w:val="16"/>
          <w:lang w:val="es-UY"/>
        </w:rPr>
        <w:t xml:space="preserve"> </w:t>
      </w:r>
      <w:r w:rsidRPr="00E9350D">
        <w:rPr>
          <w:rFonts w:asciiTheme="majorHAnsi" w:hAnsiTheme="majorHAnsi"/>
          <w:color w:val="auto"/>
          <w:sz w:val="16"/>
          <w:szCs w:val="16"/>
          <w:lang w:val="es-UY"/>
        </w:rPr>
        <w:t xml:space="preserve">In Hurst v. Florida, 577 U.S. _ (2016), la Corte Suprema de Estados Unidos declaró que el régimen de la pena capital violaba la Sexta Enmienda, pues no requería un pronunciamiento unánime del jurado para condenar a muerte a un imputado. </w:t>
      </w:r>
    </w:p>
  </w:footnote>
  <w:footnote w:id="6">
    <w:p w14:paraId="76CDD34E" w14:textId="77777777" w:rsidR="00D9585D" w:rsidRPr="00E9350D" w:rsidRDefault="00D9585D" w:rsidP="008C0C39">
      <w:pPr>
        <w:pStyle w:val="FootnoteText"/>
        <w:rPr>
          <w:rFonts w:asciiTheme="majorHAnsi" w:hAnsiTheme="majorHAnsi"/>
          <w:sz w:val="16"/>
          <w:szCs w:val="16"/>
          <w:lang w:val="es-UY"/>
        </w:rPr>
      </w:pPr>
      <w:r w:rsidRPr="00E9350D">
        <w:rPr>
          <w:rStyle w:val="FootnoteReference"/>
          <w:rFonts w:asciiTheme="majorHAnsi" w:hAnsiTheme="majorHAnsi"/>
          <w:color w:val="auto"/>
          <w:sz w:val="16"/>
          <w:szCs w:val="16"/>
        </w:rPr>
        <w:footnoteRef/>
      </w:r>
      <w:r w:rsidRPr="00E9350D">
        <w:rPr>
          <w:rStyle w:val="FootnoteReference"/>
          <w:rFonts w:asciiTheme="majorHAnsi" w:hAnsiTheme="majorHAnsi"/>
          <w:color w:val="auto"/>
          <w:sz w:val="16"/>
          <w:szCs w:val="16"/>
          <w:lang w:val="es-UY"/>
        </w:rPr>
        <w:t xml:space="preserve"> </w:t>
      </w:r>
      <w:r w:rsidRPr="00E9350D">
        <w:rPr>
          <w:rFonts w:asciiTheme="majorHAnsi" w:hAnsiTheme="majorHAnsi"/>
          <w:color w:val="auto"/>
          <w:sz w:val="16"/>
          <w:szCs w:val="16"/>
          <w:lang w:val="es-UY"/>
        </w:rPr>
        <w:t>CIDH, Informe No. 54/14, Petición 684-14. Admisibilidad, Russel Bucklew y Charles Warner. Estados Unidos. 21 de julio de 2014, párr.  28.</w:t>
      </w:r>
    </w:p>
  </w:footnote>
  <w:footnote w:id="7">
    <w:p w14:paraId="513049FA" w14:textId="77777777" w:rsidR="00D9585D" w:rsidRPr="00E9350D" w:rsidRDefault="00D9585D" w:rsidP="008C0C39">
      <w:pPr>
        <w:pStyle w:val="FootnoteText"/>
        <w:rPr>
          <w:rFonts w:asciiTheme="majorHAnsi" w:hAnsiTheme="majorHAnsi"/>
          <w:sz w:val="16"/>
          <w:szCs w:val="16"/>
          <w:lang w:val="es-UY"/>
        </w:rPr>
      </w:pPr>
      <w:r w:rsidRPr="00E9350D">
        <w:rPr>
          <w:rStyle w:val="FootnoteReference"/>
          <w:rFonts w:asciiTheme="majorHAnsi" w:hAnsiTheme="majorHAnsi"/>
          <w:color w:val="auto"/>
          <w:sz w:val="16"/>
          <w:szCs w:val="16"/>
        </w:rPr>
        <w:footnoteRef/>
      </w:r>
      <w:r w:rsidRPr="00E9350D">
        <w:rPr>
          <w:rStyle w:val="FootnoteReference"/>
          <w:rFonts w:asciiTheme="majorHAnsi" w:hAnsiTheme="majorHAnsi"/>
          <w:color w:val="auto"/>
          <w:sz w:val="16"/>
          <w:szCs w:val="16"/>
          <w:lang w:val="es-UY"/>
        </w:rPr>
        <w:t xml:space="preserve"> </w:t>
      </w:r>
      <w:r w:rsidRPr="00E9350D">
        <w:rPr>
          <w:rFonts w:asciiTheme="majorHAnsi" w:hAnsiTheme="majorHAnsi"/>
          <w:color w:val="auto"/>
          <w:sz w:val="16"/>
          <w:szCs w:val="16"/>
          <w:lang w:val="es-UY"/>
        </w:rPr>
        <w:t>CIDH, Informe No. 54/14, Petición 684-14. Admisibilidad. Russel Bucklew y Charles Warner. Estados Unidos. 21 de Julio de 2014, párr.  28.</w:t>
      </w:r>
    </w:p>
  </w:footnote>
  <w:footnote w:id="8">
    <w:p w14:paraId="4492D25D" w14:textId="77777777" w:rsidR="00D9585D" w:rsidRPr="00E9350D" w:rsidRDefault="00D9585D" w:rsidP="008C0C39">
      <w:pPr>
        <w:pStyle w:val="FootnoteText"/>
        <w:jc w:val="both"/>
        <w:rPr>
          <w:rFonts w:asciiTheme="majorHAnsi" w:hAnsiTheme="majorHAnsi"/>
          <w:color w:val="auto"/>
          <w:sz w:val="16"/>
          <w:szCs w:val="16"/>
          <w:lang w:val="es-UY"/>
        </w:rPr>
      </w:pPr>
      <w:r w:rsidRPr="00E9350D">
        <w:rPr>
          <w:rStyle w:val="FootnoteReference"/>
          <w:rFonts w:asciiTheme="majorHAnsi" w:hAnsiTheme="majorHAnsi"/>
          <w:color w:val="auto"/>
          <w:sz w:val="16"/>
          <w:szCs w:val="16"/>
        </w:rPr>
        <w:footnoteRef/>
      </w:r>
      <w:r w:rsidRPr="00E9350D">
        <w:rPr>
          <w:rFonts w:asciiTheme="majorHAnsi" w:hAnsiTheme="majorHAnsi"/>
          <w:color w:val="auto"/>
          <w:sz w:val="16"/>
          <w:szCs w:val="16"/>
          <w:lang w:val="es-UY"/>
        </w:rPr>
        <w:t xml:space="preserve"> Al Informe de méritos No.  29/08 y sus conclusiones se hace referencia en CIDH, Informe No. 84/89, Caso 12.525. Mérito (Publicación). Nelson Iván Serrano Sáenz. Estados Unidos of América. 6 de agosto de 2009, párrs. 82 y 102.</w:t>
      </w:r>
    </w:p>
  </w:footnote>
  <w:footnote w:id="9">
    <w:p w14:paraId="4F9D0BC2" w14:textId="77777777" w:rsidR="00D9585D" w:rsidRPr="00E9350D" w:rsidRDefault="00D9585D" w:rsidP="008C0C39">
      <w:pPr>
        <w:pStyle w:val="FootnoteText"/>
        <w:jc w:val="both"/>
        <w:rPr>
          <w:rFonts w:asciiTheme="majorHAnsi" w:hAnsiTheme="majorHAnsi"/>
          <w:sz w:val="16"/>
          <w:szCs w:val="16"/>
          <w:lang w:val="es-UY"/>
        </w:rPr>
      </w:pPr>
      <w:r w:rsidRPr="00E9350D">
        <w:rPr>
          <w:rStyle w:val="FootnoteReference"/>
          <w:rFonts w:asciiTheme="majorHAnsi" w:hAnsiTheme="majorHAnsi"/>
          <w:color w:val="auto"/>
          <w:sz w:val="16"/>
          <w:szCs w:val="16"/>
        </w:rPr>
        <w:footnoteRef/>
      </w:r>
      <w:r w:rsidRPr="00E9350D">
        <w:rPr>
          <w:rStyle w:val="FootnoteReference"/>
          <w:rFonts w:asciiTheme="majorHAnsi" w:hAnsiTheme="majorHAnsi"/>
          <w:color w:val="auto"/>
          <w:sz w:val="16"/>
          <w:szCs w:val="16"/>
          <w:lang w:val="es-UY"/>
        </w:rPr>
        <w:t xml:space="preserve"> </w:t>
      </w:r>
      <w:r w:rsidRPr="00E9350D">
        <w:rPr>
          <w:rFonts w:asciiTheme="majorHAnsi" w:hAnsiTheme="majorHAnsi"/>
          <w:color w:val="auto"/>
          <w:sz w:val="16"/>
          <w:szCs w:val="16"/>
          <w:lang w:val="es-UY"/>
        </w:rPr>
        <w:t>CIDH, Informe No. 84/89, Caso 12.525. Méritos (Publicación). Nelson Iván Serrano Sáenz. Estados Unidos de América. 6 de agosto de 2009, párr.  95.</w:t>
      </w:r>
    </w:p>
  </w:footnote>
  <w:footnote w:id="10">
    <w:p w14:paraId="56D8E060" w14:textId="77777777" w:rsidR="00D9585D" w:rsidRPr="00E9350D" w:rsidRDefault="00D9585D" w:rsidP="008C0C39">
      <w:pPr>
        <w:pStyle w:val="NoSpacing"/>
        <w:ind w:firstLine="0"/>
        <w:rPr>
          <w:rFonts w:asciiTheme="majorHAnsi" w:hAnsiTheme="majorHAnsi"/>
          <w:sz w:val="16"/>
          <w:szCs w:val="16"/>
          <w:lang w:val="es-UY"/>
        </w:rPr>
      </w:pPr>
      <w:r w:rsidRPr="00E9350D">
        <w:rPr>
          <w:rStyle w:val="FootnoteReference"/>
          <w:rFonts w:asciiTheme="majorHAnsi" w:hAnsiTheme="majorHAnsi"/>
          <w:sz w:val="16"/>
          <w:szCs w:val="16"/>
          <w:lang w:val="en-US"/>
        </w:rPr>
        <w:footnoteRef/>
      </w:r>
      <w:r w:rsidRPr="00E9350D">
        <w:rPr>
          <w:rFonts w:asciiTheme="majorHAnsi" w:hAnsiTheme="majorHAnsi"/>
          <w:sz w:val="16"/>
          <w:szCs w:val="16"/>
          <w:lang w:val="es-UY"/>
        </w:rPr>
        <w:t xml:space="preserve"> Ley de Inmigración, Decreto Supremo No. 1899, del 30 de diciembre de1971. </w:t>
      </w:r>
    </w:p>
  </w:footnote>
  <w:footnote w:id="11">
    <w:p w14:paraId="5924A6FA" w14:textId="77777777" w:rsidR="00D9585D" w:rsidRPr="00E9350D" w:rsidRDefault="00D9585D" w:rsidP="008C0C39">
      <w:pPr>
        <w:pStyle w:val="FootnoteText"/>
        <w:jc w:val="both"/>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Fonts w:asciiTheme="majorHAnsi" w:hAnsiTheme="majorHAnsi"/>
          <w:sz w:val="16"/>
          <w:szCs w:val="16"/>
          <w:lang w:val="es-UY"/>
        </w:rPr>
        <w:t xml:space="preserve"> </w:t>
      </w:r>
      <w:r w:rsidRPr="00E9350D">
        <w:rPr>
          <w:rFonts w:asciiTheme="majorHAnsi" w:hAnsiTheme="majorHAnsi"/>
          <w:color w:val="auto"/>
          <w:sz w:val="16"/>
          <w:szCs w:val="16"/>
          <w:lang w:val="es-UY"/>
        </w:rPr>
        <w:t>CIDH, Informe No. 84/89, Caso 12.525. Méritos (Publicación). Nelson Iván Serrano Sáenz. Estados Unidos de América. 6 de agosto de 2009, párrs. 27-29.</w:t>
      </w:r>
    </w:p>
  </w:footnote>
  <w:footnote w:id="12">
    <w:p w14:paraId="6E26B86F" w14:textId="77777777" w:rsidR="00D9585D" w:rsidRPr="00E9350D" w:rsidRDefault="00D9585D" w:rsidP="008C0C39">
      <w:pPr>
        <w:pStyle w:val="FootnoteText"/>
        <w:jc w:val="both"/>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Fonts w:asciiTheme="majorHAnsi" w:hAnsiTheme="majorHAnsi"/>
          <w:sz w:val="16"/>
          <w:szCs w:val="16"/>
          <w:lang w:val="es-UY"/>
        </w:rPr>
        <w:t xml:space="preserve"> </w:t>
      </w:r>
      <w:r w:rsidRPr="00E9350D">
        <w:rPr>
          <w:rFonts w:asciiTheme="majorHAnsi" w:hAnsiTheme="majorHAnsi"/>
          <w:color w:val="auto"/>
          <w:sz w:val="16"/>
          <w:szCs w:val="16"/>
          <w:lang w:val="es-UY"/>
        </w:rPr>
        <w:t xml:space="preserve">Estado v. Serrano, Caso No. </w:t>
      </w:r>
      <w:r w:rsidRPr="00A12FE2">
        <w:rPr>
          <w:rFonts w:asciiTheme="majorHAnsi" w:hAnsiTheme="majorHAnsi"/>
          <w:color w:val="auto"/>
          <w:sz w:val="16"/>
          <w:szCs w:val="16"/>
        </w:rPr>
        <w:t xml:space="preserve">CF01-003262-XX (Fla. 10th Cir. Ct. 2014), p. 2. </w:t>
      </w:r>
      <w:r w:rsidRPr="00E9350D">
        <w:rPr>
          <w:rFonts w:asciiTheme="majorHAnsi" w:hAnsiTheme="majorHAnsi"/>
          <w:color w:val="auto"/>
          <w:sz w:val="16"/>
          <w:szCs w:val="16"/>
          <w:lang w:val="es-UY"/>
        </w:rPr>
        <w:t>Documento de prueba A, presentado con información adicional del peticionario el 15 de febrero de 2015.</w:t>
      </w:r>
    </w:p>
  </w:footnote>
  <w:footnote w:id="13">
    <w:p w14:paraId="5E7E5E94" w14:textId="77777777" w:rsidR="00D9585D" w:rsidRPr="00E9350D" w:rsidRDefault="00D9585D" w:rsidP="008C0C39">
      <w:pPr>
        <w:pStyle w:val="FootnoteText"/>
        <w:rPr>
          <w:rFonts w:asciiTheme="majorHAnsi" w:hAnsiTheme="majorHAnsi"/>
          <w:color w:val="auto"/>
          <w:sz w:val="16"/>
          <w:szCs w:val="16"/>
          <w:lang w:val="es-UY"/>
        </w:rPr>
      </w:pPr>
      <w:r w:rsidRPr="00E9350D">
        <w:rPr>
          <w:rStyle w:val="FootnoteReference"/>
          <w:rFonts w:asciiTheme="majorHAnsi" w:hAnsiTheme="majorHAnsi"/>
          <w:sz w:val="16"/>
          <w:szCs w:val="16"/>
        </w:rPr>
        <w:footnoteRef/>
      </w:r>
      <w:r w:rsidRPr="00E9350D">
        <w:rPr>
          <w:rStyle w:val="FootnoteReference"/>
          <w:rFonts w:asciiTheme="majorHAnsi" w:hAnsiTheme="majorHAnsi"/>
          <w:sz w:val="16"/>
          <w:szCs w:val="16"/>
          <w:lang w:val="es-UY"/>
        </w:rPr>
        <w:t xml:space="preserve"> </w:t>
      </w:r>
      <w:r w:rsidRPr="00E9350D">
        <w:rPr>
          <w:rFonts w:asciiTheme="majorHAnsi" w:hAnsiTheme="majorHAnsi"/>
          <w:color w:val="auto"/>
          <w:sz w:val="16"/>
          <w:szCs w:val="16"/>
          <w:lang w:val="es-UY"/>
        </w:rPr>
        <w:t xml:space="preserve"> Petición enmendada presentada por la Clínica Internacional de Derechos Humanos de la American University el 16 de mayo de 2013, páginas 5-7; Transcripciones de Noticias de CBS, 48 Hours Mystery: to Catch a Killer. Documento de prueba B, presentado con petición enmendada del peticionario el 16 de mayo de 2013.</w:t>
      </w:r>
    </w:p>
  </w:footnote>
  <w:footnote w:id="14">
    <w:p w14:paraId="30FF2F1B" w14:textId="77777777" w:rsidR="00D9585D" w:rsidRPr="00E9350D" w:rsidRDefault="00D9585D" w:rsidP="008C0C39">
      <w:pPr>
        <w:pStyle w:val="FootnoteText"/>
        <w:jc w:val="both"/>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Style w:val="FootnoteReference"/>
          <w:rFonts w:asciiTheme="majorHAnsi" w:hAnsiTheme="majorHAnsi"/>
          <w:sz w:val="16"/>
          <w:szCs w:val="16"/>
          <w:lang w:val="es-UY"/>
        </w:rPr>
        <w:t xml:space="preserve"> </w:t>
      </w:r>
      <w:r w:rsidRPr="00E9350D">
        <w:rPr>
          <w:rFonts w:asciiTheme="majorHAnsi" w:hAnsiTheme="majorHAnsi"/>
          <w:sz w:val="16"/>
          <w:szCs w:val="16"/>
          <w:lang w:val="es-UY"/>
        </w:rPr>
        <w:t xml:space="preserve">Carta dirigida a </w:t>
      </w:r>
      <w:r w:rsidRPr="00E9350D">
        <w:rPr>
          <w:rFonts w:asciiTheme="majorHAnsi" w:hAnsiTheme="majorHAnsi"/>
          <w:color w:val="auto"/>
          <w:sz w:val="16"/>
          <w:szCs w:val="16"/>
          <w:lang w:val="es-UY"/>
        </w:rPr>
        <w:t xml:space="preserve">Linda Jacobson, Asesora Jurídica Adjunta, Aplicación de Leyes e Inteligencia, del Departamento de Estado, fechada el 23 de agosto de 2002. Documento de prueba presentado con información adicional del peticionario el 20 de enero de 2014; </w:t>
      </w:r>
    </w:p>
  </w:footnote>
  <w:footnote w:id="15">
    <w:p w14:paraId="48BEE265" w14:textId="77777777" w:rsidR="00D9585D" w:rsidRPr="00E9350D" w:rsidRDefault="00D9585D" w:rsidP="008C0C39">
      <w:pPr>
        <w:pStyle w:val="FootnoteText"/>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Style w:val="FootnoteReference"/>
          <w:rFonts w:asciiTheme="majorHAnsi" w:hAnsiTheme="majorHAnsi"/>
          <w:sz w:val="16"/>
          <w:szCs w:val="16"/>
          <w:lang w:val="es-UY"/>
        </w:rPr>
        <w:t xml:space="preserve"> </w:t>
      </w:r>
      <w:r w:rsidRPr="00E9350D">
        <w:rPr>
          <w:rFonts w:asciiTheme="majorHAnsi" w:hAnsiTheme="majorHAnsi"/>
          <w:color w:val="auto"/>
          <w:sz w:val="16"/>
          <w:szCs w:val="16"/>
          <w:lang w:val="es-UY"/>
        </w:rPr>
        <w:t>Petición enmendada presentada por la Clínica Internacional de Derechos Humanos de la American University el 26 de mayo de 2013, páginas 5-7; Transcripciones de Noticias de CBS, 48 Hours Mystery: to Catch a Killer, Documento de prueba B, presentado con petición enmendada del peticionario el 16 de mayo de 2013.</w:t>
      </w:r>
    </w:p>
  </w:footnote>
  <w:footnote w:id="16">
    <w:p w14:paraId="5E001063" w14:textId="77777777" w:rsidR="00D9585D" w:rsidRPr="00E9350D" w:rsidRDefault="00D9585D" w:rsidP="008C0C39">
      <w:pPr>
        <w:pStyle w:val="FootnoteText"/>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Fonts w:asciiTheme="majorHAnsi" w:hAnsiTheme="majorHAnsi"/>
          <w:sz w:val="16"/>
          <w:szCs w:val="16"/>
          <w:lang w:val="es-UY"/>
        </w:rPr>
        <w:t xml:space="preserve"> </w:t>
      </w:r>
      <w:r w:rsidRPr="00E9350D">
        <w:rPr>
          <w:rFonts w:asciiTheme="majorHAnsi" w:hAnsiTheme="majorHAnsi"/>
          <w:color w:val="auto"/>
          <w:sz w:val="16"/>
          <w:szCs w:val="16"/>
          <w:lang w:val="es-UY"/>
        </w:rPr>
        <w:t>Transcripción parcial de testimonio del Agente Especial Tommy Ray, Estado v. Serrano, CF01-03262A-XX (15 de marzo de 2007), páginas 10-12. Documento de prueba C, presentado con petición enmendada del peticionario el 16 de mayo de 2013.</w:t>
      </w:r>
    </w:p>
  </w:footnote>
  <w:footnote w:id="17">
    <w:p w14:paraId="43817BAF" w14:textId="77777777" w:rsidR="00D9585D" w:rsidRPr="00E9350D" w:rsidRDefault="00D9585D" w:rsidP="008C0C39">
      <w:pPr>
        <w:pStyle w:val="FootnoteText"/>
        <w:jc w:val="both"/>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Style w:val="FootnoteReference"/>
          <w:rFonts w:asciiTheme="majorHAnsi" w:hAnsiTheme="majorHAnsi"/>
          <w:sz w:val="16"/>
          <w:szCs w:val="16"/>
          <w:lang w:val="es-UY"/>
        </w:rPr>
        <w:t xml:space="preserve"> </w:t>
      </w:r>
      <w:r w:rsidRPr="00E9350D">
        <w:rPr>
          <w:rFonts w:asciiTheme="majorHAnsi" w:hAnsiTheme="majorHAnsi"/>
          <w:color w:val="auto"/>
          <w:sz w:val="16"/>
          <w:szCs w:val="16"/>
          <w:lang w:val="es-UY"/>
        </w:rPr>
        <w:t>CIDH, Informe No. 84/89, Caso 12.525. Méritos (Publicación). Nelson Iván Serrano Sáenz. Estados Unidos de América. 6 de agosto de 2009, párr.  30.</w:t>
      </w:r>
    </w:p>
  </w:footnote>
  <w:footnote w:id="18">
    <w:p w14:paraId="5972BA9F" w14:textId="77777777" w:rsidR="00D9585D" w:rsidRPr="00E9350D" w:rsidRDefault="00D9585D" w:rsidP="008C0C39">
      <w:pPr>
        <w:pStyle w:val="FootnoteText"/>
        <w:jc w:val="both"/>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Style w:val="FootnoteReference"/>
          <w:rFonts w:asciiTheme="majorHAnsi" w:hAnsiTheme="majorHAnsi"/>
          <w:sz w:val="16"/>
          <w:szCs w:val="16"/>
          <w:lang w:val="es-UY"/>
        </w:rPr>
        <w:t xml:space="preserve"> </w:t>
      </w:r>
      <w:r w:rsidRPr="00E9350D">
        <w:rPr>
          <w:rFonts w:asciiTheme="majorHAnsi" w:hAnsiTheme="majorHAnsi"/>
          <w:color w:val="auto"/>
          <w:sz w:val="16"/>
          <w:szCs w:val="16"/>
          <w:lang w:val="es-UY"/>
        </w:rPr>
        <w:t xml:space="preserve">CIDH, Informe No. 84/89, Caso 12.525. </w:t>
      </w:r>
      <w:r w:rsidRPr="00E9350D">
        <w:rPr>
          <w:rFonts w:asciiTheme="majorHAnsi" w:hAnsiTheme="majorHAnsi"/>
          <w:color w:val="auto"/>
          <w:sz w:val="16"/>
          <w:szCs w:val="16"/>
          <w:lang w:val="es-ES"/>
        </w:rPr>
        <w:t xml:space="preserve">Méritos (Publicación). Nelson Iván Serrano Sáenz. </w:t>
      </w:r>
      <w:r w:rsidRPr="00E9350D">
        <w:rPr>
          <w:rFonts w:asciiTheme="majorHAnsi" w:hAnsiTheme="majorHAnsi"/>
          <w:color w:val="auto"/>
          <w:sz w:val="16"/>
          <w:szCs w:val="16"/>
          <w:lang w:val="es-UY"/>
        </w:rPr>
        <w:t>Estados Unidos de América. 6 de agosto de 2009, párrs. 30-36.</w:t>
      </w:r>
    </w:p>
  </w:footnote>
  <w:footnote w:id="19">
    <w:p w14:paraId="216E3BA2" w14:textId="77777777" w:rsidR="00D9585D" w:rsidRPr="00E9350D" w:rsidRDefault="00D9585D" w:rsidP="008C0C39">
      <w:pPr>
        <w:pStyle w:val="FootnoteText"/>
        <w:jc w:val="both"/>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Style w:val="FootnoteReference"/>
          <w:rFonts w:asciiTheme="majorHAnsi" w:hAnsiTheme="majorHAnsi"/>
          <w:sz w:val="16"/>
          <w:szCs w:val="16"/>
          <w:lang w:val="es-UY"/>
        </w:rPr>
        <w:t xml:space="preserve"> </w:t>
      </w:r>
      <w:r w:rsidRPr="00E9350D">
        <w:rPr>
          <w:rFonts w:asciiTheme="majorHAnsi" w:hAnsiTheme="majorHAnsi"/>
          <w:color w:val="auto"/>
          <w:sz w:val="16"/>
          <w:szCs w:val="16"/>
          <w:lang w:val="es-UY"/>
        </w:rPr>
        <w:t>Estado v. Serrano, Caso No. CF01-003262-XX (Fla. 10th Cir. Ct. 2014), p. 2. Documento de prueba A, presentado con información adicional del peticionario el 11 de febrero de 2015.</w:t>
      </w:r>
    </w:p>
  </w:footnote>
  <w:footnote w:id="20">
    <w:p w14:paraId="1CF26F79" w14:textId="77777777" w:rsidR="00D9585D" w:rsidRPr="00E9350D" w:rsidRDefault="00D9585D" w:rsidP="008C0C39">
      <w:pPr>
        <w:pStyle w:val="FootnoteText"/>
        <w:jc w:val="both"/>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Style w:val="FootnoteReference"/>
          <w:rFonts w:asciiTheme="majorHAnsi" w:hAnsiTheme="majorHAnsi"/>
          <w:sz w:val="16"/>
          <w:szCs w:val="16"/>
          <w:lang w:val="es-UY"/>
        </w:rPr>
        <w:t xml:space="preserve"> </w:t>
      </w:r>
      <w:r w:rsidRPr="00E9350D">
        <w:rPr>
          <w:rFonts w:asciiTheme="majorHAnsi" w:hAnsiTheme="majorHAnsi"/>
          <w:color w:val="auto"/>
          <w:sz w:val="16"/>
          <w:szCs w:val="16"/>
          <w:lang w:val="es-UY"/>
        </w:rPr>
        <w:t>Serrano v. State de Florida de 2008 WL 2805854 (Fla.)(Escrito de apelación). Documento de prueba presentado con la petición original el 20 de noviembre de 2011.</w:t>
      </w:r>
    </w:p>
  </w:footnote>
  <w:footnote w:id="21">
    <w:p w14:paraId="1BAB4296" w14:textId="77777777" w:rsidR="00D9585D" w:rsidRPr="00E9350D" w:rsidRDefault="00D9585D" w:rsidP="008C0C39">
      <w:pPr>
        <w:pStyle w:val="FootnoteText"/>
        <w:jc w:val="both"/>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Style w:val="FootnoteReference"/>
          <w:rFonts w:asciiTheme="majorHAnsi" w:hAnsiTheme="majorHAnsi"/>
          <w:sz w:val="16"/>
          <w:szCs w:val="16"/>
          <w:lang w:val="es-UY"/>
        </w:rPr>
        <w:t xml:space="preserve"> </w:t>
      </w:r>
      <w:r w:rsidRPr="00E9350D">
        <w:rPr>
          <w:rFonts w:asciiTheme="majorHAnsi" w:hAnsiTheme="majorHAnsi"/>
          <w:color w:val="auto"/>
          <w:sz w:val="16"/>
          <w:szCs w:val="16"/>
          <w:lang w:val="es-UY"/>
        </w:rPr>
        <w:t>Serrano v. State de Florida, 64 So. 3d 93 (2011). Documento de prueba presentado con la petición original el 20 de noviembre de 2011.</w:t>
      </w:r>
      <w:r w:rsidRPr="00E9350D">
        <w:rPr>
          <w:rFonts w:asciiTheme="majorHAnsi" w:hAnsiTheme="majorHAnsi"/>
          <w:sz w:val="16"/>
          <w:szCs w:val="16"/>
          <w:lang w:val="es-UY"/>
        </w:rPr>
        <w:t xml:space="preserve"> </w:t>
      </w:r>
    </w:p>
  </w:footnote>
  <w:footnote w:id="22">
    <w:p w14:paraId="14262EDD" w14:textId="77777777" w:rsidR="00D9585D" w:rsidRPr="00E9350D" w:rsidRDefault="00D9585D" w:rsidP="008C0C39">
      <w:pPr>
        <w:pStyle w:val="FootnoteText"/>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Style w:val="FootnoteReference"/>
          <w:rFonts w:asciiTheme="majorHAnsi" w:hAnsiTheme="majorHAnsi"/>
          <w:sz w:val="16"/>
          <w:szCs w:val="16"/>
          <w:lang w:val="es-UY"/>
        </w:rPr>
        <w:t xml:space="preserve"> </w:t>
      </w:r>
      <w:r w:rsidRPr="00E9350D">
        <w:rPr>
          <w:rFonts w:asciiTheme="majorHAnsi" w:hAnsiTheme="majorHAnsi"/>
          <w:color w:val="auto"/>
          <w:sz w:val="16"/>
          <w:szCs w:val="16"/>
          <w:lang w:val="es-UY"/>
        </w:rPr>
        <w:t>Serrano v. State de Florida, 64 So. 3d 93 (2011). Documento de prueba presentado con la petición original el 20 de noviembre de 2011.</w:t>
      </w:r>
    </w:p>
  </w:footnote>
  <w:footnote w:id="23">
    <w:p w14:paraId="17E09ADF" w14:textId="77777777" w:rsidR="00D9585D" w:rsidRPr="00E9350D" w:rsidRDefault="00D9585D" w:rsidP="008C0C39">
      <w:pPr>
        <w:pStyle w:val="FootnoteText"/>
        <w:rPr>
          <w:rFonts w:asciiTheme="majorHAnsi" w:hAnsiTheme="majorHAnsi"/>
          <w:sz w:val="16"/>
          <w:szCs w:val="16"/>
        </w:rPr>
      </w:pPr>
      <w:r w:rsidRPr="00E9350D">
        <w:rPr>
          <w:rStyle w:val="FootnoteReference"/>
          <w:rFonts w:asciiTheme="majorHAnsi" w:hAnsiTheme="majorHAnsi"/>
          <w:sz w:val="16"/>
          <w:szCs w:val="16"/>
        </w:rPr>
        <w:footnoteRef/>
      </w:r>
      <w:r w:rsidRPr="00E9350D">
        <w:rPr>
          <w:rStyle w:val="FootnoteReference"/>
          <w:rFonts w:asciiTheme="majorHAnsi" w:hAnsiTheme="majorHAnsi"/>
          <w:sz w:val="16"/>
          <w:szCs w:val="16"/>
        </w:rPr>
        <w:t xml:space="preserve"> </w:t>
      </w:r>
      <w:r w:rsidRPr="00E9350D">
        <w:rPr>
          <w:rFonts w:asciiTheme="majorHAnsi" w:hAnsiTheme="majorHAnsi"/>
          <w:color w:val="auto"/>
          <w:sz w:val="16"/>
          <w:szCs w:val="16"/>
        </w:rPr>
        <w:t>Frisbie v. Collins, 342 U.S. 519 (1952), 523.</w:t>
      </w:r>
    </w:p>
  </w:footnote>
  <w:footnote w:id="24">
    <w:p w14:paraId="1EA21489" w14:textId="77777777" w:rsidR="00D9585D" w:rsidRPr="00E9350D" w:rsidRDefault="00D9585D" w:rsidP="008C0C39">
      <w:pPr>
        <w:pStyle w:val="FootnoteText"/>
        <w:jc w:val="both"/>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Style w:val="FootnoteReference"/>
          <w:rFonts w:asciiTheme="majorHAnsi" w:hAnsiTheme="majorHAnsi"/>
          <w:sz w:val="16"/>
          <w:szCs w:val="16"/>
          <w:lang w:val="es-UY"/>
        </w:rPr>
        <w:t xml:space="preserve"> </w:t>
      </w:r>
      <w:r w:rsidRPr="00E9350D">
        <w:rPr>
          <w:rFonts w:asciiTheme="majorHAnsi" w:hAnsiTheme="majorHAnsi"/>
          <w:color w:val="auto"/>
          <w:sz w:val="16"/>
          <w:szCs w:val="16"/>
          <w:lang w:val="es-UY"/>
        </w:rPr>
        <w:t xml:space="preserve">Estado v. Serrano, Caso No. </w:t>
      </w:r>
      <w:r w:rsidRPr="00A12FE2">
        <w:rPr>
          <w:rFonts w:asciiTheme="majorHAnsi" w:hAnsiTheme="majorHAnsi"/>
          <w:color w:val="auto"/>
          <w:sz w:val="16"/>
          <w:szCs w:val="16"/>
          <w:lang w:val="es-US"/>
        </w:rPr>
        <w:t xml:space="preserve">CF01-003262-XX (Fla. 10th Cir. Ct. 2014), p. 4. </w:t>
      </w:r>
      <w:r w:rsidRPr="00E9350D">
        <w:rPr>
          <w:rFonts w:asciiTheme="majorHAnsi" w:hAnsiTheme="majorHAnsi"/>
          <w:color w:val="auto"/>
          <w:sz w:val="16"/>
          <w:szCs w:val="16"/>
          <w:lang w:val="es-UY"/>
        </w:rPr>
        <w:t>Documento de prueba A, presentado con información adicional del peticionario el 11 de febrero de 2015.</w:t>
      </w:r>
    </w:p>
  </w:footnote>
  <w:footnote w:id="25">
    <w:p w14:paraId="4AFA9619" w14:textId="77777777" w:rsidR="00D9585D" w:rsidRPr="00E9350D" w:rsidRDefault="00D9585D" w:rsidP="008C0C39">
      <w:pPr>
        <w:pStyle w:val="FootnoteText"/>
        <w:jc w:val="both"/>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Style w:val="FootnoteReference"/>
          <w:rFonts w:asciiTheme="majorHAnsi" w:hAnsiTheme="majorHAnsi"/>
          <w:sz w:val="16"/>
          <w:szCs w:val="16"/>
          <w:lang w:val="es-UY"/>
        </w:rPr>
        <w:t xml:space="preserve"> </w:t>
      </w:r>
      <w:r w:rsidRPr="00E9350D">
        <w:rPr>
          <w:rFonts w:asciiTheme="majorHAnsi" w:hAnsiTheme="majorHAnsi"/>
          <w:color w:val="auto"/>
          <w:sz w:val="16"/>
          <w:szCs w:val="16"/>
          <w:lang w:val="es-UY"/>
        </w:rPr>
        <w:t xml:space="preserve">Estado v. Serrano, Caso No. </w:t>
      </w:r>
      <w:r w:rsidRPr="00A12FE2">
        <w:rPr>
          <w:rFonts w:asciiTheme="majorHAnsi" w:hAnsiTheme="majorHAnsi"/>
          <w:color w:val="auto"/>
          <w:sz w:val="16"/>
          <w:szCs w:val="16"/>
          <w:lang w:val="es-US"/>
        </w:rPr>
        <w:t xml:space="preserve">CF01-003262-XX (Fla. 10th Cir. Ct. 2014). </w:t>
      </w:r>
      <w:r w:rsidRPr="00E9350D">
        <w:rPr>
          <w:rFonts w:asciiTheme="majorHAnsi" w:hAnsiTheme="majorHAnsi"/>
          <w:color w:val="auto"/>
          <w:sz w:val="16"/>
          <w:szCs w:val="16"/>
          <w:lang w:val="es-UY"/>
        </w:rPr>
        <w:t>Documento de prueba A, presentado con información adicional del peticionario el 11 de febrero de 2015.</w:t>
      </w:r>
    </w:p>
  </w:footnote>
  <w:footnote w:id="26">
    <w:p w14:paraId="0A5D1E1E" w14:textId="77777777" w:rsidR="00D9585D" w:rsidRPr="00E9350D" w:rsidRDefault="00D9585D" w:rsidP="008C0C39">
      <w:pPr>
        <w:pStyle w:val="FootnoteText"/>
        <w:jc w:val="both"/>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Style w:val="FootnoteReference"/>
          <w:rFonts w:asciiTheme="majorHAnsi" w:hAnsiTheme="majorHAnsi"/>
          <w:sz w:val="16"/>
          <w:szCs w:val="16"/>
          <w:lang w:val="es-UY"/>
        </w:rPr>
        <w:t xml:space="preserve"> </w:t>
      </w:r>
      <w:r w:rsidRPr="00E9350D">
        <w:rPr>
          <w:rFonts w:asciiTheme="majorHAnsi" w:hAnsiTheme="majorHAnsi"/>
          <w:color w:val="auto"/>
          <w:sz w:val="16"/>
          <w:szCs w:val="16"/>
          <w:lang w:val="es-UY"/>
        </w:rPr>
        <w:t xml:space="preserve">Estado v. Serrano, Caso No. </w:t>
      </w:r>
      <w:r w:rsidRPr="00A12FE2">
        <w:rPr>
          <w:rFonts w:asciiTheme="majorHAnsi" w:hAnsiTheme="majorHAnsi"/>
          <w:color w:val="auto"/>
          <w:sz w:val="16"/>
          <w:szCs w:val="16"/>
          <w:lang w:val="es-US"/>
        </w:rPr>
        <w:t xml:space="preserve">CF01-003262-XX (Fla. 10th Cir. Ct. 2014), p. 54. </w:t>
      </w:r>
      <w:r w:rsidRPr="00E9350D">
        <w:rPr>
          <w:rFonts w:asciiTheme="majorHAnsi" w:hAnsiTheme="majorHAnsi"/>
          <w:color w:val="auto"/>
          <w:sz w:val="16"/>
          <w:szCs w:val="16"/>
          <w:lang w:val="es-UY"/>
        </w:rPr>
        <w:t>Documento de prueba A, presentado con información adicional del peticionario el 11 de febrero de 2015.</w:t>
      </w:r>
    </w:p>
  </w:footnote>
  <w:footnote w:id="27">
    <w:p w14:paraId="315920FE" w14:textId="77777777" w:rsidR="00D9585D" w:rsidRPr="00E9350D" w:rsidRDefault="00D9585D" w:rsidP="008C0C39">
      <w:pPr>
        <w:pStyle w:val="FootnoteText"/>
        <w:jc w:val="both"/>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Style w:val="FootnoteReference"/>
          <w:rFonts w:asciiTheme="majorHAnsi" w:hAnsiTheme="majorHAnsi"/>
          <w:sz w:val="16"/>
          <w:szCs w:val="16"/>
          <w:lang w:val="es-UY"/>
        </w:rPr>
        <w:t xml:space="preserve"> </w:t>
      </w:r>
      <w:r w:rsidRPr="00E9350D">
        <w:rPr>
          <w:rFonts w:asciiTheme="majorHAnsi" w:hAnsiTheme="majorHAnsi"/>
          <w:color w:val="auto"/>
          <w:sz w:val="16"/>
          <w:szCs w:val="16"/>
          <w:lang w:val="es-UY"/>
        </w:rPr>
        <w:t>Estado v. Serrano, Caso No. CF01-003262-XX (Fla. 10th Cir. Ct. 2014), páginas 55-56. Documento de prueba A, presentado con información adicional del peticionario el 11 de febrero de 2015.</w:t>
      </w:r>
    </w:p>
  </w:footnote>
  <w:footnote w:id="28">
    <w:p w14:paraId="43537DAD" w14:textId="77777777" w:rsidR="00D9585D" w:rsidRPr="00A12FE2" w:rsidRDefault="00D9585D" w:rsidP="008C0C39">
      <w:pPr>
        <w:pStyle w:val="FootnoteText"/>
        <w:rPr>
          <w:rFonts w:asciiTheme="majorHAnsi" w:hAnsiTheme="majorHAnsi"/>
          <w:sz w:val="16"/>
          <w:szCs w:val="16"/>
          <w:lang w:val="it-IT"/>
        </w:rPr>
      </w:pPr>
      <w:r w:rsidRPr="00E9350D">
        <w:rPr>
          <w:rStyle w:val="FootnoteReference"/>
          <w:rFonts w:asciiTheme="majorHAnsi" w:hAnsiTheme="majorHAnsi"/>
          <w:sz w:val="16"/>
          <w:szCs w:val="16"/>
        </w:rPr>
        <w:footnoteRef/>
      </w:r>
      <w:r w:rsidRPr="00A12FE2">
        <w:rPr>
          <w:rStyle w:val="FootnoteReference"/>
          <w:rFonts w:asciiTheme="majorHAnsi" w:hAnsiTheme="majorHAnsi"/>
          <w:sz w:val="16"/>
          <w:szCs w:val="16"/>
          <w:lang w:val="it-IT"/>
        </w:rPr>
        <w:t xml:space="preserve"> </w:t>
      </w:r>
      <w:r w:rsidRPr="00A12FE2">
        <w:rPr>
          <w:rFonts w:asciiTheme="majorHAnsi" w:hAnsiTheme="majorHAnsi"/>
          <w:color w:val="auto"/>
          <w:sz w:val="16"/>
          <w:szCs w:val="16"/>
          <w:lang w:val="it-IT"/>
        </w:rPr>
        <w:t>Serrano v. State, Ficha No. 17-6928</w:t>
      </w:r>
    </w:p>
  </w:footnote>
  <w:footnote w:id="29">
    <w:p w14:paraId="750921AC" w14:textId="77777777" w:rsidR="00D9585D" w:rsidRPr="00E9350D" w:rsidRDefault="00D9585D" w:rsidP="008C0C39">
      <w:pPr>
        <w:pStyle w:val="FootnoteText"/>
        <w:rPr>
          <w:rFonts w:asciiTheme="majorHAnsi" w:hAnsiTheme="majorHAnsi"/>
          <w:sz w:val="16"/>
          <w:szCs w:val="16"/>
        </w:rPr>
      </w:pPr>
      <w:r w:rsidRPr="00E9350D">
        <w:rPr>
          <w:rStyle w:val="FootnoteReference"/>
          <w:rFonts w:asciiTheme="majorHAnsi" w:hAnsiTheme="majorHAnsi"/>
          <w:sz w:val="16"/>
          <w:szCs w:val="16"/>
        </w:rPr>
        <w:footnoteRef/>
      </w:r>
      <w:r w:rsidRPr="00E9350D">
        <w:rPr>
          <w:rStyle w:val="FootnoteReference"/>
          <w:rFonts w:asciiTheme="majorHAnsi" w:hAnsiTheme="majorHAnsi"/>
          <w:sz w:val="16"/>
          <w:szCs w:val="16"/>
        </w:rPr>
        <w:t xml:space="preserve"> </w:t>
      </w:r>
      <w:r w:rsidRPr="00E9350D">
        <w:rPr>
          <w:rFonts w:asciiTheme="majorHAnsi" w:hAnsiTheme="majorHAnsi"/>
          <w:color w:val="auto"/>
          <w:sz w:val="16"/>
          <w:szCs w:val="16"/>
        </w:rPr>
        <w:t>Hurst v. Florida, 577 U.S. _ (2016), p. 1.</w:t>
      </w:r>
    </w:p>
  </w:footnote>
  <w:footnote w:id="30">
    <w:p w14:paraId="7A5DBCCA" w14:textId="77777777" w:rsidR="00D9585D" w:rsidRPr="00A12FE2" w:rsidRDefault="00D9585D" w:rsidP="00200767">
      <w:pPr>
        <w:pStyle w:val="FootnoteText"/>
        <w:jc w:val="both"/>
        <w:rPr>
          <w:rFonts w:asciiTheme="majorHAnsi" w:hAnsiTheme="majorHAnsi"/>
          <w:color w:val="auto"/>
          <w:sz w:val="16"/>
          <w:szCs w:val="16"/>
          <w:lang w:val="pt-BR"/>
        </w:rPr>
      </w:pPr>
      <w:r w:rsidRPr="00E9350D">
        <w:rPr>
          <w:rStyle w:val="FootnoteReference"/>
          <w:rFonts w:asciiTheme="majorHAnsi" w:hAnsiTheme="majorHAnsi"/>
          <w:color w:val="auto"/>
          <w:sz w:val="16"/>
          <w:szCs w:val="16"/>
        </w:rPr>
        <w:footnoteRef/>
      </w:r>
      <w:r w:rsidRPr="00E9350D">
        <w:rPr>
          <w:rFonts w:asciiTheme="majorHAnsi" w:hAnsiTheme="majorHAnsi"/>
          <w:color w:val="auto"/>
          <w:sz w:val="16"/>
          <w:szCs w:val="16"/>
          <w:lang w:val="es-UY"/>
        </w:rPr>
        <w:t xml:space="preserve"> Véase, por ejemplo, Corte Interamericana de Derechos Humanos, Opinión Consultiva OC-16/99 (1 de octubre de 1999), </w:t>
      </w:r>
      <w:r w:rsidRPr="00E9350D">
        <w:rPr>
          <w:rFonts w:asciiTheme="majorHAnsi" w:hAnsiTheme="majorHAnsi" w:cs="Arial"/>
          <w:color w:val="545454"/>
          <w:sz w:val="16"/>
          <w:szCs w:val="16"/>
          <w:shd w:val="clear" w:color="auto" w:fill="FFFFFF"/>
          <w:lang w:val="es-UY"/>
        </w:rPr>
        <w:t>El Derecho a la Información sobre la Asistencia Consular en el Marco de las Garantías del Debido Proceso Legal</w:t>
      </w:r>
      <w:r w:rsidRPr="00E9350D">
        <w:rPr>
          <w:rFonts w:asciiTheme="majorHAnsi" w:hAnsiTheme="majorHAnsi"/>
          <w:color w:val="auto"/>
          <w:sz w:val="16"/>
          <w:szCs w:val="16"/>
          <w:lang w:val="es-UY"/>
        </w:rPr>
        <w:t xml:space="preserve">, párr.  136; Comité de Derechos Humanos de las Naciones Unidas, </w:t>
      </w:r>
      <w:r w:rsidRPr="00E9350D">
        <w:rPr>
          <w:rFonts w:asciiTheme="majorHAnsi" w:hAnsiTheme="majorHAnsi"/>
          <w:i/>
          <w:iCs/>
          <w:color w:val="auto"/>
          <w:sz w:val="16"/>
          <w:szCs w:val="16"/>
          <w:lang w:val="es-UY"/>
        </w:rPr>
        <w:t>Baboheram-Adhin et al. c. Suriname</w:t>
      </w:r>
      <w:r w:rsidRPr="00E9350D">
        <w:rPr>
          <w:rFonts w:asciiTheme="majorHAnsi" w:hAnsiTheme="majorHAnsi"/>
          <w:color w:val="auto"/>
          <w:sz w:val="16"/>
          <w:szCs w:val="16"/>
          <w:lang w:val="es-UY"/>
        </w:rPr>
        <w:t>,</w:t>
      </w:r>
      <w:r w:rsidRPr="00E9350D">
        <w:rPr>
          <w:rFonts w:asciiTheme="majorHAnsi" w:hAnsiTheme="majorHAnsi"/>
          <w:i/>
          <w:iCs/>
          <w:color w:val="auto"/>
          <w:sz w:val="16"/>
          <w:szCs w:val="16"/>
          <w:lang w:val="es-UY"/>
        </w:rPr>
        <w:t xml:space="preserve"> </w:t>
      </w:r>
      <w:r w:rsidRPr="00E9350D">
        <w:rPr>
          <w:rFonts w:asciiTheme="majorHAnsi" w:hAnsiTheme="majorHAnsi"/>
          <w:color w:val="auto"/>
          <w:sz w:val="16"/>
          <w:szCs w:val="16"/>
          <w:lang w:val="es-UY"/>
        </w:rPr>
        <w:t xml:space="preserve">Comunicaciones Nos. 148-154/1983, adoptadas el 4 de abril de 1985, párr.  14.3; </w:t>
      </w:r>
      <w:r w:rsidRPr="00E9350D">
        <w:rPr>
          <w:rFonts w:asciiTheme="majorHAnsi" w:hAnsiTheme="majorHAnsi"/>
          <w:i/>
          <w:iCs/>
          <w:color w:val="auto"/>
          <w:sz w:val="16"/>
          <w:szCs w:val="16"/>
          <w:lang w:val="es-UY"/>
        </w:rPr>
        <w:t xml:space="preserve">Informe del Relator Especial de las Naciones Unidas sobre Ejecuciones Extrajudiciales, </w:t>
      </w:r>
      <w:r w:rsidRPr="00E9350D">
        <w:rPr>
          <w:rFonts w:asciiTheme="majorHAnsi" w:hAnsiTheme="majorHAnsi"/>
          <w:color w:val="auto"/>
          <w:sz w:val="16"/>
          <w:szCs w:val="16"/>
          <w:lang w:val="es-UY"/>
        </w:rPr>
        <w:t xml:space="preserve">Bacre Waly Ndiaye, presentado conforme a la Resolución 1994/82 de la Comisión de Derechos Humanos, Cuestión de la Violación de derechos humanos y libertades fundamentales en cualquier parte del mundo, y en particular en los países y territorios dependientes, UN Doc.E/CN.4/1995/61 (14 de diciembre de1994), párr.  </w:t>
      </w:r>
      <w:r w:rsidRPr="00A12FE2">
        <w:rPr>
          <w:rFonts w:asciiTheme="majorHAnsi" w:hAnsiTheme="majorHAnsi"/>
          <w:color w:val="auto"/>
          <w:sz w:val="16"/>
          <w:szCs w:val="16"/>
          <w:lang w:val="pt-BR"/>
        </w:rPr>
        <w:t>378.</w:t>
      </w:r>
    </w:p>
  </w:footnote>
  <w:footnote w:id="31">
    <w:p w14:paraId="79209494" w14:textId="77777777" w:rsidR="00D9585D" w:rsidRPr="00E9350D" w:rsidRDefault="00D9585D" w:rsidP="008C0C39">
      <w:pPr>
        <w:pStyle w:val="FootnoteText"/>
        <w:jc w:val="both"/>
        <w:rPr>
          <w:rFonts w:asciiTheme="majorHAnsi" w:hAnsiTheme="majorHAnsi"/>
          <w:color w:val="auto"/>
          <w:sz w:val="16"/>
          <w:szCs w:val="16"/>
          <w:lang w:val="es-UY"/>
        </w:rPr>
      </w:pPr>
      <w:r w:rsidRPr="00E9350D">
        <w:rPr>
          <w:rStyle w:val="FootnoteReference"/>
          <w:rFonts w:asciiTheme="majorHAnsi" w:hAnsiTheme="majorHAnsi"/>
          <w:color w:val="auto"/>
          <w:sz w:val="16"/>
          <w:szCs w:val="16"/>
        </w:rPr>
        <w:footnoteRef/>
      </w:r>
      <w:r w:rsidRPr="00A12FE2">
        <w:rPr>
          <w:rFonts w:asciiTheme="majorHAnsi" w:hAnsiTheme="majorHAnsi"/>
          <w:color w:val="auto"/>
          <w:sz w:val="16"/>
          <w:szCs w:val="16"/>
          <w:lang w:val="pt-BR"/>
        </w:rPr>
        <w:t xml:space="preserve"> CIDH,</w:t>
      </w:r>
      <w:r w:rsidRPr="00A12FE2">
        <w:rPr>
          <w:rFonts w:asciiTheme="majorHAnsi" w:hAnsiTheme="majorHAnsi"/>
          <w:i/>
          <w:iCs/>
          <w:color w:val="auto"/>
          <w:sz w:val="16"/>
          <w:szCs w:val="16"/>
          <w:lang w:val="pt-BR"/>
        </w:rPr>
        <w:t xml:space="preserve"> </w:t>
      </w:r>
      <w:r w:rsidRPr="00A12FE2">
        <w:rPr>
          <w:rFonts w:asciiTheme="majorHAnsi" w:hAnsiTheme="majorHAnsi"/>
          <w:color w:val="auto"/>
          <w:sz w:val="16"/>
          <w:szCs w:val="16"/>
          <w:lang w:val="pt-BR"/>
        </w:rPr>
        <w:t xml:space="preserve">Informe No. 57/96, </w:t>
      </w:r>
      <w:r w:rsidRPr="00A12FE2">
        <w:rPr>
          <w:rFonts w:asciiTheme="majorHAnsi" w:hAnsiTheme="majorHAnsi"/>
          <w:iCs/>
          <w:color w:val="auto"/>
          <w:sz w:val="16"/>
          <w:szCs w:val="16"/>
          <w:lang w:val="pt-BR"/>
        </w:rPr>
        <w:t xml:space="preserve">Andrews, Estados Unidos, </w:t>
      </w:r>
      <w:r w:rsidRPr="00A12FE2">
        <w:rPr>
          <w:rFonts w:asciiTheme="majorHAnsi" w:hAnsiTheme="majorHAnsi"/>
          <w:color w:val="auto"/>
          <w:sz w:val="16"/>
          <w:szCs w:val="16"/>
          <w:lang w:val="pt-BR"/>
        </w:rPr>
        <w:t xml:space="preserve">Informe Anual de la CIDH, 1997, párr.  170-171; Informe No. 38/00 Baptiste, Grenada, Informe Anual de la CIDH, 1999, párrs. </w:t>
      </w:r>
      <w:r w:rsidRPr="00E9350D">
        <w:rPr>
          <w:rFonts w:asciiTheme="majorHAnsi" w:hAnsiTheme="majorHAnsi"/>
          <w:color w:val="auto"/>
          <w:sz w:val="16"/>
          <w:szCs w:val="16"/>
          <w:lang w:val="es-UY"/>
        </w:rPr>
        <w:t xml:space="preserve">64-66; Informe No. 41/00, McKenzie </w:t>
      </w:r>
      <w:r w:rsidRPr="00E9350D">
        <w:rPr>
          <w:rFonts w:asciiTheme="majorHAnsi" w:hAnsiTheme="majorHAnsi"/>
          <w:i/>
          <w:iCs/>
          <w:color w:val="auto"/>
          <w:sz w:val="16"/>
          <w:szCs w:val="16"/>
          <w:lang w:val="es-UY"/>
        </w:rPr>
        <w:t>et al.</w:t>
      </w:r>
      <w:r w:rsidRPr="00E9350D">
        <w:rPr>
          <w:rFonts w:asciiTheme="majorHAnsi" w:hAnsiTheme="majorHAnsi"/>
          <w:iCs/>
          <w:color w:val="auto"/>
          <w:sz w:val="16"/>
          <w:szCs w:val="16"/>
          <w:lang w:val="es-UY"/>
        </w:rPr>
        <w:t>,</w:t>
      </w:r>
      <w:r w:rsidRPr="00E9350D">
        <w:rPr>
          <w:rFonts w:asciiTheme="majorHAnsi" w:hAnsiTheme="majorHAnsi"/>
          <w:color w:val="auto"/>
          <w:sz w:val="16"/>
          <w:szCs w:val="16"/>
          <w:lang w:val="es-UY"/>
        </w:rPr>
        <w:t xml:space="preserve"> Jamaica, Informe Anual de la CIDH1999, párrs.. 169-171.</w:t>
      </w:r>
    </w:p>
  </w:footnote>
  <w:footnote w:id="32">
    <w:p w14:paraId="71F0F410" w14:textId="77777777" w:rsidR="00D9585D" w:rsidRPr="00E9350D" w:rsidRDefault="00D9585D" w:rsidP="008C0C39">
      <w:pPr>
        <w:autoSpaceDE w:val="0"/>
        <w:autoSpaceDN w:val="0"/>
        <w:adjustRightInd w:val="0"/>
        <w:jc w:val="both"/>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Fonts w:asciiTheme="majorHAnsi" w:hAnsiTheme="majorHAnsi"/>
          <w:sz w:val="16"/>
          <w:szCs w:val="16"/>
          <w:lang w:val="es-UY"/>
        </w:rPr>
        <w:t xml:space="preserve"> CIDH, La pena de muerte en el Sistema interamericano de derechos humanos: de restricciones a abolición, </w:t>
      </w:r>
      <w:r w:rsidRPr="00E9350D">
        <w:rPr>
          <w:rFonts w:asciiTheme="majorHAnsi" w:hAnsiTheme="majorHAnsi" w:cs="Calibri"/>
          <w:sz w:val="16"/>
          <w:szCs w:val="16"/>
          <w:lang w:val="es-UY"/>
        </w:rPr>
        <w:t xml:space="preserve">OEA/Ser.L/V/II.Doc. 68, 31 de diciembre de 2011, </w:t>
      </w:r>
      <w:r w:rsidRPr="00E9350D">
        <w:rPr>
          <w:rFonts w:asciiTheme="majorHAnsi" w:hAnsiTheme="majorHAnsi"/>
          <w:sz w:val="16"/>
          <w:szCs w:val="16"/>
          <w:lang w:val="es-UY"/>
        </w:rPr>
        <w:t>párr.  41.</w:t>
      </w:r>
    </w:p>
  </w:footnote>
  <w:footnote w:id="33">
    <w:p w14:paraId="43D00538" w14:textId="77777777" w:rsidR="00D9585D" w:rsidRPr="00E9350D" w:rsidRDefault="00D9585D" w:rsidP="008C0C39">
      <w:pPr>
        <w:autoSpaceDE w:val="0"/>
        <w:autoSpaceDN w:val="0"/>
        <w:adjustRightInd w:val="0"/>
        <w:jc w:val="both"/>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Fonts w:asciiTheme="majorHAnsi" w:hAnsiTheme="majorHAnsi"/>
          <w:sz w:val="16"/>
          <w:szCs w:val="16"/>
          <w:lang w:val="es-UY"/>
        </w:rPr>
        <w:t xml:space="preserve"> CIDH, Informe No. 78/07, Caso 12.265, Méritos (Publicación), Chad Roger Goodman, Las Bahamas, 15 de octubre de 2007, párr.  34.</w:t>
      </w:r>
    </w:p>
  </w:footnote>
  <w:footnote w:id="34">
    <w:p w14:paraId="1E65157B" w14:textId="77777777" w:rsidR="00D9585D" w:rsidRPr="00E9350D" w:rsidRDefault="00D9585D" w:rsidP="008C0C39">
      <w:pPr>
        <w:pStyle w:val="FootnoteText"/>
        <w:jc w:val="both"/>
        <w:rPr>
          <w:rFonts w:asciiTheme="majorHAnsi" w:hAnsiTheme="majorHAnsi" w:cs="Times New Roman"/>
          <w:color w:val="auto"/>
          <w:sz w:val="16"/>
          <w:szCs w:val="16"/>
          <w:lang w:val="es-UY"/>
        </w:rPr>
      </w:pPr>
      <w:r w:rsidRPr="00E9350D">
        <w:rPr>
          <w:rStyle w:val="FootnoteReference"/>
          <w:rFonts w:asciiTheme="majorHAnsi" w:hAnsiTheme="majorHAnsi"/>
          <w:color w:val="auto"/>
          <w:sz w:val="16"/>
          <w:szCs w:val="16"/>
        </w:rPr>
        <w:footnoteRef/>
      </w:r>
      <w:r w:rsidRPr="00E9350D">
        <w:rPr>
          <w:rFonts w:asciiTheme="majorHAnsi" w:hAnsiTheme="majorHAnsi"/>
          <w:color w:val="auto"/>
          <w:sz w:val="16"/>
          <w:szCs w:val="16"/>
          <w:lang w:val="es-UY"/>
        </w:rPr>
        <w:t xml:space="preserve"> CIDH, Informe No. 44/14, Caso 12,873, Informe sobre Méritos (Publicación), Edgar Tamayo Arias, Estados Unidos, 17 de julio de 2014, párr.  214.</w:t>
      </w:r>
    </w:p>
  </w:footnote>
  <w:footnote w:id="35">
    <w:p w14:paraId="26F5C4E2" w14:textId="77777777" w:rsidR="00D9585D" w:rsidRPr="00E9350D" w:rsidRDefault="00D9585D" w:rsidP="008C0C39">
      <w:pPr>
        <w:pStyle w:val="FootnoteText"/>
        <w:jc w:val="both"/>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Fonts w:asciiTheme="majorHAnsi" w:hAnsiTheme="majorHAnsi"/>
          <w:sz w:val="16"/>
          <w:szCs w:val="16"/>
          <w:lang w:val="es-UY"/>
        </w:rPr>
        <w:t xml:space="preserve"> </w:t>
      </w:r>
      <w:r w:rsidRPr="00E9350D">
        <w:rPr>
          <w:rFonts w:asciiTheme="majorHAnsi" w:hAnsiTheme="majorHAnsi" w:cs="Times New Roman"/>
          <w:sz w:val="16"/>
          <w:szCs w:val="16"/>
          <w:lang w:val="es-UY"/>
        </w:rPr>
        <w:t>CIDH. Informe No. 112/10, Petición Interestatal PI-02. Admisibilidad. Caso Franklin Guillermo Aisalla Molina, Ecuador c. Colombia. 21 de octubre de 2010, párr.  99.</w:t>
      </w:r>
    </w:p>
  </w:footnote>
  <w:footnote w:id="36">
    <w:p w14:paraId="3D8EEA98" w14:textId="77777777" w:rsidR="00D9585D" w:rsidRPr="00E9350D" w:rsidRDefault="00D9585D" w:rsidP="008C0C39">
      <w:pPr>
        <w:pStyle w:val="FootnoteText"/>
        <w:jc w:val="both"/>
        <w:rPr>
          <w:rFonts w:asciiTheme="majorHAnsi" w:hAnsiTheme="majorHAnsi"/>
          <w:sz w:val="16"/>
          <w:szCs w:val="16"/>
          <w:lang w:val="es-UY"/>
        </w:rPr>
      </w:pPr>
      <w:r w:rsidRPr="00E9350D">
        <w:rPr>
          <w:rStyle w:val="FootnoteReference"/>
          <w:rFonts w:asciiTheme="majorHAnsi" w:hAnsiTheme="majorHAnsi"/>
          <w:color w:val="auto"/>
          <w:sz w:val="16"/>
          <w:szCs w:val="16"/>
        </w:rPr>
        <w:footnoteRef/>
      </w:r>
      <w:r w:rsidRPr="00E9350D">
        <w:rPr>
          <w:rStyle w:val="FootnoteReference"/>
          <w:rFonts w:asciiTheme="majorHAnsi" w:hAnsiTheme="majorHAnsi"/>
          <w:color w:val="auto"/>
          <w:sz w:val="16"/>
          <w:szCs w:val="16"/>
          <w:lang w:val="es-UY"/>
        </w:rPr>
        <w:t xml:space="preserve"> </w:t>
      </w:r>
      <w:r w:rsidRPr="00E9350D">
        <w:rPr>
          <w:rFonts w:asciiTheme="majorHAnsi" w:hAnsiTheme="majorHAnsi"/>
          <w:sz w:val="16"/>
          <w:szCs w:val="16"/>
          <w:lang w:val="es-UY"/>
        </w:rPr>
        <w:t>CIDH, Informe No. 121/18, Caso No. 10.573. Méritos (Publicación). José Isabel Salas Galindo y otros. Estados Unidos. 5 de octubre de 2018, párr.  309.</w:t>
      </w:r>
    </w:p>
  </w:footnote>
  <w:footnote w:id="37">
    <w:p w14:paraId="2ECA908D" w14:textId="77777777" w:rsidR="00D9585D" w:rsidRPr="00E9350D" w:rsidRDefault="00D9585D" w:rsidP="008C0C39">
      <w:pPr>
        <w:pStyle w:val="NoSpacing"/>
        <w:ind w:firstLine="0"/>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Fonts w:asciiTheme="majorHAnsi" w:hAnsiTheme="majorHAnsi"/>
          <w:sz w:val="16"/>
          <w:szCs w:val="16"/>
          <w:lang w:val="es-UY"/>
        </w:rPr>
        <w:t xml:space="preserve"> CEDH. Drozd y Janousek c. Francia y España, Sentencia del 26 de junio de 1992, párr.  91. Véanse también las decisiones de la Comisión Europea de Derechos Humanos sobre la Admisibilidad de la Petición 1611/62, X c. la República Federal de Alemania, 25 de septiembre de 1965; Petición No. 6231/73, Hess  c. Reino Unido, 28 de mayo de 1975; peticiones 6780/74 y 6950/75, Chipre c. Turquía, 26 de mayo de 1975; peticiones 7289/75 y 7349/76, X e Y c. Suiza, 14 de julio de 1977; Petición 9348/81, W. c. Reino Unido, 28 de febrero de 1983.</w:t>
      </w:r>
    </w:p>
  </w:footnote>
  <w:footnote w:id="38">
    <w:p w14:paraId="2C184811" w14:textId="77777777" w:rsidR="00D9585D" w:rsidRPr="00E9350D" w:rsidRDefault="00D9585D" w:rsidP="008C0C39">
      <w:pPr>
        <w:pStyle w:val="NoSpacing"/>
        <w:ind w:firstLine="0"/>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Fonts w:asciiTheme="majorHAnsi" w:hAnsiTheme="majorHAnsi"/>
          <w:sz w:val="16"/>
          <w:szCs w:val="16"/>
          <w:lang w:val="es-UY"/>
        </w:rPr>
        <w:t xml:space="preserve"> CEDH. Ilascu y otros c. Moldavia y Rusia, [GC] Petición No. 48787/99. Sentencia del 8 de julio de 2004, párr.  311.</w:t>
      </w:r>
    </w:p>
  </w:footnote>
  <w:footnote w:id="39">
    <w:p w14:paraId="3A917BA8" w14:textId="77777777" w:rsidR="00D9585D" w:rsidRPr="00E9350D" w:rsidRDefault="00D9585D" w:rsidP="008C0C39">
      <w:pPr>
        <w:pStyle w:val="NoSpacing"/>
        <w:ind w:firstLine="0"/>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Fonts w:asciiTheme="majorHAnsi" w:hAnsiTheme="majorHAnsi"/>
          <w:sz w:val="16"/>
          <w:szCs w:val="16"/>
          <w:lang w:val="es-UY"/>
        </w:rPr>
        <w:t xml:space="preserve"> CEDH. Bankovic y otros c. Bélgica. Sentencia del 12 de diciembre de 2001, párrs. 59-61.</w:t>
      </w:r>
    </w:p>
  </w:footnote>
  <w:footnote w:id="40">
    <w:p w14:paraId="7A41C0CE" w14:textId="77777777" w:rsidR="00D9585D" w:rsidRPr="00E9350D" w:rsidRDefault="00D9585D" w:rsidP="008C0C39">
      <w:pPr>
        <w:pStyle w:val="FootnoteText"/>
        <w:rPr>
          <w:rFonts w:asciiTheme="majorHAnsi" w:hAnsiTheme="majorHAnsi"/>
          <w:sz w:val="16"/>
          <w:szCs w:val="16"/>
          <w:lang w:val="es-UY"/>
        </w:rPr>
      </w:pPr>
      <w:r w:rsidRPr="00E9350D">
        <w:rPr>
          <w:rStyle w:val="FootnoteReference"/>
          <w:rFonts w:asciiTheme="majorHAnsi" w:eastAsia="Cambria" w:hAnsiTheme="majorHAnsi"/>
          <w:sz w:val="16"/>
          <w:szCs w:val="16"/>
          <w:lang w:val="es-ES_tradnl" w:eastAsia="es-CL"/>
        </w:rPr>
        <w:footnoteRef/>
      </w:r>
      <w:r w:rsidRPr="00E9350D">
        <w:rPr>
          <w:rFonts w:asciiTheme="majorHAnsi" w:hAnsiTheme="majorHAnsi"/>
          <w:sz w:val="16"/>
          <w:szCs w:val="16"/>
          <w:lang w:val="es-UY"/>
        </w:rPr>
        <w:t xml:space="preserve"> </w:t>
      </w:r>
      <w:r w:rsidRPr="00E9350D">
        <w:rPr>
          <w:rFonts w:asciiTheme="majorHAnsi" w:eastAsia="Cambria" w:hAnsiTheme="majorHAnsi" w:cs="Cambria"/>
          <w:sz w:val="16"/>
          <w:szCs w:val="16"/>
          <w:lang w:val="es-UY" w:eastAsia="es-CL"/>
        </w:rPr>
        <w:t>CEDH. Issa y otros c. Turquía. Sentencia del 16 de noviembre de 2004, párr.  71.</w:t>
      </w:r>
    </w:p>
  </w:footnote>
  <w:footnote w:id="41">
    <w:p w14:paraId="478EAACD" w14:textId="77777777" w:rsidR="00D9585D" w:rsidRPr="00E9350D" w:rsidRDefault="00D9585D" w:rsidP="008C0C39">
      <w:pPr>
        <w:pStyle w:val="NoSpacing"/>
        <w:ind w:firstLine="0"/>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Fonts w:asciiTheme="majorHAnsi" w:hAnsiTheme="majorHAnsi"/>
          <w:sz w:val="16"/>
          <w:szCs w:val="16"/>
          <w:lang w:val="es-UY"/>
        </w:rPr>
        <w:t xml:space="preserve"> ICJ. Opinión Consultiva sobre las Consecuencias jurídicas de la construcción de un muro en el territorio palestino ocupado, 9 de julio de 2004, párr.  109. </w:t>
      </w:r>
    </w:p>
  </w:footnote>
  <w:footnote w:id="42">
    <w:p w14:paraId="473B6000" w14:textId="77777777" w:rsidR="00D9585D" w:rsidRPr="00E9350D" w:rsidRDefault="00D9585D" w:rsidP="008C0C39">
      <w:pPr>
        <w:pStyle w:val="NoSpacing"/>
        <w:ind w:firstLine="0"/>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Fonts w:asciiTheme="majorHAnsi" w:hAnsiTheme="majorHAnsi"/>
          <w:sz w:val="16"/>
          <w:szCs w:val="16"/>
          <w:lang w:val="es-UY"/>
        </w:rPr>
        <w:t xml:space="preserve"> CCPR. López Burgos c. Uruguay, Doc. UN CCPR/C/13/D/52/1979, 29 de julio de 1981; Celiberti c. Uruguay, Doc. UN CCPR/C/13/D/56/1979, 29 de julio de 1981; Observaciones finales sobre Chipre, Doc. UN CCPR/C/79/Add.39, 21 de septiembre de 1994, párr.  3; Observaciones finales sobre Israel, Doc. UN CCPR/C/79/Add.93, 18 de agosto de 1998, párr.  10; Observaciones finales sobre Israel, Doc. UN CCPR/CO/78/ISR, 21 de agosto de 2003, párr. 11; Observaciones Finales sobre Bélgica, Doc. UN CCPR/C/79/Add.99, 19 de noviembre de 1998, párr.  14; Observaciones Finales sobre los Países Bajos, Doc. UN CCPR/CO/72/NET, 27 de agosto de 2001, párr.  8, y Observaciones Finales sobre Bélgica, Doc. UN CCPR/CO/81/BEL, 12 de agosto de 2004, párr.  6.</w:t>
      </w:r>
    </w:p>
  </w:footnote>
  <w:footnote w:id="43">
    <w:p w14:paraId="4BDEBE8F" w14:textId="77777777" w:rsidR="00D9585D" w:rsidRPr="00E9350D" w:rsidRDefault="00D9585D" w:rsidP="008C0C39">
      <w:pPr>
        <w:pStyle w:val="FootnoteText"/>
        <w:jc w:val="both"/>
        <w:rPr>
          <w:rFonts w:asciiTheme="majorHAnsi" w:hAnsiTheme="majorHAnsi"/>
          <w:sz w:val="16"/>
          <w:szCs w:val="16"/>
          <w:lang w:val="es-UY"/>
        </w:rPr>
      </w:pPr>
      <w:r w:rsidRPr="00E9350D">
        <w:rPr>
          <w:rStyle w:val="FootnoteReference"/>
          <w:rFonts w:asciiTheme="majorHAnsi" w:hAnsiTheme="majorHAnsi"/>
          <w:color w:val="auto"/>
          <w:sz w:val="16"/>
          <w:szCs w:val="16"/>
        </w:rPr>
        <w:footnoteRef/>
      </w:r>
      <w:r w:rsidRPr="00E9350D">
        <w:rPr>
          <w:rFonts w:asciiTheme="majorHAnsi" w:hAnsiTheme="majorHAnsi"/>
          <w:sz w:val="16"/>
          <w:szCs w:val="16"/>
          <w:lang w:val="es-UY"/>
        </w:rPr>
        <w:t xml:space="preserve"> </w:t>
      </w:r>
      <w:r w:rsidRPr="00E9350D">
        <w:rPr>
          <w:rFonts w:asciiTheme="majorHAnsi" w:eastAsia="Arial Unicode MS" w:hAnsiTheme="majorHAnsi" w:cs="Times New Roman"/>
          <w:color w:val="auto"/>
          <w:sz w:val="16"/>
          <w:szCs w:val="16"/>
          <w:lang w:val="es-UY" w:eastAsia="en-US"/>
        </w:rPr>
        <w:t>El artículo XXV de la Declaración Americana establece: Nadie puede ser privado de su libertad sino en los casos y según las formas establecidas por leyes preexistentes</w:t>
      </w:r>
      <w:r w:rsidRPr="00E9350D">
        <w:rPr>
          <w:rFonts w:asciiTheme="majorHAnsi" w:hAnsiTheme="majorHAnsi" w:cs="Tahoma"/>
          <w:color w:val="333333"/>
          <w:spacing w:val="-3"/>
          <w:sz w:val="16"/>
          <w:szCs w:val="16"/>
          <w:shd w:val="clear" w:color="auto" w:fill="E3E9F0"/>
          <w:lang w:val="es-UY"/>
        </w:rPr>
        <w:t>.</w:t>
      </w:r>
    </w:p>
  </w:footnote>
  <w:footnote w:id="44">
    <w:p w14:paraId="3B4156A1" w14:textId="77777777" w:rsidR="00D9585D" w:rsidRPr="00E9350D" w:rsidRDefault="00D9585D" w:rsidP="008C0C39">
      <w:pPr>
        <w:pStyle w:val="FootnoteText"/>
        <w:rPr>
          <w:rFonts w:asciiTheme="majorHAnsi" w:hAnsiTheme="majorHAnsi"/>
          <w:sz w:val="16"/>
          <w:szCs w:val="16"/>
          <w:lang w:val="es-UY"/>
        </w:rPr>
      </w:pPr>
      <w:r w:rsidRPr="00E9350D">
        <w:rPr>
          <w:rStyle w:val="FootnoteReference"/>
          <w:rFonts w:asciiTheme="majorHAnsi" w:hAnsiTheme="majorHAnsi"/>
          <w:color w:val="auto"/>
          <w:sz w:val="16"/>
          <w:szCs w:val="16"/>
        </w:rPr>
        <w:footnoteRef/>
      </w:r>
      <w:r w:rsidRPr="00E9350D">
        <w:rPr>
          <w:rStyle w:val="FootnoteReference"/>
          <w:rFonts w:asciiTheme="majorHAnsi" w:hAnsiTheme="majorHAnsi"/>
          <w:color w:val="auto"/>
          <w:sz w:val="16"/>
          <w:szCs w:val="16"/>
          <w:lang w:val="es-UY"/>
        </w:rPr>
        <w:t xml:space="preserve"> </w:t>
      </w:r>
      <w:r w:rsidRPr="00E9350D">
        <w:rPr>
          <w:rFonts w:asciiTheme="majorHAnsi" w:eastAsia="Arial Unicode MS" w:hAnsiTheme="majorHAnsi" w:cs="Times New Roman"/>
          <w:color w:val="auto"/>
          <w:sz w:val="16"/>
          <w:szCs w:val="16"/>
          <w:lang w:val="es-UY" w:eastAsia="en-US"/>
        </w:rPr>
        <w:t>CIDH, Informe sobre Terrorismo y Derechos Humanos, OEA/Ser.L/V/II.116.Doc.5 rev.1, 22 de octubre de 2002, párr.  120.</w:t>
      </w:r>
    </w:p>
  </w:footnote>
  <w:footnote w:id="45">
    <w:p w14:paraId="54A540CB" w14:textId="77777777" w:rsidR="00D9585D" w:rsidRPr="00E9350D" w:rsidRDefault="00D9585D" w:rsidP="008C0C39">
      <w:pPr>
        <w:pStyle w:val="FootnoteText"/>
        <w:jc w:val="both"/>
        <w:rPr>
          <w:rFonts w:asciiTheme="majorHAnsi" w:hAnsiTheme="majorHAnsi"/>
          <w:sz w:val="16"/>
          <w:szCs w:val="16"/>
          <w:lang w:val="es-UY"/>
        </w:rPr>
      </w:pPr>
      <w:r w:rsidRPr="00E9350D">
        <w:rPr>
          <w:rStyle w:val="FootnoteReference"/>
          <w:rFonts w:asciiTheme="majorHAnsi" w:hAnsiTheme="majorHAnsi"/>
          <w:color w:val="auto"/>
          <w:sz w:val="16"/>
          <w:szCs w:val="16"/>
        </w:rPr>
        <w:footnoteRef/>
      </w:r>
      <w:r w:rsidRPr="00E9350D">
        <w:rPr>
          <w:rStyle w:val="FootnoteReference"/>
          <w:rFonts w:asciiTheme="majorHAnsi" w:hAnsiTheme="majorHAnsi"/>
          <w:color w:val="auto"/>
          <w:sz w:val="16"/>
          <w:szCs w:val="16"/>
          <w:lang w:val="es-UY"/>
        </w:rPr>
        <w:t xml:space="preserve"> </w:t>
      </w:r>
      <w:r w:rsidRPr="00E9350D">
        <w:rPr>
          <w:rFonts w:asciiTheme="majorHAnsi" w:hAnsiTheme="majorHAnsi"/>
          <w:color w:val="auto"/>
          <w:sz w:val="16"/>
          <w:szCs w:val="16"/>
          <w:lang w:val="es-UY"/>
        </w:rPr>
        <w:t>CIDH, Petición a la Corte Interamericana de Derechos Humanos en el caso de Juan Carlos Chaparro y Freddy Hernán Lapo. Caso 12.091. Ecuador. 23 de junio de 2006, párr. 59.</w:t>
      </w:r>
    </w:p>
  </w:footnote>
  <w:footnote w:id="46">
    <w:p w14:paraId="62B39192" w14:textId="77777777" w:rsidR="00D9585D" w:rsidRPr="00E9350D" w:rsidRDefault="00D9585D" w:rsidP="008C0C39">
      <w:pPr>
        <w:pStyle w:val="Heading2"/>
        <w:shd w:val="clear" w:color="auto" w:fill="FFFFFF"/>
        <w:spacing w:before="0"/>
        <w:rPr>
          <w:sz w:val="16"/>
          <w:szCs w:val="16"/>
          <w:lang w:val="es-UY"/>
        </w:rPr>
      </w:pPr>
      <w:r w:rsidRPr="00E9350D">
        <w:rPr>
          <w:rStyle w:val="FootnoteReference"/>
          <w:color w:val="auto"/>
          <w:sz w:val="16"/>
          <w:szCs w:val="16"/>
        </w:rPr>
        <w:footnoteRef/>
      </w:r>
      <w:r w:rsidRPr="00E9350D">
        <w:rPr>
          <w:b w:val="0"/>
          <w:color w:val="auto"/>
          <w:sz w:val="16"/>
          <w:szCs w:val="16"/>
          <w:lang w:val="es-UY"/>
        </w:rPr>
        <w:t>Naciones Unidas, Conjunto de Principios para la protección de todas las personas sometidas a cualquier forma de detención o prisión, adoptado por la Asamblea General en la Resolución 43/173, del 9 de diciembre de 1988, Principio 4.</w:t>
      </w:r>
    </w:p>
  </w:footnote>
  <w:footnote w:id="47">
    <w:p w14:paraId="1DE48879" w14:textId="77777777" w:rsidR="00D9585D" w:rsidRPr="00E9350D" w:rsidRDefault="00D9585D" w:rsidP="008C0C39">
      <w:pPr>
        <w:pStyle w:val="FootnoteText"/>
        <w:jc w:val="both"/>
        <w:rPr>
          <w:rFonts w:asciiTheme="majorHAnsi" w:hAnsiTheme="majorHAnsi"/>
          <w:sz w:val="16"/>
          <w:szCs w:val="16"/>
          <w:lang w:val="es-UY"/>
        </w:rPr>
      </w:pPr>
      <w:r w:rsidRPr="00E9350D">
        <w:rPr>
          <w:rStyle w:val="FootnoteReference"/>
          <w:rFonts w:asciiTheme="majorHAnsi" w:hAnsiTheme="majorHAnsi"/>
          <w:color w:val="auto"/>
          <w:sz w:val="16"/>
          <w:szCs w:val="16"/>
        </w:rPr>
        <w:footnoteRef/>
      </w:r>
      <w:r w:rsidRPr="00E9350D">
        <w:rPr>
          <w:rStyle w:val="FootnoteReference"/>
          <w:rFonts w:asciiTheme="majorHAnsi" w:hAnsiTheme="majorHAnsi"/>
          <w:color w:val="auto"/>
          <w:sz w:val="16"/>
          <w:szCs w:val="16"/>
          <w:lang w:val="es-UY"/>
        </w:rPr>
        <w:t xml:space="preserve"> </w:t>
      </w:r>
      <w:r w:rsidRPr="00E9350D">
        <w:rPr>
          <w:rFonts w:asciiTheme="majorHAnsi" w:hAnsiTheme="majorHAnsi"/>
          <w:color w:val="auto"/>
          <w:sz w:val="16"/>
          <w:szCs w:val="16"/>
          <w:lang w:val="es-UY"/>
        </w:rPr>
        <w:t>CIDH, Petición a la Corte Interamericana de Derechos Humanos en el Caso de Juan Carlos Chaparro y Freddy Hernán Lapo. Caso 12.091. Ecuador. 23 de junio de 2006, párr.  72.</w:t>
      </w:r>
    </w:p>
  </w:footnote>
  <w:footnote w:id="48">
    <w:p w14:paraId="63545C27" w14:textId="77777777" w:rsidR="00D9585D" w:rsidRPr="00E9350D" w:rsidRDefault="00D9585D" w:rsidP="00900A8A">
      <w:pPr>
        <w:pStyle w:val="FootnoteText"/>
        <w:jc w:val="both"/>
        <w:rPr>
          <w:rFonts w:asciiTheme="majorHAnsi" w:hAnsiTheme="majorHAnsi"/>
          <w:sz w:val="16"/>
          <w:szCs w:val="16"/>
          <w:lang w:val="es-UY"/>
        </w:rPr>
      </w:pPr>
      <w:r w:rsidRPr="00E9350D">
        <w:rPr>
          <w:rStyle w:val="FootnoteReference"/>
          <w:rFonts w:asciiTheme="majorHAnsi" w:hAnsiTheme="majorHAnsi"/>
          <w:color w:val="auto"/>
          <w:sz w:val="16"/>
          <w:szCs w:val="16"/>
        </w:rPr>
        <w:footnoteRef/>
      </w:r>
      <w:r w:rsidRPr="00E9350D">
        <w:rPr>
          <w:rFonts w:asciiTheme="majorHAnsi" w:hAnsiTheme="majorHAnsi"/>
          <w:sz w:val="16"/>
          <w:szCs w:val="16"/>
          <w:lang w:val="es-UY"/>
        </w:rPr>
        <w:t xml:space="preserve"> </w:t>
      </w:r>
      <w:r w:rsidRPr="00E9350D">
        <w:rPr>
          <w:rFonts w:asciiTheme="majorHAnsi" w:eastAsia="Arial Unicode MS" w:hAnsiTheme="majorHAnsi" w:cs="Times New Roman"/>
          <w:color w:val="auto"/>
          <w:sz w:val="16"/>
          <w:szCs w:val="16"/>
          <w:lang w:val="es-UY" w:eastAsia="en-US"/>
        </w:rPr>
        <w:t>El artículo XVIII</w:t>
      </w:r>
      <w:r w:rsidRPr="00E9350D">
        <w:rPr>
          <w:rFonts w:asciiTheme="majorHAnsi" w:hAnsiTheme="majorHAnsi"/>
          <w:color w:val="auto"/>
          <w:sz w:val="16"/>
          <w:szCs w:val="16"/>
          <w:lang w:val="es-UY"/>
        </w:rPr>
        <w:t xml:space="preserve"> de la Declaración Americana establece</w:t>
      </w:r>
      <w:r w:rsidRPr="00E9350D">
        <w:rPr>
          <w:rFonts w:asciiTheme="majorHAnsi" w:eastAsia="Arial Unicode MS" w:hAnsiTheme="majorHAnsi" w:cs="Times New Roman"/>
          <w:color w:val="auto"/>
          <w:sz w:val="16"/>
          <w:szCs w:val="16"/>
          <w:lang w:val="es-UY" w:eastAsia="en-US"/>
        </w:rPr>
        <w:t xml:space="preserve">: </w:t>
      </w:r>
      <w:r w:rsidRPr="00E9350D">
        <w:rPr>
          <w:rFonts w:asciiTheme="majorHAnsi" w:hAnsiTheme="majorHAnsi" w:cs="Tahoma"/>
          <w:color w:val="333333"/>
          <w:spacing w:val="-3"/>
          <w:sz w:val="16"/>
          <w:szCs w:val="16"/>
          <w:shd w:val="clear" w:color="auto" w:fill="EFF4FC"/>
          <w:lang w:val="es-UY"/>
        </w:rPr>
        <w:t>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footnote>
  <w:footnote w:id="49">
    <w:p w14:paraId="366027F9" w14:textId="77777777" w:rsidR="00D9585D" w:rsidRPr="00E9350D" w:rsidRDefault="00D9585D" w:rsidP="00900A8A">
      <w:pPr>
        <w:pStyle w:val="FootnoteText"/>
        <w:jc w:val="both"/>
        <w:rPr>
          <w:rFonts w:asciiTheme="majorHAnsi" w:hAnsiTheme="majorHAnsi"/>
          <w:sz w:val="16"/>
          <w:szCs w:val="16"/>
          <w:lang w:val="es-UY"/>
        </w:rPr>
      </w:pPr>
      <w:r w:rsidRPr="00E9350D">
        <w:rPr>
          <w:rStyle w:val="FootnoteReference"/>
          <w:rFonts w:asciiTheme="majorHAnsi" w:hAnsiTheme="majorHAnsi"/>
          <w:color w:val="auto"/>
          <w:sz w:val="16"/>
          <w:szCs w:val="16"/>
        </w:rPr>
        <w:footnoteRef/>
      </w:r>
      <w:r w:rsidRPr="00E9350D">
        <w:rPr>
          <w:rStyle w:val="FootnoteReference"/>
          <w:rFonts w:asciiTheme="majorHAnsi" w:hAnsiTheme="majorHAnsi"/>
          <w:color w:val="auto"/>
          <w:sz w:val="16"/>
          <w:szCs w:val="16"/>
          <w:lang w:val="es-UY"/>
        </w:rPr>
        <w:t xml:space="preserve"> </w:t>
      </w:r>
      <w:r w:rsidRPr="00E9350D">
        <w:rPr>
          <w:rFonts w:asciiTheme="majorHAnsi" w:hAnsiTheme="majorHAnsi"/>
          <w:color w:val="auto"/>
          <w:sz w:val="16"/>
          <w:szCs w:val="16"/>
          <w:lang w:val="es-UY"/>
        </w:rPr>
        <w:t xml:space="preserve">El artículo XXVI de la Declaración Americana establece: </w:t>
      </w:r>
      <w:r w:rsidRPr="00E9350D">
        <w:rPr>
          <w:rFonts w:asciiTheme="majorHAnsi" w:hAnsiTheme="majorHAnsi" w:cs="Tahoma"/>
          <w:color w:val="333333"/>
          <w:spacing w:val="-3"/>
          <w:sz w:val="16"/>
          <w:szCs w:val="16"/>
          <w:shd w:val="clear" w:color="auto" w:fill="EFF4FC"/>
          <w:lang w:val="es-UY"/>
        </w:rPr>
        <w:t>Se presume que todo acusado es inocente, hasta que se pruebe que es culpable.</w:t>
      </w:r>
      <w:r w:rsidRPr="00E9350D">
        <w:rPr>
          <w:rFonts w:asciiTheme="majorHAnsi" w:hAnsiTheme="majorHAnsi"/>
          <w:color w:val="auto"/>
          <w:sz w:val="16"/>
          <w:szCs w:val="16"/>
          <w:lang w:val="es-UY"/>
        </w:rPr>
        <w:t xml:space="preserve">     </w:t>
      </w:r>
      <w:r w:rsidRPr="00E9350D">
        <w:rPr>
          <w:rFonts w:asciiTheme="majorHAnsi" w:hAnsiTheme="majorHAnsi" w:cs="Tahoma"/>
          <w:color w:val="333333"/>
          <w:spacing w:val="-3"/>
          <w:sz w:val="16"/>
          <w:szCs w:val="16"/>
          <w:shd w:val="clear" w:color="auto" w:fill="EFF4FC"/>
          <w:lang w:val="es-UY"/>
        </w:rPr>
        <w:t>Toda persona acusada de delito tiene derecho a ser oída en forma imparcial y pública, y a ser juzgada por tribunales anteriormente establecidos de acuerdo con leyes preexistentes y a que no se le imponga[n] penas crueles, infamantes o inusitadas.</w:t>
      </w:r>
    </w:p>
  </w:footnote>
  <w:footnote w:id="50">
    <w:p w14:paraId="21EA5333" w14:textId="77777777" w:rsidR="00D9585D" w:rsidRPr="00E9350D" w:rsidRDefault="00D9585D" w:rsidP="00900A8A">
      <w:pPr>
        <w:pStyle w:val="FootnoteText"/>
        <w:jc w:val="both"/>
        <w:rPr>
          <w:rFonts w:asciiTheme="majorHAnsi" w:hAnsiTheme="majorHAnsi"/>
          <w:sz w:val="16"/>
          <w:szCs w:val="16"/>
          <w:lang w:val="es-UY"/>
        </w:rPr>
      </w:pPr>
      <w:r w:rsidRPr="00E9350D">
        <w:rPr>
          <w:rStyle w:val="FootnoteReference"/>
          <w:rFonts w:asciiTheme="majorHAnsi" w:hAnsiTheme="majorHAnsi"/>
          <w:color w:val="auto"/>
          <w:sz w:val="16"/>
          <w:szCs w:val="16"/>
        </w:rPr>
        <w:footnoteRef/>
      </w:r>
      <w:r w:rsidRPr="00E9350D">
        <w:rPr>
          <w:rStyle w:val="FootnoteReference"/>
          <w:rFonts w:asciiTheme="majorHAnsi" w:hAnsiTheme="majorHAnsi"/>
          <w:color w:val="auto"/>
          <w:sz w:val="16"/>
          <w:szCs w:val="16"/>
          <w:lang w:val="es-UY"/>
        </w:rPr>
        <w:t xml:space="preserve"> </w:t>
      </w:r>
      <w:r w:rsidRPr="00E9350D">
        <w:rPr>
          <w:rFonts w:asciiTheme="majorHAnsi" w:hAnsiTheme="majorHAnsi"/>
          <w:color w:val="auto"/>
          <w:sz w:val="16"/>
          <w:szCs w:val="16"/>
          <w:lang w:val="es-UY"/>
        </w:rPr>
        <w:t xml:space="preserve">El artículo I de la Declaración Americana establece: </w:t>
      </w:r>
      <w:r w:rsidRPr="00E9350D">
        <w:rPr>
          <w:rFonts w:asciiTheme="majorHAnsi" w:hAnsiTheme="majorHAnsi" w:cs="Tahoma"/>
          <w:color w:val="333333"/>
          <w:spacing w:val="-3"/>
          <w:sz w:val="16"/>
          <w:szCs w:val="16"/>
          <w:shd w:val="clear" w:color="auto" w:fill="E3E9F0"/>
          <w:lang w:val="es-UY"/>
        </w:rPr>
        <w:t>Todo ser humano tiene derecho a la vida, a la libertad y a la seguridad de su persona.</w:t>
      </w:r>
    </w:p>
  </w:footnote>
  <w:footnote w:id="51">
    <w:p w14:paraId="358699E7" w14:textId="77777777" w:rsidR="00D9585D" w:rsidRPr="00E9350D" w:rsidRDefault="00D9585D">
      <w:pPr>
        <w:pStyle w:val="FootnoteText"/>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Fonts w:asciiTheme="majorHAnsi" w:hAnsiTheme="majorHAnsi"/>
          <w:color w:val="auto"/>
          <w:sz w:val="16"/>
          <w:szCs w:val="16"/>
          <w:lang w:val="es-UY"/>
        </w:rPr>
        <w:t xml:space="preserve">El artículo XXV de la Declaración Americana dispone: “[…] </w:t>
      </w:r>
      <w:r w:rsidRPr="00E9350D">
        <w:rPr>
          <w:rFonts w:asciiTheme="majorHAnsi" w:hAnsiTheme="majorHAnsi"/>
          <w:sz w:val="16"/>
          <w:szCs w:val="16"/>
          <w:lang w:val="es-UY"/>
        </w:rPr>
        <w:t xml:space="preserve">Todo individuo que haya sido privado de su libertad tiene derecho […] a un tratamiento humano durante la privación de su libertad.” </w:t>
      </w:r>
    </w:p>
  </w:footnote>
  <w:footnote w:id="52">
    <w:p w14:paraId="07CB0C9C" w14:textId="77777777" w:rsidR="00D9585D" w:rsidRPr="00E9350D" w:rsidRDefault="00D9585D" w:rsidP="00812561">
      <w:pPr>
        <w:pStyle w:val="FootnoteText"/>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Fonts w:asciiTheme="majorHAnsi" w:hAnsiTheme="majorHAnsi"/>
          <w:sz w:val="16"/>
          <w:szCs w:val="16"/>
          <w:lang w:val="pt-BR"/>
        </w:rPr>
        <w:t xml:space="preserve"> </w:t>
      </w:r>
      <w:r w:rsidRPr="00E9350D">
        <w:rPr>
          <w:rFonts w:asciiTheme="majorHAnsi" w:hAnsiTheme="majorHAnsi"/>
          <w:color w:val="auto"/>
          <w:sz w:val="16"/>
          <w:szCs w:val="16"/>
          <w:lang w:val="pt-BR"/>
        </w:rPr>
        <w:t xml:space="preserve">CIDH, Informe No. 71/18, Caso 12.958. Méritos. </w:t>
      </w:r>
      <w:r w:rsidRPr="00E9350D">
        <w:rPr>
          <w:rFonts w:asciiTheme="majorHAnsi" w:hAnsiTheme="majorHAnsi"/>
          <w:color w:val="auto"/>
          <w:sz w:val="16"/>
          <w:szCs w:val="16"/>
          <w:lang w:val="es-UY"/>
        </w:rPr>
        <w:t>Russell Bucklew. Estados Unidos, 10 de mayo de 2018, párrs. 86-90. En ese informe la Comisión citó varias novedades en los sistemas interamericano y otros sistemas de protección, incluidos los sistemas regionales y de las Naciones Unidas.</w:t>
      </w:r>
    </w:p>
  </w:footnote>
  <w:footnote w:id="53">
    <w:p w14:paraId="13AF8069" w14:textId="77777777" w:rsidR="00D9585D" w:rsidRPr="00E9350D" w:rsidRDefault="00D9585D">
      <w:pPr>
        <w:pStyle w:val="FootnoteText"/>
        <w:rPr>
          <w:rFonts w:asciiTheme="majorHAnsi" w:hAnsiTheme="majorHAnsi"/>
          <w:sz w:val="16"/>
          <w:szCs w:val="16"/>
          <w:lang w:val="es-UY"/>
        </w:rPr>
      </w:pPr>
      <w:r w:rsidRPr="00E9350D">
        <w:rPr>
          <w:rStyle w:val="FootnoteReference"/>
          <w:rFonts w:asciiTheme="majorHAnsi" w:hAnsiTheme="majorHAnsi"/>
          <w:sz w:val="16"/>
          <w:szCs w:val="16"/>
        </w:rPr>
        <w:footnoteRef/>
      </w:r>
      <w:r w:rsidRPr="00E9350D">
        <w:rPr>
          <w:rFonts w:asciiTheme="majorHAnsi" w:hAnsiTheme="majorHAnsi"/>
          <w:sz w:val="16"/>
          <w:szCs w:val="16"/>
          <w:lang w:val="pt-BR"/>
        </w:rPr>
        <w:t xml:space="preserve"> </w:t>
      </w:r>
      <w:r w:rsidRPr="00E9350D">
        <w:rPr>
          <w:rFonts w:asciiTheme="majorHAnsi" w:hAnsiTheme="majorHAnsi"/>
          <w:color w:val="auto"/>
          <w:sz w:val="16"/>
          <w:szCs w:val="16"/>
          <w:lang w:val="pt-BR"/>
        </w:rPr>
        <w:t xml:space="preserve">CIDH, Informe No. 71/18, Caso 12.958. Méritos. </w:t>
      </w:r>
      <w:r w:rsidRPr="00E9350D">
        <w:rPr>
          <w:rFonts w:asciiTheme="majorHAnsi" w:hAnsiTheme="majorHAnsi"/>
          <w:color w:val="auto"/>
          <w:sz w:val="16"/>
          <w:szCs w:val="16"/>
          <w:lang w:val="es-UY"/>
        </w:rPr>
        <w:t>Russell Bucklew. Estados Unidos, 10 de mayo de 2018, párr. 83.</w:t>
      </w:r>
    </w:p>
  </w:footnote>
  <w:footnote w:id="54">
    <w:p w14:paraId="4EDDF76A" w14:textId="77777777" w:rsidR="00D9585D" w:rsidRPr="00E9350D" w:rsidRDefault="00D9585D" w:rsidP="008C0C39">
      <w:pPr>
        <w:pStyle w:val="FootnoteText"/>
        <w:jc w:val="both"/>
        <w:rPr>
          <w:rFonts w:asciiTheme="majorHAnsi" w:hAnsiTheme="majorHAnsi"/>
          <w:color w:val="auto"/>
          <w:sz w:val="16"/>
          <w:szCs w:val="16"/>
          <w:lang w:val="es-UY"/>
        </w:rPr>
      </w:pPr>
      <w:r w:rsidRPr="00E9350D">
        <w:rPr>
          <w:rStyle w:val="FootnoteReference"/>
          <w:rFonts w:asciiTheme="majorHAnsi" w:hAnsiTheme="majorHAnsi"/>
          <w:color w:val="auto"/>
          <w:sz w:val="16"/>
          <w:szCs w:val="16"/>
        </w:rPr>
        <w:footnoteRef/>
      </w:r>
      <w:r w:rsidRPr="00E9350D">
        <w:rPr>
          <w:rFonts w:asciiTheme="majorHAnsi" w:hAnsiTheme="majorHAnsi"/>
          <w:color w:val="auto"/>
          <w:sz w:val="16"/>
          <w:szCs w:val="16"/>
          <w:lang w:val="es-UY"/>
        </w:rPr>
        <w:t xml:space="preserve"> CIDH, Informe No. 53/13, Caso 12.864, Méritos (Publicación), Iván Teleguz, Estados Unidos, 15 de julio de 2013, párr.  129.</w:t>
      </w:r>
    </w:p>
  </w:footnote>
  <w:footnote w:id="55">
    <w:p w14:paraId="34696AFC" w14:textId="77777777" w:rsidR="00D9585D" w:rsidRPr="00E9350D" w:rsidRDefault="00D9585D" w:rsidP="008C0C39">
      <w:pPr>
        <w:pStyle w:val="FootnoteText"/>
        <w:jc w:val="both"/>
        <w:rPr>
          <w:rFonts w:asciiTheme="majorHAnsi" w:hAnsiTheme="majorHAnsi"/>
          <w:color w:val="auto"/>
          <w:sz w:val="16"/>
          <w:szCs w:val="16"/>
          <w:lang w:val="es-UY"/>
        </w:rPr>
      </w:pPr>
      <w:r w:rsidRPr="00E9350D">
        <w:rPr>
          <w:rStyle w:val="FootnoteReference"/>
          <w:rFonts w:asciiTheme="majorHAnsi" w:hAnsiTheme="majorHAnsi"/>
          <w:color w:val="auto"/>
          <w:sz w:val="16"/>
          <w:szCs w:val="16"/>
        </w:rPr>
        <w:footnoteRef/>
      </w:r>
      <w:r w:rsidRPr="00E9350D">
        <w:rPr>
          <w:rFonts w:asciiTheme="majorHAnsi" w:hAnsiTheme="majorHAnsi"/>
          <w:color w:val="auto"/>
          <w:sz w:val="16"/>
          <w:szCs w:val="16"/>
          <w:lang w:val="es-UY"/>
        </w:rPr>
        <w:t xml:space="preserve"> CIDH, Informe No. 11/15, Caso 12.833, Méritos (Publicación), Félix Rocha Díaz, Estados Unidos, 23 de marzo de 2015, párr. 106.</w:t>
      </w:r>
    </w:p>
  </w:footnote>
  <w:footnote w:id="56">
    <w:p w14:paraId="4B3A1858" w14:textId="77777777" w:rsidR="00E9350D" w:rsidRPr="00E9350D" w:rsidRDefault="00E9350D" w:rsidP="00E9350D">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lang w:val="es-UY"/>
        </w:rPr>
      </w:pPr>
      <w:r w:rsidRPr="00E9350D">
        <w:rPr>
          <w:rStyle w:val="FootnoteReference"/>
          <w:rFonts w:asciiTheme="majorHAnsi" w:hAnsiTheme="majorHAnsi"/>
          <w:color w:val="auto"/>
          <w:sz w:val="16"/>
          <w:szCs w:val="16"/>
        </w:rPr>
        <w:footnoteRef/>
      </w:r>
      <w:r w:rsidRPr="00E9350D">
        <w:rPr>
          <w:rFonts w:asciiTheme="majorHAnsi" w:hAnsiTheme="majorHAnsi"/>
          <w:color w:val="auto"/>
          <w:sz w:val="16"/>
          <w:szCs w:val="16"/>
          <w:lang w:val="es-UY"/>
        </w:rPr>
        <w:t xml:space="preserve"> Véase, a ese respecto, CIDH,</w:t>
      </w:r>
      <w:r w:rsidRPr="00E9350D">
        <w:rPr>
          <w:rFonts w:asciiTheme="majorHAnsi" w:hAnsiTheme="majorHAnsi"/>
          <w:sz w:val="16"/>
          <w:szCs w:val="16"/>
          <w:lang w:val="es-UY"/>
        </w:rPr>
        <w:t xml:space="preserve"> La pena de muerte en el sistema interamericano de derechos humanos: de restricciones a abolición, OEA/Ser.L/V/II.Doc. 68, 31 de diciembre </w:t>
      </w:r>
      <w:r w:rsidRPr="00E9350D">
        <w:rPr>
          <w:rFonts w:asciiTheme="majorHAnsi" w:hAnsiTheme="majorHAnsi"/>
          <w:color w:val="auto"/>
          <w:sz w:val="16"/>
          <w:szCs w:val="16"/>
          <w:lang w:val="es-UY"/>
        </w:rPr>
        <w:t>de 2011.</w:t>
      </w:r>
    </w:p>
  </w:footnote>
  <w:footnote w:id="57">
    <w:p w14:paraId="0EC4B6CC" w14:textId="77777777" w:rsidR="00151FA0" w:rsidRPr="00A12FE2" w:rsidRDefault="00151FA0" w:rsidP="00C46EE4">
      <w:pPr>
        <w:pStyle w:val="FootnoteText"/>
      </w:pPr>
      <w:r w:rsidRPr="00A12FE2">
        <w:rPr>
          <w:rStyle w:val="FootnoteReference"/>
        </w:rPr>
        <w:footnoteRef/>
      </w:r>
      <w:r w:rsidRPr="00A12FE2">
        <w:t xml:space="preserve"> </w:t>
      </w:r>
      <w:r w:rsidR="00C46EE4" w:rsidRPr="00A12FE2">
        <w:rPr>
          <w:rFonts w:asciiTheme="majorHAnsi" w:hAnsiTheme="majorHAnsi"/>
          <w:color w:val="auto"/>
          <w:sz w:val="16"/>
          <w:szCs w:val="16"/>
        </w:rPr>
        <w:t xml:space="preserve">American Bar Association. Death Penalty Representation Project. Florida Supreme Court “Recedes” from Major Death Penalty Decision Creating Uncertainty About Status of Dozens of Cases. March 11, 2020. Disponible en: </w:t>
      </w:r>
      <w:hyperlink r:id="rId1" w:history="1">
        <w:r w:rsidR="00C46EE4" w:rsidRPr="00A12FE2">
          <w:rPr>
            <w:rStyle w:val="Hyperlink"/>
            <w:rFonts w:asciiTheme="majorHAnsi" w:hAnsiTheme="majorHAnsi"/>
            <w:sz w:val="16"/>
            <w:szCs w:val="16"/>
          </w:rPr>
          <w:t>https://www.americanbar.org/groups/committees/death_penalty_representation/project_press/2020/spring/florida-supreme-court-state-v-poole/</w:t>
        </w:r>
      </w:hyperlink>
    </w:p>
  </w:footnote>
  <w:footnote w:id="58">
    <w:p w14:paraId="2BA566E2" w14:textId="77777777" w:rsidR="00151FA0" w:rsidRPr="00151FA0" w:rsidRDefault="00151FA0">
      <w:pPr>
        <w:pStyle w:val="FootnoteText"/>
        <w:rPr>
          <w:lang w:val="es-ES"/>
        </w:rPr>
      </w:pPr>
      <w:r w:rsidRPr="00A12FE2">
        <w:rPr>
          <w:rStyle w:val="FootnoteReference"/>
        </w:rPr>
        <w:footnoteRef/>
      </w:r>
      <w:r w:rsidRPr="00A12FE2">
        <w:rPr>
          <w:lang w:val="es-ES"/>
        </w:rPr>
        <w:t xml:space="preserve"> </w:t>
      </w:r>
      <w:r w:rsidR="00C46EE4" w:rsidRPr="00A12FE2">
        <w:rPr>
          <w:i/>
          <w:sz w:val="16"/>
          <w:szCs w:val="16"/>
          <w:lang w:val="es-US"/>
        </w:rPr>
        <w:t>Idem.</w:t>
      </w:r>
    </w:p>
  </w:footnote>
  <w:footnote w:id="59">
    <w:p w14:paraId="0368BD7A" w14:textId="77777777" w:rsidR="00D9585D" w:rsidRPr="00E9350D" w:rsidRDefault="00D9585D" w:rsidP="008C0C39">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lang w:val="es-UY"/>
        </w:rPr>
      </w:pPr>
      <w:r w:rsidRPr="00E9350D">
        <w:rPr>
          <w:rStyle w:val="FootnoteReference"/>
          <w:rFonts w:asciiTheme="majorHAnsi" w:hAnsiTheme="majorHAnsi"/>
          <w:color w:val="auto"/>
          <w:sz w:val="16"/>
          <w:szCs w:val="16"/>
        </w:rPr>
        <w:footnoteRef/>
      </w:r>
      <w:r w:rsidRPr="00E9350D">
        <w:rPr>
          <w:rFonts w:asciiTheme="majorHAnsi" w:hAnsiTheme="majorHAnsi"/>
          <w:color w:val="auto"/>
          <w:sz w:val="16"/>
          <w:szCs w:val="16"/>
          <w:lang w:val="es-UY"/>
        </w:rPr>
        <w:t xml:space="preserve"> Véase, a ese respecto, CIDH,</w:t>
      </w:r>
      <w:r w:rsidRPr="00E9350D">
        <w:rPr>
          <w:rFonts w:asciiTheme="majorHAnsi" w:hAnsiTheme="majorHAnsi"/>
          <w:sz w:val="16"/>
          <w:szCs w:val="16"/>
          <w:lang w:val="es-UY"/>
        </w:rPr>
        <w:t xml:space="preserve"> La pena de muerte en el sistema interamericano de derechos humanos: de restricciones a abolición, OEA/Ser.L/V/II.Doc. 68, 31 de diciembre </w:t>
      </w:r>
      <w:r w:rsidRPr="00E9350D">
        <w:rPr>
          <w:rFonts w:asciiTheme="majorHAnsi" w:hAnsiTheme="majorHAnsi"/>
          <w:color w:val="auto"/>
          <w:sz w:val="16"/>
          <w:szCs w:val="16"/>
          <w:lang w:val="es-UY"/>
        </w:rPr>
        <w:t>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1F60" w14:textId="77777777" w:rsidR="00D9585D" w:rsidRDefault="00D9585D" w:rsidP="0020221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806AD0" w14:textId="77777777" w:rsidR="00D9585D" w:rsidRDefault="00D95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8710" w14:textId="77777777" w:rsidR="00D9585D" w:rsidRDefault="00D9585D" w:rsidP="002C1641">
    <w:pPr>
      <w:pStyle w:val="Header"/>
      <w:tabs>
        <w:tab w:val="clear" w:pos="4320"/>
        <w:tab w:val="clear" w:pos="8640"/>
      </w:tabs>
      <w:jc w:val="center"/>
      <w:rPr>
        <w:sz w:val="22"/>
        <w:szCs w:val="22"/>
      </w:rPr>
    </w:pPr>
    <w:r>
      <w:rPr>
        <w:noProof/>
        <w:sz w:val="22"/>
        <w:szCs w:val="22"/>
      </w:rPr>
      <w:drawing>
        <wp:inline distT="0" distB="0" distL="0" distR="0" wp14:anchorId="658666DB" wp14:editId="7024C994">
          <wp:extent cx="1972237" cy="104775"/>
          <wp:effectExtent l="0" t="0" r="9525" b="0"/>
          <wp:docPr id="9" name="Picture 9"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520499A" w14:textId="77777777" w:rsidR="00D9585D" w:rsidRPr="00EC7D62" w:rsidRDefault="00787DB7" w:rsidP="002C1641">
    <w:pPr>
      <w:pStyle w:val="Header"/>
      <w:tabs>
        <w:tab w:val="clear" w:pos="4320"/>
        <w:tab w:val="clear" w:pos="8640"/>
      </w:tabs>
      <w:jc w:val="center"/>
      <w:rPr>
        <w:sz w:val="22"/>
        <w:szCs w:val="22"/>
      </w:rPr>
    </w:pPr>
    <w:r>
      <w:rPr>
        <w:noProof/>
        <w:sz w:val="22"/>
        <w:szCs w:val="22"/>
        <w:bdr w:val="nil"/>
      </w:rPr>
      <w:pict w14:anchorId="4E5633C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1B68F9"/>
    <w:multiLevelType w:val="hybridMultilevel"/>
    <w:tmpl w:val="AC583B28"/>
    <w:lvl w:ilvl="0" w:tplc="CA629B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2A0BA1"/>
    <w:multiLevelType w:val="hybridMultilevel"/>
    <w:tmpl w:val="200E2F06"/>
    <w:lvl w:ilvl="0" w:tplc="44D277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BE45D6A"/>
    <w:multiLevelType w:val="hybridMultilevel"/>
    <w:tmpl w:val="1FCC49F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9" w15:restartNumberingAfterBreak="0">
    <w:nsid w:val="3E3123E4"/>
    <w:multiLevelType w:val="hybridMultilevel"/>
    <w:tmpl w:val="68561A9E"/>
    <w:lvl w:ilvl="0" w:tplc="A0E4D8C8">
      <w:start w:val="1"/>
      <w:numFmt w:val="decimal"/>
      <w:lvlText w:val="%1."/>
      <w:lvlJc w:val="left"/>
      <w:pPr>
        <w:ind w:left="1425" w:hanging="705"/>
      </w:pPr>
      <w:rPr>
        <w:rFonts w:hint="default"/>
        <w:sz w:val="20"/>
        <w:szCs w:val="20"/>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4B2A69"/>
    <w:multiLevelType w:val="hybridMultilevel"/>
    <w:tmpl w:val="41F4A2C8"/>
    <w:lvl w:ilvl="0" w:tplc="529A4590">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D7D4B9D"/>
    <w:multiLevelType w:val="hybridMultilevel"/>
    <w:tmpl w:val="600E84A6"/>
    <w:lvl w:ilvl="0" w:tplc="6270FFF2">
      <w:start w:val="1"/>
      <w:numFmt w:val="decimal"/>
      <w:pStyle w:val="parrafos"/>
      <w:lvlText w:val="%1."/>
      <w:lvlJc w:val="left"/>
      <w:pPr>
        <w:ind w:left="6314" w:hanging="360"/>
      </w:pPr>
      <w:rPr>
        <w:rFonts w:ascii="Cambria" w:hAnsi="Cambria"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3A1BE7"/>
    <w:multiLevelType w:val="hybridMultilevel"/>
    <w:tmpl w:val="8722B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841B8"/>
    <w:multiLevelType w:val="hybridMultilevel"/>
    <w:tmpl w:val="CC08D00A"/>
    <w:lvl w:ilvl="0" w:tplc="BA1680B6">
      <w:start w:val="1"/>
      <w:numFmt w:val="decimal"/>
      <w:pStyle w:val="Heading3"/>
      <w:lvlText w:val="%1."/>
      <w:lvlJc w:val="left"/>
      <w:pPr>
        <w:ind w:left="720" w:hanging="360"/>
      </w:pPr>
    </w:lvl>
    <w:lvl w:ilvl="1" w:tplc="5678A4FC" w:tentative="1">
      <w:start w:val="1"/>
      <w:numFmt w:val="lowerLetter"/>
      <w:lvlText w:val="%2."/>
      <w:lvlJc w:val="left"/>
      <w:pPr>
        <w:ind w:left="1440" w:hanging="360"/>
      </w:pPr>
    </w:lvl>
    <w:lvl w:ilvl="2" w:tplc="FE1E69C0" w:tentative="1">
      <w:start w:val="1"/>
      <w:numFmt w:val="lowerRoman"/>
      <w:lvlText w:val="%3."/>
      <w:lvlJc w:val="right"/>
      <w:pPr>
        <w:ind w:left="2160" w:hanging="180"/>
      </w:pPr>
    </w:lvl>
    <w:lvl w:ilvl="3" w:tplc="7C5C55F6" w:tentative="1">
      <w:start w:val="1"/>
      <w:numFmt w:val="decimal"/>
      <w:lvlText w:val="%4."/>
      <w:lvlJc w:val="left"/>
      <w:pPr>
        <w:ind w:left="2880" w:hanging="360"/>
      </w:pPr>
    </w:lvl>
    <w:lvl w:ilvl="4" w:tplc="0FB85624" w:tentative="1">
      <w:start w:val="1"/>
      <w:numFmt w:val="lowerLetter"/>
      <w:lvlText w:val="%5."/>
      <w:lvlJc w:val="left"/>
      <w:pPr>
        <w:ind w:left="3600" w:hanging="360"/>
      </w:pPr>
    </w:lvl>
    <w:lvl w:ilvl="5" w:tplc="FFAC2E3E" w:tentative="1">
      <w:start w:val="1"/>
      <w:numFmt w:val="lowerRoman"/>
      <w:lvlText w:val="%6."/>
      <w:lvlJc w:val="right"/>
      <w:pPr>
        <w:ind w:left="4320" w:hanging="180"/>
      </w:pPr>
    </w:lvl>
    <w:lvl w:ilvl="6" w:tplc="7D90A40A" w:tentative="1">
      <w:start w:val="1"/>
      <w:numFmt w:val="decimal"/>
      <w:lvlText w:val="%7."/>
      <w:lvlJc w:val="left"/>
      <w:pPr>
        <w:ind w:left="5040" w:hanging="360"/>
      </w:pPr>
    </w:lvl>
    <w:lvl w:ilvl="7" w:tplc="99A61DD6" w:tentative="1">
      <w:start w:val="1"/>
      <w:numFmt w:val="lowerLetter"/>
      <w:lvlText w:val="%8."/>
      <w:lvlJc w:val="left"/>
      <w:pPr>
        <w:ind w:left="5760" w:hanging="360"/>
      </w:pPr>
    </w:lvl>
    <w:lvl w:ilvl="8" w:tplc="FD88E678" w:tentative="1">
      <w:start w:val="1"/>
      <w:numFmt w:val="lowerRoman"/>
      <w:lvlText w:val="%9."/>
      <w:lvlJc w:val="right"/>
      <w:pPr>
        <w:ind w:left="6480" w:hanging="180"/>
      </w:p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471F5F"/>
    <w:multiLevelType w:val="hybridMultilevel"/>
    <w:tmpl w:val="81E83EEA"/>
    <w:lvl w:ilvl="0" w:tplc="1FFEA4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8"/>
  </w:num>
  <w:num w:numId="4">
    <w:abstractNumId w:val="20"/>
  </w:num>
  <w:num w:numId="5">
    <w:abstractNumId w:val="50"/>
  </w:num>
  <w:num w:numId="6">
    <w:abstractNumId w:val="26"/>
  </w:num>
  <w:num w:numId="7">
    <w:abstractNumId w:val="5"/>
  </w:num>
  <w:num w:numId="8">
    <w:abstractNumId w:val="16"/>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7"/>
  </w:num>
  <w:num w:numId="32">
    <w:abstractNumId w:val="30"/>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9"/>
  </w:num>
  <w:num w:numId="42">
    <w:abstractNumId w:val="51"/>
  </w:num>
  <w:num w:numId="43">
    <w:abstractNumId w:val="53"/>
  </w:num>
  <w:num w:numId="44">
    <w:abstractNumId w:val="56"/>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19"/>
  </w:num>
  <w:num w:numId="52">
    <w:abstractNumId w:val="42"/>
  </w:num>
  <w:num w:numId="53">
    <w:abstractNumId w:val="54"/>
  </w:num>
  <w:num w:numId="54">
    <w:abstractNumId w:val="46"/>
  </w:num>
  <w:num w:numId="55">
    <w:abstractNumId w:val="24"/>
  </w:num>
  <w:num w:numId="56">
    <w:abstractNumId w:val="15"/>
  </w:num>
  <w:num w:numId="57">
    <w:abstractNumId w:val="47"/>
  </w:num>
  <w:num w:numId="58">
    <w:abstractNumId w:val="44"/>
  </w:num>
  <w:num w:numId="59">
    <w:abstractNumId w:val="55"/>
  </w:num>
  <w:num w:numId="60">
    <w:abstractNumId w:val="55"/>
    <w:lvlOverride w:ilvl="0">
      <w:startOverride w:val="1"/>
    </w:lvlOverride>
  </w:num>
  <w:num w:numId="61">
    <w:abstractNumId w:val="52"/>
  </w:num>
  <w:num w:numId="62">
    <w:abstractNumId w:val="48"/>
  </w:num>
  <w:num w:numId="63">
    <w:abstractNumId w:val="29"/>
  </w:num>
  <w:num w:numId="64">
    <w:abstractNumId w:val="28"/>
  </w:num>
  <w:num w:numId="65">
    <w:abstractNumId w:val="3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FA6"/>
    <w:rsid w:val="0000671A"/>
    <w:rsid w:val="00006A83"/>
    <w:rsid w:val="00006C44"/>
    <w:rsid w:val="000070D7"/>
    <w:rsid w:val="000111A8"/>
    <w:rsid w:val="00012771"/>
    <w:rsid w:val="00014A48"/>
    <w:rsid w:val="0001521C"/>
    <w:rsid w:val="00015690"/>
    <w:rsid w:val="00015F0F"/>
    <w:rsid w:val="0001788C"/>
    <w:rsid w:val="00017B2D"/>
    <w:rsid w:val="000219FF"/>
    <w:rsid w:val="00025D78"/>
    <w:rsid w:val="0002776D"/>
    <w:rsid w:val="000353F0"/>
    <w:rsid w:val="00036A8A"/>
    <w:rsid w:val="00037FA7"/>
    <w:rsid w:val="00040C3A"/>
    <w:rsid w:val="00041755"/>
    <w:rsid w:val="00042146"/>
    <w:rsid w:val="000433E8"/>
    <w:rsid w:val="00043A9B"/>
    <w:rsid w:val="00044369"/>
    <w:rsid w:val="00045910"/>
    <w:rsid w:val="00045AC8"/>
    <w:rsid w:val="0004664B"/>
    <w:rsid w:val="00052210"/>
    <w:rsid w:val="00053AFB"/>
    <w:rsid w:val="00055259"/>
    <w:rsid w:val="00057984"/>
    <w:rsid w:val="000608ED"/>
    <w:rsid w:val="000624A2"/>
    <w:rsid w:val="000639C0"/>
    <w:rsid w:val="000657B9"/>
    <w:rsid w:val="00067D5A"/>
    <w:rsid w:val="00070F3A"/>
    <w:rsid w:val="000716C5"/>
    <w:rsid w:val="000735B1"/>
    <w:rsid w:val="00075BEA"/>
    <w:rsid w:val="00075E23"/>
    <w:rsid w:val="00080366"/>
    <w:rsid w:val="00086498"/>
    <w:rsid w:val="0009047D"/>
    <w:rsid w:val="00090816"/>
    <w:rsid w:val="00092F32"/>
    <w:rsid w:val="0009344A"/>
    <w:rsid w:val="0009539F"/>
    <w:rsid w:val="0009587A"/>
    <w:rsid w:val="00095F0F"/>
    <w:rsid w:val="00096036"/>
    <w:rsid w:val="00096DED"/>
    <w:rsid w:val="0009709D"/>
    <w:rsid w:val="00097730"/>
    <w:rsid w:val="000A11AB"/>
    <w:rsid w:val="000A1334"/>
    <w:rsid w:val="000A1B4D"/>
    <w:rsid w:val="000A31A3"/>
    <w:rsid w:val="000A32D9"/>
    <w:rsid w:val="000A4D47"/>
    <w:rsid w:val="000A575F"/>
    <w:rsid w:val="000A5F58"/>
    <w:rsid w:val="000B1D6C"/>
    <w:rsid w:val="000B2B59"/>
    <w:rsid w:val="000B32AE"/>
    <w:rsid w:val="000B5884"/>
    <w:rsid w:val="000C367D"/>
    <w:rsid w:val="000C707B"/>
    <w:rsid w:val="000D10DB"/>
    <w:rsid w:val="000D4D38"/>
    <w:rsid w:val="000D4E09"/>
    <w:rsid w:val="000D758C"/>
    <w:rsid w:val="000D7751"/>
    <w:rsid w:val="000E28D7"/>
    <w:rsid w:val="000E51B8"/>
    <w:rsid w:val="000F1ABA"/>
    <w:rsid w:val="000F21CB"/>
    <w:rsid w:val="000F2473"/>
    <w:rsid w:val="000F51FC"/>
    <w:rsid w:val="000F5D6C"/>
    <w:rsid w:val="000F6FC1"/>
    <w:rsid w:val="000F7A2F"/>
    <w:rsid w:val="001003AC"/>
    <w:rsid w:val="001017C5"/>
    <w:rsid w:val="001060DA"/>
    <w:rsid w:val="001061FC"/>
    <w:rsid w:val="00106A7E"/>
    <w:rsid w:val="001075AE"/>
    <w:rsid w:val="00114B0F"/>
    <w:rsid w:val="00115A97"/>
    <w:rsid w:val="001232D0"/>
    <w:rsid w:val="00124E27"/>
    <w:rsid w:val="0013104F"/>
    <w:rsid w:val="00133F95"/>
    <w:rsid w:val="001364B9"/>
    <w:rsid w:val="00137B94"/>
    <w:rsid w:val="00137EBA"/>
    <w:rsid w:val="00140A73"/>
    <w:rsid w:val="00143845"/>
    <w:rsid w:val="00143DFA"/>
    <w:rsid w:val="00145EDC"/>
    <w:rsid w:val="00146078"/>
    <w:rsid w:val="00151FA0"/>
    <w:rsid w:val="00157AE2"/>
    <w:rsid w:val="00160F0B"/>
    <w:rsid w:val="0016349D"/>
    <w:rsid w:val="0016405C"/>
    <w:rsid w:val="00164523"/>
    <w:rsid w:val="00167A34"/>
    <w:rsid w:val="00171D8C"/>
    <w:rsid w:val="001738CB"/>
    <w:rsid w:val="0017601E"/>
    <w:rsid w:val="001764D6"/>
    <w:rsid w:val="0017730E"/>
    <w:rsid w:val="001774FF"/>
    <w:rsid w:val="0018037F"/>
    <w:rsid w:val="0018263D"/>
    <w:rsid w:val="001839B9"/>
    <w:rsid w:val="0018673F"/>
    <w:rsid w:val="00187174"/>
    <w:rsid w:val="00187D3F"/>
    <w:rsid w:val="0019194C"/>
    <w:rsid w:val="00194CE9"/>
    <w:rsid w:val="00195CF3"/>
    <w:rsid w:val="0019756B"/>
    <w:rsid w:val="00197AC8"/>
    <w:rsid w:val="001A0202"/>
    <w:rsid w:val="001A28C0"/>
    <w:rsid w:val="001A367B"/>
    <w:rsid w:val="001A3E81"/>
    <w:rsid w:val="001A40D6"/>
    <w:rsid w:val="001A4640"/>
    <w:rsid w:val="001A5F27"/>
    <w:rsid w:val="001A7870"/>
    <w:rsid w:val="001B109E"/>
    <w:rsid w:val="001B29DC"/>
    <w:rsid w:val="001B355A"/>
    <w:rsid w:val="001B3D8F"/>
    <w:rsid w:val="001B4547"/>
    <w:rsid w:val="001B4605"/>
    <w:rsid w:val="001B5B84"/>
    <w:rsid w:val="001B5C63"/>
    <w:rsid w:val="001B6C12"/>
    <w:rsid w:val="001B73BE"/>
    <w:rsid w:val="001C1342"/>
    <w:rsid w:val="001C1547"/>
    <w:rsid w:val="001C1B41"/>
    <w:rsid w:val="001C6000"/>
    <w:rsid w:val="001C72BB"/>
    <w:rsid w:val="001D164E"/>
    <w:rsid w:val="001D1E51"/>
    <w:rsid w:val="001D3C3D"/>
    <w:rsid w:val="001E09B0"/>
    <w:rsid w:val="001E515E"/>
    <w:rsid w:val="001F200D"/>
    <w:rsid w:val="001F2596"/>
    <w:rsid w:val="001F30CC"/>
    <w:rsid w:val="001F67B0"/>
    <w:rsid w:val="00200767"/>
    <w:rsid w:val="00200B84"/>
    <w:rsid w:val="0020221F"/>
    <w:rsid w:val="002029AA"/>
    <w:rsid w:val="002079F8"/>
    <w:rsid w:val="00207D80"/>
    <w:rsid w:val="00210E0E"/>
    <w:rsid w:val="002134E3"/>
    <w:rsid w:val="00216774"/>
    <w:rsid w:val="00216B47"/>
    <w:rsid w:val="00216C74"/>
    <w:rsid w:val="002175E4"/>
    <w:rsid w:val="00217710"/>
    <w:rsid w:val="00222432"/>
    <w:rsid w:val="00223FE5"/>
    <w:rsid w:val="00225685"/>
    <w:rsid w:val="00225826"/>
    <w:rsid w:val="00225A79"/>
    <w:rsid w:val="00230CA9"/>
    <w:rsid w:val="002318AA"/>
    <w:rsid w:val="0023238E"/>
    <w:rsid w:val="00235327"/>
    <w:rsid w:val="00235CAA"/>
    <w:rsid w:val="00235DF5"/>
    <w:rsid w:val="00236031"/>
    <w:rsid w:val="002378D9"/>
    <w:rsid w:val="00240779"/>
    <w:rsid w:val="00241285"/>
    <w:rsid w:val="00247403"/>
    <w:rsid w:val="00247542"/>
    <w:rsid w:val="00247E7E"/>
    <w:rsid w:val="00250163"/>
    <w:rsid w:val="00250588"/>
    <w:rsid w:val="002506A3"/>
    <w:rsid w:val="00252355"/>
    <w:rsid w:val="002532E1"/>
    <w:rsid w:val="002564DA"/>
    <w:rsid w:val="00257893"/>
    <w:rsid w:val="002640D6"/>
    <w:rsid w:val="00264DD2"/>
    <w:rsid w:val="00265850"/>
    <w:rsid w:val="00265CEA"/>
    <w:rsid w:val="00266092"/>
    <w:rsid w:val="002663EC"/>
    <w:rsid w:val="00266A59"/>
    <w:rsid w:val="00266B61"/>
    <w:rsid w:val="0026712A"/>
    <w:rsid w:val="002704DB"/>
    <w:rsid w:val="00270F6A"/>
    <w:rsid w:val="00271974"/>
    <w:rsid w:val="00275B87"/>
    <w:rsid w:val="002800FE"/>
    <w:rsid w:val="00284FC8"/>
    <w:rsid w:val="0029065D"/>
    <w:rsid w:val="0029086D"/>
    <w:rsid w:val="00291772"/>
    <w:rsid w:val="00292537"/>
    <w:rsid w:val="00292A8C"/>
    <w:rsid w:val="00292D1B"/>
    <w:rsid w:val="0029361B"/>
    <w:rsid w:val="00294015"/>
    <w:rsid w:val="0029410C"/>
    <w:rsid w:val="00297619"/>
    <w:rsid w:val="002A3453"/>
    <w:rsid w:val="002A34A0"/>
    <w:rsid w:val="002A3EAF"/>
    <w:rsid w:val="002A623D"/>
    <w:rsid w:val="002A6745"/>
    <w:rsid w:val="002A7C40"/>
    <w:rsid w:val="002B3408"/>
    <w:rsid w:val="002B5693"/>
    <w:rsid w:val="002B57AA"/>
    <w:rsid w:val="002C1641"/>
    <w:rsid w:val="002C2385"/>
    <w:rsid w:val="002C458F"/>
    <w:rsid w:val="002C4F0E"/>
    <w:rsid w:val="002C63F7"/>
    <w:rsid w:val="002C6A43"/>
    <w:rsid w:val="002D46DF"/>
    <w:rsid w:val="002D6E01"/>
    <w:rsid w:val="002D76B4"/>
    <w:rsid w:val="002D7EA2"/>
    <w:rsid w:val="002E15DF"/>
    <w:rsid w:val="002E187C"/>
    <w:rsid w:val="002E270B"/>
    <w:rsid w:val="002E5E81"/>
    <w:rsid w:val="002E6880"/>
    <w:rsid w:val="002E6E57"/>
    <w:rsid w:val="002F088A"/>
    <w:rsid w:val="002F0D88"/>
    <w:rsid w:val="002F3506"/>
    <w:rsid w:val="002F3BA5"/>
    <w:rsid w:val="002F4088"/>
    <w:rsid w:val="002F5ED4"/>
    <w:rsid w:val="002F6446"/>
    <w:rsid w:val="00301075"/>
    <w:rsid w:val="00302733"/>
    <w:rsid w:val="00302B6A"/>
    <w:rsid w:val="003031B8"/>
    <w:rsid w:val="00303BD9"/>
    <w:rsid w:val="003049F8"/>
    <w:rsid w:val="00306425"/>
    <w:rsid w:val="00307397"/>
    <w:rsid w:val="00307B7E"/>
    <w:rsid w:val="00307BBF"/>
    <w:rsid w:val="0031173C"/>
    <w:rsid w:val="00311A4F"/>
    <w:rsid w:val="0031267C"/>
    <w:rsid w:val="00314078"/>
    <w:rsid w:val="00315DD6"/>
    <w:rsid w:val="00316286"/>
    <w:rsid w:val="003179AE"/>
    <w:rsid w:val="00320BF3"/>
    <w:rsid w:val="003219CD"/>
    <w:rsid w:val="00321E9B"/>
    <w:rsid w:val="00322285"/>
    <w:rsid w:val="00322450"/>
    <w:rsid w:val="00323730"/>
    <w:rsid w:val="003246B5"/>
    <w:rsid w:val="0032585D"/>
    <w:rsid w:val="00325DD0"/>
    <w:rsid w:val="003263BD"/>
    <w:rsid w:val="00330F05"/>
    <w:rsid w:val="0033169F"/>
    <w:rsid w:val="00331AE0"/>
    <w:rsid w:val="00331D06"/>
    <w:rsid w:val="00332132"/>
    <w:rsid w:val="003330EC"/>
    <w:rsid w:val="003362F0"/>
    <w:rsid w:val="003414AC"/>
    <w:rsid w:val="003424B5"/>
    <w:rsid w:val="00344564"/>
    <w:rsid w:val="00345919"/>
    <w:rsid w:val="0034668F"/>
    <w:rsid w:val="003517CD"/>
    <w:rsid w:val="00351FDA"/>
    <w:rsid w:val="00356185"/>
    <w:rsid w:val="00360380"/>
    <w:rsid w:val="00362950"/>
    <w:rsid w:val="00362A89"/>
    <w:rsid w:val="00363465"/>
    <w:rsid w:val="00366DA0"/>
    <w:rsid w:val="00375F5D"/>
    <w:rsid w:val="00376B02"/>
    <w:rsid w:val="00377694"/>
    <w:rsid w:val="00377948"/>
    <w:rsid w:val="003822A0"/>
    <w:rsid w:val="00382724"/>
    <w:rsid w:val="00386CF0"/>
    <w:rsid w:val="00387FA8"/>
    <w:rsid w:val="00391A3F"/>
    <w:rsid w:val="0039357A"/>
    <w:rsid w:val="00394070"/>
    <w:rsid w:val="00396575"/>
    <w:rsid w:val="003A28F8"/>
    <w:rsid w:val="003A49E5"/>
    <w:rsid w:val="003A4F25"/>
    <w:rsid w:val="003A5BF5"/>
    <w:rsid w:val="003A7D69"/>
    <w:rsid w:val="003B08CC"/>
    <w:rsid w:val="003B2BDB"/>
    <w:rsid w:val="003B4516"/>
    <w:rsid w:val="003B6499"/>
    <w:rsid w:val="003C00E8"/>
    <w:rsid w:val="003C0ACD"/>
    <w:rsid w:val="003C0D6F"/>
    <w:rsid w:val="003C1329"/>
    <w:rsid w:val="003C192E"/>
    <w:rsid w:val="003C1FD4"/>
    <w:rsid w:val="003C2F79"/>
    <w:rsid w:val="003C32BC"/>
    <w:rsid w:val="003C4952"/>
    <w:rsid w:val="003C4BF5"/>
    <w:rsid w:val="003C5117"/>
    <w:rsid w:val="003D05BF"/>
    <w:rsid w:val="003D1CBD"/>
    <w:rsid w:val="003D2802"/>
    <w:rsid w:val="003D73EE"/>
    <w:rsid w:val="003D7C94"/>
    <w:rsid w:val="003E30BF"/>
    <w:rsid w:val="003E36AB"/>
    <w:rsid w:val="003E563A"/>
    <w:rsid w:val="003E649E"/>
    <w:rsid w:val="003E7E0C"/>
    <w:rsid w:val="003F1BBF"/>
    <w:rsid w:val="003F2701"/>
    <w:rsid w:val="003F4494"/>
    <w:rsid w:val="003F5796"/>
    <w:rsid w:val="003F6A22"/>
    <w:rsid w:val="00402215"/>
    <w:rsid w:val="00403C5D"/>
    <w:rsid w:val="004100B6"/>
    <w:rsid w:val="00411DD4"/>
    <w:rsid w:val="004124F3"/>
    <w:rsid w:val="004165C2"/>
    <w:rsid w:val="00422303"/>
    <w:rsid w:val="0042246D"/>
    <w:rsid w:val="004230C3"/>
    <w:rsid w:val="00423949"/>
    <w:rsid w:val="00423FEE"/>
    <w:rsid w:val="004240A2"/>
    <w:rsid w:val="00427534"/>
    <w:rsid w:val="00430827"/>
    <w:rsid w:val="00430934"/>
    <w:rsid w:val="0043255E"/>
    <w:rsid w:val="00433FB3"/>
    <w:rsid w:val="004360F5"/>
    <w:rsid w:val="004376FE"/>
    <w:rsid w:val="0044248F"/>
    <w:rsid w:val="00450A4A"/>
    <w:rsid w:val="0045178C"/>
    <w:rsid w:val="00451F0E"/>
    <w:rsid w:val="004526BA"/>
    <w:rsid w:val="0045292A"/>
    <w:rsid w:val="00457606"/>
    <w:rsid w:val="004612BD"/>
    <w:rsid w:val="00462B76"/>
    <w:rsid w:val="00464C6A"/>
    <w:rsid w:val="004666FB"/>
    <w:rsid w:val="0046723C"/>
    <w:rsid w:val="00467B7E"/>
    <w:rsid w:val="00470E2F"/>
    <w:rsid w:val="00473FCA"/>
    <w:rsid w:val="00474247"/>
    <w:rsid w:val="004748F3"/>
    <w:rsid w:val="00474B89"/>
    <w:rsid w:val="00476A3D"/>
    <w:rsid w:val="004774F6"/>
    <w:rsid w:val="00480F67"/>
    <w:rsid w:val="0048165A"/>
    <w:rsid w:val="00482420"/>
    <w:rsid w:val="00482DFA"/>
    <w:rsid w:val="00483DE7"/>
    <w:rsid w:val="00486EF3"/>
    <w:rsid w:val="00487DBA"/>
    <w:rsid w:val="004923E0"/>
    <w:rsid w:val="00493C16"/>
    <w:rsid w:val="0049419D"/>
    <w:rsid w:val="00496048"/>
    <w:rsid w:val="004A11C4"/>
    <w:rsid w:val="004A2C45"/>
    <w:rsid w:val="004A34F0"/>
    <w:rsid w:val="004A41AE"/>
    <w:rsid w:val="004A4D88"/>
    <w:rsid w:val="004A7319"/>
    <w:rsid w:val="004A792A"/>
    <w:rsid w:val="004B2762"/>
    <w:rsid w:val="004B31A0"/>
    <w:rsid w:val="004B5893"/>
    <w:rsid w:val="004B7EB6"/>
    <w:rsid w:val="004C000D"/>
    <w:rsid w:val="004C0B6C"/>
    <w:rsid w:val="004C1F43"/>
    <w:rsid w:val="004C2D73"/>
    <w:rsid w:val="004C2FB1"/>
    <w:rsid w:val="004C35A4"/>
    <w:rsid w:val="004C4565"/>
    <w:rsid w:val="004C4B62"/>
    <w:rsid w:val="004C4E9E"/>
    <w:rsid w:val="004C7131"/>
    <w:rsid w:val="004D2B6F"/>
    <w:rsid w:val="004D3739"/>
    <w:rsid w:val="004D3871"/>
    <w:rsid w:val="004D4616"/>
    <w:rsid w:val="004D6025"/>
    <w:rsid w:val="004D69D3"/>
    <w:rsid w:val="004D72BC"/>
    <w:rsid w:val="004E00B5"/>
    <w:rsid w:val="004E250C"/>
    <w:rsid w:val="004E66E7"/>
    <w:rsid w:val="004F2857"/>
    <w:rsid w:val="004F3CAE"/>
    <w:rsid w:val="004F4146"/>
    <w:rsid w:val="00501399"/>
    <w:rsid w:val="00507BC4"/>
    <w:rsid w:val="005128E4"/>
    <w:rsid w:val="005145B0"/>
    <w:rsid w:val="005149F4"/>
    <w:rsid w:val="00515A7C"/>
    <w:rsid w:val="00515EA8"/>
    <w:rsid w:val="00522DFF"/>
    <w:rsid w:val="00525560"/>
    <w:rsid w:val="005264A0"/>
    <w:rsid w:val="00527512"/>
    <w:rsid w:val="0052781C"/>
    <w:rsid w:val="005318B7"/>
    <w:rsid w:val="00531C56"/>
    <w:rsid w:val="00532164"/>
    <w:rsid w:val="005357A6"/>
    <w:rsid w:val="00542547"/>
    <w:rsid w:val="00542902"/>
    <w:rsid w:val="0054349F"/>
    <w:rsid w:val="00544C49"/>
    <w:rsid w:val="00546C60"/>
    <w:rsid w:val="005515CB"/>
    <w:rsid w:val="0055169F"/>
    <w:rsid w:val="0055206F"/>
    <w:rsid w:val="005536E1"/>
    <w:rsid w:val="005550D8"/>
    <w:rsid w:val="00556531"/>
    <w:rsid w:val="0055776C"/>
    <w:rsid w:val="00557D1D"/>
    <w:rsid w:val="00560021"/>
    <w:rsid w:val="00561A4E"/>
    <w:rsid w:val="005621F9"/>
    <w:rsid w:val="00563431"/>
    <w:rsid w:val="00571689"/>
    <w:rsid w:val="005720E4"/>
    <w:rsid w:val="00572577"/>
    <w:rsid w:val="0057402A"/>
    <w:rsid w:val="0057444A"/>
    <w:rsid w:val="00574B5D"/>
    <w:rsid w:val="005751B6"/>
    <w:rsid w:val="005764DA"/>
    <w:rsid w:val="005771D0"/>
    <w:rsid w:val="00580D4E"/>
    <w:rsid w:val="0059020E"/>
    <w:rsid w:val="0059191A"/>
    <w:rsid w:val="00591D59"/>
    <w:rsid w:val="005921FF"/>
    <w:rsid w:val="0059427D"/>
    <w:rsid w:val="00596815"/>
    <w:rsid w:val="00597788"/>
    <w:rsid w:val="00597D07"/>
    <w:rsid w:val="005A1F2C"/>
    <w:rsid w:val="005A500F"/>
    <w:rsid w:val="005A6814"/>
    <w:rsid w:val="005A6D0E"/>
    <w:rsid w:val="005B0477"/>
    <w:rsid w:val="005B0E72"/>
    <w:rsid w:val="005B222D"/>
    <w:rsid w:val="005B52B0"/>
    <w:rsid w:val="005B57E6"/>
    <w:rsid w:val="005B6806"/>
    <w:rsid w:val="005C00F9"/>
    <w:rsid w:val="005C0637"/>
    <w:rsid w:val="005C376B"/>
    <w:rsid w:val="005C4225"/>
    <w:rsid w:val="005C79B6"/>
    <w:rsid w:val="005C7EB1"/>
    <w:rsid w:val="005D10F1"/>
    <w:rsid w:val="005D1F19"/>
    <w:rsid w:val="005D215C"/>
    <w:rsid w:val="005D4583"/>
    <w:rsid w:val="005D6168"/>
    <w:rsid w:val="005D6988"/>
    <w:rsid w:val="005D7630"/>
    <w:rsid w:val="005E242D"/>
    <w:rsid w:val="005E4C49"/>
    <w:rsid w:val="005E535E"/>
    <w:rsid w:val="005E7B4A"/>
    <w:rsid w:val="005F0F33"/>
    <w:rsid w:val="005F2944"/>
    <w:rsid w:val="005F412A"/>
    <w:rsid w:val="005F454E"/>
    <w:rsid w:val="0060082D"/>
    <w:rsid w:val="00600DEB"/>
    <w:rsid w:val="00603CD4"/>
    <w:rsid w:val="00607096"/>
    <w:rsid w:val="00607E10"/>
    <w:rsid w:val="00613027"/>
    <w:rsid w:val="00616685"/>
    <w:rsid w:val="006167F5"/>
    <w:rsid w:val="00617D2B"/>
    <w:rsid w:val="00624C78"/>
    <w:rsid w:val="0062572D"/>
    <w:rsid w:val="006257DF"/>
    <w:rsid w:val="00627C9F"/>
    <w:rsid w:val="006311DA"/>
    <w:rsid w:val="006311E9"/>
    <w:rsid w:val="006315C8"/>
    <w:rsid w:val="00632354"/>
    <w:rsid w:val="00633331"/>
    <w:rsid w:val="00634BED"/>
    <w:rsid w:val="00634FDE"/>
    <w:rsid w:val="006352B3"/>
    <w:rsid w:val="00640E70"/>
    <w:rsid w:val="00642810"/>
    <w:rsid w:val="00643AE6"/>
    <w:rsid w:val="00652333"/>
    <w:rsid w:val="0065471F"/>
    <w:rsid w:val="00655254"/>
    <w:rsid w:val="0065626C"/>
    <w:rsid w:val="00656399"/>
    <w:rsid w:val="006569E8"/>
    <w:rsid w:val="00660F1C"/>
    <w:rsid w:val="006621DF"/>
    <w:rsid w:val="006655B8"/>
    <w:rsid w:val="006763F3"/>
    <w:rsid w:val="00676797"/>
    <w:rsid w:val="00677068"/>
    <w:rsid w:val="0067769A"/>
    <w:rsid w:val="00677E1E"/>
    <w:rsid w:val="0068009E"/>
    <w:rsid w:val="006809E2"/>
    <w:rsid w:val="0068205D"/>
    <w:rsid w:val="00682164"/>
    <w:rsid w:val="006830CA"/>
    <w:rsid w:val="00684459"/>
    <w:rsid w:val="00684AE6"/>
    <w:rsid w:val="00686780"/>
    <w:rsid w:val="00690C6F"/>
    <w:rsid w:val="00697453"/>
    <w:rsid w:val="006977AE"/>
    <w:rsid w:val="006A094C"/>
    <w:rsid w:val="006A17D2"/>
    <w:rsid w:val="006A2330"/>
    <w:rsid w:val="006A2414"/>
    <w:rsid w:val="006A6A09"/>
    <w:rsid w:val="006A73E6"/>
    <w:rsid w:val="006B06A5"/>
    <w:rsid w:val="006B15AC"/>
    <w:rsid w:val="006B211C"/>
    <w:rsid w:val="006B2D5C"/>
    <w:rsid w:val="006B7A06"/>
    <w:rsid w:val="006C0F7F"/>
    <w:rsid w:val="006C16FB"/>
    <w:rsid w:val="006C1C0E"/>
    <w:rsid w:val="006C2FF6"/>
    <w:rsid w:val="006C4EB1"/>
    <w:rsid w:val="006C52B4"/>
    <w:rsid w:val="006C645E"/>
    <w:rsid w:val="006C6D24"/>
    <w:rsid w:val="006D1F29"/>
    <w:rsid w:val="006D545C"/>
    <w:rsid w:val="006D6646"/>
    <w:rsid w:val="006D778A"/>
    <w:rsid w:val="006E0166"/>
    <w:rsid w:val="006E0978"/>
    <w:rsid w:val="006E3C72"/>
    <w:rsid w:val="006E6CDA"/>
    <w:rsid w:val="006E770C"/>
    <w:rsid w:val="006E7B34"/>
    <w:rsid w:val="006E7EBA"/>
    <w:rsid w:val="006F21F1"/>
    <w:rsid w:val="006F47A4"/>
    <w:rsid w:val="006F7CFB"/>
    <w:rsid w:val="00701B24"/>
    <w:rsid w:val="00701C45"/>
    <w:rsid w:val="00702B27"/>
    <w:rsid w:val="00703336"/>
    <w:rsid w:val="00703BA0"/>
    <w:rsid w:val="007040AB"/>
    <w:rsid w:val="007040CC"/>
    <w:rsid w:val="00704516"/>
    <w:rsid w:val="00704CA2"/>
    <w:rsid w:val="00704DDC"/>
    <w:rsid w:val="007053D1"/>
    <w:rsid w:val="00706868"/>
    <w:rsid w:val="0071151D"/>
    <w:rsid w:val="007126AA"/>
    <w:rsid w:val="00712C81"/>
    <w:rsid w:val="00712F75"/>
    <w:rsid w:val="00714124"/>
    <w:rsid w:val="00714E31"/>
    <w:rsid w:val="00715FB0"/>
    <w:rsid w:val="00716DBF"/>
    <w:rsid w:val="007220A2"/>
    <w:rsid w:val="007232D2"/>
    <w:rsid w:val="007259D8"/>
    <w:rsid w:val="007264AD"/>
    <w:rsid w:val="00726CA9"/>
    <w:rsid w:val="0073235F"/>
    <w:rsid w:val="007329B5"/>
    <w:rsid w:val="00736E3B"/>
    <w:rsid w:val="00740BA9"/>
    <w:rsid w:val="0074248D"/>
    <w:rsid w:val="007424F7"/>
    <w:rsid w:val="00745899"/>
    <w:rsid w:val="00745B25"/>
    <w:rsid w:val="00745C83"/>
    <w:rsid w:val="007514D4"/>
    <w:rsid w:val="00753C90"/>
    <w:rsid w:val="00753E64"/>
    <w:rsid w:val="00753F77"/>
    <w:rsid w:val="00753FB3"/>
    <w:rsid w:val="00755DFF"/>
    <w:rsid w:val="007607C4"/>
    <w:rsid w:val="00760ED3"/>
    <w:rsid w:val="00762B8A"/>
    <w:rsid w:val="0076355F"/>
    <w:rsid w:val="007635C6"/>
    <w:rsid w:val="0076643F"/>
    <w:rsid w:val="00766C24"/>
    <w:rsid w:val="00770BAB"/>
    <w:rsid w:val="00771B3A"/>
    <w:rsid w:val="00775A88"/>
    <w:rsid w:val="00775C7E"/>
    <w:rsid w:val="0078052D"/>
    <w:rsid w:val="00780FEA"/>
    <w:rsid w:val="00780FEB"/>
    <w:rsid w:val="007819D6"/>
    <w:rsid w:val="00782E30"/>
    <w:rsid w:val="0078331E"/>
    <w:rsid w:val="00783CFE"/>
    <w:rsid w:val="0078405B"/>
    <w:rsid w:val="00784795"/>
    <w:rsid w:val="00784EDF"/>
    <w:rsid w:val="00785197"/>
    <w:rsid w:val="0078563F"/>
    <w:rsid w:val="007862BF"/>
    <w:rsid w:val="00787DB7"/>
    <w:rsid w:val="00790473"/>
    <w:rsid w:val="007912C5"/>
    <w:rsid w:val="00791987"/>
    <w:rsid w:val="00793FA1"/>
    <w:rsid w:val="00795D09"/>
    <w:rsid w:val="007976A3"/>
    <w:rsid w:val="007A02DC"/>
    <w:rsid w:val="007A1231"/>
    <w:rsid w:val="007A23BB"/>
    <w:rsid w:val="007A2F70"/>
    <w:rsid w:val="007A4534"/>
    <w:rsid w:val="007A5698"/>
    <w:rsid w:val="007A7918"/>
    <w:rsid w:val="007B0110"/>
    <w:rsid w:val="007B17F9"/>
    <w:rsid w:val="007B4047"/>
    <w:rsid w:val="007B4ACF"/>
    <w:rsid w:val="007B50E0"/>
    <w:rsid w:val="007B5674"/>
    <w:rsid w:val="007B57D7"/>
    <w:rsid w:val="007B63F9"/>
    <w:rsid w:val="007B7023"/>
    <w:rsid w:val="007C03C4"/>
    <w:rsid w:val="007C1265"/>
    <w:rsid w:val="007C1F07"/>
    <w:rsid w:val="007C3334"/>
    <w:rsid w:val="007C39B8"/>
    <w:rsid w:val="007C3A84"/>
    <w:rsid w:val="007C52BB"/>
    <w:rsid w:val="007C5CC3"/>
    <w:rsid w:val="007C6EBF"/>
    <w:rsid w:val="007C78FF"/>
    <w:rsid w:val="007D156B"/>
    <w:rsid w:val="007D191E"/>
    <w:rsid w:val="007D2B98"/>
    <w:rsid w:val="007D4A99"/>
    <w:rsid w:val="007D75F5"/>
    <w:rsid w:val="007D784F"/>
    <w:rsid w:val="007E126E"/>
    <w:rsid w:val="007E1F17"/>
    <w:rsid w:val="007E24B8"/>
    <w:rsid w:val="007E39BF"/>
    <w:rsid w:val="007E3A6A"/>
    <w:rsid w:val="007E4BA8"/>
    <w:rsid w:val="007E76BF"/>
    <w:rsid w:val="007E7C7D"/>
    <w:rsid w:val="007F2283"/>
    <w:rsid w:val="007F2D8C"/>
    <w:rsid w:val="007F3320"/>
    <w:rsid w:val="007F4CDD"/>
    <w:rsid w:val="007F52CC"/>
    <w:rsid w:val="007F5D1D"/>
    <w:rsid w:val="00801883"/>
    <w:rsid w:val="00802F33"/>
    <w:rsid w:val="00803C96"/>
    <w:rsid w:val="00803F1C"/>
    <w:rsid w:val="0080600E"/>
    <w:rsid w:val="00806652"/>
    <w:rsid w:val="00806FED"/>
    <w:rsid w:val="00807254"/>
    <w:rsid w:val="00807CE3"/>
    <w:rsid w:val="008110AD"/>
    <w:rsid w:val="00811E17"/>
    <w:rsid w:val="00812561"/>
    <w:rsid w:val="00817612"/>
    <w:rsid w:val="008210A7"/>
    <w:rsid w:val="00822D91"/>
    <w:rsid w:val="00831C1F"/>
    <w:rsid w:val="00832927"/>
    <w:rsid w:val="00832D9A"/>
    <w:rsid w:val="00832F3B"/>
    <w:rsid w:val="008335EA"/>
    <w:rsid w:val="00835E6D"/>
    <w:rsid w:val="008373A6"/>
    <w:rsid w:val="00837C45"/>
    <w:rsid w:val="00840364"/>
    <w:rsid w:val="00842818"/>
    <w:rsid w:val="008443B7"/>
    <w:rsid w:val="00844FA1"/>
    <w:rsid w:val="008454EC"/>
    <w:rsid w:val="00845538"/>
    <w:rsid w:val="00845E57"/>
    <w:rsid w:val="0084677C"/>
    <w:rsid w:val="00847664"/>
    <w:rsid w:val="00850323"/>
    <w:rsid w:val="00852B48"/>
    <w:rsid w:val="00853419"/>
    <w:rsid w:val="008556DF"/>
    <w:rsid w:val="00856796"/>
    <w:rsid w:val="00857279"/>
    <w:rsid w:val="008575B1"/>
    <w:rsid w:val="00860AF5"/>
    <w:rsid w:val="00861F9A"/>
    <w:rsid w:val="00863052"/>
    <w:rsid w:val="0086513A"/>
    <w:rsid w:val="00865FA5"/>
    <w:rsid w:val="00866867"/>
    <w:rsid w:val="00872C3F"/>
    <w:rsid w:val="00880132"/>
    <w:rsid w:val="00881E4C"/>
    <w:rsid w:val="008827CA"/>
    <w:rsid w:val="00884C0B"/>
    <w:rsid w:val="00885748"/>
    <w:rsid w:val="00885CC6"/>
    <w:rsid w:val="00887868"/>
    <w:rsid w:val="00895270"/>
    <w:rsid w:val="008957E9"/>
    <w:rsid w:val="008959ED"/>
    <w:rsid w:val="00895B0E"/>
    <w:rsid w:val="00897E12"/>
    <w:rsid w:val="008A2A4A"/>
    <w:rsid w:val="008A2C3B"/>
    <w:rsid w:val="008A5F78"/>
    <w:rsid w:val="008A7308"/>
    <w:rsid w:val="008A73DE"/>
    <w:rsid w:val="008B0BDB"/>
    <w:rsid w:val="008B1D56"/>
    <w:rsid w:val="008B56FA"/>
    <w:rsid w:val="008B6023"/>
    <w:rsid w:val="008B6BC1"/>
    <w:rsid w:val="008C0C39"/>
    <w:rsid w:val="008D0A86"/>
    <w:rsid w:val="008D13A4"/>
    <w:rsid w:val="008D2F88"/>
    <w:rsid w:val="008D2F96"/>
    <w:rsid w:val="008D3DD9"/>
    <w:rsid w:val="008D43BA"/>
    <w:rsid w:val="008D4CF3"/>
    <w:rsid w:val="008D50E1"/>
    <w:rsid w:val="008D6DD0"/>
    <w:rsid w:val="008E0E36"/>
    <w:rsid w:val="008E3759"/>
    <w:rsid w:val="008E443A"/>
    <w:rsid w:val="008E5050"/>
    <w:rsid w:val="008F6F74"/>
    <w:rsid w:val="00900A8A"/>
    <w:rsid w:val="00900F12"/>
    <w:rsid w:val="009010DD"/>
    <w:rsid w:val="00901310"/>
    <w:rsid w:val="00901450"/>
    <w:rsid w:val="009041DC"/>
    <w:rsid w:val="00904DE3"/>
    <w:rsid w:val="00907161"/>
    <w:rsid w:val="00907CE7"/>
    <w:rsid w:val="009104B4"/>
    <w:rsid w:val="0091170E"/>
    <w:rsid w:val="00911C79"/>
    <w:rsid w:val="009120E2"/>
    <w:rsid w:val="009147A3"/>
    <w:rsid w:val="0091603E"/>
    <w:rsid w:val="00916828"/>
    <w:rsid w:val="0091703E"/>
    <w:rsid w:val="00920216"/>
    <w:rsid w:val="00922EAA"/>
    <w:rsid w:val="00925A8E"/>
    <w:rsid w:val="00925FCD"/>
    <w:rsid w:val="00927395"/>
    <w:rsid w:val="00927C0B"/>
    <w:rsid w:val="0093441A"/>
    <w:rsid w:val="00935A42"/>
    <w:rsid w:val="009362B4"/>
    <w:rsid w:val="00937527"/>
    <w:rsid w:val="00941346"/>
    <w:rsid w:val="00941937"/>
    <w:rsid w:val="0094200B"/>
    <w:rsid w:val="00942814"/>
    <w:rsid w:val="00943711"/>
    <w:rsid w:val="009458ED"/>
    <w:rsid w:val="009459A0"/>
    <w:rsid w:val="009478EC"/>
    <w:rsid w:val="00950BC5"/>
    <w:rsid w:val="0095102D"/>
    <w:rsid w:val="009538EF"/>
    <w:rsid w:val="00954575"/>
    <w:rsid w:val="00954BF7"/>
    <w:rsid w:val="00956F68"/>
    <w:rsid w:val="009601A0"/>
    <w:rsid w:val="009611F8"/>
    <w:rsid w:val="00961992"/>
    <w:rsid w:val="00966854"/>
    <w:rsid w:val="0096706E"/>
    <w:rsid w:val="009674EE"/>
    <w:rsid w:val="00970CBE"/>
    <w:rsid w:val="00971627"/>
    <w:rsid w:val="00971F1D"/>
    <w:rsid w:val="00972A67"/>
    <w:rsid w:val="00972E1D"/>
    <w:rsid w:val="009747A8"/>
    <w:rsid w:val="00975633"/>
    <w:rsid w:val="00975DC0"/>
    <w:rsid w:val="00980090"/>
    <w:rsid w:val="00980F95"/>
    <w:rsid w:val="00981FBA"/>
    <w:rsid w:val="009838F4"/>
    <w:rsid w:val="009841F2"/>
    <w:rsid w:val="00984C2F"/>
    <w:rsid w:val="00987C18"/>
    <w:rsid w:val="00992336"/>
    <w:rsid w:val="00993336"/>
    <w:rsid w:val="0099513D"/>
    <w:rsid w:val="00996061"/>
    <w:rsid w:val="009964A5"/>
    <w:rsid w:val="00996BE8"/>
    <w:rsid w:val="009A03E5"/>
    <w:rsid w:val="009A2BE3"/>
    <w:rsid w:val="009A30D6"/>
    <w:rsid w:val="009A531C"/>
    <w:rsid w:val="009A5513"/>
    <w:rsid w:val="009B0C55"/>
    <w:rsid w:val="009B25A9"/>
    <w:rsid w:val="009B2EE7"/>
    <w:rsid w:val="009B381B"/>
    <w:rsid w:val="009B7CE8"/>
    <w:rsid w:val="009C1732"/>
    <w:rsid w:val="009C28CD"/>
    <w:rsid w:val="009C5154"/>
    <w:rsid w:val="009C5504"/>
    <w:rsid w:val="009D2207"/>
    <w:rsid w:val="009D30ED"/>
    <w:rsid w:val="009D4B0B"/>
    <w:rsid w:val="009D7611"/>
    <w:rsid w:val="009E0E22"/>
    <w:rsid w:val="009E1B96"/>
    <w:rsid w:val="009E1E6F"/>
    <w:rsid w:val="009E3743"/>
    <w:rsid w:val="009E3B81"/>
    <w:rsid w:val="009E43C1"/>
    <w:rsid w:val="009E5147"/>
    <w:rsid w:val="009E53DE"/>
    <w:rsid w:val="009E6B9C"/>
    <w:rsid w:val="009F2778"/>
    <w:rsid w:val="009F4BDE"/>
    <w:rsid w:val="009F6E68"/>
    <w:rsid w:val="009F77DA"/>
    <w:rsid w:val="00A0151C"/>
    <w:rsid w:val="00A0509C"/>
    <w:rsid w:val="00A11513"/>
    <w:rsid w:val="00A11E86"/>
    <w:rsid w:val="00A12FE2"/>
    <w:rsid w:val="00A16182"/>
    <w:rsid w:val="00A17535"/>
    <w:rsid w:val="00A22D4E"/>
    <w:rsid w:val="00A23550"/>
    <w:rsid w:val="00A23D80"/>
    <w:rsid w:val="00A30993"/>
    <w:rsid w:val="00A30D05"/>
    <w:rsid w:val="00A32D05"/>
    <w:rsid w:val="00A32FD9"/>
    <w:rsid w:val="00A34548"/>
    <w:rsid w:val="00A35613"/>
    <w:rsid w:val="00A415F3"/>
    <w:rsid w:val="00A431EE"/>
    <w:rsid w:val="00A43220"/>
    <w:rsid w:val="00A43458"/>
    <w:rsid w:val="00A528D1"/>
    <w:rsid w:val="00A541EE"/>
    <w:rsid w:val="00A554C0"/>
    <w:rsid w:val="00A55AC2"/>
    <w:rsid w:val="00A618B6"/>
    <w:rsid w:val="00A628A3"/>
    <w:rsid w:val="00A659E4"/>
    <w:rsid w:val="00A65DE2"/>
    <w:rsid w:val="00A6651B"/>
    <w:rsid w:val="00A66BE5"/>
    <w:rsid w:val="00A66E81"/>
    <w:rsid w:val="00A6798C"/>
    <w:rsid w:val="00A75EE5"/>
    <w:rsid w:val="00A76C1B"/>
    <w:rsid w:val="00A77812"/>
    <w:rsid w:val="00A81165"/>
    <w:rsid w:val="00A83AAF"/>
    <w:rsid w:val="00A83FAE"/>
    <w:rsid w:val="00A85CA3"/>
    <w:rsid w:val="00A86A86"/>
    <w:rsid w:val="00A87A17"/>
    <w:rsid w:val="00A91838"/>
    <w:rsid w:val="00A925B5"/>
    <w:rsid w:val="00A95879"/>
    <w:rsid w:val="00A97550"/>
    <w:rsid w:val="00AA2B28"/>
    <w:rsid w:val="00AB0481"/>
    <w:rsid w:val="00AB127D"/>
    <w:rsid w:val="00AB1912"/>
    <w:rsid w:val="00AB2AD4"/>
    <w:rsid w:val="00AB3449"/>
    <w:rsid w:val="00AB5485"/>
    <w:rsid w:val="00AB5572"/>
    <w:rsid w:val="00AB69CB"/>
    <w:rsid w:val="00AB7DEA"/>
    <w:rsid w:val="00AC16E9"/>
    <w:rsid w:val="00AC18DB"/>
    <w:rsid w:val="00AC377F"/>
    <w:rsid w:val="00AC37D8"/>
    <w:rsid w:val="00AC65A1"/>
    <w:rsid w:val="00AC77E6"/>
    <w:rsid w:val="00AC7D32"/>
    <w:rsid w:val="00AD0A02"/>
    <w:rsid w:val="00AD0DA1"/>
    <w:rsid w:val="00AD18C9"/>
    <w:rsid w:val="00AD26B6"/>
    <w:rsid w:val="00AD37C1"/>
    <w:rsid w:val="00AD4335"/>
    <w:rsid w:val="00AD517B"/>
    <w:rsid w:val="00AD6683"/>
    <w:rsid w:val="00AD7317"/>
    <w:rsid w:val="00AE2FA3"/>
    <w:rsid w:val="00AE66EC"/>
    <w:rsid w:val="00AE6817"/>
    <w:rsid w:val="00AE6F91"/>
    <w:rsid w:val="00AE70A3"/>
    <w:rsid w:val="00AE7467"/>
    <w:rsid w:val="00AF1DDB"/>
    <w:rsid w:val="00AF2D08"/>
    <w:rsid w:val="00AF308A"/>
    <w:rsid w:val="00AF4963"/>
    <w:rsid w:val="00AF52D1"/>
    <w:rsid w:val="00AF5571"/>
    <w:rsid w:val="00AF6097"/>
    <w:rsid w:val="00B002F7"/>
    <w:rsid w:val="00B011E1"/>
    <w:rsid w:val="00B01667"/>
    <w:rsid w:val="00B01C86"/>
    <w:rsid w:val="00B02839"/>
    <w:rsid w:val="00B03C15"/>
    <w:rsid w:val="00B03EDC"/>
    <w:rsid w:val="00B05C5A"/>
    <w:rsid w:val="00B114CE"/>
    <w:rsid w:val="00B124C1"/>
    <w:rsid w:val="00B12B88"/>
    <w:rsid w:val="00B15307"/>
    <w:rsid w:val="00B16299"/>
    <w:rsid w:val="00B1650D"/>
    <w:rsid w:val="00B167E9"/>
    <w:rsid w:val="00B2039A"/>
    <w:rsid w:val="00B2323C"/>
    <w:rsid w:val="00B314DB"/>
    <w:rsid w:val="00B31EBE"/>
    <w:rsid w:val="00B34006"/>
    <w:rsid w:val="00B3718B"/>
    <w:rsid w:val="00B37702"/>
    <w:rsid w:val="00B37831"/>
    <w:rsid w:val="00B4304F"/>
    <w:rsid w:val="00B43659"/>
    <w:rsid w:val="00B4632A"/>
    <w:rsid w:val="00B47D7C"/>
    <w:rsid w:val="00B51043"/>
    <w:rsid w:val="00B5174C"/>
    <w:rsid w:val="00B525B9"/>
    <w:rsid w:val="00B52BF5"/>
    <w:rsid w:val="00B549BC"/>
    <w:rsid w:val="00B6174D"/>
    <w:rsid w:val="00B621C2"/>
    <w:rsid w:val="00B625D5"/>
    <w:rsid w:val="00B66BC9"/>
    <w:rsid w:val="00B66CE0"/>
    <w:rsid w:val="00B66E7A"/>
    <w:rsid w:val="00B67100"/>
    <w:rsid w:val="00B675DF"/>
    <w:rsid w:val="00B67946"/>
    <w:rsid w:val="00B71189"/>
    <w:rsid w:val="00B7118A"/>
    <w:rsid w:val="00B712E9"/>
    <w:rsid w:val="00B81035"/>
    <w:rsid w:val="00B81FB6"/>
    <w:rsid w:val="00B82318"/>
    <w:rsid w:val="00B82390"/>
    <w:rsid w:val="00B834EA"/>
    <w:rsid w:val="00B8649C"/>
    <w:rsid w:val="00B875FF"/>
    <w:rsid w:val="00B90024"/>
    <w:rsid w:val="00B90D18"/>
    <w:rsid w:val="00B90F45"/>
    <w:rsid w:val="00B91079"/>
    <w:rsid w:val="00B943E5"/>
    <w:rsid w:val="00B965E0"/>
    <w:rsid w:val="00BA0E9E"/>
    <w:rsid w:val="00BA276C"/>
    <w:rsid w:val="00BA4F4D"/>
    <w:rsid w:val="00BA78B7"/>
    <w:rsid w:val="00BB0E4C"/>
    <w:rsid w:val="00BB19E7"/>
    <w:rsid w:val="00BB1EB9"/>
    <w:rsid w:val="00BB1EE4"/>
    <w:rsid w:val="00BB306F"/>
    <w:rsid w:val="00BB52A5"/>
    <w:rsid w:val="00BC5C0D"/>
    <w:rsid w:val="00BC6F28"/>
    <w:rsid w:val="00BD009E"/>
    <w:rsid w:val="00BD01B4"/>
    <w:rsid w:val="00BD1EE2"/>
    <w:rsid w:val="00BD232B"/>
    <w:rsid w:val="00BD2658"/>
    <w:rsid w:val="00BD4B89"/>
    <w:rsid w:val="00BD5E0D"/>
    <w:rsid w:val="00BD779E"/>
    <w:rsid w:val="00BE0802"/>
    <w:rsid w:val="00BE22DF"/>
    <w:rsid w:val="00BE24DB"/>
    <w:rsid w:val="00BE331E"/>
    <w:rsid w:val="00BE3696"/>
    <w:rsid w:val="00BE79B7"/>
    <w:rsid w:val="00BF1908"/>
    <w:rsid w:val="00BF2ACF"/>
    <w:rsid w:val="00BF3050"/>
    <w:rsid w:val="00BF3191"/>
    <w:rsid w:val="00BF41F2"/>
    <w:rsid w:val="00BF4967"/>
    <w:rsid w:val="00BF4A68"/>
    <w:rsid w:val="00BF5AA6"/>
    <w:rsid w:val="00BF5D64"/>
    <w:rsid w:val="00BF7301"/>
    <w:rsid w:val="00C01687"/>
    <w:rsid w:val="00C02B88"/>
    <w:rsid w:val="00C06863"/>
    <w:rsid w:val="00C07FBF"/>
    <w:rsid w:val="00C10882"/>
    <w:rsid w:val="00C11E77"/>
    <w:rsid w:val="00C12689"/>
    <w:rsid w:val="00C14128"/>
    <w:rsid w:val="00C20519"/>
    <w:rsid w:val="00C21762"/>
    <w:rsid w:val="00C243B4"/>
    <w:rsid w:val="00C24543"/>
    <w:rsid w:val="00C2455B"/>
    <w:rsid w:val="00C24867"/>
    <w:rsid w:val="00C256A2"/>
    <w:rsid w:val="00C26C73"/>
    <w:rsid w:val="00C27B09"/>
    <w:rsid w:val="00C30519"/>
    <w:rsid w:val="00C30A86"/>
    <w:rsid w:val="00C310AC"/>
    <w:rsid w:val="00C3345D"/>
    <w:rsid w:val="00C33DD3"/>
    <w:rsid w:val="00C3492D"/>
    <w:rsid w:val="00C3741E"/>
    <w:rsid w:val="00C37E26"/>
    <w:rsid w:val="00C400EB"/>
    <w:rsid w:val="00C43056"/>
    <w:rsid w:val="00C46A7B"/>
    <w:rsid w:val="00C46EE4"/>
    <w:rsid w:val="00C472BC"/>
    <w:rsid w:val="00C514EB"/>
    <w:rsid w:val="00C5220A"/>
    <w:rsid w:val="00C540FD"/>
    <w:rsid w:val="00C55560"/>
    <w:rsid w:val="00C602E6"/>
    <w:rsid w:val="00C61BDA"/>
    <w:rsid w:val="00C6253C"/>
    <w:rsid w:val="00C65140"/>
    <w:rsid w:val="00C66B72"/>
    <w:rsid w:val="00C6717F"/>
    <w:rsid w:val="00C677B9"/>
    <w:rsid w:val="00C6780D"/>
    <w:rsid w:val="00C67911"/>
    <w:rsid w:val="00C701CE"/>
    <w:rsid w:val="00C74B13"/>
    <w:rsid w:val="00C74D89"/>
    <w:rsid w:val="00C7659F"/>
    <w:rsid w:val="00C804C1"/>
    <w:rsid w:val="00C8309A"/>
    <w:rsid w:val="00C84633"/>
    <w:rsid w:val="00C853E4"/>
    <w:rsid w:val="00C8702D"/>
    <w:rsid w:val="00C877FD"/>
    <w:rsid w:val="00C904E5"/>
    <w:rsid w:val="00C91C25"/>
    <w:rsid w:val="00C928B7"/>
    <w:rsid w:val="00C931D3"/>
    <w:rsid w:val="00C934A3"/>
    <w:rsid w:val="00C942B9"/>
    <w:rsid w:val="00C9567A"/>
    <w:rsid w:val="00C96256"/>
    <w:rsid w:val="00C963E4"/>
    <w:rsid w:val="00C96DFD"/>
    <w:rsid w:val="00C97E92"/>
    <w:rsid w:val="00CA035B"/>
    <w:rsid w:val="00CA5064"/>
    <w:rsid w:val="00CA76C4"/>
    <w:rsid w:val="00CB0140"/>
    <w:rsid w:val="00CB1607"/>
    <w:rsid w:val="00CB2660"/>
    <w:rsid w:val="00CB3154"/>
    <w:rsid w:val="00CB735B"/>
    <w:rsid w:val="00CC13F3"/>
    <w:rsid w:val="00CC20DD"/>
    <w:rsid w:val="00CC27B3"/>
    <w:rsid w:val="00CC321F"/>
    <w:rsid w:val="00CC38B5"/>
    <w:rsid w:val="00CC5E90"/>
    <w:rsid w:val="00CD0281"/>
    <w:rsid w:val="00CD046C"/>
    <w:rsid w:val="00CD2658"/>
    <w:rsid w:val="00CD2C97"/>
    <w:rsid w:val="00CD4B3E"/>
    <w:rsid w:val="00CD4F3F"/>
    <w:rsid w:val="00CD5EC6"/>
    <w:rsid w:val="00CE0328"/>
    <w:rsid w:val="00CE0B0E"/>
    <w:rsid w:val="00CE5199"/>
    <w:rsid w:val="00CE609B"/>
    <w:rsid w:val="00CE6616"/>
    <w:rsid w:val="00CE66D5"/>
    <w:rsid w:val="00CE7D2F"/>
    <w:rsid w:val="00CF0807"/>
    <w:rsid w:val="00CF09B6"/>
    <w:rsid w:val="00CF207A"/>
    <w:rsid w:val="00CF2898"/>
    <w:rsid w:val="00CF4D9F"/>
    <w:rsid w:val="00CF5C54"/>
    <w:rsid w:val="00CF76E7"/>
    <w:rsid w:val="00D00B64"/>
    <w:rsid w:val="00D00EF0"/>
    <w:rsid w:val="00D03984"/>
    <w:rsid w:val="00D03DC6"/>
    <w:rsid w:val="00D047DA"/>
    <w:rsid w:val="00D06362"/>
    <w:rsid w:val="00D064A8"/>
    <w:rsid w:val="00D06577"/>
    <w:rsid w:val="00D067F2"/>
    <w:rsid w:val="00D06A3E"/>
    <w:rsid w:val="00D0718A"/>
    <w:rsid w:val="00D07D0C"/>
    <w:rsid w:val="00D106AC"/>
    <w:rsid w:val="00D11D00"/>
    <w:rsid w:val="00D122E6"/>
    <w:rsid w:val="00D12C47"/>
    <w:rsid w:val="00D13D9E"/>
    <w:rsid w:val="00D219A4"/>
    <w:rsid w:val="00D23513"/>
    <w:rsid w:val="00D24404"/>
    <w:rsid w:val="00D25BE2"/>
    <w:rsid w:val="00D26FBC"/>
    <w:rsid w:val="00D27B0A"/>
    <w:rsid w:val="00D3031E"/>
    <w:rsid w:val="00D321AE"/>
    <w:rsid w:val="00D33C9F"/>
    <w:rsid w:val="00D33D7C"/>
    <w:rsid w:val="00D34786"/>
    <w:rsid w:val="00D35191"/>
    <w:rsid w:val="00D35664"/>
    <w:rsid w:val="00D36D86"/>
    <w:rsid w:val="00D40A1E"/>
    <w:rsid w:val="00D43CBA"/>
    <w:rsid w:val="00D448B9"/>
    <w:rsid w:val="00D44E99"/>
    <w:rsid w:val="00D45808"/>
    <w:rsid w:val="00D516FB"/>
    <w:rsid w:val="00D53348"/>
    <w:rsid w:val="00D544EB"/>
    <w:rsid w:val="00D55668"/>
    <w:rsid w:val="00D556AF"/>
    <w:rsid w:val="00D60F8B"/>
    <w:rsid w:val="00D61240"/>
    <w:rsid w:val="00D61827"/>
    <w:rsid w:val="00D637D7"/>
    <w:rsid w:val="00D6396D"/>
    <w:rsid w:val="00D65B0C"/>
    <w:rsid w:val="00D664F0"/>
    <w:rsid w:val="00D6718C"/>
    <w:rsid w:val="00D7023A"/>
    <w:rsid w:val="00D712D3"/>
    <w:rsid w:val="00D71422"/>
    <w:rsid w:val="00D7145E"/>
    <w:rsid w:val="00D74D51"/>
    <w:rsid w:val="00D7558D"/>
    <w:rsid w:val="00D76740"/>
    <w:rsid w:val="00D76961"/>
    <w:rsid w:val="00D8068D"/>
    <w:rsid w:val="00D81D92"/>
    <w:rsid w:val="00D8219A"/>
    <w:rsid w:val="00D82DDF"/>
    <w:rsid w:val="00D83C3C"/>
    <w:rsid w:val="00D866B1"/>
    <w:rsid w:val="00D93446"/>
    <w:rsid w:val="00D94762"/>
    <w:rsid w:val="00D9547B"/>
    <w:rsid w:val="00D9585D"/>
    <w:rsid w:val="00D97E6E"/>
    <w:rsid w:val="00DA28F1"/>
    <w:rsid w:val="00DA2E1B"/>
    <w:rsid w:val="00DA52D7"/>
    <w:rsid w:val="00DA536C"/>
    <w:rsid w:val="00DA7B5F"/>
    <w:rsid w:val="00DB01F7"/>
    <w:rsid w:val="00DB0A75"/>
    <w:rsid w:val="00DB11DC"/>
    <w:rsid w:val="00DB190A"/>
    <w:rsid w:val="00DB24C7"/>
    <w:rsid w:val="00DB2BB5"/>
    <w:rsid w:val="00DB4038"/>
    <w:rsid w:val="00DB4547"/>
    <w:rsid w:val="00DB47CF"/>
    <w:rsid w:val="00DC04F0"/>
    <w:rsid w:val="00DC1A37"/>
    <w:rsid w:val="00DC1BCD"/>
    <w:rsid w:val="00DC2601"/>
    <w:rsid w:val="00DC39D9"/>
    <w:rsid w:val="00DC66B1"/>
    <w:rsid w:val="00DC6B41"/>
    <w:rsid w:val="00DC7736"/>
    <w:rsid w:val="00DD0419"/>
    <w:rsid w:val="00DD05D9"/>
    <w:rsid w:val="00DD0CF5"/>
    <w:rsid w:val="00DD6D4A"/>
    <w:rsid w:val="00DE1724"/>
    <w:rsid w:val="00DE279D"/>
    <w:rsid w:val="00DE4FCA"/>
    <w:rsid w:val="00DF062D"/>
    <w:rsid w:val="00DF0C3D"/>
    <w:rsid w:val="00DF2989"/>
    <w:rsid w:val="00DF2C14"/>
    <w:rsid w:val="00DF2CAF"/>
    <w:rsid w:val="00DF33A3"/>
    <w:rsid w:val="00DF6F3B"/>
    <w:rsid w:val="00E0033E"/>
    <w:rsid w:val="00E102EE"/>
    <w:rsid w:val="00E12DAA"/>
    <w:rsid w:val="00E1430D"/>
    <w:rsid w:val="00E1683A"/>
    <w:rsid w:val="00E202B7"/>
    <w:rsid w:val="00E21EBD"/>
    <w:rsid w:val="00E23D86"/>
    <w:rsid w:val="00E25222"/>
    <w:rsid w:val="00E257DD"/>
    <w:rsid w:val="00E26F13"/>
    <w:rsid w:val="00E31EA8"/>
    <w:rsid w:val="00E33414"/>
    <w:rsid w:val="00E375D2"/>
    <w:rsid w:val="00E40EED"/>
    <w:rsid w:val="00E41A6A"/>
    <w:rsid w:val="00E41C39"/>
    <w:rsid w:val="00E42067"/>
    <w:rsid w:val="00E42F9F"/>
    <w:rsid w:val="00E43157"/>
    <w:rsid w:val="00E44E17"/>
    <w:rsid w:val="00E45C37"/>
    <w:rsid w:val="00E47C1C"/>
    <w:rsid w:val="00E5185E"/>
    <w:rsid w:val="00E533FF"/>
    <w:rsid w:val="00E53445"/>
    <w:rsid w:val="00E53E52"/>
    <w:rsid w:val="00E55383"/>
    <w:rsid w:val="00E6080B"/>
    <w:rsid w:val="00E62170"/>
    <w:rsid w:val="00E66E5F"/>
    <w:rsid w:val="00E67EDE"/>
    <w:rsid w:val="00E709B3"/>
    <w:rsid w:val="00E72728"/>
    <w:rsid w:val="00E73A3C"/>
    <w:rsid w:val="00E74CD3"/>
    <w:rsid w:val="00E8294B"/>
    <w:rsid w:val="00E82D3C"/>
    <w:rsid w:val="00E84EE2"/>
    <w:rsid w:val="00E85487"/>
    <w:rsid w:val="00E85E4E"/>
    <w:rsid w:val="00E86944"/>
    <w:rsid w:val="00E87282"/>
    <w:rsid w:val="00E8789F"/>
    <w:rsid w:val="00E907A5"/>
    <w:rsid w:val="00E9226A"/>
    <w:rsid w:val="00E933D5"/>
    <w:rsid w:val="00E9350D"/>
    <w:rsid w:val="00E93B20"/>
    <w:rsid w:val="00E955E2"/>
    <w:rsid w:val="00E97B71"/>
    <w:rsid w:val="00EA238C"/>
    <w:rsid w:val="00EA3844"/>
    <w:rsid w:val="00EA4D95"/>
    <w:rsid w:val="00EA50BE"/>
    <w:rsid w:val="00EA57B1"/>
    <w:rsid w:val="00EB1187"/>
    <w:rsid w:val="00EB3CEF"/>
    <w:rsid w:val="00EB430E"/>
    <w:rsid w:val="00EB454D"/>
    <w:rsid w:val="00EB4DBA"/>
    <w:rsid w:val="00EB5B86"/>
    <w:rsid w:val="00EB665F"/>
    <w:rsid w:val="00EB673E"/>
    <w:rsid w:val="00EC493E"/>
    <w:rsid w:val="00EC69E2"/>
    <w:rsid w:val="00ED2ACF"/>
    <w:rsid w:val="00ED2D2F"/>
    <w:rsid w:val="00ED529B"/>
    <w:rsid w:val="00ED52B2"/>
    <w:rsid w:val="00ED7D30"/>
    <w:rsid w:val="00ED7D56"/>
    <w:rsid w:val="00EE1B57"/>
    <w:rsid w:val="00EE3522"/>
    <w:rsid w:val="00EE4B2E"/>
    <w:rsid w:val="00EE4B32"/>
    <w:rsid w:val="00EE70AE"/>
    <w:rsid w:val="00EE749A"/>
    <w:rsid w:val="00EE784B"/>
    <w:rsid w:val="00EF02F0"/>
    <w:rsid w:val="00EF3339"/>
    <w:rsid w:val="00EF48C9"/>
    <w:rsid w:val="00EF619B"/>
    <w:rsid w:val="00EF776F"/>
    <w:rsid w:val="00F00B55"/>
    <w:rsid w:val="00F00BA7"/>
    <w:rsid w:val="00F05227"/>
    <w:rsid w:val="00F069FF"/>
    <w:rsid w:val="00F0721F"/>
    <w:rsid w:val="00F11E03"/>
    <w:rsid w:val="00F13033"/>
    <w:rsid w:val="00F1380F"/>
    <w:rsid w:val="00F14F0E"/>
    <w:rsid w:val="00F159FD"/>
    <w:rsid w:val="00F15BEF"/>
    <w:rsid w:val="00F16ACB"/>
    <w:rsid w:val="00F17934"/>
    <w:rsid w:val="00F20827"/>
    <w:rsid w:val="00F216E5"/>
    <w:rsid w:val="00F22563"/>
    <w:rsid w:val="00F24C29"/>
    <w:rsid w:val="00F253CC"/>
    <w:rsid w:val="00F32EEE"/>
    <w:rsid w:val="00F366A2"/>
    <w:rsid w:val="00F370CB"/>
    <w:rsid w:val="00F372AB"/>
    <w:rsid w:val="00F418FC"/>
    <w:rsid w:val="00F43EAC"/>
    <w:rsid w:val="00F44463"/>
    <w:rsid w:val="00F44CBB"/>
    <w:rsid w:val="00F4551D"/>
    <w:rsid w:val="00F458C2"/>
    <w:rsid w:val="00F47498"/>
    <w:rsid w:val="00F5093F"/>
    <w:rsid w:val="00F51611"/>
    <w:rsid w:val="00F55008"/>
    <w:rsid w:val="00F56BA5"/>
    <w:rsid w:val="00F57671"/>
    <w:rsid w:val="00F57869"/>
    <w:rsid w:val="00F57C7C"/>
    <w:rsid w:val="00F60110"/>
    <w:rsid w:val="00F6051A"/>
    <w:rsid w:val="00F608AD"/>
    <w:rsid w:val="00F6418A"/>
    <w:rsid w:val="00F644E6"/>
    <w:rsid w:val="00F64AEC"/>
    <w:rsid w:val="00F6535C"/>
    <w:rsid w:val="00F7153C"/>
    <w:rsid w:val="00F72EE7"/>
    <w:rsid w:val="00F73031"/>
    <w:rsid w:val="00F73C1E"/>
    <w:rsid w:val="00F75742"/>
    <w:rsid w:val="00F75744"/>
    <w:rsid w:val="00F7732C"/>
    <w:rsid w:val="00F804C2"/>
    <w:rsid w:val="00F820E2"/>
    <w:rsid w:val="00F865E2"/>
    <w:rsid w:val="00F90B2D"/>
    <w:rsid w:val="00F9653B"/>
    <w:rsid w:val="00F969DE"/>
    <w:rsid w:val="00FA07EB"/>
    <w:rsid w:val="00FA2377"/>
    <w:rsid w:val="00FA5BB3"/>
    <w:rsid w:val="00FA7CB9"/>
    <w:rsid w:val="00FB3B57"/>
    <w:rsid w:val="00FB40C1"/>
    <w:rsid w:val="00FB4EF2"/>
    <w:rsid w:val="00FB5C44"/>
    <w:rsid w:val="00FB62CF"/>
    <w:rsid w:val="00FC03DC"/>
    <w:rsid w:val="00FC1631"/>
    <w:rsid w:val="00FC20C1"/>
    <w:rsid w:val="00FC2124"/>
    <w:rsid w:val="00FC3785"/>
    <w:rsid w:val="00FC391C"/>
    <w:rsid w:val="00FC3EB4"/>
    <w:rsid w:val="00FC4C52"/>
    <w:rsid w:val="00FC6C58"/>
    <w:rsid w:val="00FE0E23"/>
    <w:rsid w:val="00FE6B45"/>
    <w:rsid w:val="00FF3D69"/>
    <w:rsid w:val="00FF453D"/>
    <w:rsid w:val="00FF5851"/>
    <w:rsid w:val="00FF5C2B"/>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C00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61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61A4E"/>
    <w:pPr>
      <w:keepNext/>
      <w:keepLines/>
      <w:numPr>
        <w:numId w:val="61"/>
      </w:numPr>
      <w:ind w:left="1440" w:hanging="720"/>
      <w:outlineLvl w:val="2"/>
    </w:pPr>
    <w:rPr>
      <w:rFonts w:ascii="Cambria" w:eastAsia="Times New Roman" w:hAnsi="Cambria"/>
      <w:b/>
      <w:bCs/>
      <w:sz w:val="20"/>
      <w:lang w:val="es-ES"/>
    </w:rPr>
  </w:style>
  <w:style w:type="paragraph" w:styleId="Heading4">
    <w:name w:val="heading 4"/>
    <w:basedOn w:val="Normal"/>
    <w:next w:val="Normal"/>
    <w:link w:val="Heading4Char"/>
    <w:uiPriority w:val="9"/>
    <w:unhideWhenUsed/>
    <w:qFormat/>
    <w:rsid w:val="00AC18D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F216E5"/>
    <w:pPr>
      <w:tabs>
        <w:tab w:val="left" w:pos="720"/>
        <w:tab w:val="left" w:pos="1080"/>
        <w:tab w:val="right" w:leader="dot" w:pos="9350"/>
      </w:tabs>
      <w:spacing w:after="100"/>
      <w:ind w:left="720" w:hanging="360"/>
    </w:pPr>
  </w:style>
  <w:style w:type="paragraph" w:styleId="TOC1">
    <w:name w:val="toc 1"/>
    <w:basedOn w:val="Normal"/>
    <w:next w:val="Normal"/>
    <w:autoRedefine/>
    <w:uiPriority w:val="39"/>
    <w:unhideWhenUsed/>
    <w:rsid w:val="00E9350D"/>
    <w:pPr>
      <w:tabs>
        <w:tab w:val="left" w:pos="720"/>
        <w:tab w:val="left" w:pos="1440"/>
        <w:tab w:val="right" w:leader="dot" w:pos="9350"/>
      </w:tabs>
      <w:spacing w:after="100"/>
    </w:pPr>
    <w:rPr>
      <w:rFonts w:asciiTheme="majorHAnsi" w:hAnsiTheme="majorHAnsi"/>
      <w:b/>
      <w:noProof/>
      <w:sz w:val="20"/>
      <w:szCs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1061FC"/>
    <w:rPr>
      <w:rFonts w:asciiTheme="majorHAnsi" w:eastAsiaTheme="majorEastAsia" w:hAnsiTheme="majorHAnsi" w:cstheme="majorBidi"/>
      <w:b/>
      <w:bCs/>
      <w:color w:val="4F81BD" w:themeColor="accent1"/>
      <w:sz w:val="26"/>
      <w:szCs w:val="26"/>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1061F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1061FC"/>
    <w:rPr>
      <w:rFonts w:ascii="Cambria" w:eastAsia="Cambria" w:hAnsi="Cambria" w:cs="Cambria"/>
      <w:color w:val="000000"/>
      <w:sz w:val="24"/>
      <w:szCs w:val="24"/>
      <w:u w:color="000000"/>
      <w:lang w:val="en-US"/>
    </w:rPr>
  </w:style>
  <w:style w:type="paragraph" w:customStyle="1" w:styleId="parrafos">
    <w:name w:val="parrafos"/>
    <w:basedOn w:val="Normal"/>
    <w:link w:val="parrafosChar"/>
    <w:qFormat/>
    <w:rsid w:val="001061FC"/>
    <w:pPr>
      <w:numPr>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pPr>
    <w:rPr>
      <w:rFonts w:asciiTheme="majorHAnsi" w:hAnsiTheme="majorHAnsi"/>
      <w:color w:val="000000" w:themeColor="text1"/>
      <w:sz w:val="20"/>
      <w:szCs w:val="20"/>
    </w:rPr>
  </w:style>
  <w:style w:type="paragraph" w:customStyle="1" w:styleId="citas">
    <w:name w:val="citas"/>
    <w:basedOn w:val="ListParagraph"/>
    <w:link w:val="citasChar"/>
    <w:qFormat/>
    <w:rsid w:val="001061FC"/>
    <w:pPr>
      <w:ind w:left="360" w:right="360"/>
      <w:jc w:val="both"/>
    </w:pPr>
    <w:rPr>
      <w:sz w:val="18"/>
    </w:rPr>
  </w:style>
  <w:style w:type="character" w:customStyle="1" w:styleId="parrafosChar">
    <w:name w:val="parrafos Char"/>
    <w:basedOn w:val="DefaultParagraphFont"/>
    <w:link w:val="parrafos"/>
    <w:rsid w:val="001061FC"/>
    <w:rPr>
      <w:rFonts w:asciiTheme="majorHAnsi" w:hAnsiTheme="majorHAnsi"/>
      <w:color w:val="000000" w:themeColor="text1"/>
      <w:lang w:val="en-US" w:eastAsia="en-US"/>
    </w:rPr>
  </w:style>
  <w:style w:type="character" w:customStyle="1" w:styleId="citasChar">
    <w:name w:val="citas Char"/>
    <w:basedOn w:val="ListParagraphChar"/>
    <w:link w:val="citas"/>
    <w:rsid w:val="001061FC"/>
    <w:rPr>
      <w:rFonts w:ascii="Cambria" w:eastAsia="Cambria" w:hAnsi="Cambria" w:cs="Cambria"/>
      <w:color w:val="000000"/>
      <w:sz w:val="18"/>
      <w:szCs w:val="24"/>
      <w:u w:color="000000"/>
      <w:lang w:val="en-US"/>
    </w:rPr>
  </w:style>
  <w:style w:type="character" w:customStyle="1" w:styleId="BodyTextIndentChar">
    <w:name w:val="Body Text Indent Char"/>
    <w:basedOn w:val="DefaultParagraphFont"/>
    <w:link w:val="BodyTextIndent"/>
    <w:rsid w:val="00CC27B3"/>
    <w:rPr>
      <w:rFonts w:eastAsia="Times New Roman"/>
      <w:color w:val="000000"/>
      <w:sz w:val="24"/>
      <w:szCs w:val="24"/>
      <w:u w:color="000000"/>
      <w:lang w:val="es-ES_tradnl"/>
    </w:rPr>
  </w:style>
  <w:style w:type="table" w:styleId="TableGrid">
    <w:name w:val="Table Grid"/>
    <w:basedOn w:val="TableNormal"/>
    <w:uiPriority w:val="59"/>
    <w:rsid w:val="00CC2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5E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rsid w:val="00561A4E"/>
    <w:rPr>
      <w:rFonts w:ascii="Cambria" w:eastAsia="Times New Roman" w:hAnsi="Cambria"/>
      <w:b/>
      <w:bCs/>
      <w:szCs w:val="24"/>
      <w:lang w:eastAsia="en-US"/>
    </w:rPr>
  </w:style>
  <w:style w:type="paragraph" w:styleId="NoSpacing">
    <w:name w:val="No Spacing"/>
    <w:uiPriority w:val="1"/>
    <w:qFormat/>
    <w:rsid w:val="00561A4E"/>
    <w:pPr>
      <w:ind w:firstLine="634"/>
      <w:jc w:val="both"/>
    </w:pPr>
    <w:rPr>
      <w:rFonts w:ascii="Cambria" w:eastAsia="Cambria" w:hAnsi="Cambria" w:cs="Cambria"/>
      <w:color w:val="000000"/>
      <w:u w:color="000000"/>
      <w:lang w:val="es-ES_tradnl" w:eastAsia="es-CL"/>
    </w:rPr>
  </w:style>
  <w:style w:type="character" w:customStyle="1" w:styleId="apple-style-span">
    <w:name w:val="apple-style-span"/>
    <w:basedOn w:val="DefaultParagraphFont"/>
    <w:uiPriority w:val="99"/>
    <w:rsid w:val="00901310"/>
    <w:rPr>
      <w:rFonts w:cs="Times New Roman"/>
    </w:rPr>
  </w:style>
  <w:style w:type="character" w:styleId="CommentReference">
    <w:name w:val="annotation reference"/>
    <w:basedOn w:val="DefaultParagraphFont"/>
    <w:uiPriority w:val="99"/>
    <w:semiHidden/>
    <w:unhideWhenUsed/>
    <w:rsid w:val="00B15307"/>
    <w:rPr>
      <w:sz w:val="16"/>
      <w:szCs w:val="16"/>
    </w:rPr>
  </w:style>
  <w:style w:type="paragraph" w:styleId="CommentText">
    <w:name w:val="annotation text"/>
    <w:basedOn w:val="Normal"/>
    <w:link w:val="CommentTextChar"/>
    <w:uiPriority w:val="99"/>
    <w:semiHidden/>
    <w:unhideWhenUsed/>
    <w:rsid w:val="00B15307"/>
    <w:rPr>
      <w:sz w:val="20"/>
      <w:szCs w:val="20"/>
    </w:rPr>
  </w:style>
  <w:style w:type="character" w:customStyle="1" w:styleId="CommentTextChar">
    <w:name w:val="Comment Text Char"/>
    <w:basedOn w:val="DefaultParagraphFont"/>
    <w:link w:val="CommentText"/>
    <w:uiPriority w:val="99"/>
    <w:semiHidden/>
    <w:rsid w:val="00B15307"/>
    <w:rPr>
      <w:lang w:val="en-US" w:eastAsia="en-US"/>
    </w:rPr>
  </w:style>
  <w:style w:type="paragraph" w:styleId="CommentSubject">
    <w:name w:val="annotation subject"/>
    <w:basedOn w:val="CommentText"/>
    <w:next w:val="CommentText"/>
    <w:link w:val="CommentSubjectChar"/>
    <w:uiPriority w:val="99"/>
    <w:semiHidden/>
    <w:unhideWhenUsed/>
    <w:rsid w:val="00B15307"/>
    <w:rPr>
      <w:b/>
      <w:bCs/>
    </w:rPr>
  </w:style>
  <w:style w:type="character" w:customStyle="1" w:styleId="CommentSubjectChar">
    <w:name w:val="Comment Subject Char"/>
    <w:basedOn w:val="CommentTextChar"/>
    <w:link w:val="CommentSubject"/>
    <w:uiPriority w:val="99"/>
    <w:semiHidden/>
    <w:rsid w:val="00B15307"/>
    <w:rPr>
      <w:b/>
      <w:bCs/>
      <w:lang w:val="en-US" w:eastAsia="en-US"/>
    </w:rPr>
  </w:style>
  <w:style w:type="paragraph" w:styleId="TOCHeading">
    <w:name w:val="TOC Heading"/>
    <w:basedOn w:val="Heading1"/>
    <w:next w:val="Normal"/>
    <w:uiPriority w:val="39"/>
    <w:unhideWhenUsed/>
    <w:qFormat/>
    <w:rsid w:val="00BF4967"/>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character" w:customStyle="1" w:styleId="Heading4Char">
    <w:name w:val="Heading 4 Char"/>
    <w:basedOn w:val="DefaultParagraphFont"/>
    <w:link w:val="Heading4"/>
    <w:uiPriority w:val="9"/>
    <w:rsid w:val="00AC18DB"/>
    <w:rPr>
      <w:rFonts w:asciiTheme="majorHAnsi" w:eastAsiaTheme="majorEastAsia" w:hAnsiTheme="majorHAnsi" w:cstheme="majorBidi"/>
      <w:b/>
      <w:bCs/>
      <w:i/>
      <w:iCs/>
      <w:color w:val="4F81BD" w:themeColor="accent1"/>
      <w:sz w:val="24"/>
      <w:szCs w:val="24"/>
      <w:lang w:val="en-US" w:eastAsia="en-US"/>
    </w:rPr>
  </w:style>
  <w:style w:type="character" w:styleId="Emphasis">
    <w:name w:val="Emphasis"/>
    <w:basedOn w:val="DefaultParagraphFont"/>
    <w:uiPriority w:val="20"/>
    <w:qFormat/>
    <w:rsid w:val="001645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92647">
      <w:bodyDiv w:val="1"/>
      <w:marLeft w:val="0"/>
      <w:marRight w:val="0"/>
      <w:marTop w:val="0"/>
      <w:marBottom w:val="0"/>
      <w:divBdr>
        <w:top w:val="none" w:sz="0" w:space="0" w:color="auto"/>
        <w:left w:val="none" w:sz="0" w:space="0" w:color="auto"/>
        <w:bottom w:val="none" w:sz="0" w:space="0" w:color="auto"/>
        <w:right w:val="none" w:sz="0" w:space="0" w:color="auto"/>
      </w:divBdr>
    </w:div>
    <w:div w:id="573514798">
      <w:bodyDiv w:val="1"/>
      <w:marLeft w:val="0"/>
      <w:marRight w:val="0"/>
      <w:marTop w:val="0"/>
      <w:marBottom w:val="0"/>
      <w:divBdr>
        <w:top w:val="none" w:sz="0" w:space="0" w:color="auto"/>
        <w:left w:val="none" w:sz="0" w:space="0" w:color="auto"/>
        <w:bottom w:val="none" w:sz="0" w:space="0" w:color="auto"/>
        <w:right w:val="none" w:sz="0" w:space="0" w:color="auto"/>
      </w:divBdr>
    </w:div>
    <w:div w:id="70467396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americanbar.org/groups/committees/death_penalty_representation/project_press/2020/spring/florida-supreme-court-state-v-poo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C67A4-BE18-2447-8DE7-300325FF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10335</Words>
  <Characters>58916</Characters>
  <Application>Microsoft Office Word</Application>
  <DocSecurity>0</DocSecurity>
  <Lines>490</Lines>
  <Paragraphs>138</Paragraphs>
  <ScaleCrop>false</ScaleCrop>
  <Company/>
  <LinksUpToDate>false</LinksUpToDate>
  <CharactersWithSpaces>69113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2021-04-13T19:19:00Z</dcterms:created>
  <dcterms:modified xsi:type="dcterms:W3CDTF">2021-04-13T19:19:00Z</dcterms:modified>
</cp:coreProperties>
</file>