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F8E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0947F60" wp14:editId="2BE7363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33DD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01748CC" wp14:editId="7850A72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82393" w14:textId="77777777" w:rsidR="007B69B1" w:rsidRDefault="007B69B1" w:rsidP="00AE5488">
                            <w:r>
                              <w:rPr>
                                <w:noProof/>
                              </w:rPr>
                              <w:drawing>
                                <wp:inline distT="0" distB="0" distL="0" distR="0" wp14:anchorId="0ADF1031" wp14:editId="2A7CE74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748C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AF82393" w14:textId="77777777" w:rsidR="007B69B1" w:rsidRDefault="007B69B1" w:rsidP="00AE5488">
                      <w:r>
                        <w:rPr>
                          <w:noProof/>
                        </w:rPr>
                        <w:drawing>
                          <wp:inline distT="0" distB="0" distL="0" distR="0" wp14:anchorId="0ADF1031" wp14:editId="2A7CE74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1F1A7EE"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EC4274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623DC7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8CE471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C8AAA5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EB62CD6"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DE30E8B"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AB1CDA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22A58E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DA07CD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0E21A6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C84A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1A4906"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2881D7" wp14:editId="320A01D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5D7B5" w14:textId="77777777" w:rsidR="007B69B1" w:rsidRPr="004E2649" w:rsidRDefault="007B69B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DD5969" w:rsidRPr="00DD5969">
                              <w:rPr>
                                <w:rFonts w:asciiTheme="majorHAnsi" w:hAnsiTheme="majorHAnsi" w:cs="Arial"/>
                                <w:b/>
                                <w:bCs/>
                                <w:color w:val="0D0D0D" w:themeColor="text1" w:themeTint="F2"/>
                                <w:sz w:val="36"/>
                                <w:szCs w:val="22"/>
                                <w:lang w:val="es-ES_tradnl"/>
                              </w:rPr>
                              <w:t>2</w:t>
                            </w:r>
                            <w:r w:rsidR="00DD5969">
                              <w:rPr>
                                <w:rFonts w:asciiTheme="majorHAnsi" w:hAnsiTheme="majorHAnsi" w:cs="Arial"/>
                                <w:b/>
                                <w:bCs/>
                                <w:color w:val="0D0D0D" w:themeColor="text1" w:themeTint="F2"/>
                                <w:sz w:val="36"/>
                                <w:szCs w:val="22"/>
                                <w:lang w:val="es-ES_tradnl"/>
                              </w:rPr>
                              <w:t>10</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20</w:t>
                            </w:r>
                          </w:p>
                          <w:p w14:paraId="3760F0A1" w14:textId="77777777" w:rsidR="007B69B1" w:rsidRPr="004E2649" w:rsidRDefault="007B69B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13.361</w:t>
                            </w:r>
                          </w:p>
                          <w:p w14:paraId="1CFC1AF8" w14:textId="77777777" w:rsidR="007B69B1" w:rsidRPr="0010736F" w:rsidRDefault="007B69B1"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 Y FONDO (</w:t>
                            </w:r>
                            <w:r w:rsidR="00261E95">
                              <w:rPr>
                                <w:rFonts w:asciiTheme="majorHAnsi" w:hAnsiTheme="majorHAnsi" w:cs="Arial"/>
                                <w:color w:val="0D0D0D" w:themeColor="text1" w:themeTint="F2"/>
                                <w:szCs w:val="22"/>
                                <w:lang w:val="es-ES_tradnl"/>
                              </w:rPr>
                              <w:t>PUBLICACIÓN</w:t>
                            </w:r>
                            <w:r>
                              <w:rPr>
                                <w:rFonts w:asciiTheme="majorHAnsi" w:hAnsiTheme="majorHAnsi" w:cs="Arial"/>
                                <w:color w:val="0D0D0D" w:themeColor="text1" w:themeTint="F2"/>
                                <w:szCs w:val="22"/>
                                <w:lang w:val="es-ES_tradnl"/>
                              </w:rPr>
                              <w:t>)</w:t>
                            </w:r>
                          </w:p>
                          <w:p w14:paraId="0EA364B4" w14:textId="77777777" w:rsidR="007B69B1" w:rsidRPr="0010736F" w:rsidRDefault="007B69B1"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D5B013E" w14:textId="77777777" w:rsidR="007B69B1" w:rsidRDefault="007B69B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JULIUS OMAR ROBINSON</w:t>
                            </w:r>
                          </w:p>
                          <w:p w14:paraId="174B75AD" w14:textId="77777777" w:rsidR="007B69B1" w:rsidRPr="00D30952" w:rsidRDefault="007B69B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 DE AM</w:t>
                            </w:r>
                            <w:r>
                              <w:rPr>
                                <w:rFonts w:asciiTheme="majorHAnsi" w:hAnsiTheme="majorHAnsi" w:cs="Arial"/>
                                <w:color w:val="0D0D0D" w:themeColor="text1" w:themeTint="F2"/>
                                <w:szCs w:val="22"/>
                                <w:lang w:val="es-ES"/>
                              </w:rPr>
                              <w:t>ÉRICA</w:t>
                            </w:r>
                          </w:p>
                          <w:p w14:paraId="44EE32A2" w14:textId="77777777" w:rsidR="007B69B1" w:rsidRPr="00AE5488" w:rsidRDefault="007B69B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881D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9F5D7B5" w14:textId="77777777" w:rsidR="007B69B1" w:rsidRPr="004E2649" w:rsidRDefault="007B69B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DD5969" w:rsidRPr="00DD5969">
                        <w:rPr>
                          <w:rFonts w:asciiTheme="majorHAnsi" w:hAnsiTheme="majorHAnsi" w:cs="Arial"/>
                          <w:b/>
                          <w:bCs/>
                          <w:color w:val="0D0D0D" w:themeColor="text1" w:themeTint="F2"/>
                          <w:sz w:val="36"/>
                          <w:szCs w:val="22"/>
                          <w:lang w:val="es-ES_tradnl"/>
                        </w:rPr>
                        <w:t>2</w:t>
                      </w:r>
                      <w:r w:rsidR="00DD5969">
                        <w:rPr>
                          <w:rFonts w:asciiTheme="majorHAnsi" w:hAnsiTheme="majorHAnsi" w:cs="Arial"/>
                          <w:b/>
                          <w:bCs/>
                          <w:color w:val="0D0D0D" w:themeColor="text1" w:themeTint="F2"/>
                          <w:sz w:val="36"/>
                          <w:szCs w:val="22"/>
                          <w:lang w:val="es-ES_tradnl"/>
                        </w:rPr>
                        <w:t>10</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20</w:t>
                      </w:r>
                    </w:p>
                    <w:p w14:paraId="3760F0A1" w14:textId="77777777" w:rsidR="007B69B1" w:rsidRPr="004E2649" w:rsidRDefault="007B69B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13.361</w:t>
                      </w:r>
                    </w:p>
                    <w:p w14:paraId="1CFC1AF8" w14:textId="77777777" w:rsidR="007B69B1" w:rsidRPr="0010736F" w:rsidRDefault="007B69B1"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 Y FONDO (</w:t>
                      </w:r>
                      <w:r w:rsidR="00261E95">
                        <w:rPr>
                          <w:rFonts w:asciiTheme="majorHAnsi" w:hAnsiTheme="majorHAnsi" w:cs="Arial"/>
                          <w:color w:val="0D0D0D" w:themeColor="text1" w:themeTint="F2"/>
                          <w:szCs w:val="22"/>
                          <w:lang w:val="es-ES_tradnl"/>
                        </w:rPr>
                        <w:t>PUBLICACIÓN</w:t>
                      </w:r>
                      <w:r>
                        <w:rPr>
                          <w:rFonts w:asciiTheme="majorHAnsi" w:hAnsiTheme="majorHAnsi" w:cs="Arial"/>
                          <w:color w:val="0D0D0D" w:themeColor="text1" w:themeTint="F2"/>
                          <w:szCs w:val="22"/>
                          <w:lang w:val="es-ES_tradnl"/>
                        </w:rPr>
                        <w:t>)</w:t>
                      </w:r>
                    </w:p>
                    <w:p w14:paraId="0EA364B4" w14:textId="77777777" w:rsidR="007B69B1" w:rsidRPr="0010736F" w:rsidRDefault="007B69B1"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D5B013E" w14:textId="77777777" w:rsidR="007B69B1" w:rsidRDefault="007B69B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JULIUS OMAR ROBINSON</w:t>
                      </w:r>
                    </w:p>
                    <w:p w14:paraId="174B75AD" w14:textId="77777777" w:rsidR="007B69B1" w:rsidRPr="00D30952" w:rsidRDefault="007B69B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 DE AM</w:t>
                      </w:r>
                      <w:r>
                        <w:rPr>
                          <w:rFonts w:asciiTheme="majorHAnsi" w:hAnsiTheme="majorHAnsi" w:cs="Arial"/>
                          <w:color w:val="0D0D0D" w:themeColor="text1" w:themeTint="F2"/>
                          <w:szCs w:val="22"/>
                          <w:lang w:val="es-ES"/>
                        </w:rPr>
                        <w:t>ÉRICA</w:t>
                      </w:r>
                    </w:p>
                    <w:p w14:paraId="44EE32A2" w14:textId="77777777" w:rsidR="007B69B1" w:rsidRPr="00AE5488" w:rsidRDefault="007B69B1"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4F4EAFF" wp14:editId="02E80F5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D8AC9" w14:textId="77777777" w:rsidR="007B69B1" w:rsidRPr="004E2649" w:rsidRDefault="007B69B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0E221911" w14:textId="77777777" w:rsidR="007B69B1" w:rsidRPr="004E2649" w:rsidRDefault="007B69B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D5969">
                              <w:rPr>
                                <w:rFonts w:asciiTheme="minorHAnsi" w:hAnsiTheme="minorHAnsi"/>
                                <w:color w:val="FFFFFF" w:themeColor="background1"/>
                                <w:sz w:val="22"/>
                                <w:lang w:val="pt-BR"/>
                              </w:rPr>
                              <w:t>224</w:t>
                            </w:r>
                          </w:p>
                          <w:p w14:paraId="4D284A29" w14:textId="77777777" w:rsidR="007B69B1" w:rsidRPr="00261E95" w:rsidRDefault="00DD5969" w:rsidP="007A5817">
                            <w:pPr>
                              <w:spacing w:line="276" w:lineRule="auto"/>
                              <w:jc w:val="right"/>
                              <w:rPr>
                                <w:rFonts w:asciiTheme="minorHAnsi" w:hAnsiTheme="minorHAnsi"/>
                                <w:color w:val="FFFFFF" w:themeColor="background1"/>
                                <w:sz w:val="22"/>
                                <w:lang w:val="pt-BR"/>
                              </w:rPr>
                            </w:pPr>
                            <w:r w:rsidRPr="00DD5969">
                              <w:rPr>
                                <w:rFonts w:asciiTheme="minorHAnsi" w:hAnsiTheme="minorHAnsi"/>
                                <w:color w:val="FFFFFF" w:themeColor="background1"/>
                                <w:sz w:val="22"/>
                                <w:lang w:val="pt-BR"/>
                              </w:rPr>
                              <w:t>12</w:t>
                            </w:r>
                            <w:r w:rsidR="007B69B1" w:rsidRPr="00261E95">
                              <w:rPr>
                                <w:rFonts w:asciiTheme="minorHAnsi" w:hAnsiTheme="minorHAnsi"/>
                                <w:color w:val="FFFFFF" w:themeColor="background1"/>
                                <w:sz w:val="22"/>
                                <w:lang w:val="pt-BR"/>
                              </w:rPr>
                              <w:t xml:space="preserve"> de </w:t>
                            </w:r>
                            <w:r w:rsidR="00261E95" w:rsidRPr="00261E95">
                              <w:rPr>
                                <w:rFonts w:asciiTheme="minorHAnsi" w:hAnsiTheme="minorHAnsi"/>
                                <w:color w:val="FFFFFF" w:themeColor="background1"/>
                                <w:sz w:val="22"/>
                                <w:lang w:val="pt-BR"/>
                              </w:rPr>
                              <w:t>agosto</w:t>
                            </w:r>
                            <w:r w:rsidR="007B69B1" w:rsidRPr="00261E95">
                              <w:rPr>
                                <w:rFonts w:asciiTheme="minorHAnsi" w:hAnsiTheme="minorHAnsi"/>
                                <w:color w:val="FFFFFF" w:themeColor="background1"/>
                                <w:sz w:val="22"/>
                                <w:lang w:val="pt-BR"/>
                              </w:rPr>
                              <w:t xml:space="preserve"> 2020</w:t>
                            </w:r>
                          </w:p>
                          <w:p w14:paraId="1DB1EE73" w14:textId="77777777" w:rsidR="007B69B1" w:rsidRPr="00261E95" w:rsidRDefault="007B69B1" w:rsidP="007A5817">
                            <w:pPr>
                              <w:spacing w:line="276" w:lineRule="auto"/>
                              <w:jc w:val="right"/>
                              <w:rPr>
                                <w:rFonts w:asciiTheme="minorHAnsi" w:hAnsiTheme="minorHAnsi"/>
                                <w:color w:val="FFFFFF" w:themeColor="background1"/>
                                <w:sz w:val="22"/>
                                <w:lang w:val="pt-BR"/>
                              </w:rPr>
                            </w:pPr>
                            <w:r w:rsidRPr="00261E95">
                              <w:rPr>
                                <w:rFonts w:asciiTheme="minorHAnsi" w:hAnsiTheme="minorHAnsi"/>
                                <w:color w:val="FFFFFF" w:themeColor="background1"/>
                                <w:sz w:val="22"/>
                                <w:lang w:val="pt-BR"/>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4EAF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0DD8AC9" w14:textId="77777777" w:rsidR="007B69B1" w:rsidRPr="004E2649" w:rsidRDefault="007B69B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0E221911" w14:textId="77777777" w:rsidR="007B69B1" w:rsidRPr="004E2649" w:rsidRDefault="007B69B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D5969">
                        <w:rPr>
                          <w:rFonts w:asciiTheme="minorHAnsi" w:hAnsiTheme="minorHAnsi"/>
                          <w:color w:val="FFFFFF" w:themeColor="background1"/>
                          <w:sz w:val="22"/>
                          <w:lang w:val="pt-BR"/>
                        </w:rPr>
                        <w:t>224</w:t>
                      </w:r>
                    </w:p>
                    <w:p w14:paraId="4D284A29" w14:textId="77777777" w:rsidR="007B69B1" w:rsidRPr="00261E95" w:rsidRDefault="00DD5969" w:rsidP="007A5817">
                      <w:pPr>
                        <w:spacing w:line="276" w:lineRule="auto"/>
                        <w:jc w:val="right"/>
                        <w:rPr>
                          <w:rFonts w:asciiTheme="minorHAnsi" w:hAnsiTheme="minorHAnsi"/>
                          <w:color w:val="FFFFFF" w:themeColor="background1"/>
                          <w:sz w:val="22"/>
                          <w:lang w:val="pt-BR"/>
                        </w:rPr>
                      </w:pPr>
                      <w:r w:rsidRPr="00DD5969">
                        <w:rPr>
                          <w:rFonts w:asciiTheme="minorHAnsi" w:hAnsiTheme="minorHAnsi"/>
                          <w:color w:val="FFFFFF" w:themeColor="background1"/>
                          <w:sz w:val="22"/>
                          <w:lang w:val="pt-BR"/>
                        </w:rPr>
                        <w:t>12</w:t>
                      </w:r>
                      <w:r w:rsidR="007B69B1" w:rsidRPr="00261E95">
                        <w:rPr>
                          <w:rFonts w:asciiTheme="minorHAnsi" w:hAnsiTheme="minorHAnsi"/>
                          <w:color w:val="FFFFFF" w:themeColor="background1"/>
                          <w:sz w:val="22"/>
                          <w:lang w:val="pt-BR"/>
                        </w:rPr>
                        <w:t xml:space="preserve"> de </w:t>
                      </w:r>
                      <w:r w:rsidR="00261E95" w:rsidRPr="00261E95">
                        <w:rPr>
                          <w:rFonts w:asciiTheme="minorHAnsi" w:hAnsiTheme="minorHAnsi"/>
                          <w:color w:val="FFFFFF" w:themeColor="background1"/>
                          <w:sz w:val="22"/>
                          <w:lang w:val="pt-BR"/>
                        </w:rPr>
                        <w:t>agosto</w:t>
                      </w:r>
                      <w:r w:rsidR="007B69B1" w:rsidRPr="00261E95">
                        <w:rPr>
                          <w:rFonts w:asciiTheme="minorHAnsi" w:hAnsiTheme="minorHAnsi"/>
                          <w:color w:val="FFFFFF" w:themeColor="background1"/>
                          <w:sz w:val="22"/>
                          <w:lang w:val="pt-BR"/>
                        </w:rPr>
                        <w:t xml:space="preserve"> 2020</w:t>
                      </w:r>
                    </w:p>
                    <w:p w14:paraId="1DB1EE73" w14:textId="77777777" w:rsidR="007B69B1" w:rsidRPr="00261E95" w:rsidRDefault="007B69B1" w:rsidP="007A5817">
                      <w:pPr>
                        <w:spacing w:line="276" w:lineRule="auto"/>
                        <w:jc w:val="right"/>
                        <w:rPr>
                          <w:rFonts w:asciiTheme="minorHAnsi" w:hAnsiTheme="minorHAnsi"/>
                          <w:color w:val="FFFFFF" w:themeColor="background1"/>
                          <w:sz w:val="22"/>
                          <w:lang w:val="pt-BR"/>
                        </w:rPr>
                      </w:pPr>
                      <w:r w:rsidRPr="00261E95">
                        <w:rPr>
                          <w:rFonts w:asciiTheme="minorHAnsi" w:hAnsiTheme="minorHAnsi"/>
                          <w:color w:val="FFFFFF" w:themeColor="background1"/>
                          <w:sz w:val="22"/>
                          <w:lang w:val="pt-BR"/>
                        </w:rPr>
                        <w:t>Original: inglés</w:t>
                      </w:r>
                    </w:p>
                  </w:txbxContent>
                </v:textbox>
              </v:shape>
            </w:pict>
          </mc:Fallback>
        </mc:AlternateContent>
      </w:r>
    </w:p>
    <w:p w14:paraId="2D7027C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B394E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651D7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8274D9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6D9910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39D58D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666ED4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5A9923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55AFE2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D5048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D1B40C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991D42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A85F58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2815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CBB8C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FAA42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7741E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292D4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BB43F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2AB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282A8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F514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24265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DEFFD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F0AA69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A5B88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A442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8F32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878B48"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BA0E96D" wp14:editId="0727C14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27E7A" w14:textId="77777777" w:rsidR="007B69B1" w:rsidRPr="00890650" w:rsidRDefault="007B69B1"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Pr>
                                <w:rFonts w:asciiTheme="majorHAnsi" w:hAnsiTheme="majorHAnsi"/>
                                <w:color w:val="0D0D0D" w:themeColor="text1" w:themeTint="F2"/>
                                <w:sz w:val="18"/>
                                <w:szCs w:val="20"/>
                                <w:lang w:val="es-ES"/>
                              </w:rPr>
                              <w:t>electrónicamente</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 xml:space="preserve">el </w:t>
                            </w:r>
                            <w:r w:rsidR="00DD5969" w:rsidRPr="00DD5969">
                              <w:rPr>
                                <w:rFonts w:asciiTheme="majorHAnsi" w:hAnsiTheme="majorHAnsi"/>
                                <w:color w:val="0D0D0D" w:themeColor="text1" w:themeTint="F2"/>
                                <w:sz w:val="18"/>
                                <w:szCs w:val="20"/>
                                <w:lang w:val="es-ES"/>
                              </w:rPr>
                              <w:t>12</w:t>
                            </w:r>
                            <w:r>
                              <w:rPr>
                                <w:rFonts w:asciiTheme="majorHAnsi" w:hAnsiTheme="majorHAnsi"/>
                                <w:color w:val="0D0D0D" w:themeColor="text1" w:themeTint="F2"/>
                                <w:sz w:val="18"/>
                                <w:szCs w:val="20"/>
                                <w:lang w:val="es-ES"/>
                              </w:rPr>
                              <w:t xml:space="preserve"> de </w:t>
                            </w:r>
                            <w:r w:rsidR="00261E95">
                              <w:rPr>
                                <w:rFonts w:asciiTheme="majorHAnsi" w:hAnsiTheme="majorHAnsi"/>
                                <w:color w:val="0D0D0D" w:themeColor="text1" w:themeTint="F2"/>
                                <w:sz w:val="18"/>
                                <w:szCs w:val="20"/>
                                <w:lang w:val="es-ES"/>
                              </w:rPr>
                              <w:t>agosto</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p>
                          <w:p w14:paraId="48BAD461" w14:textId="77777777" w:rsidR="007B69B1" w:rsidRPr="007A5817" w:rsidRDefault="007B69B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7260B5" w14:textId="77777777" w:rsidR="007B69B1" w:rsidRPr="00167A34" w:rsidRDefault="007B69B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0E96D"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027E7A" w14:textId="77777777" w:rsidR="007B69B1" w:rsidRPr="00890650" w:rsidRDefault="007B69B1"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Pr>
                          <w:rFonts w:asciiTheme="majorHAnsi" w:hAnsiTheme="majorHAnsi"/>
                          <w:color w:val="0D0D0D" w:themeColor="text1" w:themeTint="F2"/>
                          <w:sz w:val="18"/>
                          <w:szCs w:val="20"/>
                          <w:lang w:val="es-ES"/>
                        </w:rPr>
                        <w:t>electrónicamente</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 xml:space="preserve">el </w:t>
                      </w:r>
                      <w:r w:rsidR="00DD5969" w:rsidRPr="00DD5969">
                        <w:rPr>
                          <w:rFonts w:asciiTheme="majorHAnsi" w:hAnsiTheme="majorHAnsi"/>
                          <w:color w:val="0D0D0D" w:themeColor="text1" w:themeTint="F2"/>
                          <w:sz w:val="18"/>
                          <w:szCs w:val="20"/>
                          <w:lang w:val="es-ES"/>
                        </w:rPr>
                        <w:t>12</w:t>
                      </w:r>
                      <w:r>
                        <w:rPr>
                          <w:rFonts w:asciiTheme="majorHAnsi" w:hAnsiTheme="majorHAnsi"/>
                          <w:color w:val="0D0D0D" w:themeColor="text1" w:themeTint="F2"/>
                          <w:sz w:val="18"/>
                          <w:szCs w:val="20"/>
                          <w:lang w:val="es-ES"/>
                        </w:rPr>
                        <w:t xml:space="preserve"> de </w:t>
                      </w:r>
                      <w:r w:rsidR="00261E95">
                        <w:rPr>
                          <w:rFonts w:asciiTheme="majorHAnsi" w:hAnsiTheme="majorHAnsi"/>
                          <w:color w:val="0D0D0D" w:themeColor="text1" w:themeTint="F2"/>
                          <w:sz w:val="18"/>
                          <w:szCs w:val="20"/>
                          <w:lang w:val="es-ES"/>
                        </w:rPr>
                        <w:t>agosto</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p>
                    <w:p w14:paraId="48BAD461" w14:textId="77777777" w:rsidR="007B69B1" w:rsidRPr="007A5817" w:rsidRDefault="007B69B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7260B5" w14:textId="77777777" w:rsidR="007B69B1" w:rsidRPr="00167A34" w:rsidRDefault="007B69B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8F70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ED060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0C20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3EAA9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24480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B2DD679" wp14:editId="48899D1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C16DF" w14:textId="77777777" w:rsidR="007B69B1" w:rsidRPr="007E78B1" w:rsidRDefault="007B69B1"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5969" w:rsidRPr="00DD5969">
                              <w:rPr>
                                <w:rFonts w:asciiTheme="majorHAnsi" w:hAnsiTheme="majorHAnsi"/>
                                <w:color w:val="595959" w:themeColor="text1" w:themeTint="A6"/>
                                <w:sz w:val="18"/>
                                <w:szCs w:val="18"/>
                                <w:lang w:val="es-US"/>
                              </w:rPr>
                              <w:t>210</w:t>
                            </w:r>
                            <w:r w:rsidRPr="00261E95">
                              <w:rPr>
                                <w:rFonts w:asciiTheme="majorHAnsi" w:hAnsiTheme="majorHAnsi"/>
                                <w:color w:val="595959" w:themeColor="text1" w:themeTint="A6"/>
                                <w:sz w:val="18"/>
                                <w:szCs w:val="18"/>
                                <w:lang w:val="es-US"/>
                              </w:rPr>
                              <w:t>/</w:t>
                            </w:r>
                            <w:r w:rsidR="00261E95" w:rsidRPr="00261E95">
                              <w:rPr>
                                <w:rFonts w:asciiTheme="majorHAnsi" w:hAnsiTheme="majorHAnsi"/>
                                <w:color w:val="595959" w:themeColor="text1" w:themeTint="A6"/>
                                <w:sz w:val="18"/>
                                <w:szCs w:val="18"/>
                                <w:lang w:val="es-US"/>
                              </w:rPr>
                              <w:t>20</w:t>
                            </w:r>
                            <w:r w:rsidRPr="00261E95">
                              <w:rPr>
                                <w:rFonts w:asciiTheme="majorHAnsi" w:hAnsiTheme="majorHAnsi"/>
                                <w:color w:val="595959" w:themeColor="text1" w:themeTint="A6"/>
                                <w:sz w:val="18"/>
                                <w:szCs w:val="18"/>
                                <w:lang w:val="es-US"/>
                              </w:rPr>
                              <w:t xml:space="preserve">. </w:t>
                            </w:r>
                            <w:r w:rsidRPr="00890650">
                              <w:rPr>
                                <w:rFonts w:asciiTheme="majorHAnsi" w:hAnsiTheme="majorHAnsi"/>
                                <w:color w:val="595959" w:themeColor="text1" w:themeTint="A6"/>
                                <w:sz w:val="18"/>
                                <w:szCs w:val="18"/>
                                <w:lang w:val="es-ES_tradnl"/>
                              </w:rPr>
                              <w:t xml:space="preserve">Caso </w:t>
                            </w:r>
                            <w:r>
                              <w:rPr>
                                <w:rFonts w:asciiTheme="majorHAnsi" w:hAnsiTheme="majorHAnsi"/>
                                <w:color w:val="595959" w:themeColor="text1" w:themeTint="A6"/>
                                <w:sz w:val="18"/>
                                <w:szCs w:val="18"/>
                                <w:lang w:val="es-ES_tradnl"/>
                              </w:rPr>
                              <w:t>13.361</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Admisibilidad y Fondo (</w:t>
                            </w:r>
                            <w:r w:rsidR="00261E95">
                              <w:rPr>
                                <w:rFonts w:asciiTheme="majorHAnsi" w:hAnsiTheme="majorHAnsi"/>
                                <w:color w:val="595959" w:themeColor="text1" w:themeTint="A6"/>
                                <w:sz w:val="18"/>
                                <w:szCs w:val="18"/>
                                <w:lang w:val="es-ES_tradnl"/>
                              </w:rPr>
                              <w:t>Publicación</w:t>
                            </w:r>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Julius Omar Robinson</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Estados Unidos de América</w:t>
                            </w:r>
                            <w:r w:rsidRPr="00890650">
                              <w:rPr>
                                <w:rFonts w:asciiTheme="majorHAnsi" w:hAnsiTheme="majorHAnsi"/>
                                <w:color w:val="595959" w:themeColor="text1" w:themeTint="A6"/>
                                <w:sz w:val="18"/>
                                <w:szCs w:val="18"/>
                                <w:lang w:val="es-ES_tradnl"/>
                              </w:rPr>
                              <w:t xml:space="preserve">. </w:t>
                            </w:r>
                            <w:r w:rsidR="00DD5969" w:rsidRPr="00DD5969">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de </w:t>
                            </w:r>
                            <w:r w:rsidR="00261E95">
                              <w:rPr>
                                <w:rFonts w:asciiTheme="majorHAnsi" w:hAnsiTheme="majorHAnsi"/>
                                <w:color w:val="595959" w:themeColor="text1" w:themeTint="A6"/>
                                <w:sz w:val="18"/>
                                <w:szCs w:val="18"/>
                                <w:lang w:val="es-ES"/>
                              </w:rPr>
                              <w:t>agosto</w:t>
                            </w:r>
                            <w:r>
                              <w:rPr>
                                <w:rFonts w:asciiTheme="majorHAnsi" w:hAnsiTheme="majorHAnsi"/>
                                <w:color w:val="595959" w:themeColor="text1" w:themeTint="A6"/>
                                <w:sz w:val="18"/>
                                <w:szCs w:val="18"/>
                                <w:lang w:val="es-ES"/>
                              </w:rPr>
                              <w:t xml:space="preserve"> de 2020</w:t>
                            </w:r>
                            <w:r w:rsidRPr="00AD0C9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D679"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64C16DF" w14:textId="77777777" w:rsidR="007B69B1" w:rsidRPr="007E78B1" w:rsidRDefault="007B69B1"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5969" w:rsidRPr="00DD5969">
                        <w:rPr>
                          <w:rFonts w:asciiTheme="majorHAnsi" w:hAnsiTheme="majorHAnsi"/>
                          <w:color w:val="595959" w:themeColor="text1" w:themeTint="A6"/>
                          <w:sz w:val="18"/>
                          <w:szCs w:val="18"/>
                          <w:lang w:val="es-US"/>
                        </w:rPr>
                        <w:t>210</w:t>
                      </w:r>
                      <w:r w:rsidRPr="00261E95">
                        <w:rPr>
                          <w:rFonts w:asciiTheme="majorHAnsi" w:hAnsiTheme="majorHAnsi"/>
                          <w:color w:val="595959" w:themeColor="text1" w:themeTint="A6"/>
                          <w:sz w:val="18"/>
                          <w:szCs w:val="18"/>
                          <w:lang w:val="es-US"/>
                        </w:rPr>
                        <w:t>/</w:t>
                      </w:r>
                      <w:r w:rsidR="00261E95" w:rsidRPr="00261E95">
                        <w:rPr>
                          <w:rFonts w:asciiTheme="majorHAnsi" w:hAnsiTheme="majorHAnsi"/>
                          <w:color w:val="595959" w:themeColor="text1" w:themeTint="A6"/>
                          <w:sz w:val="18"/>
                          <w:szCs w:val="18"/>
                          <w:lang w:val="es-US"/>
                        </w:rPr>
                        <w:t>20</w:t>
                      </w:r>
                      <w:r w:rsidRPr="00261E95">
                        <w:rPr>
                          <w:rFonts w:asciiTheme="majorHAnsi" w:hAnsiTheme="majorHAnsi"/>
                          <w:color w:val="595959" w:themeColor="text1" w:themeTint="A6"/>
                          <w:sz w:val="18"/>
                          <w:szCs w:val="18"/>
                          <w:lang w:val="es-US"/>
                        </w:rPr>
                        <w:t xml:space="preserve">. </w:t>
                      </w:r>
                      <w:r w:rsidRPr="00890650">
                        <w:rPr>
                          <w:rFonts w:asciiTheme="majorHAnsi" w:hAnsiTheme="majorHAnsi"/>
                          <w:color w:val="595959" w:themeColor="text1" w:themeTint="A6"/>
                          <w:sz w:val="18"/>
                          <w:szCs w:val="18"/>
                          <w:lang w:val="es-ES_tradnl"/>
                        </w:rPr>
                        <w:t xml:space="preserve">Caso </w:t>
                      </w:r>
                      <w:r>
                        <w:rPr>
                          <w:rFonts w:asciiTheme="majorHAnsi" w:hAnsiTheme="majorHAnsi"/>
                          <w:color w:val="595959" w:themeColor="text1" w:themeTint="A6"/>
                          <w:sz w:val="18"/>
                          <w:szCs w:val="18"/>
                          <w:lang w:val="es-ES_tradnl"/>
                        </w:rPr>
                        <w:t>13.361</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Admisibilidad y Fondo (</w:t>
                      </w:r>
                      <w:r w:rsidR="00261E95">
                        <w:rPr>
                          <w:rFonts w:asciiTheme="majorHAnsi" w:hAnsiTheme="majorHAnsi"/>
                          <w:color w:val="595959" w:themeColor="text1" w:themeTint="A6"/>
                          <w:sz w:val="18"/>
                          <w:szCs w:val="18"/>
                          <w:lang w:val="es-ES_tradnl"/>
                        </w:rPr>
                        <w:t>Publicación</w:t>
                      </w:r>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Julius Omar Robinson</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Estados Unidos de América</w:t>
                      </w:r>
                      <w:r w:rsidRPr="00890650">
                        <w:rPr>
                          <w:rFonts w:asciiTheme="majorHAnsi" w:hAnsiTheme="majorHAnsi"/>
                          <w:color w:val="595959" w:themeColor="text1" w:themeTint="A6"/>
                          <w:sz w:val="18"/>
                          <w:szCs w:val="18"/>
                          <w:lang w:val="es-ES_tradnl"/>
                        </w:rPr>
                        <w:t xml:space="preserve">. </w:t>
                      </w:r>
                      <w:r w:rsidR="00DD5969" w:rsidRPr="00DD5969">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de </w:t>
                      </w:r>
                      <w:r w:rsidR="00261E95">
                        <w:rPr>
                          <w:rFonts w:asciiTheme="majorHAnsi" w:hAnsiTheme="majorHAnsi"/>
                          <w:color w:val="595959" w:themeColor="text1" w:themeTint="A6"/>
                          <w:sz w:val="18"/>
                          <w:szCs w:val="18"/>
                          <w:lang w:val="es-ES"/>
                        </w:rPr>
                        <w:t>agosto</w:t>
                      </w:r>
                      <w:r>
                        <w:rPr>
                          <w:rFonts w:asciiTheme="majorHAnsi" w:hAnsiTheme="majorHAnsi"/>
                          <w:color w:val="595959" w:themeColor="text1" w:themeTint="A6"/>
                          <w:sz w:val="18"/>
                          <w:szCs w:val="18"/>
                          <w:lang w:val="es-ES"/>
                        </w:rPr>
                        <w:t xml:space="preserve"> de 2020</w:t>
                      </w:r>
                      <w:r w:rsidRPr="00AD0C98">
                        <w:rPr>
                          <w:rFonts w:asciiTheme="majorHAnsi" w:hAnsiTheme="majorHAnsi"/>
                          <w:color w:val="595959" w:themeColor="text1" w:themeTint="A6"/>
                          <w:sz w:val="18"/>
                          <w:szCs w:val="18"/>
                          <w:lang w:val="es-ES"/>
                        </w:rPr>
                        <w:t>.</w:t>
                      </w:r>
                    </w:p>
                  </w:txbxContent>
                </v:textbox>
              </v:shape>
            </w:pict>
          </mc:Fallback>
        </mc:AlternateContent>
      </w:r>
    </w:p>
    <w:p w14:paraId="21EC7CE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07886"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25CAA50" wp14:editId="17FE9DE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BFFAA" w14:textId="77777777" w:rsidR="007B69B1" w:rsidRPr="00D72DC6" w:rsidRDefault="007B69B1" w:rsidP="00F02AD1">
                            <w:pPr>
                              <w:rPr>
                                <w:color w:val="FFFFFF" w:themeColor="background1"/>
                                <w14:textFill>
                                  <w14:noFill/>
                                </w14:textFill>
                              </w:rPr>
                            </w:pPr>
                            <w:r>
                              <w:rPr>
                                <w:noProof/>
                                <w:color w:val="FFFFFF" w:themeColor="background1"/>
                              </w:rPr>
                              <w:drawing>
                                <wp:inline distT="0" distB="0" distL="0" distR="0" wp14:anchorId="14C0EFC7" wp14:editId="48BB512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CAA5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04BFFAA" w14:textId="77777777" w:rsidR="007B69B1" w:rsidRPr="00D72DC6" w:rsidRDefault="007B69B1" w:rsidP="00F02AD1">
                      <w:pPr>
                        <w:rPr>
                          <w:color w:val="FFFFFF" w:themeColor="background1"/>
                          <w14:textFill>
                            <w14:noFill/>
                          </w14:textFill>
                        </w:rPr>
                      </w:pPr>
                      <w:r>
                        <w:rPr>
                          <w:noProof/>
                          <w:color w:val="FFFFFF" w:themeColor="background1"/>
                        </w:rPr>
                        <w:drawing>
                          <wp:inline distT="0" distB="0" distL="0" distR="0" wp14:anchorId="14C0EFC7" wp14:editId="48BB512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DFD3EED" wp14:editId="1763DBE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F8C12" w14:textId="77777777" w:rsidR="007B69B1" w:rsidRPr="004B7EB6" w:rsidRDefault="007B69B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D3EE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C3F8C12" w14:textId="77777777" w:rsidR="007B69B1" w:rsidRPr="004B7EB6" w:rsidRDefault="007B69B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39C658D"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61F0A6E4" w14:textId="77777777" w:rsidR="00953481" w:rsidRPr="008536ED" w:rsidRDefault="00722C9F" w:rsidP="005D467C">
      <w:pPr>
        <w:tabs>
          <w:tab w:val="center" w:pos="5400"/>
        </w:tabs>
        <w:suppressAutoHyphens/>
        <w:spacing w:line="276" w:lineRule="auto"/>
        <w:jc w:val="center"/>
        <w:rPr>
          <w:rFonts w:asciiTheme="majorHAnsi" w:hAnsiTheme="majorHAnsi"/>
          <w:sz w:val="20"/>
          <w:szCs w:val="20"/>
          <w:lang w:val="es-ES"/>
        </w:rPr>
      </w:pPr>
      <w:r w:rsidRPr="00953481">
        <w:rPr>
          <w:rFonts w:asciiTheme="majorHAnsi" w:hAnsiTheme="majorHAnsi"/>
          <w:b/>
          <w:sz w:val="20"/>
          <w:szCs w:val="20"/>
          <w:lang w:val="es-ES_tradnl"/>
        </w:rPr>
        <w:lastRenderedPageBreak/>
        <w:t>ÍNDICE</w:t>
      </w:r>
    </w:p>
    <w:sdt>
      <w:sdtPr>
        <w:rPr>
          <w:rFonts w:ascii="Times New Roman" w:eastAsia="Arial Unicode MS" w:hAnsi="Times New Roman" w:cs="Times New Roman"/>
          <w:b w:val="0"/>
          <w:bCs w:val="0"/>
          <w:color w:val="auto"/>
          <w:sz w:val="24"/>
          <w:szCs w:val="24"/>
          <w:bdr w:val="nil"/>
          <w:lang w:eastAsia="en-US"/>
        </w:rPr>
        <w:id w:val="-2141488943"/>
        <w:docPartObj>
          <w:docPartGallery w:val="Table of Contents"/>
          <w:docPartUnique/>
        </w:docPartObj>
      </w:sdtPr>
      <w:sdtEndPr>
        <w:rPr>
          <w:noProof/>
        </w:rPr>
      </w:sdtEndPr>
      <w:sdtContent>
        <w:p w14:paraId="683F5C68" w14:textId="77777777" w:rsidR="005D467C" w:rsidRPr="005D467C" w:rsidRDefault="005D467C">
          <w:pPr>
            <w:pStyle w:val="TOCHeading"/>
            <w:rPr>
              <w:sz w:val="16"/>
              <w:szCs w:val="16"/>
            </w:rPr>
          </w:pPr>
        </w:p>
        <w:p w14:paraId="61C8EAFB" w14:textId="427FB6B8" w:rsidR="00DD5969" w:rsidRDefault="005D467C">
          <w:pPr>
            <w:pStyle w:val="TOC1"/>
            <w:rPr>
              <w:rFonts w:asciiTheme="minorHAnsi" w:eastAsiaTheme="minorEastAsia" w:hAnsiTheme="minorHAnsi" w:cstheme="minorBidi"/>
              <w:b w:val="0"/>
              <w:sz w:val="22"/>
              <w:szCs w:val="22"/>
              <w:bdr w:val="none" w:sz="0" w:space="0" w:color="auto"/>
              <w:lang w:val="en-US"/>
            </w:rPr>
          </w:pPr>
          <w:r>
            <w:fldChar w:fldCharType="begin"/>
          </w:r>
          <w:r>
            <w:instrText xml:space="preserve"> TOC \o "1-3" \h \z \u </w:instrText>
          </w:r>
          <w:r>
            <w:fldChar w:fldCharType="separate"/>
          </w:r>
          <w:hyperlink w:anchor="_Toc61514148" w:history="1">
            <w:r w:rsidR="00DD5969" w:rsidRPr="00CD042D">
              <w:rPr>
                <w:rStyle w:val="Hyperlink"/>
                <w:lang w:val="es-US"/>
              </w:rPr>
              <w:t>I.</w:t>
            </w:r>
            <w:r w:rsidR="00DD5969">
              <w:rPr>
                <w:rFonts w:asciiTheme="minorHAnsi" w:eastAsiaTheme="minorEastAsia" w:hAnsiTheme="minorHAnsi" w:cstheme="minorBidi"/>
                <w:b w:val="0"/>
                <w:sz w:val="22"/>
                <w:szCs w:val="22"/>
                <w:bdr w:val="none" w:sz="0" w:space="0" w:color="auto"/>
                <w:lang w:val="en-US"/>
              </w:rPr>
              <w:tab/>
            </w:r>
            <w:r w:rsidR="00DD5969" w:rsidRPr="00CD042D">
              <w:rPr>
                <w:rStyle w:val="Hyperlink"/>
                <w:lang w:val="es-US"/>
              </w:rPr>
              <w:t>INTRODUCCIÓN</w:t>
            </w:r>
            <w:r w:rsidR="00DD5969">
              <w:rPr>
                <w:webHidden/>
              </w:rPr>
              <w:tab/>
            </w:r>
            <w:r w:rsidR="00DD5969">
              <w:rPr>
                <w:webHidden/>
              </w:rPr>
              <w:fldChar w:fldCharType="begin"/>
            </w:r>
            <w:r w:rsidR="00DD5969">
              <w:rPr>
                <w:webHidden/>
              </w:rPr>
              <w:instrText xml:space="preserve"> PAGEREF _Toc61514148 \h </w:instrText>
            </w:r>
            <w:r w:rsidR="00DD5969">
              <w:rPr>
                <w:webHidden/>
              </w:rPr>
            </w:r>
            <w:r w:rsidR="00DD5969">
              <w:rPr>
                <w:webHidden/>
              </w:rPr>
              <w:fldChar w:fldCharType="separate"/>
            </w:r>
            <w:r w:rsidR="000951CF">
              <w:rPr>
                <w:webHidden/>
              </w:rPr>
              <w:t>3</w:t>
            </w:r>
            <w:r w:rsidR="00DD5969">
              <w:rPr>
                <w:webHidden/>
              </w:rPr>
              <w:fldChar w:fldCharType="end"/>
            </w:r>
          </w:hyperlink>
        </w:p>
        <w:p w14:paraId="73EB79EB" w14:textId="4090E39F" w:rsidR="00DD5969" w:rsidRDefault="000951CF">
          <w:pPr>
            <w:pStyle w:val="TOC1"/>
            <w:rPr>
              <w:rFonts w:asciiTheme="minorHAnsi" w:eastAsiaTheme="minorEastAsia" w:hAnsiTheme="minorHAnsi" w:cstheme="minorBidi"/>
              <w:b w:val="0"/>
              <w:sz w:val="22"/>
              <w:szCs w:val="22"/>
              <w:bdr w:val="none" w:sz="0" w:space="0" w:color="auto"/>
              <w:lang w:val="en-US"/>
            </w:rPr>
          </w:pPr>
          <w:hyperlink w:anchor="_Toc61514149" w:history="1">
            <w:r w:rsidR="00DD5969" w:rsidRPr="00CD042D">
              <w:rPr>
                <w:rStyle w:val="Hyperlink"/>
              </w:rPr>
              <w:t>II.</w:t>
            </w:r>
            <w:r w:rsidR="00DD5969">
              <w:rPr>
                <w:rFonts w:asciiTheme="minorHAnsi" w:eastAsiaTheme="minorEastAsia" w:hAnsiTheme="minorHAnsi" w:cstheme="minorBidi"/>
                <w:b w:val="0"/>
                <w:sz w:val="22"/>
                <w:szCs w:val="22"/>
                <w:bdr w:val="none" w:sz="0" w:space="0" w:color="auto"/>
                <w:lang w:val="en-US"/>
              </w:rPr>
              <w:tab/>
            </w:r>
            <w:r w:rsidR="00DD5969" w:rsidRPr="00CD042D">
              <w:rPr>
                <w:rStyle w:val="Hyperlink"/>
              </w:rPr>
              <w:t>POSICIÓN DE LAS PARTES</w:t>
            </w:r>
            <w:r w:rsidR="00DD5969">
              <w:rPr>
                <w:webHidden/>
              </w:rPr>
              <w:tab/>
            </w:r>
            <w:r w:rsidR="00DD5969">
              <w:rPr>
                <w:webHidden/>
              </w:rPr>
              <w:fldChar w:fldCharType="begin"/>
            </w:r>
            <w:r w:rsidR="00DD5969">
              <w:rPr>
                <w:webHidden/>
              </w:rPr>
              <w:instrText xml:space="preserve"> PAGEREF _Toc61514149 \h </w:instrText>
            </w:r>
            <w:r w:rsidR="00DD5969">
              <w:rPr>
                <w:webHidden/>
              </w:rPr>
            </w:r>
            <w:r w:rsidR="00DD5969">
              <w:rPr>
                <w:webHidden/>
              </w:rPr>
              <w:fldChar w:fldCharType="separate"/>
            </w:r>
            <w:r>
              <w:rPr>
                <w:webHidden/>
              </w:rPr>
              <w:t>3</w:t>
            </w:r>
            <w:r w:rsidR="00DD5969">
              <w:rPr>
                <w:webHidden/>
              </w:rPr>
              <w:fldChar w:fldCharType="end"/>
            </w:r>
          </w:hyperlink>
        </w:p>
        <w:p w14:paraId="2BB12B4D" w14:textId="6D0875F0" w:rsidR="00DD5969" w:rsidRDefault="000951CF">
          <w:pPr>
            <w:pStyle w:val="TOC2"/>
            <w:rPr>
              <w:rFonts w:asciiTheme="minorHAnsi" w:eastAsiaTheme="minorEastAsia" w:hAnsiTheme="minorHAnsi" w:cstheme="minorBidi"/>
              <w:noProof/>
              <w:sz w:val="22"/>
              <w:szCs w:val="22"/>
              <w:bdr w:val="none" w:sz="0" w:space="0" w:color="auto"/>
            </w:rPr>
          </w:pPr>
          <w:hyperlink w:anchor="_Toc61514150" w:history="1">
            <w:r w:rsidR="00DD5969" w:rsidRPr="00CD042D">
              <w:rPr>
                <w:rStyle w:val="Hyperlink"/>
                <w:rFonts w:asciiTheme="majorHAnsi" w:hAnsiTheme="majorHAnsi"/>
                <w:noProof/>
              </w:rPr>
              <w:t>A.</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rPr>
              <w:t>Posición de los peticionarios</w:t>
            </w:r>
            <w:r w:rsidR="00DD5969">
              <w:rPr>
                <w:noProof/>
                <w:webHidden/>
              </w:rPr>
              <w:tab/>
            </w:r>
            <w:r w:rsidR="00DD5969">
              <w:rPr>
                <w:noProof/>
                <w:webHidden/>
              </w:rPr>
              <w:fldChar w:fldCharType="begin"/>
            </w:r>
            <w:r w:rsidR="00DD5969">
              <w:rPr>
                <w:noProof/>
                <w:webHidden/>
              </w:rPr>
              <w:instrText xml:space="preserve"> PAGEREF _Toc61514150 \h </w:instrText>
            </w:r>
            <w:r w:rsidR="00DD5969">
              <w:rPr>
                <w:noProof/>
                <w:webHidden/>
              </w:rPr>
            </w:r>
            <w:r w:rsidR="00DD5969">
              <w:rPr>
                <w:noProof/>
                <w:webHidden/>
              </w:rPr>
              <w:fldChar w:fldCharType="separate"/>
            </w:r>
            <w:r>
              <w:rPr>
                <w:noProof/>
                <w:webHidden/>
              </w:rPr>
              <w:t>3</w:t>
            </w:r>
            <w:r w:rsidR="00DD5969">
              <w:rPr>
                <w:noProof/>
                <w:webHidden/>
              </w:rPr>
              <w:fldChar w:fldCharType="end"/>
            </w:r>
          </w:hyperlink>
        </w:p>
        <w:p w14:paraId="46D6F76C" w14:textId="62C8A65A" w:rsidR="00DD5969" w:rsidRDefault="000951CF">
          <w:pPr>
            <w:pStyle w:val="TOC2"/>
            <w:rPr>
              <w:rFonts w:asciiTheme="minorHAnsi" w:eastAsiaTheme="minorEastAsia" w:hAnsiTheme="minorHAnsi" w:cstheme="minorBidi"/>
              <w:noProof/>
              <w:sz w:val="22"/>
              <w:szCs w:val="22"/>
              <w:bdr w:val="none" w:sz="0" w:space="0" w:color="auto"/>
            </w:rPr>
          </w:pPr>
          <w:hyperlink w:anchor="_Toc61514151" w:history="1">
            <w:r w:rsidR="00DD5969" w:rsidRPr="00CD042D">
              <w:rPr>
                <w:rStyle w:val="Hyperlink"/>
                <w:rFonts w:asciiTheme="majorHAnsi" w:hAnsiTheme="majorHAnsi"/>
                <w:noProof/>
              </w:rPr>
              <w:t>B.</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rPr>
              <w:t>Posición del Estado</w:t>
            </w:r>
            <w:r w:rsidR="00DD5969">
              <w:rPr>
                <w:noProof/>
                <w:webHidden/>
              </w:rPr>
              <w:tab/>
            </w:r>
            <w:r w:rsidR="00DD5969">
              <w:rPr>
                <w:noProof/>
                <w:webHidden/>
              </w:rPr>
              <w:fldChar w:fldCharType="begin"/>
            </w:r>
            <w:r w:rsidR="00DD5969">
              <w:rPr>
                <w:noProof/>
                <w:webHidden/>
              </w:rPr>
              <w:instrText xml:space="preserve"> PAGEREF _Toc61514151 \h </w:instrText>
            </w:r>
            <w:r w:rsidR="00DD5969">
              <w:rPr>
                <w:noProof/>
                <w:webHidden/>
              </w:rPr>
            </w:r>
            <w:r w:rsidR="00DD5969">
              <w:rPr>
                <w:noProof/>
                <w:webHidden/>
              </w:rPr>
              <w:fldChar w:fldCharType="separate"/>
            </w:r>
            <w:r>
              <w:rPr>
                <w:noProof/>
                <w:webHidden/>
              </w:rPr>
              <w:t>4</w:t>
            </w:r>
            <w:r w:rsidR="00DD5969">
              <w:rPr>
                <w:noProof/>
                <w:webHidden/>
              </w:rPr>
              <w:fldChar w:fldCharType="end"/>
            </w:r>
          </w:hyperlink>
        </w:p>
        <w:p w14:paraId="3FDECAE4" w14:textId="692466B7" w:rsidR="00DD5969" w:rsidRDefault="000951CF">
          <w:pPr>
            <w:pStyle w:val="TOC1"/>
            <w:rPr>
              <w:rFonts w:asciiTheme="minorHAnsi" w:eastAsiaTheme="minorEastAsia" w:hAnsiTheme="minorHAnsi" w:cstheme="minorBidi"/>
              <w:b w:val="0"/>
              <w:sz w:val="22"/>
              <w:szCs w:val="22"/>
              <w:bdr w:val="none" w:sz="0" w:space="0" w:color="auto"/>
              <w:lang w:val="en-US"/>
            </w:rPr>
          </w:pPr>
          <w:hyperlink w:anchor="_Toc61514152" w:history="1">
            <w:r w:rsidR="00DD5969" w:rsidRPr="00CD042D">
              <w:rPr>
                <w:rStyle w:val="Hyperlink"/>
              </w:rPr>
              <w:t>III.</w:t>
            </w:r>
            <w:r w:rsidR="00DD5969">
              <w:rPr>
                <w:rFonts w:asciiTheme="minorHAnsi" w:eastAsiaTheme="minorEastAsia" w:hAnsiTheme="minorHAnsi" w:cstheme="minorBidi"/>
                <w:b w:val="0"/>
                <w:sz w:val="22"/>
                <w:szCs w:val="22"/>
                <w:bdr w:val="none" w:sz="0" w:space="0" w:color="auto"/>
                <w:lang w:val="en-US"/>
              </w:rPr>
              <w:tab/>
            </w:r>
            <w:r w:rsidR="00DD5969" w:rsidRPr="00CD042D">
              <w:rPr>
                <w:rStyle w:val="Hyperlink"/>
              </w:rPr>
              <w:t>ADMISIBILIDAD</w:t>
            </w:r>
            <w:r w:rsidR="00DD5969">
              <w:rPr>
                <w:webHidden/>
              </w:rPr>
              <w:tab/>
            </w:r>
            <w:r w:rsidR="00DD5969">
              <w:rPr>
                <w:webHidden/>
              </w:rPr>
              <w:fldChar w:fldCharType="begin"/>
            </w:r>
            <w:r w:rsidR="00DD5969">
              <w:rPr>
                <w:webHidden/>
              </w:rPr>
              <w:instrText xml:space="preserve"> PAGEREF _Toc61514152 \h </w:instrText>
            </w:r>
            <w:r w:rsidR="00DD5969">
              <w:rPr>
                <w:webHidden/>
              </w:rPr>
            </w:r>
            <w:r w:rsidR="00DD5969">
              <w:rPr>
                <w:webHidden/>
              </w:rPr>
              <w:fldChar w:fldCharType="separate"/>
            </w:r>
            <w:r>
              <w:rPr>
                <w:webHidden/>
              </w:rPr>
              <w:t>5</w:t>
            </w:r>
            <w:r w:rsidR="00DD5969">
              <w:rPr>
                <w:webHidden/>
              </w:rPr>
              <w:fldChar w:fldCharType="end"/>
            </w:r>
          </w:hyperlink>
        </w:p>
        <w:p w14:paraId="611A72CE" w14:textId="7C50C4D1" w:rsidR="00DD5969" w:rsidRDefault="000951CF">
          <w:pPr>
            <w:pStyle w:val="TOC2"/>
            <w:rPr>
              <w:rFonts w:asciiTheme="minorHAnsi" w:eastAsiaTheme="minorEastAsia" w:hAnsiTheme="minorHAnsi" w:cstheme="minorBidi"/>
              <w:noProof/>
              <w:sz w:val="22"/>
              <w:szCs w:val="22"/>
              <w:bdr w:val="none" w:sz="0" w:space="0" w:color="auto"/>
            </w:rPr>
          </w:pPr>
          <w:hyperlink w:anchor="_Toc61514153" w:history="1">
            <w:r w:rsidR="00DD5969" w:rsidRPr="00CD042D">
              <w:rPr>
                <w:rStyle w:val="Hyperlink"/>
                <w:rFonts w:asciiTheme="majorHAnsi" w:hAnsiTheme="majorHAnsi"/>
                <w:noProof/>
                <w:lang w:val="es-ES"/>
              </w:rPr>
              <w:t>A.</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Competencia, duplicación de procedimientos y cosa juzgada internacional</w:t>
            </w:r>
            <w:r w:rsidR="00DD5969">
              <w:rPr>
                <w:noProof/>
                <w:webHidden/>
              </w:rPr>
              <w:tab/>
            </w:r>
            <w:r w:rsidR="00DD5969">
              <w:rPr>
                <w:noProof/>
                <w:webHidden/>
              </w:rPr>
              <w:fldChar w:fldCharType="begin"/>
            </w:r>
            <w:r w:rsidR="00DD5969">
              <w:rPr>
                <w:noProof/>
                <w:webHidden/>
              </w:rPr>
              <w:instrText xml:space="preserve"> PAGEREF _Toc61514153 \h </w:instrText>
            </w:r>
            <w:r w:rsidR="00DD5969">
              <w:rPr>
                <w:noProof/>
                <w:webHidden/>
              </w:rPr>
            </w:r>
            <w:r w:rsidR="00DD5969">
              <w:rPr>
                <w:noProof/>
                <w:webHidden/>
              </w:rPr>
              <w:fldChar w:fldCharType="separate"/>
            </w:r>
            <w:r>
              <w:rPr>
                <w:noProof/>
                <w:webHidden/>
              </w:rPr>
              <w:t>5</w:t>
            </w:r>
            <w:r w:rsidR="00DD5969">
              <w:rPr>
                <w:noProof/>
                <w:webHidden/>
              </w:rPr>
              <w:fldChar w:fldCharType="end"/>
            </w:r>
          </w:hyperlink>
        </w:p>
        <w:p w14:paraId="4EB32AD7" w14:textId="05A67B0D" w:rsidR="00DD5969" w:rsidRDefault="000951CF">
          <w:pPr>
            <w:pStyle w:val="TOC2"/>
            <w:rPr>
              <w:rFonts w:asciiTheme="minorHAnsi" w:eastAsiaTheme="minorEastAsia" w:hAnsiTheme="minorHAnsi" w:cstheme="minorBidi"/>
              <w:noProof/>
              <w:sz w:val="22"/>
              <w:szCs w:val="22"/>
              <w:bdr w:val="none" w:sz="0" w:space="0" w:color="auto"/>
            </w:rPr>
          </w:pPr>
          <w:hyperlink w:anchor="_Toc61514154" w:history="1">
            <w:r w:rsidR="00DD5969" w:rsidRPr="00CD042D">
              <w:rPr>
                <w:rStyle w:val="Hyperlink"/>
                <w:rFonts w:asciiTheme="majorHAnsi" w:hAnsiTheme="majorHAnsi"/>
                <w:noProof/>
                <w:lang w:val="es-ES"/>
              </w:rPr>
              <w:t>B.</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Agotamiento de los recursos internos y plazo de presentación</w:t>
            </w:r>
            <w:r w:rsidR="00DD5969">
              <w:rPr>
                <w:noProof/>
                <w:webHidden/>
              </w:rPr>
              <w:tab/>
            </w:r>
            <w:r w:rsidR="00DD5969">
              <w:rPr>
                <w:noProof/>
                <w:webHidden/>
              </w:rPr>
              <w:fldChar w:fldCharType="begin"/>
            </w:r>
            <w:r w:rsidR="00DD5969">
              <w:rPr>
                <w:noProof/>
                <w:webHidden/>
              </w:rPr>
              <w:instrText xml:space="preserve"> PAGEREF _Toc61514154 \h </w:instrText>
            </w:r>
            <w:r w:rsidR="00DD5969">
              <w:rPr>
                <w:noProof/>
                <w:webHidden/>
              </w:rPr>
            </w:r>
            <w:r w:rsidR="00DD5969">
              <w:rPr>
                <w:noProof/>
                <w:webHidden/>
              </w:rPr>
              <w:fldChar w:fldCharType="separate"/>
            </w:r>
            <w:r>
              <w:rPr>
                <w:noProof/>
                <w:webHidden/>
              </w:rPr>
              <w:t>5</w:t>
            </w:r>
            <w:r w:rsidR="00DD5969">
              <w:rPr>
                <w:noProof/>
                <w:webHidden/>
              </w:rPr>
              <w:fldChar w:fldCharType="end"/>
            </w:r>
          </w:hyperlink>
        </w:p>
        <w:p w14:paraId="4A7F6A6C" w14:textId="39037D89" w:rsidR="00DD5969" w:rsidRDefault="000951CF">
          <w:pPr>
            <w:pStyle w:val="TOC2"/>
            <w:rPr>
              <w:rFonts w:asciiTheme="minorHAnsi" w:eastAsiaTheme="minorEastAsia" w:hAnsiTheme="minorHAnsi" w:cstheme="minorBidi"/>
              <w:noProof/>
              <w:sz w:val="22"/>
              <w:szCs w:val="22"/>
              <w:bdr w:val="none" w:sz="0" w:space="0" w:color="auto"/>
            </w:rPr>
          </w:pPr>
          <w:hyperlink w:anchor="_Toc61514155" w:history="1">
            <w:r w:rsidR="00DD5969" w:rsidRPr="00CD042D">
              <w:rPr>
                <w:rStyle w:val="Hyperlink"/>
                <w:rFonts w:asciiTheme="majorHAnsi" w:hAnsiTheme="majorHAnsi"/>
                <w:noProof/>
              </w:rPr>
              <w:t>C.</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rPr>
              <w:t>Caracterización de los hechos alegados</w:t>
            </w:r>
            <w:r w:rsidR="00DD5969">
              <w:rPr>
                <w:noProof/>
                <w:webHidden/>
              </w:rPr>
              <w:tab/>
            </w:r>
            <w:r w:rsidR="00DD5969">
              <w:rPr>
                <w:noProof/>
                <w:webHidden/>
              </w:rPr>
              <w:fldChar w:fldCharType="begin"/>
            </w:r>
            <w:r w:rsidR="00DD5969">
              <w:rPr>
                <w:noProof/>
                <w:webHidden/>
              </w:rPr>
              <w:instrText xml:space="preserve"> PAGEREF _Toc61514155 \h </w:instrText>
            </w:r>
            <w:r w:rsidR="00DD5969">
              <w:rPr>
                <w:noProof/>
                <w:webHidden/>
              </w:rPr>
            </w:r>
            <w:r w:rsidR="00DD5969">
              <w:rPr>
                <w:noProof/>
                <w:webHidden/>
              </w:rPr>
              <w:fldChar w:fldCharType="separate"/>
            </w:r>
            <w:r>
              <w:rPr>
                <w:noProof/>
                <w:webHidden/>
              </w:rPr>
              <w:t>6</w:t>
            </w:r>
            <w:r w:rsidR="00DD5969">
              <w:rPr>
                <w:noProof/>
                <w:webHidden/>
              </w:rPr>
              <w:fldChar w:fldCharType="end"/>
            </w:r>
          </w:hyperlink>
        </w:p>
        <w:p w14:paraId="152295CB" w14:textId="062363AA" w:rsidR="00DD5969" w:rsidRDefault="000951CF">
          <w:pPr>
            <w:pStyle w:val="TOC1"/>
            <w:rPr>
              <w:rFonts w:asciiTheme="minorHAnsi" w:eastAsiaTheme="minorEastAsia" w:hAnsiTheme="minorHAnsi" w:cstheme="minorBidi"/>
              <w:b w:val="0"/>
              <w:sz w:val="22"/>
              <w:szCs w:val="22"/>
              <w:bdr w:val="none" w:sz="0" w:space="0" w:color="auto"/>
              <w:lang w:val="en-US"/>
            </w:rPr>
          </w:pPr>
          <w:hyperlink w:anchor="_Toc61514156" w:history="1">
            <w:r w:rsidR="00DD5969" w:rsidRPr="00CD042D">
              <w:rPr>
                <w:rStyle w:val="Hyperlink"/>
              </w:rPr>
              <w:t>IV.</w:t>
            </w:r>
            <w:r w:rsidR="00DD5969">
              <w:rPr>
                <w:rFonts w:asciiTheme="minorHAnsi" w:eastAsiaTheme="minorEastAsia" w:hAnsiTheme="minorHAnsi" w:cstheme="minorBidi"/>
                <w:b w:val="0"/>
                <w:sz w:val="22"/>
                <w:szCs w:val="22"/>
                <w:bdr w:val="none" w:sz="0" w:space="0" w:color="auto"/>
                <w:lang w:val="en-US"/>
              </w:rPr>
              <w:tab/>
            </w:r>
            <w:r w:rsidR="00DD5969" w:rsidRPr="00CD042D">
              <w:rPr>
                <w:rStyle w:val="Hyperlink"/>
              </w:rPr>
              <w:t>DETERMINACIONES DE HECHO</w:t>
            </w:r>
            <w:r w:rsidR="00DD5969">
              <w:rPr>
                <w:webHidden/>
              </w:rPr>
              <w:tab/>
            </w:r>
            <w:r w:rsidR="00DD5969">
              <w:rPr>
                <w:webHidden/>
              </w:rPr>
              <w:fldChar w:fldCharType="begin"/>
            </w:r>
            <w:r w:rsidR="00DD5969">
              <w:rPr>
                <w:webHidden/>
              </w:rPr>
              <w:instrText xml:space="preserve"> PAGEREF _Toc61514156 \h </w:instrText>
            </w:r>
            <w:r w:rsidR="00DD5969">
              <w:rPr>
                <w:webHidden/>
              </w:rPr>
            </w:r>
            <w:r w:rsidR="00DD5969">
              <w:rPr>
                <w:webHidden/>
              </w:rPr>
              <w:fldChar w:fldCharType="separate"/>
            </w:r>
            <w:r>
              <w:rPr>
                <w:webHidden/>
              </w:rPr>
              <w:t>6</w:t>
            </w:r>
            <w:r w:rsidR="00DD5969">
              <w:rPr>
                <w:webHidden/>
              </w:rPr>
              <w:fldChar w:fldCharType="end"/>
            </w:r>
          </w:hyperlink>
        </w:p>
        <w:p w14:paraId="6AD93714" w14:textId="72427ACD" w:rsidR="00DD5969" w:rsidRDefault="000951CF">
          <w:pPr>
            <w:pStyle w:val="TOC2"/>
            <w:rPr>
              <w:rFonts w:asciiTheme="minorHAnsi" w:eastAsiaTheme="minorEastAsia" w:hAnsiTheme="minorHAnsi" w:cstheme="minorBidi"/>
              <w:noProof/>
              <w:sz w:val="22"/>
              <w:szCs w:val="22"/>
              <w:bdr w:val="none" w:sz="0" w:space="0" w:color="auto"/>
            </w:rPr>
          </w:pPr>
          <w:hyperlink w:anchor="_Toc61514157" w:history="1">
            <w:r w:rsidR="00DD5969" w:rsidRPr="00CD042D">
              <w:rPr>
                <w:rStyle w:val="Hyperlink"/>
                <w:rFonts w:asciiTheme="majorHAnsi" w:hAnsiTheme="majorHAnsi"/>
                <w:noProof/>
                <w:lang w:val="es-ES"/>
              </w:rPr>
              <w:t>A.</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El sistema federal de pena de muerte</w:t>
            </w:r>
            <w:r w:rsidR="00DD5969">
              <w:rPr>
                <w:noProof/>
                <w:webHidden/>
              </w:rPr>
              <w:tab/>
            </w:r>
            <w:r w:rsidR="00DD5969">
              <w:rPr>
                <w:noProof/>
                <w:webHidden/>
              </w:rPr>
              <w:fldChar w:fldCharType="begin"/>
            </w:r>
            <w:r w:rsidR="00DD5969">
              <w:rPr>
                <w:noProof/>
                <w:webHidden/>
              </w:rPr>
              <w:instrText xml:space="preserve"> PAGEREF _Toc61514157 \h </w:instrText>
            </w:r>
            <w:r w:rsidR="00DD5969">
              <w:rPr>
                <w:noProof/>
                <w:webHidden/>
              </w:rPr>
            </w:r>
            <w:r w:rsidR="00DD5969">
              <w:rPr>
                <w:noProof/>
                <w:webHidden/>
              </w:rPr>
              <w:fldChar w:fldCharType="separate"/>
            </w:r>
            <w:r>
              <w:rPr>
                <w:noProof/>
                <w:webHidden/>
              </w:rPr>
              <w:t>6</w:t>
            </w:r>
            <w:r w:rsidR="00DD5969">
              <w:rPr>
                <w:noProof/>
                <w:webHidden/>
              </w:rPr>
              <w:fldChar w:fldCharType="end"/>
            </w:r>
          </w:hyperlink>
        </w:p>
        <w:p w14:paraId="2A22EC29" w14:textId="4668CE5B" w:rsidR="00DD5969" w:rsidRDefault="000951CF">
          <w:pPr>
            <w:pStyle w:val="TOC2"/>
            <w:rPr>
              <w:rFonts w:asciiTheme="minorHAnsi" w:eastAsiaTheme="minorEastAsia" w:hAnsiTheme="minorHAnsi" w:cstheme="minorBidi"/>
              <w:noProof/>
              <w:sz w:val="22"/>
              <w:szCs w:val="22"/>
              <w:bdr w:val="none" w:sz="0" w:space="0" w:color="auto"/>
            </w:rPr>
          </w:pPr>
          <w:hyperlink w:anchor="_Toc61514158" w:history="1">
            <w:r w:rsidR="00DD5969" w:rsidRPr="00CD042D">
              <w:rPr>
                <w:rStyle w:val="Hyperlink"/>
                <w:rFonts w:asciiTheme="majorHAnsi" w:hAnsiTheme="majorHAnsi"/>
                <w:noProof/>
                <w:lang w:val="es-ES"/>
              </w:rPr>
              <w:t>B.</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La raza y la pena de muerte en el ámbito federal en Texas</w:t>
            </w:r>
            <w:r w:rsidR="00DD5969">
              <w:rPr>
                <w:noProof/>
                <w:webHidden/>
              </w:rPr>
              <w:tab/>
            </w:r>
            <w:r w:rsidR="00DD5969">
              <w:rPr>
                <w:noProof/>
                <w:webHidden/>
              </w:rPr>
              <w:fldChar w:fldCharType="begin"/>
            </w:r>
            <w:r w:rsidR="00DD5969">
              <w:rPr>
                <w:noProof/>
                <w:webHidden/>
              </w:rPr>
              <w:instrText xml:space="preserve"> PAGEREF _Toc61514158 \h </w:instrText>
            </w:r>
            <w:r w:rsidR="00DD5969">
              <w:rPr>
                <w:noProof/>
                <w:webHidden/>
              </w:rPr>
            </w:r>
            <w:r w:rsidR="00DD5969">
              <w:rPr>
                <w:noProof/>
                <w:webHidden/>
              </w:rPr>
              <w:fldChar w:fldCharType="separate"/>
            </w:r>
            <w:r>
              <w:rPr>
                <w:noProof/>
                <w:webHidden/>
              </w:rPr>
              <w:t>7</w:t>
            </w:r>
            <w:r w:rsidR="00DD5969">
              <w:rPr>
                <w:noProof/>
                <w:webHidden/>
              </w:rPr>
              <w:fldChar w:fldCharType="end"/>
            </w:r>
          </w:hyperlink>
        </w:p>
        <w:p w14:paraId="18CA97F8" w14:textId="3F5EF327" w:rsidR="00DD5969" w:rsidRDefault="000951CF">
          <w:pPr>
            <w:pStyle w:val="TOC2"/>
            <w:rPr>
              <w:rFonts w:asciiTheme="minorHAnsi" w:eastAsiaTheme="minorEastAsia" w:hAnsiTheme="minorHAnsi" w:cstheme="minorBidi"/>
              <w:noProof/>
              <w:sz w:val="22"/>
              <w:szCs w:val="22"/>
              <w:bdr w:val="none" w:sz="0" w:space="0" w:color="auto"/>
            </w:rPr>
          </w:pPr>
          <w:hyperlink w:anchor="_Toc61514159" w:history="1">
            <w:r w:rsidR="00DD5969" w:rsidRPr="00CD042D">
              <w:rPr>
                <w:rStyle w:val="Hyperlink"/>
                <w:rFonts w:asciiTheme="majorHAnsi" w:hAnsiTheme="majorHAnsi"/>
                <w:noProof/>
                <w:lang w:val="es-ES"/>
              </w:rPr>
              <w:t>C.</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Proceso de selección del jurado</w:t>
            </w:r>
            <w:r w:rsidR="00DD5969">
              <w:rPr>
                <w:noProof/>
                <w:webHidden/>
              </w:rPr>
              <w:tab/>
            </w:r>
            <w:r w:rsidR="00DD5969">
              <w:rPr>
                <w:noProof/>
                <w:webHidden/>
              </w:rPr>
              <w:fldChar w:fldCharType="begin"/>
            </w:r>
            <w:r w:rsidR="00DD5969">
              <w:rPr>
                <w:noProof/>
                <w:webHidden/>
              </w:rPr>
              <w:instrText xml:space="preserve"> PAGEREF _Toc61514159 \h </w:instrText>
            </w:r>
            <w:r w:rsidR="00DD5969">
              <w:rPr>
                <w:noProof/>
                <w:webHidden/>
              </w:rPr>
            </w:r>
            <w:r w:rsidR="00DD5969">
              <w:rPr>
                <w:noProof/>
                <w:webHidden/>
              </w:rPr>
              <w:fldChar w:fldCharType="separate"/>
            </w:r>
            <w:r>
              <w:rPr>
                <w:noProof/>
                <w:webHidden/>
              </w:rPr>
              <w:t>7</w:t>
            </w:r>
            <w:r w:rsidR="00DD5969">
              <w:rPr>
                <w:noProof/>
                <w:webHidden/>
              </w:rPr>
              <w:fldChar w:fldCharType="end"/>
            </w:r>
          </w:hyperlink>
        </w:p>
        <w:p w14:paraId="2F34CBFA" w14:textId="61373C60" w:rsidR="00DD5969" w:rsidRDefault="000951CF">
          <w:pPr>
            <w:pStyle w:val="TOC2"/>
            <w:rPr>
              <w:rFonts w:asciiTheme="minorHAnsi" w:eastAsiaTheme="minorEastAsia" w:hAnsiTheme="minorHAnsi" w:cstheme="minorBidi"/>
              <w:noProof/>
              <w:sz w:val="22"/>
              <w:szCs w:val="22"/>
              <w:bdr w:val="none" w:sz="0" w:space="0" w:color="auto"/>
            </w:rPr>
          </w:pPr>
          <w:hyperlink w:anchor="_Toc61514160" w:history="1">
            <w:r w:rsidR="00DD5969" w:rsidRPr="00CD042D">
              <w:rPr>
                <w:rStyle w:val="Hyperlink"/>
                <w:rFonts w:asciiTheme="majorHAnsi" w:hAnsiTheme="majorHAnsi"/>
                <w:noProof/>
                <w:lang w:val="es-ES"/>
              </w:rPr>
              <w:t>D.</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Antecedentes fácticos, juicio y pena de muerte</w:t>
            </w:r>
            <w:r w:rsidR="00DD5969">
              <w:rPr>
                <w:noProof/>
                <w:webHidden/>
              </w:rPr>
              <w:tab/>
            </w:r>
            <w:r w:rsidR="00DD5969">
              <w:rPr>
                <w:noProof/>
                <w:webHidden/>
              </w:rPr>
              <w:fldChar w:fldCharType="begin"/>
            </w:r>
            <w:r w:rsidR="00DD5969">
              <w:rPr>
                <w:noProof/>
                <w:webHidden/>
              </w:rPr>
              <w:instrText xml:space="preserve"> PAGEREF _Toc61514160 \h </w:instrText>
            </w:r>
            <w:r w:rsidR="00DD5969">
              <w:rPr>
                <w:noProof/>
                <w:webHidden/>
              </w:rPr>
            </w:r>
            <w:r w:rsidR="00DD5969">
              <w:rPr>
                <w:noProof/>
                <w:webHidden/>
              </w:rPr>
              <w:fldChar w:fldCharType="separate"/>
            </w:r>
            <w:r>
              <w:rPr>
                <w:noProof/>
                <w:webHidden/>
              </w:rPr>
              <w:t>7</w:t>
            </w:r>
            <w:r w:rsidR="00DD5969">
              <w:rPr>
                <w:noProof/>
                <w:webHidden/>
              </w:rPr>
              <w:fldChar w:fldCharType="end"/>
            </w:r>
          </w:hyperlink>
        </w:p>
        <w:p w14:paraId="17820938" w14:textId="639B6CBB" w:rsidR="00DD5969" w:rsidRDefault="000951CF">
          <w:pPr>
            <w:pStyle w:val="TOC2"/>
            <w:rPr>
              <w:rFonts w:asciiTheme="minorHAnsi" w:eastAsiaTheme="minorEastAsia" w:hAnsiTheme="minorHAnsi" w:cstheme="minorBidi"/>
              <w:noProof/>
              <w:sz w:val="22"/>
              <w:szCs w:val="22"/>
              <w:bdr w:val="none" w:sz="0" w:space="0" w:color="auto"/>
            </w:rPr>
          </w:pPr>
          <w:hyperlink w:anchor="_Toc61514161" w:history="1">
            <w:r w:rsidR="00DD5969" w:rsidRPr="00CD042D">
              <w:rPr>
                <w:rStyle w:val="Hyperlink"/>
                <w:rFonts w:asciiTheme="majorHAnsi" w:hAnsiTheme="majorHAnsi"/>
                <w:noProof/>
                <w:lang w:val="es-ES"/>
              </w:rPr>
              <w:t>E.</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Actuaciones poscondenatorias</w:t>
            </w:r>
            <w:r w:rsidR="00DD5969">
              <w:rPr>
                <w:noProof/>
                <w:webHidden/>
              </w:rPr>
              <w:tab/>
            </w:r>
            <w:r w:rsidR="00DD5969">
              <w:rPr>
                <w:noProof/>
                <w:webHidden/>
              </w:rPr>
              <w:fldChar w:fldCharType="begin"/>
            </w:r>
            <w:r w:rsidR="00DD5969">
              <w:rPr>
                <w:noProof/>
                <w:webHidden/>
              </w:rPr>
              <w:instrText xml:space="preserve"> PAGEREF _Toc61514161 \h </w:instrText>
            </w:r>
            <w:r w:rsidR="00DD5969">
              <w:rPr>
                <w:noProof/>
                <w:webHidden/>
              </w:rPr>
            </w:r>
            <w:r w:rsidR="00DD5969">
              <w:rPr>
                <w:noProof/>
                <w:webHidden/>
              </w:rPr>
              <w:fldChar w:fldCharType="separate"/>
            </w:r>
            <w:r>
              <w:rPr>
                <w:noProof/>
                <w:webHidden/>
              </w:rPr>
              <w:t>9</w:t>
            </w:r>
            <w:r w:rsidR="00DD5969">
              <w:rPr>
                <w:noProof/>
                <w:webHidden/>
              </w:rPr>
              <w:fldChar w:fldCharType="end"/>
            </w:r>
          </w:hyperlink>
        </w:p>
        <w:p w14:paraId="72A86330" w14:textId="13907935" w:rsidR="00DD5969" w:rsidRDefault="000951CF">
          <w:pPr>
            <w:pStyle w:val="TOC2"/>
            <w:rPr>
              <w:rFonts w:asciiTheme="minorHAnsi" w:eastAsiaTheme="minorEastAsia" w:hAnsiTheme="minorHAnsi" w:cstheme="minorBidi"/>
              <w:noProof/>
              <w:sz w:val="22"/>
              <w:szCs w:val="22"/>
              <w:bdr w:val="none" w:sz="0" w:space="0" w:color="auto"/>
            </w:rPr>
          </w:pPr>
          <w:hyperlink w:anchor="_Toc61514162" w:history="1">
            <w:r w:rsidR="00DD5969" w:rsidRPr="00CD042D">
              <w:rPr>
                <w:rStyle w:val="Hyperlink"/>
                <w:rFonts w:asciiTheme="majorHAnsi" w:hAnsiTheme="majorHAnsi"/>
                <w:noProof/>
                <w:lang w:val="es-ES"/>
              </w:rPr>
              <w:t>F.</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Actuaciones judiciales relativas al protocolo para la inyección letal</w:t>
            </w:r>
            <w:r w:rsidR="00DD5969">
              <w:rPr>
                <w:noProof/>
                <w:webHidden/>
              </w:rPr>
              <w:tab/>
            </w:r>
            <w:r w:rsidR="00DD5969">
              <w:rPr>
                <w:noProof/>
                <w:webHidden/>
              </w:rPr>
              <w:fldChar w:fldCharType="begin"/>
            </w:r>
            <w:r w:rsidR="00DD5969">
              <w:rPr>
                <w:noProof/>
                <w:webHidden/>
              </w:rPr>
              <w:instrText xml:space="preserve"> PAGEREF _Toc61514162 \h </w:instrText>
            </w:r>
            <w:r w:rsidR="00DD5969">
              <w:rPr>
                <w:noProof/>
                <w:webHidden/>
              </w:rPr>
            </w:r>
            <w:r w:rsidR="00DD5969">
              <w:rPr>
                <w:noProof/>
                <w:webHidden/>
              </w:rPr>
              <w:fldChar w:fldCharType="separate"/>
            </w:r>
            <w:r>
              <w:rPr>
                <w:noProof/>
                <w:webHidden/>
              </w:rPr>
              <w:t>13</w:t>
            </w:r>
            <w:r w:rsidR="00DD5969">
              <w:rPr>
                <w:noProof/>
                <w:webHidden/>
              </w:rPr>
              <w:fldChar w:fldCharType="end"/>
            </w:r>
          </w:hyperlink>
        </w:p>
        <w:p w14:paraId="40F20AF8" w14:textId="4E0C74E2" w:rsidR="00DD5969" w:rsidRDefault="000951CF">
          <w:pPr>
            <w:pStyle w:val="TOC1"/>
            <w:rPr>
              <w:rFonts w:asciiTheme="minorHAnsi" w:eastAsiaTheme="minorEastAsia" w:hAnsiTheme="minorHAnsi" w:cstheme="minorBidi"/>
              <w:b w:val="0"/>
              <w:sz w:val="22"/>
              <w:szCs w:val="22"/>
              <w:bdr w:val="none" w:sz="0" w:space="0" w:color="auto"/>
              <w:lang w:val="en-US"/>
            </w:rPr>
          </w:pPr>
          <w:hyperlink w:anchor="_Toc61514163" w:history="1">
            <w:r w:rsidR="00DD5969" w:rsidRPr="00CD042D">
              <w:rPr>
                <w:rStyle w:val="Hyperlink"/>
              </w:rPr>
              <w:t>V.</w:t>
            </w:r>
            <w:r w:rsidR="00DD5969">
              <w:rPr>
                <w:rFonts w:asciiTheme="minorHAnsi" w:eastAsiaTheme="minorEastAsia" w:hAnsiTheme="minorHAnsi" w:cstheme="minorBidi"/>
                <w:b w:val="0"/>
                <w:sz w:val="22"/>
                <w:szCs w:val="22"/>
                <w:bdr w:val="none" w:sz="0" w:space="0" w:color="auto"/>
                <w:lang w:val="en-US"/>
              </w:rPr>
              <w:tab/>
            </w:r>
            <w:r w:rsidR="00DD5969" w:rsidRPr="00CD042D">
              <w:rPr>
                <w:rStyle w:val="Hyperlink"/>
              </w:rPr>
              <w:t>ANÁLISIS DE DERECHO</w:t>
            </w:r>
            <w:r w:rsidR="00DD5969">
              <w:rPr>
                <w:webHidden/>
              </w:rPr>
              <w:tab/>
            </w:r>
            <w:r w:rsidR="00DD5969">
              <w:rPr>
                <w:webHidden/>
              </w:rPr>
              <w:fldChar w:fldCharType="begin"/>
            </w:r>
            <w:r w:rsidR="00DD5969">
              <w:rPr>
                <w:webHidden/>
              </w:rPr>
              <w:instrText xml:space="preserve"> PAGEREF _Toc61514163 \h </w:instrText>
            </w:r>
            <w:r w:rsidR="00DD5969">
              <w:rPr>
                <w:webHidden/>
              </w:rPr>
            </w:r>
            <w:r w:rsidR="00DD5969">
              <w:rPr>
                <w:webHidden/>
              </w:rPr>
              <w:fldChar w:fldCharType="separate"/>
            </w:r>
            <w:r>
              <w:rPr>
                <w:webHidden/>
              </w:rPr>
              <w:t>14</w:t>
            </w:r>
            <w:r w:rsidR="00DD5969">
              <w:rPr>
                <w:webHidden/>
              </w:rPr>
              <w:fldChar w:fldCharType="end"/>
            </w:r>
          </w:hyperlink>
        </w:p>
        <w:p w14:paraId="209BA08A" w14:textId="6EF54746" w:rsidR="00DD5969" w:rsidRDefault="000951CF">
          <w:pPr>
            <w:pStyle w:val="TOC2"/>
            <w:rPr>
              <w:rFonts w:asciiTheme="minorHAnsi" w:eastAsiaTheme="minorEastAsia" w:hAnsiTheme="minorHAnsi" w:cstheme="minorBidi"/>
              <w:noProof/>
              <w:sz w:val="22"/>
              <w:szCs w:val="22"/>
              <w:bdr w:val="none" w:sz="0" w:space="0" w:color="auto"/>
            </w:rPr>
          </w:pPr>
          <w:hyperlink w:anchor="_Toc61514164" w:history="1">
            <w:r w:rsidR="00DD5969" w:rsidRPr="00CD042D">
              <w:rPr>
                <w:rStyle w:val="Hyperlink"/>
                <w:rFonts w:asciiTheme="majorHAnsi" w:hAnsiTheme="majorHAnsi"/>
                <w:noProof/>
              </w:rPr>
              <w:t>A.</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rPr>
              <w:t>Consideraciones preliminares</w:t>
            </w:r>
            <w:r w:rsidR="00DD5969">
              <w:rPr>
                <w:noProof/>
                <w:webHidden/>
              </w:rPr>
              <w:tab/>
            </w:r>
            <w:r w:rsidR="00DD5969">
              <w:rPr>
                <w:noProof/>
                <w:webHidden/>
              </w:rPr>
              <w:fldChar w:fldCharType="begin"/>
            </w:r>
            <w:r w:rsidR="00DD5969">
              <w:rPr>
                <w:noProof/>
                <w:webHidden/>
              </w:rPr>
              <w:instrText xml:space="preserve"> PAGEREF _Toc61514164 \h </w:instrText>
            </w:r>
            <w:r w:rsidR="00DD5969">
              <w:rPr>
                <w:noProof/>
                <w:webHidden/>
              </w:rPr>
            </w:r>
            <w:r w:rsidR="00DD5969">
              <w:rPr>
                <w:noProof/>
                <w:webHidden/>
              </w:rPr>
              <w:fldChar w:fldCharType="separate"/>
            </w:r>
            <w:r>
              <w:rPr>
                <w:noProof/>
                <w:webHidden/>
              </w:rPr>
              <w:t>14</w:t>
            </w:r>
            <w:r w:rsidR="00DD5969">
              <w:rPr>
                <w:noProof/>
                <w:webHidden/>
              </w:rPr>
              <w:fldChar w:fldCharType="end"/>
            </w:r>
          </w:hyperlink>
        </w:p>
        <w:p w14:paraId="0D6A9CD0" w14:textId="1966E131" w:rsidR="00DD5969" w:rsidRDefault="000951CF">
          <w:pPr>
            <w:pStyle w:val="TOC2"/>
            <w:rPr>
              <w:rFonts w:asciiTheme="minorHAnsi" w:eastAsiaTheme="minorEastAsia" w:hAnsiTheme="minorHAnsi" w:cstheme="minorBidi"/>
              <w:noProof/>
              <w:sz w:val="22"/>
              <w:szCs w:val="22"/>
              <w:bdr w:val="none" w:sz="0" w:space="0" w:color="auto"/>
            </w:rPr>
          </w:pPr>
          <w:hyperlink w:anchor="_Toc61514165" w:history="1">
            <w:r w:rsidR="00DD5969" w:rsidRPr="00CD042D">
              <w:rPr>
                <w:rStyle w:val="Hyperlink"/>
                <w:rFonts w:asciiTheme="majorHAnsi" w:hAnsiTheme="majorHAnsi"/>
                <w:noProof/>
                <w:lang w:val="es-ES"/>
              </w:rPr>
              <w:t>B.</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Derecho de igualdad ante la ley y acceso a un recurso efectivo</w:t>
            </w:r>
            <w:r w:rsidR="00DD5969">
              <w:rPr>
                <w:noProof/>
                <w:webHidden/>
              </w:rPr>
              <w:tab/>
            </w:r>
            <w:r w:rsidR="00DD5969">
              <w:rPr>
                <w:noProof/>
                <w:webHidden/>
              </w:rPr>
              <w:fldChar w:fldCharType="begin"/>
            </w:r>
            <w:r w:rsidR="00DD5969">
              <w:rPr>
                <w:noProof/>
                <w:webHidden/>
              </w:rPr>
              <w:instrText xml:space="preserve"> PAGEREF _Toc61514165 \h </w:instrText>
            </w:r>
            <w:r w:rsidR="00DD5969">
              <w:rPr>
                <w:noProof/>
                <w:webHidden/>
              </w:rPr>
            </w:r>
            <w:r w:rsidR="00DD5969">
              <w:rPr>
                <w:noProof/>
                <w:webHidden/>
              </w:rPr>
              <w:fldChar w:fldCharType="separate"/>
            </w:r>
            <w:r>
              <w:rPr>
                <w:noProof/>
                <w:webHidden/>
              </w:rPr>
              <w:t>15</w:t>
            </w:r>
            <w:r w:rsidR="00DD5969">
              <w:rPr>
                <w:noProof/>
                <w:webHidden/>
              </w:rPr>
              <w:fldChar w:fldCharType="end"/>
            </w:r>
          </w:hyperlink>
        </w:p>
        <w:p w14:paraId="4E0E8066" w14:textId="3146AD8F" w:rsidR="00DD5969" w:rsidRDefault="000951CF">
          <w:pPr>
            <w:pStyle w:val="TOC3"/>
            <w:rPr>
              <w:rFonts w:asciiTheme="minorHAnsi" w:eastAsiaTheme="minorEastAsia" w:hAnsiTheme="minorHAnsi" w:cstheme="minorBidi"/>
              <w:noProof/>
              <w:sz w:val="22"/>
              <w:szCs w:val="22"/>
              <w:bdr w:val="none" w:sz="0" w:space="0" w:color="auto"/>
            </w:rPr>
          </w:pPr>
          <w:hyperlink w:anchor="_Toc61514166" w:history="1">
            <w:r w:rsidR="00DD5969" w:rsidRPr="00CD042D">
              <w:rPr>
                <w:rStyle w:val="Hyperlink"/>
                <w:rFonts w:asciiTheme="majorHAnsi" w:hAnsiTheme="majorHAnsi"/>
                <w:noProof/>
                <w:lang w:val="es-ES"/>
              </w:rPr>
              <w:t>1.</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Consideraciones generales sobre la igualdad ante la ley</w:t>
            </w:r>
            <w:r w:rsidR="00DD5969">
              <w:rPr>
                <w:noProof/>
                <w:webHidden/>
              </w:rPr>
              <w:tab/>
            </w:r>
            <w:r w:rsidR="00DD5969">
              <w:rPr>
                <w:noProof/>
                <w:webHidden/>
              </w:rPr>
              <w:fldChar w:fldCharType="begin"/>
            </w:r>
            <w:r w:rsidR="00DD5969">
              <w:rPr>
                <w:noProof/>
                <w:webHidden/>
              </w:rPr>
              <w:instrText xml:space="preserve"> PAGEREF _Toc61514166 \h </w:instrText>
            </w:r>
            <w:r w:rsidR="00DD5969">
              <w:rPr>
                <w:noProof/>
                <w:webHidden/>
              </w:rPr>
            </w:r>
            <w:r w:rsidR="00DD5969">
              <w:rPr>
                <w:noProof/>
                <w:webHidden/>
              </w:rPr>
              <w:fldChar w:fldCharType="separate"/>
            </w:r>
            <w:r>
              <w:rPr>
                <w:noProof/>
                <w:webHidden/>
              </w:rPr>
              <w:t>15</w:t>
            </w:r>
            <w:r w:rsidR="00DD5969">
              <w:rPr>
                <w:noProof/>
                <w:webHidden/>
              </w:rPr>
              <w:fldChar w:fldCharType="end"/>
            </w:r>
          </w:hyperlink>
        </w:p>
        <w:p w14:paraId="1D60A2AC" w14:textId="7D1525EC" w:rsidR="00DD5969" w:rsidRDefault="000951CF">
          <w:pPr>
            <w:pStyle w:val="TOC3"/>
            <w:rPr>
              <w:rFonts w:asciiTheme="minorHAnsi" w:eastAsiaTheme="minorEastAsia" w:hAnsiTheme="minorHAnsi" w:cstheme="minorBidi"/>
              <w:noProof/>
              <w:sz w:val="22"/>
              <w:szCs w:val="22"/>
              <w:bdr w:val="none" w:sz="0" w:space="0" w:color="auto"/>
            </w:rPr>
          </w:pPr>
          <w:hyperlink w:anchor="_Toc61514167" w:history="1">
            <w:r w:rsidR="00DD5969" w:rsidRPr="00CD042D">
              <w:rPr>
                <w:rStyle w:val="Hyperlink"/>
                <w:rFonts w:asciiTheme="majorHAnsi" w:hAnsiTheme="majorHAnsi"/>
                <w:noProof/>
                <w:lang w:val="es-ES"/>
              </w:rPr>
              <w:t>2.</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La raza y la igualdad ante la ley en la aplicación de la pena de muerte en Estados Unidos</w:t>
            </w:r>
            <w:r w:rsidR="00DD5969">
              <w:rPr>
                <w:noProof/>
                <w:webHidden/>
              </w:rPr>
              <w:tab/>
            </w:r>
            <w:r w:rsidR="00DD5969">
              <w:rPr>
                <w:noProof/>
                <w:webHidden/>
              </w:rPr>
              <w:fldChar w:fldCharType="begin"/>
            </w:r>
            <w:r w:rsidR="00DD5969">
              <w:rPr>
                <w:noProof/>
                <w:webHidden/>
              </w:rPr>
              <w:instrText xml:space="preserve"> PAGEREF _Toc61514167 \h </w:instrText>
            </w:r>
            <w:r w:rsidR="00DD5969">
              <w:rPr>
                <w:noProof/>
                <w:webHidden/>
              </w:rPr>
            </w:r>
            <w:r w:rsidR="00DD5969">
              <w:rPr>
                <w:noProof/>
                <w:webHidden/>
              </w:rPr>
              <w:fldChar w:fldCharType="separate"/>
            </w:r>
            <w:r>
              <w:rPr>
                <w:noProof/>
                <w:webHidden/>
              </w:rPr>
              <w:t>16</w:t>
            </w:r>
            <w:r w:rsidR="00DD5969">
              <w:rPr>
                <w:noProof/>
                <w:webHidden/>
              </w:rPr>
              <w:fldChar w:fldCharType="end"/>
            </w:r>
          </w:hyperlink>
        </w:p>
        <w:p w14:paraId="1F4D5D41" w14:textId="1875882D" w:rsidR="00DD5969" w:rsidRDefault="000951CF">
          <w:pPr>
            <w:pStyle w:val="TOC3"/>
            <w:rPr>
              <w:rFonts w:asciiTheme="minorHAnsi" w:eastAsiaTheme="minorEastAsia" w:hAnsiTheme="minorHAnsi" w:cstheme="minorBidi"/>
              <w:noProof/>
              <w:sz w:val="22"/>
              <w:szCs w:val="22"/>
              <w:bdr w:val="none" w:sz="0" w:space="0" w:color="auto"/>
            </w:rPr>
          </w:pPr>
          <w:hyperlink w:anchor="_Toc61514168" w:history="1">
            <w:r w:rsidR="00DD5969" w:rsidRPr="00CD042D">
              <w:rPr>
                <w:rStyle w:val="Hyperlink"/>
                <w:rFonts w:asciiTheme="majorHAnsi" w:hAnsiTheme="majorHAnsi"/>
                <w:noProof/>
                <w:lang w:val="es-ES"/>
              </w:rPr>
              <w:t>3.</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Análisis del caso</w:t>
            </w:r>
            <w:r w:rsidR="00DD5969">
              <w:rPr>
                <w:noProof/>
                <w:webHidden/>
              </w:rPr>
              <w:tab/>
            </w:r>
            <w:r w:rsidR="00DD5969">
              <w:rPr>
                <w:noProof/>
                <w:webHidden/>
              </w:rPr>
              <w:fldChar w:fldCharType="begin"/>
            </w:r>
            <w:r w:rsidR="00DD5969">
              <w:rPr>
                <w:noProof/>
                <w:webHidden/>
              </w:rPr>
              <w:instrText xml:space="preserve"> PAGEREF _Toc61514168 \h </w:instrText>
            </w:r>
            <w:r w:rsidR="00DD5969">
              <w:rPr>
                <w:noProof/>
                <w:webHidden/>
              </w:rPr>
            </w:r>
            <w:r w:rsidR="00DD5969">
              <w:rPr>
                <w:noProof/>
                <w:webHidden/>
              </w:rPr>
              <w:fldChar w:fldCharType="separate"/>
            </w:r>
            <w:r>
              <w:rPr>
                <w:noProof/>
                <w:webHidden/>
              </w:rPr>
              <w:t>18</w:t>
            </w:r>
            <w:r w:rsidR="00DD5969">
              <w:rPr>
                <w:noProof/>
                <w:webHidden/>
              </w:rPr>
              <w:fldChar w:fldCharType="end"/>
            </w:r>
          </w:hyperlink>
        </w:p>
        <w:p w14:paraId="75FF4600" w14:textId="473653DD" w:rsidR="00DD5969" w:rsidRDefault="000951CF">
          <w:pPr>
            <w:pStyle w:val="TOC2"/>
            <w:rPr>
              <w:rFonts w:asciiTheme="minorHAnsi" w:eastAsiaTheme="minorEastAsia" w:hAnsiTheme="minorHAnsi" w:cstheme="minorBidi"/>
              <w:noProof/>
              <w:sz w:val="22"/>
              <w:szCs w:val="22"/>
              <w:bdr w:val="none" w:sz="0" w:space="0" w:color="auto"/>
            </w:rPr>
          </w:pPr>
          <w:hyperlink w:anchor="_Toc61514169" w:history="1">
            <w:r w:rsidR="00DD5969" w:rsidRPr="00CD042D">
              <w:rPr>
                <w:rStyle w:val="Hyperlink"/>
                <w:rFonts w:asciiTheme="majorHAnsi" w:hAnsiTheme="majorHAnsi"/>
                <w:noProof/>
                <w:lang w:val="es-ES"/>
              </w:rPr>
              <w:t>C.</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Derecho de justiciay derecho a proceso regular</w:t>
            </w:r>
            <w:r w:rsidR="00DD5969">
              <w:rPr>
                <w:noProof/>
                <w:webHidden/>
              </w:rPr>
              <w:tab/>
            </w:r>
            <w:r w:rsidR="00DD5969">
              <w:rPr>
                <w:noProof/>
                <w:webHidden/>
              </w:rPr>
              <w:fldChar w:fldCharType="begin"/>
            </w:r>
            <w:r w:rsidR="00DD5969">
              <w:rPr>
                <w:noProof/>
                <w:webHidden/>
              </w:rPr>
              <w:instrText xml:space="preserve"> PAGEREF _Toc61514169 \h </w:instrText>
            </w:r>
            <w:r w:rsidR="00DD5969">
              <w:rPr>
                <w:noProof/>
                <w:webHidden/>
              </w:rPr>
            </w:r>
            <w:r w:rsidR="00DD5969">
              <w:rPr>
                <w:noProof/>
                <w:webHidden/>
              </w:rPr>
              <w:fldChar w:fldCharType="separate"/>
            </w:r>
            <w:r>
              <w:rPr>
                <w:noProof/>
                <w:webHidden/>
              </w:rPr>
              <w:t>20</w:t>
            </w:r>
            <w:r w:rsidR="00DD5969">
              <w:rPr>
                <w:noProof/>
                <w:webHidden/>
              </w:rPr>
              <w:fldChar w:fldCharType="end"/>
            </w:r>
          </w:hyperlink>
        </w:p>
        <w:p w14:paraId="5D2D6177" w14:textId="42517FF7" w:rsidR="00DD5969" w:rsidRDefault="000951CF">
          <w:pPr>
            <w:pStyle w:val="TOC3"/>
            <w:rPr>
              <w:rFonts w:asciiTheme="minorHAnsi" w:eastAsiaTheme="minorEastAsia" w:hAnsiTheme="minorHAnsi" w:cstheme="minorBidi"/>
              <w:noProof/>
              <w:sz w:val="22"/>
              <w:szCs w:val="22"/>
              <w:bdr w:val="none" w:sz="0" w:space="0" w:color="auto"/>
            </w:rPr>
          </w:pPr>
          <w:hyperlink w:anchor="_Toc61514170" w:history="1">
            <w:r w:rsidR="00DD5969" w:rsidRPr="00CD042D">
              <w:rPr>
                <w:rStyle w:val="Hyperlink"/>
                <w:rFonts w:asciiTheme="majorHAnsi" w:hAnsiTheme="majorHAnsi"/>
                <w:noProof/>
                <w:lang w:val="es-ES"/>
              </w:rPr>
              <w:t>1.</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Uso de delitos sobre los cuales no se ha dictado sentencia y de la peligrosidad futura en la imposición de la pena de muerte</w:t>
            </w:r>
            <w:r w:rsidR="00DD5969">
              <w:rPr>
                <w:noProof/>
                <w:webHidden/>
              </w:rPr>
              <w:tab/>
            </w:r>
            <w:r w:rsidR="00DD5969">
              <w:rPr>
                <w:noProof/>
                <w:webHidden/>
              </w:rPr>
              <w:fldChar w:fldCharType="begin"/>
            </w:r>
            <w:r w:rsidR="00DD5969">
              <w:rPr>
                <w:noProof/>
                <w:webHidden/>
              </w:rPr>
              <w:instrText xml:space="preserve"> PAGEREF _Toc61514170 \h </w:instrText>
            </w:r>
            <w:r w:rsidR="00DD5969">
              <w:rPr>
                <w:noProof/>
                <w:webHidden/>
              </w:rPr>
            </w:r>
            <w:r w:rsidR="00DD5969">
              <w:rPr>
                <w:noProof/>
                <w:webHidden/>
              </w:rPr>
              <w:fldChar w:fldCharType="separate"/>
            </w:r>
            <w:r>
              <w:rPr>
                <w:noProof/>
                <w:webHidden/>
              </w:rPr>
              <w:t>20</w:t>
            </w:r>
            <w:r w:rsidR="00DD5969">
              <w:rPr>
                <w:noProof/>
                <w:webHidden/>
              </w:rPr>
              <w:fldChar w:fldCharType="end"/>
            </w:r>
          </w:hyperlink>
        </w:p>
        <w:p w14:paraId="3100E8A0" w14:textId="619129EA" w:rsidR="00DD5969" w:rsidRDefault="000951CF">
          <w:pPr>
            <w:pStyle w:val="TOC3"/>
            <w:rPr>
              <w:rFonts w:asciiTheme="minorHAnsi" w:eastAsiaTheme="minorEastAsia" w:hAnsiTheme="minorHAnsi" w:cstheme="minorBidi"/>
              <w:noProof/>
              <w:sz w:val="22"/>
              <w:szCs w:val="22"/>
              <w:bdr w:val="none" w:sz="0" w:space="0" w:color="auto"/>
            </w:rPr>
          </w:pPr>
          <w:hyperlink w:anchor="_Toc61514171" w:history="1">
            <w:r w:rsidR="00DD5969" w:rsidRPr="00CD042D">
              <w:rPr>
                <w:rStyle w:val="Hyperlink"/>
                <w:rFonts w:asciiTheme="majorHAnsi" w:hAnsiTheme="majorHAnsi"/>
                <w:noProof/>
                <w:lang w:val="es-ES"/>
              </w:rPr>
              <w:t>2.</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Asistencia ineficaz del abogado de oficio</w:t>
            </w:r>
            <w:r w:rsidR="00DD5969">
              <w:rPr>
                <w:noProof/>
                <w:webHidden/>
              </w:rPr>
              <w:tab/>
            </w:r>
            <w:r w:rsidR="00DD5969">
              <w:rPr>
                <w:noProof/>
                <w:webHidden/>
              </w:rPr>
              <w:fldChar w:fldCharType="begin"/>
            </w:r>
            <w:r w:rsidR="00DD5969">
              <w:rPr>
                <w:noProof/>
                <w:webHidden/>
              </w:rPr>
              <w:instrText xml:space="preserve"> PAGEREF _Toc61514171 \h </w:instrText>
            </w:r>
            <w:r w:rsidR="00DD5969">
              <w:rPr>
                <w:noProof/>
                <w:webHidden/>
              </w:rPr>
            </w:r>
            <w:r w:rsidR="00DD5969">
              <w:rPr>
                <w:noProof/>
                <w:webHidden/>
              </w:rPr>
              <w:fldChar w:fldCharType="separate"/>
            </w:r>
            <w:r>
              <w:rPr>
                <w:noProof/>
                <w:webHidden/>
              </w:rPr>
              <w:t>21</w:t>
            </w:r>
            <w:r w:rsidR="00DD5969">
              <w:rPr>
                <w:noProof/>
                <w:webHidden/>
              </w:rPr>
              <w:fldChar w:fldCharType="end"/>
            </w:r>
          </w:hyperlink>
        </w:p>
        <w:p w14:paraId="0AE9062A" w14:textId="797D9C3D" w:rsidR="00DD5969" w:rsidRDefault="000951CF">
          <w:pPr>
            <w:pStyle w:val="TOC2"/>
            <w:rPr>
              <w:rFonts w:asciiTheme="minorHAnsi" w:eastAsiaTheme="minorEastAsia" w:hAnsiTheme="minorHAnsi" w:cstheme="minorBidi"/>
              <w:noProof/>
              <w:sz w:val="22"/>
              <w:szCs w:val="22"/>
              <w:bdr w:val="none" w:sz="0" w:space="0" w:color="auto"/>
            </w:rPr>
          </w:pPr>
          <w:hyperlink w:anchor="_Toc61514172" w:history="1">
            <w:r w:rsidR="00DD5969" w:rsidRPr="00CD042D">
              <w:rPr>
                <w:rStyle w:val="Hyperlink"/>
                <w:rFonts w:asciiTheme="majorHAnsi" w:hAnsiTheme="majorHAnsi"/>
                <w:noProof/>
                <w:lang w:val="es-ES"/>
              </w:rPr>
              <w:t>D.</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El derecho de acceso a información con respecto al proceso de adopción de decisiones relativas a la pena de muerte y el protocolo para la inyección letal</w:t>
            </w:r>
            <w:r w:rsidR="00DD5969">
              <w:rPr>
                <w:noProof/>
                <w:webHidden/>
              </w:rPr>
              <w:tab/>
            </w:r>
            <w:r w:rsidR="00DD5969">
              <w:rPr>
                <w:noProof/>
                <w:webHidden/>
              </w:rPr>
              <w:fldChar w:fldCharType="begin"/>
            </w:r>
            <w:r w:rsidR="00DD5969">
              <w:rPr>
                <w:noProof/>
                <w:webHidden/>
              </w:rPr>
              <w:instrText xml:space="preserve"> PAGEREF _Toc61514172 \h </w:instrText>
            </w:r>
            <w:r w:rsidR="00DD5969">
              <w:rPr>
                <w:noProof/>
                <w:webHidden/>
              </w:rPr>
            </w:r>
            <w:r w:rsidR="00DD5969">
              <w:rPr>
                <w:noProof/>
                <w:webHidden/>
              </w:rPr>
              <w:fldChar w:fldCharType="separate"/>
            </w:r>
            <w:r>
              <w:rPr>
                <w:noProof/>
                <w:webHidden/>
              </w:rPr>
              <w:t>24</w:t>
            </w:r>
            <w:r w:rsidR="00DD5969">
              <w:rPr>
                <w:noProof/>
                <w:webHidden/>
              </w:rPr>
              <w:fldChar w:fldCharType="end"/>
            </w:r>
          </w:hyperlink>
        </w:p>
        <w:p w14:paraId="289E2A0A" w14:textId="3BC879E2" w:rsidR="00DD5969" w:rsidRDefault="000951CF">
          <w:pPr>
            <w:pStyle w:val="TOC2"/>
            <w:rPr>
              <w:rFonts w:asciiTheme="minorHAnsi" w:eastAsiaTheme="minorEastAsia" w:hAnsiTheme="minorHAnsi" w:cstheme="minorBidi"/>
              <w:noProof/>
              <w:sz w:val="22"/>
              <w:szCs w:val="22"/>
              <w:bdr w:val="none" w:sz="0" w:space="0" w:color="auto"/>
            </w:rPr>
          </w:pPr>
          <w:hyperlink w:anchor="_Toc61514173" w:history="1">
            <w:r w:rsidR="00DD5969" w:rsidRPr="00CD042D">
              <w:rPr>
                <w:rStyle w:val="Hyperlink"/>
                <w:rFonts w:asciiTheme="majorHAnsi" w:hAnsiTheme="majorHAnsi"/>
                <w:noProof/>
                <w:lang w:val="es-ES"/>
              </w:rPr>
              <w:t>E.</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Derecho a no recibir un castigo cruel, infamante o inusitado</w:t>
            </w:r>
            <w:r w:rsidR="00DD5969">
              <w:rPr>
                <w:noProof/>
                <w:webHidden/>
              </w:rPr>
              <w:tab/>
            </w:r>
            <w:r w:rsidR="00DD5969">
              <w:rPr>
                <w:noProof/>
                <w:webHidden/>
              </w:rPr>
              <w:fldChar w:fldCharType="begin"/>
            </w:r>
            <w:r w:rsidR="00DD5969">
              <w:rPr>
                <w:noProof/>
                <w:webHidden/>
              </w:rPr>
              <w:instrText xml:space="preserve"> PAGEREF _Toc61514173 \h </w:instrText>
            </w:r>
            <w:r w:rsidR="00DD5969">
              <w:rPr>
                <w:noProof/>
                <w:webHidden/>
              </w:rPr>
            </w:r>
            <w:r w:rsidR="00DD5969">
              <w:rPr>
                <w:noProof/>
                <w:webHidden/>
              </w:rPr>
              <w:fldChar w:fldCharType="separate"/>
            </w:r>
            <w:r>
              <w:rPr>
                <w:noProof/>
                <w:webHidden/>
              </w:rPr>
              <w:t>25</w:t>
            </w:r>
            <w:r w:rsidR="00DD5969">
              <w:rPr>
                <w:noProof/>
                <w:webHidden/>
              </w:rPr>
              <w:fldChar w:fldCharType="end"/>
            </w:r>
          </w:hyperlink>
        </w:p>
        <w:p w14:paraId="56BF7EA0" w14:textId="2140A00C" w:rsidR="00DD5969" w:rsidRDefault="000951CF">
          <w:pPr>
            <w:pStyle w:val="TOC3"/>
            <w:rPr>
              <w:rFonts w:asciiTheme="minorHAnsi" w:eastAsiaTheme="minorEastAsia" w:hAnsiTheme="minorHAnsi" w:cstheme="minorBidi"/>
              <w:noProof/>
              <w:sz w:val="22"/>
              <w:szCs w:val="22"/>
              <w:bdr w:val="none" w:sz="0" w:space="0" w:color="auto"/>
            </w:rPr>
          </w:pPr>
          <w:hyperlink w:anchor="_Toc61514174" w:history="1">
            <w:r w:rsidR="00DD5969" w:rsidRPr="00CD042D">
              <w:rPr>
                <w:rStyle w:val="Hyperlink"/>
                <w:rFonts w:asciiTheme="majorHAnsi" w:hAnsiTheme="majorHAnsi"/>
                <w:noProof/>
              </w:rPr>
              <w:t>1.</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rPr>
              <w:t>Método de ejecución</w:t>
            </w:r>
            <w:r w:rsidR="00DD5969">
              <w:rPr>
                <w:noProof/>
                <w:webHidden/>
              </w:rPr>
              <w:tab/>
            </w:r>
            <w:r w:rsidR="00DD5969">
              <w:rPr>
                <w:noProof/>
                <w:webHidden/>
              </w:rPr>
              <w:fldChar w:fldCharType="begin"/>
            </w:r>
            <w:r w:rsidR="00DD5969">
              <w:rPr>
                <w:noProof/>
                <w:webHidden/>
              </w:rPr>
              <w:instrText xml:space="preserve"> PAGEREF _Toc61514174 \h </w:instrText>
            </w:r>
            <w:r w:rsidR="00DD5969">
              <w:rPr>
                <w:noProof/>
                <w:webHidden/>
              </w:rPr>
            </w:r>
            <w:r w:rsidR="00DD5969">
              <w:rPr>
                <w:noProof/>
                <w:webHidden/>
              </w:rPr>
              <w:fldChar w:fldCharType="separate"/>
            </w:r>
            <w:r>
              <w:rPr>
                <w:noProof/>
                <w:webHidden/>
              </w:rPr>
              <w:t>25</w:t>
            </w:r>
            <w:r w:rsidR="00DD5969">
              <w:rPr>
                <w:noProof/>
                <w:webHidden/>
              </w:rPr>
              <w:fldChar w:fldCharType="end"/>
            </w:r>
          </w:hyperlink>
        </w:p>
        <w:p w14:paraId="0B69946C" w14:textId="49C973A9" w:rsidR="00DD5969" w:rsidRDefault="000951CF">
          <w:pPr>
            <w:pStyle w:val="TOC3"/>
            <w:rPr>
              <w:rFonts w:asciiTheme="minorHAnsi" w:eastAsiaTheme="minorEastAsia" w:hAnsiTheme="minorHAnsi" w:cstheme="minorBidi"/>
              <w:noProof/>
              <w:sz w:val="22"/>
              <w:szCs w:val="22"/>
              <w:bdr w:val="none" w:sz="0" w:space="0" w:color="auto"/>
            </w:rPr>
          </w:pPr>
          <w:hyperlink w:anchor="_Toc61514175" w:history="1">
            <w:r w:rsidR="00DD5969" w:rsidRPr="00CD042D">
              <w:rPr>
                <w:rStyle w:val="Hyperlink"/>
                <w:rFonts w:asciiTheme="majorHAnsi" w:hAnsiTheme="majorHAnsi"/>
                <w:noProof/>
                <w:lang w:val="es-ES"/>
              </w:rPr>
              <w:t>2.</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La privación de la libertad en el corredor de la muerte y el derecho de protección contra un castigo cruel, infamante o inusitado</w:t>
            </w:r>
            <w:r w:rsidR="00DD5969">
              <w:rPr>
                <w:noProof/>
                <w:webHidden/>
              </w:rPr>
              <w:tab/>
            </w:r>
            <w:r w:rsidR="00DD5969">
              <w:rPr>
                <w:noProof/>
                <w:webHidden/>
              </w:rPr>
              <w:fldChar w:fldCharType="begin"/>
            </w:r>
            <w:r w:rsidR="00DD5969">
              <w:rPr>
                <w:noProof/>
                <w:webHidden/>
              </w:rPr>
              <w:instrText xml:space="preserve"> PAGEREF _Toc61514175 \h </w:instrText>
            </w:r>
            <w:r w:rsidR="00DD5969">
              <w:rPr>
                <w:noProof/>
                <w:webHidden/>
              </w:rPr>
            </w:r>
            <w:r w:rsidR="00DD5969">
              <w:rPr>
                <w:noProof/>
                <w:webHidden/>
              </w:rPr>
              <w:fldChar w:fldCharType="separate"/>
            </w:r>
            <w:r>
              <w:rPr>
                <w:noProof/>
                <w:webHidden/>
              </w:rPr>
              <w:t>26</w:t>
            </w:r>
            <w:r w:rsidR="00DD5969">
              <w:rPr>
                <w:noProof/>
                <w:webHidden/>
              </w:rPr>
              <w:fldChar w:fldCharType="end"/>
            </w:r>
          </w:hyperlink>
        </w:p>
        <w:p w14:paraId="6C6FB3F8" w14:textId="1B12F82F" w:rsidR="00DD5969" w:rsidRDefault="000951CF">
          <w:pPr>
            <w:pStyle w:val="TOC2"/>
            <w:rPr>
              <w:rFonts w:asciiTheme="minorHAnsi" w:eastAsiaTheme="minorEastAsia" w:hAnsiTheme="minorHAnsi" w:cstheme="minorBidi"/>
              <w:noProof/>
              <w:sz w:val="22"/>
              <w:szCs w:val="22"/>
              <w:bdr w:val="none" w:sz="0" w:space="0" w:color="auto"/>
            </w:rPr>
          </w:pPr>
          <w:hyperlink w:anchor="_Toc61514176" w:history="1">
            <w:r w:rsidR="00DD5969" w:rsidRPr="00CD042D">
              <w:rPr>
                <w:rStyle w:val="Hyperlink"/>
                <w:rFonts w:asciiTheme="majorHAnsi" w:hAnsiTheme="majorHAnsi"/>
                <w:noProof/>
                <w:lang w:val="es-ES"/>
              </w:rPr>
              <w:t>F.</w:t>
            </w:r>
            <w:r w:rsidR="00DD5969">
              <w:rPr>
                <w:rFonts w:asciiTheme="minorHAnsi" w:eastAsiaTheme="minorEastAsia" w:hAnsiTheme="minorHAnsi" w:cstheme="minorBidi"/>
                <w:noProof/>
                <w:sz w:val="22"/>
                <w:szCs w:val="22"/>
                <w:bdr w:val="none" w:sz="0" w:space="0" w:color="auto"/>
              </w:rPr>
              <w:tab/>
            </w:r>
            <w:r w:rsidR="00DD5969" w:rsidRPr="00CD042D">
              <w:rPr>
                <w:rStyle w:val="Hyperlink"/>
                <w:rFonts w:asciiTheme="majorHAnsi" w:hAnsiTheme="majorHAnsi"/>
                <w:noProof/>
                <w:lang w:val="es-ES"/>
              </w:rPr>
              <w:t>El derecho a la vida y a la protección contra un castigo cruel, infamante o inusitado con respecto a la eventual ejecución de Julius Omar Robinson</w:t>
            </w:r>
            <w:r w:rsidR="00DD5969">
              <w:rPr>
                <w:noProof/>
                <w:webHidden/>
              </w:rPr>
              <w:tab/>
            </w:r>
            <w:r w:rsidR="00DD5969">
              <w:rPr>
                <w:noProof/>
                <w:webHidden/>
              </w:rPr>
              <w:fldChar w:fldCharType="begin"/>
            </w:r>
            <w:r w:rsidR="00DD5969">
              <w:rPr>
                <w:noProof/>
                <w:webHidden/>
              </w:rPr>
              <w:instrText xml:space="preserve"> PAGEREF _Toc61514176 \h </w:instrText>
            </w:r>
            <w:r w:rsidR="00DD5969">
              <w:rPr>
                <w:noProof/>
                <w:webHidden/>
              </w:rPr>
            </w:r>
            <w:r w:rsidR="00DD5969">
              <w:rPr>
                <w:noProof/>
                <w:webHidden/>
              </w:rPr>
              <w:fldChar w:fldCharType="separate"/>
            </w:r>
            <w:r>
              <w:rPr>
                <w:noProof/>
                <w:webHidden/>
              </w:rPr>
              <w:t>26</w:t>
            </w:r>
            <w:r w:rsidR="00DD5969">
              <w:rPr>
                <w:noProof/>
                <w:webHidden/>
              </w:rPr>
              <w:fldChar w:fldCharType="end"/>
            </w:r>
          </w:hyperlink>
        </w:p>
        <w:p w14:paraId="14582EE7" w14:textId="2C58FB8F" w:rsidR="00DD5969" w:rsidRDefault="000951CF">
          <w:pPr>
            <w:pStyle w:val="TOC1"/>
            <w:rPr>
              <w:rFonts w:asciiTheme="minorHAnsi" w:eastAsiaTheme="minorEastAsia" w:hAnsiTheme="minorHAnsi" w:cstheme="minorBidi"/>
              <w:b w:val="0"/>
              <w:sz w:val="22"/>
              <w:szCs w:val="22"/>
              <w:bdr w:val="none" w:sz="0" w:space="0" w:color="auto"/>
              <w:lang w:val="en-US"/>
            </w:rPr>
          </w:pPr>
          <w:hyperlink w:anchor="_Toc61514177" w:history="1">
            <w:r w:rsidR="00DD5969" w:rsidRPr="00CD042D">
              <w:rPr>
                <w:rStyle w:val="Hyperlink"/>
                <w:lang w:val="es-US"/>
              </w:rPr>
              <w:t>VI.</w:t>
            </w:r>
            <w:r w:rsidR="00DD5969">
              <w:rPr>
                <w:rFonts w:asciiTheme="minorHAnsi" w:eastAsiaTheme="minorEastAsia" w:hAnsiTheme="minorHAnsi" w:cstheme="minorBidi"/>
                <w:b w:val="0"/>
                <w:sz w:val="22"/>
                <w:szCs w:val="22"/>
                <w:bdr w:val="none" w:sz="0" w:space="0" w:color="auto"/>
                <w:lang w:val="en-US"/>
              </w:rPr>
              <w:tab/>
            </w:r>
            <w:r w:rsidR="00DD5969" w:rsidRPr="00CD042D">
              <w:rPr>
                <w:rStyle w:val="Hyperlink"/>
                <w:lang w:val="es-US"/>
              </w:rPr>
              <w:t>INFORME No. 162/19 E INFORMACI</w:t>
            </w:r>
            <w:r w:rsidR="00DD5969" w:rsidRPr="00CD042D">
              <w:rPr>
                <w:rStyle w:val="Hyperlink"/>
              </w:rPr>
              <w:t>O</w:t>
            </w:r>
            <w:r w:rsidR="00DD5969" w:rsidRPr="00CD042D">
              <w:rPr>
                <w:rStyle w:val="Hyperlink"/>
                <w:lang w:val="es-US"/>
              </w:rPr>
              <w:t>N SOBRE CUMPLIMIENTO</w:t>
            </w:r>
            <w:r w:rsidR="00DD5969">
              <w:rPr>
                <w:webHidden/>
              </w:rPr>
              <w:tab/>
            </w:r>
            <w:r w:rsidR="00DD5969">
              <w:rPr>
                <w:webHidden/>
              </w:rPr>
              <w:fldChar w:fldCharType="begin"/>
            </w:r>
            <w:r w:rsidR="00DD5969">
              <w:rPr>
                <w:webHidden/>
              </w:rPr>
              <w:instrText xml:space="preserve"> PAGEREF _Toc61514177 \h </w:instrText>
            </w:r>
            <w:r w:rsidR="00DD5969">
              <w:rPr>
                <w:webHidden/>
              </w:rPr>
            </w:r>
            <w:r w:rsidR="00DD5969">
              <w:rPr>
                <w:webHidden/>
              </w:rPr>
              <w:fldChar w:fldCharType="separate"/>
            </w:r>
            <w:r>
              <w:rPr>
                <w:webHidden/>
              </w:rPr>
              <w:t>27</w:t>
            </w:r>
            <w:r w:rsidR="00DD5969">
              <w:rPr>
                <w:webHidden/>
              </w:rPr>
              <w:fldChar w:fldCharType="end"/>
            </w:r>
          </w:hyperlink>
        </w:p>
        <w:p w14:paraId="160C067F" w14:textId="511945CF" w:rsidR="00DD5969" w:rsidRDefault="000951CF">
          <w:pPr>
            <w:pStyle w:val="TOC1"/>
            <w:rPr>
              <w:rFonts w:asciiTheme="minorHAnsi" w:eastAsiaTheme="minorEastAsia" w:hAnsiTheme="minorHAnsi" w:cstheme="minorBidi"/>
              <w:b w:val="0"/>
              <w:sz w:val="22"/>
              <w:szCs w:val="22"/>
              <w:bdr w:val="none" w:sz="0" w:space="0" w:color="auto"/>
              <w:lang w:val="en-US"/>
            </w:rPr>
          </w:pPr>
          <w:hyperlink w:anchor="_Toc61514178" w:history="1">
            <w:r w:rsidR="00DD5969" w:rsidRPr="00CD042D">
              <w:rPr>
                <w:rStyle w:val="Hyperlink"/>
                <w:lang w:val="es-US"/>
              </w:rPr>
              <w:t>VII.</w:t>
            </w:r>
            <w:r w:rsidR="00DD5969">
              <w:rPr>
                <w:rFonts w:asciiTheme="minorHAnsi" w:eastAsiaTheme="minorEastAsia" w:hAnsiTheme="minorHAnsi" w:cstheme="minorBidi"/>
                <w:b w:val="0"/>
                <w:sz w:val="22"/>
                <w:szCs w:val="22"/>
                <w:bdr w:val="none" w:sz="0" w:space="0" w:color="auto"/>
                <w:lang w:val="en-US"/>
              </w:rPr>
              <w:tab/>
            </w:r>
            <w:r w:rsidR="00DD5969" w:rsidRPr="00CD042D">
              <w:rPr>
                <w:rStyle w:val="Hyperlink"/>
                <w:lang w:val="es-US"/>
              </w:rPr>
              <w:t>INFORME No. 199/20 E INFORMACI</w:t>
            </w:r>
            <w:r w:rsidR="00DD5969" w:rsidRPr="00CD042D">
              <w:rPr>
                <w:rStyle w:val="Hyperlink"/>
              </w:rPr>
              <w:t>O</w:t>
            </w:r>
            <w:r w:rsidR="00DD5969" w:rsidRPr="00CD042D">
              <w:rPr>
                <w:rStyle w:val="Hyperlink"/>
                <w:lang w:val="es-US"/>
              </w:rPr>
              <w:t>N SOBRE CUMPLIMIENTO</w:t>
            </w:r>
            <w:r w:rsidR="00DD5969">
              <w:rPr>
                <w:webHidden/>
              </w:rPr>
              <w:tab/>
            </w:r>
            <w:r w:rsidR="00DD5969">
              <w:rPr>
                <w:webHidden/>
              </w:rPr>
              <w:fldChar w:fldCharType="begin"/>
            </w:r>
            <w:r w:rsidR="00DD5969">
              <w:rPr>
                <w:webHidden/>
              </w:rPr>
              <w:instrText xml:space="preserve"> PAGEREF _Toc61514178 \h </w:instrText>
            </w:r>
            <w:r w:rsidR="00DD5969">
              <w:rPr>
                <w:webHidden/>
              </w:rPr>
            </w:r>
            <w:r w:rsidR="00DD5969">
              <w:rPr>
                <w:webHidden/>
              </w:rPr>
              <w:fldChar w:fldCharType="separate"/>
            </w:r>
            <w:r>
              <w:rPr>
                <w:webHidden/>
              </w:rPr>
              <w:t>28</w:t>
            </w:r>
            <w:r w:rsidR="00DD5969">
              <w:rPr>
                <w:webHidden/>
              </w:rPr>
              <w:fldChar w:fldCharType="end"/>
            </w:r>
          </w:hyperlink>
        </w:p>
        <w:p w14:paraId="666200EA" w14:textId="4FAF20F9" w:rsidR="00DD5969" w:rsidRDefault="000951CF">
          <w:pPr>
            <w:pStyle w:val="TOC1"/>
            <w:rPr>
              <w:rFonts w:asciiTheme="minorHAnsi" w:eastAsiaTheme="minorEastAsia" w:hAnsiTheme="minorHAnsi" w:cstheme="minorBidi"/>
              <w:b w:val="0"/>
              <w:sz w:val="22"/>
              <w:szCs w:val="22"/>
              <w:bdr w:val="none" w:sz="0" w:space="0" w:color="auto"/>
              <w:lang w:val="en-US"/>
            </w:rPr>
          </w:pPr>
          <w:hyperlink w:anchor="_Toc61514179" w:history="1">
            <w:r w:rsidR="00DD5969" w:rsidRPr="00CD042D">
              <w:rPr>
                <w:rStyle w:val="Hyperlink"/>
              </w:rPr>
              <w:t>VIII.</w:t>
            </w:r>
            <w:r w:rsidR="00DD5969">
              <w:rPr>
                <w:rFonts w:asciiTheme="minorHAnsi" w:eastAsiaTheme="minorEastAsia" w:hAnsiTheme="minorHAnsi" w:cstheme="minorBidi"/>
                <w:b w:val="0"/>
                <w:sz w:val="22"/>
                <w:szCs w:val="22"/>
                <w:bdr w:val="none" w:sz="0" w:space="0" w:color="auto"/>
                <w:lang w:val="en-US"/>
              </w:rPr>
              <w:tab/>
            </w:r>
            <w:r w:rsidR="00DD5969" w:rsidRPr="00CD042D">
              <w:rPr>
                <w:rStyle w:val="Hyperlink"/>
              </w:rPr>
              <w:t>CONCLUSIONES FINALES Y RECOMENDACIONES</w:t>
            </w:r>
            <w:r w:rsidR="00DD5969">
              <w:rPr>
                <w:webHidden/>
              </w:rPr>
              <w:tab/>
            </w:r>
            <w:r w:rsidR="00DD5969">
              <w:rPr>
                <w:webHidden/>
              </w:rPr>
              <w:fldChar w:fldCharType="begin"/>
            </w:r>
            <w:r w:rsidR="00DD5969">
              <w:rPr>
                <w:webHidden/>
              </w:rPr>
              <w:instrText xml:space="preserve"> PAGEREF _Toc61514179 \h </w:instrText>
            </w:r>
            <w:r w:rsidR="00DD5969">
              <w:rPr>
                <w:webHidden/>
              </w:rPr>
            </w:r>
            <w:r w:rsidR="00DD5969">
              <w:rPr>
                <w:webHidden/>
              </w:rPr>
              <w:fldChar w:fldCharType="separate"/>
            </w:r>
            <w:r>
              <w:rPr>
                <w:webHidden/>
              </w:rPr>
              <w:t>28</w:t>
            </w:r>
            <w:r w:rsidR="00DD5969">
              <w:rPr>
                <w:webHidden/>
              </w:rPr>
              <w:fldChar w:fldCharType="end"/>
            </w:r>
          </w:hyperlink>
        </w:p>
        <w:p w14:paraId="58C9F57C" w14:textId="2A710E7D" w:rsidR="00DD5969" w:rsidRDefault="000951CF">
          <w:pPr>
            <w:pStyle w:val="TOC1"/>
            <w:rPr>
              <w:rFonts w:asciiTheme="minorHAnsi" w:eastAsiaTheme="minorEastAsia" w:hAnsiTheme="minorHAnsi" w:cstheme="minorBidi"/>
              <w:b w:val="0"/>
              <w:sz w:val="22"/>
              <w:szCs w:val="22"/>
              <w:bdr w:val="none" w:sz="0" w:space="0" w:color="auto"/>
              <w:lang w:val="en-US"/>
            </w:rPr>
          </w:pPr>
          <w:hyperlink w:anchor="_Toc61514180" w:history="1">
            <w:r w:rsidR="00DD5969" w:rsidRPr="00CD042D">
              <w:rPr>
                <w:rStyle w:val="Hyperlink"/>
                <w:rFonts w:eastAsia="Times New Roman" w:cs="Tahoma"/>
                <w:bdr w:val="none" w:sz="0" w:space="0" w:color="auto" w:frame="1"/>
              </w:rPr>
              <w:t>IX.</w:t>
            </w:r>
            <w:r w:rsidR="00DD5969">
              <w:rPr>
                <w:rFonts w:asciiTheme="minorHAnsi" w:eastAsiaTheme="minorEastAsia" w:hAnsiTheme="minorHAnsi" w:cstheme="minorBidi"/>
                <w:b w:val="0"/>
                <w:sz w:val="22"/>
                <w:szCs w:val="22"/>
                <w:bdr w:val="none" w:sz="0" w:space="0" w:color="auto"/>
                <w:lang w:val="en-US"/>
              </w:rPr>
              <w:tab/>
            </w:r>
            <w:r w:rsidR="00DD5969" w:rsidRPr="00CD042D">
              <w:rPr>
                <w:rStyle w:val="Hyperlink"/>
                <w:rFonts w:eastAsia="Times New Roman" w:cs="Tahoma"/>
                <w:bdr w:val="none" w:sz="0" w:space="0" w:color="auto" w:frame="1"/>
              </w:rPr>
              <w:t>PUBLICACIÓN</w:t>
            </w:r>
            <w:r w:rsidR="00DD5969">
              <w:rPr>
                <w:webHidden/>
              </w:rPr>
              <w:tab/>
            </w:r>
            <w:r w:rsidR="00DD5969">
              <w:rPr>
                <w:webHidden/>
              </w:rPr>
              <w:fldChar w:fldCharType="begin"/>
            </w:r>
            <w:r w:rsidR="00DD5969">
              <w:rPr>
                <w:webHidden/>
              </w:rPr>
              <w:instrText xml:space="preserve"> PAGEREF _Toc61514180 \h </w:instrText>
            </w:r>
            <w:r w:rsidR="00DD5969">
              <w:rPr>
                <w:webHidden/>
              </w:rPr>
            </w:r>
            <w:r w:rsidR="00DD5969">
              <w:rPr>
                <w:webHidden/>
              </w:rPr>
              <w:fldChar w:fldCharType="separate"/>
            </w:r>
            <w:r>
              <w:rPr>
                <w:webHidden/>
              </w:rPr>
              <w:t>29</w:t>
            </w:r>
            <w:r w:rsidR="00DD5969">
              <w:rPr>
                <w:webHidden/>
              </w:rPr>
              <w:fldChar w:fldCharType="end"/>
            </w:r>
          </w:hyperlink>
        </w:p>
        <w:p w14:paraId="56DB8623" w14:textId="77777777" w:rsidR="005D467C" w:rsidRDefault="005D467C" w:rsidP="008B7CA3">
          <w:pPr>
            <w:ind w:left="720"/>
          </w:pPr>
          <w:r>
            <w:rPr>
              <w:b/>
              <w:bCs/>
              <w:noProof/>
            </w:rPr>
            <w:fldChar w:fldCharType="end"/>
          </w:r>
        </w:p>
      </w:sdtContent>
    </w:sdt>
    <w:p w14:paraId="3EB5E2BA" w14:textId="77777777" w:rsidR="00110F02" w:rsidRPr="001851BA" w:rsidRDefault="00953481" w:rsidP="00D67EB9">
      <w:pPr>
        <w:pStyle w:val="Heading1"/>
        <w:spacing w:before="0"/>
        <w:ind w:left="360"/>
        <w:rPr>
          <w:color w:val="auto"/>
          <w:sz w:val="20"/>
          <w:szCs w:val="20"/>
          <w:lang w:val="es-US"/>
        </w:rPr>
      </w:pPr>
      <w:r w:rsidRPr="008536ED">
        <w:rPr>
          <w:lang w:val="es-ES"/>
        </w:rPr>
        <w:br w:type="page"/>
      </w:r>
      <w:bookmarkStart w:id="2" w:name="_Toc61514148"/>
      <w:r w:rsidR="00110F02" w:rsidRPr="001851BA">
        <w:rPr>
          <w:color w:val="auto"/>
          <w:sz w:val="20"/>
          <w:szCs w:val="20"/>
          <w:lang w:val="es-US"/>
        </w:rPr>
        <w:lastRenderedPageBreak/>
        <w:t>INTRODUCCIÓN</w:t>
      </w:r>
      <w:bookmarkEnd w:id="2"/>
      <w:r w:rsidR="00110F02" w:rsidRPr="001851BA">
        <w:rPr>
          <w:color w:val="auto"/>
          <w:sz w:val="20"/>
          <w:szCs w:val="20"/>
          <w:lang w:val="es-US"/>
        </w:rPr>
        <w:t xml:space="preserve"> </w:t>
      </w:r>
    </w:p>
    <w:p w14:paraId="62C7D6A1" w14:textId="77777777" w:rsidR="00110F02" w:rsidRPr="00304D78" w:rsidRDefault="00110F02" w:rsidP="00110F02">
      <w:pPr>
        <w:suppressAutoHyphens/>
        <w:ind w:left="1440" w:hanging="720"/>
        <w:rPr>
          <w:rFonts w:asciiTheme="majorHAnsi" w:hAnsiTheme="majorHAnsi"/>
          <w:b/>
          <w:sz w:val="20"/>
          <w:szCs w:val="20"/>
          <w:lang w:val="es-ES"/>
        </w:rPr>
      </w:pPr>
    </w:p>
    <w:p w14:paraId="2781CF42" w14:textId="77777777" w:rsidR="00110F02" w:rsidRPr="00304D78" w:rsidRDefault="00110F02" w:rsidP="00110F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304D78">
        <w:rPr>
          <w:rFonts w:asciiTheme="majorHAnsi" w:hAnsiTheme="majorHAnsi"/>
          <w:sz w:val="20"/>
          <w:szCs w:val="20"/>
          <w:lang w:val="es-ES"/>
        </w:rPr>
        <w:t>El 3 de abril de 2012, la Comisión Interamericana de Derechos Humanos (“la Comisión Interamericana”, “la Comisión” o “la CIDH”) recibió una petición y solicitud de medidas cautelares</w:t>
      </w:r>
      <w:r w:rsidRPr="00304D78">
        <w:rPr>
          <w:rStyle w:val="FootnoteReference"/>
          <w:rFonts w:asciiTheme="majorHAnsi" w:hAnsiTheme="majorHAnsi"/>
          <w:sz w:val="20"/>
          <w:szCs w:val="20"/>
          <w:lang w:val="es-ES"/>
        </w:rPr>
        <w:footnoteReference w:id="2"/>
      </w:r>
      <w:r w:rsidRPr="00304D78">
        <w:rPr>
          <w:rFonts w:asciiTheme="majorHAnsi" w:hAnsiTheme="majorHAnsi"/>
          <w:sz w:val="20"/>
          <w:szCs w:val="20"/>
          <w:lang w:val="es-ES"/>
        </w:rPr>
        <w:t xml:space="preserve"> presentada por Sean K. Kennedy, de la Defensoría Pública Federal de California (“</w:t>
      </w:r>
      <w:r w:rsidR="008D4B3C">
        <w:rPr>
          <w:rFonts w:asciiTheme="majorHAnsi" w:hAnsiTheme="majorHAnsi"/>
          <w:sz w:val="20"/>
          <w:szCs w:val="20"/>
          <w:lang w:val="es-ES"/>
        </w:rPr>
        <w:t>los</w:t>
      </w:r>
      <w:r w:rsidRPr="00304D78">
        <w:rPr>
          <w:rFonts w:asciiTheme="majorHAnsi" w:hAnsiTheme="majorHAnsi"/>
          <w:sz w:val="20"/>
          <w:szCs w:val="20"/>
          <w:lang w:val="es-ES"/>
        </w:rPr>
        <w:t xml:space="preserve"> peticionario</w:t>
      </w:r>
      <w:r w:rsidR="008D4B3C">
        <w:rPr>
          <w:rFonts w:asciiTheme="majorHAnsi" w:hAnsiTheme="majorHAnsi"/>
          <w:sz w:val="20"/>
          <w:szCs w:val="20"/>
          <w:lang w:val="es-ES"/>
        </w:rPr>
        <w:t>s</w:t>
      </w:r>
      <w:r w:rsidRPr="00304D78">
        <w:rPr>
          <w:rFonts w:asciiTheme="majorHAnsi" w:hAnsiTheme="majorHAnsi"/>
          <w:sz w:val="20"/>
          <w:szCs w:val="20"/>
          <w:lang w:val="es-ES"/>
        </w:rPr>
        <w:t>”)</w:t>
      </w:r>
      <w:r w:rsidRPr="00304D78">
        <w:rPr>
          <w:rStyle w:val="FootnoteReference"/>
          <w:rFonts w:asciiTheme="majorHAnsi" w:hAnsiTheme="majorHAnsi"/>
          <w:sz w:val="20"/>
          <w:szCs w:val="20"/>
          <w:lang w:val="es-ES"/>
        </w:rPr>
        <w:footnoteReference w:id="3"/>
      </w:r>
      <w:r w:rsidRPr="00304D78">
        <w:rPr>
          <w:rFonts w:asciiTheme="majorHAnsi" w:hAnsiTheme="majorHAnsi"/>
          <w:sz w:val="20"/>
          <w:szCs w:val="20"/>
          <w:lang w:val="es-ES"/>
        </w:rPr>
        <w:t xml:space="preserve">, en la cual se alega la responsabilidad internacional de Estados Unidos de América (“el Estado” o “Estados Unidos”) por la violación de los derechos de Julius Omar Robinson (“el señor Robinson”), afroestadounidense que se encuentra en el corredor de la muerte en el estado de Texas. </w:t>
      </w:r>
    </w:p>
    <w:p w14:paraId="39F8D89D"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sz w:val="20"/>
          <w:szCs w:val="20"/>
          <w:lang w:val="es-ES"/>
        </w:rPr>
      </w:pPr>
    </w:p>
    <w:p w14:paraId="1A9ADD5F" w14:textId="77777777" w:rsidR="00110F02" w:rsidRPr="00304D78" w:rsidRDefault="00110F02" w:rsidP="00110F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304D78">
        <w:rPr>
          <w:rFonts w:asciiTheme="majorHAnsi" w:hAnsiTheme="majorHAnsi"/>
          <w:sz w:val="20"/>
          <w:szCs w:val="20"/>
          <w:lang w:val="es-ES"/>
        </w:rPr>
        <w:t>El 2 de octubre de 2017, la Comisión notificó a las partes la aplicación del artículo 36</w:t>
      </w:r>
      <w:r>
        <w:rPr>
          <w:rFonts w:asciiTheme="majorHAnsi" w:hAnsiTheme="majorHAnsi"/>
          <w:sz w:val="20"/>
          <w:szCs w:val="20"/>
          <w:lang w:val="es-ES"/>
        </w:rPr>
        <w:t>.</w:t>
      </w:r>
      <w:r w:rsidRPr="00304D78">
        <w:rPr>
          <w:rFonts w:asciiTheme="majorHAnsi" w:hAnsiTheme="majorHAnsi"/>
          <w:sz w:val="20"/>
          <w:szCs w:val="20"/>
          <w:lang w:val="es-ES"/>
        </w:rPr>
        <w:t>3 de su Reglamento, ya que la petición se encuadra en lo</w:t>
      </w:r>
      <w:r w:rsidR="008D4B3C">
        <w:rPr>
          <w:rFonts w:asciiTheme="majorHAnsi" w:hAnsiTheme="majorHAnsi"/>
          <w:sz w:val="20"/>
          <w:szCs w:val="20"/>
          <w:lang w:val="es-ES"/>
        </w:rPr>
        <w:t>s criterios establecidos en su R</w:t>
      </w:r>
      <w:r w:rsidRPr="00304D78">
        <w:rPr>
          <w:rFonts w:asciiTheme="majorHAnsi" w:hAnsiTheme="majorHAnsi"/>
          <w:sz w:val="20"/>
          <w:szCs w:val="20"/>
          <w:lang w:val="es-ES"/>
        </w:rPr>
        <w:t>esolución 1/16, y se puso a disposición de las partes para llegar a una solución amistosa. Las partes contaron con los plazos dispuestos en el Reglamento de la CIDH para presentar observaciones adicionales sobre el fondo. Toda la información recibida por la Comisión fue transmitida debidamente a las partes.</w:t>
      </w:r>
    </w:p>
    <w:p w14:paraId="422B534A"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lang w:val="es-ES"/>
        </w:rPr>
      </w:pPr>
    </w:p>
    <w:p w14:paraId="13270631" w14:textId="77777777" w:rsidR="00110F02" w:rsidRPr="00D67EB9" w:rsidRDefault="00110F02" w:rsidP="00D67EB9">
      <w:pPr>
        <w:pStyle w:val="Heading1"/>
        <w:spacing w:before="0"/>
        <w:ind w:left="360"/>
        <w:rPr>
          <w:color w:val="auto"/>
          <w:sz w:val="20"/>
          <w:szCs w:val="20"/>
        </w:rPr>
      </w:pPr>
      <w:bookmarkStart w:id="3" w:name="_Toc16152263"/>
      <w:bookmarkStart w:id="4" w:name="_Toc61514149"/>
      <w:r w:rsidRPr="00D67EB9">
        <w:rPr>
          <w:color w:val="auto"/>
          <w:sz w:val="20"/>
          <w:szCs w:val="20"/>
        </w:rPr>
        <w:t>POSICIÓN DE LAS PARTES</w:t>
      </w:r>
      <w:bookmarkEnd w:id="3"/>
      <w:bookmarkEnd w:id="4"/>
      <w:r w:rsidRPr="00D67EB9">
        <w:rPr>
          <w:color w:val="auto"/>
          <w:sz w:val="20"/>
          <w:szCs w:val="20"/>
        </w:rPr>
        <w:t> </w:t>
      </w:r>
    </w:p>
    <w:p w14:paraId="5B254424" w14:textId="77777777" w:rsidR="00110F02" w:rsidRPr="00304D78" w:rsidRDefault="00110F02" w:rsidP="00110F02">
      <w:pPr>
        <w:suppressAutoHyphens/>
        <w:ind w:left="1440" w:hanging="720"/>
        <w:rPr>
          <w:rFonts w:asciiTheme="majorHAnsi" w:hAnsiTheme="majorHAnsi"/>
          <w:sz w:val="20"/>
          <w:szCs w:val="20"/>
          <w:lang w:val="es-ES"/>
        </w:rPr>
      </w:pPr>
    </w:p>
    <w:p w14:paraId="3FB3F7B7" w14:textId="77777777" w:rsidR="00110F02" w:rsidRPr="00D67EB9" w:rsidRDefault="00110F02" w:rsidP="005200DD">
      <w:pPr>
        <w:pStyle w:val="Heading2"/>
        <w:numPr>
          <w:ilvl w:val="0"/>
          <w:numId w:val="60"/>
        </w:numPr>
        <w:spacing w:before="0" w:after="0"/>
        <w:ind w:left="360"/>
        <w:rPr>
          <w:rFonts w:asciiTheme="majorHAnsi" w:hAnsiTheme="majorHAnsi"/>
          <w:i w:val="0"/>
          <w:sz w:val="20"/>
          <w:szCs w:val="20"/>
        </w:rPr>
      </w:pPr>
      <w:bookmarkStart w:id="5" w:name="_Toc16152264"/>
      <w:bookmarkStart w:id="6" w:name="_Toc61514150"/>
      <w:r w:rsidRPr="00D67EB9">
        <w:rPr>
          <w:rFonts w:asciiTheme="majorHAnsi" w:hAnsiTheme="majorHAnsi"/>
          <w:i w:val="0"/>
          <w:sz w:val="20"/>
          <w:szCs w:val="20"/>
        </w:rPr>
        <w:t>Posición de los peticionario</w:t>
      </w:r>
      <w:bookmarkEnd w:id="5"/>
      <w:r w:rsidRPr="00D67EB9">
        <w:rPr>
          <w:rFonts w:asciiTheme="majorHAnsi" w:hAnsiTheme="majorHAnsi"/>
          <w:i w:val="0"/>
          <w:sz w:val="20"/>
          <w:szCs w:val="20"/>
        </w:rPr>
        <w:t>s</w:t>
      </w:r>
      <w:bookmarkEnd w:id="6"/>
    </w:p>
    <w:p w14:paraId="7632EAC3" w14:textId="77777777" w:rsidR="00110F02" w:rsidRPr="00304D78" w:rsidRDefault="00110F02" w:rsidP="00110F02">
      <w:pPr>
        <w:suppressAutoHyphens/>
        <w:ind w:left="1440" w:hanging="720"/>
        <w:rPr>
          <w:rFonts w:asciiTheme="majorHAnsi" w:hAnsiTheme="majorHAnsi"/>
          <w:sz w:val="20"/>
          <w:szCs w:val="20"/>
          <w:lang w:val="es-ES"/>
        </w:rPr>
      </w:pPr>
    </w:p>
    <w:p w14:paraId="1A653F64" w14:textId="77777777" w:rsidR="00110F02" w:rsidRPr="00304D78" w:rsidRDefault="00110F02" w:rsidP="00110F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Los peticionarios alegan</w:t>
      </w:r>
      <w:r w:rsidRPr="00304D78">
        <w:rPr>
          <w:rFonts w:asciiTheme="majorHAnsi" w:hAnsiTheme="majorHAnsi"/>
          <w:sz w:val="20"/>
          <w:szCs w:val="20"/>
          <w:lang w:val="es-ES"/>
        </w:rPr>
        <w:t xml:space="preserve"> que Estados Unidos violó los derechos humanos del señor Robinson en el juicio ante </w:t>
      </w:r>
      <w:r w:rsidR="008D4B3C">
        <w:rPr>
          <w:rFonts w:asciiTheme="majorHAnsi" w:hAnsiTheme="majorHAnsi"/>
          <w:sz w:val="20"/>
          <w:szCs w:val="20"/>
          <w:lang w:val="es-ES"/>
        </w:rPr>
        <w:t>la justicia</w:t>
      </w:r>
      <w:r w:rsidRPr="00304D78">
        <w:rPr>
          <w:rFonts w:asciiTheme="majorHAnsi" w:hAnsiTheme="majorHAnsi"/>
          <w:sz w:val="20"/>
          <w:szCs w:val="20"/>
          <w:lang w:val="es-ES"/>
        </w:rPr>
        <w:t xml:space="preserve"> federal en el cual fue condenado a muerte. Específicamente, </w:t>
      </w:r>
      <w:r>
        <w:rPr>
          <w:rFonts w:asciiTheme="majorHAnsi" w:hAnsiTheme="majorHAnsi"/>
          <w:sz w:val="20"/>
          <w:szCs w:val="20"/>
          <w:lang w:val="es-ES"/>
        </w:rPr>
        <w:t xml:space="preserve">presentan siete reclamos de </w:t>
      </w:r>
      <w:r w:rsidRPr="00304D78">
        <w:rPr>
          <w:rFonts w:asciiTheme="majorHAnsi" w:hAnsiTheme="majorHAnsi"/>
          <w:sz w:val="20"/>
          <w:szCs w:val="20"/>
          <w:lang w:val="es-ES"/>
        </w:rPr>
        <w:t xml:space="preserve">violaciones de la Declaración Americana de los Derechos y Deberes del Hombre (“la Declaración Americana” o “la Declaración”). </w:t>
      </w:r>
    </w:p>
    <w:p w14:paraId="393D9F3E"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0C12E50B" w14:textId="77777777" w:rsidR="00110F02" w:rsidRPr="00304D78" w:rsidRDefault="008D4B3C" w:rsidP="00110F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En primer lugar</w:t>
      </w:r>
      <w:r w:rsidR="00110F02" w:rsidRPr="00304D78">
        <w:rPr>
          <w:rFonts w:asciiTheme="majorHAnsi" w:hAnsiTheme="majorHAnsi"/>
          <w:sz w:val="20"/>
          <w:szCs w:val="20"/>
          <w:lang w:val="es-ES"/>
        </w:rPr>
        <w:t xml:space="preserve">, </w:t>
      </w:r>
      <w:r w:rsidR="00110F02">
        <w:rPr>
          <w:rFonts w:asciiTheme="majorHAnsi" w:hAnsiTheme="majorHAnsi"/>
          <w:sz w:val="20"/>
          <w:szCs w:val="20"/>
          <w:lang w:val="es-ES"/>
        </w:rPr>
        <w:t>alegan</w:t>
      </w:r>
      <w:r w:rsidR="00110F02" w:rsidRPr="00304D78">
        <w:rPr>
          <w:rFonts w:asciiTheme="majorHAnsi" w:hAnsiTheme="majorHAnsi"/>
          <w:sz w:val="20"/>
          <w:szCs w:val="20"/>
          <w:lang w:val="es-ES"/>
        </w:rPr>
        <w:t xml:space="preserve"> que el estado de Texas tiene una larga trayectoria de discriminación racial en la aplicación de la pena de muerte. Señala</w:t>
      </w:r>
      <w:r w:rsidR="00110F02">
        <w:rPr>
          <w:rFonts w:asciiTheme="majorHAnsi" w:hAnsiTheme="majorHAnsi"/>
          <w:sz w:val="20"/>
          <w:szCs w:val="20"/>
          <w:lang w:val="es-ES"/>
        </w:rPr>
        <w:t>n</w:t>
      </w:r>
      <w:r w:rsidR="00110F02" w:rsidRPr="00304D78">
        <w:rPr>
          <w:rFonts w:asciiTheme="majorHAnsi" w:hAnsiTheme="majorHAnsi"/>
          <w:sz w:val="20"/>
          <w:szCs w:val="20"/>
          <w:lang w:val="es-ES"/>
        </w:rPr>
        <w:t xml:space="preserve"> que</w:t>
      </w:r>
      <w:r w:rsidR="00110F02">
        <w:rPr>
          <w:rFonts w:asciiTheme="majorHAnsi" w:hAnsiTheme="majorHAnsi"/>
          <w:sz w:val="20"/>
          <w:szCs w:val="20"/>
          <w:lang w:val="es-ES"/>
        </w:rPr>
        <w:t xml:space="preserve"> </w:t>
      </w:r>
      <w:r w:rsidR="00110F02" w:rsidRPr="00304D78">
        <w:rPr>
          <w:rFonts w:asciiTheme="majorHAnsi" w:hAnsiTheme="majorHAnsi"/>
          <w:sz w:val="20"/>
          <w:szCs w:val="20"/>
          <w:lang w:val="es-ES"/>
        </w:rPr>
        <w:t>l</w:t>
      </w:r>
      <w:r>
        <w:rPr>
          <w:rFonts w:asciiTheme="majorHAnsi" w:hAnsiTheme="majorHAnsi"/>
          <w:sz w:val="20"/>
          <w:szCs w:val="20"/>
          <w:lang w:val="es-ES"/>
        </w:rPr>
        <w:t>a</w:t>
      </w:r>
      <w:r w:rsidR="00110F02" w:rsidRPr="00304D78">
        <w:rPr>
          <w:rFonts w:asciiTheme="majorHAnsi" w:hAnsiTheme="majorHAnsi"/>
          <w:sz w:val="20"/>
          <w:szCs w:val="20"/>
          <w:lang w:val="es-ES"/>
        </w:rPr>
        <w:t xml:space="preserve">s </w:t>
      </w:r>
      <w:r>
        <w:rPr>
          <w:rFonts w:asciiTheme="majorHAnsi" w:hAnsiTheme="majorHAnsi"/>
          <w:sz w:val="20"/>
          <w:szCs w:val="20"/>
          <w:lang w:val="es-ES"/>
        </w:rPr>
        <w:t xml:space="preserve">personas </w:t>
      </w:r>
      <w:r w:rsidR="00261E95">
        <w:rPr>
          <w:rFonts w:asciiTheme="majorHAnsi" w:hAnsiTheme="majorHAnsi"/>
          <w:sz w:val="20"/>
          <w:szCs w:val="20"/>
          <w:lang w:val="es-ES"/>
        </w:rPr>
        <w:t>afrodescendientes</w:t>
      </w:r>
      <w:r w:rsidR="00110F02">
        <w:rPr>
          <w:rFonts w:asciiTheme="majorHAnsi" w:hAnsiTheme="majorHAnsi"/>
          <w:sz w:val="20"/>
          <w:szCs w:val="20"/>
          <w:lang w:val="es-ES"/>
        </w:rPr>
        <w:t>, que</w:t>
      </w:r>
      <w:r w:rsidR="00110F02" w:rsidRPr="00304D78">
        <w:rPr>
          <w:rFonts w:asciiTheme="majorHAnsi" w:hAnsiTheme="majorHAnsi"/>
          <w:sz w:val="20"/>
          <w:szCs w:val="20"/>
          <w:lang w:val="es-ES"/>
        </w:rPr>
        <w:t xml:space="preserve"> constituyen solo 11,8% de la población de Texas, representan 36,5% de las </w:t>
      </w:r>
      <w:r>
        <w:rPr>
          <w:rFonts w:asciiTheme="majorHAnsi" w:hAnsiTheme="majorHAnsi"/>
          <w:sz w:val="20"/>
          <w:szCs w:val="20"/>
          <w:lang w:val="es-ES"/>
        </w:rPr>
        <w:t xml:space="preserve">personas </w:t>
      </w:r>
      <w:r w:rsidR="00110F02" w:rsidRPr="00304D78">
        <w:rPr>
          <w:rFonts w:asciiTheme="majorHAnsi" w:hAnsiTheme="majorHAnsi"/>
          <w:sz w:val="20"/>
          <w:szCs w:val="20"/>
          <w:lang w:val="es-ES"/>
        </w:rPr>
        <w:t>ejecuc</w:t>
      </w:r>
      <w:r>
        <w:rPr>
          <w:rFonts w:asciiTheme="majorHAnsi" w:hAnsiTheme="majorHAnsi"/>
          <w:sz w:val="20"/>
          <w:szCs w:val="20"/>
          <w:lang w:val="es-ES"/>
        </w:rPr>
        <w:t>tadas</w:t>
      </w:r>
      <w:r w:rsidR="00110F02" w:rsidRPr="00304D78">
        <w:rPr>
          <w:rFonts w:asciiTheme="majorHAnsi" w:hAnsiTheme="majorHAnsi"/>
          <w:sz w:val="20"/>
          <w:szCs w:val="20"/>
          <w:lang w:val="es-ES"/>
        </w:rPr>
        <w:t xml:space="preserve">. Segundo, </w:t>
      </w:r>
      <w:r w:rsidR="00110F02">
        <w:rPr>
          <w:rFonts w:asciiTheme="majorHAnsi" w:hAnsiTheme="majorHAnsi"/>
          <w:sz w:val="20"/>
          <w:szCs w:val="20"/>
          <w:lang w:val="es-ES"/>
        </w:rPr>
        <w:t>los peticionarios afirman</w:t>
      </w:r>
      <w:r w:rsidR="00110F02" w:rsidRPr="00304D78">
        <w:rPr>
          <w:rFonts w:asciiTheme="majorHAnsi" w:hAnsiTheme="majorHAnsi"/>
          <w:sz w:val="20"/>
          <w:szCs w:val="20"/>
          <w:lang w:val="es-ES"/>
        </w:rPr>
        <w:t xml:space="preserve"> que, en el caso del señor Robinson, los fiscales rechazaron a todas las personas </w:t>
      </w:r>
      <w:r w:rsidR="00261E95">
        <w:rPr>
          <w:rFonts w:asciiTheme="majorHAnsi" w:hAnsiTheme="majorHAnsi"/>
          <w:sz w:val="20"/>
          <w:szCs w:val="20"/>
          <w:lang w:val="es-ES"/>
        </w:rPr>
        <w:t>afrodescendientes</w:t>
      </w:r>
      <w:r w:rsidR="00110F02" w:rsidRPr="00304D78">
        <w:rPr>
          <w:rFonts w:asciiTheme="majorHAnsi" w:hAnsiTheme="majorHAnsi"/>
          <w:sz w:val="20"/>
          <w:szCs w:val="20"/>
          <w:lang w:val="es-ES"/>
        </w:rPr>
        <w:t xml:space="preserve"> menos una para integrar el jurado. Indica</w:t>
      </w:r>
      <w:r w:rsidR="00110F02">
        <w:rPr>
          <w:rFonts w:asciiTheme="majorHAnsi" w:hAnsiTheme="majorHAnsi"/>
          <w:sz w:val="20"/>
          <w:szCs w:val="20"/>
          <w:lang w:val="es-ES"/>
        </w:rPr>
        <w:t>n</w:t>
      </w:r>
      <w:r w:rsidR="00110F02" w:rsidRPr="00304D78">
        <w:rPr>
          <w:rFonts w:asciiTheme="majorHAnsi" w:hAnsiTheme="majorHAnsi"/>
          <w:sz w:val="20"/>
          <w:szCs w:val="20"/>
          <w:lang w:val="es-ES"/>
        </w:rPr>
        <w:t xml:space="preserve"> que e</w:t>
      </w:r>
      <w:r>
        <w:rPr>
          <w:rFonts w:asciiTheme="majorHAnsi" w:hAnsiTheme="majorHAnsi"/>
          <w:sz w:val="20"/>
          <w:szCs w:val="20"/>
          <w:lang w:val="es-ES"/>
        </w:rPr>
        <w:t>ll</w:t>
      </w:r>
      <w:r w:rsidR="00110F02" w:rsidRPr="00304D78">
        <w:rPr>
          <w:rFonts w:asciiTheme="majorHAnsi" w:hAnsiTheme="majorHAnsi"/>
          <w:sz w:val="20"/>
          <w:szCs w:val="20"/>
          <w:lang w:val="es-ES"/>
        </w:rPr>
        <w:t xml:space="preserve">o, sumado al impacto desigual en los acusados </w:t>
      </w:r>
      <w:r w:rsidR="00261E95">
        <w:rPr>
          <w:rFonts w:asciiTheme="majorHAnsi" w:hAnsiTheme="majorHAnsi"/>
          <w:sz w:val="20"/>
          <w:szCs w:val="20"/>
          <w:lang w:val="es-ES"/>
        </w:rPr>
        <w:t>afrodescendientes</w:t>
      </w:r>
      <w:r w:rsidR="00110F02" w:rsidRPr="00304D78">
        <w:rPr>
          <w:rFonts w:asciiTheme="majorHAnsi" w:hAnsiTheme="majorHAnsi"/>
          <w:sz w:val="20"/>
          <w:szCs w:val="20"/>
          <w:lang w:val="es-ES"/>
        </w:rPr>
        <w:t xml:space="preserve"> en Texas, es muestra suficiente de discriminación racial intencional para concluir que se ha violado el derecho de igualdad ante la ley enunciado en la Declaración Americana. </w:t>
      </w:r>
      <w:r>
        <w:rPr>
          <w:rFonts w:asciiTheme="majorHAnsi" w:hAnsiTheme="majorHAnsi"/>
          <w:sz w:val="20"/>
          <w:szCs w:val="20"/>
          <w:lang w:val="es-ES"/>
        </w:rPr>
        <w:t>A</w:t>
      </w:r>
      <w:r w:rsidR="00110F02">
        <w:rPr>
          <w:rFonts w:asciiTheme="majorHAnsi" w:hAnsiTheme="majorHAnsi"/>
          <w:sz w:val="20"/>
          <w:szCs w:val="20"/>
          <w:lang w:val="es-ES"/>
        </w:rPr>
        <w:t>gregan</w:t>
      </w:r>
      <w:r w:rsidR="00110F02" w:rsidRPr="00304D78">
        <w:rPr>
          <w:rFonts w:asciiTheme="majorHAnsi" w:hAnsiTheme="majorHAnsi"/>
          <w:sz w:val="20"/>
          <w:szCs w:val="20"/>
          <w:lang w:val="es-ES"/>
        </w:rPr>
        <w:t xml:space="preserve"> que el uso de un intento de homicidio </w:t>
      </w:r>
      <w:r>
        <w:rPr>
          <w:rFonts w:asciiTheme="majorHAnsi" w:hAnsiTheme="majorHAnsi"/>
          <w:sz w:val="20"/>
          <w:szCs w:val="20"/>
          <w:lang w:val="es-ES"/>
        </w:rPr>
        <w:t xml:space="preserve">sin cargos ni juicio como prueba de que </w:t>
      </w:r>
      <w:r w:rsidR="00110F02" w:rsidRPr="009641FE">
        <w:rPr>
          <w:rFonts w:asciiTheme="majorHAnsi" w:hAnsiTheme="majorHAnsi"/>
          <w:sz w:val="20"/>
          <w:szCs w:val="20"/>
          <w:lang w:val="es-ES"/>
        </w:rPr>
        <w:t xml:space="preserve">el señor Robinson </w:t>
      </w:r>
      <w:r>
        <w:rPr>
          <w:rFonts w:asciiTheme="majorHAnsi" w:hAnsiTheme="majorHAnsi"/>
          <w:sz w:val="20"/>
          <w:szCs w:val="20"/>
          <w:lang w:val="es-ES"/>
        </w:rPr>
        <w:t>representaba un</w:t>
      </w:r>
      <w:r w:rsidR="00110F02" w:rsidRPr="00304D78">
        <w:rPr>
          <w:rFonts w:asciiTheme="majorHAnsi" w:hAnsiTheme="majorHAnsi"/>
          <w:sz w:val="20"/>
          <w:szCs w:val="20"/>
          <w:lang w:val="es-ES"/>
        </w:rPr>
        <w:t xml:space="preserve"> peligro</w:t>
      </w:r>
      <w:r>
        <w:rPr>
          <w:rFonts w:asciiTheme="majorHAnsi" w:hAnsiTheme="majorHAnsi"/>
          <w:sz w:val="20"/>
          <w:szCs w:val="20"/>
          <w:lang w:val="es-ES"/>
        </w:rPr>
        <w:t xml:space="preserve"> futuro</w:t>
      </w:r>
      <w:r w:rsidR="00110F02" w:rsidRPr="00304D78">
        <w:rPr>
          <w:rFonts w:asciiTheme="majorHAnsi" w:hAnsiTheme="majorHAnsi"/>
          <w:sz w:val="20"/>
          <w:szCs w:val="20"/>
          <w:lang w:val="es-ES"/>
        </w:rPr>
        <w:t xml:space="preserve"> desde la cárcel </w:t>
      </w:r>
      <w:r>
        <w:rPr>
          <w:rFonts w:asciiTheme="majorHAnsi" w:hAnsiTheme="majorHAnsi"/>
          <w:sz w:val="20"/>
          <w:szCs w:val="20"/>
          <w:lang w:val="es-ES"/>
        </w:rPr>
        <w:t>era</w:t>
      </w:r>
      <w:r w:rsidR="00110F02" w:rsidRPr="00304D78">
        <w:rPr>
          <w:rFonts w:asciiTheme="majorHAnsi" w:hAnsiTheme="majorHAnsi"/>
          <w:sz w:val="20"/>
          <w:szCs w:val="20"/>
          <w:lang w:val="es-ES"/>
        </w:rPr>
        <w:t xml:space="preserve"> fundamentalmente injusto y perjudicial para su defensa. Alega</w:t>
      </w:r>
      <w:r w:rsidR="00110F02">
        <w:rPr>
          <w:rFonts w:asciiTheme="majorHAnsi" w:hAnsiTheme="majorHAnsi"/>
          <w:sz w:val="20"/>
          <w:szCs w:val="20"/>
          <w:lang w:val="es-ES"/>
        </w:rPr>
        <w:t>n</w:t>
      </w:r>
      <w:r w:rsidR="00110F02" w:rsidRPr="00304D78">
        <w:rPr>
          <w:rFonts w:asciiTheme="majorHAnsi" w:hAnsiTheme="majorHAnsi"/>
          <w:sz w:val="20"/>
          <w:szCs w:val="20"/>
          <w:lang w:val="es-ES"/>
        </w:rPr>
        <w:t xml:space="preserve"> asimismo que el abogado litigante proporcionó patrocinio letrado ineficaz, ya que no se preparó debidamente para la etapa de sentencia</w:t>
      </w:r>
      <w:r w:rsidR="00110F02">
        <w:rPr>
          <w:rFonts w:asciiTheme="majorHAnsi" w:hAnsiTheme="majorHAnsi"/>
          <w:sz w:val="20"/>
          <w:szCs w:val="20"/>
          <w:lang w:val="es-ES"/>
        </w:rPr>
        <w:t>.</w:t>
      </w:r>
    </w:p>
    <w:p w14:paraId="4BE99077" w14:textId="77777777" w:rsidR="00110F02" w:rsidRPr="00304D78" w:rsidRDefault="00110F02" w:rsidP="00110F02">
      <w:pPr>
        <w:pStyle w:val="ListParagraph"/>
        <w:rPr>
          <w:rFonts w:asciiTheme="majorHAnsi" w:hAnsiTheme="majorHAnsi"/>
          <w:sz w:val="20"/>
          <w:szCs w:val="20"/>
          <w:lang w:val="es-ES"/>
        </w:rPr>
      </w:pPr>
    </w:p>
    <w:p w14:paraId="5A580B48"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Según los peticionarios</w:t>
      </w:r>
      <w:r w:rsidRPr="00304D78">
        <w:rPr>
          <w:rFonts w:asciiTheme="majorHAnsi" w:hAnsiTheme="majorHAnsi"/>
          <w:sz w:val="20"/>
          <w:szCs w:val="20"/>
          <w:lang w:val="es-ES"/>
        </w:rPr>
        <w:t>, los tribunales federales de Texas tienen antecedentes de cerrar las a los condenados a muerte que tratan de reivindicar sus derechos constitucionales en la etapa poscondenatoria. En ese sentido, afirma</w:t>
      </w:r>
      <w:r>
        <w:rPr>
          <w:rFonts w:asciiTheme="majorHAnsi" w:hAnsiTheme="majorHAnsi"/>
          <w:sz w:val="20"/>
          <w:szCs w:val="20"/>
          <w:lang w:val="es-ES"/>
        </w:rPr>
        <w:t>n</w:t>
      </w:r>
      <w:r w:rsidRPr="00304D78">
        <w:rPr>
          <w:rFonts w:asciiTheme="majorHAnsi" w:hAnsiTheme="majorHAnsi"/>
          <w:sz w:val="20"/>
          <w:szCs w:val="20"/>
          <w:lang w:val="es-ES"/>
        </w:rPr>
        <w:t xml:space="preserve"> que el tribunal de distrito erró al denegar la petición de presentación de pruebas en relación con los reclamos debidamente formulados por el señor Robinson de una violación del derecho de igualdad ante la ley y patrocinio letrado ineficaz. </w:t>
      </w:r>
      <w:r w:rsidR="001E16B5">
        <w:rPr>
          <w:rFonts w:asciiTheme="majorHAnsi" w:hAnsiTheme="majorHAnsi"/>
          <w:sz w:val="20"/>
          <w:szCs w:val="20"/>
          <w:lang w:val="es-ES"/>
        </w:rPr>
        <w:t>S</w:t>
      </w:r>
      <w:r>
        <w:rPr>
          <w:rFonts w:asciiTheme="majorHAnsi" w:hAnsiTheme="majorHAnsi"/>
          <w:sz w:val="20"/>
          <w:szCs w:val="20"/>
          <w:lang w:val="es-ES"/>
        </w:rPr>
        <w:t>eñalan</w:t>
      </w:r>
      <w:r w:rsidRPr="00304D78">
        <w:rPr>
          <w:rFonts w:asciiTheme="majorHAnsi" w:hAnsiTheme="majorHAnsi"/>
          <w:sz w:val="20"/>
          <w:szCs w:val="20"/>
          <w:lang w:val="es-ES"/>
        </w:rPr>
        <w:t xml:space="preserve"> asimismo que el tribunal de distrito privó injustamente al señor Robinson de una audiencia probatoria a pesar de que había gr</w:t>
      </w:r>
      <w:r w:rsidR="001E16B5">
        <w:rPr>
          <w:rFonts w:asciiTheme="majorHAnsi" w:hAnsiTheme="majorHAnsi"/>
          <w:sz w:val="20"/>
          <w:szCs w:val="20"/>
          <w:lang w:val="es-ES"/>
        </w:rPr>
        <w:t>andes controversias fácticas</w:t>
      </w:r>
      <w:r w:rsidRPr="00304D78">
        <w:rPr>
          <w:rFonts w:asciiTheme="majorHAnsi" w:hAnsiTheme="majorHAnsi"/>
          <w:sz w:val="20"/>
          <w:szCs w:val="20"/>
          <w:lang w:val="es-ES"/>
        </w:rPr>
        <w:t xml:space="preserve"> respecto a sus reclamos de violación del derecho de igualdad ante la ley y patrocinio letrado ineficaz. </w:t>
      </w:r>
    </w:p>
    <w:p w14:paraId="7EB5B221" w14:textId="77777777" w:rsidR="00110F02" w:rsidRPr="00304D78" w:rsidRDefault="00110F02" w:rsidP="00110F02">
      <w:pPr>
        <w:pStyle w:val="ListParagraph"/>
        <w:rPr>
          <w:rFonts w:asciiTheme="majorHAnsi" w:hAnsiTheme="majorHAnsi"/>
          <w:sz w:val="20"/>
          <w:szCs w:val="20"/>
          <w:lang w:val="es-ES"/>
        </w:rPr>
      </w:pPr>
    </w:p>
    <w:p w14:paraId="1B7F8830"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Los peticionarios sostienen</w:t>
      </w:r>
      <w:r w:rsidRPr="00304D78">
        <w:rPr>
          <w:rFonts w:asciiTheme="majorHAnsi" w:hAnsiTheme="majorHAnsi"/>
          <w:sz w:val="20"/>
          <w:szCs w:val="20"/>
          <w:lang w:val="es-ES"/>
        </w:rPr>
        <w:t xml:space="preserve"> que el Tribunal Federal de Apelaciones para el Quinto Circuito denegó erróneamente el derecho del señor Robinson a apelar la desestimación de sus reclamos poscondenatorios. Afirma</w:t>
      </w:r>
      <w:r>
        <w:rPr>
          <w:rFonts w:asciiTheme="majorHAnsi" w:hAnsiTheme="majorHAnsi"/>
          <w:sz w:val="20"/>
          <w:szCs w:val="20"/>
          <w:lang w:val="es-ES"/>
        </w:rPr>
        <w:t xml:space="preserve">n </w:t>
      </w:r>
      <w:r w:rsidRPr="00304D78">
        <w:rPr>
          <w:rFonts w:asciiTheme="majorHAnsi" w:hAnsiTheme="majorHAnsi"/>
          <w:sz w:val="20"/>
          <w:szCs w:val="20"/>
          <w:lang w:val="es-ES"/>
        </w:rPr>
        <w:t xml:space="preserve">que la denegación reiterada de </w:t>
      </w:r>
      <w:r w:rsidR="001E16B5">
        <w:rPr>
          <w:rFonts w:asciiTheme="majorHAnsi" w:hAnsiTheme="majorHAnsi"/>
          <w:sz w:val="20"/>
          <w:szCs w:val="20"/>
          <w:lang w:val="es-ES"/>
        </w:rPr>
        <w:t xml:space="preserve">cualquier </w:t>
      </w:r>
      <w:r w:rsidRPr="00304D78">
        <w:rPr>
          <w:rFonts w:asciiTheme="majorHAnsi" w:hAnsiTheme="majorHAnsi"/>
          <w:sz w:val="20"/>
          <w:szCs w:val="20"/>
          <w:lang w:val="es-ES"/>
        </w:rPr>
        <w:t>oportunidad</w:t>
      </w:r>
      <w:r w:rsidR="001E16B5">
        <w:rPr>
          <w:rFonts w:asciiTheme="majorHAnsi" w:hAnsiTheme="majorHAnsi"/>
          <w:sz w:val="20"/>
          <w:szCs w:val="20"/>
          <w:lang w:val="es-ES"/>
        </w:rPr>
        <w:t xml:space="preserve"> de</w:t>
      </w:r>
      <w:r w:rsidRPr="00304D78">
        <w:rPr>
          <w:rFonts w:asciiTheme="majorHAnsi" w:hAnsiTheme="majorHAnsi"/>
          <w:sz w:val="20"/>
          <w:szCs w:val="20"/>
          <w:lang w:val="es-ES"/>
        </w:rPr>
        <w:t xml:space="preserve"> litigar reclamos </w:t>
      </w:r>
      <w:r w:rsidR="001E16B5">
        <w:rPr>
          <w:rFonts w:asciiTheme="majorHAnsi" w:hAnsiTheme="majorHAnsi"/>
          <w:sz w:val="20"/>
          <w:szCs w:val="20"/>
          <w:lang w:val="es-ES"/>
        </w:rPr>
        <w:t xml:space="preserve">es </w:t>
      </w:r>
      <w:r w:rsidRPr="00304D78">
        <w:rPr>
          <w:rFonts w:asciiTheme="majorHAnsi" w:hAnsiTheme="majorHAnsi"/>
          <w:sz w:val="20"/>
          <w:szCs w:val="20"/>
          <w:lang w:val="es-ES"/>
        </w:rPr>
        <w:t>representa</w:t>
      </w:r>
      <w:r w:rsidR="001E16B5">
        <w:rPr>
          <w:rFonts w:asciiTheme="majorHAnsi" w:hAnsiTheme="majorHAnsi"/>
          <w:sz w:val="20"/>
          <w:szCs w:val="20"/>
          <w:lang w:val="es-ES"/>
        </w:rPr>
        <w:t>tiva de un patrón</w:t>
      </w:r>
      <w:r w:rsidRPr="00304D78">
        <w:rPr>
          <w:rFonts w:asciiTheme="majorHAnsi" w:hAnsiTheme="majorHAnsi"/>
          <w:sz w:val="20"/>
          <w:szCs w:val="20"/>
          <w:lang w:val="es-ES"/>
        </w:rPr>
        <w:t xml:space="preserve"> en Texas. Por último, </w:t>
      </w:r>
      <w:r>
        <w:rPr>
          <w:rFonts w:asciiTheme="majorHAnsi" w:hAnsiTheme="majorHAnsi"/>
          <w:sz w:val="20"/>
          <w:szCs w:val="20"/>
          <w:lang w:val="es-ES"/>
        </w:rPr>
        <w:t>los peticionarios indican</w:t>
      </w:r>
      <w:r w:rsidRPr="00304D78">
        <w:rPr>
          <w:rFonts w:asciiTheme="majorHAnsi" w:hAnsiTheme="majorHAnsi"/>
          <w:sz w:val="20"/>
          <w:szCs w:val="20"/>
          <w:lang w:val="es-ES"/>
        </w:rPr>
        <w:t xml:space="preserve"> que el señor Robinson </w:t>
      </w:r>
      <w:r>
        <w:rPr>
          <w:rFonts w:asciiTheme="majorHAnsi" w:hAnsiTheme="majorHAnsi"/>
          <w:sz w:val="20"/>
          <w:szCs w:val="20"/>
          <w:lang w:val="es-ES"/>
        </w:rPr>
        <w:t xml:space="preserve">se enfrenta </w:t>
      </w:r>
      <w:r w:rsidR="00507BF1">
        <w:rPr>
          <w:rFonts w:asciiTheme="majorHAnsi" w:hAnsiTheme="majorHAnsi"/>
          <w:sz w:val="20"/>
          <w:szCs w:val="20"/>
          <w:lang w:val="es-ES"/>
        </w:rPr>
        <w:t>a</w:t>
      </w:r>
      <w:r>
        <w:rPr>
          <w:rFonts w:asciiTheme="majorHAnsi" w:hAnsiTheme="majorHAnsi"/>
          <w:sz w:val="20"/>
          <w:szCs w:val="20"/>
          <w:lang w:val="es-ES"/>
        </w:rPr>
        <w:t xml:space="preserve"> la </w:t>
      </w:r>
      <w:r w:rsidR="00507BF1">
        <w:rPr>
          <w:rFonts w:asciiTheme="majorHAnsi" w:hAnsiTheme="majorHAnsi"/>
          <w:sz w:val="20"/>
          <w:szCs w:val="20"/>
          <w:lang w:val="es-ES"/>
        </w:rPr>
        <w:t xml:space="preserve">ejecución por </w:t>
      </w:r>
      <w:r w:rsidRPr="00304D78">
        <w:rPr>
          <w:rFonts w:asciiTheme="majorHAnsi" w:hAnsiTheme="majorHAnsi"/>
          <w:sz w:val="20"/>
          <w:szCs w:val="20"/>
          <w:lang w:val="es-ES"/>
        </w:rPr>
        <w:t xml:space="preserve">inyección letal, a pesar de que esta modalidad de ejecución, tal como se emplea en la actualidad, crea un riesgo inaceptable y completamente innecesario de ocasionar un dolor y sufrimiento atroz. Afirma que </w:t>
      </w:r>
      <w:r>
        <w:rPr>
          <w:rFonts w:asciiTheme="majorHAnsi" w:hAnsiTheme="majorHAnsi"/>
          <w:sz w:val="20"/>
          <w:szCs w:val="20"/>
          <w:lang w:val="es-ES"/>
        </w:rPr>
        <w:t>el Gobierno de Estados Unidos</w:t>
      </w:r>
      <w:r w:rsidRPr="00304D78">
        <w:rPr>
          <w:rFonts w:asciiTheme="majorHAnsi" w:hAnsiTheme="majorHAnsi"/>
          <w:sz w:val="20"/>
          <w:szCs w:val="20"/>
          <w:lang w:val="es-ES"/>
        </w:rPr>
        <w:t xml:space="preserve"> </w:t>
      </w:r>
      <w:r>
        <w:rPr>
          <w:rFonts w:asciiTheme="majorHAnsi" w:hAnsiTheme="majorHAnsi"/>
          <w:sz w:val="20"/>
          <w:szCs w:val="20"/>
          <w:lang w:val="es-ES"/>
        </w:rPr>
        <w:t xml:space="preserve">clasificó </w:t>
      </w:r>
      <w:r w:rsidRPr="00304D78">
        <w:rPr>
          <w:rFonts w:asciiTheme="majorHAnsi" w:hAnsiTheme="majorHAnsi"/>
          <w:sz w:val="20"/>
          <w:szCs w:val="20"/>
          <w:lang w:val="es-ES"/>
        </w:rPr>
        <w:t>como “confidencial</w:t>
      </w:r>
      <w:r w:rsidR="00507BF1">
        <w:rPr>
          <w:rFonts w:asciiTheme="majorHAnsi" w:hAnsiTheme="majorHAnsi"/>
          <w:sz w:val="20"/>
          <w:szCs w:val="20"/>
          <w:lang w:val="es-ES"/>
        </w:rPr>
        <w:t>es</w:t>
      </w:r>
      <w:r>
        <w:rPr>
          <w:rFonts w:asciiTheme="majorHAnsi" w:hAnsiTheme="majorHAnsi"/>
          <w:sz w:val="20"/>
          <w:szCs w:val="20"/>
          <w:lang w:val="es-ES"/>
        </w:rPr>
        <w:t xml:space="preserve">” </w:t>
      </w:r>
      <w:r w:rsidRPr="00304D78">
        <w:rPr>
          <w:rFonts w:asciiTheme="majorHAnsi" w:hAnsiTheme="majorHAnsi"/>
          <w:sz w:val="20"/>
          <w:szCs w:val="20"/>
          <w:lang w:val="es-ES"/>
        </w:rPr>
        <w:t xml:space="preserve">el protocolo para la inyección letal y partes cruciales de las </w:t>
      </w:r>
      <w:r w:rsidRPr="00304D78">
        <w:rPr>
          <w:rFonts w:asciiTheme="majorHAnsi" w:hAnsiTheme="majorHAnsi"/>
          <w:sz w:val="20"/>
          <w:szCs w:val="20"/>
          <w:lang w:val="es-ES"/>
        </w:rPr>
        <w:lastRenderedPageBreak/>
        <w:t>declaraciones testimoniales que revelan la idoneidad y la capacitación del personal que interviene en el proceso y los procedimientos que utiliza.</w:t>
      </w:r>
    </w:p>
    <w:p w14:paraId="06985802" w14:textId="77777777" w:rsidR="00110F02" w:rsidRPr="00304D78" w:rsidRDefault="00110F02" w:rsidP="00110F02">
      <w:pPr>
        <w:pStyle w:val="ListParagraph"/>
        <w:rPr>
          <w:rFonts w:asciiTheme="majorHAnsi" w:hAnsiTheme="majorHAnsi"/>
          <w:color w:val="auto"/>
          <w:sz w:val="20"/>
          <w:szCs w:val="20"/>
          <w:lang w:val="es-ES"/>
        </w:rPr>
      </w:pPr>
    </w:p>
    <w:p w14:paraId="1D74EB8B"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ES"/>
        </w:rPr>
      </w:pPr>
      <w:r w:rsidRPr="00304D78">
        <w:rPr>
          <w:rFonts w:asciiTheme="majorHAnsi" w:hAnsiTheme="majorHAnsi"/>
          <w:sz w:val="20"/>
          <w:szCs w:val="20"/>
          <w:lang w:val="es-ES"/>
        </w:rPr>
        <w:t xml:space="preserve">Con respecto al requisito de agotamiento de los recursos internos, </w:t>
      </w:r>
      <w:r>
        <w:rPr>
          <w:rFonts w:asciiTheme="majorHAnsi" w:hAnsiTheme="majorHAnsi"/>
          <w:sz w:val="20"/>
          <w:szCs w:val="20"/>
          <w:lang w:val="es-ES"/>
        </w:rPr>
        <w:t>los peticionarios indican</w:t>
      </w:r>
      <w:r w:rsidRPr="00304D78">
        <w:rPr>
          <w:rFonts w:asciiTheme="majorHAnsi" w:hAnsiTheme="majorHAnsi"/>
          <w:sz w:val="20"/>
          <w:szCs w:val="20"/>
          <w:lang w:val="es-ES"/>
        </w:rPr>
        <w:t xml:space="preserve"> que los reclamos del señor Robinson fueron planteados y desestimados en el tribunal de distrito, en apelación, en procedimientos poscondenatorios y en actuaciones de hábeas corpus, en tanto que la Corte Suprema de Estados Unidos denegó </w:t>
      </w:r>
      <w:r>
        <w:rPr>
          <w:rFonts w:asciiTheme="majorHAnsi" w:hAnsiTheme="majorHAnsi"/>
          <w:sz w:val="20"/>
          <w:szCs w:val="20"/>
          <w:lang w:val="es-ES"/>
        </w:rPr>
        <w:t>posteriormente</w:t>
      </w:r>
      <w:r w:rsidRPr="00304D78">
        <w:rPr>
          <w:rFonts w:asciiTheme="majorHAnsi" w:hAnsiTheme="majorHAnsi"/>
          <w:sz w:val="20"/>
          <w:szCs w:val="20"/>
          <w:lang w:val="es-ES"/>
        </w:rPr>
        <w:t xml:space="preserve"> sus autos de avocación. </w:t>
      </w:r>
      <w:r>
        <w:rPr>
          <w:rFonts w:asciiTheme="majorHAnsi" w:hAnsiTheme="majorHAnsi"/>
          <w:sz w:val="20"/>
          <w:szCs w:val="20"/>
          <w:lang w:val="es-ES"/>
        </w:rPr>
        <w:t>Los peticionarios concluyen</w:t>
      </w:r>
      <w:r w:rsidRPr="00304D78">
        <w:rPr>
          <w:rFonts w:asciiTheme="majorHAnsi" w:hAnsiTheme="majorHAnsi"/>
          <w:sz w:val="20"/>
          <w:szCs w:val="20"/>
          <w:lang w:val="es-ES"/>
        </w:rPr>
        <w:t xml:space="preserve"> que Estados Unidos ha v</w:t>
      </w:r>
      <w:r>
        <w:rPr>
          <w:rFonts w:asciiTheme="majorHAnsi" w:hAnsiTheme="majorHAnsi"/>
          <w:sz w:val="20"/>
          <w:szCs w:val="20"/>
          <w:lang w:val="es-ES"/>
        </w:rPr>
        <w:t>i</w:t>
      </w:r>
      <w:r w:rsidRPr="00304D78">
        <w:rPr>
          <w:rFonts w:asciiTheme="majorHAnsi" w:hAnsiTheme="majorHAnsi"/>
          <w:sz w:val="20"/>
          <w:szCs w:val="20"/>
          <w:lang w:val="es-ES"/>
        </w:rPr>
        <w:t>olado los derechos consagrados en los artículos I (derecho a la vida, a la libertad, a la seguridad e integridad de la persona), II (derecho de igualdad ante la ley), XVIII (derecho de justicia), XXIV (derecho de petición) y XXVI (derecho a proceso regular) de la Declaración Americana.</w:t>
      </w:r>
    </w:p>
    <w:p w14:paraId="297CEA6C"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3839EA2E" w14:textId="77777777" w:rsidR="00110F02" w:rsidRPr="00D67EB9" w:rsidRDefault="00110F02" w:rsidP="005200DD">
      <w:pPr>
        <w:pStyle w:val="Heading2"/>
        <w:numPr>
          <w:ilvl w:val="0"/>
          <w:numId w:val="60"/>
        </w:numPr>
        <w:spacing w:before="0" w:after="0"/>
        <w:ind w:left="360"/>
        <w:rPr>
          <w:rFonts w:asciiTheme="majorHAnsi" w:hAnsiTheme="majorHAnsi"/>
          <w:i w:val="0"/>
          <w:sz w:val="20"/>
          <w:szCs w:val="20"/>
        </w:rPr>
      </w:pPr>
      <w:bookmarkStart w:id="7" w:name="_Toc16152265"/>
      <w:bookmarkStart w:id="8" w:name="_Toc61514151"/>
      <w:r w:rsidRPr="00D67EB9">
        <w:rPr>
          <w:rFonts w:asciiTheme="majorHAnsi" w:hAnsiTheme="majorHAnsi"/>
          <w:i w:val="0"/>
          <w:sz w:val="20"/>
          <w:szCs w:val="20"/>
        </w:rPr>
        <w:t>Posición del Estado</w:t>
      </w:r>
      <w:bookmarkEnd w:id="7"/>
      <w:bookmarkEnd w:id="8"/>
    </w:p>
    <w:p w14:paraId="20D9C25A"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5D01AFCA"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304D78">
        <w:rPr>
          <w:rFonts w:asciiTheme="majorHAnsi" w:hAnsiTheme="majorHAnsi"/>
          <w:sz w:val="20"/>
          <w:szCs w:val="20"/>
          <w:lang w:val="es-ES"/>
        </w:rPr>
        <w:t>Estados Unidos alega que la petición es inadmisible porque no expone hechos que tiendan a caracterizar una violación de derecho</w:t>
      </w:r>
      <w:r>
        <w:rPr>
          <w:rFonts w:asciiTheme="majorHAnsi" w:hAnsiTheme="majorHAnsi"/>
          <w:sz w:val="20"/>
          <w:szCs w:val="20"/>
          <w:lang w:val="es-ES"/>
        </w:rPr>
        <w:t>s</w:t>
      </w:r>
      <w:r w:rsidRPr="00304D78">
        <w:rPr>
          <w:rFonts w:asciiTheme="majorHAnsi" w:hAnsiTheme="majorHAnsi"/>
          <w:sz w:val="20"/>
          <w:szCs w:val="20"/>
          <w:lang w:val="es-ES"/>
        </w:rPr>
        <w:t xml:space="preserve"> amparado</w:t>
      </w:r>
      <w:r>
        <w:rPr>
          <w:rFonts w:asciiTheme="majorHAnsi" w:hAnsiTheme="majorHAnsi"/>
          <w:sz w:val="20"/>
          <w:szCs w:val="20"/>
          <w:lang w:val="es-ES"/>
        </w:rPr>
        <w:t>s</w:t>
      </w:r>
      <w:r w:rsidRPr="00304D78">
        <w:rPr>
          <w:rFonts w:asciiTheme="majorHAnsi" w:hAnsiTheme="majorHAnsi"/>
          <w:sz w:val="20"/>
          <w:szCs w:val="20"/>
          <w:lang w:val="es-ES"/>
        </w:rPr>
        <w:t xml:space="preserve"> en la Declaración Americana y porque la Comisión no tiene competencia </w:t>
      </w:r>
      <w:r w:rsidRPr="00304D78">
        <w:rPr>
          <w:rFonts w:asciiTheme="majorHAnsi" w:hAnsiTheme="majorHAnsi"/>
          <w:i/>
          <w:sz w:val="20"/>
          <w:szCs w:val="20"/>
          <w:lang w:val="es-ES"/>
        </w:rPr>
        <w:t>rationae personae</w:t>
      </w:r>
      <w:r w:rsidRPr="00304D78">
        <w:rPr>
          <w:rFonts w:asciiTheme="majorHAnsi" w:hAnsiTheme="majorHAnsi"/>
          <w:sz w:val="20"/>
          <w:szCs w:val="20"/>
          <w:lang w:val="es-ES"/>
        </w:rPr>
        <w:t xml:space="preserve"> para </w:t>
      </w:r>
      <w:r w:rsidR="00507BF1">
        <w:rPr>
          <w:rFonts w:asciiTheme="majorHAnsi" w:hAnsiTheme="majorHAnsi"/>
          <w:sz w:val="20"/>
          <w:szCs w:val="20"/>
          <w:lang w:val="es-ES"/>
        </w:rPr>
        <w:t>conocer</w:t>
      </w:r>
      <w:r w:rsidRPr="00304D78">
        <w:rPr>
          <w:rFonts w:asciiTheme="majorHAnsi" w:hAnsiTheme="majorHAnsi"/>
          <w:sz w:val="20"/>
          <w:szCs w:val="20"/>
          <w:lang w:val="es-ES"/>
        </w:rPr>
        <w:t xml:space="preserve"> ciertas partes de los reclamos del señor Robinson. Además, el Estado afirma que la fórmula de la cuarta instancia le impide</w:t>
      </w:r>
      <w:r w:rsidRPr="00467761">
        <w:rPr>
          <w:rFonts w:asciiTheme="majorHAnsi" w:hAnsiTheme="majorHAnsi"/>
          <w:sz w:val="20"/>
          <w:szCs w:val="20"/>
          <w:lang w:val="es-ES"/>
        </w:rPr>
        <w:t xml:space="preserve"> </w:t>
      </w:r>
      <w:r>
        <w:rPr>
          <w:rFonts w:asciiTheme="majorHAnsi" w:hAnsiTheme="majorHAnsi"/>
          <w:sz w:val="20"/>
          <w:szCs w:val="20"/>
          <w:lang w:val="es-ES"/>
        </w:rPr>
        <w:t xml:space="preserve">a </w:t>
      </w:r>
      <w:r w:rsidRPr="00467761">
        <w:rPr>
          <w:rFonts w:asciiTheme="majorHAnsi" w:hAnsiTheme="majorHAnsi"/>
          <w:sz w:val="20"/>
          <w:szCs w:val="20"/>
          <w:lang w:val="es-ES"/>
        </w:rPr>
        <w:t>la Comisión</w:t>
      </w:r>
      <w:r w:rsidRPr="00304D78">
        <w:rPr>
          <w:rFonts w:asciiTheme="majorHAnsi" w:hAnsiTheme="majorHAnsi"/>
          <w:sz w:val="20"/>
          <w:szCs w:val="20"/>
          <w:lang w:val="es-ES"/>
        </w:rPr>
        <w:t xml:space="preserve"> considerar algunos argumentos que consisten en un mero desacuerdo con fallos de tribunales internos emitidos de conformidad con la Declaración Americana. </w:t>
      </w:r>
    </w:p>
    <w:p w14:paraId="24C1C1F5"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ES"/>
        </w:rPr>
      </w:pPr>
    </w:p>
    <w:p w14:paraId="383AAB39"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AA4696">
        <w:rPr>
          <w:rFonts w:asciiTheme="majorHAnsi" w:hAnsiTheme="majorHAnsi"/>
          <w:sz w:val="20"/>
          <w:szCs w:val="20"/>
          <w:lang w:val="es-ES"/>
        </w:rPr>
        <w:t>Según Estados Unidos, el reclamo del señor Robinson relativo a la supuesta discriminación racial en la administración general de la pena de muerte no demuestra una violación concreta de derechos en un ca</w:t>
      </w:r>
      <w:r w:rsidR="00507BF1" w:rsidRPr="00AA4696">
        <w:rPr>
          <w:rFonts w:asciiTheme="majorHAnsi" w:hAnsiTheme="majorHAnsi"/>
          <w:sz w:val="20"/>
          <w:szCs w:val="20"/>
          <w:lang w:val="es-ES"/>
        </w:rPr>
        <w:t>so</w:t>
      </w:r>
      <w:r w:rsidR="00507BF1">
        <w:rPr>
          <w:rFonts w:asciiTheme="majorHAnsi" w:hAnsiTheme="majorHAnsi"/>
          <w:sz w:val="20"/>
          <w:szCs w:val="20"/>
          <w:lang w:val="es-ES"/>
        </w:rPr>
        <w:t xml:space="preserve"> individual. Basándose en </w:t>
      </w:r>
      <w:r w:rsidRPr="00304D78">
        <w:rPr>
          <w:rFonts w:asciiTheme="majorHAnsi" w:hAnsiTheme="majorHAnsi"/>
          <w:sz w:val="20"/>
          <w:szCs w:val="20"/>
          <w:lang w:val="es-ES"/>
        </w:rPr>
        <w:t xml:space="preserve">decisiones de la CIDH, el Estado concluye que este reclamo constituye una </w:t>
      </w:r>
      <w:r w:rsidRPr="00304D78">
        <w:rPr>
          <w:rFonts w:asciiTheme="majorHAnsi" w:hAnsiTheme="majorHAnsi"/>
          <w:i/>
          <w:sz w:val="20"/>
          <w:szCs w:val="20"/>
          <w:lang w:val="es-ES"/>
        </w:rPr>
        <w:t>actio popularis</w:t>
      </w:r>
      <w:r w:rsidRPr="00304D78">
        <w:rPr>
          <w:rFonts w:asciiTheme="majorHAnsi" w:hAnsiTheme="majorHAnsi"/>
          <w:sz w:val="20"/>
          <w:szCs w:val="20"/>
          <w:lang w:val="es-ES"/>
        </w:rPr>
        <w:t xml:space="preserve"> y</w:t>
      </w:r>
      <w:r w:rsidR="00507BF1">
        <w:rPr>
          <w:rFonts w:asciiTheme="majorHAnsi" w:hAnsiTheme="majorHAnsi"/>
          <w:sz w:val="20"/>
          <w:szCs w:val="20"/>
          <w:lang w:val="es-ES"/>
        </w:rPr>
        <w:t xml:space="preserve"> que</w:t>
      </w:r>
      <w:r w:rsidRPr="00304D78">
        <w:rPr>
          <w:rFonts w:asciiTheme="majorHAnsi" w:hAnsiTheme="majorHAnsi"/>
          <w:sz w:val="20"/>
          <w:szCs w:val="20"/>
          <w:lang w:val="es-ES"/>
        </w:rPr>
        <w:t xml:space="preserve">, por lo tanto, la CIDH no tiene competencia </w:t>
      </w:r>
      <w:r w:rsidRPr="00304D78">
        <w:rPr>
          <w:rFonts w:asciiTheme="majorHAnsi" w:hAnsiTheme="majorHAnsi"/>
          <w:i/>
          <w:sz w:val="20"/>
          <w:szCs w:val="20"/>
          <w:lang w:val="es-ES"/>
        </w:rPr>
        <w:t>rationae personae</w:t>
      </w:r>
      <w:r w:rsidRPr="00304D78">
        <w:rPr>
          <w:rFonts w:asciiTheme="majorHAnsi" w:hAnsiTheme="majorHAnsi"/>
          <w:sz w:val="20"/>
          <w:szCs w:val="20"/>
          <w:lang w:val="es-ES"/>
        </w:rPr>
        <w:t>. Agrega que, en el reclamo de discriminación en la selección del jurado, no se demostró una violación de los artículos I y II de la Declaración Americana. Afirma que el tribunal de distrito analizó los fundamentos de las tres recusaciones sin causa e</w:t>
      </w:r>
      <w:r>
        <w:rPr>
          <w:rFonts w:asciiTheme="majorHAnsi" w:hAnsiTheme="majorHAnsi"/>
          <w:sz w:val="20"/>
          <w:szCs w:val="20"/>
          <w:lang w:val="es-ES"/>
        </w:rPr>
        <w:t xml:space="preserve">jercidas </w:t>
      </w:r>
      <w:r w:rsidRPr="00304D78">
        <w:rPr>
          <w:rFonts w:asciiTheme="majorHAnsi" w:hAnsiTheme="majorHAnsi"/>
          <w:sz w:val="20"/>
          <w:szCs w:val="20"/>
          <w:lang w:val="es-ES"/>
        </w:rPr>
        <w:t xml:space="preserve">por el fiscal en relación con personas </w:t>
      </w:r>
      <w:r w:rsidR="00AA4696">
        <w:rPr>
          <w:rFonts w:asciiTheme="majorHAnsi" w:hAnsiTheme="majorHAnsi"/>
          <w:sz w:val="20"/>
          <w:szCs w:val="20"/>
          <w:lang w:val="es-ES"/>
        </w:rPr>
        <w:t>afrodescendientes</w:t>
      </w:r>
      <w:r w:rsidRPr="00304D78">
        <w:rPr>
          <w:rFonts w:asciiTheme="majorHAnsi" w:hAnsiTheme="majorHAnsi"/>
          <w:sz w:val="20"/>
          <w:szCs w:val="20"/>
          <w:lang w:val="es-ES"/>
        </w:rPr>
        <w:t xml:space="preserve"> convocadas para integrar el jurado y concluyó que el reclamo de discriminación carecía de fundamento. </w:t>
      </w:r>
    </w:p>
    <w:p w14:paraId="3DC76DAB" w14:textId="77777777" w:rsidR="00110F02" w:rsidRPr="00304D78" w:rsidRDefault="00110F02" w:rsidP="00110F02">
      <w:pPr>
        <w:pStyle w:val="ListParagraph"/>
        <w:rPr>
          <w:rFonts w:asciiTheme="majorHAnsi" w:hAnsiTheme="majorHAnsi"/>
          <w:sz w:val="20"/>
          <w:szCs w:val="20"/>
          <w:lang w:val="es-ES"/>
        </w:rPr>
      </w:pPr>
    </w:p>
    <w:p w14:paraId="26C7094C"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304D78">
        <w:rPr>
          <w:rFonts w:asciiTheme="majorHAnsi" w:hAnsiTheme="majorHAnsi"/>
          <w:sz w:val="20"/>
          <w:szCs w:val="20"/>
          <w:lang w:val="es-ES"/>
        </w:rPr>
        <w:t>Estados Unidos señala que las actuaciones en el caso del señor Robinson se desarrollaron en cumplimiento de</w:t>
      </w:r>
      <w:r>
        <w:rPr>
          <w:rFonts w:asciiTheme="majorHAnsi" w:hAnsiTheme="majorHAnsi"/>
          <w:sz w:val="20"/>
          <w:szCs w:val="20"/>
          <w:lang w:val="es-ES"/>
        </w:rPr>
        <w:t xml:space="preserve"> las leyes</w:t>
      </w:r>
      <w:r w:rsidRPr="00304D78">
        <w:rPr>
          <w:rFonts w:asciiTheme="majorHAnsi" w:hAnsiTheme="majorHAnsi"/>
          <w:sz w:val="20"/>
          <w:szCs w:val="20"/>
          <w:lang w:val="es-ES"/>
        </w:rPr>
        <w:t xml:space="preserve"> estadounidense</w:t>
      </w:r>
      <w:r>
        <w:rPr>
          <w:rFonts w:asciiTheme="majorHAnsi" w:hAnsiTheme="majorHAnsi"/>
          <w:sz w:val="20"/>
          <w:szCs w:val="20"/>
          <w:lang w:val="es-ES"/>
        </w:rPr>
        <w:t>s</w:t>
      </w:r>
      <w:r w:rsidRPr="00304D78">
        <w:rPr>
          <w:rFonts w:asciiTheme="majorHAnsi" w:hAnsiTheme="majorHAnsi"/>
          <w:sz w:val="20"/>
          <w:szCs w:val="20"/>
          <w:lang w:val="es-ES"/>
        </w:rPr>
        <w:t xml:space="preserve"> y con pleno respeto de los derechos amparados en la Declaración Americana. </w:t>
      </w:r>
      <w:r>
        <w:rPr>
          <w:rFonts w:asciiTheme="majorHAnsi" w:hAnsiTheme="majorHAnsi"/>
          <w:sz w:val="20"/>
          <w:szCs w:val="20"/>
          <w:lang w:val="es-ES"/>
        </w:rPr>
        <w:t>E</w:t>
      </w:r>
      <w:r w:rsidRPr="00304D78">
        <w:rPr>
          <w:rFonts w:asciiTheme="majorHAnsi" w:hAnsiTheme="majorHAnsi"/>
          <w:sz w:val="20"/>
          <w:szCs w:val="20"/>
          <w:lang w:val="es-ES"/>
        </w:rPr>
        <w:t>l Estado</w:t>
      </w:r>
      <w:r>
        <w:rPr>
          <w:rFonts w:asciiTheme="majorHAnsi" w:hAnsiTheme="majorHAnsi"/>
          <w:sz w:val="20"/>
          <w:szCs w:val="20"/>
          <w:lang w:val="es-ES"/>
        </w:rPr>
        <w:t xml:space="preserve"> </w:t>
      </w:r>
      <w:r w:rsidRPr="00304D78">
        <w:rPr>
          <w:rFonts w:asciiTheme="majorHAnsi" w:hAnsiTheme="majorHAnsi"/>
          <w:sz w:val="20"/>
          <w:szCs w:val="20"/>
          <w:lang w:val="es-ES"/>
        </w:rPr>
        <w:t xml:space="preserve">admite que la probabilidad de peligrosidad futura del señor Robinson fue una de las circunstancias agravantes presentadas por el fiscal, </w:t>
      </w:r>
      <w:r>
        <w:rPr>
          <w:rFonts w:asciiTheme="majorHAnsi" w:hAnsiTheme="majorHAnsi"/>
          <w:sz w:val="20"/>
          <w:szCs w:val="20"/>
          <w:lang w:val="es-ES"/>
        </w:rPr>
        <w:t xml:space="preserve">pero </w:t>
      </w:r>
      <w:r w:rsidRPr="00304D78">
        <w:rPr>
          <w:rFonts w:asciiTheme="majorHAnsi" w:hAnsiTheme="majorHAnsi"/>
          <w:sz w:val="20"/>
          <w:szCs w:val="20"/>
          <w:lang w:val="es-ES"/>
        </w:rPr>
        <w:t>observa que difícilmente era el único factor y no fue el factor principal que influyó en la decisión del jurado de condenarlo a muerte. Asimismo, el Estado indica que numerosos tribunales federales y la mayoría de los estados sostienen que, en una audiencia de sentencia en la cual pueda aplicarse la pena capital, es constitucionalmente permisible mencionar actos delictivos sobre los cuales no se haya dictado sentencia.</w:t>
      </w:r>
    </w:p>
    <w:p w14:paraId="3CBC69B9" w14:textId="77777777" w:rsidR="00110F02" w:rsidRPr="00304D78" w:rsidRDefault="00110F02" w:rsidP="00110F02">
      <w:pPr>
        <w:pStyle w:val="ListParagraph"/>
        <w:rPr>
          <w:rFonts w:asciiTheme="majorHAnsi" w:hAnsiTheme="majorHAnsi"/>
          <w:sz w:val="20"/>
          <w:szCs w:val="20"/>
          <w:lang w:val="es-ES"/>
        </w:rPr>
      </w:pPr>
    </w:p>
    <w:p w14:paraId="2330B221"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304D78">
        <w:rPr>
          <w:rFonts w:asciiTheme="majorHAnsi" w:hAnsiTheme="majorHAnsi"/>
          <w:sz w:val="20"/>
          <w:szCs w:val="20"/>
          <w:lang w:val="es-ES"/>
        </w:rPr>
        <w:t>Con respecto al reclamo de patrocinio letrado ineficaz, Estados Unidos alega que debe rechazarse porque la Comisión no es un tribunal de cuarta instancia y el reclamo se abordó anteriormente en tribunales internos. Señala que el tribunal de distrito observó que el abogado litigante del señor Robinson contrató un investigador experimentado e hizo una investigación exhaustiva. El tribunal de distrito tomó nota de la</w:t>
      </w:r>
      <w:r>
        <w:rPr>
          <w:rFonts w:asciiTheme="majorHAnsi" w:hAnsiTheme="majorHAnsi"/>
          <w:sz w:val="20"/>
          <w:szCs w:val="20"/>
          <w:lang w:val="es-ES"/>
        </w:rPr>
        <w:t>s</w:t>
      </w:r>
      <w:r w:rsidRPr="00304D78">
        <w:rPr>
          <w:rFonts w:asciiTheme="majorHAnsi" w:hAnsiTheme="majorHAnsi"/>
          <w:sz w:val="20"/>
          <w:szCs w:val="20"/>
          <w:lang w:val="es-ES"/>
        </w:rPr>
        <w:t xml:space="preserve"> prueba</w:t>
      </w:r>
      <w:r>
        <w:rPr>
          <w:rFonts w:asciiTheme="majorHAnsi" w:hAnsiTheme="majorHAnsi"/>
          <w:sz w:val="20"/>
          <w:szCs w:val="20"/>
          <w:lang w:val="es-ES"/>
        </w:rPr>
        <w:t>s</w:t>
      </w:r>
      <w:r w:rsidRPr="00304D78">
        <w:rPr>
          <w:rFonts w:asciiTheme="majorHAnsi" w:hAnsiTheme="majorHAnsi"/>
          <w:sz w:val="20"/>
          <w:szCs w:val="20"/>
          <w:lang w:val="es-ES"/>
        </w:rPr>
        <w:t xml:space="preserve"> presentadas por el señor Robinson junto con su petición de hábeas corpus, pero llegó a la conclusión de que el hecho de que el abogado litigante no la hubiera presentado no perjudicó al señor Robinson porque era improbable que hubiera influido en la decisión del jurado en vista de </w:t>
      </w:r>
      <w:r>
        <w:rPr>
          <w:rFonts w:asciiTheme="majorHAnsi" w:hAnsiTheme="majorHAnsi"/>
          <w:sz w:val="20"/>
          <w:szCs w:val="20"/>
          <w:lang w:val="es-ES"/>
        </w:rPr>
        <w:t xml:space="preserve">las demás </w:t>
      </w:r>
      <w:r w:rsidRPr="00304D78">
        <w:rPr>
          <w:rFonts w:asciiTheme="majorHAnsi" w:hAnsiTheme="majorHAnsi"/>
          <w:sz w:val="20"/>
          <w:szCs w:val="20"/>
          <w:lang w:val="es-ES"/>
        </w:rPr>
        <w:t>pruebas. En cuanto a la a</w:t>
      </w:r>
      <w:r>
        <w:rPr>
          <w:rFonts w:asciiTheme="majorHAnsi" w:hAnsiTheme="majorHAnsi"/>
          <w:sz w:val="20"/>
          <w:szCs w:val="20"/>
          <w:lang w:val="es-ES"/>
        </w:rPr>
        <w:t>severac</w:t>
      </w:r>
      <w:r w:rsidRPr="00304D78">
        <w:rPr>
          <w:rFonts w:asciiTheme="majorHAnsi" w:hAnsiTheme="majorHAnsi"/>
          <w:sz w:val="20"/>
          <w:szCs w:val="20"/>
          <w:lang w:val="es-ES"/>
        </w:rPr>
        <w:t>ión de</w:t>
      </w:r>
      <w:r>
        <w:rPr>
          <w:rFonts w:asciiTheme="majorHAnsi" w:hAnsiTheme="majorHAnsi"/>
          <w:sz w:val="20"/>
          <w:szCs w:val="20"/>
          <w:lang w:val="es-ES"/>
        </w:rPr>
        <w:t xml:space="preserve"> </w:t>
      </w:r>
      <w:r w:rsidRPr="00304D78">
        <w:rPr>
          <w:rFonts w:asciiTheme="majorHAnsi" w:hAnsiTheme="majorHAnsi"/>
          <w:sz w:val="20"/>
          <w:szCs w:val="20"/>
          <w:lang w:val="es-ES"/>
        </w:rPr>
        <w:t>l</w:t>
      </w:r>
      <w:r>
        <w:rPr>
          <w:rFonts w:asciiTheme="majorHAnsi" w:hAnsiTheme="majorHAnsi"/>
          <w:sz w:val="20"/>
          <w:szCs w:val="20"/>
          <w:lang w:val="es-ES"/>
        </w:rPr>
        <w:t>os</w:t>
      </w:r>
      <w:r w:rsidRPr="00304D78">
        <w:rPr>
          <w:rFonts w:asciiTheme="majorHAnsi" w:hAnsiTheme="majorHAnsi"/>
          <w:sz w:val="20"/>
          <w:szCs w:val="20"/>
          <w:lang w:val="es-ES"/>
        </w:rPr>
        <w:t xml:space="preserve"> peticionario</w:t>
      </w:r>
      <w:r>
        <w:rPr>
          <w:rFonts w:asciiTheme="majorHAnsi" w:hAnsiTheme="majorHAnsi"/>
          <w:sz w:val="20"/>
          <w:szCs w:val="20"/>
          <w:lang w:val="es-ES"/>
        </w:rPr>
        <w:t>s</w:t>
      </w:r>
      <w:r w:rsidRPr="00304D78">
        <w:rPr>
          <w:rFonts w:asciiTheme="majorHAnsi" w:hAnsiTheme="majorHAnsi"/>
          <w:sz w:val="20"/>
          <w:szCs w:val="20"/>
          <w:lang w:val="es-ES"/>
        </w:rPr>
        <w:t xml:space="preserve"> de que la mala actuación del abogado del señor Robinson se manifiesta en la disparidad entre la sentencia aplicada al señor Robinson y la aplicada al coacusado, que se encontraba en una situación similar, el Estado argumenta que el reclamo es infundado porque, tal como señaló el tribunal de distrito, el señor Robinson fue descrito sistemáticamente como el líder del grupo, mientras que el coacusado no lo fue.</w:t>
      </w:r>
    </w:p>
    <w:p w14:paraId="1E2E6040" w14:textId="77777777" w:rsidR="00110F02" w:rsidRPr="00304D78" w:rsidRDefault="00110F02" w:rsidP="00110F02">
      <w:pPr>
        <w:pStyle w:val="ListParagraph"/>
        <w:rPr>
          <w:rFonts w:asciiTheme="majorHAnsi" w:hAnsiTheme="majorHAnsi"/>
          <w:sz w:val="20"/>
          <w:szCs w:val="20"/>
          <w:lang w:val="es-ES"/>
        </w:rPr>
      </w:pPr>
    </w:p>
    <w:p w14:paraId="742F3CEE"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304D78">
        <w:rPr>
          <w:rFonts w:asciiTheme="majorHAnsi" w:hAnsiTheme="majorHAnsi"/>
          <w:sz w:val="20"/>
          <w:szCs w:val="20"/>
          <w:lang w:val="es-ES"/>
        </w:rPr>
        <w:t xml:space="preserve">Por último, el Estado afirma que ha proporcionado al señor Robinson un sistema completo y expansivo de revisión judicial. En particular, argumenta que los reclamos del señor Robinson fueron objeto de revisión dos veces —en apelación y en el procedimiento de hábeas corpus— por cada uno de los tres niveles del sistema judicial federal. Según el Estado, estos antecedentes demuestran claramente que Estados Unidos ha dedicado </w:t>
      </w:r>
      <w:r w:rsidRPr="00304D78">
        <w:rPr>
          <w:rFonts w:asciiTheme="majorHAnsi" w:hAnsiTheme="majorHAnsi"/>
          <w:sz w:val="20"/>
          <w:szCs w:val="20"/>
          <w:lang w:val="es-ES"/>
        </w:rPr>
        <w:lastRenderedPageBreak/>
        <w:t>tiempo y recursos considerables a una consideración exhaustiva e imparcial de los reclamos del señor Robinson en el marco de la revisión judicial.</w:t>
      </w:r>
    </w:p>
    <w:p w14:paraId="534173D1" w14:textId="77777777" w:rsidR="00110F02" w:rsidRPr="00304D78" w:rsidRDefault="00110F02" w:rsidP="00110F02">
      <w:pPr>
        <w:pStyle w:val="ListParagraph"/>
        <w:rPr>
          <w:rFonts w:asciiTheme="majorHAnsi" w:hAnsiTheme="majorHAnsi"/>
          <w:sz w:val="20"/>
          <w:szCs w:val="20"/>
          <w:lang w:val="es-ES"/>
        </w:rPr>
      </w:pPr>
    </w:p>
    <w:p w14:paraId="1104EE6C"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304D78">
        <w:rPr>
          <w:rFonts w:asciiTheme="majorHAnsi" w:hAnsiTheme="majorHAnsi"/>
          <w:sz w:val="20"/>
          <w:szCs w:val="20"/>
          <w:lang w:val="es-ES"/>
        </w:rPr>
        <w:t xml:space="preserve">En su última comunicación, </w:t>
      </w:r>
      <w:r w:rsidR="00AA4696">
        <w:rPr>
          <w:rFonts w:asciiTheme="majorHAnsi" w:hAnsiTheme="majorHAnsi"/>
          <w:sz w:val="20"/>
          <w:szCs w:val="20"/>
          <w:lang w:val="es-ES"/>
        </w:rPr>
        <w:t>de</w:t>
      </w:r>
      <w:r w:rsidRPr="00304D78">
        <w:rPr>
          <w:rFonts w:asciiTheme="majorHAnsi" w:hAnsiTheme="majorHAnsi"/>
          <w:sz w:val="20"/>
          <w:szCs w:val="20"/>
          <w:lang w:val="es-ES"/>
        </w:rPr>
        <w:t xml:space="preserve"> fecha 3 de abril de 2019, el Estado alega que </w:t>
      </w:r>
      <w:r>
        <w:rPr>
          <w:rFonts w:asciiTheme="majorHAnsi" w:hAnsiTheme="majorHAnsi"/>
          <w:sz w:val="20"/>
          <w:szCs w:val="20"/>
          <w:lang w:val="es-ES"/>
        </w:rPr>
        <w:t>los</w:t>
      </w:r>
      <w:r w:rsidRPr="00304D78">
        <w:rPr>
          <w:rFonts w:asciiTheme="majorHAnsi" w:hAnsiTheme="majorHAnsi"/>
          <w:sz w:val="20"/>
          <w:szCs w:val="20"/>
          <w:lang w:val="es-ES"/>
        </w:rPr>
        <w:t xml:space="preserve"> peticionario</w:t>
      </w:r>
      <w:r>
        <w:rPr>
          <w:rFonts w:asciiTheme="majorHAnsi" w:hAnsiTheme="majorHAnsi"/>
          <w:sz w:val="20"/>
          <w:szCs w:val="20"/>
          <w:lang w:val="es-ES"/>
        </w:rPr>
        <w:t>s</w:t>
      </w:r>
      <w:r w:rsidRPr="00304D78">
        <w:rPr>
          <w:rFonts w:asciiTheme="majorHAnsi" w:hAnsiTheme="majorHAnsi"/>
          <w:sz w:val="20"/>
          <w:szCs w:val="20"/>
          <w:lang w:val="es-ES"/>
        </w:rPr>
        <w:t xml:space="preserve"> no agot</w:t>
      </w:r>
      <w:r>
        <w:rPr>
          <w:rFonts w:asciiTheme="majorHAnsi" w:hAnsiTheme="majorHAnsi"/>
          <w:sz w:val="20"/>
          <w:szCs w:val="20"/>
          <w:lang w:val="es-ES"/>
        </w:rPr>
        <w:t>aron</w:t>
      </w:r>
      <w:r w:rsidRPr="00304D78">
        <w:rPr>
          <w:rFonts w:asciiTheme="majorHAnsi" w:hAnsiTheme="majorHAnsi"/>
          <w:sz w:val="20"/>
          <w:szCs w:val="20"/>
          <w:lang w:val="es-ES"/>
        </w:rPr>
        <w:t xml:space="preserve"> los recursos internos, ya que </w:t>
      </w:r>
      <w:r>
        <w:rPr>
          <w:rFonts w:asciiTheme="majorHAnsi" w:hAnsiTheme="majorHAnsi"/>
          <w:sz w:val="20"/>
          <w:szCs w:val="20"/>
          <w:lang w:val="es-ES"/>
        </w:rPr>
        <w:t xml:space="preserve">hay </w:t>
      </w:r>
      <w:r w:rsidRPr="00304D78">
        <w:rPr>
          <w:rFonts w:asciiTheme="majorHAnsi" w:hAnsiTheme="majorHAnsi"/>
          <w:sz w:val="20"/>
          <w:szCs w:val="20"/>
          <w:lang w:val="es-ES"/>
        </w:rPr>
        <w:t xml:space="preserve">un litigio pendiente ante los tribunales federales </w:t>
      </w:r>
      <w:r>
        <w:rPr>
          <w:rFonts w:asciiTheme="majorHAnsi" w:hAnsiTheme="majorHAnsi"/>
          <w:sz w:val="20"/>
          <w:szCs w:val="20"/>
          <w:lang w:val="es-ES"/>
        </w:rPr>
        <w:t xml:space="preserve">que fue iniciado </w:t>
      </w:r>
      <w:r w:rsidRPr="00304D78">
        <w:rPr>
          <w:rFonts w:asciiTheme="majorHAnsi" w:hAnsiTheme="majorHAnsi"/>
          <w:sz w:val="20"/>
          <w:szCs w:val="20"/>
          <w:lang w:val="es-ES"/>
        </w:rPr>
        <w:t>en 2018.</w:t>
      </w:r>
    </w:p>
    <w:p w14:paraId="053B6261" w14:textId="77777777" w:rsidR="00110F02" w:rsidRPr="00304D78" w:rsidRDefault="00110F02" w:rsidP="00110F02">
      <w:pPr>
        <w:rPr>
          <w:rFonts w:asciiTheme="majorHAnsi" w:hAnsiTheme="majorHAnsi"/>
          <w:sz w:val="20"/>
          <w:szCs w:val="20"/>
          <w:lang w:val="es-ES"/>
        </w:rPr>
      </w:pPr>
    </w:p>
    <w:p w14:paraId="5239DF1B" w14:textId="77777777" w:rsidR="00110F02" w:rsidRPr="00D67EB9" w:rsidRDefault="00110F02" w:rsidP="00D67EB9">
      <w:pPr>
        <w:pStyle w:val="Heading1"/>
        <w:spacing w:before="0"/>
        <w:ind w:left="360"/>
        <w:rPr>
          <w:color w:val="auto"/>
          <w:sz w:val="20"/>
          <w:szCs w:val="20"/>
        </w:rPr>
      </w:pPr>
      <w:bookmarkStart w:id="9" w:name="_Toc16152266"/>
      <w:bookmarkStart w:id="10" w:name="_Toc61514152"/>
      <w:r w:rsidRPr="00D67EB9">
        <w:rPr>
          <w:color w:val="auto"/>
          <w:sz w:val="20"/>
          <w:szCs w:val="20"/>
        </w:rPr>
        <w:t>ADMISIBILIDAD</w:t>
      </w:r>
      <w:bookmarkEnd w:id="9"/>
      <w:bookmarkEnd w:id="10"/>
      <w:r w:rsidRPr="00D67EB9">
        <w:rPr>
          <w:color w:val="auto"/>
          <w:sz w:val="20"/>
          <w:szCs w:val="20"/>
        </w:rPr>
        <w:tab/>
      </w:r>
    </w:p>
    <w:p w14:paraId="1130EDAC" w14:textId="77777777" w:rsidR="00110F02" w:rsidRPr="00304D78" w:rsidRDefault="00110F02" w:rsidP="00110F02">
      <w:pPr>
        <w:rPr>
          <w:rFonts w:asciiTheme="majorHAnsi" w:hAnsiTheme="majorHAnsi"/>
          <w:sz w:val="20"/>
          <w:szCs w:val="20"/>
          <w:lang w:val="es-ES"/>
        </w:rPr>
      </w:pPr>
    </w:p>
    <w:p w14:paraId="1D1A9150" w14:textId="77777777" w:rsidR="00110F02" w:rsidRPr="00997E8C" w:rsidRDefault="00110F02" w:rsidP="005200DD">
      <w:pPr>
        <w:pStyle w:val="Heading2"/>
        <w:numPr>
          <w:ilvl w:val="0"/>
          <w:numId w:val="57"/>
        </w:numPr>
        <w:spacing w:before="0" w:after="0"/>
        <w:ind w:left="360"/>
        <w:rPr>
          <w:rFonts w:asciiTheme="majorHAnsi" w:hAnsiTheme="majorHAnsi"/>
          <w:i w:val="0"/>
          <w:sz w:val="20"/>
          <w:szCs w:val="20"/>
          <w:lang w:val="es-ES"/>
        </w:rPr>
      </w:pPr>
      <w:bookmarkStart w:id="11" w:name="_Toc61514153"/>
      <w:bookmarkStart w:id="12" w:name="_Toc6349142"/>
      <w:r w:rsidRPr="00997E8C">
        <w:rPr>
          <w:rFonts w:asciiTheme="majorHAnsi" w:hAnsiTheme="majorHAnsi"/>
          <w:i w:val="0"/>
          <w:sz w:val="20"/>
          <w:szCs w:val="20"/>
          <w:lang w:val="es-ES"/>
        </w:rPr>
        <w:t>Competencia, duplicación de procedimientos y cosa juzgada internacional</w:t>
      </w:r>
      <w:bookmarkEnd w:id="11"/>
      <w:r w:rsidRPr="00997E8C">
        <w:rPr>
          <w:rFonts w:asciiTheme="majorHAnsi" w:hAnsiTheme="majorHAnsi"/>
          <w:i w:val="0"/>
          <w:sz w:val="20"/>
          <w:szCs w:val="20"/>
          <w:lang w:val="es-ES"/>
        </w:rPr>
        <w:t xml:space="preserve"> </w:t>
      </w:r>
      <w:bookmarkEnd w:id="12"/>
    </w:p>
    <w:p w14:paraId="1F457BE3" w14:textId="77777777" w:rsidR="00110F02" w:rsidRPr="00304D78" w:rsidRDefault="00110F02" w:rsidP="00110F02">
      <w:pPr>
        <w:rPr>
          <w:rFonts w:asciiTheme="majorHAnsi" w:hAnsiTheme="majorHAnsi"/>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110F02" w:rsidRPr="00304D78" w14:paraId="6C14C16A" w14:textId="77777777" w:rsidTr="00110F02">
        <w:trPr>
          <w:cantSplit/>
        </w:trPr>
        <w:tc>
          <w:tcPr>
            <w:tcW w:w="3600" w:type="dxa"/>
            <w:tcBorders>
              <w:top w:val="single" w:sz="4" w:space="0" w:color="auto"/>
              <w:bottom w:val="single" w:sz="6" w:space="0" w:color="auto"/>
            </w:tcBorders>
            <w:shd w:val="clear" w:color="auto" w:fill="386294"/>
            <w:vAlign w:val="center"/>
          </w:tcPr>
          <w:p w14:paraId="47AE746D" w14:textId="77777777" w:rsidR="00110F02" w:rsidRPr="00304D78" w:rsidRDefault="00110F02" w:rsidP="00110F02">
            <w:pPr>
              <w:jc w:val="center"/>
              <w:rPr>
                <w:rFonts w:asciiTheme="majorHAnsi" w:hAnsiTheme="majorHAnsi"/>
                <w:b/>
                <w:bCs/>
                <w:i/>
                <w:color w:val="FFFFFF" w:themeColor="background1"/>
                <w:sz w:val="20"/>
                <w:szCs w:val="20"/>
                <w:lang w:val="es-ES"/>
              </w:rPr>
            </w:pPr>
            <w:r w:rsidRPr="00304D78">
              <w:rPr>
                <w:rFonts w:asciiTheme="majorHAnsi" w:hAnsiTheme="majorHAnsi"/>
                <w:b/>
                <w:bCs/>
                <w:color w:val="FFFFFF" w:themeColor="background1"/>
                <w:sz w:val="20"/>
                <w:szCs w:val="20"/>
                <w:lang w:val="es-ES"/>
              </w:rPr>
              <w:t>Competencia</w:t>
            </w:r>
            <w:r w:rsidRPr="00304D78">
              <w:rPr>
                <w:rFonts w:asciiTheme="majorHAnsi" w:hAnsiTheme="majorHAnsi"/>
                <w:b/>
                <w:bCs/>
                <w:i/>
                <w:color w:val="FFFFFF" w:themeColor="background1"/>
                <w:sz w:val="20"/>
                <w:szCs w:val="20"/>
                <w:lang w:val="es-ES"/>
              </w:rPr>
              <w:t xml:space="preserve"> ratione personae:</w:t>
            </w:r>
          </w:p>
        </w:tc>
        <w:tc>
          <w:tcPr>
            <w:tcW w:w="5760" w:type="dxa"/>
            <w:vAlign w:val="center"/>
          </w:tcPr>
          <w:p w14:paraId="0AB565F3" w14:textId="77777777" w:rsidR="00110F02" w:rsidRPr="00304D78" w:rsidRDefault="00110F02" w:rsidP="00110F02">
            <w:pPr>
              <w:rPr>
                <w:rFonts w:asciiTheme="majorHAnsi" w:hAnsiTheme="majorHAnsi"/>
                <w:bCs/>
                <w:sz w:val="20"/>
                <w:szCs w:val="20"/>
                <w:lang w:val="es-ES"/>
              </w:rPr>
            </w:pPr>
            <w:r w:rsidRPr="00304D78">
              <w:rPr>
                <w:rFonts w:asciiTheme="majorHAnsi" w:hAnsiTheme="majorHAnsi"/>
                <w:bCs/>
                <w:sz w:val="20"/>
                <w:szCs w:val="20"/>
                <w:lang w:val="es-ES"/>
              </w:rPr>
              <w:t>Sí</w:t>
            </w:r>
          </w:p>
        </w:tc>
      </w:tr>
      <w:tr w:rsidR="00110F02" w:rsidRPr="00304D78" w14:paraId="5E1F495A" w14:textId="77777777" w:rsidTr="00110F02">
        <w:trPr>
          <w:cantSplit/>
        </w:trPr>
        <w:tc>
          <w:tcPr>
            <w:tcW w:w="3600" w:type="dxa"/>
            <w:tcBorders>
              <w:top w:val="single" w:sz="6" w:space="0" w:color="auto"/>
              <w:bottom w:val="single" w:sz="6" w:space="0" w:color="auto"/>
            </w:tcBorders>
            <w:shd w:val="clear" w:color="auto" w:fill="386294"/>
            <w:vAlign w:val="center"/>
          </w:tcPr>
          <w:p w14:paraId="734CEACD" w14:textId="77777777" w:rsidR="00110F02" w:rsidRPr="00304D78" w:rsidRDefault="00110F02" w:rsidP="00110F02">
            <w:pPr>
              <w:jc w:val="center"/>
              <w:rPr>
                <w:rFonts w:asciiTheme="majorHAnsi" w:hAnsiTheme="majorHAnsi"/>
                <w:b/>
                <w:bCs/>
                <w:color w:val="FFFFFF" w:themeColor="background1"/>
                <w:sz w:val="20"/>
                <w:szCs w:val="20"/>
                <w:lang w:val="es-ES"/>
              </w:rPr>
            </w:pPr>
            <w:r w:rsidRPr="00304D78">
              <w:rPr>
                <w:rFonts w:asciiTheme="majorHAnsi" w:hAnsiTheme="majorHAnsi"/>
                <w:b/>
                <w:bCs/>
                <w:color w:val="FFFFFF" w:themeColor="background1"/>
                <w:sz w:val="20"/>
                <w:szCs w:val="20"/>
                <w:lang w:val="es-ES"/>
              </w:rPr>
              <w:t>Competencia</w:t>
            </w:r>
            <w:r w:rsidRPr="00304D78">
              <w:rPr>
                <w:rFonts w:asciiTheme="majorHAnsi" w:hAnsiTheme="majorHAnsi"/>
                <w:b/>
                <w:bCs/>
                <w:i/>
                <w:color w:val="FFFFFF" w:themeColor="background1"/>
                <w:sz w:val="20"/>
                <w:szCs w:val="20"/>
                <w:lang w:val="es-ES"/>
              </w:rPr>
              <w:t xml:space="preserve"> ratione loci</w:t>
            </w:r>
            <w:r w:rsidRPr="00304D78">
              <w:rPr>
                <w:rFonts w:asciiTheme="majorHAnsi" w:hAnsiTheme="majorHAnsi"/>
                <w:b/>
                <w:bCs/>
                <w:color w:val="FFFFFF" w:themeColor="background1"/>
                <w:sz w:val="20"/>
                <w:szCs w:val="20"/>
                <w:lang w:val="es-ES"/>
              </w:rPr>
              <w:t>:</w:t>
            </w:r>
          </w:p>
        </w:tc>
        <w:tc>
          <w:tcPr>
            <w:tcW w:w="5760" w:type="dxa"/>
            <w:vAlign w:val="center"/>
          </w:tcPr>
          <w:p w14:paraId="68D8BEDE" w14:textId="77777777" w:rsidR="00110F02" w:rsidRPr="00304D78" w:rsidRDefault="00110F02" w:rsidP="00110F02">
            <w:pPr>
              <w:rPr>
                <w:rFonts w:asciiTheme="majorHAnsi" w:hAnsiTheme="majorHAnsi"/>
                <w:bCs/>
                <w:sz w:val="20"/>
                <w:szCs w:val="20"/>
                <w:lang w:val="es-ES"/>
              </w:rPr>
            </w:pPr>
            <w:r w:rsidRPr="00304D78">
              <w:rPr>
                <w:rFonts w:asciiTheme="majorHAnsi" w:hAnsiTheme="majorHAnsi"/>
                <w:bCs/>
                <w:sz w:val="20"/>
                <w:szCs w:val="20"/>
                <w:lang w:val="es-ES"/>
              </w:rPr>
              <w:t>Sí</w:t>
            </w:r>
          </w:p>
        </w:tc>
      </w:tr>
      <w:tr w:rsidR="00110F02" w:rsidRPr="00304D78" w14:paraId="46FBBDE1" w14:textId="77777777" w:rsidTr="00110F02">
        <w:trPr>
          <w:cantSplit/>
        </w:trPr>
        <w:tc>
          <w:tcPr>
            <w:tcW w:w="3600" w:type="dxa"/>
            <w:tcBorders>
              <w:top w:val="single" w:sz="6" w:space="0" w:color="auto"/>
              <w:bottom w:val="single" w:sz="6" w:space="0" w:color="auto"/>
            </w:tcBorders>
            <w:shd w:val="clear" w:color="auto" w:fill="386294"/>
            <w:vAlign w:val="center"/>
          </w:tcPr>
          <w:p w14:paraId="714DE173" w14:textId="77777777" w:rsidR="00110F02" w:rsidRPr="00304D78" w:rsidRDefault="00110F02" w:rsidP="00110F02">
            <w:pPr>
              <w:jc w:val="center"/>
              <w:rPr>
                <w:rFonts w:asciiTheme="majorHAnsi" w:hAnsiTheme="majorHAnsi"/>
                <w:b/>
                <w:bCs/>
                <w:color w:val="FFFFFF" w:themeColor="background1"/>
                <w:sz w:val="20"/>
                <w:szCs w:val="20"/>
                <w:lang w:val="es-ES"/>
              </w:rPr>
            </w:pPr>
            <w:r w:rsidRPr="00304D78">
              <w:rPr>
                <w:rFonts w:asciiTheme="majorHAnsi" w:hAnsiTheme="majorHAnsi"/>
                <w:b/>
                <w:bCs/>
                <w:color w:val="FFFFFF" w:themeColor="background1"/>
                <w:sz w:val="20"/>
                <w:szCs w:val="20"/>
                <w:lang w:val="es-ES"/>
              </w:rPr>
              <w:t>Competencia</w:t>
            </w:r>
            <w:r w:rsidRPr="00304D78">
              <w:rPr>
                <w:rFonts w:asciiTheme="majorHAnsi" w:hAnsiTheme="majorHAnsi"/>
                <w:b/>
                <w:bCs/>
                <w:i/>
                <w:color w:val="FFFFFF" w:themeColor="background1"/>
                <w:sz w:val="20"/>
                <w:szCs w:val="20"/>
                <w:lang w:val="es-ES"/>
              </w:rPr>
              <w:t xml:space="preserve"> ratione temporis</w:t>
            </w:r>
            <w:r w:rsidRPr="00304D78">
              <w:rPr>
                <w:rFonts w:asciiTheme="majorHAnsi" w:hAnsiTheme="majorHAnsi"/>
                <w:b/>
                <w:bCs/>
                <w:color w:val="FFFFFF" w:themeColor="background1"/>
                <w:sz w:val="20"/>
                <w:szCs w:val="20"/>
                <w:lang w:val="es-ES"/>
              </w:rPr>
              <w:t>:</w:t>
            </w:r>
          </w:p>
        </w:tc>
        <w:tc>
          <w:tcPr>
            <w:tcW w:w="5760" w:type="dxa"/>
            <w:vAlign w:val="center"/>
          </w:tcPr>
          <w:p w14:paraId="53CEFE39" w14:textId="77777777" w:rsidR="00110F02" w:rsidRPr="00304D78" w:rsidRDefault="00110F02" w:rsidP="00110F02">
            <w:pPr>
              <w:rPr>
                <w:rFonts w:asciiTheme="majorHAnsi" w:hAnsiTheme="majorHAnsi"/>
                <w:bCs/>
                <w:sz w:val="20"/>
                <w:szCs w:val="20"/>
                <w:lang w:val="es-ES"/>
              </w:rPr>
            </w:pPr>
            <w:r w:rsidRPr="00304D78">
              <w:rPr>
                <w:rFonts w:asciiTheme="majorHAnsi" w:hAnsiTheme="majorHAnsi"/>
                <w:bCs/>
                <w:sz w:val="20"/>
                <w:szCs w:val="20"/>
                <w:lang w:val="es-ES"/>
              </w:rPr>
              <w:t>Sí</w:t>
            </w:r>
          </w:p>
        </w:tc>
      </w:tr>
      <w:tr w:rsidR="00110F02" w:rsidRPr="003036C4" w14:paraId="4AA1C4A6" w14:textId="77777777" w:rsidTr="00110F02">
        <w:trPr>
          <w:cantSplit/>
        </w:trPr>
        <w:tc>
          <w:tcPr>
            <w:tcW w:w="3600" w:type="dxa"/>
            <w:tcBorders>
              <w:top w:val="single" w:sz="6" w:space="0" w:color="auto"/>
              <w:bottom w:val="single" w:sz="6" w:space="0" w:color="auto"/>
            </w:tcBorders>
            <w:shd w:val="clear" w:color="auto" w:fill="386294"/>
            <w:vAlign w:val="center"/>
          </w:tcPr>
          <w:p w14:paraId="42B02D2A" w14:textId="77777777" w:rsidR="00110F02" w:rsidRPr="00304D78" w:rsidRDefault="00110F02" w:rsidP="00110F02">
            <w:pPr>
              <w:jc w:val="center"/>
              <w:rPr>
                <w:rFonts w:asciiTheme="majorHAnsi" w:hAnsiTheme="majorHAnsi"/>
                <w:b/>
                <w:bCs/>
                <w:color w:val="FFFFFF" w:themeColor="background1"/>
                <w:sz w:val="20"/>
                <w:szCs w:val="20"/>
                <w:lang w:val="es-ES"/>
              </w:rPr>
            </w:pPr>
            <w:r w:rsidRPr="00304D78">
              <w:rPr>
                <w:rFonts w:asciiTheme="majorHAnsi" w:hAnsiTheme="majorHAnsi"/>
                <w:b/>
                <w:bCs/>
                <w:color w:val="FFFFFF" w:themeColor="background1"/>
                <w:sz w:val="20"/>
                <w:szCs w:val="20"/>
                <w:lang w:val="es-ES"/>
              </w:rPr>
              <w:t>Competencia</w:t>
            </w:r>
            <w:r w:rsidRPr="00304D78">
              <w:rPr>
                <w:rFonts w:asciiTheme="majorHAnsi" w:hAnsiTheme="majorHAnsi"/>
                <w:b/>
                <w:bCs/>
                <w:i/>
                <w:color w:val="FFFFFF" w:themeColor="background1"/>
                <w:sz w:val="20"/>
                <w:szCs w:val="20"/>
                <w:lang w:val="es-ES"/>
              </w:rPr>
              <w:t xml:space="preserve"> ratione materiae</w:t>
            </w:r>
            <w:r w:rsidRPr="00304D78">
              <w:rPr>
                <w:rFonts w:asciiTheme="majorHAnsi" w:hAnsiTheme="majorHAnsi"/>
                <w:b/>
                <w:bCs/>
                <w:color w:val="FFFFFF" w:themeColor="background1"/>
                <w:sz w:val="20"/>
                <w:szCs w:val="20"/>
                <w:lang w:val="es-ES"/>
              </w:rPr>
              <w:t>:</w:t>
            </w:r>
          </w:p>
        </w:tc>
        <w:tc>
          <w:tcPr>
            <w:tcW w:w="5760" w:type="dxa"/>
            <w:vAlign w:val="center"/>
          </w:tcPr>
          <w:p w14:paraId="7BC18895" w14:textId="77777777" w:rsidR="00110F02" w:rsidRPr="00304D78" w:rsidRDefault="00110F02" w:rsidP="00AA4696">
            <w:pPr>
              <w:jc w:val="both"/>
              <w:rPr>
                <w:rFonts w:asciiTheme="majorHAnsi" w:hAnsiTheme="majorHAnsi"/>
                <w:bCs/>
                <w:sz w:val="20"/>
                <w:szCs w:val="20"/>
                <w:lang w:val="es-ES"/>
              </w:rPr>
            </w:pPr>
            <w:r w:rsidRPr="00304D78">
              <w:rPr>
                <w:rFonts w:asciiTheme="majorHAnsi" w:hAnsiTheme="majorHAnsi"/>
                <w:bCs/>
                <w:sz w:val="20"/>
                <w:szCs w:val="20"/>
                <w:lang w:val="es-ES"/>
              </w:rPr>
              <w:t>Sí, Declaración Americana de los Derechos y Deberes del Hombre (ratificación de la Carta de la OEA el 19 de junio de 1951)</w:t>
            </w:r>
          </w:p>
        </w:tc>
      </w:tr>
      <w:tr w:rsidR="00110F02" w:rsidRPr="00304D78" w14:paraId="349B4575" w14:textId="77777777" w:rsidTr="00110F02">
        <w:trPr>
          <w:cantSplit/>
        </w:trPr>
        <w:tc>
          <w:tcPr>
            <w:tcW w:w="3600" w:type="dxa"/>
            <w:tcBorders>
              <w:top w:val="single" w:sz="6" w:space="0" w:color="auto"/>
              <w:bottom w:val="single" w:sz="6" w:space="0" w:color="auto"/>
            </w:tcBorders>
            <w:shd w:val="clear" w:color="auto" w:fill="386294"/>
            <w:vAlign w:val="center"/>
          </w:tcPr>
          <w:p w14:paraId="3B01EC59" w14:textId="77777777" w:rsidR="00110F02" w:rsidRPr="00304D78" w:rsidRDefault="00110F02" w:rsidP="00110F02">
            <w:pPr>
              <w:jc w:val="center"/>
              <w:rPr>
                <w:rFonts w:asciiTheme="majorHAnsi" w:hAnsiTheme="majorHAnsi"/>
                <w:b/>
                <w:bCs/>
                <w:color w:val="FFFFFF" w:themeColor="background1"/>
                <w:sz w:val="20"/>
                <w:szCs w:val="20"/>
                <w:lang w:val="es-ES"/>
              </w:rPr>
            </w:pPr>
            <w:r w:rsidRPr="00304D78">
              <w:rPr>
                <w:rFonts w:asciiTheme="majorHAnsi" w:hAnsiTheme="majorHAnsi"/>
                <w:b/>
                <w:bCs/>
                <w:color w:val="FFFFFF" w:themeColor="background1"/>
                <w:sz w:val="20"/>
                <w:szCs w:val="20"/>
                <w:lang w:val="es-ES"/>
              </w:rPr>
              <w:t>Duplicación de procedimientos</w:t>
            </w:r>
          </w:p>
          <w:p w14:paraId="53D4D637" w14:textId="77777777" w:rsidR="00110F02" w:rsidRPr="00304D78" w:rsidRDefault="00110F02" w:rsidP="00110F02">
            <w:pPr>
              <w:jc w:val="center"/>
              <w:rPr>
                <w:rFonts w:asciiTheme="majorHAnsi" w:hAnsiTheme="majorHAnsi"/>
                <w:b/>
                <w:bCs/>
                <w:color w:val="FFFFFF" w:themeColor="background1"/>
                <w:sz w:val="20"/>
                <w:szCs w:val="20"/>
                <w:lang w:val="es-ES"/>
              </w:rPr>
            </w:pPr>
            <w:r w:rsidRPr="00304D78">
              <w:rPr>
                <w:rFonts w:asciiTheme="majorHAnsi" w:hAnsiTheme="majorHAnsi"/>
                <w:b/>
                <w:bCs/>
                <w:color w:val="FFFFFF" w:themeColor="background1"/>
                <w:sz w:val="20"/>
                <w:szCs w:val="20"/>
                <w:lang w:val="es-ES"/>
              </w:rPr>
              <w:t>y cosa juzgada internacional:</w:t>
            </w:r>
          </w:p>
        </w:tc>
        <w:tc>
          <w:tcPr>
            <w:tcW w:w="5760" w:type="dxa"/>
            <w:vAlign w:val="center"/>
          </w:tcPr>
          <w:p w14:paraId="272AEB8D" w14:textId="77777777" w:rsidR="00110F02" w:rsidRPr="00304D78" w:rsidRDefault="00110F02" w:rsidP="00110F02">
            <w:pPr>
              <w:jc w:val="both"/>
              <w:rPr>
                <w:rFonts w:asciiTheme="majorHAnsi" w:hAnsiTheme="majorHAnsi"/>
                <w:bCs/>
                <w:sz w:val="20"/>
                <w:szCs w:val="20"/>
                <w:lang w:val="es-ES"/>
              </w:rPr>
            </w:pPr>
            <w:r w:rsidRPr="00304D78">
              <w:rPr>
                <w:rFonts w:asciiTheme="majorHAnsi" w:hAnsiTheme="majorHAnsi"/>
                <w:bCs/>
                <w:sz w:val="20"/>
                <w:szCs w:val="20"/>
                <w:lang w:val="es-ES"/>
              </w:rPr>
              <w:t>No</w:t>
            </w:r>
          </w:p>
        </w:tc>
      </w:tr>
    </w:tbl>
    <w:p w14:paraId="43C46D0D" w14:textId="77777777" w:rsidR="00110F02" w:rsidRPr="00304D78" w:rsidRDefault="00110F02" w:rsidP="00110F02">
      <w:pPr>
        <w:rPr>
          <w:rFonts w:asciiTheme="majorHAnsi" w:hAnsiTheme="majorHAnsi"/>
          <w:sz w:val="20"/>
          <w:szCs w:val="20"/>
          <w:lang w:val="es-ES"/>
        </w:rPr>
      </w:pPr>
    </w:p>
    <w:p w14:paraId="61985381"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304D78">
        <w:rPr>
          <w:rFonts w:asciiTheme="majorHAnsi" w:hAnsiTheme="majorHAnsi"/>
          <w:sz w:val="20"/>
          <w:szCs w:val="20"/>
          <w:lang w:val="es-ES"/>
        </w:rPr>
        <w:t>La Comisión observa que Estados Unidos alega que el reclamo del señor Robinson relativo a la supuesta discriminación racial en la administración general de la pena de muerte no demuestra una violación concreta de derechos en un caso individual. Basándose e</w:t>
      </w:r>
      <w:r w:rsidR="00AA4696">
        <w:rPr>
          <w:rFonts w:asciiTheme="majorHAnsi" w:hAnsiTheme="majorHAnsi"/>
          <w:sz w:val="20"/>
          <w:szCs w:val="20"/>
          <w:lang w:val="es-ES"/>
        </w:rPr>
        <w:t>n</w:t>
      </w:r>
      <w:r w:rsidRPr="00304D78">
        <w:rPr>
          <w:rFonts w:asciiTheme="majorHAnsi" w:hAnsiTheme="majorHAnsi"/>
          <w:sz w:val="20"/>
          <w:szCs w:val="20"/>
          <w:lang w:val="es-ES"/>
        </w:rPr>
        <w:t xml:space="preserve"> decisiones de la CIDH, el Estado concluye que este reclamo constituye una </w:t>
      </w:r>
      <w:r w:rsidRPr="00304D78">
        <w:rPr>
          <w:rFonts w:asciiTheme="majorHAnsi" w:hAnsiTheme="majorHAnsi"/>
          <w:i/>
          <w:sz w:val="20"/>
          <w:szCs w:val="20"/>
          <w:lang w:val="es-ES"/>
        </w:rPr>
        <w:t>actio popularis</w:t>
      </w:r>
      <w:r w:rsidRPr="00304D78">
        <w:rPr>
          <w:rFonts w:asciiTheme="majorHAnsi" w:hAnsiTheme="majorHAnsi"/>
          <w:sz w:val="20"/>
          <w:szCs w:val="20"/>
          <w:lang w:val="es-ES"/>
        </w:rPr>
        <w:t xml:space="preserve"> y</w:t>
      </w:r>
      <w:r w:rsidR="00AA4696">
        <w:rPr>
          <w:rFonts w:asciiTheme="majorHAnsi" w:hAnsiTheme="majorHAnsi"/>
          <w:sz w:val="20"/>
          <w:szCs w:val="20"/>
          <w:lang w:val="es-ES"/>
        </w:rPr>
        <w:t xml:space="preserve"> que</w:t>
      </w:r>
      <w:r w:rsidRPr="00304D78">
        <w:rPr>
          <w:rFonts w:asciiTheme="majorHAnsi" w:hAnsiTheme="majorHAnsi"/>
          <w:sz w:val="20"/>
          <w:szCs w:val="20"/>
          <w:lang w:val="es-ES"/>
        </w:rPr>
        <w:t xml:space="preserve">, por lo tanto, la CIDH no tiene competencia </w:t>
      </w:r>
      <w:r w:rsidRPr="00304D78">
        <w:rPr>
          <w:rFonts w:asciiTheme="majorHAnsi" w:hAnsiTheme="majorHAnsi"/>
          <w:i/>
          <w:sz w:val="20"/>
          <w:szCs w:val="20"/>
          <w:lang w:val="es-ES"/>
        </w:rPr>
        <w:t>rationae personae</w:t>
      </w:r>
      <w:r w:rsidRPr="00304D78">
        <w:rPr>
          <w:rFonts w:asciiTheme="majorHAnsi" w:hAnsiTheme="majorHAnsi"/>
          <w:sz w:val="20"/>
          <w:szCs w:val="20"/>
          <w:lang w:val="es-ES"/>
        </w:rPr>
        <w:t>.</w:t>
      </w:r>
    </w:p>
    <w:p w14:paraId="2BC85627"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ES"/>
        </w:rPr>
      </w:pPr>
    </w:p>
    <w:p w14:paraId="3F9DEB49"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304D78">
        <w:rPr>
          <w:rFonts w:asciiTheme="majorHAnsi" w:hAnsiTheme="majorHAnsi"/>
          <w:sz w:val="20"/>
          <w:szCs w:val="20"/>
          <w:lang w:val="es-ES"/>
        </w:rPr>
        <w:t>El Estado se remite al Informe de Inadmisibilidad No. 100/14</w:t>
      </w:r>
      <w:r w:rsidRPr="00304D78">
        <w:rPr>
          <w:rStyle w:val="FootnoteReference"/>
          <w:rFonts w:asciiTheme="majorHAnsi" w:hAnsiTheme="majorHAnsi"/>
          <w:sz w:val="20"/>
          <w:szCs w:val="20"/>
          <w:lang w:val="es-ES"/>
        </w:rPr>
        <w:footnoteReference w:id="4"/>
      </w:r>
      <w:r w:rsidRPr="00304D78">
        <w:rPr>
          <w:rFonts w:asciiTheme="majorHAnsi" w:hAnsiTheme="majorHAnsi"/>
          <w:sz w:val="20"/>
          <w:szCs w:val="20"/>
          <w:lang w:val="es-ES"/>
        </w:rPr>
        <w:t xml:space="preserve">, en el cual la Comisión concluyó que la petición era inadmisible por falta de competencia </w:t>
      </w:r>
      <w:r w:rsidRPr="00304D78">
        <w:rPr>
          <w:rFonts w:asciiTheme="majorHAnsi" w:hAnsiTheme="majorHAnsi"/>
          <w:i/>
          <w:sz w:val="20"/>
          <w:szCs w:val="20"/>
          <w:lang w:val="es-ES"/>
        </w:rPr>
        <w:t>rationae personae</w:t>
      </w:r>
      <w:r w:rsidRPr="00304D78">
        <w:rPr>
          <w:rFonts w:asciiTheme="majorHAnsi" w:hAnsiTheme="majorHAnsi"/>
          <w:sz w:val="20"/>
          <w:szCs w:val="20"/>
          <w:lang w:val="es-ES"/>
        </w:rPr>
        <w:t xml:space="preserve">, ya que constituía una </w:t>
      </w:r>
      <w:r w:rsidRPr="00304D78">
        <w:rPr>
          <w:rFonts w:asciiTheme="majorHAnsi" w:hAnsiTheme="majorHAnsi"/>
          <w:i/>
          <w:sz w:val="20"/>
          <w:szCs w:val="20"/>
          <w:lang w:val="es-ES"/>
        </w:rPr>
        <w:t>actio popularis</w:t>
      </w:r>
      <w:r w:rsidRPr="00304D78">
        <w:rPr>
          <w:rFonts w:asciiTheme="majorHAnsi" w:hAnsiTheme="majorHAnsi"/>
          <w:sz w:val="20"/>
          <w:szCs w:val="20"/>
          <w:lang w:val="es-ES"/>
        </w:rPr>
        <w:t xml:space="preserve"> presentada a nombre de un grupo no determinado de personas. No obstante, en el caso de autos, la alegación de discriminación racial se formuló en el </w:t>
      </w:r>
      <w:r>
        <w:rPr>
          <w:rFonts w:asciiTheme="majorHAnsi" w:hAnsiTheme="majorHAnsi"/>
          <w:sz w:val="20"/>
          <w:szCs w:val="20"/>
          <w:lang w:val="es-ES"/>
        </w:rPr>
        <w:t>ámbito</w:t>
      </w:r>
      <w:r w:rsidRPr="00304D78">
        <w:rPr>
          <w:rFonts w:asciiTheme="majorHAnsi" w:hAnsiTheme="majorHAnsi"/>
          <w:sz w:val="20"/>
          <w:szCs w:val="20"/>
          <w:lang w:val="es-ES"/>
        </w:rPr>
        <w:t xml:space="preserve"> interno y ante la Comisión en nombre del señor Robinson. Por lo tanto, la Comisión tiene competencia para pronunciarse en el </w:t>
      </w:r>
      <w:r w:rsidR="008A3E0D">
        <w:rPr>
          <w:rFonts w:asciiTheme="majorHAnsi" w:hAnsiTheme="majorHAnsi"/>
          <w:sz w:val="20"/>
          <w:szCs w:val="20"/>
          <w:lang w:val="es-ES"/>
        </w:rPr>
        <w:t xml:space="preserve">presente </w:t>
      </w:r>
      <w:r w:rsidRPr="00304D78">
        <w:rPr>
          <w:rFonts w:asciiTheme="majorHAnsi" w:hAnsiTheme="majorHAnsi"/>
          <w:sz w:val="20"/>
          <w:szCs w:val="20"/>
          <w:lang w:val="es-ES"/>
        </w:rPr>
        <w:t xml:space="preserve">caso. </w:t>
      </w:r>
    </w:p>
    <w:p w14:paraId="2858368C" w14:textId="77777777" w:rsidR="00110F02" w:rsidRPr="00304D78" w:rsidRDefault="00110F02" w:rsidP="00110F02">
      <w:pPr>
        <w:rPr>
          <w:rFonts w:asciiTheme="majorHAnsi" w:hAnsiTheme="majorHAnsi"/>
          <w:sz w:val="20"/>
          <w:szCs w:val="20"/>
          <w:lang w:val="es-ES"/>
        </w:rPr>
      </w:pPr>
    </w:p>
    <w:p w14:paraId="5B316955" w14:textId="77777777" w:rsidR="00110F02" w:rsidRPr="00997E8C" w:rsidRDefault="00110F02" w:rsidP="005200DD">
      <w:pPr>
        <w:pStyle w:val="Heading2"/>
        <w:numPr>
          <w:ilvl w:val="0"/>
          <w:numId w:val="57"/>
        </w:numPr>
        <w:spacing w:before="0" w:after="0"/>
        <w:ind w:left="360"/>
        <w:rPr>
          <w:rFonts w:asciiTheme="majorHAnsi" w:hAnsiTheme="majorHAnsi"/>
          <w:i w:val="0"/>
          <w:sz w:val="20"/>
          <w:szCs w:val="20"/>
          <w:lang w:val="es-ES"/>
        </w:rPr>
      </w:pPr>
      <w:bookmarkStart w:id="13" w:name="_Toc16152268"/>
      <w:bookmarkStart w:id="14" w:name="_Toc61514154"/>
      <w:r w:rsidRPr="00997E8C">
        <w:rPr>
          <w:rFonts w:asciiTheme="majorHAnsi" w:hAnsiTheme="majorHAnsi"/>
          <w:i w:val="0"/>
          <w:sz w:val="20"/>
          <w:szCs w:val="20"/>
          <w:lang w:val="es-ES"/>
        </w:rPr>
        <w:t>Agotamiento de los recursos internos y plazo de presentación</w:t>
      </w:r>
      <w:bookmarkEnd w:id="13"/>
      <w:bookmarkEnd w:id="14"/>
    </w:p>
    <w:p w14:paraId="11A2BEDE" w14:textId="77777777" w:rsidR="00110F02" w:rsidRPr="00304D78" w:rsidRDefault="00110F02" w:rsidP="00110F02">
      <w:pPr>
        <w:rPr>
          <w:rFonts w:asciiTheme="majorHAnsi" w:hAnsiTheme="majorHAnsi"/>
          <w:color w:val="FF0000"/>
          <w:sz w:val="20"/>
          <w:szCs w:val="20"/>
          <w:lang w:val="es-ES"/>
        </w:rPr>
      </w:pPr>
    </w:p>
    <w:p w14:paraId="2B810E16"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304D78">
        <w:rPr>
          <w:rFonts w:asciiTheme="majorHAnsi" w:hAnsiTheme="majorHAnsi"/>
          <w:sz w:val="20"/>
          <w:szCs w:val="20"/>
          <w:lang w:val="es-ES"/>
        </w:rPr>
        <w:t xml:space="preserve">Según la información disponible, y como se desprende de los hechos que se describen a continuación, el señor Robinson fue condenado a muerte por el Tribunal Federal de Distrito para el Distrito Norte de Texas el 5 de junio de 2002. El Tribunal Federal de Apelaciones para el Quinto Circuito ratificó la condena y la sentencia del señor Robinson el 14 de abril de 2004. El 29 de noviembre de 2004, la Corte Suprema de Estados Unidos denegó el auto de avocación presentado por el señor Robinson. </w:t>
      </w:r>
    </w:p>
    <w:p w14:paraId="110627C1"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ES"/>
        </w:rPr>
      </w:pPr>
    </w:p>
    <w:p w14:paraId="342FCEB6"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El señor Robinson interpuso un recurso de hábeas corpus en la etapa poscondenatoria, alegando, entre otras cosas, discriminación racial, patrocinio letrado ineficaz y violaciones del debido proceso, y pidió una audiencia probatoria para presentar estos reclamos. El 7 de noviembre de 2008, el tribunal de distrito denegó su pedimento de invalidación de </w:t>
      </w:r>
      <w:r>
        <w:rPr>
          <w:rFonts w:asciiTheme="majorHAnsi" w:hAnsiTheme="majorHAnsi"/>
          <w:sz w:val="20"/>
          <w:szCs w:val="20"/>
          <w:lang w:val="es-ES"/>
        </w:rPr>
        <w:t>condena y sentencia</w:t>
      </w:r>
      <w:r w:rsidRPr="00304D78">
        <w:rPr>
          <w:rFonts w:asciiTheme="majorHAnsi" w:hAnsiTheme="majorHAnsi"/>
          <w:sz w:val="20"/>
          <w:szCs w:val="20"/>
          <w:lang w:val="es-ES"/>
        </w:rPr>
        <w:t>, así como su solicitud de audiencia probatoria. El señor Robinson apeló la denegación al Tribunal Federal de Apelaciones para el Quinto Circuito, pero, el 8 de junio de 2010, el Quinto Circuito denegó su solicitud de certificado de apelabilidad. El 3 de octubre de 2011, la Corte Suprema denegó una solicitud de auto de avocación. El 28 de febrero de 2018, el abogado</w:t>
      </w:r>
      <w:r w:rsidR="00C66C34">
        <w:rPr>
          <w:rFonts w:asciiTheme="majorHAnsi" w:hAnsiTheme="majorHAnsi"/>
          <w:sz w:val="20"/>
          <w:szCs w:val="20"/>
          <w:lang w:val="es-ES"/>
        </w:rPr>
        <w:t xml:space="preserve"> del señor Robinson presentó una moción </w:t>
      </w:r>
      <w:r w:rsidRPr="00304D78">
        <w:rPr>
          <w:rFonts w:asciiTheme="majorHAnsi" w:hAnsiTheme="majorHAnsi"/>
          <w:sz w:val="20"/>
          <w:szCs w:val="20"/>
          <w:lang w:val="es-ES"/>
        </w:rPr>
        <w:t>para rever el fallo del Tribunal Federal de Distrito para el Distrito Norte de Texas. La CIDH no ha recibido información sobre el resultado de esta petición.</w:t>
      </w:r>
    </w:p>
    <w:p w14:paraId="2919ED6B" w14:textId="77777777" w:rsidR="00110F02" w:rsidRPr="00304D78" w:rsidRDefault="00110F02" w:rsidP="00110F02">
      <w:pPr>
        <w:pStyle w:val="ListParagraph"/>
        <w:rPr>
          <w:rFonts w:asciiTheme="majorHAnsi" w:hAnsiTheme="majorHAnsi"/>
          <w:sz w:val="20"/>
          <w:szCs w:val="20"/>
          <w:lang w:val="es-ES"/>
        </w:rPr>
      </w:pPr>
    </w:p>
    <w:p w14:paraId="62B5D86B"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color w:val="FF0000"/>
          <w:sz w:val="20"/>
          <w:szCs w:val="20"/>
          <w:lang w:val="es-ES"/>
        </w:rPr>
      </w:pPr>
      <w:r w:rsidRPr="00304D78">
        <w:rPr>
          <w:rFonts w:asciiTheme="majorHAnsi" w:hAnsiTheme="majorHAnsi"/>
          <w:sz w:val="20"/>
          <w:szCs w:val="20"/>
          <w:lang w:val="es-ES"/>
        </w:rPr>
        <w:t xml:space="preserve">La CIDH observa la posición del Estado de que la petición no cumple el requisito de agotamiento de los recursos internos, ya que </w:t>
      </w:r>
      <w:r>
        <w:rPr>
          <w:rFonts w:asciiTheme="majorHAnsi" w:hAnsiTheme="majorHAnsi"/>
          <w:sz w:val="20"/>
          <w:szCs w:val="20"/>
          <w:lang w:val="es-ES"/>
        </w:rPr>
        <w:t>los</w:t>
      </w:r>
      <w:r w:rsidRPr="00304D78">
        <w:rPr>
          <w:rFonts w:asciiTheme="majorHAnsi" w:hAnsiTheme="majorHAnsi"/>
          <w:sz w:val="20"/>
          <w:szCs w:val="20"/>
          <w:lang w:val="es-ES"/>
        </w:rPr>
        <w:t xml:space="preserve"> peticionario</w:t>
      </w:r>
      <w:r>
        <w:rPr>
          <w:rFonts w:asciiTheme="majorHAnsi" w:hAnsiTheme="majorHAnsi"/>
          <w:sz w:val="20"/>
          <w:szCs w:val="20"/>
          <w:lang w:val="es-ES"/>
        </w:rPr>
        <w:t>s</w:t>
      </w:r>
      <w:r w:rsidRPr="00304D78">
        <w:rPr>
          <w:rFonts w:asciiTheme="majorHAnsi" w:hAnsiTheme="majorHAnsi"/>
          <w:sz w:val="20"/>
          <w:szCs w:val="20"/>
          <w:lang w:val="es-ES"/>
        </w:rPr>
        <w:t xml:space="preserve"> sigue</w:t>
      </w:r>
      <w:r>
        <w:rPr>
          <w:rFonts w:asciiTheme="majorHAnsi" w:hAnsiTheme="majorHAnsi"/>
          <w:sz w:val="20"/>
          <w:szCs w:val="20"/>
          <w:lang w:val="es-ES"/>
        </w:rPr>
        <w:t>n</w:t>
      </w:r>
      <w:r w:rsidRPr="00304D78">
        <w:rPr>
          <w:rFonts w:asciiTheme="majorHAnsi" w:hAnsiTheme="majorHAnsi"/>
          <w:sz w:val="20"/>
          <w:szCs w:val="20"/>
          <w:lang w:val="es-ES"/>
        </w:rPr>
        <w:t xml:space="preserve"> interponiendo recursos internos en el sistema federal. La Comisión reitera en ese sentido que la regla relativa al agotamiento de los recursos internos no significa que las presuntas víctimas tengan que agotar todos los recursos que estén a su alcance. </w:t>
      </w:r>
      <w:r>
        <w:rPr>
          <w:rFonts w:asciiTheme="majorHAnsi" w:hAnsiTheme="majorHAnsi"/>
          <w:sz w:val="20"/>
          <w:szCs w:val="20"/>
          <w:lang w:val="es-ES"/>
        </w:rPr>
        <w:t>L</w:t>
      </w:r>
      <w:r w:rsidRPr="00304D78">
        <w:rPr>
          <w:rFonts w:asciiTheme="majorHAnsi" w:hAnsiTheme="majorHAnsi"/>
          <w:sz w:val="20"/>
          <w:szCs w:val="20"/>
          <w:lang w:val="es-ES"/>
        </w:rPr>
        <w:t xml:space="preserve">a Comisión ha señalado reiteradamente que “la regla que exige el previo agotamiento de los recursos internos está concebida en interés del Estado, pues busca dispensarlo de responder ante un órgano internacional por actos que se le imputen, </w:t>
      </w:r>
      <w:r w:rsidRPr="00304D78">
        <w:rPr>
          <w:rFonts w:asciiTheme="majorHAnsi" w:hAnsiTheme="majorHAnsi"/>
          <w:sz w:val="20"/>
          <w:szCs w:val="20"/>
          <w:lang w:val="es-ES"/>
        </w:rPr>
        <w:lastRenderedPageBreak/>
        <w:t>antes de haber tenido la ocasión de remediarlos con sus propios medios”</w:t>
      </w:r>
      <w:r w:rsidRPr="00304D78">
        <w:rPr>
          <w:rStyle w:val="FootnoteReference"/>
          <w:rFonts w:asciiTheme="majorHAnsi" w:hAnsiTheme="majorHAnsi"/>
          <w:sz w:val="20"/>
          <w:szCs w:val="20"/>
          <w:lang w:val="es-ES"/>
        </w:rPr>
        <w:footnoteReference w:id="5"/>
      </w:r>
      <w:r w:rsidRPr="00304D78">
        <w:rPr>
          <w:rFonts w:asciiTheme="majorHAnsi" w:hAnsiTheme="majorHAnsi"/>
          <w:sz w:val="20"/>
          <w:szCs w:val="20"/>
          <w:lang w:val="es-ES"/>
        </w:rPr>
        <w:t>. Por lo tanto, si la presunta víctima planteó el asunto valiéndose de una alternativa legal y apropiada en el marco del sistema jurídico interno y el Estado tuvo la oportunidad de remediar el asunto dentro de su jurisdicción, se ha cumplido de esa forma el propósito de la regla internacional</w:t>
      </w:r>
      <w:r w:rsidRPr="00304D78">
        <w:rPr>
          <w:rStyle w:val="FootnoteReference"/>
          <w:rFonts w:asciiTheme="majorHAnsi" w:hAnsiTheme="majorHAnsi"/>
          <w:sz w:val="20"/>
          <w:szCs w:val="20"/>
          <w:lang w:val="es-ES"/>
        </w:rPr>
        <w:footnoteReference w:id="6"/>
      </w:r>
      <w:r w:rsidRPr="00304D78">
        <w:rPr>
          <w:rFonts w:asciiTheme="majorHAnsi" w:hAnsiTheme="majorHAnsi"/>
          <w:sz w:val="20"/>
          <w:szCs w:val="20"/>
          <w:lang w:val="es-ES"/>
        </w:rPr>
        <w:t>.</w:t>
      </w:r>
    </w:p>
    <w:p w14:paraId="753C63B3"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ES"/>
        </w:rPr>
      </w:pPr>
    </w:p>
    <w:p w14:paraId="28C9BA46"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lang w:val="es-ES"/>
        </w:rPr>
      </w:pPr>
      <w:r w:rsidRPr="00304D78">
        <w:rPr>
          <w:rFonts w:asciiTheme="majorHAnsi" w:hAnsiTheme="majorHAnsi"/>
          <w:sz w:val="20"/>
          <w:szCs w:val="20"/>
          <w:lang w:val="es-ES"/>
        </w:rPr>
        <w:t xml:space="preserve">Sobre la base de la información disponible, la CIDH observa que la presunta víctima ha agotado no solo todos los procedimientos de revisión directa, sino también los procedimientos poscondenatorios. Por lo tanto, la Comisión concluye que </w:t>
      </w:r>
      <w:r>
        <w:rPr>
          <w:rFonts w:asciiTheme="majorHAnsi" w:hAnsiTheme="majorHAnsi"/>
          <w:sz w:val="20"/>
          <w:szCs w:val="20"/>
          <w:lang w:val="es-ES"/>
        </w:rPr>
        <w:t>los</w:t>
      </w:r>
      <w:r w:rsidRPr="00304D78">
        <w:rPr>
          <w:rFonts w:asciiTheme="majorHAnsi" w:hAnsiTheme="majorHAnsi"/>
          <w:sz w:val="20"/>
          <w:szCs w:val="20"/>
          <w:lang w:val="es-ES"/>
        </w:rPr>
        <w:t xml:space="preserve"> peticionario</w:t>
      </w:r>
      <w:r>
        <w:rPr>
          <w:rFonts w:asciiTheme="majorHAnsi" w:hAnsiTheme="majorHAnsi"/>
          <w:sz w:val="20"/>
          <w:szCs w:val="20"/>
          <w:lang w:val="es-ES"/>
        </w:rPr>
        <w:t>s</w:t>
      </w:r>
      <w:r w:rsidRPr="00304D78">
        <w:rPr>
          <w:rFonts w:asciiTheme="majorHAnsi" w:hAnsiTheme="majorHAnsi"/>
          <w:sz w:val="20"/>
          <w:szCs w:val="20"/>
          <w:lang w:val="es-ES"/>
        </w:rPr>
        <w:t xml:space="preserve"> agot</w:t>
      </w:r>
      <w:r>
        <w:rPr>
          <w:rFonts w:asciiTheme="majorHAnsi" w:hAnsiTheme="majorHAnsi"/>
          <w:sz w:val="20"/>
          <w:szCs w:val="20"/>
          <w:lang w:val="es-ES"/>
        </w:rPr>
        <w:t>aron</w:t>
      </w:r>
      <w:r w:rsidRPr="00304D78">
        <w:rPr>
          <w:rFonts w:asciiTheme="majorHAnsi" w:hAnsiTheme="majorHAnsi"/>
          <w:sz w:val="20"/>
          <w:szCs w:val="20"/>
          <w:lang w:val="es-ES"/>
        </w:rPr>
        <w:t xml:space="preserve"> debidamente los recursos internos que tenía</w:t>
      </w:r>
      <w:r>
        <w:rPr>
          <w:rFonts w:asciiTheme="majorHAnsi" w:hAnsiTheme="majorHAnsi"/>
          <w:sz w:val="20"/>
          <w:szCs w:val="20"/>
          <w:lang w:val="es-ES"/>
        </w:rPr>
        <w:t>n</w:t>
      </w:r>
      <w:r w:rsidRPr="00304D78">
        <w:rPr>
          <w:rFonts w:asciiTheme="majorHAnsi" w:hAnsiTheme="majorHAnsi"/>
          <w:sz w:val="20"/>
          <w:szCs w:val="20"/>
          <w:lang w:val="es-ES"/>
        </w:rPr>
        <w:t xml:space="preserve"> a su alcance en el ordenamiento jurídico interno y, por lo tanto, el requisito establecido en el artículo 31.1 del Reglamento no constituye un impedimento para que la Comisión considere los reclamos de la presunta víctima. La petición fue presentada a la CIDH el 3 de abril de 2012, y la Corte Suprema denegó la petición de auto de avocación el 3 de octubre de 2011. Por lo tanto, la Comisión concluye también que se ha cumplido el requisito establecido en el artículo 32.1 de su Reglamento.</w:t>
      </w:r>
    </w:p>
    <w:p w14:paraId="5DFBC6CD" w14:textId="77777777" w:rsidR="00110F02" w:rsidRPr="00304D78" w:rsidRDefault="00110F02" w:rsidP="00110F02">
      <w:pPr>
        <w:rPr>
          <w:rFonts w:asciiTheme="majorHAnsi" w:hAnsiTheme="majorHAnsi"/>
          <w:sz w:val="20"/>
          <w:szCs w:val="20"/>
          <w:lang w:val="es-ES"/>
        </w:rPr>
      </w:pPr>
    </w:p>
    <w:p w14:paraId="1F06893B" w14:textId="77777777" w:rsidR="00110F02" w:rsidRPr="00D67EB9" w:rsidRDefault="00110F02" w:rsidP="005200DD">
      <w:pPr>
        <w:pStyle w:val="Heading2"/>
        <w:numPr>
          <w:ilvl w:val="0"/>
          <w:numId w:val="57"/>
        </w:numPr>
        <w:spacing w:before="0" w:after="0"/>
        <w:ind w:left="360"/>
        <w:rPr>
          <w:rFonts w:asciiTheme="majorHAnsi" w:hAnsiTheme="majorHAnsi"/>
          <w:i w:val="0"/>
          <w:sz w:val="20"/>
          <w:szCs w:val="20"/>
        </w:rPr>
      </w:pPr>
      <w:bookmarkStart w:id="15" w:name="_Toc7602625"/>
      <w:bookmarkStart w:id="16" w:name="_Toc16152269"/>
      <w:bookmarkStart w:id="17" w:name="_Toc61514155"/>
      <w:bookmarkStart w:id="18" w:name="_Toc6349144"/>
      <w:r w:rsidRPr="00D67EB9">
        <w:rPr>
          <w:rFonts w:asciiTheme="majorHAnsi" w:hAnsiTheme="majorHAnsi"/>
          <w:i w:val="0"/>
          <w:sz w:val="20"/>
          <w:szCs w:val="20"/>
        </w:rPr>
        <w:t>Caracterización</w:t>
      </w:r>
      <w:bookmarkEnd w:id="15"/>
      <w:bookmarkEnd w:id="16"/>
      <w:r w:rsidRPr="00D67EB9">
        <w:rPr>
          <w:rFonts w:asciiTheme="majorHAnsi" w:hAnsiTheme="majorHAnsi"/>
          <w:i w:val="0"/>
          <w:sz w:val="20"/>
          <w:szCs w:val="20"/>
        </w:rPr>
        <w:t xml:space="preserve"> de los hechos alegados</w:t>
      </w:r>
      <w:bookmarkEnd w:id="17"/>
      <w:r w:rsidRPr="00D67EB9">
        <w:rPr>
          <w:rFonts w:asciiTheme="majorHAnsi" w:hAnsiTheme="majorHAnsi"/>
          <w:i w:val="0"/>
          <w:sz w:val="20"/>
          <w:szCs w:val="20"/>
        </w:rPr>
        <w:t xml:space="preserve"> </w:t>
      </w:r>
      <w:bookmarkEnd w:id="18"/>
    </w:p>
    <w:p w14:paraId="58CB5F58" w14:textId="77777777" w:rsidR="00110F02" w:rsidRPr="00304D78" w:rsidRDefault="00110F02" w:rsidP="00110F02">
      <w:pPr>
        <w:rPr>
          <w:rFonts w:asciiTheme="majorHAnsi" w:hAnsiTheme="majorHAnsi"/>
          <w:sz w:val="20"/>
          <w:szCs w:val="20"/>
          <w:lang w:val="es-ES"/>
        </w:rPr>
      </w:pPr>
    </w:p>
    <w:p w14:paraId="0D1594AE"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ES"/>
        </w:rPr>
      </w:pPr>
      <w:r w:rsidRPr="00304D78">
        <w:rPr>
          <w:rFonts w:asciiTheme="majorHAnsi" w:hAnsiTheme="majorHAnsi"/>
          <w:sz w:val="20"/>
          <w:szCs w:val="20"/>
          <w:lang w:val="es-ES"/>
        </w:rPr>
        <w:t xml:space="preserve">La Comisión considera que los hechos alegados por </w:t>
      </w:r>
      <w:r>
        <w:rPr>
          <w:rFonts w:asciiTheme="majorHAnsi" w:hAnsiTheme="majorHAnsi"/>
          <w:sz w:val="20"/>
          <w:szCs w:val="20"/>
          <w:lang w:val="es-ES"/>
        </w:rPr>
        <w:t>los</w:t>
      </w:r>
      <w:r w:rsidRPr="00304D78">
        <w:rPr>
          <w:rFonts w:asciiTheme="majorHAnsi" w:hAnsiTheme="majorHAnsi"/>
          <w:sz w:val="20"/>
          <w:szCs w:val="20"/>
          <w:lang w:val="es-ES"/>
        </w:rPr>
        <w:t xml:space="preserve"> peticionario</w:t>
      </w:r>
      <w:r>
        <w:rPr>
          <w:rFonts w:asciiTheme="majorHAnsi" w:hAnsiTheme="majorHAnsi"/>
          <w:sz w:val="20"/>
          <w:szCs w:val="20"/>
          <w:lang w:val="es-ES"/>
        </w:rPr>
        <w:t>s</w:t>
      </w:r>
      <w:r w:rsidRPr="00304D78">
        <w:rPr>
          <w:rFonts w:asciiTheme="majorHAnsi" w:hAnsiTheme="majorHAnsi"/>
          <w:sz w:val="20"/>
          <w:szCs w:val="20"/>
          <w:lang w:val="es-ES"/>
        </w:rPr>
        <w:t xml:space="preserve">, de probarse, podrían constituir una violación de los derechos enunciados en los artículos I (derecho a la vida, a la libertad, a la seguridad e integridad de la persona), II (derecho de igualdad ante la ley), XVIII (derecho de justicia) y XXVI (derecho a proceso regular) de la Declaración Americana, en perjuicio del señor Robinson. </w:t>
      </w:r>
    </w:p>
    <w:p w14:paraId="0FF5854C"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59075CEB"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ES"/>
        </w:rPr>
      </w:pPr>
      <w:r w:rsidRPr="00304D78">
        <w:rPr>
          <w:rFonts w:asciiTheme="majorHAnsi" w:hAnsiTheme="majorHAnsi"/>
          <w:sz w:val="20"/>
          <w:szCs w:val="20"/>
          <w:lang w:val="es-ES"/>
        </w:rPr>
        <w:t>Con respecto a la presunta violación del derecho de petición amparado en el artículo XXIV de la Declaración, la Comisión concluye que los hechos descritos en la petición no tienden a constituir una violación de dichos derechos.</w:t>
      </w:r>
    </w:p>
    <w:p w14:paraId="0A8498F0"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ES"/>
        </w:rPr>
      </w:pPr>
    </w:p>
    <w:p w14:paraId="1BEBE271" w14:textId="77777777" w:rsidR="00110F02" w:rsidRPr="00D67EB9" w:rsidRDefault="00110F02" w:rsidP="00D67EB9">
      <w:pPr>
        <w:pStyle w:val="Heading1"/>
        <w:spacing w:before="0"/>
        <w:ind w:left="360"/>
        <w:rPr>
          <w:color w:val="auto"/>
          <w:sz w:val="20"/>
          <w:szCs w:val="20"/>
        </w:rPr>
      </w:pPr>
      <w:bookmarkStart w:id="19" w:name="_Toc16152270"/>
      <w:bookmarkStart w:id="20" w:name="_Toc61514156"/>
      <w:r w:rsidRPr="00D67EB9">
        <w:rPr>
          <w:color w:val="auto"/>
          <w:sz w:val="20"/>
          <w:szCs w:val="20"/>
        </w:rPr>
        <w:t>DETERMINACIONES</w:t>
      </w:r>
      <w:bookmarkEnd w:id="19"/>
      <w:r w:rsidRPr="00D67EB9">
        <w:rPr>
          <w:color w:val="auto"/>
          <w:sz w:val="20"/>
          <w:szCs w:val="20"/>
        </w:rPr>
        <w:t xml:space="preserve"> DE HECHO</w:t>
      </w:r>
      <w:bookmarkEnd w:id="20"/>
    </w:p>
    <w:p w14:paraId="435AC5D1" w14:textId="77777777" w:rsidR="00110F02" w:rsidRPr="00304D78" w:rsidRDefault="00110F02" w:rsidP="00110F02">
      <w:pPr>
        <w:rPr>
          <w:rFonts w:asciiTheme="majorHAnsi" w:hAnsiTheme="majorHAnsi"/>
          <w:sz w:val="20"/>
          <w:szCs w:val="20"/>
          <w:lang w:val="es-ES"/>
        </w:rPr>
      </w:pPr>
    </w:p>
    <w:p w14:paraId="0C63C8AF" w14:textId="77777777" w:rsidR="00110F02" w:rsidRPr="00FC2F24" w:rsidRDefault="00110F02" w:rsidP="005200DD">
      <w:pPr>
        <w:pStyle w:val="Heading2"/>
        <w:numPr>
          <w:ilvl w:val="0"/>
          <w:numId w:val="61"/>
        </w:numPr>
        <w:spacing w:before="0" w:after="0"/>
        <w:ind w:left="360"/>
        <w:rPr>
          <w:rFonts w:asciiTheme="majorHAnsi" w:hAnsiTheme="majorHAnsi"/>
          <w:i w:val="0"/>
          <w:sz w:val="20"/>
          <w:szCs w:val="20"/>
          <w:lang w:val="es-ES"/>
        </w:rPr>
      </w:pPr>
      <w:bookmarkStart w:id="21" w:name="_Toc61514157"/>
      <w:r w:rsidRPr="00FC2F24">
        <w:rPr>
          <w:rFonts w:asciiTheme="majorHAnsi" w:hAnsiTheme="majorHAnsi"/>
          <w:i w:val="0"/>
          <w:sz w:val="20"/>
          <w:szCs w:val="20"/>
          <w:lang w:val="es-ES"/>
        </w:rPr>
        <w:t>El sistema federal de pena de muerte</w:t>
      </w:r>
      <w:bookmarkEnd w:id="21"/>
    </w:p>
    <w:p w14:paraId="6B16884F" w14:textId="77777777" w:rsidR="00110F02" w:rsidRPr="00304D78" w:rsidRDefault="00110F02" w:rsidP="00110F02">
      <w:pPr>
        <w:jc w:val="both"/>
        <w:rPr>
          <w:rFonts w:asciiTheme="majorHAnsi" w:hAnsiTheme="majorHAnsi"/>
          <w:b/>
          <w:sz w:val="20"/>
          <w:szCs w:val="20"/>
          <w:lang w:val="es-ES"/>
        </w:rPr>
      </w:pPr>
    </w:p>
    <w:p w14:paraId="5A783B61"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ES"/>
        </w:rPr>
      </w:pPr>
      <w:r w:rsidRPr="00304D78">
        <w:rPr>
          <w:rFonts w:ascii="Cambria" w:hAnsi="Cambria"/>
          <w:sz w:val="20"/>
          <w:szCs w:val="20"/>
          <w:lang w:val="es-ES"/>
        </w:rPr>
        <w:t>En 2000, el Departamento de Justicia de Estados Unidos publicó un informe de un estudio estadístico del sistema federal de pena de muerte que abarca el período 1988-2000</w:t>
      </w:r>
      <w:r w:rsidRPr="00304D78">
        <w:rPr>
          <w:rStyle w:val="FootnoteReference"/>
          <w:rFonts w:ascii="Cambria" w:hAnsi="Cambria"/>
          <w:sz w:val="20"/>
          <w:szCs w:val="20"/>
          <w:lang w:val="es-ES"/>
        </w:rPr>
        <w:footnoteReference w:id="7"/>
      </w:r>
      <w:r w:rsidRPr="00304D78">
        <w:rPr>
          <w:rFonts w:ascii="Cambria" w:hAnsi="Cambria"/>
          <w:sz w:val="20"/>
          <w:szCs w:val="20"/>
          <w:lang w:val="es-ES"/>
        </w:rPr>
        <w:t>. La Comisión reproduce a continuación algunas partes del informe relacionadas con la estructura del sistema y algunas estadísticas sobre la raza y la pena de muerte en el sistema de justicia federal:</w:t>
      </w:r>
    </w:p>
    <w:p w14:paraId="518ADBAB"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571A0A62" w14:textId="77777777" w:rsidR="00110F02" w:rsidRPr="00304D78" w:rsidRDefault="00110F02" w:rsidP="005200D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540"/>
        <w:jc w:val="both"/>
        <w:rPr>
          <w:sz w:val="20"/>
          <w:szCs w:val="20"/>
          <w:lang w:val="es-ES"/>
        </w:rPr>
      </w:pPr>
      <w:r w:rsidRPr="00304D78">
        <w:rPr>
          <w:sz w:val="20"/>
          <w:szCs w:val="20"/>
          <w:lang w:val="es-ES"/>
        </w:rPr>
        <w:t xml:space="preserve">En 1972, la Corte Suprema </w:t>
      </w:r>
      <w:r>
        <w:rPr>
          <w:sz w:val="20"/>
          <w:szCs w:val="20"/>
          <w:lang w:val="es-ES"/>
        </w:rPr>
        <w:t>revocó</w:t>
      </w:r>
      <w:r w:rsidRPr="00304D78">
        <w:rPr>
          <w:sz w:val="20"/>
          <w:szCs w:val="20"/>
          <w:lang w:val="es-ES"/>
        </w:rPr>
        <w:t xml:space="preserve"> la pena capital en Estados Unidos, tanto en el sistema de justicia penal federal como en todos los estados donde se aplicaba. El gobierno federal hizo una revisión de sus procedimientos para que pasaran el control de constitucionalidad el 18 de noviembre de 1988, cuando el </w:t>
      </w:r>
      <w:r>
        <w:rPr>
          <w:sz w:val="20"/>
          <w:szCs w:val="20"/>
          <w:lang w:val="es-ES"/>
        </w:rPr>
        <w:t>p</w:t>
      </w:r>
      <w:r w:rsidRPr="00304D78">
        <w:rPr>
          <w:sz w:val="20"/>
          <w:szCs w:val="20"/>
          <w:lang w:val="es-ES"/>
        </w:rPr>
        <w:t>residente promulgó la Ley contra el Abuso de Drogas de 1988. Esta ley permitía la pena de muerte como posible castigo para ciertos delitos relacionados con drogas. La posibilidad de aplicar la pena capital en casos penales en el sistema federal se amplió mucho más el 13 de septiembre de 1994 con la aprobación de la L</w:t>
      </w:r>
      <w:r w:rsidRPr="00304D78">
        <w:rPr>
          <w:bCs/>
          <w:sz w:val="20"/>
          <w:szCs w:val="20"/>
          <w:lang w:val="es-ES"/>
        </w:rPr>
        <w:t>ey de Control</w:t>
      </w:r>
      <w:r w:rsidRPr="00304D78">
        <w:rPr>
          <w:sz w:val="20"/>
          <w:szCs w:val="20"/>
          <w:lang w:val="es-ES"/>
        </w:rPr>
        <w:t> de </w:t>
      </w:r>
      <w:r w:rsidRPr="00304D78">
        <w:rPr>
          <w:bCs/>
          <w:sz w:val="20"/>
          <w:szCs w:val="20"/>
          <w:lang w:val="es-ES"/>
        </w:rPr>
        <w:t>Delitos Violentos</w:t>
      </w:r>
      <w:r w:rsidRPr="00304D78">
        <w:rPr>
          <w:sz w:val="20"/>
          <w:szCs w:val="20"/>
          <w:lang w:val="es-ES"/>
        </w:rPr>
        <w:t> y Aplicación de la Ley</w:t>
      </w:r>
      <w:r>
        <w:rPr>
          <w:sz w:val="20"/>
          <w:szCs w:val="20"/>
          <w:lang w:val="es-ES"/>
        </w:rPr>
        <w:t xml:space="preserve">, </w:t>
      </w:r>
      <w:r w:rsidRPr="00304D78">
        <w:rPr>
          <w:sz w:val="20"/>
          <w:szCs w:val="20"/>
          <w:lang w:val="es-ES"/>
        </w:rPr>
        <w:t xml:space="preserve">conocida como Ley Federal de Pena de Muerte (FDPA), </w:t>
      </w:r>
      <w:r>
        <w:rPr>
          <w:sz w:val="20"/>
          <w:szCs w:val="20"/>
          <w:lang w:val="es-ES"/>
        </w:rPr>
        <w:t xml:space="preserve">en la cual </w:t>
      </w:r>
      <w:r w:rsidRPr="00304D78">
        <w:rPr>
          <w:sz w:val="20"/>
          <w:szCs w:val="20"/>
          <w:lang w:val="es-ES"/>
        </w:rPr>
        <w:t>se disponía que más de 40 delitos del orden federal podían sancionarse con la pena de muerte. En la Ley Antiterrorista y de Efectiva Aplicación de la Pena de Muerte (AEDPA) de 1996 se agregaron otros cuatro delitos del orden federal a la lista de delitos punibles con la pena de muerte.</w:t>
      </w:r>
    </w:p>
    <w:p w14:paraId="1D0D3496"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540"/>
        <w:jc w:val="both"/>
        <w:rPr>
          <w:rFonts w:ascii="Cambria" w:hAnsi="Cambria"/>
          <w:sz w:val="20"/>
          <w:szCs w:val="20"/>
          <w:lang w:val="es-ES"/>
        </w:rPr>
      </w:pPr>
    </w:p>
    <w:p w14:paraId="1EA70FF2" w14:textId="77777777" w:rsidR="00110F02" w:rsidRPr="00304D78" w:rsidRDefault="00110F02" w:rsidP="005200D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540"/>
        <w:jc w:val="both"/>
        <w:rPr>
          <w:sz w:val="20"/>
          <w:szCs w:val="20"/>
          <w:lang w:val="es-ES"/>
        </w:rPr>
      </w:pPr>
      <w:r w:rsidRPr="00304D78">
        <w:rPr>
          <w:sz w:val="20"/>
          <w:szCs w:val="20"/>
          <w:lang w:val="es-ES"/>
        </w:rPr>
        <w:t xml:space="preserve">El 27 de enero de 1995, el Departamento de Justicia adoptó la política que todavía sigue en vigor, conocida como “protocolo” para la pena de muerte, según la cual los fiscales estadounidenses deben someter a revisión todo caso en el cual una persona sea acusada de un delito punible con la pena de </w:t>
      </w:r>
      <w:r w:rsidRPr="00304D78">
        <w:rPr>
          <w:sz w:val="20"/>
          <w:szCs w:val="20"/>
          <w:lang w:val="es-ES"/>
        </w:rPr>
        <w:lastRenderedPageBreak/>
        <w:t>muerte, incluso en los casos en que el fiscal no pida la aplicación de esta pena. En la política actual del Departamento de Justicia se dispone que las características tales como la raza o el origen étnico de una persona no deben sesgar la decisión del fiscal de recomendar la pena de muerte. De 1995 a 2000, los negros representaron 48% de los casos iniciales sometidos a revisión, pero terminaron representando 68% de los casos en que se aplicó la pena de muerte.</w:t>
      </w:r>
    </w:p>
    <w:p w14:paraId="0A1B8C43" w14:textId="77777777" w:rsidR="00110F02" w:rsidRPr="00304D78" w:rsidRDefault="00110F02" w:rsidP="00110F02">
      <w:pPr>
        <w:pStyle w:val="ListParagraph"/>
        <w:tabs>
          <w:tab w:val="left" w:pos="540"/>
        </w:tabs>
        <w:ind w:left="540"/>
        <w:rPr>
          <w:sz w:val="20"/>
          <w:szCs w:val="20"/>
          <w:lang w:val="es-ES"/>
        </w:rPr>
      </w:pPr>
    </w:p>
    <w:p w14:paraId="5DE0958B" w14:textId="77777777" w:rsidR="00110F02" w:rsidRPr="00304D78" w:rsidRDefault="00110F02" w:rsidP="005200D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540"/>
        <w:jc w:val="both"/>
        <w:rPr>
          <w:sz w:val="20"/>
          <w:szCs w:val="20"/>
          <w:lang w:val="es-ES"/>
        </w:rPr>
      </w:pPr>
      <w:r w:rsidRPr="00304D78">
        <w:rPr>
          <w:sz w:val="20"/>
          <w:szCs w:val="20"/>
          <w:lang w:val="es-ES"/>
        </w:rPr>
        <w:t>Si el acusado no gana la apelación, puede pedir una revisión por otro tribunal mediante un pedimento para que se invalide, se deje sin efecto o se corrija la sentencia</w:t>
      </w:r>
      <w:r>
        <w:rPr>
          <w:sz w:val="20"/>
          <w:szCs w:val="20"/>
          <w:lang w:val="es-ES"/>
        </w:rPr>
        <w:t>,</w:t>
      </w:r>
      <w:r w:rsidRPr="00304D78">
        <w:rPr>
          <w:sz w:val="20"/>
          <w:szCs w:val="20"/>
          <w:lang w:val="es-ES"/>
        </w:rPr>
        <w:t xml:space="preserve"> de conformidad con el Código de Estados Unidos, Título 28, artículo 2255. Dicha revisión pasa por tres niveles del sistema judicial federal: se presenta la petición en el tribunal de distrito donde el acusado fue condenado; la parte perdedora puede apelar la decisión del tribunal de distrito con respecto a la petición presentada de acuerdo con el artículo 2255; el fallo del tribunal de apelaciones relativo a la petición presentada de acuerdo con el artículo 2255 puede ser sometido a revisión discrecional por la Corte Suprema. </w:t>
      </w:r>
    </w:p>
    <w:p w14:paraId="0BD5DFF9" w14:textId="77777777" w:rsidR="00110F02" w:rsidRPr="00304D78" w:rsidRDefault="00110F02" w:rsidP="00110F02">
      <w:pPr>
        <w:pStyle w:val="ListParagraph"/>
        <w:tabs>
          <w:tab w:val="left" w:pos="540"/>
        </w:tabs>
        <w:ind w:left="540"/>
        <w:rPr>
          <w:sz w:val="20"/>
          <w:szCs w:val="20"/>
          <w:lang w:val="es-ES"/>
        </w:rPr>
      </w:pPr>
    </w:p>
    <w:p w14:paraId="26FE0B35" w14:textId="77777777" w:rsidR="00110F02" w:rsidRPr="00304D78" w:rsidRDefault="00110F02" w:rsidP="005200D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540"/>
        <w:jc w:val="both"/>
        <w:rPr>
          <w:sz w:val="20"/>
          <w:szCs w:val="20"/>
          <w:lang w:val="es-ES"/>
        </w:rPr>
      </w:pPr>
      <w:r w:rsidRPr="00304D78">
        <w:rPr>
          <w:sz w:val="20"/>
          <w:szCs w:val="20"/>
          <w:lang w:val="es-ES"/>
        </w:rPr>
        <w:t>Si la pena de muerte se ratifica en apelación y en la revisión por otro tribunal, se fija la fecha de la ejecución. Después que el acusado recibe el aviso de la fecha programada para la ejecución, puede solicitar indulto presidencial.</w:t>
      </w:r>
    </w:p>
    <w:p w14:paraId="7B00A91F" w14:textId="77777777" w:rsidR="00110F02" w:rsidRPr="00304D78" w:rsidRDefault="00110F02" w:rsidP="00110F02">
      <w:pPr>
        <w:rPr>
          <w:rFonts w:ascii="Cambria" w:hAnsi="Cambria"/>
          <w:sz w:val="20"/>
          <w:szCs w:val="20"/>
          <w:lang w:val="es-ES"/>
        </w:rPr>
      </w:pPr>
    </w:p>
    <w:p w14:paraId="6365054B" w14:textId="77777777" w:rsidR="00110F02" w:rsidRPr="00FC2F24" w:rsidRDefault="00110F02" w:rsidP="005200DD">
      <w:pPr>
        <w:pStyle w:val="Heading2"/>
        <w:numPr>
          <w:ilvl w:val="0"/>
          <w:numId w:val="61"/>
        </w:numPr>
        <w:spacing w:before="0" w:after="0"/>
        <w:ind w:left="360"/>
        <w:rPr>
          <w:rFonts w:asciiTheme="majorHAnsi" w:hAnsiTheme="majorHAnsi"/>
          <w:i w:val="0"/>
          <w:sz w:val="20"/>
          <w:szCs w:val="20"/>
          <w:lang w:val="es-ES"/>
        </w:rPr>
      </w:pPr>
      <w:bookmarkStart w:id="22" w:name="_Toc22915014"/>
      <w:bookmarkStart w:id="23" w:name="_Toc61514158"/>
      <w:r w:rsidRPr="00FC2F24">
        <w:rPr>
          <w:rFonts w:asciiTheme="majorHAnsi" w:hAnsiTheme="majorHAnsi"/>
          <w:i w:val="0"/>
          <w:sz w:val="20"/>
          <w:szCs w:val="20"/>
          <w:lang w:val="es-ES"/>
        </w:rPr>
        <w:t>La raza y la pena de muerte en el ámbito federal en Texas</w:t>
      </w:r>
      <w:bookmarkEnd w:id="22"/>
      <w:bookmarkEnd w:id="23"/>
    </w:p>
    <w:p w14:paraId="3588F1FA" w14:textId="77777777" w:rsidR="00110F02" w:rsidRPr="00304D78" w:rsidRDefault="00110F02" w:rsidP="00110F02">
      <w:pPr>
        <w:pStyle w:val="ListParagraph"/>
        <w:rPr>
          <w:sz w:val="20"/>
          <w:szCs w:val="20"/>
          <w:lang w:val="es-ES"/>
        </w:rPr>
      </w:pPr>
    </w:p>
    <w:p w14:paraId="61B7D497"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ES"/>
        </w:rPr>
      </w:pPr>
      <w:r w:rsidRPr="00304D78">
        <w:rPr>
          <w:rFonts w:ascii="Cambria" w:hAnsi="Cambria"/>
          <w:sz w:val="20"/>
          <w:szCs w:val="20"/>
          <w:lang w:val="es-ES"/>
        </w:rPr>
        <w:t>Según un estudio de la aplicación de la pena de muerte en el ámbito federal en Texas, los afroestadounidenses representan 77% de todos los veredictos de pena de muerte, a pesar de que constituyen solo 12% de la población del estado. En el estudio se llega a la conclusión de que la raza influye en cada etapa del proceso: la solicitud de los fiscales federales de autorización para pedir la pena de muerte, la decisión del Fiscal del Estado de otorgarla y la decisión del jurado de emitir un veredicto de pena de muerte. Según el estudio, en los casos en que los acusados eran negros, los fiscales federales de Texas tendían seis veces más a solicitar autorización para pedir la pena de muerte, era casi ocho veces más probable que se concediera tal autorización y era alrededor de dieciséis veces más probable que se emitiera un veredicto de pena de muerte. El estudio indica que el paso siguiente en el análisis sería controlar el efecto de posibles factores de confusión en un modelo de regresión logística multifactorial que revele si ciertos factores neutrales a la raza pueden “explicar” las disparidades. Sin embargo, según el estudio, el Departamento de Justicia se ha negado a proporcionar los datos necesarios para hacer un análisis de ese tipo</w:t>
      </w:r>
      <w:r w:rsidRPr="00304D78">
        <w:rPr>
          <w:rStyle w:val="FootnoteReference"/>
          <w:rFonts w:ascii="Cambria" w:hAnsi="Cambria"/>
          <w:sz w:val="20"/>
          <w:szCs w:val="20"/>
          <w:lang w:val="es-ES"/>
        </w:rPr>
        <w:footnoteReference w:id="8"/>
      </w:r>
      <w:r w:rsidRPr="00304D78">
        <w:rPr>
          <w:rFonts w:ascii="Cambria" w:hAnsi="Cambria"/>
          <w:sz w:val="20"/>
          <w:szCs w:val="20"/>
          <w:lang w:val="es-ES"/>
        </w:rPr>
        <w:t>.</w:t>
      </w:r>
    </w:p>
    <w:p w14:paraId="64639DB7" w14:textId="77777777" w:rsidR="00110F02" w:rsidRPr="00304D78" w:rsidRDefault="00110F02" w:rsidP="00110F02">
      <w:pPr>
        <w:pStyle w:val="ListParagraph"/>
        <w:rPr>
          <w:sz w:val="20"/>
          <w:szCs w:val="20"/>
          <w:lang w:val="es-ES"/>
        </w:rPr>
      </w:pPr>
    </w:p>
    <w:p w14:paraId="5CA64ECB" w14:textId="77777777" w:rsidR="00110F02" w:rsidRPr="00FC2F24" w:rsidRDefault="00110F02" w:rsidP="005200DD">
      <w:pPr>
        <w:pStyle w:val="Heading2"/>
        <w:numPr>
          <w:ilvl w:val="0"/>
          <w:numId w:val="61"/>
        </w:numPr>
        <w:spacing w:before="0" w:after="0"/>
        <w:ind w:left="360"/>
        <w:rPr>
          <w:rFonts w:asciiTheme="majorHAnsi" w:hAnsiTheme="majorHAnsi"/>
          <w:i w:val="0"/>
          <w:sz w:val="20"/>
          <w:szCs w:val="20"/>
          <w:lang w:val="es-ES"/>
        </w:rPr>
      </w:pPr>
      <w:bookmarkStart w:id="24" w:name="_Toc61514159"/>
      <w:r w:rsidRPr="00FC2F24">
        <w:rPr>
          <w:rFonts w:asciiTheme="majorHAnsi" w:hAnsiTheme="majorHAnsi"/>
          <w:i w:val="0"/>
          <w:sz w:val="20"/>
          <w:szCs w:val="20"/>
          <w:lang w:val="es-ES"/>
        </w:rPr>
        <w:t>Proceso de selección del jurado</w:t>
      </w:r>
      <w:bookmarkEnd w:id="24"/>
    </w:p>
    <w:p w14:paraId="7329AF5D" w14:textId="77777777" w:rsidR="00110F02" w:rsidRPr="00304D78" w:rsidRDefault="00110F02" w:rsidP="00110F02">
      <w:pPr>
        <w:rPr>
          <w:lang w:val="es-ES"/>
        </w:rPr>
      </w:pPr>
    </w:p>
    <w:p w14:paraId="21397906"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ES"/>
        </w:rPr>
      </w:pPr>
      <w:r w:rsidRPr="00304D78">
        <w:rPr>
          <w:rFonts w:ascii="Cambria" w:hAnsi="Cambria"/>
          <w:sz w:val="20"/>
          <w:szCs w:val="20"/>
          <w:lang w:val="es-ES"/>
        </w:rPr>
        <w:t>De acuerdo con el derecho estadounidense, los doce integrantes del jurado se seleccionan entre los ciudadanos convocados para integrar</w:t>
      </w:r>
      <w:r>
        <w:rPr>
          <w:rFonts w:ascii="Cambria" w:hAnsi="Cambria"/>
          <w:sz w:val="20"/>
          <w:szCs w:val="20"/>
          <w:lang w:val="es-ES"/>
        </w:rPr>
        <w:t>lo</w:t>
      </w:r>
      <w:r w:rsidRPr="00304D78">
        <w:rPr>
          <w:rFonts w:ascii="Cambria" w:hAnsi="Cambria"/>
          <w:sz w:val="20"/>
          <w:szCs w:val="20"/>
          <w:lang w:val="es-ES"/>
        </w:rPr>
        <w:t>. Durante el examen para la selección del jurado, los abogados de cada parte utilizan la recusación con causa y la recusación sin causa para impedir que algunos candidatos integren el jurado. La “recusación con causa” es una impugnación efectuada por una parte por una razón específica, como sesgo o prejuicio, que descalifique al candidato. La “recusación sin causa” es una de las pocas impugnaciones que pueden efectuar</w:t>
      </w:r>
      <w:r>
        <w:rPr>
          <w:rFonts w:ascii="Cambria" w:hAnsi="Cambria"/>
          <w:sz w:val="20"/>
          <w:szCs w:val="20"/>
          <w:lang w:val="es-ES"/>
        </w:rPr>
        <w:t>se</w:t>
      </w:r>
      <w:r w:rsidRPr="00304D78">
        <w:rPr>
          <w:rFonts w:ascii="Cambria" w:hAnsi="Cambria"/>
          <w:sz w:val="20"/>
          <w:szCs w:val="20"/>
          <w:lang w:val="es-ES"/>
        </w:rPr>
        <w:t xml:space="preserve"> sin fundamento de causa, salvo que la parte contraria demuestre </w:t>
      </w:r>
      <w:r w:rsidRPr="00304D78">
        <w:rPr>
          <w:rFonts w:ascii="Cambria" w:hAnsi="Cambria"/>
          <w:i/>
          <w:sz w:val="20"/>
          <w:szCs w:val="20"/>
          <w:lang w:val="es-ES"/>
        </w:rPr>
        <w:t>prima facie</w:t>
      </w:r>
      <w:r w:rsidRPr="00304D78">
        <w:rPr>
          <w:rFonts w:ascii="Cambria" w:hAnsi="Cambria"/>
          <w:sz w:val="20"/>
          <w:szCs w:val="20"/>
          <w:lang w:val="es-ES"/>
        </w:rPr>
        <w:t xml:space="preserve"> que se usó para discriminar por razones de raza, origen étnico o sexo (impugnación Batson)</w:t>
      </w:r>
      <w:r w:rsidRPr="00304D78">
        <w:rPr>
          <w:rStyle w:val="FootnoteReference"/>
          <w:rFonts w:ascii="Cambria" w:hAnsi="Cambria"/>
          <w:sz w:val="20"/>
          <w:szCs w:val="20"/>
          <w:lang w:val="es-ES"/>
        </w:rPr>
        <w:footnoteReference w:id="9"/>
      </w:r>
      <w:r w:rsidRPr="00304D78">
        <w:rPr>
          <w:rFonts w:ascii="Cambria" w:hAnsi="Cambria"/>
          <w:sz w:val="20"/>
          <w:szCs w:val="20"/>
          <w:lang w:val="es-ES"/>
        </w:rPr>
        <w:t>.</w:t>
      </w:r>
    </w:p>
    <w:p w14:paraId="34E4A6EF" w14:textId="77777777" w:rsidR="00110F02" w:rsidRPr="00304D78" w:rsidRDefault="00110F02" w:rsidP="00110F02">
      <w:pPr>
        <w:rPr>
          <w:lang w:val="es-ES"/>
        </w:rPr>
      </w:pPr>
    </w:p>
    <w:p w14:paraId="42E4EACD" w14:textId="77777777" w:rsidR="00110F02" w:rsidRPr="00FC2F24" w:rsidRDefault="00110F02" w:rsidP="005200DD">
      <w:pPr>
        <w:pStyle w:val="Heading2"/>
        <w:numPr>
          <w:ilvl w:val="0"/>
          <w:numId w:val="61"/>
        </w:numPr>
        <w:spacing w:before="0" w:after="0"/>
        <w:ind w:left="360"/>
        <w:rPr>
          <w:rFonts w:asciiTheme="majorHAnsi" w:hAnsiTheme="majorHAnsi"/>
          <w:i w:val="0"/>
          <w:sz w:val="20"/>
          <w:szCs w:val="20"/>
          <w:lang w:val="es-ES"/>
        </w:rPr>
      </w:pPr>
      <w:bookmarkStart w:id="25" w:name="_Toc22915016"/>
      <w:bookmarkStart w:id="26" w:name="_Toc61514160"/>
      <w:r w:rsidRPr="00FC2F24">
        <w:rPr>
          <w:rFonts w:asciiTheme="majorHAnsi" w:hAnsiTheme="majorHAnsi"/>
          <w:i w:val="0"/>
          <w:sz w:val="20"/>
          <w:szCs w:val="20"/>
          <w:lang w:val="es-ES"/>
        </w:rPr>
        <w:t>Antecedentes fácticos, juicio y pena de muerte</w:t>
      </w:r>
      <w:bookmarkEnd w:id="25"/>
      <w:bookmarkEnd w:id="26"/>
    </w:p>
    <w:p w14:paraId="63109B5A" w14:textId="77777777" w:rsidR="00110F02" w:rsidRPr="00304D78" w:rsidRDefault="00110F02" w:rsidP="00110F02">
      <w:pPr>
        <w:pStyle w:val="Heading2"/>
        <w:spacing w:before="0"/>
        <w:ind w:left="720"/>
        <w:rPr>
          <w:sz w:val="20"/>
          <w:szCs w:val="20"/>
          <w:lang w:val="es-ES"/>
        </w:rPr>
      </w:pPr>
    </w:p>
    <w:p w14:paraId="0F24C695"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lang w:val="es-ES"/>
        </w:rPr>
      </w:pPr>
      <w:r w:rsidRPr="00304D78">
        <w:rPr>
          <w:rFonts w:ascii="Cambria" w:hAnsi="Cambria"/>
          <w:sz w:val="20"/>
          <w:szCs w:val="20"/>
          <w:lang w:val="es-ES"/>
        </w:rPr>
        <w:t xml:space="preserve">Según la información disponible, en diciembre de 1998, </w:t>
      </w:r>
      <w:r w:rsidRPr="00304D78">
        <w:rPr>
          <w:rFonts w:asciiTheme="majorHAnsi" w:hAnsiTheme="majorHAnsi"/>
          <w:sz w:val="20"/>
          <w:szCs w:val="20"/>
          <w:lang w:val="es-ES"/>
        </w:rPr>
        <w:t>Julius Omar Robinson, narcotraficante, mató a un hombre que creía erróneamente que había sido el perpetrador de un secuestro armado de vehículo que le costó US$30.000. En mayo de 1999, indignado a raíz de una transacción fraudulenta</w:t>
      </w:r>
      <w:r>
        <w:rPr>
          <w:rFonts w:asciiTheme="majorHAnsi" w:hAnsiTheme="majorHAnsi"/>
          <w:sz w:val="20"/>
          <w:szCs w:val="20"/>
          <w:lang w:val="es-ES"/>
        </w:rPr>
        <w:t xml:space="preserve"> relacionada con drogas</w:t>
      </w:r>
      <w:r w:rsidRPr="00304D78">
        <w:rPr>
          <w:rFonts w:asciiTheme="majorHAnsi" w:hAnsiTheme="majorHAnsi"/>
          <w:sz w:val="20"/>
          <w:szCs w:val="20"/>
          <w:lang w:val="es-ES"/>
        </w:rPr>
        <w:t xml:space="preserve">, se vengó </w:t>
      </w:r>
      <w:r w:rsidRPr="00304D78">
        <w:rPr>
          <w:rFonts w:asciiTheme="majorHAnsi" w:hAnsiTheme="majorHAnsi"/>
          <w:sz w:val="20"/>
          <w:szCs w:val="20"/>
          <w:lang w:val="es-ES"/>
        </w:rPr>
        <w:lastRenderedPageBreak/>
        <w:t>matando al cuñado del vendedor. Posteriormente, el señor Robinson estuvo involucrado en un caso de asociación ilícita que llevó a otro asesinato</w:t>
      </w:r>
      <w:r w:rsidRPr="00304D78">
        <w:rPr>
          <w:rStyle w:val="FootnoteReference"/>
          <w:rFonts w:asciiTheme="majorHAnsi" w:hAnsiTheme="majorHAnsi"/>
          <w:sz w:val="20"/>
          <w:szCs w:val="20"/>
          <w:lang w:val="es-ES"/>
        </w:rPr>
        <w:footnoteReference w:id="10"/>
      </w:r>
      <w:r w:rsidRPr="00304D78">
        <w:rPr>
          <w:rFonts w:asciiTheme="majorHAnsi" w:hAnsiTheme="majorHAnsi"/>
          <w:sz w:val="20"/>
          <w:szCs w:val="20"/>
          <w:lang w:val="es-ES"/>
        </w:rPr>
        <w:t>.</w:t>
      </w:r>
    </w:p>
    <w:p w14:paraId="10E2F169"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autoSpaceDE w:val="0"/>
        <w:autoSpaceDN w:val="0"/>
        <w:adjustRightInd w:val="0"/>
        <w:jc w:val="both"/>
        <w:rPr>
          <w:rFonts w:asciiTheme="majorHAnsi" w:hAnsiTheme="majorHAnsi"/>
          <w:sz w:val="20"/>
          <w:szCs w:val="20"/>
          <w:lang w:val="es-ES"/>
        </w:rPr>
      </w:pPr>
    </w:p>
    <w:p w14:paraId="6D541438"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Cambria" w:hAnsi="Cambria"/>
          <w:sz w:val="20"/>
          <w:szCs w:val="20"/>
          <w:lang w:val="es-ES"/>
        </w:rPr>
        <w:t xml:space="preserve">Los fiscales federales acusaron formalmente al señor Robinson de delitos del orden federal </w:t>
      </w:r>
      <w:r>
        <w:rPr>
          <w:rFonts w:ascii="Cambria" w:hAnsi="Cambria"/>
          <w:sz w:val="20"/>
          <w:szCs w:val="20"/>
          <w:lang w:val="es-ES"/>
        </w:rPr>
        <w:t xml:space="preserve">que consistían en </w:t>
      </w:r>
      <w:r w:rsidRPr="00304D78">
        <w:rPr>
          <w:rFonts w:ascii="Cambria" w:hAnsi="Cambria"/>
          <w:sz w:val="20"/>
          <w:szCs w:val="20"/>
          <w:lang w:val="es-ES"/>
        </w:rPr>
        <w:t xml:space="preserve">conducta que </w:t>
      </w:r>
      <w:r>
        <w:rPr>
          <w:rFonts w:ascii="Cambria" w:hAnsi="Cambria"/>
          <w:sz w:val="20"/>
          <w:szCs w:val="20"/>
          <w:lang w:val="es-ES"/>
        </w:rPr>
        <w:t>ocasion</w:t>
      </w:r>
      <w:r w:rsidRPr="00304D78">
        <w:rPr>
          <w:rFonts w:ascii="Cambria" w:hAnsi="Cambria"/>
          <w:sz w:val="20"/>
          <w:szCs w:val="20"/>
          <w:lang w:val="es-ES"/>
        </w:rPr>
        <w:t xml:space="preserve">ó </w:t>
      </w:r>
      <w:r>
        <w:rPr>
          <w:rFonts w:ascii="Cambria" w:hAnsi="Cambria"/>
          <w:sz w:val="20"/>
          <w:szCs w:val="20"/>
          <w:lang w:val="es-ES"/>
        </w:rPr>
        <w:t>un</w:t>
      </w:r>
      <w:r w:rsidRPr="00304D78">
        <w:rPr>
          <w:rFonts w:ascii="Cambria" w:hAnsi="Cambria"/>
          <w:sz w:val="20"/>
          <w:szCs w:val="20"/>
          <w:lang w:val="es-ES"/>
        </w:rPr>
        <w:t xml:space="preserve">a muerte, y su caso fue a juicio por jurado ente el Tribunal Federal de Distrito para el Distrito Norte de Texas (“el tribunal de distrito”). Antes del juicio, el abogado defensor presentó una petición para que no se hiciera lugar al aviso del fiscal de la intención de pedir la pena de muerte, alegando prejuicio racial y disparidad en la aplicación de la pena de muerte en el ámbito federal y discriminación conexa. El abogado defensor afirmó que la fiscalía seguía una pauta sistemática de discriminación racial al </w:t>
      </w:r>
      <w:r>
        <w:rPr>
          <w:rFonts w:ascii="Cambria" w:hAnsi="Cambria"/>
          <w:sz w:val="20"/>
          <w:szCs w:val="20"/>
          <w:lang w:val="es-ES"/>
        </w:rPr>
        <w:t xml:space="preserve">pedir </w:t>
      </w:r>
      <w:r w:rsidRPr="00304D78">
        <w:rPr>
          <w:rFonts w:ascii="Cambria" w:hAnsi="Cambria"/>
          <w:sz w:val="20"/>
          <w:szCs w:val="20"/>
          <w:lang w:val="es-ES"/>
        </w:rPr>
        <w:t xml:space="preserve">la pena de muerte. Para demostrar </w:t>
      </w:r>
      <w:r>
        <w:rPr>
          <w:rFonts w:ascii="Cambria" w:hAnsi="Cambria"/>
          <w:sz w:val="20"/>
          <w:szCs w:val="20"/>
          <w:lang w:val="es-ES"/>
        </w:rPr>
        <w:t>dicha</w:t>
      </w:r>
      <w:r w:rsidRPr="00304D78">
        <w:rPr>
          <w:rFonts w:ascii="Cambria" w:hAnsi="Cambria"/>
          <w:sz w:val="20"/>
          <w:szCs w:val="20"/>
          <w:lang w:val="es-ES"/>
        </w:rPr>
        <w:t xml:space="preserve"> pauta, solicitó al tribunal que concediera una audiencia probatoria y que ordenara al fiscal que presentara cierta información</w:t>
      </w:r>
      <w:r w:rsidRPr="00304D78">
        <w:rPr>
          <w:rStyle w:val="FootnoteReference"/>
          <w:rFonts w:ascii="Cambria" w:hAnsi="Cambria"/>
          <w:sz w:val="20"/>
          <w:szCs w:val="20"/>
          <w:lang w:val="es-ES"/>
        </w:rPr>
        <w:footnoteReference w:id="11"/>
      </w:r>
      <w:r w:rsidRPr="00304D78">
        <w:rPr>
          <w:rFonts w:ascii="Cambria" w:hAnsi="Cambria"/>
          <w:sz w:val="20"/>
          <w:szCs w:val="20"/>
          <w:lang w:val="es-ES"/>
        </w:rPr>
        <w:t>. En el pedimento se justificaba la necesidad de esa información de la siguiente manera</w:t>
      </w:r>
      <w:r w:rsidRPr="00304D78">
        <w:rPr>
          <w:rStyle w:val="FootnoteReference"/>
          <w:rFonts w:ascii="Cambria" w:hAnsi="Cambria"/>
          <w:sz w:val="20"/>
          <w:szCs w:val="20"/>
          <w:lang w:val="es-ES"/>
        </w:rPr>
        <w:footnoteReference w:id="12"/>
      </w:r>
      <w:r w:rsidRPr="00304D78">
        <w:rPr>
          <w:rFonts w:ascii="Cambria" w:hAnsi="Cambria"/>
          <w:sz w:val="20"/>
          <w:szCs w:val="20"/>
          <w:lang w:val="es-ES"/>
        </w:rPr>
        <w:t>:</w:t>
      </w:r>
    </w:p>
    <w:p w14:paraId="4D98A8B2" w14:textId="77777777" w:rsidR="00110F02" w:rsidRPr="00304D78" w:rsidRDefault="00110F02" w:rsidP="00110F02">
      <w:pPr>
        <w:pStyle w:val="ListParagraph"/>
        <w:rPr>
          <w:rFonts w:asciiTheme="majorHAnsi" w:hAnsiTheme="majorHAnsi"/>
          <w:sz w:val="20"/>
          <w:szCs w:val="20"/>
          <w:lang w:val="es-ES"/>
        </w:rPr>
      </w:pPr>
    </w:p>
    <w:p w14:paraId="748C9458"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360" w:right="360"/>
        <w:jc w:val="both"/>
        <w:textAlignment w:val="baseline"/>
        <w:rPr>
          <w:rFonts w:ascii="Cambria" w:hAnsi="Cambria"/>
          <w:sz w:val="18"/>
          <w:szCs w:val="18"/>
          <w:lang w:val="es-ES"/>
        </w:rPr>
      </w:pPr>
      <w:r w:rsidRPr="00304D78">
        <w:rPr>
          <w:rFonts w:ascii="Cambria" w:hAnsi="Cambria"/>
          <w:sz w:val="18"/>
          <w:szCs w:val="18"/>
          <w:lang w:val="es-ES"/>
        </w:rPr>
        <w:t xml:space="preserve">[…] La necesidad de esta información deriva del hecho de que, desde </w:t>
      </w:r>
      <w:r>
        <w:rPr>
          <w:rFonts w:ascii="Cambria" w:hAnsi="Cambria"/>
          <w:sz w:val="18"/>
          <w:szCs w:val="18"/>
          <w:lang w:val="es-ES"/>
        </w:rPr>
        <w:t xml:space="preserve">que se restableció </w:t>
      </w:r>
      <w:r w:rsidRPr="00304D78">
        <w:rPr>
          <w:rFonts w:ascii="Cambria" w:hAnsi="Cambria"/>
          <w:sz w:val="18"/>
          <w:szCs w:val="18"/>
          <w:lang w:val="es-ES"/>
        </w:rPr>
        <w:t>la pena de muerte en el ámbito federal</w:t>
      </w:r>
      <w:r>
        <w:rPr>
          <w:rFonts w:ascii="Cambria" w:hAnsi="Cambria"/>
          <w:sz w:val="18"/>
          <w:szCs w:val="18"/>
          <w:lang w:val="es-ES"/>
        </w:rPr>
        <w:t xml:space="preserve">, </w:t>
      </w:r>
      <w:r w:rsidRPr="00304D78">
        <w:rPr>
          <w:rFonts w:ascii="Cambria" w:hAnsi="Cambria"/>
          <w:sz w:val="18"/>
          <w:szCs w:val="18"/>
          <w:lang w:val="es-ES"/>
        </w:rPr>
        <w:t xml:space="preserve">inicialmente [sic] </w:t>
      </w:r>
      <w:r>
        <w:rPr>
          <w:rFonts w:ascii="Cambria" w:hAnsi="Cambria"/>
          <w:sz w:val="18"/>
          <w:szCs w:val="18"/>
          <w:lang w:val="es-ES"/>
        </w:rPr>
        <w:t xml:space="preserve">en </w:t>
      </w:r>
      <w:r w:rsidRPr="00304D78">
        <w:rPr>
          <w:rFonts w:ascii="Cambria" w:hAnsi="Cambria"/>
          <w:sz w:val="18"/>
          <w:szCs w:val="18"/>
          <w:lang w:val="es-ES"/>
        </w:rPr>
        <w:t xml:space="preserve">1998 para ciertos delitos relacionados con drogas y en 1994 en general, la mayoría abrumadora de las personas para quienes se solicitó que se aprobara la aplicación de la pena de muerte y para quienes el Departamento de Justicia autorizó dicha pena han sido afroestadounidenses. En una audiencia probatoria, el acusado demostraría que </w:t>
      </w:r>
      <w:r>
        <w:rPr>
          <w:rFonts w:ascii="Cambria" w:hAnsi="Cambria"/>
          <w:sz w:val="18"/>
          <w:szCs w:val="18"/>
          <w:lang w:val="es-ES"/>
        </w:rPr>
        <w:t>la proporción</w:t>
      </w:r>
      <w:r w:rsidRPr="00304D78">
        <w:rPr>
          <w:rFonts w:ascii="Cambria" w:hAnsi="Cambria"/>
          <w:sz w:val="18"/>
          <w:szCs w:val="18"/>
          <w:lang w:val="es-ES"/>
        </w:rPr>
        <w:t xml:space="preserve"> de afroestadounidenses entre las personas para quienes se ha autorizado la aplicación de la pena de muerte ha sido </w:t>
      </w:r>
      <w:r>
        <w:rPr>
          <w:rFonts w:ascii="Cambria" w:hAnsi="Cambria"/>
          <w:sz w:val="18"/>
          <w:szCs w:val="18"/>
          <w:lang w:val="es-ES"/>
        </w:rPr>
        <w:t xml:space="preserve">de </w:t>
      </w:r>
      <w:r w:rsidRPr="00304D78">
        <w:rPr>
          <w:rFonts w:ascii="Cambria" w:hAnsi="Cambria"/>
          <w:sz w:val="18"/>
          <w:szCs w:val="18"/>
          <w:lang w:val="es-ES"/>
        </w:rPr>
        <w:t xml:space="preserve">70%, aproximadamente. Esta cifra excede sobremanera </w:t>
      </w:r>
      <w:r>
        <w:rPr>
          <w:rFonts w:ascii="Cambria" w:hAnsi="Cambria"/>
          <w:sz w:val="18"/>
          <w:szCs w:val="18"/>
          <w:lang w:val="es-ES"/>
        </w:rPr>
        <w:t xml:space="preserve">el porcentaje </w:t>
      </w:r>
      <w:r w:rsidRPr="00304D78">
        <w:rPr>
          <w:rFonts w:ascii="Cambria" w:hAnsi="Cambria"/>
          <w:sz w:val="18"/>
          <w:szCs w:val="18"/>
          <w:lang w:val="es-ES"/>
        </w:rPr>
        <w:t>de afroestadounidenses en la población o entre los acusados de delitos del orden federal en general.</w:t>
      </w:r>
    </w:p>
    <w:p w14:paraId="5023F272"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360" w:right="360"/>
        <w:jc w:val="both"/>
        <w:textAlignment w:val="baseline"/>
        <w:rPr>
          <w:rFonts w:ascii="Cambria" w:hAnsi="Cambria"/>
          <w:sz w:val="18"/>
          <w:szCs w:val="18"/>
          <w:lang w:val="es-ES"/>
        </w:rPr>
      </w:pPr>
    </w:p>
    <w:p w14:paraId="0E18F0A2"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360" w:right="360"/>
        <w:jc w:val="both"/>
        <w:textAlignment w:val="baseline"/>
        <w:rPr>
          <w:rFonts w:ascii="Cambria" w:hAnsi="Cambria"/>
          <w:sz w:val="18"/>
          <w:szCs w:val="18"/>
          <w:lang w:val="es-ES"/>
        </w:rPr>
      </w:pPr>
      <w:r w:rsidRPr="00304D78">
        <w:rPr>
          <w:rFonts w:ascii="Cambria" w:hAnsi="Cambria"/>
          <w:sz w:val="18"/>
          <w:szCs w:val="18"/>
          <w:lang w:val="es-ES"/>
        </w:rPr>
        <w:t>El acusado sabe que una pauta racialmente desproporcionada de cargos punibles con la pena capital, por sí sola, no basta para demostrar la existencia de discriminación racial deliberada, que violaría las salvaguardias constitucionales de “igualdad ante la ley”, “debido proceso” y “castigo cruel e inusitado”. […] Por esa razón, en la audiencia probatoria, el acusado tratará de demostrar, por medio del material solicitado, que el Departamento de Justicia, a pesar de que sabe que sus decisiones sobre la formulación de cargos punibles con la pena capital adolecen de desequilibrio racial, ha persistido en un sistema de políticas en dichas decisiones que perpetúan este desequilibrio, lo cual constituye discriminación deliberada. El acusado afirma respetuosamente que la falta de “medidas afirmativas” del Estado para superar este desequilibrio racial, a pesar de que el Departamento de Justicia sabe que existe en sus decisiones sobre la formulación de cargos, equivale a discriminación deliberada.</w:t>
      </w:r>
    </w:p>
    <w:p w14:paraId="6DD43BEF"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360" w:right="360"/>
        <w:jc w:val="both"/>
        <w:textAlignment w:val="baseline"/>
        <w:rPr>
          <w:rFonts w:asciiTheme="majorHAnsi" w:hAnsiTheme="majorHAnsi"/>
          <w:sz w:val="20"/>
          <w:szCs w:val="20"/>
          <w:lang w:val="es-ES"/>
        </w:rPr>
      </w:pPr>
    </w:p>
    <w:p w14:paraId="020C2BCD"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El tribunal de distrito rechazó de plano la petición </w:t>
      </w:r>
      <w:r w:rsidRPr="00304D78">
        <w:rPr>
          <w:rFonts w:ascii="Cambria" w:hAnsi="Cambria"/>
          <w:sz w:val="20"/>
          <w:szCs w:val="20"/>
          <w:lang w:val="es-ES"/>
        </w:rPr>
        <w:t>21 de diciembre de 2001</w:t>
      </w:r>
      <w:r w:rsidRPr="00304D78">
        <w:rPr>
          <w:rStyle w:val="FootnoteReference"/>
          <w:rFonts w:ascii="Cambria" w:hAnsi="Cambria"/>
          <w:sz w:val="20"/>
          <w:szCs w:val="20"/>
          <w:lang w:val="es-ES"/>
        </w:rPr>
        <w:footnoteReference w:id="13"/>
      </w:r>
      <w:r>
        <w:rPr>
          <w:rFonts w:ascii="Cambria" w:hAnsi="Cambria"/>
          <w:sz w:val="20"/>
          <w:szCs w:val="20"/>
          <w:lang w:val="es-ES"/>
        </w:rPr>
        <w:t>.</w:t>
      </w:r>
    </w:p>
    <w:p w14:paraId="27F90136"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Theme="majorHAnsi" w:hAnsiTheme="majorHAnsi"/>
          <w:sz w:val="20"/>
          <w:szCs w:val="20"/>
          <w:lang w:val="es-ES"/>
        </w:rPr>
      </w:pPr>
    </w:p>
    <w:p w14:paraId="16B02EC4"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Cambria" w:hAnsi="Cambria"/>
          <w:sz w:val="20"/>
          <w:szCs w:val="20"/>
          <w:lang w:val="es-ES"/>
        </w:rPr>
        <w:t xml:space="preserve">Según la información proporcionada por </w:t>
      </w:r>
      <w:r>
        <w:rPr>
          <w:rFonts w:ascii="Cambria" w:hAnsi="Cambria"/>
          <w:sz w:val="20"/>
          <w:szCs w:val="20"/>
          <w:lang w:val="es-ES"/>
        </w:rPr>
        <w:t xml:space="preserve">los </w:t>
      </w:r>
      <w:r w:rsidRPr="00304D78">
        <w:rPr>
          <w:rFonts w:ascii="Cambria" w:hAnsi="Cambria"/>
          <w:sz w:val="20"/>
          <w:szCs w:val="20"/>
          <w:lang w:val="es-ES"/>
        </w:rPr>
        <w:t>peticionario</w:t>
      </w:r>
      <w:r>
        <w:rPr>
          <w:rFonts w:ascii="Cambria" w:hAnsi="Cambria"/>
          <w:sz w:val="20"/>
          <w:szCs w:val="20"/>
          <w:lang w:val="es-ES"/>
        </w:rPr>
        <w:t>s</w:t>
      </w:r>
      <w:r w:rsidRPr="00304D78">
        <w:rPr>
          <w:rFonts w:ascii="Cambria" w:hAnsi="Cambria"/>
          <w:sz w:val="20"/>
          <w:szCs w:val="20"/>
          <w:lang w:val="es-ES"/>
        </w:rPr>
        <w:t xml:space="preserve">, que el Estado no impugnó, fueron convocadas 125 personas como candidatas para integrar el jurado </w:t>
      </w:r>
      <w:r>
        <w:rPr>
          <w:rFonts w:ascii="Cambria" w:hAnsi="Cambria"/>
          <w:sz w:val="20"/>
          <w:szCs w:val="20"/>
          <w:lang w:val="es-ES"/>
        </w:rPr>
        <w:t>d</w:t>
      </w:r>
      <w:r w:rsidRPr="00304D78">
        <w:rPr>
          <w:rFonts w:ascii="Cambria" w:hAnsi="Cambria"/>
          <w:sz w:val="20"/>
          <w:szCs w:val="20"/>
          <w:lang w:val="es-ES"/>
        </w:rPr>
        <w:t xml:space="preserve">el juicio del señor Robinson, de las cuales diez eran afroestadounidenses. De las ocho que fueron interrogadas durante el proceso de selección, solo una persona </w:t>
      </w:r>
      <w:r w:rsidR="00AD2A57">
        <w:rPr>
          <w:rFonts w:ascii="Cambria" w:hAnsi="Cambria"/>
          <w:sz w:val="20"/>
          <w:szCs w:val="20"/>
          <w:lang w:val="es-ES"/>
        </w:rPr>
        <w:t>afrodescendiente</w:t>
      </w:r>
      <w:r w:rsidRPr="00304D78">
        <w:rPr>
          <w:rFonts w:ascii="Cambria" w:hAnsi="Cambria"/>
          <w:sz w:val="20"/>
          <w:szCs w:val="20"/>
          <w:lang w:val="es-ES"/>
        </w:rPr>
        <w:t xml:space="preserve"> fue aceptada. Los fiscales eliminaron a siete de los ocho candidatos negros, tres de ellos mediante recusación sin causa. El tribunal de distrito no hizo lugar a la impugnación por la defensa de dos de las recusaciones sin causa. En consecuencia, el jurado quedó integrado por once personas blancas y una </w:t>
      </w:r>
      <w:r w:rsidR="00AD2A57">
        <w:rPr>
          <w:rFonts w:ascii="Cambria" w:hAnsi="Cambria"/>
          <w:sz w:val="20"/>
          <w:szCs w:val="20"/>
          <w:lang w:val="es-ES"/>
        </w:rPr>
        <w:t>afrodescendiente</w:t>
      </w:r>
      <w:r w:rsidRPr="00304D78">
        <w:rPr>
          <w:rFonts w:ascii="Cambria" w:hAnsi="Cambria"/>
          <w:sz w:val="20"/>
          <w:szCs w:val="20"/>
          <w:lang w:val="es-ES"/>
        </w:rPr>
        <w:t>, la cual dijo que apoyaba firmemente la pena de muerte para todo homicidio en primer grado</w:t>
      </w:r>
      <w:r w:rsidRPr="00304D78">
        <w:rPr>
          <w:rStyle w:val="FootnoteReference"/>
          <w:rFonts w:ascii="Cambria" w:hAnsi="Cambria"/>
          <w:sz w:val="20"/>
          <w:szCs w:val="20"/>
          <w:lang w:val="es-ES"/>
        </w:rPr>
        <w:footnoteReference w:id="14"/>
      </w:r>
      <w:r w:rsidRPr="00304D78">
        <w:rPr>
          <w:rFonts w:ascii="Cambria" w:hAnsi="Cambria"/>
          <w:sz w:val="20"/>
          <w:szCs w:val="20"/>
          <w:lang w:val="es-ES"/>
        </w:rPr>
        <w:t xml:space="preserve">. </w:t>
      </w:r>
    </w:p>
    <w:p w14:paraId="7FFEDDE1" w14:textId="77777777" w:rsidR="00110F02" w:rsidRPr="00304D78" w:rsidRDefault="00110F02" w:rsidP="00110F02">
      <w:pPr>
        <w:pStyle w:val="ListParagraph"/>
        <w:rPr>
          <w:rFonts w:asciiTheme="majorHAnsi" w:hAnsiTheme="majorHAnsi"/>
          <w:sz w:val="20"/>
          <w:szCs w:val="20"/>
          <w:lang w:val="es-ES"/>
        </w:rPr>
      </w:pPr>
    </w:p>
    <w:p w14:paraId="6F930848"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El jurado declaró al señor Robinson culpable de dos </w:t>
      </w:r>
      <w:r>
        <w:rPr>
          <w:rFonts w:asciiTheme="majorHAnsi" w:hAnsiTheme="majorHAnsi"/>
          <w:sz w:val="20"/>
          <w:szCs w:val="20"/>
          <w:lang w:val="es-ES"/>
        </w:rPr>
        <w:t>homicidios</w:t>
      </w:r>
      <w:r w:rsidRPr="00304D78">
        <w:rPr>
          <w:rFonts w:asciiTheme="majorHAnsi" w:hAnsiTheme="majorHAnsi"/>
          <w:sz w:val="20"/>
          <w:szCs w:val="20"/>
          <w:lang w:val="es-ES"/>
        </w:rPr>
        <w:t xml:space="preserve"> y de complicidad en una actividad delictiva continua que llevó a</w:t>
      </w:r>
      <w:r>
        <w:rPr>
          <w:rFonts w:asciiTheme="majorHAnsi" w:hAnsiTheme="majorHAnsi"/>
          <w:sz w:val="20"/>
          <w:szCs w:val="20"/>
          <w:lang w:val="es-ES"/>
        </w:rPr>
        <w:t xml:space="preserve"> un tercer </w:t>
      </w:r>
      <w:r w:rsidR="00261E95">
        <w:rPr>
          <w:rFonts w:asciiTheme="majorHAnsi" w:hAnsiTheme="majorHAnsi"/>
          <w:sz w:val="20"/>
          <w:szCs w:val="20"/>
          <w:lang w:val="es-ES"/>
        </w:rPr>
        <w:t>homicidio</w:t>
      </w:r>
      <w:r w:rsidRPr="00304D78">
        <w:rPr>
          <w:rFonts w:asciiTheme="majorHAnsi" w:hAnsiTheme="majorHAnsi"/>
          <w:sz w:val="20"/>
          <w:szCs w:val="20"/>
          <w:lang w:val="es-ES"/>
        </w:rPr>
        <w:t>. Después del juicio</w:t>
      </w:r>
      <w:r>
        <w:rPr>
          <w:rFonts w:asciiTheme="majorHAnsi" w:hAnsiTheme="majorHAnsi"/>
          <w:sz w:val="20"/>
          <w:szCs w:val="20"/>
          <w:lang w:val="es-ES"/>
        </w:rPr>
        <w:t xml:space="preserve"> hubo </w:t>
      </w:r>
      <w:r w:rsidRPr="00304D78">
        <w:rPr>
          <w:rFonts w:asciiTheme="majorHAnsi" w:hAnsiTheme="majorHAnsi"/>
          <w:sz w:val="20"/>
          <w:szCs w:val="20"/>
          <w:lang w:val="es-ES"/>
        </w:rPr>
        <w:t>una audiencia separada de lectura de sentencia</w:t>
      </w:r>
      <w:r>
        <w:rPr>
          <w:rFonts w:asciiTheme="majorHAnsi" w:hAnsiTheme="majorHAnsi"/>
          <w:sz w:val="20"/>
          <w:szCs w:val="20"/>
          <w:lang w:val="es-ES"/>
        </w:rPr>
        <w:t xml:space="preserve">, con el mismo juez, </w:t>
      </w:r>
      <w:r w:rsidRPr="00304D78">
        <w:rPr>
          <w:rFonts w:asciiTheme="majorHAnsi" w:hAnsiTheme="majorHAnsi"/>
          <w:sz w:val="20"/>
          <w:szCs w:val="20"/>
          <w:lang w:val="es-ES"/>
        </w:rPr>
        <w:t>para determina</w:t>
      </w:r>
      <w:r>
        <w:rPr>
          <w:rFonts w:asciiTheme="majorHAnsi" w:hAnsiTheme="majorHAnsi"/>
          <w:sz w:val="20"/>
          <w:szCs w:val="20"/>
          <w:lang w:val="es-ES"/>
        </w:rPr>
        <w:t>r</w:t>
      </w:r>
      <w:r w:rsidRPr="00304D78">
        <w:rPr>
          <w:rFonts w:asciiTheme="majorHAnsi" w:hAnsiTheme="majorHAnsi"/>
          <w:sz w:val="20"/>
          <w:szCs w:val="20"/>
          <w:lang w:val="es-ES"/>
        </w:rPr>
        <w:t xml:space="preserve"> la pena que se aplicaría al señor Robinson. </w:t>
      </w:r>
    </w:p>
    <w:p w14:paraId="76B1A29F" w14:textId="77777777" w:rsidR="00110F02" w:rsidRPr="00304D78" w:rsidRDefault="00110F02" w:rsidP="00110F02">
      <w:pPr>
        <w:pStyle w:val="ListParagraph"/>
        <w:rPr>
          <w:rFonts w:asciiTheme="majorHAnsi" w:hAnsiTheme="majorHAnsi"/>
          <w:sz w:val="20"/>
          <w:szCs w:val="20"/>
          <w:lang w:val="es-ES"/>
        </w:rPr>
      </w:pPr>
    </w:p>
    <w:p w14:paraId="17B8A054"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El abogado defensor presentó numerosos testigos de solvencia moral y un perito en la etapa de la sentencia. Primero llamó a cinco testigos que habían conocido al señor Robinson en la escuela secundaria, donde había </w:t>
      </w:r>
      <w:r w:rsidRPr="00304D78">
        <w:rPr>
          <w:rFonts w:asciiTheme="majorHAnsi" w:hAnsiTheme="majorHAnsi"/>
          <w:sz w:val="20"/>
          <w:szCs w:val="20"/>
          <w:lang w:val="es-ES"/>
        </w:rPr>
        <w:lastRenderedPageBreak/>
        <w:t xml:space="preserve">jugado al fútbol americano, y un empleado de la escuela de computación a la cual había asistido. Después llamó a otros cinco testigos del Centro Médico Federal donde el señor Robinson había estado encarcelado antes del juicio y durante el mismo, que declararon acerca de </w:t>
      </w:r>
      <w:r>
        <w:rPr>
          <w:rFonts w:asciiTheme="majorHAnsi" w:hAnsiTheme="majorHAnsi"/>
          <w:sz w:val="20"/>
          <w:szCs w:val="20"/>
          <w:lang w:val="es-ES"/>
        </w:rPr>
        <w:t>su</w:t>
      </w:r>
      <w:r w:rsidRPr="00304D78">
        <w:rPr>
          <w:rFonts w:asciiTheme="majorHAnsi" w:hAnsiTheme="majorHAnsi"/>
          <w:sz w:val="20"/>
          <w:szCs w:val="20"/>
          <w:lang w:val="es-ES"/>
        </w:rPr>
        <w:t xml:space="preserve"> buena conducta y de la forma en que se había adaptado a la vida en la cárcel. El abogado defensor llamó también al tío y a la madre del señor Robinson para que declararan en su defensa. Por último llamó, en calidad de perito, a un psicólogo forense certificado por el consejo de especialistas en la materia, quien declaró sobre la evaluación del riesgo de peligrosidad futura</w:t>
      </w:r>
      <w:r w:rsidRPr="00304D78">
        <w:rPr>
          <w:rStyle w:val="FootnoteReference"/>
          <w:rFonts w:asciiTheme="majorHAnsi" w:hAnsiTheme="majorHAnsi"/>
          <w:sz w:val="20"/>
          <w:szCs w:val="20"/>
          <w:lang w:val="es-ES"/>
        </w:rPr>
        <w:footnoteReference w:id="15"/>
      </w:r>
      <w:r w:rsidRPr="00304D78">
        <w:rPr>
          <w:rFonts w:asciiTheme="majorHAnsi" w:hAnsiTheme="majorHAnsi"/>
          <w:sz w:val="20"/>
          <w:szCs w:val="20"/>
          <w:lang w:val="es-ES"/>
        </w:rPr>
        <w:t>.</w:t>
      </w:r>
    </w:p>
    <w:p w14:paraId="20EB8604" w14:textId="77777777" w:rsidR="00110F02" w:rsidRPr="00304D78" w:rsidRDefault="00110F02" w:rsidP="00110F02">
      <w:pPr>
        <w:pStyle w:val="ListParagraph"/>
        <w:rPr>
          <w:rFonts w:asciiTheme="majorHAnsi" w:hAnsiTheme="majorHAnsi"/>
          <w:sz w:val="20"/>
          <w:szCs w:val="20"/>
          <w:lang w:val="es-ES"/>
        </w:rPr>
      </w:pPr>
    </w:p>
    <w:p w14:paraId="06811695"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Además de los hechos relativos a las condenas de base expuestos en el juicio durante la </w:t>
      </w:r>
      <w:r w:rsidRPr="00304D78">
        <w:rPr>
          <w:rFonts w:asciiTheme="majorHAnsi" w:hAnsiTheme="majorHAnsi"/>
          <w:bCs/>
          <w:sz w:val="20"/>
          <w:szCs w:val="20"/>
          <w:lang w:val="es-ES"/>
        </w:rPr>
        <w:t xml:space="preserve">etapa de determinación de la culpabilidad o inocencia, la fiscalía recurrió a pruebas presentadas por medio de testigos durante la </w:t>
      </w:r>
      <w:r w:rsidRPr="00304D78">
        <w:rPr>
          <w:rFonts w:asciiTheme="majorHAnsi" w:hAnsiTheme="majorHAnsi"/>
          <w:sz w:val="20"/>
          <w:szCs w:val="20"/>
          <w:lang w:val="es-ES"/>
        </w:rPr>
        <w:t xml:space="preserve">etapa de la sentencia para respaldar su posición con respecto a la probabilidad de peligrosidad futura del señor Robinson. Al tomar una decisión sobre la sentencia, el jurado tuvo en cuenta en parte la prueba presentada por el fiscal de que el señor Robinson había tratado de </w:t>
      </w:r>
      <w:r w:rsidR="0057200A">
        <w:rPr>
          <w:rFonts w:asciiTheme="majorHAnsi" w:hAnsiTheme="majorHAnsi"/>
          <w:sz w:val="20"/>
          <w:szCs w:val="20"/>
          <w:lang w:val="es-ES"/>
        </w:rPr>
        <w:t>asesinar</w:t>
      </w:r>
      <w:r w:rsidRPr="00304D78">
        <w:rPr>
          <w:rFonts w:asciiTheme="majorHAnsi" w:hAnsiTheme="majorHAnsi"/>
          <w:sz w:val="20"/>
          <w:szCs w:val="20"/>
          <w:lang w:val="es-ES"/>
        </w:rPr>
        <w:t xml:space="preserve"> a un informante que había declarado en su contra ante el gran jurado y a una excompañera de la escuela secundaria que le debía dinero por crack. Con respecto al segundo caso, el señor Robinson posteriormente fue declarado culpable de conducta mortífera y el 11 de marzo de 1996 fue condenado a cinco años de libertad condicional</w:t>
      </w:r>
      <w:r w:rsidRPr="00304D78">
        <w:rPr>
          <w:rStyle w:val="FootnoteReference"/>
          <w:rFonts w:asciiTheme="majorHAnsi" w:hAnsiTheme="majorHAnsi"/>
          <w:sz w:val="20"/>
          <w:szCs w:val="20"/>
          <w:lang w:val="es-ES"/>
        </w:rPr>
        <w:footnoteReference w:id="16"/>
      </w:r>
      <w:r w:rsidRPr="00304D78">
        <w:rPr>
          <w:rFonts w:asciiTheme="majorHAnsi" w:hAnsiTheme="majorHAnsi"/>
          <w:sz w:val="20"/>
          <w:szCs w:val="20"/>
          <w:lang w:val="es-ES"/>
        </w:rPr>
        <w:t xml:space="preserve">. </w:t>
      </w:r>
    </w:p>
    <w:p w14:paraId="214BFE6A" w14:textId="77777777" w:rsidR="00110F02" w:rsidRPr="00304D78" w:rsidRDefault="00110F02" w:rsidP="00110F02">
      <w:pPr>
        <w:pStyle w:val="ListParagraph"/>
        <w:rPr>
          <w:rFonts w:asciiTheme="majorHAnsi" w:hAnsiTheme="majorHAnsi"/>
          <w:sz w:val="20"/>
          <w:szCs w:val="20"/>
          <w:lang w:val="es-ES"/>
        </w:rPr>
      </w:pPr>
    </w:p>
    <w:p w14:paraId="7B6BE964"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El 28 de marzo de 2002, el jurado recomendó la pena de muerte. El tribunal de distrito aceptó la recomendación y el 5 de junio de 2002 condenó al señor Robinson a muerte</w:t>
      </w:r>
      <w:r w:rsidRPr="00304D78">
        <w:rPr>
          <w:rStyle w:val="FootnoteReference"/>
          <w:rFonts w:asciiTheme="majorHAnsi" w:hAnsiTheme="majorHAnsi"/>
          <w:sz w:val="20"/>
          <w:szCs w:val="20"/>
          <w:lang w:val="es-ES"/>
        </w:rPr>
        <w:footnoteReference w:id="17"/>
      </w:r>
      <w:r w:rsidRPr="00304D78">
        <w:rPr>
          <w:rFonts w:asciiTheme="majorHAnsi" w:hAnsiTheme="majorHAnsi"/>
          <w:sz w:val="20"/>
          <w:szCs w:val="20"/>
          <w:lang w:val="es-ES"/>
        </w:rPr>
        <w:t xml:space="preserve">. </w:t>
      </w:r>
    </w:p>
    <w:p w14:paraId="75E5AD11"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Theme="majorHAnsi" w:hAnsiTheme="majorHAnsi"/>
          <w:sz w:val="20"/>
          <w:szCs w:val="20"/>
          <w:lang w:val="es-ES"/>
        </w:rPr>
      </w:pPr>
    </w:p>
    <w:p w14:paraId="072D5C3E"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El señor Robinson apeló la sentencia condenatoria, afirmando que la acusación formal adolecía de vicios de constitucionalidad, que el tribunal de distrito había admitido ciertas pruebas inadmisibles en su contra, que la pena de muerte se basaba incorrectamente en ciertas circunstancias agravantes y que la Ley Federal de Pena de Muerte era inconstitucional. El Tribunal Federal de Apelaciones para el Quinto Circuito consideró los reclamos y el 14 de abril de 2014 emitió una opinión mediante la cual ratificó la condena y la sentencia del señor Robinson</w:t>
      </w:r>
      <w:r w:rsidRPr="00304D78">
        <w:rPr>
          <w:rStyle w:val="FootnoteReference"/>
          <w:rFonts w:asciiTheme="majorHAnsi" w:hAnsiTheme="majorHAnsi"/>
          <w:sz w:val="20"/>
          <w:szCs w:val="20"/>
          <w:lang w:val="es-ES"/>
        </w:rPr>
        <w:footnoteReference w:id="18"/>
      </w:r>
      <w:r w:rsidRPr="00304D78">
        <w:rPr>
          <w:rFonts w:asciiTheme="majorHAnsi" w:hAnsiTheme="majorHAnsi"/>
          <w:sz w:val="20"/>
          <w:szCs w:val="20"/>
          <w:lang w:val="es-ES"/>
        </w:rPr>
        <w:t>. El tribunal de apelaciones observó lo siguiente acerca de la etapa de la sentencia</w:t>
      </w:r>
      <w:r w:rsidRPr="00304D78">
        <w:rPr>
          <w:rStyle w:val="FootnoteReference"/>
          <w:rFonts w:asciiTheme="majorHAnsi" w:hAnsiTheme="majorHAnsi"/>
          <w:sz w:val="20"/>
          <w:szCs w:val="20"/>
          <w:lang w:val="es-ES"/>
        </w:rPr>
        <w:footnoteReference w:id="19"/>
      </w:r>
      <w:r w:rsidRPr="00304D78">
        <w:rPr>
          <w:rFonts w:asciiTheme="majorHAnsi" w:hAnsiTheme="majorHAnsi"/>
          <w:sz w:val="20"/>
          <w:szCs w:val="20"/>
          <w:lang w:val="es-ES"/>
        </w:rPr>
        <w:t>:</w:t>
      </w:r>
    </w:p>
    <w:p w14:paraId="72385BC3" w14:textId="77777777" w:rsidR="00110F02" w:rsidRPr="00304D78" w:rsidRDefault="00110F02" w:rsidP="00110F02">
      <w:pPr>
        <w:pStyle w:val="ListParagraph"/>
        <w:rPr>
          <w:rFonts w:asciiTheme="majorHAnsi" w:hAnsiTheme="majorHAnsi"/>
          <w:sz w:val="20"/>
          <w:szCs w:val="20"/>
          <w:lang w:val="es-ES"/>
        </w:rPr>
      </w:pPr>
    </w:p>
    <w:p w14:paraId="77252C3E" w14:textId="77777777" w:rsidR="00110F02" w:rsidRPr="00304D78" w:rsidRDefault="00110F02" w:rsidP="00110F02">
      <w:pPr>
        <w:pStyle w:val="ListParagraph"/>
        <w:ind w:left="360" w:right="360"/>
        <w:jc w:val="both"/>
        <w:rPr>
          <w:rFonts w:asciiTheme="majorHAnsi" w:hAnsiTheme="majorHAnsi"/>
          <w:sz w:val="18"/>
          <w:szCs w:val="18"/>
          <w:lang w:val="es-ES"/>
        </w:rPr>
      </w:pPr>
      <w:r w:rsidRPr="00304D78">
        <w:rPr>
          <w:rFonts w:asciiTheme="majorHAnsi" w:hAnsiTheme="majorHAnsi"/>
          <w:sz w:val="18"/>
          <w:szCs w:val="18"/>
          <w:lang w:val="es-ES"/>
        </w:rPr>
        <w:t>La recomendación del jurado con respecto a la pena se basó en parte en los antecedentes penales de Robinson (además de las condenas antedichas). El jurado se enteró de un incidente que tuvo lugar en 1995, en el cual Robinson le disparó vari</w:t>
      </w:r>
      <w:r>
        <w:rPr>
          <w:rFonts w:asciiTheme="majorHAnsi" w:hAnsiTheme="majorHAnsi"/>
          <w:sz w:val="18"/>
          <w:szCs w:val="18"/>
          <w:lang w:val="es-ES"/>
        </w:rPr>
        <w:t xml:space="preserve">os tiros </w:t>
      </w:r>
      <w:r w:rsidRPr="00304D78">
        <w:rPr>
          <w:rFonts w:asciiTheme="majorHAnsi" w:hAnsiTheme="majorHAnsi"/>
          <w:sz w:val="18"/>
          <w:szCs w:val="18"/>
          <w:lang w:val="es-ES"/>
        </w:rPr>
        <w:t>a una mujer que no le había pagado $120 por crack. Este incidente se usó para mostrar que Robinson ya tenía antecedentes violentos antes de los hechos de los cuales fue acusado. El jurado se enteró también de un incidente […] en el cual Robinson, desde la celda de la cárcel después de su arresto en el caso, hizo arreglos para que un informante fuera asesinado. Esto se usó para mostrar que Robinson tenía propensión a cometer actos de violencia.</w:t>
      </w:r>
    </w:p>
    <w:p w14:paraId="681F2FA5" w14:textId="77777777" w:rsidR="00110F02" w:rsidRPr="00304D78" w:rsidRDefault="00110F02" w:rsidP="00110F02">
      <w:pPr>
        <w:pStyle w:val="ListParagraph"/>
        <w:rPr>
          <w:rFonts w:asciiTheme="majorHAnsi" w:hAnsiTheme="majorHAnsi"/>
          <w:sz w:val="20"/>
          <w:szCs w:val="20"/>
          <w:lang w:val="es-ES"/>
        </w:rPr>
      </w:pPr>
    </w:p>
    <w:p w14:paraId="0F73C727"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El 29 de noviembre de 2004, la Corte Suprema de Estados Unidos denegó la petición de auto de avocación presentada por el señor Robinson</w:t>
      </w:r>
      <w:r w:rsidRPr="00304D78">
        <w:rPr>
          <w:rStyle w:val="FootnoteReference"/>
          <w:rFonts w:asciiTheme="majorHAnsi" w:hAnsiTheme="majorHAnsi"/>
          <w:sz w:val="20"/>
          <w:szCs w:val="20"/>
          <w:lang w:val="es-ES"/>
        </w:rPr>
        <w:footnoteReference w:id="20"/>
      </w:r>
      <w:r w:rsidRPr="00304D78">
        <w:rPr>
          <w:rFonts w:asciiTheme="majorHAnsi" w:hAnsiTheme="majorHAnsi"/>
          <w:sz w:val="20"/>
          <w:szCs w:val="20"/>
          <w:lang w:val="es-ES"/>
        </w:rPr>
        <w:t xml:space="preserve">. </w:t>
      </w:r>
    </w:p>
    <w:p w14:paraId="67ABE075" w14:textId="77777777" w:rsidR="00110F02" w:rsidRDefault="00110F02" w:rsidP="00110F02">
      <w:pPr>
        <w:rPr>
          <w:lang w:val="es-ES"/>
        </w:rPr>
      </w:pPr>
    </w:p>
    <w:p w14:paraId="47CED8AC" w14:textId="77777777" w:rsidR="00B16A61" w:rsidRPr="00304D78" w:rsidRDefault="00B16A61" w:rsidP="00110F02">
      <w:pPr>
        <w:rPr>
          <w:lang w:val="es-ES"/>
        </w:rPr>
      </w:pPr>
    </w:p>
    <w:p w14:paraId="655B1519" w14:textId="77777777" w:rsidR="00110F02" w:rsidRPr="00FC2F24" w:rsidRDefault="00110F02" w:rsidP="005200DD">
      <w:pPr>
        <w:pStyle w:val="Heading2"/>
        <w:numPr>
          <w:ilvl w:val="0"/>
          <w:numId w:val="61"/>
        </w:numPr>
        <w:spacing w:before="0" w:after="0"/>
        <w:ind w:left="360"/>
        <w:rPr>
          <w:rFonts w:asciiTheme="majorHAnsi" w:hAnsiTheme="majorHAnsi"/>
          <w:i w:val="0"/>
          <w:sz w:val="20"/>
          <w:szCs w:val="20"/>
          <w:lang w:val="es-ES"/>
        </w:rPr>
      </w:pPr>
      <w:bookmarkStart w:id="27" w:name="_Toc61514161"/>
      <w:r w:rsidRPr="00FC2F24">
        <w:rPr>
          <w:rFonts w:asciiTheme="majorHAnsi" w:hAnsiTheme="majorHAnsi"/>
          <w:i w:val="0"/>
          <w:sz w:val="20"/>
          <w:szCs w:val="20"/>
          <w:lang w:val="es-ES"/>
        </w:rPr>
        <w:t>Actuaciones poscondenatorias</w:t>
      </w:r>
      <w:bookmarkEnd w:id="27"/>
    </w:p>
    <w:p w14:paraId="72455F62" w14:textId="77777777" w:rsidR="00110F02" w:rsidRPr="00304D78" w:rsidRDefault="00110F02" w:rsidP="00110F02">
      <w:pPr>
        <w:rPr>
          <w:lang w:val="es-ES"/>
        </w:rPr>
      </w:pPr>
    </w:p>
    <w:p w14:paraId="6A6923BE"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El abogado defensor del señor Robinson presentó un pedimento de invalidación de la condena y la sentencia de conformidad con</w:t>
      </w:r>
      <w:r w:rsidRPr="00304D78">
        <w:rPr>
          <w:sz w:val="20"/>
          <w:szCs w:val="20"/>
          <w:lang w:val="es-ES"/>
        </w:rPr>
        <w:t xml:space="preserve"> </w:t>
      </w:r>
      <w:r w:rsidRPr="00304D78">
        <w:rPr>
          <w:rFonts w:asciiTheme="majorHAnsi" w:hAnsiTheme="majorHAnsi"/>
          <w:sz w:val="20"/>
          <w:szCs w:val="20"/>
          <w:lang w:val="es-ES"/>
        </w:rPr>
        <w:t>el Código de Estados Unidos, Título 28, artículo 2255, alegando que el abogado litigante no le proporcionó patrocinio letrado eficaz en la etapa de la sentencia</w:t>
      </w:r>
      <w:r>
        <w:rPr>
          <w:rFonts w:asciiTheme="majorHAnsi" w:hAnsiTheme="majorHAnsi"/>
          <w:sz w:val="20"/>
          <w:szCs w:val="20"/>
          <w:lang w:val="es-ES"/>
        </w:rPr>
        <w:t xml:space="preserve">, ya </w:t>
      </w:r>
      <w:r w:rsidRPr="00304D78">
        <w:rPr>
          <w:rFonts w:asciiTheme="majorHAnsi" w:hAnsiTheme="majorHAnsi"/>
          <w:sz w:val="20"/>
          <w:szCs w:val="20"/>
          <w:lang w:val="es-ES"/>
        </w:rPr>
        <w:t>que no investigó ni refutó las pruebas agravantes presentadas por la fiscalía, no se preparó debidamente y no presentó pruebas atenuantes. Además, alegó discriminación racial. El 7 de noviembre de 2008, el tribunal de distrito denegó el pedimento. El tribunal concluyó que el señor Robinson no había demostrado que el desempeño de su abogado litigante h</w:t>
      </w:r>
      <w:r>
        <w:rPr>
          <w:rFonts w:asciiTheme="majorHAnsi" w:hAnsiTheme="majorHAnsi"/>
          <w:sz w:val="20"/>
          <w:szCs w:val="20"/>
          <w:lang w:val="es-ES"/>
        </w:rPr>
        <w:t>ubiera</w:t>
      </w:r>
      <w:r w:rsidRPr="00304D78">
        <w:rPr>
          <w:rFonts w:asciiTheme="majorHAnsi" w:hAnsiTheme="majorHAnsi"/>
          <w:sz w:val="20"/>
          <w:szCs w:val="20"/>
          <w:lang w:val="es-ES"/>
        </w:rPr>
        <w:t xml:space="preserve"> estado por debajo de una norma profesional objetivamente razonable y, en consecuencia, </w:t>
      </w:r>
      <w:r w:rsidRPr="00304D78">
        <w:rPr>
          <w:rFonts w:asciiTheme="majorHAnsi" w:hAnsiTheme="majorHAnsi"/>
          <w:sz w:val="20"/>
          <w:szCs w:val="20"/>
          <w:lang w:val="es-ES"/>
        </w:rPr>
        <w:lastRenderedPageBreak/>
        <w:t>h</w:t>
      </w:r>
      <w:r>
        <w:rPr>
          <w:rFonts w:asciiTheme="majorHAnsi" w:hAnsiTheme="majorHAnsi"/>
          <w:sz w:val="20"/>
          <w:szCs w:val="20"/>
          <w:lang w:val="es-ES"/>
        </w:rPr>
        <w:t>ubiera</w:t>
      </w:r>
      <w:r w:rsidRPr="00304D78">
        <w:rPr>
          <w:rFonts w:asciiTheme="majorHAnsi" w:hAnsiTheme="majorHAnsi"/>
          <w:sz w:val="20"/>
          <w:szCs w:val="20"/>
          <w:lang w:val="es-ES"/>
        </w:rPr>
        <w:t xml:space="preserve"> perjudicado el caso</w:t>
      </w:r>
      <w:r w:rsidRPr="00304D78">
        <w:rPr>
          <w:rStyle w:val="FootnoteReference"/>
          <w:rFonts w:asciiTheme="majorHAnsi" w:hAnsiTheme="majorHAnsi"/>
          <w:sz w:val="20"/>
          <w:szCs w:val="20"/>
          <w:lang w:val="es-ES"/>
        </w:rPr>
        <w:footnoteReference w:id="21"/>
      </w:r>
      <w:r w:rsidRPr="00304D78">
        <w:rPr>
          <w:rFonts w:asciiTheme="majorHAnsi" w:hAnsiTheme="majorHAnsi"/>
          <w:sz w:val="20"/>
          <w:szCs w:val="20"/>
          <w:lang w:val="es-ES"/>
        </w:rPr>
        <w:t>. La CIDH resume a continuación las conclusiones del tribunal sobre las principales alegaciones del señor Robinson.</w:t>
      </w:r>
    </w:p>
    <w:p w14:paraId="5E8D14A7"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Theme="majorHAnsi" w:hAnsiTheme="majorHAnsi"/>
          <w:sz w:val="20"/>
          <w:szCs w:val="20"/>
          <w:lang w:val="es-ES"/>
        </w:rPr>
      </w:pPr>
    </w:p>
    <w:p w14:paraId="655E2255" w14:textId="77777777" w:rsidR="00110F02" w:rsidRPr="00304D78" w:rsidRDefault="00110F02" w:rsidP="005200D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Theme="majorHAnsi" w:hAnsiTheme="majorHAnsi"/>
          <w:sz w:val="20"/>
          <w:szCs w:val="20"/>
          <w:lang w:val="es-ES"/>
        </w:rPr>
      </w:pPr>
      <w:r w:rsidRPr="00304D78">
        <w:rPr>
          <w:rFonts w:asciiTheme="majorHAnsi" w:hAnsiTheme="majorHAnsi"/>
          <w:sz w:val="20"/>
          <w:szCs w:val="20"/>
          <w:lang w:val="es-ES"/>
        </w:rPr>
        <w:t>Patrocinio letrado ineficaz del abogado litigante</w:t>
      </w:r>
    </w:p>
    <w:p w14:paraId="675804A6"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Theme="majorHAnsi" w:hAnsiTheme="majorHAnsi"/>
          <w:sz w:val="20"/>
          <w:szCs w:val="20"/>
          <w:lang w:val="es-ES"/>
        </w:rPr>
      </w:pPr>
    </w:p>
    <w:p w14:paraId="36B7321E"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lang w:val="es-ES"/>
        </w:rPr>
      </w:pPr>
      <w:r w:rsidRPr="00304D78">
        <w:rPr>
          <w:rFonts w:asciiTheme="majorHAnsi" w:hAnsiTheme="majorHAnsi"/>
          <w:sz w:val="20"/>
          <w:szCs w:val="20"/>
          <w:lang w:val="es-ES"/>
        </w:rPr>
        <w:t xml:space="preserve">Con respecto a que, supuestamente, el abogado litigante no contrató un investigador competente, el tribunal de distrito observó que el abogado litigante contrató un investigador con licencia que había intervenido en cientos de investigaciones para la defensa en casos penales, entre ellos varios casos de pena de muerte. Agregó que el investigador habló directamente con el señor Robinson para buscar posibles testigos, la mayoría de los cuales declararon a </w:t>
      </w:r>
      <w:r>
        <w:rPr>
          <w:rFonts w:asciiTheme="majorHAnsi" w:hAnsiTheme="majorHAnsi"/>
          <w:sz w:val="20"/>
          <w:szCs w:val="20"/>
          <w:lang w:val="es-ES"/>
        </w:rPr>
        <w:t xml:space="preserve">su </w:t>
      </w:r>
      <w:r w:rsidRPr="00304D78">
        <w:rPr>
          <w:rFonts w:asciiTheme="majorHAnsi" w:hAnsiTheme="majorHAnsi"/>
          <w:sz w:val="20"/>
          <w:szCs w:val="20"/>
          <w:lang w:val="es-ES"/>
        </w:rPr>
        <w:t>favor, como se indicó anteriormente.</w:t>
      </w:r>
    </w:p>
    <w:p w14:paraId="2D0A6C43" w14:textId="77777777" w:rsidR="00110F02" w:rsidRPr="00304D78" w:rsidRDefault="00110F02" w:rsidP="00110F02">
      <w:pPr>
        <w:pStyle w:val="ListParagraph"/>
        <w:rPr>
          <w:lang w:val="es-ES"/>
        </w:rPr>
      </w:pPr>
    </w:p>
    <w:p w14:paraId="03E80522"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El señor Robinson alegó también que el abogado litigante no investigó debidamente ni refutó las pruebas presentadas por el fiscal en relación con </w:t>
      </w:r>
      <w:r>
        <w:rPr>
          <w:rFonts w:asciiTheme="majorHAnsi" w:hAnsiTheme="majorHAnsi"/>
          <w:sz w:val="20"/>
          <w:szCs w:val="20"/>
          <w:lang w:val="es-ES"/>
        </w:rPr>
        <w:t xml:space="preserve">la </w:t>
      </w:r>
      <w:r w:rsidRPr="00304D78">
        <w:rPr>
          <w:rFonts w:asciiTheme="majorHAnsi" w:hAnsiTheme="majorHAnsi"/>
          <w:sz w:val="20"/>
          <w:szCs w:val="20"/>
          <w:lang w:val="es-ES"/>
        </w:rPr>
        <w:t>agravante de peligrosidad futura, en particular las pruebas relativas a i) el intento de homicidio de un narcotraficante que había declarado contra el señor Robinson ante el gran jurado y había proporcionado información a la Administración para el Control de Drogas, y ii) el intento de homicidio de una mujer que le debía $120 por crack</w:t>
      </w:r>
      <w:r w:rsidRPr="00304D78">
        <w:rPr>
          <w:rStyle w:val="FootnoteReference"/>
          <w:rFonts w:asciiTheme="majorHAnsi" w:hAnsiTheme="majorHAnsi"/>
          <w:sz w:val="20"/>
          <w:szCs w:val="20"/>
          <w:lang w:val="es-ES"/>
        </w:rPr>
        <w:footnoteReference w:id="22"/>
      </w:r>
      <w:r w:rsidRPr="00304D78">
        <w:rPr>
          <w:rFonts w:asciiTheme="majorHAnsi" w:hAnsiTheme="majorHAnsi"/>
          <w:sz w:val="20"/>
          <w:szCs w:val="20"/>
          <w:lang w:val="es-ES"/>
        </w:rPr>
        <w:t xml:space="preserve">. </w:t>
      </w:r>
    </w:p>
    <w:p w14:paraId="7719A511" w14:textId="77777777" w:rsidR="00110F02" w:rsidRPr="00304D78" w:rsidRDefault="00110F02" w:rsidP="00110F02">
      <w:pPr>
        <w:pStyle w:val="ListParagraph"/>
        <w:rPr>
          <w:rFonts w:asciiTheme="majorHAnsi" w:hAnsiTheme="majorHAnsi"/>
          <w:sz w:val="20"/>
          <w:szCs w:val="20"/>
          <w:lang w:val="es-ES"/>
        </w:rPr>
      </w:pPr>
    </w:p>
    <w:p w14:paraId="2DDE7477"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Con respecto a la primera prueba, el señor Robinson reconoció que su abogado litigante </w:t>
      </w:r>
      <w:r>
        <w:rPr>
          <w:rFonts w:asciiTheme="majorHAnsi" w:hAnsiTheme="majorHAnsi"/>
          <w:sz w:val="20"/>
          <w:szCs w:val="20"/>
          <w:lang w:val="es-ES"/>
        </w:rPr>
        <w:t xml:space="preserve">había presentado </w:t>
      </w:r>
      <w:r w:rsidRPr="00304D78">
        <w:rPr>
          <w:rFonts w:asciiTheme="majorHAnsi" w:hAnsiTheme="majorHAnsi"/>
          <w:sz w:val="20"/>
          <w:szCs w:val="20"/>
          <w:lang w:val="es-ES"/>
        </w:rPr>
        <w:t xml:space="preserve">un pedimento </w:t>
      </w:r>
      <w:r w:rsidRPr="00304D78">
        <w:rPr>
          <w:rFonts w:asciiTheme="majorHAnsi" w:hAnsiTheme="majorHAnsi"/>
          <w:i/>
          <w:sz w:val="20"/>
          <w:szCs w:val="20"/>
          <w:lang w:val="es-ES"/>
        </w:rPr>
        <w:t>in limine litis</w:t>
      </w:r>
      <w:r w:rsidRPr="00304D78">
        <w:rPr>
          <w:rFonts w:asciiTheme="majorHAnsi" w:hAnsiTheme="majorHAnsi"/>
          <w:sz w:val="20"/>
          <w:szCs w:val="20"/>
          <w:lang w:val="es-ES"/>
        </w:rPr>
        <w:t xml:space="preserve"> para que se excluyera la prueba de que había orquestado el secuestro, </w:t>
      </w:r>
      <w:r>
        <w:rPr>
          <w:rFonts w:asciiTheme="majorHAnsi" w:hAnsiTheme="majorHAnsi"/>
          <w:sz w:val="20"/>
          <w:szCs w:val="20"/>
          <w:lang w:val="es-ES"/>
        </w:rPr>
        <w:t xml:space="preserve">pero </w:t>
      </w:r>
      <w:r w:rsidRPr="00304D78">
        <w:rPr>
          <w:rFonts w:asciiTheme="majorHAnsi" w:hAnsiTheme="majorHAnsi"/>
          <w:sz w:val="20"/>
          <w:szCs w:val="20"/>
          <w:lang w:val="es-ES"/>
        </w:rPr>
        <w:t xml:space="preserve">afirmó que el abogado litigante no investigó el incidente y, por lo tanto, no sabía que todas las personas involucradas negaban toda conexión con un intento de homicidio. El tribunal de distrito estuvo de acuerdo con el fiscal en que las distintas versiones de los hechos contenidas en las nuevas declaraciones en las cuales se basaba el señor Robinson no demostraban la falsedad de las versiones expresadas en el juicio que corroboraban los hechos. </w:t>
      </w:r>
    </w:p>
    <w:p w14:paraId="4A26B34D" w14:textId="77777777" w:rsidR="00110F02" w:rsidRPr="00304D78" w:rsidRDefault="00110F02" w:rsidP="00110F02">
      <w:pPr>
        <w:pStyle w:val="ListParagraph"/>
        <w:rPr>
          <w:rFonts w:asciiTheme="majorHAnsi" w:hAnsiTheme="majorHAnsi"/>
          <w:sz w:val="20"/>
          <w:szCs w:val="20"/>
          <w:lang w:val="es-ES"/>
        </w:rPr>
      </w:pPr>
    </w:p>
    <w:p w14:paraId="49B9620B"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Con respecto a la segunda prueba, el señor Robinson no negó que había sido condenado por su participación en el tiroteo. Sin embargo, afirmó que sus actos fueron descritos injustamente como intento de homicidio y que su abogado litigante no investigó </w:t>
      </w:r>
      <w:r>
        <w:rPr>
          <w:rFonts w:asciiTheme="majorHAnsi" w:hAnsiTheme="majorHAnsi"/>
          <w:sz w:val="20"/>
          <w:szCs w:val="20"/>
          <w:lang w:val="es-ES"/>
        </w:rPr>
        <w:t xml:space="preserve">de manera adecuada </w:t>
      </w:r>
      <w:r w:rsidRPr="00304D78">
        <w:rPr>
          <w:rFonts w:asciiTheme="majorHAnsi" w:hAnsiTheme="majorHAnsi"/>
          <w:sz w:val="20"/>
          <w:szCs w:val="20"/>
          <w:lang w:val="es-ES"/>
        </w:rPr>
        <w:t>ni refutó las pruebas presentadas por el fiscal. El tribunal estuvo de acuerdo con la fiscalía en que la declaración de culpabilidad del cargo de “conducta mortífera” no era convincente, ya que es común que un acusado se declare culpable de delitos menos graves, lo cual no indica que la base fáctica del delito original sea incorrecta, y los partes policiales corroboraban el cargo de intento de homicidio formulado antes que el señor Robinson se declarara culpable de un delito menos grave.</w:t>
      </w:r>
    </w:p>
    <w:p w14:paraId="67F32E5D" w14:textId="77777777" w:rsidR="00110F02" w:rsidRPr="00304D78" w:rsidRDefault="00110F02" w:rsidP="00110F02">
      <w:pPr>
        <w:pStyle w:val="ListParagraph"/>
        <w:rPr>
          <w:rFonts w:asciiTheme="majorHAnsi" w:hAnsiTheme="majorHAnsi"/>
          <w:sz w:val="20"/>
          <w:szCs w:val="20"/>
          <w:lang w:val="es-ES"/>
        </w:rPr>
      </w:pPr>
    </w:p>
    <w:p w14:paraId="774694FA"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El señor Robinson afirmó asimismo que abogado litigante no había hecho una investigación adecuada de las circunstancias atenuantes (por ejemplo, no contrató un experto en la materia), lo cual influyó en la etapa de la sentencia. </w:t>
      </w:r>
      <w:r>
        <w:rPr>
          <w:rFonts w:asciiTheme="majorHAnsi" w:hAnsiTheme="majorHAnsi"/>
          <w:sz w:val="20"/>
          <w:szCs w:val="20"/>
          <w:lang w:val="es-ES"/>
        </w:rPr>
        <w:t>Lo c</w:t>
      </w:r>
      <w:r w:rsidRPr="00304D78">
        <w:rPr>
          <w:rFonts w:asciiTheme="majorHAnsi" w:hAnsiTheme="majorHAnsi"/>
          <w:sz w:val="20"/>
          <w:szCs w:val="20"/>
          <w:lang w:val="es-ES"/>
        </w:rPr>
        <w:t>ulpó de no haber presentado pruebas adicionales de problemas de salud mental y circunstancias negativa</w:t>
      </w:r>
      <w:r>
        <w:rPr>
          <w:rFonts w:asciiTheme="majorHAnsi" w:hAnsiTheme="majorHAnsi"/>
          <w:sz w:val="20"/>
          <w:szCs w:val="20"/>
          <w:lang w:val="es-ES"/>
        </w:rPr>
        <w:t>s</w:t>
      </w:r>
      <w:r w:rsidRPr="00304D78">
        <w:rPr>
          <w:rFonts w:asciiTheme="majorHAnsi" w:hAnsiTheme="majorHAnsi"/>
          <w:sz w:val="20"/>
          <w:szCs w:val="20"/>
          <w:lang w:val="es-ES"/>
        </w:rPr>
        <w:t xml:space="preserve"> de la infancia en la etapa de la sentencia. El tribunal observó que el abogado litigante había examinado los registros de la escuela secundaria del señor Robinson y sus registros universitarios. En vista de la información que contenían y de l</w:t>
      </w:r>
      <w:r>
        <w:rPr>
          <w:rFonts w:asciiTheme="majorHAnsi" w:hAnsiTheme="majorHAnsi"/>
          <w:sz w:val="20"/>
          <w:szCs w:val="20"/>
          <w:lang w:val="es-ES"/>
        </w:rPr>
        <w:t xml:space="preserve">os aportes de </w:t>
      </w:r>
      <w:r w:rsidRPr="00304D78">
        <w:rPr>
          <w:rFonts w:asciiTheme="majorHAnsi" w:hAnsiTheme="majorHAnsi"/>
          <w:sz w:val="20"/>
          <w:szCs w:val="20"/>
          <w:lang w:val="es-ES"/>
        </w:rPr>
        <w:t>educadores y entrenadores, el tribunal concluyó que no había ninguna razón para que el abogado examinara los registros de la escuela primaria del señor</w:t>
      </w:r>
      <w:r>
        <w:rPr>
          <w:rFonts w:asciiTheme="majorHAnsi" w:hAnsiTheme="majorHAnsi"/>
          <w:sz w:val="20"/>
          <w:szCs w:val="20"/>
          <w:lang w:val="es-ES"/>
        </w:rPr>
        <w:t xml:space="preserve"> Robinson</w:t>
      </w:r>
      <w:r w:rsidRPr="00304D78">
        <w:rPr>
          <w:rFonts w:asciiTheme="majorHAnsi" w:hAnsiTheme="majorHAnsi"/>
          <w:sz w:val="20"/>
          <w:szCs w:val="20"/>
          <w:lang w:val="es-ES"/>
        </w:rPr>
        <w:t xml:space="preserve">, como él pedía. </w:t>
      </w:r>
    </w:p>
    <w:p w14:paraId="69CE29F0" w14:textId="77777777" w:rsidR="00110F02" w:rsidRPr="00304D78" w:rsidRDefault="00110F02" w:rsidP="00110F02">
      <w:pPr>
        <w:pStyle w:val="ListParagraph"/>
        <w:rPr>
          <w:rFonts w:asciiTheme="majorHAnsi" w:hAnsiTheme="majorHAnsi"/>
          <w:sz w:val="20"/>
          <w:szCs w:val="20"/>
          <w:lang w:val="es-ES"/>
        </w:rPr>
      </w:pPr>
    </w:p>
    <w:p w14:paraId="252BC46A"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El señor Robinson afirmó asimismo que el abogado litigante no evaluó debidamente el efecto de su exposición a plaguicidas en la infancia. El tribunal observó que, en el examen efectuado después del juicio, se llegó a la conclusión de que el perfil mental del señor Robinson concordaba con déficits cognitivos </w:t>
      </w:r>
      <w:r w:rsidRPr="00304D78">
        <w:rPr>
          <w:rFonts w:asciiTheme="majorHAnsi" w:hAnsiTheme="majorHAnsi"/>
          <w:i/>
          <w:sz w:val="20"/>
          <w:szCs w:val="20"/>
          <w:lang w:val="es-ES"/>
        </w:rPr>
        <w:t>sutiles</w:t>
      </w:r>
      <w:r w:rsidRPr="00304D78">
        <w:rPr>
          <w:rFonts w:asciiTheme="majorHAnsi" w:hAnsiTheme="majorHAnsi"/>
          <w:sz w:val="20"/>
          <w:szCs w:val="20"/>
          <w:lang w:val="es-ES"/>
        </w:rPr>
        <w:t xml:space="preserve"> relacionados con la exposición crónica a plaguicidas organofosforados combinada con problemas generales de aprendizaje, y no opinó sobre la probabilidad de que esos defectos cognitivos sutiles afectaran la capacidad del señor Robinson para planear y ejecutar el asesinato de tres personas</w:t>
      </w:r>
      <w:r w:rsidRPr="00304D78">
        <w:rPr>
          <w:rStyle w:val="FootnoteReference"/>
          <w:rFonts w:asciiTheme="majorHAnsi" w:hAnsiTheme="majorHAnsi"/>
          <w:sz w:val="20"/>
          <w:szCs w:val="20"/>
          <w:lang w:val="es-ES"/>
        </w:rPr>
        <w:footnoteReference w:id="23"/>
      </w:r>
      <w:r w:rsidRPr="00304D78">
        <w:rPr>
          <w:rFonts w:asciiTheme="majorHAnsi" w:hAnsiTheme="majorHAnsi"/>
          <w:sz w:val="20"/>
          <w:szCs w:val="20"/>
          <w:lang w:val="es-ES"/>
        </w:rPr>
        <w:t>.</w:t>
      </w:r>
    </w:p>
    <w:p w14:paraId="1B1AE363" w14:textId="77777777" w:rsidR="00110F02" w:rsidRPr="00304D78" w:rsidRDefault="00110F02" w:rsidP="00110F02">
      <w:pPr>
        <w:pStyle w:val="ListParagraph"/>
        <w:rPr>
          <w:rFonts w:asciiTheme="majorHAnsi" w:hAnsiTheme="majorHAnsi"/>
          <w:sz w:val="20"/>
          <w:szCs w:val="20"/>
          <w:lang w:val="es-ES"/>
        </w:rPr>
      </w:pPr>
    </w:p>
    <w:p w14:paraId="71920E60"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lastRenderedPageBreak/>
        <w:t>Con respecto</w:t>
      </w:r>
      <w:r>
        <w:rPr>
          <w:rFonts w:asciiTheme="majorHAnsi" w:hAnsiTheme="majorHAnsi"/>
          <w:sz w:val="20"/>
          <w:szCs w:val="20"/>
          <w:lang w:val="es-ES"/>
        </w:rPr>
        <w:t xml:space="preserve"> </w:t>
      </w:r>
      <w:r w:rsidRPr="00304D78">
        <w:rPr>
          <w:rFonts w:asciiTheme="majorHAnsi" w:hAnsiTheme="majorHAnsi"/>
          <w:sz w:val="20"/>
          <w:szCs w:val="20"/>
          <w:lang w:val="es-ES"/>
        </w:rPr>
        <w:t xml:space="preserve">al presunto hecho de que no se contrató un experto en salud mental ni se presentaron pruebas de la exposición </w:t>
      </w:r>
      <w:r w:rsidRPr="00304D78">
        <w:rPr>
          <w:rFonts w:asciiTheme="majorHAnsi" w:hAnsiTheme="majorHAnsi"/>
          <w:i/>
          <w:sz w:val="20"/>
          <w:szCs w:val="20"/>
          <w:lang w:val="es-ES"/>
        </w:rPr>
        <w:t>in utero</w:t>
      </w:r>
      <w:r w:rsidRPr="00304D78">
        <w:rPr>
          <w:rFonts w:asciiTheme="majorHAnsi" w:hAnsiTheme="majorHAnsi"/>
          <w:sz w:val="20"/>
          <w:szCs w:val="20"/>
          <w:lang w:val="es-ES"/>
        </w:rPr>
        <w:t xml:space="preserve"> a drogas y alcohol durante el embarazo de la madre del señor Robinson, el tribunal concluyó que el dictamen pericial presentado por el señor Robinson, según el cual sus antecedentes mentales y sociales lo volvieron más vulnerable a problemas psicológicos y emocionales durante toda su vida, no habría persuadido al jurado de que era menos culpable de los homicidios, en vista de todas las pruebas en contrario. </w:t>
      </w:r>
    </w:p>
    <w:p w14:paraId="0B3E68AC" w14:textId="77777777" w:rsidR="00110F02" w:rsidRPr="00304D78" w:rsidRDefault="00110F02" w:rsidP="00110F02">
      <w:pPr>
        <w:pStyle w:val="ListParagraph"/>
        <w:rPr>
          <w:rFonts w:asciiTheme="majorHAnsi" w:hAnsiTheme="majorHAnsi"/>
          <w:sz w:val="20"/>
          <w:szCs w:val="20"/>
          <w:lang w:val="es-ES"/>
        </w:rPr>
      </w:pPr>
    </w:p>
    <w:p w14:paraId="74424242"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El señor Robinson afirmó asimismo que el abogado litigante no hizo una búsqueda adecuada de pruebas atenuantes en sus antecedentes social</w:t>
      </w:r>
      <w:r>
        <w:rPr>
          <w:rFonts w:asciiTheme="majorHAnsi" w:hAnsiTheme="majorHAnsi"/>
          <w:sz w:val="20"/>
          <w:szCs w:val="20"/>
          <w:lang w:val="es-ES"/>
        </w:rPr>
        <w:t>es</w:t>
      </w:r>
      <w:r w:rsidRPr="00304D78">
        <w:rPr>
          <w:rFonts w:asciiTheme="majorHAnsi" w:hAnsiTheme="majorHAnsi"/>
          <w:sz w:val="20"/>
          <w:szCs w:val="20"/>
          <w:lang w:val="es-ES"/>
        </w:rPr>
        <w:t>, incluidas declaraciones de sus familiares y vecinos de la época en que vivió en Arkansas. El tribunal observó en ese sentido que gran parte del fondo de esas declaraciones abarcaba períodos anteriores al nacimiento del señor Robinson. En cuanto a las declaraciones relativas al involucramiento del señor Robinson en pandillas durante su juventud en Arkansas, el tribunal observó que el abogado decidió estratégicamente no poner de relieve esa información en el juicio porque sería más perjudicial que beneficiosa.</w:t>
      </w:r>
    </w:p>
    <w:p w14:paraId="2CF4CB86" w14:textId="77777777" w:rsidR="00110F02" w:rsidRPr="00304D78" w:rsidRDefault="00110F02" w:rsidP="00110F02">
      <w:pPr>
        <w:pStyle w:val="ListParagraph"/>
        <w:rPr>
          <w:rFonts w:asciiTheme="majorHAnsi" w:hAnsiTheme="majorHAnsi"/>
          <w:sz w:val="20"/>
          <w:szCs w:val="20"/>
          <w:lang w:val="es-ES"/>
        </w:rPr>
      </w:pPr>
    </w:p>
    <w:p w14:paraId="46309CBC"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El tribunal de distrito concluyó que el abogado del señor Robinson contrató un investigador experimentado, hizo una investigación exhaustiva y presentó pruebas de numerosos testigos de solvencia moral que hicieron declaraciones positivas. En particular, observó que</w:t>
      </w:r>
      <w:r w:rsidRPr="00304D78">
        <w:rPr>
          <w:rStyle w:val="FootnoteReference"/>
          <w:rFonts w:asciiTheme="majorHAnsi" w:hAnsiTheme="majorHAnsi"/>
          <w:sz w:val="20"/>
          <w:szCs w:val="20"/>
          <w:lang w:val="es-ES"/>
        </w:rPr>
        <w:footnoteReference w:id="24"/>
      </w:r>
      <w:r w:rsidRPr="00304D78">
        <w:rPr>
          <w:rFonts w:asciiTheme="majorHAnsi" w:hAnsiTheme="majorHAnsi"/>
          <w:sz w:val="20"/>
          <w:szCs w:val="20"/>
          <w:lang w:val="es-ES"/>
        </w:rPr>
        <w:t>:</w:t>
      </w:r>
    </w:p>
    <w:p w14:paraId="51F9B5F5" w14:textId="77777777" w:rsidR="00110F02" w:rsidRPr="00304D78" w:rsidRDefault="00110F02" w:rsidP="00110F02">
      <w:pPr>
        <w:pStyle w:val="ListParagraph"/>
        <w:rPr>
          <w:rFonts w:asciiTheme="majorHAnsi" w:hAnsiTheme="majorHAnsi"/>
          <w:sz w:val="20"/>
          <w:szCs w:val="20"/>
          <w:lang w:val="es-ES"/>
        </w:rPr>
      </w:pPr>
    </w:p>
    <w:p w14:paraId="73C653CA"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360" w:right="360"/>
        <w:jc w:val="both"/>
        <w:textAlignment w:val="baseline"/>
        <w:rPr>
          <w:rFonts w:asciiTheme="majorHAnsi" w:hAnsiTheme="majorHAnsi"/>
          <w:sz w:val="18"/>
          <w:szCs w:val="18"/>
          <w:lang w:val="es-ES"/>
        </w:rPr>
      </w:pPr>
      <w:r w:rsidRPr="00304D78">
        <w:rPr>
          <w:rFonts w:asciiTheme="majorHAnsi" w:hAnsiTheme="majorHAnsi"/>
          <w:sz w:val="18"/>
          <w:szCs w:val="18"/>
          <w:lang w:val="es-ES"/>
        </w:rPr>
        <w:t xml:space="preserve">[…] incluso si las declaraciones nuevas proporcionaran pruebas de que su vida familiar hubiera sido menos positiva </w:t>
      </w:r>
      <w:r>
        <w:rPr>
          <w:rFonts w:asciiTheme="majorHAnsi" w:hAnsiTheme="majorHAnsi"/>
          <w:sz w:val="18"/>
          <w:szCs w:val="18"/>
          <w:lang w:val="es-ES"/>
        </w:rPr>
        <w:t>que</w:t>
      </w:r>
      <w:r w:rsidRPr="00304D78">
        <w:rPr>
          <w:rFonts w:asciiTheme="majorHAnsi" w:hAnsiTheme="majorHAnsi"/>
          <w:sz w:val="18"/>
          <w:szCs w:val="18"/>
          <w:lang w:val="es-ES"/>
        </w:rPr>
        <w:t xml:space="preserve"> la descrita en el juicio y de que tuvo dificultades en la escuela, esas pruebas no dem</w:t>
      </w:r>
      <w:r>
        <w:rPr>
          <w:rFonts w:asciiTheme="majorHAnsi" w:hAnsiTheme="majorHAnsi"/>
          <w:sz w:val="18"/>
          <w:szCs w:val="18"/>
          <w:lang w:val="es-ES"/>
        </w:rPr>
        <w:t>ostrarían</w:t>
      </w:r>
      <w:r w:rsidRPr="00304D78">
        <w:rPr>
          <w:rFonts w:asciiTheme="majorHAnsi" w:hAnsiTheme="majorHAnsi"/>
          <w:sz w:val="18"/>
          <w:szCs w:val="18"/>
          <w:lang w:val="es-ES"/>
        </w:rPr>
        <w:t xml:space="preserve"> la existencia de prejuicio. Se ha demostrado claramente que, para que el reclamo de patrocinio letrado insuficiente por falta de investigación sea convincente, Robinson “debe alegar específicamente qué habría revelado la investigación y cómo habría alterado eso el desenlace del juicio”.</w:t>
      </w:r>
    </w:p>
    <w:p w14:paraId="1A8959C8" w14:textId="77777777" w:rsidR="00110F02" w:rsidRPr="00304D78" w:rsidRDefault="00110F02" w:rsidP="00110F02">
      <w:pPr>
        <w:rPr>
          <w:lang w:val="es-ES"/>
        </w:rPr>
      </w:pPr>
    </w:p>
    <w:p w14:paraId="224608A1"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En su reclamo de patrocinio letrado ineficaz del abogado litigante, el señor Robinson alegó que no se usó la impugnación </w:t>
      </w:r>
      <w:r w:rsidRPr="00304D78">
        <w:rPr>
          <w:rFonts w:asciiTheme="majorHAnsi" w:hAnsiTheme="majorHAnsi"/>
          <w:i/>
          <w:sz w:val="20"/>
          <w:szCs w:val="20"/>
          <w:lang w:val="es-ES"/>
        </w:rPr>
        <w:t>Batson</w:t>
      </w:r>
      <w:r w:rsidRPr="00304D78">
        <w:rPr>
          <w:rFonts w:asciiTheme="majorHAnsi" w:hAnsiTheme="majorHAnsi"/>
          <w:sz w:val="20"/>
          <w:szCs w:val="20"/>
          <w:lang w:val="es-ES"/>
        </w:rPr>
        <w:t xml:space="preserve"> en la apelación frente a la discriminación racial en la selección del jurado. Después de analizar la situación de los tres candidatos en cuestión, el tribunal de distrito concluyó que el señor Robinson no había demostrado que el desempeño de su abogado hubiera estado por debajo de una norma profesional razonable y, por lo tanto, desestimó el reclamo. </w:t>
      </w:r>
    </w:p>
    <w:p w14:paraId="73C5BA17" w14:textId="77777777" w:rsidR="00110F02" w:rsidRPr="00304D78" w:rsidRDefault="00110F02" w:rsidP="00110F02">
      <w:pPr>
        <w:rPr>
          <w:lang w:val="es-ES"/>
        </w:rPr>
      </w:pPr>
    </w:p>
    <w:p w14:paraId="0380E7A4" w14:textId="77777777" w:rsidR="00110F02" w:rsidRPr="00304D78" w:rsidRDefault="00110F02" w:rsidP="005200DD">
      <w:pPr>
        <w:pStyle w:val="ListParagraph"/>
        <w:numPr>
          <w:ilvl w:val="0"/>
          <w:numId w:val="59"/>
        </w:numPr>
        <w:rPr>
          <w:sz w:val="20"/>
          <w:szCs w:val="20"/>
          <w:lang w:val="es-ES"/>
        </w:rPr>
      </w:pPr>
      <w:r w:rsidRPr="00304D78">
        <w:rPr>
          <w:sz w:val="20"/>
          <w:szCs w:val="20"/>
          <w:lang w:val="es-ES"/>
        </w:rPr>
        <w:t>Discriminación racial</w:t>
      </w:r>
    </w:p>
    <w:p w14:paraId="0343259F" w14:textId="77777777" w:rsidR="00110F02" w:rsidRPr="00304D78" w:rsidRDefault="00110F02" w:rsidP="00110F02">
      <w:pPr>
        <w:rPr>
          <w:lang w:val="es-ES"/>
        </w:rPr>
      </w:pPr>
    </w:p>
    <w:p w14:paraId="4206EA3A"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El señor Robinson alegó que su caso estuvo imbuido de discriminación racial de principio a fin y que el fiscal recurrió a la recusación sin causa durante la selección del jurado de una manera racialmente discriminatoria. En su opinión, el tribunal de distrito se refirió</w:t>
      </w:r>
      <w:r w:rsidRPr="00B3690E">
        <w:rPr>
          <w:rFonts w:asciiTheme="majorHAnsi" w:hAnsiTheme="majorHAnsi"/>
          <w:sz w:val="20"/>
          <w:szCs w:val="20"/>
          <w:lang w:val="es-ES"/>
        </w:rPr>
        <w:t xml:space="preserve"> del siguiente modo</w:t>
      </w:r>
      <w:r w:rsidRPr="00304D78">
        <w:rPr>
          <w:rFonts w:asciiTheme="majorHAnsi" w:hAnsiTheme="majorHAnsi"/>
          <w:sz w:val="20"/>
          <w:szCs w:val="20"/>
          <w:lang w:val="es-ES"/>
        </w:rPr>
        <w:t xml:space="preserve"> a la jurisprudencia de la Corte Suprema de Justicia de Estados Unidos sobre el tema</w:t>
      </w:r>
      <w:r w:rsidRPr="00304D78">
        <w:rPr>
          <w:rStyle w:val="FootnoteReference"/>
          <w:rFonts w:asciiTheme="majorHAnsi" w:hAnsiTheme="majorHAnsi"/>
          <w:sz w:val="20"/>
          <w:szCs w:val="20"/>
          <w:lang w:val="es-ES"/>
        </w:rPr>
        <w:footnoteReference w:id="25"/>
      </w:r>
      <w:r w:rsidRPr="00304D78">
        <w:rPr>
          <w:rFonts w:asciiTheme="majorHAnsi" w:hAnsiTheme="majorHAnsi"/>
          <w:sz w:val="20"/>
          <w:szCs w:val="20"/>
          <w:lang w:val="es-ES"/>
        </w:rPr>
        <w:t>:</w:t>
      </w:r>
    </w:p>
    <w:p w14:paraId="1E548605"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440"/>
        </w:tabs>
        <w:jc w:val="both"/>
        <w:textAlignment w:val="baseline"/>
        <w:rPr>
          <w:rFonts w:asciiTheme="majorHAnsi" w:hAnsiTheme="majorHAnsi"/>
          <w:sz w:val="20"/>
          <w:szCs w:val="20"/>
          <w:lang w:val="es-ES"/>
        </w:rPr>
      </w:pPr>
    </w:p>
    <w:p w14:paraId="2BA63B38"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360" w:right="360"/>
        <w:jc w:val="both"/>
        <w:textAlignment w:val="baseline"/>
        <w:rPr>
          <w:rFonts w:asciiTheme="majorHAnsi" w:hAnsiTheme="majorHAnsi"/>
          <w:sz w:val="18"/>
          <w:szCs w:val="18"/>
          <w:lang w:val="es-ES"/>
        </w:rPr>
      </w:pPr>
      <w:r w:rsidRPr="00304D78">
        <w:rPr>
          <w:rFonts w:asciiTheme="majorHAnsi" w:hAnsiTheme="majorHAnsi"/>
          <w:sz w:val="18"/>
          <w:szCs w:val="18"/>
          <w:lang w:val="es-ES"/>
        </w:rPr>
        <w:t xml:space="preserve">En </w:t>
      </w:r>
      <w:r w:rsidRPr="00304D78">
        <w:rPr>
          <w:rFonts w:asciiTheme="majorHAnsi" w:hAnsiTheme="majorHAnsi"/>
          <w:i/>
          <w:sz w:val="18"/>
          <w:szCs w:val="18"/>
          <w:lang w:val="es-ES"/>
        </w:rPr>
        <w:t>Strauder c. Virginia Occidental</w:t>
      </w:r>
      <w:r w:rsidRPr="00304D78">
        <w:rPr>
          <w:rFonts w:asciiTheme="majorHAnsi" w:hAnsiTheme="majorHAnsi"/>
          <w:sz w:val="18"/>
          <w:szCs w:val="18"/>
          <w:lang w:val="es-ES"/>
        </w:rPr>
        <w:t xml:space="preserve">, 100 U.S. 303 (1880), la Corte Suprema de Estados Unidos sostuvo que, si un acusado negro es enjuiciado por un jurado del cual se hayan excluido deliberadamente personas de su propia raza, se le niega el derecho de igualdad ante la ley. En </w:t>
      </w:r>
      <w:r w:rsidRPr="00304D78">
        <w:rPr>
          <w:rFonts w:asciiTheme="majorHAnsi" w:hAnsiTheme="majorHAnsi"/>
          <w:i/>
          <w:sz w:val="18"/>
          <w:szCs w:val="18"/>
          <w:lang w:val="es-ES"/>
        </w:rPr>
        <w:t>Batson</w:t>
      </w:r>
      <w:r w:rsidRPr="00304D78">
        <w:rPr>
          <w:rFonts w:asciiTheme="majorHAnsi" w:hAnsiTheme="majorHAnsi"/>
          <w:sz w:val="18"/>
          <w:szCs w:val="18"/>
          <w:lang w:val="es-ES"/>
        </w:rPr>
        <w:t xml:space="preserve">, el tribunal reafirmó esta conclusión y agregó que la cláusula de igual protección prohíbe que el fiscal recurra a la recusación sin causa para impugnar posibles integrantes del jurado debido únicamente a su raza (véase </w:t>
      </w:r>
      <w:r w:rsidRPr="00304D78">
        <w:rPr>
          <w:rFonts w:asciiTheme="majorHAnsi" w:hAnsiTheme="majorHAnsi"/>
          <w:i/>
          <w:sz w:val="18"/>
          <w:szCs w:val="18"/>
          <w:lang w:val="es-ES"/>
        </w:rPr>
        <w:t>United States Reports</w:t>
      </w:r>
      <w:r w:rsidRPr="00304D78">
        <w:rPr>
          <w:rFonts w:asciiTheme="majorHAnsi" w:hAnsiTheme="majorHAnsi"/>
          <w:sz w:val="18"/>
          <w:szCs w:val="18"/>
          <w:lang w:val="es-ES"/>
        </w:rPr>
        <w:t xml:space="preserve">, volumen 476, pág. 88). El tribunal agregó que, para demostrar que hubo discriminación racial deliberada en la selección del jurado debido al uso por el fiscal de la recusación sin causa, el acusado debe primero demostrar </w:t>
      </w:r>
      <w:r w:rsidRPr="00304D78">
        <w:rPr>
          <w:rFonts w:asciiTheme="majorHAnsi" w:hAnsiTheme="majorHAnsi"/>
          <w:i/>
          <w:sz w:val="18"/>
          <w:szCs w:val="18"/>
          <w:lang w:val="es-ES"/>
        </w:rPr>
        <w:t>prima facie</w:t>
      </w:r>
      <w:r w:rsidRPr="00304D78">
        <w:rPr>
          <w:rFonts w:asciiTheme="majorHAnsi" w:hAnsiTheme="majorHAnsi"/>
          <w:sz w:val="18"/>
          <w:szCs w:val="18"/>
          <w:lang w:val="es-ES"/>
        </w:rPr>
        <w:t xml:space="preserve"> la discriminación deliberada mostrando que forma parte de un grupo racial que puede recibir trato diferencial individualizado y que el fiscal usó la recusación sin causa para suprimir candidatos de su </w:t>
      </w:r>
      <w:r>
        <w:rPr>
          <w:rFonts w:asciiTheme="majorHAnsi" w:hAnsiTheme="majorHAnsi"/>
          <w:sz w:val="18"/>
          <w:szCs w:val="18"/>
          <w:lang w:val="es-ES"/>
        </w:rPr>
        <w:t xml:space="preserve">misma </w:t>
      </w:r>
      <w:r w:rsidRPr="00304D78">
        <w:rPr>
          <w:rFonts w:asciiTheme="majorHAnsi" w:hAnsiTheme="majorHAnsi"/>
          <w:sz w:val="18"/>
          <w:szCs w:val="18"/>
          <w:lang w:val="es-ES"/>
        </w:rPr>
        <w:t xml:space="preserve">raza entre los posibles integrantes del jurado. Después, el acusado debe mostrar que esos hechos y otras circunstancias respaldarían la inferencia de que el fiscal usó ese método para excluir </w:t>
      </w:r>
      <w:r>
        <w:rPr>
          <w:rFonts w:asciiTheme="majorHAnsi" w:hAnsiTheme="majorHAnsi"/>
          <w:sz w:val="18"/>
          <w:szCs w:val="18"/>
          <w:lang w:val="es-ES"/>
        </w:rPr>
        <w:t xml:space="preserve">candidatos </w:t>
      </w:r>
      <w:r w:rsidRPr="00304D78">
        <w:rPr>
          <w:rFonts w:asciiTheme="majorHAnsi" w:hAnsiTheme="majorHAnsi"/>
          <w:sz w:val="18"/>
          <w:szCs w:val="18"/>
          <w:lang w:val="es-ES"/>
        </w:rPr>
        <w:t>debido a su raza. Una vez demostrado este hecho, corresponde al fiscal proporcionar una explicación neutral desde el punto de vista racial de la razón por la cual se impugnó a candidatos para integrar el jurado (</w:t>
      </w:r>
      <w:r w:rsidRPr="00304D78">
        <w:rPr>
          <w:rFonts w:asciiTheme="majorHAnsi" w:hAnsiTheme="majorHAnsi"/>
          <w:i/>
          <w:sz w:val="18"/>
          <w:szCs w:val="18"/>
          <w:lang w:val="es-ES"/>
        </w:rPr>
        <w:t>íd.</w:t>
      </w:r>
      <w:r w:rsidRPr="00304D78">
        <w:rPr>
          <w:rFonts w:asciiTheme="majorHAnsi" w:hAnsiTheme="majorHAnsi"/>
          <w:sz w:val="18"/>
          <w:szCs w:val="18"/>
          <w:lang w:val="es-ES"/>
        </w:rPr>
        <w:t xml:space="preserve">, pág. 96). Si el fiscal presenta una explicación racialmente neutral de la recusación, el tribunal de primera instancia debe decidir si el acusado ha cumplido con la carga de probar que hubo </w:t>
      </w:r>
      <w:r w:rsidRPr="00304D78">
        <w:rPr>
          <w:rFonts w:asciiTheme="majorHAnsi" w:hAnsiTheme="majorHAnsi"/>
          <w:sz w:val="18"/>
          <w:szCs w:val="18"/>
          <w:lang w:val="es-ES"/>
        </w:rPr>
        <w:lastRenderedPageBreak/>
        <w:t>discriminación racial deliberada (</w:t>
      </w:r>
      <w:r w:rsidRPr="00304D78">
        <w:rPr>
          <w:rFonts w:asciiTheme="majorHAnsi" w:hAnsiTheme="majorHAnsi"/>
          <w:i/>
          <w:sz w:val="18"/>
          <w:szCs w:val="18"/>
          <w:lang w:val="es-ES"/>
        </w:rPr>
        <w:t>íd.</w:t>
      </w:r>
      <w:r w:rsidRPr="00304D78">
        <w:rPr>
          <w:rFonts w:asciiTheme="majorHAnsi" w:hAnsiTheme="majorHAnsi"/>
          <w:sz w:val="18"/>
          <w:szCs w:val="18"/>
          <w:lang w:val="es-ES"/>
        </w:rPr>
        <w:t xml:space="preserve">, pág. 98; </w:t>
      </w:r>
      <w:r w:rsidRPr="00304D78">
        <w:rPr>
          <w:rFonts w:asciiTheme="majorHAnsi" w:hAnsiTheme="majorHAnsi"/>
          <w:i/>
          <w:sz w:val="18"/>
          <w:szCs w:val="18"/>
          <w:lang w:val="es-ES"/>
        </w:rPr>
        <w:t>Purkett c. Elem</w:t>
      </w:r>
      <w:r w:rsidRPr="00304D78">
        <w:rPr>
          <w:rFonts w:asciiTheme="majorHAnsi" w:hAnsiTheme="majorHAnsi"/>
          <w:sz w:val="18"/>
          <w:szCs w:val="18"/>
          <w:lang w:val="es-ES"/>
        </w:rPr>
        <w:t xml:space="preserve">, </w:t>
      </w:r>
      <w:r w:rsidRPr="00304D78">
        <w:rPr>
          <w:rFonts w:asciiTheme="majorHAnsi" w:hAnsiTheme="majorHAnsi"/>
          <w:i/>
          <w:sz w:val="18"/>
          <w:szCs w:val="18"/>
          <w:lang w:val="es-ES"/>
        </w:rPr>
        <w:t>United States Reports</w:t>
      </w:r>
      <w:r w:rsidRPr="00304D78">
        <w:rPr>
          <w:rFonts w:asciiTheme="majorHAnsi" w:hAnsiTheme="majorHAnsi"/>
          <w:sz w:val="18"/>
          <w:szCs w:val="18"/>
          <w:lang w:val="es-ES"/>
        </w:rPr>
        <w:t xml:space="preserve">, volumen 514, págs. 765, 767 y 768 [1995]). </w:t>
      </w:r>
    </w:p>
    <w:p w14:paraId="233A9F2C"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360" w:right="360"/>
        <w:jc w:val="both"/>
        <w:textAlignment w:val="baseline"/>
        <w:rPr>
          <w:rFonts w:asciiTheme="majorHAnsi" w:hAnsiTheme="majorHAnsi"/>
          <w:sz w:val="18"/>
          <w:szCs w:val="18"/>
          <w:lang w:val="es-ES"/>
        </w:rPr>
      </w:pPr>
    </w:p>
    <w:p w14:paraId="1AF92DEF"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360" w:right="360"/>
        <w:jc w:val="both"/>
        <w:textAlignment w:val="baseline"/>
        <w:rPr>
          <w:rFonts w:asciiTheme="majorHAnsi" w:hAnsiTheme="majorHAnsi"/>
          <w:sz w:val="18"/>
          <w:szCs w:val="18"/>
          <w:lang w:val="es-ES"/>
        </w:rPr>
      </w:pPr>
      <w:r w:rsidRPr="00304D78">
        <w:rPr>
          <w:rFonts w:asciiTheme="majorHAnsi" w:hAnsiTheme="majorHAnsi"/>
          <w:sz w:val="18"/>
          <w:szCs w:val="18"/>
          <w:lang w:val="es-ES"/>
        </w:rPr>
        <w:t>Al decidir si el acusado ha cumplido con la carga de la prueba, se debe determinar la veracidad de la explicación del fiscal teniendo en cuenta su credibilidad y comportamiento (</w:t>
      </w:r>
      <w:r w:rsidRPr="00304D78">
        <w:rPr>
          <w:rFonts w:asciiTheme="majorHAnsi" w:hAnsiTheme="majorHAnsi"/>
          <w:i/>
          <w:sz w:val="18"/>
          <w:szCs w:val="18"/>
          <w:lang w:val="es-ES"/>
        </w:rPr>
        <w:t>Hernandez c. Nueva York</w:t>
      </w:r>
      <w:r w:rsidRPr="00304D78">
        <w:rPr>
          <w:rFonts w:asciiTheme="majorHAnsi" w:hAnsiTheme="majorHAnsi"/>
          <w:sz w:val="18"/>
          <w:szCs w:val="18"/>
          <w:lang w:val="es-ES"/>
        </w:rPr>
        <w:t xml:space="preserve">, </w:t>
      </w:r>
      <w:r w:rsidRPr="00304D78">
        <w:rPr>
          <w:rFonts w:asciiTheme="majorHAnsi" w:hAnsiTheme="majorHAnsi"/>
          <w:i/>
          <w:sz w:val="18"/>
          <w:szCs w:val="18"/>
          <w:lang w:val="es-ES"/>
        </w:rPr>
        <w:t>United States Reports</w:t>
      </w:r>
      <w:r w:rsidRPr="00304D78">
        <w:rPr>
          <w:rFonts w:asciiTheme="majorHAnsi" w:hAnsiTheme="majorHAnsi"/>
          <w:sz w:val="18"/>
          <w:szCs w:val="18"/>
          <w:lang w:val="es-ES"/>
        </w:rPr>
        <w:t>, volumen 500, págs. 352 y 365 [1991]). Esta determinación corresponde en particular al ámbito de competencia del juez de primera instancia (</w:t>
      </w:r>
      <w:r w:rsidRPr="00304D78">
        <w:rPr>
          <w:rFonts w:asciiTheme="majorHAnsi" w:hAnsiTheme="majorHAnsi"/>
          <w:i/>
          <w:sz w:val="18"/>
          <w:szCs w:val="18"/>
          <w:lang w:val="es-ES"/>
        </w:rPr>
        <w:t>íd.</w:t>
      </w:r>
      <w:r w:rsidRPr="00304D78">
        <w:rPr>
          <w:rFonts w:asciiTheme="majorHAnsi" w:hAnsiTheme="majorHAnsi"/>
          <w:sz w:val="18"/>
          <w:szCs w:val="18"/>
          <w:lang w:val="es-ES"/>
        </w:rPr>
        <w:t>). El estándar de revisión es un “error claro”, y el fallo de un tribunal de primera instancia no debe considerarse claramente erróneo salvo que un tribunal de apelaciones esté firmemente convencido de que se ha cometido un error (</w:t>
      </w:r>
      <w:r w:rsidRPr="00304D78">
        <w:rPr>
          <w:rFonts w:asciiTheme="majorHAnsi" w:hAnsiTheme="majorHAnsi"/>
          <w:i/>
          <w:sz w:val="18"/>
          <w:szCs w:val="18"/>
          <w:lang w:val="es-ES"/>
        </w:rPr>
        <w:t>United States c. Cobb</w:t>
      </w:r>
      <w:r w:rsidRPr="00304D78">
        <w:rPr>
          <w:rFonts w:asciiTheme="majorHAnsi" w:hAnsiTheme="majorHAnsi"/>
          <w:sz w:val="18"/>
          <w:szCs w:val="18"/>
          <w:lang w:val="es-ES"/>
        </w:rPr>
        <w:t>, 975 F.2d 152, 154-56 [5</w:t>
      </w:r>
      <w:r w:rsidRPr="00304D78">
        <w:rPr>
          <w:rFonts w:asciiTheme="majorHAnsi" w:hAnsiTheme="majorHAnsi"/>
          <w:sz w:val="18"/>
          <w:szCs w:val="18"/>
          <w:vertAlign w:val="superscript"/>
          <w:lang w:val="es-ES"/>
        </w:rPr>
        <w:t>th</w:t>
      </w:r>
      <w:r w:rsidRPr="00304D78">
        <w:rPr>
          <w:rFonts w:asciiTheme="majorHAnsi" w:hAnsiTheme="majorHAnsi"/>
          <w:sz w:val="18"/>
          <w:szCs w:val="18"/>
          <w:lang w:val="es-ES"/>
        </w:rPr>
        <w:t xml:space="preserve"> Cir. 1992], donde se cita el caso </w:t>
      </w:r>
      <w:r w:rsidRPr="00304D78">
        <w:rPr>
          <w:rFonts w:asciiTheme="majorHAnsi" w:hAnsiTheme="majorHAnsi"/>
          <w:i/>
          <w:sz w:val="18"/>
          <w:szCs w:val="18"/>
          <w:lang w:val="es-ES"/>
        </w:rPr>
        <w:t>Hernandez</w:t>
      </w:r>
      <w:r w:rsidRPr="00304D78">
        <w:rPr>
          <w:rFonts w:asciiTheme="majorHAnsi" w:hAnsiTheme="majorHAnsi"/>
          <w:sz w:val="18"/>
          <w:szCs w:val="18"/>
          <w:lang w:val="es-ES"/>
        </w:rPr>
        <w:t xml:space="preserve">, </w:t>
      </w:r>
      <w:r w:rsidRPr="00304D78">
        <w:rPr>
          <w:rFonts w:asciiTheme="majorHAnsi" w:hAnsiTheme="majorHAnsi"/>
          <w:i/>
          <w:sz w:val="18"/>
          <w:szCs w:val="18"/>
          <w:lang w:val="es-ES"/>
        </w:rPr>
        <w:t>United States Reports</w:t>
      </w:r>
      <w:r w:rsidRPr="00304D78">
        <w:rPr>
          <w:rFonts w:asciiTheme="majorHAnsi" w:hAnsiTheme="majorHAnsi"/>
          <w:sz w:val="18"/>
          <w:szCs w:val="18"/>
          <w:lang w:val="es-ES"/>
        </w:rPr>
        <w:t>, volumen 500, pág. 369).</w:t>
      </w:r>
    </w:p>
    <w:p w14:paraId="6463E038" w14:textId="77777777" w:rsidR="00110F02" w:rsidRPr="00304D78" w:rsidRDefault="00110F02" w:rsidP="00110F02">
      <w:pPr>
        <w:rPr>
          <w:lang w:val="es-ES"/>
        </w:rPr>
      </w:pPr>
    </w:p>
    <w:p w14:paraId="669DBF99"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El tribunal de distrito procedió a examinar la recusación sin causa formulada contra los tres candidatos negros mencionados en el pedimento del señor Robinson. Con respecto al primer candidato para integrar el jurado, el tribunal observó que tanto el fiscal como el abogado defensor ejercieron la recusación sin causa. Con respecto al segundo candidato, el tribunal concluyó que las explicaciones de la recusación sin causa dadas por el fiscal (que el esposo y el hermano de la candidata estaban involucrados en actividades de narcotráfico) eran neutrales desde el punto de vista racial. En vista de ello y de que no había otro candidato que no fuese negro que estuviera en una situación similar a quien el fiscal hubiera decidido no recusar, el tribunal concluyó que el señor Robinson no demostró que su abogado hubiera cometido un error al no plantear este asunto en la apelación. </w:t>
      </w:r>
    </w:p>
    <w:p w14:paraId="4CCC4911"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440"/>
        </w:tabs>
        <w:jc w:val="both"/>
        <w:textAlignment w:val="baseline"/>
        <w:rPr>
          <w:rFonts w:asciiTheme="majorHAnsi" w:hAnsiTheme="majorHAnsi"/>
          <w:sz w:val="20"/>
          <w:szCs w:val="20"/>
          <w:lang w:val="es-ES"/>
        </w:rPr>
      </w:pPr>
    </w:p>
    <w:p w14:paraId="541BEE03"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La tercera recusación sin causa se ejerció contra la candidata Amarh. Según el tribunal de distrito</w:t>
      </w:r>
      <w:r w:rsidRPr="00304D78">
        <w:rPr>
          <w:rStyle w:val="FootnoteReference"/>
          <w:rFonts w:asciiTheme="majorHAnsi" w:hAnsiTheme="majorHAnsi"/>
          <w:sz w:val="20"/>
          <w:szCs w:val="20"/>
          <w:lang w:val="es-ES"/>
        </w:rPr>
        <w:footnoteReference w:id="26"/>
      </w:r>
      <w:r w:rsidRPr="00304D78">
        <w:rPr>
          <w:rFonts w:asciiTheme="majorHAnsi" w:hAnsiTheme="majorHAnsi"/>
          <w:sz w:val="20"/>
          <w:szCs w:val="20"/>
          <w:lang w:val="es-ES"/>
        </w:rPr>
        <w:t>:</w:t>
      </w:r>
    </w:p>
    <w:p w14:paraId="4E86C4F4" w14:textId="77777777" w:rsidR="00110F02" w:rsidRPr="00304D78" w:rsidRDefault="00110F02" w:rsidP="00110F02">
      <w:pPr>
        <w:pStyle w:val="ListParagraph"/>
        <w:rPr>
          <w:rFonts w:asciiTheme="majorHAnsi" w:hAnsiTheme="majorHAnsi"/>
          <w:sz w:val="20"/>
          <w:szCs w:val="20"/>
          <w:lang w:val="es-ES"/>
        </w:rPr>
      </w:pPr>
    </w:p>
    <w:p w14:paraId="233E92A5"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360" w:right="360"/>
        <w:jc w:val="both"/>
        <w:textAlignment w:val="baseline"/>
        <w:rPr>
          <w:rFonts w:asciiTheme="majorHAnsi" w:hAnsiTheme="majorHAnsi"/>
          <w:sz w:val="18"/>
          <w:szCs w:val="18"/>
          <w:lang w:val="es-ES"/>
        </w:rPr>
      </w:pPr>
      <w:r w:rsidRPr="00304D78">
        <w:rPr>
          <w:rFonts w:asciiTheme="majorHAnsi" w:hAnsiTheme="majorHAnsi"/>
          <w:sz w:val="18"/>
          <w:szCs w:val="18"/>
          <w:lang w:val="es-ES"/>
        </w:rPr>
        <w:t>En el interrogatorio preliminar para la selección del jurado, Amarh dijo que, en general, no estaba a favor de la pena de muerte y comentó que no estaba de acuerdo con dicha pena. […] En el cuestionario señaló también que tenía sentimientos encontrados en torno a la pena de muerte. […] Sin embargo, cuando la interrogaron, dijo que creía que había algunas circunstancias en que se justificaba la pena de muerte. […] Cuando el fiscal le preguntó si su posición era la de un objetor de conciencia […], Amarh respondió</w:t>
      </w:r>
      <w:r w:rsidRPr="00304D78">
        <w:rPr>
          <w:rStyle w:val="FootnoteReference"/>
          <w:rFonts w:asciiTheme="majorHAnsi" w:hAnsiTheme="majorHAnsi"/>
          <w:sz w:val="18"/>
          <w:szCs w:val="18"/>
          <w:lang w:val="es-ES"/>
        </w:rPr>
        <w:footnoteReference w:id="27"/>
      </w:r>
      <w:r w:rsidRPr="00304D78">
        <w:rPr>
          <w:rFonts w:asciiTheme="majorHAnsi" w:hAnsiTheme="majorHAnsi"/>
          <w:sz w:val="18"/>
          <w:szCs w:val="18"/>
          <w:lang w:val="es-ES"/>
        </w:rPr>
        <w:t>:</w:t>
      </w:r>
    </w:p>
    <w:p w14:paraId="328C7ACA"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360" w:right="360"/>
        <w:jc w:val="both"/>
        <w:textAlignment w:val="baseline"/>
        <w:rPr>
          <w:rFonts w:asciiTheme="majorHAnsi" w:hAnsiTheme="majorHAnsi"/>
          <w:sz w:val="18"/>
          <w:szCs w:val="18"/>
          <w:lang w:val="es-ES"/>
        </w:rPr>
      </w:pPr>
    </w:p>
    <w:p w14:paraId="524F6FB9"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left="720" w:right="720"/>
        <w:jc w:val="both"/>
        <w:textAlignment w:val="baseline"/>
        <w:rPr>
          <w:rFonts w:asciiTheme="majorHAnsi" w:hAnsiTheme="majorHAnsi"/>
          <w:sz w:val="18"/>
          <w:szCs w:val="18"/>
          <w:lang w:val="es-ES"/>
        </w:rPr>
      </w:pPr>
      <w:r w:rsidRPr="00304D78">
        <w:rPr>
          <w:rFonts w:asciiTheme="majorHAnsi" w:hAnsiTheme="majorHAnsi"/>
          <w:sz w:val="18"/>
          <w:szCs w:val="18"/>
          <w:lang w:val="es-ES"/>
        </w:rPr>
        <w:t>Es difícil saberlo. Si tengo que hacerlo, por deber, lo haré, pero no me gusta la pena de muerte. No sé exactamente cómo decirlo, pero estoy firmemente en contra de la pena de muerte. Pero depende de las circunstancias. Las circunstancias tendrían que ser muy sólidas si tengo que servir en un jurado.</w:t>
      </w:r>
    </w:p>
    <w:p w14:paraId="4C7DEBF7"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left="720" w:right="720"/>
        <w:jc w:val="both"/>
        <w:textAlignment w:val="baseline"/>
        <w:rPr>
          <w:rFonts w:asciiTheme="majorHAnsi" w:hAnsiTheme="majorHAnsi"/>
          <w:i/>
          <w:sz w:val="18"/>
          <w:szCs w:val="18"/>
          <w:lang w:val="es-ES"/>
        </w:rPr>
      </w:pPr>
    </w:p>
    <w:p w14:paraId="15D241D1"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left="360" w:right="360"/>
        <w:jc w:val="both"/>
        <w:textAlignment w:val="baseline"/>
        <w:rPr>
          <w:rFonts w:asciiTheme="majorHAnsi" w:hAnsiTheme="majorHAnsi"/>
          <w:sz w:val="18"/>
          <w:szCs w:val="18"/>
          <w:lang w:val="es-ES"/>
        </w:rPr>
      </w:pPr>
      <w:r w:rsidRPr="00304D78">
        <w:rPr>
          <w:rFonts w:asciiTheme="majorHAnsi" w:hAnsiTheme="majorHAnsi"/>
          <w:sz w:val="18"/>
          <w:szCs w:val="18"/>
          <w:lang w:val="es-ES"/>
        </w:rPr>
        <w:t>[…] el fiscal […] la recusó sin causa, y el abogado defensor objetó de acuerdo con Batson. […] El tribunal […] le pidió al fiscal que expusiera una razón racialmente neutral de la recusación, y el fiscal respondió que ella había expresado “mucha renuencia con respecto a la pena de muerte” y señaló que anteriormente había recusado a una candidata blanca que tenía opiniones similares sobre la pena de muerte. El tribunal aceptó la explicación del fiscal por considerarla válida y no hizo lugar a la impugnación Batson. Un examen posterior de las preguntas que se le hicieron a Broadwell revela que no tenía opiniones similares a la</w:t>
      </w:r>
      <w:r>
        <w:rPr>
          <w:rFonts w:asciiTheme="majorHAnsi" w:hAnsiTheme="majorHAnsi"/>
          <w:sz w:val="18"/>
          <w:szCs w:val="18"/>
          <w:lang w:val="es-ES"/>
        </w:rPr>
        <w:t>s</w:t>
      </w:r>
      <w:r w:rsidRPr="00304D78">
        <w:rPr>
          <w:rFonts w:asciiTheme="majorHAnsi" w:hAnsiTheme="majorHAnsi"/>
          <w:sz w:val="18"/>
          <w:szCs w:val="18"/>
          <w:lang w:val="es-ES"/>
        </w:rPr>
        <w:t xml:space="preserve"> de Amarh, pero Schattman [el fiscal] al parecer estaba leyendo el cuestionario equivocado cuando la entrevistó. Independientemente de ese erro</w:t>
      </w:r>
      <w:r>
        <w:rPr>
          <w:rFonts w:asciiTheme="majorHAnsi" w:hAnsiTheme="majorHAnsi"/>
          <w:sz w:val="18"/>
          <w:szCs w:val="18"/>
          <w:lang w:val="es-ES"/>
        </w:rPr>
        <w:t>r</w:t>
      </w:r>
      <w:r w:rsidRPr="00304D78">
        <w:rPr>
          <w:rFonts w:asciiTheme="majorHAnsi" w:hAnsiTheme="majorHAnsi"/>
          <w:sz w:val="18"/>
          <w:szCs w:val="18"/>
          <w:lang w:val="es-ES"/>
        </w:rPr>
        <w:t>, el tribunal aceptó la explicación racialmente neutral de Shattman con respecto a la recusación de Amarh sobre la base de las respuestas que ella dio en el cuestionario y en el interrogatorio en lo que se refiere a la pena de muerte.</w:t>
      </w:r>
    </w:p>
    <w:p w14:paraId="3E33B5A9"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left="360" w:right="360"/>
        <w:jc w:val="both"/>
        <w:textAlignment w:val="baseline"/>
        <w:rPr>
          <w:rFonts w:asciiTheme="majorHAnsi" w:hAnsiTheme="majorHAnsi"/>
          <w:sz w:val="18"/>
          <w:szCs w:val="18"/>
          <w:lang w:val="es-ES"/>
        </w:rPr>
      </w:pPr>
    </w:p>
    <w:p w14:paraId="60CCD9DA"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left="360" w:right="360"/>
        <w:jc w:val="both"/>
        <w:textAlignment w:val="baseline"/>
        <w:rPr>
          <w:rFonts w:asciiTheme="majorHAnsi" w:hAnsiTheme="majorHAnsi"/>
          <w:sz w:val="18"/>
          <w:szCs w:val="18"/>
          <w:lang w:val="es-ES"/>
        </w:rPr>
      </w:pPr>
      <w:r w:rsidRPr="00304D78">
        <w:rPr>
          <w:rFonts w:asciiTheme="majorHAnsi" w:hAnsiTheme="majorHAnsi"/>
          <w:sz w:val="18"/>
          <w:szCs w:val="18"/>
          <w:lang w:val="es-ES"/>
        </w:rPr>
        <w:t xml:space="preserve">[…] el tribunal no acepta el argumento de Robinson de que no se recusó a candidatos blancos con antecedentes similares. El fiscal recusó a varios candidatos blancos que tenían opiniones similares. […] Robinson afirma que el fiscal retuvo a Broome, mujer blanca convocada para integrar el jurado que, según Robinson, compartía las opiniones de Amarh. […] Asimismo, la candidata blanca Mills dijo que ella no podría imponer la pena de muerte, pero observó que sería una decisión difícil. A diferencia de Amarh, no proporcionó ninguna respuesta en el cuestionario que indicara que se oponía a la pena de muerte. […] Las respuestas de Banser al cuestionario también revelaron que estaba a favor de la pena de muerte. Sin embargo, ella dijo que, si existía una pena de cadena perpetua sin posibilidad de libertad condicional, no podría recomendar la pena de muerte, pero [posteriormente] aclaró que, si los hechos justificaban la pena de muerte, podría imponerla. </w:t>
      </w:r>
    </w:p>
    <w:p w14:paraId="2DCE68A6"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right="720"/>
        <w:jc w:val="both"/>
        <w:textAlignment w:val="baseline"/>
        <w:rPr>
          <w:rFonts w:asciiTheme="majorHAnsi" w:hAnsiTheme="majorHAnsi"/>
          <w:sz w:val="18"/>
          <w:szCs w:val="18"/>
          <w:lang w:val="es-ES"/>
        </w:rPr>
      </w:pPr>
    </w:p>
    <w:p w14:paraId="629163B9"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s>
        <w:ind w:left="0" w:firstLine="0"/>
        <w:jc w:val="both"/>
        <w:textAlignment w:val="baseline"/>
        <w:rPr>
          <w:rFonts w:asciiTheme="majorHAnsi" w:hAnsiTheme="majorHAnsi"/>
          <w:sz w:val="18"/>
          <w:szCs w:val="18"/>
          <w:lang w:val="es-ES"/>
        </w:rPr>
      </w:pPr>
      <w:r w:rsidRPr="00304D78">
        <w:rPr>
          <w:rFonts w:asciiTheme="majorHAnsi" w:hAnsiTheme="majorHAnsi"/>
          <w:sz w:val="20"/>
          <w:szCs w:val="20"/>
          <w:lang w:val="es-ES"/>
        </w:rPr>
        <w:t xml:space="preserve">El señor Robinson alegó también que el fiscal usaba la raza como base para pedir la pena de muerte contra afroestadounidenses como él. Basó su reclamo en estadísticas para mostrar que la fiscalía ha pedido la pena de </w:t>
      </w:r>
      <w:r w:rsidRPr="00304D78">
        <w:rPr>
          <w:rFonts w:asciiTheme="majorHAnsi" w:hAnsiTheme="majorHAnsi"/>
          <w:sz w:val="20"/>
          <w:szCs w:val="20"/>
          <w:lang w:val="es-ES"/>
        </w:rPr>
        <w:lastRenderedPageBreak/>
        <w:t>muerte contra afroestadounidenses con una frecuencia desproporcionada en comparación con los acusados de otras razas. El tribunal de distrito, aunque determinó que el reclamo estaba precluido desde el punto de vista procesal, lo analizó y concluyó que el reclamo de enjuiciamiento selectivo no prosperó sobre el fondo. Citando a la Corte Suprema de Estados Unidos, el tribunal de distrito afirmó que, para demostrar que un acusado ha sido enjuiciado selectivamente debido a su raza, “debe mostrar que la política federal en materia de enjuiciamiento tuvo un efecto discriminatorio y estaba motivada por fines discriminatorios. Para demostrar el efecto discriminatorio, el acusado debe mostrar que otras personas de raza diferente que se encontraban en una situación similar no fueron enjuiciadas”</w:t>
      </w:r>
      <w:r w:rsidRPr="00304D78">
        <w:rPr>
          <w:rStyle w:val="FootnoteReference"/>
          <w:rFonts w:asciiTheme="majorHAnsi" w:hAnsiTheme="majorHAnsi"/>
          <w:sz w:val="20"/>
          <w:szCs w:val="20"/>
          <w:lang w:val="es-ES"/>
        </w:rPr>
        <w:footnoteReference w:id="28"/>
      </w:r>
      <w:r w:rsidRPr="00304D78">
        <w:rPr>
          <w:rFonts w:asciiTheme="majorHAnsi" w:hAnsiTheme="majorHAnsi"/>
          <w:sz w:val="20"/>
          <w:szCs w:val="20"/>
          <w:lang w:val="es-ES"/>
        </w:rPr>
        <w:t xml:space="preserve">. El tribunal concluyó que, sin una impugnación Batson con posibilidades de prosperar, lo único que le quedaba al señor Robinson eran estadísticas para respaldar su argumento, lo cual no se considera prueba suficiente para demostrar un hecho </w:t>
      </w:r>
      <w:r w:rsidRPr="00304D78">
        <w:rPr>
          <w:rFonts w:asciiTheme="majorHAnsi" w:hAnsiTheme="majorHAnsi"/>
          <w:i/>
          <w:sz w:val="20"/>
          <w:szCs w:val="20"/>
          <w:lang w:val="es-ES"/>
        </w:rPr>
        <w:t>prima facie</w:t>
      </w:r>
      <w:r w:rsidRPr="00304D78">
        <w:rPr>
          <w:rFonts w:asciiTheme="majorHAnsi" w:hAnsiTheme="majorHAnsi"/>
          <w:sz w:val="20"/>
          <w:szCs w:val="20"/>
          <w:lang w:val="es-ES"/>
        </w:rPr>
        <w:t xml:space="preserve">. </w:t>
      </w:r>
    </w:p>
    <w:p w14:paraId="7EAB8B9E"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440"/>
        </w:tabs>
        <w:jc w:val="both"/>
        <w:textAlignment w:val="baseline"/>
        <w:rPr>
          <w:rFonts w:asciiTheme="majorHAnsi" w:hAnsiTheme="majorHAnsi"/>
          <w:sz w:val="18"/>
          <w:szCs w:val="18"/>
          <w:lang w:val="es-ES"/>
        </w:rPr>
      </w:pPr>
    </w:p>
    <w:p w14:paraId="16181D51"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s>
        <w:autoSpaceDE w:val="0"/>
        <w:autoSpaceDN w:val="0"/>
        <w:adjustRightInd w:val="0"/>
        <w:ind w:left="0" w:firstLine="0"/>
        <w:jc w:val="both"/>
        <w:textAlignment w:val="baseline"/>
        <w:rPr>
          <w:sz w:val="20"/>
          <w:lang w:val="es-ES"/>
        </w:rPr>
      </w:pPr>
      <w:r w:rsidRPr="00304D78">
        <w:rPr>
          <w:rFonts w:asciiTheme="majorHAnsi" w:hAnsiTheme="majorHAnsi"/>
          <w:sz w:val="20"/>
          <w:szCs w:val="20"/>
          <w:lang w:val="es-ES"/>
        </w:rPr>
        <w:t>El señor Robinson pidió un certificado de apelabilidad para apelar la denegación de sus actuaciones poscondenatorias, alegando que había recibido patrocinio letrado ineficaz en la etapa de la sentencia y que el tribunal de distrito había errado al denegarle el reclamo sin una audiencia</w:t>
      </w:r>
      <w:r w:rsidRPr="00304D78">
        <w:rPr>
          <w:rStyle w:val="FootnoteReference"/>
          <w:rFonts w:asciiTheme="majorHAnsi" w:hAnsiTheme="majorHAnsi"/>
          <w:sz w:val="20"/>
          <w:szCs w:val="20"/>
          <w:lang w:val="es-ES"/>
        </w:rPr>
        <w:footnoteReference w:id="29"/>
      </w:r>
      <w:r w:rsidRPr="00304D78">
        <w:rPr>
          <w:rFonts w:asciiTheme="majorHAnsi" w:hAnsiTheme="majorHAnsi"/>
          <w:sz w:val="20"/>
          <w:szCs w:val="20"/>
          <w:lang w:val="es-ES"/>
        </w:rPr>
        <w:t xml:space="preserve">. Adujo dos fundamentos para su reclamo: i) que no se había investigado debidamente ni refutado la prueba presentada por el fiscal con respecto a su peligrosidad futura, y ii) que no se había hecho una investigación adecuada de su historia biográfica, con la cual se habrían encontrado más pruebas atenuantes. Para probar su reclamo, el señor Robinson tenía que demostrar que, si no hubiera sido por los errores atribuibles a la incompetencia del abogado, había una probabilidad razonable de que el desenlace del procedimiento hubiera sido diferente. El señor Robinson presentó las declaraciones de las tres personas involucradas en el presunto intento de homicidio de un informante, y las tres negaron que hubieran actuado por orden del señor Robinson. </w:t>
      </w:r>
    </w:p>
    <w:p w14:paraId="36297C13"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jc w:val="both"/>
        <w:textAlignment w:val="baseline"/>
        <w:rPr>
          <w:rFonts w:asciiTheme="majorHAnsi" w:hAnsiTheme="majorHAnsi"/>
          <w:sz w:val="18"/>
          <w:szCs w:val="18"/>
          <w:lang w:val="es-ES"/>
        </w:rPr>
      </w:pPr>
    </w:p>
    <w:p w14:paraId="7089C1F6"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s>
        <w:ind w:left="0" w:firstLine="0"/>
        <w:jc w:val="both"/>
        <w:textAlignment w:val="baseline"/>
        <w:rPr>
          <w:rFonts w:asciiTheme="majorHAnsi" w:hAnsiTheme="majorHAnsi"/>
          <w:sz w:val="18"/>
          <w:szCs w:val="18"/>
          <w:lang w:val="es-ES"/>
        </w:rPr>
      </w:pPr>
      <w:r w:rsidRPr="00304D78">
        <w:rPr>
          <w:rFonts w:asciiTheme="majorHAnsi" w:hAnsiTheme="majorHAnsi"/>
          <w:sz w:val="20"/>
          <w:szCs w:val="20"/>
          <w:lang w:val="es-ES"/>
        </w:rPr>
        <w:t xml:space="preserve">El 8 de junio de 2010, el </w:t>
      </w:r>
      <w:r>
        <w:rPr>
          <w:rFonts w:asciiTheme="majorHAnsi" w:hAnsiTheme="majorHAnsi"/>
          <w:sz w:val="20"/>
          <w:szCs w:val="20"/>
          <w:lang w:val="es-ES"/>
        </w:rPr>
        <w:t>T</w:t>
      </w:r>
      <w:r w:rsidRPr="00304D78">
        <w:rPr>
          <w:rFonts w:asciiTheme="majorHAnsi" w:hAnsiTheme="majorHAnsi"/>
          <w:sz w:val="20"/>
          <w:szCs w:val="20"/>
          <w:lang w:val="es-ES"/>
        </w:rPr>
        <w:t xml:space="preserve">ribunal Federal de Apelaciones para el Quinto Circuito denegó el certificado de apelabilidad. El tribunal concluyó, entre otras cosas, que las fallas del abogado no habían perjudicado al señor Robinson y que, incluso si hubiera presentado todas las pruebas nuevas, le habrían quedado al jurado pruebas creíbles de los delitos sobre los cuales no se había dictado sentencia. El 3 de octubre de 2011, la Corte Suprema de Estados Unidos denegó el auto de avocación solicitado por el señor Robinson. </w:t>
      </w:r>
    </w:p>
    <w:p w14:paraId="6FE2EB22" w14:textId="77777777" w:rsidR="00110F02" w:rsidRPr="00304D78" w:rsidRDefault="00110F02" w:rsidP="00110F02">
      <w:pPr>
        <w:pStyle w:val="ListParagraph"/>
        <w:rPr>
          <w:rFonts w:asciiTheme="majorHAnsi" w:eastAsia="Arial Unicode MS" w:hAnsiTheme="majorHAnsi" w:cs="Times New Roman"/>
          <w:color w:val="auto"/>
          <w:sz w:val="20"/>
          <w:szCs w:val="20"/>
          <w:lang w:val="es-ES" w:eastAsia="en-US"/>
        </w:rPr>
      </w:pPr>
    </w:p>
    <w:p w14:paraId="6F635F6D"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El 28 de febrero de 2018, el abogado del señor Robinson presentó un pedimento para que se reviera la sentencia del </w:t>
      </w:r>
      <w:r>
        <w:rPr>
          <w:rFonts w:asciiTheme="majorHAnsi" w:hAnsiTheme="majorHAnsi"/>
          <w:sz w:val="20"/>
          <w:szCs w:val="20"/>
          <w:lang w:val="es-ES"/>
        </w:rPr>
        <w:t>T</w:t>
      </w:r>
      <w:r w:rsidRPr="00304D78">
        <w:rPr>
          <w:rFonts w:asciiTheme="majorHAnsi" w:hAnsiTheme="majorHAnsi"/>
          <w:sz w:val="20"/>
          <w:szCs w:val="20"/>
          <w:lang w:val="es-ES"/>
        </w:rPr>
        <w:t>ribunal Federal de Distrito para el Distrito Norte de Texas, de acuerdo con las Reglas de Procedimiento Civil Federal, artículo 60.b.6. El 20 de junio de 2018, el tribunal de distrito emitió una opinión y ordenó el traslado del pedimento al Tribunal Federal de Apelaciones para el Quinto Circuito. El abogado del señor Robinson presentó un escrito el 2 de noviembre de 2018. No hay información sobre el resultado de dicho pedimento.</w:t>
      </w:r>
    </w:p>
    <w:p w14:paraId="5250BDFA"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440"/>
        </w:tabs>
        <w:jc w:val="both"/>
        <w:textAlignment w:val="baseline"/>
        <w:rPr>
          <w:rFonts w:asciiTheme="majorHAnsi" w:hAnsiTheme="majorHAnsi"/>
          <w:sz w:val="18"/>
          <w:szCs w:val="18"/>
          <w:lang w:val="es-ES"/>
        </w:rPr>
      </w:pPr>
    </w:p>
    <w:p w14:paraId="7E94F084" w14:textId="77777777" w:rsidR="00110F02" w:rsidRPr="00FC2F24" w:rsidRDefault="00110F02" w:rsidP="005200DD">
      <w:pPr>
        <w:pStyle w:val="Heading2"/>
        <w:numPr>
          <w:ilvl w:val="0"/>
          <w:numId w:val="61"/>
        </w:numPr>
        <w:spacing w:before="0" w:after="0"/>
        <w:ind w:left="360"/>
        <w:rPr>
          <w:rFonts w:asciiTheme="majorHAnsi" w:hAnsiTheme="majorHAnsi"/>
          <w:i w:val="0"/>
          <w:sz w:val="20"/>
          <w:szCs w:val="20"/>
          <w:lang w:val="es-ES"/>
        </w:rPr>
      </w:pPr>
      <w:bookmarkStart w:id="28" w:name="_Toc6226968"/>
      <w:bookmarkStart w:id="29" w:name="_Toc22915018"/>
      <w:bookmarkStart w:id="30" w:name="_Toc61514162"/>
      <w:r w:rsidRPr="00FC2F24">
        <w:rPr>
          <w:rFonts w:asciiTheme="majorHAnsi" w:hAnsiTheme="majorHAnsi"/>
          <w:i w:val="0"/>
          <w:sz w:val="20"/>
          <w:szCs w:val="20"/>
          <w:lang w:val="es-ES"/>
        </w:rPr>
        <w:t>Actuaciones judiciales relativas al protocolo para la inyección letal</w:t>
      </w:r>
      <w:bookmarkEnd w:id="28"/>
      <w:bookmarkEnd w:id="29"/>
      <w:bookmarkEnd w:id="30"/>
    </w:p>
    <w:p w14:paraId="32DBE9D8" w14:textId="77777777" w:rsidR="00110F02" w:rsidRPr="00304D78" w:rsidRDefault="00110F02" w:rsidP="00110F02">
      <w:pPr>
        <w:rPr>
          <w:rFonts w:asciiTheme="majorHAnsi" w:hAnsiTheme="majorHAnsi"/>
          <w:sz w:val="20"/>
          <w:szCs w:val="20"/>
          <w:lang w:val="es-ES"/>
        </w:rPr>
      </w:pPr>
    </w:p>
    <w:p w14:paraId="39A6E0E8"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El 28 de noviembre de 2007, el señor Robinson y otros reclusos del sistema de justicia federal que se encontraban en </w:t>
      </w:r>
      <w:r w:rsidRPr="00304D78">
        <w:rPr>
          <w:rFonts w:ascii="Cambria" w:hAnsi="Cambria"/>
          <w:sz w:val="20"/>
          <w:szCs w:val="20"/>
          <w:lang w:val="es-ES"/>
        </w:rPr>
        <w:t xml:space="preserve">el corredor de la muerte entablaron un juicio </w:t>
      </w:r>
      <w:r w:rsidRPr="00304D78">
        <w:rPr>
          <w:rFonts w:asciiTheme="majorHAnsi" w:hAnsiTheme="majorHAnsi"/>
          <w:sz w:val="20"/>
          <w:szCs w:val="20"/>
          <w:lang w:val="es-ES"/>
        </w:rPr>
        <w:t>civil en el orden federal ante el Tribunal Federal de Distrito para el Distrito de Columbia, afirmando que el medio con el cual el fiscal quería aplicar la pena de muerte violaría la Constitución de Estados Unidos y diversas leyes federales. El 13 de enero de 2012, el Tribunal de Distrito para el Distrito de Columbia ordenó que se suspendiera el caso hasta que la Administración Federal de Prisiones emitiera un protocolo revisado para la inyección letal</w:t>
      </w:r>
      <w:r w:rsidRPr="00304D78">
        <w:rPr>
          <w:rStyle w:val="FootnoteReference"/>
          <w:rFonts w:asciiTheme="majorHAnsi" w:hAnsiTheme="majorHAnsi"/>
          <w:sz w:val="20"/>
          <w:szCs w:val="20"/>
          <w:lang w:val="es-ES"/>
        </w:rPr>
        <w:footnoteReference w:id="30"/>
      </w:r>
      <w:r w:rsidRPr="00304D78">
        <w:rPr>
          <w:rFonts w:asciiTheme="majorHAnsi" w:hAnsiTheme="majorHAnsi"/>
          <w:sz w:val="20"/>
          <w:szCs w:val="20"/>
          <w:lang w:val="es-ES"/>
        </w:rPr>
        <w:t xml:space="preserve">. </w:t>
      </w:r>
    </w:p>
    <w:p w14:paraId="520EEB2A"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jc w:val="both"/>
        <w:textAlignment w:val="baseline"/>
        <w:rPr>
          <w:rFonts w:asciiTheme="majorHAnsi" w:hAnsiTheme="majorHAnsi"/>
          <w:sz w:val="20"/>
          <w:szCs w:val="20"/>
          <w:lang w:val="es-ES"/>
        </w:rPr>
      </w:pPr>
    </w:p>
    <w:p w14:paraId="21607DA8" w14:textId="77777777" w:rsidR="00110F02" w:rsidRPr="00304D78" w:rsidRDefault="00110F02" w:rsidP="009133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s>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Según la información de dominio público</w:t>
      </w:r>
      <w:r w:rsidRPr="00304D78">
        <w:rPr>
          <w:rFonts w:ascii="Cambria" w:hAnsi="Cambria"/>
          <w:sz w:val="20"/>
          <w:szCs w:val="20"/>
          <w:lang w:val="es-ES"/>
        </w:rPr>
        <w:t xml:space="preserve">, desde entonces la actividad en el caso se ha limitado a la presentación de informes de la fiscalía sobre el estado del caso mientras continúa el proceso para determinar </w:t>
      </w:r>
      <w:r w:rsidRPr="00304D78">
        <w:rPr>
          <w:rFonts w:ascii="Cambria" w:hAnsi="Cambria"/>
          <w:sz w:val="20"/>
          <w:szCs w:val="20"/>
          <w:lang w:val="es-ES"/>
        </w:rPr>
        <w:lastRenderedPageBreak/>
        <w:t>la combinación de fármacos que se usará</w:t>
      </w:r>
      <w:r w:rsidRPr="00304D78">
        <w:rPr>
          <w:rStyle w:val="FootnoteReference"/>
          <w:rFonts w:ascii="Cambria" w:hAnsi="Cambria"/>
          <w:sz w:val="20"/>
          <w:szCs w:val="20"/>
          <w:lang w:val="es-ES"/>
        </w:rPr>
        <w:footnoteReference w:id="31"/>
      </w:r>
      <w:r w:rsidRPr="00304D78">
        <w:rPr>
          <w:rFonts w:ascii="Cambria" w:hAnsi="Cambria"/>
          <w:sz w:val="20"/>
          <w:szCs w:val="20"/>
          <w:lang w:val="es-ES"/>
        </w:rPr>
        <w:t>. Asimismo, en julio de 2019, el Departamento de Justicia anunció que el gobierno federal reanudaría las ejecuciones con un solo fármaco (pentobarbital)</w:t>
      </w:r>
      <w:r w:rsidRPr="00304D78">
        <w:rPr>
          <w:rStyle w:val="FootnoteReference"/>
          <w:rFonts w:ascii="Cambria" w:hAnsi="Cambria"/>
          <w:sz w:val="20"/>
          <w:szCs w:val="20"/>
          <w:lang w:val="es-ES"/>
        </w:rPr>
        <w:footnoteReference w:id="32"/>
      </w:r>
      <w:r w:rsidRPr="00304D78">
        <w:rPr>
          <w:rFonts w:ascii="Cambria" w:hAnsi="Cambria"/>
          <w:sz w:val="20"/>
          <w:szCs w:val="20"/>
          <w:lang w:val="es-ES"/>
        </w:rPr>
        <w:t xml:space="preserve">. </w:t>
      </w:r>
    </w:p>
    <w:p w14:paraId="0DC14FE1" w14:textId="77777777" w:rsidR="00110F02" w:rsidRPr="00304D78" w:rsidRDefault="00110F02" w:rsidP="00110F02">
      <w:pPr>
        <w:rPr>
          <w:lang w:val="es-ES"/>
        </w:rPr>
      </w:pPr>
    </w:p>
    <w:p w14:paraId="4C2226E8" w14:textId="77777777" w:rsidR="00110F02" w:rsidRPr="00FC2F24" w:rsidRDefault="00110F02" w:rsidP="00FC2F24">
      <w:pPr>
        <w:pStyle w:val="Heading1"/>
        <w:spacing w:before="0"/>
        <w:ind w:left="360"/>
        <w:rPr>
          <w:color w:val="auto"/>
          <w:sz w:val="20"/>
          <w:szCs w:val="20"/>
        </w:rPr>
      </w:pPr>
      <w:bookmarkStart w:id="31" w:name="_Toc16152277"/>
      <w:bookmarkStart w:id="32" w:name="_Toc61514163"/>
      <w:r w:rsidRPr="00FC2F24">
        <w:rPr>
          <w:color w:val="auto"/>
          <w:sz w:val="20"/>
          <w:szCs w:val="20"/>
        </w:rPr>
        <w:t>ANÁLISIS DE DEREC</w:t>
      </w:r>
      <w:bookmarkEnd w:id="31"/>
      <w:r w:rsidRPr="00FC2F24">
        <w:rPr>
          <w:color w:val="auto"/>
          <w:sz w:val="20"/>
          <w:szCs w:val="20"/>
        </w:rPr>
        <w:t>HO</w:t>
      </w:r>
      <w:bookmarkEnd w:id="32"/>
    </w:p>
    <w:p w14:paraId="553B66A6" w14:textId="77777777" w:rsidR="00110F02" w:rsidRPr="00304D78" w:rsidRDefault="00110F02" w:rsidP="00110F02">
      <w:pPr>
        <w:rPr>
          <w:lang w:val="es-ES"/>
        </w:rPr>
      </w:pPr>
    </w:p>
    <w:p w14:paraId="62DDDC5F" w14:textId="77777777" w:rsidR="00110F02" w:rsidRPr="00FC2F24" w:rsidRDefault="00110F02" w:rsidP="005200DD">
      <w:pPr>
        <w:pStyle w:val="Heading2"/>
        <w:numPr>
          <w:ilvl w:val="0"/>
          <w:numId w:val="62"/>
        </w:numPr>
        <w:spacing w:before="0" w:after="0"/>
        <w:ind w:left="360"/>
        <w:rPr>
          <w:rFonts w:asciiTheme="majorHAnsi" w:hAnsiTheme="majorHAnsi"/>
          <w:i w:val="0"/>
          <w:sz w:val="20"/>
          <w:szCs w:val="20"/>
        </w:rPr>
      </w:pPr>
      <w:bookmarkStart w:id="33" w:name="_Toc16152278"/>
      <w:bookmarkStart w:id="34" w:name="_Toc61514164"/>
      <w:r w:rsidRPr="00FC2F24">
        <w:rPr>
          <w:rFonts w:asciiTheme="majorHAnsi" w:hAnsiTheme="majorHAnsi"/>
          <w:i w:val="0"/>
          <w:sz w:val="20"/>
          <w:szCs w:val="20"/>
        </w:rPr>
        <w:t>Consideraciones preliminar</w:t>
      </w:r>
      <w:bookmarkEnd w:id="33"/>
      <w:r w:rsidRPr="00FC2F24">
        <w:rPr>
          <w:rFonts w:asciiTheme="majorHAnsi" w:hAnsiTheme="majorHAnsi"/>
          <w:i w:val="0"/>
          <w:sz w:val="20"/>
          <w:szCs w:val="20"/>
        </w:rPr>
        <w:t>es</w:t>
      </w:r>
      <w:bookmarkEnd w:id="34"/>
    </w:p>
    <w:p w14:paraId="745C2231" w14:textId="77777777" w:rsidR="00110F02" w:rsidRPr="00304D78" w:rsidRDefault="00110F02" w:rsidP="00110F02">
      <w:pPr>
        <w:pStyle w:val="ListParagraph"/>
        <w:rPr>
          <w:lang w:val="es-ES"/>
        </w:rPr>
      </w:pPr>
    </w:p>
    <w:p w14:paraId="0D98B168" w14:textId="77777777" w:rsidR="00110F02" w:rsidRPr="00304D78" w:rsidRDefault="00110F02" w:rsidP="00913380">
      <w:pPr>
        <w:pStyle w:val="parrafos"/>
        <w:numPr>
          <w:ilvl w:val="0"/>
          <w:numId w:val="55"/>
        </w:numPr>
        <w:tabs>
          <w:tab w:val="clear" w:pos="1440"/>
        </w:tabs>
        <w:ind w:left="0" w:firstLine="0"/>
        <w:rPr>
          <w:lang w:val="es-ES"/>
        </w:rPr>
      </w:pPr>
      <w:r w:rsidRPr="00304D78">
        <w:rPr>
          <w:lang w:val="es-ES"/>
        </w:rPr>
        <w:t xml:space="preserve">Antes de embarcarse en un análisis del fondo en el caso de Julius Omar Robinson, la Comisión Interamericana cree que debe reiterar sus conclusiones anteriores con respecto al escrutinio riguroso que debe efectuarse en los casos de delitos punibles con la pena de muerte. El derecho a la vida ha sido ampliamente reconocido como el derecho humano supremo y como </w:t>
      </w:r>
      <w:r w:rsidRPr="00304D78">
        <w:rPr>
          <w:i/>
          <w:iCs/>
          <w:lang w:val="es-ES"/>
        </w:rPr>
        <w:t>sine qua non</w:t>
      </w:r>
      <w:r w:rsidRPr="00304D78">
        <w:rPr>
          <w:lang w:val="es-ES"/>
        </w:rPr>
        <w:t xml:space="preserve"> para el goce de los demás derechos. </w:t>
      </w:r>
    </w:p>
    <w:p w14:paraId="35DAA325"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1FB19D68" w14:textId="77777777" w:rsidR="00110F02" w:rsidRPr="00304D78" w:rsidRDefault="00110F02" w:rsidP="00913380">
      <w:pPr>
        <w:pStyle w:val="parrafos"/>
        <w:numPr>
          <w:ilvl w:val="0"/>
          <w:numId w:val="55"/>
        </w:numPr>
        <w:tabs>
          <w:tab w:val="clear" w:pos="1440"/>
        </w:tabs>
        <w:ind w:left="0" w:firstLine="0"/>
        <w:rPr>
          <w:lang w:val="es-ES"/>
        </w:rPr>
      </w:pPr>
      <w:r w:rsidRPr="00304D78">
        <w:rPr>
          <w:lang w:val="es-ES"/>
        </w:rPr>
        <w:t>De ahí la particular importancia de la obligación de la CIDH de cerciorarse de que toda denegación de la vida que surja de la aplicación de la pena de muerte se ciña estrictamente a los requisitos establecidos en los instrumentos pertinentes del sistema interamericano de derechos humanos, entre ellos la Declaración Americana. Ese escrutinio riguroso es compatible con el enfoque restrictivo adoptado por otros órganos internacionales de derechos humanos en casos de pena de muerte</w:t>
      </w:r>
      <w:r w:rsidRPr="00304D78">
        <w:rPr>
          <w:rStyle w:val="FootnoteReference"/>
          <w:lang w:val="es-ES"/>
        </w:rPr>
        <w:footnoteReference w:id="33"/>
      </w:r>
      <w:r w:rsidRPr="00304D78">
        <w:rPr>
          <w:lang w:val="es-ES"/>
        </w:rPr>
        <w:t>, y la Comisión lo ha expuesto y aplicado en casos anteriores de pena de muerte que llegaron ante ella</w:t>
      </w:r>
      <w:r w:rsidRPr="00304D78">
        <w:rPr>
          <w:rStyle w:val="FootnoteReference"/>
          <w:lang w:val="es-ES"/>
        </w:rPr>
        <w:footnoteReference w:id="34"/>
      </w:r>
      <w:r w:rsidRPr="00304D78">
        <w:rPr>
          <w:lang w:val="es-ES"/>
        </w:rPr>
        <w:t>. Tal como ha explicado la Comisión, esta norma de análisis es una consecuencia necesaria de la pena en cuestión y del derecho a un juicio imparcial y a todas las garantías concomitantes del debido proceso, entre otras cosas</w:t>
      </w:r>
      <w:r w:rsidRPr="00304D78">
        <w:rPr>
          <w:rStyle w:val="FootnoteReference"/>
          <w:lang w:val="es-ES"/>
        </w:rPr>
        <w:footnoteReference w:id="35"/>
      </w:r>
      <w:r w:rsidRPr="00304D78">
        <w:rPr>
          <w:lang w:val="es-ES"/>
        </w:rPr>
        <w:t>. Según la Comisión:</w:t>
      </w:r>
    </w:p>
    <w:p w14:paraId="7BF065E3" w14:textId="77777777" w:rsidR="00110F02" w:rsidRPr="00304D78" w:rsidRDefault="00110F02" w:rsidP="00110F02">
      <w:pPr>
        <w:pStyle w:val="ListParagraph"/>
        <w:rPr>
          <w:sz w:val="20"/>
          <w:szCs w:val="20"/>
          <w:lang w:val="es-ES"/>
        </w:rPr>
      </w:pPr>
    </w:p>
    <w:p w14:paraId="50819DC4" w14:textId="77777777" w:rsidR="00110F02" w:rsidRPr="00304D78" w:rsidRDefault="00110F02" w:rsidP="00110F02">
      <w:pPr>
        <w:autoSpaceDE w:val="0"/>
        <w:autoSpaceDN w:val="0"/>
        <w:adjustRightInd w:val="0"/>
        <w:ind w:left="360" w:right="360"/>
        <w:jc w:val="both"/>
        <w:rPr>
          <w:rFonts w:ascii="Cambria" w:hAnsi="Cambria" w:cs="Calibri"/>
          <w:sz w:val="18"/>
          <w:szCs w:val="18"/>
          <w:lang w:val="es-ES"/>
        </w:rPr>
      </w:pPr>
      <w:r w:rsidRPr="00304D78">
        <w:rPr>
          <w:rFonts w:ascii="Cambria" w:hAnsi="Cambria" w:cs="Calibri"/>
          <w:sz w:val="18"/>
          <w:szCs w:val="18"/>
          <w:lang w:val="es-ES"/>
        </w:rPr>
        <w:t>debido en parte a su carácter irrevocable e irreversible,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304D78">
        <w:rPr>
          <w:rStyle w:val="FootnoteReference"/>
          <w:rFonts w:ascii="Cambria" w:hAnsi="Cambria"/>
          <w:sz w:val="18"/>
          <w:szCs w:val="18"/>
          <w:lang w:val="es-ES"/>
        </w:rPr>
        <w:footnoteReference w:id="36"/>
      </w:r>
      <w:r w:rsidRPr="00304D78">
        <w:rPr>
          <w:rFonts w:ascii="Cambria" w:hAnsi="Cambria" w:cs="Calibri"/>
          <w:sz w:val="18"/>
          <w:szCs w:val="18"/>
          <w:lang w:val="es-ES"/>
        </w:rPr>
        <w:t>.</w:t>
      </w:r>
    </w:p>
    <w:p w14:paraId="178E3C0D" w14:textId="77777777" w:rsidR="00110F02" w:rsidRPr="00304D78" w:rsidRDefault="00110F02" w:rsidP="00110F02">
      <w:pPr>
        <w:jc w:val="both"/>
        <w:rPr>
          <w:rFonts w:ascii="Cambria" w:hAnsi="Cambria"/>
          <w:sz w:val="20"/>
          <w:szCs w:val="20"/>
          <w:lang w:val="es-ES"/>
        </w:rPr>
      </w:pPr>
    </w:p>
    <w:p w14:paraId="46A27C04" w14:textId="77777777" w:rsidR="00110F02" w:rsidRPr="00304D78" w:rsidRDefault="00110F02" w:rsidP="00913380">
      <w:pPr>
        <w:pStyle w:val="NormalWeb"/>
        <w:numPr>
          <w:ilvl w:val="0"/>
          <w:numId w:val="55"/>
        </w:numPr>
        <w:shd w:val="clear" w:color="auto" w:fill="FFFFFF"/>
        <w:tabs>
          <w:tab w:val="left" w:pos="360"/>
        </w:tabs>
        <w:spacing w:before="0" w:beforeAutospacing="0" w:after="0" w:afterAutospacing="0"/>
        <w:ind w:left="0" w:firstLine="0"/>
        <w:jc w:val="both"/>
        <w:rPr>
          <w:rFonts w:ascii="Cambria" w:eastAsia="Arial Unicode MS" w:hAnsi="Cambria"/>
          <w:sz w:val="20"/>
          <w:szCs w:val="20"/>
          <w:bdr w:val="nil"/>
          <w:lang w:val="es-ES"/>
        </w:rPr>
      </w:pPr>
      <w:r w:rsidRPr="00304D78">
        <w:rPr>
          <w:rFonts w:asciiTheme="majorHAnsi" w:hAnsiTheme="majorHAnsi"/>
          <w:sz w:val="20"/>
          <w:szCs w:val="20"/>
          <w:lang w:val="es-ES"/>
        </w:rPr>
        <w:t>Por lo tanto, la Comisión Interamericana examinará los argumentos de</w:t>
      </w:r>
      <w:r>
        <w:rPr>
          <w:rFonts w:asciiTheme="majorHAnsi" w:hAnsiTheme="majorHAnsi"/>
          <w:sz w:val="20"/>
          <w:szCs w:val="20"/>
          <w:lang w:val="es-ES"/>
        </w:rPr>
        <w:t xml:space="preserve"> </w:t>
      </w:r>
      <w:r w:rsidRPr="00304D78">
        <w:rPr>
          <w:rFonts w:asciiTheme="majorHAnsi" w:hAnsiTheme="majorHAnsi"/>
          <w:sz w:val="20"/>
          <w:szCs w:val="20"/>
          <w:lang w:val="es-ES"/>
        </w:rPr>
        <w:t>l</w:t>
      </w:r>
      <w:r>
        <w:rPr>
          <w:rFonts w:asciiTheme="majorHAnsi" w:hAnsiTheme="majorHAnsi"/>
          <w:sz w:val="20"/>
          <w:szCs w:val="20"/>
          <w:lang w:val="es-ES"/>
        </w:rPr>
        <w:t>os</w:t>
      </w:r>
      <w:r w:rsidRPr="00304D78">
        <w:rPr>
          <w:rFonts w:asciiTheme="majorHAnsi" w:hAnsiTheme="majorHAnsi"/>
          <w:sz w:val="20"/>
          <w:szCs w:val="20"/>
          <w:lang w:val="es-ES"/>
        </w:rPr>
        <w:t xml:space="preserve"> peticionario</w:t>
      </w:r>
      <w:r>
        <w:rPr>
          <w:rFonts w:asciiTheme="majorHAnsi" w:hAnsiTheme="majorHAnsi"/>
          <w:sz w:val="20"/>
          <w:szCs w:val="20"/>
          <w:lang w:val="es-ES"/>
        </w:rPr>
        <w:t>s</w:t>
      </w:r>
      <w:r w:rsidRPr="00304D78">
        <w:rPr>
          <w:rFonts w:asciiTheme="majorHAnsi" w:hAnsiTheme="majorHAnsi"/>
          <w:sz w:val="20"/>
          <w:szCs w:val="20"/>
          <w:lang w:val="es-ES"/>
        </w:rPr>
        <w:t xml:space="preserve"> en el caso de autos con un criterio riguroso a fin de cerciorarse en particular de que el Estado haya respetado el derecho a la vida, el derecho a no recibir un castigo cruel, infamante o inusitado, el derecho al debido proceso y el derecho a un juicio imparcial establecidos en la Declaración Americana. En cuanto a la condición jurídica de la Declaración Americana, la CIDH reitera lo siguiente</w:t>
      </w:r>
      <w:r w:rsidRPr="00304D78">
        <w:rPr>
          <w:rStyle w:val="FootnoteReference"/>
          <w:rFonts w:ascii="Cambria" w:hAnsi="Cambria"/>
          <w:sz w:val="20"/>
          <w:szCs w:val="20"/>
          <w:lang w:val="es-ES"/>
        </w:rPr>
        <w:footnoteReference w:id="37"/>
      </w:r>
      <w:r w:rsidRPr="00304D78">
        <w:rPr>
          <w:rFonts w:ascii="Cambria" w:hAnsi="Cambria" w:cs="Tahoma"/>
          <w:color w:val="262626"/>
          <w:sz w:val="20"/>
          <w:szCs w:val="20"/>
          <w:lang w:val="es-ES"/>
        </w:rPr>
        <w:t>:</w:t>
      </w:r>
    </w:p>
    <w:p w14:paraId="627C6F41" w14:textId="77777777" w:rsidR="00110F02" w:rsidRPr="00304D78" w:rsidRDefault="00110F02" w:rsidP="00110F02">
      <w:pPr>
        <w:tabs>
          <w:tab w:val="left" w:pos="630"/>
          <w:tab w:val="left" w:pos="810"/>
        </w:tabs>
        <w:autoSpaceDE w:val="0"/>
        <w:autoSpaceDN w:val="0"/>
        <w:adjustRightInd w:val="0"/>
        <w:jc w:val="both"/>
        <w:rPr>
          <w:rFonts w:ascii="Cambria" w:hAnsi="Cambria" w:cs="Calibri"/>
          <w:sz w:val="20"/>
          <w:szCs w:val="20"/>
          <w:lang w:val="es-ES"/>
        </w:rPr>
      </w:pPr>
    </w:p>
    <w:p w14:paraId="5AC50D98" w14:textId="77777777" w:rsidR="00110F02" w:rsidRPr="00304D78" w:rsidRDefault="00110F02" w:rsidP="00110F02">
      <w:pPr>
        <w:tabs>
          <w:tab w:val="left" w:pos="630"/>
          <w:tab w:val="left" w:pos="810"/>
        </w:tabs>
        <w:autoSpaceDE w:val="0"/>
        <w:autoSpaceDN w:val="0"/>
        <w:adjustRightInd w:val="0"/>
        <w:ind w:left="360" w:right="360"/>
        <w:jc w:val="both"/>
        <w:rPr>
          <w:rFonts w:ascii="Cambria" w:hAnsi="Cambria" w:cs="Calibri"/>
          <w:sz w:val="18"/>
          <w:szCs w:val="18"/>
          <w:lang w:val="es-ES"/>
        </w:rPr>
      </w:pPr>
      <w:r w:rsidRPr="00304D78">
        <w:rPr>
          <w:rFonts w:ascii="Cambria" w:hAnsi="Cambria"/>
          <w:sz w:val="18"/>
          <w:szCs w:val="18"/>
          <w:lang w:val="es-ES"/>
        </w:rPr>
        <w:t>Para los Estados Miembros que no son parte de la Convención Americana, la Declaración es la fuente de obligaciones internacionales relacionadas con la Carta de la OEA. La Carta de la Organización confirió a la CIDH la función principal de promover la observancia y la protección de los derechos humanos en los Estados Miembros. El artículo 106 de la Carta de la OEA, sin embargo, no enumera o define esos derechos. La Asamblea General de la OEA, en su noveno período ordinario de sesiones celebrado en La Paz, Bolivia, en octubre de 1979, convino en que esos derechos son aquellos enunciados y definidos en la Declaración Americana. Por lo tanto, la Declaración Americana cristaliza los principios fundamentales reconocidos por los Estados americanos. La Asamblea General de la OEA también ha reconocido repetidamente que la Declaración constituye una fuente de obligaciones internacionales para los Estados Miembros de la OEA.</w:t>
      </w:r>
    </w:p>
    <w:p w14:paraId="54A75928" w14:textId="77777777" w:rsidR="00110F02" w:rsidRPr="00304D78" w:rsidRDefault="00110F02" w:rsidP="00110F02">
      <w:pPr>
        <w:pStyle w:val="ListParagraph"/>
        <w:rPr>
          <w:sz w:val="20"/>
          <w:szCs w:val="20"/>
          <w:lang w:val="es-ES"/>
        </w:rPr>
      </w:pPr>
    </w:p>
    <w:p w14:paraId="331444AD" w14:textId="77777777" w:rsidR="00110F02" w:rsidRPr="00304D78" w:rsidRDefault="00110F02" w:rsidP="00913380">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lang w:val="es-ES"/>
        </w:rPr>
      </w:pPr>
      <w:r w:rsidRPr="00304D78">
        <w:rPr>
          <w:rFonts w:asciiTheme="majorHAnsi" w:hAnsiTheme="majorHAnsi"/>
          <w:sz w:val="20"/>
          <w:lang w:val="es-ES"/>
        </w:rPr>
        <w:t>Por último, la Comisión recuerda que su examen no consiste en determinar que la pena de muerte en sí infringe la Declaración Americana. Lo que se aborda en este apartado es la norma aplicable al examen de las presuntas violaciones de derechos humanos en el contexto de un juicio que culminó con la imposición de la pena de muerte.</w:t>
      </w:r>
    </w:p>
    <w:p w14:paraId="2B9B5EF7" w14:textId="77777777" w:rsidR="00110F02" w:rsidRPr="00304D78" w:rsidRDefault="00110F02" w:rsidP="00110F02">
      <w:pPr>
        <w:pStyle w:val="Heading2"/>
        <w:spacing w:before="0"/>
        <w:rPr>
          <w:sz w:val="20"/>
          <w:szCs w:val="20"/>
          <w:lang w:val="es-ES"/>
        </w:rPr>
      </w:pPr>
    </w:p>
    <w:p w14:paraId="0296F377" w14:textId="77777777" w:rsidR="00110F02" w:rsidRPr="00997E8C" w:rsidRDefault="00110F02" w:rsidP="005200DD">
      <w:pPr>
        <w:pStyle w:val="Heading2"/>
        <w:numPr>
          <w:ilvl w:val="0"/>
          <w:numId w:val="62"/>
        </w:numPr>
        <w:spacing w:before="0" w:after="0"/>
        <w:ind w:left="360"/>
        <w:rPr>
          <w:rFonts w:asciiTheme="majorHAnsi" w:hAnsiTheme="majorHAnsi"/>
          <w:i w:val="0"/>
          <w:sz w:val="20"/>
          <w:szCs w:val="20"/>
          <w:lang w:val="es-ES"/>
        </w:rPr>
      </w:pPr>
      <w:bookmarkStart w:id="35" w:name="_Toc485650798"/>
      <w:bookmarkStart w:id="36" w:name="_Toc6226971"/>
      <w:bookmarkStart w:id="37" w:name="_Toc22915021"/>
      <w:bookmarkStart w:id="38" w:name="_Toc61514165"/>
      <w:r w:rsidRPr="00997E8C">
        <w:rPr>
          <w:rFonts w:asciiTheme="majorHAnsi" w:hAnsiTheme="majorHAnsi"/>
          <w:i w:val="0"/>
          <w:sz w:val="20"/>
          <w:szCs w:val="20"/>
          <w:lang w:val="es-ES"/>
        </w:rPr>
        <w:t>Derecho de igualdad ante la ley</w:t>
      </w:r>
      <w:r w:rsidRPr="00FC2F24">
        <w:rPr>
          <w:rStyle w:val="FootnoteReference"/>
          <w:rFonts w:asciiTheme="majorHAnsi" w:hAnsiTheme="majorHAnsi" w:cs="Times New Roman"/>
          <w:i w:val="0"/>
          <w:iCs w:val="0"/>
          <w:sz w:val="20"/>
          <w:szCs w:val="20"/>
          <w:lang w:val="es-ES"/>
        </w:rPr>
        <w:footnoteReference w:id="38"/>
      </w:r>
      <w:r w:rsidRPr="00997E8C">
        <w:rPr>
          <w:rFonts w:asciiTheme="majorHAnsi" w:hAnsiTheme="majorHAnsi"/>
          <w:i w:val="0"/>
          <w:sz w:val="20"/>
          <w:szCs w:val="20"/>
          <w:lang w:val="es-ES"/>
        </w:rPr>
        <w:t xml:space="preserve"> </w:t>
      </w:r>
      <w:bookmarkEnd w:id="35"/>
      <w:r w:rsidRPr="00997E8C">
        <w:rPr>
          <w:rFonts w:asciiTheme="majorHAnsi" w:hAnsiTheme="majorHAnsi"/>
          <w:i w:val="0"/>
          <w:sz w:val="20"/>
          <w:szCs w:val="20"/>
          <w:lang w:val="es-ES"/>
        </w:rPr>
        <w:t>y acceso a un recurso efectivo</w:t>
      </w:r>
      <w:r w:rsidRPr="00FC2F24">
        <w:rPr>
          <w:rStyle w:val="FootnoteReference"/>
          <w:rFonts w:asciiTheme="majorHAnsi" w:hAnsiTheme="majorHAnsi" w:cs="Times New Roman"/>
          <w:i w:val="0"/>
          <w:iCs w:val="0"/>
          <w:sz w:val="20"/>
          <w:szCs w:val="20"/>
          <w:lang w:val="es-ES"/>
        </w:rPr>
        <w:footnoteReference w:id="39"/>
      </w:r>
      <w:bookmarkEnd w:id="36"/>
      <w:bookmarkEnd w:id="37"/>
      <w:bookmarkEnd w:id="38"/>
    </w:p>
    <w:p w14:paraId="7406C583" w14:textId="77777777" w:rsidR="00110F02" w:rsidRPr="00304D78" w:rsidRDefault="00110F02" w:rsidP="00110F02">
      <w:pPr>
        <w:pStyle w:val="ListParagraph"/>
        <w:ind w:left="1440" w:hanging="720"/>
        <w:jc w:val="both"/>
        <w:rPr>
          <w:rFonts w:asciiTheme="majorHAnsi" w:hAnsiTheme="majorHAnsi"/>
          <w:b/>
          <w:color w:val="auto"/>
          <w:sz w:val="20"/>
          <w:szCs w:val="20"/>
          <w:lang w:val="es-ES"/>
        </w:rPr>
      </w:pPr>
    </w:p>
    <w:p w14:paraId="42D43604" w14:textId="77777777" w:rsidR="00110F02" w:rsidRPr="00FC2F24" w:rsidRDefault="00110F02" w:rsidP="00FC2F24">
      <w:pPr>
        <w:pStyle w:val="Heading3"/>
        <w:numPr>
          <w:ilvl w:val="1"/>
          <w:numId w:val="53"/>
        </w:numPr>
        <w:spacing w:before="0" w:after="0"/>
        <w:ind w:left="360"/>
        <w:rPr>
          <w:rFonts w:asciiTheme="majorHAnsi" w:hAnsiTheme="majorHAnsi"/>
          <w:sz w:val="20"/>
          <w:szCs w:val="20"/>
          <w:lang w:val="es-ES"/>
        </w:rPr>
      </w:pPr>
      <w:bookmarkStart w:id="39" w:name="_Toc6226972"/>
      <w:bookmarkStart w:id="40" w:name="_Toc22915022"/>
      <w:bookmarkStart w:id="41" w:name="_Toc61514166"/>
      <w:r w:rsidRPr="00FC2F24">
        <w:rPr>
          <w:rFonts w:asciiTheme="majorHAnsi" w:hAnsiTheme="majorHAnsi"/>
          <w:sz w:val="20"/>
          <w:szCs w:val="20"/>
          <w:lang w:val="es-ES"/>
        </w:rPr>
        <w:t>Consideraciones generales sobre la igualdad ante la ley</w:t>
      </w:r>
      <w:bookmarkEnd w:id="39"/>
      <w:bookmarkEnd w:id="40"/>
      <w:bookmarkEnd w:id="41"/>
      <w:r w:rsidRPr="00FC2F24">
        <w:rPr>
          <w:rFonts w:asciiTheme="majorHAnsi" w:hAnsiTheme="majorHAnsi"/>
          <w:sz w:val="20"/>
          <w:szCs w:val="20"/>
          <w:lang w:val="es-ES"/>
        </w:rPr>
        <w:t xml:space="preserve"> </w:t>
      </w:r>
    </w:p>
    <w:p w14:paraId="622918EF" w14:textId="77777777" w:rsidR="00110F02" w:rsidRPr="00304D78" w:rsidRDefault="00110F02" w:rsidP="00110F02">
      <w:pPr>
        <w:pStyle w:val="ListParagraph"/>
        <w:ind w:left="1440" w:hanging="720"/>
        <w:jc w:val="both"/>
        <w:rPr>
          <w:rFonts w:asciiTheme="majorHAnsi" w:hAnsiTheme="majorHAnsi"/>
          <w:b/>
          <w:color w:val="auto"/>
          <w:sz w:val="20"/>
          <w:szCs w:val="20"/>
          <w:lang w:val="es-ES"/>
        </w:rPr>
      </w:pPr>
    </w:p>
    <w:p w14:paraId="5DAE6EBA" w14:textId="77777777" w:rsidR="00110F02" w:rsidRPr="00304D78" w:rsidRDefault="00110F02" w:rsidP="00913380">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lang w:val="es-ES"/>
        </w:rPr>
      </w:pPr>
      <w:r w:rsidRPr="00304D78">
        <w:rPr>
          <w:rFonts w:asciiTheme="majorHAnsi" w:hAnsiTheme="majorHAnsi"/>
          <w:sz w:val="20"/>
          <w:szCs w:val="20"/>
          <w:lang w:val="es-ES"/>
        </w:rPr>
        <w:t>Los principios de igualdad ante la ley, igual protección ante la ley y no discriminación se encuentran entre los derechos humanos más básicos y</w:t>
      </w:r>
      <w:r>
        <w:rPr>
          <w:rFonts w:asciiTheme="majorHAnsi" w:hAnsiTheme="majorHAnsi"/>
          <w:sz w:val="20"/>
          <w:szCs w:val="20"/>
          <w:lang w:val="es-ES"/>
        </w:rPr>
        <w:t>,</w:t>
      </w:r>
      <w:r w:rsidRPr="00304D78">
        <w:rPr>
          <w:rFonts w:asciiTheme="majorHAnsi" w:hAnsiTheme="majorHAnsi"/>
          <w:sz w:val="20"/>
          <w:szCs w:val="20"/>
          <w:lang w:val="es-ES"/>
        </w:rPr>
        <w:t xml:space="preserve"> de hecho</w:t>
      </w:r>
      <w:r>
        <w:rPr>
          <w:rFonts w:asciiTheme="majorHAnsi" w:hAnsiTheme="majorHAnsi"/>
          <w:sz w:val="20"/>
          <w:szCs w:val="20"/>
          <w:lang w:val="es-ES"/>
        </w:rPr>
        <w:t>,</w:t>
      </w:r>
      <w:r w:rsidRPr="00304D78">
        <w:rPr>
          <w:rFonts w:asciiTheme="majorHAnsi" w:hAnsiTheme="majorHAnsi"/>
          <w:sz w:val="20"/>
          <w:szCs w:val="20"/>
          <w:lang w:val="es-ES"/>
        </w:rPr>
        <w:t xml:space="preserve"> se reconocen como norma </w:t>
      </w:r>
      <w:r w:rsidRPr="00304D78">
        <w:rPr>
          <w:rFonts w:asciiTheme="majorHAnsi" w:hAnsiTheme="majorHAnsi"/>
          <w:i/>
          <w:sz w:val="20"/>
          <w:szCs w:val="20"/>
          <w:lang w:val="es-ES"/>
        </w:rPr>
        <w:t>jus cogens</w:t>
      </w:r>
      <w:r w:rsidRPr="00304D78">
        <w:rPr>
          <w:rFonts w:asciiTheme="majorHAnsi" w:hAnsiTheme="majorHAnsi"/>
          <w:sz w:val="20"/>
          <w:szCs w:val="20"/>
          <w:lang w:val="es-ES"/>
        </w:rPr>
        <w:t>, “puesto que sobre él descansa todo el andamiaje jurídico del orden público nacional e internacional”</w:t>
      </w:r>
      <w:r w:rsidRPr="00304D78">
        <w:rPr>
          <w:rFonts w:asciiTheme="majorHAnsi" w:hAnsiTheme="majorHAnsi"/>
          <w:sz w:val="20"/>
          <w:szCs w:val="20"/>
          <w:vertAlign w:val="superscript"/>
          <w:lang w:val="es-ES"/>
        </w:rPr>
        <w:footnoteReference w:id="40"/>
      </w:r>
      <w:r w:rsidRPr="00304D78">
        <w:rPr>
          <w:rFonts w:asciiTheme="majorHAnsi" w:hAnsiTheme="majorHAnsi"/>
          <w:sz w:val="20"/>
          <w:szCs w:val="20"/>
          <w:lang w:val="es-ES"/>
        </w:rPr>
        <w:t xml:space="preserve">. En consonancia con el Comité de Derechos Humanos, la Comisión ha entendido que </w:t>
      </w:r>
      <w:r w:rsidRPr="00304D78">
        <w:rPr>
          <w:rFonts w:asciiTheme="majorHAnsi" w:hAnsiTheme="majorHAnsi"/>
          <w:bCs/>
          <w:sz w:val="20"/>
          <w:szCs w:val="20"/>
          <w:lang w:val="es-ES"/>
        </w:rPr>
        <w:t xml:space="preserve">“discriminación” significa </w:t>
      </w:r>
      <w:r w:rsidRPr="00304D78">
        <w:rPr>
          <w:rFonts w:asciiTheme="majorHAnsi" w:hAnsiTheme="majorHAnsi"/>
          <w:sz w:val="20"/>
          <w:szCs w:val="20"/>
          <w:lang w:val="es-ES"/>
        </w:rPr>
        <w:t>“</w:t>
      </w:r>
      <w:r w:rsidRPr="00304D78">
        <w:rPr>
          <w:rFonts w:asciiTheme="majorHAnsi" w:hAnsiTheme="majorHAnsi"/>
          <w:bCs/>
          <w:sz w:val="20"/>
          <w:szCs w:val="20"/>
          <w:lang w:val="es-ES"/>
        </w:rPr>
        <w:t>toda distinción, exclusión, restricción o preferencia que se basen en determinados motivos, como la raza, el color, el sexo, el idioma, la religión, la opinión política o de otra índole, el origen nacional o social, la posición económica, el nacimiento o cualquier otra condición social, y que tengan por objeto o por resultado anular o menoscabar el reconocimiento, goce o ejercicio, en condiciones de igualdad, de los derechos humanos y libertades fundamentales de todas las personas”</w:t>
      </w:r>
      <w:r w:rsidRPr="00304D78">
        <w:rPr>
          <w:rStyle w:val="FootnoteReference"/>
          <w:rFonts w:asciiTheme="majorHAnsi" w:hAnsiTheme="majorHAnsi"/>
          <w:bCs/>
          <w:sz w:val="20"/>
          <w:szCs w:val="20"/>
          <w:lang w:val="es-ES"/>
        </w:rPr>
        <w:footnoteReference w:id="41"/>
      </w:r>
      <w:r w:rsidRPr="00304D78">
        <w:rPr>
          <w:rFonts w:asciiTheme="majorHAnsi" w:hAnsiTheme="majorHAnsi"/>
          <w:bCs/>
          <w:sz w:val="20"/>
          <w:szCs w:val="20"/>
          <w:lang w:val="es-ES"/>
        </w:rPr>
        <w:t>.</w:t>
      </w:r>
      <w:r w:rsidR="00997E8C">
        <w:rPr>
          <w:rFonts w:asciiTheme="majorHAnsi" w:hAnsiTheme="majorHAnsi"/>
          <w:bCs/>
          <w:sz w:val="20"/>
          <w:szCs w:val="20"/>
          <w:lang w:val="es-ES"/>
        </w:rPr>
        <w:t xml:space="preserve"> </w:t>
      </w:r>
      <w:r w:rsidR="00997E8C" w:rsidRPr="00997E8C">
        <w:rPr>
          <w:rFonts w:asciiTheme="majorHAnsi" w:hAnsiTheme="majorHAnsi"/>
          <w:bCs/>
          <w:sz w:val="20"/>
          <w:szCs w:val="20"/>
          <w:lang w:val="es-ES"/>
        </w:rPr>
        <w:t>La Comisión ha señalado</w:t>
      </w:r>
      <w:r w:rsidR="00997E8C">
        <w:rPr>
          <w:rFonts w:asciiTheme="majorHAnsi" w:hAnsiTheme="majorHAnsi"/>
          <w:bCs/>
          <w:sz w:val="20"/>
          <w:szCs w:val="20"/>
          <w:lang w:val="es-ES"/>
        </w:rPr>
        <w:t xml:space="preserve"> además</w:t>
      </w:r>
      <w:r w:rsidR="00997E8C" w:rsidRPr="00997E8C">
        <w:rPr>
          <w:rFonts w:asciiTheme="majorHAnsi" w:hAnsiTheme="majorHAnsi"/>
          <w:bCs/>
          <w:sz w:val="20"/>
          <w:szCs w:val="20"/>
          <w:lang w:val="es-ES"/>
        </w:rPr>
        <w:t xml:space="preserve"> que la discriminación puede manifestarse </w:t>
      </w:r>
      <w:r w:rsidR="00997E8C">
        <w:rPr>
          <w:rFonts w:asciiTheme="majorHAnsi" w:hAnsiTheme="majorHAnsi"/>
          <w:bCs/>
          <w:sz w:val="20"/>
          <w:szCs w:val="20"/>
          <w:lang w:val="es-ES"/>
        </w:rPr>
        <w:t xml:space="preserve">en forma </w:t>
      </w:r>
      <w:r w:rsidR="00997E8C" w:rsidRPr="00997E8C">
        <w:rPr>
          <w:rFonts w:asciiTheme="majorHAnsi" w:hAnsiTheme="majorHAnsi"/>
          <w:bCs/>
          <w:sz w:val="20"/>
          <w:szCs w:val="20"/>
          <w:lang w:val="es-ES"/>
        </w:rPr>
        <w:t>directa (intenciona</w:t>
      </w:r>
      <w:r w:rsidR="00997E8C">
        <w:rPr>
          <w:rFonts w:asciiTheme="majorHAnsi" w:hAnsiTheme="majorHAnsi"/>
          <w:bCs/>
          <w:sz w:val="20"/>
          <w:szCs w:val="20"/>
          <w:lang w:val="es-ES"/>
        </w:rPr>
        <w:t>l</w:t>
      </w:r>
      <w:r w:rsidR="00997E8C" w:rsidRPr="00997E8C">
        <w:rPr>
          <w:rFonts w:asciiTheme="majorHAnsi" w:hAnsiTheme="majorHAnsi"/>
          <w:bCs/>
          <w:sz w:val="20"/>
          <w:szCs w:val="20"/>
          <w:lang w:val="es-ES"/>
        </w:rPr>
        <w:t xml:space="preserve"> o "selectiva") o indirecta (involuntaria o "por resultado"), y esta última puede ser </w:t>
      </w:r>
      <w:r w:rsidR="00997E8C" w:rsidRPr="00997E8C">
        <w:rPr>
          <w:rFonts w:asciiTheme="majorHAnsi" w:hAnsiTheme="majorHAnsi"/>
          <w:bCs/>
          <w:i/>
          <w:iCs/>
          <w:sz w:val="20"/>
          <w:szCs w:val="20"/>
          <w:lang w:val="es-ES"/>
        </w:rPr>
        <w:t>de facto</w:t>
      </w:r>
      <w:r w:rsidR="00997E8C" w:rsidRPr="00997E8C">
        <w:rPr>
          <w:rFonts w:asciiTheme="majorHAnsi" w:hAnsiTheme="majorHAnsi"/>
          <w:bCs/>
          <w:sz w:val="20"/>
          <w:szCs w:val="20"/>
          <w:lang w:val="es-ES"/>
        </w:rPr>
        <w:t xml:space="preserve">, cuando se manifiesta en la práctica, o </w:t>
      </w:r>
      <w:r w:rsidR="00997E8C" w:rsidRPr="00997E8C">
        <w:rPr>
          <w:rFonts w:asciiTheme="majorHAnsi" w:hAnsiTheme="majorHAnsi"/>
          <w:bCs/>
          <w:i/>
          <w:iCs/>
          <w:sz w:val="20"/>
          <w:szCs w:val="20"/>
          <w:lang w:val="es-ES"/>
        </w:rPr>
        <w:t>de iure</w:t>
      </w:r>
      <w:r w:rsidR="00997E8C" w:rsidRPr="00997E8C">
        <w:rPr>
          <w:rFonts w:asciiTheme="majorHAnsi" w:hAnsiTheme="majorHAnsi"/>
          <w:bCs/>
          <w:sz w:val="20"/>
          <w:szCs w:val="20"/>
          <w:lang w:val="es-ES"/>
        </w:rPr>
        <w:t>, cuando emana de una ley o disposición</w:t>
      </w:r>
      <w:r w:rsidR="00997E8C">
        <w:rPr>
          <w:rFonts w:asciiTheme="majorHAnsi" w:hAnsiTheme="majorHAnsi"/>
          <w:bCs/>
          <w:sz w:val="20"/>
          <w:szCs w:val="20"/>
          <w:lang w:val="es-ES"/>
        </w:rPr>
        <w:t>.</w:t>
      </w:r>
      <w:r w:rsidR="00997E8C">
        <w:rPr>
          <w:rStyle w:val="FootnoteReference"/>
          <w:rFonts w:asciiTheme="majorHAnsi" w:hAnsiTheme="majorHAnsi"/>
          <w:bCs/>
          <w:sz w:val="20"/>
          <w:szCs w:val="20"/>
          <w:lang w:val="es-ES"/>
        </w:rPr>
        <w:footnoteReference w:id="42"/>
      </w:r>
    </w:p>
    <w:p w14:paraId="07DAB09D" w14:textId="77777777" w:rsidR="00110F02" w:rsidRPr="00304D78" w:rsidRDefault="00110F02" w:rsidP="00110F02">
      <w:pPr>
        <w:pStyle w:val="ListParagraph"/>
        <w:ind w:left="0"/>
        <w:rPr>
          <w:rFonts w:asciiTheme="majorHAnsi" w:hAnsiTheme="majorHAnsi"/>
          <w:sz w:val="20"/>
          <w:szCs w:val="20"/>
          <w:lang w:val="es-ES"/>
        </w:rPr>
      </w:pPr>
    </w:p>
    <w:p w14:paraId="6BB61EBF" w14:textId="77777777" w:rsidR="00110F02" w:rsidRPr="00304D78" w:rsidRDefault="00110F02" w:rsidP="00913380">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lang w:val="es-ES"/>
        </w:rPr>
      </w:pPr>
      <w:r w:rsidRPr="00304D78">
        <w:rPr>
          <w:rFonts w:asciiTheme="majorHAnsi" w:hAnsiTheme="majorHAnsi"/>
          <w:sz w:val="20"/>
          <w:szCs w:val="20"/>
          <w:lang w:val="es-ES"/>
        </w:rPr>
        <w:t>El principio de igualdad y no discriminación incorpora tanto “la prohibición de diferencias de trato arbitrarias” como “la obligación de los Estados de crear condiciones de igualdad real frente a grupos que han sido históricamente excluidos o que se encuentran en mayor riesgo de ser discriminados”</w:t>
      </w:r>
      <w:r w:rsidRPr="00304D78">
        <w:rPr>
          <w:rStyle w:val="FootnoteReference"/>
          <w:rFonts w:asciiTheme="majorHAnsi" w:hAnsiTheme="majorHAnsi"/>
          <w:sz w:val="20"/>
          <w:szCs w:val="20"/>
          <w:lang w:val="es-ES"/>
        </w:rPr>
        <w:footnoteReference w:id="43"/>
      </w:r>
      <w:r w:rsidRPr="00304D78">
        <w:rPr>
          <w:rFonts w:asciiTheme="majorHAnsi" w:hAnsiTheme="majorHAnsi"/>
          <w:sz w:val="20"/>
          <w:szCs w:val="20"/>
          <w:lang w:val="es-ES"/>
        </w:rPr>
        <w:t xml:space="preserve">. </w:t>
      </w:r>
      <w:r w:rsidRPr="00304D78">
        <w:rPr>
          <w:rFonts w:asciiTheme="majorHAnsi" w:hAnsiTheme="majorHAnsi"/>
          <w:bCs/>
          <w:sz w:val="20"/>
          <w:szCs w:val="20"/>
          <w:lang w:val="es-ES"/>
        </w:rPr>
        <w:t>Con respecto al primer concepto, el artículo II de la Declaración Americana</w:t>
      </w:r>
      <w:r>
        <w:rPr>
          <w:rFonts w:asciiTheme="majorHAnsi" w:hAnsiTheme="majorHAnsi"/>
          <w:bCs/>
          <w:sz w:val="20"/>
          <w:szCs w:val="20"/>
          <w:lang w:val="es-ES"/>
        </w:rPr>
        <w:t>, aunque</w:t>
      </w:r>
      <w:r w:rsidRPr="00304D78">
        <w:rPr>
          <w:rFonts w:asciiTheme="majorHAnsi" w:hAnsiTheme="majorHAnsi"/>
          <w:bCs/>
          <w:sz w:val="20"/>
          <w:szCs w:val="20"/>
          <w:lang w:val="es-ES"/>
        </w:rPr>
        <w:t xml:space="preserve"> no prohíbe todas las diferencias de trato en el goce de los derechos y las libertadas protegidos, exige que toda distinción permisible se base en una justificación objetiva y razonable, que persiga un objetivo legítimo, “teniendo en cuenta los principios que normalmente prevalecen en las sociedades democráticas[,] y los medios deben ser razonables y proporcionados al fin que se procura”</w:t>
      </w:r>
      <w:r w:rsidRPr="00304D78">
        <w:rPr>
          <w:rStyle w:val="FootnoteReference"/>
          <w:rFonts w:asciiTheme="majorHAnsi" w:hAnsiTheme="majorHAnsi"/>
          <w:bCs/>
          <w:sz w:val="20"/>
          <w:szCs w:val="20"/>
          <w:lang w:val="es-ES"/>
        </w:rPr>
        <w:footnoteReference w:id="44"/>
      </w:r>
      <w:r w:rsidRPr="00304D78">
        <w:rPr>
          <w:rFonts w:asciiTheme="majorHAnsi" w:hAnsiTheme="majorHAnsi"/>
          <w:bCs/>
          <w:sz w:val="20"/>
          <w:szCs w:val="20"/>
          <w:lang w:val="es-ES"/>
        </w:rPr>
        <w:t xml:space="preserve">. Además, las </w:t>
      </w:r>
      <w:r w:rsidRPr="00304D78">
        <w:rPr>
          <w:rFonts w:asciiTheme="majorHAnsi" w:hAnsiTheme="majorHAnsi"/>
          <w:sz w:val="20"/>
          <w:szCs w:val="20"/>
          <w:lang w:val="es-ES"/>
        </w:rPr>
        <w:t>distinciones por los motivos enumerados explícitamente en los artículos pertinentes de instrumentos internacionales de derechos humanos están supeditadas a un escrutinio</w:t>
      </w:r>
      <w:r>
        <w:rPr>
          <w:rFonts w:asciiTheme="majorHAnsi" w:hAnsiTheme="majorHAnsi"/>
          <w:sz w:val="20"/>
          <w:szCs w:val="20"/>
          <w:lang w:val="es-ES"/>
        </w:rPr>
        <w:t xml:space="preserve"> particularmente riguroso,</w:t>
      </w:r>
      <w:r w:rsidRPr="00304D78">
        <w:rPr>
          <w:rFonts w:asciiTheme="majorHAnsi" w:hAnsiTheme="majorHAnsi"/>
          <w:sz w:val="20"/>
          <w:szCs w:val="20"/>
          <w:lang w:val="es-ES"/>
        </w:rPr>
        <w:t xml:space="preserve"> que requiere que los Estados aduzcan un interés de mucho peso y una justificación imperiosa para efectuar tal distinción</w:t>
      </w:r>
      <w:r w:rsidRPr="00304D78">
        <w:rPr>
          <w:rStyle w:val="FootnoteReference"/>
          <w:rFonts w:asciiTheme="majorHAnsi" w:hAnsiTheme="majorHAnsi"/>
          <w:sz w:val="20"/>
          <w:szCs w:val="20"/>
          <w:lang w:val="es-ES"/>
        </w:rPr>
        <w:footnoteReference w:id="45"/>
      </w:r>
      <w:r w:rsidRPr="00304D78">
        <w:rPr>
          <w:rFonts w:asciiTheme="majorHAnsi" w:hAnsiTheme="majorHAnsi"/>
          <w:sz w:val="20"/>
          <w:szCs w:val="20"/>
          <w:lang w:val="es-ES"/>
        </w:rPr>
        <w:t>.</w:t>
      </w:r>
    </w:p>
    <w:p w14:paraId="44C66991" w14:textId="77777777" w:rsidR="00110F02" w:rsidRPr="00304D78" w:rsidRDefault="00110F02" w:rsidP="00110F02">
      <w:pPr>
        <w:pStyle w:val="ListParagraph"/>
        <w:rPr>
          <w:rFonts w:asciiTheme="majorHAnsi" w:eastAsia="Arial Unicode MS" w:hAnsiTheme="majorHAnsi"/>
          <w:sz w:val="20"/>
          <w:szCs w:val="20"/>
          <w:lang w:val="es-ES"/>
        </w:rPr>
      </w:pPr>
    </w:p>
    <w:p w14:paraId="0ACCB3F9" w14:textId="77777777" w:rsidR="00110F02" w:rsidRPr="00304D78" w:rsidRDefault="00110F02" w:rsidP="00913380">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304D78">
        <w:rPr>
          <w:rFonts w:asciiTheme="majorHAnsi" w:hAnsiTheme="majorHAnsi"/>
          <w:sz w:val="20"/>
          <w:szCs w:val="20"/>
          <w:lang w:val="es-ES"/>
        </w:rPr>
        <w:t>Por lo tanto, el trato arbitrario y las distinciones por razones de raza se prohíben en el derecho internacional de los derechos humanos y deben prevenirse. Las restricciones por motivos raciales deben basarse en razones imperiosas; al respecto, hay una “presunción de invalidez”</w:t>
      </w:r>
      <w:r>
        <w:rPr>
          <w:rFonts w:asciiTheme="majorHAnsi" w:hAnsiTheme="majorHAnsi"/>
          <w:sz w:val="20"/>
          <w:szCs w:val="20"/>
          <w:lang w:val="es-ES"/>
        </w:rPr>
        <w:t xml:space="preserve">, </w:t>
      </w:r>
      <w:r w:rsidRPr="00304D78">
        <w:rPr>
          <w:rFonts w:asciiTheme="majorHAnsi" w:hAnsiTheme="majorHAnsi"/>
          <w:sz w:val="20"/>
          <w:szCs w:val="20"/>
          <w:lang w:val="es-ES"/>
        </w:rPr>
        <w:t xml:space="preserve">y la carga de la prueba recae en el Estado. La Comisión ha subrayado que es necesario examinar las leyes y normas para asegurar que se ciñan a los principios de igualdad y no discriminación. En este análisis se debe determinar el posible efecto discriminatorio de disposiciones que incluso </w:t>
      </w:r>
      <w:r w:rsidRPr="00304D78">
        <w:rPr>
          <w:rFonts w:asciiTheme="majorHAnsi" w:hAnsiTheme="majorHAnsi"/>
          <w:i/>
          <w:sz w:val="20"/>
          <w:szCs w:val="20"/>
          <w:lang w:val="es-ES"/>
        </w:rPr>
        <w:t>prima facie</w:t>
      </w:r>
      <w:r w:rsidRPr="00304D78">
        <w:rPr>
          <w:rFonts w:asciiTheme="majorHAnsi" w:hAnsiTheme="majorHAnsi"/>
          <w:sz w:val="20"/>
          <w:szCs w:val="20"/>
          <w:lang w:val="es-ES"/>
        </w:rPr>
        <w:t xml:space="preserve"> sean neutrales, ya que los Estados están obligados no solo a garantizar la igualdad ante la ley, sino también a adoptar las medidas legislativas, normativas y de otros </w:t>
      </w:r>
      <w:r w:rsidRPr="00304D78">
        <w:rPr>
          <w:rFonts w:asciiTheme="majorHAnsi" w:hAnsiTheme="majorHAnsi"/>
          <w:sz w:val="20"/>
          <w:szCs w:val="20"/>
          <w:lang w:val="es-ES"/>
        </w:rPr>
        <w:lastRenderedPageBreak/>
        <w:t>tipos que sean necesarias para garantizar el goce efectivo de los derechos protegidos por el artículo II de la Declaración Americana</w:t>
      </w:r>
      <w:r w:rsidRPr="00304D78">
        <w:rPr>
          <w:rStyle w:val="FootnoteReference"/>
          <w:rFonts w:asciiTheme="majorHAnsi" w:hAnsiTheme="majorHAnsi"/>
          <w:sz w:val="20"/>
          <w:szCs w:val="20"/>
          <w:lang w:val="es-ES"/>
        </w:rPr>
        <w:footnoteReference w:id="46"/>
      </w:r>
      <w:r>
        <w:rPr>
          <w:rFonts w:asciiTheme="majorHAnsi" w:hAnsiTheme="majorHAnsi"/>
          <w:sz w:val="20"/>
          <w:szCs w:val="20"/>
          <w:lang w:val="es-ES"/>
        </w:rPr>
        <w:t>.</w:t>
      </w:r>
    </w:p>
    <w:p w14:paraId="6A211831" w14:textId="77777777" w:rsidR="00110F02" w:rsidRPr="00304D78" w:rsidRDefault="00110F02" w:rsidP="00110F02">
      <w:pPr>
        <w:pStyle w:val="ListParagraph"/>
        <w:ind w:left="1440" w:hanging="720"/>
        <w:jc w:val="both"/>
        <w:rPr>
          <w:rFonts w:asciiTheme="majorHAnsi" w:hAnsiTheme="majorHAnsi"/>
          <w:b/>
          <w:color w:val="auto"/>
          <w:sz w:val="20"/>
          <w:szCs w:val="20"/>
          <w:lang w:val="es-ES"/>
        </w:rPr>
      </w:pPr>
    </w:p>
    <w:p w14:paraId="12AA0D9C" w14:textId="77777777" w:rsidR="00110F02" w:rsidRPr="00FC2F24" w:rsidRDefault="00110F02" w:rsidP="00FC2F24">
      <w:pPr>
        <w:pStyle w:val="Heading3"/>
        <w:numPr>
          <w:ilvl w:val="1"/>
          <w:numId w:val="53"/>
        </w:numPr>
        <w:spacing w:before="0" w:after="0"/>
        <w:ind w:left="360"/>
        <w:rPr>
          <w:rFonts w:asciiTheme="majorHAnsi" w:hAnsiTheme="majorHAnsi"/>
          <w:sz w:val="20"/>
          <w:szCs w:val="20"/>
          <w:lang w:val="es-ES"/>
        </w:rPr>
      </w:pPr>
      <w:bookmarkStart w:id="42" w:name="_Toc6226973"/>
      <w:bookmarkStart w:id="43" w:name="_Toc22915023"/>
      <w:bookmarkStart w:id="44" w:name="_Toc61514167"/>
      <w:r w:rsidRPr="00FC2F24">
        <w:rPr>
          <w:rFonts w:asciiTheme="majorHAnsi" w:hAnsiTheme="majorHAnsi"/>
          <w:sz w:val="20"/>
          <w:szCs w:val="20"/>
          <w:lang w:val="es-ES"/>
        </w:rPr>
        <w:t>La raza y la igualdad ante la ley en la aplicación de la pena de muerte en Estados Unidos</w:t>
      </w:r>
      <w:bookmarkEnd w:id="42"/>
      <w:bookmarkEnd w:id="43"/>
      <w:bookmarkEnd w:id="44"/>
      <w:r w:rsidRPr="00FC2F24">
        <w:rPr>
          <w:rFonts w:asciiTheme="majorHAnsi" w:hAnsiTheme="majorHAnsi"/>
          <w:sz w:val="20"/>
          <w:szCs w:val="20"/>
          <w:lang w:val="es-ES"/>
        </w:rPr>
        <w:t xml:space="preserve"> </w:t>
      </w:r>
    </w:p>
    <w:p w14:paraId="20D8CC2D" w14:textId="77777777" w:rsidR="00110F02" w:rsidRPr="00304D78" w:rsidRDefault="00110F02" w:rsidP="00110F02">
      <w:pPr>
        <w:pStyle w:val="ListParagraph"/>
        <w:ind w:left="1440" w:hanging="720"/>
        <w:jc w:val="both"/>
        <w:rPr>
          <w:rFonts w:asciiTheme="majorHAnsi" w:hAnsiTheme="majorHAnsi"/>
          <w:b/>
          <w:color w:val="auto"/>
          <w:sz w:val="20"/>
          <w:szCs w:val="20"/>
          <w:lang w:val="es-ES"/>
        </w:rPr>
      </w:pPr>
    </w:p>
    <w:p w14:paraId="381D9E29" w14:textId="77777777" w:rsidR="00110F02" w:rsidRPr="00304D78" w:rsidRDefault="00110F02" w:rsidP="00913380">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304D78">
        <w:rPr>
          <w:rFonts w:asciiTheme="majorHAnsi" w:hAnsiTheme="majorHAnsi"/>
          <w:sz w:val="20"/>
          <w:szCs w:val="20"/>
          <w:lang w:val="es-ES"/>
        </w:rPr>
        <w:t>Con respecto a la aplicación de la pena de muerte a afroestadounidenses en Estados Unidos, en el caso de Willie L. Celestine, decidido en 1989, la Comisión Interamericana se enfrentó por primera vez con la cuestión de si las estadísticas por sí solas son suficientes para probar que hubo discriminación racial en un caso de pena de muerte</w:t>
      </w:r>
      <w:r w:rsidRPr="00304D78">
        <w:rPr>
          <w:rStyle w:val="FootnoteReference"/>
          <w:rFonts w:asciiTheme="majorHAnsi" w:hAnsiTheme="majorHAnsi"/>
          <w:sz w:val="20"/>
          <w:szCs w:val="20"/>
          <w:lang w:val="es-ES"/>
        </w:rPr>
        <w:footnoteReference w:id="47"/>
      </w:r>
      <w:r w:rsidRPr="00304D78">
        <w:rPr>
          <w:rFonts w:asciiTheme="majorHAnsi" w:hAnsiTheme="majorHAnsi"/>
          <w:sz w:val="20"/>
          <w:szCs w:val="20"/>
          <w:lang w:val="es-ES"/>
        </w:rPr>
        <w:t xml:space="preserve">. La CIDH declaró que el caso era inadmisible porque el peticionario no presentó prueba suficiente de que la sentencia hubiera sido producto de discriminación racial. La Comisión concluyó que no era un buen caso y señaló que el delito había sido suficientemente atroz y que varios miembros del jurado, </w:t>
      </w:r>
      <w:r>
        <w:rPr>
          <w:rFonts w:asciiTheme="majorHAnsi" w:hAnsiTheme="majorHAnsi"/>
          <w:sz w:val="20"/>
          <w:szCs w:val="20"/>
          <w:lang w:val="es-ES"/>
        </w:rPr>
        <w:t>cuyo veredicto fue unánime</w:t>
      </w:r>
      <w:r w:rsidRPr="00304D78">
        <w:rPr>
          <w:rFonts w:asciiTheme="majorHAnsi" w:hAnsiTheme="majorHAnsi"/>
          <w:sz w:val="20"/>
          <w:szCs w:val="20"/>
          <w:lang w:val="es-ES"/>
        </w:rPr>
        <w:t>, eran negros.</w:t>
      </w:r>
    </w:p>
    <w:p w14:paraId="63494D21" w14:textId="77777777" w:rsidR="00110F02" w:rsidRPr="00304D78" w:rsidRDefault="00110F02" w:rsidP="00110F02">
      <w:pPr>
        <w:pStyle w:val="ListParagraph"/>
        <w:rPr>
          <w:rFonts w:asciiTheme="majorHAnsi" w:hAnsiTheme="majorHAnsi"/>
          <w:bCs/>
          <w:color w:val="auto"/>
          <w:sz w:val="20"/>
          <w:szCs w:val="20"/>
          <w:lang w:val="es-ES"/>
        </w:rPr>
      </w:pPr>
    </w:p>
    <w:p w14:paraId="0E20DAB6" w14:textId="77777777" w:rsidR="00110F02" w:rsidRPr="00304D78" w:rsidRDefault="00110F02" w:rsidP="00B16A6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sidRPr="00304D78">
        <w:rPr>
          <w:rFonts w:asciiTheme="majorHAnsi" w:hAnsiTheme="majorHAnsi"/>
          <w:bCs/>
          <w:color w:val="auto"/>
          <w:sz w:val="20"/>
          <w:szCs w:val="20"/>
          <w:lang w:val="es-ES"/>
        </w:rPr>
        <w:t xml:space="preserve">En el caso de William Andrews, decidido en 1997, la CIDH opinó que la existencia de “una cierta </w:t>
      </w:r>
      <w:r w:rsidRPr="00304D78">
        <w:rPr>
          <w:rFonts w:asciiTheme="majorHAnsi" w:hAnsiTheme="majorHAnsi"/>
          <w:bCs/>
          <w:sz w:val="20"/>
          <w:szCs w:val="20"/>
          <w:lang w:val="es-ES"/>
        </w:rPr>
        <w:t>‘</w:t>
      </w:r>
      <w:r w:rsidRPr="00304D78">
        <w:rPr>
          <w:rFonts w:asciiTheme="majorHAnsi" w:hAnsiTheme="majorHAnsi"/>
          <w:bCs/>
          <w:color w:val="auto"/>
          <w:sz w:val="20"/>
          <w:szCs w:val="20"/>
          <w:lang w:val="es-ES"/>
        </w:rPr>
        <w:t>predisposición racial</w:t>
      </w:r>
      <w:r w:rsidRPr="00304D78">
        <w:rPr>
          <w:rFonts w:asciiTheme="majorHAnsi" w:hAnsiTheme="majorHAnsi"/>
          <w:bCs/>
          <w:sz w:val="20"/>
          <w:szCs w:val="20"/>
          <w:lang w:val="es-ES"/>
        </w:rPr>
        <w:t>’</w:t>
      </w:r>
      <w:r w:rsidRPr="00304D78">
        <w:rPr>
          <w:rFonts w:asciiTheme="majorHAnsi" w:hAnsiTheme="majorHAnsi"/>
          <w:bCs/>
          <w:color w:val="auto"/>
          <w:sz w:val="20"/>
          <w:szCs w:val="20"/>
          <w:lang w:val="es-ES"/>
        </w:rPr>
        <w:t xml:space="preserve"> entre algunos de los miembros del jurado” </w:t>
      </w:r>
      <w:r w:rsidRPr="00304D78">
        <w:rPr>
          <w:rFonts w:asciiTheme="majorHAnsi" w:hAnsiTheme="majorHAnsi"/>
          <w:bCs/>
          <w:sz w:val="20"/>
          <w:szCs w:val="20"/>
          <w:lang w:val="es-ES"/>
        </w:rPr>
        <w:t xml:space="preserve">que sesgó el juicio y llevó a la </w:t>
      </w:r>
      <w:r w:rsidRPr="00304D78">
        <w:rPr>
          <w:rFonts w:asciiTheme="majorHAnsi" w:hAnsiTheme="majorHAnsi"/>
          <w:bCs/>
          <w:color w:val="auto"/>
          <w:sz w:val="20"/>
          <w:szCs w:val="20"/>
          <w:lang w:val="es-ES"/>
        </w:rPr>
        <w:t>pena de muerte</w:t>
      </w:r>
      <w:r w:rsidRPr="00304D78">
        <w:rPr>
          <w:rFonts w:asciiTheme="majorHAnsi" w:hAnsiTheme="majorHAnsi"/>
          <w:bCs/>
          <w:sz w:val="20"/>
          <w:szCs w:val="20"/>
          <w:lang w:val="es-ES"/>
        </w:rPr>
        <w:t xml:space="preserve"> constituía una violación del derecho a un juicio imparcial y a la </w:t>
      </w:r>
      <w:r w:rsidRPr="00304D78">
        <w:rPr>
          <w:rFonts w:asciiTheme="majorHAnsi" w:hAnsiTheme="majorHAnsi"/>
          <w:bCs/>
          <w:color w:val="auto"/>
          <w:sz w:val="20"/>
          <w:szCs w:val="20"/>
          <w:lang w:val="es-ES"/>
        </w:rPr>
        <w:t>igualdad ante la ley</w:t>
      </w:r>
      <w:r w:rsidRPr="00304D78">
        <w:rPr>
          <w:rStyle w:val="FootnoteReference"/>
          <w:rFonts w:asciiTheme="majorHAnsi" w:hAnsiTheme="majorHAnsi"/>
          <w:bCs/>
          <w:color w:val="auto"/>
          <w:sz w:val="20"/>
          <w:szCs w:val="20"/>
          <w:lang w:val="es-ES"/>
        </w:rPr>
        <w:footnoteReference w:id="48"/>
      </w:r>
      <w:r w:rsidRPr="00304D78">
        <w:rPr>
          <w:rFonts w:asciiTheme="majorHAnsi" w:hAnsiTheme="majorHAnsi"/>
          <w:bCs/>
          <w:sz w:val="20"/>
          <w:szCs w:val="20"/>
          <w:lang w:val="es-ES"/>
        </w:rPr>
        <w:t>.</w:t>
      </w:r>
      <w:r w:rsidRPr="00304D78">
        <w:rPr>
          <w:rFonts w:asciiTheme="majorHAnsi" w:hAnsiTheme="majorHAnsi"/>
          <w:bCs/>
          <w:color w:val="auto"/>
          <w:sz w:val="20"/>
          <w:szCs w:val="20"/>
          <w:lang w:val="es-ES"/>
        </w:rPr>
        <w:t xml:space="preserve"> </w:t>
      </w:r>
      <w:r w:rsidRPr="00304D78">
        <w:rPr>
          <w:rFonts w:asciiTheme="majorHAnsi" w:hAnsiTheme="majorHAnsi"/>
          <w:bCs/>
          <w:sz w:val="20"/>
          <w:szCs w:val="20"/>
          <w:lang w:val="es-ES"/>
        </w:rPr>
        <w:t xml:space="preserve">En este caso, el expediente que obra en poder de </w:t>
      </w:r>
      <w:r w:rsidRPr="00304D78">
        <w:rPr>
          <w:rFonts w:asciiTheme="majorHAnsi" w:hAnsiTheme="majorHAnsi"/>
          <w:bCs/>
          <w:color w:val="auto"/>
          <w:sz w:val="20"/>
          <w:szCs w:val="20"/>
          <w:lang w:val="es-ES"/>
        </w:rPr>
        <w:t>la Comisión refle</w:t>
      </w:r>
      <w:r w:rsidRPr="00304D78">
        <w:rPr>
          <w:rFonts w:asciiTheme="majorHAnsi" w:hAnsiTheme="majorHAnsi"/>
          <w:bCs/>
          <w:sz w:val="20"/>
          <w:szCs w:val="20"/>
          <w:lang w:val="es-ES"/>
        </w:rPr>
        <w:t xml:space="preserve">ja amplios indicios de </w:t>
      </w:r>
      <w:r w:rsidRPr="00304D78">
        <w:rPr>
          <w:rFonts w:asciiTheme="majorHAnsi" w:hAnsiTheme="majorHAnsi"/>
          <w:bCs/>
          <w:color w:val="auto"/>
          <w:sz w:val="20"/>
          <w:szCs w:val="20"/>
          <w:lang w:val="es-ES"/>
        </w:rPr>
        <w:t>“</w:t>
      </w:r>
      <w:r w:rsidRPr="00304D78">
        <w:rPr>
          <w:rFonts w:asciiTheme="majorHAnsi" w:hAnsiTheme="majorHAnsi"/>
          <w:bCs/>
          <w:sz w:val="20"/>
          <w:szCs w:val="20"/>
          <w:lang w:val="es-ES"/>
        </w:rPr>
        <w:t xml:space="preserve">sesgo </w:t>
      </w:r>
      <w:r w:rsidRPr="00304D78">
        <w:rPr>
          <w:rFonts w:asciiTheme="majorHAnsi" w:hAnsiTheme="majorHAnsi"/>
          <w:bCs/>
          <w:color w:val="auto"/>
          <w:sz w:val="20"/>
          <w:szCs w:val="20"/>
          <w:lang w:val="es-ES"/>
        </w:rPr>
        <w:t>racial”</w:t>
      </w:r>
      <w:r w:rsidRPr="00304D78">
        <w:rPr>
          <w:rStyle w:val="FootnoteReference"/>
          <w:rFonts w:asciiTheme="majorHAnsi" w:hAnsiTheme="majorHAnsi"/>
          <w:bCs/>
          <w:color w:val="auto"/>
          <w:sz w:val="20"/>
          <w:szCs w:val="20"/>
          <w:lang w:val="es-ES"/>
        </w:rPr>
        <w:footnoteReference w:id="49"/>
      </w:r>
      <w:r w:rsidRPr="00304D78">
        <w:rPr>
          <w:rFonts w:asciiTheme="majorHAnsi" w:hAnsiTheme="majorHAnsi"/>
          <w:bCs/>
          <w:sz w:val="20"/>
          <w:szCs w:val="20"/>
          <w:lang w:val="es-ES"/>
        </w:rPr>
        <w:t>. Durante un receso en el juicio se encontró una servilleta de uno de los miembros del jurado donde decía “Cuelguen al negro</w:t>
      </w:r>
      <w:r w:rsidRPr="00304D78">
        <w:rPr>
          <w:rFonts w:asciiTheme="majorHAnsi" w:hAnsiTheme="majorHAnsi"/>
          <w:bCs/>
          <w:color w:val="auto"/>
          <w:sz w:val="20"/>
          <w:szCs w:val="20"/>
          <w:lang w:val="es-ES"/>
        </w:rPr>
        <w:t>”</w:t>
      </w:r>
      <w:r w:rsidRPr="00304D78">
        <w:rPr>
          <w:rFonts w:asciiTheme="majorHAnsi" w:hAnsiTheme="majorHAnsi"/>
          <w:bCs/>
          <w:sz w:val="20"/>
          <w:szCs w:val="20"/>
          <w:lang w:val="es-ES"/>
        </w:rPr>
        <w:t xml:space="preserve">, pero el juez de primera instancia denegó una petición presentada por el </w:t>
      </w:r>
      <w:r w:rsidRPr="00304D78">
        <w:rPr>
          <w:rFonts w:asciiTheme="majorHAnsi" w:hAnsiTheme="majorHAnsi"/>
          <w:bCs/>
          <w:color w:val="auto"/>
          <w:sz w:val="20"/>
          <w:szCs w:val="20"/>
          <w:lang w:val="es-ES"/>
        </w:rPr>
        <w:t xml:space="preserve">abogado defensor </w:t>
      </w:r>
      <w:r w:rsidRPr="00304D78">
        <w:rPr>
          <w:rFonts w:asciiTheme="majorHAnsi" w:hAnsiTheme="majorHAnsi"/>
          <w:bCs/>
          <w:sz w:val="20"/>
          <w:szCs w:val="20"/>
          <w:lang w:val="es-ES"/>
        </w:rPr>
        <w:t>para que se declarara la nulidad del juicio y se interrogara a los miembros del jurado acerca de la nota</w:t>
      </w:r>
      <w:r w:rsidRPr="00304D78">
        <w:rPr>
          <w:rStyle w:val="FootnoteReference"/>
          <w:rFonts w:asciiTheme="majorHAnsi" w:hAnsiTheme="majorHAnsi"/>
          <w:bCs/>
          <w:color w:val="auto"/>
          <w:sz w:val="20"/>
          <w:szCs w:val="20"/>
          <w:lang w:val="es-ES"/>
        </w:rPr>
        <w:footnoteReference w:id="50"/>
      </w:r>
      <w:r w:rsidRPr="00304D78">
        <w:rPr>
          <w:rFonts w:asciiTheme="majorHAnsi" w:hAnsiTheme="majorHAnsi"/>
          <w:bCs/>
          <w:sz w:val="20"/>
          <w:szCs w:val="20"/>
          <w:lang w:val="es-ES"/>
        </w:rPr>
        <w:t>.</w:t>
      </w:r>
      <w:r w:rsidRPr="00304D78">
        <w:rPr>
          <w:rFonts w:asciiTheme="majorHAnsi" w:hAnsiTheme="majorHAnsi"/>
          <w:bCs/>
          <w:color w:val="auto"/>
          <w:sz w:val="20"/>
          <w:szCs w:val="20"/>
          <w:lang w:val="es-ES"/>
        </w:rPr>
        <w:t xml:space="preserve"> La Comisión </w:t>
      </w:r>
      <w:r w:rsidRPr="00304D78">
        <w:rPr>
          <w:rFonts w:asciiTheme="majorHAnsi" w:hAnsiTheme="majorHAnsi"/>
          <w:bCs/>
          <w:sz w:val="20"/>
          <w:szCs w:val="20"/>
          <w:lang w:val="es-ES"/>
        </w:rPr>
        <w:t xml:space="preserve">dictaminó que </w:t>
      </w:r>
      <w:r w:rsidRPr="00304D78">
        <w:rPr>
          <w:rFonts w:asciiTheme="majorHAnsi" w:hAnsiTheme="majorHAnsi"/>
          <w:bCs/>
          <w:color w:val="auto"/>
          <w:sz w:val="20"/>
          <w:szCs w:val="20"/>
          <w:lang w:val="es-ES"/>
        </w:rPr>
        <w:t>“[l]</w:t>
      </w:r>
      <w:r w:rsidRPr="00304D78">
        <w:rPr>
          <w:rFonts w:asciiTheme="majorHAnsi" w:hAnsiTheme="majorHAnsi"/>
          <w:bCs/>
          <w:sz w:val="20"/>
          <w:szCs w:val="20"/>
          <w:lang w:val="es-ES"/>
        </w:rPr>
        <w:t>a norma internacional sobre ‘imparcialidad del juez y del miembro del jurado’ utiliza una prueba objetiva que se fundamenta en ‘la racionalidad y en la apariencia de imparcialidad’</w:t>
      </w:r>
      <w:r w:rsidRPr="00304D78">
        <w:rPr>
          <w:rFonts w:asciiTheme="majorHAnsi" w:hAnsiTheme="majorHAnsi"/>
          <w:bCs/>
          <w:color w:val="auto"/>
          <w:sz w:val="20"/>
          <w:szCs w:val="20"/>
          <w:lang w:val="es-ES"/>
        </w:rPr>
        <w:t>” y que una sospecha razonable de sesgo basta para descalificar a un miembro del jurado</w:t>
      </w:r>
      <w:r w:rsidRPr="00304D78">
        <w:rPr>
          <w:rStyle w:val="FootnoteReference"/>
          <w:rFonts w:asciiTheme="majorHAnsi" w:hAnsiTheme="majorHAnsi"/>
          <w:bCs/>
          <w:color w:val="auto"/>
          <w:sz w:val="20"/>
          <w:szCs w:val="20"/>
          <w:lang w:val="es-ES"/>
        </w:rPr>
        <w:footnoteReference w:id="51"/>
      </w:r>
      <w:r w:rsidRPr="00304D78">
        <w:rPr>
          <w:rFonts w:asciiTheme="majorHAnsi" w:hAnsiTheme="majorHAnsi"/>
          <w:bCs/>
          <w:color w:val="auto"/>
          <w:sz w:val="20"/>
          <w:szCs w:val="20"/>
          <w:lang w:val="es-ES"/>
        </w:rPr>
        <w:t>.</w:t>
      </w:r>
    </w:p>
    <w:p w14:paraId="1D7324ED" w14:textId="77777777" w:rsidR="00110F02" w:rsidRPr="00304D78" w:rsidRDefault="00110F02" w:rsidP="00110F02">
      <w:pPr>
        <w:pStyle w:val="ListParagraph"/>
        <w:rPr>
          <w:rFonts w:asciiTheme="majorHAnsi" w:hAnsiTheme="majorHAnsi"/>
          <w:bCs/>
          <w:sz w:val="20"/>
          <w:szCs w:val="20"/>
          <w:lang w:val="es-ES"/>
        </w:rPr>
      </w:pPr>
    </w:p>
    <w:p w14:paraId="655C6366" w14:textId="77777777" w:rsidR="00110F02" w:rsidRPr="00304D78" w:rsidRDefault="00110F02" w:rsidP="009133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sidRPr="00304D78">
        <w:rPr>
          <w:rFonts w:asciiTheme="majorHAnsi" w:hAnsiTheme="majorHAnsi"/>
          <w:bCs/>
          <w:sz w:val="20"/>
          <w:szCs w:val="20"/>
          <w:lang w:val="es-ES"/>
        </w:rPr>
        <w:t>En el caso de Kevin Cooper, decidido en 2015,</w:t>
      </w:r>
      <w:r w:rsidRPr="00304D78">
        <w:rPr>
          <w:rFonts w:asciiTheme="majorHAnsi" w:hAnsiTheme="majorHAnsi"/>
          <w:bCs/>
          <w:color w:val="auto"/>
          <w:sz w:val="20"/>
          <w:szCs w:val="20"/>
          <w:lang w:val="es-ES"/>
        </w:rPr>
        <w:t xml:space="preserve"> el peticionario no cuestionó la composición del jurado, </w:t>
      </w:r>
      <w:r w:rsidRPr="00E348AF">
        <w:rPr>
          <w:rFonts w:asciiTheme="majorHAnsi" w:hAnsiTheme="majorHAnsi"/>
          <w:bCs/>
          <w:color w:val="auto"/>
          <w:sz w:val="20"/>
          <w:szCs w:val="20"/>
          <w:lang w:val="es-ES"/>
        </w:rPr>
        <w:t xml:space="preserve">la forma en que se seleccionaron </w:t>
      </w:r>
      <w:r>
        <w:rPr>
          <w:rFonts w:asciiTheme="majorHAnsi" w:hAnsiTheme="majorHAnsi"/>
          <w:bCs/>
          <w:color w:val="auto"/>
          <w:sz w:val="20"/>
          <w:szCs w:val="20"/>
          <w:lang w:val="es-ES"/>
        </w:rPr>
        <w:t xml:space="preserve">sus integrantes o </w:t>
      </w:r>
      <w:r w:rsidRPr="00304D78">
        <w:rPr>
          <w:rFonts w:asciiTheme="majorHAnsi" w:hAnsiTheme="majorHAnsi"/>
          <w:bCs/>
          <w:color w:val="auto"/>
          <w:sz w:val="20"/>
          <w:szCs w:val="20"/>
          <w:lang w:val="es-ES"/>
        </w:rPr>
        <w:t>su conducta</w:t>
      </w:r>
      <w:r w:rsidRPr="00304D78">
        <w:rPr>
          <w:rStyle w:val="FootnoteReference"/>
          <w:rFonts w:asciiTheme="majorHAnsi" w:hAnsiTheme="majorHAnsi"/>
          <w:bCs/>
          <w:color w:val="auto"/>
          <w:sz w:val="20"/>
          <w:szCs w:val="20"/>
          <w:lang w:val="es-ES"/>
        </w:rPr>
        <w:footnoteReference w:id="52"/>
      </w:r>
      <w:r w:rsidRPr="00304D78">
        <w:rPr>
          <w:rFonts w:asciiTheme="majorHAnsi" w:hAnsiTheme="majorHAnsi"/>
          <w:bCs/>
          <w:color w:val="auto"/>
          <w:sz w:val="20"/>
          <w:szCs w:val="20"/>
          <w:lang w:val="es-ES"/>
        </w:rPr>
        <w:t>. La cuestión era las fallas del debido proceso que dejaron sin resolver la posibilidad de discriminación racial. La Comisión observó la especial gravedad del hecho de que los propios estudios del Gobierno de Estados Unidos mostraban que la raza de los acusados y de las víctimas de delitos tenía una influencia innegable en las pautas de condena y pena y que esa conclusión no era reciente</w:t>
      </w:r>
      <w:r w:rsidRPr="00304D78">
        <w:rPr>
          <w:rStyle w:val="FootnoteReference"/>
          <w:rFonts w:asciiTheme="majorHAnsi" w:hAnsiTheme="majorHAnsi"/>
          <w:bCs/>
          <w:color w:val="auto"/>
          <w:sz w:val="20"/>
          <w:szCs w:val="20"/>
          <w:lang w:val="es-ES"/>
        </w:rPr>
        <w:footnoteReference w:id="53"/>
      </w:r>
      <w:r w:rsidRPr="00304D78">
        <w:rPr>
          <w:rFonts w:asciiTheme="majorHAnsi" w:hAnsiTheme="majorHAnsi"/>
          <w:bCs/>
          <w:color w:val="auto"/>
          <w:sz w:val="20"/>
          <w:szCs w:val="20"/>
          <w:lang w:val="es-ES"/>
        </w:rPr>
        <w:t>.</w:t>
      </w:r>
    </w:p>
    <w:p w14:paraId="245E2EF3" w14:textId="77777777" w:rsidR="00110F02" w:rsidRPr="00304D78" w:rsidRDefault="00110F02" w:rsidP="00110F02">
      <w:pPr>
        <w:pStyle w:val="ListParagraph"/>
        <w:rPr>
          <w:rFonts w:asciiTheme="majorHAnsi" w:hAnsiTheme="majorHAnsi"/>
          <w:bCs/>
          <w:color w:val="auto"/>
          <w:sz w:val="20"/>
          <w:szCs w:val="20"/>
          <w:lang w:val="es-ES"/>
        </w:rPr>
      </w:pPr>
    </w:p>
    <w:p w14:paraId="4C3BF386" w14:textId="77777777" w:rsidR="00110F02" w:rsidRPr="00304D78" w:rsidRDefault="00110F02" w:rsidP="009133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sidRPr="00304D78">
        <w:rPr>
          <w:rFonts w:asciiTheme="majorHAnsi" w:hAnsiTheme="majorHAnsi"/>
          <w:bCs/>
          <w:color w:val="auto"/>
          <w:sz w:val="20"/>
          <w:szCs w:val="20"/>
          <w:lang w:val="es-ES"/>
        </w:rPr>
        <w:t>En vista de la existencia aceptada de disparidades estadísticas debidas a la raza en todas las etapas del proceso de justicia penal y de que el caso de Cooper presentó las dos variables mencionadas en relación con dichas disparidades (acusado afroestadounidense y víctimas blancas), la Comisión consideró lo siguiente</w:t>
      </w:r>
      <w:r w:rsidRPr="00304D78">
        <w:rPr>
          <w:rStyle w:val="FootnoteReference"/>
          <w:rFonts w:asciiTheme="majorHAnsi" w:hAnsiTheme="majorHAnsi"/>
          <w:bCs/>
          <w:color w:val="auto"/>
          <w:sz w:val="20"/>
          <w:szCs w:val="20"/>
          <w:lang w:val="es-ES"/>
        </w:rPr>
        <w:footnoteReference w:id="54"/>
      </w:r>
      <w:r w:rsidRPr="00304D78">
        <w:rPr>
          <w:rFonts w:asciiTheme="majorHAnsi" w:hAnsiTheme="majorHAnsi"/>
          <w:bCs/>
          <w:color w:val="auto"/>
          <w:sz w:val="20"/>
          <w:szCs w:val="20"/>
          <w:lang w:val="es-ES"/>
        </w:rPr>
        <w:t>:</w:t>
      </w:r>
    </w:p>
    <w:p w14:paraId="32FA2DF4"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rFonts w:asciiTheme="majorHAnsi" w:hAnsiTheme="majorHAnsi"/>
          <w:bCs/>
          <w:color w:val="auto"/>
          <w:sz w:val="20"/>
          <w:szCs w:val="20"/>
          <w:lang w:val="es-ES"/>
        </w:rPr>
      </w:pPr>
    </w:p>
    <w:p w14:paraId="42C1AE0D"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bCs/>
          <w:color w:val="auto"/>
          <w:sz w:val="18"/>
          <w:szCs w:val="18"/>
          <w:lang w:val="es-ES"/>
        </w:rPr>
      </w:pPr>
      <w:r w:rsidRPr="00304D78">
        <w:rPr>
          <w:rFonts w:asciiTheme="majorHAnsi" w:hAnsiTheme="majorHAnsi"/>
          <w:bCs/>
          <w:color w:val="auto"/>
          <w:sz w:val="18"/>
          <w:szCs w:val="18"/>
          <w:lang w:val="es-ES"/>
        </w:rPr>
        <w:t xml:space="preserve">[…] los tribunales tenían conocimiento de este contexto y tenían la obligación de realizar una investigación completa e imparcial de la posibilidad de que la prueba hubiera sido alterada de manera fraudulenta y de que no se hubieran investigado plenamente otras hipótesis, como la de que los perpetradores eran blancos. </w:t>
      </w:r>
      <w:r>
        <w:rPr>
          <w:rFonts w:asciiTheme="majorHAnsi" w:hAnsiTheme="majorHAnsi"/>
          <w:bCs/>
          <w:color w:val="auto"/>
          <w:sz w:val="18"/>
          <w:szCs w:val="18"/>
          <w:lang w:val="es-ES"/>
        </w:rPr>
        <w:t>L</w:t>
      </w:r>
      <w:r w:rsidRPr="00304D78">
        <w:rPr>
          <w:rFonts w:asciiTheme="majorHAnsi" w:hAnsiTheme="majorHAnsi"/>
          <w:bCs/>
          <w:color w:val="auto"/>
          <w:sz w:val="18"/>
          <w:szCs w:val="18"/>
          <w:lang w:val="es-ES"/>
        </w:rPr>
        <w:t>a Comisión</w:t>
      </w:r>
      <w:r>
        <w:rPr>
          <w:rFonts w:asciiTheme="majorHAnsi" w:hAnsiTheme="majorHAnsi"/>
          <w:bCs/>
          <w:color w:val="auto"/>
          <w:sz w:val="18"/>
          <w:szCs w:val="18"/>
          <w:lang w:val="es-ES"/>
        </w:rPr>
        <w:t>, aunque</w:t>
      </w:r>
      <w:r w:rsidRPr="00304D78">
        <w:rPr>
          <w:rFonts w:asciiTheme="majorHAnsi" w:hAnsiTheme="majorHAnsi"/>
          <w:bCs/>
          <w:color w:val="auto"/>
          <w:sz w:val="18"/>
          <w:szCs w:val="18"/>
          <w:lang w:val="es-ES"/>
        </w:rPr>
        <w:t xml:space="preserve"> no cuenta con los elementos necesarios para demostrar que la discriminación racial de hecho condujo a una investigación sesgada, </w:t>
      </w:r>
      <w:r>
        <w:rPr>
          <w:rFonts w:asciiTheme="majorHAnsi" w:hAnsiTheme="majorHAnsi"/>
          <w:bCs/>
          <w:color w:val="auto"/>
          <w:sz w:val="18"/>
          <w:szCs w:val="18"/>
          <w:lang w:val="es-ES"/>
        </w:rPr>
        <w:t>tiene</w:t>
      </w:r>
      <w:r w:rsidRPr="00304D78">
        <w:rPr>
          <w:rFonts w:asciiTheme="majorHAnsi" w:hAnsiTheme="majorHAnsi"/>
          <w:bCs/>
          <w:color w:val="auto"/>
          <w:sz w:val="18"/>
          <w:szCs w:val="18"/>
          <w:lang w:val="es-ES"/>
        </w:rPr>
        <w:t xml:space="preserve"> elementos suficientes para determinar que esta posibilidad no se investigó plenamente. La Comisión debe dejar en claro que las cuestiones del debido proceso y la posible discriminación racial no pueden considerarse de manera aislada: fueron precisamente las deficiencias del debido proceso lo que dejó sin resolver la posibilidad de la existencia de discriminación racial. Sobre esta base, Estados Unidos es responsable de no haber respondido plenamente a las alegaciones, la información y las pruebas relativas a la posible discriminación racial presentadas a lo largo del proceso, de acuerdo con las obligaciones asumidas en virtud del artículo II de la Declaración Americana.</w:t>
      </w:r>
    </w:p>
    <w:p w14:paraId="1B3EFC58"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bCs/>
          <w:color w:val="auto"/>
          <w:sz w:val="18"/>
          <w:szCs w:val="18"/>
          <w:lang w:val="es-ES"/>
        </w:rPr>
      </w:pPr>
    </w:p>
    <w:p w14:paraId="5A638AB8" w14:textId="77777777" w:rsidR="00110F02" w:rsidRPr="00304D78" w:rsidRDefault="00110F02" w:rsidP="009133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sidRPr="00304D78">
        <w:rPr>
          <w:rFonts w:asciiTheme="majorHAnsi" w:hAnsiTheme="majorHAnsi"/>
          <w:bCs/>
          <w:color w:val="auto"/>
          <w:sz w:val="20"/>
          <w:szCs w:val="20"/>
          <w:lang w:val="es-ES"/>
        </w:rPr>
        <w:lastRenderedPageBreak/>
        <w:t xml:space="preserve">En su informe sobre </w:t>
      </w:r>
      <w:r w:rsidRPr="00304D78">
        <w:rPr>
          <w:rFonts w:asciiTheme="majorHAnsi" w:hAnsiTheme="majorHAnsi"/>
          <w:bCs/>
          <w:i/>
          <w:color w:val="auto"/>
          <w:sz w:val="20"/>
          <w:szCs w:val="20"/>
          <w:lang w:val="es-ES"/>
        </w:rPr>
        <w:t>La situación de las personas afrodescendientes en las Américas</w:t>
      </w:r>
      <w:r w:rsidRPr="00304D78">
        <w:rPr>
          <w:rFonts w:asciiTheme="majorHAnsi" w:hAnsiTheme="majorHAnsi"/>
          <w:bCs/>
          <w:color w:val="auto"/>
          <w:sz w:val="20"/>
          <w:szCs w:val="20"/>
          <w:lang w:val="es-ES"/>
        </w:rPr>
        <w:t>, la CIDH, basándose en la Observación General No. XXXI del Comité para la Eliminación de la Discriminación Racial (“CERD”)</w:t>
      </w:r>
      <w:r w:rsidRPr="00304D78">
        <w:rPr>
          <w:rStyle w:val="FootnoteReference"/>
          <w:rFonts w:asciiTheme="majorHAnsi" w:hAnsiTheme="majorHAnsi"/>
          <w:bCs/>
          <w:color w:val="auto"/>
          <w:sz w:val="20"/>
          <w:szCs w:val="20"/>
          <w:lang w:val="es-ES"/>
        </w:rPr>
        <w:footnoteReference w:id="55"/>
      </w:r>
      <w:r w:rsidRPr="00304D78">
        <w:rPr>
          <w:rFonts w:asciiTheme="majorHAnsi" w:hAnsiTheme="majorHAnsi"/>
          <w:bCs/>
          <w:color w:val="auto"/>
          <w:sz w:val="20"/>
          <w:szCs w:val="20"/>
          <w:lang w:val="es-ES"/>
        </w:rPr>
        <w:t>, indicó que “los delitos en los que se encuentran involucrados miembros de grupos marginalizados son más severamente castigados y que cualquiera sea el sistema legal y procesal vigente en los países, las desigualdades estructurales, estereotipos y prejuicios se reflejan en el sistema penal”</w:t>
      </w:r>
      <w:r w:rsidRPr="00304D78">
        <w:rPr>
          <w:rStyle w:val="FootnoteReference"/>
          <w:rFonts w:asciiTheme="majorHAnsi" w:hAnsiTheme="majorHAnsi"/>
          <w:bCs/>
          <w:color w:val="auto"/>
          <w:sz w:val="20"/>
          <w:szCs w:val="20"/>
          <w:lang w:val="es-ES"/>
        </w:rPr>
        <w:footnoteReference w:id="56"/>
      </w:r>
      <w:r w:rsidRPr="00304D78">
        <w:rPr>
          <w:rFonts w:asciiTheme="majorHAnsi" w:hAnsiTheme="majorHAnsi"/>
          <w:bCs/>
          <w:color w:val="auto"/>
          <w:sz w:val="20"/>
          <w:szCs w:val="20"/>
          <w:lang w:val="es-ES"/>
        </w:rPr>
        <w:t>. La Comisión observó asimismo “el impacto del racismo en el sistema de justicia penal en la región y reitera que la utilización de la raza y el color de piel como fundamentos para establecer y graduar una condena penal se encuentran prohibidos por los instrumentos del sistema interamericano de protección de derechos humanos”</w:t>
      </w:r>
      <w:r w:rsidRPr="00304D78">
        <w:rPr>
          <w:rStyle w:val="FootnoteReference"/>
          <w:rFonts w:asciiTheme="majorHAnsi" w:hAnsiTheme="majorHAnsi"/>
          <w:bCs/>
          <w:color w:val="auto"/>
          <w:sz w:val="20"/>
          <w:szCs w:val="20"/>
          <w:lang w:val="es-ES"/>
        </w:rPr>
        <w:footnoteReference w:id="57"/>
      </w:r>
      <w:r w:rsidRPr="00304D78">
        <w:rPr>
          <w:rFonts w:asciiTheme="majorHAnsi" w:hAnsiTheme="majorHAnsi"/>
          <w:bCs/>
          <w:color w:val="auto"/>
          <w:sz w:val="20"/>
          <w:szCs w:val="20"/>
          <w:lang w:val="es-ES"/>
        </w:rPr>
        <w:t>.</w:t>
      </w:r>
    </w:p>
    <w:p w14:paraId="37CD8B03"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rFonts w:asciiTheme="majorHAnsi" w:hAnsiTheme="majorHAnsi"/>
          <w:bCs/>
          <w:color w:val="auto"/>
          <w:sz w:val="20"/>
          <w:szCs w:val="20"/>
          <w:lang w:val="es-ES"/>
        </w:rPr>
      </w:pPr>
    </w:p>
    <w:p w14:paraId="635AC795" w14:textId="77777777" w:rsidR="002B4A1F" w:rsidRPr="002B4A1F" w:rsidRDefault="00110F02" w:rsidP="002B4A1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sidRPr="00304D78">
        <w:rPr>
          <w:rFonts w:asciiTheme="majorHAnsi" w:hAnsiTheme="majorHAnsi"/>
          <w:bCs/>
          <w:color w:val="auto"/>
          <w:sz w:val="20"/>
          <w:szCs w:val="20"/>
          <w:lang w:val="es-ES"/>
        </w:rPr>
        <w:t xml:space="preserve">Posteriormente, en su informe </w:t>
      </w:r>
      <w:r w:rsidRPr="00304D78">
        <w:rPr>
          <w:rFonts w:asciiTheme="majorHAnsi" w:hAnsiTheme="majorHAnsi"/>
          <w:bCs/>
          <w:i/>
          <w:color w:val="auto"/>
          <w:sz w:val="20"/>
          <w:szCs w:val="20"/>
          <w:lang w:val="es-ES"/>
        </w:rPr>
        <w:t>Violencia policial contra afrodescendientes en Estados Unidos</w:t>
      </w:r>
      <w:r w:rsidRPr="00304D78">
        <w:rPr>
          <w:rFonts w:asciiTheme="majorHAnsi" w:hAnsiTheme="majorHAnsi"/>
          <w:bCs/>
          <w:color w:val="auto"/>
          <w:sz w:val="20"/>
          <w:szCs w:val="20"/>
          <w:lang w:val="es-ES"/>
        </w:rPr>
        <w:t>, la Comisión se hizo eco de “las preocupaciones expresadas por CERD con relación a que los afroamericanos continúan siendo detenidos de manera desproporcionada, encarcelados y sometidos a condenas más severas, incluida la cadena perpetua sin posibilidad de libertad condicional y la pena de muerte, y esta situación se ve agravada por el ejercicio del poder discrecional de los fiscales, la aplicación obligatoria de las políticas de sentenciar delitos menores relacionados con el uso de drogas y las leyes de reincidencia”</w:t>
      </w:r>
      <w:r w:rsidRPr="00304D78">
        <w:rPr>
          <w:rStyle w:val="FootnoteReference"/>
          <w:rFonts w:asciiTheme="majorHAnsi" w:hAnsiTheme="majorHAnsi"/>
          <w:bCs/>
          <w:color w:val="auto"/>
          <w:sz w:val="20"/>
          <w:szCs w:val="20"/>
          <w:lang w:val="es-ES"/>
        </w:rPr>
        <w:footnoteReference w:id="58"/>
      </w:r>
      <w:r w:rsidRPr="00304D78">
        <w:rPr>
          <w:rFonts w:asciiTheme="majorHAnsi" w:hAnsiTheme="majorHAnsi"/>
          <w:bCs/>
          <w:color w:val="auto"/>
          <w:sz w:val="20"/>
          <w:szCs w:val="20"/>
          <w:lang w:val="es-ES"/>
        </w:rPr>
        <w:t>. La CIDH observó que, “si bien el marco jurídico de los Estados Unidos prohíbe efectivamente que la ley sea evidentemente discriminatoria, no prohíbe en gran medida el impacto desigual de las políticas aparentemente neutrales, salvo en circunstancias legales muy limitadas. En general, las medidas para prevenir, proteger y remediar los efectos de la discriminación indirecta sólo existen cuando así lo dispone la ley, incluyendo los asuntos relacionados con empleo, vivienda y discriminación por edad”</w:t>
      </w:r>
      <w:r w:rsidRPr="00304D78">
        <w:rPr>
          <w:rStyle w:val="FootnoteReference"/>
          <w:rFonts w:asciiTheme="majorHAnsi" w:hAnsiTheme="majorHAnsi"/>
          <w:bCs/>
          <w:color w:val="auto"/>
          <w:sz w:val="20"/>
          <w:szCs w:val="20"/>
          <w:lang w:val="es-ES"/>
        </w:rPr>
        <w:footnoteReference w:id="59"/>
      </w:r>
      <w:r w:rsidRPr="00304D78">
        <w:rPr>
          <w:rFonts w:asciiTheme="majorHAnsi" w:hAnsiTheme="majorHAnsi"/>
          <w:bCs/>
          <w:color w:val="auto"/>
          <w:sz w:val="20"/>
          <w:szCs w:val="20"/>
          <w:lang w:val="es-ES"/>
        </w:rPr>
        <w:t>.</w:t>
      </w:r>
      <w:r w:rsidR="002D1D6A">
        <w:rPr>
          <w:rFonts w:asciiTheme="majorHAnsi" w:hAnsiTheme="majorHAnsi"/>
          <w:bCs/>
          <w:color w:val="auto"/>
          <w:sz w:val="20"/>
          <w:szCs w:val="20"/>
          <w:lang w:val="es-ES"/>
        </w:rPr>
        <w:t xml:space="preserve"> Al respecto</w:t>
      </w:r>
      <w:r w:rsidR="002D1D6A" w:rsidRPr="002D1D6A">
        <w:rPr>
          <w:rFonts w:asciiTheme="majorHAnsi" w:hAnsiTheme="majorHAnsi"/>
          <w:bCs/>
          <w:color w:val="auto"/>
          <w:sz w:val="20"/>
          <w:szCs w:val="20"/>
          <w:lang w:val="es-ES"/>
        </w:rPr>
        <w:t>, la CIDH enfatizó la urgencia de adecuar la legislación nacional de Estados Unidos "a los estándares internacionales para prevenir y sancionar eficazmente los casos de impacto desigual"</w:t>
      </w:r>
      <w:r w:rsidR="002D1D6A">
        <w:rPr>
          <w:rStyle w:val="FootnoteReference"/>
          <w:rFonts w:asciiTheme="majorHAnsi" w:hAnsiTheme="majorHAnsi"/>
          <w:bCs/>
          <w:color w:val="auto"/>
          <w:sz w:val="20"/>
          <w:szCs w:val="20"/>
          <w:lang w:val="es-ES"/>
        </w:rPr>
        <w:footnoteReference w:id="60"/>
      </w:r>
      <w:r w:rsidR="002D1D6A" w:rsidRPr="002D1D6A">
        <w:rPr>
          <w:rFonts w:asciiTheme="majorHAnsi" w:hAnsiTheme="majorHAnsi"/>
          <w:bCs/>
          <w:color w:val="auto"/>
          <w:sz w:val="20"/>
          <w:szCs w:val="20"/>
          <w:lang w:val="es-ES"/>
        </w:rPr>
        <w:t>.</w:t>
      </w:r>
      <w:r w:rsidR="002B4A1F">
        <w:rPr>
          <w:rFonts w:asciiTheme="majorHAnsi" w:hAnsiTheme="majorHAnsi"/>
          <w:bCs/>
          <w:color w:val="auto"/>
          <w:sz w:val="20"/>
          <w:szCs w:val="20"/>
          <w:lang w:val="es-ES"/>
        </w:rPr>
        <w:t xml:space="preserve"> </w:t>
      </w:r>
      <w:r w:rsidR="002B4A1F" w:rsidRPr="002B4A1F">
        <w:rPr>
          <w:rFonts w:asciiTheme="majorHAnsi" w:hAnsiTheme="majorHAnsi"/>
          <w:bCs/>
          <w:sz w:val="20"/>
          <w:szCs w:val="20"/>
          <w:lang w:val="es-ES"/>
        </w:rPr>
        <w:t>La aplicación de las disposiciones de la Declaración Americana incluye la obligación de organizar toda la estructura administrativa y jurídica del Estado para permitir el pleno ejercicio de los derechos humanos. Tales acciones pueden incluir reformas y reparaciones destinadas a transformar la situación existente, así como la adopción de medidas especiales y acciones afirmativas destinadas a promover efectivamente esos derechos.</w:t>
      </w:r>
      <w:r w:rsidR="002B4A1F">
        <w:rPr>
          <w:rStyle w:val="FootnoteReference"/>
          <w:rFonts w:asciiTheme="majorHAnsi" w:hAnsiTheme="majorHAnsi"/>
          <w:bCs/>
          <w:sz w:val="20"/>
          <w:szCs w:val="20"/>
          <w:lang w:val="es-ES"/>
        </w:rPr>
        <w:footnoteReference w:id="61"/>
      </w:r>
    </w:p>
    <w:p w14:paraId="2CA782A3" w14:textId="77777777" w:rsidR="00110F02" w:rsidRPr="00304D78" w:rsidRDefault="00110F02" w:rsidP="00110F02">
      <w:pPr>
        <w:pStyle w:val="ListParagraph"/>
        <w:rPr>
          <w:rFonts w:asciiTheme="majorHAnsi" w:hAnsiTheme="majorHAnsi"/>
          <w:bCs/>
          <w:color w:val="auto"/>
          <w:sz w:val="20"/>
          <w:szCs w:val="20"/>
          <w:lang w:val="es-ES"/>
        </w:rPr>
      </w:pPr>
    </w:p>
    <w:p w14:paraId="314B6315" w14:textId="77777777" w:rsidR="002D257A" w:rsidRDefault="00110F02" w:rsidP="002D257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sidRPr="00304D78">
        <w:rPr>
          <w:rFonts w:asciiTheme="majorHAnsi" w:hAnsiTheme="majorHAnsi"/>
          <w:bCs/>
          <w:color w:val="auto"/>
          <w:sz w:val="20"/>
          <w:szCs w:val="20"/>
          <w:lang w:val="es-ES"/>
        </w:rPr>
        <w:t xml:space="preserve">La Comisión también expresó profunda preocupación por el hecho de que el derecho estadounidense no prohíbe el impacto desigual en el sistema de justicia penal. En ese sentido, consideró que la decisión de la Corte Suprema de Estados Unidos en el caso </w:t>
      </w:r>
      <w:r w:rsidRPr="00304D78">
        <w:rPr>
          <w:rFonts w:asciiTheme="majorHAnsi" w:hAnsiTheme="majorHAnsi"/>
          <w:bCs/>
          <w:i/>
          <w:color w:val="auto"/>
          <w:sz w:val="20"/>
          <w:szCs w:val="20"/>
          <w:lang w:val="es-ES"/>
        </w:rPr>
        <w:t>McCleskey c. Kemp</w:t>
      </w:r>
      <w:r w:rsidRPr="00304D78">
        <w:rPr>
          <w:rFonts w:asciiTheme="majorHAnsi" w:hAnsiTheme="majorHAnsi"/>
          <w:bCs/>
          <w:color w:val="auto"/>
          <w:sz w:val="20"/>
          <w:szCs w:val="20"/>
          <w:lang w:val="es-ES"/>
        </w:rPr>
        <w:t xml:space="preserve"> era ilustrativa</w:t>
      </w:r>
      <w:r w:rsidRPr="00304D78">
        <w:rPr>
          <w:rStyle w:val="FootnoteReference"/>
          <w:rFonts w:asciiTheme="majorHAnsi" w:hAnsiTheme="majorHAnsi"/>
          <w:bCs/>
          <w:color w:val="auto"/>
          <w:sz w:val="20"/>
          <w:szCs w:val="20"/>
          <w:lang w:val="es-ES"/>
        </w:rPr>
        <w:footnoteReference w:id="62"/>
      </w:r>
      <w:r w:rsidRPr="00304D78">
        <w:rPr>
          <w:rFonts w:asciiTheme="majorHAnsi" w:hAnsiTheme="majorHAnsi"/>
          <w:bCs/>
          <w:color w:val="auto"/>
          <w:sz w:val="20"/>
          <w:szCs w:val="20"/>
          <w:lang w:val="es-ES"/>
        </w:rPr>
        <w:t>:</w:t>
      </w:r>
    </w:p>
    <w:p w14:paraId="3424FB7D" w14:textId="77777777" w:rsidR="002D257A" w:rsidRPr="002D257A" w:rsidRDefault="002D257A" w:rsidP="002D257A">
      <w:pPr>
        <w:pStyle w:val="ListParagraph"/>
        <w:rPr>
          <w:rFonts w:asciiTheme="majorHAnsi" w:hAnsiTheme="majorHAnsi"/>
          <w:bCs/>
          <w:sz w:val="20"/>
          <w:szCs w:val="20"/>
          <w:lang w:val="es-ES"/>
        </w:rPr>
      </w:pPr>
    </w:p>
    <w:p w14:paraId="09D0C29B"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bCs/>
          <w:color w:val="auto"/>
          <w:sz w:val="18"/>
          <w:szCs w:val="18"/>
          <w:lang w:val="es-ES"/>
        </w:rPr>
      </w:pPr>
      <w:r w:rsidRPr="00304D78">
        <w:rPr>
          <w:rFonts w:asciiTheme="majorHAnsi" w:hAnsiTheme="majorHAnsi"/>
          <w:bCs/>
          <w:color w:val="auto"/>
          <w:sz w:val="18"/>
          <w:szCs w:val="18"/>
          <w:lang w:val="es-ES"/>
        </w:rPr>
        <w:t>En McCleskey, la Corte Suprema sostuvo que el “impacto racialmente desproporcionado” de la aplicación de la pena de muerte en Georgia, como lo demuestra un estudio científico exhaustivo, no era suficiente para anular una sentencia de muerte sin probar adicionalmente un “propósito discriminatorio”, es decir, evidencia de un sesgo consciente e intencional. Esta decisión, que además involucra el derecho fundamental a la vida sujeto a la imposición de la pena de muerte, contradice directamente el estándar internacional, que no exige que la discriminación sea deliberada, consciente o intencional para violar los derechos humanos. A la luz del estado de la ley federal sobre este tema, la Comisión señala como un enfoque positivo el ejemplo de la Ley de Justicia Racial de Carolina del Norte (presentada en 2011 y posteriormente derogada en 2013), que permitió a los principales acusados impugnar sus condenas por motivos de prejuicio racial. La Comisión recuerda que la obligación de garantizar la igualdad y la no discriminación, como ocurre con todas las normas de derechos humanos, se aplica a todos los niveles del gobierno— federal, estatal y local.</w:t>
      </w:r>
    </w:p>
    <w:p w14:paraId="28C65FC5" w14:textId="77777777" w:rsidR="002D257A" w:rsidRDefault="002D257A" w:rsidP="002D25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60"/>
        <w:jc w:val="both"/>
        <w:rPr>
          <w:rFonts w:asciiTheme="majorHAnsi" w:hAnsiTheme="majorHAnsi"/>
          <w:bCs/>
          <w:sz w:val="18"/>
          <w:szCs w:val="18"/>
          <w:lang w:val="es-ES"/>
        </w:rPr>
      </w:pPr>
    </w:p>
    <w:p w14:paraId="5D54C987" w14:textId="77777777" w:rsidR="002D257A" w:rsidRPr="002D257A" w:rsidRDefault="002D257A" w:rsidP="002D257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sidRPr="002D257A">
        <w:rPr>
          <w:rFonts w:asciiTheme="majorHAnsi" w:hAnsiTheme="majorHAnsi"/>
          <w:bCs/>
          <w:sz w:val="20"/>
          <w:szCs w:val="20"/>
          <w:lang w:val="es-ES"/>
        </w:rPr>
        <w:t xml:space="preserve">En una decisión reciente </w:t>
      </w:r>
      <w:r>
        <w:rPr>
          <w:rFonts w:asciiTheme="majorHAnsi" w:hAnsiTheme="majorHAnsi"/>
          <w:bCs/>
          <w:sz w:val="20"/>
          <w:szCs w:val="20"/>
          <w:lang w:val="es-ES"/>
        </w:rPr>
        <w:t>relativa a</w:t>
      </w:r>
      <w:r w:rsidRPr="002D257A">
        <w:rPr>
          <w:rFonts w:asciiTheme="majorHAnsi" w:hAnsiTheme="majorHAnsi"/>
          <w:bCs/>
          <w:sz w:val="20"/>
          <w:szCs w:val="20"/>
          <w:lang w:val="es-ES"/>
        </w:rPr>
        <w:t xml:space="preserve"> un caso de discriminación racial en la selección del jurado en un caso de pena de muerte, la Corte Suprema de Justicia de Estados Unidos señaló que "en el mundo real de los juicios penales contra acusados </w:t>
      </w:r>
      <w:r>
        <w:rPr>
          <w:rFonts w:asciiTheme="majorHAnsi" w:hAnsiTheme="majorHAnsi"/>
          <w:bCs/>
          <w:sz w:val="20"/>
          <w:szCs w:val="20"/>
          <w:lang w:val="es-ES"/>
        </w:rPr>
        <w:t>afrodescendientes</w:t>
      </w:r>
      <w:r w:rsidRPr="002D257A">
        <w:rPr>
          <w:rFonts w:asciiTheme="majorHAnsi" w:hAnsiTheme="majorHAnsi"/>
          <w:bCs/>
          <w:sz w:val="20"/>
          <w:szCs w:val="20"/>
          <w:lang w:val="es-ES"/>
        </w:rPr>
        <w:t xml:space="preserve">, tanto la historia como las matemáticas nos dicen que un sistema de perentorias basadas en la raza no trata a los acusados </w:t>
      </w:r>
      <w:r>
        <w:rPr>
          <w:rFonts w:asciiTheme="majorHAnsi" w:hAnsiTheme="majorHAnsi"/>
          <w:bCs/>
          <w:sz w:val="20"/>
          <w:szCs w:val="20"/>
          <w:lang w:val="es-ES"/>
        </w:rPr>
        <w:t>afrodescendientes</w:t>
      </w:r>
      <w:r w:rsidRPr="002D257A">
        <w:rPr>
          <w:rFonts w:asciiTheme="majorHAnsi" w:hAnsiTheme="majorHAnsi"/>
          <w:bCs/>
          <w:sz w:val="20"/>
          <w:szCs w:val="20"/>
          <w:lang w:val="es-ES"/>
        </w:rPr>
        <w:t xml:space="preserve"> y a los </w:t>
      </w:r>
      <w:r>
        <w:rPr>
          <w:rFonts w:asciiTheme="majorHAnsi" w:hAnsiTheme="majorHAnsi"/>
          <w:bCs/>
          <w:sz w:val="20"/>
          <w:szCs w:val="20"/>
          <w:lang w:val="es-ES"/>
        </w:rPr>
        <w:t>potenciales</w:t>
      </w:r>
      <w:r w:rsidRPr="002D257A">
        <w:rPr>
          <w:rFonts w:asciiTheme="majorHAnsi" w:hAnsiTheme="majorHAnsi"/>
          <w:bCs/>
          <w:sz w:val="20"/>
          <w:szCs w:val="20"/>
          <w:lang w:val="es-ES"/>
        </w:rPr>
        <w:t xml:space="preserve"> jurados </w:t>
      </w:r>
      <w:r>
        <w:rPr>
          <w:rFonts w:asciiTheme="majorHAnsi" w:hAnsiTheme="majorHAnsi"/>
          <w:bCs/>
          <w:sz w:val="20"/>
          <w:szCs w:val="20"/>
          <w:lang w:val="es-ES"/>
        </w:rPr>
        <w:t>afrodescendientes</w:t>
      </w:r>
      <w:r w:rsidRPr="002D257A">
        <w:rPr>
          <w:rFonts w:asciiTheme="majorHAnsi" w:hAnsiTheme="majorHAnsi"/>
          <w:bCs/>
          <w:sz w:val="20"/>
          <w:szCs w:val="20"/>
          <w:lang w:val="es-ES"/>
        </w:rPr>
        <w:t xml:space="preserve"> </w:t>
      </w:r>
      <w:r>
        <w:rPr>
          <w:rFonts w:asciiTheme="majorHAnsi" w:hAnsiTheme="majorHAnsi"/>
          <w:bCs/>
          <w:sz w:val="20"/>
          <w:szCs w:val="20"/>
          <w:lang w:val="es-ES"/>
        </w:rPr>
        <w:t xml:space="preserve">de igual forma que a </w:t>
      </w:r>
      <w:r w:rsidRPr="002D257A">
        <w:rPr>
          <w:rFonts w:asciiTheme="majorHAnsi" w:hAnsiTheme="majorHAnsi"/>
          <w:bCs/>
          <w:sz w:val="20"/>
          <w:szCs w:val="20"/>
          <w:lang w:val="es-ES"/>
        </w:rPr>
        <w:t xml:space="preserve">los fiscales y los </w:t>
      </w:r>
      <w:r>
        <w:rPr>
          <w:rFonts w:asciiTheme="majorHAnsi" w:hAnsiTheme="majorHAnsi"/>
          <w:bCs/>
          <w:sz w:val="20"/>
          <w:szCs w:val="20"/>
          <w:lang w:val="es-ES"/>
        </w:rPr>
        <w:t>potenciales</w:t>
      </w:r>
      <w:r w:rsidRPr="002D257A">
        <w:rPr>
          <w:rFonts w:asciiTheme="majorHAnsi" w:hAnsiTheme="majorHAnsi"/>
          <w:bCs/>
          <w:sz w:val="20"/>
          <w:szCs w:val="20"/>
          <w:lang w:val="es-ES"/>
        </w:rPr>
        <w:t xml:space="preserve"> jurados blancos"</w:t>
      </w:r>
      <w:r w:rsidR="00093719">
        <w:rPr>
          <w:rStyle w:val="FootnoteReference"/>
          <w:rFonts w:asciiTheme="majorHAnsi" w:hAnsiTheme="majorHAnsi"/>
          <w:bCs/>
          <w:sz w:val="20"/>
          <w:szCs w:val="20"/>
          <w:lang w:val="es-ES"/>
        </w:rPr>
        <w:footnoteReference w:id="63"/>
      </w:r>
      <w:r w:rsidRPr="002D257A">
        <w:rPr>
          <w:rFonts w:asciiTheme="majorHAnsi" w:hAnsiTheme="majorHAnsi"/>
          <w:bCs/>
          <w:sz w:val="20"/>
          <w:szCs w:val="20"/>
          <w:lang w:val="es-ES"/>
        </w:rPr>
        <w:t xml:space="preserve">. Esta preocupante </w:t>
      </w:r>
      <w:r w:rsidRPr="002D257A">
        <w:rPr>
          <w:rFonts w:asciiTheme="majorHAnsi" w:hAnsiTheme="majorHAnsi"/>
          <w:bCs/>
          <w:sz w:val="20"/>
          <w:szCs w:val="20"/>
          <w:lang w:val="es-ES"/>
        </w:rPr>
        <w:lastRenderedPageBreak/>
        <w:t xml:space="preserve">conclusión de la más alta corte de los Estados Unidos coincide con los hallazgos de varios estudios. Un estudio realizado por la </w:t>
      </w:r>
      <w:r w:rsidR="00CB49AE" w:rsidRPr="00CB49AE">
        <w:rPr>
          <w:rFonts w:asciiTheme="majorHAnsi" w:hAnsiTheme="majorHAnsi"/>
          <w:bCs/>
          <w:i/>
          <w:iCs/>
          <w:sz w:val="20"/>
          <w:szCs w:val="20"/>
          <w:lang w:val="es-ES"/>
        </w:rPr>
        <w:t>Equal Justice Initiative</w:t>
      </w:r>
      <w:r w:rsidR="00CB49AE">
        <w:rPr>
          <w:rFonts w:asciiTheme="majorHAnsi" w:hAnsiTheme="majorHAnsi"/>
          <w:bCs/>
          <w:sz w:val="20"/>
          <w:szCs w:val="20"/>
          <w:lang w:val="es-ES"/>
        </w:rPr>
        <w:t xml:space="preserve"> </w:t>
      </w:r>
      <w:r w:rsidRPr="002D257A">
        <w:rPr>
          <w:rFonts w:asciiTheme="majorHAnsi" w:hAnsiTheme="majorHAnsi"/>
          <w:bCs/>
          <w:sz w:val="20"/>
          <w:szCs w:val="20"/>
          <w:lang w:val="es-ES"/>
        </w:rPr>
        <w:t>en 2010 examinó detenidamente los procedimientos de selección de jurados en ocho estados del sur de los Estados Unidos y descubrió pruebas estremecedoras de discriminación racial en la selección de jurados en todos los estados. Identificó condados donde los fiscales han excluido a casi el 80% de los afroamericanos que califica</w:t>
      </w:r>
      <w:r>
        <w:rPr>
          <w:rFonts w:asciiTheme="majorHAnsi" w:hAnsiTheme="majorHAnsi"/>
          <w:bCs/>
          <w:sz w:val="20"/>
          <w:szCs w:val="20"/>
          <w:lang w:val="es-ES"/>
        </w:rPr>
        <w:t>ba</w:t>
      </w:r>
      <w:r w:rsidRPr="002D257A">
        <w:rPr>
          <w:rFonts w:asciiTheme="majorHAnsi" w:hAnsiTheme="majorHAnsi"/>
          <w:bCs/>
          <w:sz w:val="20"/>
          <w:szCs w:val="20"/>
          <w:lang w:val="es-ES"/>
        </w:rPr>
        <w:t>n para servi</w:t>
      </w:r>
      <w:r>
        <w:rPr>
          <w:rFonts w:asciiTheme="majorHAnsi" w:hAnsiTheme="majorHAnsi"/>
          <w:bCs/>
          <w:sz w:val="20"/>
          <w:szCs w:val="20"/>
          <w:lang w:val="es-ES"/>
        </w:rPr>
        <w:t>r</w:t>
      </w:r>
      <w:r w:rsidRPr="002D257A">
        <w:rPr>
          <w:rFonts w:asciiTheme="majorHAnsi" w:hAnsiTheme="majorHAnsi"/>
          <w:bCs/>
          <w:sz w:val="20"/>
          <w:szCs w:val="20"/>
          <w:lang w:val="es-ES"/>
        </w:rPr>
        <w:t xml:space="preserve"> de jurado, así como condados de mayoría </w:t>
      </w:r>
      <w:r>
        <w:rPr>
          <w:rFonts w:asciiTheme="majorHAnsi" w:hAnsiTheme="majorHAnsi"/>
          <w:bCs/>
          <w:sz w:val="20"/>
          <w:szCs w:val="20"/>
          <w:lang w:val="es-ES"/>
        </w:rPr>
        <w:t>afrodescendiente</w:t>
      </w:r>
      <w:r w:rsidRPr="002D257A">
        <w:rPr>
          <w:rFonts w:asciiTheme="majorHAnsi" w:hAnsiTheme="majorHAnsi"/>
          <w:bCs/>
          <w:sz w:val="20"/>
          <w:szCs w:val="20"/>
          <w:lang w:val="es-ES"/>
        </w:rPr>
        <w:t xml:space="preserve"> donde </w:t>
      </w:r>
      <w:r>
        <w:rPr>
          <w:rFonts w:asciiTheme="majorHAnsi" w:hAnsiTheme="majorHAnsi"/>
          <w:bCs/>
          <w:sz w:val="20"/>
          <w:szCs w:val="20"/>
          <w:lang w:val="es-ES"/>
        </w:rPr>
        <w:t>personas acusadas de delitos capitales</w:t>
      </w:r>
      <w:r w:rsidRPr="002D257A">
        <w:rPr>
          <w:rFonts w:asciiTheme="majorHAnsi" w:hAnsiTheme="majorHAnsi"/>
          <w:bCs/>
          <w:sz w:val="20"/>
          <w:szCs w:val="20"/>
          <w:lang w:val="es-ES"/>
        </w:rPr>
        <w:t>, sin embargo, fueron juzgad</w:t>
      </w:r>
      <w:r>
        <w:rPr>
          <w:rFonts w:asciiTheme="majorHAnsi" w:hAnsiTheme="majorHAnsi"/>
          <w:bCs/>
          <w:sz w:val="20"/>
          <w:szCs w:val="20"/>
          <w:lang w:val="es-ES"/>
        </w:rPr>
        <w:t>a</w:t>
      </w:r>
      <w:r w:rsidRPr="002D257A">
        <w:rPr>
          <w:rFonts w:asciiTheme="majorHAnsi" w:hAnsiTheme="majorHAnsi"/>
          <w:bCs/>
          <w:sz w:val="20"/>
          <w:szCs w:val="20"/>
          <w:lang w:val="es-ES"/>
        </w:rPr>
        <w:t>s por jurados totalmente blancos. El estudio también encontró que algunos fiscales empleados por los gobiernos estatales y locales han sido entrenados para excluir a las personas sobre la base de su raza y han recibido instrucciones sobre cómo ocultar sus prejuicios raciales.</w:t>
      </w:r>
      <w:r w:rsidR="00CB49AE">
        <w:rPr>
          <w:rStyle w:val="FootnoteReference"/>
          <w:rFonts w:asciiTheme="majorHAnsi" w:hAnsiTheme="majorHAnsi"/>
          <w:bCs/>
          <w:sz w:val="20"/>
          <w:szCs w:val="20"/>
          <w:lang w:val="es-ES"/>
        </w:rPr>
        <w:footnoteReference w:id="64"/>
      </w:r>
    </w:p>
    <w:p w14:paraId="18C42C64" w14:textId="77777777" w:rsidR="00333A50" w:rsidRPr="00333A50" w:rsidRDefault="00333A50" w:rsidP="00333A50">
      <w:pPr>
        <w:rPr>
          <w:lang w:val="es-ES"/>
        </w:rPr>
      </w:pPr>
    </w:p>
    <w:p w14:paraId="38E7C4D5" w14:textId="77777777" w:rsidR="00110F02" w:rsidRPr="00FC2F24" w:rsidRDefault="00110F02" w:rsidP="00FC2F24">
      <w:pPr>
        <w:pStyle w:val="Heading3"/>
        <w:numPr>
          <w:ilvl w:val="1"/>
          <w:numId w:val="53"/>
        </w:numPr>
        <w:spacing w:before="0" w:after="0"/>
        <w:ind w:left="360"/>
        <w:rPr>
          <w:rFonts w:asciiTheme="majorHAnsi" w:hAnsiTheme="majorHAnsi"/>
          <w:sz w:val="20"/>
          <w:szCs w:val="20"/>
          <w:lang w:val="es-ES"/>
        </w:rPr>
      </w:pPr>
      <w:bookmarkStart w:id="45" w:name="_Toc61514168"/>
      <w:r w:rsidRPr="00FC2F24">
        <w:rPr>
          <w:rFonts w:asciiTheme="majorHAnsi" w:hAnsiTheme="majorHAnsi"/>
          <w:sz w:val="20"/>
          <w:szCs w:val="20"/>
          <w:lang w:val="es-ES"/>
        </w:rPr>
        <w:t>Análisis del caso</w:t>
      </w:r>
      <w:bookmarkEnd w:id="45"/>
    </w:p>
    <w:p w14:paraId="2E76E450" w14:textId="77777777" w:rsidR="00110F02" w:rsidRPr="00304D78" w:rsidRDefault="00110F02" w:rsidP="00110F02">
      <w:pPr>
        <w:jc w:val="both"/>
        <w:rPr>
          <w:rFonts w:ascii="Cambria" w:hAnsi="Cambria"/>
          <w:sz w:val="20"/>
          <w:szCs w:val="20"/>
          <w:lang w:val="es-ES"/>
        </w:rPr>
      </w:pPr>
    </w:p>
    <w:p w14:paraId="2221AF1A" w14:textId="77777777" w:rsidR="00110F02" w:rsidRPr="00304D78" w:rsidRDefault="00110F02" w:rsidP="009133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lang w:val="es-ES"/>
        </w:rPr>
      </w:pPr>
      <w:r>
        <w:rPr>
          <w:rFonts w:asciiTheme="majorHAnsi" w:hAnsiTheme="majorHAnsi"/>
          <w:bCs/>
          <w:color w:val="auto"/>
          <w:sz w:val="20"/>
          <w:szCs w:val="20"/>
          <w:lang w:val="es-ES"/>
        </w:rPr>
        <w:t xml:space="preserve">Según los hechos demostrados en el presente informe, antes del juicio, </w:t>
      </w:r>
      <w:r w:rsidRPr="00967B28">
        <w:rPr>
          <w:rFonts w:asciiTheme="majorHAnsi" w:hAnsiTheme="majorHAnsi"/>
          <w:bCs/>
          <w:color w:val="auto"/>
          <w:sz w:val="20"/>
          <w:szCs w:val="20"/>
          <w:lang w:val="es-ES"/>
        </w:rPr>
        <w:t>el abogado defensor presentó una petición para que no se hiciera lugar al aviso del fiscal de la intención de pedir la pena de muerte, alegando prejuicio racial y disparidad en la aplicación de la pena de muerte en el ámbito federal y discriminación conexa</w:t>
      </w:r>
      <w:r w:rsidRPr="00304D78">
        <w:rPr>
          <w:rFonts w:asciiTheme="majorHAnsi" w:hAnsiTheme="majorHAnsi"/>
          <w:bCs/>
          <w:color w:val="auto"/>
          <w:sz w:val="20"/>
          <w:szCs w:val="20"/>
          <w:lang w:val="es-ES"/>
        </w:rPr>
        <w:t xml:space="preserve">. </w:t>
      </w:r>
      <w:r w:rsidRPr="00967B28">
        <w:rPr>
          <w:rFonts w:asciiTheme="majorHAnsi" w:hAnsiTheme="majorHAnsi"/>
          <w:bCs/>
          <w:color w:val="auto"/>
          <w:sz w:val="20"/>
          <w:szCs w:val="20"/>
          <w:lang w:val="es-ES"/>
        </w:rPr>
        <w:t>Para demostrar la pauta sistemática de discriminación, el abogado defensor solicitó al tribunal que concediera una audiencia probatoria y que ordenara al fiscal que presentara cierta información</w:t>
      </w:r>
      <w:r w:rsidRPr="00304D78">
        <w:rPr>
          <w:sz w:val="20"/>
          <w:szCs w:val="20"/>
          <w:lang w:val="es-ES"/>
        </w:rPr>
        <w:t>.</w:t>
      </w:r>
    </w:p>
    <w:p w14:paraId="01472A5A"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rFonts w:asciiTheme="majorHAnsi" w:hAnsiTheme="majorHAnsi"/>
          <w:sz w:val="20"/>
          <w:szCs w:val="20"/>
          <w:lang w:val="es-ES"/>
        </w:rPr>
      </w:pPr>
    </w:p>
    <w:p w14:paraId="22307120" w14:textId="77777777" w:rsidR="00110F02" w:rsidRPr="00304D78" w:rsidRDefault="00110F02" w:rsidP="009133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lang w:val="es-ES"/>
        </w:rPr>
      </w:pPr>
      <w:r>
        <w:rPr>
          <w:rFonts w:asciiTheme="majorHAnsi" w:hAnsiTheme="majorHAnsi"/>
          <w:bCs/>
          <w:color w:val="auto"/>
          <w:sz w:val="20"/>
          <w:szCs w:val="20"/>
          <w:lang w:val="es-ES"/>
        </w:rPr>
        <w:t>El a</w:t>
      </w:r>
      <w:r w:rsidRPr="00304D78">
        <w:rPr>
          <w:rFonts w:asciiTheme="majorHAnsi" w:hAnsiTheme="majorHAnsi"/>
          <w:bCs/>
          <w:color w:val="auto"/>
          <w:sz w:val="20"/>
          <w:szCs w:val="20"/>
          <w:lang w:val="es-ES"/>
        </w:rPr>
        <w:t xml:space="preserve">bogado defensor </w:t>
      </w:r>
      <w:r>
        <w:rPr>
          <w:rFonts w:asciiTheme="majorHAnsi" w:hAnsiTheme="majorHAnsi"/>
          <w:bCs/>
          <w:color w:val="auto"/>
          <w:sz w:val="20"/>
          <w:szCs w:val="20"/>
          <w:lang w:val="es-ES"/>
        </w:rPr>
        <w:t xml:space="preserve">afirmó que esa información era necesaria para demostrar que </w:t>
      </w:r>
      <w:r w:rsidRPr="00967B28">
        <w:rPr>
          <w:rFonts w:asciiTheme="majorHAnsi" w:hAnsiTheme="majorHAnsi"/>
          <w:bCs/>
          <w:color w:val="auto"/>
          <w:sz w:val="20"/>
          <w:szCs w:val="20"/>
          <w:lang w:val="es-ES"/>
        </w:rPr>
        <w:t xml:space="preserve">la mayoría abrumadora de las personas para quienes se </w:t>
      </w:r>
      <w:r>
        <w:rPr>
          <w:rFonts w:asciiTheme="majorHAnsi" w:hAnsiTheme="majorHAnsi"/>
          <w:bCs/>
          <w:color w:val="auto"/>
          <w:sz w:val="20"/>
          <w:szCs w:val="20"/>
          <w:lang w:val="es-ES"/>
        </w:rPr>
        <w:t>había solicitado</w:t>
      </w:r>
      <w:r w:rsidRPr="00967B28">
        <w:rPr>
          <w:rFonts w:asciiTheme="majorHAnsi" w:hAnsiTheme="majorHAnsi"/>
          <w:bCs/>
          <w:color w:val="auto"/>
          <w:sz w:val="20"/>
          <w:szCs w:val="20"/>
          <w:lang w:val="es-ES"/>
        </w:rPr>
        <w:t xml:space="preserve"> que se aprobara la aplicación de la pena de muerte y para quienes el Departamento de Justicia </w:t>
      </w:r>
      <w:r>
        <w:rPr>
          <w:rFonts w:asciiTheme="majorHAnsi" w:hAnsiTheme="majorHAnsi"/>
          <w:bCs/>
          <w:color w:val="auto"/>
          <w:sz w:val="20"/>
          <w:szCs w:val="20"/>
          <w:lang w:val="es-ES"/>
        </w:rPr>
        <w:t xml:space="preserve">había </w:t>
      </w:r>
      <w:r w:rsidRPr="00967B28">
        <w:rPr>
          <w:rFonts w:asciiTheme="majorHAnsi" w:hAnsiTheme="majorHAnsi"/>
          <w:bCs/>
          <w:color w:val="auto"/>
          <w:sz w:val="20"/>
          <w:szCs w:val="20"/>
          <w:lang w:val="es-ES"/>
        </w:rPr>
        <w:t>autoriz</w:t>
      </w:r>
      <w:r>
        <w:rPr>
          <w:rFonts w:asciiTheme="majorHAnsi" w:hAnsiTheme="majorHAnsi"/>
          <w:bCs/>
          <w:color w:val="auto"/>
          <w:sz w:val="20"/>
          <w:szCs w:val="20"/>
          <w:lang w:val="es-ES"/>
        </w:rPr>
        <w:t>ado</w:t>
      </w:r>
      <w:r w:rsidRPr="00967B28">
        <w:rPr>
          <w:rFonts w:asciiTheme="majorHAnsi" w:hAnsiTheme="majorHAnsi"/>
          <w:bCs/>
          <w:color w:val="auto"/>
          <w:sz w:val="20"/>
          <w:szCs w:val="20"/>
          <w:lang w:val="es-ES"/>
        </w:rPr>
        <w:t xml:space="preserve"> dicha pena </w:t>
      </w:r>
      <w:r>
        <w:rPr>
          <w:rFonts w:asciiTheme="majorHAnsi" w:hAnsiTheme="majorHAnsi"/>
          <w:bCs/>
          <w:color w:val="auto"/>
          <w:sz w:val="20"/>
          <w:szCs w:val="20"/>
          <w:lang w:val="es-ES"/>
        </w:rPr>
        <w:t xml:space="preserve">eran </w:t>
      </w:r>
      <w:r w:rsidRPr="00967B28">
        <w:rPr>
          <w:rFonts w:asciiTheme="majorHAnsi" w:hAnsiTheme="majorHAnsi"/>
          <w:bCs/>
          <w:color w:val="auto"/>
          <w:sz w:val="20"/>
          <w:szCs w:val="20"/>
          <w:lang w:val="es-ES"/>
        </w:rPr>
        <w:t>afroestadounidenses</w:t>
      </w:r>
      <w:r w:rsidRPr="00304D78">
        <w:rPr>
          <w:rFonts w:asciiTheme="majorHAnsi" w:hAnsiTheme="majorHAnsi"/>
          <w:bCs/>
          <w:color w:val="auto"/>
          <w:sz w:val="20"/>
          <w:szCs w:val="20"/>
          <w:lang w:val="es-ES"/>
        </w:rPr>
        <w:t xml:space="preserve">. </w:t>
      </w:r>
      <w:r>
        <w:rPr>
          <w:rFonts w:asciiTheme="majorHAnsi" w:hAnsiTheme="majorHAnsi"/>
          <w:bCs/>
          <w:color w:val="auto"/>
          <w:sz w:val="20"/>
          <w:szCs w:val="20"/>
          <w:lang w:val="es-ES"/>
        </w:rPr>
        <w:t xml:space="preserve">En vista de la jurisprudencia, según la cual </w:t>
      </w:r>
      <w:r w:rsidRPr="00967B28">
        <w:rPr>
          <w:rFonts w:asciiTheme="majorHAnsi" w:hAnsiTheme="majorHAnsi"/>
          <w:bCs/>
          <w:sz w:val="20"/>
          <w:szCs w:val="20"/>
          <w:lang w:val="es-ES"/>
        </w:rPr>
        <w:t>una pauta racialmente desproporcionada de cargos punibles con la pena capital, por sí sola, no basta para demostrar la existencia de discriminación racial deliberada</w:t>
      </w:r>
      <w:r w:rsidRPr="00304D78">
        <w:rPr>
          <w:rFonts w:asciiTheme="majorHAnsi" w:hAnsiTheme="majorHAnsi"/>
          <w:bCs/>
          <w:sz w:val="20"/>
          <w:szCs w:val="20"/>
          <w:lang w:val="es-ES"/>
        </w:rPr>
        <w:t xml:space="preserve">, </w:t>
      </w:r>
      <w:r>
        <w:rPr>
          <w:rFonts w:asciiTheme="majorHAnsi" w:hAnsiTheme="majorHAnsi"/>
          <w:bCs/>
          <w:sz w:val="20"/>
          <w:szCs w:val="20"/>
          <w:lang w:val="es-ES"/>
        </w:rPr>
        <w:t xml:space="preserve">el abogado defensor quería demostrar en la audiencia probatoria, </w:t>
      </w:r>
      <w:r w:rsidRPr="00304D78">
        <w:rPr>
          <w:rFonts w:asciiTheme="majorHAnsi" w:hAnsiTheme="majorHAnsi"/>
          <w:bCs/>
          <w:sz w:val="20"/>
          <w:szCs w:val="20"/>
          <w:lang w:val="es-ES"/>
        </w:rPr>
        <w:t>“</w:t>
      </w:r>
      <w:r w:rsidRPr="00967B28">
        <w:rPr>
          <w:rFonts w:asciiTheme="majorHAnsi" w:hAnsiTheme="majorHAnsi"/>
          <w:bCs/>
          <w:sz w:val="20"/>
          <w:szCs w:val="20"/>
          <w:lang w:val="es-ES"/>
        </w:rPr>
        <w:t>por medio del material solicitado, que el Departamento de Justicia, a pesar de que sabe que sus decisiones sobre la formulación de cargos punibles con la pena capital adolecen de desequilibrio racial, ha persistido en un sistema de políticas</w:t>
      </w:r>
      <w:r w:rsidRPr="00304D78">
        <w:rPr>
          <w:rFonts w:asciiTheme="majorHAnsi" w:hAnsiTheme="majorHAnsi"/>
          <w:bCs/>
          <w:sz w:val="20"/>
          <w:szCs w:val="20"/>
          <w:lang w:val="es-ES"/>
        </w:rPr>
        <w:t xml:space="preserve"> […]</w:t>
      </w:r>
      <w:r>
        <w:rPr>
          <w:rFonts w:asciiTheme="majorHAnsi" w:hAnsiTheme="majorHAnsi"/>
          <w:bCs/>
          <w:sz w:val="20"/>
          <w:szCs w:val="20"/>
          <w:lang w:val="es-ES"/>
        </w:rPr>
        <w:t xml:space="preserve"> q</w:t>
      </w:r>
      <w:r w:rsidRPr="00967B28">
        <w:rPr>
          <w:rFonts w:asciiTheme="majorHAnsi" w:hAnsiTheme="majorHAnsi"/>
          <w:bCs/>
          <w:sz w:val="20"/>
          <w:szCs w:val="20"/>
          <w:lang w:val="es-ES"/>
        </w:rPr>
        <w:t>ue perpetúan este desequilibrio, lo cual constituye discriminación deliberada</w:t>
      </w:r>
      <w:r w:rsidRPr="00304D78">
        <w:rPr>
          <w:rFonts w:asciiTheme="majorHAnsi" w:hAnsiTheme="majorHAnsi"/>
          <w:bCs/>
          <w:sz w:val="20"/>
          <w:szCs w:val="20"/>
          <w:lang w:val="es-ES"/>
        </w:rPr>
        <w:t>”</w:t>
      </w:r>
      <w:r>
        <w:rPr>
          <w:rFonts w:asciiTheme="majorHAnsi" w:hAnsiTheme="majorHAnsi"/>
          <w:bCs/>
          <w:sz w:val="20"/>
          <w:szCs w:val="20"/>
          <w:lang w:val="es-ES"/>
        </w:rPr>
        <w:t xml:space="preserve">. El abogado defensor afirmó que </w:t>
      </w:r>
      <w:r w:rsidRPr="00967B28">
        <w:rPr>
          <w:rFonts w:asciiTheme="majorHAnsi" w:hAnsiTheme="majorHAnsi"/>
          <w:bCs/>
          <w:sz w:val="20"/>
          <w:szCs w:val="20"/>
          <w:lang w:val="es-ES"/>
        </w:rPr>
        <w:t xml:space="preserve">la falta de “medidas afirmativas” del Estado para superar este desequilibrio racial, a pesar de que </w:t>
      </w:r>
      <w:r>
        <w:rPr>
          <w:rFonts w:asciiTheme="majorHAnsi" w:hAnsiTheme="majorHAnsi"/>
          <w:bCs/>
          <w:sz w:val="20"/>
          <w:szCs w:val="20"/>
          <w:lang w:val="es-ES"/>
        </w:rPr>
        <w:t>sabía que existía</w:t>
      </w:r>
      <w:r w:rsidRPr="00967B28">
        <w:rPr>
          <w:rFonts w:asciiTheme="majorHAnsi" w:hAnsiTheme="majorHAnsi"/>
          <w:bCs/>
          <w:sz w:val="20"/>
          <w:szCs w:val="20"/>
          <w:lang w:val="es-ES"/>
        </w:rPr>
        <w:t>, equival</w:t>
      </w:r>
      <w:r>
        <w:rPr>
          <w:rFonts w:asciiTheme="majorHAnsi" w:hAnsiTheme="majorHAnsi"/>
          <w:bCs/>
          <w:sz w:val="20"/>
          <w:szCs w:val="20"/>
          <w:lang w:val="es-ES"/>
        </w:rPr>
        <w:t>ía</w:t>
      </w:r>
      <w:r w:rsidRPr="00967B28">
        <w:rPr>
          <w:rFonts w:asciiTheme="majorHAnsi" w:hAnsiTheme="majorHAnsi"/>
          <w:bCs/>
          <w:sz w:val="20"/>
          <w:szCs w:val="20"/>
          <w:lang w:val="es-ES"/>
        </w:rPr>
        <w:t xml:space="preserve"> a discriminación deliberada</w:t>
      </w:r>
      <w:r w:rsidRPr="00304D78">
        <w:rPr>
          <w:rFonts w:asciiTheme="majorHAnsi" w:hAnsiTheme="majorHAnsi"/>
          <w:bCs/>
          <w:sz w:val="20"/>
          <w:szCs w:val="20"/>
          <w:lang w:val="es-ES"/>
        </w:rPr>
        <w:t xml:space="preserve">. </w:t>
      </w:r>
      <w:r w:rsidRPr="00967B28">
        <w:rPr>
          <w:rFonts w:asciiTheme="majorHAnsi" w:hAnsiTheme="majorHAnsi"/>
          <w:bCs/>
          <w:sz w:val="20"/>
          <w:szCs w:val="20"/>
          <w:lang w:val="es-ES"/>
        </w:rPr>
        <w:t>El tribunal de distrito rechazó de plano la petición</w:t>
      </w:r>
      <w:r w:rsidRPr="00304D78">
        <w:rPr>
          <w:rFonts w:asciiTheme="majorHAnsi" w:hAnsiTheme="majorHAnsi"/>
          <w:bCs/>
          <w:sz w:val="20"/>
          <w:szCs w:val="20"/>
          <w:lang w:val="es-ES"/>
        </w:rPr>
        <w:t>.</w:t>
      </w:r>
    </w:p>
    <w:p w14:paraId="37709578" w14:textId="77777777" w:rsidR="00110F02" w:rsidRPr="00304D78" w:rsidRDefault="00110F02" w:rsidP="00110F02">
      <w:pPr>
        <w:pStyle w:val="ListParagraph"/>
        <w:rPr>
          <w:rFonts w:asciiTheme="majorHAnsi" w:hAnsiTheme="majorHAnsi"/>
          <w:sz w:val="20"/>
          <w:szCs w:val="20"/>
          <w:lang w:val="es-ES"/>
        </w:rPr>
      </w:pPr>
    </w:p>
    <w:p w14:paraId="7522EE73" w14:textId="77777777" w:rsidR="00110F02" w:rsidRPr="00304D78" w:rsidRDefault="00110F02" w:rsidP="009133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s>
        <w:autoSpaceDE w:val="0"/>
        <w:autoSpaceDN w:val="0"/>
        <w:adjustRightInd w:val="0"/>
        <w:ind w:left="0" w:firstLine="0"/>
        <w:jc w:val="both"/>
        <w:textAlignment w:val="baseline"/>
        <w:rPr>
          <w:rFonts w:asciiTheme="majorHAnsi" w:hAnsiTheme="majorHAnsi"/>
          <w:sz w:val="20"/>
          <w:szCs w:val="20"/>
          <w:lang w:val="es-ES"/>
        </w:rPr>
      </w:pPr>
      <w:r>
        <w:rPr>
          <w:sz w:val="20"/>
          <w:szCs w:val="20"/>
          <w:lang w:val="es-ES"/>
        </w:rPr>
        <w:t>E</w:t>
      </w:r>
      <w:r w:rsidRPr="00A10BD9">
        <w:rPr>
          <w:sz w:val="20"/>
          <w:szCs w:val="20"/>
          <w:lang w:val="es-ES"/>
        </w:rPr>
        <w:t xml:space="preserve">n el juicio del señor Robinson </w:t>
      </w:r>
      <w:r>
        <w:rPr>
          <w:sz w:val="20"/>
          <w:szCs w:val="20"/>
          <w:lang w:val="es-ES"/>
        </w:rPr>
        <w:t xml:space="preserve">fueron </w:t>
      </w:r>
      <w:r w:rsidRPr="00A10BD9">
        <w:rPr>
          <w:sz w:val="20"/>
          <w:szCs w:val="20"/>
          <w:lang w:val="es-ES"/>
        </w:rPr>
        <w:t>convocadas 125 personas como candidatas para integrar el jurado, de las cuales diez eran afroestadounidenses. De las ocho que fueron interrogadas durante el proceso de selección</w:t>
      </w:r>
      <w:r>
        <w:rPr>
          <w:sz w:val="20"/>
          <w:szCs w:val="20"/>
          <w:lang w:val="es-ES"/>
        </w:rPr>
        <w:t>, el fiscal eliminó a siete</w:t>
      </w:r>
      <w:r w:rsidRPr="00B15FEF">
        <w:rPr>
          <w:sz w:val="20"/>
          <w:szCs w:val="20"/>
          <w:lang w:val="es-ES"/>
        </w:rPr>
        <w:t>, tres de ell</w:t>
      </w:r>
      <w:r>
        <w:rPr>
          <w:sz w:val="20"/>
          <w:szCs w:val="20"/>
          <w:lang w:val="es-ES"/>
        </w:rPr>
        <w:t>a</w:t>
      </w:r>
      <w:r w:rsidRPr="00B15FEF">
        <w:rPr>
          <w:sz w:val="20"/>
          <w:szCs w:val="20"/>
          <w:lang w:val="es-ES"/>
        </w:rPr>
        <w:t>s mediante recusación sin causa</w:t>
      </w:r>
      <w:r w:rsidRPr="00304D78">
        <w:rPr>
          <w:sz w:val="20"/>
          <w:szCs w:val="20"/>
          <w:lang w:val="es-ES"/>
        </w:rPr>
        <w:t xml:space="preserve">, </w:t>
      </w:r>
      <w:r>
        <w:rPr>
          <w:sz w:val="20"/>
          <w:szCs w:val="20"/>
          <w:lang w:val="es-ES"/>
        </w:rPr>
        <w:t xml:space="preserve">ante lo cual el abogado defensor interpuso una </w:t>
      </w:r>
      <w:r w:rsidRPr="00304D78">
        <w:rPr>
          <w:sz w:val="20"/>
          <w:szCs w:val="20"/>
          <w:lang w:val="es-ES"/>
        </w:rPr>
        <w:t xml:space="preserve">impugnación Batson. </w:t>
      </w:r>
      <w:r w:rsidRPr="00B15FEF">
        <w:rPr>
          <w:rFonts w:asciiTheme="majorHAnsi" w:hAnsiTheme="majorHAnsi"/>
          <w:sz w:val="20"/>
          <w:szCs w:val="20"/>
          <w:lang w:val="es-ES"/>
        </w:rPr>
        <w:t>Con respecto al primer candidato, el tribunal observó que tanto el fiscal como el abogado defensor ejercieron la recusación sin causa. Con respecto al segundo, el tribunal concluyó que las explicaciones dadas por el fiscal eran neutrales desde el punto de vista racial</w:t>
      </w:r>
      <w:r>
        <w:rPr>
          <w:rFonts w:asciiTheme="majorHAnsi" w:hAnsiTheme="majorHAnsi"/>
          <w:sz w:val="20"/>
          <w:szCs w:val="20"/>
          <w:lang w:val="es-ES"/>
        </w:rPr>
        <w:t xml:space="preserve"> </w:t>
      </w:r>
      <w:r w:rsidRPr="00B15FEF">
        <w:rPr>
          <w:rFonts w:asciiTheme="majorHAnsi" w:hAnsiTheme="majorHAnsi"/>
          <w:sz w:val="20"/>
          <w:szCs w:val="20"/>
          <w:lang w:val="es-ES"/>
        </w:rPr>
        <w:t>y que no había otro candidato que no fuese negro que estuviera en una situación similar a quien el fiscal hubiera decidido no recusar</w:t>
      </w:r>
      <w:r>
        <w:rPr>
          <w:rFonts w:asciiTheme="majorHAnsi" w:hAnsiTheme="majorHAnsi"/>
          <w:sz w:val="20"/>
          <w:szCs w:val="20"/>
          <w:lang w:val="es-ES"/>
        </w:rPr>
        <w:t>.</w:t>
      </w:r>
    </w:p>
    <w:p w14:paraId="5822AFCE" w14:textId="77777777" w:rsidR="00110F02" w:rsidRPr="00304D78" w:rsidRDefault="00110F02" w:rsidP="00110F02">
      <w:pPr>
        <w:pStyle w:val="ListParagraph"/>
        <w:rPr>
          <w:rFonts w:asciiTheme="majorHAnsi" w:hAnsiTheme="majorHAnsi"/>
          <w:sz w:val="20"/>
          <w:szCs w:val="20"/>
          <w:lang w:val="es-ES"/>
        </w:rPr>
      </w:pPr>
    </w:p>
    <w:p w14:paraId="45BF5FC1" w14:textId="77777777" w:rsidR="00110F02" w:rsidRDefault="00110F02" w:rsidP="009133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s>
        <w:autoSpaceDE w:val="0"/>
        <w:autoSpaceDN w:val="0"/>
        <w:adjustRightInd w:val="0"/>
        <w:ind w:left="0" w:firstLine="0"/>
        <w:jc w:val="both"/>
        <w:textAlignment w:val="baseline"/>
        <w:rPr>
          <w:rFonts w:asciiTheme="majorHAnsi" w:hAnsiTheme="majorHAnsi"/>
          <w:sz w:val="20"/>
          <w:szCs w:val="20"/>
          <w:lang w:val="es-ES"/>
        </w:rPr>
      </w:pPr>
      <w:r w:rsidRPr="002941FC">
        <w:rPr>
          <w:rFonts w:asciiTheme="majorHAnsi" w:hAnsiTheme="majorHAnsi"/>
          <w:sz w:val="20"/>
          <w:szCs w:val="20"/>
          <w:lang w:val="es-ES"/>
        </w:rPr>
        <w:t>Cuando le pidieron que expusiera una razón racialmente neutral de la recusación de la señora Amarh, la tercera candidata, el fiscal respondió que ella había expresado “mucha renuencia con respecto a la pena de muerte” y señaló que anteriormente había recusado a la señora Broadwell, una candidata blanca que tenía opiniones similares sobre la pena de muerte. No obstante, un examen posterior de las preguntas que se le hicieron a la señora Broadwell reveló que el fiscal había leído el cuestionario equivocado y ella no tenía opiniones similares a la</w:t>
      </w:r>
      <w:r>
        <w:rPr>
          <w:rFonts w:asciiTheme="majorHAnsi" w:hAnsiTheme="majorHAnsi"/>
          <w:sz w:val="20"/>
          <w:szCs w:val="20"/>
          <w:lang w:val="es-ES"/>
        </w:rPr>
        <w:t>s</w:t>
      </w:r>
      <w:r w:rsidRPr="002941FC">
        <w:rPr>
          <w:rFonts w:asciiTheme="majorHAnsi" w:hAnsiTheme="majorHAnsi"/>
          <w:sz w:val="20"/>
          <w:szCs w:val="20"/>
          <w:lang w:val="es-ES"/>
        </w:rPr>
        <w:t xml:space="preserve"> de la señora Amarh. Independientemente de ese error, el tribunal consideró que la explicación racialmente neutral del fiscal con respecto a la recusación de la señora Amarh era válida y la aceptó. El expediente que obra en poder de la Comisión muestra que la señora Amarh, aunque en general no estaba a favor de la pena de muerte, dijo que en algunas circunstancias se justificaba.</w:t>
      </w:r>
    </w:p>
    <w:p w14:paraId="59C95ADC" w14:textId="77777777" w:rsidR="00110F02" w:rsidRPr="002941FC" w:rsidRDefault="00110F02" w:rsidP="00110F02">
      <w:pPr>
        <w:rPr>
          <w:rFonts w:asciiTheme="majorHAnsi" w:hAnsiTheme="majorHAnsi"/>
          <w:sz w:val="20"/>
          <w:szCs w:val="20"/>
          <w:lang w:val="es-ES"/>
        </w:rPr>
      </w:pPr>
    </w:p>
    <w:p w14:paraId="1CAF8B68"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s>
        <w:autoSpaceDE w:val="0"/>
        <w:autoSpaceDN w:val="0"/>
        <w:adjustRightInd w:val="0"/>
        <w:ind w:left="0" w:firstLine="0"/>
        <w:jc w:val="both"/>
        <w:textAlignment w:val="baseline"/>
        <w:rPr>
          <w:rFonts w:asciiTheme="majorHAnsi" w:hAnsiTheme="majorHAnsi"/>
          <w:sz w:val="20"/>
          <w:szCs w:val="20"/>
          <w:lang w:val="es-ES"/>
        </w:rPr>
      </w:pPr>
      <w:r w:rsidRPr="00304D78">
        <w:rPr>
          <w:rFonts w:asciiTheme="majorHAnsi" w:hAnsiTheme="majorHAnsi"/>
          <w:sz w:val="20"/>
          <w:szCs w:val="20"/>
          <w:lang w:val="es-ES"/>
        </w:rPr>
        <w:t xml:space="preserve">El tribunal de distrito </w:t>
      </w:r>
      <w:r>
        <w:rPr>
          <w:rFonts w:asciiTheme="majorHAnsi" w:hAnsiTheme="majorHAnsi"/>
          <w:sz w:val="20"/>
          <w:szCs w:val="20"/>
          <w:lang w:val="es-ES"/>
        </w:rPr>
        <w:t xml:space="preserve">no hizo lugar a la </w:t>
      </w:r>
      <w:r w:rsidRPr="00304D78">
        <w:rPr>
          <w:rFonts w:asciiTheme="majorHAnsi" w:hAnsiTheme="majorHAnsi"/>
          <w:sz w:val="20"/>
          <w:szCs w:val="20"/>
          <w:lang w:val="es-ES"/>
        </w:rPr>
        <w:t xml:space="preserve">impugnación Batson </w:t>
      </w:r>
      <w:r>
        <w:rPr>
          <w:rFonts w:asciiTheme="majorHAnsi" w:hAnsiTheme="majorHAnsi"/>
          <w:sz w:val="20"/>
          <w:szCs w:val="20"/>
          <w:lang w:val="es-ES"/>
        </w:rPr>
        <w:t xml:space="preserve">interpuesta tres veces por el </w:t>
      </w:r>
      <w:r w:rsidRPr="00304D78">
        <w:rPr>
          <w:rFonts w:asciiTheme="majorHAnsi" w:hAnsiTheme="majorHAnsi"/>
          <w:sz w:val="20"/>
          <w:szCs w:val="20"/>
          <w:lang w:val="es-ES"/>
        </w:rPr>
        <w:t xml:space="preserve">abogado defensor. </w:t>
      </w:r>
      <w:r w:rsidRPr="0031708F">
        <w:rPr>
          <w:rFonts w:asciiTheme="majorHAnsi" w:hAnsiTheme="majorHAnsi"/>
          <w:sz w:val="20"/>
          <w:szCs w:val="20"/>
          <w:lang w:val="es-ES"/>
        </w:rPr>
        <w:t xml:space="preserve">En consecuencia, el jurado quedó integrado por once personas blancas y una </w:t>
      </w:r>
      <w:r w:rsidR="00AD2A57">
        <w:rPr>
          <w:rFonts w:asciiTheme="majorHAnsi" w:hAnsiTheme="majorHAnsi"/>
          <w:sz w:val="20"/>
          <w:szCs w:val="20"/>
          <w:lang w:val="es-ES"/>
        </w:rPr>
        <w:t>afrodescendiente</w:t>
      </w:r>
      <w:r w:rsidRPr="0031708F">
        <w:rPr>
          <w:rFonts w:asciiTheme="majorHAnsi" w:hAnsiTheme="majorHAnsi"/>
          <w:sz w:val="20"/>
          <w:szCs w:val="20"/>
          <w:lang w:val="es-ES"/>
        </w:rPr>
        <w:t>, la cual dijo que apoyaba firmemente la pena de muerte para todo homicidio en primer grado</w:t>
      </w:r>
      <w:r w:rsidRPr="00304D78">
        <w:rPr>
          <w:sz w:val="20"/>
          <w:szCs w:val="20"/>
          <w:lang w:val="es-ES"/>
        </w:rPr>
        <w:t>.</w:t>
      </w:r>
    </w:p>
    <w:p w14:paraId="1583D453" w14:textId="77777777" w:rsidR="00110F02" w:rsidRPr="00304D78" w:rsidRDefault="00110F02" w:rsidP="00110F02">
      <w:pPr>
        <w:pStyle w:val="ListParagraph"/>
        <w:rPr>
          <w:rFonts w:asciiTheme="majorHAnsi" w:hAnsiTheme="majorHAnsi"/>
          <w:sz w:val="20"/>
          <w:szCs w:val="20"/>
          <w:lang w:val="es-ES"/>
        </w:rPr>
      </w:pPr>
    </w:p>
    <w:p w14:paraId="7D7528D3"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lang w:val="es-ES"/>
        </w:rPr>
      </w:pPr>
      <w:r>
        <w:rPr>
          <w:rFonts w:asciiTheme="majorHAnsi" w:hAnsiTheme="majorHAnsi"/>
          <w:sz w:val="20"/>
          <w:szCs w:val="20"/>
          <w:lang w:val="es-ES"/>
        </w:rPr>
        <w:lastRenderedPageBreak/>
        <w:t xml:space="preserve">En un fallo de cinco votos contra cuatro, la Corte Suprema de Estados Unidos dictaminó en el caso </w:t>
      </w:r>
      <w:r w:rsidRPr="00304D78">
        <w:rPr>
          <w:rFonts w:asciiTheme="majorHAnsi" w:hAnsiTheme="majorHAnsi"/>
          <w:bCs/>
          <w:i/>
          <w:color w:val="auto"/>
          <w:sz w:val="20"/>
          <w:szCs w:val="20"/>
          <w:lang w:val="es-ES"/>
        </w:rPr>
        <w:t>McCleskey</w:t>
      </w:r>
      <w:r w:rsidRPr="00304D78">
        <w:rPr>
          <w:rFonts w:asciiTheme="majorHAnsi" w:hAnsiTheme="majorHAnsi"/>
          <w:sz w:val="20"/>
          <w:szCs w:val="20"/>
          <w:lang w:val="es-ES"/>
        </w:rPr>
        <w:t xml:space="preserve"> </w:t>
      </w:r>
      <w:r w:rsidRPr="008F45BB">
        <w:rPr>
          <w:rFonts w:asciiTheme="majorHAnsi" w:hAnsiTheme="majorHAnsi"/>
          <w:bCs/>
          <w:sz w:val="20"/>
          <w:szCs w:val="20"/>
          <w:lang w:val="es-ES"/>
        </w:rPr>
        <w:t>que el impacto racialmente desproporcionado observado en la aplicación de la pena de muerte no era suficiente para anular</w:t>
      </w:r>
      <w:r>
        <w:rPr>
          <w:rFonts w:asciiTheme="majorHAnsi" w:hAnsiTheme="majorHAnsi"/>
          <w:bCs/>
          <w:sz w:val="20"/>
          <w:szCs w:val="20"/>
          <w:lang w:val="es-ES"/>
        </w:rPr>
        <w:t>la;</w:t>
      </w:r>
      <w:r w:rsidRPr="00304D78">
        <w:rPr>
          <w:rFonts w:asciiTheme="majorHAnsi" w:hAnsiTheme="majorHAnsi"/>
          <w:sz w:val="20"/>
          <w:szCs w:val="20"/>
          <w:lang w:val="es-ES"/>
        </w:rPr>
        <w:t xml:space="preserve"> </w:t>
      </w:r>
      <w:r>
        <w:rPr>
          <w:rFonts w:asciiTheme="majorHAnsi" w:hAnsiTheme="majorHAnsi"/>
          <w:sz w:val="20"/>
          <w:szCs w:val="20"/>
          <w:lang w:val="es-ES"/>
        </w:rPr>
        <w:t>e</w:t>
      </w:r>
      <w:r w:rsidRPr="00304D78">
        <w:rPr>
          <w:rFonts w:asciiTheme="majorHAnsi" w:hAnsiTheme="majorHAnsi"/>
          <w:sz w:val="20"/>
          <w:szCs w:val="20"/>
          <w:lang w:val="es-ES"/>
        </w:rPr>
        <w:t xml:space="preserve">l tribunal </w:t>
      </w:r>
      <w:r>
        <w:rPr>
          <w:rFonts w:asciiTheme="majorHAnsi" w:hAnsiTheme="majorHAnsi"/>
          <w:sz w:val="20"/>
          <w:szCs w:val="20"/>
          <w:lang w:val="es-ES"/>
        </w:rPr>
        <w:t xml:space="preserve">requiere prueba de </w:t>
      </w:r>
      <w:r w:rsidRPr="008F45BB">
        <w:rPr>
          <w:rFonts w:asciiTheme="majorHAnsi" w:hAnsiTheme="majorHAnsi"/>
          <w:bCs/>
          <w:sz w:val="20"/>
          <w:szCs w:val="20"/>
          <w:lang w:val="es-ES"/>
        </w:rPr>
        <w:t>un sesgo intencional</w:t>
      </w:r>
      <w:r w:rsidRPr="00304D78">
        <w:rPr>
          <w:rFonts w:asciiTheme="majorHAnsi" w:hAnsiTheme="majorHAnsi"/>
          <w:sz w:val="20"/>
          <w:szCs w:val="20"/>
          <w:lang w:val="es-ES"/>
        </w:rPr>
        <w:t xml:space="preserve">. </w:t>
      </w:r>
      <w:r>
        <w:rPr>
          <w:rFonts w:asciiTheme="majorHAnsi" w:hAnsiTheme="majorHAnsi"/>
          <w:sz w:val="20"/>
          <w:szCs w:val="20"/>
          <w:lang w:val="es-ES"/>
        </w:rPr>
        <w:t>L</w:t>
      </w:r>
      <w:r w:rsidRPr="00304D78">
        <w:rPr>
          <w:rFonts w:asciiTheme="majorHAnsi" w:hAnsiTheme="majorHAnsi"/>
          <w:sz w:val="20"/>
          <w:szCs w:val="20"/>
          <w:lang w:val="es-ES"/>
        </w:rPr>
        <w:t>a Comisión ha</w:t>
      </w:r>
      <w:r>
        <w:rPr>
          <w:rFonts w:asciiTheme="majorHAnsi" w:hAnsiTheme="majorHAnsi"/>
          <w:sz w:val="20"/>
          <w:szCs w:val="20"/>
          <w:lang w:val="es-ES"/>
        </w:rPr>
        <w:t xml:space="preserve"> expresado profunda preocupación con respecto a este criterio probatorio. Además, </w:t>
      </w:r>
      <w:r w:rsidRPr="00304D78">
        <w:rPr>
          <w:rFonts w:asciiTheme="majorHAnsi" w:hAnsiTheme="majorHAnsi"/>
          <w:sz w:val="20"/>
          <w:szCs w:val="20"/>
          <w:lang w:val="es-ES"/>
        </w:rPr>
        <w:t xml:space="preserve">la CIDH </w:t>
      </w:r>
      <w:r>
        <w:rPr>
          <w:rFonts w:asciiTheme="majorHAnsi" w:hAnsiTheme="majorHAnsi"/>
          <w:sz w:val="20"/>
          <w:szCs w:val="20"/>
          <w:lang w:val="es-ES"/>
        </w:rPr>
        <w:t xml:space="preserve">observa que, </w:t>
      </w:r>
      <w:r w:rsidRPr="00304D78">
        <w:rPr>
          <w:rFonts w:asciiTheme="majorHAnsi" w:hAnsiTheme="majorHAnsi"/>
          <w:sz w:val="20"/>
          <w:szCs w:val="20"/>
          <w:lang w:val="es-ES"/>
        </w:rPr>
        <w:t xml:space="preserve">en el caso de autos, </w:t>
      </w:r>
      <w:r>
        <w:rPr>
          <w:rFonts w:asciiTheme="majorHAnsi" w:hAnsiTheme="majorHAnsi"/>
          <w:sz w:val="20"/>
          <w:szCs w:val="20"/>
          <w:lang w:val="es-ES"/>
        </w:rPr>
        <w:t xml:space="preserve">el </w:t>
      </w:r>
      <w:r w:rsidRPr="00304D78">
        <w:rPr>
          <w:rFonts w:asciiTheme="majorHAnsi" w:hAnsiTheme="majorHAnsi"/>
          <w:sz w:val="20"/>
          <w:szCs w:val="20"/>
          <w:lang w:val="es-ES"/>
        </w:rPr>
        <w:t xml:space="preserve">abogado defensor </w:t>
      </w:r>
      <w:r>
        <w:rPr>
          <w:rFonts w:asciiTheme="majorHAnsi" w:hAnsiTheme="majorHAnsi"/>
          <w:sz w:val="20"/>
          <w:szCs w:val="20"/>
          <w:lang w:val="es-ES"/>
        </w:rPr>
        <w:t xml:space="preserve">solicitó al </w:t>
      </w:r>
      <w:r w:rsidRPr="00304D78">
        <w:rPr>
          <w:rFonts w:asciiTheme="majorHAnsi" w:hAnsiTheme="majorHAnsi"/>
          <w:sz w:val="20"/>
          <w:szCs w:val="20"/>
          <w:lang w:val="es-ES"/>
        </w:rPr>
        <w:t xml:space="preserve">tribunal de distrito </w:t>
      </w:r>
      <w:r>
        <w:rPr>
          <w:rFonts w:asciiTheme="majorHAnsi" w:hAnsiTheme="majorHAnsi"/>
          <w:sz w:val="20"/>
          <w:szCs w:val="20"/>
          <w:lang w:val="es-ES"/>
        </w:rPr>
        <w:t xml:space="preserve">que </w:t>
      </w:r>
      <w:r w:rsidRPr="005205E2">
        <w:rPr>
          <w:rFonts w:asciiTheme="majorHAnsi" w:hAnsiTheme="majorHAnsi"/>
          <w:sz w:val="20"/>
          <w:szCs w:val="20"/>
          <w:lang w:val="es-ES"/>
        </w:rPr>
        <w:t>ordenara al fiscal que presentara cierta información</w:t>
      </w:r>
      <w:r>
        <w:rPr>
          <w:rFonts w:asciiTheme="majorHAnsi" w:hAnsiTheme="majorHAnsi"/>
          <w:sz w:val="20"/>
          <w:szCs w:val="20"/>
          <w:lang w:val="es-ES"/>
        </w:rPr>
        <w:t xml:space="preserve"> para probar la existencia de un fin discriminatorio, de conformidad con el requisito establecido por </w:t>
      </w:r>
      <w:r w:rsidRPr="00304D78">
        <w:rPr>
          <w:rFonts w:asciiTheme="majorHAnsi" w:hAnsiTheme="majorHAnsi"/>
          <w:sz w:val="20"/>
          <w:szCs w:val="20"/>
          <w:lang w:val="es-ES"/>
        </w:rPr>
        <w:t xml:space="preserve">la Corte Suprema. </w:t>
      </w:r>
      <w:r>
        <w:rPr>
          <w:rFonts w:asciiTheme="majorHAnsi" w:hAnsiTheme="majorHAnsi"/>
          <w:sz w:val="20"/>
          <w:szCs w:val="20"/>
          <w:lang w:val="es-ES"/>
        </w:rPr>
        <w:t>Como ya se dijo</w:t>
      </w:r>
      <w:r w:rsidRPr="00304D78">
        <w:rPr>
          <w:rFonts w:asciiTheme="majorHAnsi" w:hAnsiTheme="majorHAnsi"/>
          <w:sz w:val="20"/>
          <w:szCs w:val="20"/>
          <w:lang w:val="es-ES"/>
        </w:rPr>
        <w:t xml:space="preserve">, </w:t>
      </w:r>
      <w:r>
        <w:rPr>
          <w:rFonts w:asciiTheme="majorHAnsi" w:hAnsiTheme="majorHAnsi"/>
          <w:sz w:val="20"/>
          <w:szCs w:val="20"/>
          <w:lang w:val="es-ES"/>
        </w:rPr>
        <w:t>e</w:t>
      </w:r>
      <w:r w:rsidRPr="005205E2">
        <w:rPr>
          <w:rFonts w:asciiTheme="majorHAnsi" w:hAnsiTheme="majorHAnsi"/>
          <w:sz w:val="20"/>
          <w:szCs w:val="20"/>
          <w:lang w:val="es-ES"/>
        </w:rPr>
        <w:t xml:space="preserve">l tribunal de distrito rechazó de plano </w:t>
      </w:r>
      <w:r>
        <w:rPr>
          <w:rFonts w:asciiTheme="majorHAnsi" w:hAnsiTheme="majorHAnsi"/>
          <w:sz w:val="20"/>
          <w:szCs w:val="20"/>
          <w:lang w:val="es-ES"/>
        </w:rPr>
        <w:t>es</w:t>
      </w:r>
      <w:r w:rsidRPr="005205E2">
        <w:rPr>
          <w:rFonts w:asciiTheme="majorHAnsi" w:hAnsiTheme="majorHAnsi"/>
          <w:sz w:val="20"/>
          <w:szCs w:val="20"/>
          <w:lang w:val="es-ES"/>
        </w:rPr>
        <w:t>a petición</w:t>
      </w:r>
      <w:r>
        <w:rPr>
          <w:rFonts w:asciiTheme="majorHAnsi" w:hAnsiTheme="majorHAnsi"/>
          <w:sz w:val="20"/>
          <w:szCs w:val="20"/>
          <w:lang w:val="es-ES"/>
        </w:rPr>
        <w:t xml:space="preserve"> y la solicitud de una audiencia. Por lo tanto,</w:t>
      </w:r>
      <w:r w:rsidRPr="00304D78">
        <w:rPr>
          <w:rFonts w:asciiTheme="majorHAnsi" w:hAnsiTheme="majorHAnsi"/>
          <w:sz w:val="20"/>
          <w:szCs w:val="20"/>
          <w:lang w:val="es-ES"/>
        </w:rPr>
        <w:t xml:space="preserve"> </w:t>
      </w:r>
      <w:r>
        <w:rPr>
          <w:rFonts w:asciiTheme="majorHAnsi" w:hAnsiTheme="majorHAnsi"/>
          <w:sz w:val="20"/>
          <w:szCs w:val="20"/>
          <w:lang w:val="es-ES"/>
        </w:rPr>
        <w:t xml:space="preserve">quedó sin resolver </w:t>
      </w:r>
      <w:r w:rsidRPr="005205E2">
        <w:rPr>
          <w:rFonts w:asciiTheme="majorHAnsi" w:hAnsiTheme="majorHAnsi"/>
          <w:bCs/>
          <w:sz w:val="20"/>
          <w:szCs w:val="20"/>
          <w:lang w:val="es-ES"/>
        </w:rPr>
        <w:t>la posibilidad de la existencia de discriminación racial</w:t>
      </w:r>
      <w:r w:rsidRPr="00304D78">
        <w:rPr>
          <w:rFonts w:asciiTheme="majorHAnsi" w:hAnsiTheme="majorHAnsi"/>
          <w:sz w:val="20"/>
          <w:szCs w:val="20"/>
          <w:lang w:val="es-ES"/>
        </w:rPr>
        <w:t xml:space="preserve"> </w:t>
      </w:r>
      <w:r>
        <w:rPr>
          <w:rFonts w:asciiTheme="majorHAnsi" w:hAnsiTheme="majorHAnsi"/>
          <w:sz w:val="20"/>
          <w:szCs w:val="20"/>
          <w:lang w:val="es-ES"/>
        </w:rPr>
        <w:t xml:space="preserve">en las </w:t>
      </w:r>
      <w:r w:rsidRPr="005205E2">
        <w:rPr>
          <w:rFonts w:asciiTheme="majorHAnsi" w:hAnsiTheme="majorHAnsi"/>
          <w:sz w:val="20"/>
          <w:szCs w:val="20"/>
          <w:lang w:val="es-ES"/>
        </w:rPr>
        <w:t>decisiones sobre la formulación de cargos punibles con la pena capital</w:t>
      </w:r>
      <w:r>
        <w:rPr>
          <w:rFonts w:asciiTheme="majorHAnsi" w:hAnsiTheme="majorHAnsi"/>
          <w:sz w:val="20"/>
          <w:szCs w:val="20"/>
          <w:lang w:val="es-ES"/>
        </w:rPr>
        <w:t>.</w:t>
      </w:r>
    </w:p>
    <w:p w14:paraId="12AC1B18" w14:textId="77777777" w:rsidR="00110F02" w:rsidRPr="00304D78" w:rsidRDefault="00110F02" w:rsidP="00110F02">
      <w:pPr>
        <w:pStyle w:val="ListParagraph"/>
        <w:rPr>
          <w:rFonts w:asciiTheme="majorHAnsi" w:hAnsiTheme="majorHAnsi"/>
          <w:sz w:val="20"/>
          <w:szCs w:val="20"/>
          <w:lang w:val="es-ES"/>
        </w:rPr>
      </w:pPr>
    </w:p>
    <w:p w14:paraId="6F9825AF" w14:textId="77777777" w:rsidR="00110F02" w:rsidRPr="00F61559"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lang w:val="es-ES"/>
        </w:rPr>
      </w:pPr>
      <w:r w:rsidRPr="00F61559">
        <w:rPr>
          <w:rFonts w:asciiTheme="majorHAnsi" w:hAnsiTheme="majorHAnsi"/>
          <w:sz w:val="20"/>
          <w:szCs w:val="20"/>
          <w:lang w:val="es-ES"/>
        </w:rPr>
        <w:t xml:space="preserve">Sobre la base de las normas interamericanas de derechos humanos antedichas, la Comisión reitera que las distinciones por razones de raza están supeditadas a un escrutinio particularmente riguroso, </w:t>
      </w:r>
      <w:r>
        <w:rPr>
          <w:rFonts w:asciiTheme="majorHAnsi" w:hAnsiTheme="majorHAnsi"/>
          <w:sz w:val="20"/>
          <w:szCs w:val="20"/>
          <w:lang w:val="es-ES"/>
        </w:rPr>
        <w:t xml:space="preserve">lo cual </w:t>
      </w:r>
      <w:r w:rsidRPr="00F61559">
        <w:rPr>
          <w:rFonts w:asciiTheme="majorHAnsi" w:hAnsiTheme="majorHAnsi"/>
          <w:sz w:val="20"/>
          <w:szCs w:val="20"/>
          <w:lang w:val="es-ES"/>
        </w:rPr>
        <w:t xml:space="preserve">requiere que los Estados aduzcan un interés de mucho peso y una justificación imperiosa para efectuar tal distinción. Este escrutinio es incluso más riguroso en este caso debido a la aplicación de la pena de muerte. </w:t>
      </w:r>
    </w:p>
    <w:p w14:paraId="3AEA8CBB" w14:textId="77777777" w:rsidR="00110F02" w:rsidRPr="00F61559" w:rsidRDefault="00110F02" w:rsidP="00110F02">
      <w:pPr>
        <w:pStyle w:val="ListParagraph"/>
        <w:rPr>
          <w:rFonts w:asciiTheme="majorHAnsi" w:hAnsiTheme="majorHAnsi"/>
          <w:sz w:val="20"/>
          <w:szCs w:val="20"/>
          <w:lang w:val="es-ES"/>
        </w:rPr>
      </w:pPr>
    </w:p>
    <w:p w14:paraId="5325B9F9" w14:textId="77777777" w:rsidR="00110F02" w:rsidRPr="00F61559"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lang w:val="es-ES"/>
        </w:rPr>
      </w:pPr>
      <w:r w:rsidRPr="00F61559">
        <w:rPr>
          <w:rFonts w:asciiTheme="majorHAnsi" w:hAnsiTheme="majorHAnsi"/>
          <w:sz w:val="20"/>
          <w:szCs w:val="20"/>
          <w:lang w:val="es-ES"/>
        </w:rPr>
        <w:t xml:space="preserve">Además de </w:t>
      </w:r>
      <w:r w:rsidRPr="00F61559">
        <w:rPr>
          <w:rFonts w:asciiTheme="majorHAnsi" w:hAnsiTheme="majorHAnsi"/>
          <w:bCs/>
          <w:sz w:val="20"/>
          <w:szCs w:val="20"/>
          <w:lang w:val="es-ES"/>
        </w:rPr>
        <w:t>la posibilidad de la existencia de discriminación racial</w:t>
      </w:r>
      <w:r w:rsidRPr="00F61559">
        <w:rPr>
          <w:rFonts w:asciiTheme="majorHAnsi" w:hAnsiTheme="majorHAnsi"/>
          <w:sz w:val="20"/>
          <w:szCs w:val="20"/>
          <w:lang w:val="es-ES"/>
        </w:rPr>
        <w:t xml:space="preserve"> en las decisiones sobre la formulación de cargos punibles con la pena capital, que quedó sin resolver, está la cuestión de la presunta discriminación racial en la selección del jurado. Como reconocieron anteriormente el CERD y la Comisión, </w:t>
      </w:r>
      <w:r w:rsidRPr="00F61559">
        <w:rPr>
          <w:rFonts w:asciiTheme="majorHAnsi" w:hAnsiTheme="majorHAnsi"/>
          <w:bCs/>
          <w:color w:val="auto"/>
          <w:sz w:val="20"/>
          <w:szCs w:val="20"/>
          <w:lang w:val="es-ES"/>
        </w:rPr>
        <w:t xml:space="preserve">las desigualdades estructurales, los estereotipos y los prejuicios se reflejan en el sistema penal. De ahí la importancia de asegurar que la composición del jurado refleje la diversidad racial de la comunidad que represente. </w:t>
      </w:r>
    </w:p>
    <w:p w14:paraId="695C6FB4" w14:textId="77777777" w:rsidR="00110F02" w:rsidRPr="00304D78" w:rsidRDefault="00110F02" w:rsidP="00110F02">
      <w:pPr>
        <w:pStyle w:val="ListParagraph"/>
        <w:rPr>
          <w:rFonts w:asciiTheme="majorHAnsi" w:hAnsiTheme="majorHAnsi"/>
          <w:bCs/>
          <w:color w:val="auto"/>
          <w:sz w:val="20"/>
          <w:szCs w:val="20"/>
          <w:lang w:val="es-ES"/>
        </w:rPr>
      </w:pPr>
    </w:p>
    <w:p w14:paraId="1A363BF6"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lang w:val="es-ES"/>
        </w:rPr>
      </w:pPr>
      <w:r>
        <w:rPr>
          <w:rFonts w:asciiTheme="majorHAnsi" w:hAnsiTheme="majorHAnsi"/>
          <w:sz w:val="20"/>
          <w:szCs w:val="20"/>
          <w:lang w:val="es-ES"/>
        </w:rPr>
        <w:t>E</w:t>
      </w:r>
      <w:r w:rsidRPr="00304D78">
        <w:rPr>
          <w:rFonts w:asciiTheme="majorHAnsi" w:hAnsiTheme="majorHAnsi"/>
          <w:sz w:val="20"/>
          <w:szCs w:val="20"/>
          <w:lang w:val="es-ES"/>
        </w:rPr>
        <w:t xml:space="preserve">n </w:t>
      </w:r>
      <w:r w:rsidRPr="00304D78">
        <w:rPr>
          <w:rFonts w:asciiTheme="majorHAnsi" w:hAnsiTheme="majorHAnsi"/>
          <w:i/>
          <w:sz w:val="20"/>
          <w:szCs w:val="20"/>
          <w:lang w:val="es-ES"/>
        </w:rPr>
        <w:t>Batson</w:t>
      </w:r>
      <w:r>
        <w:rPr>
          <w:rFonts w:asciiTheme="majorHAnsi" w:hAnsiTheme="majorHAnsi"/>
          <w:sz w:val="20"/>
          <w:szCs w:val="20"/>
          <w:lang w:val="es-ES"/>
        </w:rPr>
        <w:t xml:space="preserve">, </w:t>
      </w:r>
      <w:r w:rsidRPr="00304D78">
        <w:rPr>
          <w:rFonts w:asciiTheme="majorHAnsi" w:hAnsiTheme="majorHAnsi"/>
          <w:sz w:val="20"/>
          <w:szCs w:val="20"/>
          <w:lang w:val="es-ES"/>
        </w:rPr>
        <w:t xml:space="preserve">la Corte Suprema de Estados Unidos </w:t>
      </w:r>
      <w:r>
        <w:rPr>
          <w:rFonts w:asciiTheme="majorHAnsi" w:hAnsiTheme="majorHAnsi"/>
          <w:sz w:val="20"/>
          <w:szCs w:val="20"/>
          <w:lang w:val="es-ES"/>
        </w:rPr>
        <w:t xml:space="preserve">dispuso que, si el acusado demuestra que el fiscal excluyó a un posible integrante del jurado por motivos raciales, </w:t>
      </w:r>
      <w:r w:rsidRPr="00C8699C">
        <w:rPr>
          <w:rFonts w:asciiTheme="majorHAnsi" w:hAnsiTheme="majorHAnsi"/>
          <w:sz w:val="20"/>
          <w:szCs w:val="20"/>
          <w:lang w:val="es-ES"/>
        </w:rPr>
        <w:t>corresponde al fiscal proporcionar una explicación neutral desde el punto de vista racial</w:t>
      </w:r>
      <w:r w:rsidRPr="00304D78">
        <w:rPr>
          <w:rFonts w:asciiTheme="majorHAnsi" w:hAnsiTheme="majorHAnsi"/>
          <w:sz w:val="20"/>
          <w:szCs w:val="20"/>
          <w:lang w:val="es-ES"/>
        </w:rPr>
        <w:t xml:space="preserve">. </w:t>
      </w:r>
      <w:r>
        <w:rPr>
          <w:rFonts w:asciiTheme="majorHAnsi" w:hAnsiTheme="majorHAnsi"/>
          <w:sz w:val="20"/>
          <w:szCs w:val="20"/>
          <w:lang w:val="es-ES"/>
        </w:rPr>
        <w:t>E</w:t>
      </w:r>
      <w:r w:rsidRPr="00304D78">
        <w:rPr>
          <w:rFonts w:asciiTheme="majorHAnsi" w:hAnsiTheme="majorHAnsi"/>
          <w:sz w:val="20"/>
          <w:szCs w:val="20"/>
          <w:lang w:val="es-ES"/>
        </w:rPr>
        <w:t xml:space="preserve">n </w:t>
      </w:r>
      <w:r>
        <w:rPr>
          <w:rFonts w:asciiTheme="majorHAnsi" w:hAnsiTheme="majorHAnsi"/>
          <w:sz w:val="20"/>
          <w:szCs w:val="20"/>
          <w:lang w:val="es-ES"/>
        </w:rPr>
        <w:t xml:space="preserve">el caso del </w:t>
      </w:r>
      <w:r w:rsidRPr="00304D78">
        <w:rPr>
          <w:rFonts w:asciiTheme="majorHAnsi" w:hAnsiTheme="majorHAnsi"/>
          <w:sz w:val="20"/>
          <w:szCs w:val="20"/>
          <w:lang w:val="es-ES"/>
        </w:rPr>
        <w:t>señor Robinson</w:t>
      </w:r>
      <w:r>
        <w:rPr>
          <w:rFonts w:asciiTheme="majorHAnsi" w:hAnsiTheme="majorHAnsi"/>
          <w:sz w:val="20"/>
          <w:szCs w:val="20"/>
          <w:lang w:val="es-ES"/>
        </w:rPr>
        <w:t xml:space="preserve">, el fiscal adujo dos razones para </w:t>
      </w:r>
      <w:r w:rsidRPr="00304D78">
        <w:rPr>
          <w:rFonts w:asciiTheme="majorHAnsi" w:hAnsiTheme="majorHAnsi"/>
          <w:sz w:val="20"/>
          <w:szCs w:val="20"/>
          <w:lang w:val="es-ES"/>
        </w:rPr>
        <w:t>recusa</w:t>
      </w:r>
      <w:r>
        <w:rPr>
          <w:rFonts w:asciiTheme="majorHAnsi" w:hAnsiTheme="majorHAnsi"/>
          <w:sz w:val="20"/>
          <w:szCs w:val="20"/>
          <w:lang w:val="es-ES"/>
        </w:rPr>
        <w:t xml:space="preserve">r </w:t>
      </w:r>
      <w:r w:rsidRPr="00304D78">
        <w:rPr>
          <w:rFonts w:asciiTheme="majorHAnsi" w:hAnsiTheme="majorHAnsi"/>
          <w:sz w:val="20"/>
          <w:szCs w:val="20"/>
          <w:lang w:val="es-ES"/>
        </w:rPr>
        <w:t xml:space="preserve">sin causa </w:t>
      </w:r>
      <w:r>
        <w:rPr>
          <w:rFonts w:asciiTheme="majorHAnsi" w:hAnsiTheme="majorHAnsi"/>
          <w:sz w:val="20"/>
          <w:szCs w:val="20"/>
          <w:lang w:val="es-ES"/>
        </w:rPr>
        <w:t>a dos candidatos negros. Una de ellas —</w:t>
      </w:r>
      <w:r w:rsidRPr="00902562">
        <w:rPr>
          <w:rFonts w:asciiTheme="majorHAnsi" w:hAnsiTheme="majorHAnsi"/>
          <w:sz w:val="20"/>
          <w:szCs w:val="20"/>
          <w:lang w:val="es-ES"/>
        </w:rPr>
        <w:t xml:space="preserve">que </w:t>
      </w:r>
      <w:r>
        <w:rPr>
          <w:rFonts w:asciiTheme="majorHAnsi" w:hAnsiTheme="majorHAnsi"/>
          <w:sz w:val="20"/>
          <w:szCs w:val="20"/>
          <w:lang w:val="es-ES"/>
        </w:rPr>
        <w:t xml:space="preserve">también </w:t>
      </w:r>
      <w:r w:rsidRPr="00902562">
        <w:rPr>
          <w:rFonts w:asciiTheme="majorHAnsi" w:hAnsiTheme="majorHAnsi"/>
          <w:sz w:val="20"/>
          <w:szCs w:val="20"/>
          <w:lang w:val="es-ES"/>
        </w:rPr>
        <w:t>había recusado a una candidata blanca que tenía opiniones similares sobre la pena de muerte</w:t>
      </w:r>
      <w:r>
        <w:rPr>
          <w:rFonts w:asciiTheme="majorHAnsi" w:hAnsiTheme="majorHAnsi"/>
          <w:sz w:val="20"/>
          <w:szCs w:val="20"/>
          <w:lang w:val="es-ES"/>
        </w:rPr>
        <w:t>— resultó ser errónea</w:t>
      </w:r>
      <w:r w:rsidRPr="00304D78">
        <w:rPr>
          <w:rFonts w:asciiTheme="majorHAnsi" w:hAnsiTheme="majorHAnsi"/>
          <w:sz w:val="20"/>
          <w:szCs w:val="20"/>
          <w:lang w:val="es-ES"/>
        </w:rPr>
        <w:t xml:space="preserve">. </w:t>
      </w:r>
      <w:r>
        <w:rPr>
          <w:rFonts w:asciiTheme="majorHAnsi" w:hAnsiTheme="majorHAnsi"/>
          <w:sz w:val="20"/>
          <w:szCs w:val="20"/>
          <w:lang w:val="es-ES"/>
        </w:rPr>
        <w:t>Independientemente del error del fiscal</w:t>
      </w:r>
      <w:r w:rsidRPr="00304D78">
        <w:rPr>
          <w:rFonts w:asciiTheme="majorHAnsi" w:hAnsiTheme="majorHAnsi"/>
          <w:sz w:val="20"/>
          <w:szCs w:val="20"/>
          <w:lang w:val="es-ES"/>
        </w:rPr>
        <w:t>, el tribunal de distrito ac</w:t>
      </w:r>
      <w:r>
        <w:rPr>
          <w:rFonts w:asciiTheme="majorHAnsi" w:hAnsiTheme="majorHAnsi"/>
          <w:sz w:val="20"/>
          <w:szCs w:val="20"/>
          <w:lang w:val="es-ES"/>
        </w:rPr>
        <w:t xml:space="preserve">eptó la explicación del motivo por el cual la señora </w:t>
      </w:r>
      <w:r w:rsidRPr="00304D78">
        <w:rPr>
          <w:rFonts w:asciiTheme="majorHAnsi" w:hAnsiTheme="majorHAnsi"/>
          <w:sz w:val="20"/>
          <w:szCs w:val="20"/>
          <w:lang w:val="es-ES"/>
        </w:rPr>
        <w:t>Amarh</w:t>
      </w:r>
      <w:r>
        <w:rPr>
          <w:rFonts w:asciiTheme="majorHAnsi" w:hAnsiTheme="majorHAnsi"/>
          <w:sz w:val="20"/>
          <w:szCs w:val="20"/>
          <w:lang w:val="es-ES"/>
        </w:rPr>
        <w:t xml:space="preserve"> fue recusada</w:t>
      </w:r>
      <w:r w:rsidRPr="00304D78">
        <w:rPr>
          <w:rFonts w:asciiTheme="majorHAnsi" w:hAnsiTheme="majorHAnsi"/>
          <w:sz w:val="20"/>
          <w:szCs w:val="20"/>
          <w:lang w:val="es-ES"/>
        </w:rPr>
        <w:t xml:space="preserve">, </w:t>
      </w:r>
      <w:r>
        <w:rPr>
          <w:rFonts w:asciiTheme="majorHAnsi" w:hAnsiTheme="majorHAnsi"/>
          <w:sz w:val="20"/>
          <w:szCs w:val="20"/>
          <w:lang w:val="es-ES"/>
        </w:rPr>
        <w:t xml:space="preserve">que había sido únicamente las respuestas que ella dio sobre </w:t>
      </w:r>
      <w:r w:rsidRPr="00304D78">
        <w:rPr>
          <w:rFonts w:asciiTheme="majorHAnsi" w:hAnsiTheme="majorHAnsi"/>
          <w:sz w:val="20"/>
          <w:szCs w:val="20"/>
          <w:lang w:val="es-ES"/>
        </w:rPr>
        <w:t xml:space="preserve">la pena de muerte. </w:t>
      </w:r>
      <w:r>
        <w:rPr>
          <w:rFonts w:asciiTheme="majorHAnsi" w:hAnsiTheme="majorHAnsi"/>
          <w:sz w:val="20"/>
          <w:szCs w:val="20"/>
          <w:lang w:val="es-ES"/>
        </w:rPr>
        <w:t>Sin embargo, e</w:t>
      </w:r>
      <w:r w:rsidRPr="00304D78">
        <w:rPr>
          <w:rFonts w:asciiTheme="majorHAnsi" w:hAnsiTheme="majorHAnsi"/>
          <w:sz w:val="20"/>
          <w:szCs w:val="20"/>
          <w:lang w:val="es-ES"/>
        </w:rPr>
        <w:t>l tribunal</w:t>
      </w:r>
      <w:r>
        <w:rPr>
          <w:rFonts w:asciiTheme="majorHAnsi" w:hAnsiTheme="majorHAnsi"/>
          <w:sz w:val="20"/>
          <w:szCs w:val="20"/>
          <w:lang w:val="es-ES"/>
        </w:rPr>
        <w:t xml:space="preserve"> no determinó si las opiniones de la señora Amarh eran similares a las de la señora </w:t>
      </w:r>
      <w:r w:rsidRPr="00304D78">
        <w:rPr>
          <w:rFonts w:asciiTheme="majorHAnsi" w:hAnsiTheme="majorHAnsi"/>
          <w:sz w:val="20"/>
          <w:szCs w:val="20"/>
          <w:lang w:val="es-ES"/>
        </w:rPr>
        <w:t xml:space="preserve">Broadwell. </w:t>
      </w:r>
      <w:r>
        <w:rPr>
          <w:rFonts w:asciiTheme="majorHAnsi" w:hAnsiTheme="majorHAnsi"/>
          <w:sz w:val="20"/>
          <w:szCs w:val="20"/>
          <w:lang w:val="es-ES"/>
        </w:rPr>
        <w:t xml:space="preserve">Según </w:t>
      </w:r>
      <w:r w:rsidRPr="00304D78">
        <w:rPr>
          <w:rFonts w:asciiTheme="majorHAnsi" w:hAnsiTheme="majorHAnsi"/>
          <w:sz w:val="20"/>
          <w:szCs w:val="20"/>
          <w:lang w:val="es-ES"/>
        </w:rPr>
        <w:t xml:space="preserve">la Comisión, </w:t>
      </w:r>
      <w:r>
        <w:rPr>
          <w:rFonts w:asciiTheme="majorHAnsi" w:hAnsiTheme="majorHAnsi"/>
          <w:sz w:val="20"/>
          <w:szCs w:val="20"/>
          <w:lang w:val="es-ES"/>
        </w:rPr>
        <w:t xml:space="preserve">eso era indispensable para determinar si hubo una diferencia en el trato que equivaliera a </w:t>
      </w:r>
      <w:r w:rsidRPr="00304D78">
        <w:rPr>
          <w:rFonts w:asciiTheme="majorHAnsi" w:hAnsiTheme="majorHAnsi"/>
          <w:sz w:val="20"/>
          <w:szCs w:val="20"/>
          <w:lang w:val="es-ES"/>
        </w:rPr>
        <w:t xml:space="preserve">discriminación racial. </w:t>
      </w:r>
      <w:r>
        <w:rPr>
          <w:rFonts w:asciiTheme="majorHAnsi" w:hAnsiTheme="majorHAnsi"/>
          <w:sz w:val="20"/>
          <w:szCs w:val="20"/>
          <w:lang w:val="es-ES"/>
        </w:rPr>
        <w:t xml:space="preserve">En vista del escrutinio particularmente riguroso que se requiere en casos de </w:t>
      </w:r>
      <w:r w:rsidRPr="00304D78">
        <w:rPr>
          <w:rFonts w:asciiTheme="majorHAnsi" w:hAnsiTheme="majorHAnsi"/>
          <w:sz w:val="20"/>
          <w:szCs w:val="20"/>
          <w:lang w:val="es-ES"/>
        </w:rPr>
        <w:t xml:space="preserve">posible discriminación racial, </w:t>
      </w:r>
      <w:r>
        <w:rPr>
          <w:rFonts w:asciiTheme="majorHAnsi" w:hAnsiTheme="majorHAnsi"/>
          <w:sz w:val="20"/>
          <w:szCs w:val="20"/>
          <w:lang w:val="es-ES"/>
        </w:rPr>
        <w:t>más aún en casos de pena de muerte</w:t>
      </w:r>
      <w:r w:rsidRPr="00304D78">
        <w:rPr>
          <w:rFonts w:asciiTheme="majorHAnsi" w:hAnsiTheme="majorHAnsi"/>
          <w:sz w:val="20"/>
          <w:szCs w:val="20"/>
          <w:lang w:val="es-ES"/>
        </w:rPr>
        <w:t>, la Comisión consider</w:t>
      </w:r>
      <w:r>
        <w:rPr>
          <w:rFonts w:asciiTheme="majorHAnsi" w:hAnsiTheme="majorHAnsi"/>
          <w:sz w:val="20"/>
          <w:szCs w:val="20"/>
          <w:lang w:val="es-ES"/>
        </w:rPr>
        <w:t xml:space="preserve">a que ese </w:t>
      </w:r>
      <w:r w:rsidRPr="00304D78">
        <w:rPr>
          <w:rFonts w:asciiTheme="majorHAnsi" w:hAnsiTheme="majorHAnsi"/>
          <w:sz w:val="20"/>
          <w:szCs w:val="20"/>
          <w:lang w:val="es-ES"/>
        </w:rPr>
        <w:t xml:space="preserve">error </w:t>
      </w:r>
      <w:r>
        <w:rPr>
          <w:rFonts w:asciiTheme="majorHAnsi" w:hAnsiTheme="majorHAnsi"/>
          <w:sz w:val="20"/>
          <w:szCs w:val="20"/>
          <w:lang w:val="es-ES"/>
        </w:rPr>
        <w:t xml:space="preserve">sesgó la explicación del fiscal y, por consiguiente, la </w:t>
      </w:r>
      <w:r w:rsidRPr="00304D78">
        <w:rPr>
          <w:rFonts w:asciiTheme="majorHAnsi" w:hAnsiTheme="majorHAnsi"/>
          <w:sz w:val="20"/>
          <w:szCs w:val="20"/>
          <w:lang w:val="es-ES"/>
        </w:rPr>
        <w:t xml:space="preserve">recusación sin causa </w:t>
      </w:r>
      <w:r>
        <w:rPr>
          <w:rFonts w:asciiTheme="majorHAnsi" w:hAnsiTheme="majorHAnsi"/>
          <w:sz w:val="20"/>
          <w:szCs w:val="20"/>
          <w:lang w:val="es-ES"/>
        </w:rPr>
        <w:t>debería haber sido sometida a una revisión exhaustiva.</w:t>
      </w:r>
    </w:p>
    <w:p w14:paraId="2DA7119A" w14:textId="77777777" w:rsidR="00110F02" w:rsidRPr="00304D78" w:rsidRDefault="00110F02" w:rsidP="00110F02">
      <w:pPr>
        <w:pStyle w:val="ListParagraph"/>
        <w:rPr>
          <w:rFonts w:asciiTheme="majorHAnsi" w:hAnsiTheme="majorHAnsi"/>
          <w:sz w:val="20"/>
          <w:szCs w:val="20"/>
          <w:lang w:val="es-ES"/>
        </w:rPr>
      </w:pPr>
    </w:p>
    <w:p w14:paraId="7D5B147D"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sidRPr="00304D78">
        <w:rPr>
          <w:rFonts w:asciiTheme="majorHAnsi" w:hAnsiTheme="majorHAnsi"/>
          <w:sz w:val="20"/>
          <w:szCs w:val="20"/>
          <w:lang w:val="es-ES"/>
        </w:rPr>
        <w:t xml:space="preserve">La Comisión </w:t>
      </w:r>
      <w:r>
        <w:rPr>
          <w:rFonts w:asciiTheme="majorHAnsi" w:hAnsiTheme="majorHAnsi"/>
          <w:sz w:val="20"/>
          <w:szCs w:val="20"/>
          <w:lang w:val="es-ES"/>
        </w:rPr>
        <w:t xml:space="preserve">recalca que las fallas del procedimiento que llevaron a la imposición de </w:t>
      </w:r>
      <w:r w:rsidRPr="00304D78">
        <w:rPr>
          <w:rFonts w:asciiTheme="majorHAnsi" w:hAnsiTheme="majorHAnsi"/>
          <w:sz w:val="20"/>
          <w:szCs w:val="20"/>
          <w:lang w:val="es-ES"/>
        </w:rPr>
        <w:t xml:space="preserve">la pena de muerte </w:t>
      </w:r>
      <w:r>
        <w:rPr>
          <w:rFonts w:asciiTheme="majorHAnsi" w:hAnsiTheme="majorHAnsi"/>
          <w:sz w:val="20"/>
          <w:szCs w:val="20"/>
          <w:lang w:val="es-ES"/>
        </w:rPr>
        <w:t>e</w:t>
      </w:r>
      <w:r w:rsidRPr="00304D78">
        <w:rPr>
          <w:rFonts w:asciiTheme="majorHAnsi" w:hAnsiTheme="majorHAnsi"/>
          <w:sz w:val="20"/>
          <w:szCs w:val="20"/>
          <w:lang w:val="es-ES"/>
        </w:rPr>
        <w:t xml:space="preserve">n </w:t>
      </w:r>
      <w:r>
        <w:rPr>
          <w:rFonts w:asciiTheme="majorHAnsi" w:hAnsiTheme="majorHAnsi"/>
          <w:sz w:val="20"/>
          <w:szCs w:val="20"/>
          <w:lang w:val="es-ES"/>
        </w:rPr>
        <w:t>el caso de</w:t>
      </w:r>
      <w:r w:rsidRPr="00304D78">
        <w:rPr>
          <w:rFonts w:asciiTheme="majorHAnsi" w:hAnsiTheme="majorHAnsi"/>
          <w:sz w:val="20"/>
          <w:szCs w:val="20"/>
          <w:lang w:val="es-ES"/>
        </w:rPr>
        <w:t>l señor Robinson</w:t>
      </w:r>
      <w:r>
        <w:rPr>
          <w:rFonts w:asciiTheme="majorHAnsi" w:hAnsiTheme="majorHAnsi"/>
          <w:sz w:val="20"/>
          <w:szCs w:val="20"/>
          <w:lang w:val="es-ES"/>
        </w:rPr>
        <w:t xml:space="preserve"> se produjeron en un contexto de comprobada </w:t>
      </w:r>
      <w:r w:rsidRPr="00304D78">
        <w:rPr>
          <w:rFonts w:asciiTheme="majorHAnsi" w:hAnsiTheme="majorHAnsi"/>
          <w:sz w:val="20"/>
          <w:szCs w:val="20"/>
          <w:lang w:val="es-ES"/>
        </w:rPr>
        <w:t xml:space="preserve">discriminación racial </w:t>
      </w:r>
      <w:r>
        <w:rPr>
          <w:rFonts w:asciiTheme="majorHAnsi" w:hAnsiTheme="majorHAnsi"/>
          <w:sz w:val="20"/>
          <w:szCs w:val="20"/>
          <w:lang w:val="es-ES"/>
        </w:rPr>
        <w:t>estructural en el sistema de justicia penal estadounidense</w:t>
      </w:r>
      <w:r w:rsidRPr="00304D78">
        <w:rPr>
          <w:rFonts w:asciiTheme="majorHAnsi" w:hAnsiTheme="majorHAnsi"/>
          <w:sz w:val="20"/>
          <w:szCs w:val="20"/>
          <w:lang w:val="es-ES"/>
        </w:rPr>
        <w:t xml:space="preserve">. </w:t>
      </w:r>
      <w:r w:rsidRPr="00902562">
        <w:rPr>
          <w:rFonts w:asciiTheme="majorHAnsi" w:hAnsiTheme="majorHAnsi"/>
          <w:bCs/>
          <w:sz w:val="20"/>
          <w:szCs w:val="20"/>
          <w:lang w:val="es-ES"/>
        </w:rPr>
        <w:t>En vista de la existencia aceptada de disparidades estadísticas debidas a la raza en todas las etapas del proceso de justicia penal</w:t>
      </w:r>
      <w:r w:rsidRPr="00304D78">
        <w:rPr>
          <w:rFonts w:asciiTheme="majorHAnsi" w:hAnsiTheme="majorHAnsi"/>
          <w:bCs/>
          <w:color w:val="auto"/>
          <w:sz w:val="20"/>
          <w:szCs w:val="20"/>
          <w:lang w:val="es-ES"/>
        </w:rPr>
        <w:t>, la Comisión consider</w:t>
      </w:r>
      <w:r>
        <w:rPr>
          <w:rFonts w:asciiTheme="majorHAnsi" w:hAnsiTheme="majorHAnsi"/>
          <w:bCs/>
          <w:color w:val="auto"/>
          <w:sz w:val="20"/>
          <w:szCs w:val="20"/>
          <w:lang w:val="es-ES"/>
        </w:rPr>
        <w:t xml:space="preserve">a que los </w:t>
      </w:r>
      <w:r w:rsidRPr="00304D78">
        <w:rPr>
          <w:rFonts w:asciiTheme="majorHAnsi" w:hAnsiTheme="majorHAnsi"/>
          <w:bCs/>
          <w:color w:val="auto"/>
          <w:sz w:val="20"/>
          <w:szCs w:val="20"/>
          <w:lang w:val="es-ES"/>
        </w:rPr>
        <w:t>tribunal</w:t>
      </w:r>
      <w:r>
        <w:rPr>
          <w:rFonts w:asciiTheme="majorHAnsi" w:hAnsiTheme="majorHAnsi"/>
          <w:bCs/>
          <w:color w:val="auto"/>
          <w:sz w:val="20"/>
          <w:szCs w:val="20"/>
          <w:lang w:val="es-ES"/>
        </w:rPr>
        <w:t>e</w:t>
      </w:r>
      <w:r w:rsidRPr="00304D78">
        <w:rPr>
          <w:rFonts w:asciiTheme="majorHAnsi" w:hAnsiTheme="majorHAnsi"/>
          <w:bCs/>
          <w:color w:val="auto"/>
          <w:sz w:val="20"/>
          <w:szCs w:val="20"/>
          <w:lang w:val="es-ES"/>
        </w:rPr>
        <w:t xml:space="preserve">s </w:t>
      </w:r>
      <w:r>
        <w:rPr>
          <w:rFonts w:asciiTheme="majorHAnsi" w:hAnsiTheme="majorHAnsi"/>
          <w:bCs/>
          <w:color w:val="auto"/>
          <w:sz w:val="20"/>
          <w:szCs w:val="20"/>
          <w:lang w:val="es-ES"/>
        </w:rPr>
        <w:t xml:space="preserve">tenían conocimiento de este </w:t>
      </w:r>
      <w:r w:rsidRPr="00304D78">
        <w:rPr>
          <w:rFonts w:asciiTheme="majorHAnsi" w:hAnsiTheme="majorHAnsi"/>
          <w:bCs/>
          <w:color w:val="auto"/>
          <w:sz w:val="20"/>
          <w:szCs w:val="20"/>
          <w:lang w:val="es-ES"/>
        </w:rPr>
        <w:t>context</w:t>
      </w:r>
      <w:r>
        <w:rPr>
          <w:rFonts w:asciiTheme="majorHAnsi" w:hAnsiTheme="majorHAnsi"/>
          <w:bCs/>
          <w:color w:val="auto"/>
          <w:sz w:val="20"/>
          <w:szCs w:val="20"/>
          <w:lang w:val="es-ES"/>
        </w:rPr>
        <w:t xml:space="preserve">o y </w:t>
      </w:r>
      <w:r w:rsidRPr="00B36478">
        <w:rPr>
          <w:rFonts w:asciiTheme="majorHAnsi" w:hAnsiTheme="majorHAnsi"/>
          <w:bCs/>
          <w:color w:val="auto"/>
          <w:sz w:val="20"/>
          <w:szCs w:val="20"/>
          <w:lang w:val="es-ES"/>
        </w:rPr>
        <w:t>tenían la obligación de realizar una investigación completa e imparcial de la posibilidad de</w:t>
      </w:r>
      <w:r w:rsidRPr="00304D78">
        <w:rPr>
          <w:rFonts w:asciiTheme="majorHAnsi" w:hAnsiTheme="majorHAnsi"/>
          <w:bCs/>
          <w:color w:val="auto"/>
          <w:sz w:val="20"/>
          <w:szCs w:val="20"/>
          <w:lang w:val="es-ES"/>
        </w:rPr>
        <w:t xml:space="preserve"> discriminación racial </w:t>
      </w:r>
      <w:r w:rsidRPr="00B36478">
        <w:rPr>
          <w:rFonts w:asciiTheme="majorHAnsi" w:hAnsiTheme="majorHAnsi"/>
          <w:bCs/>
          <w:color w:val="auto"/>
          <w:sz w:val="20"/>
          <w:szCs w:val="20"/>
          <w:lang w:val="es-ES"/>
        </w:rPr>
        <w:t>en las decisiones sobre la formulación de cargos punibles con la pena capital</w:t>
      </w:r>
      <w:r>
        <w:rPr>
          <w:rFonts w:asciiTheme="majorHAnsi" w:hAnsiTheme="majorHAnsi"/>
          <w:bCs/>
          <w:color w:val="auto"/>
          <w:sz w:val="20"/>
          <w:szCs w:val="20"/>
          <w:lang w:val="es-ES"/>
        </w:rPr>
        <w:t xml:space="preserve"> y en la </w:t>
      </w:r>
      <w:r w:rsidRPr="00304D78">
        <w:rPr>
          <w:rFonts w:asciiTheme="majorHAnsi" w:hAnsiTheme="majorHAnsi"/>
          <w:bCs/>
          <w:color w:val="auto"/>
          <w:sz w:val="20"/>
          <w:szCs w:val="20"/>
          <w:lang w:val="es-ES"/>
        </w:rPr>
        <w:t xml:space="preserve">selección del jurado. </w:t>
      </w:r>
    </w:p>
    <w:p w14:paraId="2A2DED8E" w14:textId="77777777" w:rsidR="00110F02" w:rsidRPr="00304D78" w:rsidRDefault="00110F02" w:rsidP="00110F02">
      <w:pPr>
        <w:pStyle w:val="ListParagraph"/>
        <w:rPr>
          <w:rFonts w:asciiTheme="majorHAnsi" w:hAnsiTheme="majorHAnsi"/>
          <w:bCs/>
          <w:color w:val="auto"/>
          <w:sz w:val="20"/>
          <w:szCs w:val="20"/>
          <w:lang w:val="es-ES"/>
        </w:rPr>
      </w:pPr>
    </w:p>
    <w:p w14:paraId="3EFF3B06"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hAnsiTheme="majorHAnsi"/>
          <w:bCs/>
          <w:color w:val="auto"/>
          <w:sz w:val="20"/>
          <w:szCs w:val="20"/>
          <w:lang w:val="es-ES"/>
        </w:rPr>
        <w:t xml:space="preserve">Como ya ha señalado anteriormente </w:t>
      </w:r>
      <w:r w:rsidRPr="00304D78">
        <w:rPr>
          <w:rFonts w:asciiTheme="majorHAnsi" w:hAnsiTheme="majorHAnsi"/>
          <w:bCs/>
          <w:color w:val="auto"/>
          <w:sz w:val="20"/>
          <w:szCs w:val="20"/>
          <w:lang w:val="es-ES"/>
        </w:rPr>
        <w:t xml:space="preserve">la Comisión, </w:t>
      </w:r>
      <w:r w:rsidRPr="008F76A1">
        <w:rPr>
          <w:rFonts w:asciiTheme="majorHAnsi" w:hAnsiTheme="majorHAnsi"/>
          <w:bCs/>
          <w:color w:val="auto"/>
          <w:sz w:val="20"/>
          <w:szCs w:val="20"/>
          <w:lang w:val="es-ES"/>
        </w:rPr>
        <w:t>las cuestiones del debido proceso y la posible discriminación racial no pueden considerarse de manera aislada: fueron precisamente las deficiencias del debido proceso lo que dejó sin resolver la posibilidad de la existencia de discriminación racial</w:t>
      </w:r>
      <w:r w:rsidRPr="00304D78">
        <w:rPr>
          <w:rFonts w:asciiTheme="majorHAnsi" w:hAnsiTheme="majorHAnsi"/>
          <w:bCs/>
          <w:color w:val="auto"/>
          <w:sz w:val="20"/>
          <w:szCs w:val="20"/>
          <w:lang w:val="es-ES"/>
        </w:rPr>
        <w:t>. La Comisión rec</w:t>
      </w:r>
      <w:r>
        <w:rPr>
          <w:rFonts w:asciiTheme="majorHAnsi" w:hAnsiTheme="majorHAnsi"/>
          <w:bCs/>
          <w:color w:val="auto"/>
          <w:sz w:val="20"/>
          <w:szCs w:val="20"/>
          <w:lang w:val="es-ES"/>
        </w:rPr>
        <w:t>uerda que la obligación de garantizar los derechos humanos de las personas implica la obligación d</w:t>
      </w:r>
      <w:r w:rsidRPr="00304D78">
        <w:rPr>
          <w:rFonts w:asciiTheme="majorHAnsi" w:hAnsiTheme="majorHAnsi"/>
          <w:bCs/>
          <w:color w:val="auto"/>
          <w:sz w:val="20"/>
          <w:szCs w:val="20"/>
          <w:lang w:val="es-ES"/>
        </w:rPr>
        <w:t xml:space="preserve">el Estado </w:t>
      </w:r>
      <w:r>
        <w:rPr>
          <w:rFonts w:asciiTheme="majorHAnsi" w:hAnsiTheme="majorHAnsi"/>
          <w:bCs/>
          <w:color w:val="auto"/>
          <w:sz w:val="20"/>
          <w:szCs w:val="20"/>
          <w:lang w:val="es-ES"/>
        </w:rPr>
        <w:t xml:space="preserve">de tomar todas las medidas necesarias para eliminar los obstáculos que les impidan gozar de los derechos reconocidos en </w:t>
      </w:r>
      <w:r w:rsidRPr="00304D78">
        <w:rPr>
          <w:rFonts w:asciiTheme="majorHAnsi" w:hAnsiTheme="majorHAnsi"/>
          <w:bCs/>
          <w:color w:val="auto"/>
          <w:sz w:val="20"/>
          <w:szCs w:val="20"/>
          <w:lang w:val="es-ES"/>
        </w:rPr>
        <w:t xml:space="preserve">la Declaración Americana. </w:t>
      </w:r>
    </w:p>
    <w:p w14:paraId="6088383C" w14:textId="77777777" w:rsidR="00110F02" w:rsidRPr="00304D78" w:rsidRDefault="00110F02" w:rsidP="00110F02">
      <w:pPr>
        <w:pStyle w:val="ListParagraph"/>
        <w:rPr>
          <w:rFonts w:asciiTheme="majorHAnsi" w:hAnsiTheme="majorHAnsi"/>
          <w:bCs/>
          <w:color w:val="auto"/>
          <w:sz w:val="20"/>
          <w:szCs w:val="20"/>
          <w:lang w:val="es-ES"/>
        </w:rPr>
      </w:pPr>
    </w:p>
    <w:p w14:paraId="64E23494" w14:textId="77777777" w:rsidR="00110F02" w:rsidRPr="00B979C6"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hAnsiTheme="majorHAnsi"/>
          <w:bCs/>
          <w:color w:val="auto"/>
          <w:sz w:val="20"/>
          <w:szCs w:val="20"/>
          <w:lang w:val="es-ES"/>
        </w:rPr>
        <w:t>En su informe antedicho sobre</w:t>
      </w:r>
      <w:r w:rsidRPr="00304D78">
        <w:rPr>
          <w:rFonts w:asciiTheme="majorHAnsi" w:hAnsiTheme="majorHAnsi"/>
          <w:bCs/>
          <w:color w:val="auto"/>
          <w:sz w:val="20"/>
          <w:szCs w:val="20"/>
          <w:lang w:val="es-ES"/>
        </w:rPr>
        <w:t xml:space="preserve"> </w:t>
      </w:r>
      <w:r w:rsidRPr="00304D78">
        <w:rPr>
          <w:rFonts w:asciiTheme="majorHAnsi" w:hAnsiTheme="majorHAnsi"/>
          <w:bCs/>
          <w:i/>
          <w:color w:val="auto"/>
          <w:sz w:val="20"/>
          <w:szCs w:val="20"/>
          <w:lang w:val="es-ES"/>
        </w:rPr>
        <w:t>Violencia policial contra afrodescendientes en Estados Unidos</w:t>
      </w:r>
      <w:r w:rsidRPr="00304D78">
        <w:rPr>
          <w:rFonts w:asciiTheme="majorHAnsi" w:hAnsiTheme="majorHAnsi"/>
          <w:bCs/>
          <w:color w:val="auto"/>
          <w:sz w:val="20"/>
          <w:szCs w:val="20"/>
          <w:lang w:val="es-ES"/>
        </w:rPr>
        <w:t xml:space="preserve">, la Comisión se hizo eco </w:t>
      </w:r>
      <w:r w:rsidRPr="008F76A1">
        <w:rPr>
          <w:rFonts w:asciiTheme="majorHAnsi" w:hAnsiTheme="majorHAnsi"/>
          <w:bCs/>
          <w:color w:val="auto"/>
          <w:sz w:val="20"/>
          <w:szCs w:val="20"/>
          <w:lang w:val="es-ES"/>
        </w:rPr>
        <w:t>de “la preocupación del Comité para la Eliminación de la Discriminación Racial sobre el alcance y la aplicabilidad limitada de la doctrina de los efectos desiguales en los Estados Unidos; en particular, por el hecho de que no está en consonancia con el deber del Estado de ‘prohibir y eliminar la discriminación racial en todas sus formas, incluyendo prácticas y legislación que puedan no ser discriminatorias en sus propósitos, pero que sean discriminatorias en sus efectos’”.</w:t>
      </w:r>
      <w:r>
        <w:rPr>
          <w:rFonts w:asciiTheme="majorHAnsi" w:hAnsiTheme="majorHAnsi"/>
          <w:bCs/>
          <w:color w:val="auto"/>
          <w:sz w:val="20"/>
          <w:szCs w:val="20"/>
          <w:lang w:val="es-ES"/>
        </w:rPr>
        <w:t xml:space="preserve"> </w:t>
      </w:r>
      <w:r w:rsidRPr="00304D78">
        <w:rPr>
          <w:rFonts w:asciiTheme="majorHAnsi" w:hAnsiTheme="majorHAnsi"/>
          <w:bCs/>
          <w:color w:val="auto"/>
          <w:sz w:val="20"/>
          <w:szCs w:val="20"/>
          <w:lang w:val="es-ES"/>
        </w:rPr>
        <w:t>La Comisión reitera</w:t>
      </w:r>
      <w:r>
        <w:rPr>
          <w:rFonts w:asciiTheme="majorHAnsi" w:hAnsiTheme="majorHAnsi"/>
          <w:bCs/>
          <w:color w:val="auto"/>
          <w:sz w:val="20"/>
          <w:szCs w:val="20"/>
          <w:lang w:val="es-ES"/>
        </w:rPr>
        <w:t xml:space="preserve"> la obligación de </w:t>
      </w:r>
      <w:r w:rsidRPr="00304D78">
        <w:rPr>
          <w:rFonts w:asciiTheme="majorHAnsi" w:hAnsiTheme="majorHAnsi"/>
          <w:bCs/>
          <w:color w:val="auto"/>
          <w:sz w:val="20"/>
          <w:szCs w:val="20"/>
          <w:lang w:val="es-ES"/>
        </w:rPr>
        <w:t>Estados Unidos</w:t>
      </w:r>
      <w:r>
        <w:rPr>
          <w:rFonts w:asciiTheme="majorHAnsi" w:hAnsiTheme="majorHAnsi"/>
          <w:bCs/>
          <w:color w:val="auto"/>
          <w:sz w:val="20"/>
          <w:szCs w:val="20"/>
          <w:lang w:val="es-ES"/>
        </w:rPr>
        <w:t xml:space="preserve"> de adoptar todas las </w:t>
      </w:r>
      <w:r>
        <w:rPr>
          <w:rFonts w:asciiTheme="majorHAnsi" w:hAnsiTheme="majorHAnsi"/>
          <w:bCs/>
          <w:color w:val="auto"/>
          <w:sz w:val="20"/>
          <w:szCs w:val="20"/>
          <w:lang w:val="es-ES"/>
        </w:rPr>
        <w:lastRenderedPageBreak/>
        <w:t>medi</w:t>
      </w:r>
      <w:r w:rsidRPr="00B979C6">
        <w:rPr>
          <w:rFonts w:asciiTheme="majorHAnsi" w:hAnsiTheme="majorHAnsi"/>
          <w:bCs/>
          <w:color w:val="auto"/>
          <w:sz w:val="20"/>
          <w:szCs w:val="20"/>
          <w:lang w:val="es-ES"/>
        </w:rPr>
        <w:t>das jurídicas y administrativas necesarias para reconocer y garantizar la igualdad efectiva de todas las personas ante la ley.</w:t>
      </w:r>
    </w:p>
    <w:p w14:paraId="5508095A" w14:textId="77777777" w:rsidR="00110F02" w:rsidRPr="00304D78" w:rsidRDefault="00110F02" w:rsidP="00110F02">
      <w:pPr>
        <w:pStyle w:val="ListParagraph"/>
        <w:rPr>
          <w:rFonts w:asciiTheme="majorHAnsi" w:hAnsiTheme="majorHAnsi"/>
          <w:bCs/>
          <w:color w:val="auto"/>
          <w:sz w:val="20"/>
          <w:szCs w:val="20"/>
          <w:lang w:val="es-ES"/>
        </w:rPr>
      </w:pPr>
    </w:p>
    <w:p w14:paraId="305B97A4"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hAnsiTheme="majorHAnsi"/>
          <w:bCs/>
          <w:color w:val="auto"/>
          <w:sz w:val="20"/>
          <w:szCs w:val="20"/>
          <w:lang w:val="es-ES"/>
        </w:rPr>
        <w:t xml:space="preserve">Sobre esa base, </w:t>
      </w:r>
      <w:r w:rsidRPr="00304D78">
        <w:rPr>
          <w:rFonts w:asciiTheme="majorHAnsi" w:hAnsiTheme="majorHAnsi"/>
          <w:bCs/>
          <w:color w:val="auto"/>
          <w:sz w:val="20"/>
          <w:szCs w:val="20"/>
          <w:lang w:val="es-ES"/>
        </w:rPr>
        <w:t>la CIDH conclu</w:t>
      </w:r>
      <w:r>
        <w:rPr>
          <w:rFonts w:asciiTheme="majorHAnsi" w:hAnsiTheme="majorHAnsi"/>
          <w:bCs/>
          <w:color w:val="auto"/>
          <w:sz w:val="20"/>
          <w:szCs w:val="20"/>
          <w:lang w:val="es-ES"/>
        </w:rPr>
        <w:t xml:space="preserve">ye que </w:t>
      </w:r>
      <w:r w:rsidRPr="00304D78">
        <w:rPr>
          <w:rFonts w:asciiTheme="majorHAnsi" w:hAnsiTheme="majorHAnsi"/>
          <w:bCs/>
          <w:color w:val="auto"/>
          <w:sz w:val="20"/>
          <w:szCs w:val="20"/>
          <w:lang w:val="es-ES"/>
        </w:rPr>
        <w:t xml:space="preserve">Estados Unidos </w:t>
      </w:r>
      <w:r w:rsidRPr="00B979C6">
        <w:rPr>
          <w:rFonts w:asciiTheme="majorHAnsi" w:hAnsiTheme="majorHAnsi"/>
          <w:bCs/>
          <w:color w:val="auto"/>
          <w:sz w:val="20"/>
          <w:szCs w:val="20"/>
          <w:lang w:val="es-ES"/>
        </w:rPr>
        <w:t>es responsable de no haber respondido plenamente a las alegaciones</w:t>
      </w:r>
      <w:r w:rsidRPr="00304D78">
        <w:rPr>
          <w:rFonts w:asciiTheme="majorHAnsi" w:hAnsiTheme="majorHAnsi"/>
          <w:bCs/>
          <w:color w:val="auto"/>
          <w:sz w:val="20"/>
          <w:szCs w:val="20"/>
          <w:lang w:val="es-ES"/>
        </w:rPr>
        <w:t xml:space="preserve"> </w:t>
      </w:r>
      <w:r>
        <w:rPr>
          <w:rFonts w:asciiTheme="majorHAnsi" w:hAnsiTheme="majorHAnsi"/>
          <w:bCs/>
          <w:color w:val="auto"/>
          <w:sz w:val="20"/>
          <w:szCs w:val="20"/>
          <w:lang w:val="es-ES"/>
        </w:rPr>
        <w:t>de</w:t>
      </w:r>
      <w:r w:rsidRPr="00304D78">
        <w:rPr>
          <w:rFonts w:asciiTheme="majorHAnsi" w:hAnsiTheme="majorHAnsi"/>
          <w:bCs/>
          <w:color w:val="auto"/>
          <w:sz w:val="20"/>
          <w:szCs w:val="20"/>
          <w:lang w:val="es-ES"/>
        </w:rPr>
        <w:t xml:space="preserve"> discriminación racial </w:t>
      </w:r>
      <w:r>
        <w:rPr>
          <w:rFonts w:asciiTheme="majorHAnsi" w:hAnsiTheme="majorHAnsi"/>
          <w:bCs/>
          <w:color w:val="auto"/>
          <w:sz w:val="20"/>
          <w:szCs w:val="20"/>
          <w:lang w:val="es-ES"/>
        </w:rPr>
        <w:t>formuladas a lo largo del procedimiento d</w:t>
      </w:r>
      <w:r w:rsidRPr="00304D78">
        <w:rPr>
          <w:rFonts w:asciiTheme="majorHAnsi" w:hAnsiTheme="majorHAnsi"/>
          <w:bCs/>
          <w:color w:val="auto"/>
          <w:sz w:val="20"/>
          <w:szCs w:val="20"/>
          <w:lang w:val="es-ES"/>
        </w:rPr>
        <w:t>el señor Robinson</w:t>
      </w:r>
      <w:r>
        <w:rPr>
          <w:rFonts w:asciiTheme="majorHAnsi" w:hAnsiTheme="majorHAnsi"/>
          <w:bCs/>
          <w:color w:val="auto"/>
          <w:sz w:val="20"/>
          <w:szCs w:val="20"/>
          <w:lang w:val="es-ES"/>
        </w:rPr>
        <w:t xml:space="preserve">, </w:t>
      </w:r>
      <w:r w:rsidRPr="00B979C6">
        <w:rPr>
          <w:rFonts w:asciiTheme="majorHAnsi" w:hAnsiTheme="majorHAnsi"/>
          <w:bCs/>
          <w:color w:val="auto"/>
          <w:sz w:val="20"/>
          <w:szCs w:val="20"/>
          <w:lang w:val="es-ES"/>
        </w:rPr>
        <w:t>de acuerdo con las obligaciones asumidas en virtud del artículo</w:t>
      </w:r>
      <w:r>
        <w:rPr>
          <w:rFonts w:asciiTheme="majorHAnsi" w:hAnsiTheme="majorHAnsi"/>
          <w:bCs/>
          <w:color w:val="auto"/>
          <w:sz w:val="20"/>
          <w:szCs w:val="20"/>
          <w:lang w:val="es-ES"/>
        </w:rPr>
        <w:t xml:space="preserve"> II</w:t>
      </w:r>
      <w:r w:rsidRPr="00304D78">
        <w:rPr>
          <w:rFonts w:asciiTheme="majorHAnsi" w:hAnsiTheme="majorHAnsi"/>
          <w:bCs/>
          <w:color w:val="auto"/>
          <w:sz w:val="20"/>
          <w:szCs w:val="20"/>
          <w:lang w:val="es-ES"/>
        </w:rPr>
        <w:t xml:space="preserve"> la Declaración Americana. </w:t>
      </w:r>
      <w:r w:rsidRPr="00304D78">
        <w:rPr>
          <w:rFonts w:asciiTheme="majorHAnsi" w:hAnsiTheme="majorHAnsi"/>
          <w:sz w:val="20"/>
          <w:szCs w:val="20"/>
          <w:lang w:val="es-ES"/>
        </w:rPr>
        <w:t xml:space="preserve">La CIDH </w:t>
      </w:r>
      <w:r>
        <w:rPr>
          <w:rFonts w:asciiTheme="majorHAnsi" w:hAnsiTheme="majorHAnsi"/>
          <w:sz w:val="20"/>
          <w:szCs w:val="20"/>
          <w:lang w:val="es-ES"/>
        </w:rPr>
        <w:t>concluye asimismo que la falta de acceso de</w:t>
      </w:r>
      <w:r w:rsidRPr="00304D78">
        <w:rPr>
          <w:rFonts w:asciiTheme="majorHAnsi" w:hAnsiTheme="majorHAnsi"/>
          <w:sz w:val="20"/>
          <w:szCs w:val="20"/>
          <w:lang w:val="es-ES"/>
        </w:rPr>
        <w:t>l señor Robinson</w:t>
      </w:r>
      <w:r>
        <w:rPr>
          <w:rFonts w:asciiTheme="majorHAnsi" w:hAnsiTheme="majorHAnsi"/>
          <w:sz w:val="20"/>
          <w:szCs w:val="20"/>
          <w:lang w:val="es-ES"/>
        </w:rPr>
        <w:t xml:space="preserve"> a un </w:t>
      </w:r>
      <w:r w:rsidRPr="00304D78">
        <w:rPr>
          <w:rFonts w:asciiTheme="majorHAnsi" w:hAnsiTheme="majorHAnsi"/>
          <w:sz w:val="20"/>
          <w:szCs w:val="20"/>
          <w:lang w:val="es-ES"/>
        </w:rPr>
        <w:t xml:space="preserve">recurso efectivo </w:t>
      </w:r>
      <w:r>
        <w:rPr>
          <w:rFonts w:asciiTheme="majorHAnsi" w:hAnsiTheme="majorHAnsi"/>
          <w:sz w:val="20"/>
          <w:szCs w:val="20"/>
          <w:lang w:val="es-ES"/>
        </w:rPr>
        <w:t>con respecto a las alegaciones de</w:t>
      </w:r>
      <w:r w:rsidRPr="00304D78">
        <w:rPr>
          <w:rFonts w:asciiTheme="majorHAnsi" w:hAnsiTheme="majorHAnsi"/>
          <w:sz w:val="20"/>
          <w:szCs w:val="20"/>
          <w:lang w:val="es-ES"/>
        </w:rPr>
        <w:t xml:space="preserve"> discriminación racial </w:t>
      </w:r>
      <w:r>
        <w:rPr>
          <w:rFonts w:asciiTheme="majorHAnsi" w:hAnsiTheme="majorHAnsi"/>
          <w:sz w:val="20"/>
          <w:szCs w:val="20"/>
          <w:lang w:val="es-ES"/>
        </w:rPr>
        <w:t xml:space="preserve">constituye una violación del </w:t>
      </w:r>
      <w:r w:rsidRPr="00304D78">
        <w:rPr>
          <w:rFonts w:asciiTheme="majorHAnsi" w:hAnsiTheme="majorHAnsi"/>
          <w:sz w:val="20"/>
          <w:szCs w:val="20"/>
          <w:lang w:val="es-ES"/>
        </w:rPr>
        <w:t xml:space="preserve">artículo XVIII </w:t>
      </w:r>
      <w:r>
        <w:rPr>
          <w:rFonts w:asciiTheme="majorHAnsi" w:hAnsiTheme="majorHAnsi"/>
          <w:sz w:val="20"/>
          <w:szCs w:val="20"/>
          <w:lang w:val="es-ES"/>
        </w:rPr>
        <w:t xml:space="preserve">de </w:t>
      </w:r>
      <w:r w:rsidRPr="00304D78">
        <w:rPr>
          <w:rFonts w:asciiTheme="majorHAnsi" w:hAnsiTheme="majorHAnsi"/>
          <w:sz w:val="20"/>
          <w:szCs w:val="20"/>
          <w:lang w:val="es-ES"/>
        </w:rPr>
        <w:t xml:space="preserve">la Declaración Americana. </w:t>
      </w:r>
    </w:p>
    <w:p w14:paraId="44D52F2B" w14:textId="77777777" w:rsidR="00110F02" w:rsidRPr="00304D78" w:rsidRDefault="00110F02" w:rsidP="00110F02">
      <w:pPr>
        <w:pStyle w:val="ListParagraph"/>
        <w:rPr>
          <w:rFonts w:asciiTheme="majorHAnsi" w:hAnsiTheme="majorHAnsi"/>
          <w:sz w:val="20"/>
          <w:szCs w:val="20"/>
          <w:lang w:val="es-ES"/>
        </w:rPr>
      </w:pPr>
    </w:p>
    <w:p w14:paraId="417F4E20" w14:textId="77777777" w:rsidR="00110F02" w:rsidRPr="00997E8C" w:rsidRDefault="00110F02" w:rsidP="005200DD">
      <w:pPr>
        <w:pStyle w:val="Heading2"/>
        <w:numPr>
          <w:ilvl w:val="0"/>
          <w:numId w:val="62"/>
        </w:numPr>
        <w:spacing w:before="0" w:after="0"/>
        <w:ind w:left="360"/>
        <w:rPr>
          <w:rFonts w:asciiTheme="majorHAnsi" w:hAnsiTheme="majorHAnsi"/>
          <w:i w:val="0"/>
          <w:sz w:val="20"/>
          <w:szCs w:val="20"/>
          <w:lang w:val="es-ES"/>
        </w:rPr>
      </w:pPr>
      <w:bookmarkStart w:id="46" w:name="_Toc22915025"/>
      <w:bookmarkStart w:id="47" w:name="_Toc61514169"/>
      <w:r w:rsidRPr="00997E8C">
        <w:rPr>
          <w:rFonts w:asciiTheme="majorHAnsi" w:hAnsiTheme="majorHAnsi"/>
          <w:i w:val="0"/>
          <w:sz w:val="20"/>
          <w:szCs w:val="20"/>
          <w:lang w:val="es-ES"/>
        </w:rPr>
        <w:t>Derecho de justicia</w:t>
      </w:r>
      <w:r w:rsidRPr="00FC2F24">
        <w:rPr>
          <w:rStyle w:val="FootnoteReference"/>
          <w:rFonts w:asciiTheme="majorHAnsi" w:eastAsia="Cambria" w:hAnsiTheme="majorHAnsi" w:cs="Cambria"/>
          <w:bCs w:val="0"/>
          <w:i w:val="0"/>
          <w:iCs w:val="0"/>
          <w:color w:val="000000"/>
          <w:sz w:val="20"/>
          <w:szCs w:val="20"/>
          <w:u w:color="000000"/>
          <w:bdr w:val="nil"/>
          <w:lang w:val="es-ES" w:eastAsia="es-ES"/>
        </w:rPr>
        <w:footnoteReference w:id="65"/>
      </w:r>
      <w:r w:rsidRPr="00FC2F24">
        <w:rPr>
          <w:rStyle w:val="FootnoteReference"/>
          <w:rFonts w:asciiTheme="majorHAnsi" w:eastAsia="Cambria" w:hAnsiTheme="majorHAnsi" w:cs="Cambria"/>
          <w:bCs w:val="0"/>
          <w:i w:val="0"/>
          <w:iCs w:val="0"/>
          <w:color w:val="000000"/>
          <w:sz w:val="20"/>
          <w:szCs w:val="20"/>
          <w:u w:color="000000"/>
          <w:bdr w:val="nil"/>
          <w:lang w:val="es-ES" w:eastAsia="es-ES"/>
        </w:rPr>
        <w:t xml:space="preserve"> </w:t>
      </w:r>
      <w:r w:rsidRPr="00997E8C">
        <w:rPr>
          <w:rFonts w:asciiTheme="majorHAnsi" w:hAnsiTheme="majorHAnsi"/>
          <w:i w:val="0"/>
          <w:sz w:val="20"/>
          <w:szCs w:val="20"/>
          <w:lang w:val="es-ES"/>
        </w:rPr>
        <w:t>y derecho a proceso regular</w:t>
      </w:r>
      <w:r w:rsidRPr="00FC2F24">
        <w:rPr>
          <w:rStyle w:val="FootnoteReference"/>
          <w:rFonts w:asciiTheme="majorHAnsi" w:eastAsia="Cambria" w:hAnsiTheme="majorHAnsi" w:cs="Cambria"/>
          <w:bCs w:val="0"/>
          <w:i w:val="0"/>
          <w:iCs w:val="0"/>
          <w:color w:val="000000"/>
          <w:sz w:val="20"/>
          <w:szCs w:val="20"/>
          <w:u w:color="000000"/>
          <w:bdr w:val="nil"/>
          <w:lang w:val="es-ES" w:eastAsia="es-ES"/>
        </w:rPr>
        <w:footnoteReference w:id="66"/>
      </w:r>
      <w:bookmarkEnd w:id="46"/>
      <w:bookmarkEnd w:id="47"/>
      <w:r w:rsidRPr="00FC2F24">
        <w:rPr>
          <w:rStyle w:val="FootnoteReference"/>
          <w:rFonts w:eastAsia="Cambria" w:cs="Cambria"/>
          <w:bCs w:val="0"/>
          <w:iCs w:val="0"/>
          <w:color w:val="000000"/>
          <w:u w:color="000000"/>
          <w:bdr w:val="nil"/>
          <w:lang w:val="es-ES" w:eastAsia="es-ES"/>
        </w:rPr>
        <w:t xml:space="preserve"> </w:t>
      </w:r>
    </w:p>
    <w:p w14:paraId="4BE502BB" w14:textId="77777777" w:rsidR="00110F02" w:rsidRPr="00304D78" w:rsidRDefault="00110F02" w:rsidP="00110F02">
      <w:pPr>
        <w:pStyle w:val="NormalWeb"/>
        <w:shd w:val="clear" w:color="auto" w:fill="FFFFFF"/>
        <w:spacing w:before="0" w:beforeAutospacing="0" w:after="0" w:afterAutospacing="0"/>
        <w:jc w:val="both"/>
        <w:rPr>
          <w:rFonts w:asciiTheme="majorHAnsi" w:hAnsiTheme="majorHAnsi"/>
          <w:sz w:val="20"/>
          <w:szCs w:val="20"/>
          <w:lang w:val="es-ES"/>
        </w:rPr>
      </w:pPr>
    </w:p>
    <w:p w14:paraId="2BA6A95C" w14:textId="77777777" w:rsidR="00110F02" w:rsidRPr="00FC2F24" w:rsidRDefault="00110F02" w:rsidP="00FC2F24">
      <w:pPr>
        <w:pStyle w:val="Heading3"/>
        <w:numPr>
          <w:ilvl w:val="3"/>
          <w:numId w:val="53"/>
        </w:numPr>
        <w:spacing w:before="0" w:after="0"/>
        <w:ind w:left="360"/>
        <w:jc w:val="both"/>
        <w:rPr>
          <w:rFonts w:asciiTheme="majorHAnsi" w:hAnsiTheme="majorHAnsi"/>
          <w:sz w:val="20"/>
          <w:szCs w:val="20"/>
          <w:lang w:val="es-ES"/>
        </w:rPr>
      </w:pPr>
      <w:bookmarkStart w:id="48" w:name="_Toc22915026"/>
      <w:bookmarkStart w:id="49" w:name="_Toc61514170"/>
      <w:r w:rsidRPr="00FC2F24">
        <w:rPr>
          <w:rFonts w:asciiTheme="majorHAnsi" w:hAnsiTheme="majorHAnsi"/>
          <w:sz w:val="20"/>
          <w:szCs w:val="20"/>
          <w:lang w:val="es-ES"/>
        </w:rPr>
        <w:t>Uso de delitos sobre los cuales no se ha dictado sentencia y de la peligrosidad futura en la imposición de la pena de muerte</w:t>
      </w:r>
      <w:bookmarkEnd w:id="48"/>
      <w:bookmarkEnd w:id="49"/>
    </w:p>
    <w:p w14:paraId="33BBF7B4" w14:textId="77777777" w:rsidR="00110F02" w:rsidRPr="00304D78" w:rsidRDefault="00110F02" w:rsidP="00110F02">
      <w:pPr>
        <w:rPr>
          <w:rFonts w:asciiTheme="majorHAnsi" w:hAnsiTheme="majorHAnsi"/>
          <w:sz w:val="20"/>
          <w:szCs w:val="20"/>
          <w:lang w:val="es-ES"/>
        </w:rPr>
      </w:pPr>
    </w:p>
    <w:p w14:paraId="4D1A8098"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Pr>
          <w:rFonts w:asciiTheme="majorHAnsi" w:hAnsiTheme="majorHAnsi"/>
          <w:bCs/>
          <w:color w:val="auto"/>
          <w:sz w:val="20"/>
          <w:szCs w:val="20"/>
          <w:lang w:val="es-ES"/>
        </w:rPr>
        <w:t xml:space="preserve">En el caso de </w:t>
      </w:r>
      <w:r w:rsidRPr="00304D78">
        <w:rPr>
          <w:rFonts w:asciiTheme="majorHAnsi" w:hAnsiTheme="majorHAnsi"/>
          <w:bCs/>
          <w:color w:val="auto"/>
          <w:sz w:val="20"/>
          <w:szCs w:val="20"/>
          <w:lang w:val="es-ES"/>
        </w:rPr>
        <w:t xml:space="preserve">Juan Raúl Garza, </w:t>
      </w:r>
      <w:r>
        <w:rPr>
          <w:rFonts w:asciiTheme="majorHAnsi" w:hAnsiTheme="majorHAnsi"/>
          <w:bCs/>
          <w:color w:val="auto"/>
          <w:sz w:val="20"/>
          <w:szCs w:val="20"/>
          <w:lang w:val="es-ES"/>
        </w:rPr>
        <w:t xml:space="preserve">que fue enjuiciado y condenado por un jurado de </w:t>
      </w:r>
      <w:r w:rsidRPr="00304D78">
        <w:rPr>
          <w:rFonts w:asciiTheme="majorHAnsi" w:hAnsiTheme="majorHAnsi"/>
          <w:bCs/>
          <w:color w:val="auto"/>
          <w:sz w:val="20"/>
          <w:szCs w:val="20"/>
          <w:lang w:val="es-ES"/>
        </w:rPr>
        <w:t xml:space="preserve">Texas </w:t>
      </w:r>
      <w:r>
        <w:rPr>
          <w:rFonts w:asciiTheme="majorHAnsi" w:hAnsiTheme="majorHAnsi"/>
          <w:bCs/>
          <w:color w:val="auto"/>
          <w:sz w:val="20"/>
          <w:szCs w:val="20"/>
          <w:lang w:val="es-ES"/>
        </w:rPr>
        <w:t xml:space="preserve">en el orden </w:t>
      </w:r>
      <w:r w:rsidRPr="00304D78">
        <w:rPr>
          <w:rFonts w:asciiTheme="majorHAnsi" w:hAnsiTheme="majorHAnsi"/>
          <w:bCs/>
          <w:color w:val="auto"/>
          <w:sz w:val="20"/>
          <w:szCs w:val="20"/>
          <w:lang w:val="es-ES"/>
        </w:rPr>
        <w:t xml:space="preserve">federal </w:t>
      </w:r>
      <w:r>
        <w:rPr>
          <w:rFonts w:asciiTheme="majorHAnsi" w:hAnsiTheme="majorHAnsi"/>
          <w:bCs/>
          <w:color w:val="auto"/>
          <w:sz w:val="20"/>
          <w:szCs w:val="20"/>
          <w:lang w:val="es-ES"/>
        </w:rPr>
        <w:t>por tres cargos de homicidio en el marco de actividades delictivas continuas</w:t>
      </w:r>
      <w:r w:rsidRPr="00304D78">
        <w:rPr>
          <w:rFonts w:asciiTheme="majorHAnsi" w:hAnsiTheme="majorHAnsi"/>
          <w:bCs/>
          <w:color w:val="auto"/>
          <w:sz w:val="20"/>
          <w:szCs w:val="20"/>
          <w:lang w:val="es-ES"/>
        </w:rPr>
        <w:t xml:space="preserve">, la CIDH </w:t>
      </w:r>
      <w:r>
        <w:rPr>
          <w:rFonts w:asciiTheme="majorHAnsi" w:hAnsiTheme="majorHAnsi"/>
          <w:bCs/>
          <w:color w:val="auto"/>
          <w:sz w:val="20"/>
          <w:szCs w:val="20"/>
          <w:lang w:val="es-ES"/>
        </w:rPr>
        <w:t>dictaminó que la conducta del</w:t>
      </w:r>
      <w:r w:rsidRPr="00304D78">
        <w:rPr>
          <w:rFonts w:asciiTheme="majorHAnsi" w:hAnsiTheme="majorHAnsi"/>
          <w:bCs/>
          <w:color w:val="auto"/>
          <w:sz w:val="20"/>
          <w:szCs w:val="20"/>
          <w:lang w:val="es-ES"/>
        </w:rPr>
        <w:t xml:space="preserve"> Estado</w:t>
      </w:r>
      <w:r>
        <w:rPr>
          <w:rFonts w:asciiTheme="majorHAnsi" w:hAnsiTheme="majorHAnsi"/>
          <w:bCs/>
          <w:color w:val="auto"/>
          <w:sz w:val="20"/>
          <w:szCs w:val="20"/>
          <w:lang w:val="es-ES"/>
        </w:rPr>
        <w:t xml:space="preserve">, al introducir pruebas de </w:t>
      </w:r>
      <w:r w:rsidRPr="0084159C">
        <w:rPr>
          <w:rFonts w:asciiTheme="majorHAnsi" w:hAnsiTheme="majorHAnsi"/>
          <w:bCs/>
          <w:color w:val="auto"/>
          <w:sz w:val="20"/>
          <w:szCs w:val="20"/>
          <w:lang w:val="es-ES"/>
        </w:rPr>
        <w:t>delitos sobre los cuales no se ha</w:t>
      </w:r>
      <w:r>
        <w:rPr>
          <w:rFonts w:asciiTheme="majorHAnsi" w:hAnsiTheme="majorHAnsi"/>
          <w:bCs/>
          <w:color w:val="auto"/>
          <w:sz w:val="20"/>
          <w:szCs w:val="20"/>
          <w:lang w:val="es-ES"/>
        </w:rPr>
        <w:t>bía</w:t>
      </w:r>
      <w:r w:rsidRPr="0084159C">
        <w:rPr>
          <w:rFonts w:asciiTheme="majorHAnsi" w:hAnsiTheme="majorHAnsi"/>
          <w:bCs/>
          <w:color w:val="auto"/>
          <w:sz w:val="20"/>
          <w:szCs w:val="20"/>
          <w:lang w:val="es-ES"/>
        </w:rPr>
        <w:t xml:space="preserve"> dictado sentencia</w:t>
      </w:r>
      <w:r w:rsidRPr="00304D78">
        <w:rPr>
          <w:rFonts w:asciiTheme="majorHAnsi" w:hAnsiTheme="majorHAnsi"/>
          <w:bCs/>
          <w:color w:val="auto"/>
          <w:sz w:val="20"/>
          <w:szCs w:val="20"/>
          <w:lang w:val="es-ES"/>
        </w:rPr>
        <w:t xml:space="preserve"> dur</w:t>
      </w:r>
      <w:r>
        <w:rPr>
          <w:rFonts w:asciiTheme="majorHAnsi" w:hAnsiTheme="majorHAnsi"/>
          <w:bCs/>
          <w:color w:val="auto"/>
          <w:sz w:val="20"/>
          <w:szCs w:val="20"/>
          <w:lang w:val="es-ES"/>
        </w:rPr>
        <w:t xml:space="preserve">ante la audiencia de lectura de sentencia en un caso de pena capital, infringía el derecho del </w:t>
      </w:r>
      <w:r w:rsidRPr="00304D78">
        <w:rPr>
          <w:rFonts w:asciiTheme="majorHAnsi" w:hAnsiTheme="majorHAnsi"/>
          <w:bCs/>
          <w:color w:val="auto"/>
          <w:sz w:val="20"/>
          <w:szCs w:val="20"/>
          <w:lang w:val="es-ES"/>
        </w:rPr>
        <w:t>señor Garza</w:t>
      </w:r>
      <w:r>
        <w:rPr>
          <w:rFonts w:asciiTheme="majorHAnsi" w:hAnsiTheme="majorHAnsi"/>
          <w:bCs/>
          <w:color w:val="auto"/>
          <w:sz w:val="20"/>
          <w:szCs w:val="20"/>
          <w:lang w:val="es-ES"/>
        </w:rPr>
        <w:t xml:space="preserve"> a un juicio imparcial, así como su der</w:t>
      </w:r>
      <w:r w:rsidRPr="00304D78">
        <w:rPr>
          <w:rFonts w:asciiTheme="majorHAnsi" w:hAnsiTheme="majorHAnsi"/>
          <w:bCs/>
          <w:color w:val="auto"/>
          <w:sz w:val="20"/>
          <w:szCs w:val="20"/>
          <w:lang w:val="es-ES"/>
        </w:rPr>
        <w:t>echo a proceso regular</w:t>
      </w:r>
      <w:r>
        <w:rPr>
          <w:rFonts w:asciiTheme="majorHAnsi" w:hAnsiTheme="majorHAnsi"/>
          <w:bCs/>
          <w:color w:val="auto"/>
          <w:sz w:val="20"/>
          <w:szCs w:val="20"/>
          <w:lang w:val="es-ES"/>
        </w:rPr>
        <w:t>,</w:t>
      </w:r>
      <w:r w:rsidRPr="00304D78">
        <w:rPr>
          <w:rFonts w:asciiTheme="majorHAnsi" w:hAnsiTheme="majorHAnsi"/>
          <w:bCs/>
          <w:color w:val="auto"/>
          <w:sz w:val="20"/>
          <w:szCs w:val="20"/>
          <w:lang w:val="es-ES"/>
        </w:rPr>
        <w:t xml:space="preserve"> </w:t>
      </w:r>
      <w:r>
        <w:rPr>
          <w:rFonts w:asciiTheme="majorHAnsi" w:hAnsiTheme="majorHAnsi"/>
          <w:bCs/>
          <w:color w:val="auto"/>
          <w:sz w:val="20"/>
          <w:szCs w:val="20"/>
          <w:lang w:val="es-ES"/>
        </w:rPr>
        <w:t xml:space="preserve">de conformidad con los </w:t>
      </w:r>
      <w:r w:rsidRPr="00304D78">
        <w:rPr>
          <w:rFonts w:asciiTheme="majorHAnsi" w:hAnsiTheme="majorHAnsi"/>
          <w:bCs/>
          <w:color w:val="auto"/>
          <w:sz w:val="20"/>
          <w:szCs w:val="20"/>
          <w:lang w:val="es-ES"/>
        </w:rPr>
        <w:t xml:space="preserve">artículos XVIII </w:t>
      </w:r>
      <w:r>
        <w:rPr>
          <w:rFonts w:asciiTheme="majorHAnsi" w:hAnsiTheme="majorHAnsi"/>
          <w:bCs/>
          <w:color w:val="auto"/>
          <w:sz w:val="20"/>
          <w:szCs w:val="20"/>
          <w:lang w:val="es-ES"/>
        </w:rPr>
        <w:t>y</w:t>
      </w:r>
      <w:r w:rsidRPr="00304D78">
        <w:rPr>
          <w:rFonts w:asciiTheme="majorHAnsi" w:hAnsiTheme="majorHAnsi"/>
          <w:bCs/>
          <w:color w:val="auto"/>
          <w:sz w:val="20"/>
          <w:szCs w:val="20"/>
          <w:lang w:val="es-ES"/>
        </w:rPr>
        <w:t xml:space="preserve"> XXVI </w:t>
      </w:r>
      <w:r>
        <w:rPr>
          <w:rFonts w:asciiTheme="majorHAnsi" w:hAnsiTheme="majorHAnsi"/>
          <w:bCs/>
          <w:color w:val="auto"/>
          <w:sz w:val="20"/>
          <w:szCs w:val="20"/>
          <w:lang w:val="es-ES"/>
        </w:rPr>
        <w:t xml:space="preserve">de </w:t>
      </w:r>
      <w:r w:rsidRPr="00304D78">
        <w:rPr>
          <w:rFonts w:asciiTheme="majorHAnsi" w:hAnsiTheme="majorHAnsi"/>
          <w:bCs/>
          <w:color w:val="auto"/>
          <w:sz w:val="20"/>
          <w:szCs w:val="20"/>
          <w:lang w:val="es-ES"/>
        </w:rPr>
        <w:t>la Declaración Americana</w:t>
      </w:r>
      <w:r w:rsidRPr="00304D78">
        <w:rPr>
          <w:rStyle w:val="FootnoteReference"/>
          <w:rFonts w:asciiTheme="majorHAnsi" w:hAnsiTheme="majorHAnsi"/>
          <w:sz w:val="20"/>
          <w:szCs w:val="20"/>
          <w:lang w:val="es-ES"/>
        </w:rPr>
        <w:footnoteReference w:id="67"/>
      </w:r>
      <w:r>
        <w:rPr>
          <w:rFonts w:asciiTheme="majorHAnsi" w:hAnsiTheme="majorHAnsi"/>
          <w:bCs/>
          <w:color w:val="auto"/>
          <w:sz w:val="20"/>
          <w:szCs w:val="20"/>
          <w:lang w:val="es-ES"/>
        </w:rPr>
        <w:t xml:space="preserve">. Este fue el primer caso en el cual </w:t>
      </w:r>
      <w:r w:rsidRPr="00304D78">
        <w:rPr>
          <w:rFonts w:asciiTheme="majorHAnsi" w:hAnsiTheme="majorHAnsi"/>
          <w:bCs/>
          <w:color w:val="auto"/>
          <w:sz w:val="20"/>
          <w:szCs w:val="20"/>
          <w:lang w:val="es-ES"/>
        </w:rPr>
        <w:t>la Comisión consider</w:t>
      </w:r>
      <w:r>
        <w:rPr>
          <w:rFonts w:asciiTheme="majorHAnsi" w:hAnsiTheme="majorHAnsi"/>
          <w:bCs/>
          <w:color w:val="auto"/>
          <w:sz w:val="20"/>
          <w:szCs w:val="20"/>
          <w:lang w:val="es-ES"/>
        </w:rPr>
        <w:t xml:space="preserve">ó la </w:t>
      </w:r>
      <w:r w:rsidRPr="00304D78">
        <w:rPr>
          <w:rFonts w:asciiTheme="majorHAnsi" w:hAnsiTheme="majorHAnsi"/>
          <w:bCs/>
          <w:color w:val="auto"/>
          <w:sz w:val="20"/>
          <w:szCs w:val="20"/>
          <w:lang w:val="es-ES"/>
        </w:rPr>
        <w:t>compatibili</w:t>
      </w:r>
      <w:r>
        <w:rPr>
          <w:rFonts w:asciiTheme="majorHAnsi" w:hAnsiTheme="majorHAnsi"/>
          <w:bCs/>
          <w:color w:val="auto"/>
          <w:sz w:val="20"/>
          <w:szCs w:val="20"/>
          <w:lang w:val="es-ES"/>
        </w:rPr>
        <w:t xml:space="preserve">dad con </w:t>
      </w:r>
      <w:r w:rsidRPr="00304D78">
        <w:rPr>
          <w:rFonts w:asciiTheme="majorHAnsi" w:hAnsiTheme="majorHAnsi"/>
          <w:bCs/>
          <w:color w:val="auto"/>
          <w:sz w:val="20"/>
          <w:szCs w:val="20"/>
          <w:lang w:val="es-ES"/>
        </w:rPr>
        <w:t xml:space="preserve">la Declaración Americana </w:t>
      </w:r>
      <w:r>
        <w:rPr>
          <w:rFonts w:asciiTheme="majorHAnsi" w:hAnsiTheme="majorHAnsi"/>
          <w:bCs/>
          <w:color w:val="auto"/>
          <w:sz w:val="20"/>
          <w:szCs w:val="20"/>
          <w:lang w:val="es-ES"/>
        </w:rPr>
        <w:t xml:space="preserve">del uso de pruebas </w:t>
      </w:r>
      <w:r w:rsidRPr="00023660">
        <w:rPr>
          <w:rFonts w:asciiTheme="majorHAnsi" w:hAnsiTheme="majorHAnsi"/>
          <w:bCs/>
          <w:color w:val="auto"/>
          <w:sz w:val="20"/>
          <w:szCs w:val="20"/>
          <w:lang w:val="es-ES"/>
        </w:rPr>
        <w:t xml:space="preserve">de delitos </w:t>
      </w:r>
      <w:r>
        <w:rPr>
          <w:rFonts w:asciiTheme="majorHAnsi" w:hAnsiTheme="majorHAnsi"/>
          <w:bCs/>
          <w:color w:val="auto"/>
          <w:sz w:val="20"/>
          <w:szCs w:val="20"/>
          <w:lang w:val="es-ES"/>
        </w:rPr>
        <w:t xml:space="preserve">de ese tipo </w:t>
      </w:r>
      <w:r w:rsidRPr="00023660">
        <w:rPr>
          <w:rFonts w:asciiTheme="majorHAnsi" w:hAnsiTheme="majorHAnsi"/>
          <w:bCs/>
          <w:color w:val="auto"/>
          <w:sz w:val="20"/>
          <w:szCs w:val="20"/>
          <w:lang w:val="es-ES"/>
        </w:rPr>
        <w:t xml:space="preserve">durante la audiencia de lectura de sentencia en </w:t>
      </w:r>
      <w:r>
        <w:rPr>
          <w:rFonts w:asciiTheme="majorHAnsi" w:hAnsiTheme="majorHAnsi"/>
          <w:bCs/>
          <w:color w:val="auto"/>
          <w:sz w:val="20"/>
          <w:szCs w:val="20"/>
          <w:lang w:val="es-ES"/>
        </w:rPr>
        <w:t>los</w:t>
      </w:r>
      <w:r w:rsidRPr="00023660">
        <w:rPr>
          <w:rFonts w:asciiTheme="majorHAnsi" w:hAnsiTheme="majorHAnsi"/>
          <w:bCs/>
          <w:color w:val="auto"/>
          <w:sz w:val="20"/>
          <w:szCs w:val="20"/>
          <w:lang w:val="es-ES"/>
        </w:rPr>
        <w:t xml:space="preserve"> caso</w:t>
      </w:r>
      <w:r>
        <w:rPr>
          <w:rFonts w:asciiTheme="majorHAnsi" w:hAnsiTheme="majorHAnsi"/>
          <w:bCs/>
          <w:color w:val="auto"/>
          <w:sz w:val="20"/>
          <w:szCs w:val="20"/>
          <w:lang w:val="es-ES"/>
        </w:rPr>
        <w:t>s</w:t>
      </w:r>
      <w:r w:rsidRPr="00023660">
        <w:rPr>
          <w:rFonts w:asciiTheme="majorHAnsi" w:hAnsiTheme="majorHAnsi"/>
          <w:bCs/>
          <w:color w:val="auto"/>
          <w:sz w:val="20"/>
          <w:szCs w:val="20"/>
          <w:lang w:val="es-ES"/>
        </w:rPr>
        <w:t xml:space="preserve"> de pena capital</w:t>
      </w:r>
      <w:r w:rsidRPr="00304D78">
        <w:rPr>
          <w:rFonts w:asciiTheme="majorHAnsi" w:hAnsiTheme="majorHAnsi"/>
          <w:bCs/>
          <w:color w:val="auto"/>
          <w:sz w:val="20"/>
          <w:szCs w:val="20"/>
          <w:lang w:val="es-ES"/>
        </w:rPr>
        <w:t>.</w:t>
      </w:r>
    </w:p>
    <w:p w14:paraId="0CC416A5"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rFonts w:asciiTheme="majorHAnsi" w:hAnsiTheme="majorHAnsi"/>
          <w:bCs/>
          <w:color w:val="auto"/>
          <w:sz w:val="20"/>
          <w:szCs w:val="20"/>
          <w:lang w:val="es-ES"/>
        </w:rPr>
      </w:pPr>
    </w:p>
    <w:p w14:paraId="59A58019"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lang w:val="es-ES"/>
        </w:rPr>
      </w:pPr>
      <w:r w:rsidRPr="00304D78">
        <w:rPr>
          <w:rFonts w:asciiTheme="majorHAnsi" w:hAnsiTheme="majorHAnsi"/>
          <w:bCs/>
          <w:color w:val="auto"/>
          <w:sz w:val="20"/>
          <w:szCs w:val="20"/>
          <w:lang w:val="es-ES"/>
        </w:rPr>
        <w:t xml:space="preserve">La CIDH </w:t>
      </w:r>
      <w:r>
        <w:rPr>
          <w:rFonts w:asciiTheme="majorHAnsi" w:hAnsiTheme="majorHAnsi"/>
          <w:bCs/>
          <w:color w:val="auto"/>
          <w:sz w:val="20"/>
          <w:szCs w:val="20"/>
          <w:lang w:val="es-ES"/>
        </w:rPr>
        <w:t xml:space="preserve">afirmó que </w:t>
      </w:r>
      <w:r w:rsidRPr="00304D78">
        <w:rPr>
          <w:rFonts w:asciiTheme="majorHAnsi" w:hAnsiTheme="majorHAnsi"/>
          <w:bCs/>
          <w:color w:val="auto"/>
          <w:sz w:val="20"/>
          <w:szCs w:val="20"/>
          <w:lang w:val="es-ES"/>
        </w:rPr>
        <w:t>“</w:t>
      </w:r>
      <w:r w:rsidRPr="00023660">
        <w:rPr>
          <w:rFonts w:asciiTheme="majorHAnsi" w:hAnsiTheme="majorHAnsi"/>
          <w:bCs/>
          <w:color w:val="auto"/>
          <w:sz w:val="20"/>
          <w:szCs w:val="20"/>
          <w:lang w:val="es-ES"/>
        </w:rPr>
        <w:t>hay una distinción significativa y fundamental entre la presentación de pruebas de factores atenuantes y agravantes sobre las circunstancias de una persona acusada o su delito</w:t>
      </w:r>
      <w:r w:rsidRPr="00304D78">
        <w:rPr>
          <w:rFonts w:asciiTheme="majorHAnsi" w:hAnsiTheme="majorHAnsi"/>
          <w:bCs/>
          <w:color w:val="auto"/>
          <w:sz w:val="20"/>
          <w:szCs w:val="20"/>
          <w:lang w:val="es-ES"/>
        </w:rPr>
        <w:t xml:space="preserve">” </w:t>
      </w:r>
      <w:r>
        <w:rPr>
          <w:rFonts w:asciiTheme="majorHAnsi" w:hAnsiTheme="majorHAnsi"/>
          <w:bCs/>
          <w:color w:val="auto"/>
          <w:sz w:val="20"/>
          <w:szCs w:val="20"/>
          <w:lang w:val="es-ES"/>
        </w:rPr>
        <w:t>y la introducción de pruebas con el fin de demostrar la culpabilidad de delitos anteriores sobre los que nunca se dictó sentencia</w:t>
      </w:r>
      <w:r w:rsidRPr="00304D78">
        <w:rPr>
          <w:rStyle w:val="FootnoteReference"/>
          <w:rFonts w:asciiTheme="majorHAnsi" w:hAnsiTheme="majorHAnsi"/>
          <w:sz w:val="20"/>
          <w:szCs w:val="20"/>
          <w:lang w:val="es-ES"/>
        </w:rPr>
        <w:footnoteReference w:id="68"/>
      </w:r>
      <w:r>
        <w:rPr>
          <w:rFonts w:asciiTheme="majorHAnsi" w:hAnsiTheme="majorHAnsi"/>
          <w:bCs/>
          <w:color w:val="auto"/>
          <w:sz w:val="20"/>
          <w:szCs w:val="20"/>
          <w:lang w:val="es-ES"/>
        </w:rPr>
        <w:t>.</w:t>
      </w:r>
      <w:r w:rsidRPr="00304D78">
        <w:rPr>
          <w:rStyle w:val="FootnoteReference"/>
          <w:lang w:val="es-ES"/>
        </w:rPr>
        <w:t xml:space="preserve"> </w:t>
      </w:r>
      <w:r w:rsidRPr="00304D78">
        <w:rPr>
          <w:rFonts w:asciiTheme="majorHAnsi" w:hAnsiTheme="majorHAnsi"/>
          <w:bCs/>
          <w:color w:val="auto"/>
          <w:sz w:val="20"/>
          <w:szCs w:val="20"/>
          <w:lang w:val="es-ES"/>
        </w:rPr>
        <w:t>La Comisión recom</w:t>
      </w:r>
      <w:r>
        <w:rPr>
          <w:rFonts w:asciiTheme="majorHAnsi" w:hAnsiTheme="majorHAnsi"/>
          <w:bCs/>
          <w:color w:val="auto"/>
          <w:sz w:val="20"/>
          <w:szCs w:val="20"/>
          <w:lang w:val="es-ES"/>
        </w:rPr>
        <w:t xml:space="preserve">endó a </w:t>
      </w:r>
      <w:r w:rsidRPr="00304D78">
        <w:rPr>
          <w:rFonts w:asciiTheme="majorHAnsi" w:hAnsiTheme="majorHAnsi"/>
          <w:bCs/>
          <w:color w:val="auto"/>
          <w:sz w:val="20"/>
          <w:szCs w:val="20"/>
          <w:lang w:val="es-ES"/>
        </w:rPr>
        <w:t xml:space="preserve">Estados Unidos </w:t>
      </w:r>
      <w:r>
        <w:rPr>
          <w:rFonts w:asciiTheme="majorHAnsi" w:hAnsiTheme="majorHAnsi"/>
          <w:bCs/>
          <w:color w:val="auto"/>
          <w:sz w:val="20"/>
          <w:szCs w:val="20"/>
          <w:lang w:val="es-ES"/>
        </w:rPr>
        <w:t xml:space="preserve">que prohibiera la introducción de pruebas de delitos </w:t>
      </w:r>
      <w:r w:rsidRPr="0001520E">
        <w:rPr>
          <w:rFonts w:asciiTheme="majorHAnsi" w:hAnsiTheme="majorHAnsi"/>
          <w:bCs/>
          <w:color w:val="auto"/>
          <w:sz w:val="20"/>
          <w:szCs w:val="20"/>
          <w:lang w:val="es-ES"/>
        </w:rPr>
        <w:t>sobre los cuales no se había dictado sentencia durante la</w:t>
      </w:r>
      <w:r w:rsidRPr="00304D78">
        <w:rPr>
          <w:rFonts w:asciiTheme="majorHAnsi" w:hAnsiTheme="majorHAnsi"/>
          <w:bCs/>
          <w:color w:val="auto"/>
          <w:sz w:val="20"/>
          <w:szCs w:val="20"/>
          <w:lang w:val="es-ES"/>
        </w:rPr>
        <w:t xml:space="preserve"> </w:t>
      </w:r>
      <w:r>
        <w:rPr>
          <w:rFonts w:asciiTheme="majorHAnsi" w:hAnsiTheme="majorHAnsi"/>
          <w:bCs/>
          <w:color w:val="auto"/>
          <w:sz w:val="20"/>
          <w:szCs w:val="20"/>
          <w:lang w:val="es-ES"/>
        </w:rPr>
        <w:t xml:space="preserve">etapa de la sentencia de los juicios por delitos punibles con la pena de muerte. En los casos de </w:t>
      </w:r>
      <w:r w:rsidRPr="00304D78">
        <w:rPr>
          <w:rFonts w:asciiTheme="majorHAnsi" w:hAnsiTheme="majorHAnsi"/>
          <w:bCs/>
          <w:color w:val="auto"/>
          <w:sz w:val="20"/>
          <w:szCs w:val="20"/>
          <w:lang w:val="es-ES"/>
        </w:rPr>
        <w:t>Javier Su</w:t>
      </w:r>
      <w:r>
        <w:rPr>
          <w:rFonts w:asciiTheme="majorHAnsi" w:hAnsiTheme="majorHAnsi"/>
          <w:bCs/>
          <w:color w:val="auto"/>
          <w:sz w:val="20"/>
          <w:szCs w:val="20"/>
          <w:lang w:val="es-ES"/>
        </w:rPr>
        <w:t>á</w:t>
      </w:r>
      <w:r w:rsidRPr="00304D78">
        <w:rPr>
          <w:rFonts w:asciiTheme="majorHAnsi" w:hAnsiTheme="majorHAnsi"/>
          <w:bCs/>
          <w:color w:val="auto"/>
          <w:sz w:val="20"/>
          <w:szCs w:val="20"/>
          <w:lang w:val="es-ES"/>
        </w:rPr>
        <w:t>rez Medina, Humberto Leal García</w:t>
      </w:r>
      <w:r>
        <w:rPr>
          <w:rFonts w:asciiTheme="majorHAnsi" w:hAnsiTheme="majorHAnsi"/>
          <w:bCs/>
          <w:color w:val="auto"/>
          <w:sz w:val="20"/>
          <w:szCs w:val="20"/>
          <w:lang w:val="es-ES"/>
        </w:rPr>
        <w:t xml:space="preserve"> y</w:t>
      </w:r>
      <w:r w:rsidRPr="00304D78">
        <w:rPr>
          <w:rFonts w:asciiTheme="majorHAnsi" w:hAnsiTheme="majorHAnsi"/>
          <w:bCs/>
          <w:color w:val="auto"/>
          <w:sz w:val="20"/>
          <w:szCs w:val="20"/>
          <w:lang w:val="es-ES"/>
        </w:rPr>
        <w:t xml:space="preserve"> Bernardo Ab</w:t>
      </w:r>
      <w:r>
        <w:rPr>
          <w:rFonts w:asciiTheme="majorHAnsi" w:hAnsiTheme="majorHAnsi"/>
          <w:bCs/>
          <w:color w:val="auto"/>
          <w:sz w:val="20"/>
          <w:szCs w:val="20"/>
          <w:lang w:val="es-ES"/>
        </w:rPr>
        <w:t>á</w:t>
      </w:r>
      <w:r w:rsidRPr="00304D78">
        <w:rPr>
          <w:rFonts w:asciiTheme="majorHAnsi" w:hAnsiTheme="majorHAnsi"/>
          <w:bCs/>
          <w:color w:val="auto"/>
          <w:sz w:val="20"/>
          <w:szCs w:val="20"/>
          <w:lang w:val="es-ES"/>
        </w:rPr>
        <w:t xml:space="preserve">n Tercero, </w:t>
      </w:r>
      <w:r>
        <w:rPr>
          <w:rFonts w:asciiTheme="majorHAnsi" w:hAnsiTheme="majorHAnsi"/>
          <w:bCs/>
          <w:color w:val="auto"/>
          <w:sz w:val="20"/>
          <w:szCs w:val="20"/>
          <w:lang w:val="es-ES"/>
        </w:rPr>
        <w:t xml:space="preserve">que fueron declarados culpables y condenados a </w:t>
      </w:r>
      <w:r w:rsidRPr="00304D78">
        <w:rPr>
          <w:rFonts w:asciiTheme="majorHAnsi" w:hAnsiTheme="majorHAnsi"/>
          <w:bCs/>
          <w:color w:val="auto"/>
          <w:sz w:val="20"/>
          <w:szCs w:val="20"/>
          <w:lang w:val="es-ES"/>
        </w:rPr>
        <w:t xml:space="preserve">muerte </w:t>
      </w:r>
      <w:r>
        <w:rPr>
          <w:rFonts w:asciiTheme="majorHAnsi" w:hAnsiTheme="majorHAnsi"/>
          <w:bCs/>
          <w:color w:val="auto"/>
          <w:sz w:val="20"/>
          <w:szCs w:val="20"/>
          <w:lang w:val="es-ES"/>
        </w:rPr>
        <w:t>e</w:t>
      </w:r>
      <w:r w:rsidRPr="00304D78">
        <w:rPr>
          <w:rFonts w:asciiTheme="majorHAnsi" w:hAnsiTheme="majorHAnsi"/>
          <w:bCs/>
          <w:color w:val="auto"/>
          <w:sz w:val="20"/>
          <w:szCs w:val="20"/>
          <w:lang w:val="es-ES"/>
        </w:rPr>
        <w:t xml:space="preserve">n Texas, la CIDH </w:t>
      </w:r>
      <w:r>
        <w:rPr>
          <w:rFonts w:asciiTheme="majorHAnsi" w:hAnsiTheme="majorHAnsi"/>
          <w:bCs/>
          <w:color w:val="auto"/>
          <w:sz w:val="20"/>
          <w:szCs w:val="20"/>
          <w:lang w:val="es-ES"/>
        </w:rPr>
        <w:t xml:space="preserve">llegó a la misma </w:t>
      </w:r>
      <w:r w:rsidRPr="00304D78">
        <w:rPr>
          <w:rFonts w:asciiTheme="majorHAnsi" w:hAnsiTheme="majorHAnsi"/>
          <w:bCs/>
          <w:color w:val="auto"/>
          <w:sz w:val="20"/>
          <w:szCs w:val="20"/>
          <w:lang w:val="es-ES"/>
        </w:rPr>
        <w:t>conclusión</w:t>
      </w:r>
      <w:r w:rsidRPr="00304D78">
        <w:rPr>
          <w:rStyle w:val="FootnoteReference"/>
          <w:rFonts w:asciiTheme="majorHAnsi" w:hAnsiTheme="majorHAnsi"/>
          <w:sz w:val="20"/>
          <w:szCs w:val="20"/>
          <w:lang w:val="es-ES"/>
        </w:rPr>
        <w:footnoteReference w:id="69"/>
      </w:r>
      <w:r>
        <w:rPr>
          <w:rFonts w:asciiTheme="majorHAnsi" w:hAnsiTheme="majorHAnsi"/>
          <w:bCs/>
          <w:color w:val="auto"/>
          <w:sz w:val="20"/>
          <w:szCs w:val="20"/>
          <w:lang w:val="es-ES"/>
        </w:rPr>
        <w:t>.</w:t>
      </w:r>
    </w:p>
    <w:p w14:paraId="3D3015D9" w14:textId="77777777" w:rsidR="00110F02" w:rsidRPr="00304D78" w:rsidRDefault="00110F02" w:rsidP="00110F02">
      <w:pPr>
        <w:jc w:val="both"/>
        <w:rPr>
          <w:rFonts w:asciiTheme="majorHAnsi" w:hAnsiTheme="majorHAnsi"/>
          <w:sz w:val="20"/>
          <w:szCs w:val="20"/>
          <w:lang w:val="es-ES"/>
        </w:rPr>
      </w:pPr>
    </w:p>
    <w:p w14:paraId="78C30CB5"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lang w:val="es-ES"/>
        </w:rPr>
      </w:pPr>
      <w:r w:rsidRPr="00304D78">
        <w:rPr>
          <w:rFonts w:asciiTheme="majorHAnsi" w:hAnsiTheme="majorHAnsi"/>
          <w:bCs/>
          <w:color w:val="auto"/>
          <w:sz w:val="20"/>
          <w:szCs w:val="20"/>
          <w:lang w:val="es-ES"/>
        </w:rPr>
        <w:t xml:space="preserve">Texas </w:t>
      </w:r>
      <w:r>
        <w:rPr>
          <w:rFonts w:asciiTheme="majorHAnsi" w:hAnsiTheme="majorHAnsi"/>
          <w:bCs/>
          <w:color w:val="auto"/>
          <w:sz w:val="20"/>
          <w:szCs w:val="20"/>
          <w:lang w:val="es-ES"/>
        </w:rPr>
        <w:t>es uno de los dos estados de</w:t>
      </w:r>
      <w:r w:rsidRPr="00304D78">
        <w:rPr>
          <w:rFonts w:asciiTheme="majorHAnsi" w:hAnsiTheme="majorHAnsi"/>
          <w:bCs/>
          <w:color w:val="auto"/>
          <w:sz w:val="20"/>
          <w:szCs w:val="20"/>
          <w:lang w:val="es-ES"/>
        </w:rPr>
        <w:t xml:space="preserve"> Estados Unidos </w:t>
      </w:r>
      <w:r>
        <w:rPr>
          <w:rFonts w:asciiTheme="majorHAnsi" w:hAnsiTheme="majorHAnsi"/>
          <w:bCs/>
          <w:color w:val="auto"/>
          <w:sz w:val="20"/>
          <w:szCs w:val="20"/>
          <w:lang w:val="es-ES"/>
        </w:rPr>
        <w:t xml:space="preserve">donde se requiere que, para imponer la pena de muerte, el jurado determine que el acusado presenta una amenaza continua para la sociedad. Como ha señalado la </w:t>
      </w:r>
      <w:r w:rsidRPr="00304D78">
        <w:rPr>
          <w:rFonts w:asciiTheme="majorHAnsi" w:hAnsiTheme="majorHAnsi"/>
          <w:bCs/>
          <w:color w:val="auto"/>
          <w:sz w:val="20"/>
          <w:szCs w:val="20"/>
          <w:lang w:val="es-ES"/>
        </w:rPr>
        <w:t>Comisión</w:t>
      </w:r>
      <w:r>
        <w:rPr>
          <w:rFonts w:asciiTheme="majorHAnsi" w:hAnsiTheme="majorHAnsi"/>
          <w:bCs/>
          <w:color w:val="auto"/>
          <w:sz w:val="20"/>
          <w:szCs w:val="20"/>
          <w:lang w:val="es-ES"/>
        </w:rPr>
        <w:t xml:space="preserve">, en varios estudios se señala la falta de confiabilidad de las predicciones de </w:t>
      </w:r>
      <w:r w:rsidRPr="00304D78">
        <w:rPr>
          <w:sz w:val="20"/>
          <w:lang w:val="es-ES"/>
        </w:rPr>
        <w:t>peligrosidad futura</w:t>
      </w:r>
      <w:r w:rsidRPr="00304D78">
        <w:rPr>
          <w:rStyle w:val="FootnoteReference"/>
          <w:sz w:val="20"/>
          <w:lang w:val="es-ES"/>
        </w:rPr>
        <w:footnoteReference w:id="70"/>
      </w:r>
      <w:r>
        <w:rPr>
          <w:sz w:val="20"/>
          <w:lang w:val="es-ES"/>
        </w:rPr>
        <w:t>.</w:t>
      </w:r>
      <w:r w:rsidRPr="00304D78">
        <w:rPr>
          <w:sz w:val="20"/>
          <w:lang w:val="es-ES"/>
        </w:rPr>
        <w:t xml:space="preserve"> La CIDH ha</w:t>
      </w:r>
      <w:r>
        <w:rPr>
          <w:sz w:val="20"/>
          <w:lang w:val="es-ES"/>
        </w:rPr>
        <w:t xml:space="preserve"> señalado también que la </w:t>
      </w:r>
      <w:r w:rsidRPr="00304D78">
        <w:rPr>
          <w:sz w:val="20"/>
          <w:lang w:val="es-ES"/>
        </w:rPr>
        <w:t xml:space="preserve">peligrosidad futura </w:t>
      </w:r>
      <w:r>
        <w:rPr>
          <w:sz w:val="20"/>
          <w:lang w:val="es-ES"/>
        </w:rPr>
        <w:t>puede ser problemática, en vista de su índole discrecional y del riesgo de que se consideren factores tales como la raza</w:t>
      </w:r>
      <w:r w:rsidRPr="00304D78">
        <w:rPr>
          <w:rStyle w:val="FootnoteReference"/>
          <w:sz w:val="20"/>
          <w:lang w:val="es-ES"/>
        </w:rPr>
        <w:footnoteReference w:id="71"/>
      </w:r>
      <w:r>
        <w:rPr>
          <w:sz w:val="20"/>
          <w:lang w:val="es-ES"/>
        </w:rPr>
        <w:t>:</w:t>
      </w:r>
    </w:p>
    <w:p w14:paraId="6DCB64A7" w14:textId="77777777" w:rsidR="00110F02" w:rsidRPr="00304D78" w:rsidRDefault="00110F02" w:rsidP="00110F02">
      <w:pPr>
        <w:pStyle w:val="ListParagraph"/>
        <w:rPr>
          <w:sz w:val="20"/>
          <w:lang w:val="es-ES"/>
        </w:rPr>
      </w:pPr>
    </w:p>
    <w:p w14:paraId="2EE13FE6" w14:textId="77777777" w:rsidR="00110F02" w:rsidRPr="009E2592"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bCs/>
          <w:sz w:val="18"/>
          <w:szCs w:val="18"/>
          <w:lang w:val="es-ES"/>
        </w:rPr>
      </w:pPr>
      <w:r w:rsidRPr="009E2592">
        <w:rPr>
          <w:sz w:val="18"/>
          <w:szCs w:val="18"/>
          <w:lang w:val="es-ES"/>
        </w:rPr>
        <w:t xml:space="preserve">el elemento de la peligrosidad futura otorga un alto grado de discrecionalidad al jurado para establecer la pena más grave posible, lo que puede resultar problemático al tratarse de la probabilidad de que un hecho futuro llegue a ocurrir, excediendo al delito efectivamente cometido por la persona en cuestión. En ese sentido, la Comisión considera que al tratarse de un criterio que requiere de una decisión subjetiva y especulativa por parte del jurado, su sola exigencia en la legislación interna del estado de Texas constituye un riesgo permanente de que se cometan violaciones a los derechos humanos en perjuicio de la persona condenada y, en consecuencia, se imponga la pena </w:t>
      </w:r>
      <w:r w:rsidRPr="009E2592">
        <w:rPr>
          <w:sz w:val="18"/>
          <w:szCs w:val="18"/>
          <w:lang w:val="es-ES"/>
        </w:rPr>
        <w:lastRenderedPageBreak/>
        <w:t>de muerte de manera arbitraria. Esto puede incluir la consideración indebida de factores como la raza o la salud mental […]</w:t>
      </w:r>
      <w:r>
        <w:rPr>
          <w:sz w:val="18"/>
          <w:szCs w:val="18"/>
          <w:lang w:val="es-ES"/>
        </w:rPr>
        <w:t>.</w:t>
      </w:r>
    </w:p>
    <w:p w14:paraId="125D1D52" w14:textId="77777777" w:rsidR="00110F02" w:rsidRPr="009E2592"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rFonts w:asciiTheme="majorHAnsi" w:hAnsiTheme="majorHAnsi"/>
          <w:bCs/>
          <w:color w:val="auto"/>
          <w:sz w:val="20"/>
          <w:szCs w:val="20"/>
          <w:lang w:val="es-ES"/>
        </w:rPr>
      </w:pPr>
    </w:p>
    <w:p w14:paraId="193A8033" w14:textId="77777777" w:rsidR="00110F02" w:rsidRPr="009722EE"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lang w:val="es-ES"/>
        </w:rPr>
      </w:pPr>
      <w:r>
        <w:rPr>
          <w:rFonts w:asciiTheme="majorHAnsi" w:hAnsiTheme="majorHAnsi"/>
          <w:sz w:val="20"/>
          <w:szCs w:val="20"/>
          <w:lang w:val="es-ES"/>
        </w:rPr>
        <w:t xml:space="preserve">La Corte </w:t>
      </w:r>
      <w:r w:rsidRPr="00304D78">
        <w:rPr>
          <w:rFonts w:asciiTheme="majorHAnsi" w:hAnsiTheme="majorHAnsi"/>
          <w:sz w:val="20"/>
          <w:szCs w:val="20"/>
          <w:lang w:val="es-ES"/>
        </w:rPr>
        <w:t>Inter</w:t>
      </w:r>
      <w:r>
        <w:rPr>
          <w:rFonts w:asciiTheme="majorHAnsi" w:hAnsiTheme="majorHAnsi"/>
          <w:sz w:val="20"/>
          <w:szCs w:val="20"/>
          <w:lang w:val="es-ES"/>
        </w:rPr>
        <w:t>a</w:t>
      </w:r>
      <w:r w:rsidRPr="00304D78">
        <w:rPr>
          <w:rFonts w:asciiTheme="majorHAnsi" w:hAnsiTheme="majorHAnsi"/>
          <w:sz w:val="20"/>
          <w:szCs w:val="20"/>
          <w:lang w:val="es-ES"/>
        </w:rPr>
        <w:t>merican</w:t>
      </w:r>
      <w:r>
        <w:rPr>
          <w:rFonts w:asciiTheme="majorHAnsi" w:hAnsiTheme="majorHAnsi"/>
          <w:sz w:val="20"/>
          <w:szCs w:val="20"/>
          <w:lang w:val="es-ES"/>
        </w:rPr>
        <w:t xml:space="preserve">a ha señalado que la invocación de la </w:t>
      </w:r>
      <w:r w:rsidRPr="00304D78">
        <w:rPr>
          <w:rFonts w:asciiTheme="majorHAnsi" w:hAnsiTheme="majorHAnsi"/>
          <w:sz w:val="20"/>
          <w:szCs w:val="20"/>
          <w:lang w:val="es-ES"/>
        </w:rPr>
        <w:t xml:space="preserve">peligrosidad futura </w:t>
      </w:r>
      <w:r>
        <w:rPr>
          <w:rFonts w:asciiTheme="majorHAnsi" w:hAnsiTheme="majorHAnsi"/>
          <w:sz w:val="20"/>
          <w:szCs w:val="20"/>
          <w:lang w:val="es-ES"/>
        </w:rPr>
        <w:t xml:space="preserve">infringe el principio de legalidad establecido en el </w:t>
      </w:r>
      <w:r w:rsidRPr="00304D78">
        <w:rPr>
          <w:rFonts w:asciiTheme="majorHAnsi" w:hAnsiTheme="majorHAnsi"/>
          <w:sz w:val="20"/>
          <w:szCs w:val="20"/>
          <w:lang w:val="es-ES"/>
        </w:rPr>
        <w:t xml:space="preserve">artículo 9 </w:t>
      </w:r>
      <w:r>
        <w:rPr>
          <w:rFonts w:asciiTheme="majorHAnsi" w:hAnsiTheme="majorHAnsi"/>
          <w:sz w:val="20"/>
          <w:szCs w:val="20"/>
          <w:lang w:val="es-ES"/>
        </w:rPr>
        <w:t>de</w:t>
      </w:r>
      <w:r w:rsidRPr="009722EE">
        <w:rPr>
          <w:rFonts w:asciiTheme="majorHAnsi" w:hAnsiTheme="majorHAnsi"/>
          <w:sz w:val="20"/>
          <w:szCs w:val="20"/>
          <w:lang w:val="es-ES"/>
        </w:rPr>
        <w:t xml:space="preserve"> la Convención Americana y que “constituye claramente una expresión del ejercicio del </w:t>
      </w:r>
      <w:r w:rsidRPr="009722EE">
        <w:rPr>
          <w:rFonts w:asciiTheme="majorHAnsi" w:hAnsiTheme="majorHAnsi"/>
          <w:i/>
          <w:sz w:val="20"/>
          <w:szCs w:val="20"/>
          <w:lang w:val="es-ES"/>
        </w:rPr>
        <w:t>ius puniendi</w:t>
      </w:r>
      <w:r w:rsidRPr="009722EE">
        <w:rPr>
          <w:rFonts w:asciiTheme="majorHAnsi" w:hAnsiTheme="majorHAnsi"/>
          <w:sz w:val="20"/>
          <w:szCs w:val="20"/>
          <w:lang w:val="es-ES"/>
        </w:rPr>
        <w:t xml:space="preserve"> estatal sobre la base de las características personales del agente y no del hecho cometido, es decir, sustituye el Derecho Penal de acto o de hecho, propio del sistema penal de una sociedad democrática, por el Derecho Penal de autor, que abre la puerta al autoritarismo precisamente en una materia en la que se hallan en juego los bienes jurídicos de mayor jerarquía”</w:t>
      </w:r>
      <w:r w:rsidRPr="009722EE">
        <w:rPr>
          <w:rStyle w:val="FootnoteReference"/>
          <w:rFonts w:asciiTheme="majorHAnsi" w:hAnsiTheme="majorHAnsi"/>
          <w:sz w:val="20"/>
          <w:szCs w:val="20"/>
          <w:lang w:val="es-ES"/>
        </w:rPr>
        <w:footnoteReference w:id="72"/>
      </w:r>
      <w:r>
        <w:rPr>
          <w:rFonts w:asciiTheme="majorHAnsi" w:hAnsiTheme="majorHAnsi"/>
          <w:sz w:val="20"/>
          <w:szCs w:val="20"/>
          <w:lang w:val="es-ES"/>
        </w:rPr>
        <w:t>.</w:t>
      </w:r>
      <w:r w:rsidRPr="009722EE">
        <w:rPr>
          <w:rFonts w:asciiTheme="majorHAnsi" w:hAnsiTheme="majorHAnsi"/>
          <w:sz w:val="20"/>
          <w:szCs w:val="20"/>
          <w:lang w:val="es-ES"/>
        </w:rPr>
        <w:t xml:space="preserve"> </w:t>
      </w:r>
      <w:r>
        <w:rPr>
          <w:rFonts w:asciiTheme="majorHAnsi" w:hAnsiTheme="majorHAnsi"/>
          <w:sz w:val="20"/>
          <w:szCs w:val="20"/>
          <w:lang w:val="es-ES"/>
        </w:rPr>
        <w:t>La Corte agregó que la valoración de la peligrosidad</w:t>
      </w:r>
      <w:r w:rsidRPr="009722EE">
        <w:rPr>
          <w:rStyle w:val="FootnoteReference"/>
          <w:bCs/>
          <w:sz w:val="20"/>
          <w:szCs w:val="20"/>
          <w:lang w:val="es-ES"/>
        </w:rPr>
        <w:footnoteReference w:id="73"/>
      </w:r>
      <w:r>
        <w:rPr>
          <w:rFonts w:asciiTheme="majorHAnsi" w:hAnsiTheme="majorHAnsi"/>
          <w:sz w:val="20"/>
          <w:szCs w:val="20"/>
          <w:lang w:val="es-ES"/>
        </w:rPr>
        <w:t>:</w:t>
      </w:r>
    </w:p>
    <w:p w14:paraId="7454DAD9" w14:textId="77777777" w:rsidR="00110F02" w:rsidRPr="009722EE"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jc w:val="both"/>
        <w:rPr>
          <w:bCs/>
          <w:sz w:val="20"/>
          <w:szCs w:val="20"/>
          <w:lang w:val="es-ES"/>
        </w:rPr>
      </w:pPr>
    </w:p>
    <w:p w14:paraId="765CAB1E"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bCs/>
          <w:sz w:val="18"/>
          <w:szCs w:val="18"/>
          <w:lang w:val="es-ES"/>
        </w:rPr>
      </w:pPr>
      <w:r w:rsidRPr="009722EE">
        <w:rPr>
          <w:bCs/>
          <w:sz w:val="18"/>
          <w:szCs w:val="18"/>
          <w:lang w:val="es-ES"/>
        </w:rPr>
        <w:t xml:space="preserve">implica la apreciación del juzgador acerca de las probabilidades de que el imputado cometa hechos delictuosos en el futuro, es decir, agrega a la imputación por los hechos realizados, la previsión de hechos futuros que probablemente ocurrirán. […]En fin de cuentas, se sancionaría al individuo </w:t>
      </w:r>
      <w:r>
        <w:rPr>
          <w:bCs/>
          <w:sz w:val="18"/>
          <w:szCs w:val="18"/>
          <w:lang w:val="es-ES"/>
        </w:rPr>
        <w:t>—</w:t>
      </w:r>
      <w:r w:rsidRPr="009722EE">
        <w:rPr>
          <w:bCs/>
          <w:sz w:val="18"/>
          <w:szCs w:val="18"/>
          <w:lang w:val="es-ES"/>
        </w:rPr>
        <w:t>con pena de muerte inclusive</w:t>
      </w:r>
      <w:r>
        <w:rPr>
          <w:bCs/>
          <w:sz w:val="18"/>
          <w:szCs w:val="18"/>
          <w:lang w:val="es-ES"/>
        </w:rPr>
        <w:t>—</w:t>
      </w:r>
      <w:r w:rsidRPr="009722EE">
        <w:rPr>
          <w:bCs/>
          <w:sz w:val="18"/>
          <w:szCs w:val="18"/>
          <w:lang w:val="es-ES"/>
        </w:rPr>
        <w:t xml:space="preserve"> no con apoyo en lo que ha hecho, sino en lo que es. Sobra ponderar las implicaciones, que son evidentes, de este retorno al pasado, absolutamente inaceptable desde la perspectiva de los derechos humanos. </w:t>
      </w:r>
    </w:p>
    <w:p w14:paraId="5C1D9A81" w14:textId="77777777" w:rsidR="00110F02" w:rsidRPr="00304D78" w:rsidRDefault="00110F02" w:rsidP="00110F02">
      <w:pPr>
        <w:pStyle w:val="ListParagraph"/>
        <w:rPr>
          <w:sz w:val="20"/>
          <w:lang w:val="es-ES"/>
        </w:rPr>
      </w:pPr>
    </w:p>
    <w:p w14:paraId="76BD2366"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lang w:val="es-ES"/>
        </w:rPr>
      </w:pPr>
      <w:r w:rsidRPr="00304D78">
        <w:rPr>
          <w:sz w:val="20"/>
          <w:lang w:val="es-ES"/>
        </w:rPr>
        <w:t>La Comisión observa que</w:t>
      </w:r>
      <w:r>
        <w:rPr>
          <w:sz w:val="20"/>
          <w:lang w:val="es-ES"/>
        </w:rPr>
        <w:t>, e</w:t>
      </w:r>
      <w:r w:rsidRPr="00304D78">
        <w:rPr>
          <w:sz w:val="20"/>
          <w:lang w:val="es-ES"/>
        </w:rPr>
        <w:t>n 2016</w:t>
      </w:r>
      <w:r>
        <w:rPr>
          <w:sz w:val="20"/>
          <w:lang w:val="es-ES"/>
        </w:rPr>
        <w:t xml:space="preserve">, la Corte de </w:t>
      </w:r>
      <w:r w:rsidRPr="00304D78">
        <w:rPr>
          <w:sz w:val="20"/>
          <w:lang w:val="es-ES"/>
        </w:rPr>
        <w:t>Constitu</w:t>
      </w:r>
      <w:r>
        <w:rPr>
          <w:sz w:val="20"/>
          <w:lang w:val="es-ES"/>
        </w:rPr>
        <w:t>c</w:t>
      </w:r>
      <w:r w:rsidRPr="00304D78">
        <w:rPr>
          <w:sz w:val="20"/>
          <w:lang w:val="es-ES"/>
        </w:rPr>
        <w:t>ional</w:t>
      </w:r>
      <w:r>
        <w:rPr>
          <w:sz w:val="20"/>
          <w:lang w:val="es-ES"/>
        </w:rPr>
        <w:t xml:space="preserve">idad de </w:t>
      </w:r>
      <w:r w:rsidRPr="00304D78">
        <w:rPr>
          <w:sz w:val="20"/>
          <w:lang w:val="es-ES"/>
        </w:rPr>
        <w:t xml:space="preserve">Guatemala </w:t>
      </w:r>
      <w:r>
        <w:rPr>
          <w:sz w:val="20"/>
          <w:lang w:val="es-ES"/>
        </w:rPr>
        <w:t xml:space="preserve">dictaminó que el uso de la </w:t>
      </w:r>
      <w:r w:rsidRPr="00304D78">
        <w:rPr>
          <w:sz w:val="20"/>
          <w:lang w:val="es-ES"/>
        </w:rPr>
        <w:t xml:space="preserve">peligrosidad futura </w:t>
      </w:r>
      <w:r>
        <w:rPr>
          <w:sz w:val="20"/>
          <w:lang w:val="es-ES"/>
        </w:rPr>
        <w:t xml:space="preserve">en la </w:t>
      </w:r>
      <w:r w:rsidRPr="00304D78">
        <w:rPr>
          <w:sz w:val="20"/>
          <w:lang w:val="es-ES"/>
        </w:rPr>
        <w:t xml:space="preserve">imposición </w:t>
      </w:r>
      <w:r>
        <w:rPr>
          <w:sz w:val="20"/>
          <w:lang w:val="es-ES"/>
        </w:rPr>
        <w:t>de</w:t>
      </w:r>
      <w:r w:rsidRPr="00304D78">
        <w:rPr>
          <w:sz w:val="20"/>
          <w:lang w:val="es-ES"/>
        </w:rPr>
        <w:t xml:space="preserve"> la pena de muerte </w:t>
      </w:r>
      <w:r>
        <w:rPr>
          <w:sz w:val="20"/>
          <w:lang w:val="es-ES"/>
        </w:rPr>
        <w:t>es i</w:t>
      </w:r>
      <w:r w:rsidRPr="00304D78">
        <w:rPr>
          <w:sz w:val="20"/>
          <w:lang w:val="es-ES"/>
        </w:rPr>
        <w:t>nconstitu</w:t>
      </w:r>
      <w:r>
        <w:rPr>
          <w:sz w:val="20"/>
          <w:lang w:val="es-ES"/>
        </w:rPr>
        <w:t>c</w:t>
      </w:r>
      <w:r w:rsidRPr="00304D78">
        <w:rPr>
          <w:sz w:val="20"/>
          <w:lang w:val="es-ES"/>
        </w:rPr>
        <w:t xml:space="preserve">ional </w:t>
      </w:r>
      <w:r>
        <w:rPr>
          <w:sz w:val="20"/>
          <w:lang w:val="es-ES"/>
        </w:rPr>
        <w:t>porque infringe el principio de legalidad</w:t>
      </w:r>
      <w:r w:rsidRPr="00304D78">
        <w:rPr>
          <w:rStyle w:val="FootnoteReference"/>
          <w:sz w:val="20"/>
          <w:lang w:val="es-ES"/>
        </w:rPr>
        <w:footnoteReference w:id="74"/>
      </w:r>
      <w:r>
        <w:rPr>
          <w:sz w:val="20"/>
          <w:lang w:val="es-ES"/>
        </w:rPr>
        <w:t>.</w:t>
      </w:r>
    </w:p>
    <w:p w14:paraId="5103E668"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bCs/>
          <w:sz w:val="20"/>
          <w:szCs w:val="20"/>
          <w:lang w:val="es-ES"/>
        </w:rPr>
      </w:pPr>
    </w:p>
    <w:p w14:paraId="1DAB026B"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lang w:val="es-ES"/>
        </w:rPr>
      </w:pPr>
      <w:r>
        <w:rPr>
          <w:sz w:val="20"/>
          <w:lang w:val="es-ES"/>
        </w:rPr>
        <w:t>Según los hechos demostrados en este informe, la fiscalía recurrió a pruebas introducidas por medio de testigos durante la audiencia de lectura de sentencia</w:t>
      </w:r>
      <w:r w:rsidRPr="00D65B53">
        <w:rPr>
          <w:bCs/>
          <w:sz w:val="20"/>
          <w:lang w:val="es-ES"/>
        </w:rPr>
        <w:t xml:space="preserve"> en un caso de pena capital</w:t>
      </w:r>
      <w:r>
        <w:rPr>
          <w:sz w:val="20"/>
          <w:lang w:val="es-ES"/>
        </w:rPr>
        <w:t xml:space="preserve"> para respaldar su posición de que </w:t>
      </w:r>
      <w:r w:rsidRPr="00304D78">
        <w:rPr>
          <w:sz w:val="20"/>
          <w:lang w:val="es-ES"/>
        </w:rPr>
        <w:t xml:space="preserve">el señor Robinson </w:t>
      </w:r>
      <w:r>
        <w:rPr>
          <w:sz w:val="20"/>
          <w:lang w:val="es-ES"/>
        </w:rPr>
        <w:t>presentaba una amenaza futura para la sociedad</w:t>
      </w:r>
      <w:r w:rsidRPr="00304D78">
        <w:rPr>
          <w:sz w:val="20"/>
          <w:lang w:val="es-ES"/>
        </w:rPr>
        <w:t xml:space="preserve">. </w:t>
      </w:r>
      <w:r>
        <w:rPr>
          <w:sz w:val="20"/>
          <w:lang w:val="es-ES"/>
        </w:rPr>
        <w:t xml:space="preserve">Como ya se dijo, la </w:t>
      </w:r>
      <w:r w:rsidRPr="00304D78">
        <w:rPr>
          <w:sz w:val="20"/>
          <w:lang w:val="es-ES"/>
        </w:rPr>
        <w:t xml:space="preserve">peligrosidad futura </w:t>
      </w:r>
      <w:r>
        <w:rPr>
          <w:sz w:val="20"/>
          <w:lang w:val="es-ES"/>
        </w:rPr>
        <w:t>puede ser problemática</w:t>
      </w:r>
      <w:r w:rsidRPr="00E26AC0">
        <w:rPr>
          <w:sz w:val="20"/>
          <w:lang w:val="es-ES"/>
        </w:rPr>
        <w:t xml:space="preserve">, en vista de su índole discrecional y </w:t>
      </w:r>
      <w:r>
        <w:rPr>
          <w:sz w:val="20"/>
          <w:lang w:val="es-ES"/>
        </w:rPr>
        <w:t>de</w:t>
      </w:r>
      <w:r w:rsidRPr="00E26AC0">
        <w:rPr>
          <w:sz w:val="20"/>
          <w:lang w:val="es-ES"/>
        </w:rPr>
        <w:t>l riesgo de que se consideren factores tales como la raza</w:t>
      </w:r>
      <w:r w:rsidRPr="00304D78">
        <w:rPr>
          <w:sz w:val="20"/>
          <w:lang w:val="es-ES"/>
        </w:rPr>
        <w:t xml:space="preserve">. </w:t>
      </w:r>
    </w:p>
    <w:p w14:paraId="44888628"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bCs/>
          <w:sz w:val="20"/>
          <w:szCs w:val="20"/>
          <w:lang w:val="es-ES"/>
        </w:rPr>
      </w:pPr>
    </w:p>
    <w:p w14:paraId="448F8AB7"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lang w:val="es-ES"/>
        </w:rPr>
      </w:pPr>
      <w:r>
        <w:rPr>
          <w:sz w:val="20"/>
          <w:lang w:val="es-ES"/>
        </w:rPr>
        <w:t xml:space="preserve">Además, como ya se dijo, en casos </w:t>
      </w:r>
      <w:r w:rsidRPr="00304D78">
        <w:rPr>
          <w:sz w:val="20"/>
          <w:lang w:val="es-ES"/>
        </w:rPr>
        <w:t>similar</w:t>
      </w:r>
      <w:r>
        <w:rPr>
          <w:sz w:val="20"/>
          <w:lang w:val="es-ES"/>
        </w:rPr>
        <w:t xml:space="preserve">es relativos a la aplicación de </w:t>
      </w:r>
      <w:r w:rsidRPr="00304D78">
        <w:rPr>
          <w:sz w:val="20"/>
          <w:lang w:val="es-ES"/>
        </w:rPr>
        <w:t xml:space="preserve">la pena de muerte </w:t>
      </w:r>
      <w:r>
        <w:rPr>
          <w:sz w:val="20"/>
          <w:lang w:val="es-ES"/>
        </w:rPr>
        <w:t>e</w:t>
      </w:r>
      <w:r w:rsidRPr="00304D78">
        <w:rPr>
          <w:sz w:val="20"/>
          <w:lang w:val="es-ES"/>
        </w:rPr>
        <w:t xml:space="preserve">n Texas, la CIDH </w:t>
      </w:r>
      <w:r>
        <w:rPr>
          <w:sz w:val="20"/>
          <w:lang w:val="es-ES"/>
        </w:rPr>
        <w:t xml:space="preserve">dictaminó que la introducción de </w:t>
      </w:r>
      <w:r w:rsidRPr="00D65B53">
        <w:rPr>
          <w:bCs/>
          <w:sz w:val="20"/>
          <w:lang w:val="es-ES"/>
        </w:rPr>
        <w:t>pruebas de delitos sobre los cuales no se había dictado sentencia durante la audiencia de lectura de sentencia en un caso de pena capital</w:t>
      </w:r>
      <w:r w:rsidRPr="00304D78">
        <w:rPr>
          <w:sz w:val="20"/>
          <w:lang w:val="es-ES"/>
        </w:rPr>
        <w:t xml:space="preserve"> </w:t>
      </w:r>
      <w:r>
        <w:rPr>
          <w:sz w:val="20"/>
          <w:lang w:val="es-ES"/>
        </w:rPr>
        <w:t>infringía los derechos a un juicio imparcial y a proceso regular</w:t>
      </w:r>
      <w:r w:rsidRPr="00304D78">
        <w:rPr>
          <w:sz w:val="20"/>
          <w:lang w:val="es-ES"/>
        </w:rPr>
        <w:t xml:space="preserve">. En el caso de autos, </w:t>
      </w:r>
      <w:r>
        <w:rPr>
          <w:sz w:val="20"/>
          <w:lang w:val="es-ES"/>
        </w:rPr>
        <w:t>a</w:t>
      </w:r>
      <w:r w:rsidRPr="00D65B53">
        <w:rPr>
          <w:rFonts w:asciiTheme="majorHAnsi" w:hAnsiTheme="majorHAnsi"/>
          <w:sz w:val="20"/>
          <w:szCs w:val="20"/>
          <w:lang w:val="es-ES"/>
        </w:rPr>
        <w:t xml:space="preserve">l tomar una decisión sobre la sentencia, el jurado tuvo en cuenta en parte la prueba presentada por el fiscal de que el señor Robinson había tratado de </w:t>
      </w:r>
      <w:r w:rsidR="0057200A">
        <w:rPr>
          <w:rFonts w:asciiTheme="majorHAnsi" w:hAnsiTheme="majorHAnsi"/>
          <w:sz w:val="20"/>
          <w:szCs w:val="20"/>
          <w:lang w:val="es-ES"/>
        </w:rPr>
        <w:t>asesinar</w:t>
      </w:r>
      <w:r w:rsidRPr="00D65B53">
        <w:rPr>
          <w:rFonts w:asciiTheme="majorHAnsi" w:hAnsiTheme="majorHAnsi"/>
          <w:sz w:val="20"/>
          <w:szCs w:val="20"/>
          <w:lang w:val="es-ES"/>
        </w:rPr>
        <w:t xml:space="preserve"> a un informante que había declarado en su contra ante el gran jurado y a una excompañera de la escuela secundaria que le debía dinero por </w:t>
      </w:r>
      <w:r>
        <w:rPr>
          <w:rFonts w:asciiTheme="majorHAnsi" w:hAnsiTheme="majorHAnsi"/>
          <w:sz w:val="20"/>
          <w:szCs w:val="20"/>
          <w:lang w:val="es-ES"/>
        </w:rPr>
        <w:t>c</w:t>
      </w:r>
      <w:r w:rsidRPr="00D65B53">
        <w:rPr>
          <w:rFonts w:asciiTheme="majorHAnsi" w:hAnsiTheme="majorHAnsi"/>
          <w:sz w:val="20"/>
          <w:szCs w:val="20"/>
          <w:lang w:val="es-ES"/>
        </w:rPr>
        <w:t xml:space="preserve">rack. </w:t>
      </w:r>
      <w:r w:rsidRPr="00D65B53">
        <w:rPr>
          <w:bCs/>
          <w:sz w:val="20"/>
          <w:szCs w:val="20"/>
          <w:lang w:val="es-ES"/>
        </w:rPr>
        <w:t>Con</w:t>
      </w:r>
      <w:r w:rsidRPr="00D65B53">
        <w:rPr>
          <w:rFonts w:asciiTheme="majorHAnsi" w:hAnsiTheme="majorHAnsi"/>
          <w:sz w:val="20"/>
          <w:szCs w:val="20"/>
          <w:lang w:val="es-ES"/>
        </w:rPr>
        <w:t xml:space="preserve"> respecto al segundo caso</w:t>
      </w:r>
      <w:r w:rsidRPr="00304D78">
        <w:rPr>
          <w:rFonts w:asciiTheme="majorHAnsi" w:hAnsiTheme="majorHAnsi"/>
          <w:sz w:val="20"/>
          <w:szCs w:val="20"/>
          <w:lang w:val="es-ES"/>
        </w:rPr>
        <w:t>, la Comisión observa que</w:t>
      </w:r>
      <w:r>
        <w:rPr>
          <w:rFonts w:asciiTheme="majorHAnsi" w:hAnsiTheme="majorHAnsi"/>
          <w:sz w:val="20"/>
          <w:szCs w:val="20"/>
          <w:lang w:val="es-ES"/>
        </w:rPr>
        <w:t xml:space="preserve"> </w:t>
      </w:r>
      <w:r w:rsidRPr="00304D78">
        <w:rPr>
          <w:rFonts w:asciiTheme="majorHAnsi" w:hAnsiTheme="majorHAnsi"/>
          <w:sz w:val="20"/>
          <w:szCs w:val="20"/>
          <w:lang w:val="es-ES"/>
        </w:rPr>
        <w:t>el señor Robinson</w:t>
      </w:r>
      <w:r>
        <w:rPr>
          <w:rFonts w:asciiTheme="majorHAnsi" w:hAnsiTheme="majorHAnsi"/>
          <w:sz w:val="20"/>
          <w:szCs w:val="20"/>
          <w:lang w:val="es-ES"/>
        </w:rPr>
        <w:t>, aunque posteriormente</w:t>
      </w:r>
      <w:r w:rsidRPr="00304D78">
        <w:rPr>
          <w:rFonts w:asciiTheme="majorHAnsi" w:hAnsiTheme="majorHAnsi"/>
          <w:sz w:val="20"/>
          <w:szCs w:val="20"/>
          <w:lang w:val="es-ES"/>
        </w:rPr>
        <w:t xml:space="preserve"> </w:t>
      </w:r>
      <w:r w:rsidRPr="00D65B53">
        <w:rPr>
          <w:rFonts w:asciiTheme="majorHAnsi" w:hAnsiTheme="majorHAnsi"/>
          <w:sz w:val="20"/>
          <w:szCs w:val="20"/>
          <w:lang w:val="es-ES"/>
        </w:rPr>
        <w:t>fue condenado a cinco años de libertad condicional</w:t>
      </w:r>
      <w:r w:rsidRPr="00304D78">
        <w:rPr>
          <w:rFonts w:asciiTheme="majorHAnsi" w:hAnsiTheme="majorHAnsi"/>
          <w:sz w:val="20"/>
          <w:szCs w:val="20"/>
          <w:lang w:val="es-ES"/>
        </w:rPr>
        <w:t xml:space="preserve">, </w:t>
      </w:r>
      <w:r w:rsidRPr="00D65B53">
        <w:rPr>
          <w:rFonts w:asciiTheme="majorHAnsi" w:hAnsiTheme="majorHAnsi"/>
          <w:sz w:val="20"/>
          <w:szCs w:val="20"/>
          <w:lang w:val="es-ES"/>
        </w:rPr>
        <w:t>fue declarado culpable de conducta mortífera</w:t>
      </w:r>
      <w:r w:rsidRPr="00304D78">
        <w:rPr>
          <w:rFonts w:asciiTheme="majorHAnsi" w:hAnsiTheme="majorHAnsi"/>
          <w:sz w:val="20"/>
          <w:szCs w:val="20"/>
          <w:lang w:val="es-ES"/>
        </w:rPr>
        <w:t xml:space="preserve"> </w:t>
      </w:r>
      <w:r>
        <w:rPr>
          <w:rFonts w:asciiTheme="majorHAnsi" w:hAnsiTheme="majorHAnsi"/>
          <w:sz w:val="20"/>
          <w:szCs w:val="20"/>
          <w:lang w:val="es-ES"/>
        </w:rPr>
        <w:t>y no de intento de homicidio</w:t>
      </w:r>
      <w:r w:rsidRPr="00304D78">
        <w:rPr>
          <w:rFonts w:asciiTheme="majorHAnsi" w:hAnsiTheme="majorHAnsi"/>
          <w:sz w:val="20"/>
          <w:szCs w:val="20"/>
          <w:lang w:val="es-ES"/>
        </w:rPr>
        <w:t xml:space="preserve">. La Comisión </w:t>
      </w:r>
      <w:r>
        <w:rPr>
          <w:rFonts w:asciiTheme="majorHAnsi" w:hAnsiTheme="majorHAnsi"/>
          <w:sz w:val="20"/>
          <w:szCs w:val="20"/>
          <w:lang w:val="es-ES"/>
        </w:rPr>
        <w:t>observa asimismo que</w:t>
      </w:r>
      <w:r w:rsidRPr="00304D78">
        <w:rPr>
          <w:rFonts w:asciiTheme="majorHAnsi" w:hAnsiTheme="majorHAnsi"/>
          <w:sz w:val="20"/>
          <w:szCs w:val="20"/>
          <w:lang w:val="es-ES"/>
        </w:rPr>
        <w:t xml:space="preserve">, según la información disponible, el señor Robinson </w:t>
      </w:r>
      <w:r>
        <w:rPr>
          <w:rFonts w:asciiTheme="majorHAnsi" w:hAnsiTheme="majorHAnsi"/>
          <w:sz w:val="20"/>
          <w:szCs w:val="20"/>
          <w:lang w:val="es-ES"/>
        </w:rPr>
        <w:t xml:space="preserve">nunca fue acusado del presunto intento de homicidio del informante. Como observó el tribunal de apelaciones, esta prueba se usó para mostrar que </w:t>
      </w:r>
      <w:r w:rsidRPr="00304D78">
        <w:rPr>
          <w:rFonts w:asciiTheme="majorHAnsi" w:hAnsiTheme="majorHAnsi"/>
          <w:sz w:val="20"/>
          <w:szCs w:val="20"/>
          <w:lang w:val="es-ES"/>
        </w:rPr>
        <w:t xml:space="preserve">el señor Robinson </w:t>
      </w:r>
      <w:r w:rsidRPr="00D65B53">
        <w:rPr>
          <w:rFonts w:asciiTheme="majorHAnsi" w:hAnsiTheme="majorHAnsi"/>
          <w:sz w:val="20"/>
          <w:szCs w:val="20"/>
          <w:lang w:val="es-ES"/>
        </w:rPr>
        <w:t>tenía propensión a cometer actos de violencia</w:t>
      </w:r>
      <w:r w:rsidRPr="00304D78">
        <w:rPr>
          <w:rFonts w:asciiTheme="majorHAnsi" w:hAnsiTheme="majorHAnsi"/>
          <w:sz w:val="20"/>
          <w:szCs w:val="20"/>
          <w:lang w:val="es-ES"/>
        </w:rPr>
        <w:t>.</w:t>
      </w:r>
    </w:p>
    <w:p w14:paraId="51C974AF" w14:textId="77777777" w:rsidR="00110F02" w:rsidRPr="00304D78" w:rsidRDefault="00110F02" w:rsidP="00110F02">
      <w:pPr>
        <w:pStyle w:val="ListParagraph"/>
        <w:rPr>
          <w:bCs/>
          <w:sz w:val="20"/>
          <w:szCs w:val="20"/>
          <w:lang w:val="es-ES"/>
        </w:rPr>
      </w:pPr>
    </w:p>
    <w:p w14:paraId="388E2E1F"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lang w:val="es-ES"/>
        </w:rPr>
      </w:pPr>
      <w:r>
        <w:rPr>
          <w:bCs/>
          <w:sz w:val="20"/>
          <w:szCs w:val="20"/>
          <w:lang w:val="es-ES"/>
        </w:rPr>
        <w:t>En vista de que la probabilidad de</w:t>
      </w:r>
      <w:r w:rsidRPr="00304D78">
        <w:rPr>
          <w:bCs/>
          <w:sz w:val="20"/>
          <w:szCs w:val="20"/>
          <w:lang w:val="es-ES"/>
        </w:rPr>
        <w:t xml:space="preserve"> peligrosidad futura </w:t>
      </w:r>
      <w:r>
        <w:rPr>
          <w:bCs/>
          <w:sz w:val="20"/>
          <w:szCs w:val="20"/>
          <w:lang w:val="es-ES"/>
        </w:rPr>
        <w:t xml:space="preserve">desempeñó un papel esencial en la imposición de </w:t>
      </w:r>
      <w:r w:rsidRPr="00304D78">
        <w:rPr>
          <w:bCs/>
          <w:sz w:val="20"/>
          <w:szCs w:val="20"/>
          <w:lang w:val="es-ES"/>
        </w:rPr>
        <w:t>la pena de muerte</w:t>
      </w:r>
      <w:r>
        <w:rPr>
          <w:bCs/>
          <w:sz w:val="20"/>
          <w:szCs w:val="20"/>
          <w:lang w:val="es-ES"/>
        </w:rPr>
        <w:t xml:space="preserve"> y de que se introdujeron </w:t>
      </w:r>
      <w:r w:rsidRPr="00D65B53">
        <w:rPr>
          <w:bCs/>
          <w:sz w:val="20"/>
          <w:szCs w:val="20"/>
          <w:lang w:val="es-ES"/>
        </w:rPr>
        <w:t>pruebas de delitos sobre los cuales no se había dictado sentencia durante la audiencia de lectura de sentencia en un caso de pena capital</w:t>
      </w:r>
      <w:r w:rsidRPr="00304D78">
        <w:rPr>
          <w:bCs/>
          <w:sz w:val="20"/>
          <w:szCs w:val="20"/>
          <w:lang w:val="es-ES"/>
        </w:rPr>
        <w:t>, la CIDH conclu</w:t>
      </w:r>
      <w:r>
        <w:rPr>
          <w:bCs/>
          <w:sz w:val="20"/>
          <w:szCs w:val="20"/>
          <w:lang w:val="es-ES"/>
        </w:rPr>
        <w:t xml:space="preserve">ye que </w:t>
      </w:r>
      <w:r w:rsidRPr="00304D78">
        <w:rPr>
          <w:bCs/>
          <w:sz w:val="20"/>
          <w:szCs w:val="20"/>
          <w:lang w:val="es-ES"/>
        </w:rPr>
        <w:t>Estados Unidos viol</w:t>
      </w:r>
      <w:r>
        <w:rPr>
          <w:bCs/>
          <w:sz w:val="20"/>
          <w:szCs w:val="20"/>
          <w:lang w:val="es-ES"/>
        </w:rPr>
        <w:t>ó el derecho de justicia y el derecho a proceso regular d</w:t>
      </w:r>
      <w:r w:rsidRPr="00304D78">
        <w:rPr>
          <w:bCs/>
          <w:sz w:val="20"/>
          <w:szCs w:val="20"/>
          <w:lang w:val="es-ES"/>
        </w:rPr>
        <w:t>el señor Robinson</w:t>
      </w:r>
      <w:r>
        <w:rPr>
          <w:bCs/>
          <w:sz w:val="20"/>
          <w:szCs w:val="20"/>
          <w:lang w:val="es-ES"/>
        </w:rPr>
        <w:t xml:space="preserve"> amparados en los a</w:t>
      </w:r>
      <w:r w:rsidRPr="00304D78">
        <w:rPr>
          <w:rFonts w:eastAsia="Times New Roman"/>
          <w:sz w:val="20"/>
          <w:szCs w:val="20"/>
          <w:bdr w:val="none" w:sz="0" w:space="0" w:color="auto"/>
          <w:lang w:val="es-ES"/>
        </w:rPr>
        <w:t xml:space="preserve">rtículos XVIII </w:t>
      </w:r>
      <w:r>
        <w:rPr>
          <w:rFonts w:eastAsia="Times New Roman"/>
          <w:sz w:val="20"/>
          <w:szCs w:val="20"/>
          <w:bdr w:val="none" w:sz="0" w:space="0" w:color="auto"/>
          <w:lang w:val="es-ES"/>
        </w:rPr>
        <w:t>y</w:t>
      </w:r>
      <w:r w:rsidRPr="00304D78">
        <w:rPr>
          <w:rFonts w:eastAsia="Times New Roman"/>
          <w:sz w:val="20"/>
          <w:szCs w:val="20"/>
          <w:bdr w:val="none" w:sz="0" w:space="0" w:color="auto"/>
          <w:lang w:val="es-ES"/>
        </w:rPr>
        <w:t xml:space="preserve"> XXVI </w:t>
      </w:r>
      <w:r>
        <w:rPr>
          <w:rFonts w:eastAsia="Times New Roman"/>
          <w:sz w:val="20"/>
          <w:szCs w:val="20"/>
          <w:bdr w:val="none" w:sz="0" w:space="0" w:color="auto"/>
          <w:lang w:val="es-ES"/>
        </w:rPr>
        <w:t xml:space="preserve">de </w:t>
      </w:r>
      <w:r w:rsidRPr="00304D78">
        <w:rPr>
          <w:rFonts w:eastAsia="Times New Roman"/>
          <w:sz w:val="20"/>
          <w:szCs w:val="20"/>
          <w:bdr w:val="none" w:sz="0" w:space="0" w:color="auto"/>
          <w:lang w:val="es-ES"/>
        </w:rPr>
        <w:t>la Declaración Americana.</w:t>
      </w:r>
    </w:p>
    <w:p w14:paraId="418C3F37" w14:textId="77777777" w:rsidR="00110F02" w:rsidRPr="00304D78" w:rsidRDefault="00110F02" w:rsidP="00110F02">
      <w:pPr>
        <w:rPr>
          <w:lang w:val="es-ES"/>
        </w:rPr>
      </w:pPr>
    </w:p>
    <w:p w14:paraId="3C6206A9" w14:textId="77777777" w:rsidR="00110F02" w:rsidRPr="00B16A61" w:rsidRDefault="00110F02" w:rsidP="00B16A61">
      <w:pPr>
        <w:pStyle w:val="Heading3"/>
        <w:numPr>
          <w:ilvl w:val="3"/>
          <w:numId w:val="53"/>
        </w:numPr>
        <w:spacing w:before="0" w:after="0"/>
        <w:ind w:left="360"/>
        <w:jc w:val="both"/>
        <w:rPr>
          <w:rFonts w:asciiTheme="majorHAnsi" w:hAnsiTheme="majorHAnsi"/>
          <w:sz w:val="20"/>
          <w:szCs w:val="20"/>
          <w:lang w:val="es-ES"/>
        </w:rPr>
      </w:pPr>
      <w:bookmarkStart w:id="50" w:name="_Toc61514171"/>
      <w:r w:rsidRPr="00B16A61">
        <w:rPr>
          <w:rFonts w:asciiTheme="majorHAnsi" w:hAnsiTheme="majorHAnsi"/>
          <w:sz w:val="20"/>
          <w:szCs w:val="20"/>
          <w:lang w:val="es-ES"/>
        </w:rPr>
        <w:t>Asistencia ineficaz del abogado de oficio</w:t>
      </w:r>
      <w:bookmarkEnd w:id="50"/>
      <w:r w:rsidRPr="00B16A61">
        <w:rPr>
          <w:rFonts w:asciiTheme="majorHAnsi" w:hAnsiTheme="majorHAnsi"/>
          <w:sz w:val="20"/>
          <w:szCs w:val="20"/>
          <w:lang w:val="es-ES"/>
        </w:rPr>
        <w:t xml:space="preserve"> </w:t>
      </w:r>
    </w:p>
    <w:p w14:paraId="17A64788" w14:textId="77777777" w:rsidR="00110F02" w:rsidRPr="00304D78" w:rsidRDefault="00110F02" w:rsidP="00110F02">
      <w:pPr>
        <w:pStyle w:val="NormalWeb"/>
        <w:shd w:val="clear" w:color="auto" w:fill="FFFFFF"/>
        <w:spacing w:before="0" w:beforeAutospacing="0" w:after="0" w:afterAutospacing="0"/>
        <w:jc w:val="both"/>
        <w:rPr>
          <w:rFonts w:asciiTheme="majorHAnsi" w:hAnsiTheme="majorHAnsi"/>
          <w:b/>
          <w:sz w:val="20"/>
          <w:szCs w:val="20"/>
          <w:lang w:val="es-ES"/>
        </w:rPr>
      </w:pPr>
    </w:p>
    <w:p w14:paraId="6112E07B"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lang w:val="es-ES"/>
        </w:rPr>
      </w:pPr>
      <w:r w:rsidRPr="00304D78">
        <w:rPr>
          <w:sz w:val="20"/>
          <w:lang w:val="es-ES"/>
        </w:rPr>
        <w:t xml:space="preserve">La representación legal adecuada es un componente fundamental del derecho de justicia. La CIDH ha determinado que “[e]l derecho al debido proceso y al juicio justo incluye el derecho a recursos adecuados para </w:t>
      </w:r>
      <w:r w:rsidRPr="00304D78">
        <w:rPr>
          <w:sz w:val="20"/>
          <w:lang w:val="es-ES"/>
        </w:rPr>
        <w:lastRenderedPageBreak/>
        <w:t>la preparación de la defensa y a una adecuada asistencia legal”</w:t>
      </w:r>
      <w:r w:rsidRPr="00304D78">
        <w:rPr>
          <w:rStyle w:val="FootnoteReference"/>
          <w:sz w:val="20"/>
          <w:lang w:val="es-ES"/>
        </w:rPr>
        <w:footnoteReference w:id="75"/>
      </w:r>
      <w:r w:rsidRPr="00304D78">
        <w:rPr>
          <w:sz w:val="20"/>
          <w:lang w:val="es-ES"/>
        </w:rPr>
        <w:t>. Según la Comisión, “[e]l Estado no puede ser declarado responsable por todas las deficiencias en la conducta de la asistencia legal nombrada por el Estado. Sin embargo, cuando la ineficacia de dicha asistencia legal es puesta en conocimiento de las autoridades nacionales en forma manifiesta y suficiente, éstas están obligadas a intervenir [...]. El cumplimiento rigoroso del derecho de recibir patrocinio letrado competente es impuesto por la posibilidad de la aplicación de la pena de muerte”</w:t>
      </w:r>
      <w:r w:rsidRPr="00304D78">
        <w:rPr>
          <w:rStyle w:val="FootnoteReference"/>
          <w:sz w:val="20"/>
          <w:lang w:val="es-ES"/>
        </w:rPr>
        <w:footnoteReference w:id="76"/>
      </w:r>
      <w:r w:rsidRPr="00304D78">
        <w:rPr>
          <w:sz w:val="20"/>
          <w:lang w:val="es-ES"/>
        </w:rPr>
        <w:t>.</w:t>
      </w:r>
    </w:p>
    <w:p w14:paraId="2C3AB1BE"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lang w:val="es-ES"/>
        </w:rPr>
      </w:pPr>
    </w:p>
    <w:p w14:paraId="62C17E71"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lang w:val="es-ES"/>
        </w:rPr>
      </w:pPr>
      <w:r w:rsidRPr="00304D78">
        <w:rPr>
          <w:sz w:val="20"/>
          <w:lang w:val="es-ES"/>
        </w:rPr>
        <w:t>El nombramiento de un abogado por el Estado no asegura de por sí una asistencia letrada eficaz. Al mismo tiempo, el Estado</w:t>
      </w:r>
      <w:r>
        <w:rPr>
          <w:sz w:val="20"/>
          <w:lang w:val="es-ES"/>
        </w:rPr>
        <w:t>, aunque</w:t>
      </w:r>
      <w:r w:rsidRPr="00304D78">
        <w:rPr>
          <w:sz w:val="20"/>
          <w:lang w:val="es-ES"/>
        </w:rPr>
        <w:t xml:space="preserve"> debe asegurar que tal asistencia sea eficaz, no es responsable de lo que pueda entenderse como decisiones sobre la estrategia o de cada deficiencia posible. En cambio, la Comisión debe determinar si la asistencia del abogado fue eficaz en el contexto general del proceso, teniendo en cuenta los intereses particulares en juego</w:t>
      </w:r>
      <w:r w:rsidRPr="00304D78">
        <w:rPr>
          <w:rStyle w:val="FootnoteReference"/>
          <w:sz w:val="20"/>
          <w:lang w:val="es-ES"/>
        </w:rPr>
        <w:footnoteReference w:id="77"/>
      </w:r>
      <w:r w:rsidRPr="00304D78">
        <w:rPr>
          <w:sz w:val="20"/>
          <w:lang w:val="es-ES"/>
        </w:rPr>
        <w:t>.</w:t>
      </w:r>
    </w:p>
    <w:p w14:paraId="341CACA3"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lang w:val="es-ES"/>
        </w:rPr>
      </w:pPr>
    </w:p>
    <w:p w14:paraId="4B17BF28"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lang w:val="es-ES"/>
        </w:rPr>
      </w:pPr>
      <w:r w:rsidRPr="00304D78">
        <w:rPr>
          <w:sz w:val="20"/>
          <w:lang w:val="es-ES"/>
        </w:rPr>
        <w:t>La Comisión ha establecido que “los requisitos fundamentales de debido proceso en el caso de juicios por delitos punibles con la pena capital incluyen la obligación de suministrar a un acusado la posibilidad plena y justa de presentar pruebas atenuantes para que se consideren al determinar si la pena de muerte constituye la sanción apropiada a las circunstancias de su caso”</w:t>
      </w:r>
      <w:r w:rsidRPr="00304D78">
        <w:rPr>
          <w:rStyle w:val="FootnoteReference"/>
          <w:sz w:val="20"/>
          <w:lang w:val="es-ES"/>
        </w:rPr>
        <w:footnoteReference w:id="78"/>
      </w:r>
      <w:r w:rsidRPr="00304D78">
        <w:rPr>
          <w:sz w:val="20"/>
          <w:lang w:val="es-ES"/>
        </w:rPr>
        <w:t>.</w:t>
      </w:r>
      <w:r w:rsidRPr="00304D78">
        <w:rPr>
          <w:rStyle w:val="FootnoteReference"/>
          <w:lang w:val="es-ES"/>
        </w:rPr>
        <w:t xml:space="preserve"> </w:t>
      </w:r>
      <w:r w:rsidRPr="00304D78">
        <w:rPr>
          <w:sz w:val="20"/>
          <w:lang w:val="es-ES"/>
        </w:rPr>
        <w:t xml:space="preserve">La Comisión también ha indicado que, de acuerdo con la Declaración, las garantías del debido proceso: </w:t>
      </w:r>
    </w:p>
    <w:p w14:paraId="690D487B"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lang w:val="es-ES"/>
        </w:rPr>
      </w:pPr>
    </w:p>
    <w:p w14:paraId="3DA2868D"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sz w:val="18"/>
          <w:szCs w:val="18"/>
          <w:lang w:val="es-ES"/>
        </w:rPr>
      </w:pPr>
      <w:r w:rsidRPr="00304D78">
        <w:rPr>
          <w:sz w:val="18"/>
          <w:szCs w:val="18"/>
          <w:lang w:val="es-ES"/>
        </w:rPr>
        <w:t>garantizan la posibilidad de presentar alegatos y pruebas sobre si la pena de muerte puede no ser permisible o adecuada a las circunstancias de su caso, frente a consideraciones tales como el carácter e historial del delincuente, los factores subjetivos que podrían haber motivado su conducta, el diseño y la forma de ejecución del delito en cuestión y la posibilidad de reforma y readaptación social del delincuente</w:t>
      </w:r>
      <w:r w:rsidRPr="00304D78">
        <w:rPr>
          <w:rStyle w:val="FootnoteReference"/>
          <w:sz w:val="18"/>
          <w:szCs w:val="18"/>
          <w:lang w:val="es-ES"/>
        </w:rPr>
        <w:footnoteReference w:id="79"/>
      </w:r>
      <w:r w:rsidRPr="00304D78">
        <w:rPr>
          <w:sz w:val="18"/>
          <w:szCs w:val="18"/>
          <w:lang w:val="es-ES"/>
        </w:rPr>
        <w:t>.</w:t>
      </w:r>
    </w:p>
    <w:p w14:paraId="1F10B055"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lang w:val="es-ES"/>
        </w:rPr>
      </w:pPr>
    </w:p>
    <w:p w14:paraId="5E496FF0"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lang w:val="es-ES"/>
        </w:rPr>
      </w:pPr>
      <w:r w:rsidRPr="00304D78">
        <w:rPr>
          <w:sz w:val="20"/>
          <w:lang w:val="es-ES"/>
        </w:rPr>
        <w:t>Cabe señalar que la índole fundamental de esta garantía se ha reflejado en las directrices para el ejercicio de la abogacía. El Colegio de Abogados de Estados Unidos ha formulado y adoptado directrices y comentarios conexos en los cuales se pone de relieve la importancia de investigar y presentar pruebas atenuantes en casos de pena de muerte</w:t>
      </w:r>
      <w:r w:rsidRPr="00304D78">
        <w:rPr>
          <w:rStyle w:val="FootnoteReference"/>
          <w:sz w:val="20"/>
          <w:lang w:val="es-ES"/>
        </w:rPr>
        <w:footnoteReference w:id="80"/>
      </w:r>
      <w:r w:rsidRPr="00304D78">
        <w:rPr>
          <w:sz w:val="20"/>
          <w:lang w:val="es-ES"/>
        </w:rPr>
        <w:t>.</w:t>
      </w:r>
      <w:r w:rsidRPr="00304D78">
        <w:rPr>
          <w:rStyle w:val="FootnoteReference"/>
          <w:lang w:val="es-ES"/>
        </w:rPr>
        <w:t xml:space="preserve"> </w:t>
      </w:r>
      <w:r w:rsidRPr="00304D78">
        <w:rPr>
          <w:sz w:val="20"/>
          <w:lang w:val="es-ES"/>
        </w:rPr>
        <w:t>De acuerdo con estas directrices, el deber del abogado defensor de investigar y presentar pruebas atenuantes ya es bien conocido en Estados Unidos</w:t>
      </w:r>
      <w:r>
        <w:rPr>
          <w:sz w:val="20"/>
          <w:lang w:val="es-ES"/>
        </w:rPr>
        <w:t>. D</w:t>
      </w:r>
      <w:r w:rsidRPr="00304D78">
        <w:rPr>
          <w:sz w:val="20"/>
          <w:lang w:val="es-ES"/>
        </w:rPr>
        <w:t xml:space="preserve">ebido a que el juez que dicta sentencia en un caso de pena de muerte debe considerar entre los atenuantes “cualquier aspecto de la vida del acusado que se oponga a la procedencia de la pena de muerte para el acusado”, los preparativos para la etapa de la sentencia requieren una investigación extensa y generalmente sin </w:t>
      </w:r>
      <w:r>
        <w:rPr>
          <w:sz w:val="20"/>
          <w:lang w:val="es-ES"/>
        </w:rPr>
        <w:t>paralelo</w:t>
      </w:r>
      <w:r w:rsidRPr="00304D78">
        <w:rPr>
          <w:sz w:val="20"/>
          <w:lang w:val="es-ES"/>
        </w:rPr>
        <w:t xml:space="preserve"> de los antecedentes personales y familiares</w:t>
      </w:r>
      <w:r w:rsidRPr="00304D78">
        <w:rPr>
          <w:rStyle w:val="FootnoteReference"/>
          <w:sz w:val="20"/>
          <w:lang w:val="es-ES"/>
        </w:rPr>
        <w:footnoteReference w:id="81"/>
      </w:r>
      <w:r w:rsidRPr="00304D78">
        <w:rPr>
          <w:sz w:val="20"/>
          <w:lang w:val="es-ES"/>
        </w:rPr>
        <w:t>.</w:t>
      </w:r>
      <w:r w:rsidRPr="00304D78">
        <w:rPr>
          <w:rStyle w:val="FootnoteReference"/>
          <w:lang w:val="es-ES"/>
        </w:rPr>
        <w:t xml:space="preserve"> </w:t>
      </w:r>
      <w:r w:rsidRPr="00304D78">
        <w:rPr>
          <w:sz w:val="20"/>
          <w:lang w:val="es-ES"/>
        </w:rPr>
        <w:t>En las directrices también se recalca que la investigación de los atenuantes debe comenzar cuanto antes, porque podría influir en la investigación de las defensas de la primera etapa (por ejemplo, al revelar otros asuntos sobre los cuales se podría interrogar a los agentes de policía o a otros testigos), las decisiones sobre la necesidad de peritajes (</w:t>
      </w:r>
      <w:r>
        <w:rPr>
          <w:sz w:val="20"/>
          <w:lang w:val="es-ES"/>
        </w:rPr>
        <w:t>en relación con</w:t>
      </w:r>
      <w:r w:rsidRPr="00304D78">
        <w:rPr>
          <w:sz w:val="20"/>
          <w:lang w:val="es-ES"/>
        </w:rPr>
        <w:t xml:space="preserve"> la capacidad procesal, el retraso mental o la demencia), la presentación de peticiones y las negociaciones relativas a la contestación a la acusación</w:t>
      </w:r>
      <w:r w:rsidRPr="00304D78">
        <w:rPr>
          <w:rStyle w:val="FootnoteReference"/>
          <w:sz w:val="20"/>
          <w:lang w:val="es-ES"/>
        </w:rPr>
        <w:footnoteReference w:id="82"/>
      </w:r>
      <w:r w:rsidRPr="00304D78">
        <w:rPr>
          <w:sz w:val="20"/>
          <w:lang w:val="es-ES"/>
        </w:rPr>
        <w:t>.</w:t>
      </w:r>
      <w:r w:rsidRPr="00304D78">
        <w:rPr>
          <w:rStyle w:val="FootnoteReference"/>
          <w:lang w:val="es-ES"/>
        </w:rPr>
        <w:t xml:space="preserve"> </w:t>
      </w:r>
    </w:p>
    <w:p w14:paraId="425839D5"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lang w:val="es-ES"/>
        </w:rPr>
      </w:pPr>
    </w:p>
    <w:p w14:paraId="4DAF6C95"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lang w:val="es-ES"/>
        </w:rPr>
      </w:pPr>
      <w:r>
        <w:rPr>
          <w:sz w:val="20"/>
          <w:lang w:val="es-ES"/>
        </w:rPr>
        <w:t>Los peticionarios alegan</w:t>
      </w:r>
      <w:r w:rsidRPr="00304D78">
        <w:rPr>
          <w:sz w:val="20"/>
          <w:lang w:val="es-ES"/>
        </w:rPr>
        <w:t xml:space="preserve"> </w:t>
      </w:r>
      <w:r w:rsidRPr="00020755">
        <w:rPr>
          <w:sz w:val="20"/>
          <w:lang w:val="es-ES"/>
        </w:rPr>
        <w:t>que el abogado litigante no le proporcionó patrocinio letrado eficaz</w:t>
      </w:r>
      <w:r w:rsidRPr="00304D78">
        <w:rPr>
          <w:sz w:val="20"/>
          <w:lang w:val="es-ES"/>
        </w:rPr>
        <w:t xml:space="preserve"> </w:t>
      </w:r>
      <w:r>
        <w:rPr>
          <w:sz w:val="20"/>
          <w:lang w:val="es-ES"/>
        </w:rPr>
        <w:t xml:space="preserve">porque </w:t>
      </w:r>
      <w:r w:rsidRPr="00020755">
        <w:rPr>
          <w:sz w:val="20"/>
          <w:lang w:val="es-ES"/>
        </w:rPr>
        <w:t>no se preparó debidamente</w:t>
      </w:r>
      <w:r w:rsidRPr="00304D78">
        <w:rPr>
          <w:sz w:val="20"/>
          <w:lang w:val="es-ES"/>
        </w:rPr>
        <w:t xml:space="preserve"> </w:t>
      </w:r>
      <w:r>
        <w:rPr>
          <w:sz w:val="20"/>
          <w:lang w:val="es-ES"/>
        </w:rPr>
        <w:t xml:space="preserve">para la </w:t>
      </w:r>
      <w:r w:rsidRPr="00304D78">
        <w:rPr>
          <w:sz w:val="20"/>
          <w:lang w:val="es-ES"/>
        </w:rPr>
        <w:t xml:space="preserve">etapa de la sentencia. </w:t>
      </w:r>
      <w:r>
        <w:rPr>
          <w:sz w:val="20"/>
          <w:lang w:val="es-ES"/>
        </w:rPr>
        <w:t>En los</w:t>
      </w:r>
      <w:r w:rsidRPr="00304D78">
        <w:rPr>
          <w:sz w:val="20"/>
          <w:lang w:val="es-ES"/>
        </w:rPr>
        <w:t xml:space="preserve"> procedimientos poscondenatorios, el abogado del señor Robinson </w:t>
      </w:r>
      <w:r>
        <w:rPr>
          <w:sz w:val="20"/>
          <w:lang w:val="es-ES"/>
        </w:rPr>
        <w:t xml:space="preserve">afirmó, entre otras cosas, que el abogado litigante no había investigado ni refutado las </w:t>
      </w:r>
      <w:r w:rsidRPr="00304D78">
        <w:rPr>
          <w:sz w:val="20"/>
          <w:lang w:val="es-ES"/>
        </w:rPr>
        <w:t xml:space="preserve">pruebas agravantes </w:t>
      </w:r>
      <w:r>
        <w:rPr>
          <w:sz w:val="20"/>
          <w:lang w:val="es-ES"/>
        </w:rPr>
        <w:t xml:space="preserve">presentadas por el fiscal, no se había preparado debidamente y no había presentado </w:t>
      </w:r>
      <w:r w:rsidRPr="00304D78">
        <w:rPr>
          <w:sz w:val="20"/>
          <w:lang w:val="es-ES"/>
        </w:rPr>
        <w:t xml:space="preserve">pruebas </w:t>
      </w:r>
      <w:r w:rsidRPr="00304D78">
        <w:rPr>
          <w:sz w:val="20"/>
          <w:lang w:val="es-ES"/>
        </w:rPr>
        <w:lastRenderedPageBreak/>
        <w:t xml:space="preserve">atenuantes. </w:t>
      </w:r>
      <w:r w:rsidRPr="00020755">
        <w:rPr>
          <w:sz w:val="20"/>
          <w:lang w:val="es-ES"/>
        </w:rPr>
        <w:t>El tribunal concluyó que el señor Robinson no había demostrado que el desempeño de su abogado litigante h</w:t>
      </w:r>
      <w:r>
        <w:rPr>
          <w:sz w:val="20"/>
          <w:lang w:val="es-ES"/>
        </w:rPr>
        <w:t xml:space="preserve">ubiera </w:t>
      </w:r>
      <w:r w:rsidRPr="00020755">
        <w:rPr>
          <w:sz w:val="20"/>
          <w:lang w:val="es-ES"/>
        </w:rPr>
        <w:t>estado por debajo de una norma profesional objetivamente razonable y, en consecuencia, h</w:t>
      </w:r>
      <w:r>
        <w:rPr>
          <w:sz w:val="20"/>
          <w:lang w:val="es-ES"/>
        </w:rPr>
        <w:t>ubiera</w:t>
      </w:r>
      <w:r w:rsidRPr="00020755">
        <w:rPr>
          <w:sz w:val="20"/>
          <w:lang w:val="es-ES"/>
        </w:rPr>
        <w:t xml:space="preserve"> perjudicado el caso</w:t>
      </w:r>
      <w:r w:rsidRPr="00304D78">
        <w:rPr>
          <w:sz w:val="20"/>
          <w:lang w:val="es-ES"/>
        </w:rPr>
        <w:t xml:space="preserve">. </w:t>
      </w:r>
    </w:p>
    <w:p w14:paraId="5DE55F8D" w14:textId="77777777" w:rsidR="00110F02" w:rsidRPr="00304D78" w:rsidRDefault="00110F02" w:rsidP="00110F02">
      <w:pPr>
        <w:pStyle w:val="ListParagraph"/>
        <w:rPr>
          <w:sz w:val="20"/>
          <w:lang w:val="es-ES"/>
        </w:rPr>
      </w:pPr>
    </w:p>
    <w:p w14:paraId="438F92BE" w14:textId="77777777" w:rsidR="00110F02" w:rsidRPr="00A1097B"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lang w:val="es-ES"/>
        </w:rPr>
      </w:pPr>
      <w:r w:rsidRPr="00304D78">
        <w:rPr>
          <w:sz w:val="20"/>
          <w:lang w:val="es-ES"/>
        </w:rPr>
        <w:t xml:space="preserve">La CIDH </w:t>
      </w:r>
      <w:r>
        <w:rPr>
          <w:sz w:val="20"/>
          <w:lang w:val="es-ES"/>
        </w:rPr>
        <w:t xml:space="preserve">observa que la información que obra en el expediente muestra que </w:t>
      </w:r>
      <w:r w:rsidRPr="00A1097B">
        <w:rPr>
          <w:sz w:val="20"/>
          <w:lang w:val="es-ES"/>
        </w:rPr>
        <w:t>el abogado litigante contrató un investigador con licencia que había intervenido en cientos de investigaciones para la defensa en casos penales, entre ellos varios casos de pena de muerte</w:t>
      </w:r>
      <w:r w:rsidRPr="00304D78">
        <w:rPr>
          <w:sz w:val="20"/>
          <w:lang w:val="es-ES"/>
        </w:rPr>
        <w:t xml:space="preserve">. </w:t>
      </w:r>
      <w:r>
        <w:rPr>
          <w:sz w:val="20"/>
          <w:lang w:val="es-ES"/>
        </w:rPr>
        <w:t>Asimismo, el a</w:t>
      </w:r>
      <w:r w:rsidRPr="00A1097B">
        <w:rPr>
          <w:sz w:val="20"/>
          <w:lang w:val="es-ES"/>
        </w:rPr>
        <w:t xml:space="preserve">bogado litigante </w:t>
      </w:r>
      <w:r>
        <w:rPr>
          <w:sz w:val="20"/>
          <w:lang w:val="es-ES"/>
        </w:rPr>
        <w:t xml:space="preserve">llamó a comparecer a diez </w:t>
      </w:r>
      <w:r w:rsidRPr="00A1097B">
        <w:rPr>
          <w:sz w:val="20"/>
          <w:lang w:val="es-ES"/>
        </w:rPr>
        <w:t xml:space="preserve">testigos de solvencia moral, </w:t>
      </w:r>
      <w:r>
        <w:rPr>
          <w:sz w:val="20"/>
          <w:lang w:val="es-ES"/>
        </w:rPr>
        <w:t>a la madre y el tío d</w:t>
      </w:r>
      <w:r w:rsidRPr="00A1097B">
        <w:rPr>
          <w:sz w:val="20"/>
          <w:lang w:val="es-ES"/>
        </w:rPr>
        <w:t>el señor Robinson</w:t>
      </w:r>
      <w:r>
        <w:rPr>
          <w:sz w:val="20"/>
          <w:lang w:val="es-ES"/>
        </w:rPr>
        <w:t xml:space="preserve"> y a un </w:t>
      </w:r>
      <w:r w:rsidRPr="00A1097B">
        <w:rPr>
          <w:sz w:val="20"/>
          <w:lang w:val="es-ES"/>
        </w:rPr>
        <w:t xml:space="preserve">perito. </w:t>
      </w:r>
      <w:r>
        <w:rPr>
          <w:sz w:val="20"/>
          <w:lang w:val="es-ES"/>
        </w:rPr>
        <w:t xml:space="preserve">Sobre esa base, </w:t>
      </w:r>
      <w:r w:rsidRPr="00A1097B">
        <w:rPr>
          <w:sz w:val="20"/>
          <w:lang w:val="es-ES"/>
        </w:rPr>
        <w:t>el tribunal de distrito conclu</w:t>
      </w:r>
      <w:r>
        <w:rPr>
          <w:sz w:val="20"/>
          <w:lang w:val="es-ES"/>
        </w:rPr>
        <w:t xml:space="preserve">yó que el </w:t>
      </w:r>
      <w:r w:rsidRPr="00A1097B">
        <w:rPr>
          <w:sz w:val="20"/>
          <w:lang w:val="es-ES"/>
        </w:rPr>
        <w:t xml:space="preserve">abogado litigante </w:t>
      </w:r>
      <w:r>
        <w:rPr>
          <w:sz w:val="20"/>
          <w:lang w:val="es-ES"/>
        </w:rPr>
        <w:t xml:space="preserve">había hecho una investigación exhaustiva y que </w:t>
      </w:r>
      <w:r w:rsidRPr="00A1097B">
        <w:rPr>
          <w:sz w:val="20"/>
          <w:lang w:val="es-ES"/>
        </w:rPr>
        <w:t>no había ninguna razón para que el abogado examinara los registros de la escuela primaria del señor</w:t>
      </w:r>
      <w:r>
        <w:rPr>
          <w:sz w:val="20"/>
          <w:lang w:val="es-ES"/>
        </w:rPr>
        <w:t xml:space="preserve"> Robinson,</w:t>
      </w:r>
      <w:r w:rsidRPr="00A1097B">
        <w:rPr>
          <w:sz w:val="20"/>
          <w:lang w:val="es-ES"/>
        </w:rPr>
        <w:t xml:space="preserve"> como él pedía, </w:t>
      </w:r>
      <w:r>
        <w:rPr>
          <w:sz w:val="20"/>
          <w:lang w:val="es-ES"/>
        </w:rPr>
        <w:t>ya que el abogado había examinado los registros más recientes de la escuela secundaria y la universidad</w:t>
      </w:r>
      <w:r w:rsidRPr="00A1097B">
        <w:rPr>
          <w:sz w:val="20"/>
          <w:lang w:val="es-ES"/>
        </w:rPr>
        <w:t xml:space="preserve">. </w:t>
      </w:r>
    </w:p>
    <w:p w14:paraId="75FD59CA" w14:textId="77777777" w:rsidR="00110F02" w:rsidRPr="00304D78" w:rsidRDefault="00110F02" w:rsidP="00110F02">
      <w:pPr>
        <w:pStyle w:val="ListParagraph"/>
        <w:rPr>
          <w:sz w:val="20"/>
          <w:lang w:val="es-ES"/>
        </w:rPr>
      </w:pPr>
    </w:p>
    <w:p w14:paraId="136A8143"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lang w:val="es-ES"/>
        </w:rPr>
      </w:pPr>
      <w:r w:rsidRPr="00304D78">
        <w:rPr>
          <w:sz w:val="20"/>
          <w:lang w:val="es-ES"/>
        </w:rPr>
        <w:t xml:space="preserve">La Comisión </w:t>
      </w:r>
      <w:r>
        <w:rPr>
          <w:sz w:val="20"/>
          <w:lang w:val="es-ES"/>
        </w:rPr>
        <w:t xml:space="preserve">observa asimismo que, en un examen poscondenatorio, se llegó a la conclusión de que </w:t>
      </w:r>
      <w:r w:rsidRPr="00304D78">
        <w:rPr>
          <w:sz w:val="20"/>
          <w:lang w:val="es-ES"/>
        </w:rPr>
        <w:t xml:space="preserve">el señor Robinson </w:t>
      </w:r>
      <w:r>
        <w:rPr>
          <w:sz w:val="20"/>
          <w:lang w:val="es-ES"/>
        </w:rPr>
        <w:t xml:space="preserve">tenía déficits cognitivos sutiles y problemas generales de aprendizaje y era </w:t>
      </w:r>
      <w:r w:rsidRPr="00304D78">
        <w:rPr>
          <w:rFonts w:asciiTheme="majorHAnsi" w:hAnsiTheme="majorHAnsi"/>
          <w:sz w:val="20"/>
          <w:szCs w:val="20"/>
          <w:lang w:val="es-ES"/>
        </w:rPr>
        <w:t>vulnerable a problemas psicológicos y emocionales</w:t>
      </w:r>
      <w:r w:rsidRPr="00304D78">
        <w:rPr>
          <w:sz w:val="20"/>
          <w:lang w:val="es-ES"/>
        </w:rPr>
        <w:t xml:space="preserve">. El tribunal de distrito </w:t>
      </w:r>
      <w:r>
        <w:rPr>
          <w:sz w:val="20"/>
          <w:lang w:val="es-ES"/>
        </w:rPr>
        <w:t xml:space="preserve">dictaminó que, incluso si </w:t>
      </w:r>
      <w:r w:rsidRPr="00137698">
        <w:rPr>
          <w:sz w:val="20"/>
          <w:lang w:val="es-ES"/>
        </w:rPr>
        <w:t xml:space="preserve">las declaraciones nuevas proporcionaran pruebas de que </w:t>
      </w:r>
      <w:r>
        <w:rPr>
          <w:sz w:val="20"/>
          <w:lang w:val="es-ES"/>
        </w:rPr>
        <w:t>la</w:t>
      </w:r>
      <w:r w:rsidRPr="00137698">
        <w:rPr>
          <w:sz w:val="20"/>
          <w:lang w:val="es-ES"/>
        </w:rPr>
        <w:t xml:space="preserve"> vida familiar</w:t>
      </w:r>
      <w:r w:rsidRPr="00304D78">
        <w:rPr>
          <w:sz w:val="20"/>
          <w:lang w:val="es-ES"/>
        </w:rPr>
        <w:t xml:space="preserve"> </w:t>
      </w:r>
      <w:r>
        <w:rPr>
          <w:sz w:val="20"/>
          <w:lang w:val="es-ES"/>
        </w:rPr>
        <w:t>d</w:t>
      </w:r>
      <w:r w:rsidRPr="00304D78">
        <w:rPr>
          <w:sz w:val="20"/>
          <w:lang w:val="es-ES"/>
        </w:rPr>
        <w:t>el señor Robinson</w:t>
      </w:r>
      <w:r>
        <w:rPr>
          <w:sz w:val="20"/>
          <w:lang w:val="es-ES"/>
        </w:rPr>
        <w:t xml:space="preserve"> </w:t>
      </w:r>
      <w:r w:rsidRPr="00304D78">
        <w:rPr>
          <w:sz w:val="20"/>
          <w:lang w:val="es-ES"/>
        </w:rPr>
        <w:t>“</w:t>
      </w:r>
      <w:r w:rsidRPr="00137698">
        <w:rPr>
          <w:sz w:val="20"/>
          <w:lang w:val="es-ES"/>
        </w:rPr>
        <w:t xml:space="preserve">hubiera sido </w:t>
      </w:r>
      <w:r>
        <w:rPr>
          <w:sz w:val="20"/>
          <w:lang w:val="es-ES"/>
        </w:rPr>
        <w:t>menos positiva que la descrita</w:t>
      </w:r>
      <w:r w:rsidRPr="00137698">
        <w:rPr>
          <w:sz w:val="20"/>
          <w:lang w:val="es-ES"/>
        </w:rPr>
        <w:t xml:space="preserve"> en el juicio</w:t>
      </w:r>
      <w:r w:rsidRPr="00304D78">
        <w:rPr>
          <w:sz w:val="20"/>
          <w:lang w:val="es-ES"/>
        </w:rPr>
        <w:t>”</w:t>
      </w:r>
      <w:r>
        <w:rPr>
          <w:sz w:val="20"/>
          <w:lang w:val="es-ES"/>
        </w:rPr>
        <w:t>,</w:t>
      </w:r>
      <w:r w:rsidRPr="00304D78">
        <w:rPr>
          <w:sz w:val="20"/>
          <w:lang w:val="es-ES"/>
        </w:rPr>
        <w:t xml:space="preserve"> </w:t>
      </w:r>
      <w:r>
        <w:rPr>
          <w:sz w:val="20"/>
          <w:lang w:val="es-ES"/>
        </w:rPr>
        <w:t xml:space="preserve">esas pruebas no demostrarían la forma en que habrían alterado el desenlace del juicio. Según el </w:t>
      </w:r>
      <w:r w:rsidRPr="00304D78">
        <w:rPr>
          <w:sz w:val="20"/>
          <w:lang w:val="es-ES"/>
        </w:rPr>
        <w:t xml:space="preserve">tribunal, </w:t>
      </w:r>
      <w:r>
        <w:rPr>
          <w:sz w:val="20"/>
          <w:lang w:val="es-ES"/>
        </w:rPr>
        <w:t xml:space="preserve">esa </w:t>
      </w:r>
      <w:r w:rsidRPr="00304D78">
        <w:rPr>
          <w:sz w:val="20"/>
          <w:lang w:val="es-ES"/>
        </w:rPr>
        <w:t xml:space="preserve">información </w:t>
      </w:r>
      <w:r w:rsidRPr="00137698">
        <w:rPr>
          <w:rFonts w:asciiTheme="majorHAnsi" w:hAnsiTheme="majorHAnsi"/>
          <w:sz w:val="20"/>
          <w:szCs w:val="20"/>
          <w:lang w:val="es-ES"/>
        </w:rPr>
        <w:t>no habría persuadido al jurado de que el señor Robinson era menos culpable de los homicidios, en vista de todas las pruebas en contrario</w:t>
      </w:r>
      <w:r w:rsidRPr="00304D78">
        <w:rPr>
          <w:rFonts w:asciiTheme="majorHAnsi" w:hAnsiTheme="majorHAnsi"/>
          <w:sz w:val="20"/>
          <w:szCs w:val="20"/>
          <w:lang w:val="es-ES"/>
        </w:rPr>
        <w:t xml:space="preserve">. </w:t>
      </w:r>
      <w:r>
        <w:rPr>
          <w:rFonts w:asciiTheme="majorHAnsi" w:hAnsiTheme="majorHAnsi"/>
          <w:sz w:val="20"/>
          <w:szCs w:val="20"/>
          <w:lang w:val="es-ES"/>
        </w:rPr>
        <w:t>Con respecto al reclamo d</w:t>
      </w:r>
      <w:r w:rsidRPr="00304D78">
        <w:rPr>
          <w:sz w:val="20"/>
          <w:lang w:val="es-ES"/>
        </w:rPr>
        <w:t>el señor Robinson</w:t>
      </w:r>
      <w:r>
        <w:rPr>
          <w:sz w:val="20"/>
          <w:lang w:val="es-ES"/>
        </w:rPr>
        <w:t xml:space="preserve"> de que el </w:t>
      </w:r>
      <w:r w:rsidRPr="00304D78">
        <w:rPr>
          <w:sz w:val="20"/>
          <w:lang w:val="es-ES"/>
        </w:rPr>
        <w:t xml:space="preserve">abogado litigante </w:t>
      </w:r>
      <w:r>
        <w:rPr>
          <w:sz w:val="20"/>
          <w:lang w:val="es-ES"/>
        </w:rPr>
        <w:t xml:space="preserve">no había hecho </w:t>
      </w:r>
      <w:r w:rsidRPr="00137698">
        <w:rPr>
          <w:sz w:val="20"/>
          <w:lang w:val="es-ES"/>
        </w:rPr>
        <w:t>una búsqueda adecuada de pruebas atenuantes en sus antecedentes social</w:t>
      </w:r>
      <w:r>
        <w:rPr>
          <w:sz w:val="20"/>
          <w:lang w:val="es-ES"/>
        </w:rPr>
        <w:t>es</w:t>
      </w:r>
      <w:r w:rsidRPr="00304D78">
        <w:rPr>
          <w:sz w:val="20"/>
          <w:lang w:val="es-ES"/>
        </w:rPr>
        <w:t xml:space="preserve">, </w:t>
      </w:r>
      <w:r>
        <w:rPr>
          <w:sz w:val="20"/>
          <w:lang w:val="es-ES"/>
        </w:rPr>
        <w:t>como su involucramiento en pandillas durante su juventud</w:t>
      </w:r>
      <w:r w:rsidRPr="00304D78">
        <w:rPr>
          <w:sz w:val="20"/>
          <w:lang w:val="es-ES"/>
        </w:rPr>
        <w:t xml:space="preserve">, el tribunal de distrito </w:t>
      </w:r>
      <w:r w:rsidRPr="00137698">
        <w:rPr>
          <w:sz w:val="20"/>
          <w:lang w:val="es-ES"/>
        </w:rPr>
        <w:t>observó que el abogado decidió estratégicamente no poner de relieve esa información por</w:t>
      </w:r>
      <w:r>
        <w:rPr>
          <w:sz w:val="20"/>
          <w:lang w:val="es-ES"/>
        </w:rPr>
        <w:t xml:space="preserve"> temor de </w:t>
      </w:r>
      <w:r w:rsidRPr="00137698">
        <w:rPr>
          <w:sz w:val="20"/>
          <w:lang w:val="es-ES"/>
        </w:rPr>
        <w:t xml:space="preserve">que </w:t>
      </w:r>
      <w:r>
        <w:rPr>
          <w:sz w:val="20"/>
          <w:lang w:val="es-ES"/>
        </w:rPr>
        <w:t>fuese</w:t>
      </w:r>
      <w:r w:rsidRPr="00137698">
        <w:rPr>
          <w:sz w:val="20"/>
          <w:lang w:val="es-ES"/>
        </w:rPr>
        <w:t xml:space="preserve"> más perjudicial que beneficiosa</w:t>
      </w:r>
      <w:r>
        <w:rPr>
          <w:sz w:val="20"/>
          <w:lang w:val="es-ES"/>
        </w:rPr>
        <w:t>.</w:t>
      </w:r>
    </w:p>
    <w:p w14:paraId="77EDA9F3" w14:textId="77777777" w:rsidR="00110F02" w:rsidRPr="00304D78" w:rsidRDefault="00110F02" w:rsidP="00110F02">
      <w:pPr>
        <w:pStyle w:val="ListParagraph"/>
        <w:rPr>
          <w:sz w:val="20"/>
          <w:lang w:val="es-ES"/>
        </w:rPr>
      </w:pPr>
    </w:p>
    <w:p w14:paraId="739DBB79"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s>
        <w:autoSpaceDE w:val="0"/>
        <w:autoSpaceDN w:val="0"/>
        <w:adjustRightInd w:val="0"/>
        <w:ind w:left="0" w:firstLine="0"/>
        <w:jc w:val="both"/>
        <w:rPr>
          <w:sz w:val="20"/>
          <w:lang w:val="es-ES"/>
        </w:rPr>
      </w:pPr>
      <w:r>
        <w:rPr>
          <w:sz w:val="20"/>
          <w:lang w:val="es-ES"/>
        </w:rPr>
        <w:t xml:space="preserve">Como ya se dijo, el Estado, aunque debe asegurar que el abogado de oficio proporcione asistencia letrada eficaz, </w:t>
      </w:r>
      <w:r w:rsidRPr="00524C3F">
        <w:rPr>
          <w:sz w:val="20"/>
          <w:lang w:val="es-ES"/>
        </w:rPr>
        <w:t>no es responsable de lo que pueda entenderse como decisiones sobre la estrategia o de cada deficiencia posible</w:t>
      </w:r>
      <w:r w:rsidRPr="00304D78">
        <w:rPr>
          <w:sz w:val="20"/>
          <w:lang w:val="es-ES"/>
        </w:rPr>
        <w:t xml:space="preserve">. </w:t>
      </w:r>
      <w:r>
        <w:rPr>
          <w:sz w:val="20"/>
          <w:lang w:val="es-ES"/>
        </w:rPr>
        <w:t xml:space="preserve">Con respecto a los reclamos antedichos, </w:t>
      </w:r>
      <w:r w:rsidRPr="00304D78">
        <w:rPr>
          <w:rFonts w:asciiTheme="majorHAnsi" w:hAnsiTheme="majorHAnsi"/>
          <w:sz w:val="20"/>
          <w:szCs w:val="20"/>
          <w:lang w:val="es-ES"/>
        </w:rPr>
        <w:t xml:space="preserve">la CIDH </w:t>
      </w:r>
      <w:r>
        <w:rPr>
          <w:rFonts w:asciiTheme="majorHAnsi" w:hAnsiTheme="majorHAnsi"/>
          <w:sz w:val="20"/>
          <w:szCs w:val="20"/>
          <w:lang w:val="es-ES"/>
        </w:rPr>
        <w:t xml:space="preserve">no cuenta con suficientes elementos fácticos para concluir que el </w:t>
      </w:r>
      <w:r w:rsidRPr="00304D78">
        <w:rPr>
          <w:sz w:val="20"/>
          <w:lang w:val="es-ES"/>
        </w:rPr>
        <w:t xml:space="preserve">abogado litigante </w:t>
      </w:r>
      <w:r>
        <w:rPr>
          <w:sz w:val="20"/>
          <w:lang w:val="es-ES"/>
        </w:rPr>
        <w:t xml:space="preserve">no se preparó debidamente para la </w:t>
      </w:r>
      <w:r w:rsidRPr="00304D78">
        <w:rPr>
          <w:sz w:val="20"/>
          <w:lang w:val="es-ES"/>
        </w:rPr>
        <w:t>etapa de la sentencia</w:t>
      </w:r>
      <w:r>
        <w:rPr>
          <w:sz w:val="20"/>
          <w:lang w:val="es-ES"/>
        </w:rPr>
        <w:t>, en perjuicio del derecho d</w:t>
      </w:r>
      <w:r w:rsidRPr="00304D78">
        <w:rPr>
          <w:sz w:val="20"/>
          <w:lang w:val="es-ES"/>
        </w:rPr>
        <w:t>el señor Robinson</w:t>
      </w:r>
      <w:r>
        <w:rPr>
          <w:sz w:val="20"/>
          <w:lang w:val="es-ES"/>
        </w:rPr>
        <w:t xml:space="preserve"> a patrocinio letrado eficaz</w:t>
      </w:r>
      <w:r w:rsidRPr="00304D78">
        <w:rPr>
          <w:sz w:val="20"/>
          <w:lang w:val="es-ES"/>
        </w:rPr>
        <w:t>.</w:t>
      </w:r>
    </w:p>
    <w:p w14:paraId="052DF5E4"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0"/>
        <w:jc w:val="both"/>
        <w:rPr>
          <w:sz w:val="20"/>
          <w:lang w:val="es-ES"/>
        </w:rPr>
      </w:pPr>
    </w:p>
    <w:p w14:paraId="4F3ED2B7" w14:textId="77777777" w:rsidR="009C1D91" w:rsidRPr="009C1D91" w:rsidRDefault="00110F02" w:rsidP="009C1D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lang w:val="es-ES"/>
        </w:rPr>
      </w:pPr>
      <w:r>
        <w:rPr>
          <w:sz w:val="20"/>
          <w:lang w:val="es-ES"/>
        </w:rPr>
        <w:t>Con respecto a la investigación de la prueba presentada por la fiscalía en relación con la</w:t>
      </w:r>
      <w:r w:rsidRPr="00304D78">
        <w:rPr>
          <w:sz w:val="20"/>
          <w:lang w:val="es-ES"/>
        </w:rPr>
        <w:t xml:space="preserve"> peligrosidad futura, </w:t>
      </w:r>
      <w:r>
        <w:rPr>
          <w:sz w:val="20"/>
          <w:lang w:val="es-ES"/>
        </w:rPr>
        <w:t xml:space="preserve">el expediente que obra ante la </w:t>
      </w:r>
      <w:r w:rsidRPr="00304D78">
        <w:rPr>
          <w:sz w:val="20"/>
          <w:lang w:val="es-ES"/>
        </w:rPr>
        <w:t xml:space="preserve">Comisión </w:t>
      </w:r>
      <w:r>
        <w:rPr>
          <w:sz w:val="20"/>
          <w:lang w:val="es-ES"/>
        </w:rPr>
        <w:t xml:space="preserve">muestra que el </w:t>
      </w:r>
      <w:r w:rsidRPr="00304D78">
        <w:rPr>
          <w:sz w:val="20"/>
          <w:lang w:val="es-ES"/>
        </w:rPr>
        <w:t xml:space="preserve">abogado litigante </w:t>
      </w:r>
      <w:r>
        <w:rPr>
          <w:sz w:val="20"/>
          <w:lang w:val="es-ES"/>
        </w:rPr>
        <w:t xml:space="preserve">no entrevistó a las personas involucradas en el incidente que dio lugar al presunto atentado contra la vida de un </w:t>
      </w:r>
      <w:r w:rsidRPr="00304D78">
        <w:rPr>
          <w:rFonts w:asciiTheme="majorHAnsi" w:hAnsiTheme="majorHAnsi"/>
          <w:sz w:val="20"/>
          <w:szCs w:val="20"/>
          <w:lang w:val="es-ES"/>
        </w:rPr>
        <w:t>informant</w:t>
      </w:r>
      <w:r>
        <w:rPr>
          <w:rFonts w:asciiTheme="majorHAnsi" w:hAnsiTheme="majorHAnsi"/>
          <w:sz w:val="20"/>
          <w:szCs w:val="20"/>
          <w:lang w:val="es-ES"/>
        </w:rPr>
        <w:t>e</w:t>
      </w:r>
      <w:r w:rsidRPr="00304D78">
        <w:rPr>
          <w:rFonts w:asciiTheme="majorHAnsi" w:hAnsiTheme="majorHAnsi"/>
          <w:sz w:val="20"/>
          <w:szCs w:val="20"/>
          <w:lang w:val="es-ES"/>
        </w:rPr>
        <w:t>.</w:t>
      </w:r>
      <w:r w:rsidRPr="00304D78">
        <w:rPr>
          <w:sz w:val="20"/>
          <w:lang w:val="es-ES"/>
        </w:rPr>
        <w:t xml:space="preserve"> </w:t>
      </w:r>
      <w:r>
        <w:rPr>
          <w:sz w:val="20"/>
          <w:lang w:val="es-ES"/>
        </w:rPr>
        <w:t xml:space="preserve">Después de la condena, el </w:t>
      </w:r>
      <w:r w:rsidRPr="00304D78">
        <w:rPr>
          <w:sz w:val="20"/>
          <w:lang w:val="es-ES"/>
        </w:rPr>
        <w:t xml:space="preserve">abogado defensor </w:t>
      </w:r>
      <w:r>
        <w:rPr>
          <w:sz w:val="20"/>
          <w:lang w:val="es-ES"/>
        </w:rPr>
        <w:t>entrevistó a los tres involucrados, que negaron haber actuado por orden</w:t>
      </w:r>
      <w:r w:rsidRPr="00304D78">
        <w:rPr>
          <w:rFonts w:asciiTheme="majorHAnsi" w:eastAsia="Arial Unicode MS" w:hAnsiTheme="majorHAnsi" w:cs="Times New Roman"/>
          <w:color w:val="auto"/>
          <w:sz w:val="20"/>
          <w:szCs w:val="20"/>
          <w:lang w:val="es-ES" w:eastAsia="en-US"/>
        </w:rPr>
        <w:t xml:space="preserve"> </w:t>
      </w:r>
      <w:r>
        <w:rPr>
          <w:rFonts w:asciiTheme="majorHAnsi" w:eastAsia="Arial Unicode MS" w:hAnsiTheme="majorHAnsi" w:cs="Times New Roman"/>
          <w:color w:val="auto"/>
          <w:sz w:val="20"/>
          <w:szCs w:val="20"/>
          <w:lang w:val="es-ES" w:eastAsia="en-US"/>
        </w:rPr>
        <w:t>d</w:t>
      </w:r>
      <w:r w:rsidRPr="00304D78">
        <w:rPr>
          <w:rFonts w:asciiTheme="majorHAnsi" w:eastAsia="Arial Unicode MS" w:hAnsiTheme="majorHAnsi" w:cs="Times New Roman"/>
          <w:color w:val="auto"/>
          <w:sz w:val="20"/>
          <w:szCs w:val="20"/>
          <w:lang w:val="es-ES" w:eastAsia="en-US"/>
        </w:rPr>
        <w:t xml:space="preserve">el señor Robinson. El tribunal de distrito </w:t>
      </w:r>
      <w:r>
        <w:rPr>
          <w:rFonts w:asciiTheme="majorHAnsi" w:eastAsia="Arial Unicode MS" w:hAnsiTheme="majorHAnsi" w:cs="Times New Roman"/>
          <w:color w:val="auto"/>
          <w:sz w:val="20"/>
          <w:szCs w:val="20"/>
          <w:lang w:val="es-ES" w:eastAsia="en-US"/>
        </w:rPr>
        <w:t>determinó que era improbable que la pena hubiera sido diferente si se hubieran presentado al jurado estas versiones de los hechos, que el</w:t>
      </w:r>
      <w:r w:rsidRPr="00304D78">
        <w:rPr>
          <w:rFonts w:asciiTheme="majorHAnsi" w:eastAsia="Arial Unicode MS" w:hAnsiTheme="majorHAnsi" w:cs="Times New Roman"/>
          <w:color w:val="auto"/>
          <w:sz w:val="20"/>
          <w:szCs w:val="20"/>
          <w:lang w:val="es-ES" w:eastAsia="en-US"/>
        </w:rPr>
        <w:t xml:space="preserve"> tribunal consider</w:t>
      </w:r>
      <w:r>
        <w:rPr>
          <w:rFonts w:asciiTheme="majorHAnsi" w:eastAsia="Arial Unicode MS" w:hAnsiTheme="majorHAnsi" w:cs="Times New Roman"/>
          <w:color w:val="auto"/>
          <w:sz w:val="20"/>
          <w:szCs w:val="20"/>
          <w:lang w:val="es-ES" w:eastAsia="en-US"/>
        </w:rPr>
        <w:t>aba</w:t>
      </w:r>
      <w:r w:rsidRPr="00304D78">
        <w:rPr>
          <w:rFonts w:asciiTheme="majorHAnsi" w:eastAsia="Arial Unicode MS" w:hAnsiTheme="majorHAnsi" w:cs="Times New Roman"/>
          <w:color w:val="auto"/>
          <w:sz w:val="20"/>
          <w:szCs w:val="20"/>
          <w:lang w:val="es-ES" w:eastAsia="en-US"/>
        </w:rPr>
        <w:t xml:space="preserve"> contradictor</w:t>
      </w:r>
      <w:r>
        <w:rPr>
          <w:rFonts w:asciiTheme="majorHAnsi" w:eastAsia="Arial Unicode MS" w:hAnsiTheme="majorHAnsi" w:cs="Times New Roman"/>
          <w:color w:val="auto"/>
          <w:sz w:val="20"/>
          <w:szCs w:val="20"/>
          <w:lang w:val="es-ES" w:eastAsia="en-US"/>
        </w:rPr>
        <w:t>ias</w:t>
      </w:r>
      <w:r w:rsidRPr="00304D78">
        <w:rPr>
          <w:rFonts w:asciiTheme="majorHAnsi" w:eastAsia="Arial Unicode MS" w:hAnsiTheme="majorHAnsi" w:cs="Times New Roman"/>
          <w:color w:val="auto"/>
          <w:sz w:val="20"/>
          <w:szCs w:val="20"/>
          <w:lang w:val="es-ES" w:eastAsia="en-US"/>
        </w:rPr>
        <w:t>.</w:t>
      </w:r>
      <w:r>
        <w:rPr>
          <w:rFonts w:asciiTheme="majorHAnsi" w:eastAsia="Arial Unicode MS" w:hAnsiTheme="majorHAnsi" w:cs="Times New Roman"/>
          <w:color w:val="auto"/>
          <w:sz w:val="20"/>
          <w:szCs w:val="20"/>
          <w:lang w:val="es-ES" w:eastAsia="en-US"/>
        </w:rPr>
        <w:t xml:space="preserve"> </w:t>
      </w:r>
    </w:p>
    <w:p w14:paraId="38269ABC" w14:textId="77777777" w:rsidR="009C1D91" w:rsidRPr="009C1D91" w:rsidRDefault="009C1D91" w:rsidP="009C1D91">
      <w:pPr>
        <w:pStyle w:val="ListParagraph"/>
        <w:rPr>
          <w:sz w:val="20"/>
          <w:lang w:val="es-ES"/>
        </w:rPr>
      </w:pPr>
    </w:p>
    <w:p w14:paraId="3C0AF97C" w14:textId="77777777" w:rsidR="00110F02" w:rsidRPr="00D67EB9" w:rsidRDefault="00110F02" w:rsidP="00D67EB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lang w:val="es-ES"/>
        </w:rPr>
      </w:pPr>
      <w:r w:rsidRPr="009C1D91">
        <w:rPr>
          <w:sz w:val="20"/>
          <w:lang w:val="es-ES"/>
        </w:rPr>
        <w:t xml:space="preserve">La Comisión observa que, al no haber hecho una investigación, el abogado litigante no pudo refutar la prueba relativa a la peligrosidad futura. </w:t>
      </w:r>
      <w:r w:rsidR="009C1D91" w:rsidRPr="009C1D91">
        <w:rPr>
          <w:sz w:val="20"/>
          <w:lang w:val="es-ES"/>
        </w:rPr>
        <w:t xml:space="preserve">Como se indicó anteriormente, los jurados que dictan sentencias de muerte en Texas deben determinar que los acusados representan una amenaza continua para la sociedad antes de que puedan imponer la pena de muerte. Por lo tanto, cualquier refutación de esas pruebas presentada por la fiscalía podría tener en la práctica repercusiones en la imposición de la pena de muerte. Si </w:t>
      </w:r>
      <w:r w:rsidR="009C1D91">
        <w:rPr>
          <w:sz w:val="20"/>
          <w:lang w:val="es-ES"/>
        </w:rPr>
        <w:t xml:space="preserve">la defensa </w:t>
      </w:r>
      <w:r w:rsidR="009C1D91" w:rsidRPr="009C1D91">
        <w:rPr>
          <w:sz w:val="20"/>
          <w:lang w:val="es-ES"/>
        </w:rPr>
        <w:t>hubiera entrevistado a las tres personas involucradas en el incidente</w:t>
      </w:r>
      <w:r w:rsidR="009C1D91">
        <w:rPr>
          <w:sz w:val="20"/>
          <w:lang w:val="es-ES"/>
        </w:rPr>
        <w:t>, quienes</w:t>
      </w:r>
      <w:r w:rsidR="009C1D91" w:rsidRPr="009C1D91">
        <w:rPr>
          <w:sz w:val="20"/>
          <w:lang w:val="es-ES"/>
        </w:rPr>
        <w:t xml:space="preserve"> negaron haber actuado bajo las órdenes del Sr. Robinson, podrían haber persuadido a los jurados de que el Sr. Robinson no representaba una amenaza continua para la sociedad, de modo que pudieran salvar la vida del Sr. Robinson a pesar de la gravedad de su delito.</w:t>
      </w:r>
      <w:r w:rsidR="009C1D91">
        <w:rPr>
          <w:sz w:val="20"/>
          <w:lang w:val="es-ES"/>
        </w:rPr>
        <w:t xml:space="preserve"> </w:t>
      </w:r>
      <w:r w:rsidR="00D67EB9">
        <w:rPr>
          <w:sz w:val="20"/>
          <w:lang w:val="es-ES"/>
        </w:rPr>
        <w:t>E</w:t>
      </w:r>
      <w:r w:rsidRPr="00D67EB9">
        <w:rPr>
          <w:sz w:val="20"/>
          <w:lang w:val="es-ES"/>
        </w:rPr>
        <w:t xml:space="preserve">n vista del escrutinio riguroso </w:t>
      </w:r>
      <w:r w:rsidR="00D67EB9">
        <w:rPr>
          <w:sz w:val="20"/>
          <w:lang w:val="es-ES"/>
        </w:rPr>
        <w:t>aplicable</w:t>
      </w:r>
      <w:r w:rsidRPr="00D67EB9">
        <w:rPr>
          <w:sz w:val="20"/>
          <w:lang w:val="es-ES"/>
        </w:rPr>
        <w:t xml:space="preserve"> en casos de pena de muerte y los intereses que están en juego, los tribunales deberían haber corregido tal omisión teniendo en cuenta la mera posibilidad de un desenlace diferente. </w:t>
      </w:r>
    </w:p>
    <w:p w14:paraId="0C11E610"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0"/>
        <w:jc w:val="both"/>
        <w:rPr>
          <w:sz w:val="20"/>
          <w:lang w:val="es-ES"/>
        </w:rPr>
      </w:pPr>
    </w:p>
    <w:p w14:paraId="25B3A963"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 w:val="left" w:pos="540"/>
        </w:tabs>
        <w:autoSpaceDE w:val="0"/>
        <w:autoSpaceDN w:val="0"/>
        <w:adjustRightInd w:val="0"/>
        <w:ind w:left="0" w:firstLine="0"/>
        <w:jc w:val="both"/>
        <w:rPr>
          <w:sz w:val="20"/>
          <w:lang w:val="es-ES"/>
        </w:rPr>
      </w:pPr>
      <w:r w:rsidRPr="00304D78">
        <w:rPr>
          <w:sz w:val="20"/>
          <w:lang w:val="es-ES"/>
        </w:rPr>
        <w:t xml:space="preserve">Por último, la Comisión observa que el abogado del señor Robinson </w:t>
      </w:r>
      <w:r>
        <w:rPr>
          <w:sz w:val="20"/>
          <w:lang w:val="es-ES"/>
        </w:rPr>
        <w:t xml:space="preserve">decidió no plantear el precedente de </w:t>
      </w:r>
      <w:r w:rsidRPr="00545F41">
        <w:rPr>
          <w:sz w:val="20"/>
          <w:lang w:val="es-ES"/>
        </w:rPr>
        <w:t>Batson</w:t>
      </w:r>
      <w:r w:rsidRPr="00304D78">
        <w:rPr>
          <w:sz w:val="20"/>
          <w:lang w:val="es-ES"/>
        </w:rPr>
        <w:t xml:space="preserve"> </w:t>
      </w:r>
      <w:r>
        <w:rPr>
          <w:sz w:val="20"/>
          <w:lang w:val="es-ES"/>
        </w:rPr>
        <w:t>en la apelación</w:t>
      </w:r>
      <w:r w:rsidRPr="00304D78">
        <w:rPr>
          <w:sz w:val="20"/>
          <w:lang w:val="es-ES"/>
        </w:rPr>
        <w:t xml:space="preserve">. </w:t>
      </w:r>
      <w:r>
        <w:rPr>
          <w:sz w:val="20"/>
          <w:lang w:val="es-ES"/>
        </w:rPr>
        <w:t xml:space="preserve">Como ya se ha comprobado, el </w:t>
      </w:r>
      <w:r w:rsidRPr="00304D78">
        <w:rPr>
          <w:sz w:val="20"/>
          <w:lang w:val="es-ES"/>
        </w:rPr>
        <w:t xml:space="preserve">abogado defensor </w:t>
      </w:r>
      <w:r>
        <w:rPr>
          <w:sz w:val="20"/>
          <w:lang w:val="es-ES"/>
        </w:rPr>
        <w:t xml:space="preserve">interpuso una </w:t>
      </w:r>
      <w:r w:rsidRPr="00304D78">
        <w:rPr>
          <w:sz w:val="20"/>
          <w:lang w:val="es-ES"/>
        </w:rPr>
        <w:t xml:space="preserve">impugnación Batson </w:t>
      </w:r>
      <w:r>
        <w:rPr>
          <w:sz w:val="20"/>
          <w:lang w:val="es-ES"/>
        </w:rPr>
        <w:t>contra la eliminación de tres candidatos negros para integrar el jurado</w:t>
      </w:r>
      <w:r w:rsidRPr="00304D78">
        <w:rPr>
          <w:sz w:val="20"/>
          <w:lang w:val="es-ES"/>
        </w:rPr>
        <w:t xml:space="preserve">. </w:t>
      </w:r>
      <w:r w:rsidRPr="00304D78">
        <w:rPr>
          <w:rFonts w:asciiTheme="majorHAnsi" w:hAnsiTheme="majorHAnsi"/>
          <w:sz w:val="20"/>
          <w:szCs w:val="20"/>
          <w:lang w:val="es-ES"/>
        </w:rPr>
        <w:t>El tribunal ac</w:t>
      </w:r>
      <w:r>
        <w:rPr>
          <w:rFonts w:asciiTheme="majorHAnsi" w:hAnsiTheme="majorHAnsi"/>
          <w:sz w:val="20"/>
          <w:szCs w:val="20"/>
          <w:lang w:val="es-ES"/>
        </w:rPr>
        <w:t xml:space="preserve">eptó la explicación racialmente neutral del fiscal con respecto a la recusación de la tercera candidata para integrar el jurado, a pesar del error cometido con la lectura del cuestionario. </w:t>
      </w:r>
      <w:r w:rsidRPr="00304D78">
        <w:rPr>
          <w:rFonts w:asciiTheme="majorHAnsi" w:hAnsiTheme="majorHAnsi"/>
          <w:sz w:val="20"/>
          <w:szCs w:val="20"/>
          <w:lang w:val="es-ES"/>
        </w:rPr>
        <w:t>La CIDH conclu</w:t>
      </w:r>
      <w:r>
        <w:rPr>
          <w:rFonts w:asciiTheme="majorHAnsi" w:hAnsiTheme="majorHAnsi"/>
          <w:sz w:val="20"/>
          <w:szCs w:val="20"/>
          <w:lang w:val="es-ES"/>
        </w:rPr>
        <w:t xml:space="preserve">ye que, considerando el escrutinio particularmente riguroso que se requiere en los casos de </w:t>
      </w:r>
      <w:r w:rsidRPr="00304D78">
        <w:rPr>
          <w:rFonts w:asciiTheme="majorHAnsi" w:hAnsiTheme="majorHAnsi"/>
          <w:sz w:val="20"/>
          <w:szCs w:val="20"/>
          <w:lang w:val="es-ES"/>
        </w:rPr>
        <w:t xml:space="preserve">posible discriminación racial, </w:t>
      </w:r>
      <w:r>
        <w:rPr>
          <w:rFonts w:asciiTheme="majorHAnsi" w:hAnsiTheme="majorHAnsi"/>
          <w:sz w:val="20"/>
          <w:szCs w:val="20"/>
          <w:lang w:val="es-ES"/>
        </w:rPr>
        <w:t xml:space="preserve">aún más en los casos de </w:t>
      </w:r>
      <w:r>
        <w:rPr>
          <w:rFonts w:asciiTheme="majorHAnsi" w:hAnsiTheme="majorHAnsi"/>
          <w:sz w:val="20"/>
          <w:szCs w:val="20"/>
          <w:lang w:val="es-ES"/>
        </w:rPr>
        <w:lastRenderedPageBreak/>
        <w:t xml:space="preserve">delitos punibles con la pena de muerte, ese error sesgó la explicación del fiscal </w:t>
      </w:r>
      <w:r w:rsidRPr="00545F41">
        <w:rPr>
          <w:rFonts w:asciiTheme="majorHAnsi" w:hAnsiTheme="majorHAnsi"/>
          <w:sz w:val="20"/>
          <w:szCs w:val="20"/>
          <w:lang w:val="es-ES"/>
        </w:rPr>
        <w:t>y, por consiguiente, la recusación sin causa debería haber sido sometida a una revisión exhaustiva</w:t>
      </w:r>
      <w:r w:rsidRPr="00304D78">
        <w:rPr>
          <w:rFonts w:asciiTheme="majorHAnsi" w:hAnsiTheme="majorHAnsi"/>
          <w:sz w:val="20"/>
          <w:szCs w:val="20"/>
          <w:lang w:val="es-ES"/>
        </w:rPr>
        <w:t xml:space="preserve">. </w:t>
      </w:r>
    </w:p>
    <w:p w14:paraId="78760FEE" w14:textId="77777777" w:rsidR="00110F02" w:rsidRPr="00304D78" w:rsidRDefault="00110F02" w:rsidP="00110F02">
      <w:pPr>
        <w:rPr>
          <w:rFonts w:asciiTheme="majorHAnsi" w:hAnsiTheme="majorHAnsi"/>
          <w:sz w:val="20"/>
          <w:szCs w:val="20"/>
          <w:lang w:val="es-ES"/>
        </w:rPr>
      </w:pPr>
    </w:p>
    <w:p w14:paraId="644E1CE9" w14:textId="77777777" w:rsidR="00110F02" w:rsidRPr="00304D78" w:rsidRDefault="00110F02" w:rsidP="007664F6">
      <w:pPr>
        <w:pStyle w:val="NormalWeb"/>
        <w:numPr>
          <w:ilvl w:val="0"/>
          <w:numId w:val="55"/>
        </w:numPr>
        <w:shd w:val="clear" w:color="auto" w:fill="FFFFFF"/>
        <w:tabs>
          <w:tab w:val="left" w:pos="540"/>
        </w:tabs>
        <w:spacing w:before="0" w:beforeAutospacing="0" w:after="0" w:afterAutospacing="0"/>
        <w:ind w:left="0" w:firstLine="0"/>
        <w:jc w:val="both"/>
        <w:rPr>
          <w:rFonts w:ascii="Cambria" w:hAnsi="Cambria"/>
          <w:sz w:val="20"/>
          <w:szCs w:val="20"/>
          <w:lang w:val="es-ES"/>
        </w:rPr>
      </w:pPr>
      <w:r w:rsidRPr="00304D78">
        <w:rPr>
          <w:rFonts w:ascii="Cambria" w:hAnsi="Cambria"/>
          <w:sz w:val="20"/>
          <w:szCs w:val="20"/>
          <w:lang w:val="es-ES"/>
        </w:rPr>
        <w:t>Considerando que uno de los requisitos fundamentales relativos al derecho de justicia y al derecho a proceso regular para los delitos punibles con la pena de muerte es la obligación de proporcionar asistencia letrada adecuada</w:t>
      </w:r>
      <w:r>
        <w:rPr>
          <w:rFonts w:ascii="Cambria" w:hAnsi="Cambria"/>
          <w:sz w:val="20"/>
          <w:szCs w:val="20"/>
          <w:lang w:val="es-ES"/>
        </w:rPr>
        <w:t xml:space="preserve"> </w:t>
      </w:r>
      <w:r w:rsidRPr="00304D78">
        <w:rPr>
          <w:rFonts w:ascii="Cambria" w:hAnsi="Cambria"/>
          <w:sz w:val="20"/>
          <w:szCs w:val="20"/>
          <w:lang w:val="es-ES"/>
        </w:rPr>
        <w:t>y que</w:t>
      </w:r>
      <w:r w:rsidRPr="00304D78">
        <w:rPr>
          <w:rFonts w:ascii="Cambria" w:hAnsi="Cambria" w:cs="Arial"/>
          <w:sz w:val="20"/>
          <w:szCs w:val="20"/>
          <w:lang w:val="es-ES"/>
        </w:rPr>
        <w:t xml:space="preserve"> </w:t>
      </w:r>
      <w:r>
        <w:rPr>
          <w:rFonts w:ascii="Cambria" w:hAnsi="Cambria" w:cs="Arial"/>
          <w:sz w:val="20"/>
          <w:szCs w:val="20"/>
          <w:lang w:val="es-ES"/>
        </w:rPr>
        <w:t xml:space="preserve">no investigar de manera correcta la prueba presentada por el fiscal, no refutarla y </w:t>
      </w:r>
      <w:r w:rsidRPr="00304D78">
        <w:rPr>
          <w:rFonts w:ascii="Cambria" w:hAnsi="Cambria" w:cs="Arial"/>
          <w:sz w:val="20"/>
          <w:szCs w:val="20"/>
          <w:lang w:val="es-ES"/>
        </w:rPr>
        <w:t>no impugnar debidamente la pena de muerte constituiría asistencia letrada inadecuada, la Comisión Interamericana concluye que Estados Unidos violó el derecho de justicia y el derecho a proceso regular del señor Robinson</w:t>
      </w:r>
      <w:r w:rsidRPr="00304D78">
        <w:rPr>
          <w:rFonts w:ascii="Cambria" w:eastAsia="Arial Unicode MS" w:hAnsi="Cambria" w:cs="Arial"/>
          <w:sz w:val="20"/>
          <w:szCs w:val="20"/>
          <w:bdr w:val="nil"/>
          <w:lang w:val="es-ES"/>
        </w:rPr>
        <w:t xml:space="preserve"> </w:t>
      </w:r>
      <w:r w:rsidRPr="00304D78">
        <w:rPr>
          <w:rFonts w:ascii="Cambria" w:hAnsi="Cambria" w:cs="Arial"/>
          <w:sz w:val="20"/>
          <w:szCs w:val="20"/>
          <w:lang w:val="es-ES"/>
        </w:rPr>
        <w:t xml:space="preserve">enunciados en los artículos XVIII y XXVI de la Declaración Americana. La Comisión </w:t>
      </w:r>
      <w:r>
        <w:rPr>
          <w:rFonts w:ascii="Cambria" w:hAnsi="Cambria" w:cs="Arial"/>
          <w:sz w:val="20"/>
          <w:szCs w:val="20"/>
          <w:lang w:val="es-ES"/>
        </w:rPr>
        <w:t xml:space="preserve">concluye asimismo que </w:t>
      </w:r>
      <w:r w:rsidRPr="00304D78">
        <w:rPr>
          <w:rFonts w:ascii="Cambria" w:hAnsi="Cambria" w:cs="Arial"/>
          <w:sz w:val="20"/>
          <w:szCs w:val="20"/>
          <w:lang w:val="es-ES"/>
        </w:rPr>
        <w:t>el señor Robinson</w:t>
      </w:r>
      <w:r>
        <w:rPr>
          <w:rFonts w:ascii="Cambria" w:hAnsi="Cambria" w:cs="Arial"/>
          <w:sz w:val="20"/>
          <w:szCs w:val="20"/>
          <w:lang w:val="es-ES"/>
        </w:rPr>
        <w:t xml:space="preserve"> no contó con un </w:t>
      </w:r>
      <w:r w:rsidRPr="00304D78">
        <w:rPr>
          <w:rFonts w:ascii="Cambria" w:hAnsi="Cambria" w:cs="Arial"/>
          <w:sz w:val="20"/>
          <w:szCs w:val="20"/>
          <w:lang w:val="es-ES"/>
        </w:rPr>
        <w:t xml:space="preserve">recurso efectivo </w:t>
      </w:r>
      <w:r>
        <w:rPr>
          <w:rFonts w:ascii="Cambria" w:hAnsi="Cambria" w:cs="Arial"/>
          <w:sz w:val="20"/>
          <w:szCs w:val="20"/>
          <w:lang w:val="es-ES"/>
        </w:rPr>
        <w:t xml:space="preserve">para hacer valer su reclamo de que no se había hecho una investigación ni se había refutado la prueba presentada por la fiscalía con respecto a la </w:t>
      </w:r>
      <w:r w:rsidRPr="00304D78">
        <w:rPr>
          <w:rFonts w:ascii="Cambria" w:hAnsi="Cambria" w:cs="Arial"/>
          <w:sz w:val="20"/>
          <w:szCs w:val="20"/>
          <w:lang w:val="es-ES"/>
        </w:rPr>
        <w:t xml:space="preserve">peligrosidad futura. </w:t>
      </w:r>
    </w:p>
    <w:p w14:paraId="23B815CD" w14:textId="77777777" w:rsidR="00110F02" w:rsidRPr="00304D78" w:rsidRDefault="00110F02" w:rsidP="00110F02">
      <w:pPr>
        <w:pStyle w:val="NormalWeb"/>
        <w:shd w:val="clear" w:color="auto" w:fill="FFFFFF"/>
        <w:spacing w:before="0" w:beforeAutospacing="0" w:after="0" w:afterAutospacing="0"/>
        <w:jc w:val="both"/>
        <w:rPr>
          <w:rFonts w:ascii="Cambria" w:hAnsi="Cambria"/>
          <w:sz w:val="20"/>
          <w:szCs w:val="20"/>
          <w:lang w:val="es-ES"/>
        </w:rPr>
      </w:pPr>
    </w:p>
    <w:p w14:paraId="68291650" w14:textId="77777777" w:rsidR="00110F02" w:rsidRPr="00997E8C" w:rsidRDefault="00110F02" w:rsidP="005200DD">
      <w:pPr>
        <w:pStyle w:val="Heading2"/>
        <w:numPr>
          <w:ilvl w:val="0"/>
          <w:numId w:val="62"/>
        </w:numPr>
        <w:spacing w:before="0" w:after="0"/>
        <w:ind w:left="360"/>
        <w:jc w:val="both"/>
        <w:rPr>
          <w:rFonts w:asciiTheme="majorHAnsi" w:hAnsiTheme="majorHAnsi"/>
          <w:i w:val="0"/>
          <w:sz w:val="20"/>
          <w:szCs w:val="20"/>
          <w:lang w:val="es-ES"/>
        </w:rPr>
      </w:pPr>
      <w:bookmarkStart w:id="51" w:name="_Toc6226983"/>
      <w:bookmarkStart w:id="52" w:name="_Toc22915028"/>
      <w:bookmarkStart w:id="53" w:name="_Toc61514172"/>
      <w:r w:rsidRPr="00997E8C">
        <w:rPr>
          <w:rFonts w:asciiTheme="majorHAnsi" w:hAnsiTheme="majorHAnsi"/>
          <w:i w:val="0"/>
          <w:sz w:val="20"/>
          <w:szCs w:val="20"/>
          <w:lang w:val="es-ES"/>
        </w:rPr>
        <w:t>El derecho de acceso a información</w:t>
      </w:r>
      <w:r w:rsidRPr="00B16A61">
        <w:rPr>
          <w:rStyle w:val="FootnoteReference"/>
          <w:rFonts w:asciiTheme="majorHAnsi" w:eastAsia="Arial Unicode MS" w:hAnsiTheme="majorHAnsi" w:cs="Times New Roman"/>
          <w:bCs w:val="0"/>
          <w:i w:val="0"/>
          <w:iCs w:val="0"/>
          <w:sz w:val="20"/>
          <w:szCs w:val="20"/>
          <w:bdr w:val="nil"/>
          <w:lang w:val="es-ES"/>
        </w:rPr>
        <w:footnoteReference w:id="83"/>
      </w:r>
      <w:r w:rsidRPr="00997E8C">
        <w:rPr>
          <w:rFonts w:asciiTheme="majorHAnsi" w:hAnsiTheme="majorHAnsi"/>
          <w:i w:val="0"/>
          <w:sz w:val="20"/>
          <w:szCs w:val="20"/>
          <w:lang w:val="es-ES"/>
        </w:rPr>
        <w:t xml:space="preserve"> con respecto al proceso de adopción de decisiones relativas a la pena de muerte y el protocolo para la inyección letal</w:t>
      </w:r>
      <w:bookmarkEnd w:id="51"/>
      <w:bookmarkEnd w:id="52"/>
      <w:bookmarkEnd w:id="53"/>
    </w:p>
    <w:p w14:paraId="0B49E7C9" w14:textId="77777777" w:rsidR="00110F02" w:rsidRPr="00304D78" w:rsidRDefault="00110F02" w:rsidP="00110F02">
      <w:pPr>
        <w:pStyle w:val="Heading2"/>
        <w:spacing w:before="0"/>
        <w:ind w:left="1440" w:hanging="720"/>
        <w:jc w:val="both"/>
        <w:rPr>
          <w:sz w:val="20"/>
          <w:szCs w:val="20"/>
          <w:lang w:val="es-ES"/>
        </w:rPr>
      </w:pPr>
    </w:p>
    <w:p w14:paraId="2D4DD300" w14:textId="77777777" w:rsidR="00110F02" w:rsidRPr="00304D78" w:rsidRDefault="00110F02" w:rsidP="007664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lang w:val="es-ES"/>
        </w:rPr>
      </w:pPr>
      <w:r w:rsidRPr="00304D78">
        <w:rPr>
          <w:rFonts w:ascii="Cambria" w:hAnsi="Cambria"/>
          <w:bCs/>
          <w:sz w:val="20"/>
          <w:szCs w:val="20"/>
          <w:lang w:val="es-ES"/>
        </w:rPr>
        <w:t xml:space="preserve">La Comisión observa que </w:t>
      </w:r>
      <w:r>
        <w:rPr>
          <w:rFonts w:ascii="Cambria" w:hAnsi="Cambria"/>
          <w:bCs/>
          <w:sz w:val="20"/>
          <w:szCs w:val="20"/>
          <w:lang w:val="es-ES"/>
        </w:rPr>
        <w:t>a</w:t>
      </w:r>
      <w:r w:rsidRPr="00304D78">
        <w:rPr>
          <w:rFonts w:ascii="Cambria" w:hAnsi="Cambria"/>
          <w:bCs/>
          <w:sz w:val="20"/>
          <w:szCs w:val="20"/>
          <w:lang w:val="es-ES"/>
        </w:rPr>
        <w:t xml:space="preserve">l señor Robinson </w:t>
      </w:r>
      <w:r>
        <w:rPr>
          <w:rFonts w:ascii="Cambria" w:hAnsi="Cambria"/>
          <w:bCs/>
          <w:sz w:val="20"/>
          <w:szCs w:val="20"/>
          <w:lang w:val="es-ES"/>
        </w:rPr>
        <w:t>le negaron acceso a información</w:t>
      </w:r>
      <w:r w:rsidRPr="00EC67EF">
        <w:rPr>
          <w:rFonts w:ascii="Cambria" w:hAnsi="Cambria"/>
          <w:bCs/>
          <w:sz w:val="20"/>
          <w:szCs w:val="20"/>
          <w:lang w:val="es-ES"/>
        </w:rPr>
        <w:t xml:space="preserve"> </w:t>
      </w:r>
      <w:r>
        <w:rPr>
          <w:rFonts w:ascii="Cambria" w:hAnsi="Cambria"/>
          <w:bCs/>
          <w:sz w:val="20"/>
          <w:szCs w:val="20"/>
          <w:lang w:val="es-ES"/>
        </w:rPr>
        <w:t xml:space="preserve">pertinente </w:t>
      </w:r>
      <w:r w:rsidRPr="00EC67EF">
        <w:rPr>
          <w:rFonts w:ascii="Cambria" w:hAnsi="Cambria"/>
          <w:bCs/>
          <w:sz w:val="20"/>
          <w:szCs w:val="20"/>
          <w:lang w:val="es-ES"/>
        </w:rPr>
        <w:t>dos veces</w:t>
      </w:r>
      <w:r>
        <w:rPr>
          <w:rFonts w:ascii="Cambria" w:hAnsi="Cambria"/>
          <w:bCs/>
          <w:sz w:val="20"/>
          <w:szCs w:val="20"/>
          <w:lang w:val="es-ES"/>
        </w:rPr>
        <w:t xml:space="preserve"> en el curso del procedimiento. Primero, </w:t>
      </w:r>
      <w:r w:rsidRPr="00304D78">
        <w:rPr>
          <w:rFonts w:ascii="Cambria" w:hAnsi="Cambria"/>
          <w:sz w:val="20"/>
          <w:szCs w:val="20"/>
          <w:lang w:val="es-ES"/>
        </w:rPr>
        <w:t>el tribunal de distrito</w:t>
      </w:r>
      <w:r>
        <w:rPr>
          <w:rFonts w:ascii="Cambria" w:hAnsi="Cambria"/>
          <w:sz w:val="20"/>
          <w:szCs w:val="20"/>
          <w:lang w:val="es-ES"/>
        </w:rPr>
        <w:t xml:space="preserve"> le denegó el pedido de información sobre el procedimiento que seguía la fiscalía para tomar decisiones en casos de pena de muerte</w:t>
      </w:r>
      <w:r w:rsidRPr="00304D78">
        <w:rPr>
          <w:rFonts w:ascii="Cambria" w:hAnsi="Cambria"/>
          <w:sz w:val="20"/>
          <w:szCs w:val="20"/>
          <w:lang w:val="es-ES"/>
        </w:rPr>
        <w:t xml:space="preserve">. </w:t>
      </w:r>
      <w:r>
        <w:rPr>
          <w:rFonts w:ascii="Cambria" w:hAnsi="Cambria"/>
          <w:sz w:val="20"/>
          <w:szCs w:val="20"/>
          <w:lang w:val="es-ES"/>
        </w:rPr>
        <w:t xml:space="preserve">Esta </w:t>
      </w:r>
      <w:r w:rsidRPr="00304D78">
        <w:rPr>
          <w:rFonts w:ascii="Cambria" w:hAnsi="Cambria"/>
          <w:sz w:val="20"/>
          <w:szCs w:val="20"/>
          <w:lang w:val="es-ES"/>
        </w:rPr>
        <w:t xml:space="preserve">información </w:t>
      </w:r>
      <w:r>
        <w:rPr>
          <w:rFonts w:ascii="Cambria" w:hAnsi="Cambria"/>
          <w:sz w:val="20"/>
          <w:szCs w:val="20"/>
          <w:lang w:val="es-ES"/>
        </w:rPr>
        <w:t xml:space="preserve">era necesaria para saber qué argumentos aducía la fiscalía para pedir </w:t>
      </w:r>
      <w:r w:rsidRPr="00304D78">
        <w:rPr>
          <w:rFonts w:ascii="Cambria" w:hAnsi="Cambria"/>
          <w:sz w:val="20"/>
          <w:szCs w:val="20"/>
          <w:lang w:val="es-ES"/>
        </w:rPr>
        <w:t xml:space="preserve">la pena de muerte </w:t>
      </w:r>
      <w:r>
        <w:rPr>
          <w:rFonts w:ascii="Cambria" w:hAnsi="Cambria"/>
          <w:sz w:val="20"/>
          <w:szCs w:val="20"/>
          <w:lang w:val="es-ES"/>
        </w:rPr>
        <w:t>y detectar cualquier sesgo</w:t>
      </w:r>
      <w:r w:rsidRPr="00304D78">
        <w:rPr>
          <w:rFonts w:ascii="Cambria" w:hAnsi="Cambria"/>
          <w:sz w:val="20"/>
          <w:szCs w:val="20"/>
          <w:lang w:val="es-ES"/>
        </w:rPr>
        <w:t xml:space="preserve"> racial </w:t>
      </w:r>
      <w:r>
        <w:rPr>
          <w:rFonts w:ascii="Cambria" w:hAnsi="Cambria"/>
          <w:sz w:val="20"/>
          <w:szCs w:val="20"/>
          <w:lang w:val="es-ES"/>
        </w:rPr>
        <w:t>que pudiera haber. Segundo, los peticionarios afirman</w:t>
      </w:r>
      <w:r>
        <w:rPr>
          <w:rFonts w:asciiTheme="majorHAnsi" w:hAnsiTheme="majorHAnsi"/>
          <w:sz w:val="20"/>
          <w:szCs w:val="20"/>
          <w:lang w:val="es-ES"/>
        </w:rPr>
        <w:t xml:space="preserve"> que e</w:t>
      </w:r>
      <w:r w:rsidRPr="00EC67EF">
        <w:rPr>
          <w:rFonts w:asciiTheme="majorHAnsi" w:hAnsiTheme="majorHAnsi"/>
          <w:sz w:val="20"/>
          <w:szCs w:val="20"/>
          <w:lang w:val="es-ES"/>
        </w:rPr>
        <w:t>l Gobierno de Estados Unidos clasificó como “confidencial</w:t>
      </w:r>
      <w:r>
        <w:rPr>
          <w:rFonts w:asciiTheme="majorHAnsi" w:hAnsiTheme="majorHAnsi"/>
          <w:sz w:val="20"/>
          <w:szCs w:val="20"/>
          <w:lang w:val="es-ES"/>
        </w:rPr>
        <w:t xml:space="preserve">es” </w:t>
      </w:r>
      <w:r w:rsidRPr="00EC67EF">
        <w:rPr>
          <w:rFonts w:asciiTheme="majorHAnsi" w:hAnsiTheme="majorHAnsi"/>
          <w:sz w:val="20"/>
          <w:szCs w:val="20"/>
          <w:lang w:val="es-ES"/>
        </w:rPr>
        <w:t>el protocolo para la inyección letal y partes cruciales de las declaraciones testimoniales que revelan la idoneidad y la capacitación del personal que interviene en el proceso y los procedimientos que utiliza</w:t>
      </w:r>
      <w:r w:rsidRPr="00304D78">
        <w:rPr>
          <w:rFonts w:asciiTheme="majorHAnsi" w:hAnsiTheme="majorHAnsi"/>
          <w:sz w:val="20"/>
          <w:szCs w:val="20"/>
          <w:lang w:val="es-ES"/>
        </w:rPr>
        <w:t xml:space="preserve">. </w:t>
      </w:r>
      <w:r w:rsidRPr="00304D78">
        <w:rPr>
          <w:rFonts w:ascii="Cambria" w:hAnsi="Cambria"/>
          <w:sz w:val="20"/>
          <w:szCs w:val="20"/>
          <w:lang w:val="es-ES"/>
        </w:rPr>
        <w:t xml:space="preserve">El Estado </w:t>
      </w:r>
      <w:r>
        <w:rPr>
          <w:rFonts w:ascii="Cambria" w:hAnsi="Cambria"/>
          <w:sz w:val="20"/>
          <w:szCs w:val="20"/>
          <w:lang w:val="es-ES"/>
        </w:rPr>
        <w:t>no lo niega</w:t>
      </w:r>
      <w:r w:rsidRPr="00304D78">
        <w:rPr>
          <w:rFonts w:ascii="Cambria" w:hAnsi="Cambria"/>
          <w:sz w:val="20"/>
          <w:szCs w:val="20"/>
          <w:lang w:val="es-ES"/>
        </w:rPr>
        <w:t>.</w:t>
      </w:r>
      <w:r>
        <w:rPr>
          <w:rFonts w:ascii="Cambria" w:hAnsi="Cambria"/>
          <w:sz w:val="20"/>
          <w:szCs w:val="20"/>
          <w:lang w:val="es-ES"/>
        </w:rPr>
        <w:t xml:space="preserve"> </w:t>
      </w:r>
    </w:p>
    <w:p w14:paraId="1DA47DB2"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lang w:val="es-ES"/>
        </w:rPr>
      </w:pPr>
    </w:p>
    <w:p w14:paraId="4A76CF35" w14:textId="77777777" w:rsidR="00110F02" w:rsidRPr="00304D78" w:rsidRDefault="00110F02" w:rsidP="007664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lang w:val="es-ES"/>
        </w:rPr>
      </w:pPr>
      <w:r>
        <w:rPr>
          <w:rFonts w:asciiTheme="majorHAnsi" w:hAnsiTheme="majorHAnsi"/>
          <w:sz w:val="20"/>
          <w:szCs w:val="20"/>
          <w:lang w:val="es-ES"/>
        </w:rPr>
        <w:t xml:space="preserve">El acceso a </w:t>
      </w:r>
      <w:r w:rsidRPr="00304D78">
        <w:rPr>
          <w:rFonts w:asciiTheme="majorHAnsi" w:hAnsiTheme="majorHAnsi"/>
          <w:sz w:val="20"/>
          <w:szCs w:val="20"/>
          <w:lang w:val="es-ES"/>
        </w:rPr>
        <w:t xml:space="preserve">información </w:t>
      </w:r>
      <w:r>
        <w:rPr>
          <w:rFonts w:asciiTheme="majorHAnsi" w:hAnsiTheme="majorHAnsi"/>
          <w:sz w:val="20"/>
          <w:szCs w:val="20"/>
          <w:lang w:val="es-ES"/>
        </w:rPr>
        <w:t>es un derecho</w:t>
      </w:r>
      <w:r w:rsidRPr="00304D78">
        <w:rPr>
          <w:rFonts w:asciiTheme="majorHAnsi" w:hAnsiTheme="majorHAnsi"/>
          <w:sz w:val="20"/>
          <w:szCs w:val="20"/>
          <w:lang w:val="es-ES"/>
        </w:rPr>
        <w:t xml:space="preserve"> fundamental </w:t>
      </w:r>
      <w:r>
        <w:rPr>
          <w:rFonts w:asciiTheme="majorHAnsi" w:hAnsiTheme="majorHAnsi"/>
          <w:sz w:val="20"/>
          <w:szCs w:val="20"/>
          <w:lang w:val="es-ES"/>
        </w:rPr>
        <w:t>amparado por el ar</w:t>
      </w:r>
      <w:r w:rsidRPr="00304D78">
        <w:rPr>
          <w:rFonts w:asciiTheme="majorHAnsi" w:hAnsiTheme="majorHAnsi"/>
          <w:sz w:val="20"/>
          <w:szCs w:val="20"/>
          <w:lang w:val="es-ES"/>
        </w:rPr>
        <w:t xml:space="preserve">tículo IV </w:t>
      </w:r>
      <w:r>
        <w:rPr>
          <w:rFonts w:asciiTheme="majorHAnsi" w:hAnsiTheme="majorHAnsi"/>
          <w:sz w:val="20"/>
          <w:szCs w:val="20"/>
          <w:lang w:val="es-ES"/>
        </w:rPr>
        <w:t xml:space="preserve">de </w:t>
      </w:r>
      <w:r w:rsidRPr="00304D78">
        <w:rPr>
          <w:rFonts w:asciiTheme="majorHAnsi" w:hAnsiTheme="majorHAnsi"/>
          <w:sz w:val="20"/>
          <w:szCs w:val="20"/>
          <w:lang w:val="es-ES"/>
        </w:rPr>
        <w:t xml:space="preserve">la Declaración Americana, </w:t>
      </w:r>
      <w:r>
        <w:rPr>
          <w:rFonts w:asciiTheme="majorHAnsi" w:hAnsiTheme="majorHAnsi"/>
          <w:sz w:val="20"/>
          <w:szCs w:val="20"/>
          <w:lang w:val="es-ES"/>
        </w:rPr>
        <w:t>y</w:t>
      </w:r>
      <w:r w:rsidRPr="00304D78">
        <w:rPr>
          <w:rFonts w:asciiTheme="majorHAnsi" w:hAnsiTheme="majorHAnsi"/>
          <w:sz w:val="20"/>
          <w:szCs w:val="20"/>
          <w:lang w:val="es-ES"/>
        </w:rPr>
        <w:t xml:space="preserve"> los </w:t>
      </w:r>
      <w:r>
        <w:rPr>
          <w:rFonts w:asciiTheme="majorHAnsi" w:hAnsiTheme="majorHAnsi"/>
          <w:sz w:val="20"/>
          <w:szCs w:val="20"/>
          <w:lang w:val="es-ES"/>
        </w:rPr>
        <w:t>E</w:t>
      </w:r>
      <w:r w:rsidRPr="00304D78">
        <w:rPr>
          <w:rFonts w:asciiTheme="majorHAnsi" w:hAnsiTheme="majorHAnsi"/>
          <w:sz w:val="20"/>
          <w:szCs w:val="20"/>
          <w:lang w:val="es-ES"/>
        </w:rPr>
        <w:t xml:space="preserve">stados </w:t>
      </w:r>
      <w:r>
        <w:rPr>
          <w:rFonts w:asciiTheme="majorHAnsi" w:hAnsiTheme="majorHAnsi"/>
          <w:sz w:val="20"/>
          <w:szCs w:val="20"/>
          <w:lang w:val="es-ES"/>
        </w:rPr>
        <w:t>tienen la obligación de garantizar su pleno ejercicio</w:t>
      </w:r>
      <w:r w:rsidRPr="00304D78">
        <w:rPr>
          <w:rStyle w:val="FootnoteReference"/>
          <w:rFonts w:asciiTheme="majorHAnsi" w:hAnsiTheme="majorHAnsi"/>
          <w:sz w:val="20"/>
          <w:szCs w:val="20"/>
          <w:lang w:val="es-ES"/>
        </w:rPr>
        <w:footnoteReference w:id="84"/>
      </w:r>
      <w:r>
        <w:rPr>
          <w:rFonts w:asciiTheme="majorHAnsi" w:hAnsiTheme="majorHAnsi"/>
          <w:sz w:val="20"/>
          <w:szCs w:val="20"/>
          <w:lang w:val="es-ES"/>
        </w:rPr>
        <w:t>.</w:t>
      </w:r>
      <w:r w:rsidRPr="00304D78">
        <w:rPr>
          <w:rFonts w:asciiTheme="majorHAnsi" w:hAnsiTheme="majorHAnsi"/>
          <w:sz w:val="20"/>
          <w:szCs w:val="20"/>
          <w:lang w:val="es-ES"/>
        </w:rPr>
        <w:t xml:space="preserve"> </w:t>
      </w:r>
      <w:r>
        <w:rPr>
          <w:rFonts w:asciiTheme="majorHAnsi" w:hAnsiTheme="majorHAnsi"/>
          <w:sz w:val="20"/>
          <w:szCs w:val="20"/>
          <w:lang w:val="es-ES"/>
        </w:rPr>
        <w:t xml:space="preserve">En la </w:t>
      </w:r>
      <w:r w:rsidRPr="00E34717">
        <w:rPr>
          <w:rFonts w:asciiTheme="majorHAnsi" w:hAnsiTheme="majorHAnsi"/>
          <w:i/>
          <w:sz w:val="20"/>
          <w:szCs w:val="20"/>
          <w:lang w:val="es-ES"/>
        </w:rPr>
        <w:t>Declaración de principios sobre libertad de expresión</w:t>
      </w:r>
      <w:r>
        <w:rPr>
          <w:rFonts w:asciiTheme="majorHAnsi" w:hAnsiTheme="majorHAnsi"/>
          <w:sz w:val="20"/>
          <w:szCs w:val="20"/>
          <w:lang w:val="es-ES"/>
        </w:rPr>
        <w:t>,</w:t>
      </w:r>
      <w:r w:rsidRPr="00E34717">
        <w:rPr>
          <w:rFonts w:asciiTheme="majorHAnsi" w:hAnsiTheme="majorHAnsi"/>
          <w:sz w:val="20"/>
          <w:szCs w:val="20"/>
          <w:lang w:val="es-ES"/>
        </w:rPr>
        <w:t xml:space="preserve"> </w:t>
      </w:r>
      <w:r>
        <w:rPr>
          <w:rFonts w:asciiTheme="majorHAnsi" w:hAnsiTheme="majorHAnsi"/>
          <w:sz w:val="20"/>
          <w:szCs w:val="20"/>
          <w:lang w:val="es-ES"/>
        </w:rPr>
        <w:t>l</w:t>
      </w:r>
      <w:r w:rsidRPr="00304D78">
        <w:rPr>
          <w:rFonts w:asciiTheme="majorHAnsi" w:hAnsiTheme="majorHAnsi"/>
          <w:sz w:val="20"/>
          <w:szCs w:val="20"/>
          <w:lang w:val="es-ES"/>
        </w:rPr>
        <w:t>a CIDH</w:t>
      </w:r>
      <w:r>
        <w:rPr>
          <w:rFonts w:asciiTheme="majorHAnsi" w:hAnsiTheme="majorHAnsi"/>
          <w:sz w:val="20"/>
          <w:szCs w:val="20"/>
          <w:lang w:val="es-ES"/>
        </w:rPr>
        <w:t xml:space="preserve"> señala que toda </w:t>
      </w:r>
      <w:r w:rsidRPr="00E34717">
        <w:rPr>
          <w:rFonts w:asciiTheme="majorHAnsi" w:hAnsiTheme="majorHAnsi"/>
          <w:sz w:val="20"/>
          <w:szCs w:val="20"/>
          <w:lang w:val="es-ES"/>
        </w:rPr>
        <w:t>persona tiene derecho a acceder a la información sobre sí misma en forma expedita</w:t>
      </w:r>
      <w:r>
        <w:rPr>
          <w:rFonts w:asciiTheme="majorHAnsi" w:hAnsiTheme="majorHAnsi"/>
          <w:sz w:val="20"/>
          <w:szCs w:val="20"/>
          <w:lang w:val="es-ES"/>
        </w:rPr>
        <w:t xml:space="preserve"> (principio 3)</w:t>
      </w:r>
      <w:r w:rsidRPr="00304D78">
        <w:rPr>
          <w:rStyle w:val="FootnoteReference"/>
          <w:rFonts w:asciiTheme="majorHAnsi" w:hAnsiTheme="majorHAnsi"/>
          <w:sz w:val="20"/>
          <w:szCs w:val="20"/>
          <w:lang w:val="es-ES"/>
        </w:rPr>
        <w:footnoteReference w:id="85"/>
      </w:r>
      <w:r>
        <w:rPr>
          <w:rFonts w:asciiTheme="majorHAnsi" w:hAnsiTheme="majorHAnsi"/>
          <w:sz w:val="20"/>
          <w:szCs w:val="20"/>
          <w:lang w:val="es-ES"/>
        </w:rPr>
        <w:t>.</w:t>
      </w:r>
      <w:r w:rsidRPr="00304D78">
        <w:rPr>
          <w:rFonts w:asciiTheme="majorHAnsi" w:hAnsiTheme="majorHAnsi"/>
          <w:sz w:val="20"/>
          <w:szCs w:val="20"/>
          <w:lang w:val="es-ES"/>
        </w:rPr>
        <w:t xml:space="preserve"> </w:t>
      </w:r>
    </w:p>
    <w:p w14:paraId="4AF81146" w14:textId="77777777" w:rsidR="00110F02" w:rsidRPr="00304D78" w:rsidRDefault="00110F02" w:rsidP="00110F02">
      <w:pPr>
        <w:pStyle w:val="ListParagraph"/>
        <w:rPr>
          <w:rFonts w:asciiTheme="majorHAnsi" w:hAnsiTheme="majorHAnsi"/>
          <w:sz w:val="20"/>
          <w:szCs w:val="20"/>
          <w:lang w:val="es-ES"/>
        </w:rPr>
      </w:pPr>
    </w:p>
    <w:p w14:paraId="29BB8F49" w14:textId="77777777" w:rsidR="00110F02" w:rsidRPr="00304D78" w:rsidRDefault="00110F02" w:rsidP="007664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lang w:val="es-ES"/>
        </w:rPr>
      </w:pPr>
      <w:r>
        <w:rPr>
          <w:rFonts w:asciiTheme="majorHAnsi" w:hAnsiTheme="majorHAnsi"/>
          <w:sz w:val="20"/>
          <w:szCs w:val="20"/>
          <w:lang w:val="es-ES"/>
        </w:rPr>
        <w:t xml:space="preserve">Con respecto al acceso a información sobre procedimientos </w:t>
      </w:r>
      <w:r w:rsidRPr="00304D78">
        <w:rPr>
          <w:rFonts w:asciiTheme="majorHAnsi" w:hAnsiTheme="majorHAnsi"/>
          <w:sz w:val="20"/>
          <w:szCs w:val="20"/>
          <w:lang w:val="es-ES"/>
        </w:rPr>
        <w:t>judicial</w:t>
      </w:r>
      <w:r>
        <w:rPr>
          <w:rFonts w:asciiTheme="majorHAnsi" w:hAnsiTheme="majorHAnsi"/>
          <w:sz w:val="20"/>
          <w:szCs w:val="20"/>
          <w:lang w:val="es-ES"/>
        </w:rPr>
        <w:t xml:space="preserve">es, </w:t>
      </w:r>
      <w:r w:rsidRPr="00304D78">
        <w:rPr>
          <w:rFonts w:asciiTheme="majorHAnsi" w:hAnsiTheme="majorHAnsi"/>
          <w:sz w:val="20"/>
          <w:szCs w:val="20"/>
          <w:lang w:val="es-ES"/>
        </w:rPr>
        <w:t>el Estado</w:t>
      </w:r>
      <w:r>
        <w:rPr>
          <w:rFonts w:asciiTheme="majorHAnsi" w:hAnsiTheme="majorHAnsi"/>
          <w:sz w:val="20"/>
          <w:szCs w:val="20"/>
          <w:lang w:val="es-ES"/>
        </w:rPr>
        <w:t xml:space="preserve"> puede dar carácter reservado a la etapa inicial del procedimiento para salvaguardar la investigación, pero debe justificar el fin legítimo perseguido y demostrar que es un medio apropiado, necesario y estrictamente proporcional con respecto al fin perseguido</w:t>
      </w:r>
      <w:r w:rsidRPr="00304D78">
        <w:rPr>
          <w:rFonts w:asciiTheme="majorHAnsi" w:hAnsiTheme="majorHAnsi"/>
          <w:sz w:val="20"/>
          <w:szCs w:val="20"/>
          <w:lang w:val="es-ES"/>
        </w:rPr>
        <w:t xml:space="preserve">. </w:t>
      </w:r>
      <w:r>
        <w:rPr>
          <w:rFonts w:asciiTheme="majorHAnsi" w:hAnsiTheme="majorHAnsi"/>
          <w:sz w:val="20"/>
          <w:szCs w:val="20"/>
          <w:lang w:val="es-ES"/>
        </w:rPr>
        <w:t>Sin embargo, e</w:t>
      </w:r>
      <w:r w:rsidRPr="00304D78">
        <w:rPr>
          <w:rFonts w:asciiTheme="majorHAnsi" w:hAnsiTheme="majorHAnsi"/>
          <w:sz w:val="20"/>
          <w:szCs w:val="20"/>
          <w:lang w:val="es-ES"/>
        </w:rPr>
        <w:t>l Estado</w:t>
      </w:r>
      <w:r>
        <w:rPr>
          <w:rFonts w:asciiTheme="majorHAnsi" w:hAnsiTheme="majorHAnsi"/>
          <w:sz w:val="20"/>
          <w:szCs w:val="20"/>
          <w:lang w:val="es-ES"/>
        </w:rPr>
        <w:t xml:space="preserve"> no puede invocar la reserva para impedir que el acusado tenga acceso al expediente </w:t>
      </w:r>
      <w:r w:rsidRPr="00304D78">
        <w:rPr>
          <w:rFonts w:asciiTheme="majorHAnsi" w:hAnsiTheme="majorHAnsi"/>
          <w:sz w:val="20"/>
          <w:szCs w:val="20"/>
          <w:lang w:val="es-ES"/>
        </w:rPr>
        <w:t>judicial</w:t>
      </w:r>
      <w:r>
        <w:rPr>
          <w:rFonts w:asciiTheme="majorHAnsi" w:hAnsiTheme="majorHAnsi"/>
          <w:sz w:val="20"/>
          <w:szCs w:val="20"/>
          <w:lang w:val="es-ES"/>
        </w:rPr>
        <w:t>,</w:t>
      </w:r>
      <w:r w:rsidRPr="00304D78">
        <w:rPr>
          <w:rFonts w:asciiTheme="majorHAnsi" w:hAnsiTheme="majorHAnsi"/>
          <w:sz w:val="20"/>
          <w:szCs w:val="20"/>
          <w:lang w:val="es-ES"/>
        </w:rPr>
        <w:t xml:space="preserve"> </w:t>
      </w:r>
      <w:r>
        <w:rPr>
          <w:rFonts w:asciiTheme="majorHAnsi" w:hAnsiTheme="majorHAnsi"/>
          <w:sz w:val="20"/>
          <w:szCs w:val="20"/>
          <w:lang w:val="es-ES"/>
        </w:rPr>
        <w:t xml:space="preserve">porque este es un requisito básico del derecho a una defensa efectiva. </w:t>
      </w:r>
      <w:r w:rsidRPr="00304D78">
        <w:rPr>
          <w:rFonts w:asciiTheme="majorHAnsi" w:hAnsiTheme="majorHAnsi"/>
          <w:sz w:val="20"/>
          <w:szCs w:val="20"/>
          <w:lang w:val="es-ES"/>
        </w:rPr>
        <w:t xml:space="preserve">En el caso de autos, el tribunal de distrito </w:t>
      </w:r>
      <w:r>
        <w:rPr>
          <w:rFonts w:asciiTheme="majorHAnsi" w:hAnsiTheme="majorHAnsi"/>
          <w:sz w:val="20"/>
          <w:szCs w:val="20"/>
          <w:lang w:val="es-ES"/>
        </w:rPr>
        <w:t xml:space="preserve">denegó la petición de información y </w:t>
      </w:r>
      <w:r w:rsidRPr="00304D78">
        <w:rPr>
          <w:rFonts w:asciiTheme="majorHAnsi" w:hAnsiTheme="majorHAnsi"/>
          <w:sz w:val="20"/>
          <w:szCs w:val="20"/>
          <w:lang w:val="es-ES"/>
        </w:rPr>
        <w:t>la CIDH</w:t>
      </w:r>
      <w:r>
        <w:rPr>
          <w:rFonts w:asciiTheme="majorHAnsi" w:hAnsiTheme="majorHAnsi"/>
          <w:sz w:val="20"/>
          <w:szCs w:val="20"/>
          <w:lang w:val="es-ES"/>
        </w:rPr>
        <w:t xml:space="preserve"> no ha recibido información sobre las razones aducidas por </w:t>
      </w:r>
      <w:r w:rsidRPr="00304D78">
        <w:rPr>
          <w:rFonts w:asciiTheme="majorHAnsi" w:hAnsiTheme="majorHAnsi"/>
          <w:sz w:val="20"/>
          <w:szCs w:val="20"/>
          <w:lang w:val="es-ES"/>
        </w:rPr>
        <w:t xml:space="preserve">el tribunal </w:t>
      </w:r>
      <w:r>
        <w:rPr>
          <w:rFonts w:asciiTheme="majorHAnsi" w:hAnsiTheme="majorHAnsi"/>
          <w:sz w:val="20"/>
          <w:szCs w:val="20"/>
          <w:lang w:val="es-ES"/>
        </w:rPr>
        <w:t>para denegar la solicitud</w:t>
      </w:r>
      <w:r w:rsidRPr="00304D78">
        <w:rPr>
          <w:rFonts w:asciiTheme="majorHAnsi" w:hAnsiTheme="majorHAnsi"/>
          <w:sz w:val="20"/>
          <w:szCs w:val="20"/>
          <w:lang w:val="es-ES"/>
        </w:rPr>
        <w:t xml:space="preserve">. </w:t>
      </w:r>
      <w:r>
        <w:rPr>
          <w:rFonts w:asciiTheme="majorHAnsi" w:hAnsiTheme="majorHAnsi"/>
          <w:sz w:val="20"/>
          <w:szCs w:val="20"/>
          <w:lang w:val="es-ES"/>
        </w:rPr>
        <w:t>Esa información era esencial para determinar si la raza d</w:t>
      </w:r>
      <w:r w:rsidRPr="00304D78">
        <w:rPr>
          <w:rFonts w:asciiTheme="majorHAnsi" w:hAnsiTheme="majorHAnsi"/>
          <w:sz w:val="20"/>
          <w:szCs w:val="20"/>
          <w:lang w:val="es-ES"/>
        </w:rPr>
        <w:t>el señor Robinson</w:t>
      </w:r>
      <w:r>
        <w:rPr>
          <w:rFonts w:asciiTheme="majorHAnsi" w:hAnsiTheme="majorHAnsi"/>
          <w:sz w:val="20"/>
          <w:szCs w:val="20"/>
          <w:lang w:val="es-ES"/>
        </w:rPr>
        <w:t xml:space="preserve"> había influido en la decisión de la fiscalía de pedir </w:t>
      </w:r>
      <w:r w:rsidRPr="00304D78">
        <w:rPr>
          <w:rFonts w:asciiTheme="majorHAnsi" w:hAnsiTheme="majorHAnsi"/>
          <w:sz w:val="20"/>
          <w:szCs w:val="20"/>
          <w:lang w:val="es-ES"/>
        </w:rPr>
        <w:t xml:space="preserve">la pena de muerte </w:t>
      </w:r>
      <w:r>
        <w:rPr>
          <w:rFonts w:asciiTheme="majorHAnsi" w:hAnsiTheme="majorHAnsi"/>
          <w:sz w:val="20"/>
          <w:szCs w:val="20"/>
          <w:lang w:val="es-ES"/>
        </w:rPr>
        <w:t>y, por ende, había afectado su derecho al debido proceso y a la protección judicial</w:t>
      </w:r>
      <w:r w:rsidRPr="00304D78">
        <w:rPr>
          <w:rFonts w:asciiTheme="majorHAnsi" w:hAnsiTheme="majorHAnsi"/>
          <w:sz w:val="20"/>
          <w:szCs w:val="20"/>
          <w:lang w:val="es-ES"/>
        </w:rPr>
        <w:t xml:space="preserve">. </w:t>
      </w:r>
    </w:p>
    <w:p w14:paraId="1B74A9BB"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lang w:val="es-ES"/>
        </w:rPr>
      </w:pPr>
    </w:p>
    <w:p w14:paraId="65A025FA" w14:textId="77777777" w:rsidR="00110F02" w:rsidRPr="00304D78" w:rsidRDefault="00110F02" w:rsidP="007664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bdr w:val="none" w:sz="0" w:space="0" w:color="auto"/>
          <w:lang w:val="es-ES"/>
        </w:rPr>
      </w:pPr>
      <w:r>
        <w:rPr>
          <w:rFonts w:ascii="Cambria" w:eastAsia="Times New Roman" w:hAnsi="Cambria"/>
          <w:sz w:val="20"/>
          <w:szCs w:val="20"/>
          <w:bdr w:val="none" w:sz="0" w:space="0" w:color="auto"/>
          <w:lang w:val="es-ES"/>
        </w:rPr>
        <w:t xml:space="preserve">En lo que concierne a la </w:t>
      </w:r>
      <w:r w:rsidRPr="00304D78">
        <w:rPr>
          <w:rFonts w:ascii="Cambria" w:eastAsia="Times New Roman" w:hAnsi="Cambria"/>
          <w:sz w:val="20"/>
          <w:szCs w:val="20"/>
          <w:bdr w:val="none" w:sz="0" w:space="0" w:color="auto"/>
          <w:lang w:val="es-ES"/>
        </w:rPr>
        <w:t>confidenciali</w:t>
      </w:r>
      <w:r>
        <w:rPr>
          <w:rFonts w:ascii="Cambria" w:eastAsia="Times New Roman" w:hAnsi="Cambria"/>
          <w:sz w:val="20"/>
          <w:szCs w:val="20"/>
          <w:bdr w:val="none" w:sz="0" w:space="0" w:color="auto"/>
          <w:lang w:val="es-ES"/>
        </w:rPr>
        <w:t>dad d</w:t>
      </w:r>
      <w:r w:rsidRPr="00304D78">
        <w:rPr>
          <w:rFonts w:asciiTheme="majorHAnsi" w:hAnsiTheme="majorHAnsi"/>
          <w:sz w:val="20"/>
          <w:szCs w:val="20"/>
          <w:lang w:val="es-ES"/>
        </w:rPr>
        <w:t>el protocolo para la inyección letal, la CIDH rec</w:t>
      </w:r>
      <w:r>
        <w:rPr>
          <w:rFonts w:asciiTheme="majorHAnsi" w:hAnsiTheme="majorHAnsi"/>
          <w:sz w:val="20"/>
          <w:szCs w:val="20"/>
          <w:lang w:val="es-ES"/>
        </w:rPr>
        <w:t xml:space="preserve">uerda que, en los casos de pena de muerte, </w:t>
      </w:r>
      <w:r w:rsidRPr="00304D78">
        <w:rPr>
          <w:rFonts w:ascii="Cambria" w:eastAsia="Times New Roman" w:hAnsi="Cambria"/>
          <w:sz w:val="20"/>
          <w:szCs w:val="20"/>
          <w:bdr w:val="none" w:sz="0" w:space="0" w:color="auto"/>
          <w:lang w:val="es-ES"/>
        </w:rPr>
        <w:t xml:space="preserve">el Estado </w:t>
      </w:r>
      <w:r>
        <w:rPr>
          <w:rFonts w:ascii="Cambria" w:eastAsia="Times New Roman" w:hAnsi="Cambria"/>
          <w:sz w:val="20"/>
          <w:szCs w:val="20"/>
          <w:bdr w:val="none" w:sz="0" w:space="0" w:color="auto"/>
          <w:lang w:val="es-ES"/>
        </w:rPr>
        <w:t>tiene una obligación mayor de asegurar que la persona que ha sido condenada a muerte tenga acceso a toda la información pertinente sobre la manera en que va a morir</w:t>
      </w:r>
      <w:r w:rsidRPr="00304D78">
        <w:rPr>
          <w:rFonts w:ascii="Cambria" w:eastAsia="Times New Roman" w:hAnsi="Cambria"/>
          <w:sz w:val="20"/>
          <w:szCs w:val="20"/>
          <w:bdr w:val="none" w:sz="0" w:space="0" w:color="auto"/>
          <w:lang w:val="es-ES"/>
        </w:rPr>
        <w:t xml:space="preserve">. </w:t>
      </w:r>
      <w:r>
        <w:rPr>
          <w:rFonts w:ascii="Cambria" w:eastAsia="Times New Roman" w:hAnsi="Cambria"/>
          <w:sz w:val="20"/>
          <w:szCs w:val="20"/>
          <w:bdr w:val="none" w:sz="0" w:space="0" w:color="auto"/>
          <w:lang w:val="es-ES"/>
        </w:rPr>
        <w:t>E</w:t>
      </w:r>
      <w:r w:rsidRPr="00304D78">
        <w:rPr>
          <w:rFonts w:ascii="Cambria" w:eastAsia="Times New Roman" w:hAnsi="Cambria"/>
          <w:sz w:val="20"/>
          <w:szCs w:val="20"/>
          <w:bdr w:val="none" w:sz="0" w:space="0" w:color="auto"/>
          <w:lang w:val="es-ES"/>
        </w:rPr>
        <w:t xml:space="preserve">n particular, </w:t>
      </w:r>
      <w:r w:rsidRPr="00BF0916">
        <w:rPr>
          <w:rFonts w:ascii="Cambria" w:eastAsia="Times New Roman" w:hAnsi="Cambria"/>
          <w:sz w:val="20"/>
          <w:szCs w:val="20"/>
          <w:bdr w:val="none" w:sz="0" w:space="0" w:color="auto"/>
          <w:lang w:val="es-ES"/>
        </w:rPr>
        <w:t xml:space="preserve">el condenado </w:t>
      </w:r>
      <w:r w:rsidRPr="00BF0916">
        <w:rPr>
          <w:rFonts w:asciiTheme="majorHAnsi" w:hAnsiTheme="majorHAnsi"/>
          <w:sz w:val="20"/>
          <w:szCs w:val="20"/>
          <w:lang w:val="es-ES"/>
        </w:rPr>
        <w:t>debe</w:t>
      </w:r>
      <w:r w:rsidRPr="00BF0916">
        <w:rPr>
          <w:rFonts w:ascii="Cambria" w:eastAsia="Times New Roman" w:hAnsi="Cambria"/>
          <w:sz w:val="20"/>
          <w:szCs w:val="20"/>
          <w:bdr w:val="none" w:sz="0" w:space="0" w:color="auto"/>
          <w:lang w:val="es-ES"/>
        </w:rPr>
        <w:t xml:space="preserve"> tener acceso a información sobre los procedimientos exactos que se seguirán, así como los fármacos y las dosis que se usarán en los casos de ejecución por inyección, la composición del equipo a cargo de la ejecución y su capacitaci</w:t>
      </w:r>
      <w:r>
        <w:rPr>
          <w:rFonts w:ascii="Cambria" w:eastAsia="Times New Roman" w:hAnsi="Cambria"/>
          <w:sz w:val="20"/>
          <w:szCs w:val="20"/>
          <w:bdr w:val="none" w:sz="0" w:space="0" w:color="auto"/>
          <w:lang w:val="es-ES"/>
        </w:rPr>
        <w:t>ón</w:t>
      </w:r>
      <w:r w:rsidRPr="00304D78">
        <w:rPr>
          <w:rFonts w:eastAsia="Times New Roman"/>
          <w:sz w:val="20"/>
          <w:szCs w:val="20"/>
          <w:bdr w:val="none" w:sz="0" w:space="0" w:color="auto"/>
          <w:vertAlign w:val="superscript"/>
          <w:lang w:val="es-ES"/>
        </w:rPr>
        <w:footnoteReference w:id="86"/>
      </w:r>
      <w:r>
        <w:rPr>
          <w:rFonts w:ascii="Cambria" w:eastAsia="Times New Roman" w:hAnsi="Cambria"/>
          <w:sz w:val="20"/>
          <w:szCs w:val="20"/>
          <w:bdr w:val="none" w:sz="0" w:space="0" w:color="auto"/>
          <w:lang w:val="es-ES"/>
        </w:rPr>
        <w:t xml:space="preserve">. </w:t>
      </w:r>
    </w:p>
    <w:p w14:paraId="4BDDC6C1"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sz w:val="20"/>
          <w:szCs w:val="20"/>
          <w:bdr w:val="none" w:sz="0" w:space="0" w:color="auto"/>
          <w:lang w:val="es-ES"/>
        </w:rPr>
      </w:pPr>
    </w:p>
    <w:p w14:paraId="161EB946" w14:textId="77777777" w:rsidR="00110F02" w:rsidRPr="00304D78" w:rsidRDefault="00110F02" w:rsidP="007664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bdr w:val="none" w:sz="0" w:space="0" w:color="auto"/>
          <w:lang w:val="es-ES"/>
        </w:rPr>
      </w:pPr>
      <w:r w:rsidRPr="00BF0916">
        <w:rPr>
          <w:rFonts w:ascii="Cambria" w:eastAsia="Times New Roman" w:hAnsi="Cambria"/>
          <w:sz w:val="20"/>
          <w:szCs w:val="20"/>
          <w:bdr w:val="none" w:sz="0" w:space="0" w:color="auto"/>
          <w:lang w:val="es-ES"/>
        </w:rPr>
        <w:t xml:space="preserve">Toda persona a quien vaya a aplicarse la pena de muerte debe tener la oportunidad de impugnar cada aspecto del procedimiento de la ejecución, y esa información es necesaria para la impugnación. La CIDH </w:t>
      </w:r>
      <w:r w:rsidRPr="00BF0916">
        <w:rPr>
          <w:rFonts w:ascii="Cambria" w:eastAsia="Times New Roman" w:hAnsi="Cambria"/>
          <w:sz w:val="20"/>
          <w:szCs w:val="20"/>
          <w:bdr w:val="none" w:sz="0" w:space="0" w:color="auto"/>
          <w:lang w:val="es-ES"/>
        </w:rPr>
        <w:lastRenderedPageBreak/>
        <w:t>observa en ese sentido que los requisitos del debido proceso no se limitan a la condena y las actuaciones poscondenatorias</w:t>
      </w:r>
      <w:r w:rsidRPr="00BF0916">
        <w:rPr>
          <w:rFonts w:eastAsia="Times New Roman"/>
          <w:sz w:val="20"/>
          <w:szCs w:val="20"/>
          <w:bdr w:val="none" w:sz="0" w:space="0" w:color="auto"/>
          <w:vertAlign w:val="superscript"/>
          <w:lang w:val="es-ES"/>
        </w:rPr>
        <w:footnoteReference w:id="87"/>
      </w:r>
      <w:r w:rsidRPr="00BF0916">
        <w:rPr>
          <w:rFonts w:ascii="Cambria" w:eastAsia="Times New Roman" w:hAnsi="Cambria"/>
          <w:sz w:val="20"/>
          <w:szCs w:val="20"/>
          <w:bdr w:val="none" w:sz="0" w:space="0" w:color="auto"/>
          <w:lang w:val="es-ES"/>
        </w:rPr>
        <w:t xml:space="preserve">. Por lo tanto, el Estado tiene el deber de informar de manera oportuna a la persona condenada a muerte sobre el fármaco y el método de ejecución que se usarán, a fin de que no se le impida defender judicialmente el derecho a ser ejecutada sin un sufrimiento cruel e inusitado. </w:t>
      </w:r>
    </w:p>
    <w:p w14:paraId="33B68022" w14:textId="77777777" w:rsidR="00110F02" w:rsidRPr="00304D78" w:rsidRDefault="00110F02" w:rsidP="00110F02">
      <w:pPr>
        <w:pStyle w:val="ListParagraph"/>
        <w:rPr>
          <w:rFonts w:eastAsia="Times New Roman"/>
          <w:sz w:val="20"/>
          <w:szCs w:val="20"/>
          <w:bdr w:val="none" w:sz="0" w:space="0" w:color="auto"/>
          <w:lang w:val="es-ES"/>
        </w:rPr>
      </w:pPr>
    </w:p>
    <w:p w14:paraId="7B5E59B0" w14:textId="77777777" w:rsidR="00110F02" w:rsidRPr="00304D78" w:rsidRDefault="00110F02" w:rsidP="007664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bdr w:val="none" w:sz="0" w:space="0" w:color="auto"/>
          <w:lang w:val="es-ES"/>
        </w:rPr>
      </w:pPr>
      <w:r w:rsidRPr="00BF0916">
        <w:rPr>
          <w:rFonts w:ascii="Cambria" w:eastAsia="Times New Roman" w:hAnsi="Cambria"/>
          <w:sz w:val="20"/>
          <w:szCs w:val="20"/>
          <w:bdr w:val="none" w:sz="0" w:space="0" w:color="auto"/>
          <w:lang w:val="es-ES"/>
        </w:rPr>
        <w:t>Sobre la base de las consideraciones precedentes</w:t>
      </w:r>
      <w:r w:rsidRPr="00304D78">
        <w:rPr>
          <w:rFonts w:ascii="Cambria" w:eastAsia="Times New Roman" w:hAnsi="Cambria"/>
          <w:sz w:val="20"/>
          <w:szCs w:val="20"/>
          <w:bdr w:val="none" w:sz="0" w:space="0" w:color="auto"/>
          <w:lang w:val="es-ES"/>
        </w:rPr>
        <w:t>, la CIDH conclu</w:t>
      </w:r>
      <w:r>
        <w:rPr>
          <w:rFonts w:ascii="Cambria" w:eastAsia="Times New Roman" w:hAnsi="Cambria"/>
          <w:sz w:val="20"/>
          <w:szCs w:val="20"/>
          <w:bdr w:val="none" w:sz="0" w:space="0" w:color="auto"/>
          <w:lang w:val="es-ES"/>
        </w:rPr>
        <w:t xml:space="preserve">ye que, al negarse a proporcionar información sobre los argumentos formulados por la fiscalía para pedir </w:t>
      </w:r>
      <w:r w:rsidRPr="00304D78">
        <w:rPr>
          <w:rFonts w:ascii="Cambria" w:hAnsi="Cambria"/>
          <w:sz w:val="20"/>
          <w:szCs w:val="20"/>
          <w:lang w:val="es-ES"/>
        </w:rPr>
        <w:t xml:space="preserve">la pena de muerte </w:t>
      </w:r>
      <w:r>
        <w:rPr>
          <w:rFonts w:ascii="Cambria" w:hAnsi="Cambria"/>
          <w:sz w:val="20"/>
          <w:szCs w:val="20"/>
          <w:lang w:val="es-ES"/>
        </w:rPr>
        <w:t>y a revelar el protocolo para la ejecución</w:t>
      </w:r>
      <w:r w:rsidRPr="00304D78">
        <w:rPr>
          <w:rFonts w:ascii="Cambria" w:eastAsia="Times New Roman" w:hAnsi="Cambria"/>
          <w:sz w:val="20"/>
          <w:szCs w:val="20"/>
          <w:bdr w:val="none" w:sz="0" w:space="0" w:color="auto"/>
          <w:lang w:val="es-ES"/>
        </w:rPr>
        <w:t>, el Estado ha</w:t>
      </w:r>
      <w:r>
        <w:rPr>
          <w:rFonts w:ascii="Cambria" w:eastAsia="Times New Roman" w:hAnsi="Cambria"/>
          <w:sz w:val="20"/>
          <w:szCs w:val="20"/>
          <w:bdr w:val="none" w:sz="0" w:space="0" w:color="auto"/>
          <w:lang w:val="es-ES"/>
        </w:rPr>
        <w:t xml:space="preserve"> infringido el derecho d</w:t>
      </w:r>
      <w:r w:rsidRPr="00304D78">
        <w:rPr>
          <w:rFonts w:ascii="Cambria" w:eastAsia="Times New Roman" w:hAnsi="Cambria"/>
          <w:sz w:val="20"/>
          <w:szCs w:val="20"/>
          <w:bdr w:val="none" w:sz="0" w:space="0" w:color="auto"/>
          <w:lang w:val="es-ES"/>
        </w:rPr>
        <w:t>el señor Robinson</w:t>
      </w:r>
      <w:r>
        <w:rPr>
          <w:rFonts w:ascii="Cambria" w:eastAsia="Times New Roman" w:hAnsi="Cambria"/>
          <w:sz w:val="20"/>
          <w:szCs w:val="20"/>
          <w:bdr w:val="none" w:sz="0" w:space="0" w:color="auto"/>
          <w:lang w:val="es-ES"/>
        </w:rPr>
        <w:t xml:space="preserve"> de acceso a información enunciado en el </w:t>
      </w:r>
      <w:r w:rsidRPr="00304D78">
        <w:rPr>
          <w:rFonts w:ascii="Cambria" w:eastAsia="Times New Roman" w:hAnsi="Cambria"/>
          <w:sz w:val="20"/>
          <w:szCs w:val="20"/>
          <w:bdr w:val="none" w:sz="0" w:space="0" w:color="auto"/>
          <w:lang w:val="es-ES"/>
        </w:rPr>
        <w:t xml:space="preserve">artículo IV </w:t>
      </w:r>
      <w:r>
        <w:rPr>
          <w:rFonts w:ascii="Cambria" w:eastAsia="Times New Roman" w:hAnsi="Cambria"/>
          <w:sz w:val="20"/>
          <w:szCs w:val="20"/>
          <w:bdr w:val="none" w:sz="0" w:space="0" w:color="auto"/>
          <w:lang w:val="es-ES"/>
        </w:rPr>
        <w:t xml:space="preserve">de </w:t>
      </w:r>
      <w:r w:rsidRPr="00304D78">
        <w:rPr>
          <w:rFonts w:ascii="Cambria" w:eastAsia="Times New Roman" w:hAnsi="Cambria"/>
          <w:sz w:val="20"/>
          <w:szCs w:val="20"/>
          <w:bdr w:val="none" w:sz="0" w:space="0" w:color="auto"/>
          <w:lang w:val="es-ES"/>
        </w:rPr>
        <w:t xml:space="preserve">la Declaración Americana, </w:t>
      </w:r>
      <w:r>
        <w:rPr>
          <w:rFonts w:ascii="Cambria" w:eastAsia="Times New Roman" w:hAnsi="Cambria"/>
          <w:sz w:val="20"/>
          <w:szCs w:val="20"/>
          <w:bdr w:val="none" w:sz="0" w:space="0" w:color="auto"/>
          <w:lang w:val="es-ES"/>
        </w:rPr>
        <w:t xml:space="preserve">en relación con </w:t>
      </w:r>
      <w:r w:rsidRPr="000911EE">
        <w:rPr>
          <w:rFonts w:ascii="Cambria" w:eastAsia="Times New Roman" w:hAnsi="Cambria"/>
          <w:sz w:val="20"/>
          <w:szCs w:val="20"/>
          <w:bdr w:val="none" w:sz="0" w:space="0" w:color="auto"/>
          <w:lang w:val="es-ES"/>
        </w:rPr>
        <w:t>el derecho de justicia y el derecho a proceso regular</w:t>
      </w:r>
      <w:r>
        <w:rPr>
          <w:rFonts w:ascii="Cambria" w:eastAsia="Times New Roman" w:hAnsi="Cambria"/>
          <w:sz w:val="20"/>
          <w:szCs w:val="20"/>
          <w:bdr w:val="none" w:sz="0" w:space="0" w:color="auto"/>
          <w:lang w:val="es-ES"/>
        </w:rPr>
        <w:t xml:space="preserve"> enunciados en los </w:t>
      </w:r>
      <w:r w:rsidRPr="00304D78">
        <w:rPr>
          <w:rFonts w:ascii="Cambria" w:eastAsia="Times New Roman" w:hAnsi="Cambria"/>
          <w:sz w:val="20"/>
          <w:szCs w:val="20"/>
          <w:bdr w:val="none" w:sz="0" w:space="0" w:color="auto"/>
          <w:lang w:val="es-ES"/>
        </w:rPr>
        <w:t xml:space="preserve">artículos XVIII </w:t>
      </w:r>
      <w:r>
        <w:rPr>
          <w:rFonts w:ascii="Cambria" w:eastAsia="Times New Roman" w:hAnsi="Cambria"/>
          <w:sz w:val="20"/>
          <w:szCs w:val="20"/>
          <w:bdr w:val="none" w:sz="0" w:space="0" w:color="auto"/>
          <w:lang w:val="es-ES"/>
        </w:rPr>
        <w:t>y</w:t>
      </w:r>
      <w:r w:rsidRPr="00304D78">
        <w:rPr>
          <w:rFonts w:ascii="Cambria" w:eastAsia="Times New Roman" w:hAnsi="Cambria"/>
          <w:sz w:val="20"/>
          <w:szCs w:val="20"/>
          <w:bdr w:val="none" w:sz="0" w:space="0" w:color="auto"/>
          <w:lang w:val="es-ES"/>
        </w:rPr>
        <w:t xml:space="preserve"> XXVI </w:t>
      </w:r>
      <w:r>
        <w:rPr>
          <w:rFonts w:ascii="Cambria" w:eastAsia="Times New Roman" w:hAnsi="Cambria"/>
          <w:sz w:val="20"/>
          <w:szCs w:val="20"/>
          <w:bdr w:val="none" w:sz="0" w:space="0" w:color="auto"/>
          <w:lang w:val="es-ES"/>
        </w:rPr>
        <w:t xml:space="preserve">de </w:t>
      </w:r>
      <w:r w:rsidRPr="00304D78">
        <w:rPr>
          <w:rFonts w:ascii="Cambria" w:eastAsia="Times New Roman" w:hAnsi="Cambria"/>
          <w:sz w:val="20"/>
          <w:szCs w:val="20"/>
          <w:bdr w:val="none" w:sz="0" w:space="0" w:color="auto"/>
          <w:lang w:val="es-ES"/>
        </w:rPr>
        <w:t xml:space="preserve">la Declaración. </w:t>
      </w:r>
    </w:p>
    <w:p w14:paraId="6DA39DC2"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z w:val="20"/>
          <w:szCs w:val="20"/>
          <w:bdr w:val="none" w:sz="0" w:space="0" w:color="auto"/>
          <w:lang w:val="es-ES"/>
        </w:rPr>
      </w:pPr>
    </w:p>
    <w:p w14:paraId="38E8202D" w14:textId="77777777" w:rsidR="00110F02" w:rsidRPr="00997E8C" w:rsidRDefault="00110F02" w:rsidP="005200DD">
      <w:pPr>
        <w:pStyle w:val="Heading2"/>
        <w:numPr>
          <w:ilvl w:val="0"/>
          <w:numId w:val="62"/>
        </w:numPr>
        <w:spacing w:before="0" w:after="0"/>
        <w:ind w:left="360"/>
        <w:rPr>
          <w:rFonts w:asciiTheme="majorHAnsi" w:hAnsiTheme="majorHAnsi"/>
          <w:i w:val="0"/>
          <w:sz w:val="20"/>
          <w:szCs w:val="20"/>
          <w:lang w:val="es-ES"/>
        </w:rPr>
      </w:pPr>
      <w:bookmarkStart w:id="54" w:name="_Toc22915029"/>
      <w:bookmarkStart w:id="55" w:name="_Toc61514173"/>
      <w:r w:rsidRPr="00997E8C">
        <w:rPr>
          <w:rFonts w:asciiTheme="majorHAnsi" w:hAnsiTheme="majorHAnsi"/>
          <w:i w:val="0"/>
          <w:sz w:val="20"/>
          <w:szCs w:val="20"/>
          <w:lang w:val="es-ES"/>
        </w:rPr>
        <w:t xml:space="preserve">Derecho </w:t>
      </w:r>
      <w:bookmarkEnd w:id="54"/>
      <w:r w:rsidRPr="00997E8C">
        <w:rPr>
          <w:rFonts w:asciiTheme="majorHAnsi" w:hAnsiTheme="majorHAnsi"/>
          <w:i w:val="0"/>
          <w:sz w:val="20"/>
          <w:szCs w:val="20"/>
          <w:lang w:val="es-ES"/>
        </w:rPr>
        <w:t>a no recibir un castigo cruel, infamante o inusitado</w:t>
      </w:r>
      <w:bookmarkEnd w:id="55"/>
      <w:r w:rsidRPr="00997E8C">
        <w:rPr>
          <w:rFonts w:asciiTheme="majorHAnsi" w:hAnsiTheme="majorHAnsi"/>
          <w:i w:val="0"/>
          <w:sz w:val="20"/>
          <w:szCs w:val="20"/>
          <w:lang w:val="es-ES"/>
        </w:rPr>
        <w:t xml:space="preserve"> </w:t>
      </w:r>
    </w:p>
    <w:p w14:paraId="3C272C33" w14:textId="77777777" w:rsidR="00110F02" w:rsidRPr="00304D78" w:rsidRDefault="00110F02" w:rsidP="00110F02">
      <w:pPr>
        <w:rPr>
          <w:b/>
          <w:sz w:val="20"/>
          <w:szCs w:val="20"/>
          <w:lang w:val="es-ES"/>
        </w:rPr>
      </w:pPr>
    </w:p>
    <w:p w14:paraId="45D76FCD" w14:textId="77777777" w:rsidR="00110F02" w:rsidRPr="00B16A61" w:rsidRDefault="00110F02" w:rsidP="005200DD">
      <w:pPr>
        <w:pStyle w:val="Heading3"/>
        <w:numPr>
          <w:ilvl w:val="0"/>
          <w:numId w:val="63"/>
        </w:numPr>
        <w:spacing w:before="0" w:after="0"/>
        <w:ind w:left="360"/>
        <w:rPr>
          <w:rFonts w:asciiTheme="majorHAnsi" w:hAnsiTheme="majorHAnsi"/>
          <w:sz w:val="20"/>
          <w:szCs w:val="20"/>
        </w:rPr>
      </w:pPr>
      <w:bookmarkStart w:id="56" w:name="_Toc61514174"/>
      <w:r w:rsidRPr="00B16A61">
        <w:rPr>
          <w:rFonts w:asciiTheme="majorHAnsi" w:hAnsiTheme="majorHAnsi"/>
          <w:sz w:val="20"/>
          <w:szCs w:val="20"/>
        </w:rPr>
        <w:t>Método de ejecución</w:t>
      </w:r>
      <w:bookmarkEnd w:id="56"/>
    </w:p>
    <w:p w14:paraId="74E8EC0D" w14:textId="77777777" w:rsidR="00110F02" w:rsidRPr="00304D78" w:rsidRDefault="00110F02" w:rsidP="00110F02">
      <w:pPr>
        <w:pStyle w:val="ListParagraph"/>
        <w:ind w:left="0"/>
        <w:rPr>
          <w:b/>
          <w:sz w:val="20"/>
          <w:szCs w:val="20"/>
          <w:lang w:val="es-ES"/>
        </w:rPr>
      </w:pPr>
    </w:p>
    <w:p w14:paraId="26B4B419"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lang w:val="es-ES"/>
        </w:rPr>
      </w:pPr>
      <w:r w:rsidRPr="00304D78">
        <w:rPr>
          <w:sz w:val="20"/>
          <w:lang w:val="es-ES"/>
        </w:rPr>
        <w:t>En los casos de delitos punibles con la pena de muerte, el Estado tiene una obligación mayor de asegurar que la persona que ha sido condenada a muerte tenga acceso a toda la información pertinente sobre la forma en que va a morir. En particular, el condenado debe tener acceso a información sobre los procedimientos exactos que se seguirán, así como los fármacos y las dosis que se usarán en los casos de ejecución por inyección, la composición del equipo a cargo de la ejecución y su capacitación</w:t>
      </w:r>
      <w:r w:rsidRPr="00304D78">
        <w:rPr>
          <w:rStyle w:val="FootnoteReference"/>
          <w:rFonts w:asciiTheme="majorHAnsi" w:eastAsia="Times New Roman" w:hAnsiTheme="majorHAnsi"/>
          <w:color w:val="auto"/>
          <w:sz w:val="20"/>
          <w:szCs w:val="20"/>
          <w:bdr w:val="none" w:sz="0" w:space="0" w:color="auto"/>
          <w:lang w:val="es-ES"/>
        </w:rPr>
        <w:footnoteReference w:id="88"/>
      </w:r>
      <w:r w:rsidRPr="00304D78">
        <w:rPr>
          <w:sz w:val="20"/>
          <w:lang w:val="es-ES"/>
        </w:rPr>
        <w:t>.</w:t>
      </w:r>
    </w:p>
    <w:p w14:paraId="7D6DE2D8"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lang w:val="es-ES"/>
        </w:rPr>
      </w:pPr>
    </w:p>
    <w:p w14:paraId="7BA46869"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lang w:val="es-ES"/>
        </w:rPr>
      </w:pPr>
      <w:r w:rsidRPr="00304D78">
        <w:rPr>
          <w:sz w:val="20"/>
          <w:szCs w:val="20"/>
          <w:lang w:val="es-ES"/>
        </w:rPr>
        <w:t>Toda persona a quien vaya a aplicarse la pena de muerte debe tener la oportunidad de impugnar cada aspecto del procedimiento de la ejecución, y esa información es necesaria para la impugnación. La CIDH observa en ese sentido que los requisitos del debido proceso no se limitan a la condena y las actuaciones poscondenatorias</w:t>
      </w:r>
      <w:r w:rsidRPr="00304D78">
        <w:rPr>
          <w:rStyle w:val="FootnoteReference"/>
          <w:rFonts w:asciiTheme="majorHAnsi" w:hAnsiTheme="majorHAnsi"/>
          <w:sz w:val="20"/>
          <w:szCs w:val="20"/>
          <w:lang w:val="es-ES"/>
        </w:rPr>
        <w:footnoteReference w:id="89"/>
      </w:r>
      <w:r w:rsidRPr="00304D78">
        <w:rPr>
          <w:sz w:val="20"/>
          <w:szCs w:val="20"/>
          <w:lang w:val="es-ES"/>
        </w:rPr>
        <w:t>.</w:t>
      </w:r>
      <w:r>
        <w:rPr>
          <w:rStyle w:val="FootnoteReference"/>
          <w:rFonts w:asciiTheme="majorHAnsi" w:hAnsiTheme="majorHAnsi"/>
          <w:lang w:val="es-ES"/>
        </w:rPr>
        <w:t xml:space="preserve"> </w:t>
      </w:r>
      <w:r w:rsidRPr="00304D78">
        <w:rPr>
          <w:sz w:val="20"/>
          <w:szCs w:val="20"/>
          <w:lang w:val="es-ES"/>
        </w:rPr>
        <w:t>Por lo tanto, el Estado tiene el deber de informar de manera oportuna a la persona condenada a muerte sobre el fármaco y el método de ejecución que se usarán, a fin de que no se le impida defender judicialmente el derecho a ser ejecutada sin un sufrimiento cruel e inusitado.</w:t>
      </w:r>
      <w:r>
        <w:rPr>
          <w:sz w:val="20"/>
          <w:szCs w:val="20"/>
          <w:lang w:val="es-ES"/>
        </w:rPr>
        <w:t xml:space="preserve">  </w:t>
      </w:r>
    </w:p>
    <w:p w14:paraId="6D466C5E" w14:textId="77777777" w:rsidR="00110F02" w:rsidRPr="00304D78" w:rsidRDefault="00110F02" w:rsidP="00110F02">
      <w:pPr>
        <w:pStyle w:val="ListParagraph"/>
        <w:rPr>
          <w:sz w:val="20"/>
          <w:szCs w:val="20"/>
          <w:lang w:val="es-ES"/>
        </w:rPr>
      </w:pPr>
    </w:p>
    <w:p w14:paraId="41B84577"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lang w:val="es-ES"/>
        </w:rPr>
      </w:pPr>
      <w:r w:rsidRPr="00304D78">
        <w:rPr>
          <w:sz w:val="20"/>
          <w:szCs w:val="20"/>
          <w:lang w:val="es-ES"/>
        </w:rPr>
        <w:t>Asimismo, la CIDH recalca el deber mayor y especial del Estado de asegurar que el método de ejecución no constituya un castigo cruel, infamante o inusitado. En ese sentido, el Relator Especial de las Naciones Unidas sobre la tortura y otros tratos o penas crueles, inhumanos o degradantes señaló que se considera que varios métodos de ejecución constituyen tortura o trato cruel, inhumano o degradante, lo cual, sumado a la tendencia creciente a revisar todos los métodos de ejecución a fin de determinar si pueden ocasionar gran dolor y sufrimiento, pone de relieve la dificultad creciente con la cual un Estado puede imponer la pena de muerte sin violar el derecho internacional</w:t>
      </w:r>
      <w:r w:rsidRPr="00304D78">
        <w:rPr>
          <w:rStyle w:val="FootnoteReference"/>
          <w:rFonts w:asciiTheme="majorHAnsi" w:hAnsiTheme="majorHAnsi"/>
          <w:sz w:val="20"/>
          <w:szCs w:val="20"/>
          <w:lang w:val="es-ES"/>
        </w:rPr>
        <w:footnoteReference w:id="90"/>
      </w:r>
      <w:r w:rsidRPr="00304D78">
        <w:rPr>
          <w:sz w:val="20"/>
          <w:szCs w:val="20"/>
          <w:lang w:val="es-ES"/>
        </w:rPr>
        <w:t>.</w:t>
      </w:r>
    </w:p>
    <w:p w14:paraId="554DAEAF" w14:textId="77777777" w:rsidR="00110F02" w:rsidRPr="00304D78" w:rsidRDefault="00110F02" w:rsidP="00110F02">
      <w:pPr>
        <w:pStyle w:val="ListParagraph"/>
        <w:rPr>
          <w:sz w:val="20"/>
          <w:szCs w:val="20"/>
          <w:lang w:val="es-ES"/>
        </w:rPr>
      </w:pPr>
    </w:p>
    <w:p w14:paraId="20336237"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lang w:val="es-ES"/>
        </w:rPr>
      </w:pPr>
      <w:r w:rsidRPr="00304D78">
        <w:rPr>
          <w:sz w:val="20"/>
          <w:szCs w:val="20"/>
          <w:lang w:val="es-ES"/>
        </w:rPr>
        <w:t>La CIDH observa asimismo que el Comité contra la Tortura, de las Naciones Unidas, recibió información fidedigna de que las ejecuciones que tienen lugar en Estados Unidos pueden estar acompañadas de gran dolor y sufrimiento y solicitó al Estado que examinara “atentamente las técnicas de ejecución, especialmente la inyección letal, a fin de no causar un dolor o sufrimiento grave”</w:t>
      </w:r>
      <w:r w:rsidRPr="00304D78">
        <w:rPr>
          <w:rStyle w:val="FootnoteReference"/>
          <w:rFonts w:asciiTheme="majorHAnsi" w:hAnsiTheme="majorHAnsi"/>
          <w:sz w:val="20"/>
          <w:szCs w:val="20"/>
          <w:lang w:val="es-ES"/>
        </w:rPr>
        <w:footnoteReference w:id="91"/>
      </w:r>
      <w:r w:rsidRPr="00304D78">
        <w:rPr>
          <w:sz w:val="20"/>
          <w:szCs w:val="20"/>
          <w:lang w:val="es-ES"/>
        </w:rPr>
        <w:t>.</w:t>
      </w:r>
    </w:p>
    <w:p w14:paraId="6E4BAE5F" w14:textId="77777777" w:rsidR="00110F02" w:rsidRPr="00304D78" w:rsidRDefault="00110F02" w:rsidP="00110F02">
      <w:pPr>
        <w:pStyle w:val="ListParagraph"/>
        <w:rPr>
          <w:sz w:val="20"/>
          <w:szCs w:val="20"/>
          <w:lang w:val="es-ES"/>
        </w:rPr>
      </w:pPr>
    </w:p>
    <w:p w14:paraId="686D5CE8" w14:textId="77777777" w:rsidR="00110F02" w:rsidRPr="00304D78" w:rsidRDefault="00110F02" w:rsidP="007664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5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E</w:t>
      </w:r>
      <w:r w:rsidRPr="00304D78">
        <w:rPr>
          <w:rFonts w:asciiTheme="majorHAnsi" w:hAnsiTheme="majorHAnsi"/>
          <w:sz w:val="20"/>
          <w:szCs w:val="20"/>
          <w:lang w:val="es-ES"/>
        </w:rPr>
        <w:t xml:space="preserve">n 2007, el señor Robinson y otros reclusos del sistema de justicia federal que se encontraban en </w:t>
      </w:r>
      <w:r w:rsidRPr="00304D78">
        <w:rPr>
          <w:rFonts w:ascii="Cambria" w:hAnsi="Cambria"/>
          <w:sz w:val="20"/>
          <w:szCs w:val="20"/>
          <w:lang w:val="es-ES"/>
        </w:rPr>
        <w:t xml:space="preserve">el corredor de la muerte entablaron un juicio </w:t>
      </w:r>
      <w:r w:rsidRPr="00304D78">
        <w:rPr>
          <w:rFonts w:asciiTheme="majorHAnsi" w:hAnsiTheme="majorHAnsi"/>
          <w:sz w:val="20"/>
          <w:szCs w:val="20"/>
          <w:lang w:val="es-ES"/>
        </w:rPr>
        <w:t xml:space="preserve">civil en el orden federal ante el Tribunal Federal de Distrito para el Distrito de Columbia, afirmando que el medio con el cual el fiscal quería aplicar la pena de muerte violaría la Constitución de Estados Unidos y diversas leyes federales. </w:t>
      </w:r>
      <w:r>
        <w:rPr>
          <w:rFonts w:asciiTheme="majorHAnsi" w:hAnsiTheme="majorHAnsi"/>
          <w:sz w:val="20"/>
          <w:szCs w:val="20"/>
          <w:lang w:val="es-ES"/>
        </w:rPr>
        <w:t>E</w:t>
      </w:r>
      <w:r w:rsidRPr="00304D78">
        <w:rPr>
          <w:rFonts w:asciiTheme="majorHAnsi" w:hAnsiTheme="majorHAnsi"/>
          <w:sz w:val="20"/>
          <w:szCs w:val="20"/>
          <w:lang w:val="es-ES"/>
        </w:rPr>
        <w:t xml:space="preserve">n 2012, el </w:t>
      </w:r>
      <w:r>
        <w:rPr>
          <w:rFonts w:asciiTheme="majorHAnsi" w:hAnsiTheme="majorHAnsi"/>
          <w:sz w:val="20"/>
          <w:szCs w:val="20"/>
          <w:lang w:val="es-ES"/>
        </w:rPr>
        <w:t>T</w:t>
      </w:r>
      <w:r w:rsidRPr="00304D78">
        <w:rPr>
          <w:rFonts w:asciiTheme="majorHAnsi" w:hAnsiTheme="majorHAnsi"/>
          <w:sz w:val="20"/>
          <w:szCs w:val="20"/>
          <w:lang w:val="es-ES"/>
        </w:rPr>
        <w:t xml:space="preserve">ribunal de </w:t>
      </w:r>
      <w:r>
        <w:rPr>
          <w:rFonts w:asciiTheme="majorHAnsi" w:hAnsiTheme="majorHAnsi"/>
          <w:sz w:val="20"/>
          <w:szCs w:val="20"/>
          <w:lang w:val="es-ES"/>
        </w:rPr>
        <w:t>D</w:t>
      </w:r>
      <w:r w:rsidRPr="00304D78">
        <w:rPr>
          <w:rFonts w:asciiTheme="majorHAnsi" w:hAnsiTheme="majorHAnsi"/>
          <w:sz w:val="20"/>
          <w:szCs w:val="20"/>
          <w:lang w:val="es-ES"/>
        </w:rPr>
        <w:t xml:space="preserve">istrito </w:t>
      </w:r>
      <w:r w:rsidRPr="000911EE">
        <w:rPr>
          <w:rFonts w:asciiTheme="majorHAnsi" w:hAnsiTheme="majorHAnsi"/>
          <w:sz w:val="20"/>
          <w:szCs w:val="20"/>
          <w:lang w:val="es-ES"/>
        </w:rPr>
        <w:t>para el Distrito de Columbia</w:t>
      </w:r>
      <w:r w:rsidRPr="00304D78">
        <w:rPr>
          <w:rFonts w:asciiTheme="majorHAnsi" w:hAnsiTheme="majorHAnsi"/>
          <w:sz w:val="20"/>
          <w:szCs w:val="20"/>
          <w:lang w:val="es-ES"/>
        </w:rPr>
        <w:t xml:space="preserve"> </w:t>
      </w:r>
      <w:r w:rsidRPr="000911EE">
        <w:rPr>
          <w:rFonts w:asciiTheme="majorHAnsi" w:hAnsiTheme="majorHAnsi"/>
          <w:sz w:val="20"/>
          <w:szCs w:val="20"/>
          <w:lang w:val="es-ES"/>
        </w:rPr>
        <w:t>ordenó que se suspendiera el caso hasta que la Administración Federal de Prisiones emitiera un protocolo revisado para la inyección letal</w:t>
      </w:r>
      <w:r w:rsidRPr="00304D78">
        <w:rPr>
          <w:rFonts w:asciiTheme="majorHAnsi" w:hAnsiTheme="majorHAnsi"/>
          <w:sz w:val="20"/>
          <w:szCs w:val="20"/>
          <w:lang w:val="es-ES"/>
        </w:rPr>
        <w:t xml:space="preserve">. </w:t>
      </w:r>
      <w:r w:rsidRPr="000911EE">
        <w:rPr>
          <w:rFonts w:asciiTheme="majorHAnsi" w:hAnsiTheme="majorHAnsi"/>
          <w:sz w:val="20"/>
          <w:szCs w:val="20"/>
          <w:lang w:val="es-ES"/>
        </w:rPr>
        <w:t>Según la información de dominio público</w:t>
      </w:r>
      <w:r w:rsidRPr="00304D78">
        <w:rPr>
          <w:rFonts w:ascii="Cambria" w:hAnsi="Cambria"/>
          <w:sz w:val="20"/>
          <w:szCs w:val="20"/>
          <w:lang w:val="es-ES"/>
        </w:rPr>
        <w:t xml:space="preserve">, </w:t>
      </w:r>
      <w:r>
        <w:rPr>
          <w:rFonts w:ascii="Cambria" w:hAnsi="Cambria"/>
          <w:sz w:val="20"/>
          <w:szCs w:val="20"/>
          <w:lang w:val="es-ES"/>
        </w:rPr>
        <w:t>en julio de</w:t>
      </w:r>
      <w:r w:rsidRPr="00304D78">
        <w:rPr>
          <w:rFonts w:ascii="Cambria" w:hAnsi="Cambria"/>
          <w:sz w:val="20"/>
          <w:szCs w:val="20"/>
          <w:lang w:val="es-ES"/>
        </w:rPr>
        <w:t xml:space="preserve"> 2019, el Departamento de Justicia anunció que el gobierno federal reanudaría las ejecuciones con un solo fármaco </w:t>
      </w:r>
      <w:r w:rsidRPr="00304D78">
        <w:rPr>
          <w:rFonts w:ascii="Cambria" w:hAnsi="Cambria"/>
          <w:sz w:val="20"/>
          <w:szCs w:val="20"/>
          <w:lang w:val="es-ES"/>
        </w:rPr>
        <w:lastRenderedPageBreak/>
        <w:t xml:space="preserve">(pentobarbital). </w:t>
      </w:r>
      <w:r>
        <w:rPr>
          <w:rFonts w:ascii="Cambria" w:hAnsi="Cambria"/>
          <w:sz w:val="20"/>
          <w:szCs w:val="20"/>
          <w:lang w:val="es-ES"/>
        </w:rPr>
        <w:t xml:space="preserve">No obstante, a la fecha de aprobación del presente informe no había información sobre la posible ejecución del </w:t>
      </w:r>
      <w:r w:rsidRPr="00304D78">
        <w:rPr>
          <w:rFonts w:ascii="Cambria" w:hAnsi="Cambria"/>
          <w:sz w:val="20"/>
          <w:szCs w:val="20"/>
          <w:lang w:val="es-ES"/>
        </w:rPr>
        <w:t>señor Robinson</w:t>
      </w:r>
      <w:r>
        <w:rPr>
          <w:rFonts w:ascii="Cambria" w:hAnsi="Cambria"/>
          <w:sz w:val="20"/>
          <w:szCs w:val="20"/>
          <w:lang w:val="es-ES"/>
        </w:rPr>
        <w:t>. Tampoco hay información sobre la procedencia de los fármacos que se usarán, l</w:t>
      </w:r>
      <w:r w:rsidRPr="000911EE">
        <w:rPr>
          <w:rFonts w:ascii="Cambria" w:hAnsi="Cambria"/>
          <w:sz w:val="20"/>
          <w:szCs w:val="20"/>
          <w:lang w:val="es-ES"/>
        </w:rPr>
        <w:t xml:space="preserve">a composición del equipo a cargo de la ejecución y </w:t>
      </w:r>
      <w:r>
        <w:rPr>
          <w:rFonts w:ascii="Cambria" w:hAnsi="Cambria"/>
          <w:sz w:val="20"/>
          <w:szCs w:val="20"/>
          <w:lang w:val="es-ES"/>
        </w:rPr>
        <w:t xml:space="preserve">la </w:t>
      </w:r>
      <w:r w:rsidRPr="000911EE">
        <w:rPr>
          <w:rFonts w:ascii="Cambria" w:hAnsi="Cambria"/>
          <w:sz w:val="20"/>
          <w:szCs w:val="20"/>
          <w:lang w:val="es-ES"/>
        </w:rPr>
        <w:t>capacitación</w:t>
      </w:r>
      <w:r>
        <w:rPr>
          <w:rFonts w:ascii="Cambria" w:hAnsi="Cambria"/>
          <w:sz w:val="20"/>
          <w:szCs w:val="20"/>
          <w:lang w:val="es-ES"/>
        </w:rPr>
        <w:t xml:space="preserve"> de sus integrantes.</w:t>
      </w:r>
    </w:p>
    <w:p w14:paraId="46922DC9" w14:textId="77777777" w:rsidR="00110F02" w:rsidRPr="00304D78" w:rsidRDefault="00110F02" w:rsidP="00110F02">
      <w:pPr>
        <w:pStyle w:val="ListParagraph"/>
        <w:rPr>
          <w:sz w:val="20"/>
          <w:szCs w:val="20"/>
          <w:lang w:val="es-ES"/>
        </w:rPr>
      </w:pPr>
    </w:p>
    <w:p w14:paraId="70F35B5F"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lang w:val="es-ES"/>
        </w:rPr>
      </w:pPr>
      <w:r w:rsidRPr="00304D78">
        <w:rPr>
          <w:sz w:val="20"/>
          <w:szCs w:val="20"/>
          <w:lang w:val="es-ES"/>
        </w:rPr>
        <w:t xml:space="preserve">Sobre la base de las consideraciones precedentes y en vista de la incertidumbre que rodea la aplicación de la pena de muerte en Texas, la CIDH concluye que el Estado está exponiendo al señor Robinson a un estado de angustia y temor que constituye una violación de su derecho a un trato humano y a que no se le imponga un castigo cruel, infamante o inusitado enunciado en los artículos XXV y XXVI de la Declaración. </w:t>
      </w:r>
    </w:p>
    <w:p w14:paraId="4305462B" w14:textId="77777777" w:rsidR="00110F02" w:rsidRPr="00304D78" w:rsidRDefault="00110F02" w:rsidP="00110F02">
      <w:pPr>
        <w:pStyle w:val="ListParagraph"/>
        <w:rPr>
          <w:sz w:val="20"/>
          <w:szCs w:val="20"/>
          <w:lang w:val="es-ES"/>
        </w:rPr>
      </w:pPr>
    </w:p>
    <w:p w14:paraId="3C61C6CC" w14:textId="77777777" w:rsidR="00110F02" w:rsidRPr="00997E8C" w:rsidRDefault="00110F02" w:rsidP="005200DD">
      <w:pPr>
        <w:pStyle w:val="Heading3"/>
        <w:numPr>
          <w:ilvl w:val="0"/>
          <w:numId w:val="63"/>
        </w:numPr>
        <w:spacing w:before="0" w:after="0"/>
        <w:ind w:left="360"/>
        <w:jc w:val="both"/>
        <w:rPr>
          <w:rFonts w:asciiTheme="majorHAnsi" w:hAnsiTheme="majorHAnsi"/>
          <w:sz w:val="20"/>
          <w:szCs w:val="20"/>
          <w:lang w:val="es-ES"/>
        </w:rPr>
      </w:pPr>
      <w:bookmarkStart w:id="57" w:name="_Toc61514175"/>
      <w:r w:rsidRPr="00997E8C">
        <w:rPr>
          <w:rFonts w:asciiTheme="majorHAnsi" w:hAnsiTheme="majorHAnsi"/>
          <w:sz w:val="20"/>
          <w:szCs w:val="20"/>
          <w:lang w:val="es-ES"/>
        </w:rPr>
        <w:t>La privación de la libertad en el corredor de la muerte y el derecho de protección contra un castigo cruel, infamante o inusitado</w:t>
      </w:r>
      <w:bookmarkEnd w:id="57"/>
    </w:p>
    <w:p w14:paraId="0E145E86" w14:textId="77777777" w:rsidR="00110F02" w:rsidRPr="00304D78" w:rsidRDefault="00110F02" w:rsidP="00110F02">
      <w:pPr>
        <w:pStyle w:val="ListParagraph"/>
        <w:ind w:left="0"/>
        <w:rPr>
          <w:b/>
          <w:sz w:val="20"/>
          <w:szCs w:val="20"/>
          <w:lang w:val="es-ES"/>
        </w:rPr>
      </w:pPr>
    </w:p>
    <w:p w14:paraId="3E7AE910"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304D78">
        <w:rPr>
          <w:sz w:val="20"/>
          <w:szCs w:val="20"/>
          <w:lang w:val="es-ES"/>
        </w:rPr>
        <w:t>Tanto en el derecho internacional de los derechos humanos como en el derecho comparado se ha desarrollado a lo largo de décadas el tema de la privación prolongada de la libertad en el corredor de la muerte, conocida como “fenómeno del corredor de la muerte”, a la luz de la prohibición del trato cruel, inhumano y degradante dispuesta en las constituciones y en muchos instrumentos internacionales, entre ellos la Declaración Americana (artículos XXV y XXVI)</w:t>
      </w:r>
      <w:r w:rsidRPr="00304D78">
        <w:rPr>
          <w:rFonts w:eastAsia="Arial Unicode MS" w:cs="Times New Roman"/>
          <w:color w:val="auto"/>
          <w:sz w:val="20"/>
          <w:vertAlign w:val="superscript"/>
          <w:lang w:val="es-ES" w:eastAsia="en-US"/>
        </w:rPr>
        <w:footnoteReference w:id="92"/>
      </w:r>
      <w:r w:rsidRPr="00304D78">
        <w:rPr>
          <w:sz w:val="20"/>
          <w:szCs w:val="20"/>
          <w:lang w:val="es-ES"/>
        </w:rPr>
        <w:t xml:space="preserve">. En vista de esas normas, en el caso Russell Bucklew, la CIDH señaló que “[e]l hecho de pasar 20 años en el corredor de la muerte es, </w:t>
      </w:r>
      <w:r>
        <w:rPr>
          <w:sz w:val="20"/>
          <w:szCs w:val="20"/>
          <w:lang w:val="es-ES"/>
        </w:rPr>
        <w:t>desde todo punto de vista</w:t>
      </w:r>
      <w:r w:rsidRPr="00304D78">
        <w:rPr>
          <w:sz w:val="20"/>
          <w:szCs w:val="20"/>
          <w:lang w:val="es-ES"/>
        </w:rPr>
        <w:t>, excesivo e inhumano”</w:t>
      </w:r>
      <w:r w:rsidRPr="00304D78">
        <w:rPr>
          <w:rFonts w:eastAsia="Arial Unicode MS" w:cs="Times New Roman"/>
          <w:color w:val="auto"/>
          <w:sz w:val="20"/>
          <w:vertAlign w:val="superscript"/>
          <w:lang w:val="es-ES" w:eastAsia="en-US"/>
        </w:rPr>
        <w:footnoteReference w:id="93"/>
      </w:r>
      <w:r w:rsidRPr="00304D78">
        <w:rPr>
          <w:sz w:val="20"/>
          <w:szCs w:val="20"/>
          <w:lang w:val="es-ES"/>
        </w:rPr>
        <w:t>.</w:t>
      </w:r>
    </w:p>
    <w:p w14:paraId="0C4BCF00"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szCs w:val="20"/>
          <w:lang w:val="es-ES"/>
        </w:rPr>
      </w:pPr>
    </w:p>
    <w:p w14:paraId="5350F1B7"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304D78">
        <w:rPr>
          <w:sz w:val="20"/>
          <w:lang w:val="es-ES"/>
        </w:rPr>
        <w:t>En lo que se refiere específicamente al régimen de aislamiento prolongado en el corredor de la muerte, la Comisión Interamericana ha determinado que la privación de libertad en ciertas condiciones en el corredor de la muerte, incluido el régimen de aislamiento durante cuatro años, constituyó un trato inhumano</w:t>
      </w:r>
      <w:r w:rsidRPr="00304D78">
        <w:rPr>
          <w:rFonts w:eastAsia="Arial Unicode MS" w:cs="Times New Roman"/>
          <w:color w:val="auto"/>
          <w:sz w:val="20"/>
          <w:vertAlign w:val="superscript"/>
          <w:lang w:val="es-ES" w:eastAsia="en-US"/>
        </w:rPr>
        <w:footnoteReference w:id="94"/>
      </w:r>
      <w:r w:rsidRPr="00304D78">
        <w:rPr>
          <w:sz w:val="20"/>
          <w:lang w:val="es-ES"/>
        </w:rPr>
        <w:t>.</w:t>
      </w:r>
      <w:r>
        <w:rPr>
          <w:rFonts w:eastAsia="Arial Unicode MS"/>
          <w:sz w:val="20"/>
          <w:vertAlign w:val="superscript"/>
          <w:lang w:val="es-ES"/>
        </w:rPr>
        <w:t xml:space="preserve">  </w:t>
      </w:r>
      <w:r w:rsidRPr="00304D78">
        <w:rPr>
          <w:sz w:val="20"/>
          <w:lang w:val="es-ES"/>
        </w:rPr>
        <w:t xml:space="preserve"> </w:t>
      </w:r>
    </w:p>
    <w:p w14:paraId="6355D497" w14:textId="77777777" w:rsidR="00110F02" w:rsidRPr="00304D78" w:rsidRDefault="00110F02" w:rsidP="00110F02">
      <w:pPr>
        <w:pStyle w:val="ListParagraph"/>
        <w:rPr>
          <w:sz w:val="20"/>
          <w:lang w:val="es-ES"/>
        </w:rPr>
      </w:pPr>
    </w:p>
    <w:p w14:paraId="6EC9A043"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304D78">
        <w:rPr>
          <w:sz w:val="20"/>
          <w:lang w:val="es-ES"/>
        </w:rPr>
        <w:t>El Relator Especial de las Naciones Unidas sobre la tortura ha señalado lo siguiente</w:t>
      </w:r>
      <w:r w:rsidR="00B16A61" w:rsidRPr="00304D78">
        <w:rPr>
          <w:rFonts w:eastAsia="Times New Roman"/>
          <w:sz w:val="18"/>
          <w:szCs w:val="18"/>
          <w:vertAlign w:val="superscript"/>
          <w:lang w:val="es-ES"/>
        </w:rPr>
        <w:footnoteReference w:id="95"/>
      </w:r>
      <w:r w:rsidRPr="00304D78">
        <w:rPr>
          <w:sz w:val="20"/>
          <w:lang w:val="es-ES"/>
        </w:rPr>
        <w:t xml:space="preserve">: </w:t>
      </w:r>
    </w:p>
    <w:p w14:paraId="48160A66" w14:textId="77777777" w:rsidR="00110F02" w:rsidRPr="00304D78" w:rsidRDefault="00110F02" w:rsidP="00110F02">
      <w:pPr>
        <w:widowControl w:val="0"/>
        <w:pBdr>
          <w:top w:val="none" w:sz="0" w:space="0" w:color="auto"/>
          <w:left w:val="none" w:sz="0" w:space="0" w:color="auto"/>
          <w:bottom w:val="none" w:sz="0" w:space="0" w:color="auto"/>
          <w:right w:val="none" w:sz="0" w:space="0" w:color="auto"/>
          <w:bar w:val="none" w:sz="0" w:color="auto"/>
        </w:pBdr>
        <w:suppressAutoHyphens/>
        <w:ind w:left="1500"/>
        <w:jc w:val="both"/>
        <w:rPr>
          <w:rFonts w:ascii="Cambria" w:hAnsi="Cambria"/>
          <w:b/>
          <w:bCs/>
          <w:sz w:val="20"/>
          <w:lang w:val="es-ES"/>
        </w:rPr>
      </w:pPr>
    </w:p>
    <w:p w14:paraId="1099BFCD" w14:textId="77777777" w:rsidR="00110F02" w:rsidRPr="00304D78" w:rsidRDefault="00110F02" w:rsidP="00110F02">
      <w:pPr>
        <w:pBdr>
          <w:top w:val="none" w:sz="0" w:space="0" w:color="auto"/>
          <w:left w:val="none" w:sz="0" w:space="0" w:color="auto"/>
          <w:bottom w:val="none" w:sz="0" w:space="0" w:color="auto"/>
          <w:right w:val="none" w:sz="0" w:space="0" w:color="auto"/>
          <w:bar w:val="none" w:sz="0" w:color="auto"/>
        </w:pBdr>
        <w:ind w:left="360" w:right="360"/>
        <w:jc w:val="both"/>
        <w:rPr>
          <w:rFonts w:ascii="Cambria" w:eastAsia="Times New Roman" w:hAnsi="Cambria"/>
          <w:sz w:val="18"/>
          <w:szCs w:val="18"/>
          <w:lang w:val="es-ES"/>
        </w:rPr>
      </w:pPr>
      <w:r w:rsidRPr="00304D78">
        <w:rPr>
          <w:rFonts w:ascii="Cambria" w:eastAsia="Times New Roman" w:hAnsi="Cambria"/>
          <w:sz w:val="18"/>
          <w:szCs w:val="18"/>
          <w:lang w:val="es-ES"/>
        </w:rPr>
        <w:t>Las personas recluidas en régimen de aislamiento padecen formas extremas de privación sensorial, ansiedad y exclusión, que exceden, sin lugar a dudas, las condiciones legales de privación de la libertad. La reclusión en régimen de aislamiento, en combinación con la idea de una muerte inminente y la incertidumbre acerca de si la ejecución tendrá o no lugar, y cuándo, contribuye al riesgo de daño mental y físico irreparable y sufrimiento infligidos al recluso. La reclusión en régimen de aislamiento utilizada en el pabellón de condenados a muerte es, por definición, de duración prolongada e indefinida y constituye, por ende, un trato o pena cruel, inhumano o degradante, o incluso tortura.</w:t>
      </w:r>
    </w:p>
    <w:p w14:paraId="755FDFA8"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14:paraId="7A14151B"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lang w:val="es-ES"/>
        </w:rPr>
      </w:pPr>
      <w:r w:rsidRPr="00304D78">
        <w:rPr>
          <w:sz w:val="20"/>
          <w:lang w:val="es-ES"/>
        </w:rPr>
        <w:t xml:space="preserve">Como se ha comprobado en este informe, el señor Robinson lleva 20 años privado de libertad en el corredor de la muerte. La Comisión observa que el mero hecho de pasar 20 años en el corredor de la muerte es, desde todo punto de vista, excesivo e inhumano, con </w:t>
      </w:r>
      <w:r>
        <w:rPr>
          <w:sz w:val="20"/>
          <w:lang w:val="es-ES"/>
        </w:rPr>
        <w:t>la</w:t>
      </w:r>
      <w:r w:rsidRPr="00304D78">
        <w:rPr>
          <w:sz w:val="20"/>
          <w:lang w:val="es-ES"/>
        </w:rPr>
        <w:t xml:space="preserve"> agravante de la expectativa prolongada de la ejecución. Por consiguiente, Estados Unidos es responsable de la violación del derecho a un trato humano y a no recibir un castigo cruel, infamante o inusitado, enunciado en los artículos XXV y XXVI de la Declaración Americana, en perjuicio del señor Robinson.</w:t>
      </w:r>
      <w:r>
        <w:rPr>
          <w:sz w:val="20"/>
          <w:lang w:val="es-ES"/>
        </w:rPr>
        <w:t xml:space="preserve"> </w:t>
      </w:r>
    </w:p>
    <w:p w14:paraId="6F7AAE5B" w14:textId="77777777" w:rsidR="00110F02" w:rsidRPr="00304D78" w:rsidRDefault="00110F02" w:rsidP="00110F02">
      <w:pPr>
        <w:pStyle w:val="NormalWeb"/>
        <w:shd w:val="clear" w:color="auto" w:fill="FFFFFF"/>
        <w:spacing w:before="0" w:beforeAutospacing="0" w:after="0" w:afterAutospacing="0"/>
        <w:jc w:val="both"/>
        <w:rPr>
          <w:sz w:val="20"/>
          <w:szCs w:val="20"/>
          <w:lang w:val="es-ES"/>
        </w:rPr>
      </w:pPr>
    </w:p>
    <w:p w14:paraId="507FDB82" w14:textId="77777777" w:rsidR="00110F02" w:rsidRPr="00997E8C" w:rsidRDefault="00110F02" w:rsidP="005200DD">
      <w:pPr>
        <w:pStyle w:val="Heading2"/>
        <w:numPr>
          <w:ilvl w:val="0"/>
          <w:numId w:val="62"/>
        </w:numPr>
        <w:spacing w:before="0" w:after="0"/>
        <w:ind w:left="360"/>
        <w:jc w:val="both"/>
        <w:rPr>
          <w:rFonts w:asciiTheme="majorHAnsi" w:hAnsiTheme="majorHAnsi"/>
          <w:i w:val="0"/>
          <w:sz w:val="20"/>
          <w:szCs w:val="20"/>
          <w:lang w:val="es-ES"/>
        </w:rPr>
      </w:pPr>
      <w:bookmarkStart w:id="58" w:name="_Toc22915032"/>
      <w:bookmarkStart w:id="59" w:name="_Toc61514176"/>
      <w:r w:rsidRPr="00997E8C">
        <w:rPr>
          <w:rFonts w:asciiTheme="majorHAnsi" w:hAnsiTheme="majorHAnsi"/>
          <w:i w:val="0"/>
          <w:sz w:val="20"/>
          <w:szCs w:val="20"/>
          <w:lang w:val="es-ES"/>
        </w:rPr>
        <w:t>El derecho a la vida</w:t>
      </w:r>
      <w:r w:rsidRPr="00B16A61">
        <w:rPr>
          <w:rFonts w:ascii="Cambria" w:eastAsia="Arial Unicode MS" w:hAnsi="Cambria" w:cs="Times New Roman"/>
          <w:bCs w:val="0"/>
          <w:i w:val="0"/>
          <w:iCs w:val="0"/>
          <w:sz w:val="20"/>
          <w:szCs w:val="24"/>
          <w:u w:color="000000"/>
          <w:bdr w:val="nil"/>
          <w:vertAlign w:val="superscript"/>
          <w:lang w:val="es-ES"/>
        </w:rPr>
        <w:footnoteReference w:id="96"/>
      </w:r>
      <w:r w:rsidRPr="00997E8C">
        <w:rPr>
          <w:rFonts w:asciiTheme="majorHAnsi" w:hAnsiTheme="majorHAnsi"/>
          <w:i w:val="0"/>
          <w:sz w:val="20"/>
          <w:szCs w:val="20"/>
          <w:lang w:val="es-ES"/>
        </w:rPr>
        <w:t xml:space="preserve"> y a la protección contra un castigo cruel, infamante o inusitado con respecto a la eventual ejecución de Julius Omar Robinson</w:t>
      </w:r>
      <w:bookmarkEnd w:id="58"/>
      <w:bookmarkEnd w:id="59"/>
      <w:r w:rsidRPr="00997E8C">
        <w:rPr>
          <w:rFonts w:asciiTheme="majorHAnsi" w:hAnsiTheme="majorHAnsi"/>
          <w:i w:val="0"/>
          <w:sz w:val="20"/>
          <w:szCs w:val="20"/>
          <w:lang w:val="es-ES"/>
        </w:rPr>
        <w:t xml:space="preserve"> </w:t>
      </w:r>
    </w:p>
    <w:p w14:paraId="5414ED35" w14:textId="77777777" w:rsidR="00110F02" w:rsidRPr="00304D78" w:rsidRDefault="00110F02" w:rsidP="00110F02">
      <w:pPr>
        <w:rPr>
          <w:rFonts w:asciiTheme="majorHAnsi" w:hAnsiTheme="majorHAnsi"/>
          <w:sz w:val="20"/>
          <w:szCs w:val="20"/>
          <w:lang w:val="es-ES"/>
        </w:rPr>
      </w:pPr>
    </w:p>
    <w:p w14:paraId="41DCE212" w14:textId="77777777" w:rsidR="00110F02" w:rsidRPr="00304D78" w:rsidRDefault="00110F02" w:rsidP="007664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lang w:val="es-ES"/>
        </w:rPr>
      </w:pPr>
      <w:r w:rsidRPr="00304D78">
        <w:rPr>
          <w:sz w:val="20"/>
          <w:lang w:val="es-ES"/>
        </w:rPr>
        <w:t xml:space="preserve">Como ya se dijo, la Comisión Interamericana considera que incumbe a los tribunales de jurisdicción interna, y no a la Comisión, interpretar y aplicar el derecho interno. No obstante, la CIDH debe asegurar que la </w:t>
      </w:r>
      <w:r w:rsidRPr="00304D78">
        <w:rPr>
          <w:sz w:val="20"/>
          <w:lang w:val="es-ES"/>
        </w:rPr>
        <w:lastRenderedPageBreak/>
        <w:t>privación de la vida como consecuencia de la imposición de la pena de muerte se ciña en todos los casos a los requisitos de la Declaración Americana</w:t>
      </w:r>
      <w:r w:rsidRPr="00304D78">
        <w:rPr>
          <w:rFonts w:eastAsia="Arial Unicode MS" w:cs="Times New Roman"/>
          <w:color w:val="auto"/>
          <w:sz w:val="20"/>
          <w:vertAlign w:val="superscript"/>
          <w:lang w:val="es-ES" w:eastAsia="en-US"/>
        </w:rPr>
        <w:footnoteReference w:id="97"/>
      </w:r>
      <w:r w:rsidRPr="00304D78">
        <w:rPr>
          <w:sz w:val="20"/>
          <w:lang w:val="es-ES"/>
        </w:rPr>
        <w:t>.</w:t>
      </w:r>
    </w:p>
    <w:p w14:paraId="51D9A1E2" w14:textId="77777777" w:rsidR="00110F02" w:rsidRPr="00304D78"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rFonts w:asciiTheme="majorHAnsi" w:hAnsiTheme="majorHAnsi"/>
          <w:sz w:val="20"/>
          <w:lang w:val="es-ES"/>
        </w:rPr>
      </w:pPr>
    </w:p>
    <w:p w14:paraId="252430AC" w14:textId="77777777" w:rsidR="00110F02" w:rsidRPr="00304D78" w:rsidRDefault="00110F02" w:rsidP="007664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Theme="majorHAnsi" w:hAnsiTheme="majorHAnsi"/>
          <w:sz w:val="20"/>
          <w:szCs w:val="20"/>
          <w:lang w:val="es-ES"/>
        </w:rPr>
      </w:pPr>
      <w:r w:rsidRPr="00304D78">
        <w:rPr>
          <w:rFonts w:asciiTheme="majorHAnsi" w:hAnsiTheme="majorHAnsi"/>
          <w:sz w:val="20"/>
          <w:szCs w:val="20"/>
          <w:lang w:val="es-ES"/>
        </w:rPr>
        <w:t xml:space="preserve">A lo largo de este informe, la Comisión </w:t>
      </w:r>
      <w:r>
        <w:rPr>
          <w:rFonts w:asciiTheme="majorHAnsi" w:hAnsiTheme="majorHAnsi"/>
          <w:sz w:val="20"/>
          <w:szCs w:val="20"/>
          <w:lang w:val="es-ES"/>
        </w:rPr>
        <w:t xml:space="preserve">ha </w:t>
      </w:r>
      <w:r w:rsidRPr="00304D78">
        <w:rPr>
          <w:rFonts w:asciiTheme="majorHAnsi" w:hAnsiTheme="majorHAnsi"/>
          <w:sz w:val="20"/>
          <w:szCs w:val="20"/>
          <w:lang w:val="es-ES"/>
        </w:rPr>
        <w:t>comprob</w:t>
      </w:r>
      <w:r>
        <w:rPr>
          <w:rFonts w:asciiTheme="majorHAnsi" w:hAnsiTheme="majorHAnsi"/>
          <w:sz w:val="20"/>
          <w:szCs w:val="20"/>
          <w:lang w:val="es-ES"/>
        </w:rPr>
        <w:t>ado</w:t>
      </w:r>
      <w:r w:rsidRPr="00304D78">
        <w:rPr>
          <w:rFonts w:asciiTheme="majorHAnsi" w:hAnsiTheme="majorHAnsi"/>
          <w:sz w:val="20"/>
          <w:szCs w:val="20"/>
          <w:lang w:val="es-ES"/>
        </w:rPr>
        <w:t xml:space="preserve">, entre otras cosas, que Estados Unidos </w:t>
      </w:r>
      <w:r>
        <w:rPr>
          <w:rFonts w:asciiTheme="majorHAnsi" w:hAnsiTheme="majorHAnsi"/>
          <w:sz w:val="20"/>
          <w:szCs w:val="20"/>
          <w:lang w:val="es-ES"/>
        </w:rPr>
        <w:t>no respondió plenamente a las alegaciones de</w:t>
      </w:r>
      <w:r w:rsidRPr="00304D78">
        <w:rPr>
          <w:rFonts w:asciiTheme="majorHAnsi" w:hAnsiTheme="majorHAnsi"/>
          <w:sz w:val="20"/>
          <w:szCs w:val="20"/>
          <w:lang w:val="es-ES"/>
        </w:rPr>
        <w:t xml:space="preserve"> discriminación racial </w:t>
      </w:r>
      <w:r>
        <w:rPr>
          <w:rFonts w:asciiTheme="majorHAnsi" w:hAnsiTheme="majorHAnsi"/>
          <w:sz w:val="20"/>
          <w:szCs w:val="20"/>
          <w:lang w:val="es-ES"/>
        </w:rPr>
        <w:t>formuladas durante el procedimiento d</w:t>
      </w:r>
      <w:r w:rsidRPr="00304D78">
        <w:rPr>
          <w:rFonts w:asciiTheme="majorHAnsi" w:hAnsiTheme="majorHAnsi"/>
          <w:sz w:val="20"/>
          <w:szCs w:val="20"/>
          <w:lang w:val="es-ES"/>
        </w:rPr>
        <w:t>el señor Robinson</w:t>
      </w:r>
      <w:r>
        <w:rPr>
          <w:rFonts w:asciiTheme="majorHAnsi" w:hAnsiTheme="majorHAnsi"/>
          <w:sz w:val="20"/>
          <w:szCs w:val="20"/>
          <w:lang w:val="es-ES"/>
        </w:rPr>
        <w:t xml:space="preserve">, que la fiscalía introdujo pruebas relativas a delitos sobre los cuales no se había dictado sentencia durante la audiencia </w:t>
      </w:r>
      <w:r w:rsidRPr="005540D6">
        <w:rPr>
          <w:rFonts w:asciiTheme="majorHAnsi" w:hAnsiTheme="majorHAnsi"/>
          <w:bCs/>
          <w:sz w:val="20"/>
          <w:szCs w:val="20"/>
          <w:lang w:val="es-ES"/>
        </w:rPr>
        <w:t>de lectura de sentencia en un caso de pena capital</w:t>
      </w:r>
      <w:r w:rsidRPr="00304D78">
        <w:rPr>
          <w:rFonts w:asciiTheme="majorHAnsi" w:hAnsiTheme="majorHAnsi"/>
          <w:bCs/>
          <w:sz w:val="20"/>
          <w:szCs w:val="20"/>
          <w:lang w:val="es-ES"/>
        </w:rPr>
        <w:t xml:space="preserve">, </w:t>
      </w:r>
      <w:r>
        <w:rPr>
          <w:rFonts w:asciiTheme="majorHAnsi" w:hAnsiTheme="majorHAnsi"/>
          <w:bCs/>
          <w:sz w:val="20"/>
          <w:szCs w:val="20"/>
          <w:lang w:val="es-ES"/>
        </w:rPr>
        <w:t>que</w:t>
      </w:r>
      <w:r w:rsidRPr="00304D78">
        <w:rPr>
          <w:rFonts w:asciiTheme="majorHAnsi" w:hAnsiTheme="majorHAnsi"/>
          <w:sz w:val="20"/>
          <w:szCs w:val="20"/>
          <w:lang w:val="es-ES"/>
        </w:rPr>
        <w:t xml:space="preserve"> el señor Robinson no contó con asistencia letrada adecuada en la apelación y </w:t>
      </w:r>
      <w:r>
        <w:rPr>
          <w:rFonts w:asciiTheme="majorHAnsi" w:hAnsiTheme="majorHAnsi"/>
          <w:sz w:val="20"/>
          <w:szCs w:val="20"/>
          <w:lang w:val="es-ES"/>
        </w:rPr>
        <w:t xml:space="preserve">que </w:t>
      </w:r>
      <w:r w:rsidRPr="00304D78">
        <w:rPr>
          <w:rFonts w:asciiTheme="majorHAnsi" w:hAnsiTheme="majorHAnsi"/>
          <w:sz w:val="20"/>
          <w:szCs w:val="20"/>
          <w:lang w:val="es-ES"/>
        </w:rPr>
        <w:t>los 20 años que estuvo en el corredor de la muerte constituyen un trato cruel e inhumano.</w:t>
      </w:r>
    </w:p>
    <w:p w14:paraId="786BFA97" w14:textId="77777777" w:rsidR="00110F02" w:rsidRPr="00304D78" w:rsidRDefault="00110F02" w:rsidP="00110F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61797754" w14:textId="77777777" w:rsidR="003C2FF3" w:rsidRPr="003C2FF3" w:rsidRDefault="00110F02" w:rsidP="003C2F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lang w:val="es-ES"/>
        </w:rPr>
      </w:pPr>
      <w:r w:rsidRPr="00304D78">
        <w:rPr>
          <w:sz w:val="20"/>
          <w:szCs w:val="20"/>
          <w:lang w:val="es-ES"/>
        </w:rPr>
        <w:t>En tales circunstancias, la CIDH ha afirmado que ejecutar a una persona al cabo de procedimientos que violaron sus derechos sería un acto sumamente grave que constituiría una violación deliberada del derecho a la vida enunciado en el artículo I de la Declaración Americana</w:t>
      </w:r>
      <w:r w:rsidRPr="00304D78">
        <w:rPr>
          <w:rStyle w:val="FootnoteReference"/>
          <w:sz w:val="20"/>
          <w:szCs w:val="20"/>
          <w:lang w:val="es-ES"/>
        </w:rPr>
        <w:footnoteReference w:id="98"/>
      </w:r>
      <w:r w:rsidRPr="00304D78">
        <w:rPr>
          <w:sz w:val="20"/>
          <w:szCs w:val="20"/>
          <w:lang w:val="es-ES"/>
        </w:rPr>
        <w:t>. Asimismo, sobre la base de las conclusiones relativas a la privación de libertad en el corredor de la muerte, la eventual ejecución del señor Robinson constituiría, desde todo punto de vista, una violación del derecho a la protección contra un castigo cruel, infamante o inusitado. En vista de lo que antecede y teniendo en cuenta las determinaciones formuladas a lo largo de este informe, la CIDH concluye que la ejecución del señor Robinson constituiría una grave violación del derecho a la vida enunciado en el artículo I de la Declaración Americana.</w:t>
      </w:r>
      <w:bookmarkStart w:id="60" w:name="_Toc16152290"/>
    </w:p>
    <w:p w14:paraId="0BE3B0C1" w14:textId="77777777" w:rsidR="003C2FF3" w:rsidRPr="003C2FF3" w:rsidRDefault="003C2FF3" w:rsidP="003C2FF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sz w:val="20"/>
          <w:lang w:val="es-ES"/>
        </w:rPr>
      </w:pPr>
    </w:p>
    <w:p w14:paraId="39008A6B" w14:textId="77777777" w:rsidR="003C2FF3" w:rsidRPr="00660E63" w:rsidRDefault="003C2FF3" w:rsidP="00B16A61">
      <w:pPr>
        <w:pStyle w:val="Heading1"/>
        <w:spacing w:before="0"/>
        <w:ind w:left="360"/>
        <w:rPr>
          <w:color w:val="auto"/>
          <w:sz w:val="20"/>
          <w:szCs w:val="20"/>
          <w:lang w:val="es-US"/>
        </w:rPr>
      </w:pPr>
      <w:bookmarkStart w:id="61" w:name="_Toc61514177"/>
      <w:r w:rsidRPr="00660E63">
        <w:rPr>
          <w:color w:val="auto"/>
          <w:sz w:val="20"/>
          <w:szCs w:val="20"/>
          <w:lang w:val="es-US"/>
        </w:rPr>
        <w:t>INFORME No. 162/19 E INFORMACI</w:t>
      </w:r>
      <w:r w:rsidRPr="00660E63">
        <w:rPr>
          <w:color w:val="auto"/>
          <w:sz w:val="20"/>
          <w:szCs w:val="20"/>
          <w:lang w:val="es-ES"/>
        </w:rPr>
        <w:t>O</w:t>
      </w:r>
      <w:r w:rsidRPr="00660E63">
        <w:rPr>
          <w:color w:val="auto"/>
          <w:sz w:val="20"/>
          <w:szCs w:val="20"/>
          <w:lang w:val="es-US"/>
        </w:rPr>
        <w:t>N SOBRE CUMPLIMIENTO</w:t>
      </w:r>
      <w:bookmarkEnd w:id="61"/>
    </w:p>
    <w:p w14:paraId="64CB0E73" w14:textId="77777777" w:rsidR="003C2FF3" w:rsidRPr="00660E63" w:rsidRDefault="003C2FF3" w:rsidP="003C2FF3">
      <w:pPr>
        <w:rPr>
          <w:lang w:val="es-US"/>
        </w:rPr>
      </w:pPr>
    </w:p>
    <w:p w14:paraId="5CF63AFA" w14:textId="77777777" w:rsidR="003C2FF3" w:rsidRPr="00660E63" w:rsidRDefault="003C2FF3" w:rsidP="003C2F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660E63">
        <w:rPr>
          <w:sz w:val="20"/>
          <w:szCs w:val="20"/>
          <w:lang w:val="es-ES"/>
        </w:rPr>
        <w:t>El 9 de noviembre de 2019, la Comisión aprobó el Informe No. 162/19 sobre el fondo del presente caso, que abarca los párrafos 1 a 121 supra, y emitió las siguientes recomendaciones al Estado:</w:t>
      </w:r>
    </w:p>
    <w:bookmarkEnd w:id="60"/>
    <w:p w14:paraId="6D41638E" w14:textId="77777777" w:rsidR="00110F02" w:rsidRPr="00660E63" w:rsidRDefault="00110F02" w:rsidP="003C2FF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hAnsi="Cambria"/>
          <w:sz w:val="20"/>
          <w:szCs w:val="20"/>
          <w:lang w:val="es-ES"/>
        </w:rPr>
      </w:pPr>
    </w:p>
    <w:p w14:paraId="00953D85" w14:textId="77777777" w:rsidR="00110F02" w:rsidRPr="00660E63" w:rsidRDefault="00110F02" w:rsidP="005200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eastAsia="Times New Roman" w:cs="Tahoma"/>
          <w:sz w:val="20"/>
          <w:szCs w:val="20"/>
          <w:bdr w:val="none" w:sz="0" w:space="0" w:color="auto" w:frame="1"/>
          <w:lang w:val="es-ES"/>
        </w:rPr>
      </w:pPr>
      <w:r w:rsidRPr="00660E63">
        <w:rPr>
          <w:rFonts w:eastAsia="Times New Roman" w:cs="Tahoma"/>
          <w:sz w:val="20"/>
          <w:szCs w:val="20"/>
          <w:bdr w:val="none" w:sz="0" w:space="0" w:color="auto" w:frame="1"/>
          <w:lang w:val="es-ES"/>
        </w:rPr>
        <w:t xml:space="preserve">Que otorgue a </w:t>
      </w:r>
      <w:r w:rsidRPr="00660E63">
        <w:rPr>
          <w:rFonts w:asciiTheme="majorHAnsi" w:hAnsiTheme="majorHAnsi"/>
          <w:color w:val="000000" w:themeColor="text1"/>
          <w:sz w:val="20"/>
          <w:szCs w:val="20"/>
          <w:lang w:val="es-ES"/>
        </w:rPr>
        <w:t>Julius Omar Robinson</w:t>
      </w:r>
      <w:r w:rsidRPr="00660E63">
        <w:rPr>
          <w:rFonts w:eastAsia="Times New Roman" w:cs="Tahoma"/>
          <w:sz w:val="20"/>
          <w:szCs w:val="20"/>
          <w:bdr w:val="none" w:sz="0" w:space="0" w:color="auto" w:frame="1"/>
          <w:lang w:val="es-ES"/>
        </w:rPr>
        <w:t xml:space="preserve"> una reparación eficaz, incluida la revisión de su juicio y su sentencia, de conformidad con las garantías del derecho de justicia y el derecho a proceso regular establecidas en los artículos XVIII, XXV y XXVI de la Declaración Americana, así como una indemnización pecuniaria. Teniendo en cuenta las conclusiones de la CIDH con respecto al tiempo que</w:t>
      </w:r>
      <w:r w:rsidRPr="00660E63">
        <w:rPr>
          <w:rFonts w:cs="Arial"/>
          <w:color w:val="auto"/>
          <w:sz w:val="20"/>
          <w:szCs w:val="20"/>
          <w:lang w:val="es-ES"/>
        </w:rPr>
        <w:t xml:space="preserve"> </w:t>
      </w:r>
      <w:r w:rsidRPr="00660E63">
        <w:rPr>
          <w:rFonts w:asciiTheme="majorHAnsi" w:hAnsiTheme="majorHAnsi"/>
          <w:color w:val="000000" w:themeColor="text1"/>
          <w:sz w:val="20"/>
          <w:szCs w:val="20"/>
          <w:lang w:val="es-ES"/>
        </w:rPr>
        <w:t>Julius Omar Robinson</w:t>
      </w:r>
      <w:r w:rsidRPr="00660E63">
        <w:rPr>
          <w:rFonts w:eastAsia="Times New Roman" w:cs="Tahoma"/>
          <w:sz w:val="20"/>
          <w:szCs w:val="20"/>
          <w:bdr w:val="none" w:sz="0" w:space="0" w:color="auto" w:frame="1"/>
          <w:lang w:val="es-ES"/>
        </w:rPr>
        <w:t xml:space="preserve"> </w:t>
      </w:r>
      <w:r w:rsidRPr="00660E63">
        <w:rPr>
          <w:rFonts w:cs="Arial"/>
          <w:color w:val="auto"/>
          <w:sz w:val="20"/>
          <w:szCs w:val="20"/>
          <w:lang w:val="es-ES"/>
        </w:rPr>
        <w:t>ha estado en el corredor de la muerte, la Comisión recomienda que, si el nuevo juicio da lugar a una condena, se le conmute la pena</w:t>
      </w:r>
      <w:r w:rsidRPr="00660E63">
        <w:rPr>
          <w:rFonts w:eastAsia="Times New Roman" w:cs="Tahoma"/>
          <w:sz w:val="20"/>
          <w:szCs w:val="20"/>
          <w:bdr w:val="none" w:sz="0" w:space="0" w:color="auto" w:frame="1"/>
          <w:lang w:val="es-ES"/>
        </w:rPr>
        <w:t>.</w:t>
      </w:r>
    </w:p>
    <w:p w14:paraId="7865BF66" w14:textId="77777777" w:rsidR="00110F02" w:rsidRPr="00660E63" w:rsidRDefault="00110F02" w:rsidP="00110F0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cs="Tahoma"/>
          <w:sz w:val="20"/>
          <w:szCs w:val="20"/>
          <w:bdr w:val="none" w:sz="0" w:space="0" w:color="auto" w:frame="1"/>
          <w:lang w:val="es-ES"/>
        </w:rPr>
      </w:pPr>
    </w:p>
    <w:p w14:paraId="726CB313" w14:textId="77777777" w:rsidR="00110F02" w:rsidRPr="00660E63" w:rsidRDefault="00110F02" w:rsidP="005200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eastAsia="Times New Roman" w:cs="Tahoma"/>
          <w:sz w:val="20"/>
          <w:szCs w:val="20"/>
          <w:bdr w:val="none" w:sz="0" w:space="0" w:color="auto" w:frame="1"/>
          <w:lang w:val="es-ES"/>
        </w:rPr>
      </w:pPr>
      <w:r w:rsidRPr="00660E63">
        <w:rPr>
          <w:sz w:val="20"/>
          <w:lang w:val="es-ES"/>
        </w:rPr>
        <w:t>Que revise sus leyes, procedimientos y prácticas estatales y, si corresponde, federales a fin de que las personas acusadas de delitos punibles con la pena de muerte sean juzgadas y, de ser declaradas culpables, sean sentenciadas de conformidad con los derechos establecidos en la Declaración Americana</w:t>
      </w:r>
      <w:r w:rsidRPr="00660E63">
        <w:rPr>
          <w:rStyle w:val="FootnoteReference"/>
          <w:sz w:val="20"/>
          <w:lang w:val="es-ES"/>
        </w:rPr>
        <w:footnoteReference w:id="99"/>
      </w:r>
      <w:r w:rsidRPr="00660E63">
        <w:rPr>
          <w:sz w:val="20"/>
          <w:lang w:val="es-ES"/>
        </w:rPr>
        <w:t xml:space="preserve">, incluidos sus artículos I, II, </w:t>
      </w:r>
      <w:r w:rsidRPr="00660E63">
        <w:rPr>
          <w:rFonts w:eastAsia="Times New Roman"/>
          <w:sz w:val="20"/>
          <w:szCs w:val="20"/>
          <w:bdr w:val="none" w:sz="0" w:space="0" w:color="auto"/>
          <w:lang w:val="es-ES"/>
        </w:rPr>
        <w:t>IV,</w:t>
      </w:r>
      <w:r w:rsidRPr="00660E63">
        <w:rPr>
          <w:sz w:val="20"/>
          <w:szCs w:val="20"/>
          <w:lang w:val="es-ES"/>
        </w:rPr>
        <w:t xml:space="preserve"> </w:t>
      </w:r>
      <w:r w:rsidRPr="00660E63">
        <w:rPr>
          <w:sz w:val="20"/>
          <w:lang w:val="es-ES"/>
        </w:rPr>
        <w:t>XVIII, XXV y XXVI, y en particular:</w:t>
      </w:r>
    </w:p>
    <w:p w14:paraId="4F1ED16B" w14:textId="77777777" w:rsidR="000E6B44" w:rsidRPr="00660E63" w:rsidRDefault="000E6B44" w:rsidP="000E6B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frame="1"/>
          <w:lang w:val="es-ES"/>
        </w:rPr>
      </w:pPr>
    </w:p>
    <w:p w14:paraId="6C54D6E7" w14:textId="77777777" w:rsidR="00110F02" w:rsidRPr="00660E63" w:rsidRDefault="00110F02" w:rsidP="005200DD">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s="Tahoma"/>
          <w:sz w:val="20"/>
          <w:szCs w:val="20"/>
          <w:bdr w:val="none" w:sz="0" w:space="0" w:color="auto" w:frame="1"/>
          <w:lang w:val="es-ES"/>
        </w:rPr>
      </w:pPr>
      <w:r w:rsidRPr="00660E63">
        <w:rPr>
          <w:rFonts w:asciiTheme="majorHAnsi" w:hAnsiTheme="majorHAnsi"/>
          <w:sz w:val="20"/>
          <w:szCs w:val="20"/>
          <w:lang w:val="es-ES"/>
        </w:rPr>
        <w:t xml:space="preserve">que los reclamos de discriminación racial se investiguen de manera </w:t>
      </w:r>
      <w:r w:rsidR="00A43F12" w:rsidRPr="00660E63">
        <w:rPr>
          <w:rFonts w:asciiTheme="majorHAnsi" w:hAnsiTheme="majorHAnsi"/>
          <w:sz w:val="20"/>
          <w:szCs w:val="20"/>
          <w:lang w:val="es-ES"/>
        </w:rPr>
        <w:t xml:space="preserve">completa y </w:t>
      </w:r>
      <w:r w:rsidRPr="00660E63">
        <w:rPr>
          <w:rFonts w:asciiTheme="majorHAnsi" w:hAnsiTheme="majorHAnsi"/>
          <w:sz w:val="20"/>
          <w:szCs w:val="20"/>
          <w:lang w:val="es-ES"/>
        </w:rPr>
        <w:t>exhaustiva</w:t>
      </w:r>
      <w:r w:rsidRPr="00660E63">
        <w:rPr>
          <w:sz w:val="20"/>
          <w:lang w:val="es-ES"/>
        </w:rPr>
        <w:t xml:space="preserve">; </w:t>
      </w:r>
    </w:p>
    <w:p w14:paraId="0DC53E61" w14:textId="77777777" w:rsidR="000E6B44" w:rsidRPr="00660E63" w:rsidRDefault="000E6B44" w:rsidP="005200DD">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s="Tahoma"/>
          <w:sz w:val="20"/>
          <w:szCs w:val="20"/>
          <w:bdr w:val="none" w:sz="0" w:space="0" w:color="auto" w:frame="1"/>
          <w:lang w:val="es-ES"/>
        </w:rPr>
      </w:pPr>
      <w:r w:rsidRPr="00660E63">
        <w:rPr>
          <w:rFonts w:eastAsia="Times New Roman" w:cs="Tahoma"/>
          <w:sz w:val="20"/>
          <w:szCs w:val="20"/>
          <w:bdr w:val="none" w:sz="0" w:space="0" w:color="auto" w:frame="1"/>
          <w:lang w:val="es-ES"/>
        </w:rPr>
        <w:t xml:space="preserve">que la defensa tenga acceso a la información en el marco del proceso penal; </w:t>
      </w:r>
    </w:p>
    <w:p w14:paraId="62F6B66D" w14:textId="77777777" w:rsidR="00110F02" w:rsidRPr="00660E63" w:rsidRDefault="00110F02" w:rsidP="005200DD">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s="Tahoma"/>
          <w:sz w:val="20"/>
          <w:szCs w:val="20"/>
          <w:bdr w:val="none" w:sz="0" w:space="0" w:color="auto" w:frame="1"/>
          <w:lang w:val="es-ES"/>
        </w:rPr>
      </w:pPr>
      <w:r w:rsidRPr="00660E63">
        <w:rPr>
          <w:sz w:val="20"/>
          <w:szCs w:val="20"/>
          <w:bdr w:val="none" w:sz="0" w:space="0" w:color="auto" w:frame="1"/>
          <w:lang w:val="es-ES"/>
        </w:rPr>
        <w:t xml:space="preserve">que </w:t>
      </w:r>
      <w:r w:rsidR="000E6B44" w:rsidRPr="00660E63">
        <w:rPr>
          <w:sz w:val="20"/>
          <w:szCs w:val="20"/>
          <w:bdr w:val="none" w:sz="0" w:space="0" w:color="auto" w:frame="1"/>
          <w:lang w:val="es-ES"/>
        </w:rPr>
        <w:t>la defensa</w:t>
      </w:r>
      <w:r w:rsidRPr="00660E63">
        <w:rPr>
          <w:sz w:val="20"/>
          <w:szCs w:val="20"/>
          <w:bdr w:val="none" w:sz="0" w:space="0" w:color="auto" w:frame="1"/>
          <w:lang w:val="es-ES"/>
        </w:rPr>
        <w:t xml:space="preserve"> de oficio que represente al acusado en el juicio y en la apelación proporcione asistencia letrada adecuada en los casos de delitos punibles con la pena de muerte, incluso en reclamos de discriminación racial;</w:t>
      </w:r>
    </w:p>
    <w:p w14:paraId="2DC14D5D" w14:textId="77777777" w:rsidR="00110F02" w:rsidRPr="00660E63" w:rsidRDefault="00110F02" w:rsidP="005200DD">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s="Tahoma"/>
          <w:sz w:val="20"/>
          <w:szCs w:val="20"/>
          <w:bdr w:val="none" w:sz="0" w:space="0" w:color="auto" w:frame="1"/>
          <w:lang w:val="es-ES"/>
        </w:rPr>
      </w:pPr>
      <w:r w:rsidRPr="00660E63">
        <w:rPr>
          <w:rFonts w:asciiTheme="majorHAnsi" w:hAnsiTheme="majorHAnsi"/>
          <w:bCs/>
          <w:color w:val="auto"/>
          <w:sz w:val="20"/>
          <w:szCs w:val="20"/>
          <w:lang w:val="es-ES"/>
        </w:rPr>
        <w:t>que en las audiencias de lectura de sentencia en casos de pena de muerte no se introduzcan pruebas relativas a delitos sobre los cuales no se haya dictado sentencia.</w:t>
      </w:r>
    </w:p>
    <w:p w14:paraId="6BC1B37C" w14:textId="77777777" w:rsidR="00110F02" w:rsidRPr="00660E63" w:rsidRDefault="00110F02" w:rsidP="00110F02">
      <w:pPr>
        <w:pStyle w:val="ListParagraph"/>
        <w:rPr>
          <w:rFonts w:eastAsia="Times New Roman" w:cs="Tahoma"/>
          <w:sz w:val="20"/>
          <w:szCs w:val="20"/>
          <w:bdr w:val="none" w:sz="0" w:space="0" w:color="auto" w:frame="1"/>
          <w:lang w:val="es-ES"/>
        </w:rPr>
      </w:pPr>
    </w:p>
    <w:p w14:paraId="010F9FED" w14:textId="77777777" w:rsidR="00110F02" w:rsidRPr="00660E63" w:rsidRDefault="00110F02" w:rsidP="005200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eastAsia="Times New Roman" w:cs="Tahoma"/>
          <w:sz w:val="20"/>
          <w:szCs w:val="20"/>
          <w:bdr w:val="none" w:sz="0" w:space="0" w:color="auto" w:frame="1"/>
          <w:lang w:val="es-ES"/>
        </w:rPr>
      </w:pPr>
      <w:r w:rsidRPr="00660E63">
        <w:rPr>
          <w:rFonts w:eastAsia="Times New Roman" w:cs="Tahoma"/>
          <w:sz w:val="20"/>
          <w:szCs w:val="20"/>
          <w:bdr w:val="none" w:sz="0" w:space="0" w:color="auto"/>
          <w:lang w:val="es-ES"/>
        </w:rPr>
        <w:t>Que revise sus leyes, procedimientos y prácticas a fin de asegurar que las personas condenadas a muerte tengan acceso a recursos judiciales efectivos para impugnar el posible efecto del método de ejecución en sus derechos fundamentales de conformidad con las normas enunciadas en el presente informe de fondo.</w:t>
      </w:r>
    </w:p>
    <w:p w14:paraId="4F76EE96" w14:textId="77777777" w:rsidR="00110F02" w:rsidRPr="00660E63" w:rsidRDefault="00110F02" w:rsidP="00110F02">
      <w:pPr>
        <w:pStyle w:val="ListParagraph"/>
        <w:ind w:left="360" w:hanging="360"/>
        <w:jc w:val="both"/>
        <w:rPr>
          <w:rFonts w:eastAsia="Times New Roman" w:cs="Tahoma"/>
          <w:sz w:val="20"/>
          <w:szCs w:val="20"/>
          <w:bdr w:val="none" w:sz="0" w:space="0" w:color="auto" w:frame="1"/>
          <w:lang w:val="es-ES"/>
        </w:rPr>
      </w:pPr>
    </w:p>
    <w:p w14:paraId="20ABBFC5" w14:textId="77777777" w:rsidR="00110F02" w:rsidRPr="00660E63" w:rsidRDefault="00110F02" w:rsidP="005200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eastAsia="Times New Roman" w:cs="Tahoma"/>
          <w:sz w:val="20"/>
          <w:szCs w:val="20"/>
          <w:bdr w:val="none" w:sz="0" w:space="0" w:color="auto" w:frame="1"/>
          <w:lang w:val="es-ES"/>
        </w:rPr>
      </w:pPr>
      <w:r w:rsidRPr="00660E63">
        <w:rPr>
          <w:rFonts w:asciiTheme="majorHAnsi" w:hAnsiTheme="majorHAnsi"/>
          <w:sz w:val="20"/>
          <w:lang w:val="es-ES"/>
        </w:rPr>
        <w:lastRenderedPageBreak/>
        <w:t>Que imponga una moratoria de las ejecuciones de personas condenas a muerte, en vista de las violaciones de la Declaración Americana que la CIDH ha observado en el caso de autos y en otros relacionados con la aplicación de la pena de muerte</w:t>
      </w:r>
      <w:r w:rsidRPr="00660E63">
        <w:rPr>
          <w:rStyle w:val="FootnoteReference"/>
          <w:sz w:val="20"/>
          <w:lang w:val="es-ES"/>
        </w:rPr>
        <w:footnoteReference w:id="100"/>
      </w:r>
      <w:r w:rsidRPr="00660E63">
        <w:rPr>
          <w:rFonts w:asciiTheme="majorHAnsi" w:hAnsiTheme="majorHAnsi"/>
          <w:sz w:val="20"/>
          <w:lang w:val="es-ES"/>
        </w:rPr>
        <w:t>.</w:t>
      </w:r>
    </w:p>
    <w:p w14:paraId="77E8AE3F" w14:textId="77777777" w:rsidR="00690501" w:rsidRPr="00660E63" w:rsidRDefault="00690501" w:rsidP="006905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frame="1"/>
          <w:lang w:val="es-ES"/>
        </w:rPr>
      </w:pPr>
    </w:p>
    <w:p w14:paraId="3471A43E" w14:textId="77777777" w:rsidR="00690501" w:rsidRPr="00660E63" w:rsidRDefault="00690501" w:rsidP="0069050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660E63">
        <w:rPr>
          <w:sz w:val="20"/>
          <w:szCs w:val="20"/>
          <w:lang w:val="es-ES"/>
        </w:rPr>
        <w:t>El 11 de diciembre de 2019, la Comisión transmitió el informe al Estado con un plazo de dos meses para informar sobre las medidas adoptadas para cumplir con sus recomendaciones. En esa misma fecha, la CIDH notificó a los peticionarios sobre la adopción del informe. Hasta la fecha de aprobación de este informe, la CIDH no recibió ninguna respuesta de los Estados Unidos con respecto al Informe No. 162/19.</w:t>
      </w:r>
    </w:p>
    <w:p w14:paraId="06B6B405" w14:textId="77777777" w:rsidR="00690501" w:rsidRPr="00660E63" w:rsidRDefault="00690501" w:rsidP="006905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sz w:val="20"/>
          <w:szCs w:val="20"/>
          <w:lang w:val="es-ES"/>
        </w:rPr>
      </w:pPr>
    </w:p>
    <w:p w14:paraId="2A24E0F6" w14:textId="77777777" w:rsidR="00690501" w:rsidRPr="00DD5969" w:rsidRDefault="00690501" w:rsidP="0069050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660E63">
        <w:rPr>
          <w:sz w:val="20"/>
          <w:szCs w:val="20"/>
          <w:lang w:val="es-ES"/>
        </w:rPr>
        <w:t xml:space="preserve">El 18 de mayo de 2020, los peticionarios informaron a la Comisión que, no habían recibido ninguna comunicación de ninguna agencia del Gobierno de los Estados Unidos con respecto a las medidas adoptadas para implementar las recomendaciones de la Comisión. Los peticionarios también informaron que el 6 de enero de 2020, se contactaron con el Departamento de Estado de los EE. UU. Para hablar con el consejero de los Estados Unidos en este asunto y que el 4 de febrero de 2020 respondió que estaba esperando una respuesta del Departamento de Justicia. Los peticionarios solicitaron al Departamento de Estado que agilice su proceso de revisión </w:t>
      </w:r>
      <w:r w:rsidRPr="00DD5969">
        <w:rPr>
          <w:sz w:val="20"/>
          <w:szCs w:val="20"/>
          <w:lang w:val="es-ES"/>
        </w:rPr>
        <w:t>interna de manera que las partes puedan intentar llegar a un acuerdo. Desde el 4 de febrero de 2020, no han tenido más noticias del Gobierno.</w:t>
      </w:r>
    </w:p>
    <w:p w14:paraId="63D6F93C" w14:textId="77777777" w:rsidR="00BF55B9" w:rsidRPr="00DD5969" w:rsidRDefault="00BF55B9" w:rsidP="00BF55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sz w:val="20"/>
          <w:szCs w:val="20"/>
          <w:lang w:val="es-ES"/>
        </w:rPr>
      </w:pPr>
    </w:p>
    <w:p w14:paraId="492451A8" w14:textId="77777777" w:rsidR="00BF55B9" w:rsidRPr="00DD5969" w:rsidRDefault="00BF55B9" w:rsidP="00BF55B9">
      <w:pPr>
        <w:pStyle w:val="Heading1"/>
        <w:spacing w:before="0"/>
        <w:ind w:left="360"/>
        <w:rPr>
          <w:color w:val="auto"/>
          <w:sz w:val="20"/>
          <w:szCs w:val="20"/>
          <w:lang w:val="es-US"/>
        </w:rPr>
      </w:pPr>
      <w:bookmarkStart w:id="62" w:name="_Toc61514178"/>
      <w:r w:rsidRPr="00DD5969">
        <w:rPr>
          <w:color w:val="auto"/>
          <w:sz w:val="20"/>
          <w:szCs w:val="20"/>
          <w:lang w:val="es-US"/>
        </w:rPr>
        <w:t>INFORME No. 199/20 E INFORMACI</w:t>
      </w:r>
      <w:r w:rsidRPr="00DD5969">
        <w:rPr>
          <w:color w:val="auto"/>
          <w:sz w:val="20"/>
          <w:szCs w:val="20"/>
          <w:lang w:val="es-ES"/>
        </w:rPr>
        <w:t>O</w:t>
      </w:r>
      <w:r w:rsidRPr="00DD5969">
        <w:rPr>
          <w:color w:val="auto"/>
          <w:sz w:val="20"/>
          <w:szCs w:val="20"/>
          <w:lang w:val="es-US"/>
        </w:rPr>
        <w:t>N SOBRE CUMPLIMIENTO</w:t>
      </w:r>
      <w:bookmarkEnd w:id="62"/>
    </w:p>
    <w:p w14:paraId="115D723A" w14:textId="77777777" w:rsidR="00AD7673" w:rsidRPr="00DD5969" w:rsidRDefault="00AD7673" w:rsidP="00AD7673">
      <w:pPr>
        <w:rPr>
          <w:bCs/>
          <w:sz w:val="20"/>
          <w:szCs w:val="20"/>
          <w:lang w:val="es-ES"/>
        </w:rPr>
      </w:pPr>
    </w:p>
    <w:p w14:paraId="48F3C687" w14:textId="77777777" w:rsidR="00AD7673" w:rsidRPr="00DD5969" w:rsidRDefault="00AD7673" w:rsidP="00AD767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DD5969">
        <w:rPr>
          <w:sz w:val="20"/>
          <w:szCs w:val="20"/>
          <w:lang w:val="es-ES"/>
        </w:rPr>
        <w:t>El 31 de julio de 2020, la Comisión aprobó el Informe Final de Fondo No. 199/20 en el cual la C</w:t>
      </w:r>
      <w:r w:rsidR="00411164" w:rsidRPr="00DD5969">
        <w:rPr>
          <w:sz w:val="20"/>
          <w:szCs w:val="20"/>
          <w:lang w:val="es-ES"/>
        </w:rPr>
        <w:t>omisión</w:t>
      </w:r>
      <w:r w:rsidRPr="00DD5969">
        <w:rPr>
          <w:sz w:val="20"/>
          <w:szCs w:val="20"/>
          <w:lang w:val="es-ES"/>
        </w:rPr>
        <w:t xml:space="preserve"> reiteró todas sus recomendaciones al Estado</w:t>
      </w:r>
      <w:r w:rsidR="00BF55B9" w:rsidRPr="00DD5969">
        <w:rPr>
          <w:sz w:val="20"/>
          <w:szCs w:val="20"/>
          <w:lang w:val="es-ES"/>
        </w:rPr>
        <w:t>. El mismo día la CIDH transmitió el Informe al Estado y a los peticionarios con el plazo de una semana para informar a la Comisión sobre las medidas adoptadas para cumplir con sus recomendaciones. Hasta la fecha la Comisión no ha recibido ninguna respuesta de los Estados Unidos ni de los peticionarios con respecto al Informe No. 199/20.</w:t>
      </w:r>
    </w:p>
    <w:p w14:paraId="4B14105E" w14:textId="77777777" w:rsidR="00AD7673" w:rsidRPr="00AD7673" w:rsidRDefault="00AD7673" w:rsidP="00AD767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lang w:val="es-ES"/>
        </w:rPr>
      </w:pPr>
    </w:p>
    <w:p w14:paraId="5BC4D27E" w14:textId="77777777" w:rsidR="00953481" w:rsidRPr="00660E63" w:rsidRDefault="00690501" w:rsidP="00690501">
      <w:pPr>
        <w:pStyle w:val="Heading1"/>
        <w:spacing w:before="0"/>
        <w:ind w:left="360"/>
        <w:rPr>
          <w:bCs w:val="0"/>
          <w:color w:val="auto"/>
          <w:sz w:val="20"/>
          <w:szCs w:val="20"/>
          <w:lang w:val="es-ES"/>
        </w:rPr>
      </w:pPr>
      <w:bookmarkStart w:id="63" w:name="_Toc61514179"/>
      <w:r w:rsidRPr="00660E63">
        <w:rPr>
          <w:bCs w:val="0"/>
          <w:color w:val="auto"/>
          <w:sz w:val="20"/>
          <w:szCs w:val="20"/>
          <w:lang w:val="es-ES"/>
        </w:rPr>
        <w:t>CONCLUSIONES FINALES Y RECOMENDACIONES</w:t>
      </w:r>
      <w:bookmarkEnd w:id="63"/>
    </w:p>
    <w:p w14:paraId="28CC1EA4" w14:textId="77777777" w:rsidR="00690501" w:rsidRPr="00660E63" w:rsidRDefault="00690501" w:rsidP="00690501">
      <w:pPr>
        <w:rPr>
          <w:lang w:val="es-ES"/>
        </w:rPr>
      </w:pPr>
    </w:p>
    <w:p w14:paraId="39C03E83" w14:textId="77777777" w:rsidR="00690501" w:rsidRPr="00660E63" w:rsidRDefault="00690501" w:rsidP="0069050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660E63">
        <w:rPr>
          <w:sz w:val="20"/>
          <w:szCs w:val="20"/>
          <w:lang w:val="es-ES"/>
        </w:rPr>
        <w:t xml:space="preserve">Sobre la base de las determinaciones de hecho y de derecho, la Comisión Interamericana concluye que el Estado es responsable de la violación de los artículos I (derecho a la vida, a la libertad, a la seguridad e integridad de la persona), II (igualdad ante la ley), </w:t>
      </w:r>
      <w:r w:rsidRPr="00660E63">
        <w:rPr>
          <w:rFonts w:eastAsia="Times New Roman"/>
          <w:sz w:val="20"/>
          <w:szCs w:val="20"/>
          <w:bdr w:val="none" w:sz="0" w:space="0" w:color="auto"/>
          <w:lang w:val="es-ES"/>
        </w:rPr>
        <w:t>IV</w:t>
      </w:r>
      <w:r w:rsidRPr="00660E63">
        <w:rPr>
          <w:sz w:val="20"/>
          <w:szCs w:val="20"/>
          <w:lang w:val="es-ES"/>
        </w:rPr>
        <w:t xml:space="preserve"> (libertad de expresión), XVIII (derecho de justicia), XXV (derecho de protección contra la detención arbitraria) y XXVI (derecho a proceso regular) de la Declaración Americana.</w:t>
      </w:r>
    </w:p>
    <w:p w14:paraId="1F2B05A1" w14:textId="77777777" w:rsidR="00690501" w:rsidRPr="00660E63" w:rsidRDefault="00690501" w:rsidP="00690501">
      <w:pPr>
        <w:rPr>
          <w:lang w:val="es-ES"/>
        </w:rPr>
      </w:pPr>
    </w:p>
    <w:p w14:paraId="5083A364" w14:textId="77777777" w:rsidR="00752680" w:rsidRPr="00660E63" w:rsidRDefault="00752680" w:rsidP="00690501">
      <w:pPr>
        <w:rPr>
          <w:rFonts w:ascii="Cambria" w:hAnsi="Cambria"/>
          <w:b/>
          <w:bCs/>
          <w:sz w:val="20"/>
          <w:szCs w:val="20"/>
          <w:lang w:val="es-ES"/>
        </w:rPr>
      </w:pPr>
      <w:r w:rsidRPr="00660E63">
        <w:rPr>
          <w:rFonts w:ascii="Cambria" w:hAnsi="Cambria"/>
          <w:b/>
          <w:bCs/>
          <w:sz w:val="20"/>
          <w:szCs w:val="20"/>
          <w:lang w:val="es-ES"/>
        </w:rPr>
        <w:t>LA COMISIÓN INTERAMERICANA DE DERECHOS HUMANOS REITERA A LOS ESTADOS UNIDOS DE AMÉRICA QUE,</w:t>
      </w:r>
    </w:p>
    <w:p w14:paraId="65200C1E" w14:textId="77777777" w:rsidR="00752680" w:rsidRPr="00660E63" w:rsidRDefault="00752680" w:rsidP="00690501">
      <w:pPr>
        <w:rPr>
          <w:rFonts w:ascii="Cambria" w:hAnsi="Cambria"/>
          <w:b/>
          <w:bCs/>
          <w:sz w:val="20"/>
          <w:szCs w:val="20"/>
          <w:lang w:val="es-ES"/>
        </w:rPr>
      </w:pPr>
    </w:p>
    <w:p w14:paraId="197DBE1B" w14:textId="77777777" w:rsidR="00752680" w:rsidRPr="00660E63" w:rsidRDefault="00752680" w:rsidP="00786BC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eastAsia="Times New Roman" w:cs="Tahoma"/>
          <w:sz w:val="20"/>
          <w:szCs w:val="20"/>
          <w:bdr w:val="none" w:sz="0" w:space="0" w:color="auto" w:frame="1"/>
          <w:lang w:val="es-ES"/>
        </w:rPr>
      </w:pPr>
      <w:r w:rsidRPr="00660E63">
        <w:rPr>
          <w:rFonts w:eastAsia="Times New Roman" w:cs="Tahoma"/>
          <w:sz w:val="20"/>
          <w:szCs w:val="20"/>
          <w:bdr w:val="none" w:sz="0" w:space="0" w:color="auto" w:frame="1"/>
          <w:lang w:val="es-ES"/>
        </w:rPr>
        <w:t xml:space="preserve">Que otorgue a </w:t>
      </w:r>
      <w:r w:rsidRPr="00660E63">
        <w:rPr>
          <w:rFonts w:asciiTheme="majorHAnsi" w:hAnsiTheme="majorHAnsi"/>
          <w:color w:val="000000" w:themeColor="text1"/>
          <w:sz w:val="20"/>
          <w:szCs w:val="20"/>
          <w:lang w:val="es-ES"/>
        </w:rPr>
        <w:t>Julius Omar Robinson</w:t>
      </w:r>
      <w:r w:rsidRPr="00660E63">
        <w:rPr>
          <w:rFonts w:eastAsia="Times New Roman" w:cs="Tahoma"/>
          <w:sz w:val="20"/>
          <w:szCs w:val="20"/>
          <w:bdr w:val="none" w:sz="0" w:space="0" w:color="auto" w:frame="1"/>
          <w:lang w:val="es-ES"/>
        </w:rPr>
        <w:t xml:space="preserve"> una reparación eficaz, incluida la revisión de su juicio y su sentencia, de conformidad con las garantías del derecho de justicia y el derecho a proceso regular establecidas en los artículos XVIII, XXV y XXVI de la Declaración Americana, así como una indemnización pecuniaria. Teniendo en cuenta las conclusiones de la CIDH con respecto al tiempo que</w:t>
      </w:r>
      <w:r w:rsidRPr="00660E63">
        <w:rPr>
          <w:rFonts w:cs="Arial"/>
          <w:color w:val="auto"/>
          <w:sz w:val="20"/>
          <w:szCs w:val="20"/>
          <w:lang w:val="es-ES"/>
        </w:rPr>
        <w:t xml:space="preserve"> </w:t>
      </w:r>
      <w:r w:rsidRPr="00660E63">
        <w:rPr>
          <w:rFonts w:asciiTheme="majorHAnsi" w:hAnsiTheme="majorHAnsi"/>
          <w:color w:val="000000" w:themeColor="text1"/>
          <w:sz w:val="20"/>
          <w:szCs w:val="20"/>
          <w:lang w:val="es-ES"/>
        </w:rPr>
        <w:t>Julius Omar Robinson</w:t>
      </w:r>
      <w:r w:rsidRPr="00660E63">
        <w:rPr>
          <w:rFonts w:eastAsia="Times New Roman" w:cs="Tahoma"/>
          <w:sz w:val="20"/>
          <w:szCs w:val="20"/>
          <w:bdr w:val="none" w:sz="0" w:space="0" w:color="auto" w:frame="1"/>
          <w:lang w:val="es-ES"/>
        </w:rPr>
        <w:t xml:space="preserve"> </w:t>
      </w:r>
      <w:r w:rsidRPr="00660E63">
        <w:rPr>
          <w:rFonts w:cs="Arial"/>
          <w:color w:val="auto"/>
          <w:sz w:val="20"/>
          <w:szCs w:val="20"/>
          <w:lang w:val="es-ES"/>
        </w:rPr>
        <w:t>ha estado en el corredor de la muerte, la Comisión recomienda que, si el nuevo juicio da lugar a una condena, se le conmute la pena</w:t>
      </w:r>
      <w:r w:rsidRPr="00660E63">
        <w:rPr>
          <w:rFonts w:eastAsia="Times New Roman" w:cs="Tahoma"/>
          <w:sz w:val="20"/>
          <w:szCs w:val="20"/>
          <w:bdr w:val="none" w:sz="0" w:space="0" w:color="auto" w:frame="1"/>
          <w:lang w:val="es-ES"/>
        </w:rPr>
        <w:t>.</w:t>
      </w:r>
    </w:p>
    <w:p w14:paraId="07F2D82C" w14:textId="77777777" w:rsidR="00752680" w:rsidRPr="00660E63" w:rsidRDefault="00752680" w:rsidP="0075268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cs="Tahoma"/>
          <w:sz w:val="20"/>
          <w:szCs w:val="20"/>
          <w:bdr w:val="none" w:sz="0" w:space="0" w:color="auto" w:frame="1"/>
          <w:lang w:val="es-ES"/>
        </w:rPr>
      </w:pPr>
    </w:p>
    <w:p w14:paraId="0A5BB29B" w14:textId="77777777" w:rsidR="00752680" w:rsidRPr="00660E63" w:rsidRDefault="00752680" w:rsidP="00786BC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eastAsia="Times New Roman" w:cs="Tahoma"/>
          <w:sz w:val="20"/>
          <w:szCs w:val="20"/>
          <w:bdr w:val="none" w:sz="0" w:space="0" w:color="auto" w:frame="1"/>
          <w:lang w:val="es-ES"/>
        </w:rPr>
      </w:pPr>
      <w:r w:rsidRPr="00786BCA">
        <w:rPr>
          <w:rFonts w:eastAsia="Times New Roman" w:cs="Tahoma"/>
          <w:sz w:val="20"/>
          <w:szCs w:val="20"/>
          <w:bdr w:val="none" w:sz="0" w:space="0" w:color="auto" w:frame="1"/>
          <w:lang w:val="es-ES"/>
        </w:rPr>
        <w:t>Que</w:t>
      </w:r>
      <w:r w:rsidRPr="00660E63">
        <w:rPr>
          <w:sz w:val="20"/>
          <w:lang w:val="es-ES"/>
        </w:rPr>
        <w:t xml:space="preserve"> revise sus leyes, procedimientos y prácticas estatales y, si corresponde, federales a fin de que las personas acusadas de delitos punibles con la pena de muerte sean juzgadas y, de ser declaradas culpables, sean sentenciadas de conformidad con los derechos establecidos en la Declaración Americana</w:t>
      </w:r>
      <w:r w:rsidRPr="00660E63">
        <w:rPr>
          <w:rStyle w:val="FootnoteReference"/>
          <w:sz w:val="20"/>
          <w:lang w:val="es-ES"/>
        </w:rPr>
        <w:footnoteReference w:id="101"/>
      </w:r>
      <w:r w:rsidRPr="00660E63">
        <w:rPr>
          <w:sz w:val="20"/>
          <w:lang w:val="es-ES"/>
        </w:rPr>
        <w:t xml:space="preserve">, incluidos sus artículos I, II, </w:t>
      </w:r>
      <w:r w:rsidRPr="00660E63">
        <w:rPr>
          <w:rFonts w:eastAsia="Times New Roman"/>
          <w:sz w:val="20"/>
          <w:szCs w:val="20"/>
          <w:bdr w:val="none" w:sz="0" w:space="0" w:color="auto"/>
          <w:lang w:val="es-ES"/>
        </w:rPr>
        <w:t>IV,</w:t>
      </w:r>
      <w:r w:rsidRPr="00660E63">
        <w:rPr>
          <w:sz w:val="20"/>
          <w:szCs w:val="20"/>
          <w:lang w:val="es-ES"/>
        </w:rPr>
        <w:t xml:space="preserve"> </w:t>
      </w:r>
      <w:r w:rsidRPr="00660E63">
        <w:rPr>
          <w:sz w:val="20"/>
          <w:lang w:val="es-ES"/>
        </w:rPr>
        <w:t>XVIII, XXV y XXVI, y en particular:</w:t>
      </w:r>
    </w:p>
    <w:p w14:paraId="7ADF94A2" w14:textId="77777777" w:rsidR="00752680" w:rsidRPr="00660E63" w:rsidRDefault="00752680" w:rsidP="0075268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frame="1"/>
          <w:lang w:val="es-ES"/>
        </w:rPr>
      </w:pPr>
    </w:p>
    <w:p w14:paraId="6E56111F" w14:textId="77777777" w:rsidR="00752680" w:rsidRPr="00660E63" w:rsidRDefault="00752680" w:rsidP="00752680">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s="Tahoma"/>
          <w:sz w:val="20"/>
          <w:szCs w:val="20"/>
          <w:bdr w:val="none" w:sz="0" w:space="0" w:color="auto" w:frame="1"/>
          <w:lang w:val="es-ES"/>
        </w:rPr>
      </w:pPr>
      <w:r w:rsidRPr="00660E63">
        <w:rPr>
          <w:rFonts w:asciiTheme="majorHAnsi" w:hAnsiTheme="majorHAnsi"/>
          <w:sz w:val="20"/>
          <w:szCs w:val="20"/>
          <w:lang w:val="es-ES"/>
        </w:rPr>
        <w:t>que los reclamos de discriminación racial se investiguen de manera completa y exhaustiva</w:t>
      </w:r>
      <w:r w:rsidRPr="00660E63">
        <w:rPr>
          <w:sz w:val="20"/>
          <w:lang w:val="es-ES"/>
        </w:rPr>
        <w:t xml:space="preserve">; </w:t>
      </w:r>
    </w:p>
    <w:p w14:paraId="76DBBF48" w14:textId="77777777" w:rsidR="00752680" w:rsidRPr="00660E63" w:rsidRDefault="00752680" w:rsidP="00752680">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s="Tahoma"/>
          <w:sz w:val="20"/>
          <w:szCs w:val="20"/>
          <w:bdr w:val="none" w:sz="0" w:space="0" w:color="auto" w:frame="1"/>
          <w:lang w:val="es-ES"/>
        </w:rPr>
      </w:pPr>
      <w:r w:rsidRPr="00660E63">
        <w:rPr>
          <w:rFonts w:eastAsia="Times New Roman" w:cs="Tahoma"/>
          <w:sz w:val="20"/>
          <w:szCs w:val="20"/>
          <w:bdr w:val="none" w:sz="0" w:space="0" w:color="auto" w:frame="1"/>
          <w:lang w:val="es-ES"/>
        </w:rPr>
        <w:lastRenderedPageBreak/>
        <w:t xml:space="preserve">que la defensa tenga acceso a la información en el marco del proceso penal; </w:t>
      </w:r>
    </w:p>
    <w:p w14:paraId="67461215" w14:textId="77777777" w:rsidR="00752680" w:rsidRPr="00660E63" w:rsidRDefault="00752680" w:rsidP="00752680">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s="Tahoma"/>
          <w:sz w:val="20"/>
          <w:szCs w:val="20"/>
          <w:bdr w:val="none" w:sz="0" w:space="0" w:color="auto" w:frame="1"/>
          <w:lang w:val="es-ES"/>
        </w:rPr>
      </w:pPr>
      <w:r w:rsidRPr="00660E63">
        <w:rPr>
          <w:sz w:val="20"/>
          <w:szCs w:val="20"/>
          <w:bdr w:val="none" w:sz="0" w:space="0" w:color="auto" w:frame="1"/>
          <w:lang w:val="es-ES"/>
        </w:rPr>
        <w:t>que la defensa de oficio que represente al acusado en el juicio y en la apelación proporcione asistencia letrada adecuada en los casos de delitos punibles con la pena de muerte, incluso en reclamos de discriminación racial;</w:t>
      </w:r>
    </w:p>
    <w:p w14:paraId="0630A33F" w14:textId="77777777" w:rsidR="00752680" w:rsidRPr="00660E63" w:rsidRDefault="00752680" w:rsidP="00752680">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s="Tahoma"/>
          <w:sz w:val="20"/>
          <w:szCs w:val="20"/>
          <w:bdr w:val="none" w:sz="0" w:space="0" w:color="auto" w:frame="1"/>
          <w:lang w:val="es-ES"/>
        </w:rPr>
      </w:pPr>
      <w:r w:rsidRPr="00660E63">
        <w:rPr>
          <w:rFonts w:asciiTheme="majorHAnsi" w:hAnsiTheme="majorHAnsi"/>
          <w:bCs/>
          <w:color w:val="auto"/>
          <w:sz w:val="20"/>
          <w:szCs w:val="20"/>
          <w:lang w:val="es-ES"/>
        </w:rPr>
        <w:t>que en las audiencias de lectura de sentencia en casos de pena de muerte no se introduzcan pruebas relativas a delitos sobre los cuales no se haya dictado sentencia.</w:t>
      </w:r>
    </w:p>
    <w:p w14:paraId="12F365C8" w14:textId="77777777" w:rsidR="00752680" w:rsidRPr="00660E63" w:rsidRDefault="00752680" w:rsidP="00752680">
      <w:pPr>
        <w:pStyle w:val="ListParagraph"/>
        <w:rPr>
          <w:rFonts w:eastAsia="Times New Roman" w:cs="Tahoma"/>
          <w:sz w:val="20"/>
          <w:szCs w:val="20"/>
          <w:bdr w:val="none" w:sz="0" w:space="0" w:color="auto" w:frame="1"/>
          <w:lang w:val="es-ES"/>
        </w:rPr>
      </w:pPr>
    </w:p>
    <w:p w14:paraId="1E945E7C" w14:textId="77777777" w:rsidR="00752680" w:rsidRPr="00660E63" w:rsidRDefault="00752680" w:rsidP="00786BC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eastAsia="Times New Roman" w:cs="Tahoma"/>
          <w:sz w:val="20"/>
          <w:szCs w:val="20"/>
          <w:bdr w:val="none" w:sz="0" w:space="0" w:color="auto" w:frame="1"/>
          <w:lang w:val="es-ES"/>
        </w:rPr>
      </w:pPr>
      <w:r w:rsidRPr="00660E63">
        <w:rPr>
          <w:rFonts w:eastAsia="Times New Roman" w:cs="Tahoma"/>
          <w:sz w:val="20"/>
          <w:szCs w:val="20"/>
          <w:bdr w:val="none" w:sz="0" w:space="0" w:color="auto"/>
          <w:lang w:val="es-ES"/>
        </w:rPr>
        <w:t xml:space="preserve">Que </w:t>
      </w:r>
      <w:r w:rsidRPr="00786BCA">
        <w:rPr>
          <w:rFonts w:eastAsia="Times New Roman" w:cs="Tahoma"/>
          <w:sz w:val="20"/>
          <w:szCs w:val="20"/>
          <w:bdr w:val="none" w:sz="0" w:space="0" w:color="auto" w:frame="1"/>
          <w:lang w:val="es-ES"/>
        </w:rPr>
        <w:t>revise</w:t>
      </w:r>
      <w:r w:rsidRPr="00660E63">
        <w:rPr>
          <w:rFonts w:eastAsia="Times New Roman" w:cs="Tahoma"/>
          <w:sz w:val="20"/>
          <w:szCs w:val="20"/>
          <w:bdr w:val="none" w:sz="0" w:space="0" w:color="auto"/>
          <w:lang w:val="es-ES"/>
        </w:rPr>
        <w:t xml:space="preserve"> sus leyes, procedimientos y prácticas a fin de asegurar que las personas condenadas a muerte tengan acceso a recursos judiciales efectivos para impugnar el posible efecto del método de ejecución en sus derechos fundamentales de conformidad con las normas enunciadas en el presente informe de fondo.</w:t>
      </w:r>
    </w:p>
    <w:p w14:paraId="3CF970B2" w14:textId="77777777" w:rsidR="00752680" w:rsidRPr="00660E63" w:rsidRDefault="00752680" w:rsidP="00752680">
      <w:pPr>
        <w:pStyle w:val="ListParagraph"/>
        <w:ind w:left="360" w:hanging="360"/>
        <w:jc w:val="both"/>
        <w:rPr>
          <w:rFonts w:eastAsia="Times New Roman" w:cs="Tahoma"/>
          <w:sz w:val="20"/>
          <w:szCs w:val="20"/>
          <w:bdr w:val="none" w:sz="0" w:space="0" w:color="auto" w:frame="1"/>
          <w:lang w:val="es-ES"/>
        </w:rPr>
      </w:pPr>
    </w:p>
    <w:p w14:paraId="4865389A" w14:textId="77777777" w:rsidR="00660E63" w:rsidRPr="00411164" w:rsidRDefault="00752680" w:rsidP="00786BC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eastAsia="Times New Roman" w:cs="Tahoma"/>
          <w:sz w:val="20"/>
          <w:szCs w:val="20"/>
          <w:bdr w:val="none" w:sz="0" w:space="0" w:color="auto" w:frame="1"/>
          <w:lang w:val="es-ES"/>
        </w:rPr>
      </w:pPr>
      <w:r w:rsidRPr="00660E63">
        <w:rPr>
          <w:rFonts w:asciiTheme="majorHAnsi" w:hAnsiTheme="majorHAnsi"/>
          <w:sz w:val="20"/>
          <w:lang w:val="es-ES"/>
        </w:rPr>
        <w:t xml:space="preserve">Que </w:t>
      </w:r>
      <w:r w:rsidRPr="00786BCA">
        <w:rPr>
          <w:rFonts w:eastAsia="Times New Roman" w:cs="Tahoma"/>
          <w:sz w:val="20"/>
          <w:szCs w:val="20"/>
          <w:bdr w:val="none" w:sz="0" w:space="0" w:color="auto" w:frame="1"/>
          <w:lang w:val="es-ES"/>
        </w:rPr>
        <w:t>imponga</w:t>
      </w:r>
      <w:r w:rsidRPr="00660E63">
        <w:rPr>
          <w:rFonts w:asciiTheme="majorHAnsi" w:hAnsiTheme="majorHAnsi"/>
          <w:sz w:val="20"/>
          <w:lang w:val="es-ES"/>
        </w:rPr>
        <w:t xml:space="preserve"> una moratoria de las ejecuciones de personas condenas a muerte, en vista de las violaciones de la Declaración Americana que la CIDH ha observado en el caso de autos y en otros relacionados con la aplicación de la pena de muerte</w:t>
      </w:r>
      <w:r w:rsidRPr="00660E63">
        <w:rPr>
          <w:rStyle w:val="FootnoteReference"/>
          <w:sz w:val="20"/>
          <w:lang w:val="es-ES"/>
        </w:rPr>
        <w:footnoteReference w:id="102"/>
      </w:r>
      <w:r w:rsidRPr="00660E63">
        <w:rPr>
          <w:rFonts w:asciiTheme="majorHAnsi" w:hAnsiTheme="majorHAnsi"/>
          <w:sz w:val="20"/>
          <w:lang w:val="es-ES"/>
        </w:rPr>
        <w:t>.</w:t>
      </w:r>
    </w:p>
    <w:p w14:paraId="6E3940E9" w14:textId="77777777" w:rsidR="00411164" w:rsidRPr="00411164" w:rsidRDefault="00411164" w:rsidP="0041116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frame="1"/>
          <w:lang w:val="es-ES"/>
        </w:rPr>
      </w:pPr>
    </w:p>
    <w:p w14:paraId="257C2A19" w14:textId="77777777" w:rsidR="00660E63" w:rsidRPr="00DD5969" w:rsidRDefault="00411164" w:rsidP="00411164">
      <w:pPr>
        <w:pStyle w:val="Heading1"/>
        <w:spacing w:before="0"/>
        <w:ind w:left="360"/>
        <w:rPr>
          <w:rFonts w:eastAsia="Times New Roman" w:cs="Tahoma"/>
          <w:color w:val="auto"/>
          <w:sz w:val="20"/>
          <w:szCs w:val="20"/>
          <w:bdr w:val="none" w:sz="0" w:space="0" w:color="auto" w:frame="1"/>
          <w:lang w:val="es-ES"/>
        </w:rPr>
      </w:pPr>
      <w:bookmarkStart w:id="64" w:name="_Toc61514180"/>
      <w:r w:rsidRPr="00DD5969">
        <w:rPr>
          <w:rFonts w:eastAsia="Times New Roman" w:cs="Tahoma"/>
          <w:color w:val="auto"/>
          <w:sz w:val="20"/>
          <w:szCs w:val="20"/>
          <w:bdr w:val="none" w:sz="0" w:space="0" w:color="auto" w:frame="1"/>
          <w:lang w:val="es-ES"/>
        </w:rPr>
        <w:t>PUBLICACIÓN</w:t>
      </w:r>
      <w:bookmarkEnd w:id="64"/>
    </w:p>
    <w:p w14:paraId="2767D9E0" w14:textId="77777777" w:rsidR="00411164" w:rsidRPr="00DD5969" w:rsidRDefault="00411164" w:rsidP="00411164">
      <w:pPr>
        <w:rPr>
          <w:lang w:val="es-ES"/>
        </w:rPr>
      </w:pPr>
    </w:p>
    <w:p w14:paraId="561E2337" w14:textId="27BA7176" w:rsidR="00411164" w:rsidRDefault="00411164" w:rsidP="0041116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DD5969">
        <w:rPr>
          <w:sz w:val="20"/>
          <w:szCs w:val="20"/>
          <w:lang w:val="es-ES"/>
        </w:rPr>
        <w:t>En vista de lo anterior y de conformidad con el artículo 47.3 de su Reglamento, la CIDH decide hacer público este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recomendaciones anteriores hasta que determine que se ha cumplido plenamente.</w:t>
      </w:r>
    </w:p>
    <w:p w14:paraId="369F89DE" w14:textId="77777777" w:rsidR="003036C4" w:rsidRDefault="003036C4" w:rsidP="003036C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sz w:val="20"/>
          <w:szCs w:val="20"/>
          <w:lang w:val="es-ES"/>
        </w:rPr>
      </w:pPr>
    </w:p>
    <w:p w14:paraId="056F19D6" w14:textId="6B8350AA" w:rsidR="003036C4" w:rsidRDefault="003036C4" w:rsidP="003036C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sz w:val="20"/>
          <w:szCs w:val="20"/>
          <w:lang w:val="es-ES"/>
        </w:rPr>
      </w:pPr>
      <w:r w:rsidRPr="003036C4">
        <w:rPr>
          <w:sz w:val="20"/>
          <w:szCs w:val="20"/>
          <w:lang w:val="es-ES"/>
        </w:rPr>
        <w:t>Aprobado por la Comisión Interamericana de Derechos Humanos a los 12 días del mes de agosto de 2020. (Firmado): Joel Hernández, Presidente; Antonia Urrrejola Noguera, Primera Vicepresidenta; Flávia Piovesan, Segunda Vicepresidenta y Julissa Mantilla Falcón, Comisionada.</w:t>
      </w:r>
    </w:p>
    <w:p w14:paraId="0E5333BC" w14:textId="5C4B649A" w:rsidR="003036C4" w:rsidRDefault="003036C4" w:rsidP="003036C4">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jc w:val="both"/>
        <w:rPr>
          <w:sz w:val="20"/>
          <w:szCs w:val="20"/>
          <w:lang w:val="es-ES"/>
        </w:rPr>
      </w:pPr>
    </w:p>
    <w:p w14:paraId="535F47DA" w14:textId="77777777" w:rsidR="003036C4" w:rsidRPr="003036C4" w:rsidRDefault="003036C4" w:rsidP="003036C4">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jc w:val="both"/>
        <w:rPr>
          <w:sz w:val="20"/>
          <w:szCs w:val="20"/>
          <w:lang w:val="es-ES"/>
        </w:rPr>
      </w:pPr>
    </w:p>
    <w:p w14:paraId="5D39E1B3" w14:textId="77777777" w:rsidR="00752680" w:rsidRPr="00752680" w:rsidRDefault="00752680" w:rsidP="0041116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sz w:val="20"/>
          <w:szCs w:val="20"/>
          <w:lang w:val="es-ES"/>
        </w:rPr>
      </w:pPr>
    </w:p>
    <w:sectPr w:rsidR="00752680" w:rsidRPr="0075268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17CF" w14:textId="77777777" w:rsidR="00182D25" w:rsidRDefault="00182D25">
      <w:r>
        <w:separator/>
      </w:r>
    </w:p>
  </w:endnote>
  <w:endnote w:type="continuationSeparator" w:id="0">
    <w:p w14:paraId="6021BE76" w14:textId="77777777" w:rsidR="00182D25" w:rsidRDefault="0018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BCEDFCC" w14:textId="77777777" w:rsidR="007B69B1" w:rsidRPr="00934A2C" w:rsidRDefault="007B69B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D5969">
          <w:rPr>
            <w:noProof/>
            <w:sz w:val="16"/>
            <w:szCs w:val="22"/>
          </w:rPr>
          <w:t>2</w:t>
        </w:r>
        <w:r w:rsidRPr="00934A2C">
          <w:rPr>
            <w:noProof/>
            <w:sz w:val="16"/>
            <w:szCs w:val="22"/>
          </w:rPr>
          <w:fldChar w:fldCharType="end"/>
        </w:r>
      </w:p>
    </w:sdtContent>
  </w:sdt>
  <w:p w14:paraId="7A6C7384" w14:textId="77777777" w:rsidR="007B69B1" w:rsidRDefault="007B6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4C12" w14:textId="77777777" w:rsidR="007B69B1" w:rsidRPr="00934A2C" w:rsidRDefault="007B69B1">
    <w:pPr>
      <w:pStyle w:val="Footer"/>
      <w:jc w:val="center"/>
      <w:rPr>
        <w:sz w:val="16"/>
        <w:szCs w:val="22"/>
      </w:rPr>
    </w:pPr>
  </w:p>
  <w:p w14:paraId="10743A97" w14:textId="77777777" w:rsidR="007B69B1" w:rsidRDefault="007B6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ADB2" w14:textId="77777777" w:rsidR="00182D25" w:rsidRPr="000F35ED" w:rsidRDefault="00182D2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1EA9BF" w14:textId="77777777" w:rsidR="00182D25" w:rsidRPr="000F35ED" w:rsidRDefault="00182D25" w:rsidP="000F35ED">
      <w:pPr>
        <w:rPr>
          <w:rFonts w:asciiTheme="majorHAnsi" w:hAnsiTheme="majorHAnsi"/>
          <w:sz w:val="16"/>
          <w:szCs w:val="16"/>
        </w:rPr>
      </w:pPr>
      <w:r w:rsidRPr="000F35ED">
        <w:rPr>
          <w:rFonts w:asciiTheme="majorHAnsi" w:hAnsiTheme="majorHAnsi"/>
          <w:sz w:val="16"/>
          <w:szCs w:val="16"/>
        </w:rPr>
        <w:separator/>
      </w:r>
    </w:p>
    <w:p w14:paraId="1A62B0E6" w14:textId="77777777" w:rsidR="00182D25" w:rsidRPr="000F35ED" w:rsidRDefault="00182D2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E639A8F" w14:textId="77777777" w:rsidR="00182D25" w:rsidRPr="000F35ED" w:rsidRDefault="00182D2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3112F40" w14:textId="77777777" w:rsidR="007B69B1" w:rsidRPr="00FD0AD9" w:rsidRDefault="007B69B1" w:rsidP="00110F02">
      <w:pPr>
        <w:pStyle w:val="FootnoteText"/>
        <w:jc w:val="both"/>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El 9 de abril de 2012, la CIDH otorgó medidas cautelares </w:t>
      </w:r>
      <w:r>
        <w:rPr>
          <w:rFonts w:asciiTheme="majorHAnsi" w:hAnsiTheme="majorHAnsi"/>
          <w:sz w:val="16"/>
          <w:szCs w:val="16"/>
          <w:lang w:val="es-ES"/>
        </w:rPr>
        <w:t xml:space="preserve">a favor del </w:t>
      </w:r>
      <w:r w:rsidRPr="00FD0AD9">
        <w:rPr>
          <w:rFonts w:asciiTheme="majorHAnsi" w:hAnsiTheme="majorHAnsi"/>
          <w:sz w:val="16"/>
          <w:szCs w:val="16"/>
          <w:lang w:val="es-ES"/>
        </w:rPr>
        <w:t xml:space="preserve">señor Robinson </w:t>
      </w:r>
      <w:r>
        <w:rPr>
          <w:rFonts w:asciiTheme="majorHAnsi" w:hAnsiTheme="majorHAnsi"/>
          <w:sz w:val="16"/>
          <w:szCs w:val="16"/>
          <w:lang w:val="es-ES"/>
        </w:rPr>
        <w:t>de conformidad con el artículo</w:t>
      </w:r>
      <w:r w:rsidRPr="00FD0AD9">
        <w:rPr>
          <w:rFonts w:asciiTheme="majorHAnsi" w:hAnsiTheme="majorHAnsi"/>
          <w:sz w:val="16"/>
          <w:szCs w:val="16"/>
          <w:lang w:val="es-ES"/>
        </w:rPr>
        <w:t xml:space="preserve"> 25</w:t>
      </w:r>
      <w:r>
        <w:rPr>
          <w:rFonts w:asciiTheme="majorHAnsi" w:hAnsiTheme="majorHAnsi"/>
          <w:sz w:val="16"/>
          <w:szCs w:val="16"/>
          <w:lang w:val="es-ES"/>
        </w:rPr>
        <w:t>.</w:t>
      </w:r>
      <w:r w:rsidRPr="00FD0AD9">
        <w:rPr>
          <w:rFonts w:asciiTheme="majorHAnsi" w:hAnsiTheme="majorHAnsi"/>
          <w:sz w:val="16"/>
          <w:szCs w:val="16"/>
          <w:lang w:val="es-ES"/>
        </w:rPr>
        <w:t xml:space="preserve">1 </w:t>
      </w:r>
      <w:r>
        <w:rPr>
          <w:rFonts w:asciiTheme="majorHAnsi" w:hAnsiTheme="majorHAnsi"/>
          <w:sz w:val="16"/>
          <w:szCs w:val="16"/>
          <w:lang w:val="es-ES"/>
        </w:rPr>
        <w:t>de su Reglamento</w:t>
      </w:r>
      <w:r w:rsidRPr="00FD0AD9">
        <w:rPr>
          <w:rFonts w:asciiTheme="majorHAnsi" w:hAnsiTheme="majorHAnsi"/>
          <w:sz w:val="16"/>
          <w:szCs w:val="16"/>
          <w:lang w:val="es-ES"/>
        </w:rPr>
        <w:t xml:space="preserve"> </w:t>
      </w:r>
      <w:r>
        <w:rPr>
          <w:rFonts w:asciiTheme="majorHAnsi" w:hAnsiTheme="majorHAnsi"/>
          <w:sz w:val="16"/>
          <w:szCs w:val="16"/>
          <w:lang w:val="es-ES"/>
        </w:rPr>
        <w:t xml:space="preserve">y solicitó a </w:t>
      </w:r>
      <w:r w:rsidRPr="00FD0AD9">
        <w:rPr>
          <w:rFonts w:asciiTheme="majorHAnsi" w:hAnsiTheme="majorHAnsi"/>
          <w:sz w:val="16"/>
          <w:szCs w:val="16"/>
          <w:lang w:val="es-ES"/>
        </w:rPr>
        <w:t xml:space="preserve">Estados Unidos </w:t>
      </w:r>
      <w:r>
        <w:rPr>
          <w:rFonts w:asciiTheme="majorHAnsi" w:hAnsiTheme="majorHAnsi"/>
          <w:sz w:val="16"/>
          <w:szCs w:val="16"/>
          <w:lang w:val="es-ES"/>
        </w:rPr>
        <w:t>que tomara las medidas necesarias para preservar su vida e integridad física a fin de no obstaculizar la tramitación del caso ante el sistema interamericano</w:t>
      </w:r>
      <w:r w:rsidRPr="00FD0AD9">
        <w:rPr>
          <w:rFonts w:asciiTheme="majorHAnsi" w:hAnsiTheme="majorHAnsi"/>
          <w:sz w:val="16"/>
          <w:szCs w:val="16"/>
          <w:lang w:val="es-ES"/>
        </w:rPr>
        <w:t>.</w:t>
      </w:r>
    </w:p>
  </w:footnote>
  <w:footnote w:id="3">
    <w:p w14:paraId="054E90AE" w14:textId="77777777" w:rsidR="007B69B1" w:rsidRPr="00FD0AD9" w:rsidRDefault="007B69B1" w:rsidP="00110F02">
      <w:pPr>
        <w:pStyle w:val="FootnoteText"/>
        <w:jc w:val="both"/>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w:t>
      </w:r>
      <w:r>
        <w:rPr>
          <w:rFonts w:asciiTheme="majorHAnsi" w:hAnsiTheme="majorHAnsi"/>
          <w:sz w:val="16"/>
          <w:szCs w:val="16"/>
          <w:lang w:val="es-ES"/>
        </w:rPr>
        <w:t xml:space="preserve">El </w:t>
      </w:r>
      <w:r w:rsidRPr="00FD0AD9">
        <w:rPr>
          <w:rFonts w:asciiTheme="majorHAnsi" w:hAnsiTheme="majorHAnsi"/>
          <w:sz w:val="16"/>
          <w:szCs w:val="16"/>
          <w:lang w:val="es-ES"/>
        </w:rPr>
        <w:t>28</w:t>
      </w:r>
      <w:r>
        <w:rPr>
          <w:rFonts w:asciiTheme="majorHAnsi" w:hAnsiTheme="majorHAnsi"/>
          <w:sz w:val="16"/>
          <w:szCs w:val="16"/>
          <w:lang w:val="es-ES"/>
        </w:rPr>
        <w:t xml:space="preserve"> de enero de</w:t>
      </w:r>
      <w:r w:rsidRPr="00FD0AD9">
        <w:rPr>
          <w:rFonts w:asciiTheme="majorHAnsi" w:hAnsiTheme="majorHAnsi"/>
          <w:sz w:val="16"/>
          <w:szCs w:val="16"/>
          <w:lang w:val="es-ES"/>
        </w:rPr>
        <w:t xml:space="preserve"> 2016, </w:t>
      </w:r>
      <w:r>
        <w:rPr>
          <w:rFonts w:asciiTheme="majorHAnsi" w:hAnsiTheme="majorHAnsi"/>
          <w:sz w:val="16"/>
          <w:szCs w:val="16"/>
          <w:lang w:val="es-ES"/>
        </w:rPr>
        <w:t>el peticionario</w:t>
      </w:r>
      <w:r w:rsidRPr="00FD0AD9">
        <w:rPr>
          <w:rFonts w:asciiTheme="majorHAnsi" w:hAnsiTheme="majorHAnsi"/>
          <w:sz w:val="16"/>
          <w:szCs w:val="16"/>
          <w:lang w:val="es-ES"/>
        </w:rPr>
        <w:t xml:space="preserve"> inform</w:t>
      </w:r>
      <w:r>
        <w:rPr>
          <w:rFonts w:asciiTheme="majorHAnsi" w:hAnsiTheme="majorHAnsi"/>
          <w:sz w:val="16"/>
          <w:szCs w:val="16"/>
          <w:lang w:val="es-ES"/>
        </w:rPr>
        <w:t xml:space="preserve">ó que la </w:t>
      </w:r>
      <w:r w:rsidRPr="00FD0AD9">
        <w:rPr>
          <w:rFonts w:asciiTheme="majorHAnsi" w:hAnsiTheme="majorHAnsi"/>
          <w:sz w:val="16"/>
          <w:szCs w:val="16"/>
          <w:lang w:val="es-ES"/>
        </w:rPr>
        <w:t xml:space="preserve">Clínica Internacional de Derechos Humanos </w:t>
      </w:r>
      <w:r>
        <w:rPr>
          <w:rFonts w:asciiTheme="majorHAnsi" w:hAnsiTheme="majorHAnsi"/>
          <w:sz w:val="16"/>
          <w:szCs w:val="16"/>
          <w:lang w:val="es-ES"/>
        </w:rPr>
        <w:t xml:space="preserve">de la Facultad de Derecho </w:t>
      </w:r>
      <w:r w:rsidRPr="00FD0AD9">
        <w:rPr>
          <w:rFonts w:asciiTheme="majorHAnsi" w:hAnsiTheme="majorHAnsi"/>
          <w:sz w:val="16"/>
          <w:szCs w:val="16"/>
          <w:lang w:val="es-ES"/>
        </w:rPr>
        <w:t xml:space="preserve">Loyola </w:t>
      </w:r>
      <w:r>
        <w:rPr>
          <w:rFonts w:asciiTheme="majorHAnsi" w:hAnsiTheme="majorHAnsi"/>
          <w:sz w:val="16"/>
          <w:szCs w:val="16"/>
          <w:lang w:val="es-ES"/>
        </w:rPr>
        <w:t>se había sumado al caso en calidad de codefensor d</w:t>
      </w:r>
      <w:r w:rsidRPr="00FD0AD9">
        <w:rPr>
          <w:rFonts w:asciiTheme="majorHAnsi" w:hAnsiTheme="majorHAnsi"/>
          <w:sz w:val="16"/>
          <w:szCs w:val="16"/>
          <w:lang w:val="es-ES"/>
        </w:rPr>
        <w:t xml:space="preserve">el señor Robinson. </w:t>
      </w:r>
    </w:p>
  </w:footnote>
  <w:footnote w:id="4">
    <w:p w14:paraId="3211224D" w14:textId="77777777" w:rsidR="007B69B1" w:rsidRPr="00FD0AD9" w:rsidRDefault="007B69B1" w:rsidP="00110F02">
      <w:pPr>
        <w:pStyle w:val="FootnoteText"/>
        <w:jc w:val="both"/>
        <w:rPr>
          <w:lang w:val="es-ES"/>
        </w:rPr>
      </w:pPr>
      <w:r w:rsidRPr="00FD0AD9">
        <w:rPr>
          <w:rStyle w:val="FootnoteReference"/>
          <w:rFonts w:asciiTheme="majorHAnsi" w:hAnsiTheme="majorHAnsi"/>
          <w:color w:val="auto"/>
          <w:sz w:val="16"/>
          <w:szCs w:val="16"/>
          <w:lang w:val="es-ES"/>
        </w:rPr>
        <w:footnoteRef/>
      </w:r>
      <w:r w:rsidRPr="00FD0AD9">
        <w:rPr>
          <w:lang w:val="es-ES"/>
        </w:rPr>
        <w:t xml:space="preserve"> </w:t>
      </w:r>
      <w:r>
        <w:rPr>
          <w:rFonts w:asciiTheme="majorHAnsi" w:hAnsiTheme="majorHAnsi"/>
          <w:color w:val="auto"/>
          <w:sz w:val="16"/>
          <w:szCs w:val="16"/>
          <w:lang w:val="es-ES"/>
        </w:rPr>
        <w:t>CIDH. Informe No.</w:t>
      </w:r>
      <w:r w:rsidRPr="00FD0AD9">
        <w:rPr>
          <w:rFonts w:asciiTheme="majorHAnsi" w:hAnsiTheme="majorHAnsi"/>
          <w:color w:val="auto"/>
          <w:sz w:val="16"/>
          <w:szCs w:val="16"/>
          <w:lang w:val="es-ES"/>
        </w:rPr>
        <w:t xml:space="preserve"> 100/14.</w:t>
      </w:r>
      <w:r>
        <w:rPr>
          <w:rFonts w:asciiTheme="majorHAnsi" w:hAnsiTheme="majorHAnsi"/>
          <w:color w:val="auto"/>
          <w:sz w:val="16"/>
          <w:szCs w:val="16"/>
          <w:lang w:val="es-ES"/>
        </w:rPr>
        <w:t xml:space="preserve"> Petición</w:t>
      </w:r>
      <w:r w:rsidRPr="00FD0AD9">
        <w:rPr>
          <w:rFonts w:asciiTheme="majorHAnsi" w:hAnsiTheme="majorHAnsi"/>
          <w:color w:val="auto"/>
          <w:sz w:val="16"/>
          <w:szCs w:val="16"/>
          <w:lang w:val="es-ES"/>
        </w:rPr>
        <w:t xml:space="preserve"> 11.082. </w:t>
      </w:r>
      <w:r>
        <w:rPr>
          <w:rFonts w:asciiTheme="majorHAnsi" w:hAnsiTheme="majorHAnsi"/>
          <w:color w:val="auto"/>
          <w:sz w:val="16"/>
          <w:szCs w:val="16"/>
          <w:lang w:val="es-ES"/>
        </w:rPr>
        <w:t>Inadmisibilidad</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Secuestros internacionales</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Estados Unidos</w:t>
      </w:r>
      <w:r w:rsidRPr="00FD0AD9">
        <w:rPr>
          <w:rFonts w:asciiTheme="majorHAnsi" w:hAnsiTheme="majorHAnsi"/>
          <w:color w:val="auto"/>
          <w:sz w:val="16"/>
          <w:szCs w:val="16"/>
          <w:lang w:val="es-ES"/>
        </w:rPr>
        <w:t>. 7</w:t>
      </w:r>
      <w:r>
        <w:rPr>
          <w:rFonts w:asciiTheme="majorHAnsi" w:hAnsiTheme="majorHAnsi"/>
          <w:color w:val="auto"/>
          <w:sz w:val="16"/>
          <w:szCs w:val="16"/>
          <w:lang w:val="es-ES"/>
        </w:rPr>
        <w:t xml:space="preserve"> de noviembre de</w:t>
      </w:r>
      <w:r w:rsidRPr="00FD0AD9">
        <w:rPr>
          <w:rFonts w:asciiTheme="majorHAnsi" w:hAnsiTheme="majorHAnsi"/>
          <w:color w:val="auto"/>
          <w:sz w:val="16"/>
          <w:szCs w:val="16"/>
          <w:lang w:val="es-ES"/>
        </w:rPr>
        <w:t xml:space="preserve"> 2014.</w:t>
      </w:r>
    </w:p>
  </w:footnote>
  <w:footnote w:id="5">
    <w:p w14:paraId="565DBB90" w14:textId="77777777" w:rsidR="007B69B1" w:rsidRPr="00FD0AD9" w:rsidRDefault="007B69B1" w:rsidP="00110F02">
      <w:pPr>
        <w:pStyle w:val="FootnoteText"/>
        <w:jc w:val="both"/>
        <w:rPr>
          <w:rFonts w:asciiTheme="majorHAnsi" w:hAnsiTheme="majorHAnsi"/>
          <w:sz w:val="16"/>
          <w:szCs w:val="16"/>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Pr>
          <w:rFonts w:asciiTheme="majorHAnsi" w:hAnsiTheme="majorHAnsi"/>
          <w:color w:val="auto"/>
          <w:sz w:val="16"/>
          <w:szCs w:val="16"/>
          <w:lang w:val="es-ES"/>
        </w:rPr>
        <w:t>CIDH. Informe No.</w:t>
      </w:r>
      <w:r w:rsidRPr="00FD0AD9">
        <w:rPr>
          <w:rFonts w:asciiTheme="majorHAnsi" w:hAnsiTheme="majorHAnsi"/>
          <w:color w:val="auto"/>
          <w:sz w:val="16"/>
          <w:szCs w:val="16"/>
          <w:lang w:val="es-ES"/>
        </w:rPr>
        <w:t xml:space="preserve"> 54/14</w:t>
      </w:r>
      <w:r>
        <w:rPr>
          <w:rFonts w:asciiTheme="majorHAnsi" w:hAnsiTheme="majorHAnsi"/>
          <w:color w:val="auto"/>
          <w:sz w:val="16"/>
          <w:szCs w:val="16"/>
          <w:lang w:val="es-ES"/>
        </w:rPr>
        <w:t>.</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Petición</w:t>
      </w:r>
      <w:r w:rsidRPr="00FD0AD9">
        <w:rPr>
          <w:rFonts w:asciiTheme="majorHAnsi" w:hAnsiTheme="majorHAnsi"/>
          <w:color w:val="auto"/>
          <w:sz w:val="16"/>
          <w:szCs w:val="16"/>
          <w:lang w:val="es-ES"/>
        </w:rPr>
        <w:t xml:space="preserve"> 684-14. </w:t>
      </w:r>
      <w:r>
        <w:rPr>
          <w:rFonts w:asciiTheme="majorHAnsi" w:hAnsiTheme="majorHAnsi"/>
          <w:color w:val="auto"/>
          <w:sz w:val="16"/>
          <w:szCs w:val="16"/>
          <w:lang w:val="es-ES"/>
        </w:rPr>
        <w:t>Admisibilidad</w:t>
      </w:r>
      <w:r w:rsidRPr="00FD0AD9">
        <w:rPr>
          <w:rFonts w:asciiTheme="majorHAnsi" w:hAnsiTheme="majorHAnsi"/>
          <w:color w:val="auto"/>
          <w:sz w:val="16"/>
          <w:szCs w:val="16"/>
          <w:lang w:val="es-ES"/>
        </w:rPr>
        <w:t xml:space="preserve">. </w:t>
      </w:r>
      <w:r w:rsidRPr="003C2FF3">
        <w:rPr>
          <w:rFonts w:asciiTheme="majorHAnsi" w:hAnsiTheme="majorHAnsi"/>
          <w:color w:val="auto"/>
          <w:sz w:val="16"/>
          <w:szCs w:val="16"/>
          <w:lang w:val="de-DE"/>
        </w:rPr>
        <w:t xml:space="preserve">Russel Bucklew y Charles Warner. </w:t>
      </w:r>
      <w:r>
        <w:rPr>
          <w:rFonts w:asciiTheme="majorHAnsi" w:hAnsiTheme="majorHAnsi"/>
          <w:color w:val="auto"/>
          <w:sz w:val="16"/>
          <w:szCs w:val="16"/>
          <w:lang w:val="es-ES"/>
        </w:rPr>
        <w:t>Estados Unidos</w:t>
      </w:r>
      <w:r w:rsidRPr="00FD0AD9">
        <w:rPr>
          <w:rFonts w:asciiTheme="majorHAnsi" w:hAnsiTheme="majorHAnsi"/>
          <w:color w:val="auto"/>
          <w:sz w:val="16"/>
          <w:szCs w:val="16"/>
          <w:lang w:val="es-ES"/>
        </w:rPr>
        <w:t>. 21</w:t>
      </w:r>
      <w:r>
        <w:rPr>
          <w:rFonts w:asciiTheme="majorHAnsi" w:hAnsiTheme="majorHAnsi"/>
          <w:color w:val="auto"/>
          <w:sz w:val="16"/>
          <w:szCs w:val="16"/>
          <w:lang w:val="es-ES"/>
        </w:rPr>
        <w:t xml:space="preserve"> de julio de</w:t>
      </w:r>
      <w:r w:rsidRPr="00FD0AD9">
        <w:rPr>
          <w:rFonts w:asciiTheme="majorHAnsi" w:hAnsiTheme="majorHAnsi"/>
          <w:color w:val="auto"/>
          <w:sz w:val="16"/>
          <w:szCs w:val="16"/>
          <w:lang w:val="es-ES"/>
        </w:rPr>
        <w:t xml:space="preserve"> 2014</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2</w:t>
      </w:r>
      <w:r>
        <w:rPr>
          <w:rFonts w:asciiTheme="majorHAnsi" w:hAnsiTheme="majorHAnsi"/>
          <w:color w:val="auto"/>
          <w:sz w:val="16"/>
          <w:szCs w:val="16"/>
          <w:lang w:val="es-ES"/>
        </w:rPr>
        <w:t>9</w:t>
      </w:r>
      <w:r w:rsidRPr="00FD0AD9">
        <w:rPr>
          <w:rFonts w:asciiTheme="majorHAnsi" w:hAnsiTheme="majorHAnsi"/>
          <w:color w:val="auto"/>
          <w:sz w:val="16"/>
          <w:szCs w:val="16"/>
          <w:lang w:val="es-ES"/>
        </w:rPr>
        <w:t>.</w:t>
      </w:r>
    </w:p>
  </w:footnote>
  <w:footnote w:id="6">
    <w:p w14:paraId="64F16A1D" w14:textId="77777777" w:rsidR="007B69B1" w:rsidRPr="00110F02" w:rsidRDefault="007B69B1" w:rsidP="00110F02">
      <w:pPr>
        <w:pStyle w:val="FootnoteText"/>
        <w:jc w:val="both"/>
        <w:rPr>
          <w:rFonts w:asciiTheme="majorHAnsi" w:hAnsiTheme="majorHAnsi"/>
          <w:sz w:val="16"/>
          <w:szCs w:val="16"/>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Pr>
          <w:rFonts w:asciiTheme="majorHAnsi" w:hAnsiTheme="majorHAnsi"/>
          <w:color w:val="auto"/>
          <w:sz w:val="16"/>
          <w:szCs w:val="16"/>
          <w:lang w:val="es-ES"/>
        </w:rPr>
        <w:t>CIDH. Informe No.</w:t>
      </w:r>
      <w:r w:rsidRPr="00FD0AD9">
        <w:rPr>
          <w:rFonts w:asciiTheme="majorHAnsi" w:hAnsiTheme="majorHAnsi"/>
          <w:color w:val="auto"/>
          <w:sz w:val="16"/>
          <w:szCs w:val="16"/>
          <w:lang w:val="es-ES"/>
        </w:rPr>
        <w:t xml:space="preserve"> 54/14, </w:t>
      </w:r>
      <w:r>
        <w:rPr>
          <w:rFonts w:asciiTheme="majorHAnsi" w:hAnsiTheme="majorHAnsi"/>
          <w:color w:val="auto"/>
          <w:sz w:val="16"/>
          <w:szCs w:val="16"/>
          <w:lang w:val="es-ES"/>
        </w:rPr>
        <w:t>Petición</w:t>
      </w:r>
      <w:r w:rsidRPr="00FD0AD9">
        <w:rPr>
          <w:rFonts w:asciiTheme="majorHAnsi" w:hAnsiTheme="majorHAnsi"/>
          <w:color w:val="auto"/>
          <w:sz w:val="16"/>
          <w:szCs w:val="16"/>
          <w:lang w:val="es-ES"/>
        </w:rPr>
        <w:t xml:space="preserve"> 684-14. </w:t>
      </w:r>
      <w:r>
        <w:rPr>
          <w:rFonts w:asciiTheme="majorHAnsi" w:hAnsiTheme="majorHAnsi"/>
          <w:color w:val="auto"/>
          <w:sz w:val="16"/>
          <w:szCs w:val="16"/>
          <w:lang w:val="es-ES"/>
        </w:rPr>
        <w:t>Admisibilidad</w:t>
      </w:r>
      <w:r w:rsidRPr="00FD0AD9">
        <w:rPr>
          <w:rFonts w:asciiTheme="majorHAnsi" w:hAnsiTheme="majorHAnsi"/>
          <w:color w:val="auto"/>
          <w:sz w:val="16"/>
          <w:szCs w:val="16"/>
          <w:lang w:val="es-ES"/>
        </w:rPr>
        <w:t xml:space="preserve">. </w:t>
      </w:r>
      <w:r w:rsidRPr="0072774E">
        <w:rPr>
          <w:rFonts w:asciiTheme="majorHAnsi" w:hAnsiTheme="majorHAnsi"/>
          <w:color w:val="auto"/>
          <w:sz w:val="16"/>
          <w:szCs w:val="16"/>
          <w:lang w:val="es-US"/>
        </w:rPr>
        <w:t xml:space="preserve">Russel Bucklew y Charles Warner. </w:t>
      </w:r>
      <w:r w:rsidRPr="00DD5969">
        <w:rPr>
          <w:rFonts w:asciiTheme="majorHAnsi" w:hAnsiTheme="majorHAnsi"/>
          <w:color w:val="auto"/>
          <w:sz w:val="16"/>
          <w:szCs w:val="16"/>
          <w:lang w:val="es-US"/>
        </w:rPr>
        <w:t xml:space="preserve">Estados Unidos. </w:t>
      </w:r>
      <w:r w:rsidRPr="00110F02">
        <w:rPr>
          <w:rFonts w:asciiTheme="majorHAnsi" w:hAnsiTheme="majorHAnsi"/>
          <w:color w:val="auto"/>
          <w:sz w:val="16"/>
          <w:szCs w:val="16"/>
        </w:rPr>
        <w:t>21 de julio de 2014, párr. 28.</w:t>
      </w:r>
    </w:p>
  </w:footnote>
  <w:footnote w:id="7">
    <w:p w14:paraId="1C80BC78"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110F02">
        <w:rPr>
          <w:rStyle w:val="FootnoteReference"/>
          <w:rFonts w:asciiTheme="majorHAnsi" w:hAnsiTheme="majorHAnsi"/>
          <w:color w:val="auto"/>
          <w:sz w:val="16"/>
          <w:szCs w:val="16"/>
        </w:rPr>
        <w:t xml:space="preserve"> </w:t>
      </w:r>
      <w:r w:rsidRPr="001255E8">
        <w:rPr>
          <w:rFonts w:asciiTheme="majorHAnsi" w:hAnsiTheme="majorHAnsi"/>
          <w:color w:val="auto"/>
          <w:sz w:val="16"/>
          <w:szCs w:val="16"/>
        </w:rPr>
        <w:t xml:space="preserve">United States Department of Justice. </w:t>
      </w:r>
      <w:r w:rsidRPr="00110F02">
        <w:rPr>
          <w:rFonts w:asciiTheme="majorHAnsi" w:hAnsiTheme="majorHAnsi"/>
          <w:i/>
          <w:color w:val="auto"/>
          <w:sz w:val="16"/>
          <w:szCs w:val="16"/>
        </w:rPr>
        <w:t>The Federal Death Penalty System: a statistical survey (1988-2000)</w:t>
      </w:r>
      <w:r w:rsidRPr="00110F02">
        <w:rPr>
          <w:rFonts w:asciiTheme="majorHAnsi" w:hAnsiTheme="majorHAnsi"/>
          <w:color w:val="auto"/>
          <w:sz w:val="16"/>
          <w:szCs w:val="16"/>
        </w:rPr>
        <w:t xml:space="preserve">. </w:t>
      </w:r>
      <w:r w:rsidRPr="00FD0AD9">
        <w:rPr>
          <w:rFonts w:asciiTheme="majorHAnsi" w:hAnsiTheme="majorHAnsi"/>
          <w:color w:val="auto"/>
          <w:sz w:val="16"/>
          <w:szCs w:val="16"/>
          <w:lang w:val="es-ES"/>
        </w:rPr>
        <w:t>Washington, D.C.</w:t>
      </w:r>
      <w:r>
        <w:rPr>
          <w:rFonts w:asciiTheme="majorHAnsi" w:hAnsiTheme="majorHAnsi"/>
          <w:color w:val="auto"/>
          <w:sz w:val="16"/>
          <w:szCs w:val="16"/>
          <w:lang w:val="es-ES"/>
        </w:rPr>
        <w:t xml:space="preserve">, 12 de septiembre de </w:t>
      </w:r>
      <w:r w:rsidRPr="00FD0AD9">
        <w:rPr>
          <w:rFonts w:asciiTheme="majorHAnsi" w:hAnsiTheme="majorHAnsi"/>
          <w:color w:val="auto"/>
          <w:sz w:val="16"/>
          <w:szCs w:val="16"/>
          <w:lang w:val="es-ES"/>
        </w:rPr>
        <w:t xml:space="preserve">2000. </w:t>
      </w:r>
    </w:p>
  </w:footnote>
  <w:footnote w:id="8">
    <w:p w14:paraId="11CB0A95"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FD0AD9">
        <w:rPr>
          <w:rFonts w:asciiTheme="majorHAnsi" w:hAnsiTheme="majorHAnsi"/>
          <w:sz w:val="16"/>
          <w:szCs w:val="16"/>
          <w:lang w:val="es-ES"/>
        </w:rPr>
        <w:t xml:space="preserve">Declaración </w:t>
      </w:r>
      <w:r>
        <w:rPr>
          <w:rFonts w:asciiTheme="majorHAnsi" w:hAnsiTheme="majorHAnsi"/>
          <w:sz w:val="16"/>
          <w:szCs w:val="16"/>
          <w:lang w:val="es-ES"/>
        </w:rPr>
        <w:t>de</w:t>
      </w:r>
      <w:r w:rsidRPr="00FD0AD9">
        <w:rPr>
          <w:rFonts w:asciiTheme="majorHAnsi" w:hAnsiTheme="majorHAnsi"/>
          <w:sz w:val="16"/>
          <w:szCs w:val="16"/>
          <w:lang w:val="es-ES"/>
        </w:rPr>
        <w:t xml:space="preserve"> Scott Phillips</w:t>
      </w:r>
      <w:r>
        <w:rPr>
          <w:rFonts w:asciiTheme="majorHAnsi" w:hAnsiTheme="majorHAnsi"/>
          <w:sz w:val="16"/>
          <w:szCs w:val="16"/>
          <w:lang w:val="es-ES"/>
        </w:rPr>
        <w:t xml:space="preserve">, Presidente del </w:t>
      </w:r>
      <w:r w:rsidRPr="00FD0AD9">
        <w:rPr>
          <w:rFonts w:asciiTheme="majorHAnsi" w:hAnsiTheme="majorHAnsi"/>
          <w:sz w:val="16"/>
          <w:szCs w:val="16"/>
          <w:lang w:val="es-ES"/>
        </w:rPr>
        <w:t>Depart</w:t>
      </w:r>
      <w:r>
        <w:rPr>
          <w:rFonts w:asciiTheme="majorHAnsi" w:hAnsiTheme="majorHAnsi"/>
          <w:sz w:val="16"/>
          <w:szCs w:val="16"/>
          <w:lang w:val="es-ES"/>
        </w:rPr>
        <w:t>a</w:t>
      </w:r>
      <w:r w:rsidRPr="00FD0AD9">
        <w:rPr>
          <w:rFonts w:asciiTheme="majorHAnsi" w:hAnsiTheme="majorHAnsi"/>
          <w:sz w:val="16"/>
          <w:szCs w:val="16"/>
          <w:lang w:val="es-ES"/>
        </w:rPr>
        <w:t>ment</w:t>
      </w:r>
      <w:r>
        <w:rPr>
          <w:rFonts w:asciiTheme="majorHAnsi" w:hAnsiTheme="majorHAnsi"/>
          <w:sz w:val="16"/>
          <w:szCs w:val="16"/>
          <w:lang w:val="es-ES"/>
        </w:rPr>
        <w:t>o</w:t>
      </w:r>
      <w:r w:rsidRPr="00FD0AD9">
        <w:rPr>
          <w:rFonts w:asciiTheme="majorHAnsi" w:hAnsiTheme="majorHAnsi"/>
          <w:sz w:val="16"/>
          <w:szCs w:val="16"/>
          <w:lang w:val="es-ES"/>
        </w:rPr>
        <w:t xml:space="preserve"> </w:t>
      </w:r>
      <w:r>
        <w:rPr>
          <w:rFonts w:asciiTheme="majorHAnsi" w:hAnsiTheme="majorHAnsi"/>
          <w:sz w:val="16"/>
          <w:szCs w:val="16"/>
          <w:lang w:val="es-ES"/>
        </w:rPr>
        <w:t>de</w:t>
      </w:r>
      <w:r w:rsidRPr="00FD0AD9">
        <w:rPr>
          <w:rFonts w:asciiTheme="majorHAnsi" w:hAnsiTheme="majorHAnsi"/>
          <w:sz w:val="16"/>
          <w:szCs w:val="16"/>
          <w:lang w:val="es-ES"/>
        </w:rPr>
        <w:t xml:space="preserve"> Sociolog</w:t>
      </w:r>
      <w:r>
        <w:rPr>
          <w:rFonts w:asciiTheme="majorHAnsi" w:hAnsiTheme="majorHAnsi"/>
          <w:sz w:val="16"/>
          <w:szCs w:val="16"/>
          <w:lang w:val="es-ES"/>
        </w:rPr>
        <w:t xml:space="preserve">ía y </w:t>
      </w:r>
      <w:r w:rsidRPr="00FD0AD9">
        <w:rPr>
          <w:rFonts w:asciiTheme="majorHAnsi" w:hAnsiTheme="majorHAnsi"/>
          <w:sz w:val="16"/>
          <w:szCs w:val="16"/>
          <w:lang w:val="es-ES"/>
        </w:rPr>
        <w:t>Criminolog</w:t>
      </w:r>
      <w:r>
        <w:rPr>
          <w:rFonts w:asciiTheme="majorHAnsi" w:hAnsiTheme="majorHAnsi"/>
          <w:sz w:val="16"/>
          <w:szCs w:val="16"/>
          <w:lang w:val="es-ES"/>
        </w:rPr>
        <w:t xml:space="preserve">ía y </w:t>
      </w:r>
      <w:r w:rsidRPr="00FD0AD9">
        <w:rPr>
          <w:rFonts w:asciiTheme="majorHAnsi" w:hAnsiTheme="majorHAnsi"/>
          <w:sz w:val="16"/>
          <w:szCs w:val="16"/>
          <w:lang w:val="es-ES"/>
        </w:rPr>
        <w:t xml:space="preserve">Director </w:t>
      </w:r>
      <w:r>
        <w:rPr>
          <w:rFonts w:asciiTheme="majorHAnsi" w:hAnsiTheme="majorHAnsi"/>
          <w:sz w:val="16"/>
          <w:szCs w:val="16"/>
          <w:lang w:val="es-ES"/>
        </w:rPr>
        <w:t xml:space="preserve">de Estudios </w:t>
      </w:r>
      <w:r w:rsidRPr="00FD0AD9">
        <w:rPr>
          <w:rFonts w:asciiTheme="majorHAnsi" w:hAnsiTheme="majorHAnsi"/>
          <w:sz w:val="16"/>
          <w:szCs w:val="16"/>
          <w:lang w:val="es-ES"/>
        </w:rPr>
        <w:t>Socio</w:t>
      </w:r>
      <w:r>
        <w:rPr>
          <w:rFonts w:asciiTheme="majorHAnsi" w:hAnsiTheme="majorHAnsi"/>
          <w:sz w:val="16"/>
          <w:szCs w:val="16"/>
          <w:lang w:val="es-ES"/>
        </w:rPr>
        <w:t xml:space="preserve">jurídicos de la Universidad de </w:t>
      </w:r>
      <w:r w:rsidRPr="00FD0AD9">
        <w:rPr>
          <w:rFonts w:asciiTheme="majorHAnsi" w:hAnsiTheme="majorHAnsi"/>
          <w:sz w:val="16"/>
          <w:szCs w:val="16"/>
          <w:lang w:val="es-ES"/>
        </w:rPr>
        <w:t>Denver (29</w:t>
      </w:r>
      <w:r>
        <w:rPr>
          <w:rFonts w:asciiTheme="majorHAnsi" w:hAnsiTheme="majorHAnsi"/>
          <w:sz w:val="16"/>
          <w:szCs w:val="16"/>
          <w:lang w:val="es-ES"/>
        </w:rPr>
        <w:t xml:space="preserve"> de marzo de</w:t>
      </w:r>
      <w:r w:rsidRPr="00FD0AD9">
        <w:rPr>
          <w:rFonts w:asciiTheme="majorHAnsi" w:hAnsiTheme="majorHAnsi"/>
          <w:sz w:val="16"/>
          <w:szCs w:val="16"/>
          <w:lang w:val="es-ES"/>
        </w:rPr>
        <w:t xml:space="preserve"> 2011). </w:t>
      </w:r>
      <w:r>
        <w:rPr>
          <w:rFonts w:asciiTheme="majorHAnsi" w:hAnsiTheme="majorHAnsi"/>
          <w:sz w:val="16"/>
          <w:szCs w:val="16"/>
          <w:lang w:val="es-ES"/>
        </w:rPr>
        <w:t>Anexo</w:t>
      </w:r>
      <w:r w:rsidRPr="00FD0AD9">
        <w:rPr>
          <w:rFonts w:asciiTheme="majorHAnsi" w:hAnsiTheme="majorHAnsi"/>
          <w:sz w:val="16"/>
          <w:szCs w:val="16"/>
          <w:lang w:val="es-ES"/>
        </w:rPr>
        <w:t xml:space="preserve"> A,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9">
    <w:p w14:paraId="3561B871" w14:textId="77777777" w:rsidR="007B69B1" w:rsidRPr="00110F02" w:rsidRDefault="007B69B1" w:rsidP="00110F02">
      <w:pPr>
        <w:pStyle w:val="FootnoteText"/>
      </w:pPr>
      <w:r w:rsidRPr="00FD0AD9">
        <w:rPr>
          <w:rStyle w:val="FootnoteReference"/>
          <w:rFonts w:asciiTheme="majorHAnsi" w:hAnsiTheme="majorHAnsi"/>
          <w:sz w:val="16"/>
          <w:szCs w:val="16"/>
          <w:lang w:val="es-ES"/>
        </w:rPr>
        <w:footnoteRef/>
      </w:r>
      <w:r w:rsidRPr="00110F02">
        <w:rPr>
          <w:rStyle w:val="FootnoteReference"/>
          <w:rFonts w:asciiTheme="majorHAnsi" w:hAnsiTheme="majorHAnsi"/>
          <w:sz w:val="16"/>
          <w:szCs w:val="16"/>
        </w:rPr>
        <w:t xml:space="preserve"> </w:t>
      </w:r>
      <w:r w:rsidRPr="00110F02">
        <w:rPr>
          <w:rFonts w:asciiTheme="majorHAnsi" w:hAnsiTheme="majorHAnsi"/>
          <w:sz w:val="16"/>
          <w:szCs w:val="16"/>
        </w:rPr>
        <w:t>Black’s Law Dictionary, 9.</w:t>
      </w:r>
      <w:r w:rsidRPr="00110F02">
        <w:rPr>
          <w:rFonts w:asciiTheme="majorHAnsi" w:hAnsiTheme="majorHAnsi"/>
          <w:sz w:val="16"/>
          <w:szCs w:val="16"/>
          <w:vertAlign w:val="superscript"/>
        </w:rPr>
        <w:t>a</w:t>
      </w:r>
      <w:r w:rsidRPr="00110F02">
        <w:rPr>
          <w:rFonts w:asciiTheme="majorHAnsi" w:hAnsiTheme="majorHAnsi"/>
          <w:sz w:val="16"/>
          <w:szCs w:val="16"/>
        </w:rPr>
        <w:t xml:space="preserve"> edición, págs. 261 y 262.</w:t>
      </w:r>
    </w:p>
  </w:footnote>
  <w:footnote w:id="10">
    <w:p w14:paraId="00ED9761"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110F02">
        <w:rPr>
          <w:rStyle w:val="FootnoteReference"/>
          <w:rFonts w:asciiTheme="majorHAnsi" w:hAnsiTheme="majorHAnsi"/>
          <w:sz w:val="16"/>
          <w:szCs w:val="16"/>
        </w:rPr>
        <w:t xml:space="preserve"> </w:t>
      </w:r>
      <w:r w:rsidRPr="00110F02">
        <w:rPr>
          <w:rFonts w:asciiTheme="majorHAnsi" w:hAnsiTheme="majorHAnsi"/>
          <w:i/>
          <w:sz w:val="16"/>
          <w:szCs w:val="16"/>
        </w:rPr>
        <w:t>Robinson v. United States</w:t>
      </w:r>
      <w:r w:rsidRPr="00110F02">
        <w:rPr>
          <w:rFonts w:asciiTheme="majorHAnsi" w:hAnsiTheme="majorHAnsi"/>
          <w:sz w:val="16"/>
          <w:szCs w:val="16"/>
        </w:rPr>
        <w:t xml:space="preserve">, 2008 WL 4906272 (N.D. Tex Nov. 7, 2008).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11">
    <w:p w14:paraId="35D50CED"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United States v. Robinson</w:t>
      </w:r>
      <w:r w:rsidRPr="00FD0AD9">
        <w:rPr>
          <w:rFonts w:asciiTheme="majorHAnsi" w:hAnsiTheme="majorHAnsi"/>
          <w:sz w:val="16"/>
          <w:szCs w:val="16"/>
          <w:lang w:val="es-ES"/>
        </w:rPr>
        <w:t xml:space="preserve">, </w:t>
      </w:r>
      <w:r>
        <w:rPr>
          <w:rFonts w:asciiTheme="majorHAnsi" w:hAnsiTheme="majorHAnsi"/>
          <w:sz w:val="16"/>
          <w:szCs w:val="16"/>
          <w:lang w:val="es-ES"/>
        </w:rPr>
        <w:t>Pedimento de sobreseimiento</w:t>
      </w:r>
      <w:r w:rsidRPr="00FD0AD9">
        <w:rPr>
          <w:rFonts w:asciiTheme="majorHAnsi" w:hAnsiTheme="majorHAnsi"/>
          <w:sz w:val="16"/>
          <w:szCs w:val="16"/>
          <w:lang w:val="es-ES"/>
        </w:rPr>
        <w:t xml:space="preserve"> (</w:t>
      </w:r>
      <w:r>
        <w:rPr>
          <w:rFonts w:asciiTheme="majorHAnsi" w:hAnsiTheme="majorHAnsi"/>
          <w:sz w:val="16"/>
          <w:szCs w:val="16"/>
          <w:lang w:val="es-ES"/>
        </w:rPr>
        <w:t>21 de diciembre de 2001</w:t>
      </w:r>
      <w:r w:rsidRPr="00FD0AD9">
        <w:rPr>
          <w:rFonts w:asciiTheme="majorHAnsi" w:hAnsiTheme="majorHAnsi"/>
          <w:sz w:val="16"/>
          <w:szCs w:val="16"/>
          <w:lang w:val="es-ES"/>
        </w:rPr>
        <w:t xml:space="preserve">). </w:t>
      </w:r>
      <w:r>
        <w:rPr>
          <w:rFonts w:asciiTheme="majorHAnsi" w:hAnsiTheme="majorHAnsi"/>
          <w:sz w:val="16"/>
          <w:szCs w:val="16"/>
          <w:lang w:val="es-ES"/>
        </w:rPr>
        <w:t>Anexo</w:t>
      </w:r>
      <w:r w:rsidRPr="00FD0AD9">
        <w:rPr>
          <w:rFonts w:asciiTheme="majorHAnsi" w:hAnsiTheme="majorHAnsi"/>
          <w:sz w:val="16"/>
          <w:szCs w:val="16"/>
          <w:lang w:val="es-ES"/>
        </w:rPr>
        <w:t xml:space="preserve"> F,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12">
    <w:p w14:paraId="495DABC7"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United States v. Robinson</w:t>
      </w:r>
      <w:r w:rsidRPr="00FD0AD9">
        <w:rPr>
          <w:rFonts w:asciiTheme="majorHAnsi" w:hAnsiTheme="majorHAnsi"/>
          <w:sz w:val="16"/>
          <w:szCs w:val="16"/>
          <w:lang w:val="es-ES"/>
        </w:rPr>
        <w:t xml:space="preserve">, </w:t>
      </w:r>
      <w:r>
        <w:rPr>
          <w:rFonts w:asciiTheme="majorHAnsi" w:hAnsiTheme="majorHAnsi"/>
          <w:sz w:val="16"/>
          <w:szCs w:val="16"/>
          <w:lang w:val="es-ES"/>
        </w:rPr>
        <w:t>Pedimento de sobreseimiento</w:t>
      </w:r>
      <w:r w:rsidRPr="00FD0AD9">
        <w:rPr>
          <w:rFonts w:asciiTheme="majorHAnsi" w:hAnsiTheme="majorHAnsi"/>
          <w:sz w:val="16"/>
          <w:szCs w:val="16"/>
          <w:lang w:val="es-ES"/>
        </w:rPr>
        <w:t xml:space="preserve"> (</w:t>
      </w:r>
      <w:r>
        <w:rPr>
          <w:rFonts w:asciiTheme="majorHAnsi" w:hAnsiTheme="majorHAnsi"/>
          <w:sz w:val="16"/>
          <w:szCs w:val="16"/>
          <w:lang w:val="es-ES"/>
        </w:rPr>
        <w:t>21 de diciembre de 2001</w:t>
      </w:r>
      <w:r w:rsidRPr="00FD0AD9">
        <w:rPr>
          <w:rFonts w:asciiTheme="majorHAnsi" w:hAnsiTheme="majorHAnsi"/>
          <w:sz w:val="16"/>
          <w:szCs w:val="16"/>
          <w:lang w:val="es-ES"/>
        </w:rPr>
        <w:t xml:space="preserve">). </w:t>
      </w:r>
      <w:r>
        <w:rPr>
          <w:rFonts w:asciiTheme="majorHAnsi" w:hAnsiTheme="majorHAnsi"/>
          <w:sz w:val="16"/>
          <w:szCs w:val="16"/>
          <w:lang w:val="es-ES"/>
        </w:rPr>
        <w:t>Anexo</w:t>
      </w:r>
      <w:r w:rsidRPr="00FD0AD9">
        <w:rPr>
          <w:rFonts w:asciiTheme="majorHAnsi" w:hAnsiTheme="majorHAnsi"/>
          <w:sz w:val="16"/>
          <w:szCs w:val="16"/>
          <w:lang w:val="es-ES"/>
        </w:rPr>
        <w:t xml:space="preserve"> F,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 p. 3.</w:t>
      </w:r>
    </w:p>
  </w:footnote>
  <w:footnote w:id="13">
    <w:p w14:paraId="2993C1C5"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United States v. Robinson</w:t>
      </w:r>
      <w:r w:rsidRPr="00FD0AD9">
        <w:rPr>
          <w:rFonts w:asciiTheme="majorHAnsi" w:hAnsiTheme="majorHAnsi"/>
          <w:sz w:val="16"/>
          <w:szCs w:val="16"/>
          <w:lang w:val="es-ES"/>
        </w:rPr>
        <w:t xml:space="preserve">, </w:t>
      </w:r>
      <w:r>
        <w:rPr>
          <w:rFonts w:asciiTheme="majorHAnsi" w:hAnsiTheme="majorHAnsi"/>
          <w:sz w:val="16"/>
          <w:szCs w:val="16"/>
          <w:lang w:val="es-ES"/>
        </w:rPr>
        <w:t>Pedimento de sobreseimiento</w:t>
      </w:r>
      <w:r w:rsidRPr="00FD0AD9">
        <w:rPr>
          <w:rFonts w:asciiTheme="majorHAnsi" w:hAnsiTheme="majorHAnsi"/>
          <w:sz w:val="16"/>
          <w:szCs w:val="16"/>
          <w:lang w:val="es-ES"/>
        </w:rPr>
        <w:t xml:space="preserve"> (</w:t>
      </w:r>
      <w:r>
        <w:rPr>
          <w:rFonts w:asciiTheme="majorHAnsi" w:hAnsiTheme="majorHAnsi"/>
          <w:sz w:val="16"/>
          <w:szCs w:val="16"/>
          <w:lang w:val="es-ES"/>
        </w:rPr>
        <w:t>21 de diciembre de 2001</w:t>
      </w:r>
      <w:r w:rsidRPr="00FD0AD9">
        <w:rPr>
          <w:rFonts w:asciiTheme="majorHAnsi" w:hAnsiTheme="majorHAnsi"/>
          <w:sz w:val="16"/>
          <w:szCs w:val="16"/>
          <w:lang w:val="es-ES"/>
        </w:rPr>
        <w:t xml:space="preserve">). </w:t>
      </w:r>
      <w:r>
        <w:rPr>
          <w:rFonts w:asciiTheme="majorHAnsi" w:hAnsiTheme="majorHAnsi"/>
          <w:sz w:val="16"/>
          <w:szCs w:val="16"/>
          <w:lang w:val="es-ES"/>
        </w:rPr>
        <w:t>Anexo</w:t>
      </w:r>
      <w:r w:rsidRPr="00FD0AD9">
        <w:rPr>
          <w:rFonts w:asciiTheme="majorHAnsi" w:hAnsiTheme="majorHAnsi"/>
          <w:sz w:val="16"/>
          <w:szCs w:val="16"/>
          <w:lang w:val="es-ES"/>
        </w:rPr>
        <w:t xml:space="preserve"> F,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14">
    <w:p w14:paraId="247D5931" w14:textId="77777777" w:rsidR="007B69B1" w:rsidRPr="00FD0AD9" w:rsidRDefault="007B69B1" w:rsidP="00110F02">
      <w:pPr>
        <w:pStyle w:val="FootnoteText"/>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Pr>
          <w:rFonts w:asciiTheme="majorHAnsi" w:hAnsiTheme="majorHAnsi"/>
          <w:sz w:val="16"/>
          <w:szCs w:val="16"/>
          <w:lang w:val="es-ES"/>
        </w:rPr>
        <w:t>Petición original del peticionario presentada el 3 de abril de 2012</w:t>
      </w:r>
      <w:r w:rsidRPr="00FD0AD9">
        <w:rPr>
          <w:rFonts w:asciiTheme="majorHAnsi" w:hAnsiTheme="majorHAnsi"/>
          <w:sz w:val="16"/>
          <w:szCs w:val="16"/>
          <w:lang w:val="es-ES"/>
        </w:rPr>
        <w:t>, p</w:t>
      </w:r>
      <w:r>
        <w:rPr>
          <w:rFonts w:asciiTheme="majorHAnsi" w:hAnsiTheme="majorHAnsi"/>
          <w:sz w:val="16"/>
          <w:szCs w:val="16"/>
          <w:lang w:val="es-ES"/>
        </w:rPr>
        <w:t>ágs</w:t>
      </w:r>
      <w:r w:rsidRPr="00FD0AD9">
        <w:rPr>
          <w:rFonts w:asciiTheme="majorHAnsi" w:hAnsiTheme="majorHAnsi"/>
          <w:sz w:val="16"/>
          <w:szCs w:val="16"/>
          <w:lang w:val="es-ES"/>
        </w:rPr>
        <w:t>. 11</w:t>
      </w:r>
      <w:r>
        <w:rPr>
          <w:rFonts w:asciiTheme="majorHAnsi" w:hAnsiTheme="majorHAnsi"/>
          <w:sz w:val="16"/>
          <w:szCs w:val="16"/>
          <w:lang w:val="es-ES"/>
        </w:rPr>
        <w:t xml:space="preserve"> y </w:t>
      </w:r>
      <w:r w:rsidRPr="00FD0AD9">
        <w:rPr>
          <w:rFonts w:asciiTheme="majorHAnsi" w:hAnsiTheme="majorHAnsi"/>
          <w:sz w:val="16"/>
          <w:szCs w:val="16"/>
          <w:lang w:val="es-ES"/>
        </w:rPr>
        <w:t>12.</w:t>
      </w:r>
    </w:p>
  </w:footnote>
  <w:footnote w:id="15">
    <w:p w14:paraId="77D3703C"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Robinson v. United States</w:t>
      </w:r>
      <w:r w:rsidRPr="00FD0AD9">
        <w:rPr>
          <w:rFonts w:asciiTheme="majorHAnsi" w:hAnsiTheme="majorHAnsi"/>
          <w:sz w:val="16"/>
          <w:szCs w:val="16"/>
          <w:lang w:val="es-ES"/>
        </w:rPr>
        <w:t>, Civil No 4:05-CV-756-Y, Crim. No. 4:00-CR-260-Y-2,2008 WL 4906272 (N.D. Tex. Nov. 7, 2008), pp. 7</w:t>
      </w:r>
      <w:r>
        <w:rPr>
          <w:rFonts w:asciiTheme="majorHAnsi" w:hAnsiTheme="majorHAnsi"/>
          <w:sz w:val="16"/>
          <w:szCs w:val="16"/>
          <w:lang w:val="es-ES"/>
        </w:rPr>
        <w:t xml:space="preserve"> a </w:t>
      </w:r>
      <w:r w:rsidRPr="00FD0AD9">
        <w:rPr>
          <w:rFonts w:asciiTheme="majorHAnsi" w:hAnsiTheme="majorHAnsi"/>
          <w:sz w:val="16"/>
          <w:szCs w:val="16"/>
          <w:lang w:val="es-ES"/>
        </w:rPr>
        <w:t xml:space="preserve">10.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16">
    <w:p w14:paraId="058599EC"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Robinson v. United States</w:t>
      </w:r>
      <w:r w:rsidRPr="00FD0AD9">
        <w:rPr>
          <w:rFonts w:asciiTheme="majorHAnsi" w:hAnsiTheme="majorHAnsi"/>
          <w:sz w:val="16"/>
          <w:szCs w:val="16"/>
          <w:lang w:val="es-ES"/>
        </w:rPr>
        <w:t xml:space="preserve">, Civil No 4:05-CV-756-Y, Crim. No. 4:00-CR-260-Y-2,2008 WL 4906272 (N.D. Tex. Nov. 7, 2008), p. 5.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17">
    <w:p w14:paraId="716EAA67" w14:textId="77777777" w:rsidR="007B69B1" w:rsidRPr="00AA4696" w:rsidRDefault="007B69B1" w:rsidP="00110F02">
      <w:pPr>
        <w:pStyle w:val="FootnoteText"/>
      </w:pPr>
      <w:r w:rsidRPr="00FD0AD9">
        <w:rPr>
          <w:rStyle w:val="FootnoteReference"/>
          <w:rFonts w:asciiTheme="majorHAnsi" w:hAnsiTheme="majorHAnsi"/>
          <w:sz w:val="16"/>
          <w:szCs w:val="16"/>
          <w:lang w:val="es-ES"/>
        </w:rPr>
        <w:footnoteRef/>
      </w:r>
      <w:r w:rsidRPr="00AA4696">
        <w:rPr>
          <w:rStyle w:val="FootnoteReference"/>
          <w:rFonts w:asciiTheme="majorHAnsi" w:hAnsiTheme="majorHAnsi"/>
          <w:sz w:val="16"/>
          <w:szCs w:val="16"/>
        </w:rPr>
        <w:t xml:space="preserve"> </w:t>
      </w:r>
      <w:r w:rsidRPr="00AA4696">
        <w:rPr>
          <w:rFonts w:asciiTheme="majorHAnsi" w:hAnsiTheme="majorHAnsi"/>
          <w:i/>
          <w:sz w:val="16"/>
          <w:szCs w:val="16"/>
        </w:rPr>
        <w:t>United States v. Robinson</w:t>
      </w:r>
      <w:r w:rsidRPr="00AA4696">
        <w:rPr>
          <w:rFonts w:asciiTheme="majorHAnsi" w:hAnsiTheme="majorHAnsi"/>
          <w:sz w:val="16"/>
          <w:szCs w:val="16"/>
        </w:rPr>
        <w:t>, No. 4:00-CR-260-Y-2 (N.D. Tx. June 5, 2002).</w:t>
      </w:r>
    </w:p>
  </w:footnote>
  <w:footnote w:id="18">
    <w:p w14:paraId="3D8C300C" w14:textId="77777777" w:rsidR="007B69B1" w:rsidRPr="00FD0AD9" w:rsidRDefault="007B69B1" w:rsidP="00110F02">
      <w:pPr>
        <w:pStyle w:val="FootnoteText"/>
        <w:rPr>
          <w:lang w:val="es-ES"/>
        </w:rPr>
      </w:pPr>
      <w:r w:rsidRPr="00FD0AD9">
        <w:rPr>
          <w:rStyle w:val="FootnoteReference"/>
          <w:rFonts w:asciiTheme="majorHAnsi" w:hAnsiTheme="majorHAnsi"/>
          <w:sz w:val="16"/>
          <w:szCs w:val="16"/>
          <w:lang w:val="es-ES"/>
        </w:rPr>
        <w:footnoteRef/>
      </w:r>
      <w:r w:rsidRPr="00110F02">
        <w:rPr>
          <w:rStyle w:val="FootnoteReference"/>
          <w:rFonts w:asciiTheme="majorHAnsi" w:hAnsiTheme="majorHAnsi"/>
          <w:sz w:val="16"/>
          <w:szCs w:val="16"/>
        </w:rPr>
        <w:t xml:space="preserve"> </w:t>
      </w:r>
      <w:r w:rsidRPr="00110F02">
        <w:rPr>
          <w:rFonts w:asciiTheme="majorHAnsi" w:hAnsiTheme="majorHAnsi"/>
          <w:i/>
          <w:sz w:val="16"/>
          <w:szCs w:val="16"/>
        </w:rPr>
        <w:t>United States v. Robinson</w:t>
      </w:r>
      <w:r w:rsidRPr="00110F02">
        <w:rPr>
          <w:rFonts w:asciiTheme="majorHAnsi" w:hAnsiTheme="majorHAnsi"/>
          <w:sz w:val="16"/>
          <w:szCs w:val="16"/>
        </w:rPr>
        <w:t xml:space="preserve">, 367 F.3d 278 (2004). </w:t>
      </w:r>
      <w:r>
        <w:rPr>
          <w:rFonts w:asciiTheme="majorHAnsi" w:hAnsiTheme="majorHAnsi"/>
          <w:sz w:val="16"/>
          <w:szCs w:val="16"/>
          <w:lang w:val="es-ES"/>
        </w:rPr>
        <w:t>Anexo</w:t>
      </w:r>
      <w:r w:rsidRPr="00FD0AD9">
        <w:rPr>
          <w:rFonts w:asciiTheme="majorHAnsi" w:hAnsiTheme="majorHAnsi"/>
          <w:sz w:val="16"/>
          <w:szCs w:val="16"/>
          <w:lang w:val="es-ES"/>
        </w:rPr>
        <w:t xml:space="preserve"> 1, </w:t>
      </w:r>
      <w:r>
        <w:rPr>
          <w:rFonts w:asciiTheme="majorHAnsi" w:hAnsiTheme="majorHAnsi"/>
          <w:sz w:val="16"/>
          <w:szCs w:val="16"/>
          <w:lang w:val="es-ES"/>
        </w:rPr>
        <w:t>presentado con la respuesta del Estado el 8 de septiembre de 2016</w:t>
      </w:r>
      <w:r w:rsidRPr="00FD0AD9">
        <w:rPr>
          <w:rFonts w:asciiTheme="majorHAnsi" w:hAnsiTheme="majorHAnsi"/>
          <w:sz w:val="16"/>
          <w:szCs w:val="16"/>
          <w:lang w:val="es-ES"/>
        </w:rPr>
        <w:t>.</w:t>
      </w:r>
    </w:p>
  </w:footnote>
  <w:footnote w:id="19">
    <w:p w14:paraId="461C154D"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lang w:val="es-ES"/>
        </w:rPr>
        <w:t xml:space="preserve"> </w:t>
      </w:r>
      <w:r w:rsidRPr="00EF133B">
        <w:rPr>
          <w:rFonts w:asciiTheme="majorHAnsi" w:hAnsiTheme="majorHAnsi"/>
          <w:i/>
          <w:sz w:val="16"/>
          <w:szCs w:val="16"/>
          <w:lang w:val="es-ES"/>
        </w:rPr>
        <w:t>Robinson v. United States</w:t>
      </w:r>
      <w:r w:rsidRPr="00FD0AD9">
        <w:rPr>
          <w:rFonts w:asciiTheme="majorHAnsi" w:hAnsiTheme="majorHAnsi"/>
          <w:sz w:val="16"/>
          <w:szCs w:val="16"/>
          <w:lang w:val="es-ES"/>
        </w:rPr>
        <w:t xml:space="preserve">, Civil No 4:05-CV-756-Y, Crim. No. 4:00-CR-260-Y-2,2008 WL 4906272 (N.D. Tex. Nov. 7, 2008), p. 4.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20">
    <w:p w14:paraId="3E69F5C0" w14:textId="77777777" w:rsidR="007B69B1" w:rsidRPr="00110F02" w:rsidRDefault="007B69B1" w:rsidP="00110F02">
      <w:pPr>
        <w:pStyle w:val="FootnoteText"/>
      </w:pPr>
      <w:r w:rsidRPr="00FD0AD9">
        <w:rPr>
          <w:rStyle w:val="FootnoteReference"/>
          <w:rFonts w:asciiTheme="majorHAnsi" w:hAnsiTheme="majorHAnsi"/>
          <w:sz w:val="16"/>
          <w:szCs w:val="16"/>
          <w:lang w:val="es-ES"/>
        </w:rPr>
        <w:footnoteRef/>
      </w:r>
      <w:r w:rsidRPr="00110F02">
        <w:rPr>
          <w:rStyle w:val="FootnoteReference"/>
          <w:rFonts w:asciiTheme="majorHAnsi" w:hAnsiTheme="majorHAnsi"/>
          <w:sz w:val="16"/>
          <w:szCs w:val="16"/>
        </w:rPr>
        <w:t xml:space="preserve"> </w:t>
      </w:r>
      <w:r w:rsidRPr="00110F02">
        <w:rPr>
          <w:rFonts w:asciiTheme="majorHAnsi" w:hAnsiTheme="majorHAnsi"/>
          <w:i/>
          <w:sz w:val="16"/>
          <w:szCs w:val="16"/>
        </w:rPr>
        <w:t>Robinson v. United States</w:t>
      </w:r>
      <w:r w:rsidRPr="00110F02">
        <w:rPr>
          <w:rFonts w:asciiTheme="majorHAnsi" w:hAnsiTheme="majorHAnsi"/>
          <w:sz w:val="16"/>
          <w:szCs w:val="16"/>
        </w:rPr>
        <w:t xml:space="preserve">, 543 U.S. 1005 (2004). </w:t>
      </w:r>
    </w:p>
  </w:footnote>
  <w:footnote w:id="21">
    <w:p w14:paraId="0205AB3C"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Robinson v. United States</w:t>
      </w:r>
      <w:r w:rsidRPr="00FD0AD9">
        <w:rPr>
          <w:rFonts w:asciiTheme="majorHAnsi" w:hAnsiTheme="majorHAnsi"/>
          <w:sz w:val="16"/>
          <w:szCs w:val="16"/>
          <w:lang w:val="es-ES"/>
        </w:rPr>
        <w:t xml:space="preserve">, Civil No 4:05-CV-756-Y, Crim. No. 4:00-CR-260-Y-2,2008 WL 4906272 (N.D. Tex. Nov. 7, 2008).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22">
    <w:p w14:paraId="2E86C02A"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Robinson v. United States</w:t>
      </w:r>
      <w:r w:rsidRPr="00FD0AD9">
        <w:rPr>
          <w:rFonts w:asciiTheme="majorHAnsi" w:hAnsiTheme="majorHAnsi"/>
          <w:sz w:val="16"/>
          <w:szCs w:val="16"/>
          <w:lang w:val="es-ES"/>
        </w:rPr>
        <w:t xml:space="preserve">, Civil No 4:05-CV-756-Y, Crim. No. 4:00-CR-260-Y-2,2008 WL 4906272 (N.D. Tex. Nov. 7, 2008), pp. 17-21.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23">
    <w:p w14:paraId="0286DAEA"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Robinson v. United States</w:t>
      </w:r>
      <w:r w:rsidRPr="00FD0AD9">
        <w:rPr>
          <w:rFonts w:asciiTheme="majorHAnsi" w:hAnsiTheme="majorHAnsi"/>
          <w:sz w:val="16"/>
          <w:szCs w:val="16"/>
          <w:lang w:val="es-ES"/>
        </w:rPr>
        <w:t xml:space="preserve">, Civil No 4:05-CV-756-Y, Crim. No. 4:00-CR-260-Y-2,2008 WL 4906272 (N.D. Tex. Nov. 7, 2008), p. 26.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24">
    <w:p w14:paraId="0A88EA59"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Robinson v. United States</w:t>
      </w:r>
      <w:r w:rsidRPr="00FD0AD9">
        <w:rPr>
          <w:rFonts w:asciiTheme="majorHAnsi" w:hAnsiTheme="majorHAnsi"/>
          <w:sz w:val="16"/>
          <w:szCs w:val="16"/>
          <w:lang w:val="es-ES"/>
        </w:rPr>
        <w:t xml:space="preserve">, Civil No 4:05-CV-756-Y, Crim. No. 4:00-CR-260-Y-2,2008 WL 4906272 (N.D. Tex. Nov. 7, 2008), p. 31.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25">
    <w:p w14:paraId="419319AC"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Robinson v. United States</w:t>
      </w:r>
      <w:r w:rsidRPr="00FD0AD9">
        <w:rPr>
          <w:rFonts w:asciiTheme="majorHAnsi" w:hAnsiTheme="majorHAnsi"/>
          <w:sz w:val="16"/>
          <w:szCs w:val="16"/>
          <w:lang w:val="es-ES"/>
        </w:rPr>
        <w:t>, Civil No 4:05-CV-756-Y, Crim. No. 4:00-CR-260-Y-2,2008 WL 4906272 (N.D. Tex. Nov. 7, 2008), pp. 33</w:t>
      </w:r>
      <w:r>
        <w:rPr>
          <w:rFonts w:asciiTheme="majorHAnsi" w:hAnsiTheme="majorHAnsi"/>
          <w:sz w:val="16"/>
          <w:szCs w:val="16"/>
          <w:lang w:val="es-ES"/>
        </w:rPr>
        <w:t xml:space="preserve"> y </w:t>
      </w:r>
      <w:r w:rsidRPr="00FD0AD9">
        <w:rPr>
          <w:rFonts w:asciiTheme="majorHAnsi" w:hAnsiTheme="majorHAnsi"/>
          <w:sz w:val="16"/>
          <w:szCs w:val="16"/>
          <w:lang w:val="es-ES"/>
        </w:rPr>
        <w:t xml:space="preserve">34.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26">
    <w:p w14:paraId="434CB4F1"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Robinson v. United States</w:t>
      </w:r>
      <w:r w:rsidRPr="00FD0AD9">
        <w:rPr>
          <w:rFonts w:asciiTheme="majorHAnsi" w:hAnsiTheme="majorHAnsi"/>
          <w:sz w:val="16"/>
          <w:szCs w:val="16"/>
          <w:lang w:val="es-ES"/>
        </w:rPr>
        <w:t xml:space="preserve">, Civil No 4:05-CV-756-Y, Crim. No. 4:00-CR-260-Y-2,2008 WL 4906272 (N.D. Tex. Nov. 7, 2008), p. 36.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 xml:space="preserve">. </w:t>
      </w:r>
    </w:p>
  </w:footnote>
  <w:footnote w:id="27">
    <w:p w14:paraId="70C64775"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EF133B">
        <w:rPr>
          <w:rFonts w:asciiTheme="majorHAnsi" w:hAnsiTheme="majorHAnsi"/>
          <w:i/>
          <w:sz w:val="16"/>
          <w:szCs w:val="16"/>
          <w:lang w:val="es-ES"/>
        </w:rPr>
        <w:t>Robinson v. United States</w:t>
      </w:r>
      <w:r w:rsidRPr="00FD0AD9">
        <w:rPr>
          <w:rFonts w:asciiTheme="majorHAnsi" w:hAnsiTheme="majorHAnsi"/>
          <w:sz w:val="16"/>
          <w:szCs w:val="16"/>
          <w:lang w:val="es-ES"/>
        </w:rPr>
        <w:t xml:space="preserve">, Civil No 4:05-CV-756-Y, Crim. No. 4:00-CR-260-Y-2,2008 WL 4906272 (N.D. Tex. Nov. 7, 2008), pp. 36-39.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28">
    <w:p w14:paraId="01B03F68"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FD0AD9">
        <w:rPr>
          <w:rFonts w:asciiTheme="majorHAnsi" w:hAnsiTheme="majorHAnsi"/>
          <w:sz w:val="16"/>
          <w:szCs w:val="16"/>
          <w:lang w:val="es-ES"/>
        </w:rPr>
        <w:t xml:space="preserve">Robinson v. </w:t>
      </w:r>
      <w:r>
        <w:rPr>
          <w:rFonts w:asciiTheme="majorHAnsi" w:hAnsiTheme="majorHAnsi"/>
          <w:sz w:val="16"/>
          <w:szCs w:val="16"/>
          <w:lang w:val="es-ES"/>
        </w:rPr>
        <w:t>Estados Unidos</w:t>
      </w:r>
      <w:r w:rsidRPr="00FD0AD9">
        <w:rPr>
          <w:rFonts w:asciiTheme="majorHAnsi" w:hAnsiTheme="majorHAnsi"/>
          <w:sz w:val="16"/>
          <w:szCs w:val="16"/>
          <w:lang w:val="es-ES"/>
        </w:rPr>
        <w:t xml:space="preserve">, Civil No 4:05-CV-756-Y, Crim. No. 4:00-CR-260-Y-2,2008 WL 4906272 (N.D. Tex. Nov. 7, 2008), p. 41. </w:t>
      </w:r>
      <w:r>
        <w:rPr>
          <w:rFonts w:asciiTheme="majorHAnsi" w:hAnsiTheme="majorHAnsi"/>
          <w:sz w:val="16"/>
          <w:szCs w:val="16"/>
          <w:lang w:val="es-ES"/>
        </w:rPr>
        <w:t>Anexo</w:t>
      </w:r>
      <w:r w:rsidRPr="00FD0AD9">
        <w:rPr>
          <w:rFonts w:asciiTheme="majorHAnsi" w:hAnsiTheme="majorHAnsi"/>
          <w:sz w:val="16"/>
          <w:szCs w:val="16"/>
          <w:lang w:val="es-ES"/>
        </w:rPr>
        <w:t xml:space="preserve"> B, </w:t>
      </w:r>
      <w:r>
        <w:rPr>
          <w:rFonts w:asciiTheme="majorHAnsi" w:hAnsiTheme="majorHAnsi"/>
          <w:sz w:val="16"/>
          <w:szCs w:val="16"/>
          <w:lang w:val="es-ES"/>
        </w:rPr>
        <w:t>presentado con la petición original de los peticionarios el 3 de abril de 2012</w:t>
      </w:r>
      <w:r w:rsidRPr="00FD0AD9">
        <w:rPr>
          <w:rFonts w:asciiTheme="majorHAnsi" w:hAnsiTheme="majorHAnsi"/>
          <w:sz w:val="16"/>
          <w:szCs w:val="16"/>
          <w:lang w:val="es-ES"/>
        </w:rPr>
        <w:t>.</w:t>
      </w:r>
    </w:p>
  </w:footnote>
  <w:footnote w:id="29">
    <w:p w14:paraId="617D1B79" w14:textId="77777777" w:rsidR="007B69B1" w:rsidRPr="00FD0AD9" w:rsidRDefault="007B69B1" w:rsidP="00110F02">
      <w:pPr>
        <w:pStyle w:val="FootnoteText"/>
        <w:rPr>
          <w:lang w:val="es-ES"/>
        </w:rPr>
      </w:pPr>
      <w:r w:rsidRPr="00FD0AD9">
        <w:rPr>
          <w:rStyle w:val="FootnoteReference"/>
          <w:rFonts w:asciiTheme="majorHAnsi" w:hAnsiTheme="majorHAnsi"/>
          <w:sz w:val="16"/>
          <w:szCs w:val="16"/>
          <w:lang w:val="es-ES"/>
        </w:rPr>
        <w:footnoteRef/>
      </w:r>
      <w:r w:rsidRPr="00110F02">
        <w:rPr>
          <w:rStyle w:val="FootnoteReference"/>
          <w:rFonts w:asciiTheme="majorHAnsi" w:hAnsiTheme="majorHAnsi"/>
          <w:sz w:val="16"/>
          <w:szCs w:val="16"/>
        </w:rPr>
        <w:t xml:space="preserve"> </w:t>
      </w:r>
      <w:r w:rsidRPr="00110F02">
        <w:rPr>
          <w:rFonts w:asciiTheme="majorHAnsi" w:hAnsiTheme="majorHAnsi"/>
          <w:sz w:val="16"/>
          <w:szCs w:val="16"/>
        </w:rPr>
        <w:t xml:space="preserve">United States v. Robinson (Fifth Circuit Court of Appeals 2010). </w:t>
      </w:r>
      <w:r>
        <w:rPr>
          <w:rFonts w:asciiTheme="majorHAnsi" w:hAnsiTheme="majorHAnsi"/>
          <w:sz w:val="16"/>
          <w:szCs w:val="16"/>
          <w:lang w:val="es-ES"/>
        </w:rPr>
        <w:t>Anexo</w:t>
      </w:r>
      <w:r w:rsidRPr="00FD0AD9">
        <w:rPr>
          <w:rFonts w:asciiTheme="majorHAnsi" w:hAnsiTheme="majorHAnsi"/>
          <w:sz w:val="16"/>
          <w:szCs w:val="16"/>
          <w:lang w:val="es-ES"/>
        </w:rPr>
        <w:t xml:space="preserve"> 3, </w:t>
      </w:r>
      <w:r>
        <w:rPr>
          <w:rFonts w:asciiTheme="majorHAnsi" w:hAnsiTheme="majorHAnsi"/>
          <w:sz w:val="16"/>
          <w:szCs w:val="16"/>
          <w:lang w:val="es-ES"/>
        </w:rPr>
        <w:t>presentado con la respuesta del Estado el 8 de septiembre de 2016</w:t>
      </w:r>
      <w:r w:rsidRPr="00FD0AD9">
        <w:rPr>
          <w:rFonts w:asciiTheme="majorHAnsi" w:hAnsiTheme="majorHAnsi"/>
          <w:sz w:val="16"/>
          <w:szCs w:val="16"/>
          <w:lang w:val="es-ES"/>
        </w:rPr>
        <w:t>.</w:t>
      </w:r>
    </w:p>
  </w:footnote>
  <w:footnote w:id="30">
    <w:p w14:paraId="1793CE9F" w14:textId="77777777" w:rsidR="007B69B1" w:rsidRPr="00110F02" w:rsidRDefault="007B69B1" w:rsidP="00110F02">
      <w:pPr>
        <w:pStyle w:val="FootnoteText"/>
      </w:pPr>
      <w:r w:rsidRPr="00FD0AD9">
        <w:rPr>
          <w:rStyle w:val="FootnoteReference"/>
          <w:rFonts w:asciiTheme="majorHAnsi" w:hAnsiTheme="majorHAnsi"/>
          <w:sz w:val="16"/>
          <w:szCs w:val="16"/>
          <w:lang w:val="es-ES"/>
        </w:rPr>
        <w:footnoteRef/>
      </w:r>
      <w:r w:rsidRPr="00110F02">
        <w:rPr>
          <w:rStyle w:val="FootnoteReference"/>
          <w:rFonts w:asciiTheme="majorHAnsi" w:hAnsiTheme="majorHAnsi"/>
          <w:sz w:val="16"/>
          <w:szCs w:val="16"/>
        </w:rPr>
        <w:t xml:space="preserve"> </w:t>
      </w:r>
      <w:r w:rsidRPr="00110F02">
        <w:rPr>
          <w:rFonts w:asciiTheme="majorHAnsi" w:hAnsiTheme="majorHAnsi"/>
          <w:i/>
          <w:sz w:val="16"/>
          <w:szCs w:val="16"/>
        </w:rPr>
        <w:t>Robinson v. Mukasey et al.</w:t>
      </w:r>
      <w:r w:rsidRPr="00110F02">
        <w:rPr>
          <w:rFonts w:asciiTheme="majorHAnsi" w:hAnsiTheme="majorHAnsi"/>
          <w:sz w:val="16"/>
          <w:szCs w:val="16"/>
        </w:rPr>
        <w:t>, No. 1:07-cv-02145-RWR, U.S. District Court for the District of Columbia.</w:t>
      </w:r>
    </w:p>
  </w:footnote>
  <w:footnote w:id="31">
    <w:p w14:paraId="1C6A7631" w14:textId="77777777" w:rsidR="007B69B1" w:rsidRPr="00DD5969" w:rsidRDefault="007B69B1" w:rsidP="00110F02">
      <w:pPr>
        <w:pStyle w:val="FootnoteText"/>
        <w:jc w:val="both"/>
        <w:rPr>
          <w:rFonts w:asciiTheme="majorHAnsi" w:hAnsiTheme="majorHAnsi"/>
          <w:color w:val="auto"/>
          <w:sz w:val="16"/>
          <w:szCs w:val="16"/>
          <w:lang w:val="es-US"/>
        </w:rPr>
      </w:pPr>
      <w:r w:rsidRPr="00FD0AD9">
        <w:rPr>
          <w:rStyle w:val="FootnoteReference"/>
          <w:rFonts w:asciiTheme="majorHAnsi" w:hAnsiTheme="majorHAnsi"/>
          <w:color w:val="auto"/>
          <w:sz w:val="16"/>
          <w:szCs w:val="16"/>
          <w:lang w:val="es-ES"/>
        </w:rPr>
        <w:footnoteRef/>
      </w:r>
      <w:r w:rsidRPr="00110F02">
        <w:rPr>
          <w:rFonts w:asciiTheme="majorHAnsi" w:hAnsiTheme="majorHAnsi"/>
          <w:color w:val="auto"/>
          <w:sz w:val="16"/>
          <w:szCs w:val="16"/>
        </w:rPr>
        <w:t xml:space="preserve"> </w:t>
      </w:r>
      <w:r w:rsidRPr="00110F02">
        <w:rPr>
          <w:rFonts w:asciiTheme="majorHAnsi" w:hAnsiTheme="majorHAnsi"/>
          <w:i/>
          <w:color w:val="auto"/>
          <w:sz w:val="16"/>
          <w:szCs w:val="16"/>
        </w:rPr>
        <w:t>Roane v. Leonhart</w:t>
      </w:r>
      <w:r w:rsidRPr="00110F02">
        <w:rPr>
          <w:rFonts w:asciiTheme="majorHAnsi" w:hAnsiTheme="majorHAnsi"/>
          <w:color w:val="auto"/>
          <w:sz w:val="16"/>
          <w:szCs w:val="16"/>
        </w:rPr>
        <w:t xml:space="preserve">, 741 F.3d 147 (D.C. Cir. 2014); </w:t>
      </w:r>
      <w:r w:rsidRPr="00110F02">
        <w:rPr>
          <w:rFonts w:asciiTheme="majorHAnsi" w:hAnsiTheme="majorHAnsi"/>
          <w:i/>
          <w:color w:val="auto"/>
          <w:sz w:val="16"/>
          <w:szCs w:val="16"/>
        </w:rPr>
        <w:t>Roane v. Holder</w:t>
      </w:r>
      <w:r w:rsidRPr="00110F02">
        <w:rPr>
          <w:rFonts w:asciiTheme="majorHAnsi" w:hAnsiTheme="majorHAnsi"/>
          <w:color w:val="auto"/>
          <w:sz w:val="16"/>
          <w:szCs w:val="16"/>
        </w:rPr>
        <w:t xml:space="preserve">, Civil Action No. 05-2337 (D.D.C. 2016). </w:t>
      </w:r>
      <w:r w:rsidRPr="00DD5969">
        <w:rPr>
          <w:rFonts w:asciiTheme="majorHAnsi" w:hAnsiTheme="majorHAnsi"/>
          <w:color w:val="auto"/>
          <w:sz w:val="16"/>
          <w:szCs w:val="16"/>
          <w:lang w:val="es-US"/>
        </w:rPr>
        <w:t xml:space="preserve">Véase también JUSTIA Dockets &amp; Filings en </w:t>
      </w:r>
      <w:hyperlink r:id="rId1" w:history="1">
        <w:r w:rsidRPr="00DD5969">
          <w:rPr>
            <w:rFonts w:asciiTheme="majorHAnsi" w:hAnsiTheme="majorHAnsi"/>
            <w:color w:val="auto"/>
            <w:sz w:val="16"/>
            <w:szCs w:val="16"/>
            <w:lang w:val="es-US"/>
          </w:rPr>
          <w:t>https://dockets.justia.com/docket/district-of-columbia/dcdce/1:2019mc00145/210604</w:t>
        </w:r>
      </w:hyperlink>
      <w:r w:rsidRPr="00DD5969">
        <w:rPr>
          <w:rFonts w:asciiTheme="majorHAnsi" w:hAnsiTheme="majorHAnsi"/>
          <w:color w:val="auto"/>
          <w:sz w:val="16"/>
          <w:szCs w:val="16"/>
          <w:lang w:val="es-US"/>
        </w:rPr>
        <w:t>.</w:t>
      </w:r>
    </w:p>
  </w:footnote>
  <w:footnote w:id="32">
    <w:p w14:paraId="3B44F3C4" w14:textId="77777777" w:rsidR="007B69B1" w:rsidRPr="00FD0AD9" w:rsidRDefault="007B69B1" w:rsidP="00110F02">
      <w:pPr>
        <w:pStyle w:val="FootnoteText"/>
        <w:jc w:val="both"/>
        <w:rPr>
          <w:lang w:val="es-ES"/>
        </w:rPr>
      </w:pPr>
      <w:r w:rsidRPr="00FD0AD9">
        <w:rPr>
          <w:rStyle w:val="FootnoteReference"/>
          <w:rFonts w:asciiTheme="majorHAnsi" w:hAnsiTheme="majorHAnsi"/>
          <w:color w:val="auto"/>
          <w:sz w:val="16"/>
          <w:szCs w:val="16"/>
          <w:lang w:val="es-ES"/>
        </w:rPr>
        <w:footnoteRef/>
      </w:r>
      <w:r w:rsidRPr="00110F02">
        <w:rPr>
          <w:rStyle w:val="FootnoteReference"/>
          <w:rFonts w:asciiTheme="majorHAnsi" w:hAnsiTheme="majorHAnsi"/>
          <w:color w:val="auto"/>
          <w:sz w:val="16"/>
          <w:szCs w:val="16"/>
        </w:rPr>
        <w:t xml:space="preserve"> </w:t>
      </w:r>
      <w:r w:rsidRPr="00110F02">
        <w:rPr>
          <w:rFonts w:asciiTheme="majorHAnsi" w:hAnsiTheme="majorHAnsi"/>
          <w:color w:val="auto"/>
          <w:sz w:val="16"/>
          <w:szCs w:val="16"/>
        </w:rPr>
        <w:t xml:space="preserve">NPR. </w:t>
      </w:r>
      <w:r w:rsidRPr="00110F02">
        <w:rPr>
          <w:rFonts w:asciiTheme="majorHAnsi" w:hAnsiTheme="majorHAnsi"/>
          <w:i/>
          <w:color w:val="auto"/>
          <w:sz w:val="16"/>
          <w:szCs w:val="16"/>
        </w:rPr>
        <w:t>Lethal Injection Drug’s Efficacy And Availability For Federal Executions</w:t>
      </w:r>
      <w:r w:rsidRPr="00110F02">
        <w:rPr>
          <w:rFonts w:asciiTheme="majorHAnsi" w:hAnsiTheme="majorHAnsi"/>
          <w:color w:val="auto"/>
          <w:sz w:val="16"/>
          <w:szCs w:val="16"/>
        </w:rPr>
        <w:t xml:space="preserve">. </w:t>
      </w:r>
      <w:r w:rsidRPr="00FD0AD9">
        <w:rPr>
          <w:rFonts w:asciiTheme="majorHAnsi" w:hAnsiTheme="majorHAnsi"/>
          <w:color w:val="auto"/>
          <w:sz w:val="16"/>
          <w:szCs w:val="16"/>
          <w:lang w:val="es-ES"/>
        </w:rPr>
        <w:t>26</w:t>
      </w:r>
      <w:r>
        <w:rPr>
          <w:rFonts w:asciiTheme="majorHAnsi" w:hAnsiTheme="majorHAnsi"/>
          <w:color w:val="auto"/>
          <w:sz w:val="16"/>
          <w:szCs w:val="16"/>
          <w:lang w:val="es-ES"/>
        </w:rPr>
        <w:t xml:space="preserve"> de julio de</w:t>
      </w:r>
      <w:r w:rsidRPr="00FD0AD9">
        <w:rPr>
          <w:rFonts w:asciiTheme="majorHAnsi" w:hAnsiTheme="majorHAnsi"/>
          <w:color w:val="auto"/>
          <w:sz w:val="16"/>
          <w:szCs w:val="16"/>
          <w:lang w:val="es-ES"/>
        </w:rPr>
        <w:t xml:space="preserve"> 2019. </w:t>
      </w:r>
      <w:r>
        <w:rPr>
          <w:rFonts w:asciiTheme="majorHAnsi" w:hAnsiTheme="majorHAnsi"/>
          <w:color w:val="auto"/>
          <w:sz w:val="16"/>
          <w:szCs w:val="16"/>
          <w:lang w:val="es-ES"/>
        </w:rPr>
        <w:t>Se encuentra en</w:t>
      </w:r>
      <w:r w:rsidRPr="00FD0AD9">
        <w:rPr>
          <w:rFonts w:asciiTheme="majorHAnsi" w:hAnsiTheme="majorHAnsi"/>
          <w:color w:val="auto"/>
          <w:sz w:val="16"/>
          <w:szCs w:val="16"/>
          <w:lang w:val="es-ES"/>
        </w:rPr>
        <w:t xml:space="preserve"> </w:t>
      </w:r>
      <w:hyperlink r:id="rId2" w:history="1">
        <w:r w:rsidRPr="00FD0AD9">
          <w:rPr>
            <w:rFonts w:asciiTheme="majorHAnsi" w:hAnsiTheme="majorHAnsi"/>
            <w:color w:val="auto"/>
            <w:sz w:val="16"/>
            <w:szCs w:val="16"/>
            <w:lang w:val="es-ES"/>
          </w:rPr>
          <w:t>https://www.npr.org/2019/07/26/745722219/lethal-injection-drugs-efficacy-and-availability-for-federal-executions</w:t>
        </w:r>
      </w:hyperlink>
      <w:r>
        <w:rPr>
          <w:rFonts w:asciiTheme="majorHAnsi" w:hAnsiTheme="majorHAnsi"/>
          <w:color w:val="auto"/>
          <w:sz w:val="16"/>
          <w:szCs w:val="16"/>
          <w:lang w:val="es-ES"/>
        </w:rPr>
        <w:t>.</w:t>
      </w:r>
    </w:p>
  </w:footnote>
  <w:footnote w:id="33">
    <w:p w14:paraId="5F48885C" w14:textId="77777777" w:rsidR="007B69B1" w:rsidRPr="00110F02" w:rsidRDefault="007B69B1" w:rsidP="00110F02">
      <w:pPr>
        <w:pStyle w:val="FootnoteText"/>
        <w:jc w:val="both"/>
        <w:rPr>
          <w:rFonts w:asciiTheme="majorHAnsi" w:hAnsiTheme="majorHAnsi"/>
          <w:color w:val="auto"/>
          <w:sz w:val="16"/>
          <w:szCs w:val="16"/>
          <w:lang w:val="pt-BR"/>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FD00F2">
        <w:rPr>
          <w:rFonts w:asciiTheme="majorHAnsi" w:hAnsiTheme="majorHAnsi"/>
          <w:color w:val="auto"/>
          <w:sz w:val="16"/>
          <w:szCs w:val="16"/>
          <w:lang w:val="es-ES"/>
        </w:rPr>
        <w:t xml:space="preserve">Véanse, por ejemplo, Corte IDH. Opinión Consultiva OC-16/99 (1 de octubre de 1999). </w:t>
      </w:r>
      <w:r w:rsidRPr="00FD00F2">
        <w:rPr>
          <w:rFonts w:asciiTheme="majorHAnsi" w:hAnsiTheme="majorHAnsi"/>
          <w:i/>
          <w:iCs/>
          <w:color w:val="auto"/>
          <w:sz w:val="16"/>
          <w:szCs w:val="16"/>
          <w:lang w:val="es-ES"/>
        </w:rPr>
        <w:t>El derecho a la información sobre la asistencia consular en el marco de las garantías del debido proceso legal</w:t>
      </w:r>
      <w:r w:rsidRPr="00FD00F2">
        <w:rPr>
          <w:rFonts w:asciiTheme="majorHAnsi" w:hAnsiTheme="majorHAnsi"/>
          <w:color w:val="auto"/>
          <w:sz w:val="16"/>
          <w:szCs w:val="16"/>
          <w:lang w:val="es-ES"/>
        </w:rPr>
        <w:t xml:space="preserve">, párr. 136; Comité de Derechos Humanos de las Naciones Unidas. </w:t>
      </w:r>
      <w:r w:rsidRPr="00FD00F2">
        <w:rPr>
          <w:rFonts w:asciiTheme="majorHAnsi" w:hAnsiTheme="majorHAnsi"/>
          <w:i/>
          <w:iCs/>
          <w:color w:val="auto"/>
          <w:sz w:val="16"/>
          <w:szCs w:val="16"/>
          <w:lang w:val="es-ES"/>
        </w:rPr>
        <w:t xml:space="preserve">Baboheram-Adhin et al. v. Suriname. </w:t>
      </w:r>
      <w:r w:rsidRPr="00FD00F2">
        <w:rPr>
          <w:rFonts w:asciiTheme="majorHAnsi" w:hAnsiTheme="majorHAnsi"/>
          <w:color w:val="auto"/>
          <w:sz w:val="16"/>
          <w:szCs w:val="16"/>
          <w:lang w:val="es-ES"/>
        </w:rPr>
        <w:t>Comunicaciones Nos. 148-154/1983, adoptadas el 4 de abril de 1985, párr. 14.3</w:t>
      </w:r>
      <w:r w:rsidRPr="00FD0AD9">
        <w:rPr>
          <w:rFonts w:asciiTheme="majorHAnsi" w:hAnsiTheme="majorHAnsi"/>
          <w:color w:val="auto"/>
          <w:sz w:val="16"/>
          <w:szCs w:val="16"/>
          <w:lang w:val="es-ES"/>
        </w:rPr>
        <w:t xml:space="preserve">; </w:t>
      </w:r>
      <w:r w:rsidRPr="00FD00F2">
        <w:rPr>
          <w:rFonts w:asciiTheme="majorHAnsi" w:hAnsiTheme="majorHAnsi"/>
          <w:i/>
          <w:iCs/>
          <w:color w:val="auto"/>
          <w:sz w:val="16"/>
          <w:szCs w:val="16"/>
          <w:lang w:val="es-ES"/>
        </w:rPr>
        <w:t>Cuestión de la violación de los derechos humanos y las libertades fundamentales en cualquier parte del mundo, especialmente en los países y territorios coloniales y dependientes. Ejecuciones extrajudiciales, sumarias o arbitrarias. Informe del Relator Especial, Sr. Bacre Waly Ndiaye, presentado en cumplimiento de la resolución 1994/82 de la Comisión de Derechos Humanos.</w:t>
      </w:r>
      <w:r w:rsidRPr="00EE484E">
        <w:rPr>
          <w:rFonts w:asciiTheme="majorHAnsi" w:hAnsiTheme="majorHAnsi"/>
          <w:iCs/>
          <w:color w:val="auto"/>
          <w:sz w:val="16"/>
          <w:szCs w:val="16"/>
          <w:lang w:val="es-ES"/>
        </w:rPr>
        <w:t xml:space="preserve"> </w:t>
      </w:r>
      <w:r>
        <w:rPr>
          <w:rFonts w:asciiTheme="majorHAnsi" w:hAnsiTheme="majorHAnsi"/>
          <w:iCs/>
          <w:color w:val="auto"/>
          <w:sz w:val="16"/>
          <w:szCs w:val="16"/>
          <w:lang w:val="es-ES"/>
        </w:rPr>
        <w:t xml:space="preserve">Documento de las Naciones Unidas </w:t>
      </w:r>
      <w:r w:rsidRPr="00EE484E">
        <w:rPr>
          <w:rFonts w:asciiTheme="majorHAnsi" w:hAnsiTheme="majorHAnsi"/>
          <w:iCs/>
          <w:color w:val="auto"/>
          <w:sz w:val="16"/>
          <w:szCs w:val="16"/>
          <w:lang w:val="es-ES"/>
        </w:rPr>
        <w:t xml:space="preserve">E/CN.4/1995/61 (14 de diciembre de 1994), párr. </w:t>
      </w:r>
      <w:r w:rsidRPr="00110F02">
        <w:rPr>
          <w:rFonts w:asciiTheme="majorHAnsi" w:hAnsiTheme="majorHAnsi"/>
          <w:iCs/>
          <w:color w:val="auto"/>
          <w:sz w:val="16"/>
          <w:szCs w:val="16"/>
          <w:lang w:val="pt-BR"/>
        </w:rPr>
        <w:t>378</w:t>
      </w:r>
      <w:r w:rsidRPr="00110F02">
        <w:rPr>
          <w:rFonts w:asciiTheme="majorHAnsi" w:hAnsiTheme="majorHAnsi"/>
          <w:color w:val="auto"/>
          <w:sz w:val="16"/>
          <w:szCs w:val="16"/>
          <w:lang w:val="pt-BR"/>
        </w:rPr>
        <w:t>.</w:t>
      </w:r>
    </w:p>
  </w:footnote>
  <w:footnote w:id="34">
    <w:p w14:paraId="7CA4094F"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110F02">
        <w:rPr>
          <w:rFonts w:asciiTheme="majorHAnsi" w:hAnsiTheme="majorHAnsi"/>
          <w:color w:val="auto"/>
          <w:sz w:val="16"/>
          <w:szCs w:val="16"/>
          <w:lang w:val="pt-BR"/>
        </w:rPr>
        <w:t xml:space="preserve"> CIDH. Informe No. 57/96. </w:t>
      </w:r>
      <w:r w:rsidRPr="00110F02">
        <w:rPr>
          <w:rFonts w:asciiTheme="majorHAnsi" w:hAnsiTheme="majorHAnsi"/>
          <w:iCs/>
          <w:color w:val="auto"/>
          <w:sz w:val="16"/>
          <w:szCs w:val="16"/>
          <w:lang w:val="pt-BR"/>
        </w:rPr>
        <w:t>Andrews. Estados Unidos.</w:t>
      </w:r>
      <w:r w:rsidRPr="00110F02">
        <w:rPr>
          <w:rFonts w:asciiTheme="majorHAnsi" w:hAnsiTheme="majorHAnsi"/>
          <w:color w:val="auto"/>
          <w:sz w:val="16"/>
          <w:szCs w:val="16"/>
          <w:lang w:val="pt-BR"/>
        </w:rPr>
        <w:t xml:space="preserve"> </w:t>
      </w:r>
      <w:r w:rsidRPr="00110F02">
        <w:rPr>
          <w:rFonts w:asciiTheme="majorHAnsi" w:hAnsiTheme="majorHAnsi"/>
          <w:iCs/>
          <w:color w:val="auto"/>
          <w:sz w:val="16"/>
          <w:szCs w:val="16"/>
          <w:lang w:val="pt-BR"/>
        </w:rPr>
        <w:t xml:space="preserve">Informe Anual </w:t>
      </w:r>
      <w:r w:rsidRPr="00110F02">
        <w:rPr>
          <w:rFonts w:asciiTheme="majorHAnsi" w:hAnsiTheme="majorHAnsi"/>
          <w:color w:val="auto"/>
          <w:sz w:val="16"/>
          <w:szCs w:val="16"/>
          <w:lang w:val="pt-BR"/>
        </w:rPr>
        <w:t xml:space="preserve">1997, párrs. 170 y 171; Informe No. 38/00. Baptiste. Grenada. </w:t>
      </w:r>
      <w:r w:rsidRPr="003C2FF3">
        <w:rPr>
          <w:rFonts w:asciiTheme="majorHAnsi" w:hAnsiTheme="majorHAnsi"/>
          <w:color w:val="auto"/>
          <w:sz w:val="16"/>
          <w:szCs w:val="16"/>
          <w:lang w:val="es-US"/>
        </w:rPr>
        <w:t xml:space="preserve">Informe Anual 1999, párrs. </w:t>
      </w:r>
      <w:r w:rsidRPr="00FD00F2">
        <w:rPr>
          <w:rFonts w:asciiTheme="majorHAnsi" w:hAnsiTheme="majorHAnsi"/>
          <w:color w:val="auto"/>
          <w:sz w:val="16"/>
          <w:szCs w:val="16"/>
          <w:lang w:val="es-ES"/>
        </w:rPr>
        <w:t>64 a 66; Informe No. 41/00. McKenzie y otros. Jamaica. Informe Anual 1999, párrs. 169 a 171</w:t>
      </w:r>
      <w:r w:rsidRPr="00FD0AD9">
        <w:rPr>
          <w:rFonts w:asciiTheme="majorHAnsi" w:hAnsiTheme="majorHAnsi"/>
          <w:color w:val="auto"/>
          <w:sz w:val="16"/>
          <w:szCs w:val="16"/>
          <w:lang w:val="es-ES"/>
        </w:rPr>
        <w:t>.</w:t>
      </w:r>
    </w:p>
  </w:footnote>
  <w:footnote w:id="35">
    <w:p w14:paraId="3C061E60" w14:textId="77777777" w:rsidR="007B69B1" w:rsidRPr="00FD0AD9" w:rsidRDefault="007B69B1" w:rsidP="00110F02">
      <w:pPr>
        <w:autoSpaceDE w:val="0"/>
        <w:autoSpaceDN w:val="0"/>
        <w:adjustRightInd w:val="0"/>
        <w:jc w:val="both"/>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w:t>
      </w:r>
      <w:r w:rsidRPr="00FD00F2">
        <w:rPr>
          <w:rFonts w:asciiTheme="majorHAnsi" w:hAnsiTheme="majorHAnsi"/>
          <w:sz w:val="16"/>
          <w:szCs w:val="16"/>
          <w:lang w:val="es-ES"/>
        </w:rPr>
        <w:t xml:space="preserve">CIDH. </w:t>
      </w:r>
      <w:r w:rsidRPr="00FD00F2">
        <w:rPr>
          <w:rFonts w:asciiTheme="majorHAnsi" w:hAnsiTheme="majorHAnsi"/>
          <w:i/>
          <w:sz w:val="16"/>
          <w:szCs w:val="16"/>
          <w:lang w:val="es-ES"/>
        </w:rPr>
        <w:t>La pena de muerte en el Sistema Interamericano de Derechos Humanos: de restricciones a abolición.</w:t>
      </w:r>
      <w:r w:rsidRPr="00FD00F2">
        <w:rPr>
          <w:rFonts w:asciiTheme="majorHAnsi" w:hAnsiTheme="majorHAnsi"/>
          <w:sz w:val="16"/>
          <w:szCs w:val="16"/>
          <w:lang w:val="es-ES"/>
        </w:rPr>
        <w:t xml:space="preserve"> OEA/Ser.L/V/II.Doc. 68, 31 de diciembre de 2011, párr. 41</w:t>
      </w:r>
      <w:r w:rsidRPr="00FD0AD9">
        <w:rPr>
          <w:rFonts w:asciiTheme="majorHAnsi" w:hAnsiTheme="majorHAnsi"/>
          <w:sz w:val="16"/>
          <w:szCs w:val="16"/>
          <w:lang w:val="es-ES"/>
        </w:rPr>
        <w:t>.</w:t>
      </w:r>
    </w:p>
  </w:footnote>
  <w:footnote w:id="36">
    <w:p w14:paraId="51C81A52" w14:textId="77777777" w:rsidR="007B69B1" w:rsidRPr="00FD0AD9" w:rsidRDefault="007B69B1" w:rsidP="00110F02">
      <w:pPr>
        <w:autoSpaceDE w:val="0"/>
        <w:autoSpaceDN w:val="0"/>
        <w:adjustRightInd w:val="0"/>
        <w:jc w:val="both"/>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w:t>
      </w:r>
      <w:r w:rsidRPr="00FD00F2">
        <w:rPr>
          <w:rFonts w:asciiTheme="majorHAnsi" w:hAnsiTheme="majorHAnsi"/>
          <w:sz w:val="16"/>
          <w:szCs w:val="16"/>
          <w:lang w:val="es-ES"/>
        </w:rPr>
        <w:t>CIDH. Informe No. 78/07, Caso 12.265. Fondo (Publicación). Chad Roger Goodman. Bahamas. 15 de octubre de 2007, párr. 34</w:t>
      </w:r>
      <w:r w:rsidRPr="00FD0AD9">
        <w:rPr>
          <w:rFonts w:asciiTheme="majorHAnsi" w:hAnsiTheme="majorHAnsi"/>
          <w:sz w:val="16"/>
          <w:szCs w:val="16"/>
          <w:lang w:val="es-ES"/>
        </w:rPr>
        <w:t>.</w:t>
      </w:r>
    </w:p>
  </w:footnote>
  <w:footnote w:id="37">
    <w:p w14:paraId="04A6A6A4" w14:textId="77777777" w:rsidR="007B69B1" w:rsidRPr="00FD0AD9" w:rsidRDefault="007B69B1" w:rsidP="00110F02">
      <w:pPr>
        <w:pStyle w:val="FootnoteText"/>
        <w:jc w:val="both"/>
        <w:rPr>
          <w:rFonts w:asciiTheme="majorHAnsi" w:hAnsiTheme="majorHAnsi" w:cs="Times New Roman"/>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112F6F">
        <w:rPr>
          <w:rFonts w:asciiTheme="majorHAnsi" w:hAnsiTheme="majorHAnsi"/>
          <w:color w:val="auto"/>
          <w:sz w:val="16"/>
          <w:szCs w:val="16"/>
          <w:lang w:val="es-ES"/>
        </w:rPr>
        <w:t>CIDH. Informe No. 44/14, Caso 12.873. Fondo (Publicación). Edgar Tamayo Arias. Estados Unidos. 17 de julio de 2014, párr. 214</w:t>
      </w:r>
      <w:r w:rsidRPr="00FD0AD9">
        <w:rPr>
          <w:rFonts w:asciiTheme="majorHAnsi" w:hAnsiTheme="majorHAnsi"/>
          <w:color w:val="auto"/>
          <w:sz w:val="16"/>
          <w:szCs w:val="16"/>
          <w:lang w:val="es-ES"/>
        </w:rPr>
        <w:t>.</w:t>
      </w:r>
    </w:p>
  </w:footnote>
  <w:footnote w:id="38">
    <w:p w14:paraId="085395CF"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160EEA">
        <w:rPr>
          <w:rFonts w:asciiTheme="majorHAnsi" w:hAnsiTheme="majorHAnsi"/>
          <w:color w:val="auto"/>
          <w:sz w:val="16"/>
          <w:szCs w:val="16"/>
          <w:lang w:val="es-ES"/>
        </w:rPr>
        <w:t>El artículo II de la Declaración Americana dice</w:t>
      </w:r>
      <w:r w:rsidRPr="00FD0AD9">
        <w:rPr>
          <w:rFonts w:asciiTheme="majorHAnsi" w:hAnsiTheme="majorHAnsi"/>
          <w:color w:val="auto"/>
          <w:sz w:val="16"/>
          <w:szCs w:val="16"/>
          <w:lang w:val="es-ES"/>
        </w:rPr>
        <w:t>: “</w:t>
      </w:r>
      <w:r w:rsidRPr="00160EEA">
        <w:rPr>
          <w:rFonts w:asciiTheme="majorHAnsi" w:hAnsiTheme="majorHAnsi"/>
          <w:color w:val="auto"/>
          <w:sz w:val="16"/>
          <w:szCs w:val="16"/>
          <w:lang w:val="es-ES"/>
        </w:rPr>
        <w:t>Todas las personas son iguales ante la Ley y tienen los derechos y deberes consagrados en esta declaración sin distinción de raza, sexo, idioma, credo ni otra alguna</w:t>
      </w:r>
      <w:r w:rsidRPr="00FD0AD9">
        <w:rPr>
          <w:rFonts w:asciiTheme="majorHAnsi" w:hAnsiTheme="majorHAnsi"/>
          <w:color w:val="auto"/>
          <w:sz w:val="16"/>
          <w:szCs w:val="16"/>
          <w:lang w:val="es-ES"/>
        </w:rPr>
        <w:t>”</w:t>
      </w:r>
      <w:r>
        <w:rPr>
          <w:rFonts w:asciiTheme="majorHAnsi" w:hAnsiTheme="majorHAnsi"/>
          <w:color w:val="auto"/>
          <w:sz w:val="16"/>
          <w:szCs w:val="16"/>
          <w:lang w:val="es-ES"/>
        </w:rPr>
        <w:t>.</w:t>
      </w:r>
    </w:p>
  </w:footnote>
  <w:footnote w:id="39">
    <w:p w14:paraId="09A6CA78" w14:textId="77777777" w:rsidR="007B69B1" w:rsidRPr="00FD0AD9" w:rsidRDefault="007B69B1" w:rsidP="00110F02">
      <w:pPr>
        <w:jc w:val="both"/>
        <w:rPr>
          <w:lang w:val="es-ES"/>
        </w:rPr>
      </w:pPr>
      <w:r w:rsidRPr="00FD0AD9">
        <w:rPr>
          <w:rStyle w:val="FootnoteReference"/>
          <w:rFonts w:asciiTheme="majorHAnsi" w:eastAsia="Calibri" w:hAnsiTheme="majorHAnsi"/>
          <w:sz w:val="16"/>
          <w:szCs w:val="16"/>
          <w:u w:color="000000"/>
          <w:lang w:val="es-ES" w:eastAsia="es-ES"/>
        </w:rPr>
        <w:footnoteRef/>
      </w:r>
      <w:r w:rsidRPr="00FD0AD9">
        <w:rPr>
          <w:rStyle w:val="FootnoteReference"/>
          <w:rFonts w:asciiTheme="majorHAnsi" w:eastAsia="Calibri" w:hAnsiTheme="majorHAnsi"/>
          <w:sz w:val="16"/>
          <w:szCs w:val="16"/>
          <w:u w:color="000000"/>
          <w:lang w:val="es-ES" w:eastAsia="es-ES"/>
        </w:rPr>
        <w:t xml:space="preserve"> </w:t>
      </w:r>
      <w:r w:rsidRPr="00112F6F">
        <w:rPr>
          <w:rFonts w:asciiTheme="majorHAnsi" w:hAnsiTheme="majorHAnsi"/>
          <w:sz w:val="16"/>
          <w:szCs w:val="16"/>
          <w:lang w:val="es-ES"/>
        </w:rPr>
        <w:t>El artículo XVIII de la Declaración Americana dice: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40">
    <w:p w14:paraId="5EB20DC5" w14:textId="77777777" w:rsidR="007B69B1" w:rsidRPr="00112F6F" w:rsidRDefault="007B69B1" w:rsidP="00110F02">
      <w:pPr>
        <w:pStyle w:val="FootnoteText"/>
        <w:jc w:val="both"/>
        <w:rPr>
          <w:rFonts w:asciiTheme="majorHAnsi" w:hAnsiTheme="majorHAnsi" w:cstheme="majorHAnsi"/>
          <w:color w:val="auto"/>
          <w:sz w:val="16"/>
          <w:szCs w:val="16"/>
          <w:lang w:val="es-ES"/>
        </w:rPr>
      </w:pPr>
      <w:r w:rsidRPr="00FD0AD9">
        <w:rPr>
          <w:rStyle w:val="FootnoteReference"/>
          <w:rFonts w:asciiTheme="majorHAnsi" w:hAnsiTheme="majorHAnsi" w:cstheme="majorHAnsi"/>
          <w:color w:val="auto"/>
          <w:sz w:val="16"/>
          <w:szCs w:val="16"/>
          <w:lang w:val="es-ES"/>
        </w:rPr>
        <w:footnoteRef/>
      </w:r>
      <w:r w:rsidRPr="00FD0AD9">
        <w:rPr>
          <w:rFonts w:asciiTheme="majorHAnsi" w:hAnsiTheme="majorHAnsi" w:cstheme="majorHAnsi"/>
          <w:color w:val="auto"/>
          <w:sz w:val="16"/>
          <w:szCs w:val="16"/>
          <w:lang w:val="es-ES"/>
        </w:rPr>
        <w:t xml:space="preserve"> </w:t>
      </w:r>
      <w:r w:rsidRPr="00112F6F">
        <w:rPr>
          <w:rFonts w:asciiTheme="majorHAnsi" w:hAnsiTheme="majorHAnsi" w:cstheme="majorHAnsi"/>
          <w:sz w:val="16"/>
          <w:szCs w:val="16"/>
          <w:lang w:val="es-ES"/>
        </w:rPr>
        <w:t>Véase</w:t>
      </w:r>
      <w:r w:rsidRPr="00112F6F">
        <w:rPr>
          <w:rFonts w:asciiTheme="majorHAnsi" w:hAnsiTheme="majorHAnsi" w:cstheme="majorHAnsi"/>
          <w:iCs/>
          <w:sz w:val="16"/>
          <w:szCs w:val="16"/>
          <w:lang w:val="es-ES"/>
        </w:rPr>
        <w:t xml:space="preserve"> </w:t>
      </w:r>
      <w:r w:rsidRPr="00112F6F">
        <w:rPr>
          <w:rFonts w:asciiTheme="majorHAnsi" w:hAnsiTheme="majorHAnsi"/>
          <w:sz w:val="16"/>
          <w:szCs w:val="16"/>
          <w:lang w:val="es-ES"/>
        </w:rPr>
        <w:t>Corte</w:t>
      </w:r>
      <w:r>
        <w:rPr>
          <w:rFonts w:asciiTheme="majorHAnsi" w:hAnsiTheme="majorHAnsi"/>
          <w:sz w:val="16"/>
          <w:szCs w:val="16"/>
          <w:lang w:val="es-ES"/>
        </w:rPr>
        <w:t xml:space="preserve"> </w:t>
      </w:r>
      <w:r w:rsidRPr="00112F6F">
        <w:rPr>
          <w:rFonts w:asciiTheme="majorHAnsi" w:hAnsiTheme="majorHAnsi"/>
          <w:sz w:val="16"/>
          <w:szCs w:val="16"/>
          <w:lang w:val="es-ES"/>
        </w:rPr>
        <w:t xml:space="preserve">IDH, </w:t>
      </w:r>
      <w:r w:rsidRPr="00112F6F">
        <w:rPr>
          <w:rFonts w:asciiTheme="majorHAnsi" w:hAnsiTheme="majorHAnsi"/>
          <w:i/>
          <w:sz w:val="16"/>
          <w:szCs w:val="16"/>
          <w:lang w:val="es-ES"/>
        </w:rPr>
        <w:t>Condición jurídica y derechos de los migrantes indocumentados</w:t>
      </w:r>
      <w:r w:rsidRPr="00112F6F">
        <w:rPr>
          <w:rFonts w:asciiTheme="majorHAnsi" w:hAnsiTheme="majorHAnsi"/>
          <w:sz w:val="16"/>
          <w:szCs w:val="16"/>
          <w:lang w:val="es-ES"/>
        </w:rPr>
        <w:t>, Opinión Consultiva OC-18/03 del 17 de septiembre de 2003, párr.</w:t>
      </w:r>
      <w:r w:rsidRPr="00112F6F">
        <w:rPr>
          <w:rFonts w:asciiTheme="majorHAnsi" w:hAnsiTheme="majorHAnsi" w:cstheme="majorHAnsi"/>
          <w:sz w:val="16"/>
          <w:szCs w:val="16"/>
          <w:lang w:val="es-ES"/>
        </w:rPr>
        <w:t xml:space="preserve"> 101. Véase también CIDH, Informe No. 50/16, Caso 12.834, Fondo (Publicación)</w:t>
      </w:r>
      <w:r>
        <w:rPr>
          <w:rFonts w:asciiTheme="majorHAnsi" w:hAnsiTheme="majorHAnsi" w:cstheme="majorHAnsi"/>
          <w:sz w:val="16"/>
          <w:szCs w:val="16"/>
          <w:lang w:val="es-ES"/>
        </w:rPr>
        <w:t>.</w:t>
      </w:r>
      <w:r w:rsidRPr="00112F6F">
        <w:rPr>
          <w:rFonts w:asciiTheme="majorHAnsi" w:hAnsiTheme="majorHAnsi" w:cstheme="majorHAnsi"/>
          <w:sz w:val="16"/>
          <w:szCs w:val="16"/>
          <w:lang w:val="es-ES"/>
        </w:rPr>
        <w:t xml:space="preserve"> </w:t>
      </w:r>
      <w:r w:rsidRPr="00E423FA">
        <w:rPr>
          <w:rFonts w:asciiTheme="majorHAnsi" w:hAnsiTheme="majorHAnsi" w:cstheme="majorHAnsi"/>
          <w:sz w:val="16"/>
          <w:szCs w:val="16"/>
          <w:lang w:val="es-ES"/>
        </w:rPr>
        <w:t>Trabajadores indocumentados c. Estados Unidos</w:t>
      </w:r>
      <w:r>
        <w:rPr>
          <w:rFonts w:asciiTheme="majorHAnsi" w:hAnsiTheme="majorHAnsi" w:cstheme="majorHAnsi"/>
          <w:sz w:val="16"/>
          <w:szCs w:val="16"/>
          <w:lang w:val="es-ES"/>
        </w:rPr>
        <w:t>.</w:t>
      </w:r>
      <w:r w:rsidRPr="00112F6F">
        <w:rPr>
          <w:rFonts w:asciiTheme="majorHAnsi" w:hAnsiTheme="majorHAnsi" w:cstheme="majorHAnsi"/>
          <w:sz w:val="16"/>
          <w:szCs w:val="16"/>
          <w:lang w:val="es-ES"/>
        </w:rPr>
        <w:t xml:space="preserve"> 30 de noviembre de 2016, párr. 72</w:t>
      </w:r>
      <w:r w:rsidRPr="00112F6F">
        <w:rPr>
          <w:rFonts w:asciiTheme="majorHAnsi" w:hAnsiTheme="majorHAnsi" w:cstheme="majorHAnsi"/>
          <w:color w:val="auto"/>
          <w:sz w:val="16"/>
          <w:szCs w:val="16"/>
          <w:lang w:val="es-ES"/>
        </w:rPr>
        <w:t>.</w:t>
      </w:r>
    </w:p>
  </w:footnote>
  <w:footnote w:id="41">
    <w:p w14:paraId="6FC736E6" w14:textId="77777777" w:rsidR="007B69B1" w:rsidRPr="00112F6F" w:rsidRDefault="007B69B1" w:rsidP="00110F02">
      <w:pPr>
        <w:pStyle w:val="Footnotes"/>
        <w:spacing w:after="0"/>
        <w:ind w:firstLine="0"/>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w:t>
      </w:r>
      <w:r w:rsidRPr="00112F6F">
        <w:rPr>
          <w:rFonts w:asciiTheme="majorHAnsi" w:hAnsiTheme="majorHAnsi"/>
          <w:sz w:val="16"/>
          <w:szCs w:val="16"/>
          <w:lang w:val="es-ES"/>
        </w:rPr>
        <w:t>CIDH</w:t>
      </w:r>
      <w:r>
        <w:rPr>
          <w:rFonts w:asciiTheme="majorHAnsi" w:hAnsiTheme="majorHAnsi"/>
          <w:sz w:val="16"/>
          <w:szCs w:val="16"/>
          <w:lang w:val="es-ES"/>
        </w:rPr>
        <w:t>.</w:t>
      </w:r>
      <w:r w:rsidRPr="00112F6F">
        <w:rPr>
          <w:rFonts w:asciiTheme="majorHAnsi" w:hAnsiTheme="majorHAnsi"/>
          <w:sz w:val="16"/>
          <w:szCs w:val="16"/>
          <w:lang w:val="es-ES"/>
        </w:rPr>
        <w:t xml:space="preserve"> Informe No. 50/16, Caso 12.834, Fondo (Publicación)</w:t>
      </w:r>
      <w:r>
        <w:rPr>
          <w:rFonts w:asciiTheme="majorHAnsi" w:hAnsiTheme="majorHAnsi"/>
          <w:sz w:val="16"/>
          <w:szCs w:val="16"/>
          <w:lang w:val="es-ES"/>
        </w:rPr>
        <w:t>.</w:t>
      </w:r>
      <w:r w:rsidRPr="00112F6F">
        <w:rPr>
          <w:rFonts w:asciiTheme="majorHAnsi" w:hAnsiTheme="majorHAnsi"/>
          <w:sz w:val="16"/>
          <w:szCs w:val="16"/>
          <w:lang w:val="es-ES"/>
        </w:rPr>
        <w:t xml:space="preserve"> </w:t>
      </w:r>
      <w:r w:rsidRPr="00E423FA">
        <w:rPr>
          <w:rFonts w:asciiTheme="majorHAnsi" w:hAnsiTheme="majorHAnsi"/>
          <w:sz w:val="16"/>
          <w:szCs w:val="16"/>
          <w:lang w:val="es-ES"/>
        </w:rPr>
        <w:t>Trabajadores indocumentados c. Estados Unidos</w:t>
      </w:r>
      <w:r>
        <w:rPr>
          <w:rFonts w:asciiTheme="majorHAnsi" w:hAnsiTheme="majorHAnsi"/>
          <w:sz w:val="16"/>
          <w:szCs w:val="16"/>
          <w:lang w:val="es-ES"/>
        </w:rPr>
        <w:t>.</w:t>
      </w:r>
      <w:r w:rsidRPr="00112F6F">
        <w:rPr>
          <w:rFonts w:asciiTheme="majorHAnsi" w:hAnsiTheme="majorHAnsi"/>
          <w:sz w:val="16"/>
          <w:szCs w:val="16"/>
          <w:lang w:val="es-ES"/>
        </w:rPr>
        <w:t xml:space="preserve"> 30 de noviembre de 2016, párr. 75</w:t>
      </w:r>
      <w:r w:rsidRPr="00FD0AD9">
        <w:rPr>
          <w:rFonts w:asciiTheme="majorHAnsi" w:hAnsiTheme="majorHAnsi"/>
          <w:sz w:val="16"/>
          <w:szCs w:val="16"/>
          <w:lang w:val="es-ES"/>
        </w:rPr>
        <w:t xml:space="preserve">. </w:t>
      </w:r>
    </w:p>
  </w:footnote>
  <w:footnote w:id="42">
    <w:p w14:paraId="48920AD1" w14:textId="77777777" w:rsidR="007B69B1" w:rsidRPr="003C2FF3" w:rsidRDefault="007B69B1">
      <w:pPr>
        <w:pStyle w:val="FootnoteText"/>
        <w:rPr>
          <w:lang w:val="es-ES"/>
        </w:rPr>
      </w:pPr>
      <w:r>
        <w:rPr>
          <w:rStyle w:val="FootnoteReference"/>
        </w:rPr>
        <w:footnoteRef/>
      </w:r>
      <w:r w:rsidRPr="003C2FF3">
        <w:rPr>
          <w:lang w:val="es-ES"/>
        </w:rPr>
        <w:t xml:space="preserve"> </w:t>
      </w:r>
      <w:r w:rsidRPr="003C2FF3">
        <w:rPr>
          <w:rFonts w:asciiTheme="majorHAnsi" w:hAnsiTheme="majorHAnsi" w:cstheme="majorHAnsi"/>
          <w:color w:val="auto"/>
          <w:sz w:val="16"/>
          <w:szCs w:val="16"/>
          <w:lang w:val="es-ES"/>
        </w:rPr>
        <w:t>CICH, Informe No. 5/14. Caso 12,841. Fondo. Angel Alberto Duque. Colombia. Abril 2, 2014, párr. 67.</w:t>
      </w:r>
    </w:p>
  </w:footnote>
  <w:footnote w:id="43">
    <w:p w14:paraId="25B5D81B" w14:textId="77777777" w:rsidR="007B69B1" w:rsidRPr="0072774E" w:rsidRDefault="007B69B1" w:rsidP="00110F02">
      <w:pPr>
        <w:pStyle w:val="FootnoteText"/>
        <w:jc w:val="both"/>
        <w:rPr>
          <w:rFonts w:asciiTheme="majorHAnsi" w:hAnsiTheme="majorHAnsi"/>
          <w:color w:val="auto"/>
          <w:sz w:val="16"/>
          <w:szCs w:val="16"/>
          <w:lang w:val="pt-BR"/>
        </w:rPr>
      </w:pPr>
      <w:r w:rsidRPr="00112F6F">
        <w:rPr>
          <w:rStyle w:val="FootnoteReference"/>
          <w:rFonts w:asciiTheme="majorHAnsi" w:hAnsiTheme="majorHAnsi"/>
          <w:color w:val="auto"/>
          <w:sz w:val="16"/>
          <w:szCs w:val="16"/>
          <w:lang w:val="es-ES"/>
        </w:rPr>
        <w:footnoteRef/>
      </w:r>
      <w:r w:rsidRPr="00112F6F">
        <w:rPr>
          <w:rFonts w:asciiTheme="majorHAnsi" w:hAnsiTheme="majorHAnsi"/>
          <w:color w:val="auto"/>
          <w:sz w:val="16"/>
          <w:szCs w:val="16"/>
          <w:lang w:val="es-ES"/>
        </w:rPr>
        <w:t xml:space="preserve"> </w:t>
      </w:r>
      <w:r w:rsidRPr="00112F6F">
        <w:rPr>
          <w:rFonts w:asciiTheme="majorHAnsi" w:hAnsiTheme="majorHAnsi"/>
          <w:sz w:val="16"/>
          <w:szCs w:val="16"/>
          <w:lang w:val="es-ES"/>
        </w:rPr>
        <w:t>Véase, por ejemplo, Corte</w:t>
      </w:r>
      <w:r>
        <w:rPr>
          <w:rFonts w:asciiTheme="majorHAnsi" w:hAnsiTheme="majorHAnsi"/>
          <w:sz w:val="16"/>
          <w:szCs w:val="16"/>
          <w:lang w:val="es-ES"/>
        </w:rPr>
        <w:t xml:space="preserve"> </w:t>
      </w:r>
      <w:r w:rsidRPr="00112F6F">
        <w:rPr>
          <w:rFonts w:asciiTheme="majorHAnsi" w:hAnsiTheme="majorHAnsi"/>
          <w:sz w:val="16"/>
          <w:szCs w:val="16"/>
          <w:lang w:val="es-ES"/>
        </w:rPr>
        <w:t>IDH</w:t>
      </w:r>
      <w:r w:rsidRPr="00112F6F">
        <w:rPr>
          <w:rFonts w:asciiTheme="majorHAnsi" w:eastAsia="Times New Roman" w:hAnsiTheme="majorHAnsi"/>
          <w:bCs/>
          <w:sz w:val="16"/>
          <w:szCs w:val="16"/>
          <w:lang w:val="es-ES"/>
        </w:rPr>
        <w:t xml:space="preserve">. </w:t>
      </w:r>
      <w:r w:rsidRPr="00112F6F">
        <w:rPr>
          <w:rFonts w:asciiTheme="majorHAnsi" w:eastAsia="Times New Roman" w:hAnsiTheme="majorHAnsi"/>
          <w:bCs/>
          <w:i/>
          <w:sz w:val="16"/>
          <w:szCs w:val="16"/>
          <w:lang w:val="es-ES"/>
        </w:rPr>
        <w:t>Furlan y familiares vs. Argentina</w:t>
      </w:r>
      <w:r w:rsidRPr="00112F6F">
        <w:rPr>
          <w:rFonts w:asciiTheme="majorHAnsi" w:eastAsia="Times New Roman" w:hAnsiTheme="majorHAnsi"/>
          <w:bCs/>
          <w:sz w:val="16"/>
          <w:szCs w:val="16"/>
          <w:lang w:val="es-ES"/>
        </w:rPr>
        <w:t xml:space="preserve">. </w:t>
      </w:r>
      <w:r w:rsidRPr="0072774E">
        <w:rPr>
          <w:rFonts w:asciiTheme="majorHAnsi" w:eastAsia="Times New Roman" w:hAnsiTheme="majorHAnsi"/>
          <w:bCs/>
          <w:sz w:val="16"/>
          <w:szCs w:val="16"/>
          <w:lang w:val="pt-BR"/>
        </w:rPr>
        <w:t>Sentencia de 31 de agosto de 2012, párr. 267</w:t>
      </w:r>
      <w:r w:rsidRPr="0072774E">
        <w:rPr>
          <w:rFonts w:asciiTheme="majorHAnsi" w:eastAsia="Times New Roman" w:hAnsiTheme="majorHAnsi"/>
          <w:bCs/>
          <w:color w:val="auto"/>
          <w:sz w:val="16"/>
          <w:szCs w:val="16"/>
          <w:lang w:val="pt-BR"/>
        </w:rPr>
        <w:t>.</w:t>
      </w:r>
    </w:p>
  </w:footnote>
  <w:footnote w:id="44">
    <w:p w14:paraId="4C305807" w14:textId="77777777" w:rsidR="007B69B1" w:rsidRPr="00FD0AD9" w:rsidRDefault="007B69B1" w:rsidP="00110F02">
      <w:pPr>
        <w:pStyle w:val="Footnotes"/>
        <w:spacing w:after="0"/>
        <w:ind w:firstLine="0"/>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72774E">
        <w:rPr>
          <w:rFonts w:asciiTheme="majorHAnsi" w:hAnsiTheme="majorHAnsi"/>
          <w:sz w:val="16"/>
          <w:szCs w:val="16"/>
          <w:lang w:val="pt-BR"/>
        </w:rPr>
        <w:t xml:space="preserve"> CIDH. Informe No. 50/16, Caso 12.834. </w:t>
      </w:r>
      <w:r w:rsidRPr="00431E80">
        <w:rPr>
          <w:rFonts w:asciiTheme="majorHAnsi" w:hAnsiTheme="majorHAnsi"/>
          <w:sz w:val="16"/>
          <w:szCs w:val="16"/>
          <w:lang w:val="es-ES"/>
        </w:rPr>
        <w:t>Fondo (Publicación)</w:t>
      </w:r>
      <w:r>
        <w:rPr>
          <w:rFonts w:asciiTheme="majorHAnsi" w:hAnsiTheme="majorHAnsi"/>
          <w:sz w:val="16"/>
          <w:szCs w:val="16"/>
          <w:lang w:val="es-ES"/>
        </w:rPr>
        <w:t>.</w:t>
      </w:r>
      <w:r w:rsidRPr="00431E80">
        <w:rPr>
          <w:rFonts w:asciiTheme="majorHAnsi" w:hAnsiTheme="majorHAnsi"/>
          <w:sz w:val="16"/>
          <w:szCs w:val="16"/>
          <w:lang w:val="es-ES"/>
        </w:rPr>
        <w:t xml:space="preserve"> </w:t>
      </w:r>
      <w:r w:rsidRPr="00E423FA">
        <w:rPr>
          <w:rFonts w:asciiTheme="majorHAnsi" w:hAnsiTheme="majorHAnsi"/>
          <w:sz w:val="16"/>
          <w:szCs w:val="16"/>
          <w:lang w:val="es-ES"/>
        </w:rPr>
        <w:t>Trabajadores indocumentados c. Estados Unidos</w:t>
      </w:r>
      <w:r>
        <w:rPr>
          <w:rFonts w:asciiTheme="majorHAnsi" w:hAnsiTheme="majorHAnsi"/>
          <w:sz w:val="16"/>
          <w:szCs w:val="16"/>
          <w:lang w:val="es-ES"/>
        </w:rPr>
        <w:t>.</w:t>
      </w:r>
      <w:r w:rsidRPr="00431E80">
        <w:rPr>
          <w:rFonts w:asciiTheme="majorHAnsi" w:hAnsiTheme="majorHAnsi"/>
          <w:sz w:val="16"/>
          <w:szCs w:val="16"/>
          <w:lang w:val="es-ES"/>
        </w:rPr>
        <w:t xml:space="preserve"> 30 de noviembre de 2016</w:t>
      </w:r>
      <w:r>
        <w:rPr>
          <w:rFonts w:asciiTheme="majorHAnsi" w:hAnsiTheme="majorHAnsi"/>
          <w:sz w:val="16"/>
          <w:szCs w:val="16"/>
          <w:lang w:val="es-ES"/>
        </w:rPr>
        <w:t>, párr.</w:t>
      </w:r>
      <w:r w:rsidRPr="00FD0AD9">
        <w:rPr>
          <w:rFonts w:asciiTheme="majorHAnsi" w:hAnsiTheme="majorHAnsi"/>
          <w:sz w:val="16"/>
          <w:szCs w:val="16"/>
          <w:lang w:val="es-ES"/>
        </w:rPr>
        <w:t xml:space="preserve"> 74; </w:t>
      </w:r>
      <w:r w:rsidRPr="00431E80">
        <w:rPr>
          <w:rFonts w:asciiTheme="majorHAnsi" w:hAnsiTheme="majorHAnsi"/>
          <w:sz w:val="16"/>
          <w:szCs w:val="16"/>
          <w:lang w:val="es-ES"/>
        </w:rPr>
        <w:t xml:space="preserve">CIDH, Informe No. 51/01, Caso 9903, </w:t>
      </w:r>
      <w:r w:rsidRPr="00E423FA">
        <w:rPr>
          <w:rFonts w:asciiTheme="majorHAnsi" w:hAnsiTheme="majorHAnsi"/>
          <w:sz w:val="16"/>
          <w:szCs w:val="16"/>
          <w:lang w:val="es-ES"/>
        </w:rPr>
        <w:t>Rafael Ferrer-Mazorra y otros c. Estados Unidos</w:t>
      </w:r>
      <w:r>
        <w:rPr>
          <w:rFonts w:asciiTheme="majorHAnsi" w:hAnsiTheme="majorHAnsi"/>
          <w:sz w:val="16"/>
          <w:szCs w:val="16"/>
          <w:lang w:val="es-ES"/>
        </w:rPr>
        <w:t>.</w:t>
      </w:r>
      <w:r w:rsidRPr="00431E80">
        <w:rPr>
          <w:rFonts w:asciiTheme="majorHAnsi" w:hAnsiTheme="majorHAnsi"/>
          <w:sz w:val="16"/>
          <w:szCs w:val="16"/>
          <w:lang w:val="es-ES"/>
        </w:rPr>
        <w:t xml:space="preserve"> 4 de abril de 2001, párr. 238</w:t>
      </w:r>
      <w:r w:rsidRPr="00FD0AD9">
        <w:rPr>
          <w:rFonts w:asciiTheme="majorHAnsi" w:eastAsia="Times New Roman" w:hAnsiTheme="majorHAnsi"/>
          <w:sz w:val="16"/>
          <w:szCs w:val="16"/>
          <w:lang w:val="es-ES"/>
        </w:rPr>
        <w:t xml:space="preserve">. </w:t>
      </w:r>
    </w:p>
  </w:footnote>
  <w:footnote w:id="45">
    <w:p w14:paraId="75ADE4AC"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431E80">
        <w:rPr>
          <w:rFonts w:asciiTheme="majorHAnsi" w:hAnsiTheme="majorHAnsi"/>
          <w:color w:val="auto"/>
          <w:sz w:val="16"/>
          <w:szCs w:val="16"/>
          <w:lang w:val="es-ES"/>
        </w:rPr>
        <w:t>CIDH</w:t>
      </w:r>
      <w:r>
        <w:rPr>
          <w:rFonts w:asciiTheme="majorHAnsi" w:hAnsiTheme="majorHAnsi"/>
          <w:color w:val="auto"/>
          <w:sz w:val="16"/>
          <w:szCs w:val="16"/>
          <w:lang w:val="es-ES"/>
        </w:rPr>
        <w:t>.</w:t>
      </w:r>
      <w:r w:rsidRPr="00431E80">
        <w:rPr>
          <w:rFonts w:asciiTheme="majorHAnsi" w:hAnsiTheme="majorHAnsi"/>
          <w:color w:val="auto"/>
          <w:sz w:val="16"/>
          <w:szCs w:val="16"/>
          <w:lang w:val="es-ES"/>
        </w:rPr>
        <w:t xml:space="preserve"> </w:t>
      </w:r>
      <w:r w:rsidRPr="00431E80">
        <w:rPr>
          <w:rFonts w:asciiTheme="majorHAnsi" w:hAnsiTheme="majorHAnsi"/>
          <w:i/>
          <w:color w:val="auto"/>
          <w:sz w:val="16"/>
          <w:szCs w:val="16"/>
          <w:lang w:val="es-ES"/>
        </w:rPr>
        <w:t xml:space="preserve">Informe sobre Terrorismo y Derechos Humanos </w:t>
      </w:r>
      <w:r w:rsidRPr="00431E80">
        <w:rPr>
          <w:rFonts w:asciiTheme="majorHAnsi" w:hAnsiTheme="majorHAnsi"/>
          <w:color w:val="auto"/>
          <w:sz w:val="16"/>
          <w:szCs w:val="16"/>
          <w:lang w:val="es-ES"/>
        </w:rPr>
        <w:t>(2002), párr. 338</w:t>
      </w:r>
      <w:r w:rsidRPr="00FD0AD9">
        <w:rPr>
          <w:rFonts w:asciiTheme="majorHAnsi" w:hAnsiTheme="majorHAnsi"/>
          <w:color w:val="auto"/>
          <w:sz w:val="16"/>
          <w:szCs w:val="16"/>
          <w:lang w:val="es-ES"/>
        </w:rPr>
        <w:t>.</w:t>
      </w:r>
    </w:p>
  </w:footnote>
  <w:footnote w:id="46">
    <w:p w14:paraId="2B2A9C69" w14:textId="77777777" w:rsidR="007B69B1" w:rsidRPr="00FD0AD9" w:rsidRDefault="007B69B1" w:rsidP="00110F02">
      <w:pPr>
        <w:pStyle w:val="FootnoteText"/>
        <w:rPr>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sidRPr="00DA6F82">
        <w:rPr>
          <w:rFonts w:asciiTheme="majorHAnsi" w:hAnsiTheme="majorHAnsi"/>
          <w:color w:val="auto"/>
          <w:sz w:val="16"/>
          <w:szCs w:val="16"/>
          <w:lang w:val="es-ES"/>
        </w:rPr>
        <w:t>CIDH.</w:t>
      </w:r>
      <w:r w:rsidRPr="00FD0AD9">
        <w:rPr>
          <w:rFonts w:asciiTheme="majorHAnsi" w:hAnsiTheme="majorHAnsi"/>
          <w:color w:val="auto"/>
          <w:sz w:val="16"/>
          <w:szCs w:val="16"/>
          <w:lang w:val="es-ES"/>
        </w:rPr>
        <w:t xml:space="preserve"> </w:t>
      </w:r>
      <w:r w:rsidRPr="00DA6F82">
        <w:rPr>
          <w:rFonts w:asciiTheme="majorHAnsi" w:hAnsiTheme="majorHAnsi"/>
          <w:i/>
          <w:color w:val="auto"/>
          <w:sz w:val="16"/>
          <w:szCs w:val="16"/>
          <w:lang w:val="es-ES"/>
        </w:rPr>
        <w:t>Violencia policial contra afrodescendientes en Estados Unidos</w:t>
      </w:r>
      <w:r w:rsidRPr="00FD0AD9">
        <w:rPr>
          <w:rFonts w:asciiTheme="majorHAnsi" w:hAnsiTheme="majorHAnsi"/>
          <w:color w:val="auto"/>
          <w:sz w:val="16"/>
          <w:szCs w:val="16"/>
          <w:lang w:val="es-ES"/>
        </w:rPr>
        <w:t>. 26</w:t>
      </w:r>
      <w:r>
        <w:rPr>
          <w:rFonts w:asciiTheme="majorHAnsi" w:hAnsiTheme="majorHAnsi"/>
          <w:color w:val="auto"/>
          <w:sz w:val="16"/>
          <w:szCs w:val="16"/>
          <w:lang w:val="es-ES"/>
        </w:rPr>
        <w:t xml:space="preserve"> de noviembre de</w:t>
      </w:r>
      <w:r w:rsidRPr="00FD0AD9">
        <w:rPr>
          <w:rFonts w:asciiTheme="majorHAnsi" w:hAnsiTheme="majorHAnsi"/>
          <w:color w:val="auto"/>
          <w:sz w:val="16"/>
          <w:szCs w:val="16"/>
          <w:lang w:val="es-ES"/>
        </w:rPr>
        <w:t xml:space="preserve"> 2018</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195.</w:t>
      </w:r>
    </w:p>
  </w:footnote>
  <w:footnote w:id="47">
    <w:p w14:paraId="1CBF40CA" w14:textId="77777777" w:rsidR="007B69B1" w:rsidRPr="00FD0AD9" w:rsidRDefault="007B69B1" w:rsidP="00110F02">
      <w:pPr>
        <w:pStyle w:val="FootnoteText"/>
        <w:rPr>
          <w:lang w:val="es-ES"/>
        </w:rPr>
      </w:pPr>
      <w:r w:rsidRPr="00FD0AD9">
        <w:rPr>
          <w:rStyle w:val="FootnoteReference"/>
          <w:rFonts w:asciiTheme="majorHAnsi" w:hAnsiTheme="majorHAnsi" w:cstheme="majorHAnsi"/>
          <w:color w:val="auto"/>
          <w:sz w:val="16"/>
          <w:szCs w:val="16"/>
          <w:lang w:val="es-ES"/>
        </w:rPr>
        <w:footnoteRef/>
      </w:r>
      <w:r w:rsidRPr="00FD0AD9">
        <w:rPr>
          <w:rStyle w:val="FootnoteReference"/>
          <w:rFonts w:asciiTheme="majorHAnsi" w:hAnsiTheme="majorHAnsi" w:cstheme="majorHAnsi"/>
          <w:color w:val="auto"/>
          <w:sz w:val="16"/>
          <w:szCs w:val="16"/>
          <w:lang w:val="es-ES"/>
        </w:rPr>
        <w:t xml:space="preserve"> </w:t>
      </w:r>
      <w:r w:rsidRPr="00DA6F82">
        <w:rPr>
          <w:rFonts w:asciiTheme="majorHAnsi" w:hAnsiTheme="majorHAnsi"/>
          <w:color w:val="auto"/>
          <w:sz w:val="16"/>
          <w:szCs w:val="16"/>
          <w:lang w:val="es-ES"/>
        </w:rPr>
        <w:t>CIDH.</w:t>
      </w:r>
      <w:r w:rsidRPr="00FD0AD9">
        <w:rPr>
          <w:rFonts w:asciiTheme="majorHAnsi" w:hAnsiTheme="majorHAnsi"/>
          <w:color w:val="auto"/>
          <w:sz w:val="16"/>
          <w:szCs w:val="16"/>
          <w:lang w:val="es-ES"/>
        </w:rPr>
        <w:t xml:space="preserve"> Resolución No. 23/89. Cas</w:t>
      </w:r>
      <w:r>
        <w:rPr>
          <w:rFonts w:asciiTheme="majorHAnsi" w:hAnsiTheme="majorHAnsi"/>
          <w:color w:val="auto"/>
          <w:sz w:val="16"/>
          <w:szCs w:val="16"/>
          <w:lang w:val="es-ES"/>
        </w:rPr>
        <w:t>o</w:t>
      </w:r>
      <w:r w:rsidRPr="00FD0AD9">
        <w:rPr>
          <w:rFonts w:asciiTheme="majorHAnsi" w:hAnsiTheme="majorHAnsi"/>
          <w:color w:val="auto"/>
          <w:sz w:val="16"/>
          <w:szCs w:val="16"/>
          <w:lang w:val="es-ES"/>
        </w:rPr>
        <w:t xml:space="preserve"> 10.031. Willie L. Celestine. </w:t>
      </w:r>
      <w:r>
        <w:rPr>
          <w:rFonts w:asciiTheme="majorHAnsi" w:hAnsiTheme="majorHAnsi"/>
          <w:color w:val="auto"/>
          <w:sz w:val="16"/>
          <w:szCs w:val="16"/>
          <w:lang w:val="es-ES"/>
        </w:rPr>
        <w:t>Estados Unidos</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28 de septiembre de 1989</w:t>
      </w:r>
      <w:r w:rsidRPr="00FD0AD9">
        <w:rPr>
          <w:rFonts w:asciiTheme="majorHAnsi" w:hAnsiTheme="majorHAnsi"/>
          <w:color w:val="auto"/>
          <w:sz w:val="16"/>
          <w:szCs w:val="16"/>
          <w:lang w:val="es-ES"/>
        </w:rPr>
        <w:t>.</w:t>
      </w:r>
    </w:p>
  </w:footnote>
  <w:footnote w:id="48">
    <w:p w14:paraId="70253449"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DD5969">
        <w:rPr>
          <w:rFonts w:asciiTheme="majorHAnsi" w:hAnsiTheme="majorHAnsi"/>
          <w:color w:val="auto"/>
          <w:sz w:val="16"/>
          <w:szCs w:val="16"/>
        </w:rPr>
        <w:t xml:space="preserve"> CIDH. Informe No. 57/97, Caso 11.139, William Andrews. </w:t>
      </w:r>
      <w:r>
        <w:rPr>
          <w:rFonts w:asciiTheme="majorHAnsi" w:hAnsiTheme="majorHAnsi"/>
          <w:color w:val="auto"/>
          <w:sz w:val="16"/>
          <w:szCs w:val="16"/>
          <w:lang w:val="es-ES"/>
        </w:rPr>
        <w:t>Fondo.</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Estados Unidos. 6 de diciembre de 1996, párr.</w:t>
      </w:r>
      <w:r w:rsidRPr="00FD0AD9">
        <w:rPr>
          <w:rFonts w:asciiTheme="majorHAnsi" w:hAnsiTheme="majorHAnsi"/>
          <w:color w:val="auto"/>
          <w:sz w:val="16"/>
          <w:szCs w:val="16"/>
          <w:lang w:val="es-ES"/>
        </w:rPr>
        <w:t xml:space="preserve"> 165. </w:t>
      </w:r>
    </w:p>
  </w:footnote>
  <w:footnote w:id="49">
    <w:p w14:paraId="5E53C97B" w14:textId="77777777" w:rsidR="007B69B1" w:rsidRPr="00FD0AD9" w:rsidRDefault="007B69B1" w:rsidP="00110F02">
      <w:pPr>
        <w:pStyle w:val="FootnoteText"/>
        <w:jc w:val="both"/>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w:t>
      </w:r>
      <w:r>
        <w:rPr>
          <w:rFonts w:asciiTheme="majorHAnsi" w:hAnsiTheme="majorHAnsi"/>
          <w:sz w:val="16"/>
          <w:szCs w:val="16"/>
          <w:lang w:val="es-ES"/>
        </w:rPr>
        <w:t>CIDH. Informe No.</w:t>
      </w:r>
      <w:r w:rsidRPr="00FD0AD9">
        <w:rPr>
          <w:rFonts w:asciiTheme="majorHAnsi" w:hAnsiTheme="majorHAnsi"/>
          <w:sz w:val="16"/>
          <w:szCs w:val="16"/>
          <w:lang w:val="es-ES"/>
        </w:rPr>
        <w:t xml:space="preserve"> 57/97</w:t>
      </w:r>
      <w:r>
        <w:rPr>
          <w:rFonts w:asciiTheme="majorHAnsi" w:hAnsiTheme="majorHAnsi"/>
          <w:sz w:val="16"/>
          <w:szCs w:val="16"/>
          <w:lang w:val="es-ES"/>
        </w:rPr>
        <w:t>, Caso</w:t>
      </w:r>
      <w:r w:rsidRPr="00FD0AD9">
        <w:rPr>
          <w:rFonts w:asciiTheme="majorHAnsi" w:hAnsiTheme="majorHAnsi"/>
          <w:sz w:val="16"/>
          <w:szCs w:val="16"/>
          <w:lang w:val="es-ES"/>
        </w:rPr>
        <w:t xml:space="preserve"> 11.139, William Andrews</w:t>
      </w:r>
      <w:r>
        <w:rPr>
          <w:rFonts w:asciiTheme="majorHAnsi" w:hAnsiTheme="majorHAnsi"/>
          <w:sz w:val="16"/>
          <w:szCs w:val="16"/>
          <w:lang w:val="es-ES"/>
        </w:rPr>
        <w:t>. Fondo.</w:t>
      </w:r>
      <w:r w:rsidRPr="00FD0AD9">
        <w:rPr>
          <w:rFonts w:asciiTheme="majorHAnsi" w:hAnsiTheme="majorHAnsi"/>
          <w:sz w:val="16"/>
          <w:szCs w:val="16"/>
          <w:lang w:val="es-ES"/>
        </w:rPr>
        <w:t xml:space="preserve"> </w:t>
      </w:r>
      <w:r>
        <w:rPr>
          <w:rFonts w:asciiTheme="majorHAnsi" w:hAnsiTheme="majorHAnsi"/>
          <w:sz w:val="16"/>
          <w:szCs w:val="16"/>
          <w:lang w:val="es-ES"/>
        </w:rPr>
        <w:t>Estados Unidos. 6 de diciembre de 1996, párr.</w:t>
      </w:r>
      <w:r w:rsidRPr="00FD0AD9">
        <w:rPr>
          <w:rFonts w:asciiTheme="majorHAnsi" w:hAnsiTheme="majorHAnsi"/>
          <w:sz w:val="16"/>
          <w:szCs w:val="16"/>
          <w:lang w:val="es-ES"/>
        </w:rPr>
        <w:t xml:space="preserve"> 165.</w:t>
      </w:r>
    </w:p>
  </w:footnote>
  <w:footnote w:id="50">
    <w:p w14:paraId="4F65625A" w14:textId="77777777" w:rsidR="007B69B1" w:rsidRPr="00FD0AD9" w:rsidRDefault="007B69B1" w:rsidP="00110F02">
      <w:pPr>
        <w:pStyle w:val="FootnoteText"/>
        <w:jc w:val="both"/>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w:t>
      </w:r>
      <w:r>
        <w:rPr>
          <w:rFonts w:asciiTheme="majorHAnsi" w:hAnsiTheme="majorHAnsi"/>
          <w:sz w:val="16"/>
          <w:szCs w:val="16"/>
          <w:lang w:val="es-ES"/>
        </w:rPr>
        <w:t>CIDH. Informe No.</w:t>
      </w:r>
      <w:r w:rsidRPr="00FD0AD9">
        <w:rPr>
          <w:rFonts w:asciiTheme="majorHAnsi" w:hAnsiTheme="majorHAnsi"/>
          <w:sz w:val="16"/>
          <w:szCs w:val="16"/>
          <w:lang w:val="es-ES"/>
        </w:rPr>
        <w:t xml:space="preserve"> 57/97</w:t>
      </w:r>
      <w:r>
        <w:rPr>
          <w:rFonts w:asciiTheme="majorHAnsi" w:hAnsiTheme="majorHAnsi"/>
          <w:sz w:val="16"/>
          <w:szCs w:val="16"/>
          <w:lang w:val="es-ES"/>
        </w:rPr>
        <w:t>, Caso</w:t>
      </w:r>
      <w:r w:rsidRPr="00FD0AD9">
        <w:rPr>
          <w:rFonts w:asciiTheme="majorHAnsi" w:hAnsiTheme="majorHAnsi"/>
          <w:sz w:val="16"/>
          <w:szCs w:val="16"/>
          <w:lang w:val="es-ES"/>
        </w:rPr>
        <w:t xml:space="preserve"> 11.139, William Andrews</w:t>
      </w:r>
      <w:r>
        <w:rPr>
          <w:rFonts w:asciiTheme="majorHAnsi" w:hAnsiTheme="majorHAnsi"/>
          <w:sz w:val="16"/>
          <w:szCs w:val="16"/>
          <w:lang w:val="es-ES"/>
        </w:rPr>
        <w:t>. Fondo.</w:t>
      </w:r>
      <w:r w:rsidRPr="00FD0AD9">
        <w:rPr>
          <w:rFonts w:asciiTheme="majorHAnsi" w:hAnsiTheme="majorHAnsi"/>
          <w:sz w:val="16"/>
          <w:szCs w:val="16"/>
          <w:lang w:val="es-ES"/>
        </w:rPr>
        <w:t xml:space="preserve"> </w:t>
      </w:r>
      <w:r>
        <w:rPr>
          <w:rFonts w:asciiTheme="majorHAnsi" w:hAnsiTheme="majorHAnsi"/>
          <w:sz w:val="16"/>
          <w:szCs w:val="16"/>
          <w:lang w:val="es-ES"/>
        </w:rPr>
        <w:t>Estados Unidos. 6 de diciembre de 1996, párr.</w:t>
      </w:r>
      <w:r w:rsidRPr="00FD0AD9">
        <w:rPr>
          <w:rFonts w:asciiTheme="majorHAnsi" w:hAnsiTheme="majorHAnsi"/>
          <w:sz w:val="16"/>
          <w:szCs w:val="16"/>
          <w:lang w:val="es-ES"/>
        </w:rPr>
        <w:t xml:space="preserve"> 4.</w:t>
      </w:r>
    </w:p>
  </w:footnote>
  <w:footnote w:id="51">
    <w:p w14:paraId="7F7AFB65"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CIDH. Informe No.</w:t>
      </w:r>
      <w:r w:rsidRPr="00FD0AD9">
        <w:rPr>
          <w:rFonts w:asciiTheme="majorHAnsi" w:hAnsiTheme="majorHAnsi"/>
          <w:color w:val="auto"/>
          <w:sz w:val="16"/>
          <w:szCs w:val="16"/>
          <w:lang w:val="es-ES"/>
        </w:rPr>
        <w:t xml:space="preserve"> 57/97, Cas</w:t>
      </w:r>
      <w:r>
        <w:rPr>
          <w:rFonts w:asciiTheme="majorHAnsi" w:hAnsiTheme="majorHAnsi"/>
          <w:color w:val="auto"/>
          <w:sz w:val="16"/>
          <w:szCs w:val="16"/>
          <w:lang w:val="es-ES"/>
        </w:rPr>
        <w:t>o</w:t>
      </w:r>
      <w:r w:rsidRPr="00FD0AD9">
        <w:rPr>
          <w:rFonts w:asciiTheme="majorHAnsi" w:hAnsiTheme="majorHAnsi"/>
          <w:color w:val="auto"/>
          <w:sz w:val="16"/>
          <w:szCs w:val="16"/>
          <w:lang w:val="es-ES"/>
        </w:rPr>
        <w:t xml:space="preserve"> 11.139, William Andrews</w:t>
      </w:r>
      <w:r>
        <w:rPr>
          <w:rFonts w:asciiTheme="majorHAnsi" w:hAnsiTheme="majorHAnsi"/>
          <w:color w:val="auto"/>
          <w:sz w:val="16"/>
          <w:szCs w:val="16"/>
          <w:lang w:val="es-ES"/>
        </w:rPr>
        <w:t>. Fondo.</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Estados Unidos. 6 de diciembre de 1996, párr.</w:t>
      </w:r>
      <w:r w:rsidRPr="00FD0AD9">
        <w:rPr>
          <w:rFonts w:asciiTheme="majorHAnsi" w:hAnsiTheme="majorHAnsi"/>
          <w:color w:val="auto"/>
          <w:sz w:val="16"/>
          <w:szCs w:val="16"/>
          <w:lang w:val="es-ES"/>
        </w:rPr>
        <w:t xml:space="preserve"> 159.</w:t>
      </w:r>
    </w:p>
  </w:footnote>
  <w:footnote w:id="52">
    <w:p w14:paraId="2C0B56B1" w14:textId="77777777" w:rsidR="007B69B1" w:rsidRPr="00FD0AD9" w:rsidRDefault="007B69B1" w:rsidP="00110F02">
      <w:pPr>
        <w:pStyle w:val="FootnoteText"/>
        <w:jc w:val="both"/>
        <w:rPr>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Pr>
          <w:rFonts w:asciiTheme="majorHAnsi" w:hAnsiTheme="majorHAnsi"/>
          <w:color w:val="auto"/>
          <w:sz w:val="16"/>
          <w:szCs w:val="16"/>
          <w:lang w:val="es-ES"/>
        </w:rPr>
        <w:t>CIDH. Informe No.</w:t>
      </w:r>
      <w:r w:rsidRPr="00FD0AD9">
        <w:rPr>
          <w:rFonts w:asciiTheme="majorHAnsi" w:hAnsiTheme="majorHAnsi"/>
          <w:color w:val="auto"/>
          <w:sz w:val="16"/>
          <w:szCs w:val="16"/>
          <w:lang w:val="es-ES"/>
        </w:rPr>
        <w:t xml:space="preserve"> 78/15, Cas</w:t>
      </w:r>
      <w:r>
        <w:rPr>
          <w:rFonts w:asciiTheme="majorHAnsi" w:hAnsiTheme="majorHAnsi"/>
          <w:color w:val="auto"/>
          <w:sz w:val="16"/>
          <w:szCs w:val="16"/>
          <w:lang w:val="es-ES"/>
        </w:rPr>
        <w:t>o</w:t>
      </w:r>
      <w:r w:rsidRPr="00FD0AD9">
        <w:rPr>
          <w:rFonts w:asciiTheme="majorHAnsi" w:hAnsiTheme="majorHAnsi"/>
          <w:color w:val="auto"/>
          <w:sz w:val="16"/>
          <w:szCs w:val="16"/>
          <w:lang w:val="es-ES"/>
        </w:rPr>
        <w:t xml:space="preserve"> 12.831. </w:t>
      </w:r>
      <w:r>
        <w:rPr>
          <w:rFonts w:asciiTheme="majorHAnsi" w:hAnsiTheme="majorHAnsi"/>
          <w:color w:val="auto"/>
          <w:sz w:val="16"/>
          <w:szCs w:val="16"/>
          <w:lang w:val="es-ES"/>
        </w:rPr>
        <w:t>Fondo (Publicación)</w:t>
      </w:r>
      <w:r w:rsidRPr="00FD0AD9">
        <w:rPr>
          <w:rFonts w:asciiTheme="majorHAnsi" w:hAnsiTheme="majorHAnsi"/>
          <w:color w:val="auto"/>
          <w:sz w:val="16"/>
          <w:szCs w:val="16"/>
          <w:lang w:val="es-ES"/>
        </w:rPr>
        <w:t xml:space="preserve">. Kevin Cooper. </w:t>
      </w:r>
      <w:r>
        <w:rPr>
          <w:rFonts w:asciiTheme="majorHAnsi" w:hAnsiTheme="majorHAnsi"/>
          <w:color w:val="auto"/>
          <w:sz w:val="16"/>
          <w:szCs w:val="16"/>
          <w:lang w:val="es-ES"/>
        </w:rPr>
        <w:t>Estados Unidos</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28 de octubre de 2015</w:t>
      </w:r>
    </w:p>
  </w:footnote>
  <w:footnote w:id="53">
    <w:p w14:paraId="4A0987A9"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CIDH. Informe No.</w:t>
      </w:r>
      <w:r w:rsidRPr="00FD0AD9">
        <w:rPr>
          <w:rFonts w:asciiTheme="majorHAnsi" w:hAnsiTheme="majorHAnsi"/>
          <w:color w:val="auto"/>
          <w:sz w:val="16"/>
          <w:szCs w:val="16"/>
          <w:lang w:val="es-ES"/>
        </w:rPr>
        <w:t xml:space="preserve"> 78/15, Cas</w:t>
      </w:r>
      <w:r>
        <w:rPr>
          <w:rFonts w:asciiTheme="majorHAnsi" w:hAnsiTheme="majorHAnsi"/>
          <w:color w:val="auto"/>
          <w:sz w:val="16"/>
          <w:szCs w:val="16"/>
          <w:lang w:val="es-ES"/>
        </w:rPr>
        <w:t>o</w:t>
      </w:r>
      <w:r w:rsidRPr="00FD0AD9">
        <w:rPr>
          <w:rFonts w:asciiTheme="majorHAnsi" w:hAnsiTheme="majorHAnsi"/>
          <w:color w:val="auto"/>
          <w:sz w:val="16"/>
          <w:szCs w:val="16"/>
          <w:lang w:val="es-ES"/>
        </w:rPr>
        <w:t xml:space="preserve"> 12.831. </w:t>
      </w:r>
      <w:r>
        <w:rPr>
          <w:rFonts w:asciiTheme="majorHAnsi" w:hAnsiTheme="majorHAnsi"/>
          <w:color w:val="auto"/>
          <w:sz w:val="16"/>
          <w:szCs w:val="16"/>
          <w:lang w:val="es-ES"/>
        </w:rPr>
        <w:t>Fondo (Publicación)</w:t>
      </w:r>
      <w:r w:rsidRPr="00FD0AD9">
        <w:rPr>
          <w:rFonts w:asciiTheme="majorHAnsi" w:hAnsiTheme="majorHAnsi"/>
          <w:color w:val="auto"/>
          <w:sz w:val="16"/>
          <w:szCs w:val="16"/>
          <w:lang w:val="es-ES"/>
        </w:rPr>
        <w:t xml:space="preserve">. Kevin Cooper. </w:t>
      </w:r>
      <w:r>
        <w:rPr>
          <w:rFonts w:asciiTheme="majorHAnsi" w:hAnsiTheme="majorHAnsi"/>
          <w:color w:val="auto"/>
          <w:sz w:val="16"/>
          <w:szCs w:val="16"/>
          <w:lang w:val="es-ES"/>
        </w:rPr>
        <w:t>Estados Unidos</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28 de octubre de 2015</w:t>
      </w:r>
      <w:r w:rsidRPr="00FD0AD9">
        <w:rPr>
          <w:rFonts w:asciiTheme="majorHAnsi" w:hAnsiTheme="majorHAnsi"/>
          <w:color w:val="auto"/>
          <w:sz w:val="16"/>
          <w:szCs w:val="16"/>
          <w:lang w:val="es-ES"/>
        </w:rPr>
        <w:t>, p</w:t>
      </w:r>
      <w:r>
        <w:rPr>
          <w:rFonts w:asciiTheme="majorHAnsi" w:hAnsiTheme="majorHAnsi"/>
          <w:color w:val="auto"/>
          <w:sz w:val="16"/>
          <w:szCs w:val="16"/>
          <w:lang w:val="es-ES"/>
        </w:rPr>
        <w:t>árrs</w:t>
      </w:r>
      <w:r w:rsidRPr="00FD0AD9">
        <w:rPr>
          <w:rFonts w:asciiTheme="majorHAnsi" w:hAnsiTheme="majorHAnsi"/>
          <w:color w:val="auto"/>
          <w:sz w:val="16"/>
          <w:szCs w:val="16"/>
          <w:lang w:val="es-ES"/>
        </w:rPr>
        <w:t xml:space="preserve">. 140 </w:t>
      </w:r>
      <w:r>
        <w:rPr>
          <w:rFonts w:asciiTheme="majorHAnsi" w:hAnsiTheme="majorHAnsi"/>
          <w:color w:val="auto"/>
          <w:sz w:val="16"/>
          <w:szCs w:val="16"/>
          <w:lang w:val="es-ES"/>
        </w:rPr>
        <w:t>y</w:t>
      </w:r>
      <w:r w:rsidRPr="00FD0AD9">
        <w:rPr>
          <w:rFonts w:asciiTheme="majorHAnsi" w:hAnsiTheme="majorHAnsi"/>
          <w:color w:val="auto"/>
          <w:sz w:val="16"/>
          <w:szCs w:val="16"/>
          <w:lang w:val="es-ES"/>
        </w:rPr>
        <w:t xml:space="preserve"> 141.</w:t>
      </w:r>
    </w:p>
  </w:footnote>
  <w:footnote w:id="54">
    <w:p w14:paraId="6AA6438C" w14:textId="77777777" w:rsidR="007B69B1" w:rsidRPr="00FD0AD9" w:rsidRDefault="007B69B1" w:rsidP="00110F02">
      <w:pPr>
        <w:pStyle w:val="FootnoteText"/>
        <w:jc w:val="both"/>
        <w:rPr>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Pr>
          <w:rFonts w:asciiTheme="majorHAnsi" w:hAnsiTheme="majorHAnsi"/>
          <w:color w:val="auto"/>
          <w:sz w:val="16"/>
          <w:szCs w:val="16"/>
          <w:lang w:val="es-ES"/>
        </w:rPr>
        <w:t>CIDH. Informe No.</w:t>
      </w:r>
      <w:r w:rsidRPr="00FD0AD9">
        <w:rPr>
          <w:rFonts w:asciiTheme="majorHAnsi" w:hAnsiTheme="majorHAnsi"/>
          <w:color w:val="auto"/>
          <w:sz w:val="16"/>
          <w:szCs w:val="16"/>
          <w:lang w:val="es-ES"/>
        </w:rPr>
        <w:t xml:space="preserve"> 78/15, Cas</w:t>
      </w:r>
      <w:r>
        <w:rPr>
          <w:rFonts w:asciiTheme="majorHAnsi" w:hAnsiTheme="majorHAnsi"/>
          <w:color w:val="auto"/>
          <w:sz w:val="16"/>
          <w:szCs w:val="16"/>
          <w:lang w:val="es-ES"/>
        </w:rPr>
        <w:t>o</w:t>
      </w:r>
      <w:r w:rsidRPr="00FD0AD9">
        <w:rPr>
          <w:rFonts w:asciiTheme="majorHAnsi" w:hAnsiTheme="majorHAnsi"/>
          <w:color w:val="auto"/>
          <w:sz w:val="16"/>
          <w:szCs w:val="16"/>
          <w:lang w:val="es-ES"/>
        </w:rPr>
        <w:t xml:space="preserve"> 12.831. </w:t>
      </w:r>
      <w:r>
        <w:rPr>
          <w:rFonts w:asciiTheme="majorHAnsi" w:hAnsiTheme="majorHAnsi"/>
          <w:color w:val="auto"/>
          <w:sz w:val="16"/>
          <w:szCs w:val="16"/>
          <w:lang w:val="es-ES"/>
        </w:rPr>
        <w:t>Fondo (Publicación)</w:t>
      </w:r>
      <w:r w:rsidRPr="00FD0AD9">
        <w:rPr>
          <w:rFonts w:asciiTheme="majorHAnsi" w:hAnsiTheme="majorHAnsi"/>
          <w:color w:val="auto"/>
          <w:sz w:val="16"/>
          <w:szCs w:val="16"/>
          <w:lang w:val="es-ES"/>
        </w:rPr>
        <w:t xml:space="preserve">. Kevin Cooper. </w:t>
      </w:r>
      <w:r>
        <w:rPr>
          <w:rFonts w:asciiTheme="majorHAnsi" w:hAnsiTheme="majorHAnsi"/>
          <w:color w:val="auto"/>
          <w:sz w:val="16"/>
          <w:szCs w:val="16"/>
          <w:lang w:val="es-ES"/>
        </w:rPr>
        <w:t>Estados Unidos</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28 de octubre de 2015, párr.</w:t>
      </w:r>
      <w:r w:rsidRPr="00FD0AD9">
        <w:rPr>
          <w:rFonts w:asciiTheme="majorHAnsi" w:hAnsiTheme="majorHAnsi"/>
          <w:color w:val="auto"/>
          <w:sz w:val="16"/>
          <w:szCs w:val="16"/>
          <w:lang w:val="es-ES"/>
        </w:rPr>
        <w:t xml:space="preserve"> 146.</w:t>
      </w:r>
    </w:p>
  </w:footnote>
  <w:footnote w:id="55">
    <w:p w14:paraId="077A33F2" w14:textId="77777777" w:rsidR="007B69B1" w:rsidRPr="00FD0AD9" w:rsidRDefault="007B69B1" w:rsidP="00110F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CERD</w:t>
      </w:r>
      <w:r>
        <w:rPr>
          <w:rFonts w:asciiTheme="majorHAnsi" w:hAnsiTheme="majorHAnsi"/>
          <w:sz w:val="16"/>
          <w:szCs w:val="16"/>
          <w:lang w:val="es-ES"/>
        </w:rPr>
        <w:t xml:space="preserve">. </w:t>
      </w:r>
      <w:r w:rsidRPr="00272751">
        <w:rPr>
          <w:rFonts w:asciiTheme="majorHAnsi" w:hAnsiTheme="majorHAnsi"/>
          <w:i/>
          <w:sz w:val="16"/>
          <w:szCs w:val="16"/>
          <w:lang w:val="es-ES"/>
        </w:rPr>
        <w:t>Observación General No. XXXI</w:t>
      </w:r>
      <w:r>
        <w:rPr>
          <w:rFonts w:asciiTheme="majorHAnsi" w:hAnsiTheme="majorHAnsi"/>
          <w:sz w:val="16"/>
          <w:szCs w:val="16"/>
          <w:lang w:val="es-ES"/>
        </w:rPr>
        <w:t xml:space="preserve">. Documento de las Naciones Unidas </w:t>
      </w:r>
      <w:r w:rsidRPr="00FD0AD9">
        <w:rPr>
          <w:rFonts w:asciiTheme="majorHAnsi" w:hAnsiTheme="majorHAnsi"/>
          <w:sz w:val="16"/>
          <w:szCs w:val="16"/>
          <w:lang w:val="es-ES"/>
        </w:rPr>
        <w:t>CERD/C/GC/31/Rev.4 (2005).</w:t>
      </w:r>
      <w:r>
        <w:rPr>
          <w:rFonts w:asciiTheme="majorHAnsi" w:hAnsiTheme="majorHAnsi"/>
          <w:sz w:val="16"/>
          <w:szCs w:val="16"/>
          <w:lang w:val="es-ES"/>
        </w:rPr>
        <w:t xml:space="preserve"> </w:t>
      </w:r>
    </w:p>
  </w:footnote>
  <w:footnote w:id="56">
    <w:p w14:paraId="76277578"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CIDH. </w:t>
      </w:r>
      <w:r w:rsidRPr="00E048EE">
        <w:rPr>
          <w:rFonts w:asciiTheme="majorHAnsi" w:hAnsiTheme="majorHAnsi"/>
          <w:i/>
          <w:color w:val="auto"/>
          <w:sz w:val="16"/>
          <w:szCs w:val="16"/>
          <w:lang w:val="es-ES"/>
        </w:rPr>
        <w:t>La situación de las personas afrodescendientes en las Américas</w:t>
      </w:r>
      <w:r>
        <w:rPr>
          <w:rFonts w:asciiTheme="majorHAnsi" w:hAnsiTheme="majorHAnsi"/>
          <w:color w:val="auto"/>
          <w:sz w:val="16"/>
          <w:szCs w:val="16"/>
          <w:lang w:val="es-ES"/>
        </w:rPr>
        <w:t>.</w:t>
      </w:r>
      <w:r w:rsidRPr="00FD0AD9">
        <w:rPr>
          <w:rFonts w:asciiTheme="majorHAnsi" w:hAnsiTheme="majorHAnsi"/>
          <w:color w:val="auto"/>
          <w:sz w:val="16"/>
          <w:szCs w:val="16"/>
          <w:lang w:val="es-ES"/>
        </w:rPr>
        <w:t xml:space="preserve"> OEA/Ser.L/V/II. Doc. 62, 5</w:t>
      </w:r>
      <w:r>
        <w:rPr>
          <w:rFonts w:asciiTheme="majorHAnsi" w:hAnsiTheme="majorHAnsi"/>
          <w:color w:val="auto"/>
          <w:sz w:val="16"/>
          <w:szCs w:val="16"/>
          <w:lang w:val="es-ES"/>
        </w:rPr>
        <w:t xml:space="preserve"> de diciembre de</w:t>
      </w:r>
      <w:r w:rsidRPr="00FD0AD9">
        <w:rPr>
          <w:rFonts w:asciiTheme="majorHAnsi" w:hAnsiTheme="majorHAnsi"/>
          <w:color w:val="auto"/>
          <w:sz w:val="16"/>
          <w:szCs w:val="16"/>
          <w:lang w:val="es-ES"/>
        </w:rPr>
        <w:t xml:space="preserve"> 2011</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184.</w:t>
      </w:r>
    </w:p>
  </w:footnote>
  <w:footnote w:id="57">
    <w:p w14:paraId="62D28363"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E048EE">
        <w:rPr>
          <w:rFonts w:asciiTheme="majorHAnsi" w:hAnsiTheme="majorHAnsi"/>
          <w:color w:val="auto"/>
          <w:sz w:val="16"/>
          <w:szCs w:val="16"/>
          <w:lang w:val="es-ES"/>
        </w:rPr>
        <w:t xml:space="preserve">CIDH. </w:t>
      </w:r>
      <w:r w:rsidRPr="00E048EE">
        <w:rPr>
          <w:rFonts w:asciiTheme="majorHAnsi" w:hAnsiTheme="majorHAnsi"/>
          <w:i/>
          <w:color w:val="auto"/>
          <w:sz w:val="16"/>
          <w:szCs w:val="16"/>
          <w:lang w:val="es-ES"/>
        </w:rPr>
        <w:t>La situación de las personas afrodescendientes en las Américas</w:t>
      </w:r>
      <w:r w:rsidRPr="00E048EE">
        <w:rPr>
          <w:rFonts w:asciiTheme="majorHAnsi" w:hAnsiTheme="majorHAnsi"/>
          <w:color w:val="auto"/>
          <w:sz w:val="16"/>
          <w:szCs w:val="16"/>
          <w:lang w:val="es-ES"/>
        </w:rPr>
        <w:t>. OEA/Ser.L/V/II. Doc. 62, 5 de diciembre de 2011</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189.</w:t>
      </w:r>
    </w:p>
  </w:footnote>
  <w:footnote w:id="58">
    <w:p w14:paraId="4107647A" w14:textId="77777777" w:rsidR="007B69B1" w:rsidRPr="00FD0AD9" w:rsidRDefault="007B69B1" w:rsidP="00110F02">
      <w:pPr>
        <w:pStyle w:val="FootnoteText"/>
        <w:rPr>
          <w:lang w:val="es-ES"/>
        </w:rPr>
      </w:pPr>
      <w:r w:rsidRPr="00FD0AD9">
        <w:rPr>
          <w:rStyle w:val="FootnoteReference"/>
          <w:rFonts w:asciiTheme="majorHAnsi" w:hAnsiTheme="majorHAnsi"/>
          <w:color w:val="auto"/>
          <w:sz w:val="16"/>
          <w:szCs w:val="16"/>
          <w:lang w:val="es-ES"/>
        </w:rPr>
        <w:footnoteRef/>
      </w:r>
      <w:r w:rsidRPr="00DA6F82">
        <w:rPr>
          <w:rFonts w:asciiTheme="majorHAnsi" w:hAnsiTheme="majorHAnsi"/>
          <w:color w:val="auto"/>
          <w:sz w:val="16"/>
          <w:szCs w:val="16"/>
          <w:lang w:val="es-ES"/>
        </w:rPr>
        <w:t>CIDH.</w:t>
      </w:r>
      <w:r w:rsidRPr="00FD0AD9">
        <w:rPr>
          <w:rFonts w:asciiTheme="majorHAnsi" w:hAnsiTheme="majorHAnsi"/>
          <w:color w:val="auto"/>
          <w:sz w:val="16"/>
          <w:szCs w:val="16"/>
          <w:lang w:val="es-ES"/>
        </w:rPr>
        <w:t xml:space="preserve"> </w:t>
      </w:r>
      <w:r w:rsidRPr="00DA6F82">
        <w:rPr>
          <w:rFonts w:asciiTheme="majorHAnsi" w:hAnsiTheme="majorHAnsi"/>
          <w:i/>
          <w:color w:val="auto"/>
          <w:sz w:val="16"/>
          <w:szCs w:val="16"/>
          <w:lang w:val="es-ES"/>
        </w:rPr>
        <w:t>Violencia policial contra afrodescendientes en Estados Unidos</w:t>
      </w:r>
      <w:r w:rsidRPr="00FD0AD9">
        <w:rPr>
          <w:rFonts w:asciiTheme="majorHAnsi" w:hAnsiTheme="majorHAnsi"/>
          <w:color w:val="auto"/>
          <w:sz w:val="16"/>
          <w:szCs w:val="16"/>
          <w:lang w:val="es-ES"/>
        </w:rPr>
        <w:t>. 26</w:t>
      </w:r>
      <w:r>
        <w:rPr>
          <w:rFonts w:asciiTheme="majorHAnsi" w:hAnsiTheme="majorHAnsi"/>
          <w:color w:val="auto"/>
          <w:sz w:val="16"/>
          <w:szCs w:val="16"/>
          <w:lang w:val="es-ES"/>
        </w:rPr>
        <w:t xml:space="preserve"> de noviembre de</w:t>
      </w:r>
      <w:r w:rsidRPr="00FD0AD9">
        <w:rPr>
          <w:rFonts w:asciiTheme="majorHAnsi" w:hAnsiTheme="majorHAnsi"/>
          <w:color w:val="auto"/>
          <w:sz w:val="16"/>
          <w:szCs w:val="16"/>
          <w:lang w:val="es-ES"/>
        </w:rPr>
        <w:t xml:space="preserve"> 2018</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136.</w:t>
      </w:r>
    </w:p>
  </w:footnote>
  <w:footnote w:id="59">
    <w:p w14:paraId="53A66B4B" w14:textId="77777777" w:rsidR="007B69B1" w:rsidRPr="00FD0AD9" w:rsidRDefault="007B69B1" w:rsidP="00110F02">
      <w:pPr>
        <w:pStyle w:val="FootnoteText"/>
        <w:rPr>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sidRPr="00DA6F82">
        <w:rPr>
          <w:rFonts w:asciiTheme="majorHAnsi" w:hAnsiTheme="majorHAnsi"/>
          <w:color w:val="auto"/>
          <w:sz w:val="16"/>
          <w:szCs w:val="16"/>
          <w:lang w:val="es-ES"/>
        </w:rPr>
        <w:t>CIDH.</w:t>
      </w:r>
      <w:r w:rsidRPr="00FD0AD9">
        <w:rPr>
          <w:rFonts w:asciiTheme="majorHAnsi" w:hAnsiTheme="majorHAnsi"/>
          <w:color w:val="auto"/>
          <w:sz w:val="16"/>
          <w:szCs w:val="16"/>
          <w:lang w:val="es-ES"/>
        </w:rPr>
        <w:t xml:space="preserve"> </w:t>
      </w:r>
      <w:r w:rsidRPr="00DA6F82">
        <w:rPr>
          <w:rFonts w:asciiTheme="majorHAnsi" w:hAnsiTheme="majorHAnsi"/>
          <w:i/>
          <w:color w:val="auto"/>
          <w:sz w:val="16"/>
          <w:szCs w:val="16"/>
          <w:lang w:val="es-ES"/>
        </w:rPr>
        <w:t>Violencia policial contra afrodescendientes en Estados Unidos</w:t>
      </w:r>
      <w:r w:rsidRPr="00FD0AD9">
        <w:rPr>
          <w:rFonts w:asciiTheme="majorHAnsi" w:hAnsiTheme="majorHAnsi"/>
          <w:color w:val="auto"/>
          <w:sz w:val="16"/>
          <w:szCs w:val="16"/>
          <w:lang w:val="es-ES"/>
        </w:rPr>
        <w:t>. 26</w:t>
      </w:r>
      <w:r>
        <w:rPr>
          <w:rFonts w:asciiTheme="majorHAnsi" w:hAnsiTheme="majorHAnsi"/>
          <w:color w:val="auto"/>
          <w:sz w:val="16"/>
          <w:szCs w:val="16"/>
          <w:lang w:val="es-ES"/>
        </w:rPr>
        <w:t xml:space="preserve"> de noviembre de</w:t>
      </w:r>
      <w:r w:rsidRPr="00FD0AD9">
        <w:rPr>
          <w:rFonts w:asciiTheme="majorHAnsi" w:hAnsiTheme="majorHAnsi"/>
          <w:color w:val="auto"/>
          <w:sz w:val="16"/>
          <w:szCs w:val="16"/>
          <w:lang w:val="es-ES"/>
        </w:rPr>
        <w:t xml:space="preserve"> 2018</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196.</w:t>
      </w:r>
    </w:p>
  </w:footnote>
  <w:footnote w:id="60">
    <w:p w14:paraId="326F0752" w14:textId="77777777" w:rsidR="007B69B1" w:rsidRPr="002B4A1F" w:rsidRDefault="007B69B1">
      <w:pPr>
        <w:pStyle w:val="FootnoteText"/>
        <w:rPr>
          <w:lang w:val="es-ES"/>
        </w:rPr>
      </w:pPr>
      <w:r w:rsidRPr="002D1D6A">
        <w:rPr>
          <w:rStyle w:val="FootnoteReference"/>
          <w:rFonts w:asciiTheme="majorHAnsi" w:hAnsiTheme="majorHAnsi"/>
          <w:color w:val="auto"/>
          <w:sz w:val="16"/>
          <w:szCs w:val="16"/>
          <w:lang w:val="es-ES"/>
        </w:rPr>
        <w:footnoteRef/>
      </w:r>
      <w:r w:rsidRPr="002D1D6A">
        <w:rPr>
          <w:rStyle w:val="FootnoteReference"/>
          <w:rFonts w:asciiTheme="majorHAnsi" w:hAnsiTheme="majorHAnsi"/>
          <w:color w:val="auto"/>
          <w:sz w:val="16"/>
          <w:szCs w:val="16"/>
          <w:lang w:val="es-ES"/>
        </w:rPr>
        <w:t xml:space="preserve"> </w:t>
      </w:r>
      <w:r w:rsidRPr="00DA6F82">
        <w:rPr>
          <w:rFonts w:asciiTheme="majorHAnsi" w:hAnsiTheme="majorHAnsi"/>
          <w:color w:val="auto"/>
          <w:sz w:val="16"/>
          <w:szCs w:val="16"/>
          <w:lang w:val="es-ES"/>
        </w:rPr>
        <w:t>CIDH.</w:t>
      </w:r>
      <w:r w:rsidRPr="00FD0AD9">
        <w:rPr>
          <w:rFonts w:asciiTheme="majorHAnsi" w:hAnsiTheme="majorHAnsi"/>
          <w:color w:val="auto"/>
          <w:sz w:val="16"/>
          <w:szCs w:val="16"/>
          <w:lang w:val="es-ES"/>
        </w:rPr>
        <w:t xml:space="preserve"> </w:t>
      </w:r>
      <w:r w:rsidRPr="00DA6F82">
        <w:rPr>
          <w:rFonts w:asciiTheme="majorHAnsi" w:hAnsiTheme="majorHAnsi"/>
          <w:i/>
          <w:color w:val="auto"/>
          <w:sz w:val="16"/>
          <w:szCs w:val="16"/>
          <w:lang w:val="es-ES"/>
        </w:rPr>
        <w:t>Violencia policial contra afrodescendientes en Estados Unidos</w:t>
      </w:r>
      <w:r w:rsidRPr="00FD0AD9">
        <w:rPr>
          <w:rFonts w:asciiTheme="majorHAnsi" w:hAnsiTheme="majorHAnsi"/>
          <w:color w:val="auto"/>
          <w:sz w:val="16"/>
          <w:szCs w:val="16"/>
          <w:lang w:val="es-ES"/>
        </w:rPr>
        <w:t>. 26</w:t>
      </w:r>
      <w:r>
        <w:rPr>
          <w:rFonts w:asciiTheme="majorHAnsi" w:hAnsiTheme="majorHAnsi"/>
          <w:color w:val="auto"/>
          <w:sz w:val="16"/>
          <w:szCs w:val="16"/>
          <w:lang w:val="es-ES"/>
        </w:rPr>
        <w:t xml:space="preserve"> de noviembre de</w:t>
      </w:r>
      <w:r w:rsidRPr="00FD0AD9">
        <w:rPr>
          <w:rFonts w:asciiTheme="majorHAnsi" w:hAnsiTheme="majorHAnsi"/>
          <w:color w:val="auto"/>
          <w:sz w:val="16"/>
          <w:szCs w:val="16"/>
          <w:lang w:val="es-ES"/>
        </w:rPr>
        <w:t xml:space="preserve"> 2018</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7</w:t>
      </w:r>
      <w:r w:rsidRPr="00FD0AD9">
        <w:rPr>
          <w:rFonts w:asciiTheme="majorHAnsi" w:hAnsiTheme="majorHAnsi"/>
          <w:color w:val="auto"/>
          <w:sz w:val="16"/>
          <w:szCs w:val="16"/>
          <w:lang w:val="es-ES"/>
        </w:rPr>
        <w:t>.</w:t>
      </w:r>
    </w:p>
  </w:footnote>
  <w:footnote w:id="61">
    <w:p w14:paraId="68789DEB" w14:textId="77777777" w:rsidR="007B69B1" w:rsidRPr="002B4A1F" w:rsidRDefault="007B69B1">
      <w:pPr>
        <w:pStyle w:val="FootnoteText"/>
        <w:rPr>
          <w:lang w:val="es-ES"/>
        </w:rPr>
      </w:pPr>
      <w:r w:rsidRPr="002B4A1F">
        <w:rPr>
          <w:rStyle w:val="FootnoteReference"/>
          <w:rFonts w:asciiTheme="majorHAnsi" w:hAnsiTheme="majorHAnsi"/>
          <w:color w:val="auto"/>
          <w:sz w:val="16"/>
          <w:szCs w:val="16"/>
          <w:lang w:val="es-ES"/>
        </w:rPr>
        <w:footnoteRef/>
      </w:r>
      <w:r w:rsidRPr="002B4A1F">
        <w:rPr>
          <w:lang w:val="es-ES"/>
        </w:rPr>
        <w:t xml:space="preserve"> </w:t>
      </w:r>
      <w:r w:rsidRPr="00DA6F82">
        <w:rPr>
          <w:rFonts w:asciiTheme="majorHAnsi" w:hAnsiTheme="majorHAnsi"/>
          <w:color w:val="auto"/>
          <w:sz w:val="16"/>
          <w:szCs w:val="16"/>
          <w:lang w:val="es-ES"/>
        </w:rPr>
        <w:t>CIDH.</w:t>
      </w:r>
      <w:r w:rsidRPr="00FD0AD9">
        <w:rPr>
          <w:rFonts w:asciiTheme="majorHAnsi" w:hAnsiTheme="majorHAnsi"/>
          <w:color w:val="auto"/>
          <w:sz w:val="16"/>
          <w:szCs w:val="16"/>
          <w:lang w:val="es-ES"/>
        </w:rPr>
        <w:t xml:space="preserve"> </w:t>
      </w:r>
      <w:r w:rsidRPr="00DA6F82">
        <w:rPr>
          <w:rFonts w:asciiTheme="majorHAnsi" w:hAnsiTheme="majorHAnsi"/>
          <w:i/>
          <w:color w:val="auto"/>
          <w:sz w:val="16"/>
          <w:szCs w:val="16"/>
          <w:lang w:val="es-ES"/>
        </w:rPr>
        <w:t>Violencia policial contra afrodescendientes en Estados Unidos</w:t>
      </w:r>
      <w:r w:rsidRPr="00FD0AD9">
        <w:rPr>
          <w:rFonts w:asciiTheme="majorHAnsi" w:hAnsiTheme="majorHAnsi"/>
          <w:color w:val="auto"/>
          <w:sz w:val="16"/>
          <w:szCs w:val="16"/>
          <w:lang w:val="es-ES"/>
        </w:rPr>
        <w:t>. 26</w:t>
      </w:r>
      <w:r>
        <w:rPr>
          <w:rFonts w:asciiTheme="majorHAnsi" w:hAnsiTheme="majorHAnsi"/>
          <w:color w:val="auto"/>
          <w:sz w:val="16"/>
          <w:szCs w:val="16"/>
          <w:lang w:val="es-ES"/>
        </w:rPr>
        <w:t xml:space="preserve"> de noviembre de</w:t>
      </w:r>
      <w:r w:rsidRPr="00FD0AD9">
        <w:rPr>
          <w:rFonts w:asciiTheme="majorHAnsi" w:hAnsiTheme="majorHAnsi"/>
          <w:color w:val="auto"/>
          <w:sz w:val="16"/>
          <w:szCs w:val="16"/>
          <w:lang w:val="es-ES"/>
        </w:rPr>
        <w:t xml:space="preserve"> 2018</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42</w:t>
      </w:r>
      <w:r w:rsidRPr="00FD0AD9">
        <w:rPr>
          <w:rFonts w:asciiTheme="majorHAnsi" w:hAnsiTheme="majorHAnsi"/>
          <w:color w:val="auto"/>
          <w:sz w:val="16"/>
          <w:szCs w:val="16"/>
          <w:lang w:val="es-ES"/>
        </w:rPr>
        <w:t>.</w:t>
      </w:r>
    </w:p>
  </w:footnote>
  <w:footnote w:id="62">
    <w:p w14:paraId="764F24FF" w14:textId="77777777" w:rsidR="007B69B1" w:rsidRPr="0072774E" w:rsidRDefault="007B69B1" w:rsidP="00110F02">
      <w:pPr>
        <w:pStyle w:val="FootnoteText"/>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sidRPr="00E048EE">
        <w:rPr>
          <w:rFonts w:asciiTheme="majorHAnsi" w:hAnsiTheme="majorHAnsi"/>
          <w:color w:val="auto"/>
          <w:sz w:val="16"/>
          <w:szCs w:val="16"/>
          <w:lang w:val="es-ES"/>
        </w:rPr>
        <w:t xml:space="preserve">CIDH. </w:t>
      </w:r>
      <w:r w:rsidRPr="00E048EE">
        <w:rPr>
          <w:rFonts w:asciiTheme="majorHAnsi" w:hAnsiTheme="majorHAnsi"/>
          <w:i/>
          <w:color w:val="auto"/>
          <w:sz w:val="16"/>
          <w:szCs w:val="16"/>
          <w:lang w:val="es-ES"/>
        </w:rPr>
        <w:t>Violencia policial contra afrodescendientes en Estados Unidos</w:t>
      </w:r>
      <w:r w:rsidRPr="00E048EE">
        <w:rPr>
          <w:rFonts w:asciiTheme="majorHAnsi" w:hAnsiTheme="majorHAnsi"/>
          <w:color w:val="auto"/>
          <w:sz w:val="16"/>
          <w:szCs w:val="16"/>
          <w:lang w:val="es-ES"/>
        </w:rPr>
        <w:t xml:space="preserve">. </w:t>
      </w:r>
      <w:r w:rsidRPr="0072774E">
        <w:rPr>
          <w:rFonts w:asciiTheme="majorHAnsi" w:hAnsiTheme="majorHAnsi"/>
          <w:color w:val="auto"/>
          <w:sz w:val="16"/>
          <w:szCs w:val="16"/>
        </w:rPr>
        <w:t>26 de noviembre de 2018, párr. 197.</w:t>
      </w:r>
    </w:p>
  </w:footnote>
  <w:footnote w:id="63">
    <w:p w14:paraId="554B48AA" w14:textId="77777777" w:rsidR="007B69B1" w:rsidRPr="00093719" w:rsidRDefault="007B69B1">
      <w:pPr>
        <w:pStyle w:val="FootnoteText"/>
      </w:pPr>
      <w:r w:rsidRPr="00EA2B57">
        <w:rPr>
          <w:rStyle w:val="FootnoteReference"/>
          <w:rFonts w:asciiTheme="majorHAnsi" w:hAnsiTheme="majorHAnsi"/>
          <w:color w:val="auto"/>
          <w:sz w:val="16"/>
          <w:szCs w:val="16"/>
          <w:lang w:val="es-ES"/>
        </w:rPr>
        <w:footnoteRef/>
      </w:r>
      <w:r w:rsidRPr="00093719">
        <w:t xml:space="preserve"> </w:t>
      </w:r>
      <w:r w:rsidRPr="008227E1">
        <w:rPr>
          <w:rFonts w:asciiTheme="majorHAnsi" w:hAnsiTheme="majorHAnsi"/>
          <w:bCs/>
          <w:color w:val="auto"/>
          <w:sz w:val="16"/>
          <w:szCs w:val="16"/>
        </w:rPr>
        <w:t>Flowers v</w:t>
      </w:r>
      <w:r w:rsidRPr="008227E1">
        <w:rPr>
          <w:rFonts w:asciiTheme="majorHAnsi" w:hAnsiTheme="majorHAnsi"/>
          <w:color w:val="auto"/>
          <w:sz w:val="16"/>
          <w:szCs w:val="16"/>
        </w:rPr>
        <w:t xml:space="preserve">. </w:t>
      </w:r>
      <w:r w:rsidRPr="008227E1">
        <w:rPr>
          <w:rFonts w:asciiTheme="majorHAnsi" w:hAnsiTheme="majorHAnsi"/>
          <w:bCs/>
          <w:color w:val="auto"/>
          <w:sz w:val="16"/>
          <w:szCs w:val="16"/>
        </w:rPr>
        <w:t>Mississippi</w:t>
      </w:r>
      <w:r w:rsidRPr="008227E1">
        <w:rPr>
          <w:rFonts w:asciiTheme="majorHAnsi" w:hAnsiTheme="majorHAnsi"/>
          <w:color w:val="auto"/>
          <w:sz w:val="16"/>
          <w:szCs w:val="16"/>
        </w:rPr>
        <w:t xml:space="preserve">, No. 17–9572, 588 </w:t>
      </w:r>
      <w:r w:rsidRPr="008227E1">
        <w:rPr>
          <w:rFonts w:asciiTheme="majorHAnsi" w:hAnsiTheme="majorHAnsi"/>
          <w:bCs/>
          <w:color w:val="auto"/>
          <w:sz w:val="16"/>
          <w:szCs w:val="16"/>
        </w:rPr>
        <w:t>U.S.</w:t>
      </w:r>
      <w:r w:rsidRPr="008227E1">
        <w:rPr>
          <w:rFonts w:asciiTheme="majorHAnsi" w:hAnsiTheme="majorHAnsi"/>
          <w:color w:val="auto"/>
          <w:sz w:val="16"/>
          <w:szCs w:val="16"/>
        </w:rPr>
        <w:t xml:space="preserve"> ___ (2019)</w:t>
      </w:r>
      <w:r>
        <w:rPr>
          <w:rFonts w:asciiTheme="majorHAnsi" w:hAnsiTheme="majorHAnsi"/>
          <w:color w:val="auto"/>
          <w:sz w:val="16"/>
          <w:szCs w:val="16"/>
        </w:rPr>
        <w:t>, pág. 15.</w:t>
      </w:r>
    </w:p>
  </w:footnote>
  <w:footnote w:id="64">
    <w:p w14:paraId="442F8FAD" w14:textId="77777777" w:rsidR="007B69B1" w:rsidRPr="00DD5969" w:rsidRDefault="007B69B1" w:rsidP="00CB49AE">
      <w:pPr>
        <w:pStyle w:val="FootnoteText"/>
        <w:jc w:val="both"/>
        <w:rPr>
          <w:lang w:val="fr-FR"/>
        </w:rPr>
      </w:pPr>
      <w:r w:rsidRPr="00CB49AE">
        <w:rPr>
          <w:rStyle w:val="FootnoteReference"/>
          <w:rFonts w:asciiTheme="majorHAnsi" w:hAnsiTheme="majorHAnsi"/>
          <w:color w:val="auto"/>
          <w:sz w:val="16"/>
          <w:szCs w:val="16"/>
          <w:lang w:val="es-ES"/>
        </w:rPr>
        <w:footnoteRef/>
      </w:r>
      <w:r w:rsidRPr="003C2FF3">
        <w:rPr>
          <w:rStyle w:val="FootnoteReference"/>
          <w:rFonts w:asciiTheme="majorHAnsi" w:hAnsiTheme="majorHAnsi"/>
          <w:color w:val="auto"/>
          <w:sz w:val="16"/>
          <w:szCs w:val="16"/>
        </w:rPr>
        <w:t xml:space="preserve"> </w:t>
      </w:r>
      <w:r w:rsidRPr="005232E1">
        <w:rPr>
          <w:rFonts w:asciiTheme="majorHAnsi" w:hAnsiTheme="majorHAnsi"/>
          <w:sz w:val="16"/>
          <w:szCs w:val="16"/>
        </w:rPr>
        <w:t xml:space="preserve">Equal Justice Initiative. Illegal Racial Discrimination in Jury Selection: A Continuing Legacy. </w:t>
      </w:r>
      <w:r w:rsidRPr="00DD5969">
        <w:rPr>
          <w:rFonts w:asciiTheme="majorHAnsi" w:hAnsiTheme="majorHAnsi"/>
          <w:sz w:val="16"/>
          <w:szCs w:val="16"/>
          <w:lang w:val="fr-FR"/>
        </w:rPr>
        <w:t xml:space="preserve">August 2010. Disponible en: </w:t>
      </w:r>
      <w:hyperlink r:id="rId3" w:history="1">
        <w:r w:rsidRPr="00DD5969">
          <w:rPr>
            <w:rStyle w:val="Hyperlink"/>
            <w:rFonts w:asciiTheme="majorHAnsi" w:hAnsiTheme="majorHAnsi"/>
            <w:sz w:val="16"/>
            <w:szCs w:val="16"/>
            <w:lang w:val="fr-FR"/>
          </w:rPr>
          <w:t>https://eji.org/sites/default/files/illegal-racial-discrimination-in-jury-selection.pdf</w:t>
        </w:r>
      </w:hyperlink>
    </w:p>
  </w:footnote>
  <w:footnote w:id="65">
    <w:p w14:paraId="6FA7CB98" w14:textId="77777777" w:rsidR="007B69B1" w:rsidRPr="00FD0AD9" w:rsidRDefault="007B69B1" w:rsidP="00110F02">
      <w:pPr>
        <w:pStyle w:val="FootnoteText"/>
        <w:jc w:val="both"/>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w:t>
      </w:r>
      <w:r w:rsidRPr="0084159C">
        <w:rPr>
          <w:rFonts w:asciiTheme="majorHAnsi" w:eastAsia="Arial Unicode MS" w:hAnsiTheme="majorHAnsi" w:cs="Times New Roman"/>
          <w:color w:val="auto"/>
          <w:sz w:val="16"/>
          <w:szCs w:val="16"/>
          <w:lang w:val="es-ES" w:eastAsia="en-US"/>
        </w:rPr>
        <w:t xml:space="preserve">El artículo XVIII de la Declaración Americana dice: “Toda persona puede ocurrir a los tribunales para hacer valer sus derechos. </w:t>
      </w:r>
      <w:r w:rsidR="00261E95" w:rsidRPr="0084159C">
        <w:rPr>
          <w:rFonts w:asciiTheme="majorHAnsi" w:eastAsia="Arial Unicode MS" w:hAnsiTheme="majorHAnsi" w:cs="Times New Roman"/>
          <w:color w:val="auto"/>
          <w:sz w:val="16"/>
          <w:szCs w:val="16"/>
          <w:lang w:val="es-ES" w:eastAsia="en-US"/>
        </w:rPr>
        <w:t>Asimismo,</w:t>
      </w:r>
      <w:r w:rsidRPr="0084159C">
        <w:rPr>
          <w:rFonts w:asciiTheme="majorHAnsi" w:eastAsia="Arial Unicode MS" w:hAnsiTheme="majorHAnsi" w:cs="Times New Roman"/>
          <w:color w:val="auto"/>
          <w:sz w:val="16"/>
          <w:szCs w:val="16"/>
          <w:lang w:val="es-ES" w:eastAsia="en-US"/>
        </w:rPr>
        <w:t xml:space="preserve"> debe disponer de un procedimiento sencillo y breve por el cual la justicia lo ampare contra actos de la autoridad que violen, en perjuicio suyo, alguno de los derechos fundamentales consagrados constitucionalmente”.</w:t>
      </w:r>
    </w:p>
  </w:footnote>
  <w:footnote w:id="66">
    <w:p w14:paraId="133A67B4"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w:t>
      </w:r>
      <w:r w:rsidRPr="0084159C">
        <w:rPr>
          <w:rFonts w:asciiTheme="majorHAnsi" w:eastAsia="Arial Unicode MS" w:hAnsiTheme="majorHAnsi" w:cs="Times New Roman"/>
          <w:color w:val="auto"/>
          <w:sz w:val="16"/>
          <w:szCs w:val="16"/>
          <w:lang w:val="es-ES" w:eastAsia="en-US"/>
        </w:rPr>
        <w:t>El artículo XXVI de la Declaración Americana dice: “Se presume que todo acusado es inocente, hasta que se pruebe que es culpable. Toda persona acusada de delito tiene derecho a ser oída en forma imparcial y pública, a ser juzgada por tribunales anteriormente establecidos de acuerdo con leyes preexistentes y a que no se le imponga penas crueles, infamantes o inusitadas”</w:t>
      </w:r>
      <w:r w:rsidRPr="00FD0AD9">
        <w:rPr>
          <w:rFonts w:asciiTheme="majorHAnsi" w:hAnsiTheme="majorHAnsi"/>
          <w:sz w:val="16"/>
          <w:szCs w:val="16"/>
          <w:lang w:val="es-ES"/>
        </w:rPr>
        <w:t>.</w:t>
      </w:r>
    </w:p>
  </w:footnote>
  <w:footnote w:id="67">
    <w:p w14:paraId="42A92401" w14:textId="77777777" w:rsidR="007B69B1" w:rsidRPr="00FD0AD9" w:rsidRDefault="007B69B1" w:rsidP="00110F02">
      <w:pPr>
        <w:pStyle w:val="FootnoteText"/>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Pr>
          <w:rFonts w:asciiTheme="majorHAnsi" w:hAnsiTheme="majorHAnsi"/>
          <w:sz w:val="16"/>
          <w:szCs w:val="16"/>
          <w:lang w:val="es-ES"/>
        </w:rPr>
        <w:t>CIDH. Informe No.</w:t>
      </w:r>
      <w:r w:rsidRPr="00FD0AD9">
        <w:rPr>
          <w:rFonts w:asciiTheme="majorHAnsi" w:hAnsiTheme="majorHAnsi"/>
          <w:sz w:val="16"/>
          <w:szCs w:val="16"/>
          <w:lang w:val="es-ES"/>
        </w:rPr>
        <w:t xml:space="preserve"> 52/01. Cas</w:t>
      </w:r>
      <w:r>
        <w:rPr>
          <w:rFonts w:asciiTheme="majorHAnsi" w:hAnsiTheme="majorHAnsi"/>
          <w:sz w:val="16"/>
          <w:szCs w:val="16"/>
          <w:lang w:val="es-ES"/>
        </w:rPr>
        <w:t>o</w:t>
      </w:r>
      <w:r w:rsidRPr="00FD0AD9">
        <w:rPr>
          <w:rFonts w:asciiTheme="majorHAnsi" w:hAnsiTheme="majorHAnsi"/>
          <w:sz w:val="16"/>
          <w:szCs w:val="16"/>
          <w:lang w:val="es-ES"/>
        </w:rPr>
        <w:t xml:space="preserve"> 12.243. Juan Raúl Garza. </w:t>
      </w:r>
      <w:r>
        <w:rPr>
          <w:rFonts w:asciiTheme="majorHAnsi" w:hAnsiTheme="majorHAnsi"/>
          <w:sz w:val="16"/>
          <w:szCs w:val="16"/>
          <w:lang w:val="es-ES"/>
        </w:rPr>
        <w:t>Estados Unidos</w:t>
      </w:r>
      <w:r w:rsidRPr="00FD0AD9">
        <w:rPr>
          <w:rFonts w:asciiTheme="majorHAnsi" w:hAnsiTheme="majorHAnsi"/>
          <w:sz w:val="16"/>
          <w:szCs w:val="16"/>
          <w:lang w:val="es-ES"/>
        </w:rPr>
        <w:t xml:space="preserve">. </w:t>
      </w:r>
      <w:r>
        <w:rPr>
          <w:rFonts w:asciiTheme="majorHAnsi" w:hAnsiTheme="majorHAnsi"/>
          <w:sz w:val="16"/>
          <w:szCs w:val="16"/>
          <w:lang w:val="es-ES"/>
        </w:rPr>
        <w:t>4 de abril de 2001, párr.</w:t>
      </w:r>
      <w:r w:rsidRPr="00FD0AD9">
        <w:rPr>
          <w:rFonts w:asciiTheme="majorHAnsi" w:hAnsiTheme="majorHAnsi"/>
          <w:sz w:val="16"/>
          <w:szCs w:val="16"/>
          <w:lang w:val="es-ES"/>
        </w:rPr>
        <w:t xml:space="preserve"> 110.</w:t>
      </w:r>
    </w:p>
  </w:footnote>
  <w:footnote w:id="68">
    <w:p w14:paraId="6DD71C5E" w14:textId="77777777" w:rsidR="007B69B1" w:rsidRPr="00FD0AD9" w:rsidRDefault="007B69B1" w:rsidP="00110F02">
      <w:pPr>
        <w:pStyle w:val="FootnoteText"/>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Pr>
          <w:rFonts w:asciiTheme="majorHAnsi" w:hAnsiTheme="majorHAnsi"/>
          <w:sz w:val="16"/>
          <w:szCs w:val="16"/>
          <w:lang w:val="es-ES"/>
        </w:rPr>
        <w:t>CIDH. Informe No.</w:t>
      </w:r>
      <w:r w:rsidRPr="00FD0AD9">
        <w:rPr>
          <w:rFonts w:asciiTheme="majorHAnsi" w:hAnsiTheme="majorHAnsi"/>
          <w:sz w:val="16"/>
          <w:szCs w:val="16"/>
          <w:lang w:val="es-ES"/>
        </w:rPr>
        <w:t xml:space="preserve"> 52/01. Cas</w:t>
      </w:r>
      <w:r>
        <w:rPr>
          <w:rFonts w:asciiTheme="majorHAnsi" w:hAnsiTheme="majorHAnsi"/>
          <w:sz w:val="16"/>
          <w:szCs w:val="16"/>
          <w:lang w:val="es-ES"/>
        </w:rPr>
        <w:t>o</w:t>
      </w:r>
      <w:r w:rsidRPr="00FD0AD9">
        <w:rPr>
          <w:rFonts w:asciiTheme="majorHAnsi" w:hAnsiTheme="majorHAnsi"/>
          <w:sz w:val="16"/>
          <w:szCs w:val="16"/>
          <w:lang w:val="es-ES"/>
        </w:rPr>
        <w:t xml:space="preserve"> 12.243. Juan Raúl Garza. </w:t>
      </w:r>
      <w:r>
        <w:rPr>
          <w:rFonts w:asciiTheme="majorHAnsi" w:hAnsiTheme="majorHAnsi"/>
          <w:sz w:val="16"/>
          <w:szCs w:val="16"/>
          <w:lang w:val="es-ES"/>
        </w:rPr>
        <w:t>Estados Unidos</w:t>
      </w:r>
      <w:r w:rsidRPr="00FD0AD9">
        <w:rPr>
          <w:rFonts w:asciiTheme="majorHAnsi" w:hAnsiTheme="majorHAnsi"/>
          <w:sz w:val="16"/>
          <w:szCs w:val="16"/>
          <w:lang w:val="es-ES"/>
        </w:rPr>
        <w:t xml:space="preserve">. </w:t>
      </w:r>
      <w:r>
        <w:rPr>
          <w:rFonts w:asciiTheme="majorHAnsi" w:hAnsiTheme="majorHAnsi"/>
          <w:sz w:val="16"/>
          <w:szCs w:val="16"/>
          <w:lang w:val="es-ES"/>
        </w:rPr>
        <w:t>4 de abril de 2001, párrs.</w:t>
      </w:r>
      <w:r w:rsidRPr="00FD0AD9">
        <w:rPr>
          <w:rFonts w:asciiTheme="majorHAnsi" w:hAnsiTheme="majorHAnsi"/>
          <w:sz w:val="16"/>
          <w:szCs w:val="16"/>
          <w:lang w:val="es-ES"/>
        </w:rPr>
        <w:t xml:space="preserve"> 103</w:t>
      </w:r>
      <w:r>
        <w:rPr>
          <w:rFonts w:asciiTheme="majorHAnsi" w:hAnsiTheme="majorHAnsi"/>
          <w:sz w:val="16"/>
          <w:szCs w:val="16"/>
          <w:lang w:val="es-ES"/>
        </w:rPr>
        <w:t xml:space="preserve"> a </w:t>
      </w:r>
      <w:r w:rsidRPr="00FD0AD9">
        <w:rPr>
          <w:rFonts w:asciiTheme="majorHAnsi" w:hAnsiTheme="majorHAnsi"/>
          <w:sz w:val="16"/>
          <w:szCs w:val="16"/>
          <w:lang w:val="es-ES"/>
        </w:rPr>
        <w:t>112.</w:t>
      </w:r>
    </w:p>
  </w:footnote>
  <w:footnote w:id="69">
    <w:p w14:paraId="70683277" w14:textId="77777777" w:rsidR="007B69B1" w:rsidRPr="003C2FF3" w:rsidRDefault="007B69B1" w:rsidP="00110F02">
      <w:pPr>
        <w:pStyle w:val="FootnoteText"/>
        <w:jc w:val="both"/>
        <w:rPr>
          <w:lang w:val="es-U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Pr>
          <w:rFonts w:asciiTheme="majorHAnsi" w:hAnsiTheme="majorHAnsi"/>
          <w:sz w:val="16"/>
          <w:szCs w:val="16"/>
          <w:lang w:val="es-ES"/>
        </w:rPr>
        <w:t>CIDH. Informe No.</w:t>
      </w:r>
      <w:r w:rsidRPr="00FD0AD9">
        <w:rPr>
          <w:rFonts w:asciiTheme="majorHAnsi" w:hAnsiTheme="majorHAnsi"/>
          <w:sz w:val="16"/>
          <w:szCs w:val="16"/>
          <w:lang w:val="es-ES"/>
        </w:rPr>
        <w:t xml:space="preserve"> 91/05. Cas</w:t>
      </w:r>
      <w:r>
        <w:rPr>
          <w:rFonts w:asciiTheme="majorHAnsi" w:hAnsiTheme="majorHAnsi"/>
          <w:sz w:val="16"/>
          <w:szCs w:val="16"/>
          <w:lang w:val="es-ES"/>
        </w:rPr>
        <w:t>o</w:t>
      </w:r>
      <w:r w:rsidRPr="00FD0AD9">
        <w:rPr>
          <w:rFonts w:asciiTheme="majorHAnsi" w:hAnsiTheme="majorHAnsi"/>
          <w:sz w:val="16"/>
          <w:szCs w:val="16"/>
          <w:lang w:val="es-ES"/>
        </w:rPr>
        <w:t xml:space="preserve"> 12.421. Javier Su</w:t>
      </w:r>
      <w:r>
        <w:rPr>
          <w:rFonts w:asciiTheme="majorHAnsi" w:hAnsiTheme="majorHAnsi"/>
          <w:sz w:val="16"/>
          <w:szCs w:val="16"/>
          <w:lang w:val="es-ES"/>
        </w:rPr>
        <w:t>á</w:t>
      </w:r>
      <w:r w:rsidRPr="00FD0AD9">
        <w:rPr>
          <w:rFonts w:asciiTheme="majorHAnsi" w:hAnsiTheme="majorHAnsi"/>
          <w:sz w:val="16"/>
          <w:szCs w:val="16"/>
          <w:lang w:val="es-ES"/>
        </w:rPr>
        <w:t xml:space="preserve">rez Medina. </w:t>
      </w:r>
      <w:r>
        <w:rPr>
          <w:rFonts w:asciiTheme="majorHAnsi" w:hAnsiTheme="majorHAnsi"/>
          <w:sz w:val="16"/>
          <w:szCs w:val="16"/>
          <w:lang w:val="es-ES"/>
        </w:rPr>
        <w:t>Estados Unidos</w:t>
      </w:r>
      <w:r w:rsidRPr="00FD0AD9">
        <w:rPr>
          <w:rFonts w:asciiTheme="majorHAnsi" w:hAnsiTheme="majorHAnsi"/>
          <w:sz w:val="16"/>
          <w:szCs w:val="16"/>
          <w:lang w:val="es-ES"/>
        </w:rPr>
        <w:t>. 24</w:t>
      </w:r>
      <w:r>
        <w:rPr>
          <w:rFonts w:asciiTheme="majorHAnsi" w:hAnsiTheme="majorHAnsi"/>
          <w:sz w:val="16"/>
          <w:szCs w:val="16"/>
          <w:lang w:val="es-ES"/>
        </w:rPr>
        <w:t xml:space="preserve"> de octubre de</w:t>
      </w:r>
      <w:r w:rsidRPr="00FD0AD9">
        <w:rPr>
          <w:rFonts w:asciiTheme="majorHAnsi" w:hAnsiTheme="majorHAnsi"/>
          <w:sz w:val="16"/>
          <w:szCs w:val="16"/>
          <w:lang w:val="es-ES"/>
        </w:rPr>
        <w:t xml:space="preserve"> 2005; </w:t>
      </w:r>
      <w:r>
        <w:rPr>
          <w:rFonts w:asciiTheme="majorHAnsi" w:hAnsiTheme="majorHAnsi"/>
          <w:sz w:val="16"/>
          <w:szCs w:val="16"/>
          <w:lang w:val="es-ES"/>
        </w:rPr>
        <w:t>CIDH. Informe No.</w:t>
      </w:r>
      <w:r w:rsidRPr="00FD0AD9">
        <w:rPr>
          <w:rFonts w:asciiTheme="majorHAnsi" w:hAnsiTheme="majorHAnsi"/>
          <w:sz w:val="16"/>
          <w:szCs w:val="16"/>
          <w:lang w:val="es-ES"/>
        </w:rPr>
        <w:t xml:space="preserve"> 90/09</w:t>
      </w:r>
      <w:r>
        <w:rPr>
          <w:rFonts w:asciiTheme="majorHAnsi" w:hAnsiTheme="majorHAnsi"/>
          <w:sz w:val="16"/>
          <w:szCs w:val="16"/>
          <w:lang w:val="es-ES"/>
        </w:rPr>
        <w:t>,</w:t>
      </w:r>
      <w:r w:rsidRPr="00FD0AD9">
        <w:rPr>
          <w:rFonts w:asciiTheme="majorHAnsi" w:hAnsiTheme="majorHAnsi"/>
          <w:sz w:val="16"/>
          <w:szCs w:val="16"/>
          <w:lang w:val="es-ES"/>
        </w:rPr>
        <w:t xml:space="preserve"> Cas</w:t>
      </w:r>
      <w:r>
        <w:rPr>
          <w:rFonts w:asciiTheme="majorHAnsi" w:hAnsiTheme="majorHAnsi"/>
          <w:sz w:val="16"/>
          <w:szCs w:val="16"/>
          <w:lang w:val="es-ES"/>
        </w:rPr>
        <w:t>o</w:t>
      </w:r>
      <w:r w:rsidRPr="00FD0AD9">
        <w:rPr>
          <w:rFonts w:asciiTheme="majorHAnsi" w:hAnsiTheme="majorHAnsi"/>
          <w:sz w:val="16"/>
          <w:szCs w:val="16"/>
          <w:lang w:val="es-ES"/>
        </w:rPr>
        <w:t xml:space="preserve"> 12.644. </w:t>
      </w:r>
      <w:r>
        <w:rPr>
          <w:rFonts w:asciiTheme="majorHAnsi" w:hAnsiTheme="majorHAnsi"/>
          <w:sz w:val="16"/>
          <w:szCs w:val="16"/>
          <w:lang w:val="es-ES"/>
        </w:rPr>
        <w:t>Admisibilidad</w:t>
      </w:r>
      <w:r w:rsidRPr="00FD0AD9">
        <w:rPr>
          <w:rFonts w:asciiTheme="majorHAnsi" w:hAnsiTheme="majorHAnsi"/>
          <w:sz w:val="16"/>
          <w:szCs w:val="16"/>
          <w:lang w:val="es-ES"/>
        </w:rPr>
        <w:t xml:space="preserve"> </w:t>
      </w:r>
      <w:r>
        <w:rPr>
          <w:rFonts w:asciiTheme="majorHAnsi" w:hAnsiTheme="majorHAnsi"/>
          <w:sz w:val="16"/>
          <w:szCs w:val="16"/>
          <w:lang w:val="es-ES"/>
        </w:rPr>
        <w:t>y</w:t>
      </w:r>
      <w:r w:rsidRPr="00FD0AD9">
        <w:rPr>
          <w:rFonts w:asciiTheme="majorHAnsi" w:hAnsiTheme="majorHAnsi"/>
          <w:sz w:val="16"/>
          <w:szCs w:val="16"/>
          <w:lang w:val="es-ES"/>
        </w:rPr>
        <w:t xml:space="preserve"> </w:t>
      </w:r>
      <w:r>
        <w:rPr>
          <w:rFonts w:asciiTheme="majorHAnsi" w:hAnsiTheme="majorHAnsi"/>
          <w:sz w:val="16"/>
          <w:szCs w:val="16"/>
          <w:lang w:val="es-ES"/>
        </w:rPr>
        <w:t>Fondo (Publicación).</w:t>
      </w:r>
      <w:r w:rsidRPr="00FD0AD9">
        <w:rPr>
          <w:rFonts w:asciiTheme="majorHAnsi" w:hAnsiTheme="majorHAnsi"/>
          <w:sz w:val="16"/>
          <w:szCs w:val="16"/>
          <w:lang w:val="es-ES"/>
        </w:rPr>
        <w:t xml:space="preserve"> Medellín, Ramírez Cárdenas </w:t>
      </w:r>
      <w:r>
        <w:rPr>
          <w:rFonts w:asciiTheme="majorHAnsi" w:hAnsiTheme="majorHAnsi"/>
          <w:sz w:val="16"/>
          <w:szCs w:val="16"/>
          <w:lang w:val="es-ES"/>
        </w:rPr>
        <w:t>y</w:t>
      </w:r>
      <w:r w:rsidRPr="00FD0AD9">
        <w:rPr>
          <w:rFonts w:asciiTheme="majorHAnsi" w:hAnsiTheme="majorHAnsi"/>
          <w:sz w:val="16"/>
          <w:szCs w:val="16"/>
          <w:lang w:val="es-ES"/>
        </w:rPr>
        <w:t xml:space="preserve"> Leal García</w:t>
      </w:r>
      <w:r>
        <w:rPr>
          <w:rFonts w:asciiTheme="majorHAnsi" w:hAnsiTheme="majorHAnsi"/>
          <w:sz w:val="16"/>
          <w:szCs w:val="16"/>
          <w:lang w:val="es-ES"/>
        </w:rPr>
        <w:t>.</w:t>
      </w:r>
      <w:r w:rsidRPr="00FD0AD9">
        <w:rPr>
          <w:rFonts w:asciiTheme="majorHAnsi" w:hAnsiTheme="majorHAnsi"/>
          <w:sz w:val="16"/>
          <w:szCs w:val="16"/>
          <w:lang w:val="es-ES"/>
        </w:rPr>
        <w:t xml:space="preserve"> </w:t>
      </w:r>
      <w:r w:rsidRPr="003C2FF3">
        <w:rPr>
          <w:rFonts w:asciiTheme="majorHAnsi" w:hAnsiTheme="majorHAnsi"/>
          <w:sz w:val="16"/>
          <w:szCs w:val="16"/>
          <w:lang w:val="es-US"/>
        </w:rPr>
        <w:t>Estados Unidos. 7 de agosto de 2009; y CIDH. Informe No. 79/15. Caso 12.994. Bernardo Abán Tercero. Estados Unidos. 28 de octubre de 2015.</w:t>
      </w:r>
    </w:p>
  </w:footnote>
  <w:footnote w:id="70">
    <w:p w14:paraId="6864E3DB" w14:textId="77777777" w:rsidR="007B69B1" w:rsidRPr="003C2FF3" w:rsidRDefault="007B69B1" w:rsidP="00110F02">
      <w:pPr>
        <w:pStyle w:val="FootnoteText"/>
        <w:pBdr>
          <w:top w:val="none" w:sz="0" w:space="0" w:color="auto"/>
          <w:left w:val="none" w:sz="0" w:space="0" w:color="auto"/>
          <w:bottom w:val="none" w:sz="0" w:space="0" w:color="auto"/>
          <w:right w:val="none" w:sz="0" w:space="0" w:color="auto"/>
          <w:bar w:val="none" w:sz="0" w:color="auto"/>
        </w:pBdr>
        <w:jc w:val="both"/>
        <w:rPr>
          <w:color w:val="auto"/>
          <w:lang w:val="es-US"/>
        </w:rPr>
      </w:pPr>
      <w:r w:rsidRPr="00FD0AD9">
        <w:rPr>
          <w:rStyle w:val="FootnoteReference"/>
          <w:rFonts w:ascii="Cambria" w:hAnsi="Cambria"/>
          <w:color w:val="auto"/>
          <w:sz w:val="16"/>
          <w:szCs w:val="16"/>
          <w:lang w:val="es-ES"/>
        </w:rPr>
        <w:footnoteRef/>
      </w:r>
      <w:r w:rsidRPr="00DD5969">
        <w:rPr>
          <w:rFonts w:ascii="Cambria" w:hAnsi="Cambria"/>
          <w:i/>
          <w:color w:val="auto"/>
          <w:sz w:val="16"/>
          <w:szCs w:val="16"/>
        </w:rPr>
        <w:t>Deadly Speculation: Misleading Texas Capital Juries with False Predictions of Future Dangerousness</w:t>
      </w:r>
      <w:r w:rsidRPr="00DD5969">
        <w:rPr>
          <w:rFonts w:ascii="Cambria" w:hAnsi="Cambria"/>
          <w:color w:val="auto"/>
          <w:sz w:val="16"/>
          <w:szCs w:val="16"/>
        </w:rPr>
        <w:t xml:space="preserve">, 34 (2004) </w:t>
      </w:r>
      <w:hyperlink r:id="rId4" w:history="1">
        <w:r w:rsidRPr="00DD5969">
          <w:rPr>
            <w:rStyle w:val="Hyperlink"/>
            <w:rFonts w:ascii="Cambria" w:hAnsi="Cambria"/>
            <w:sz w:val="16"/>
            <w:szCs w:val="16"/>
          </w:rPr>
          <w:t>http://texasdefender.org/wp-content/uploads/TDS_Deadly-Speculation.pdf</w:t>
        </w:r>
      </w:hyperlink>
      <w:r w:rsidRPr="00DD5969">
        <w:rPr>
          <w:rFonts w:ascii="Cambria" w:hAnsi="Cambria"/>
          <w:color w:val="auto"/>
          <w:sz w:val="16"/>
          <w:szCs w:val="16"/>
        </w:rPr>
        <w:t xml:space="preserve">; Thomas J. Reidy, Jon R. Sorenson &amp; Mark D. Cunningham, </w:t>
      </w:r>
      <w:r w:rsidRPr="00DD5969">
        <w:rPr>
          <w:rFonts w:ascii="Cambria" w:hAnsi="Cambria"/>
          <w:i/>
          <w:color w:val="auto"/>
          <w:sz w:val="16"/>
          <w:szCs w:val="16"/>
        </w:rPr>
        <w:t>Probability of Criminal Acts of Violence: A Test of Jury Predictive Accuracy</w:t>
      </w:r>
      <w:r w:rsidRPr="00DD5969">
        <w:rPr>
          <w:rFonts w:ascii="Cambria" w:hAnsi="Cambria"/>
          <w:color w:val="auto"/>
          <w:sz w:val="16"/>
          <w:szCs w:val="16"/>
        </w:rPr>
        <w:t xml:space="preserve">, 31 </w:t>
      </w:r>
      <w:r w:rsidRPr="00DD5969">
        <w:rPr>
          <w:rFonts w:ascii="Cambria" w:hAnsi="Cambria"/>
          <w:i/>
          <w:color w:val="auto"/>
          <w:sz w:val="16"/>
          <w:szCs w:val="16"/>
        </w:rPr>
        <w:t xml:space="preserve">Behav. </w:t>
      </w:r>
      <w:r w:rsidRPr="003C2FF3">
        <w:rPr>
          <w:rFonts w:ascii="Cambria" w:hAnsi="Cambria"/>
          <w:i/>
          <w:color w:val="auto"/>
          <w:sz w:val="16"/>
          <w:szCs w:val="16"/>
          <w:lang w:val="es-US"/>
        </w:rPr>
        <w:t>Sci. L.</w:t>
      </w:r>
      <w:r w:rsidRPr="003C2FF3">
        <w:rPr>
          <w:rFonts w:ascii="Cambria" w:hAnsi="Cambria"/>
          <w:color w:val="auto"/>
          <w:sz w:val="16"/>
          <w:szCs w:val="16"/>
          <w:lang w:val="es-US"/>
        </w:rPr>
        <w:t xml:space="preserve"> 286, 289 (2013). </w:t>
      </w:r>
    </w:p>
  </w:footnote>
  <w:footnote w:id="71">
    <w:p w14:paraId="018646AB" w14:textId="77777777" w:rsidR="007B69B1" w:rsidRPr="003C2FF3" w:rsidRDefault="007B69B1" w:rsidP="00110F02">
      <w:pPr>
        <w:pStyle w:val="FootnoteText"/>
        <w:rPr>
          <w:lang w:val="es-US"/>
        </w:rPr>
      </w:pPr>
      <w:r w:rsidRPr="00FD0AD9">
        <w:rPr>
          <w:rStyle w:val="FootnoteReference"/>
          <w:rFonts w:ascii="Cambria" w:hAnsi="Cambria"/>
          <w:color w:val="auto"/>
          <w:sz w:val="16"/>
          <w:szCs w:val="16"/>
          <w:lang w:val="es-ES"/>
        </w:rPr>
        <w:footnoteRef/>
      </w:r>
      <w:r w:rsidRPr="003C2FF3">
        <w:rPr>
          <w:rStyle w:val="FootnoteReference"/>
          <w:rFonts w:ascii="Cambria" w:hAnsi="Cambria"/>
          <w:color w:val="auto"/>
          <w:sz w:val="16"/>
          <w:szCs w:val="16"/>
          <w:lang w:val="es-US"/>
        </w:rPr>
        <w:t xml:space="preserve"> </w:t>
      </w:r>
      <w:r w:rsidRPr="003C2FF3">
        <w:rPr>
          <w:rFonts w:asciiTheme="majorHAnsi" w:eastAsia="Arial Unicode MS" w:hAnsiTheme="majorHAnsi" w:cs="Times New Roman"/>
          <w:color w:val="auto"/>
          <w:sz w:val="16"/>
          <w:szCs w:val="16"/>
          <w:lang w:val="es-US" w:eastAsia="en-US"/>
        </w:rPr>
        <w:t>CIDH. Informe No. 24/17, Caso 12.254. Fondo. Víctor Saldaño. Estados Unidos. 18 de marzo de 2017, párr. 184.</w:t>
      </w:r>
    </w:p>
  </w:footnote>
  <w:footnote w:id="72">
    <w:p w14:paraId="1751B623" w14:textId="77777777" w:rsidR="007B69B1" w:rsidRPr="00FD0AD9" w:rsidRDefault="007B69B1" w:rsidP="00110F02">
      <w:pPr>
        <w:pStyle w:val="FootnoteText"/>
        <w:jc w:val="both"/>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3C2FF3">
        <w:rPr>
          <w:rFonts w:asciiTheme="majorHAnsi" w:hAnsiTheme="majorHAnsi"/>
          <w:sz w:val="16"/>
          <w:szCs w:val="16"/>
          <w:lang w:val="es-US"/>
        </w:rPr>
        <w:t xml:space="preserve"> Corte IDH. Caso Fermín Ramírez vs. Guatemala. </w:t>
      </w:r>
      <w:r w:rsidRPr="00FD0AD9">
        <w:rPr>
          <w:rFonts w:asciiTheme="majorHAnsi" w:hAnsiTheme="majorHAnsi"/>
          <w:sz w:val="16"/>
          <w:szCs w:val="16"/>
          <w:lang w:val="es-ES"/>
        </w:rPr>
        <w:t>Fondo, Reparaciones y Costas. Sentencia de 20 de junio de 2005. Serie C No. 126</w:t>
      </w:r>
      <w:r>
        <w:rPr>
          <w:rFonts w:asciiTheme="majorHAnsi" w:hAnsiTheme="majorHAnsi"/>
          <w:sz w:val="16"/>
          <w:szCs w:val="16"/>
          <w:lang w:val="es-ES"/>
        </w:rPr>
        <w:t>, párr.</w:t>
      </w:r>
      <w:r w:rsidRPr="00FD0AD9">
        <w:rPr>
          <w:rFonts w:asciiTheme="majorHAnsi" w:hAnsiTheme="majorHAnsi"/>
          <w:sz w:val="16"/>
          <w:szCs w:val="16"/>
          <w:lang w:val="es-ES"/>
        </w:rPr>
        <w:t xml:space="preserve"> 94. </w:t>
      </w:r>
    </w:p>
  </w:footnote>
  <w:footnote w:id="73">
    <w:p w14:paraId="34C5100B" w14:textId="77777777" w:rsidR="007B69B1" w:rsidRPr="00FD0AD9" w:rsidRDefault="007B69B1" w:rsidP="00110F02">
      <w:pPr>
        <w:pStyle w:val="FootnoteText"/>
        <w:jc w:val="both"/>
        <w:rPr>
          <w:lang w:val="es-ES"/>
        </w:rPr>
      </w:pPr>
      <w:r w:rsidRPr="00FD0AD9">
        <w:rPr>
          <w:rStyle w:val="FootnoteReference"/>
          <w:rFonts w:asciiTheme="majorHAnsi" w:hAnsiTheme="majorHAnsi"/>
          <w:sz w:val="16"/>
          <w:szCs w:val="16"/>
          <w:lang w:val="es-ES"/>
        </w:rPr>
        <w:footnoteRef/>
      </w:r>
      <w:r w:rsidRPr="00FD0AD9">
        <w:rPr>
          <w:rStyle w:val="FootnoteReference"/>
          <w:rFonts w:asciiTheme="majorHAnsi" w:hAnsiTheme="majorHAnsi"/>
          <w:sz w:val="16"/>
          <w:szCs w:val="16"/>
          <w:lang w:val="es-ES"/>
        </w:rPr>
        <w:t xml:space="preserve"> </w:t>
      </w:r>
      <w:r w:rsidRPr="00FD0AD9">
        <w:rPr>
          <w:rFonts w:asciiTheme="majorHAnsi" w:hAnsiTheme="majorHAnsi"/>
          <w:sz w:val="16"/>
          <w:szCs w:val="16"/>
          <w:lang w:val="es-ES"/>
        </w:rPr>
        <w:t>Corte IDH. Caso Fermín Ramírez vs. Guatemala. Fondo, Reparaciones y Costas. Sentencia de 20 de junio de 2005. Serie C No. 126</w:t>
      </w:r>
      <w:r>
        <w:rPr>
          <w:rFonts w:asciiTheme="majorHAnsi" w:hAnsiTheme="majorHAnsi"/>
          <w:sz w:val="16"/>
          <w:szCs w:val="16"/>
          <w:lang w:val="es-ES"/>
        </w:rPr>
        <w:t>, párr.</w:t>
      </w:r>
      <w:r w:rsidRPr="00FD0AD9">
        <w:rPr>
          <w:rFonts w:asciiTheme="majorHAnsi" w:hAnsiTheme="majorHAnsi"/>
          <w:sz w:val="16"/>
          <w:szCs w:val="16"/>
          <w:lang w:val="es-ES"/>
        </w:rPr>
        <w:t xml:space="preserve"> 9</w:t>
      </w:r>
      <w:r>
        <w:rPr>
          <w:rFonts w:asciiTheme="majorHAnsi" w:hAnsiTheme="majorHAnsi"/>
          <w:sz w:val="16"/>
          <w:szCs w:val="16"/>
          <w:lang w:val="es-ES"/>
        </w:rPr>
        <w:t>5</w:t>
      </w:r>
      <w:r w:rsidRPr="00FD0AD9">
        <w:rPr>
          <w:rFonts w:asciiTheme="majorHAnsi" w:hAnsiTheme="majorHAnsi"/>
          <w:sz w:val="16"/>
          <w:szCs w:val="16"/>
          <w:lang w:val="es-ES"/>
        </w:rPr>
        <w:t>.</w:t>
      </w:r>
    </w:p>
  </w:footnote>
  <w:footnote w:id="74">
    <w:p w14:paraId="0705453D" w14:textId="77777777" w:rsidR="007B69B1" w:rsidRPr="00FD0AD9" w:rsidRDefault="007B69B1" w:rsidP="00110F02">
      <w:pPr>
        <w:pStyle w:val="FootnoteText"/>
        <w:pBdr>
          <w:top w:val="none" w:sz="0" w:space="0" w:color="auto"/>
          <w:left w:val="none" w:sz="0" w:space="0" w:color="auto"/>
          <w:bottom w:val="none" w:sz="0" w:space="0" w:color="auto"/>
          <w:right w:val="none" w:sz="0" w:space="0" w:color="auto"/>
          <w:bar w:val="none" w:sz="0" w:color="auto"/>
        </w:pBdr>
        <w:jc w:val="both"/>
        <w:rPr>
          <w:color w:val="auto"/>
          <w:lang w:val="es-ES"/>
        </w:rPr>
      </w:pPr>
      <w:r w:rsidRPr="00FD0AD9">
        <w:rPr>
          <w:rStyle w:val="FootnoteReference"/>
          <w:rFonts w:ascii="Cambria" w:hAnsi="Cambria"/>
          <w:color w:val="auto"/>
          <w:sz w:val="16"/>
          <w:szCs w:val="16"/>
          <w:lang w:val="es-ES"/>
        </w:rPr>
        <w:footnoteRef/>
      </w:r>
      <w:r w:rsidRPr="00FD0AD9">
        <w:rPr>
          <w:rFonts w:ascii="Cambria" w:hAnsi="Cambria"/>
          <w:color w:val="auto"/>
          <w:sz w:val="16"/>
          <w:szCs w:val="16"/>
          <w:lang w:val="es-ES"/>
        </w:rPr>
        <w:t xml:space="preserve"> </w:t>
      </w:r>
      <w:r>
        <w:rPr>
          <w:rFonts w:ascii="Cambria" w:hAnsi="Cambria"/>
          <w:color w:val="auto"/>
          <w:sz w:val="16"/>
          <w:szCs w:val="16"/>
          <w:lang w:val="es-ES"/>
        </w:rPr>
        <w:t xml:space="preserve">Sentencia de la </w:t>
      </w:r>
      <w:r w:rsidRPr="009722EE">
        <w:rPr>
          <w:rFonts w:ascii="Cambria" w:hAnsi="Cambria"/>
          <w:color w:val="auto"/>
          <w:sz w:val="16"/>
          <w:szCs w:val="16"/>
          <w:lang w:val="es-ES"/>
        </w:rPr>
        <w:t>Corte de Constitucionalidad de Guatemala</w:t>
      </w:r>
      <w:r w:rsidRPr="00FD0AD9">
        <w:rPr>
          <w:rFonts w:ascii="Cambria" w:hAnsi="Cambria"/>
          <w:color w:val="auto"/>
          <w:sz w:val="16"/>
          <w:szCs w:val="16"/>
          <w:lang w:val="es-ES"/>
        </w:rPr>
        <w:t>. 11</w:t>
      </w:r>
      <w:r>
        <w:rPr>
          <w:rFonts w:ascii="Cambria" w:hAnsi="Cambria"/>
          <w:color w:val="auto"/>
          <w:sz w:val="16"/>
          <w:szCs w:val="16"/>
          <w:lang w:val="es-ES"/>
        </w:rPr>
        <w:t xml:space="preserve"> de febrero de</w:t>
      </w:r>
      <w:r w:rsidRPr="00FD0AD9">
        <w:rPr>
          <w:rFonts w:ascii="Cambria" w:hAnsi="Cambria"/>
          <w:color w:val="auto"/>
          <w:sz w:val="16"/>
          <w:szCs w:val="16"/>
          <w:lang w:val="es-ES"/>
        </w:rPr>
        <w:t xml:space="preserve"> 2016. </w:t>
      </w:r>
      <w:r>
        <w:rPr>
          <w:rFonts w:ascii="Cambria" w:hAnsi="Cambria"/>
          <w:color w:val="auto"/>
          <w:sz w:val="16"/>
          <w:szCs w:val="16"/>
          <w:lang w:val="es-ES"/>
        </w:rPr>
        <w:t>Se encuentra en</w:t>
      </w:r>
      <w:r w:rsidRPr="00FD0AD9">
        <w:rPr>
          <w:rFonts w:ascii="Cambria" w:hAnsi="Cambria"/>
          <w:color w:val="auto"/>
          <w:sz w:val="16"/>
          <w:szCs w:val="16"/>
          <w:lang w:val="es-ES"/>
        </w:rPr>
        <w:t xml:space="preserve"> </w:t>
      </w:r>
      <w:hyperlink r:id="rId5">
        <w:r w:rsidRPr="0058100E">
          <w:rPr>
            <w:rFonts w:ascii="Cambria" w:hAnsi="Cambria"/>
            <w:color w:val="auto"/>
            <w:sz w:val="16"/>
            <w:szCs w:val="16"/>
            <w:u w:val="single" w:color="0000E9"/>
            <w:lang w:val="es-ES"/>
          </w:rPr>
          <w:t>http://181.174.117.21/cc/wp-content/uploads/2016/11/1097-2015.pdf</w:t>
        </w:r>
      </w:hyperlink>
      <w:r w:rsidRPr="009722EE">
        <w:rPr>
          <w:rFonts w:ascii="Cambria" w:hAnsi="Cambria"/>
          <w:color w:val="auto"/>
          <w:sz w:val="16"/>
          <w:szCs w:val="16"/>
          <w:lang w:val="es-ES"/>
        </w:rPr>
        <w:t>.</w:t>
      </w:r>
    </w:p>
  </w:footnote>
  <w:footnote w:id="75">
    <w:p w14:paraId="703DD8B6"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5B14EC">
        <w:rPr>
          <w:rFonts w:asciiTheme="majorHAnsi" w:hAnsiTheme="majorHAnsi"/>
          <w:color w:val="auto"/>
          <w:sz w:val="16"/>
          <w:szCs w:val="16"/>
          <w:lang w:val="es-ES"/>
        </w:rPr>
        <w:t xml:space="preserve">CIDH. </w:t>
      </w:r>
      <w:r w:rsidRPr="005B14EC">
        <w:rPr>
          <w:rFonts w:asciiTheme="majorHAnsi" w:hAnsiTheme="majorHAnsi"/>
          <w:i/>
          <w:color w:val="auto"/>
          <w:sz w:val="16"/>
          <w:szCs w:val="16"/>
          <w:lang w:val="es-ES"/>
        </w:rPr>
        <w:t>La pena de muerte en el Sistema Interamericano de Derechos Humanos: de restricciones a abolición.</w:t>
      </w:r>
      <w:r w:rsidRPr="005B14EC">
        <w:rPr>
          <w:rFonts w:asciiTheme="majorHAnsi" w:hAnsiTheme="majorHAnsi"/>
          <w:color w:val="auto"/>
          <w:sz w:val="16"/>
          <w:szCs w:val="16"/>
          <w:lang w:val="es-ES"/>
        </w:rPr>
        <w:t xml:space="preserve"> OEA/Ser.L/V/II. Doc. 68, 31 de diciembre de 2011, p. 123</w:t>
      </w:r>
      <w:r w:rsidRPr="00FD0AD9">
        <w:rPr>
          <w:rFonts w:asciiTheme="majorHAnsi" w:hAnsiTheme="majorHAnsi"/>
          <w:color w:val="auto"/>
          <w:sz w:val="16"/>
          <w:szCs w:val="16"/>
          <w:lang w:val="es-ES"/>
        </w:rPr>
        <w:t>.</w:t>
      </w:r>
    </w:p>
  </w:footnote>
  <w:footnote w:id="76">
    <w:p w14:paraId="0FAFB25F"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5B14EC">
        <w:rPr>
          <w:rFonts w:asciiTheme="majorHAnsi" w:hAnsiTheme="majorHAnsi"/>
          <w:color w:val="auto"/>
          <w:sz w:val="16"/>
          <w:szCs w:val="16"/>
          <w:lang w:val="es-ES"/>
        </w:rPr>
        <w:t xml:space="preserve">CIDH. </w:t>
      </w:r>
      <w:r w:rsidRPr="005B14EC">
        <w:rPr>
          <w:rFonts w:asciiTheme="majorHAnsi" w:hAnsiTheme="majorHAnsi"/>
          <w:i/>
          <w:color w:val="auto"/>
          <w:sz w:val="16"/>
          <w:szCs w:val="16"/>
          <w:lang w:val="es-ES"/>
        </w:rPr>
        <w:t>La pena de muerte en el Sistema Interamericano de Derechos Humanos: de restricciones a abolición.</w:t>
      </w:r>
      <w:r w:rsidRPr="005B14EC">
        <w:rPr>
          <w:rFonts w:asciiTheme="majorHAnsi" w:hAnsiTheme="majorHAnsi"/>
          <w:color w:val="auto"/>
          <w:sz w:val="16"/>
          <w:szCs w:val="16"/>
          <w:lang w:val="es-ES"/>
        </w:rPr>
        <w:t xml:space="preserve"> OEA/Ser.L/V/II. Doc. 68, 31 de diciembre de 2011, p. 123</w:t>
      </w:r>
      <w:r w:rsidRPr="00FD0AD9">
        <w:rPr>
          <w:rFonts w:asciiTheme="majorHAnsi" w:hAnsiTheme="majorHAnsi"/>
          <w:color w:val="auto"/>
          <w:sz w:val="16"/>
          <w:szCs w:val="16"/>
          <w:lang w:val="es-ES"/>
        </w:rPr>
        <w:t>.</w:t>
      </w:r>
    </w:p>
  </w:footnote>
  <w:footnote w:id="77">
    <w:p w14:paraId="625AA620" w14:textId="77777777" w:rsidR="007B69B1" w:rsidRPr="00FD0AD9" w:rsidRDefault="007B69B1" w:rsidP="00110F02">
      <w:pPr>
        <w:pStyle w:val="FootnoteText"/>
        <w:rPr>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sidRPr="005B14EC">
        <w:rPr>
          <w:rFonts w:ascii="Cambria" w:hAnsi="Cambria" w:cs="Arial"/>
          <w:sz w:val="16"/>
          <w:szCs w:val="16"/>
          <w:lang w:val="es-ES"/>
        </w:rPr>
        <w:t>CIDH. Informe</w:t>
      </w:r>
      <w:r w:rsidRPr="005B14EC">
        <w:rPr>
          <w:rFonts w:ascii="Cambria" w:hAnsi="Cambria" w:cs="Arial"/>
          <w:bCs/>
          <w:sz w:val="16"/>
          <w:szCs w:val="16"/>
          <w:lang w:val="es-ES"/>
        </w:rPr>
        <w:t xml:space="preserve"> No. 79/15</w:t>
      </w:r>
      <w:r w:rsidRPr="005B14EC">
        <w:rPr>
          <w:rFonts w:ascii="Cambria" w:hAnsi="Cambria" w:cs="Arial"/>
          <w:sz w:val="16"/>
          <w:szCs w:val="16"/>
          <w:lang w:val="es-ES"/>
        </w:rPr>
        <w:t>, Caso 12.994. Fondo (Publicación). Bernardo Abán Tercero. Estados Unidos. 28 de octubre de 2015, párr. 111</w:t>
      </w:r>
      <w:r w:rsidRPr="00FD0AD9">
        <w:rPr>
          <w:rFonts w:ascii="Cambria" w:hAnsi="Cambria" w:cs="Arial"/>
          <w:sz w:val="16"/>
          <w:szCs w:val="16"/>
          <w:lang w:val="es-ES"/>
        </w:rPr>
        <w:t>.</w:t>
      </w:r>
    </w:p>
  </w:footnote>
  <w:footnote w:id="78">
    <w:p w14:paraId="4AA3FBA2" w14:textId="77777777" w:rsidR="007B69B1" w:rsidRPr="00FD0AD9" w:rsidRDefault="007B69B1" w:rsidP="00110F02">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5B14EC">
        <w:rPr>
          <w:rFonts w:asciiTheme="majorHAnsi" w:hAnsiTheme="majorHAnsi"/>
          <w:color w:val="auto"/>
          <w:sz w:val="16"/>
          <w:szCs w:val="16"/>
          <w:lang w:val="es-ES"/>
        </w:rPr>
        <w:t>CIDH. Informe No. 90/09, Caso 12.644. Admisibilidad y Fondo (Publicación). Medellín, Ramírez Cárdenas y Leal García. Estados Unidos, 7 de agosto de 2009, párr. 134</w:t>
      </w:r>
      <w:r w:rsidRPr="00FD0AD9">
        <w:rPr>
          <w:rFonts w:asciiTheme="majorHAnsi" w:hAnsiTheme="majorHAnsi"/>
          <w:color w:val="auto"/>
          <w:sz w:val="16"/>
          <w:szCs w:val="16"/>
          <w:lang w:val="es-ES"/>
        </w:rPr>
        <w:t>.</w:t>
      </w:r>
    </w:p>
  </w:footnote>
  <w:footnote w:id="79">
    <w:p w14:paraId="0FF93FCF" w14:textId="77777777" w:rsidR="007B69B1" w:rsidRPr="00110F02" w:rsidRDefault="007B69B1" w:rsidP="00110F02">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5B14EC">
        <w:rPr>
          <w:rFonts w:asciiTheme="majorHAnsi" w:hAnsiTheme="majorHAnsi"/>
          <w:color w:val="auto"/>
          <w:sz w:val="16"/>
          <w:szCs w:val="16"/>
          <w:lang w:val="es-ES"/>
        </w:rPr>
        <w:t xml:space="preserve">CIDH. Informe No. 90/09, Caso 12.644. Admisibilidad y Fondo (Publicación). Medellín, Ramírez Cárdenas y Leal García. </w:t>
      </w:r>
      <w:r w:rsidRPr="0072774E">
        <w:rPr>
          <w:rFonts w:asciiTheme="majorHAnsi" w:hAnsiTheme="majorHAnsi"/>
          <w:color w:val="auto"/>
          <w:sz w:val="16"/>
          <w:szCs w:val="16"/>
        </w:rPr>
        <w:t xml:space="preserve">Estados Unidos, 7 de agosto de 2009, párr. </w:t>
      </w:r>
      <w:r w:rsidRPr="00110F02">
        <w:rPr>
          <w:rFonts w:asciiTheme="majorHAnsi" w:hAnsiTheme="majorHAnsi"/>
          <w:color w:val="auto"/>
          <w:sz w:val="16"/>
          <w:szCs w:val="16"/>
        </w:rPr>
        <w:t xml:space="preserve">134. </w:t>
      </w:r>
    </w:p>
  </w:footnote>
  <w:footnote w:id="80">
    <w:p w14:paraId="6811A663" w14:textId="77777777" w:rsidR="007B69B1" w:rsidRDefault="007B69B1" w:rsidP="00110F02">
      <w:pPr>
        <w:pStyle w:val="FootnoteText"/>
        <w:jc w:val="both"/>
        <w:rPr>
          <w:rFonts w:asciiTheme="majorHAnsi" w:hAnsiTheme="majorHAnsi" w:cs="Arial"/>
          <w:color w:val="auto"/>
          <w:sz w:val="16"/>
          <w:szCs w:val="16"/>
          <w:lang w:val="es-ES"/>
        </w:rPr>
      </w:pPr>
      <w:r w:rsidRPr="00FD0AD9">
        <w:rPr>
          <w:rStyle w:val="FootnoteReference"/>
          <w:rFonts w:asciiTheme="majorHAnsi" w:hAnsiTheme="majorHAnsi" w:cs="Arial"/>
          <w:color w:val="auto"/>
          <w:sz w:val="16"/>
          <w:szCs w:val="16"/>
          <w:lang w:val="es-ES"/>
        </w:rPr>
        <w:footnoteRef/>
      </w:r>
      <w:r w:rsidRPr="00110F02">
        <w:rPr>
          <w:rFonts w:asciiTheme="majorHAnsi" w:hAnsiTheme="majorHAnsi" w:cs="Arial"/>
          <w:color w:val="auto"/>
          <w:sz w:val="16"/>
          <w:szCs w:val="16"/>
        </w:rPr>
        <w:t xml:space="preserve"> American Bar Association. </w:t>
      </w:r>
      <w:r w:rsidRPr="00110F02">
        <w:rPr>
          <w:rFonts w:asciiTheme="majorHAnsi" w:hAnsiTheme="majorHAnsi" w:cs="Arial"/>
          <w:i/>
          <w:iCs/>
          <w:color w:val="auto"/>
          <w:sz w:val="16"/>
          <w:szCs w:val="16"/>
        </w:rPr>
        <w:t>Guidelines for the Appointment and Performance of Defense Counsel in Death Penalty Cases</w:t>
      </w:r>
      <w:r w:rsidRPr="00110F02">
        <w:rPr>
          <w:rFonts w:asciiTheme="majorHAnsi" w:hAnsiTheme="majorHAnsi" w:cs="Arial"/>
          <w:color w:val="auto"/>
          <w:sz w:val="16"/>
          <w:szCs w:val="16"/>
        </w:rPr>
        <w:t xml:space="preserve"> (edición revisada) (febrero de 2003), Guideline 10.7 – Investigation. </w:t>
      </w:r>
      <w:r>
        <w:rPr>
          <w:rFonts w:asciiTheme="majorHAnsi" w:hAnsiTheme="majorHAnsi" w:cs="Arial"/>
          <w:color w:val="auto"/>
          <w:sz w:val="16"/>
          <w:szCs w:val="16"/>
          <w:lang w:val="es-ES"/>
        </w:rPr>
        <w:t>Se encuentra en</w:t>
      </w:r>
    </w:p>
    <w:p w14:paraId="08291B08" w14:textId="77777777" w:rsidR="007B69B1" w:rsidRPr="00FD0AD9" w:rsidRDefault="003036C4" w:rsidP="00110F02">
      <w:pPr>
        <w:pStyle w:val="FootnoteText"/>
        <w:jc w:val="both"/>
        <w:rPr>
          <w:rFonts w:asciiTheme="majorHAnsi" w:hAnsiTheme="majorHAnsi" w:cs="Arial"/>
          <w:color w:val="auto"/>
          <w:sz w:val="16"/>
          <w:szCs w:val="16"/>
          <w:lang w:val="es-ES"/>
        </w:rPr>
      </w:pPr>
      <w:hyperlink r:id="rId6" w:history="1">
        <w:r w:rsidR="007B69B1" w:rsidRPr="00AB4A6B">
          <w:rPr>
            <w:rStyle w:val="Hyperlink"/>
            <w:rFonts w:asciiTheme="majorHAnsi" w:hAnsiTheme="majorHAnsi" w:cs="Arial"/>
            <w:sz w:val="16"/>
            <w:szCs w:val="16"/>
            <w:lang w:val="es-ES"/>
          </w:rPr>
          <w:t>http://www.abanet.org/legalservices/downloads/sclaid/deathpenaltyguidelines.pdf</w:t>
        </w:r>
      </w:hyperlink>
      <w:r w:rsidR="007B69B1" w:rsidRPr="00FD0AD9">
        <w:rPr>
          <w:rFonts w:asciiTheme="majorHAnsi" w:hAnsiTheme="majorHAnsi" w:cs="Arial"/>
          <w:color w:val="auto"/>
          <w:sz w:val="16"/>
          <w:szCs w:val="16"/>
          <w:lang w:val="es-ES"/>
        </w:rPr>
        <w:t xml:space="preserve">. </w:t>
      </w:r>
    </w:p>
  </w:footnote>
  <w:footnote w:id="81">
    <w:p w14:paraId="2BFEA712" w14:textId="77777777" w:rsidR="007B69B1" w:rsidRPr="00110F02" w:rsidRDefault="007B69B1" w:rsidP="00110F02">
      <w:pPr>
        <w:pStyle w:val="FootnoteText"/>
        <w:jc w:val="both"/>
        <w:rPr>
          <w:rFonts w:asciiTheme="majorHAnsi" w:hAnsiTheme="majorHAnsi" w:cs="Arial"/>
          <w:color w:val="auto"/>
          <w:sz w:val="16"/>
          <w:szCs w:val="16"/>
        </w:rPr>
      </w:pPr>
      <w:r w:rsidRPr="00FD0AD9">
        <w:rPr>
          <w:rStyle w:val="FootnoteReference"/>
          <w:rFonts w:asciiTheme="majorHAnsi" w:hAnsiTheme="majorHAnsi" w:cs="Arial"/>
          <w:color w:val="auto"/>
          <w:sz w:val="16"/>
          <w:szCs w:val="16"/>
          <w:lang w:val="es-ES"/>
        </w:rPr>
        <w:footnoteRef/>
      </w:r>
      <w:r w:rsidRPr="00110F02">
        <w:rPr>
          <w:rFonts w:asciiTheme="majorHAnsi" w:hAnsiTheme="majorHAnsi" w:cs="Arial"/>
          <w:color w:val="auto"/>
          <w:sz w:val="16"/>
          <w:szCs w:val="16"/>
        </w:rPr>
        <w:t xml:space="preserve"> American Bar Association. </w:t>
      </w:r>
      <w:r w:rsidRPr="00110F02">
        <w:rPr>
          <w:rFonts w:asciiTheme="majorHAnsi" w:hAnsiTheme="majorHAnsi" w:cs="Arial"/>
          <w:i/>
          <w:iCs/>
          <w:color w:val="auto"/>
          <w:sz w:val="16"/>
          <w:szCs w:val="16"/>
        </w:rPr>
        <w:t>Guidelines for the Appointment and Performance of Defense Counsel in Death Penalty Cases</w:t>
      </w:r>
      <w:r w:rsidRPr="00110F02">
        <w:rPr>
          <w:rFonts w:asciiTheme="majorHAnsi" w:hAnsiTheme="majorHAnsi" w:cs="Arial"/>
          <w:color w:val="auto"/>
          <w:sz w:val="16"/>
          <w:szCs w:val="16"/>
        </w:rPr>
        <w:t xml:space="preserve"> (edición revisada) (febrero de 2003), Guideline 10.7 – Investigation, 82.</w:t>
      </w:r>
    </w:p>
  </w:footnote>
  <w:footnote w:id="82">
    <w:p w14:paraId="635C3AF9" w14:textId="77777777" w:rsidR="007B69B1" w:rsidRPr="00110F02" w:rsidRDefault="007B69B1" w:rsidP="00110F02">
      <w:pPr>
        <w:pStyle w:val="FootnoteText"/>
        <w:jc w:val="both"/>
        <w:rPr>
          <w:rFonts w:asciiTheme="majorHAnsi" w:hAnsiTheme="majorHAnsi" w:cs="Arial"/>
          <w:color w:val="auto"/>
          <w:sz w:val="16"/>
          <w:szCs w:val="16"/>
        </w:rPr>
      </w:pPr>
      <w:r w:rsidRPr="00FD0AD9">
        <w:rPr>
          <w:rStyle w:val="FootnoteReference"/>
          <w:rFonts w:asciiTheme="majorHAnsi" w:hAnsiTheme="majorHAnsi" w:cs="Arial"/>
          <w:color w:val="auto"/>
          <w:sz w:val="16"/>
          <w:szCs w:val="16"/>
          <w:lang w:val="es-ES"/>
        </w:rPr>
        <w:footnoteRef/>
      </w:r>
      <w:r w:rsidRPr="00110F02">
        <w:rPr>
          <w:rFonts w:asciiTheme="majorHAnsi" w:hAnsiTheme="majorHAnsi" w:cs="Arial"/>
          <w:color w:val="auto"/>
          <w:sz w:val="16"/>
          <w:szCs w:val="16"/>
        </w:rPr>
        <w:t xml:space="preserve"> American Bar Association. </w:t>
      </w:r>
      <w:r w:rsidRPr="00110F02">
        <w:rPr>
          <w:rFonts w:asciiTheme="majorHAnsi" w:hAnsiTheme="majorHAnsi" w:cs="Arial"/>
          <w:i/>
          <w:iCs/>
          <w:color w:val="auto"/>
          <w:sz w:val="16"/>
          <w:szCs w:val="16"/>
        </w:rPr>
        <w:t>Guidelines for the Appointment and Performance of Defense Counsel in Death Penalty Cases</w:t>
      </w:r>
      <w:r w:rsidRPr="00110F02">
        <w:rPr>
          <w:rFonts w:asciiTheme="majorHAnsi" w:hAnsiTheme="majorHAnsi" w:cs="Arial"/>
          <w:color w:val="auto"/>
          <w:sz w:val="16"/>
          <w:szCs w:val="16"/>
        </w:rPr>
        <w:t xml:space="preserve"> (edición revisada) (febrero de 2003), Guideline 10.7 – Investigation, 83.</w:t>
      </w:r>
    </w:p>
  </w:footnote>
  <w:footnote w:id="83">
    <w:p w14:paraId="644F4FB3" w14:textId="77777777" w:rsidR="007B69B1" w:rsidRPr="00FD0AD9" w:rsidRDefault="007B69B1" w:rsidP="00110F02">
      <w:pPr>
        <w:pStyle w:val="FootnoteText"/>
        <w:jc w:val="both"/>
        <w:rPr>
          <w:rFonts w:asciiTheme="majorHAnsi" w:hAnsiTheme="majorHAnsi"/>
          <w:sz w:val="16"/>
          <w:szCs w:val="16"/>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Pr>
          <w:rFonts w:asciiTheme="majorHAnsi" w:hAnsiTheme="majorHAnsi"/>
          <w:color w:val="auto"/>
          <w:sz w:val="16"/>
          <w:szCs w:val="16"/>
          <w:lang w:val="es-ES"/>
        </w:rPr>
        <w:t>El artículo</w:t>
      </w:r>
      <w:r w:rsidRPr="00FD0AD9">
        <w:rPr>
          <w:rFonts w:asciiTheme="majorHAnsi" w:hAnsiTheme="majorHAnsi"/>
          <w:color w:val="auto"/>
          <w:sz w:val="16"/>
          <w:szCs w:val="16"/>
          <w:lang w:val="es-ES"/>
        </w:rPr>
        <w:t xml:space="preserve"> IV </w:t>
      </w:r>
      <w:r>
        <w:rPr>
          <w:rFonts w:asciiTheme="majorHAnsi" w:hAnsiTheme="majorHAnsi"/>
          <w:color w:val="auto"/>
          <w:sz w:val="16"/>
          <w:szCs w:val="16"/>
          <w:lang w:val="es-ES"/>
        </w:rPr>
        <w:t>de la Declaración Americana dice</w:t>
      </w:r>
      <w:r w:rsidRPr="00FD0AD9">
        <w:rPr>
          <w:rFonts w:asciiTheme="majorHAnsi" w:hAnsiTheme="majorHAnsi"/>
          <w:color w:val="auto"/>
          <w:sz w:val="16"/>
          <w:szCs w:val="16"/>
          <w:lang w:val="es-ES"/>
        </w:rPr>
        <w:t>: “</w:t>
      </w:r>
      <w:r w:rsidRPr="00636FFD">
        <w:rPr>
          <w:rFonts w:asciiTheme="majorHAnsi" w:hAnsiTheme="majorHAnsi"/>
          <w:color w:val="auto"/>
          <w:sz w:val="16"/>
          <w:szCs w:val="16"/>
          <w:lang w:val="es-ES"/>
        </w:rPr>
        <w:t>Toda persona tiene derecho a la libertad</w:t>
      </w:r>
      <w:r>
        <w:rPr>
          <w:rFonts w:asciiTheme="majorHAnsi" w:hAnsiTheme="majorHAnsi"/>
          <w:color w:val="auto"/>
          <w:sz w:val="16"/>
          <w:szCs w:val="16"/>
          <w:lang w:val="es-ES"/>
        </w:rPr>
        <w:t xml:space="preserve"> </w:t>
      </w:r>
      <w:r w:rsidRPr="00636FFD">
        <w:rPr>
          <w:rFonts w:asciiTheme="majorHAnsi" w:hAnsiTheme="majorHAnsi"/>
          <w:color w:val="auto"/>
          <w:sz w:val="16"/>
          <w:szCs w:val="16"/>
          <w:lang w:val="es-ES"/>
        </w:rPr>
        <w:t>de investigación, de opinión y de expresión y difusión</w:t>
      </w:r>
      <w:r>
        <w:rPr>
          <w:rFonts w:asciiTheme="majorHAnsi" w:hAnsiTheme="majorHAnsi"/>
          <w:color w:val="auto"/>
          <w:sz w:val="16"/>
          <w:szCs w:val="16"/>
          <w:lang w:val="es-ES"/>
        </w:rPr>
        <w:t xml:space="preserve"> </w:t>
      </w:r>
      <w:r w:rsidRPr="00636FFD">
        <w:rPr>
          <w:rFonts w:asciiTheme="majorHAnsi" w:hAnsiTheme="majorHAnsi"/>
          <w:color w:val="auto"/>
          <w:sz w:val="16"/>
          <w:szCs w:val="16"/>
          <w:lang w:val="es-ES"/>
        </w:rPr>
        <w:t>del pensamiento por cualquier medio</w:t>
      </w:r>
      <w:r w:rsidRPr="00FD0AD9">
        <w:rPr>
          <w:rFonts w:asciiTheme="majorHAnsi" w:hAnsiTheme="majorHAnsi"/>
          <w:color w:val="auto"/>
          <w:sz w:val="16"/>
          <w:szCs w:val="16"/>
          <w:lang w:val="es-ES"/>
        </w:rPr>
        <w:t>”</w:t>
      </w:r>
      <w:r>
        <w:rPr>
          <w:rFonts w:asciiTheme="majorHAnsi" w:hAnsiTheme="majorHAnsi"/>
          <w:color w:val="auto"/>
          <w:sz w:val="16"/>
          <w:szCs w:val="16"/>
          <w:lang w:val="es-ES"/>
        </w:rPr>
        <w:t>.</w:t>
      </w:r>
    </w:p>
  </w:footnote>
  <w:footnote w:id="84">
    <w:p w14:paraId="51B17FC9" w14:textId="77777777" w:rsidR="007B69B1" w:rsidRPr="00FD0AD9" w:rsidRDefault="007B69B1" w:rsidP="00110F02">
      <w:pPr>
        <w:pStyle w:val="FootnoteText"/>
        <w:jc w:val="both"/>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w:t>
      </w:r>
      <w:r>
        <w:rPr>
          <w:rFonts w:asciiTheme="majorHAnsi" w:hAnsiTheme="majorHAnsi"/>
          <w:sz w:val="16"/>
          <w:szCs w:val="16"/>
          <w:lang w:val="es-ES"/>
        </w:rPr>
        <w:t xml:space="preserve">Véase, en general, CIDH. </w:t>
      </w:r>
      <w:r w:rsidRPr="00636FFD">
        <w:rPr>
          <w:rFonts w:asciiTheme="majorHAnsi" w:hAnsiTheme="majorHAnsi"/>
          <w:i/>
          <w:sz w:val="16"/>
          <w:szCs w:val="16"/>
          <w:lang w:val="es-ES"/>
        </w:rPr>
        <w:t>El derecho de acceso a la información en el marco jurídico interamericano</w:t>
      </w:r>
      <w:r w:rsidRPr="00FD0AD9">
        <w:rPr>
          <w:rFonts w:asciiTheme="majorHAnsi" w:hAnsiTheme="majorHAnsi"/>
          <w:sz w:val="16"/>
          <w:szCs w:val="16"/>
          <w:lang w:val="es-ES"/>
        </w:rPr>
        <w:t xml:space="preserve">. </w:t>
      </w:r>
      <w:r>
        <w:rPr>
          <w:rFonts w:asciiTheme="majorHAnsi" w:hAnsiTheme="majorHAnsi"/>
          <w:sz w:val="16"/>
          <w:szCs w:val="16"/>
          <w:lang w:val="es-ES"/>
        </w:rPr>
        <w:t>7 de marzo de 2011</w:t>
      </w:r>
      <w:r w:rsidRPr="00FD0AD9">
        <w:rPr>
          <w:rFonts w:asciiTheme="majorHAnsi" w:hAnsiTheme="majorHAnsi"/>
          <w:sz w:val="16"/>
          <w:szCs w:val="16"/>
          <w:lang w:val="es-ES"/>
        </w:rPr>
        <w:t>.</w:t>
      </w:r>
    </w:p>
  </w:footnote>
  <w:footnote w:id="85">
    <w:p w14:paraId="2180223B" w14:textId="77777777" w:rsidR="007B69B1" w:rsidRPr="00FD0AD9" w:rsidRDefault="007B69B1" w:rsidP="00110F02">
      <w:pPr>
        <w:pStyle w:val="FootnoteText"/>
        <w:jc w:val="both"/>
        <w:rPr>
          <w:rFonts w:asciiTheme="majorHAnsi" w:hAnsiTheme="majorHAnsi"/>
          <w:sz w:val="16"/>
          <w:szCs w:val="16"/>
          <w:lang w:val="es-ES"/>
        </w:rPr>
      </w:pPr>
      <w:r w:rsidRPr="00FD0AD9">
        <w:rPr>
          <w:rStyle w:val="FootnoteReference"/>
          <w:rFonts w:asciiTheme="majorHAnsi" w:hAnsiTheme="majorHAnsi"/>
          <w:sz w:val="16"/>
          <w:szCs w:val="16"/>
          <w:lang w:val="es-ES"/>
        </w:rPr>
        <w:footnoteRef/>
      </w:r>
      <w:r w:rsidRPr="00FD0AD9">
        <w:rPr>
          <w:rFonts w:asciiTheme="majorHAnsi" w:hAnsiTheme="majorHAnsi"/>
          <w:sz w:val="16"/>
          <w:szCs w:val="16"/>
          <w:lang w:val="es-ES"/>
        </w:rPr>
        <w:t xml:space="preserve"> </w:t>
      </w:r>
      <w:r>
        <w:rPr>
          <w:rFonts w:asciiTheme="majorHAnsi" w:hAnsiTheme="majorHAnsi"/>
          <w:sz w:val="16"/>
          <w:szCs w:val="16"/>
          <w:lang w:val="es-ES"/>
        </w:rPr>
        <w:t xml:space="preserve">CIDH. </w:t>
      </w:r>
      <w:r w:rsidRPr="00217F2B">
        <w:rPr>
          <w:rFonts w:asciiTheme="majorHAnsi" w:hAnsiTheme="majorHAnsi"/>
          <w:i/>
          <w:sz w:val="16"/>
          <w:szCs w:val="16"/>
          <w:lang w:val="es-ES"/>
        </w:rPr>
        <w:t>Declaración de principios sobre libertad de expresión</w:t>
      </w:r>
      <w:r>
        <w:rPr>
          <w:rFonts w:asciiTheme="majorHAnsi" w:hAnsiTheme="majorHAnsi"/>
          <w:sz w:val="16"/>
          <w:szCs w:val="16"/>
          <w:lang w:val="es-ES"/>
        </w:rPr>
        <w:t xml:space="preserve">. </w:t>
      </w:r>
      <w:r w:rsidRPr="00FD0AD9">
        <w:rPr>
          <w:rFonts w:asciiTheme="majorHAnsi" w:hAnsiTheme="majorHAnsi"/>
          <w:sz w:val="16"/>
          <w:szCs w:val="16"/>
          <w:lang w:val="es-ES"/>
        </w:rPr>
        <w:t>Princip</w:t>
      </w:r>
      <w:r>
        <w:rPr>
          <w:rFonts w:asciiTheme="majorHAnsi" w:hAnsiTheme="majorHAnsi"/>
          <w:sz w:val="16"/>
          <w:szCs w:val="16"/>
          <w:lang w:val="es-ES"/>
        </w:rPr>
        <w:t>io</w:t>
      </w:r>
      <w:r w:rsidRPr="00FD0AD9">
        <w:rPr>
          <w:rFonts w:asciiTheme="majorHAnsi" w:hAnsiTheme="majorHAnsi"/>
          <w:sz w:val="16"/>
          <w:szCs w:val="16"/>
          <w:lang w:val="es-ES"/>
        </w:rPr>
        <w:t xml:space="preserve"> 3</w:t>
      </w:r>
      <w:r>
        <w:rPr>
          <w:rFonts w:asciiTheme="majorHAnsi" w:hAnsiTheme="majorHAnsi"/>
          <w:sz w:val="16"/>
          <w:szCs w:val="16"/>
          <w:lang w:val="es-ES"/>
        </w:rPr>
        <w:t xml:space="preserve">. </w:t>
      </w:r>
      <w:r w:rsidRPr="00FD0AD9">
        <w:rPr>
          <w:rFonts w:asciiTheme="majorHAnsi" w:hAnsiTheme="majorHAnsi"/>
          <w:sz w:val="16"/>
          <w:szCs w:val="16"/>
          <w:lang w:val="es-ES"/>
        </w:rPr>
        <w:t>20</w:t>
      </w:r>
      <w:r>
        <w:rPr>
          <w:rFonts w:asciiTheme="majorHAnsi" w:hAnsiTheme="majorHAnsi"/>
          <w:sz w:val="16"/>
          <w:szCs w:val="16"/>
          <w:lang w:val="es-ES"/>
        </w:rPr>
        <w:t xml:space="preserve"> de octubre de</w:t>
      </w:r>
      <w:r w:rsidRPr="00FD0AD9">
        <w:rPr>
          <w:rFonts w:asciiTheme="majorHAnsi" w:hAnsiTheme="majorHAnsi"/>
          <w:sz w:val="16"/>
          <w:szCs w:val="16"/>
          <w:lang w:val="es-ES"/>
        </w:rPr>
        <w:t xml:space="preserve"> 2000.</w:t>
      </w:r>
    </w:p>
  </w:footnote>
  <w:footnote w:id="86">
    <w:p w14:paraId="4BADED9A"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CIDH. Informe No.</w:t>
      </w:r>
      <w:r w:rsidRPr="00FD0AD9">
        <w:rPr>
          <w:rFonts w:asciiTheme="majorHAnsi" w:hAnsiTheme="majorHAnsi"/>
          <w:color w:val="auto"/>
          <w:sz w:val="16"/>
          <w:szCs w:val="16"/>
          <w:lang w:val="es-ES"/>
        </w:rPr>
        <w:t xml:space="preserve"> 44/14, Cas</w:t>
      </w:r>
      <w:r>
        <w:rPr>
          <w:rFonts w:asciiTheme="majorHAnsi" w:hAnsiTheme="majorHAnsi"/>
          <w:color w:val="auto"/>
          <w:sz w:val="16"/>
          <w:szCs w:val="16"/>
          <w:lang w:val="es-ES"/>
        </w:rPr>
        <w:t>o</w:t>
      </w:r>
      <w:r w:rsidRPr="00FD0AD9">
        <w:rPr>
          <w:rFonts w:asciiTheme="majorHAnsi" w:hAnsiTheme="majorHAnsi"/>
          <w:color w:val="auto"/>
          <w:sz w:val="16"/>
          <w:szCs w:val="16"/>
          <w:lang w:val="es-ES"/>
        </w:rPr>
        <w:t xml:space="preserve"> 12.873</w:t>
      </w:r>
      <w:r>
        <w:rPr>
          <w:rFonts w:asciiTheme="majorHAnsi" w:hAnsiTheme="majorHAnsi"/>
          <w:color w:val="auto"/>
          <w:sz w:val="16"/>
          <w:szCs w:val="16"/>
          <w:lang w:val="es-ES"/>
        </w:rPr>
        <w:t>.</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Fondo (Publicación).</w:t>
      </w:r>
      <w:r w:rsidRPr="00FD0AD9">
        <w:rPr>
          <w:rFonts w:asciiTheme="majorHAnsi" w:hAnsiTheme="majorHAnsi"/>
          <w:color w:val="auto"/>
          <w:sz w:val="16"/>
          <w:szCs w:val="16"/>
          <w:lang w:val="es-ES"/>
        </w:rPr>
        <w:t xml:space="preserve"> Edgar Tamayo Arias</w:t>
      </w:r>
      <w:r>
        <w:rPr>
          <w:rFonts w:asciiTheme="majorHAnsi" w:hAnsiTheme="majorHAnsi"/>
          <w:color w:val="auto"/>
          <w:sz w:val="16"/>
          <w:szCs w:val="16"/>
          <w:lang w:val="es-ES"/>
        </w:rPr>
        <w:t>.</w:t>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Estados Unidos.</w:t>
      </w:r>
      <w:r w:rsidRPr="00FD0AD9">
        <w:rPr>
          <w:rFonts w:asciiTheme="majorHAnsi" w:hAnsiTheme="majorHAnsi"/>
          <w:color w:val="auto"/>
          <w:sz w:val="16"/>
          <w:szCs w:val="16"/>
          <w:lang w:val="es-ES"/>
        </w:rPr>
        <w:t xml:space="preserve"> 17</w:t>
      </w:r>
      <w:r>
        <w:rPr>
          <w:rFonts w:asciiTheme="majorHAnsi" w:hAnsiTheme="majorHAnsi"/>
          <w:color w:val="auto"/>
          <w:sz w:val="16"/>
          <w:szCs w:val="16"/>
          <w:lang w:val="es-ES"/>
        </w:rPr>
        <w:t xml:space="preserve"> de julio de</w:t>
      </w:r>
      <w:r w:rsidRPr="00FD0AD9">
        <w:rPr>
          <w:rFonts w:asciiTheme="majorHAnsi" w:hAnsiTheme="majorHAnsi"/>
          <w:color w:val="auto"/>
          <w:sz w:val="16"/>
          <w:szCs w:val="16"/>
          <w:lang w:val="es-ES"/>
        </w:rPr>
        <w:t xml:space="preserve"> 2014</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189.</w:t>
      </w:r>
    </w:p>
  </w:footnote>
  <w:footnote w:id="87">
    <w:p w14:paraId="6A810150"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Pr>
          <w:rFonts w:asciiTheme="majorHAnsi" w:hAnsiTheme="majorHAnsi"/>
          <w:color w:val="auto"/>
          <w:sz w:val="16"/>
          <w:szCs w:val="16"/>
          <w:lang w:val="es-ES"/>
        </w:rPr>
        <w:t>CIDH. Informe No.</w:t>
      </w:r>
      <w:r w:rsidRPr="00FD0AD9">
        <w:rPr>
          <w:rFonts w:asciiTheme="majorHAnsi" w:hAnsiTheme="majorHAnsi"/>
          <w:color w:val="auto"/>
          <w:sz w:val="16"/>
          <w:szCs w:val="16"/>
          <w:lang w:val="es-ES"/>
        </w:rPr>
        <w:t xml:space="preserve"> 44/14, Case 12.873, </w:t>
      </w:r>
      <w:r>
        <w:rPr>
          <w:rFonts w:asciiTheme="majorHAnsi" w:hAnsiTheme="majorHAnsi"/>
          <w:color w:val="auto"/>
          <w:sz w:val="16"/>
          <w:szCs w:val="16"/>
          <w:lang w:val="es-ES"/>
        </w:rPr>
        <w:t>Fondo (Publicación)</w:t>
      </w:r>
      <w:r w:rsidRPr="00FD0AD9">
        <w:rPr>
          <w:rFonts w:asciiTheme="majorHAnsi" w:hAnsiTheme="majorHAnsi"/>
          <w:color w:val="auto"/>
          <w:sz w:val="16"/>
          <w:szCs w:val="16"/>
          <w:lang w:val="es-ES"/>
        </w:rPr>
        <w:t xml:space="preserve">, Edgar Tamayo Arias, </w:t>
      </w:r>
      <w:r>
        <w:rPr>
          <w:rFonts w:asciiTheme="majorHAnsi" w:hAnsiTheme="majorHAnsi"/>
          <w:color w:val="auto"/>
          <w:sz w:val="16"/>
          <w:szCs w:val="16"/>
          <w:lang w:val="es-ES"/>
        </w:rPr>
        <w:t>Estados Unidos.</w:t>
      </w:r>
      <w:r w:rsidRPr="00FD0AD9">
        <w:rPr>
          <w:rFonts w:asciiTheme="majorHAnsi" w:hAnsiTheme="majorHAnsi"/>
          <w:color w:val="auto"/>
          <w:sz w:val="16"/>
          <w:szCs w:val="16"/>
          <w:lang w:val="es-ES"/>
        </w:rPr>
        <w:t xml:space="preserve"> </w:t>
      </w:r>
      <w:r w:rsidRPr="000911EE">
        <w:rPr>
          <w:rFonts w:asciiTheme="majorHAnsi" w:hAnsiTheme="majorHAnsi"/>
          <w:color w:val="auto"/>
          <w:sz w:val="16"/>
          <w:szCs w:val="16"/>
          <w:lang w:val="es-ES"/>
        </w:rPr>
        <w:t>17 de julio de 2014</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190.</w:t>
      </w:r>
    </w:p>
  </w:footnote>
  <w:footnote w:id="88">
    <w:p w14:paraId="721C4821" w14:textId="77777777" w:rsidR="007B69B1" w:rsidRPr="00FD0AD9" w:rsidRDefault="007B69B1" w:rsidP="00110F02">
      <w:pPr>
        <w:pStyle w:val="FootnoteText"/>
        <w:jc w:val="both"/>
        <w:rPr>
          <w:rFonts w:ascii="Cambria" w:hAnsi="Cambria"/>
          <w:sz w:val="16"/>
          <w:szCs w:val="16"/>
          <w:lang w:val="es-ES"/>
        </w:rPr>
      </w:pPr>
      <w:r w:rsidRPr="00FD0AD9">
        <w:rPr>
          <w:rStyle w:val="FootnoteReference"/>
          <w:rFonts w:ascii="Cambria" w:hAnsi="Cambria"/>
          <w:sz w:val="16"/>
          <w:szCs w:val="16"/>
          <w:lang w:val="es-ES"/>
        </w:rPr>
        <w:footnoteRef/>
      </w:r>
      <w:r w:rsidRPr="00FD0AD9">
        <w:rPr>
          <w:rFonts w:ascii="Cambria" w:hAnsi="Cambria"/>
          <w:sz w:val="16"/>
          <w:szCs w:val="16"/>
          <w:lang w:val="es-ES"/>
        </w:rPr>
        <w:t xml:space="preserve"> </w:t>
      </w:r>
      <w:r w:rsidRPr="005B14EC">
        <w:rPr>
          <w:rFonts w:ascii="Cambria" w:hAnsi="Cambria"/>
          <w:sz w:val="16"/>
          <w:szCs w:val="16"/>
          <w:lang w:val="es-ES"/>
        </w:rPr>
        <w:t>CIDH. Informe No. 44/14, Caso 12.873. Fondo (Publicación). Edgar Tamayo Arias. Estados Unidos. 17 de julio de 2014</w:t>
      </w:r>
      <w:r>
        <w:rPr>
          <w:rFonts w:ascii="Cambria" w:hAnsi="Cambria"/>
          <w:sz w:val="16"/>
          <w:szCs w:val="16"/>
          <w:lang w:val="es-ES"/>
        </w:rPr>
        <w:t>, párr.</w:t>
      </w:r>
      <w:r w:rsidRPr="00FD0AD9">
        <w:rPr>
          <w:rFonts w:ascii="Cambria" w:hAnsi="Cambria"/>
          <w:sz w:val="16"/>
          <w:szCs w:val="16"/>
          <w:lang w:val="es-ES"/>
        </w:rPr>
        <w:t xml:space="preserve"> 189.</w:t>
      </w:r>
    </w:p>
  </w:footnote>
  <w:footnote w:id="89">
    <w:p w14:paraId="420813AC" w14:textId="77777777" w:rsidR="007B69B1" w:rsidRPr="00110F02" w:rsidRDefault="007B69B1" w:rsidP="00110F02">
      <w:pPr>
        <w:pStyle w:val="FootnoteText"/>
        <w:jc w:val="both"/>
        <w:rPr>
          <w:rFonts w:ascii="Cambria" w:hAnsi="Cambria"/>
          <w:sz w:val="16"/>
          <w:szCs w:val="16"/>
        </w:rPr>
      </w:pPr>
      <w:r w:rsidRPr="00FD0AD9">
        <w:rPr>
          <w:rStyle w:val="FootnoteReference"/>
          <w:rFonts w:ascii="Cambria" w:hAnsi="Cambria"/>
          <w:sz w:val="16"/>
          <w:szCs w:val="16"/>
          <w:lang w:val="es-ES"/>
        </w:rPr>
        <w:footnoteRef/>
      </w:r>
      <w:r w:rsidRPr="00FD0AD9">
        <w:rPr>
          <w:rFonts w:ascii="Cambria" w:hAnsi="Cambria"/>
          <w:sz w:val="16"/>
          <w:szCs w:val="16"/>
          <w:lang w:val="es-ES"/>
        </w:rPr>
        <w:t xml:space="preserve"> </w:t>
      </w:r>
      <w:r w:rsidRPr="005B14EC">
        <w:rPr>
          <w:rFonts w:ascii="Cambria" w:hAnsi="Cambria"/>
          <w:sz w:val="16"/>
          <w:szCs w:val="16"/>
          <w:lang w:val="es-ES"/>
        </w:rPr>
        <w:t xml:space="preserve">CIDH. Informe No. 44/14, Caso 12.873. Fondo (Publicación). </w:t>
      </w:r>
      <w:r w:rsidRPr="0072774E">
        <w:rPr>
          <w:rFonts w:ascii="Cambria" w:hAnsi="Cambria"/>
          <w:sz w:val="16"/>
          <w:szCs w:val="16"/>
          <w:lang w:val="es-US"/>
        </w:rPr>
        <w:t xml:space="preserve">Edgar Tamayo Arias. </w:t>
      </w:r>
      <w:r w:rsidRPr="00DD5969">
        <w:rPr>
          <w:rFonts w:ascii="Cambria" w:hAnsi="Cambria"/>
          <w:sz w:val="16"/>
          <w:szCs w:val="16"/>
          <w:lang w:val="es-US"/>
        </w:rPr>
        <w:t xml:space="preserve">Estados Unidos. </w:t>
      </w:r>
      <w:r w:rsidRPr="00110F02">
        <w:rPr>
          <w:rFonts w:ascii="Cambria" w:hAnsi="Cambria"/>
          <w:sz w:val="16"/>
          <w:szCs w:val="16"/>
        </w:rPr>
        <w:t>17 de julio de 2014, párr. 190.</w:t>
      </w:r>
    </w:p>
  </w:footnote>
  <w:footnote w:id="90">
    <w:p w14:paraId="4AE786B9" w14:textId="77777777" w:rsidR="007B69B1" w:rsidRPr="00FD0AD9" w:rsidRDefault="007B69B1" w:rsidP="00110F02">
      <w:pPr>
        <w:pStyle w:val="FootnoteText"/>
        <w:jc w:val="both"/>
        <w:rPr>
          <w:rFonts w:ascii="Cambria" w:hAnsi="Cambria"/>
          <w:sz w:val="16"/>
          <w:szCs w:val="16"/>
          <w:lang w:val="es-ES"/>
        </w:rPr>
      </w:pPr>
      <w:r w:rsidRPr="00FD0AD9">
        <w:rPr>
          <w:rStyle w:val="FootnoteReference"/>
          <w:rFonts w:ascii="Cambria" w:hAnsi="Cambria"/>
          <w:sz w:val="16"/>
          <w:szCs w:val="16"/>
          <w:lang w:val="es-ES"/>
        </w:rPr>
        <w:footnoteRef/>
      </w:r>
      <w:r w:rsidRPr="00110F02">
        <w:rPr>
          <w:rFonts w:ascii="Cambria" w:hAnsi="Cambria"/>
          <w:sz w:val="16"/>
          <w:szCs w:val="16"/>
        </w:rPr>
        <w:t xml:space="preserve"> </w:t>
      </w:r>
      <w:r w:rsidRPr="00110F02">
        <w:rPr>
          <w:rFonts w:ascii="Cambria" w:hAnsi="Cambria"/>
          <w:i/>
          <w:sz w:val="16"/>
          <w:szCs w:val="16"/>
        </w:rPr>
        <w:t>The death penalty and the absolute prohibition of Torture and Cruel, Inhuman, and Degrading Treatment or Punishment</w:t>
      </w:r>
      <w:r w:rsidRPr="00110F02">
        <w:rPr>
          <w:rFonts w:ascii="Cambria" w:hAnsi="Cambria"/>
          <w:sz w:val="16"/>
          <w:szCs w:val="16"/>
        </w:rPr>
        <w:t xml:space="preserve">. </w:t>
      </w:r>
      <w:r w:rsidRPr="005E204E">
        <w:rPr>
          <w:rFonts w:ascii="Cambria" w:hAnsi="Cambria"/>
          <w:sz w:val="16"/>
          <w:szCs w:val="16"/>
          <w:lang w:val="es-ES"/>
        </w:rPr>
        <w:t xml:space="preserve">Juan E. </w:t>
      </w:r>
      <w:r w:rsidR="00261E95" w:rsidRPr="005E204E">
        <w:rPr>
          <w:rFonts w:ascii="Cambria" w:hAnsi="Cambria"/>
          <w:sz w:val="16"/>
          <w:szCs w:val="16"/>
          <w:lang w:val="es-ES"/>
        </w:rPr>
        <w:t>Méndez</w:t>
      </w:r>
      <w:r w:rsidRPr="005E204E">
        <w:rPr>
          <w:rFonts w:ascii="Cambria" w:hAnsi="Cambria"/>
          <w:sz w:val="16"/>
          <w:szCs w:val="16"/>
          <w:lang w:val="es-ES"/>
        </w:rPr>
        <w:t xml:space="preserve">, </w:t>
      </w:r>
      <w:r w:rsidRPr="005E204E">
        <w:rPr>
          <w:rFonts w:ascii="Cambria" w:hAnsi="Cambria"/>
          <w:i/>
          <w:sz w:val="16"/>
          <w:szCs w:val="16"/>
          <w:lang w:val="es-ES"/>
        </w:rPr>
        <w:t>Human Rights Brief</w:t>
      </w:r>
      <w:r w:rsidRPr="005E204E">
        <w:rPr>
          <w:rFonts w:ascii="Cambria" w:hAnsi="Cambria"/>
          <w:sz w:val="16"/>
          <w:szCs w:val="16"/>
          <w:lang w:val="es-ES"/>
        </w:rPr>
        <w:t>, Volumen 20, número 1, artículo 1</w:t>
      </w:r>
      <w:r w:rsidRPr="00FD0AD9">
        <w:rPr>
          <w:rFonts w:ascii="Cambria" w:hAnsi="Cambria"/>
          <w:sz w:val="16"/>
          <w:szCs w:val="16"/>
          <w:lang w:val="es-ES"/>
        </w:rPr>
        <w:t xml:space="preserve">, p. 3. </w:t>
      </w:r>
    </w:p>
  </w:footnote>
  <w:footnote w:id="91">
    <w:p w14:paraId="2F284DDC" w14:textId="77777777" w:rsidR="007B69B1" w:rsidRPr="00FD0AD9" w:rsidRDefault="007B69B1" w:rsidP="00110F02">
      <w:pPr>
        <w:pStyle w:val="FootnoteText"/>
        <w:jc w:val="both"/>
        <w:rPr>
          <w:rFonts w:ascii="Cambria" w:hAnsi="Cambria"/>
          <w:sz w:val="16"/>
          <w:szCs w:val="16"/>
          <w:lang w:val="es-ES"/>
        </w:rPr>
      </w:pPr>
      <w:r w:rsidRPr="00FD0AD9">
        <w:rPr>
          <w:rStyle w:val="FootnoteReference"/>
          <w:rFonts w:ascii="Cambria" w:hAnsi="Cambria"/>
          <w:sz w:val="16"/>
          <w:szCs w:val="16"/>
          <w:lang w:val="es-ES"/>
        </w:rPr>
        <w:footnoteRef/>
      </w:r>
      <w:r w:rsidRPr="00FD0AD9">
        <w:rPr>
          <w:rFonts w:ascii="Cambria" w:hAnsi="Cambria"/>
          <w:sz w:val="16"/>
          <w:szCs w:val="16"/>
          <w:lang w:val="es-ES"/>
        </w:rPr>
        <w:t xml:space="preserve"> </w:t>
      </w:r>
      <w:r w:rsidRPr="005E204E">
        <w:rPr>
          <w:rFonts w:ascii="Cambria" w:hAnsi="Cambria"/>
          <w:sz w:val="16"/>
          <w:szCs w:val="16"/>
          <w:lang w:val="es-ES"/>
        </w:rPr>
        <w:t xml:space="preserve">Comité contra la Tortura. </w:t>
      </w:r>
      <w:r w:rsidRPr="005E204E">
        <w:rPr>
          <w:rFonts w:ascii="Cambria" w:hAnsi="Cambria"/>
          <w:i/>
          <w:sz w:val="16"/>
          <w:szCs w:val="16"/>
          <w:lang w:val="es-ES"/>
        </w:rPr>
        <w:t>Examen de los informes presentados por los Estados Partes en virtud del artículo 19 de la Convención. Estados Unidos de América</w:t>
      </w:r>
      <w:r w:rsidRPr="005E204E">
        <w:rPr>
          <w:rFonts w:ascii="Cambria" w:hAnsi="Cambria"/>
          <w:sz w:val="16"/>
          <w:szCs w:val="16"/>
          <w:lang w:val="es-ES"/>
        </w:rPr>
        <w:t>. CAT/C/USA/CO/2, 25 de julio de 2006, párr. 31</w:t>
      </w:r>
      <w:r w:rsidRPr="00FD0AD9">
        <w:rPr>
          <w:rFonts w:ascii="Cambria" w:hAnsi="Cambria"/>
          <w:sz w:val="16"/>
          <w:szCs w:val="16"/>
          <w:lang w:val="es-ES"/>
        </w:rPr>
        <w:t>.</w:t>
      </w:r>
    </w:p>
  </w:footnote>
  <w:footnote w:id="92">
    <w:p w14:paraId="383FC4EB"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sidRPr="005E204E">
        <w:rPr>
          <w:rFonts w:asciiTheme="majorHAnsi" w:hAnsiTheme="majorHAnsi"/>
          <w:color w:val="auto"/>
          <w:sz w:val="16"/>
          <w:szCs w:val="16"/>
          <w:lang w:val="es-ES"/>
        </w:rPr>
        <w:t>CIDH. Informe No. 71/18, Caso 12.958. Fondo. Russell Bucklew. Estados Unidos. 10 de mayo de 2018, párrs. 86 a 90. En este informe, la Comisión cita varios avances en el sistema interamericano y en otros sistemas de protección, entre ellos los sistemas regionales y el sistema de las Naciones Unidas</w:t>
      </w:r>
      <w:r w:rsidRPr="00FD0AD9">
        <w:rPr>
          <w:rFonts w:asciiTheme="majorHAnsi" w:hAnsiTheme="majorHAnsi"/>
          <w:color w:val="auto"/>
          <w:sz w:val="16"/>
          <w:szCs w:val="16"/>
          <w:lang w:val="es-ES"/>
        </w:rPr>
        <w:t>.</w:t>
      </w:r>
    </w:p>
  </w:footnote>
  <w:footnote w:id="93">
    <w:p w14:paraId="0172369A" w14:textId="77777777" w:rsidR="007B69B1" w:rsidRPr="00FD0AD9" w:rsidRDefault="007B69B1" w:rsidP="00110F02">
      <w:pPr>
        <w:pStyle w:val="FootnoteText"/>
        <w:tabs>
          <w:tab w:val="left" w:pos="0"/>
        </w:tabs>
        <w:rPr>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sidRPr="005E204E">
        <w:rPr>
          <w:rFonts w:asciiTheme="majorHAnsi" w:hAnsiTheme="majorHAnsi"/>
          <w:color w:val="auto"/>
          <w:sz w:val="16"/>
          <w:szCs w:val="16"/>
          <w:lang w:val="es-ES"/>
        </w:rPr>
        <w:t>CIDH. Informe No. 71/18, Caso 12.958. Fondo. Russell Bucklew. Estados Unidos. 10 de mayo de 2018</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83.</w:t>
      </w:r>
    </w:p>
  </w:footnote>
  <w:footnote w:id="94">
    <w:p w14:paraId="15A57383" w14:textId="77777777" w:rsidR="007B69B1" w:rsidRPr="00FD0AD9" w:rsidRDefault="007B69B1" w:rsidP="00110F02">
      <w:pPr>
        <w:pStyle w:val="FootnoteText"/>
        <w:pBdr>
          <w:top w:val="none" w:sz="0" w:space="0" w:color="auto"/>
          <w:left w:val="none" w:sz="0" w:space="0" w:color="auto"/>
          <w:bottom w:val="none" w:sz="0" w:space="0" w:color="auto"/>
          <w:right w:val="none" w:sz="0" w:space="0" w:color="auto"/>
          <w:bar w:val="none" w:sz="0" w:color="auto"/>
        </w:pBdr>
        <w:tabs>
          <w:tab w:val="left" w:pos="0"/>
          <w:tab w:val="right" w:pos="540"/>
          <w:tab w:val="left" w:pos="900"/>
        </w:tabs>
        <w:jc w:val="both"/>
        <w:rPr>
          <w:color w:val="auto"/>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Pr>
          <w:rFonts w:asciiTheme="majorHAnsi" w:hAnsiTheme="majorHAnsi"/>
          <w:color w:val="auto"/>
          <w:sz w:val="16"/>
          <w:szCs w:val="16"/>
          <w:lang w:val="es-ES"/>
        </w:rPr>
        <w:t>C</w:t>
      </w:r>
      <w:r w:rsidRPr="00354E87">
        <w:rPr>
          <w:rFonts w:asciiTheme="majorHAnsi" w:eastAsia="Arial Unicode MS" w:hAnsiTheme="majorHAnsi" w:cs="Times New Roman"/>
          <w:color w:val="auto"/>
          <w:sz w:val="16"/>
          <w:szCs w:val="16"/>
          <w:lang w:val="es-ES" w:eastAsia="en-US"/>
        </w:rPr>
        <w:t xml:space="preserve"> </w:t>
      </w:r>
      <w:r w:rsidRPr="00354E87">
        <w:rPr>
          <w:rFonts w:asciiTheme="majorHAnsi" w:hAnsiTheme="majorHAnsi"/>
          <w:color w:val="auto"/>
          <w:sz w:val="16"/>
          <w:szCs w:val="16"/>
          <w:lang w:val="es-ES"/>
        </w:rPr>
        <w:t xml:space="preserve">CIDH. Informe No. 24/17, Caso 12.254. Fondo. Víctor Saldaño. Estados Unidos. 18 de marzo de 2017, párr. 246, donde se cita </w:t>
      </w:r>
      <w:r>
        <w:rPr>
          <w:rFonts w:asciiTheme="majorHAnsi" w:hAnsiTheme="majorHAnsi"/>
          <w:color w:val="auto"/>
          <w:sz w:val="16"/>
          <w:szCs w:val="16"/>
          <w:lang w:val="es-ES"/>
        </w:rPr>
        <w:t>la C</w:t>
      </w:r>
      <w:r w:rsidRPr="00354E87">
        <w:rPr>
          <w:rFonts w:asciiTheme="majorHAnsi" w:hAnsiTheme="majorHAnsi"/>
          <w:color w:val="auto"/>
          <w:sz w:val="16"/>
          <w:szCs w:val="16"/>
          <w:lang w:val="es-ES"/>
        </w:rPr>
        <w:t>IDH</w:t>
      </w:r>
      <w:r>
        <w:rPr>
          <w:rFonts w:asciiTheme="majorHAnsi" w:hAnsiTheme="majorHAnsi"/>
          <w:color w:val="auto"/>
          <w:sz w:val="16"/>
          <w:szCs w:val="16"/>
          <w:lang w:val="es-ES"/>
        </w:rPr>
        <w:t>,</w:t>
      </w:r>
      <w:r w:rsidRPr="00354E87">
        <w:rPr>
          <w:rFonts w:asciiTheme="majorHAnsi" w:hAnsiTheme="majorHAnsi"/>
          <w:color w:val="auto"/>
          <w:sz w:val="16"/>
          <w:szCs w:val="16"/>
          <w:lang w:val="es-ES"/>
        </w:rPr>
        <w:t xml:space="preserve"> Informe No. 58/02. Fondo. Caso 12.275. Denton Aitken. Jamaica. 21 de octubre de 2002, párrs. 133 y 134</w:t>
      </w:r>
      <w:r w:rsidRPr="00FD0AD9">
        <w:rPr>
          <w:rFonts w:asciiTheme="majorHAnsi" w:hAnsiTheme="majorHAnsi"/>
          <w:color w:val="auto"/>
          <w:sz w:val="16"/>
          <w:szCs w:val="16"/>
          <w:lang w:val="es-ES"/>
        </w:rPr>
        <w:t>.</w:t>
      </w:r>
    </w:p>
  </w:footnote>
  <w:footnote w:id="95">
    <w:p w14:paraId="074D1999" w14:textId="77777777" w:rsidR="007B69B1" w:rsidRPr="00FD0AD9" w:rsidRDefault="007B69B1" w:rsidP="00B16A61">
      <w:pPr>
        <w:pStyle w:val="FootnoteText"/>
        <w:pBdr>
          <w:top w:val="none" w:sz="0" w:space="0" w:color="auto"/>
          <w:left w:val="none" w:sz="0" w:space="0" w:color="auto"/>
          <w:bottom w:val="none" w:sz="0" w:space="0" w:color="auto"/>
          <w:right w:val="none" w:sz="0" w:space="0" w:color="auto"/>
          <w:bar w:val="none" w:sz="0" w:color="auto"/>
        </w:pBdr>
        <w:tabs>
          <w:tab w:val="left" w:pos="0"/>
        </w:tabs>
        <w:jc w:val="both"/>
        <w:rPr>
          <w:color w:val="auto"/>
          <w:lang w:val="es-ES"/>
        </w:rPr>
      </w:pPr>
      <w:r w:rsidRPr="00FD0AD9">
        <w:rPr>
          <w:rStyle w:val="FootnoteReference"/>
          <w:rFonts w:ascii="Cambria" w:hAnsi="Cambria"/>
          <w:color w:val="auto"/>
          <w:sz w:val="16"/>
          <w:szCs w:val="16"/>
          <w:lang w:val="es-ES"/>
        </w:rPr>
        <w:footnoteRef/>
      </w:r>
      <w:r w:rsidRPr="00FD0AD9">
        <w:rPr>
          <w:rFonts w:ascii="Cambria" w:hAnsi="Cambria"/>
          <w:color w:val="auto"/>
          <w:sz w:val="16"/>
          <w:szCs w:val="16"/>
          <w:lang w:val="es-ES"/>
        </w:rPr>
        <w:t xml:space="preserve"> </w:t>
      </w:r>
      <w:r w:rsidRPr="00354E87">
        <w:rPr>
          <w:rFonts w:ascii="Cambria" w:hAnsi="Cambria"/>
          <w:color w:val="auto"/>
          <w:sz w:val="16"/>
          <w:szCs w:val="16"/>
          <w:lang w:val="es-ES"/>
        </w:rPr>
        <w:t>Naciones Unidas</w:t>
      </w:r>
      <w:r>
        <w:rPr>
          <w:rFonts w:ascii="Cambria" w:hAnsi="Cambria"/>
          <w:color w:val="auto"/>
          <w:sz w:val="16"/>
          <w:szCs w:val="16"/>
          <w:lang w:val="es-ES"/>
        </w:rPr>
        <w:t>,</w:t>
      </w:r>
      <w:r w:rsidRPr="00354E87">
        <w:rPr>
          <w:rFonts w:ascii="Cambria" w:hAnsi="Cambria"/>
          <w:color w:val="auto"/>
          <w:sz w:val="16"/>
          <w:szCs w:val="16"/>
          <w:lang w:val="es-ES"/>
        </w:rPr>
        <w:t xml:space="preserve"> Asamblea General. </w:t>
      </w:r>
      <w:hyperlink r:id="rId7" w:history="1">
        <w:r w:rsidRPr="00354E87">
          <w:rPr>
            <w:rStyle w:val="Hyperlink"/>
            <w:rFonts w:ascii="Cambria" w:hAnsi="Cambria"/>
            <w:i/>
            <w:sz w:val="16"/>
            <w:szCs w:val="16"/>
            <w:lang w:val="es-ES"/>
          </w:rPr>
          <w:t>Informe provisional del Relator Especial sobre la tortura y otros tratos o penas crueles, inhumanos o degradantes</w:t>
        </w:r>
      </w:hyperlink>
      <w:r w:rsidRPr="00354E87">
        <w:rPr>
          <w:rFonts w:ascii="Cambria" w:hAnsi="Cambria"/>
          <w:color w:val="auto"/>
          <w:sz w:val="16"/>
          <w:szCs w:val="16"/>
          <w:lang w:val="es-ES"/>
        </w:rPr>
        <w:t>. A/67/279, 9 de agosto de 2012. A/67/279, párr. 48</w:t>
      </w:r>
      <w:r w:rsidRPr="00FD0AD9">
        <w:rPr>
          <w:rFonts w:ascii="Cambria" w:hAnsi="Cambria"/>
          <w:color w:val="auto"/>
          <w:sz w:val="16"/>
          <w:szCs w:val="16"/>
          <w:lang w:val="es-ES"/>
        </w:rPr>
        <w:t>.</w:t>
      </w:r>
    </w:p>
  </w:footnote>
  <w:footnote w:id="96">
    <w:p w14:paraId="33DBB99E" w14:textId="77777777" w:rsidR="007B69B1" w:rsidRPr="00FD0AD9" w:rsidRDefault="007B69B1" w:rsidP="00110F02">
      <w:pPr>
        <w:pStyle w:val="FootnoteText"/>
        <w:rPr>
          <w:lang w:val="es-ES"/>
        </w:rPr>
      </w:pPr>
      <w:r w:rsidRPr="00FD0AD9">
        <w:rPr>
          <w:rStyle w:val="FootnoteReference"/>
          <w:rFonts w:ascii="Cambria" w:hAnsi="Cambria"/>
          <w:color w:val="auto"/>
          <w:sz w:val="16"/>
          <w:szCs w:val="16"/>
          <w:lang w:val="es-ES"/>
        </w:rPr>
        <w:footnoteRef/>
      </w:r>
      <w:r w:rsidRPr="00FD0AD9">
        <w:rPr>
          <w:rStyle w:val="FootnoteReference"/>
          <w:rFonts w:ascii="Cambria" w:hAnsi="Cambria"/>
          <w:color w:val="auto"/>
          <w:sz w:val="16"/>
          <w:szCs w:val="16"/>
          <w:lang w:val="es-ES"/>
        </w:rPr>
        <w:t xml:space="preserve"> </w:t>
      </w:r>
      <w:r w:rsidRPr="00354E87">
        <w:rPr>
          <w:rFonts w:asciiTheme="majorHAnsi" w:hAnsiTheme="majorHAnsi"/>
          <w:color w:val="auto"/>
          <w:sz w:val="16"/>
          <w:szCs w:val="16"/>
          <w:lang w:val="es-ES"/>
        </w:rPr>
        <w:t>El artículo I de la Declaración Americana dice: “Todo ser humano tiene derecho a la vida, a la libertad y a la seguridad de su persona”.</w:t>
      </w:r>
    </w:p>
  </w:footnote>
  <w:footnote w:id="97">
    <w:p w14:paraId="0F6CB8FB"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354E87">
        <w:rPr>
          <w:rFonts w:asciiTheme="majorHAnsi" w:hAnsiTheme="majorHAnsi"/>
          <w:color w:val="auto"/>
          <w:sz w:val="16"/>
          <w:szCs w:val="16"/>
          <w:lang w:val="es-ES"/>
        </w:rPr>
        <w:t>CIDH. Informe No. 53/13, Caso 12.864. Fondo (Publicación). Ivan Teleguz. Estados Unidos. 15 de julio de 2013, párr. 129</w:t>
      </w:r>
      <w:r w:rsidRPr="00FD0AD9">
        <w:rPr>
          <w:rFonts w:asciiTheme="majorHAnsi" w:hAnsiTheme="majorHAnsi"/>
          <w:color w:val="auto"/>
          <w:sz w:val="16"/>
          <w:szCs w:val="16"/>
          <w:lang w:val="es-ES"/>
        </w:rPr>
        <w:t>.</w:t>
      </w:r>
    </w:p>
  </w:footnote>
  <w:footnote w:id="98">
    <w:p w14:paraId="59013775" w14:textId="77777777" w:rsidR="007B69B1" w:rsidRPr="00FD0AD9" w:rsidRDefault="007B69B1" w:rsidP="00110F02">
      <w:pPr>
        <w:pStyle w:val="FootnoteText"/>
        <w:jc w:val="both"/>
        <w:rPr>
          <w:rFonts w:asciiTheme="majorHAnsi" w:hAnsiTheme="majorHAnsi"/>
          <w:color w:val="auto"/>
          <w:sz w:val="16"/>
          <w:szCs w:val="16"/>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354E87">
        <w:rPr>
          <w:rFonts w:asciiTheme="majorHAnsi" w:hAnsiTheme="majorHAnsi"/>
          <w:color w:val="auto"/>
          <w:sz w:val="16"/>
          <w:szCs w:val="16"/>
          <w:lang w:val="es-ES"/>
        </w:rPr>
        <w:t>CIDH. Informe No. 11/15, Caso 12.833. Fondo (Publicación). Félix Rocha Díaz. Estados Unidos. 23 de marzo de 2015</w:t>
      </w:r>
      <w:r>
        <w:rPr>
          <w:rFonts w:asciiTheme="majorHAnsi" w:hAnsiTheme="majorHAnsi"/>
          <w:color w:val="auto"/>
          <w:sz w:val="16"/>
          <w:szCs w:val="16"/>
          <w:lang w:val="es-ES"/>
        </w:rPr>
        <w:t>, párr.</w:t>
      </w:r>
      <w:r w:rsidRPr="00FD0AD9">
        <w:rPr>
          <w:rFonts w:asciiTheme="majorHAnsi" w:hAnsiTheme="majorHAnsi"/>
          <w:color w:val="auto"/>
          <w:sz w:val="16"/>
          <w:szCs w:val="16"/>
          <w:lang w:val="es-ES"/>
        </w:rPr>
        <w:t xml:space="preserve"> 106.</w:t>
      </w:r>
    </w:p>
  </w:footnote>
  <w:footnote w:id="99">
    <w:p w14:paraId="1EB96387" w14:textId="77777777" w:rsidR="007B69B1" w:rsidRPr="00FD0AD9" w:rsidRDefault="007B69B1" w:rsidP="00110F02">
      <w:pPr>
        <w:pStyle w:val="FootnoteText"/>
        <w:jc w:val="both"/>
        <w:rPr>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sidRPr="00D052C8">
        <w:rPr>
          <w:rFonts w:asciiTheme="majorHAnsi" w:hAnsiTheme="majorHAnsi"/>
          <w:color w:val="auto"/>
          <w:sz w:val="16"/>
          <w:szCs w:val="16"/>
          <w:lang w:val="es-ES"/>
        </w:rPr>
        <w:t xml:space="preserve">En ese sentido, véase CIDH. </w:t>
      </w:r>
      <w:r w:rsidRPr="00D052C8">
        <w:rPr>
          <w:rFonts w:asciiTheme="majorHAnsi" w:hAnsiTheme="majorHAnsi"/>
          <w:i/>
          <w:color w:val="auto"/>
          <w:sz w:val="16"/>
          <w:szCs w:val="16"/>
          <w:lang w:val="es-ES"/>
        </w:rPr>
        <w:t>La pena de muerte en el Sistema Interamericano de Derechos Humanos: de restricciones a abolición.</w:t>
      </w:r>
      <w:r w:rsidRPr="00D052C8">
        <w:rPr>
          <w:rFonts w:asciiTheme="majorHAnsi" w:hAnsiTheme="majorHAnsi"/>
          <w:color w:val="auto"/>
          <w:sz w:val="16"/>
          <w:szCs w:val="16"/>
          <w:lang w:val="es-ES"/>
        </w:rPr>
        <w:t xml:space="preserve"> OEA/Ser.L/V/II. Doc. 68, 31 de diciembre de 2011</w:t>
      </w:r>
      <w:r w:rsidRPr="00FD0AD9">
        <w:rPr>
          <w:rFonts w:asciiTheme="majorHAnsi" w:hAnsiTheme="majorHAnsi"/>
          <w:color w:val="auto"/>
          <w:sz w:val="16"/>
          <w:szCs w:val="16"/>
          <w:lang w:val="es-ES"/>
        </w:rPr>
        <w:t>.</w:t>
      </w:r>
    </w:p>
  </w:footnote>
  <w:footnote w:id="100">
    <w:p w14:paraId="492BEFEF" w14:textId="77777777" w:rsidR="007B69B1" w:rsidRPr="00FD0AD9" w:rsidRDefault="007B69B1" w:rsidP="00110F02">
      <w:pPr>
        <w:pStyle w:val="FootnoteText"/>
        <w:jc w:val="both"/>
        <w:rPr>
          <w:rFonts w:asciiTheme="majorHAnsi" w:hAnsiTheme="majorHAnsi"/>
          <w:color w:val="auto"/>
          <w:sz w:val="16"/>
          <w:szCs w:val="16"/>
          <w:bdr w:val="none" w:sz="0" w:space="0" w:color="auto"/>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D052C8">
        <w:rPr>
          <w:rFonts w:asciiTheme="majorHAnsi" w:hAnsiTheme="majorHAnsi"/>
          <w:color w:val="auto"/>
          <w:sz w:val="16"/>
          <w:szCs w:val="16"/>
          <w:lang w:val="es-ES"/>
        </w:rPr>
        <w:t xml:space="preserve">En ese sentido, véase CIDH. </w:t>
      </w:r>
      <w:r w:rsidRPr="00D052C8">
        <w:rPr>
          <w:rFonts w:asciiTheme="majorHAnsi" w:hAnsiTheme="majorHAnsi"/>
          <w:i/>
          <w:color w:val="auto"/>
          <w:sz w:val="16"/>
          <w:szCs w:val="16"/>
          <w:lang w:val="es-ES"/>
        </w:rPr>
        <w:t>La pena de muerte en el Sistema Interamericano de Derechos Humanos: de restricciones a abolición.</w:t>
      </w:r>
      <w:r w:rsidRPr="00D052C8">
        <w:rPr>
          <w:rFonts w:asciiTheme="majorHAnsi" w:hAnsiTheme="majorHAnsi"/>
          <w:color w:val="auto"/>
          <w:sz w:val="16"/>
          <w:szCs w:val="16"/>
          <w:lang w:val="es-ES"/>
        </w:rPr>
        <w:t xml:space="preserve"> OEA/Ser.L/V/II. Doc. 68, 31 de diciembre de 2011</w:t>
      </w:r>
      <w:r w:rsidRPr="00FD0AD9">
        <w:rPr>
          <w:rFonts w:asciiTheme="majorHAnsi" w:hAnsiTheme="majorHAnsi"/>
          <w:color w:val="auto"/>
          <w:sz w:val="16"/>
          <w:szCs w:val="16"/>
          <w:lang w:val="es-ES"/>
        </w:rPr>
        <w:t>.</w:t>
      </w:r>
    </w:p>
  </w:footnote>
  <w:footnote w:id="101">
    <w:p w14:paraId="35A07F03" w14:textId="77777777" w:rsidR="007B69B1" w:rsidRPr="00FD0AD9" w:rsidRDefault="007B69B1" w:rsidP="00752680">
      <w:pPr>
        <w:pStyle w:val="FootnoteText"/>
        <w:jc w:val="both"/>
        <w:rPr>
          <w:lang w:val="es-ES"/>
        </w:rPr>
      </w:pPr>
      <w:r w:rsidRPr="00FD0AD9">
        <w:rPr>
          <w:rStyle w:val="FootnoteReference"/>
          <w:rFonts w:asciiTheme="majorHAnsi" w:hAnsiTheme="majorHAnsi"/>
          <w:color w:val="auto"/>
          <w:sz w:val="16"/>
          <w:szCs w:val="16"/>
          <w:lang w:val="es-ES"/>
        </w:rPr>
        <w:footnoteRef/>
      </w:r>
      <w:r w:rsidRPr="00FD0AD9">
        <w:rPr>
          <w:rStyle w:val="FootnoteReference"/>
          <w:rFonts w:asciiTheme="majorHAnsi" w:hAnsiTheme="majorHAnsi"/>
          <w:color w:val="auto"/>
          <w:sz w:val="16"/>
          <w:szCs w:val="16"/>
          <w:lang w:val="es-ES"/>
        </w:rPr>
        <w:t xml:space="preserve"> </w:t>
      </w:r>
      <w:r w:rsidRPr="00D052C8">
        <w:rPr>
          <w:rFonts w:asciiTheme="majorHAnsi" w:hAnsiTheme="majorHAnsi"/>
          <w:color w:val="auto"/>
          <w:sz w:val="16"/>
          <w:szCs w:val="16"/>
          <w:lang w:val="es-ES"/>
        </w:rPr>
        <w:t xml:space="preserve">En ese sentido, véase CIDH. </w:t>
      </w:r>
      <w:r w:rsidRPr="00D052C8">
        <w:rPr>
          <w:rFonts w:asciiTheme="majorHAnsi" w:hAnsiTheme="majorHAnsi"/>
          <w:i/>
          <w:color w:val="auto"/>
          <w:sz w:val="16"/>
          <w:szCs w:val="16"/>
          <w:lang w:val="es-ES"/>
        </w:rPr>
        <w:t>La pena de muerte en el Sistema Interamericano de Derechos Humanos: de restricciones a abolición.</w:t>
      </w:r>
      <w:r w:rsidRPr="00D052C8">
        <w:rPr>
          <w:rFonts w:asciiTheme="majorHAnsi" w:hAnsiTheme="majorHAnsi"/>
          <w:color w:val="auto"/>
          <w:sz w:val="16"/>
          <w:szCs w:val="16"/>
          <w:lang w:val="es-ES"/>
        </w:rPr>
        <w:t xml:space="preserve"> OEA/Ser.L/V/II. Doc. 68, 31 de diciembre de 2011</w:t>
      </w:r>
      <w:r w:rsidRPr="00FD0AD9">
        <w:rPr>
          <w:rFonts w:asciiTheme="majorHAnsi" w:hAnsiTheme="majorHAnsi"/>
          <w:color w:val="auto"/>
          <w:sz w:val="16"/>
          <w:szCs w:val="16"/>
          <w:lang w:val="es-ES"/>
        </w:rPr>
        <w:t>.</w:t>
      </w:r>
    </w:p>
  </w:footnote>
  <w:footnote w:id="102">
    <w:p w14:paraId="69357219" w14:textId="77777777" w:rsidR="007B69B1" w:rsidRPr="00FD0AD9" w:rsidRDefault="007B69B1" w:rsidP="00752680">
      <w:pPr>
        <w:pStyle w:val="FootnoteText"/>
        <w:jc w:val="both"/>
        <w:rPr>
          <w:rFonts w:asciiTheme="majorHAnsi" w:hAnsiTheme="majorHAnsi"/>
          <w:color w:val="auto"/>
          <w:sz w:val="16"/>
          <w:szCs w:val="16"/>
          <w:bdr w:val="none" w:sz="0" w:space="0" w:color="auto"/>
          <w:lang w:val="es-ES"/>
        </w:rPr>
      </w:pPr>
      <w:r w:rsidRPr="00FD0AD9">
        <w:rPr>
          <w:rStyle w:val="FootnoteReference"/>
          <w:rFonts w:asciiTheme="majorHAnsi" w:hAnsiTheme="majorHAnsi"/>
          <w:color w:val="auto"/>
          <w:sz w:val="16"/>
          <w:szCs w:val="16"/>
          <w:lang w:val="es-ES"/>
        </w:rPr>
        <w:footnoteRef/>
      </w:r>
      <w:r w:rsidRPr="00FD0AD9">
        <w:rPr>
          <w:rFonts w:asciiTheme="majorHAnsi" w:hAnsiTheme="majorHAnsi"/>
          <w:color w:val="auto"/>
          <w:sz w:val="16"/>
          <w:szCs w:val="16"/>
          <w:lang w:val="es-ES"/>
        </w:rPr>
        <w:t xml:space="preserve"> </w:t>
      </w:r>
      <w:r w:rsidRPr="00D052C8">
        <w:rPr>
          <w:rFonts w:asciiTheme="majorHAnsi" w:hAnsiTheme="majorHAnsi"/>
          <w:color w:val="auto"/>
          <w:sz w:val="16"/>
          <w:szCs w:val="16"/>
          <w:lang w:val="es-ES"/>
        </w:rPr>
        <w:t xml:space="preserve">En ese sentido, véase CIDH. </w:t>
      </w:r>
      <w:r w:rsidRPr="00D052C8">
        <w:rPr>
          <w:rFonts w:asciiTheme="majorHAnsi" w:hAnsiTheme="majorHAnsi"/>
          <w:i/>
          <w:color w:val="auto"/>
          <w:sz w:val="16"/>
          <w:szCs w:val="16"/>
          <w:lang w:val="es-ES"/>
        </w:rPr>
        <w:t>La pena de muerte en el Sistema Interamericano de Derechos Humanos: de restricciones a abolición.</w:t>
      </w:r>
      <w:r w:rsidRPr="00D052C8">
        <w:rPr>
          <w:rFonts w:asciiTheme="majorHAnsi" w:hAnsiTheme="majorHAnsi"/>
          <w:color w:val="auto"/>
          <w:sz w:val="16"/>
          <w:szCs w:val="16"/>
          <w:lang w:val="es-ES"/>
        </w:rPr>
        <w:t xml:space="preserve"> OEA/Ser.L/V/II. Doc. 68, 31 de diciembre de 2011</w:t>
      </w:r>
      <w:r w:rsidRPr="00FD0AD9">
        <w:rPr>
          <w:rFonts w:asciiTheme="majorHAnsi" w:hAnsiTheme="majorHAnsi"/>
          <w:color w:val="auto"/>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6337" w14:textId="77777777" w:rsidR="007B69B1" w:rsidRDefault="007B69B1" w:rsidP="0095348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E30B60" w14:textId="77777777" w:rsidR="007B69B1" w:rsidRDefault="007B6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32CA" w14:textId="77777777" w:rsidR="007B69B1" w:rsidRDefault="007B69B1" w:rsidP="00A50FCF">
    <w:pPr>
      <w:pStyle w:val="Header"/>
      <w:tabs>
        <w:tab w:val="clear" w:pos="4320"/>
        <w:tab w:val="clear" w:pos="8640"/>
      </w:tabs>
      <w:jc w:val="center"/>
      <w:rPr>
        <w:sz w:val="22"/>
        <w:szCs w:val="22"/>
      </w:rPr>
    </w:pPr>
    <w:r>
      <w:rPr>
        <w:noProof/>
        <w:sz w:val="22"/>
        <w:szCs w:val="22"/>
      </w:rPr>
      <w:drawing>
        <wp:inline distT="0" distB="0" distL="0" distR="0" wp14:anchorId="5D60EEC4" wp14:editId="6AB4BB8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8902C5F" w14:textId="77777777" w:rsidR="007B69B1" w:rsidRPr="00EC7D62" w:rsidRDefault="000951CF" w:rsidP="00A50FCF">
    <w:pPr>
      <w:pStyle w:val="Header"/>
      <w:tabs>
        <w:tab w:val="clear" w:pos="4320"/>
        <w:tab w:val="clear" w:pos="8640"/>
      </w:tabs>
      <w:jc w:val="center"/>
      <w:rPr>
        <w:sz w:val="22"/>
        <w:szCs w:val="22"/>
      </w:rPr>
    </w:pPr>
    <w:r>
      <w:rPr>
        <w:noProof/>
        <w:sz w:val="22"/>
        <w:szCs w:val="22"/>
        <w:bdr w:val="nil"/>
      </w:rPr>
      <w:pict w14:anchorId="328C151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A609C2"/>
    <w:multiLevelType w:val="hybridMultilevel"/>
    <w:tmpl w:val="04B29E38"/>
    <w:lvl w:ilvl="0" w:tplc="34D2C6EE">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83D5500"/>
    <w:multiLevelType w:val="hybridMultilevel"/>
    <w:tmpl w:val="0F488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C07E07"/>
    <w:multiLevelType w:val="hybridMultilevel"/>
    <w:tmpl w:val="5D169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D3681F"/>
    <w:multiLevelType w:val="hybridMultilevel"/>
    <w:tmpl w:val="638EB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681F10"/>
    <w:multiLevelType w:val="hybridMultilevel"/>
    <w:tmpl w:val="D5A4831E"/>
    <w:lvl w:ilvl="0" w:tplc="D6EA89E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7D4B9D"/>
    <w:multiLevelType w:val="hybridMultilevel"/>
    <w:tmpl w:val="6166DB58"/>
    <w:lvl w:ilvl="0" w:tplc="5830BC58">
      <w:start w:val="1"/>
      <w:numFmt w:val="decimal"/>
      <w:lvlText w:val="%1."/>
      <w:lvlJc w:val="left"/>
      <w:pPr>
        <w:ind w:left="7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67A48"/>
    <w:multiLevelType w:val="hybridMultilevel"/>
    <w:tmpl w:val="D8F0FF18"/>
    <w:lvl w:ilvl="0" w:tplc="A5D2DF80">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FFF04AB8"/>
    <w:lvl w:ilvl="0" w:tplc="69020C3E">
      <w:start w:val="1"/>
      <w:numFmt w:val="upperRoman"/>
      <w:pStyle w:val="Heading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BE43EB"/>
    <w:multiLevelType w:val="hybridMultilevel"/>
    <w:tmpl w:val="06681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7"/>
  </w:num>
  <w:num w:numId="4">
    <w:abstractNumId w:val="21"/>
  </w:num>
  <w:num w:numId="5">
    <w:abstractNumId w:val="49"/>
  </w:num>
  <w:num w:numId="6">
    <w:abstractNumId w:val="26"/>
  </w:num>
  <w:num w:numId="7">
    <w:abstractNumId w:val="5"/>
  </w:num>
  <w:num w:numId="8">
    <w:abstractNumId w:val="17"/>
  </w:num>
  <w:num w:numId="9">
    <w:abstractNumId w:val="41"/>
  </w:num>
  <w:num w:numId="10">
    <w:abstractNumId w:val="0"/>
  </w:num>
  <w:num w:numId="11">
    <w:abstractNumId w:val="36"/>
  </w:num>
  <w:num w:numId="12">
    <w:abstractNumId w:val="37"/>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7"/>
  </w:num>
  <w:num w:numId="42">
    <w:abstractNumId w:val="51"/>
  </w:num>
  <w:num w:numId="43">
    <w:abstractNumId w:val="52"/>
  </w:num>
  <w:num w:numId="44">
    <w:abstractNumId w:val="55"/>
  </w:num>
  <w:num w:numId="45">
    <w:abstractNumId w:val="56"/>
  </w:num>
  <w:num w:numId="46">
    <w:abstractNumId w:val="59"/>
  </w:num>
  <w:num w:numId="47">
    <w:abstractNumId w:val="60"/>
  </w:num>
  <w:num w:numId="48">
    <w:abstractNumId w:val="61"/>
  </w:num>
  <w:num w:numId="49">
    <w:abstractNumId w:val="62"/>
  </w:num>
  <w:num w:numId="50">
    <w:abstractNumId w:val="63"/>
  </w:num>
  <w:num w:numId="51">
    <w:abstractNumId w:val="20"/>
  </w:num>
  <w:num w:numId="52">
    <w:abstractNumId w:val="40"/>
  </w:num>
  <w:num w:numId="53">
    <w:abstractNumId w:val="53"/>
  </w:num>
  <w:num w:numId="54">
    <w:abstractNumId w:val="45"/>
  </w:num>
  <w:num w:numId="55">
    <w:abstractNumId w:val="46"/>
  </w:num>
  <w:num w:numId="56">
    <w:abstractNumId w:val="50"/>
  </w:num>
  <w:num w:numId="57">
    <w:abstractNumId w:val="54"/>
    <w:lvlOverride w:ilvl="0">
      <w:startOverride w:val="1"/>
    </w:lvlOverride>
  </w:num>
  <w:num w:numId="58">
    <w:abstractNumId w:val="43"/>
  </w:num>
  <w:num w:numId="59">
    <w:abstractNumId w:val="48"/>
  </w:num>
  <w:num w:numId="60">
    <w:abstractNumId w:val="58"/>
  </w:num>
  <w:num w:numId="61">
    <w:abstractNumId w:val="29"/>
  </w:num>
  <w:num w:numId="62">
    <w:abstractNumId w:val="16"/>
  </w:num>
  <w:num w:numId="63">
    <w:abstractNumId w:val="42"/>
  </w:num>
  <w:num w:numId="64">
    <w:abstractNumId w:val="53"/>
  </w:num>
  <w:num w:numId="65">
    <w:abstractNumId w:val="53"/>
  </w:num>
  <w:num w:numId="66">
    <w:abstractNumId w:val="43"/>
  </w:num>
  <w:num w:numId="67">
    <w:abstractNumId w:val="9"/>
  </w:num>
  <w:num w:numId="68">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40C3A"/>
    <w:rsid w:val="000716C5"/>
    <w:rsid w:val="00075E23"/>
    <w:rsid w:val="0009344A"/>
    <w:rsid w:val="00093719"/>
    <w:rsid w:val="000951CF"/>
    <w:rsid w:val="000A392E"/>
    <w:rsid w:val="000A575F"/>
    <w:rsid w:val="000C326D"/>
    <w:rsid w:val="000D10DB"/>
    <w:rsid w:val="000E5EB5"/>
    <w:rsid w:val="000E6B44"/>
    <w:rsid w:val="000F35ED"/>
    <w:rsid w:val="00107131"/>
    <w:rsid w:val="0010736F"/>
    <w:rsid w:val="00110F02"/>
    <w:rsid w:val="00113F73"/>
    <w:rsid w:val="00121CC2"/>
    <w:rsid w:val="00133EE5"/>
    <w:rsid w:val="00167A34"/>
    <w:rsid w:val="00182D25"/>
    <w:rsid w:val="001851BA"/>
    <w:rsid w:val="001A7870"/>
    <w:rsid w:val="001C1B41"/>
    <w:rsid w:val="001D65EF"/>
    <w:rsid w:val="001E16B5"/>
    <w:rsid w:val="002250A3"/>
    <w:rsid w:val="00235217"/>
    <w:rsid w:val="00246D1F"/>
    <w:rsid w:val="00247403"/>
    <w:rsid w:val="00247542"/>
    <w:rsid w:val="00261E95"/>
    <w:rsid w:val="00266B61"/>
    <w:rsid w:val="0026712A"/>
    <w:rsid w:val="002704DB"/>
    <w:rsid w:val="002A0AAE"/>
    <w:rsid w:val="002A264B"/>
    <w:rsid w:val="002A46AE"/>
    <w:rsid w:val="002A5820"/>
    <w:rsid w:val="002B4A1F"/>
    <w:rsid w:val="002D1D6A"/>
    <w:rsid w:val="002D257A"/>
    <w:rsid w:val="002D2B26"/>
    <w:rsid w:val="002D7EA2"/>
    <w:rsid w:val="002E187C"/>
    <w:rsid w:val="00302733"/>
    <w:rsid w:val="003036C4"/>
    <w:rsid w:val="00314078"/>
    <w:rsid w:val="0031535D"/>
    <w:rsid w:val="0033169F"/>
    <w:rsid w:val="00333A50"/>
    <w:rsid w:val="00346C95"/>
    <w:rsid w:val="00347AE8"/>
    <w:rsid w:val="00356185"/>
    <w:rsid w:val="00360380"/>
    <w:rsid w:val="0037519E"/>
    <w:rsid w:val="00386CF0"/>
    <w:rsid w:val="003C2FF3"/>
    <w:rsid w:val="003C676B"/>
    <w:rsid w:val="003D3BC2"/>
    <w:rsid w:val="003E6CA1"/>
    <w:rsid w:val="00411164"/>
    <w:rsid w:val="004165C2"/>
    <w:rsid w:val="00441ECB"/>
    <w:rsid w:val="0046514D"/>
    <w:rsid w:val="00467B7E"/>
    <w:rsid w:val="00473D0D"/>
    <w:rsid w:val="00477592"/>
    <w:rsid w:val="00486F1C"/>
    <w:rsid w:val="0049419D"/>
    <w:rsid w:val="004C20D2"/>
    <w:rsid w:val="004C4B62"/>
    <w:rsid w:val="004C54C9"/>
    <w:rsid w:val="004D6025"/>
    <w:rsid w:val="004E2649"/>
    <w:rsid w:val="00501399"/>
    <w:rsid w:val="0050633D"/>
    <w:rsid w:val="00507BC4"/>
    <w:rsid w:val="00507BF1"/>
    <w:rsid w:val="005128E4"/>
    <w:rsid w:val="005133DB"/>
    <w:rsid w:val="005200DD"/>
    <w:rsid w:val="00525560"/>
    <w:rsid w:val="00544C49"/>
    <w:rsid w:val="005516A1"/>
    <w:rsid w:val="0057200A"/>
    <w:rsid w:val="0057402A"/>
    <w:rsid w:val="005771D0"/>
    <w:rsid w:val="0059191A"/>
    <w:rsid w:val="005921FF"/>
    <w:rsid w:val="005A6D0E"/>
    <w:rsid w:val="005B52B0"/>
    <w:rsid w:val="005B6806"/>
    <w:rsid w:val="005C4225"/>
    <w:rsid w:val="005D467C"/>
    <w:rsid w:val="005F0DAD"/>
    <w:rsid w:val="005F0F33"/>
    <w:rsid w:val="00600DEB"/>
    <w:rsid w:val="00620E35"/>
    <w:rsid w:val="00627C9F"/>
    <w:rsid w:val="006311E9"/>
    <w:rsid w:val="00632354"/>
    <w:rsid w:val="00642810"/>
    <w:rsid w:val="00652333"/>
    <w:rsid w:val="00654933"/>
    <w:rsid w:val="00660E63"/>
    <w:rsid w:val="0068009E"/>
    <w:rsid w:val="006808EF"/>
    <w:rsid w:val="00690501"/>
    <w:rsid w:val="00692219"/>
    <w:rsid w:val="006959B9"/>
    <w:rsid w:val="006A17D2"/>
    <w:rsid w:val="006A73E6"/>
    <w:rsid w:val="006B2D5C"/>
    <w:rsid w:val="006C4EB1"/>
    <w:rsid w:val="006D052A"/>
    <w:rsid w:val="006E0166"/>
    <w:rsid w:val="006E7B34"/>
    <w:rsid w:val="0070697F"/>
    <w:rsid w:val="0072199C"/>
    <w:rsid w:val="00722C9F"/>
    <w:rsid w:val="007253B8"/>
    <w:rsid w:val="0072774E"/>
    <w:rsid w:val="0073741F"/>
    <w:rsid w:val="00752680"/>
    <w:rsid w:val="0076643F"/>
    <w:rsid w:val="007664F6"/>
    <w:rsid w:val="00777F63"/>
    <w:rsid w:val="00786BCA"/>
    <w:rsid w:val="007A1C0F"/>
    <w:rsid w:val="007A5817"/>
    <w:rsid w:val="007B60E9"/>
    <w:rsid w:val="007B69B1"/>
    <w:rsid w:val="007B6CC3"/>
    <w:rsid w:val="007C3334"/>
    <w:rsid w:val="007D2B98"/>
    <w:rsid w:val="007E21BC"/>
    <w:rsid w:val="007E78B1"/>
    <w:rsid w:val="00803F1C"/>
    <w:rsid w:val="0080600E"/>
    <w:rsid w:val="00817612"/>
    <w:rsid w:val="008338A4"/>
    <w:rsid w:val="00837C45"/>
    <w:rsid w:val="00844730"/>
    <w:rsid w:val="008457C2"/>
    <w:rsid w:val="00857A82"/>
    <w:rsid w:val="00873836"/>
    <w:rsid w:val="00885737"/>
    <w:rsid w:val="00890650"/>
    <w:rsid w:val="00897E12"/>
    <w:rsid w:val="008A3E0D"/>
    <w:rsid w:val="008A7E0F"/>
    <w:rsid w:val="008B12F5"/>
    <w:rsid w:val="008B7CA3"/>
    <w:rsid w:val="008D4B3C"/>
    <w:rsid w:val="008D768D"/>
    <w:rsid w:val="008E3759"/>
    <w:rsid w:val="008F1912"/>
    <w:rsid w:val="0090270B"/>
    <w:rsid w:val="009041DC"/>
    <w:rsid w:val="00913380"/>
    <w:rsid w:val="00917B5A"/>
    <w:rsid w:val="00920A58"/>
    <w:rsid w:val="00920A8C"/>
    <w:rsid w:val="00934A2C"/>
    <w:rsid w:val="00953481"/>
    <w:rsid w:val="00963354"/>
    <w:rsid w:val="0096706E"/>
    <w:rsid w:val="00975C4E"/>
    <w:rsid w:val="009800FB"/>
    <w:rsid w:val="00981FBA"/>
    <w:rsid w:val="0099542D"/>
    <w:rsid w:val="00997BC5"/>
    <w:rsid w:val="00997E8C"/>
    <w:rsid w:val="009A4F41"/>
    <w:rsid w:val="009B381B"/>
    <w:rsid w:val="009C1D91"/>
    <w:rsid w:val="009D1753"/>
    <w:rsid w:val="009D7611"/>
    <w:rsid w:val="009E0B61"/>
    <w:rsid w:val="009E53DE"/>
    <w:rsid w:val="00A101A6"/>
    <w:rsid w:val="00A24943"/>
    <w:rsid w:val="00A328B3"/>
    <w:rsid w:val="00A43F12"/>
    <w:rsid w:val="00A47A50"/>
    <w:rsid w:val="00A50FCF"/>
    <w:rsid w:val="00A528D1"/>
    <w:rsid w:val="00A610CD"/>
    <w:rsid w:val="00A771DE"/>
    <w:rsid w:val="00A93652"/>
    <w:rsid w:val="00AA09A2"/>
    <w:rsid w:val="00AA4696"/>
    <w:rsid w:val="00AA7996"/>
    <w:rsid w:val="00AC19CB"/>
    <w:rsid w:val="00AD0C98"/>
    <w:rsid w:val="00AD2A57"/>
    <w:rsid w:val="00AD7673"/>
    <w:rsid w:val="00AD7B36"/>
    <w:rsid w:val="00AE5488"/>
    <w:rsid w:val="00AE6F91"/>
    <w:rsid w:val="00AF5571"/>
    <w:rsid w:val="00B07341"/>
    <w:rsid w:val="00B16A61"/>
    <w:rsid w:val="00B30539"/>
    <w:rsid w:val="00B314DB"/>
    <w:rsid w:val="00B361F2"/>
    <w:rsid w:val="00B3718B"/>
    <w:rsid w:val="00B4632A"/>
    <w:rsid w:val="00B530F1"/>
    <w:rsid w:val="00BA276C"/>
    <w:rsid w:val="00BB306F"/>
    <w:rsid w:val="00BD4B89"/>
    <w:rsid w:val="00BF02CB"/>
    <w:rsid w:val="00BF55B9"/>
    <w:rsid w:val="00BF6FD8"/>
    <w:rsid w:val="00C03680"/>
    <w:rsid w:val="00C054DF"/>
    <w:rsid w:val="00C21762"/>
    <w:rsid w:val="00C24543"/>
    <w:rsid w:val="00C256A2"/>
    <w:rsid w:val="00C336C9"/>
    <w:rsid w:val="00C341DD"/>
    <w:rsid w:val="00C51515"/>
    <w:rsid w:val="00C5660B"/>
    <w:rsid w:val="00C66B72"/>
    <w:rsid w:val="00C66C34"/>
    <w:rsid w:val="00C9567A"/>
    <w:rsid w:val="00CB212D"/>
    <w:rsid w:val="00CB2660"/>
    <w:rsid w:val="00CB49AE"/>
    <w:rsid w:val="00CC5E90"/>
    <w:rsid w:val="00CD046C"/>
    <w:rsid w:val="00CE076C"/>
    <w:rsid w:val="00CE5199"/>
    <w:rsid w:val="00CE66D5"/>
    <w:rsid w:val="00CF637A"/>
    <w:rsid w:val="00D059DE"/>
    <w:rsid w:val="00D13FCE"/>
    <w:rsid w:val="00D306D1"/>
    <w:rsid w:val="00D30952"/>
    <w:rsid w:val="00D34786"/>
    <w:rsid w:val="00D37BFC"/>
    <w:rsid w:val="00D47A8E"/>
    <w:rsid w:val="00D528AE"/>
    <w:rsid w:val="00D52D14"/>
    <w:rsid w:val="00D67EB9"/>
    <w:rsid w:val="00D712D3"/>
    <w:rsid w:val="00D71422"/>
    <w:rsid w:val="00D72DC6"/>
    <w:rsid w:val="00D7558D"/>
    <w:rsid w:val="00D81D92"/>
    <w:rsid w:val="00DA7B5F"/>
    <w:rsid w:val="00DB08C9"/>
    <w:rsid w:val="00DC11E7"/>
    <w:rsid w:val="00DC7023"/>
    <w:rsid w:val="00DC769A"/>
    <w:rsid w:val="00DD3D86"/>
    <w:rsid w:val="00DD5969"/>
    <w:rsid w:val="00DF1EC4"/>
    <w:rsid w:val="00E0340B"/>
    <w:rsid w:val="00E04A90"/>
    <w:rsid w:val="00E05A8D"/>
    <w:rsid w:val="00E219C7"/>
    <w:rsid w:val="00E43157"/>
    <w:rsid w:val="00E461CE"/>
    <w:rsid w:val="00E720CA"/>
    <w:rsid w:val="00E84EB5"/>
    <w:rsid w:val="00E85662"/>
    <w:rsid w:val="00E8789F"/>
    <w:rsid w:val="00E97B71"/>
    <w:rsid w:val="00EA2B57"/>
    <w:rsid w:val="00EA3D34"/>
    <w:rsid w:val="00EB454D"/>
    <w:rsid w:val="00ED76BE"/>
    <w:rsid w:val="00EF619B"/>
    <w:rsid w:val="00F00B55"/>
    <w:rsid w:val="00F02AD1"/>
    <w:rsid w:val="00F215D2"/>
    <w:rsid w:val="00F253CC"/>
    <w:rsid w:val="00F37106"/>
    <w:rsid w:val="00F519CF"/>
    <w:rsid w:val="00F56BA5"/>
    <w:rsid w:val="00F60E22"/>
    <w:rsid w:val="00F81395"/>
    <w:rsid w:val="00F917D1"/>
    <w:rsid w:val="00F9653B"/>
    <w:rsid w:val="00FB62CF"/>
    <w:rsid w:val="00FC2F24"/>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563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D467C"/>
    <w:pPr>
      <w:tabs>
        <w:tab w:val="left" w:pos="1080"/>
        <w:tab w:val="left" w:pos="1440"/>
        <w:tab w:val="right" w:leader="dot" w:pos="9350"/>
      </w:tabs>
      <w:spacing w:after="100"/>
      <w:ind w:left="1440" w:hanging="720"/>
    </w:pPr>
  </w:style>
  <w:style w:type="paragraph" w:styleId="TOC1">
    <w:name w:val="toc 1"/>
    <w:basedOn w:val="Normal"/>
    <w:next w:val="Normal"/>
    <w:autoRedefine/>
    <w:uiPriority w:val="39"/>
    <w:unhideWhenUsed/>
    <w:rsid w:val="005D467C"/>
    <w:pPr>
      <w:tabs>
        <w:tab w:val="left" w:pos="1080"/>
        <w:tab w:val="left" w:pos="1440"/>
        <w:tab w:val="right" w:leader="dot" w:pos="9350"/>
      </w:tabs>
      <w:spacing w:after="100"/>
      <w:ind w:left="720"/>
    </w:pPr>
    <w:rPr>
      <w:rFonts w:asciiTheme="majorHAnsi" w:hAnsiTheme="majorHAnsi"/>
      <w:b/>
      <w:noProof/>
      <w:sz w:val="20"/>
      <w:szCs w:val="20"/>
      <w:lang w:val="es-ES"/>
    </w:rPr>
  </w:style>
  <w:style w:type="paragraph" w:styleId="TOC3">
    <w:name w:val="toc 3"/>
    <w:basedOn w:val="Normal"/>
    <w:next w:val="Normal"/>
    <w:autoRedefine/>
    <w:uiPriority w:val="39"/>
    <w:unhideWhenUsed/>
    <w:rsid w:val="008B7CA3"/>
    <w:pPr>
      <w:tabs>
        <w:tab w:val="left" w:pos="1080"/>
        <w:tab w:val="left" w:pos="1440"/>
        <w:tab w:val="left" w:pos="1800"/>
        <w:tab w:val="left" w:pos="2160"/>
        <w:tab w:val="right" w:leader="dot" w:pos="9350"/>
      </w:tabs>
      <w:spacing w:after="100"/>
      <w:ind w:left="72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uiPriority w:val="9"/>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534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953481"/>
    <w:rPr>
      <w:rFonts w:ascii="Cambria" w:eastAsia="Cambria" w:hAnsi="Cambria" w:cs="Cambria"/>
      <w:color w:val="000000"/>
      <w:sz w:val="24"/>
      <w:szCs w:val="24"/>
      <w:u w:color="000000"/>
      <w:lang w:val="en-US"/>
    </w:rPr>
  </w:style>
  <w:style w:type="paragraph" w:customStyle="1" w:styleId="indent">
    <w:name w:val="indent"/>
    <w:basedOn w:val="Normal"/>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953481"/>
  </w:style>
  <w:style w:type="paragraph" w:styleId="NormalWeb">
    <w:name w:val="Normal (Web)"/>
    <w:basedOn w:val="Normal"/>
    <w:uiPriority w:val="99"/>
    <w:unhideWhenUsed/>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953481"/>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9534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53481"/>
    <w:rPr>
      <w:rFonts w:ascii="Calibri" w:hAnsi="Calibri"/>
      <w:color w:val="000000"/>
      <w:u w:color="000000"/>
    </w:rPr>
  </w:style>
  <w:style w:type="paragraph" w:customStyle="1" w:styleId="Footnotes">
    <w:name w:val="Footnotes"/>
    <w:basedOn w:val="FootnoteText"/>
    <w:qFormat/>
    <w:rsid w:val="0095348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953481"/>
  </w:style>
  <w:style w:type="character" w:customStyle="1" w:styleId="apple-style-span">
    <w:name w:val="apple-style-span"/>
    <w:basedOn w:val="DefaultParagraphFont"/>
    <w:rsid w:val="00953481"/>
    <w:rPr>
      <w:rFonts w:cs="Times New Roman"/>
    </w:rPr>
  </w:style>
  <w:style w:type="character" w:customStyle="1" w:styleId="sb8d990e2">
    <w:name w:val="sb8d990e2"/>
    <w:rsid w:val="00953481"/>
  </w:style>
  <w:style w:type="numbering" w:styleId="111111">
    <w:name w:val="Outline List 2"/>
    <w:basedOn w:val="NoList"/>
    <w:uiPriority w:val="99"/>
    <w:semiHidden/>
    <w:unhideWhenUsed/>
    <w:rsid w:val="00953481"/>
    <w:pPr>
      <w:numPr>
        <w:numId w:val="56"/>
      </w:numPr>
    </w:pPr>
  </w:style>
  <w:style w:type="character" w:styleId="CommentReference">
    <w:name w:val="annotation reference"/>
    <w:basedOn w:val="DefaultParagraphFont"/>
    <w:uiPriority w:val="99"/>
    <w:semiHidden/>
    <w:unhideWhenUsed/>
    <w:rsid w:val="00953481"/>
    <w:rPr>
      <w:sz w:val="16"/>
      <w:szCs w:val="16"/>
    </w:rPr>
  </w:style>
  <w:style w:type="paragraph" w:styleId="CommentText">
    <w:name w:val="annotation text"/>
    <w:basedOn w:val="Normal"/>
    <w:link w:val="CommentTextChar"/>
    <w:uiPriority w:val="99"/>
    <w:semiHidden/>
    <w:unhideWhenUsed/>
    <w:rsid w:val="00953481"/>
    <w:rPr>
      <w:sz w:val="20"/>
      <w:szCs w:val="20"/>
    </w:rPr>
  </w:style>
  <w:style w:type="character" w:customStyle="1" w:styleId="CommentTextChar">
    <w:name w:val="Comment Text Char"/>
    <w:basedOn w:val="DefaultParagraphFont"/>
    <w:link w:val="CommentText"/>
    <w:uiPriority w:val="99"/>
    <w:semiHidden/>
    <w:rsid w:val="00953481"/>
    <w:rPr>
      <w:lang w:val="en-US" w:eastAsia="en-US"/>
    </w:rPr>
  </w:style>
  <w:style w:type="paragraph" w:styleId="CommentSubject">
    <w:name w:val="annotation subject"/>
    <w:basedOn w:val="CommentText"/>
    <w:next w:val="CommentText"/>
    <w:link w:val="CommentSubjectChar"/>
    <w:uiPriority w:val="99"/>
    <w:semiHidden/>
    <w:unhideWhenUsed/>
    <w:rsid w:val="00953481"/>
    <w:rPr>
      <w:b/>
      <w:bCs/>
    </w:rPr>
  </w:style>
  <w:style w:type="character" w:customStyle="1" w:styleId="CommentSubjectChar">
    <w:name w:val="Comment Subject Char"/>
    <w:basedOn w:val="CommentTextChar"/>
    <w:link w:val="CommentSubject"/>
    <w:uiPriority w:val="99"/>
    <w:semiHidden/>
    <w:rsid w:val="00953481"/>
    <w:rPr>
      <w:b/>
      <w:bCs/>
      <w:lang w:val="en-US" w:eastAsia="en-US"/>
    </w:rPr>
  </w:style>
  <w:style w:type="paragraph" w:styleId="Revision">
    <w:name w:val="Revision"/>
    <w:hidden/>
    <w:uiPriority w:val="99"/>
    <w:semiHidden/>
    <w:rsid w:val="0095348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953481"/>
    <w:rPr>
      <w:b/>
      <w:bCs/>
    </w:rPr>
  </w:style>
  <w:style w:type="table" w:styleId="TableGrid">
    <w:name w:val="Table Grid"/>
    <w:basedOn w:val="TableNormal"/>
    <w:uiPriority w:val="59"/>
    <w:rsid w:val="0095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3481"/>
    <w:rPr>
      <w:color w:val="800080" w:themeColor="followedHyperlink"/>
      <w:u w:val="single"/>
    </w:rPr>
  </w:style>
  <w:style w:type="paragraph" w:customStyle="1" w:styleId="parrafos">
    <w:name w:val="parrafos"/>
    <w:basedOn w:val="Normal"/>
    <w:link w:val="parrafosChar"/>
    <w:qFormat/>
    <w:rsid w:val="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953481"/>
    <w:rPr>
      <w:rFonts w:asciiTheme="majorHAnsi" w:hAnsiTheme="majorHAnsi"/>
      <w:color w:val="000000" w:themeColor="text1"/>
      <w:lang w:val="en-US" w:eastAsia="en-US"/>
    </w:rPr>
  </w:style>
  <w:style w:type="paragraph" w:customStyle="1" w:styleId="std">
    <w:name w:val="std"/>
    <w:basedOn w:val="Normal"/>
    <w:rsid w:val="00110F0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styleId="TOCHeading">
    <w:name w:val="TOC Heading"/>
    <w:basedOn w:val="Heading1"/>
    <w:next w:val="Normal"/>
    <w:uiPriority w:val="39"/>
    <w:unhideWhenUsed/>
    <w:qFormat/>
    <w:rsid w:val="005D467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HTMLPreformatted">
    <w:name w:val="HTML Preformatted"/>
    <w:basedOn w:val="Normal"/>
    <w:link w:val="HTMLPreformattedChar"/>
    <w:uiPriority w:val="99"/>
    <w:semiHidden/>
    <w:unhideWhenUsed/>
    <w:rsid w:val="0069050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US" w:eastAsia="zh-CN"/>
    </w:rPr>
  </w:style>
  <w:style w:type="character" w:customStyle="1" w:styleId="HTMLPreformattedChar">
    <w:name w:val="HTML Preformatted Char"/>
    <w:basedOn w:val="DefaultParagraphFont"/>
    <w:link w:val="HTMLPreformatted"/>
    <w:uiPriority w:val="99"/>
    <w:semiHidden/>
    <w:rsid w:val="00690501"/>
    <w:rPr>
      <w:rFonts w:ascii="Courier New" w:eastAsia="Times New Roman" w:hAnsi="Courier New" w:cs="Courier New"/>
      <w:bdr w:val="none" w:sz="0" w:space="0" w:color="auto"/>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82116">
      <w:bodyDiv w:val="1"/>
      <w:marLeft w:val="0"/>
      <w:marRight w:val="0"/>
      <w:marTop w:val="0"/>
      <w:marBottom w:val="0"/>
      <w:divBdr>
        <w:top w:val="none" w:sz="0" w:space="0" w:color="auto"/>
        <w:left w:val="none" w:sz="0" w:space="0" w:color="auto"/>
        <w:bottom w:val="none" w:sz="0" w:space="0" w:color="auto"/>
        <w:right w:val="none" w:sz="0" w:space="0" w:color="auto"/>
      </w:divBdr>
    </w:div>
    <w:div w:id="708336669">
      <w:bodyDiv w:val="1"/>
      <w:marLeft w:val="0"/>
      <w:marRight w:val="0"/>
      <w:marTop w:val="0"/>
      <w:marBottom w:val="0"/>
      <w:divBdr>
        <w:top w:val="none" w:sz="0" w:space="0" w:color="auto"/>
        <w:left w:val="none" w:sz="0" w:space="0" w:color="auto"/>
        <w:bottom w:val="none" w:sz="0" w:space="0" w:color="auto"/>
        <w:right w:val="none" w:sz="0" w:space="0" w:color="auto"/>
      </w:divBdr>
    </w:div>
    <w:div w:id="1297642525">
      <w:bodyDiv w:val="1"/>
      <w:marLeft w:val="0"/>
      <w:marRight w:val="0"/>
      <w:marTop w:val="0"/>
      <w:marBottom w:val="0"/>
      <w:divBdr>
        <w:top w:val="none" w:sz="0" w:space="0" w:color="auto"/>
        <w:left w:val="none" w:sz="0" w:space="0" w:color="auto"/>
        <w:bottom w:val="none" w:sz="0" w:space="0" w:color="auto"/>
        <w:right w:val="none" w:sz="0" w:space="0" w:color="auto"/>
      </w:divBdr>
    </w:div>
    <w:div w:id="131841529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01536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ji.org/sites/default/files/illegal-racial-discrimination-in-jury-selection.pdf" TargetMode="External"/><Relationship Id="rId7" Type="http://schemas.openxmlformats.org/officeDocument/2006/relationships/hyperlink" Target="https://undocs.org/pdf?symbol=es/A/67/279" TargetMode="External"/><Relationship Id="rId2" Type="http://schemas.openxmlformats.org/officeDocument/2006/relationships/hyperlink" Target="https://www.npr.org/2019/07/26/745722219/lethal-injection-drugs-efficacy-and-availability-for-federal-executions" TargetMode="External"/><Relationship Id="rId1" Type="http://schemas.openxmlformats.org/officeDocument/2006/relationships/hyperlink" Target="https://dockets.justia.com/docket/district-of-columbia/dcdce/1:2019mc00145/210604" TargetMode="External"/><Relationship Id="rId6" Type="http://schemas.openxmlformats.org/officeDocument/2006/relationships/hyperlink" Target="http://www.abanet.org/legalservices/downloads/sclaid/deathpenaltyguidelines.pdf" TargetMode="External"/><Relationship Id="rId5" Type="http://schemas.openxmlformats.org/officeDocument/2006/relationships/hyperlink" Target="https://mail.oas.org/owa/redir.aspx?C=7eb7d410646740aa8430fb18e5657fd9&amp;URL=http://181.174.117.21/cc/wp-content/uploads/2016/11/1097-2015.pdf" TargetMode="External"/><Relationship Id="rId4" Type="http://schemas.openxmlformats.org/officeDocument/2006/relationships/hyperlink" Target="http://texasdefender.org/wp-content/uploads/TDS_Deadly-Specul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79BB-EE30-4F02-9F68-A3377DFE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16577</Words>
  <Characters>94491</Characters>
  <Application>Microsoft Office Word</Application>
  <DocSecurity>0</DocSecurity>
  <Lines>787</Lines>
  <Paragraphs>221</Paragraphs>
  <ScaleCrop>false</ScaleCrop>
  <Company/>
  <LinksUpToDate>false</LinksUpToDate>
  <CharactersWithSpaces>110847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2021-04-27T18:29:00Z</dcterms:created>
  <dcterms:modified xsi:type="dcterms:W3CDTF">2021-04-27T18:29:00Z</dcterms:modified>
</cp:coreProperties>
</file>