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376A85"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95A07A" wp14:editId="003A49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6489B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1CE426" wp14:editId="0A6979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8FCA" w14:textId="77777777" w:rsidR="00E0255C" w:rsidRDefault="00E0255C"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508FCA" w14:textId="77777777" w:rsidR="00E0255C" w:rsidRDefault="00E0255C"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3FFE3AB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71F8CD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06B18C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A3649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257A35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722255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3FE265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811748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0B03D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29C04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0C20D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9F13C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C6789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69B042" wp14:editId="709B7BC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11C2D" w14:textId="14E954F1" w:rsidR="00E0255C" w:rsidRPr="004E2649" w:rsidRDefault="00E0255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266FA">
                              <w:rPr>
                                <w:rFonts w:asciiTheme="majorHAnsi" w:hAnsiTheme="majorHAnsi" w:cs="Arial"/>
                                <w:b/>
                                <w:bCs/>
                                <w:color w:val="0D0D0D" w:themeColor="text1" w:themeTint="F2"/>
                                <w:sz w:val="36"/>
                                <w:szCs w:val="22"/>
                                <w:lang w:val="es-ES_tradnl"/>
                              </w:rPr>
                              <w:t xml:space="preserve"> 243</w:t>
                            </w:r>
                            <w:r>
                              <w:rPr>
                                <w:rFonts w:asciiTheme="majorHAnsi" w:hAnsiTheme="majorHAnsi" w:cs="Arial"/>
                                <w:b/>
                                <w:bCs/>
                                <w:color w:val="0D0D0D" w:themeColor="text1" w:themeTint="F2"/>
                                <w:sz w:val="36"/>
                                <w:szCs w:val="22"/>
                                <w:lang w:val="es-ES_tradnl"/>
                              </w:rPr>
                              <w:t>/20</w:t>
                            </w:r>
                          </w:p>
                          <w:p w14:paraId="2322DE1D" w14:textId="25449D74" w:rsidR="00E0255C" w:rsidRDefault="00E0255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66CA">
                              <w:rPr>
                                <w:rFonts w:asciiTheme="majorHAnsi" w:hAnsiTheme="majorHAnsi" w:cs="Arial"/>
                                <w:b/>
                                <w:color w:val="0D0D0D" w:themeColor="text1" w:themeTint="F2"/>
                                <w:sz w:val="36"/>
                                <w:szCs w:val="22"/>
                                <w:lang w:val="es-ES_tradnl"/>
                              </w:rPr>
                              <w:t>817-09</w:t>
                            </w:r>
                          </w:p>
                          <w:p w14:paraId="0BAFCA71" w14:textId="0C67152E" w:rsidR="00E0255C" w:rsidRPr="0010736F" w:rsidRDefault="00E0255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71F60499" w14:textId="77777777" w:rsidR="00E0255C" w:rsidRPr="0010736F" w:rsidRDefault="00E0255C" w:rsidP="00997BC5">
                            <w:pPr>
                              <w:spacing w:line="276" w:lineRule="auto"/>
                              <w:rPr>
                                <w:rFonts w:asciiTheme="majorHAnsi" w:hAnsiTheme="majorHAnsi" w:cs="Arial"/>
                                <w:color w:val="0D0D0D" w:themeColor="text1" w:themeTint="F2"/>
                                <w:szCs w:val="22"/>
                                <w:lang w:val="es-ES_tradnl"/>
                              </w:rPr>
                            </w:pPr>
                            <w:bookmarkStart w:id="1" w:name="_ftnref1"/>
                          </w:p>
                          <w:p w14:paraId="061B6097" w14:textId="4E42E86C" w:rsidR="00E0255C" w:rsidRPr="00154D2D" w:rsidRDefault="005A66CA" w:rsidP="00997BC5">
                            <w:pPr>
                              <w:spacing w:line="276" w:lineRule="auto"/>
                              <w:rPr>
                                <w:rFonts w:asciiTheme="majorHAnsi" w:hAnsiTheme="majorHAnsi" w:cs="Arial"/>
                                <w:color w:val="0D0D0D" w:themeColor="text1" w:themeTint="F2"/>
                                <w:szCs w:val="22"/>
                                <w:lang w:val="pt-BR"/>
                              </w:rPr>
                            </w:pPr>
                            <w:r w:rsidRPr="00154D2D">
                              <w:rPr>
                                <w:rFonts w:asciiTheme="majorHAnsi" w:hAnsiTheme="majorHAnsi" w:cs="Arial"/>
                                <w:color w:val="0D0D0D" w:themeColor="text1" w:themeTint="F2"/>
                                <w:szCs w:val="22"/>
                                <w:lang w:val="pt-BR"/>
                              </w:rPr>
                              <w:t>JOSÉ PLATA VERA</w:t>
                            </w:r>
                          </w:p>
                          <w:bookmarkEnd w:id="1"/>
                          <w:p w14:paraId="5618FA4F" w14:textId="382BE93B" w:rsidR="00E0255C" w:rsidRPr="00154D2D" w:rsidRDefault="005A66CA" w:rsidP="007B639A">
                            <w:pPr>
                              <w:spacing w:line="276" w:lineRule="auto"/>
                              <w:rPr>
                                <w:rFonts w:asciiTheme="majorHAnsi" w:hAnsiTheme="majorHAnsi" w:cs="Arial"/>
                                <w:color w:val="0D0D0D" w:themeColor="text1" w:themeTint="F2"/>
                                <w:szCs w:val="22"/>
                                <w:lang w:val="pt-BR"/>
                              </w:rPr>
                            </w:pPr>
                            <w:r w:rsidRPr="00154D2D">
                              <w:rPr>
                                <w:rFonts w:asciiTheme="majorHAnsi" w:hAnsiTheme="majorHAnsi" w:cs="Arial"/>
                                <w:color w:val="0D0D0D" w:themeColor="text1" w:themeTint="F2"/>
                                <w:szCs w:val="22"/>
                                <w:lang w:val="pt-BR"/>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69B04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811C2D" w14:textId="14E954F1" w:rsidR="00E0255C" w:rsidRPr="004E2649" w:rsidRDefault="00E0255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266FA">
                        <w:rPr>
                          <w:rFonts w:asciiTheme="majorHAnsi" w:hAnsiTheme="majorHAnsi" w:cs="Arial"/>
                          <w:b/>
                          <w:bCs/>
                          <w:color w:val="0D0D0D" w:themeColor="text1" w:themeTint="F2"/>
                          <w:sz w:val="36"/>
                          <w:szCs w:val="22"/>
                          <w:lang w:val="es-ES_tradnl"/>
                        </w:rPr>
                        <w:t xml:space="preserve"> 243</w:t>
                      </w:r>
                      <w:r>
                        <w:rPr>
                          <w:rFonts w:asciiTheme="majorHAnsi" w:hAnsiTheme="majorHAnsi" w:cs="Arial"/>
                          <w:b/>
                          <w:bCs/>
                          <w:color w:val="0D0D0D" w:themeColor="text1" w:themeTint="F2"/>
                          <w:sz w:val="36"/>
                          <w:szCs w:val="22"/>
                          <w:lang w:val="es-ES_tradnl"/>
                        </w:rPr>
                        <w:t>/20</w:t>
                      </w:r>
                    </w:p>
                    <w:p w14:paraId="2322DE1D" w14:textId="25449D74" w:rsidR="00E0255C" w:rsidRDefault="00E0255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66CA">
                        <w:rPr>
                          <w:rFonts w:asciiTheme="majorHAnsi" w:hAnsiTheme="majorHAnsi" w:cs="Arial"/>
                          <w:b/>
                          <w:color w:val="0D0D0D" w:themeColor="text1" w:themeTint="F2"/>
                          <w:sz w:val="36"/>
                          <w:szCs w:val="22"/>
                          <w:lang w:val="es-ES_tradnl"/>
                        </w:rPr>
                        <w:t>817-09</w:t>
                      </w:r>
                    </w:p>
                    <w:p w14:paraId="0BAFCA71" w14:textId="0C67152E" w:rsidR="00E0255C" w:rsidRPr="0010736F" w:rsidRDefault="00E0255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71F60499" w14:textId="77777777" w:rsidR="00E0255C" w:rsidRPr="0010736F" w:rsidRDefault="00E0255C" w:rsidP="00997BC5">
                      <w:pPr>
                        <w:spacing w:line="276" w:lineRule="auto"/>
                        <w:rPr>
                          <w:rFonts w:asciiTheme="majorHAnsi" w:hAnsiTheme="majorHAnsi" w:cs="Arial"/>
                          <w:color w:val="0D0D0D" w:themeColor="text1" w:themeTint="F2"/>
                          <w:szCs w:val="22"/>
                          <w:lang w:val="es-ES_tradnl"/>
                        </w:rPr>
                      </w:pPr>
                      <w:bookmarkStart w:id="2" w:name="_ftnref1"/>
                    </w:p>
                    <w:p w14:paraId="061B6097" w14:textId="4E42E86C" w:rsidR="00E0255C" w:rsidRPr="00154D2D" w:rsidRDefault="005A66CA" w:rsidP="00997BC5">
                      <w:pPr>
                        <w:spacing w:line="276" w:lineRule="auto"/>
                        <w:rPr>
                          <w:rFonts w:asciiTheme="majorHAnsi" w:hAnsiTheme="majorHAnsi" w:cs="Arial"/>
                          <w:color w:val="0D0D0D" w:themeColor="text1" w:themeTint="F2"/>
                          <w:szCs w:val="22"/>
                          <w:lang w:val="pt-BR"/>
                        </w:rPr>
                      </w:pPr>
                      <w:r w:rsidRPr="00154D2D">
                        <w:rPr>
                          <w:rFonts w:asciiTheme="majorHAnsi" w:hAnsiTheme="majorHAnsi" w:cs="Arial"/>
                          <w:color w:val="0D0D0D" w:themeColor="text1" w:themeTint="F2"/>
                          <w:szCs w:val="22"/>
                          <w:lang w:val="pt-BR"/>
                        </w:rPr>
                        <w:t>JOSÉ PLATA VERA</w:t>
                      </w:r>
                    </w:p>
                    <w:bookmarkEnd w:id="2"/>
                    <w:p w14:paraId="5618FA4F" w14:textId="382BE93B" w:rsidR="00E0255C" w:rsidRPr="00154D2D" w:rsidRDefault="005A66CA" w:rsidP="007B639A">
                      <w:pPr>
                        <w:spacing w:line="276" w:lineRule="auto"/>
                        <w:rPr>
                          <w:rFonts w:asciiTheme="majorHAnsi" w:hAnsiTheme="majorHAnsi" w:cs="Arial"/>
                          <w:color w:val="0D0D0D" w:themeColor="text1" w:themeTint="F2"/>
                          <w:szCs w:val="22"/>
                          <w:lang w:val="pt-BR"/>
                        </w:rPr>
                      </w:pPr>
                      <w:r w:rsidRPr="00154D2D">
                        <w:rPr>
                          <w:rFonts w:asciiTheme="majorHAnsi" w:hAnsiTheme="majorHAnsi" w:cs="Arial"/>
                          <w:color w:val="0D0D0D" w:themeColor="text1" w:themeTint="F2"/>
                          <w:szCs w:val="22"/>
                          <w:lang w:val="pt-BR"/>
                        </w:rPr>
                        <w:t>VENEZUELA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E7D2FD" wp14:editId="339604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5DD18" w14:textId="446E3AFB" w:rsidR="00E0255C" w:rsidRPr="004E2649" w:rsidRDefault="001266F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05FC0F4" w14:textId="07BC5614" w:rsidR="00E0255C" w:rsidRPr="004E2649" w:rsidRDefault="001266F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259</w:t>
                            </w:r>
                          </w:p>
                          <w:p w14:paraId="147A2550" w14:textId="7996AF4A" w:rsidR="00E0255C" w:rsidRPr="00C25ADB" w:rsidRDefault="001266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E0255C" w:rsidRPr="00C25ADB">
                              <w:rPr>
                                <w:rFonts w:asciiTheme="minorHAnsi" w:hAnsiTheme="minorHAnsi"/>
                                <w:color w:val="FFFFFF" w:themeColor="background1"/>
                                <w:sz w:val="22"/>
                                <w:lang w:val="es-PA"/>
                              </w:rPr>
                              <w:t xml:space="preserve"> 2020</w:t>
                            </w:r>
                          </w:p>
                          <w:p w14:paraId="2CF62B48" w14:textId="77777777" w:rsidR="00E0255C" w:rsidRPr="00C25ADB" w:rsidRDefault="00E0255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E7D2F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E5DD18" w14:textId="446E3AFB" w:rsidR="00E0255C" w:rsidRPr="004E2649" w:rsidRDefault="001266F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05FC0F4" w14:textId="07BC5614" w:rsidR="00E0255C" w:rsidRPr="004E2649" w:rsidRDefault="001266F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259</w:t>
                      </w:r>
                    </w:p>
                    <w:p w14:paraId="147A2550" w14:textId="7996AF4A" w:rsidR="00E0255C" w:rsidRPr="00C25ADB" w:rsidRDefault="001266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E0255C" w:rsidRPr="00C25ADB">
                        <w:rPr>
                          <w:rFonts w:asciiTheme="minorHAnsi" w:hAnsiTheme="minorHAnsi"/>
                          <w:color w:val="FFFFFF" w:themeColor="background1"/>
                          <w:sz w:val="22"/>
                          <w:lang w:val="es-PA"/>
                        </w:rPr>
                        <w:t xml:space="preserve"> 2020</w:t>
                      </w:r>
                    </w:p>
                    <w:p w14:paraId="2CF62B48" w14:textId="77777777" w:rsidR="00E0255C" w:rsidRPr="00C25ADB" w:rsidRDefault="00E0255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D0DBE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609F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C62D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9C79B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9375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2192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0C3E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C72F0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653B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B6C9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62FE6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C5D2F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3B24A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F9C2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B146C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F4D9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4A8B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D69D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713F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9D22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3CD5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C930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538C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411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2BC5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4395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CAB0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ECB0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36B31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2A60FA" wp14:editId="7DD726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6DBB" w14:textId="45665D3F" w:rsidR="00E0255C" w:rsidRPr="00890650" w:rsidRDefault="00E0255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66FA">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266F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14:paraId="20B47434" w14:textId="77777777" w:rsidR="00E0255C" w:rsidRPr="007A5817" w:rsidRDefault="00E0255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E0255C" w:rsidRPr="00167A34" w:rsidRDefault="00E0255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2A60F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AAE6DBB" w14:textId="45665D3F" w:rsidR="00E0255C" w:rsidRPr="00890650" w:rsidRDefault="00E0255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266FA">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266F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14:paraId="20B47434" w14:textId="77777777" w:rsidR="00E0255C" w:rsidRPr="007A5817" w:rsidRDefault="00E0255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E0255C" w:rsidRPr="00167A34" w:rsidRDefault="00E0255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1EC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496F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3779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4E73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A2E17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F16665" wp14:editId="64F219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12B1A" w14:textId="6F8AD779" w:rsidR="00E0255C" w:rsidRPr="007B05C4" w:rsidRDefault="00E0255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66FA" w:rsidRPr="001266FA">
                              <w:rPr>
                                <w:rFonts w:asciiTheme="majorHAnsi" w:hAnsiTheme="majorHAnsi"/>
                                <w:color w:val="595959" w:themeColor="text1" w:themeTint="A6"/>
                                <w:sz w:val="18"/>
                                <w:szCs w:val="18"/>
                                <w:lang w:val="pt-BR"/>
                              </w:rPr>
                              <w:t>243</w:t>
                            </w:r>
                            <w:r w:rsidR="005A66CA" w:rsidRPr="001266FA">
                              <w:rPr>
                                <w:rFonts w:asciiTheme="majorHAnsi" w:hAnsiTheme="majorHAnsi"/>
                                <w:color w:val="595959" w:themeColor="text1" w:themeTint="A6"/>
                                <w:sz w:val="18"/>
                                <w:szCs w:val="18"/>
                                <w:lang w:val="pt-BR"/>
                              </w:rPr>
                              <w:t>/20</w:t>
                            </w:r>
                            <w:r w:rsidRPr="001266F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5A66CA">
                              <w:rPr>
                                <w:rFonts w:asciiTheme="majorHAnsi" w:hAnsiTheme="majorHAnsi"/>
                                <w:color w:val="595959" w:themeColor="text1" w:themeTint="A6"/>
                                <w:sz w:val="18"/>
                                <w:szCs w:val="18"/>
                                <w:lang w:val="es-ES"/>
                              </w:rPr>
                              <w:t>817-09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A66CA">
                              <w:rPr>
                                <w:rFonts w:asciiTheme="majorHAnsi" w:hAnsiTheme="majorHAnsi"/>
                                <w:color w:val="595959" w:themeColor="text1" w:themeTint="A6"/>
                                <w:sz w:val="18"/>
                                <w:szCs w:val="18"/>
                                <w:lang w:val="es-ES_tradnl"/>
                              </w:rPr>
                              <w:t>José Plata Vera</w:t>
                            </w:r>
                            <w:r w:rsidR="001266FA">
                              <w:rPr>
                                <w:rFonts w:asciiTheme="majorHAnsi" w:hAnsiTheme="majorHAnsi"/>
                                <w:color w:val="595959" w:themeColor="text1" w:themeTint="A6"/>
                                <w:sz w:val="18"/>
                                <w:szCs w:val="18"/>
                                <w:lang w:val="es-ES_tradnl"/>
                              </w:rPr>
                              <w:t xml:space="preserve">. </w:t>
                            </w:r>
                            <w:r w:rsidR="005A66CA">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1266FA">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F1666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112B1A" w14:textId="6F8AD779" w:rsidR="00E0255C" w:rsidRPr="007B05C4" w:rsidRDefault="00E0255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66FA" w:rsidRPr="001266FA">
                        <w:rPr>
                          <w:rFonts w:asciiTheme="majorHAnsi" w:hAnsiTheme="majorHAnsi"/>
                          <w:color w:val="595959" w:themeColor="text1" w:themeTint="A6"/>
                          <w:sz w:val="18"/>
                          <w:szCs w:val="18"/>
                          <w:lang w:val="pt-BR"/>
                        </w:rPr>
                        <w:t>243</w:t>
                      </w:r>
                      <w:r w:rsidR="005A66CA" w:rsidRPr="001266FA">
                        <w:rPr>
                          <w:rFonts w:asciiTheme="majorHAnsi" w:hAnsiTheme="majorHAnsi"/>
                          <w:color w:val="595959" w:themeColor="text1" w:themeTint="A6"/>
                          <w:sz w:val="18"/>
                          <w:szCs w:val="18"/>
                          <w:lang w:val="pt-BR"/>
                        </w:rPr>
                        <w:t>/20</w:t>
                      </w:r>
                      <w:r w:rsidRPr="001266F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5A66CA">
                        <w:rPr>
                          <w:rFonts w:asciiTheme="majorHAnsi" w:hAnsiTheme="majorHAnsi"/>
                          <w:color w:val="595959" w:themeColor="text1" w:themeTint="A6"/>
                          <w:sz w:val="18"/>
                          <w:szCs w:val="18"/>
                          <w:lang w:val="es-ES"/>
                        </w:rPr>
                        <w:t>817-09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A66CA">
                        <w:rPr>
                          <w:rFonts w:asciiTheme="majorHAnsi" w:hAnsiTheme="majorHAnsi"/>
                          <w:color w:val="595959" w:themeColor="text1" w:themeTint="A6"/>
                          <w:sz w:val="18"/>
                          <w:szCs w:val="18"/>
                          <w:lang w:val="es-ES_tradnl"/>
                        </w:rPr>
                        <w:t>José Plata Vera</w:t>
                      </w:r>
                      <w:r w:rsidR="001266FA">
                        <w:rPr>
                          <w:rFonts w:asciiTheme="majorHAnsi" w:hAnsiTheme="majorHAnsi"/>
                          <w:color w:val="595959" w:themeColor="text1" w:themeTint="A6"/>
                          <w:sz w:val="18"/>
                          <w:szCs w:val="18"/>
                          <w:lang w:val="es-ES_tradnl"/>
                        </w:rPr>
                        <w:t xml:space="preserve">. </w:t>
                      </w:r>
                      <w:r w:rsidR="005A66CA">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1266FA">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21B0B2C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C8462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BE3BBB" wp14:editId="3B064C3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A1AE4" w14:textId="030976A4" w:rsidR="00E0255C" w:rsidRPr="00D72DC6" w:rsidRDefault="007B24FA" w:rsidP="00F02AD1">
                            <w:pPr>
                              <w:rPr>
                                <w:color w:val="FFFFFF" w:themeColor="background1"/>
                                <w14:textFill>
                                  <w14:noFill/>
                                </w14:textFill>
                              </w:rPr>
                            </w:pPr>
                            <w:r>
                              <w:rPr>
                                <w:noProof/>
                                <w:color w:val="FFFFFF" w:themeColor="background1"/>
                              </w:rPr>
                              <w:drawing>
                                <wp:inline distT="0" distB="0" distL="0" distR="0" wp14:anchorId="1D1913AC" wp14:editId="661479C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E3BBB"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95A1AE4" w14:textId="030976A4" w:rsidR="00E0255C" w:rsidRPr="00D72DC6" w:rsidRDefault="007B24FA" w:rsidP="00F02AD1">
                      <w:pPr>
                        <w:rPr>
                          <w:color w:val="FFFFFF" w:themeColor="background1"/>
                          <w14:textFill>
                            <w14:noFill/>
                          </w14:textFill>
                        </w:rPr>
                      </w:pPr>
                      <w:r>
                        <w:rPr>
                          <w:noProof/>
                          <w:color w:val="FFFFFF" w:themeColor="background1"/>
                        </w:rPr>
                        <w:drawing>
                          <wp:inline distT="0" distB="0" distL="0" distR="0" wp14:anchorId="1D1913AC" wp14:editId="661479C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BA717FF" wp14:editId="5450840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C3D6" w14:textId="77777777" w:rsidR="00E0255C" w:rsidRPr="004B7EB6" w:rsidRDefault="00E025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A717F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05C3D6" w14:textId="77777777" w:rsidR="00E0255C" w:rsidRPr="004B7EB6" w:rsidRDefault="00E025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3729CB"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4B275C"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A66CA" w14:paraId="27BAC7D0" w14:textId="77777777" w:rsidTr="004A6A54">
        <w:tc>
          <w:tcPr>
            <w:tcW w:w="3600" w:type="dxa"/>
            <w:tcBorders>
              <w:top w:val="single" w:sz="4" w:space="0" w:color="auto"/>
              <w:bottom w:val="single" w:sz="6" w:space="0" w:color="auto"/>
            </w:tcBorders>
            <w:shd w:val="clear" w:color="auto" w:fill="386294"/>
            <w:vAlign w:val="center"/>
          </w:tcPr>
          <w:p w14:paraId="4931F3BA" w14:textId="77777777" w:rsidR="003239B8" w:rsidRPr="000D05CB" w:rsidRDefault="003239B8" w:rsidP="00E025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1C5FF15A" w14:textId="3EEC76B1" w:rsidR="003239B8" w:rsidRPr="007B639A" w:rsidRDefault="005A66CA" w:rsidP="00E0255C">
            <w:pPr>
              <w:jc w:val="both"/>
              <w:rPr>
                <w:rFonts w:ascii="Cambria" w:hAnsi="Cambria"/>
                <w:bCs/>
                <w:sz w:val="20"/>
                <w:szCs w:val="20"/>
                <w:lang w:val="es-PA"/>
              </w:rPr>
            </w:pPr>
            <w:r>
              <w:rPr>
                <w:rFonts w:ascii="Cambria" w:hAnsi="Cambria"/>
                <w:bCs/>
                <w:sz w:val="20"/>
                <w:szCs w:val="20"/>
                <w:lang w:val="es-PA"/>
              </w:rPr>
              <w:t>Keneth Enrique Scope Leal</w:t>
            </w:r>
          </w:p>
        </w:tc>
      </w:tr>
      <w:tr w:rsidR="003239B8" w:rsidRPr="001E49E7" w14:paraId="5035CA40" w14:textId="77777777" w:rsidTr="004A6A54">
        <w:tc>
          <w:tcPr>
            <w:tcW w:w="3600" w:type="dxa"/>
            <w:tcBorders>
              <w:top w:val="single" w:sz="6" w:space="0" w:color="auto"/>
              <w:bottom w:val="single" w:sz="6" w:space="0" w:color="auto"/>
            </w:tcBorders>
            <w:shd w:val="clear" w:color="auto" w:fill="386294"/>
            <w:vAlign w:val="center"/>
          </w:tcPr>
          <w:p w14:paraId="4390404B" w14:textId="60665541" w:rsidR="003239B8" w:rsidRPr="000D05CB" w:rsidRDefault="000F459C" w:rsidP="00E025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A31D2">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FFF4CE6" w14:textId="10836D16" w:rsidR="003239B8" w:rsidRPr="000D05CB" w:rsidRDefault="005A66CA" w:rsidP="00E0255C">
            <w:pPr>
              <w:jc w:val="both"/>
              <w:rPr>
                <w:rFonts w:ascii="Cambria" w:hAnsi="Cambria"/>
                <w:bCs/>
                <w:sz w:val="20"/>
                <w:szCs w:val="20"/>
                <w:lang w:val="es-ES"/>
              </w:rPr>
            </w:pPr>
            <w:r>
              <w:rPr>
                <w:rFonts w:ascii="Cambria" w:hAnsi="Cambria"/>
                <w:bCs/>
                <w:sz w:val="20"/>
                <w:szCs w:val="20"/>
                <w:lang w:val="es-ES"/>
              </w:rPr>
              <w:t>José Plata Vera</w:t>
            </w:r>
          </w:p>
        </w:tc>
      </w:tr>
      <w:tr w:rsidR="003239B8" w14:paraId="6421D779" w14:textId="77777777" w:rsidTr="004A6A54">
        <w:tc>
          <w:tcPr>
            <w:tcW w:w="3600" w:type="dxa"/>
            <w:tcBorders>
              <w:top w:val="single" w:sz="6" w:space="0" w:color="auto"/>
              <w:bottom w:val="single" w:sz="6" w:space="0" w:color="auto"/>
            </w:tcBorders>
            <w:shd w:val="clear" w:color="auto" w:fill="386294"/>
            <w:vAlign w:val="center"/>
          </w:tcPr>
          <w:p w14:paraId="3A9CEA05" w14:textId="77777777" w:rsidR="003239B8" w:rsidRPr="000D05CB" w:rsidRDefault="003239B8" w:rsidP="00E025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30CA8374" w14:textId="2752B09E" w:rsidR="003239B8" w:rsidRPr="000D05CB" w:rsidRDefault="005A66CA" w:rsidP="00E0255C">
            <w:pPr>
              <w:jc w:val="both"/>
              <w:rPr>
                <w:rFonts w:ascii="Cambria" w:hAnsi="Cambria"/>
                <w:bCs/>
                <w:sz w:val="20"/>
                <w:szCs w:val="20"/>
              </w:rPr>
            </w:pPr>
            <w:r>
              <w:rPr>
                <w:rFonts w:ascii="Cambria" w:hAnsi="Cambria"/>
                <w:bCs/>
                <w:sz w:val="20"/>
                <w:szCs w:val="20"/>
              </w:rPr>
              <w:t>República Boliviariana de Venezuela</w:t>
            </w:r>
          </w:p>
        </w:tc>
      </w:tr>
      <w:tr w:rsidR="00223A29" w:rsidRPr="007B24FA" w14:paraId="266E3EAC" w14:textId="77777777" w:rsidTr="004A6A54">
        <w:tc>
          <w:tcPr>
            <w:tcW w:w="3600" w:type="dxa"/>
            <w:tcBorders>
              <w:top w:val="single" w:sz="6" w:space="0" w:color="auto"/>
              <w:bottom w:val="single" w:sz="6" w:space="0" w:color="auto"/>
            </w:tcBorders>
            <w:shd w:val="clear" w:color="auto" w:fill="386294"/>
            <w:vAlign w:val="center"/>
          </w:tcPr>
          <w:p w14:paraId="0154311A"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15EC5464" w14:textId="42A5CFE3" w:rsidR="00223A29" w:rsidRPr="001E3E79" w:rsidRDefault="001E3E79" w:rsidP="00F678CA">
            <w:pPr>
              <w:jc w:val="both"/>
              <w:rPr>
                <w:rFonts w:ascii="Cambria" w:hAnsi="Cambria"/>
                <w:bCs/>
                <w:sz w:val="20"/>
                <w:szCs w:val="20"/>
                <w:lang w:val="es-PE"/>
              </w:rPr>
            </w:pPr>
            <w:r w:rsidRPr="001E3E79">
              <w:rPr>
                <w:rFonts w:ascii="Cambria" w:hAnsi="Cambria"/>
                <w:bCs/>
                <w:sz w:val="20"/>
                <w:szCs w:val="20"/>
                <w:lang w:val="es-PE"/>
              </w:rPr>
              <w:t>Art</w:t>
            </w:r>
            <w:r w:rsidR="000F5AC8">
              <w:rPr>
                <w:rFonts w:ascii="Cambria" w:hAnsi="Cambria"/>
                <w:bCs/>
                <w:sz w:val="20"/>
                <w:szCs w:val="20"/>
                <w:lang w:val="es-PE"/>
              </w:rPr>
              <w:t>ículos</w:t>
            </w:r>
            <w:r w:rsidRPr="001E3E79">
              <w:rPr>
                <w:rFonts w:ascii="Cambria" w:hAnsi="Cambria"/>
                <w:bCs/>
                <w:sz w:val="20"/>
                <w:szCs w:val="20"/>
                <w:lang w:val="es-PE"/>
              </w:rPr>
              <w:t xml:space="preserve"> </w:t>
            </w:r>
            <w:r w:rsidR="00BD6523">
              <w:rPr>
                <w:rFonts w:ascii="Cambria" w:hAnsi="Cambria"/>
                <w:bCs/>
                <w:sz w:val="20"/>
                <w:szCs w:val="20"/>
                <w:lang w:val="es-PE"/>
              </w:rPr>
              <w:t>25 (protección judicial)</w:t>
            </w:r>
            <w:r w:rsidRPr="001E3E79">
              <w:rPr>
                <w:rFonts w:ascii="Cambria" w:hAnsi="Cambria"/>
                <w:bCs/>
                <w:sz w:val="20"/>
                <w:szCs w:val="20"/>
                <w:lang w:val="es-PE"/>
              </w:rPr>
              <w:t xml:space="preserve"> de la Convenci</w:t>
            </w:r>
            <w:r>
              <w:rPr>
                <w:rFonts w:ascii="Cambria" w:hAnsi="Cambria"/>
                <w:bCs/>
                <w:sz w:val="20"/>
                <w:szCs w:val="20"/>
                <w:lang w:val="es-PE"/>
              </w:rPr>
              <w:t>ón Americana de Derechos Humanos</w:t>
            </w:r>
            <w:r w:rsidR="000D33BA">
              <w:rPr>
                <w:rStyle w:val="FootnoteReference"/>
                <w:rFonts w:ascii="Cambria" w:hAnsi="Cambria"/>
                <w:bCs/>
                <w:sz w:val="20"/>
                <w:szCs w:val="20"/>
                <w:lang w:val="es-PE"/>
              </w:rPr>
              <w:footnoteReference w:id="2"/>
            </w:r>
          </w:p>
        </w:tc>
      </w:tr>
    </w:tbl>
    <w:p w14:paraId="6E671041"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D6523" w14:paraId="0341FF73" w14:textId="77777777" w:rsidTr="004A6A54">
        <w:tc>
          <w:tcPr>
            <w:tcW w:w="3600" w:type="dxa"/>
            <w:tcBorders>
              <w:top w:val="single" w:sz="6" w:space="0" w:color="auto"/>
              <w:bottom w:val="single" w:sz="6" w:space="0" w:color="auto"/>
            </w:tcBorders>
            <w:shd w:val="clear" w:color="auto" w:fill="386294"/>
            <w:vAlign w:val="center"/>
          </w:tcPr>
          <w:p w14:paraId="02E785E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7091A48" w14:textId="0AC8DA69" w:rsidR="004C2312" w:rsidRPr="003239B8" w:rsidRDefault="00F678CA" w:rsidP="00E0255C">
            <w:pPr>
              <w:jc w:val="both"/>
              <w:rPr>
                <w:rFonts w:ascii="Cambria" w:hAnsi="Cambria"/>
                <w:bCs/>
                <w:sz w:val="20"/>
                <w:szCs w:val="20"/>
                <w:lang w:val="es-ES"/>
              </w:rPr>
            </w:pPr>
            <w:r>
              <w:rPr>
                <w:rFonts w:ascii="Cambria" w:hAnsi="Cambria"/>
                <w:bCs/>
                <w:sz w:val="20"/>
                <w:szCs w:val="20"/>
                <w:lang w:val="es-ES"/>
              </w:rPr>
              <w:t>4 de julio de 2009</w:t>
            </w:r>
          </w:p>
        </w:tc>
      </w:tr>
      <w:tr w:rsidR="004D5091" w:rsidRPr="00BD31BD" w14:paraId="53582062" w14:textId="77777777" w:rsidTr="004A6A54">
        <w:tc>
          <w:tcPr>
            <w:tcW w:w="3600" w:type="dxa"/>
            <w:tcBorders>
              <w:top w:val="single" w:sz="6" w:space="0" w:color="auto"/>
              <w:bottom w:val="single" w:sz="6" w:space="0" w:color="auto"/>
            </w:tcBorders>
            <w:shd w:val="clear" w:color="auto" w:fill="386294"/>
            <w:vAlign w:val="center"/>
          </w:tcPr>
          <w:p w14:paraId="55987F2A" w14:textId="4DD4D92B" w:rsidR="004D5091" w:rsidRDefault="00BD31BD" w:rsidP="004A6A54">
            <w:pPr>
              <w:jc w:val="center"/>
              <w:rPr>
                <w:rFonts w:ascii="Cambria" w:hAnsi="Cambria"/>
                <w:b/>
                <w:bCs/>
                <w:color w:val="FFFFFF" w:themeColor="background1"/>
                <w:sz w:val="20"/>
                <w:szCs w:val="20"/>
                <w:lang w:val="es-ES"/>
              </w:rPr>
            </w:pPr>
            <w:r w:rsidRPr="00365E52">
              <w:rPr>
                <w:rFonts w:ascii="Cambria" w:hAnsi="Cambria"/>
                <w:b/>
                <w:bCs/>
                <w:color w:val="FFFFFF"/>
                <w:sz w:val="20"/>
                <w:szCs w:val="20"/>
                <w:lang w:val="es-ES"/>
              </w:rPr>
              <w:t>Información adicional recibida durante la etapa de estudio</w:t>
            </w:r>
          </w:p>
        </w:tc>
        <w:tc>
          <w:tcPr>
            <w:tcW w:w="5760" w:type="dxa"/>
            <w:vAlign w:val="center"/>
          </w:tcPr>
          <w:p w14:paraId="565343AD" w14:textId="074D64E1" w:rsidR="004D5091" w:rsidRDefault="00F678CA" w:rsidP="00E0255C">
            <w:pPr>
              <w:jc w:val="both"/>
              <w:rPr>
                <w:rFonts w:ascii="Cambria" w:hAnsi="Cambria"/>
                <w:bCs/>
                <w:sz w:val="20"/>
                <w:szCs w:val="20"/>
                <w:lang w:val="es-ES"/>
              </w:rPr>
            </w:pPr>
            <w:r>
              <w:rPr>
                <w:rFonts w:ascii="Cambria" w:hAnsi="Cambria"/>
                <w:bCs/>
                <w:sz w:val="20"/>
                <w:szCs w:val="20"/>
                <w:lang w:val="es-ES"/>
              </w:rPr>
              <w:t>27 de octubre de 2014</w:t>
            </w:r>
          </w:p>
        </w:tc>
      </w:tr>
      <w:tr w:rsidR="004C2312" w:rsidRPr="001375A5" w14:paraId="70C66C07" w14:textId="77777777" w:rsidTr="004A6A54">
        <w:tc>
          <w:tcPr>
            <w:tcW w:w="3600" w:type="dxa"/>
            <w:tcBorders>
              <w:top w:val="single" w:sz="6" w:space="0" w:color="auto"/>
              <w:bottom w:val="single" w:sz="6" w:space="0" w:color="auto"/>
            </w:tcBorders>
            <w:shd w:val="clear" w:color="auto" w:fill="386294"/>
            <w:vAlign w:val="center"/>
          </w:tcPr>
          <w:p w14:paraId="63F1637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E80DDB6" w14:textId="6DAFA91E" w:rsidR="004C2312" w:rsidRPr="003239B8" w:rsidRDefault="00F678CA" w:rsidP="00130C92">
            <w:pPr>
              <w:jc w:val="both"/>
              <w:rPr>
                <w:rFonts w:ascii="Cambria" w:hAnsi="Cambria"/>
                <w:bCs/>
                <w:sz w:val="20"/>
                <w:szCs w:val="20"/>
                <w:lang w:val="es-ES"/>
              </w:rPr>
            </w:pPr>
            <w:r>
              <w:rPr>
                <w:rFonts w:ascii="Cambria" w:hAnsi="Cambria"/>
                <w:bCs/>
                <w:sz w:val="20"/>
                <w:szCs w:val="20"/>
                <w:lang w:val="es-ES"/>
              </w:rPr>
              <w:t>15 de junio de 2017</w:t>
            </w:r>
          </w:p>
        </w:tc>
      </w:tr>
      <w:tr w:rsidR="004C2312" w:rsidRPr="004A6A54" w14:paraId="11376893" w14:textId="77777777" w:rsidTr="004A6A54">
        <w:tc>
          <w:tcPr>
            <w:tcW w:w="3600" w:type="dxa"/>
            <w:tcBorders>
              <w:top w:val="single" w:sz="6" w:space="0" w:color="auto"/>
              <w:bottom w:val="single" w:sz="6" w:space="0" w:color="auto"/>
            </w:tcBorders>
            <w:shd w:val="clear" w:color="auto" w:fill="386294"/>
            <w:vAlign w:val="center"/>
          </w:tcPr>
          <w:p w14:paraId="072B2B6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E2BCBD5" w14:textId="5D4B77AD" w:rsidR="004C2312" w:rsidRPr="003239B8" w:rsidRDefault="00F678CA" w:rsidP="00E0255C">
            <w:pPr>
              <w:jc w:val="both"/>
              <w:rPr>
                <w:rFonts w:ascii="Cambria" w:hAnsi="Cambria"/>
                <w:bCs/>
                <w:sz w:val="20"/>
                <w:szCs w:val="20"/>
                <w:lang w:val="es-ES"/>
              </w:rPr>
            </w:pPr>
            <w:r>
              <w:rPr>
                <w:rFonts w:ascii="Cambria" w:hAnsi="Cambria"/>
                <w:bCs/>
                <w:sz w:val="20"/>
                <w:szCs w:val="20"/>
                <w:lang w:val="es-ES"/>
              </w:rPr>
              <w:t>24 de agosto de 2018</w:t>
            </w:r>
          </w:p>
        </w:tc>
      </w:tr>
      <w:tr w:rsidR="00BD31BD" w:rsidRPr="00BD31BD" w14:paraId="45CC3BD6" w14:textId="77777777" w:rsidTr="004A6A54">
        <w:tc>
          <w:tcPr>
            <w:tcW w:w="3600" w:type="dxa"/>
            <w:tcBorders>
              <w:top w:val="single" w:sz="6" w:space="0" w:color="auto"/>
              <w:bottom w:val="single" w:sz="6" w:space="0" w:color="auto"/>
            </w:tcBorders>
            <w:shd w:val="clear" w:color="auto" w:fill="386294"/>
            <w:vAlign w:val="center"/>
          </w:tcPr>
          <w:p w14:paraId="024AAB14" w14:textId="14FFB0A3" w:rsidR="00BD31BD" w:rsidRDefault="00BD31BD" w:rsidP="00BD31BD">
            <w:pPr>
              <w:jc w:val="center"/>
              <w:rPr>
                <w:rFonts w:ascii="Cambria" w:hAnsi="Cambria"/>
                <w:b/>
                <w:color w:val="FFFFFF" w:themeColor="background1"/>
                <w:sz w:val="20"/>
                <w:szCs w:val="20"/>
                <w:lang w:val="es-ES"/>
              </w:rPr>
            </w:pPr>
            <w:r w:rsidRPr="00365E52">
              <w:rPr>
                <w:rFonts w:ascii="Cambria" w:hAnsi="Cambria"/>
                <w:b/>
                <w:bCs/>
                <w:color w:val="FFFFFF"/>
                <w:sz w:val="20"/>
                <w:szCs w:val="20"/>
                <w:lang w:val="es-ES"/>
              </w:rPr>
              <w:t>Observaciones adicionales de la parte peticionaria:</w:t>
            </w:r>
          </w:p>
        </w:tc>
        <w:tc>
          <w:tcPr>
            <w:tcW w:w="5760" w:type="dxa"/>
            <w:vAlign w:val="center"/>
          </w:tcPr>
          <w:p w14:paraId="0591CF59" w14:textId="5D5DD7F4" w:rsidR="00BD31BD" w:rsidRDefault="00103173" w:rsidP="00BD31BD">
            <w:pPr>
              <w:jc w:val="both"/>
              <w:rPr>
                <w:rFonts w:ascii="Cambria" w:hAnsi="Cambria"/>
                <w:bCs/>
                <w:sz w:val="20"/>
                <w:szCs w:val="20"/>
                <w:lang w:val="es-ES"/>
              </w:rPr>
            </w:pPr>
            <w:r>
              <w:rPr>
                <w:rFonts w:ascii="Cambria" w:hAnsi="Cambria"/>
                <w:bCs/>
                <w:sz w:val="20"/>
                <w:szCs w:val="20"/>
                <w:lang w:val="es-ES"/>
              </w:rPr>
              <w:t>27 de febrero de 2019</w:t>
            </w:r>
          </w:p>
        </w:tc>
      </w:tr>
    </w:tbl>
    <w:p w14:paraId="6CFFDF6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540F17" w14:paraId="50E2A29D" w14:textId="77777777" w:rsidTr="004A6A54">
        <w:trPr>
          <w:cantSplit/>
        </w:trPr>
        <w:tc>
          <w:tcPr>
            <w:tcW w:w="3600" w:type="dxa"/>
            <w:tcBorders>
              <w:top w:val="single" w:sz="4" w:space="0" w:color="auto"/>
              <w:bottom w:val="single" w:sz="6" w:space="0" w:color="auto"/>
            </w:tcBorders>
            <w:shd w:val="clear" w:color="auto" w:fill="386294"/>
            <w:vAlign w:val="center"/>
          </w:tcPr>
          <w:p w14:paraId="2F2AFFDD" w14:textId="77777777" w:rsidR="003239B8" w:rsidRPr="00B3745F" w:rsidRDefault="003239B8" w:rsidP="00E0255C">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FA67BA8" w14:textId="77777777" w:rsidR="003239B8" w:rsidRPr="00B3745F" w:rsidRDefault="001C7E62" w:rsidP="00E0255C">
            <w:pPr>
              <w:rPr>
                <w:rFonts w:ascii="Cambria" w:hAnsi="Cambria"/>
                <w:bCs/>
                <w:sz w:val="20"/>
                <w:szCs w:val="20"/>
              </w:rPr>
            </w:pPr>
            <w:r>
              <w:rPr>
                <w:rFonts w:ascii="Cambria" w:hAnsi="Cambria"/>
                <w:bCs/>
                <w:sz w:val="20"/>
                <w:szCs w:val="20"/>
              </w:rPr>
              <w:t>Sí</w:t>
            </w:r>
          </w:p>
        </w:tc>
      </w:tr>
      <w:tr w:rsidR="003239B8" w:rsidRPr="00540F17" w14:paraId="13E17CD9" w14:textId="77777777" w:rsidTr="004A6A54">
        <w:trPr>
          <w:cantSplit/>
        </w:trPr>
        <w:tc>
          <w:tcPr>
            <w:tcW w:w="3600" w:type="dxa"/>
            <w:tcBorders>
              <w:top w:val="single" w:sz="6" w:space="0" w:color="auto"/>
              <w:bottom w:val="single" w:sz="6" w:space="0" w:color="auto"/>
            </w:tcBorders>
            <w:shd w:val="clear" w:color="auto" w:fill="386294"/>
            <w:vAlign w:val="center"/>
          </w:tcPr>
          <w:p w14:paraId="21853EEC" w14:textId="77777777" w:rsidR="003239B8" w:rsidRPr="00B3745F" w:rsidRDefault="003239B8" w:rsidP="00E0255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FCBAE11" w14:textId="77777777" w:rsidR="003239B8" w:rsidRPr="00B3745F" w:rsidRDefault="001C7E62" w:rsidP="00E0255C">
            <w:pPr>
              <w:rPr>
                <w:rFonts w:ascii="Cambria" w:hAnsi="Cambria"/>
                <w:bCs/>
                <w:sz w:val="20"/>
                <w:szCs w:val="20"/>
              </w:rPr>
            </w:pPr>
            <w:r>
              <w:rPr>
                <w:rFonts w:ascii="Cambria" w:hAnsi="Cambria"/>
                <w:bCs/>
                <w:sz w:val="20"/>
                <w:szCs w:val="20"/>
              </w:rPr>
              <w:t>Sí</w:t>
            </w:r>
          </w:p>
        </w:tc>
      </w:tr>
      <w:tr w:rsidR="003239B8" w:rsidRPr="00540F17" w14:paraId="66C21353" w14:textId="77777777" w:rsidTr="004A6A54">
        <w:trPr>
          <w:cantSplit/>
        </w:trPr>
        <w:tc>
          <w:tcPr>
            <w:tcW w:w="3600" w:type="dxa"/>
            <w:tcBorders>
              <w:top w:val="single" w:sz="6" w:space="0" w:color="auto"/>
              <w:bottom w:val="single" w:sz="6" w:space="0" w:color="auto"/>
            </w:tcBorders>
            <w:shd w:val="clear" w:color="auto" w:fill="386294"/>
            <w:vAlign w:val="center"/>
          </w:tcPr>
          <w:p w14:paraId="4C7F4CED" w14:textId="77777777" w:rsidR="003239B8" w:rsidRPr="00B3745F" w:rsidRDefault="003239B8" w:rsidP="00E0255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AB6ED80" w14:textId="77777777" w:rsidR="003239B8" w:rsidRPr="00B3745F" w:rsidRDefault="001C7E62" w:rsidP="00E0255C">
            <w:pPr>
              <w:rPr>
                <w:rFonts w:ascii="Cambria" w:hAnsi="Cambria"/>
                <w:bCs/>
                <w:sz w:val="20"/>
                <w:szCs w:val="20"/>
              </w:rPr>
            </w:pPr>
            <w:r>
              <w:rPr>
                <w:rFonts w:ascii="Cambria" w:hAnsi="Cambria"/>
                <w:bCs/>
                <w:sz w:val="20"/>
                <w:szCs w:val="20"/>
              </w:rPr>
              <w:t>Sí</w:t>
            </w:r>
          </w:p>
        </w:tc>
      </w:tr>
      <w:tr w:rsidR="003239B8" w:rsidRPr="007B24FA" w14:paraId="27FA4462" w14:textId="77777777" w:rsidTr="004A6A54">
        <w:trPr>
          <w:cantSplit/>
        </w:trPr>
        <w:tc>
          <w:tcPr>
            <w:tcW w:w="3600" w:type="dxa"/>
            <w:tcBorders>
              <w:top w:val="single" w:sz="6" w:space="0" w:color="auto"/>
              <w:bottom w:val="single" w:sz="6" w:space="0" w:color="auto"/>
            </w:tcBorders>
            <w:shd w:val="clear" w:color="auto" w:fill="386294"/>
            <w:vAlign w:val="center"/>
          </w:tcPr>
          <w:p w14:paraId="3E6C5076" w14:textId="77777777" w:rsidR="003239B8" w:rsidRPr="00B3745F" w:rsidRDefault="003239B8" w:rsidP="00E0255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5C579BA1" w14:textId="3695EA90" w:rsidR="003239B8" w:rsidRPr="00B3745F" w:rsidRDefault="001C7E62" w:rsidP="00E0255C">
            <w:pPr>
              <w:jc w:val="both"/>
              <w:rPr>
                <w:rFonts w:ascii="Cambria" w:hAnsi="Cambria"/>
                <w:bCs/>
                <w:sz w:val="20"/>
                <w:szCs w:val="20"/>
                <w:lang w:val="es-ES"/>
              </w:rPr>
            </w:pPr>
            <w:r>
              <w:rPr>
                <w:rFonts w:ascii="Cambria" w:hAnsi="Cambria"/>
                <w:bCs/>
                <w:sz w:val="20"/>
                <w:szCs w:val="20"/>
                <w:lang w:val="es-ES"/>
              </w:rPr>
              <w:t>Sí</w:t>
            </w:r>
            <w:r w:rsidR="000C1117">
              <w:rPr>
                <w:rFonts w:ascii="Cambria" w:hAnsi="Cambria"/>
                <w:bCs/>
                <w:sz w:val="20"/>
                <w:szCs w:val="20"/>
                <w:lang w:val="es-ES"/>
              </w:rPr>
              <w:t xml:space="preserve">, Convención Americana </w:t>
            </w:r>
            <w:r w:rsidR="008C4C96">
              <w:rPr>
                <w:rFonts w:ascii="Cambria" w:hAnsi="Cambria"/>
                <w:bCs/>
                <w:sz w:val="20"/>
                <w:szCs w:val="20"/>
                <w:lang w:val="es-ES"/>
              </w:rPr>
              <w:t>(</w:t>
            </w:r>
            <w:r w:rsidR="00103173" w:rsidRPr="00861927">
              <w:rPr>
                <w:rFonts w:ascii="Cambria" w:hAnsi="Cambria"/>
                <w:bCs/>
                <w:sz w:val="19"/>
                <w:szCs w:val="19"/>
                <w:lang w:val="es-ES"/>
              </w:rPr>
              <w:t xml:space="preserve">depósito del instrumento realizado el </w:t>
            </w:r>
            <w:r w:rsidR="00103173">
              <w:rPr>
                <w:rFonts w:ascii="Cambria" w:hAnsi="Cambria"/>
                <w:bCs/>
                <w:sz w:val="19"/>
                <w:szCs w:val="19"/>
                <w:lang w:val="es-ES"/>
              </w:rPr>
              <w:t>9</w:t>
            </w:r>
            <w:r w:rsidR="00103173" w:rsidRPr="00861927">
              <w:rPr>
                <w:rFonts w:ascii="Cambria" w:hAnsi="Cambria"/>
                <w:bCs/>
                <w:sz w:val="19"/>
                <w:szCs w:val="19"/>
                <w:lang w:val="es-ES"/>
              </w:rPr>
              <w:t xml:space="preserve"> de </w:t>
            </w:r>
            <w:r w:rsidR="00103173">
              <w:rPr>
                <w:rFonts w:ascii="Cambria" w:hAnsi="Cambria"/>
                <w:bCs/>
                <w:sz w:val="19"/>
                <w:szCs w:val="19"/>
                <w:lang w:val="es-ES"/>
              </w:rPr>
              <w:t>agosto de 1977</w:t>
            </w:r>
            <w:r w:rsidR="008C4C96">
              <w:rPr>
                <w:rFonts w:ascii="Cambria" w:hAnsi="Cambria"/>
                <w:bCs/>
                <w:sz w:val="20"/>
                <w:szCs w:val="20"/>
                <w:lang w:val="es-ES"/>
              </w:rPr>
              <w:t>)</w:t>
            </w:r>
          </w:p>
        </w:tc>
      </w:tr>
    </w:tbl>
    <w:p w14:paraId="471E35B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C7E62" w:rsidRPr="003239B8">
        <w:rPr>
          <w:rFonts w:asciiTheme="majorHAnsi" w:hAnsiTheme="majorHAnsi"/>
          <w:b/>
          <w:bCs/>
          <w:sz w:val="20"/>
          <w:szCs w:val="20"/>
          <w:lang w:val="es-ES"/>
        </w:rPr>
        <w:t>INTERNACIONAL</w:t>
      </w:r>
      <w:r w:rsidR="001C7E62">
        <w:rPr>
          <w:rFonts w:asciiTheme="majorHAnsi" w:hAnsiTheme="majorHAnsi"/>
          <w:b/>
          <w:bCs/>
          <w:sz w:val="20"/>
          <w:szCs w:val="20"/>
          <w:lang w:val="es-ES"/>
        </w:rPr>
        <w:t xml:space="preserve">, </w:t>
      </w:r>
      <w:r w:rsidR="001C7E6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F6AD6" w14:paraId="76337212" w14:textId="77777777" w:rsidTr="004A6A54">
        <w:trPr>
          <w:cantSplit/>
        </w:trPr>
        <w:tc>
          <w:tcPr>
            <w:tcW w:w="3600" w:type="dxa"/>
            <w:tcBorders>
              <w:top w:val="single" w:sz="4" w:space="0" w:color="auto"/>
              <w:bottom w:val="single" w:sz="6" w:space="0" w:color="auto"/>
            </w:tcBorders>
            <w:shd w:val="clear" w:color="auto" w:fill="386294"/>
            <w:vAlign w:val="center"/>
          </w:tcPr>
          <w:p w14:paraId="6CFFD70A" w14:textId="77777777" w:rsidR="00EE00E9" w:rsidRPr="00DC24E3" w:rsidRDefault="00EE00E9" w:rsidP="00E025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DE99CDC" w14:textId="77777777" w:rsidR="00EE00E9" w:rsidRPr="00DC24E3" w:rsidRDefault="001C7E62" w:rsidP="00E0255C">
            <w:pPr>
              <w:jc w:val="both"/>
              <w:rPr>
                <w:rFonts w:ascii="Cambria" w:hAnsi="Cambria"/>
                <w:bCs/>
                <w:sz w:val="20"/>
                <w:szCs w:val="20"/>
                <w:lang w:val="es-ES"/>
              </w:rPr>
            </w:pPr>
            <w:r>
              <w:rPr>
                <w:rFonts w:ascii="Cambria" w:hAnsi="Cambria"/>
                <w:bCs/>
                <w:sz w:val="20"/>
                <w:szCs w:val="20"/>
                <w:lang w:val="es-ES"/>
              </w:rPr>
              <w:t>No</w:t>
            </w:r>
          </w:p>
        </w:tc>
      </w:tr>
      <w:tr w:rsidR="003239B8" w:rsidRPr="007B24FA" w14:paraId="28ACE885" w14:textId="77777777" w:rsidTr="004A6A54">
        <w:trPr>
          <w:cantSplit/>
        </w:trPr>
        <w:tc>
          <w:tcPr>
            <w:tcW w:w="3600" w:type="dxa"/>
            <w:tcBorders>
              <w:top w:val="single" w:sz="4" w:space="0" w:color="auto"/>
              <w:bottom w:val="single" w:sz="6" w:space="0" w:color="auto"/>
            </w:tcBorders>
            <w:shd w:val="clear" w:color="auto" w:fill="386294"/>
            <w:vAlign w:val="center"/>
          </w:tcPr>
          <w:p w14:paraId="2EAC07B0" w14:textId="77777777" w:rsidR="003239B8" w:rsidRPr="00DC24E3" w:rsidRDefault="003239B8" w:rsidP="00E0255C">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18AFBB30" w14:textId="5D67F694" w:rsidR="003239B8" w:rsidRPr="00DE04D9" w:rsidRDefault="00DE04D9" w:rsidP="00AC442E">
            <w:pPr>
              <w:jc w:val="both"/>
              <w:rPr>
                <w:rFonts w:ascii="Cambria" w:hAnsi="Cambria"/>
                <w:bCs/>
                <w:sz w:val="20"/>
                <w:szCs w:val="20"/>
                <w:lang w:val="es-PA"/>
              </w:rPr>
            </w:pPr>
            <w:r w:rsidRPr="00DE04D9">
              <w:rPr>
                <w:rFonts w:ascii="Cambria" w:hAnsi="Cambria"/>
                <w:bCs/>
                <w:sz w:val="20"/>
                <w:szCs w:val="20"/>
                <w:lang w:val="es-PA"/>
              </w:rPr>
              <w:t>Artículos 8 (garantías judiciales)</w:t>
            </w:r>
            <w:r w:rsidR="00AC442E">
              <w:rPr>
                <w:rFonts w:ascii="Cambria" w:hAnsi="Cambria"/>
                <w:bCs/>
                <w:sz w:val="20"/>
                <w:szCs w:val="20"/>
                <w:lang w:val="es-PA"/>
              </w:rPr>
              <w:t xml:space="preserve"> y 25 (protección judicial) de la Convención Americana en relación con sus artículos 1.1. (obligación de respetar los derechos) y 26 (derechos económicos, sociales y culturales).</w:t>
            </w:r>
          </w:p>
        </w:tc>
      </w:tr>
      <w:tr w:rsidR="003239B8" w:rsidRPr="00AC442E" w14:paraId="53F456EE" w14:textId="77777777" w:rsidTr="004A6A54">
        <w:trPr>
          <w:cantSplit/>
        </w:trPr>
        <w:tc>
          <w:tcPr>
            <w:tcW w:w="3600" w:type="dxa"/>
            <w:tcBorders>
              <w:top w:val="single" w:sz="6" w:space="0" w:color="auto"/>
              <w:bottom w:val="single" w:sz="6" w:space="0" w:color="auto"/>
            </w:tcBorders>
            <w:shd w:val="clear" w:color="auto" w:fill="386294"/>
            <w:vAlign w:val="center"/>
          </w:tcPr>
          <w:p w14:paraId="0C61061E" w14:textId="77777777" w:rsidR="003239B8" w:rsidRPr="00DC24E3" w:rsidRDefault="003239B8" w:rsidP="00E025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01347189" w14:textId="26A317BF" w:rsidR="003239B8" w:rsidRPr="00DC24E3" w:rsidRDefault="00B9002E" w:rsidP="00AC442E">
            <w:pPr>
              <w:rPr>
                <w:rFonts w:ascii="Cambria" w:hAnsi="Cambria"/>
                <w:bCs/>
                <w:sz w:val="20"/>
                <w:szCs w:val="20"/>
                <w:lang w:val="es-ES"/>
              </w:rPr>
            </w:pPr>
            <w:r>
              <w:rPr>
                <w:rFonts w:ascii="Cambria" w:hAnsi="Cambria"/>
                <w:bCs/>
                <w:sz w:val="20"/>
                <w:szCs w:val="20"/>
                <w:lang w:val="es-ES"/>
              </w:rPr>
              <w:t>Sí</w:t>
            </w:r>
            <w:r w:rsidR="00DE04D9">
              <w:rPr>
                <w:rFonts w:ascii="Cambria" w:hAnsi="Cambria"/>
                <w:bCs/>
                <w:sz w:val="20"/>
                <w:szCs w:val="20"/>
                <w:lang w:val="es-ES"/>
              </w:rPr>
              <w:t xml:space="preserve">, </w:t>
            </w:r>
            <w:r w:rsidR="00AC442E">
              <w:rPr>
                <w:rFonts w:ascii="Cambria" w:hAnsi="Cambria"/>
                <w:bCs/>
                <w:sz w:val="20"/>
                <w:szCs w:val="20"/>
                <w:lang w:val="es-ES"/>
              </w:rPr>
              <w:t>16 de julio de 2009</w:t>
            </w:r>
          </w:p>
        </w:tc>
      </w:tr>
      <w:tr w:rsidR="003239B8" w:rsidRPr="00DE04D9" w14:paraId="5A7610C9" w14:textId="77777777" w:rsidTr="004A6A54">
        <w:trPr>
          <w:cantSplit/>
        </w:trPr>
        <w:tc>
          <w:tcPr>
            <w:tcW w:w="3600" w:type="dxa"/>
            <w:tcBorders>
              <w:top w:val="single" w:sz="6" w:space="0" w:color="auto"/>
              <w:bottom w:val="single" w:sz="6" w:space="0" w:color="auto"/>
            </w:tcBorders>
            <w:shd w:val="clear" w:color="auto" w:fill="386294"/>
            <w:vAlign w:val="center"/>
          </w:tcPr>
          <w:p w14:paraId="5FB7D136" w14:textId="77777777" w:rsidR="003239B8" w:rsidRPr="00DE04D9" w:rsidRDefault="003239B8" w:rsidP="00E0255C">
            <w:pPr>
              <w:jc w:val="center"/>
              <w:rPr>
                <w:rFonts w:ascii="Cambria" w:hAnsi="Cambria"/>
                <w:b/>
                <w:bCs/>
                <w:color w:val="FFFFFF" w:themeColor="background1"/>
                <w:sz w:val="20"/>
                <w:szCs w:val="20"/>
                <w:lang w:val="es-PA"/>
              </w:rPr>
            </w:pPr>
            <w:r w:rsidRPr="00DE04D9">
              <w:rPr>
                <w:rFonts w:ascii="Cambria" w:hAnsi="Cambria"/>
                <w:b/>
                <w:bCs/>
                <w:color w:val="FFFFFF" w:themeColor="background1"/>
                <w:sz w:val="20"/>
                <w:szCs w:val="20"/>
                <w:lang w:val="es-PA"/>
              </w:rPr>
              <w:t>Presentación dentro de plazo:</w:t>
            </w:r>
          </w:p>
        </w:tc>
        <w:tc>
          <w:tcPr>
            <w:tcW w:w="5760" w:type="dxa"/>
            <w:vAlign w:val="center"/>
          </w:tcPr>
          <w:p w14:paraId="29E1E760" w14:textId="6C6E5505" w:rsidR="003239B8" w:rsidRPr="00DE04D9" w:rsidRDefault="00DE04D9" w:rsidP="00AC442E">
            <w:pPr>
              <w:rPr>
                <w:rFonts w:ascii="Cambria" w:hAnsi="Cambria"/>
                <w:bCs/>
                <w:sz w:val="20"/>
                <w:szCs w:val="20"/>
                <w:lang w:val="es-PA"/>
              </w:rPr>
            </w:pPr>
            <w:r>
              <w:rPr>
                <w:rFonts w:ascii="Cambria" w:hAnsi="Cambria"/>
                <w:bCs/>
                <w:sz w:val="20"/>
                <w:szCs w:val="20"/>
                <w:lang w:val="es-PA"/>
              </w:rPr>
              <w:t xml:space="preserve">Sí, </w:t>
            </w:r>
            <w:r w:rsidR="00AC442E">
              <w:rPr>
                <w:rFonts w:ascii="Cambria" w:hAnsi="Cambria"/>
                <w:bCs/>
                <w:sz w:val="20"/>
                <w:szCs w:val="20"/>
                <w:lang w:val="es-PA"/>
              </w:rPr>
              <w:t>4 de julio de 2009</w:t>
            </w:r>
          </w:p>
        </w:tc>
      </w:tr>
    </w:tbl>
    <w:p w14:paraId="7E6ED0B9"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90CF68F" w14:textId="215ED5A8" w:rsidR="00F5430D" w:rsidRPr="00C14B11" w:rsidRDefault="0071301A" w:rsidP="00FC7F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Keneth Enrique Scope Leal (en adelante “el peticionario”) denuncia presuntas violaciones a los derechos humanos de José Plata Vera (en adelante “la presunta víctima”) alegando que la empresa para quien este laboraba lo jubil</w:t>
      </w:r>
      <w:r w:rsidR="00E2345D">
        <w:rPr>
          <w:sz w:val="20"/>
          <w:szCs w:val="20"/>
          <w:lang w:val="es-UY"/>
        </w:rPr>
        <w:t xml:space="preserve">ó prematuramente contra su voluntad. Denuncia que la presunta víctima acudió a la justicia de su país donde obtuvo en múltiple ocasiones decisiones favorables con calidad de cosa juzgada que luego fueron ignoradas por los tribunales, resultando en que finalmente se emitiera una decisión definitiva que desconoció sus derechos. </w:t>
      </w:r>
    </w:p>
    <w:p w14:paraId="05ACD833" w14:textId="3623058E" w:rsidR="00116309" w:rsidRPr="00F5430D" w:rsidRDefault="00C14B11" w:rsidP="0011630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 xml:space="preserve">El peticionario relata que la presunta víctima laboraba para la empresa LAGOVEN S.A. la que fuera sucedida por PDVSA PETRÓLEO S.A. (en adelante “la empresa”), hasta que el 31 de diciembre de 1987 fue </w:t>
      </w:r>
      <w:r w:rsidR="00401851">
        <w:rPr>
          <w:sz w:val="20"/>
          <w:szCs w:val="20"/>
          <w:lang w:val="es-UY"/>
        </w:rPr>
        <w:t xml:space="preserve">despedido injustamente al ser jubilado contra su voluntad. </w:t>
      </w:r>
      <w:r w:rsidR="00116309">
        <w:rPr>
          <w:sz w:val="20"/>
          <w:szCs w:val="20"/>
          <w:lang w:val="es-UY"/>
        </w:rPr>
        <w:t xml:space="preserve">Indica que el 4 de diciembre de 1990 la presunta </w:t>
      </w:r>
      <w:r w:rsidR="00116309">
        <w:rPr>
          <w:sz w:val="20"/>
          <w:szCs w:val="20"/>
          <w:lang w:val="es-UY"/>
        </w:rPr>
        <w:lastRenderedPageBreak/>
        <w:t>víctima interpuso una demanda contra la empresa solicitando su restitución a su puesto de trabajo y las in</w:t>
      </w:r>
      <w:r w:rsidR="00B2519D">
        <w:rPr>
          <w:sz w:val="20"/>
          <w:szCs w:val="20"/>
          <w:lang w:val="es-UY"/>
        </w:rPr>
        <w:t xml:space="preserve">demnizaciones correspondiente; la que conllevó a un proceso judicial en el cual quedó evidenciado que su jubilación le había sido impuesta mediante el trámite administrativo de una solicitud que </w:t>
      </w:r>
      <w:r w:rsidR="00245808">
        <w:rPr>
          <w:sz w:val="20"/>
          <w:szCs w:val="20"/>
          <w:lang w:val="es-UY"/>
        </w:rPr>
        <w:t>él</w:t>
      </w:r>
      <w:r w:rsidR="00B2519D">
        <w:rPr>
          <w:sz w:val="20"/>
          <w:szCs w:val="20"/>
          <w:lang w:val="es-UY"/>
        </w:rPr>
        <w:t xml:space="preserve"> no había realizado. Señala que el 5 de agosto 1992 y 26 de septiembre de 1994 se emitieron respectivamente fallos de primera y segunda instancia favorables a las pretensiones de la presunta víctima. Sostiene que la decisión de segunda instancia constituía un fallo firme y ejecutable </w:t>
      </w:r>
      <w:r w:rsidR="00522FCD">
        <w:rPr>
          <w:sz w:val="20"/>
          <w:szCs w:val="20"/>
          <w:lang w:val="es-UY"/>
        </w:rPr>
        <w:t xml:space="preserve">con calidad de cosa juzgada. </w:t>
      </w:r>
    </w:p>
    <w:p w14:paraId="291CA561" w14:textId="75CA74C1" w:rsidR="00116309" w:rsidRPr="00154D2D" w:rsidRDefault="00522FCD" w:rsidP="00FC7F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Aduce que, en lugar de cumplir con lo decidido, la empresa tergiversó el debido proceso procediendo</w:t>
      </w:r>
      <w:r w:rsidR="00245808">
        <w:rPr>
          <w:sz w:val="20"/>
          <w:szCs w:val="20"/>
          <w:lang w:val="es-UY"/>
        </w:rPr>
        <w:t xml:space="preserve"> a</w:t>
      </w:r>
      <w:r>
        <w:rPr>
          <w:sz w:val="20"/>
          <w:szCs w:val="20"/>
          <w:lang w:val="es-UY"/>
        </w:rPr>
        <w:t xml:space="preserve"> interponer sucesivos y repetidos recursos los cuales</w:t>
      </w:r>
      <w:r w:rsidR="00245808">
        <w:rPr>
          <w:sz w:val="20"/>
          <w:szCs w:val="20"/>
          <w:lang w:val="es-UY"/>
        </w:rPr>
        <w:t>,</w:t>
      </w:r>
      <w:r>
        <w:rPr>
          <w:sz w:val="20"/>
          <w:szCs w:val="20"/>
          <w:lang w:val="es-UY"/>
        </w:rPr>
        <w:t xml:space="preserve"> pese a ser evidentemente improcedentes por ley</w:t>
      </w:r>
      <w:r w:rsidR="00245808">
        <w:rPr>
          <w:sz w:val="20"/>
          <w:szCs w:val="20"/>
          <w:lang w:val="es-UY"/>
        </w:rPr>
        <w:t>,</w:t>
      </w:r>
      <w:r>
        <w:rPr>
          <w:sz w:val="20"/>
          <w:szCs w:val="20"/>
          <w:lang w:val="es-UY"/>
        </w:rPr>
        <w:t xml:space="preserve"> fueron admitidos a trámite por las autoridades. Señala que, pese a los recursos interpuestos por la empresa, la representación legal de la presunta víctima logro en cuatro ocasiones </w:t>
      </w:r>
      <w:r w:rsidR="005747A7">
        <w:rPr>
          <w:sz w:val="20"/>
          <w:szCs w:val="20"/>
          <w:lang w:val="es-UY"/>
        </w:rPr>
        <w:t>que la sentencia definitiva de segunda instancia emitida a su favor volviera al estado de cosa juzgada ejecutable. Primero, el 26 de septiembre de 1997 cuando se declar</w:t>
      </w:r>
      <w:r w:rsidR="00A47185">
        <w:rPr>
          <w:sz w:val="20"/>
          <w:szCs w:val="20"/>
          <w:lang w:val="es-UY"/>
        </w:rPr>
        <w:t>ó con lugar</w:t>
      </w:r>
      <w:r w:rsidR="005747A7">
        <w:rPr>
          <w:sz w:val="20"/>
          <w:szCs w:val="20"/>
          <w:lang w:val="es-UY"/>
        </w:rPr>
        <w:t xml:space="preserve"> un recurso de invalidación interpuesto por la presunta víctima contra una decisión de un juez que ordenaba la continuación del proceso pese a existir cosa juzgada; Segundo, el 21 de julio de 1999 cuando la Sala de Casación Civil de la Corte Suprema de Justicia declaró improcedente un recurso extraordinario de reclamo interpuesto por la empresa </w:t>
      </w:r>
      <w:r w:rsidR="00A47185">
        <w:rPr>
          <w:sz w:val="20"/>
          <w:szCs w:val="20"/>
          <w:lang w:val="es-UY"/>
        </w:rPr>
        <w:t xml:space="preserve">contra la decisión que declaró con lugar el recurso de invalidación de la presunta víctima; </w:t>
      </w:r>
      <w:r w:rsidR="00D4738F">
        <w:rPr>
          <w:sz w:val="20"/>
          <w:szCs w:val="20"/>
          <w:lang w:val="es-UY"/>
        </w:rPr>
        <w:t xml:space="preserve">Tercero, el 8 de abril de 2005 luego de que el Juzgado Superior Tercero de Trabajo declarara nuevamente en firme la sentencia que concedió el recurso de invalidación de la presunta víctima luego de que el asunto volviera a la instancia inferior tras un recurso de casación exitoso interpuesto por la empresa; y finalmente el 9 de octubre de 2006 cuando el Juzgado Cuadragésimo Quinto de Primera Instancia de Sustanciación Mediación y Ejecución homologara un acta de conciliación </w:t>
      </w:r>
      <w:r w:rsidR="00A53B45">
        <w:rPr>
          <w:sz w:val="20"/>
          <w:szCs w:val="20"/>
          <w:lang w:val="es-UY"/>
        </w:rPr>
        <w:t xml:space="preserve">en la que las partes </w:t>
      </w:r>
      <w:r w:rsidR="00A53B45" w:rsidRPr="00154D2D">
        <w:rPr>
          <w:sz w:val="20"/>
          <w:szCs w:val="20"/>
          <w:lang w:val="es-UY"/>
        </w:rPr>
        <w:t xml:space="preserve">acordaron los términos y condiciones para la ejecución de la sentencia favorable a la presunta víctima. </w:t>
      </w:r>
    </w:p>
    <w:p w14:paraId="317B52E9" w14:textId="20D3986F" w:rsidR="0026388A" w:rsidRPr="00154D2D" w:rsidRDefault="00A53B45" w:rsidP="00291C7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UY"/>
        </w:rPr>
      </w:pPr>
      <w:r w:rsidRPr="00154D2D">
        <w:rPr>
          <w:sz w:val="20"/>
          <w:szCs w:val="20"/>
          <w:lang w:val="es-AR"/>
        </w:rPr>
        <w:t>Continúa relatando que, pese a lo acordado en la conciliación, la empresa continuó interponiendo recursos logrando la nulidad del acuerdo de conciliación. Indica que, por esta razón, la presunta víctima solicitó el “avocamiento” de la Sala de Casación Social de</w:t>
      </w:r>
      <w:r w:rsidR="000F442B" w:rsidRPr="00154D2D">
        <w:rPr>
          <w:sz w:val="20"/>
          <w:szCs w:val="20"/>
          <w:lang w:val="es-AR"/>
        </w:rPr>
        <w:t>l</w:t>
      </w:r>
      <w:r w:rsidRPr="00154D2D">
        <w:rPr>
          <w:sz w:val="20"/>
          <w:szCs w:val="20"/>
          <w:lang w:val="es-AR"/>
        </w:rPr>
        <w:t xml:space="preserve"> Tribunal Supremo de Justicia para que este tribunal revisara directamente todas las irregularidades acontecidas en el expediente. Alega que, aunque concedió el avocamiento del 12 de diciembre de 2008, la Sala no revisó las irregularidades</w:t>
      </w:r>
      <w:r w:rsidR="00245808" w:rsidRPr="00154D2D">
        <w:rPr>
          <w:sz w:val="20"/>
          <w:szCs w:val="20"/>
          <w:lang w:val="es-AR"/>
        </w:rPr>
        <w:t>,</w:t>
      </w:r>
      <w:r w:rsidRPr="00154D2D">
        <w:rPr>
          <w:sz w:val="20"/>
          <w:szCs w:val="20"/>
          <w:lang w:val="es-AR"/>
        </w:rPr>
        <w:t xml:space="preserve"> sino que procedió 16 de julio de 2009 a dictar sentencia definitiva violatoria de los derechos de la presunta víctima. Aporta copia de la sentencia en la que se observa que </w:t>
      </w:r>
      <w:r w:rsidR="0026388A" w:rsidRPr="00154D2D">
        <w:rPr>
          <w:sz w:val="20"/>
          <w:szCs w:val="20"/>
          <w:lang w:val="es-AR"/>
        </w:rPr>
        <w:t>la Sala</w:t>
      </w:r>
      <w:r w:rsidRPr="00154D2D">
        <w:rPr>
          <w:sz w:val="20"/>
          <w:szCs w:val="20"/>
          <w:lang w:val="es-AR"/>
        </w:rPr>
        <w:t xml:space="preserve"> determ</w:t>
      </w:r>
      <w:r w:rsidR="0026388A" w:rsidRPr="00154D2D">
        <w:rPr>
          <w:sz w:val="20"/>
          <w:szCs w:val="20"/>
          <w:lang w:val="es-AR"/>
        </w:rPr>
        <w:t xml:space="preserve">inó que si bien la edad de jubilación era 60 años la convención colectiva otorgaba a la empresa la facultada potestativa de realizar la jubilación prematura de los trabajadores con más de 50 </w:t>
      </w:r>
      <w:r w:rsidR="00245808" w:rsidRPr="00154D2D">
        <w:rPr>
          <w:sz w:val="20"/>
          <w:szCs w:val="20"/>
          <w:lang w:val="es-AR"/>
        </w:rPr>
        <w:t>años,</w:t>
      </w:r>
      <w:r w:rsidR="0026388A" w:rsidRPr="00154D2D">
        <w:rPr>
          <w:sz w:val="20"/>
          <w:szCs w:val="20"/>
          <w:lang w:val="es-AR"/>
        </w:rPr>
        <w:t xml:space="preserve"> aunque estos no la hubieran solicitado; lo que aplicaba al caso de la presunta víctima quien tenía 55 años de edad cuando fue jubilado. En base a estas consideraciones la Sala declaró definitivamente nulas las sentencias que habían sido favorables a la presunta víctima y determinó definitivamente sin lugar su demanda.  Considera que esta sentencia violó la cosa juzgada y que el reiterado desconocimiento de la cosa juzgada por parte de las autoridades judiciales impidió a la presunta víctima </w:t>
      </w:r>
      <w:r w:rsidR="00027C9D" w:rsidRPr="00154D2D">
        <w:rPr>
          <w:sz w:val="20"/>
          <w:szCs w:val="20"/>
          <w:lang w:val="es-AR"/>
        </w:rPr>
        <w:t>agotar los recursos internos.</w:t>
      </w:r>
    </w:p>
    <w:p w14:paraId="00061B73" w14:textId="6DC572F3" w:rsidR="000F442B" w:rsidRDefault="004E76E1" w:rsidP="00291C7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UY"/>
        </w:rPr>
      </w:pPr>
      <w:r>
        <w:rPr>
          <w:sz w:val="20"/>
          <w:szCs w:val="20"/>
          <w:lang w:val="es-UY"/>
        </w:rPr>
        <w:t xml:space="preserve">El Estado, por su parte, </w:t>
      </w:r>
      <w:r w:rsidR="000F442B">
        <w:rPr>
          <w:sz w:val="20"/>
          <w:szCs w:val="20"/>
          <w:lang w:val="es-UY"/>
        </w:rPr>
        <w:t xml:space="preserve">considera que la petición debe ser inadmitida en base al artículo 46.1(a) de la Convención Americana porque al momento en que fue presentada no se encontraban agotados los recursos internos, habiendo sido concedido el avocamiento solicitado por el peticionario a la Sala de Casación del Tribunal Supremo de </w:t>
      </w:r>
      <w:r w:rsidR="00076C6F">
        <w:rPr>
          <w:sz w:val="20"/>
          <w:szCs w:val="20"/>
          <w:lang w:val="es-UY"/>
        </w:rPr>
        <w:t>Justicia,</w:t>
      </w:r>
      <w:r w:rsidR="000F442B">
        <w:rPr>
          <w:sz w:val="20"/>
          <w:szCs w:val="20"/>
          <w:lang w:val="es-UY"/>
        </w:rPr>
        <w:t xml:space="preserve"> pero estando pendiente que la Sala se pronunciara sobre el fondo. Alega que el análisis sobre el cumplimiento del requisito de agotamiento de los recursos internos deb</w:t>
      </w:r>
      <w:r w:rsidR="003159A3">
        <w:rPr>
          <w:sz w:val="20"/>
          <w:szCs w:val="20"/>
          <w:lang w:val="es-UY"/>
        </w:rPr>
        <w:t xml:space="preserve">e efectuarse en </w:t>
      </w:r>
      <w:r w:rsidR="000F442B">
        <w:rPr>
          <w:sz w:val="20"/>
          <w:szCs w:val="20"/>
          <w:lang w:val="es-UY"/>
        </w:rPr>
        <w:t xml:space="preserve">relación con el momento en que la petición fue presentada y no con el momento en que la Comisión adopta su informe de admisibilidad; porque afirmar lo contrario sería dejar sin efecto el carácter complementario y coadyuvante del Sistema Interamericano al permitir un asunto sea conocido y tramitado simultáneamente por el derecho interno y el derecho internacional. </w:t>
      </w:r>
    </w:p>
    <w:p w14:paraId="37917497" w14:textId="7BB91484" w:rsidR="0026388A" w:rsidRPr="0026388A" w:rsidRDefault="000F442B" w:rsidP="00291C7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UY"/>
        </w:rPr>
      </w:pPr>
      <w:r>
        <w:rPr>
          <w:sz w:val="20"/>
          <w:szCs w:val="20"/>
          <w:lang w:val="es-UY"/>
        </w:rPr>
        <w:t xml:space="preserve">También alega que la petición debe ser inadmitida en conformidad con el artículo 34(a) y (b) del Reglamento de la Comisión porque esta no detalla hechos que caractericen violaciones a los derechos humanos y resulta manifiestamente infundada. Considera que el relato del peticionario es entramado y confuso al punto que hace prácticamente inentendible la petición. </w:t>
      </w:r>
      <w:r w:rsidR="00FB60E5">
        <w:rPr>
          <w:sz w:val="20"/>
          <w:szCs w:val="20"/>
          <w:lang w:val="es-UY"/>
        </w:rPr>
        <w:t xml:space="preserve">Destaca que el peticionario atribuye las supuestas violaciones a sus derechos humanos a la sentencia emitida por la Sala de Casación del Tribunal Supremo de Justicia el 12 de diciembre de 2008, lo que resulta un contrasentido pues esta fue una sentencia de mero trámite </w:t>
      </w:r>
      <w:r w:rsidR="00FB60E5">
        <w:rPr>
          <w:sz w:val="20"/>
          <w:szCs w:val="20"/>
          <w:lang w:val="es-UY"/>
        </w:rPr>
        <w:lastRenderedPageBreak/>
        <w:t xml:space="preserve">que no se pronunció sobre el fondo del asunto y simplemente concedió al avocamiento que la propia presunta víctima había solicitado. </w:t>
      </w:r>
    </w:p>
    <w:p w14:paraId="2B7792A8" w14:textId="455A62EA" w:rsidR="003239B8" w:rsidRPr="00116309" w:rsidRDefault="003239B8" w:rsidP="004E76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UY"/>
        </w:rPr>
      </w:pPr>
      <w:r w:rsidRPr="00116309">
        <w:rPr>
          <w:rFonts w:asciiTheme="majorHAnsi" w:hAnsiTheme="majorHAnsi"/>
          <w:b/>
          <w:bCs/>
          <w:sz w:val="20"/>
          <w:szCs w:val="20"/>
          <w:lang w:val="es-ES"/>
        </w:rPr>
        <w:t>VI.</w:t>
      </w:r>
      <w:r w:rsidRPr="00116309">
        <w:rPr>
          <w:rFonts w:asciiTheme="majorHAnsi" w:hAnsiTheme="majorHAnsi"/>
          <w:b/>
          <w:bCs/>
          <w:sz w:val="20"/>
          <w:szCs w:val="20"/>
          <w:lang w:val="es-ES"/>
        </w:rPr>
        <w:tab/>
      </w:r>
      <w:r w:rsidR="004A6A54" w:rsidRPr="00116309">
        <w:rPr>
          <w:rFonts w:asciiTheme="majorHAnsi" w:hAnsiTheme="majorHAnsi"/>
          <w:b/>
          <w:bCs/>
          <w:sz w:val="20"/>
          <w:szCs w:val="20"/>
          <w:lang w:val="es-ES_tradnl"/>
        </w:rPr>
        <w:t xml:space="preserve">ANÁLISIS DE </w:t>
      </w:r>
      <w:r w:rsidR="00C21FEF" w:rsidRPr="00116309">
        <w:rPr>
          <w:rFonts w:asciiTheme="majorHAnsi" w:hAnsiTheme="majorHAnsi"/>
          <w:b/>
          <w:sz w:val="20"/>
          <w:szCs w:val="20"/>
          <w:lang w:val="es-ES"/>
        </w:rPr>
        <w:t>AGOTAMIENTO DE LOS RECURSOS INTERNOS Y PLAZO DE PRESENTACIÓN</w:t>
      </w:r>
      <w:r w:rsidR="00C21FEF" w:rsidRPr="00116309">
        <w:rPr>
          <w:rFonts w:asciiTheme="majorHAnsi" w:hAnsiTheme="majorHAnsi"/>
          <w:b/>
          <w:bCs/>
          <w:sz w:val="20"/>
          <w:szCs w:val="20"/>
          <w:lang w:val="es-ES"/>
        </w:rPr>
        <w:t xml:space="preserve"> </w:t>
      </w:r>
    </w:p>
    <w:p w14:paraId="3CF0B5FA" w14:textId="5D11E48C" w:rsidR="005B0C72" w:rsidRPr="00FB60E5" w:rsidRDefault="00FB1996" w:rsidP="005B0C7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La</w:t>
      </w:r>
      <w:r w:rsidR="00666CBC">
        <w:rPr>
          <w:sz w:val="20"/>
          <w:szCs w:val="20"/>
          <w:lang w:val="es-UY"/>
        </w:rPr>
        <w:t xml:space="preserve"> Comisión observa que el peticionario </w:t>
      </w:r>
      <w:r w:rsidR="007C7ED8">
        <w:rPr>
          <w:sz w:val="20"/>
          <w:szCs w:val="20"/>
          <w:lang w:val="es-UY"/>
        </w:rPr>
        <w:t xml:space="preserve">sostiene que </w:t>
      </w:r>
      <w:r w:rsidR="00FB60E5">
        <w:rPr>
          <w:sz w:val="20"/>
          <w:szCs w:val="20"/>
          <w:lang w:val="es-UY"/>
        </w:rPr>
        <w:t xml:space="preserve">a la presunta víctima fue impedido de agotar los recursos internos producto del reiterado desconocimiento de la cosa juzgada por parte de las autoridades judiciales del Estado. De igual manera, toma nota que el Estado ha indicado que la petición debe ser inadmitida porque los recursos internos no se encontraban agotados en el momento que la petición fue presentada. </w:t>
      </w:r>
    </w:p>
    <w:p w14:paraId="1279A6D4" w14:textId="1FFF7B73" w:rsidR="00FB60E5" w:rsidRDefault="00FB60E5" w:rsidP="005B0C7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La Comisión considera que la demanda presentada por la presunta víctima contra la empresa constituía un recurso id</w:t>
      </w:r>
      <w:r w:rsidR="00FA251B">
        <w:rPr>
          <w:sz w:val="20"/>
          <w:szCs w:val="20"/>
          <w:lang w:val="es-AR"/>
        </w:rPr>
        <w:t>óneo para que esta planteara sus reclamaciones a nivel doméstico</w:t>
      </w:r>
      <w:r>
        <w:rPr>
          <w:sz w:val="20"/>
          <w:szCs w:val="20"/>
          <w:lang w:val="es-AR"/>
        </w:rPr>
        <w:t>. El E</w:t>
      </w:r>
      <w:r w:rsidR="00FA251B">
        <w:rPr>
          <w:sz w:val="20"/>
          <w:szCs w:val="20"/>
          <w:lang w:val="es-AR"/>
        </w:rPr>
        <w:t>stado no ha</w:t>
      </w:r>
      <w:r>
        <w:rPr>
          <w:sz w:val="20"/>
          <w:szCs w:val="20"/>
          <w:lang w:val="es-AR"/>
        </w:rPr>
        <w:t xml:space="preserve"> </w:t>
      </w:r>
      <w:r w:rsidR="00FA251B">
        <w:rPr>
          <w:sz w:val="20"/>
          <w:szCs w:val="20"/>
          <w:lang w:val="es-AR"/>
        </w:rPr>
        <w:t>indicado ni</w:t>
      </w:r>
      <w:r>
        <w:rPr>
          <w:sz w:val="20"/>
          <w:szCs w:val="20"/>
          <w:lang w:val="es-AR"/>
        </w:rPr>
        <w:t xml:space="preserve"> surge del expediente </w:t>
      </w:r>
      <w:r w:rsidR="00FA251B">
        <w:rPr>
          <w:sz w:val="20"/>
          <w:szCs w:val="20"/>
          <w:lang w:val="es-AR"/>
        </w:rPr>
        <w:t xml:space="preserve">que existiesen otros recursos internos no agotados que fuesen idóneos para que la presunta víctima continuara planteando sus reclamaciones luego que la Sala de Casación del Tribunal Supremo de Justicia declara sin lugar su demanda. Por estas razones, la Comisión considera que la decisión definitiva que agotó los recursos internos con respecto a la presente petición fue la emitida por la Sala de Casación del Tribunal Supremo de Justicia el </w:t>
      </w:r>
      <w:r w:rsidR="003159A3" w:rsidRPr="0026388A">
        <w:rPr>
          <w:sz w:val="20"/>
          <w:szCs w:val="20"/>
          <w:lang w:val="es-AR"/>
        </w:rPr>
        <w:t>16 de julio de 2009</w:t>
      </w:r>
      <w:r w:rsidR="003159A3">
        <w:rPr>
          <w:sz w:val="20"/>
          <w:szCs w:val="20"/>
          <w:lang w:val="es-AR"/>
        </w:rPr>
        <w:t>. En consecuencia y dado que la petición fue presentada el 4 de julio de 2009, la Comisión concluye que la presente petición cumple con los requisitos del artículo 46.1(a) y (b) de la Convención Americana.</w:t>
      </w:r>
    </w:p>
    <w:p w14:paraId="272FB57C" w14:textId="6F9D465A" w:rsidR="003159A3" w:rsidRPr="00AF575A" w:rsidRDefault="003159A3" w:rsidP="005B0C7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FC2B4A">
        <w:rPr>
          <w:rFonts w:cs="Calibri"/>
          <w:sz w:val="20"/>
          <w:szCs w:val="20"/>
          <w:lang w:val="es-ES_tradnl"/>
        </w:rPr>
        <w:t>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p>
    <w:p w14:paraId="35E9BBBC"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4A7F9E9" w14:textId="00E75966" w:rsidR="00467EE8" w:rsidRPr="00DD4BFD" w:rsidRDefault="000F6DC3" w:rsidP="003159A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sz w:val="20"/>
          <w:szCs w:val="20"/>
          <w:lang w:val="es-UY"/>
        </w:rPr>
        <w:t xml:space="preserve">La Comisión observa que la presente petición incluye alegaciones con respecto a </w:t>
      </w:r>
      <w:r w:rsidR="003159A3">
        <w:rPr>
          <w:sz w:val="20"/>
          <w:szCs w:val="20"/>
          <w:lang w:val="es-UY"/>
        </w:rPr>
        <w:t xml:space="preserve">que la presunta víctima presentó una demanda en defensa de sus derechos laborales el 4 de diciembre de 1990 con </w:t>
      </w:r>
      <w:r w:rsidR="003159A3" w:rsidRPr="00DD4BFD">
        <w:rPr>
          <w:sz w:val="20"/>
          <w:szCs w:val="20"/>
          <w:lang w:val="es-UY"/>
        </w:rPr>
        <w:t>respecto a la cual no se emitió una decisión definitiva sino hasta el 16 de julio de 2009, casi 19 años después.</w:t>
      </w:r>
    </w:p>
    <w:p w14:paraId="79CD8FC2" w14:textId="4EEBCCF0" w:rsidR="00B72959" w:rsidRPr="00DD4BFD" w:rsidRDefault="00B72959" w:rsidP="001B2D9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D4BFD">
        <w:rPr>
          <w:sz w:val="20"/>
          <w:szCs w:val="20"/>
          <w:lang w:val="es-AR"/>
        </w:rPr>
        <w:t>L</w:t>
      </w:r>
      <w:r w:rsidRPr="00DD4BFD">
        <w:rPr>
          <w:sz w:val="20"/>
          <w:szCs w:val="20"/>
          <w:lang w:val="es-ES_tradnl"/>
        </w:rPr>
        <w:t xml:space="preserve">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En el presente caso, la Comisión </w:t>
      </w:r>
      <w:r w:rsidR="00BE7C16" w:rsidRPr="00DD4BFD">
        <w:rPr>
          <w:sz w:val="20"/>
          <w:szCs w:val="20"/>
          <w:lang w:val="es-ES_tradnl"/>
        </w:rPr>
        <w:t xml:space="preserve">valora que </w:t>
      </w:r>
      <w:r w:rsidR="00764544" w:rsidRPr="00DD4BFD">
        <w:rPr>
          <w:sz w:val="20"/>
          <w:szCs w:val="20"/>
          <w:lang w:val="es-ES_tradnl"/>
        </w:rPr>
        <w:t xml:space="preserve">en </w:t>
      </w:r>
      <w:r w:rsidR="00BE7C16" w:rsidRPr="00DD4BFD">
        <w:rPr>
          <w:sz w:val="20"/>
          <w:szCs w:val="20"/>
          <w:lang w:val="es-ES_tradnl"/>
        </w:rPr>
        <w:t>el proceso respecto al cual se denuncia la violació</w:t>
      </w:r>
      <w:r w:rsidR="00764544" w:rsidRPr="00DD4BFD">
        <w:rPr>
          <w:sz w:val="20"/>
          <w:szCs w:val="20"/>
          <w:lang w:val="es-ES_tradnl"/>
        </w:rPr>
        <w:t>n del plazo razonable tenía como finalidad determinar si la presunta víctima debía ser reincorporado a su empleo;</w:t>
      </w:r>
      <w:r w:rsidR="00BE7C16" w:rsidRPr="00DD4BFD">
        <w:rPr>
          <w:sz w:val="20"/>
          <w:szCs w:val="20"/>
          <w:lang w:val="es-ES_tradnl"/>
        </w:rPr>
        <w:t xml:space="preserve"> habiendo ya reconocido la Comisi</w:t>
      </w:r>
      <w:r w:rsidR="00764544" w:rsidRPr="00DD4BFD">
        <w:rPr>
          <w:sz w:val="20"/>
          <w:szCs w:val="20"/>
          <w:lang w:val="es-ES_tradnl"/>
        </w:rPr>
        <w:t>ón que una reclamación de tipo laboral</w:t>
      </w:r>
      <w:r w:rsidR="00BE7C16" w:rsidRPr="00DD4BFD">
        <w:rPr>
          <w:sz w:val="20"/>
          <w:szCs w:val="20"/>
          <w:lang w:val="es-ES_tradnl"/>
        </w:rPr>
        <w:t xml:space="preserve"> “</w:t>
      </w:r>
      <w:r w:rsidR="00BE7C16" w:rsidRPr="00DD4BFD">
        <w:rPr>
          <w:sz w:val="20"/>
          <w:szCs w:val="20"/>
          <w:lang w:val="es-PA"/>
        </w:rPr>
        <w:t>por su propia naturaleza requiere de decisiones oportunas”</w:t>
      </w:r>
      <w:r w:rsidR="00BE7C16" w:rsidRPr="00DD4BFD">
        <w:rPr>
          <w:rStyle w:val="FootnoteReference"/>
          <w:sz w:val="20"/>
          <w:szCs w:val="20"/>
          <w:lang w:val="es-PA"/>
        </w:rPr>
        <w:footnoteReference w:id="4"/>
      </w:r>
      <w:r w:rsidR="00BE7C16" w:rsidRPr="00DD4BFD">
        <w:rPr>
          <w:sz w:val="20"/>
          <w:szCs w:val="20"/>
          <w:lang w:val="es-PA"/>
        </w:rPr>
        <w:t>. La Comisión también valora el tiempo total de casi 19 años transcurridos desde el inicio del proceso hasta la decisión definitiva</w:t>
      </w:r>
      <w:r w:rsidR="0069059E" w:rsidRPr="00DD4BFD">
        <w:rPr>
          <w:sz w:val="20"/>
          <w:szCs w:val="20"/>
          <w:lang w:val="es-PA"/>
        </w:rPr>
        <w:t>,</w:t>
      </w:r>
      <w:r w:rsidR="00BE7C16" w:rsidRPr="00DD4BFD">
        <w:rPr>
          <w:sz w:val="20"/>
          <w:szCs w:val="20"/>
          <w:lang w:val="es-PA"/>
        </w:rPr>
        <w:t xml:space="preserve"> así como que la información en expediente </w:t>
      </w:r>
      <w:r w:rsidR="00764544" w:rsidRPr="00DD4BFD">
        <w:rPr>
          <w:sz w:val="20"/>
          <w:szCs w:val="20"/>
          <w:lang w:val="es-PA"/>
        </w:rPr>
        <w:t xml:space="preserve">no </w:t>
      </w:r>
      <w:r w:rsidR="00BE7C16" w:rsidRPr="00DD4BFD">
        <w:rPr>
          <w:sz w:val="20"/>
          <w:szCs w:val="20"/>
          <w:lang w:val="es-PA"/>
        </w:rPr>
        <w:t xml:space="preserve">indica, </w:t>
      </w:r>
      <w:r w:rsidR="00BE7C16" w:rsidRPr="00DD4BFD">
        <w:rPr>
          <w:i/>
          <w:sz w:val="20"/>
          <w:szCs w:val="20"/>
          <w:lang w:val="es-PA"/>
        </w:rPr>
        <w:t>prima facie</w:t>
      </w:r>
      <w:r w:rsidR="00BE7C16" w:rsidRPr="00DD4BFD">
        <w:rPr>
          <w:sz w:val="20"/>
          <w:szCs w:val="20"/>
          <w:lang w:val="es-PA"/>
        </w:rPr>
        <w:t xml:space="preserve">, que </w:t>
      </w:r>
      <w:r w:rsidR="0069059E" w:rsidRPr="00DD4BFD">
        <w:rPr>
          <w:sz w:val="20"/>
          <w:szCs w:val="20"/>
          <w:lang w:val="es-PA"/>
        </w:rPr>
        <w:t xml:space="preserve">la presunta víctima </w:t>
      </w:r>
      <w:r w:rsidR="00E30CC1" w:rsidRPr="00DD4BFD">
        <w:rPr>
          <w:sz w:val="20"/>
          <w:szCs w:val="20"/>
          <w:lang w:val="es-PA"/>
        </w:rPr>
        <w:t xml:space="preserve">haya actuado de forma negligente o incumplido sus obligaciones procesales durante el desarrollo del proceso. La Comisión en adición recuerda que la Corte Interamericana ha determinado que el que las partes de un proceso hagan uso de medios de impugnación reconocidos por la legislación aplicable para la defensa de sus intereses no puede ser </w:t>
      </w:r>
      <w:r w:rsidR="00E30CC1" w:rsidRPr="00DD4BFD">
        <w:rPr>
          <w:i/>
          <w:sz w:val="20"/>
          <w:szCs w:val="20"/>
          <w:lang w:val="es-PA"/>
        </w:rPr>
        <w:t>per se</w:t>
      </w:r>
      <w:r w:rsidR="0069059E" w:rsidRPr="00DD4BFD">
        <w:rPr>
          <w:sz w:val="20"/>
          <w:szCs w:val="20"/>
          <w:lang w:val="es-PA"/>
        </w:rPr>
        <w:t xml:space="preserve"> </w:t>
      </w:r>
      <w:r w:rsidR="00E30CC1" w:rsidRPr="00DD4BFD">
        <w:rPr>
          <w:sz w:val="20"/>
          <w:szCs w:val="20"/>
          <w:lang w:val="es-PA"/>
        </w:rPr>
        <w:t>utilizado en su contra</w:t>
      </w:r>
      <w:r w:rsidR="00E30CC1" w:rsidRPr="00DD4BFD">
        <w:rPr>
          <w:rStyle w:val="FootnoteReference"/>
          <w:sz w:val="20"/>
          <w:szCs w:val="20"/>
          <w:lang w:val="es-PA"/>
        </w:rPr>
        <w:footnoteReference w:id="5"/>
      </w:r>
      <w:r w:rsidR="00E30CC1" w:rsidRPr="00DD4BFD">
        <w:rPr>
          <w:sz w:val="20"/>
          <w:szCs w:val="20"/>
          <w:lang w:val="es-PA"/>
        </w:rPr>
        <w:t>.</w:t>
      </w:r>
    </w:p>
    <w:p w14:paraId="0F1BFD30" w14:textId="7D7B2F2B" w:rsidR="00877671" w:rsidRPr="00466170" w:rsidRDefault="00877671" w:rsidP="001B2D9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A54694">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w:t>
      </w:r>
      <w:r w:rsidR="00466170">
        <w:rPr>
          <w:sz w:val="20"/>
          <w:szCs w:val="20"/>
          <w:lang w:val="es-ES"/>
        </w:rPr>
        <w:t>,</w:t>
      </w:r>
      <w:r w:rsidRPr="00A54694">
        <w:rPr>
          <w:sz w:val="20"/>
          <w:szCs w:val="20"/>
          <w:lang w:val="es-ES"/>
        </w:rPr>
        <w:t xml:space="preserve"> podrían caracterizar violaciones a los </w:t>
      </w:r>
      <w:r w:rsidR="003159A3">
        <w:rPr>
          <w:bCs/>
          <w:sz w:val="20"/>
          <w:szCs w:val="20"/>
          <w:lang w:val="es-PA"/>
        </w:rPr>
        <w:t>a</w:t>
      </w:r>
      <w:r w:rsidR="003159A3" w:rsidRPr="00DE04D9">
        <w:rPr>
          <w:bCs/>
          <w:sz w:val="20"/>
          <w:szCs w:val="20"/>
          <w:lang w:val="es-PA"/>
        </w:rPr>
        <w:t>rtículos 8 (garantías judiciales)</w:t>
      </w:r>
      <w:r w:rsidR="003159A3">
        <w:rPr>
          <w:bCs/>
          <w:sz w:val="20"/>
          <w:szCs w:val="20"/>
          <w:lang w:val="es-PA"/>
        </w:rPr>
        <w:t xml:space="preserve"> y 25 (protección judicial) de la </w:t>
      </w:r>
      <w:r w:rsidR="003159A3">
        <w:rPr>
          <w:bCs/>
          <w:sz w:val="20"/>
          <w:szCs w:val="20"/>
          <w:lang w:val="es-PA"/>
        </w:rPr>
        <w:lastRenderedPageBreak/>
        <w:t>Convención Americana en relación con sus artículos 1.1. (obligación de respetar los derechos) y 26 (derechos económicos, sociales y culturales).</w:t>
      </w:r>
    </w:p>
    <w:p w14:paraId="77D7B83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9C3F027" w14:textId="381743B3" w:rsidR="000419AD" w:rsidRPr="009317AD" w:rsidRDefault="000419AD" w:rsidP="00305835">
      <w:pPr>
        <w:pStyle w:val="ListParagraph"/>
        <w:numPr>
          <w:ilvl w:val="0"/>
          <w:numId w:val="55"/>
        </w:numPr>
        <w:rPr>
          <w:rFonts w:eastAsia="Arial Unicode MS" w:cs="Times New Roman"/>
          <w:color w:val="auto"/>
          <w:sz w:val="20"/>
          <w:szCs w:val="20"/>
          <w:lang w:val="es-ES" w:eastAsia="en-US"/>
        </w:rPr>
      </w:pPr>
      <w:r w:rsidRPr="00FD29BB">
        <w:rPr>
          <w:rFonts w:eastAsia="Arial Unicode MS" w:cs="Times New Roman"/>
          <w:color w:val="000000" w:themeColor="text1"/>
          <w:sz w:val="20"/>
          <w:szCs w:val="20"/>
          <w:lang w:val="es-ES" w:eastAsia="en-US"/>
        </w:rPr>
        <w:t xml:space="preserve">Declarar </w:t>
      </w:r>
      <w:r w:rsidR="009317AD">
        <w:rPr>
          <w:rFonts w:eastAsia="Arial Unicode MS" w:cs="Times New Roman"/>
          <w:color w:val="000000" w:themeColor="text1"/>
          <w:sz w:val="20"/>
          <w:szCs w:val="20"/>
          <w:lang w:val="es-ES" w:eastAsia="en-US"/>
        </w:rPr>
        <w:t>admisible la presente petición e</w:t>
      </w:r>
      <w:r w:rsidR="00466170">
        <w:rPr>
          <w:rFonts w:eastAsia="Arial Unicode MS" w:cs="Times New Roman"/>
          <w:color w:val="000000" w:themeColor="text1"/>
          <w:sz w:val="20"/>
          <w:szCs w:val="20"/>
          <w:lang w:val="es-ES" w:eastAsia="en-US"/>
        </w:rPr>
        <w:t>n</w:t>
      </w:r>
      <w:r w:rsidR="003159A3">
        <w:rPr>
          <w:rFonts w:eastAsia="Arial Unicode MS" w:cs="Times New Roman"/>
          <w:color w:val="000000" w:themeColor="text1"/>
          <w:sz w:val="20"/>
          <w:szCs w:val="20"/>
          <w:lang w:val="es-ES" w:eastAsia="en-US"/>
        </w:rPr>
        <w:t xml:space="preserve"> relación con los artículos 8 y 25 de la Convención Americana en relación son sus artículos 1.1. y 26.</w:t>
      </w:r>
    </w:p>
    <w:p w14:paraId="20455D9B" w14:textId="77777777" w:rsidR="009317AD" w:rsidRPr="009317AD" w:rsidRDefault="009317AD" w:rsidP="009317AD">
      <w:pPr>
        <w:pStyle w:val="ListParagraph"/>
        <w:rPr>
          <w:rFonts w:eastAsia="Arial Unicode MS" w:cs="Times New Roman"/>
          <w:color w:val="auto"/>
          <w:sz w:val="20"/>
          <w:szCs w:val="20"/>
          <w:lang w:val="es-ES" w:eastAsia="en-US"/>
        </w:rPr>
      </w:pPr>
    </w:p>
    <w:p w14:paraId="5CE0C289" w14:textId="77777777" w:rsidR="000419AD" w:rsidRPr="000419AD" w:rsidRDefault="000419AD" w:rsidP="000419AD">
      <w:pPr>
        <w:pStyle w:val="ListParagraph"/>
        <w:rPr>
          <w:rFonts w:eastAsia="Arial Unicode MS" w:cs="Times New Roman"/>
          <w:color w:val="auto"/>
          <w:sz w:val="20"/>
          <w:szCs w:val="20"/>
          <w:lang w:val="es-ES" w:eastAsia="en-US"/>
        </w:rPr>
      </w:pPr>
    </w:p>
    <w:p w14:paraId="3593EEB7"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D59FC53" w14:textId="075FA5A1" w:rsidR="001266FA" w:rsidRPr="00A37B82" w:rsidRDefault="001266FA" w:rsidP="001266F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739C05F" w14:textId="77777777" w:rsidR="00722C9F" w:rsidRPr="00974491" w:rsidRDefault="00722C9F" w:rsidP="00BD0FF5">
      <w:pPr>
        <w:jc w:val="both"/>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3D01" w14:textId="77777777" w:rsidR="000F459C" w:rsidRDefault="000F459C">
      <w:r>
        <w:separator/>
      </w:r>
    </w:p>
  </w:endnote>
  <w:endnote w:type="continuationSeparator" w:id="0">
    <w:p w14:paraId="55EABFCF" w14:textId="77777777" w:rsidR="000F459C" w:rsidRDefault="000F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AF75" w14:textId="77777777" w:rsidR="00827ED2" w:rsidRDefault="00827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47EF7ED" w14:textId="6BADB00F" w:rsidR="00E0255C" w:rsidRPr="00934A2C" w:rsidRDefault="00E0255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27ED2">
          <w:rPr>
            <w:noProof/>
            <w:sz w:val="16"/>
            <w:szCs w:val="22"/>
          </w:rPr>
          <w:t>1</w:t>
        </w:r>
        <w:r w:rsidRPr="00934A2C">
          <w:rPr>
            <w:noProof/>
            <w:sz w:val="16"/>
            <w:szCs w:val="22"/>
          </w:rPr>
          <w:fldChar w:fldCharType="end"/>
        </w:r>
      </w:p>
    </w:sdtContent>
  </w:sdt>
  <w:p w14:paraId="15F9E1B8" w14:textId="77777777" w:rsidR="00E0255C" w:rsidRDefault="00E02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77E5" w14:textId="77777777" w:rsidR="00E0255C" w:rsidRPr="00934A2C" w:rsidRDefault="00E0255C">
    <w:pPr>
      <w:pStyle w:val="Footer"/>
      <w:jc w:val="center"/>
      <w:rPr>
        <w:sz w:val="16"/>
        <w:szCs w:val="22"/>
      </w:rPr>
    </w:pPr>
  </w:p>
  <w:p w14:paraId="76A852D9" w14:textId="77777777" w:rsidR="00E0255C" w:rsidRDefault="00E02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FE89" w14:textId="77777777" w:rsidR="000F459C" w:rsidRPr="000F35ED" w:rsidRDefault="000F459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33A022" w14:textId="77777777" w:rsidR="000F459C" w:rsidRPr="000F35ED" w:rsidRDefault="000F459C" w:rsidP="000F35ED">
      <w:pPr>
        <w:rPr>
          <w:rFonts w:asciiTheme="majorHAnsi" w:hAnsiTheme="majorHAnsi"/>
          <w:sz w:val="16"/>
          <w:szCs w:val="16"/>
        </w:rPr>
      </w:pPr>
      <w:r w:rsidRPr="000F35ED">
        <w:rPr>
          <w:rFonts w:asciiTheme="majorHAnsi" w:hAnsiTheme="majorHAnsi"/>
          <w:sz w:val="16"/>
          <w:szCs w:val="16"/>
        </w:rPr>
        <w:separator/>
      </w:r>
    </w:p>
    <w:p w14:paraId="15930DC6" w14:textId="77777777" w:rsidR="000F459C" w:rsidRPr="000F35ED" w:rsidRDefault="000F459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8109ACB" w14:textId="77777777" w:rsidR="000F459C" w:rsidRPr="000F35ED" w:rsidRDefault="000F459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FCD2FCF" w14:textId="77777777" w:rsidR="00E0255C" w:rsidRPr="000C1117" w:rsidRDefault="00E0255C" w:rsidP="000C111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Pr>
          <w:rFonts w:asciiTheme="majorHAnsi" w:hAnsiTheme="majorHAnsi"/>
          <w:sz w:val="16"/>
          <w:szCs w:val="16"/>
          <w:lang w:val="es-ES"/>
        </w:rPr>
        <w:t>En adelante “la Convención” o “la Convención Americana”</w:t>
      </w:r>
    </w:p>
  </w:footnote>
  <w:footnote w:id="3">
    <w:p w14:paraId="6DAFEFDD" w14:textId="77777777" w:rsidR="00E0255C" w:rsidRPr="00306F33" w:rsidRDefault="00E0255C"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05316B87" w14:textId="5690542A" w:rsidR="00BE7C16" w:rsidRPr="001266FA" w:rsidRDefault="00BE7C16" w:rsidP="00BE7C16">
      <w:pPr>
        <w:pStyle w:val="FootnoteText"/>
        <w:ind w:firstLine="720"/>
        <w:jc w:val="both"/>
        <w:rPr>
          <w:rFonts w:asciiTheme="majorHAnsi" w:hAnsiTheme="majorHAnsi"/>
          <w:sz w:val="16"/>
          <w:szCs w:val="16"/>
          <w:lang w:val="pt-BR"/>
        </w:rPr>
      </w:pPr>
      <w:r w:rsidRPr="00E30CC1">
        <w:rPr>
          <w:rStyle w:val="FootnoteReference"/>
          <w:rFonts w:asciiTheme="majorHAnsi" w:hAnsiTheme="majorHAnsi"/>
          <w:sz w:val="16"/>
          <w:szCs w:val="16"/>
        </w:rPr>
        <w:footnoteRef/>
      </w:r>
      <w:r w:rsidRPr="001266FA">
        <w:rPr>
          <w:rFonts w:asciiTheme="majorHAnsi" w:hAnsiTheme="majorHAnsi"/>
          <w:sz w:val="16"/>
          <w:szCs w:val="16"/>
          <w:lang w:val="pt-BR"/>
        </w:rPr>
        <w:t xml:space="preserve"> </w:t>
      </w:r>
      <w:r w:rsidRPr="001266FA">
        <w:rPr>
          <w:rFonts w:asciiTheme="majorHAnsi" w:hAnsiTheme="majorHAnsi"/>
          <w:sz w:val="16"/>
          <w:szCs w:val="16"/>
          <w:lang w:val="pt-BR"/>
        </w:rPr>
        <w:t>CIDH. Informe No. 74/17, Caso 12.656. Fondo.Victorio Spoltore. Argentina. 5 de julio de 2017, párr 68.</w:t>
      </w:r>
    </w:p>
  </w:footnote>
  <w:footnote w:id="5">
    <w:p w14:paraId="1864B6FC" w14:textId="48EF3B14" w:rsidR="00E30CC1" w:rsidRPr="00E30CC1" w:rsidRDefault="00E30CC1" w:rsidP="00E30CC1">
      <w:pPr>
        <w:pStyle w:val="FootnoteText"/>
        <w:ind w:firstLine="720"/>
        <w:jc w:val="both"/>
        <w:rPr>
          <w:rFonts w:asciiTheme="majorHAnsi" w:hAnsiTheme="majorHAnsi"/>
          <w:sz w:val="16"/>
          <w:szCs w:val="16"/>
          <w:lang w:val="es-PA"/>
        </w:rPr>
      </w:pPr>
      <w:r w:rsidRPr="00E30CC1">
        <w:rPr>
          <w:rStyle w:val="FootnoteReference"/>
          <w:rFonts w:asciiTheme="majorHAnsi" w:hAnsiTheme="majorHAnsi"/>
          <w:sz w:val="16"/>
          <w:szCs w:val="16"/>
        </w:rPr>
        <w:footnoteRef/>
      </w:r>
      <w:r w:rsidRPr="001266FA">
        <w:rPr>
          <w:rFonts w:asciiTheme="majorHAnsi" w:hAnsiTheme="majorHAnsi"/>
          <w:sz w:val="16"/>
          <w:szCs w:val="16"/>
          <w:lang w:val="pt-BR"/>
        </w:rPr>
        <w:t xml:space="preserve"> </w:t>
      </w:r>
      <w:r w:rsidRPr="001266FA">
        <w:rPr>
          <w:rFonts w:asciiTheme="majorHAnsi" w:hAnsiTheme="majorHAnsi"/>
          <w:sz w:val="16"/>
          <w:szCs w:val="16"/>
          <w:lang w:val="pt-BR"/>
        </w:rPr>
        <w:t xml:space="preserve">Corte </w:t>
      </w:r>
      <w:r w:rsidRPr="001266FA">
        <w:rPr>
          <w:rFonts w:asciiTheme="majorHAnsi" w:hAnsiTheme="majorHAnsi"/>
          <w:sz w:val="16"/>
          <w:szCs w:val="16"/>
          <w:lang w:val="pt-BR"/>
        </w:rPr>
        <w:t xml:space="preserve">I.D.H., Mémoli vs. Argentina, Sentencia de Excepciones Preliminares, Fondo, Reparaciones y Costas. </w:t>
      </w:r>
      <w:r>
        <w:rPr>
          <w:rFonts w:asciiTheme="majorHAnsi" w:hAnsiTheme="majorHAnsi"/>
          <w:sz w:val="16"/>
          <w:szCs w:val="16"/>
          <w:lang w:val="es-PA"/>
        </w:rPr>
        <w:t>22 de agosto de 2013, párr.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7A9C" w14:textId="77777777" w:rsidR="00E0255C" w:rsidRDefault="00E0255C" w:rsidP="00E0255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2CA2D6" w14:textId="77777777" w:rsidR="00E0255C" w:rsidRDefault="00E02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BA05" w14:textId="77777777" w:rsidR="00E0255C" w:rsidRDefault="00E0255C" w:rsidP="00A50FCF">
    <w:pPr>
      <w:pStyle w:val="Header"/>
      <w:tabs>
        <w:tab w:val="clear" w:pos="4320"/>
        <w:tab w:val="clear" w:pos="8640"/>
      </w:tabs>
      <w:jc w:val="center"/>
      <w:rPr>
        <w:sz w:val="22"/>
        <w:szCs w:val="22"/>
      </w:rPr>
    </w:pPr>
    <w:r>
      <w:rPr>
        <w:noProof/>
        <w:sz w:val="22"/>
        <w:szCs w:val="22"/>
      </w:rPr>
      <w:drawing>
        <wp:inline distT="0" distB="0" distL="0" distR="0" wp14:anchorId="637B0596" wp14:editId="019248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E71879" w14:textId="77777777" w:rsidR="00E0255C" w:rsidRPr="00EC7D62" w:rsidRDefault="000F459C" w:rsidP="00A50FCF">
    <w:pPr>
      <w:pStyle w:val="Header"/>
      <w:tabs>
        <w:tab w:val="clear" w:pos="4320"/>
        <w:tab w:val="clear" w:pos="8640"/>
      </w:tabs>
      <w:jc w:val="center"/>
      <w:rPr>
        <w:sz w:val="22"/>
        <w:szCs w:val="22"/>
      </w:rPr>
    </w:pPr>
    <w:r>
      <w:rPr>
        <w:noProof/>
        <w:sz w:val="22"/>
        <w:szCs w:val="22"/>
        <w:bdr w:val="nil"/>
      </w:rPr>
      <w:pict w14:anchorId="63F602C4">
        <v:rect id="_x0000_i1025" style="width:441.9pt;height:.0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2F30" w14:textId="77777777" w:rsidR="00827ED2" w:rsidRDefault="0082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1"/>
  </w:num>
  <w:num w:numId="5">
    <w:abstractNumId w:val="49"/>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2"/>
  </w:num>
  <w:num w:numId="54">
    <w:abstractNumId w:val="46"/>
  </w:num>
  <w:num w:numId="55">
    <w:abstractNumId w:val="44"/>
  </w:num>
  <w:num w:numId="56">
    <w:abstractNumId w:val="27"/>
  </w:num>
  <w:num w:numId="57">
    <w:abstractNumId w:val="25"/>
  </w:num>
  <w:num w:numId="58">
    <w:abstractNumId w:val="37"/>
  </w:num>
  <w:num w:numId="59">
    <w:abstractNumId w:val="48"/>
  </w:num>
  <w:num w:numId="60">
    <w:abstractNumId w:val="19"/>
  </w:num>
  <w:num w:numId="6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C9D"/>
    <w:rsid w:val="000337EF"/>
    <w:rsid w:val="00040C3A"/>
    <w:rsid w:val="000419AD"/>
    <w:rsid w:val="000433C9"/>
    <w:rsid w:val="00044B28"/>
    <w:rsid w:val="00045012"/>
    <w:rsid w:val="00046237"/>
    <w:rsid w:val="00067799"/>
    <w:rsid w:val="00071174"/>
    <w:rsid w:val="000716C5"/>
    <w:rsid w:val="00075E23"/>
    <w:rsid w:val="00076C6F"/>
    <w:rsid w:val="000851E3"/>
    <w:rsid w:val="0009344A"/>
    <w:rsid w:val="000A31D2"/>
    <w:rsid w:val="000A392E"/>
    <w:rsid w:val="000A575F"/>
    <w:rsid w:val="000C1117"/>
    <w:rsid w:val="000C683D"/>
    <w:rsid w:val="000D05CB"/>
    <w:rsid w:val="000D10DB"/>
    <w:rsid w:val="000D33BA"/>
    <w:rsid w:val="000E5EB5"/>
    <w:rsid w:val="000F35ED"/>
    <w:rsid w:val="000F442B"/>
    <w:rsid w:val="000F459C"/>
    <w:rsid w:val="000F5AC8"/>
    <w:rsid w:val="000F6DC3"/>
    <w:rsid w:val="00103173"/>
    <w:rsid w:val="001057BA"/>
    <w:rsid w:val="00107131"/>
    <w:rsid w:val="0010736F"/>
    <w:rsid w:val="00113F73"/>
    <w:rsid w:val="00116309"/>
    <w:rsid w:val="0012183B"/>
    <w:rsid w:val="00121CC2"/>
    <w:rsid w:val="001266FA"/>
    <w:rsid w:val="00130C92"/>
    <w:rsid w:val="00130F69"/>
    <w:rsid w:val="00131425"/>
    <w:rsid w:val="00133EE5"/>
    <w:rsid w:val="001352C1"/>
    <w:rsid w:val="001375A5"/>
    <w:rsid w:val="00154D2D"/>
    <w:rsid w:val="001645A0"/>
    <w:rsid w:val="00167A34"/>
    <w:rsid w:val="00196CBF"/>
    <w:rsid w:val="001A4919"/>
    <w:rsid w:val="001A520D"/>
    <w:rsid w:val="001A7870"/>
    <w:rsid w:val="001B2D90"/>
    <w:rsid w:val="001B3A00"/>
    <w:rsid w:val="001C1B41"/>
    <w:rsid w:val="001C7E62"/>
    <w:rsid w:val="001D65EF"/>
    <w:rsid w:val="001E2B74"/>
    <w:rsid w:val="001E3E79"/>
    <w:rsid w:val="001E49E7"/>
    <w:rsid w:val="001F7201"/>
    <w:rsid w:val="00223A29"/>
    <w:rsid w:val="002250A3"/>
    <w:rsid w:val="00235217"/>
    <w:rsid w:val="002403A6"/>
    <w:rsid w:val="00245808"/>
    <w:rsid w:val="00246D1F"/>
    <w:rsid w:val="00247403"/>
    <w:rsid w:val="00247542"/>
    <w:rsid w:val="0025187E"/>
    <w:rsid w:val="00255461"/>
    <w:rsid w:val="0026388A"/>
    <w:rsid w:val="00266B61"/>
    <w:rsid w:val="0026712A"/>
    <w:rsid w:val="00270334"/>
    <w:rsid w:val="002704DB"/>
    <w:rsid w:val="00284EBE"/>
    <w:rsid w:val="00285452"/>
    <w:rsid w:val="00291C79"/>
    <w:rsid w:val="002A0AAE"/>
    <w:rsid w:val="002A5820"/>
    <w:rsid w:val="002A7D66"/>
    <w:rsid w:val="002D2B26"/>
    <w:rsid w:val="002D3DD0"/>
    <w:rsid w:val="002D43FE"/>
    <w:rsid w:val="002D7EA2"/>
    <w:rsid w:val="002E187C"/>
    <w:rsid w:val="002E284C"/>
    <w:rsid w:val="002F0F29"/>
    <w:rsid w:val="00301B51"/>
    <w:rsid w:val="00302733"/>
    <w:rsid w:val="00302CBA"/>
    <w:rsid w:val="00305835"/>
    <w:rsid w:val="003064C1"/>
    <w:rsid w:val="00306F33"/>
    <w:rsid w:val="00314078"/>
    <w:rsid w:val="0031535D"/>
    <w:rsid w:val="003159A3"/>
    <w:rsid w:val="003239B8"/>
    <w:rsid w:val="003276BD"/>
    <w:rsid w:val="0033169F"/>
    <w:rsid w:val="00344977"/>
    <w:rsid w:val="00346C95"/>
    <w:rsid w:val="00355303"/>
    <w:rsid w:val="00356185"/>
    <w:rsid w:val="00360380"/>
    <w:rsid w:val="00360A93"/>
    <w:rsid w:val="00363089"/>
    <w:rsid w:val="00367E6C"/>
    <w:rsid w:val="0037519E"/>
    <w:rsid w:val="00386CF0"/>
    <w:rsid w:val="003B70FB"/>
    <w:rsid w:val="003C0D08"/>
    <w:rsid w:val="003C676B"/>
    <w:rsid w:val="003D3BC2"/>
    <w:rsid w:val="003E6CA1"/>
    <w:rsid w:val="003F5154"/>
    <w:rsid w:val="00401851"/>
    <w:rsid w:val="00405F9C"/>
    <w:rsid w:val="004065A8"/>
    <w:rsid w:val="004165C2"/>
    <w:rsid w:val="00441ECB"/>
    <w:rsid w:val="00445193"/>
    <w:rsid w:val="00462C1B"/>
    <w:rsid w:val="00466170"/>
    <w:rsid w:val="004677D7"/>
    <w:rsid w:val="00467B7E"/>
    <w:rsid w:val="00467EE8"/>
    <w:rsid w:val="00473BB4"/>
    <w:rsid w:val="00477592"/>
    <w:rsid w:val="00486F1C"/>
    <w:rsid w:val="0049419D"/>
    <w:rsid w:val="004A6A54"/>
    <w:rsid w:val="004B0F03"/>
    <w:rsid w:val="004B421C"/>
    <w:rsid w:val="004B42E2"/>
    <w:rsid w:val="004B5D05"/>
    <w:rsid w:val="004C20D2"/>
    <w:rsid w:val="004C2312"/>
    <w:rsid w:val="004C4B62"/>
    <w:rsid w:val="004C54C9"/>
    <w:rsid w:val="004D4ABA"/>
    <w:rsid w:val="004D5091"/>
    <w:rsid w:val="004D6025"/>
    <w:rsid w:val="004E2649"/>
    <w:rsid w:val="004E4D91"/>
    <w:rsid w:val="004E76E1"/>
    <w:rsid w:val="004F0017"/>
    <w:rsid w:val="004F626F"/>
    <w:rsid w:val="00501399"/>
    <w:rsid w:val="005047ED"/>
    <w:rsid w:val="0050633D"/>
    <w:rsid w:val="00507BC4"/>
    <w:rsid w:val="005128E4"/>
    <w:rsid w:val="005133DB"/>
    <w:rsid w:val="00514504"/>
    <w:rsid w:val="00521E1F"/>
    <w:rsid w:val="00522E1E"/>
    <w:rsid w:val="00522FCD"/>
    <w:rsid w:val="00525560"/>
    <w:rsid w:val="00533236"/>
    <w:rsid w:val="00536594"/>
    <w:rsid w:val="005366BB"/>
    <w:rsid w:val="0053684E"/>
    <w:rsid w:val="00536A8D"/>
    <w:rsid w:val="00544C49"/>
    <w:rsid w:val="00547936"/>
    <w:rsid w:val="005516A1"/>
    <w:rsid w:val="005559EF"/>
    <w:rsid w:val="00557206"/>
    <w:rsid w:val="005574FB"/>
    <w:rsid w:val="00563557"/>
    <w:rsid w:val="0057402A"/>
    <w:rsid w:val="005747A7"/>
    <w:rsid w:val="005771D0"/>
    <w:rsid w:val="005841F9"/>
    <w:rsid w:val="0059191A"/>
    <w:rsid w:val="005921FF"/>
    <w:rsid w:val="005A24ED"/>
    <w:rsid w:val="005A66CA"/>
    <w:rsid w:val="005A6D0E"/>
    <w:rsid w:val="005B0C72"/>
    <w:rsid w:val="005B52B0"/>
    <w:rsid w:val="005B6806"/>
    <w:rsid w:val="005C3818"/>
    <w:rsid w:val="005C4225"/>
    <w:rsid w:val="005D7311"/>
    <w:rsid w:val="005F0DAD"/>
    <w:rsid w:val="005F0F33"/>
    <w:rsid w:val="00600DEB"/>
    <w:rsid w:val="00627C9F"/>
    <w:rsid w:val="00630F37"/>
    <w:rsid w:val="006311E9"/>
    <w:rsid w:val="00632354"/>
    <w:rsid w:val="00635421"/>
    <w:rsid w:val="00642810"/>
    <w:rsid w:val="00652333"/>
    <w:rsid w:val="00666CBC"/>
    <w:rsid w:val="006756CE"/>
    <w:rsid w:val="0068009E"/>
    <w:rsid w:val="0068165B"/>
    <w:rsid w:val="00684A76"/>
    <w:rsid w:val="0069059E"/>
    <w:rsid w:val="00691E5B"/>
    <w:rsid w:val="00692219"/>
    <w:rsid w:val="006A17D2"/>
    <w:rsid w:val="006A1FCA"/>
    <w:rsid w:val="006A73E6"/>
    <w:rsid w:val="006B2D5C"/>
    <w:rsid w:val="006C0ECF"/>
    <w:rsid w:val="006C4EB1"/>
    <w:rsid w:val="006D35A9"/>
    <w:rsid w:val="006E0166"/>
    <w:rsid w:val="006E2FFB"/>
    <w:rsid w:val="006E657D"/>
    <w:rsid w:val="006E7B34"/>
    <w:rsid w:val="006F2348"/>
    <w:rsid w:val="0070697F"/>
    <w:rsid w:val="007103C4"/>
    <w:rsid w:val="0071301A"/>
    <w:rsid w:val="0072199C"/>
    <w:rsid w:val="00722C9F"/>
    <w:rsid w:val="007253B8"/>
    <w:rsid w:val="0073741F"/>
    <w:rsid w:val="00741896"/>
    <w:rsid w:val="00764544"/>
    <w:rsid w:val="0076643F"/>
    <w:rsid w:val="00777868"/>
    <w:rsid w:val="00777F63"/>
    <w:rsid w:val="00794508"/>
    <w:rsid w:val="007A4338"/>
    <w:rsid w:val="007A5817"/>
    <w:rsid w:val="007B05C4"/>
    <w:rsid w:val="007B24FA"/>
    <w:rsid w:val="007B60E9"/>
    <w:rsid w:val="007B639A"/>
    <w:rsid w:val="007B648A"/>
    <w:rsid w:val="007B6CC3"/>
    <w:rsid w:val="007B76D3"/>
    <w:rsid w:val="007C3334"/>
    <w:rsid w:val="007C7ED8"/>
    <w:rsid w:val="007D2B98"/>
    <w:rsid w:val="007D67FA"/>
    <w:rsid w:val="007E21BC"/>
    <w:rsid w:val="007E7C82"/>
    <w:rsid w:val="007F2AA1"/>
    <w:rsid w:val="007F588D"/>
    <w:rsid w:val="00803F1C"/>
    <w:rsid w:val="0080600E"/>
    <w:rsid w:val="008113CA"/>
    <w:rsid w:val="00814688"/>
    <w:rsid w:val="00817612"/>
    <w:rsid w:val="00827ED2"/>
    <w:rsid w:val="008338A4"/>
    <w:rsid w:val="0083456D"/>
    <w:rsid w:val="00834D49"/>
    <w:rsid w:val="00837C45"/>
    <w:rsid w:val="00844730"/>
    <w:rsid w:val="008457C2"/>
    <w:rsid w:val="00853A3E"/>
    <w:rsid w:val="00856AA4"/>
    <w:rsid w:val="00857A82"/>
    <w:rsid w:val="00873836"/>
    <w:rsid w:val="00877671"/>
    <w:rsid w:val="00885737"/>
    <w:rsid w:val="00890650"/>
    <w:rsid w:val="00891DDD"/>
    <w:rsid w:val="008944DC"/>
    <w:rsid w:val="00897E12"/>
    <w:rsid w:val="008A7E0F"/>
    <w:rsid w:val="008B12F5"/>
    <w:rsid w:val="008C4C96"/>
    <w:rsid w:val="008C5E2D"/>
    <w:rsid w:val="008D768D"/>
    <w:rsid w:val="008E3759"/>
    <w:rsid w:val="008E3BFE"/>
    <w:rsid w:val="008F1912"/>
    <w:rsid w:val="0090270B"/>
    <w:rsid w:val="009041DC"/>
    <w:rsid w:val="00917B5A"/>
    <w:rsid w:val="00920A58"/>
    <w:rsid w:val="00920A8C"/>
    <w:rsid w:val="009212E9"/>
    <w:rsid w:val="009317AD"/>
    <w:rsid w:val="00934A2C"/>
    <w:rsid w:val="00937D43"/>
    <w:rsid w:val="0096706E"/>
    <w:rsid w:val="00974491"/>
    <w:rsid w:val="00975C4E"/>
    <w:rsid w:val="00981FBA"/>
    <w:rsid w:val="0098333F"/>
    <w:rsid w:val="00990687"/>
    <w:rsid w:val="00997BC5"/>
    <w:rsid w:val="009A4F41"/>
    <w:rsid w:val="009B381B"/>
    <w:rsid w:val="009C106B"/>
    <w:rsid w:val="009D1753"/>
    <w:rsid w:val="009D6822"/>
    <w:rsid w:val="009D7611"/>
    <w:rsid w:val="009E0B61"/>
    <w:rsid w:val="009E53DE"/>
    <w:rsid w:val="009F21E8"/>
    <w:rsid w:val="00A0564A"/>
    <w:rsid w:val="00A11212"/>
    <w:rsid w:val="00A11E44"/>
    <w:rsid w:val="00A1581C"/>
    <w:rsid w:val="00A30100"/>
    <w:rsid w:val="00A328B3"/>
    <w:rsid w:val="00A37D3E"/>
    <w:rsid w:val="00A47185"/>
    <w:rsid w:val="00A50FCF"/>
    <w:rsid w:val="00A528D1"/>
    <w:rsid w:val="00A53B45"/>
    <w:rsid w:val="00A6049F"/>
    <w:rsid w:val="00A610CD"/>
    <w:rsid w:val="00A758AA"/>
    <w:rsid w:val="00A84150"/>
    <w:rsid w:val="00A9606B"/>
    <w:rsid w:val="00AA09A2"/>
    <w:rsid w:val="00AA63FF"/>
    <w:rsid w:val="00AA7996"/>
    <w:rsid w:val="00AC114B"/>
    <w:rsid w:val="00AC19CB"/>
    <w:rsid w:val="00AC442E"/>
    <w:rsid w:val="00AD5180"/>
    <w:rsid w:val="00AE5488"/>
    <w:rsid w:val="00AE6F91"/>
    <w:rsid w:val="00AF5571"/>
    <w:rsid w:val="00AF575A"/>
    <w:rsid w:val="00B07341"/>
    <w:rsid w:val="00B2519D"/>
    <w:rsid w:val="00B30539"/>
    <w:rsid w:val="00B314DB"/>
    <w:rsid w:val="00B361F2"/>
    <w:rsid w:val="00B3718B"/>
    <w:rsid w:val="00B3745F"/>
    <w:rsid w:val="00B4632A"/>
    <w:rsid w:val="00B530F1"/>
    <w:rsid w:val="00B53A35"/>
    <w:rsid w:val="00B5743B"/>
    <w:rsid w:val="00B72959"/>
    <w:rsid w:val="00B9002E"/>
    <w:rsid w:val="00B93D7F"/>
    <w:rsid w:val="00BA276C"/>
    <w:rsid w:val="00BB019D"/>
    <w:rsid w:val="00BB306F"/>
    <w:rsid w:val="00BC1BC4"/>
    <w:rsid w:val="00BD0FF5"/>
    <w:rsid w:val="00BD31BD"/>
    <w:rsid w:val="00BD4B89"/>
    <w:rsid w:val="00BD5922"/>
    <w:rsid w:val="00BD6523"/>
    <w:rsid w:val="00BE11C2"/>
    <w:rsid w:val="00BE6DC5"/>
    <w:rsid w:val="00BE7C16"/>
    <w:rsid w:val="00BF02CB"/>
    <w:rsid w:val="00BF1C6D"/>
    <w:rsid w:val="00BF6FD8"/>
    <w:rsid w:val="00C03680"/>
    <w:rsid w:val="00C054DF"/>
    <w:rsid w:val="00C14B11"/>
    <w:rsid w:val="00C21762"/>
    <w:rsid w:val="00C21FEF"/>
    <w:rsid w:val="00C23BA4"/>
    <w:rsid w:val="00C24543"/>
    <w:rsid w:val="00C256A2"/>
    <w:rsid w:val="00C25ADB"/>
    <w:rsid w:val="00C51515"/>
    <w:rsid w:val="00C52349"/>
    <w:rsid w:val="00C5660B"/>
    <w:rsid w:val="00C66B72"/>
    <w:rsid w:val="00C70DE9"/>
    <w:rsid w:val="00C73D4F"/>
    <w:rsid w:val="00C74870"/>
    <w:rsid w:val="00C87AC4"/>
    <w:rsid w:val="00C9567A"/>
    <w:rsid w:val="00CA2442"/>
    <w:rsid w:val="00CB212D"/>
    <w:rsid w:val="00CB2660"/>
    <w:rsid w:val="00CB7755"/>
    <w:rsid w:val="00CC311B"/>
    <w:rsid w:val="00CC5078"/>
    <w:rsid w:val="00CC5E90"/>
    <w:rsid w:val="00CD046C"/>
    <w:rsid w:val="00CD78D7"/>
    <w:rsid w:val="00CE076C"/>
    <w:rsid w:val="00CE5199"/>
    <w:rsid w:val="00CE66D5"/>
    <w:rsid w:val="00CF637A"/>
    <w:rsid w:val="00CF64E0"/>
    <w:rsid w:val="00CF7563"/>
    <w:rsid w:val="00D059DE"/>
    <w:rsid w:val="00D05ABD"/>
    <w:rsid w:val="00D13FCE"/>
    <w:rsid w:val="00D306D1"/>
    <w:rsid w:val="00D30800"/>
    <w:rsid w:val="00D34786"/>
    <w:rsid w:val="00D37BFC"/>
    <w:rsid w:val="00D406C1"/>
    <w:rsid w:val="00D44D19"/>
    <w:rsid w:val="00D4738F"/>
    <w:rsid w:val="00D47A8E"/>
    <w:rsid w:val="00D51C25"/>
    <w:rsid w:val="00D52D14"/>
    <w:rsid w:val="00D712D3"/>
    <w:rsid w:val="00D71422"/>
    <w:rsid w:val="00D72DC6"/>
    <w:rsid w:val="00D7558D"/>
    <w:rsid w:val="00D81D92"/>
    <w:rsid w:val="00D876F9"/>
    <w:rsid w:val="00DA1CE5"/>
    <w:rsid w:val="00DA7B5F"/>
    <w:rsid w:val="00DC11E7"/>
    <w:rsid w:val="00DC1D96"/>
    <w:rsid w:val="00DC24E3"/>
    <w:rsid w:val="00DC52E4"/>
    <w:rsid w:val="00DC7023"/>
    <w:rsid w:val="00DC769A"/>
    <w:rsid w:val="00DD3D86"/>
    <w:rsid w:val="00DD4AD2"/>
    <w:rsid w:val="00DD4BFD"/>
    <w:rsid w:val="00DE04D9"/>
    <w:rsid w:val="00DE2862"/>
    <w:rsid w:val="00DF17CC"/>
    <w:rsid w:val="00DF1EC4"/>
    <w:rsid w:val="00DF736C"/>
    <w:rsid w:val="00E0255C"/>
    <w:rsid w:val="00E0340B"/>
    <w:rsid w:val="00E04A90"/>
    <w:rsid w:val="00E0551F"/>
    <w:rsid w:val="00E12C35"/>
    <w:rsid w:val="00E219C7"/>
    <w:rsid w:val="00E2345D"/>
    <w:rsid w:val="00E30CC1"/>
    <w:rsid w:val="00E37513"/>
    <w:rsid w:val="00E4118C"/>
    <w:rsid w:val="00E43157"/>
    <w:rsid w:val="00E461CE"/>
    <w:rsid w:val="00E573E4"/>
    <w:rsid w:val="00E64C3D"/>
    <w:rsid w:val="00E720CA"/>
    <w:rsid w:val="00E80DCA"/>
    <w:rsid w:val="00E82C2D"/>
    <w:rsid w:val="00E84EB5"/>
    <w:rsid w:val="00E85662"/>
    <w:rsid w:val="00E8789F"/>
    <w:rsid w:val="00E97B71"/>
    <w:rsid w:val="00EA3D34"/>
    <w:rsid w:val="00EA7041"/>
    <w:rsid w:val="00EB454D"/>
    <w:rsid w:val="00EC1C06"/>
    <w:rsid w:val="00ED0FD8"/>
    <w:rsid w:val="00ED549D"/>
    <w:rsid w:val="00ED5E10"/>
    <w:rsid w:val="00ED6594"/>
    <w:rsid w:val="00ED76BE"/>
    <w:rsid w:val="00EE00E9"/>
    <w:rsid w:val="00EF1AAA"/>
    <w:rsid w:val="00EF619B"/>
    <w:rsid w:val="00EF6AD6"/>
    <w:rsid w:val="00F00B55"/>
    <w:rsid w:val="00F0157A"/>
    <w:rsid w:val="00F02AD1"/>
    <w:rsid w:val="00F07658"/>
    <w:rsid w:val="00F176E8"/>
    <w:rsid w:val="00F253CC"/>
    <w:rsid w:val="00F37106"/>
    <w:rsid w:val="00F44E25"/>
    <w:rsid w:val="00F509C1"/>
    <w:rsid w:val="00F519CF"/>
    <w:rsid w:val="00F5430D"/>
    <w:rsid w:val="00F56BA5"/>
    <w:rsid w:val="00F60E22"/>
    <w:rsid w:val="00F678CA"/>
    <w:rsid w:val="00F708AD"/>
    <w:rsid w:val="00F81395"/>
    <w:rsid w:val="00F81BB8"/>
    <w:rsid w:val="00F90C64"/>
    <w:rsid w:val="00F917D1"/>
    <w:rsid w:val="00F9653B"/>
    <w:rsid w:val="00FA251B"/>
    <w:rsid w:val="00FB1996"/>
    <w:rsid w:val="00FB60E5"/>
    <w:rsid w:val="00FB62CF"/>
    <w:rsid w:val="00FC1990"/>
    <w:rsid w:val="00FC7F54"/>
    <w:rsid w:val="00FD29BB"/>
    <w:rsid w:val="00FD3C3B"/>
    <w:rsid w:val="00FE07DD"/>
    <w:rsid w:val="00FE1B13"/>
    <w:rsid w:val="00FE6B45"/>
    <w:rsid w:val="00FF4C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semiHidden/>
    <w:unhideWhenUsed/>
    <w:rsid w:val="00BF1C6D"/>
    <w:rPr>
      <w:sz w:val="20"/>
      <w:szCs w:val="20"/>
    </w:rPr>
  </w:style>
  <w:style w:type="character" w:customStyle="1" w:styleId="CommentTextChar">
    <w:name w:val="Comment Text Char"/>
    <w:basedOn w:val="DefaultParagraphFont"/>
    <w:link w:val="CommentText"/>
    <w:uiPriority w:val="99"/>
    <w:semiHidden/>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locked/>
    <w:rsid w:val="002403A6"/>
    <w:rPr>
      <w:rFonts w:ascii="Calibri" w:hAnsi="Calibri" w:cs="Times New Roman"/>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B2D9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7767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963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610B"/>
    <w:rsid w:val="000F2584"/>
    <w:rsid w:val="00200821"/>
    <w:rsid w:val="0025245B"/>
    <w:rsid w:val="002A3923"/>
    <w:rsid w:val="002E788A"/>
    <w:rsid w:val="00394049"/>
    <w:rsid w:val="003B0C71"/>
    <w:rsid w:val="00487F2A"/>
    <w:rsid w:val="00490987"/>
    <w:rsid w:val="004B5BBB"/>
    <w:rsid w:val="004D2D5D"/>
    <w:rsid w:val="004F2DF8"/>
    <w:rsid w:val="00517E2A"/>
    <w:rsid w:val="00561E14"/>
    <w:rsid w:val="00631C9D"/>
    <w:rsid w:val="006F24A1"/>
    <w:rsid w:val="007E1653"/>
    <w:rsid w:val="0083108E"/>
    <w:rsid w:val="009A19DD"/>
    <w:rsid w:val="009A261B"/>
    <w:rsid w:val="009A5E14"/>
    <w:rsid w:val="00A65B43"/>
    <w:rsid w:val="00AA2E17"/>
    <w:rsid w:val="00AC15A4"/>
    <w:rsid w:val="00AE12B3"/>
    <w:rsid w:val="00B0336C"/>
    <w:rsid w:val="00BE2EE2"/>
    <w:rsid w:val="00CD2F49"/>
    <w:rsid w:val="00D241E9"/>
    <w:rsid w:val="00D7750D"/>
    <w:rsid w:val="00E4051C"/>
    <w:rsid w:val="00EC3803"/>
    <w:rsid w:val="00EF12D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EB3F-C601-476E-8924-2B835F74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10478</Characters>
  <Application>Microsoft Office Word</Application>
  <DocSecurity>0</DocSecurity>
  <Lines>197</Lines>
  <Paragraphs>56</Paragraphs>
  <ScaleCrop>false</ScaleCrop>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243/20</dc:title>
  <dc:subject/>
  <dc:creator/>
  <cp:keywords/>
  <dc:description/>
  <cp:lastModifiedBy/>
  <cp:revision>1</cp:revision>
  <dcterms:created xsi:type="dcterms:W3CDTF">2020-10-20T14:55:00Z</dcterms:created>
  <dcterms:modified xsi:type="dcterms:W3CDTF">2020-10-20T14:55:00Z</dcterms:modified>
</cp:coreProperties>
</file>