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2771C" w14:textId="527989E3" w:rsidR="00816ADF" w:rsidRPr="00E943B1" w:rsidRDefault="0078201B" w:rsidP="00232A51">
      <w:pPr>
        <w:pBdr>
          <w:top w:val="none" w:sz="0" w:space="0" w:color="auto"/>
          <w:left w:val="none" w:sz="0" w:space="0" w:color="auto"/>
          <w:bottom w:val="none" w:sz="0" w:space="0" w:color="auto"/>
          <w:right w:val="none" w:sz="0" w:space="0" w:color="auto"/>
          <w:bar w:val="none" w:sz="0" w:color="auto"/>
        </w:pBdr>
        <w:jc w:val="both"/>
        <w:rPr>
          <w:rFonts w:asciiTheme="majorHAnsi" w:hAnsiTheme="majorHAnsi" w:cs="Univers"/>
          <w:b/>
          <w:bCs/>
          <w:sz w:val="20"/>
          <w:szCs w:val="20"/>
          <w:lang w:val="es-ES_tradnl"/>
        </w:rPr>
      </w:pPr>
      <w:r w:rsidRPr="00E943B1">
        <w:rPr>
          <w:rFonts w:asciiTheme="majorHAnsi" w:hAnsiTheme="majorHAnsi"/>
          <w:noProof/>
          <w:sz w:val="20"/>
          <w:szCs w:val="20"/>
        </w:rPr>
        <mc:AlternateContent>
          <mc:Choice Requires="wps">
            <w:drawing>
              <wp:anchor distT="0" distB="0" distL="114300" distR="114300" simplePos="0" relativeHeight="251654144" behindDoc="0" locked="0" layoutInCell="1" allowOverlap="1" wp14:anchorId="6691A017" wp14:editId="24C5C73F">
                <wp:simplePos x="0" y="0"/>
                <wp:positionH relativeFrom="column">
                  <wp:posOffset>-415925</wp:posOffset>
                </wp:positionH>
                <wp:positionV relativeFrom="paragraph">
                  <wp:posOffset>-439420</wp:posOffset>
                </wp:positionV>
                <wp:extent cx="1543050" cy="9096375"/>
                <wp:effectExtent l="0" t="0" r="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8FCE13" id="Rectangle 1" o:spid="_x0000_s1026" style="position:absolute;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" fillcolor="#4a7194" stroked="f" strokeweight="2pt"/>
            </w:pict>
          </mc:Fallback>
        </mc:AlternateContent>
      </w:r>
      <w:r w:rsidRPr="00E943B1">
        <w:rPr>
          <w:rFonts w:asciiTheme="majorHAnsi" w:hAnsiTheme="majorHAnsi"/>
          <w:noProof/>
          <w:sz w:val="20"/>
          <w:szCs w:val="20"/>
        </w:rPr>
        <mc:AlternateContent>
          <mc:Choice Requires="wps">
            <w:drawing>
              <wp:anchor distT="0" distB="0" distL="114300" distR="114300" simplePos="0" relativeHeight="251658240" behindDoc="0" locked="0" layoutInCell="1" allowOverlap="1" wp14:anchorId="7BB7824C" wp14:editId="16EBF599">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D16B5A" w14:textId="3CBED6D6" w:rsidR="00816ADF" w:rsidRDefault="0078201B"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14:anchorId="210D736C" wp14:editId="57E9BB2F">
                                  <wp:extent cx="2631440" cy="508635"/>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1440" cy="508635"/>
                                          </a:xfrm>
                                          <a:prstGeom prst="rect">
                                            <a:avLst/>
                                          </a:prstGeom>
                                          <a:noFill/>
                                          <a:ln>
                                            <a:noFill/>
                                          </a:ln>
                                        </pic:spPr>
                                      </pic:pic>
                                    </a:graphicData>
                                  </a:graphic>
                                </wp:inline>
                              </w:drawing>
                            </w:r>
                            <w:r w:rsidR="00816ADF">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BB7824C"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" filled="f" stroked="f" strokeweight=".5pt">
                <v:textbox>
                  <w:txbxContent>
                    <w:p w14:paraId="7CD16B5A" w14:textId="3CBED6D6" w:rsidR="00816ADF" w:rsidRDefault="0078201B"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14:anchorId="210D736C" wp14:editId="57E9BB2F">
                            <wp:extent cx="2631440" cy="508635"/>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1440" cy="508635"/>
                                    </a:xfrm>
                                    <a:prstGeom prst="rect">
                                      <a:avLst/>
                                    </a:prstGeom>
                                    <a:noFill/>
                                    <a:ln>
                                      <a:noFill/>
                                    </a:ln>
                                  </pic:spPr>
                                </pic:pic>
                              </a:graphicData>
                            </a:graphic>
                          </wp:inline>
                        </w:drawing>
                      </w:r>
                      <w:r w:rsidR="00816ADF">
                        <w:tab/>
                        <w:t xml:space="preserve">                              </w:t>
                      </w:r>
                    </w:p>
                  </w:txbxContent>
                </v:textbox>
              </v:shape>
            </w:pict>
          </mc:Fallback>
        </mc:AlternateContent>
      </w:r>
    </w:p>
    <w:p w14:paraId="69204BCE"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
        </w:rPr>
      </w:pPr>
    </w:p>
    <w:p w14:paraId="1709077D"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
        </w:rPr>
      </w:pPr>
    </w:p>
    <w:p w14:paraId="5070FE3B"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Theme="majorHAnsi" w:hAnsiTheme="majorHAnsi"/>
          <w:sz w:val="20"/>
          <w:szCs w:val="20"/>
          <w:lang w:val="es-ES_tradnl"/>
        </w:rPr>
      </w:pPr>
    </w:p>
    <w:p w14:paraId="19D603A3"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Theme="majorHAnsi" w:hAnsiTheme="majorHAnsi"/>
          <w:sz w:val="20"/>
          <w:szCs w:val="20"/>
          <w:lang w:val="es-ES_tradnl"/>
        </w:rPr>
      </w:pPr>
    </w:p>
    <w:p w14:paraId="425654C3"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Theme="majorHAnsi" w:hAnsiTheme="majorHAnsi"/>
          <w:sz w:val="20"/>
          <w:szCs w:val="20"/>
          <w:lang w:val="es-ES_tradnl"/>
        </w:rPr>
      </w:pPr>
    </w:p>
    <w:p w14:paraId="04FEA0CC"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0"/>
          <w:szCs w:val="20"/>
          <w:lang w:val="es-ES_tradnl"/>
        </w:rPr>
      </w:pPr>
    </w:p>
    <w:p w14:paraId="376B716D"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0"/>
          <w:szCs w:val="20"/>
          <w:lang w:val="es-ES_tradnl"/>
        </w:rPr>
      </w:pPr>
    </w:p>
    <w:p w14:paraId="2FEB28BB"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0"/>
          <w:szCs w:val="20"/>
          <w:lang w:val="es-ES_tradnl"/>
        </w:rPr>
      </w:pPr>
    </w:p>
    <w:p w14:paraId="6B86685F"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0"/>
          <w:szCs w:val="20"/>
          <w:lang w:val="es-ES_tradnl"/>
        </w:rPr>
      </w:pPr>
    </w:p>
    <w:p w14:paraId="1E5EE792"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0"/>
          <w:szCs w:val="20"/>
          <w:lang w:val="es-ES_tradnl"/>
        </w:rPr>
      </w:pPr>
    </w:p>
    <w:p w14:paraId="39E6849C"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0"/>
          <w:szCs w:val="20"/>
          <w:lang w:val="es-ES_tradnl"/>
        </w:rPr>
      </w:pPr>
    </w:p>
    <w:p w14:paraId="5B7A33D4"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0"/>
          <w:szCs w:val="20"/>
          <w:lang w:val="es-ES_tradnl"/>
        </w:rPr>
      </w:pPr>
    </w:p>
    <w:p w14:paraId="7A234014" w14:textId="598A9E5A" w:rsidR="00816ADF" w:rsidRPr="00E943B1" w:rsidRDefault="0078201B" w:rsidP="00232A5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0"/>
          <w:szCs w:val="20"/>
          <w:lang w:val="es-ES_tradnl"/>
        </w:rPr>
      </w:pPr>
      <w:r w:rsidRPr="00E943B1">
        <w:rPr>
          <w:rFonts w:asciiTheme="majorHAnsi" w:hAnsiTheme="majorHAnsi"/>
          <w:noProof/>
          <w:sz w:val="20"/>
          <w:szCs w:val="20"/>
        </w:rPr>
        <mc:AlternateContent>
          <mc:Choice Requires="wps">
            <w:drawing>
              <wp:anchor distT="0" distB="0" distL="114300" distR="114300" simplePos="0" relativeHeight="251655168" behindDoc="0" locked="0" layoutInCell="1" allowOverlap="1" wp14:anchorId="4A0E85AF" wp14:editId="2465340D">
                <wp:simplePos x="0" y="0"/>
                <wp:positionH relativeFrom="column">
                  <wp:posOffset>1352550</wp:posOffset>
                </wp:positionH>
                <wp:positionV relativeFrom="paragraph">
                  <wp:posOffset>107315</wp:posOffset>
                </wp:positionV>
                <wp:extent cx="4441190" cy="21812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2C2682" w14:textId="3BB76E7F" w:rsidR="00816ADF" w:rsidRPr="003F6C6C" w:rsidRDefault="00816AD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3F6C6C">
                              <w:rPr>
                                <w:rFonts w:ascii="Cambria" w:hAnsi="Cambria" w:cs="Arial"/>
                                <w:b/>
                                <w:bCs/>
                                <w:color w:val="0D0D0D"/>
                                <w:sz w:val="36"/>
                                <w:szCs w:val="22"/>
                                <w:lang w:val="es-ES_tradnl"/>
                              </w:rPr>
                              <w:t xml:space="preserve">INFORME </w:t>
                            </w:r>
                            <w:r w:rsidRPr="003F6C6C">
                              <w:rPr>
                                <w:rFonts w:ascii="Cambria" w:hAnsi="Cambria" w:cs="Arial"/>
                                <w:b/>
                                <w:bCs/>
                                <w:color w:val="0D0D0D"/>
                                <w:sz w:val="36"/>
                                <w:szCs w:val="40"/>
                                <w:lang w:val="es-ES_tradnl"/>
                              </w:rPr>
                              <w:t>No.</w:t>
                            </w:r>
                            <w:r w:rsidRPr="003F6C6C">
                              <w:rPr>
                                <w:rFonts w:ascii="Cambria" w:hAnsi="Cambria" w:cs="Arial"/>
                                <w:b/>
                                <w:bCs/>
                                <w:color w:val="0D0D0D"/>
                                <w:sz w:val="36"/>
                                <w:szCs w:val="22"/>
                                <w:lang w:val="es-ES_tradnl"/>
                              </w:rPr>
                              <w:t xml:space="preserve"> </w:t>
                            </w:r>
                            <w:r w:rsidR="008033AB">
                              <w:rPr>
                                <w:rFonts w:ascii="Cambria" w:hAnsi="Cambria" w:cs="Arial"/>
                                <w:b/>
                                <w:bCs/>
                                <w:color w:val="0D0D0D"/>
                                <w:sz w:val="36"/>
                                <w:szCs w:val="22"/>
                                <w:lang w:val="es-ES_tradnl"/>
                              </w:rPr>
                              <w:t>410</w:t>
                            </w:r>
                            <w:r w:rsidRPr="003F6C6C">
                              <w:rPr>
                                <w:rFonts w:ascii="Cambria" w:hAnsi="Cambria" w:cs="Arial"/>
                                <w:b/>
                                <w:bCs/>
                                <w:color w:val="0D0D0D"/>
                                <w:sz w:val="36"/>
                                <w:szCs w:val="22"/>
                                <w:lang w:val="es-ES_tradnl"/>
                              </w:rPr>
                              <w:t>/2</w:t>
                            </w:r>
                            <w:r w:rsidR="000269BA">
                              <w:rPr>
                                <w:rFonts w:ascii="Cambria" w:hAnsi="Cambria" w:cs="Arial"/>
                                <w:b/>
                                <w:bCs/>
                                <w:color w:val="0D0D0D"/>
                                <w:sz w:val="36"/>
                                <w:szCs w:val="22"/>
                                <w:lang w:val="es-ES_tradnl"/>
                              </w:rPr>
                              <w:t>1</w:t>
                            </w:r>
                          </w:p>
                          <w:p w14:paraId="19CE2D7C" w14:textId="77777777" w:rsidR="00816ADF" w:rsidRPr="003F6C6C" w:rsidRDefault="00816AD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3F6C6C">
                              <w:rPr>
                                <w:rFonts w:ascii="Cambria" w:hAnsi="Cambria" w:cs="Arial"/>
                                <w:b/>
                                <w:color w:val="0D0D0D"/>
                                <w:sz w:val="36"/>
                                <w:szCs w:val="22"/>
                                <w:lang w:val="es-ES_tradnl"/>
                              </w:rPr>
                              <w:t xml:space="preserve">PETICIÓN 1274-09 </w:t>
                            </w:r>
                          </w:p>
                          <w:p w14:paraId="15B3A2E0" w14:textId="77777777" w:rsidR="00816ADF" w:rsidRPr="003F6C6C" w:rsidRDefault="00816AD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3F6C6C">
                              <w:rPr>
                                <w:rFonts w:ascii="Cambria" w:hAnsi="Cambria" w:cs="Arial"/>
                                <w:color w:val="0D0D0D"/>
                                <w:szCs w:val="22"/>
                                <w:lang w:val="es-ES_tradnl"/>
                              </w:rPr>
                              <w:t xml:space="preserve">INFORME DE ADMISIBILIDAD </w:t>
                            </w:r>
                          </w:p>
                          <w:p w14:paraId="277C2107" w14:textId="77777777" w:rsidR="00816ADF" w:rsidRPr="003F6C6C" w:rsidRDefault="00816AD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p w14:paraId="600BBF1D" w14:textId="1686CE6F" w:rsidR="00816ADF" w:rsidRPr="003F6C6C" w:rsidRDefault="00816AD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3F6C6C">
                              <w:rPr>
                                <w:rFonts w:ascii="Cambria" w:hAnsi="Cambria" w:cs="Arial"/>
                                <w:color w:val="0D0D0D"/>
                                <w:szCs w:val="22"/>
                                <w:lang w:val="es-ES_tradnl"/>
                              </w:rPr>
                              <w:t>BENEDICTA AVEDAÑO DE OGALDE</w:t>
                            </w:r>
                            <w:r w:rsidR="00D02EFC">
                              <w:rPr>
                                <w:rFonts w:ascii="Cambria" w:hAnsi="Cambria" w:cs="Arial"/>
                                <w:color w:val="0D0D0D"/>
                                <w:szCs w:val="22"/>
                                <w:lang w:val="es-ES_tradnl"/>
                              </w:rPr>
                              <w:t xml:space="preserve"> Y OTROS</w:t>
                            </w:r>
                          </w:p>
                          <w:bookmarkEnd w:id="0"/>
                          <w:p w14:paraId="3DAFB6DE" w14:textId="77777777" w:rsidR="00816ADF" w:rsidRPr="003F6C6C" w:rsidRDefault="00816AD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3F6C6C">
                              <w:rPr>
                                <w:rFonts w:ascii="Cambria" w:hAnsi="Cambria" w:cs="Arial"/>
                                <w:color w:val="0D0D0D"/>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0E85AF" id="Text Box 5"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" filled="f" stroked="f" strokeweight=".5pt">
                <v:textbox>
                  <w:txbxContent>
                    <w:p w14:paraId="552C2682" w14:textId="3BB76E7F" w:rsidR="00816ADF" w:rsidRPr="003F6C6C" w:rsidRDefault="00816AD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3F6C6C">
                        <w:rPr>
                          <w:rFonts w:ascii="Cambria" w:hAnsi="Cambria" w:cs="Arial"/>
                          <w:b/>
                          <w:bCs/>
                          <w:color w:val="0D0D0D"/>
                          <w:sz w:val="36"/>
                          <w:szCs w:val="22"/>
                          <w:lang w:val="es-ES_tradnl"/>
                        </w:rPr>
                        <w:t xml:space="preserve">INFORME </w:t>
                      </w:r>
                      <w:r w:rsidRPr="003F6C6C">
                        <w:rPr>
                          <w:rFonts w:ascii="Cambria" w:hAnsi="Cambria" w:cs="Arial"/>
                          <w:b/>
                          <w:bCs/>
                          <w:color w:val="0D0D0D"/>
                          <w:sz w:val="36"/>
                          <w:szCs w:val="40"/>
                          <w:lang w:val="es-ES_tradnl"/>
                        </w:rPr>
                        <w:t>No.</w:t>
                      </w:r>
                      <w:r w:rsidRPr="003F6C6C">
                        <w:rPr>
                          <w:rFonts w:ascii="Cambria" w:hAnsi="Cambria" w:cs="Arial"/>
                          <w:b/>
                          <w:bCs/>
                          <w:color w:val="0D0D0D"/>
                          <w:sz w:val="36"/>
                          <w:szCs w:val="22"/>
                          <w:lang w:val="es-ES_tradnl"/>
                        </w:rPr>
                        <w:t xml:space="preserve"> </w:t>
                      </w:r>
                      <w:r w:rsidR="008033AB">
                        <w:rPr>
                          <w:rFonts w:ascii="Cambria" w:hAnsi="Cambria" w:cs="Arial"/>
                          <w:b/>
                          <w:bCs/>
                          <w:color w:val="0D0D0D"/>
                          <w:sz w:val="36"/>
                          <w:szCs w:val="22"/>
                          <w:lang w:val="es-ES_tradnl"/>
                        </w:rPr>
                        <w:t>410</w:t>
                      </w:r>
                      <w:r w:rsidRPr="003F6C6C">
                        <w:rPr>
                          <w:rFonts w:ascii="Cambria" w:hAnsi="Cambria" w:cs="Arial"/>
                          <w:b/>
                          <w:bCs/>
                          <w:color w:val="0D0D0D"/>
                          <w:sz w:val="36"/>
                          <w:szCs w:val="22"/>
                          <w:lang w:val="es-ES_tradnl"/>
                        </w:rPr>
                        <w:t>/2</w:t>
                      </w:r>
                      <w:r w:rsidR="000269BA">
                        <w:rPr>
                          <w:rFonts w:ascii="Cambria" w:hAnsi="Cambria" w:cs="Arial"/>
                          <w:b/>
                          <w:bCs/>
                          <w:color w:val="0D0D0D"/>
                          <w:sz w:val="36"/>
                          <w:szCs w:val="22"/>
                          <w:lang w:val="es-ES_tradnl"/>
                        </w:rPr>
                        <w:t>1</w:t>
                      </w:r>
                    </w:p>
                    <w:p w14:paraId="19CE2D7C" w14:textId="77777777" w:rsidR="00816ADF" w:rsidRPr="003F6C6C" w:rsidRDefault="00816AD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3F6C6C">
                        <w:rPr>
                          <w:rFonts w:ascii="Cambria" w:hAnsi="Cambria" w:cs="Arial"/>
                          <w:b/>
                          <w:color w:val="0D0D0D"/>
                          <w:sz w:val="36"/>
                          <w:szCs w:val="22"/>
                          <w:lang w:val="es-ES_tradnl"/>
                        </w:rPr>
                        <w:t xml:space="preserve">PETICIÓN 1274-09 </w:t>
                      </w:r>
                    </w:p>
                    <w:p w14:paraId="15B3A2E0" w14:textId="77777777" w:rsidR="00816ADF" w:rsidRPr="003F6C6C" w:rsidRDefault="00816AD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3F6C6C">
                        <w:rPr>
                          <w:rFonts w:ascii="Cambria" w:hAnsi="Cambria" w:cs="Arial"/>
                          <w:color w:val="0D0D0D"/>
                          <w:szCs w:val="22"/>
                          <w:lang w:val="es-ES_tradnl"/>
                        </w:rPr>
                        <w:t xml:space="preserve">INFORME DE ADMISIBILIDAD </w:t>
                      </w:r>
                    </w:p>
                    <w:p w14:paraId="277C2107" w14:textId="77777777" w:rsidR="00816ADF" w:rsidRPr="003F6C6C" w:rsidRDefault="00816AD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14:paraId="600BBF1D" w14:textId="1686CE6F" w:rsidR="00816ADF" w:rsidRPr="003F6C6C" w:rsidRDefault="00816AD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3F6C6C">
                        <w:rPr>
                          <w:rFonts w:ascii="Cambria" w:hAnsi="Cambria" w:cs="Arial"/>
                          <w:color w:val="0D0D0D"/>
                          <w:szCs w:val="22"/>
                          <w:lang w:val="es-ES_tradnl"/>
                        </w:rPr>
                        <w:t>BENEDICTA AVEDAÑO DE OGALDE</w:t>
                      </w:r>
                      <w:r w:rsidR="00D02EFC">
                        <w:rPr>
                          <w:rFonts w:ascii="Cambria" w:hAnsi="Cambria" w:cs="Arial"/>
                          <w:color w:val="0D0D0D"/>
                          <w:szCs w:val="22"/>
                          <w:lang w:val="es-ES_tradnl"/>
                        </w:rPr>
                        <w:t xml:space="preserve"> Y OTROS</w:t>
                      </w:r>
                    </w:p>
                    <w:bookmarkEnd w:id="1"/>
                    <w:p w14:paraId="3DAFB6DE" w14:textId="77777777" w:rsidR="00816ADF" w:rsidRPr="003F6C6C" w:rsidRDefault="00816AD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3F6C6C">
                        <w:rPr>
                          <w:rFonts w:ascii="Cambria" w:hAnsi="Cambria" w:cs="Arial"/>
                          <w:color w:val="0D0D0D"/>
                          <w:szCs w:val="22"/>
                          <w:lang w:val="es-ES_tradnl"/>
                        </w:rPr>
                        <w:t>ARGENTINA</w:t>
                      </w:r>
                    </w:p>
                  </w:txbxContent>
                </v:textbox>
              </v:shape>
            </w:pict>
          </mc:Fallback>
        </mc:AlternateContent>
      </w:r>
      <w:r w:rsidRPr="00E943B1">
        <w:rPr>
          <w:rFonts w:asciiTheme="majorHAnsi" w:hAnsiTheme="majorHAnsi"/>
          <w:noProof/>
          <w:sz w:val="20"/>
          <w:szCs w:val="20"/>
        </w:rPr>
        <mc:AlternateContent>
          <mc:Choice Requires="wps">
            <w:drawing>
              <wp:anchor distT="0" distB="0" distL="114300" distR="114300" simplePos="0" relativeHeight="251657216" behindDoc="0" locked="0" layoutInCell="1" allowOverlap="1" wp14:anchorId="2A2B6FF4" wp14:editId="03FBE530">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AE311D" w14:textId="11D8A9F6" w:rsidR="00816ADF" w:rsidRPr="008A0839" w:rsidRDefault="00816ADF"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419"/>
                              </w:rPr>
                            </w:pPr>
                            <w:r w:rsidRPr="008A0839">
                              <w:rPr>
                                <w:rFonts w:ascii="Calibri" w:hAnsi="Calibri"/>
                                <w:color w:val="FFFFFF"/>
                                <w:sz w:val="22"/>
                                <w:lang w:val="es-419"/>
                              </w:rPr>
                              <w:t>OEA/Ser.L/V/II</w:t>
                            </w:r>
                          </w:p>
                          <w:p w14:paraId="109EF004" w14:textId="0A35584A" w:rsidR="00816ADF" w:rsidRPr="008A0839" w:rsidRDefault="00816ADF"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419"/>
                              </w:rPr>
                            </w:pPr>
                            <w:r w:rsidRPr="008A0839">
                              <w:rPr>
                                <w:rFonts w:ascii="Calibri" w:hAnsi="Calibri"/>
                                <w:color w:val="FFFFFF"/>
                                <w:sz w:val="22"/>
                                <w:lang w:val="es-419"/>
                              </w:rPr>
                              <w:t>Doc.</w:t>
                            </w:r>
                            <w:r w:rsidR="003E3E5C" w:rsidRPr="008A0839">
                              <w:rPr>
                                <w:rFonts w:ascii="Calibri" w:hAnsi="Calibri"/>
                                <w:color w:val="FFFFFF"/>
                                <w:sz w:val="22"/>
                                <w:lang w:val="es-419"/>
                              </w:rPr>
                              <w:t xml:space="preserve"> 422</w:t>
                            </w:r>
                            <w:r w:rsidRPr="008A0839">
                              <w:rPr>
                                <w:rFonts w:ascii="Calibri" w:hAnsi="Calibri"/>
                                <w:color w:val="FFFFFF"/>
                                <w:sz w:val="22"/>
                                <w:lang w:val="es-419"/>
                              </w:rPr>
                              <w:t xml:space="preserve"> </w:t>
                            </w:r>
                          </w:p>
                          <w:p w14:paraId="3C6A920F" w14:textId="02CBE5B6" w:rsidR="00816ADF" w:rsidRPr="003F6C6C" w:rsidRDefault="003E3E5C"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PA"/>
                              </w:rPr>
                            </w:pPr>
                            <w:r>
                              <w:rPr>
                                <w:rFonts w:ascii="Calibri" w:hAnsi="Calibri"/>
                                <w:color w:val="FFFFFF"/>
                                <w:sz w:val="22"/>
                                <w:lang w:val="es-PA"/>
                              </w:rPr>
                              <w:t>31 diciembre</w:t>
                            </w:r>
                            <w:r w:rsidR="00816ADF" w:rsidRPr="003F6C6C">
                              <w:rPr>
                                <w:rFonts w:ascii="Calibri" w:hAnsi="Calibri"/>
                                <w:color w:val="FFFFFF"/>
                                <w:sz w:val="22"/>
                                <w:lang w:val="es-PA"/>
                              </w:rPr>
                              <w:t xml:space="preserve"> 202</w:t>
                            </w:r>
                            <w:r w:rsidR="000269BA">
                              <w:rPr>
                                <w:rFonts w:ascii="Calibri" w:hAnsi="Calibri"/>
                                <w:color w:val="FFFFFF"/>
                                <w:sz w:val="22"/>
                                <w:lang w:val="es-PA"/>
                              </w:rPr>
                              <w:t>1</w:t>
                            </w:r>
                          </w:p>
                          <w:p w14:paraId="5F7223A9" w14:textId="77777777" w:rsidR="00816ADF" w:rsidRPr="003F6C6C" w:rsidRDefault="00816ADF"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PA"/>
                              </w:rPr>
                            </w:pPr>
                            <w:r w:rsidRPr="003F6C6C">
                              <w:rPr>
                                <w:rFonts w:ascii="Calibri" w:hAnsi="Calibri"/>
                                <w:color w:val="FFFFFF"/>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A2B6FF4"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" filled="f" stroked="f" strokeweight=".5pt">
                <v:textbox>
                  <w:txbxContent>
                    <w:p w14:paraId="17AE311D" w14:textId="11D8A9F6" w:rsidR="00816ADF" w:rsidRPr="008A0839" w:rsidRDefault="00816ADF"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419"/>
                        </w:rPr>
                      </w:pPr>
                      <w:r w:rsidRPr="008A0839">
                        <w:rPr>
                          <w:rFonts w:ascii="Calibri" w:hAnsi="Calibri"/>
                          <w:color w:val="FFFFFF"/>
                          <w:sz w:val="22"/>
                          <w:lang w:val="es-419"/>
                        </w:rPr>
                        <w:t>OEA/Ser.L/V/II</w:t>
                      </w:r>
                    </w:p>
                    <w:p w14:paraId="109EF004" w14:textId="0A35584A" w:rsidR="00816ADF" w:rsidRPr="008A0839" w:rsidRDefault="00816ADF"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419"/>
                        </w:rPr>
                      </w:pPr>
                      <w:r w:rsidRPr="008A0839">
                        <w:rPr>
                          <w:rFonts w:ascii="Calibri" w:hAnsi="Calibri"/>
                          <w:color w:val="FFFFFF"/>
                          <w:sz w:val="22"/>
                          <w:lang w:val="es-419"/>
                        </w:rPr>
                        <w:t>Doc.</w:t>
                      </w:r>
                      <w:r w:rsidR="003E3E5C" w:rsidRPr="008A0839">
                        <w:rPr>
                          <w:rFonts w:ascii="Calibri" w:hAnsi="Calibri"/>
                          <w:color w:val="FFFFFF"/>
                          <w:sz w:val="22"/>
                          <w:lang w:val="es-419"/>
                        </w:rPr>
                        <w:t xml:space="preserve"> 422</w:t>
                      </w:r>
                      <w:r w:rsidRPr="008A0839">
                        <w:rPr>
                          <w:rFonts w:ascii="Calibri" w:hAnsi="Calibri"/>
                          <w:color w:val="FFFFFF"/>
                          <w:sz w:val="22"/>
                          <w:lang w:val="es-419"/>
                        </w:rPr>
                        <w:t xml:space="preserve"> </w:t>
                      </w:r>
                    </w:p>
                    <w:p w14:paraId="3C6A920F" w14:textId="02CBE5B6" w:rsidR="00816ADF" w:rsidRPr="003F6C6C" w:rsidRDefault="003E3E5C"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PA"/>
                        </w:rPr>
                      </w:pPr>
                      <w:r>
                        <w:rPr>
                          <w:rFonts w:ascii="Calibri" w:hAnsi="Calibri"/>
                          <w:color w:val="FFFFFF"/>
                          <w:sz w:val="22"/>
                          <w:lang w:val="es-PA"/>
                        </w:rPr>
                        <w:t>31 diciembre</w:t>
                      </w:r>
                      <w:r w:rsidR="00816ADF" w:rsidRPr="003F6C6C">
                        <w:rPr>
                          <w:rFonts w:ascii="Calibri" w:hAnsi="Calibri"/>
                          <w:color w:val="FFFFFF"/>
                          <w:sz w:val="22"/>
                          <w:lang w:val="es-PA"/>
                        </w:rPr>
                        <w:t xml:space="preserve"> 202</w:t>
                      </w:r>
                      <w:r w:rsidR="000269BA">
                        <w:rPr>
                          <w:rFonts w:ascii="Calibri" w:hAnsi="Calibri"/>
                          <w:color w:val="FFFFFF"/>
                          <w:sz w:val="22"/>
                          <w:lang w:val="es-PA"/>
                        </w:rPr>
                        <w:t>1</w:t>
                      </w:r>
                    </w:p>
                    <w:p w14:paraId="5F7223A9" w14:textId="77777777" w:rsidR="00816ADF" w:rsidRPr="003F6C6C" w:rsidRDefault="00816ADF"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PA"/>
                        </w:rPr>
                      </w:pPr>
                      <w:r w:rsidRPr="003F6C6C">
                        <w:rPr>
                          <w:rFonts w:ascii="Calibri" w:hAnsi="Calibri"/>
                          <w:color w:val="FFFFFF"/>
                          <w:sz w:val="22"/>
                          <w:lang w:val="es-PA"/>
                        </w:rPr>
                        <w:t>Original: español</w:t>
                      </w:r>
                    </w:p>
                  </w:txbxContent>
                </v:textbox>
              </v:shape>
            </w:pict>
          </mc:Fallback>
        </mc:AlternateContent>
      </w:r>
    </w:p>
    <w:p w14:paraId="355E26F8"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0"/>
          <w:szCs w:val="20"/>
          <w:lang w:val="es-ES_tradnl"/>
        </w:rPr>
      </w:pPr>
    </w:p>
    <w:p w14:paraId="7809BA8D"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0"/>
          <w:szCs w:val="20"/>
          <w:lang w:val="es-ES_tradnl"/>
        </w:rPr>
      </w:pPr>
    </w:p>
    <w:p w14:paraId="2846B7D9"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cs="Arial"/>
          <w:sz w:val="20"/>
          <w:szCs w:val="20"/>
          <w:lang w:val="es-ES_tradnl"/>
        </w:rPr>
      </w:pPr>
    </w:p>
    <w:p w14:paraId="3C07C6CA"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0"/>
          <w:szCs w:val="20"/>
          <w:lang w:val="es-ES_tradnl"/>
        </w:rPr>
      </w:pPr>
    </w:p>
    <w:p w14:paraId="11620DC0"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0"/>
          <w:szCs w:val="20"/>
          <w:lang w:val="es-ES_tradnl"/>
        </w:rPr>
      </w:pPr>
    </w:p>
    <w:p w14:paraId="79B63478"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0"/>
          <w:szCs w:val="20"/>
          <w:lang w:val="es-ES_tradnl"/>
        </w:rPr>
      </w:pPr>
    </w:p>
    <w:p w14:paraId="5E07E8DC"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0"/>
          <w:szCs w:val="20"/>
          <w:lang w:val="es-ES_tradnl"/>
        </w:rPr>
      </w:pPr>
    </w:p>
    <w:p w14:paraId="707D3721"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0"/>
          <w:szCs w:val="20"/>
          <w:lang w:val="es-ES_tradnl"/>
        </w:rPr>
      </w:pPr>
    </w:p>
    <w:p w14:paraId="725DE29D"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0"/>
          <w:szCs w:val="20"/>
          <w:lang w:val="es-ES_tradnl"/>
        </w:rPr>
      </w:pPr>
    </w:p>
    <w:p w14:paraId="16CB8CB6" w14:textId="78EF1ACF" w:rsidR="00816ADF" w:rsidRPr="00E943B1" w:rsidRDefault="00816ADF" w:rsidP="007C7F72">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Theme="majorHAnsi" w:hAnsiTheme="majorHAnsi"/>
          <w:sz w:val="20"/>
          <w:szCs w:val="20"/>
          <w:lang w:val="es-ES_tradnl"/>
        </w:rPr>
      </w:pPr>
    </w:p>
    <w:p w14:paraId="07E467E5" w14:textId="607276DC" w:rsidR="007C7F72" w:rsidRPr="00E943B1" w:rsidRDefault="007C7F72" w:rsidP="007C7F72">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Theme="majorHAnsi" w:hAnsiTheme="majorHAnsi"/>
          <w:sz w:val="20"/>
          <w:szCs w:val="20"/>
          <w:lang w:val="es-ES_tradnl"/>
        </w:rPr>
      </w:pPr>
    </w:p>
    <w:p w14:paraId="2246B861" w14:textId="0E1C2EA5" w:rsidR="007C7F72" w:rsidRPr="00E943B1" w:rsidRDefault="007C7F72" w:rsidP="007C7F72">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Theme="majorHAnsi" w:hAnsiTheme="majorHAnsi"/>
          <w:sz w:val="20"/>
          <w:szCs w:val="20"/>
          <w:lang w:val="es-ES_tradnl"/>
        </w:rPr>
      </w:pPr>
    </w:p>
    <w:p w14:paraId="6A361567" w14:textId="37E009BA" w:rsidR="007C7F72" w:rsidRPr="00E943B1" w:rsidRDefault="007C7F72" w:rsidP="007C7F72">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Theme="majorHAnsi" w:hAnsiTheme="majorHAnsi"/>
          <w:sz w:val="20"/>
          <w:szCs w:val="20"/>
          <w:lang w:val="es-ES_tradnl"/>
        </w:rPr>
      </w:pPr>
    </w:p>
    <w:p w14:paraId="28E20155" w14:textId="0159EEC7" w:rsidR="007C7F72" w:rsidRPr="00E943B1" w:rsidRDefault="007C7F72" w:rsidP="007C7F72">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Theme="majorHAnsi" w:hAnsiTheme="majorHAnsi"/>
          <w:sz w:val="20"/>
          <w:szCs w:val="20"/>
          <w:lang w:val="es-ES_tradnl"/>
        </w:rPr>
      </w:pPr>
    </w:p>
    <w:p w14:paraId="7229F40C" w14:textId="4E84738F" w:rsidR="007C7F72" w:rsidRPr="00E943B1" w:rsidRDefault="007C7F72" w:rsidP="007C7F72">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Theme="majorHAnsi" w:hAnsiTheme="majorHAnsi"/>
          <w:sz w:val="20"/>
          <w:szCs w:val="20"/>
          <w:lang w:val="es-ES_tradnl"/>
        </w:rPr>
      </w:pPr>
    </w:p>
    <w:p w14:paraId="4A521C6D" w14:textId="4B195584" w:rsidR="007C7F72" w:rsidRPr="00E943B1" w:rsidRDefault="007C7F72" w:rsidP="007C7F72">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Theme="majorHAnsi" w:hAnsiTheme="majorHAnsi"/>
          <w:sz w:val="20"/>
          <w:szCs w:val="20"/>
          <w:lang w:val="es-ES_tradnl"/>
        </w:rPr>
      </w:pPr>
    </w:p>
    <w:p w14:paraId="25F29394" w14:textId="66145A72" w:rsidR="007C7F72" w:rsidRPr="00E943B1" w:rsidRDefault="007C7F72" w:rsidP="007C7F72">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Theme="majorHAnsi" w:hAnsiTheme="majorHAnsi"/>
          <w:sz w:val="20"/>
          <w:szCs w:val="20"/>
          <w:lang w:val="es-ES_tradnl"/>
        </w:rPr>
      </w:pPr>
    </w:p>
    <w:p w14:paraId="35DEC4C5" w14:textId="7D7CA449" w:rsidR="007C7F72" w:rsidRPr="00E943B1" w:rsidRDefault="007C7F72" w:rsidP="007C7F72">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0"/>
          <w:szCs w:val="20"/>
          <w:lang w:val="es-ES_tradnl"/>
        </w:rPr>
      </w:pPr>
    </w:p>
    <w:p w14:paraId="31B7827A" w14:textId="681542D5" w:rsidR="007C7F72" w:rsidRPr="00E943B1" w:rsidRDefault="007C7F72" w:rsidP="007C7F72">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0"/>
          <w:szCs w:val="20"/>
          <w:lang w:val="es-ES_tradnl"/>
        </w:rPr>
      </w:pPr>
    </w:p>
    <w:p w14:paraId="12B1CE48" w14:textId="4A435F05" w:rsidR="007C7F72" w:rsidRPr="00E943B1" w:rsidRDefault="007C7F72" w:rsidP="007C7F72">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0"/>
          <w:szCs w:val="20"/>
          <w:lang w:val="es-ES_tradnl"/>
        </w:rPr>
      </w:pPr>
    </w:p>
    <w:p w14:paraId="15A12BDE" w14:textId="631CB073" w:rsidR="007C7F72" w:rsidRPr="00E943B1" w:rsidRDefault="007C7F72" w:rsidP="007C7F72">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0"/>
          <w:szCs w:val="20"/>
          <w:lang w:val="es-ES_tradnl"/>
        </w:rPr>
      </w:pPr>
    </w:p>
    <w:p w14:paraId="5EAA0C95" w14:textId="3CB1A40B" w:rsidR="007C7F72" w:rsidRPr="00E943B1" w:rsidRDefault="007C7F72" w:rsidP="007C7F72">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0"/>
          <w:szCs w:val="20"/>
          <w:lang w:val="es-ES_tradnl"/>
        </w:rPr>
      </w:pPr>
    </w:p>
    <w:p w14:paraId="05EF13C4" w14:textId="3FD5EA8B" w:rsidR="007C7F72" w:rsidRPr="00E943B1" w:rsidRDefault="007C7F72" w:rsidP="007C7F72">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0"/>
          <w:szCs w:val="20"/>
          <w:lang w:val="es-ES_tradnl"/>
        </w:rPr>
      </w:pPr>
    </w:p>
    <w:p w14:paraId="0C93B403" w14:textId="196D7E94" w:rsidR="007C7F72" w:rsidRPr="00E943B1" w:rsidRDefault="007C7F72" w:rsidP="007C7F72">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0"/>
          <w:szCs w:val="20"/>
          <w:lang w:val="es-ES_tradnl"/>
        </w:rPr>
      </w:pPr>
    </w:p>
    <w:p w14:paraId="189DC30B" w14:textId="77503736" w:rsidR="007C7F72" w:rsidRPr="00E943B1" w:rsidRDefault="007C7F72" w:rsidP="007C7F72">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0"/>
          <w:szCs w:val="20"/>
          <w:lang w:val="es-ES_tradnl"/>
        </w:rPr>
      </w:pPr>
    </w:p>
    <w:p w14:paraId="5B6317FD" w14:textId="77777777" w:rsidR="007C7F72" w:rsidRPr="00E943B1" w:rsidRDefault="007C7F72" w:rsidP="007C7F72">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0"/>
          <w:szCs w:val="20"/>
          <w:lang w:val="es-ES_tradnl"/>
        </w:rPr>
      </w:pPr>
    </w:p>
    <w:p w14:paraId="418D3615" w14:textId="6160A9FB" w:rsidR="007C7F72" w:rsidRPr="00E943B1" w:rsidRDefault="007C7F72" w:rsidP="007C7F72">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Theme="majorHAnsi" w:hAnsiTheme="majorHAnsi"/>
          <w:sz w:val="20"/>
          <w:szCs w:val="20"/>
          <w:lang w:val="es-ES_tradnl"/>
        </w:rPr>
      </w:pPr>
    </w:p>
    <w:p w14:paraId="5465E0AB" w14:textId="77777777" w:rsidR="007C7F72" w:rsidRPr="00E943B1" w:rsidRDefault="007C7F72" w:rsidP="007C7F72">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Theme="majorHAnsi" w:hAnsiTheme="majorHAnsi"/>
          <w:sz w:val="20"/>
          <w:szCs w:val="20"/>
          <w:lang w:val="es-ES_tradnl"/>
        </w:rPr>
      </w:pPr>
    </w:p>
    <w:p w14:paraId="19E1D658" w14:textId="0337BEDE" w:rsidR="00816ADF" w:rsidRPr="00E943B1" w:rsidRDefault="0078201B" w:rsidP="00232A5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0"/>
          <w:szCs w:val="20"/>
          <w:lang w:val="es-ES_tradnl"/>
        </w:rPr>
      </w:pPr>
      <w:r w:rsidRPr="00E943B1">
        <w:rPr>
          <w:rFonts w:asciiTheme="majorHAnsi" w:hAnsiTheme="majorHAnsi"/>
          <w:noProof/>
          <w:sz w:val="20"/>
          <w:szCs w:val="20"/>
        </w:rPr>
        <mc:AlternateContent>
          <mc:Choice Requires="wps">
            <w:drawing>
              <wp:anchor distT="0" distB="0" distL="114300" distR="114300" simplePos="0" relativeHeight="251656192" behindDoc="0" locked="0" layoutInCell="1" allowOverlap="1" wp14:anchorId="5F72B443" wp14:editId="1C5BA78E">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54D0E" w14:textId="5C5AA7E7" w:rsidR="00816ADF" w:rsidRPr="003F6C6C" w:rsidRDefault="00816ADF" w:rsidP="00DD3D86">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lang w:val="es-ES"/>
                              </w:rPr>
                            </w:pPr>
                            <w:r w:rsidRPr="003F6C6C">
                              <w:rPr>
                                <w:rFonts w:ascii="Cambria" w:hAnsi="Cambria"/>
                                <w:color w:val="0D0D0D"/>
                                <w:sz w:val="18"/>
                                <w:szCs w:val="22"/>
                                <w:lang w:val="es-ES"/>
                              </w:rPr>
                              <w:t xml:space="preserve">Aprobado </w:t>
                            </w:r>
                            <w:proofErr w:type="spellStart"/>
                            <w:r w:rsidRPr="003F6C6C">
                              <w:rPr>
                                <w:rFonts w:ascii="Cambria" w:hAnsi="Cambria"/>
                                <w:color w:val="0D0D0D"/>
                                <w:sz w:val="18"/>
                                <w:szCs w:val="22"/>
                                <w:lang w:val="es-ES"/>
                              </w:rPr>
                              <w:t>electr</w:t>
                            </w:r>
                            <w:r w:rsidRPr="003F6C6C">
                              <w:rPr>
                                <w:rFonts w:ascii="Cambria" w:hAnsi="Cambria"/>
                                <w:color w:val="0D0D0D"/>
                                <w:sz w:val="18"/>
                                <w:szCs w:val="22"/>
                                <w:lang w:val="es-ES_tradnl"/>
                              </w:rPr>
                              <w:t>ónicamente</w:t>
                            </w:r>
                            <w:proofErr w:type="spellEnd"/>
                            <w:r w:rsidRPr="003F6C6C">
                              <w:rPr>
                                <w:rFonts w:ascii="Cambria" w:hAnsi="Cambria"/>
                                <w:color w:val="0D0D0D"/>
                                <w:sz w:val="18"/>
                                <w:szCs w:val="22"/>
                                <w:lang w:val="es-ES"/>
                              </w:rPr>
                              <w:t xml:space="preserve"> por la Comisión el </w:t>
                            </w:r>
                            <w:r w:rsidR="007D2772">
                              <w:rPr>
                                <w:rFonts w:ascii="Cambria" w:hAnsi="Cambria"/>
                                <w:color w:val="0D0D0D"/>
                                <w:sz w:val="18"/>
                                <w:szCs w:val="22"/>
                                <w:lang w:val="es-ES"/>
                              </w:rPr>
                              <w:t>31</w:t>
                            </w:r>
                            <w:r w:rsidRPr="003F6C6C">
                              <w:rPr>
                                <w:rFonts w:ascii="Cambria" w:hAnsi="Cambria"/>
                                <w:color w:val="0D0D0D"/>
                                <w:sz w:val="18"/>
                                <w:szCs w:val="22"/>
                                <w:lang w:val="es-ES"/>
                              </w:rPr>
                              <w:t xml:space="preserve"> de </w:t>
                            </w:r>
                            <w:r w:rsidR="007D2772">
                              <w:rPr>
                                <w:rFonts w:ascii="Cambria" w:hAnsi="Cambria"/>
                                <w:color w:val="0D0D0D"/>
                                <w:sz w:val="18"/>
                                <w:szCs w:val="22"/>
                                <w:lang w:val="es-ES"/>
                              </w:rPr>
                              <w:t>diciembre</w:t>
                            </w:r>
                            <w:r w:rsidRPr="003F6C6C">
                              <w:rPr>
                                <w:rFonts w:ascii="Cambria" w:hAnsi="Cambria"/>
                                <w:color w:val="0D0D0D"/>
                                <w:sz w:val="18"/>
                                <w:szCs w:val="22"/>
                                <w:lang w:val="es-ES"/>
                              </w:rPr>
                              <w:t xml:space="preserve"> de 202</w:t>
                            </w:r>
                            <w:r w:rsidR="007D2772">
                              <w:rPr>
                                <w:rFonts w:ascii="Cambria" w:hAnsi="Cambria"/>
                                <w:color w:val="0D0D0D"/>
                                <w:sz w:val="18"/>
                                <w:szCs w:val="22"/>
                                <w:lang w:val="es-ES"/>
                              </w:rPr>
                              <w:t>1</w:t>
                            </w:r>
                            <w:r w:rsidR="001B1B14">
                              <w:rPr>
                                <w:rFonts w:ascii="Cambria" w:hAnsi="Cambria"/>
                                <w:color w:val="0D0D0D"/>
                                <w:sz w:val="18"/>
                                <w:szCs w:val="22"/>
                                <w:lang w:val="es-ES"/>
                              </w:rPr>
                              <w:t>.</w:t>
                            </w:r>
                          </w:p>
                          <w:p w14:paraId="181A1909" w14:textId="77777777" w:rsidR="00816ADF" w:rsidRPr="003F6C6C" w:rsidRDefault="00816ADF"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14:paraId="3C3F26FE" w14:textId="77777777" w:rsidR="00816ADF" w:rsidRPr="003F6C6C" w:rsidRDefault="00816ADF"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F72B443"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" filled="f" stroked="f" strokeweight=".5pt">
                <v:textbox>
                  <w:txbxContent>
                    <w:p w14:paraId="7D754D0E" w14:textId="5C5AA7E7" w:rsidR="00816ADF" w:rsidRPr="003F6C6C" w:rsidRDefault="00816ADF" w:rsidP="00DD3D86">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lang w:val="es-ES"/>
                        </w:rPr>
                      </w:pPr>
                      <w:r w:rsidRPr="003F6C6C">
                        <w:rPr>
                          <w:rFonts w:ascii="Cambria" w:hAnsi="Cambria"/>
                          <w:color w:val="0D0D0D"/>
                          <w:sz w:val="18"/>
                          <w:szCs w:val="22"/>
                          <w:lang w:val="es-ES"/>
                        </w:rPr>
                        <w:t xml:space="preserve">Aprobado </w:t>
                      </w:r>
                      <w:proofErr w:type="spellStart"/>
                      <w:r w:rsidRPr="003F6C6C">
                        <w:rPr>
                          <w:rFonts w:ascii="Cambria" w:hAnsi="Cambria"/>
                          <w:color w:val="0D0D0D"/>
                          <w:sz w:val="18"/>
                          <w:szCs w:val="22"/>
                          <w:lang w:val="es-ES"/>
                        </w:rPr>
                        <w:t>electr</w:t>
                      </w:r>
                      <w:r w:rsidRPr="003F6C6C">
                        <w:rPr>
                          <w:rFonts w:ascii="Cambria" w:hAnsi="Cambria"/>
                          <w:color w:val="0D0D0D"/>
                          <w:sz w:val="18"/>
                          <w:szCs w:val="22"/>
                          <w:lang w:val="es-ES_tradnl"/>
                        </w:rPr>
                        <w:t>ónicamente</w:t>
                      </w:r>
                      <w:proofErr w:type="spellEnd"/>
                      <w:r w:rsidRPr="003F6C6C">
                        <w:rPr>
                          <w:rFonts w:ascii="Cambria" w:hAnsi="Cambria"/>
                          <w:color w:val="0D0D0D"/>
                          <w:sz w:val="18"/>
                          <w:szCs w:val="22"/>
                          <w:lang w:val="es-ES"/>
                        </w:rPr>
                        <w:t xml:space="preserve"> por la Comisión el </w:t>
                      </w:r>
                      <w:r w:rsidR="007D2772">
                        <w:rPr>
                          <w:rFonts w:ascii="Cambria" w:hAnsi="Cambria"/>
                          <w:color w:val="0D0D0D"/>
                          <w:sz w:val="18"/>
                          <w:szCs w:val="22"/>
                          <w:lang w:val="es-ES"/>
                        </w:rPr>
                        <w:t>31</w:t>
                      </w:r>
                      <w:r w:rsidRPr="003F6C6C">
                        <w:rPr>
                          <w:rFonts w:ascii="Cambria" w:hAnsi="Cambria"/>
                          <w:color w:val="0D0D0D"/>
                          <w:sz w:val="18"/>
                          <w:szCs w:val="22"/>
                          <w:lang w:val="es-ES"/>
                        </w:rPr>
                        <w:t xml:space="preserve"> de </w:t>
                      </w:r>
                      <w:r w:rsidR="007D2772">
                        <w:rPr>
                          <w:rFonts w:ascii="Cambria" w:hAnsi="Cambria"/>
                          <w:color w:val="0D0D0D"/>
                          <w:sz w:val="18"/>
                          <w:szCs w:val="22"/>
                          <w:lang w:val="es-ES"/>
                        </w:rPr>
                        <w:t>diciembre</w:t>
                      </w:r>
                      <w:r w:rsidRPr="003F6C6C">
                        <w:rPr>
                          <w:rFonts w:ascii="Cambria" w:hAnsi="Cambria"/>
                          <w:color w:val="0D0D0D"/>
                          <w:sz w:val="18"/>
                          <w:szCs w:val="22"/>
                          <w:lang w:val="es-ES"/>
                        </w:rPr>
                        <w:t xml:space="preserve"> de 202</w:t>
                      </w:r>
                      <w:r w:rsidR="007D2772">
                        <w:rPr>
                          <w:rFonts w:ascii="Cambria" w:hAnsi="Cambria"/>
                          <w:color w:val="0D0D0D"/>
                          <w:sz w:val="18"/>
                          <w:szCs w:val="22"/>
                          <w:lang w:val="es-ES"/>
                        </w:rPr>
                        <w:t>1</w:t>
                      </w:r>
                      <w:r w:rsidR="001B1B14">
                        <w:rPr>
                          <w:rFonts w:ascii="Cambria" w:hAnsi="Cambria"/>
                          <w:color w:val="0D0D0D"/>
                          <w:sz w:val="18"/>
                          <w:szCs w:val="22"/>
                          <w:lang w:val="es-ES"/>
                        </w:rPr>
                        <w:t>.</w:t>
                      </w:r>
                    </w:p>
                    <w:p w14:paraId="181A1909" w14:textId="77777777" w:rsidR="00816ADF" w:rsidRPr="003F6C6C" w:rsidRDefault="00816ADF"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14:paraId="3C3F26FE" w14:textId="77777777" w:rsidR="00816ADF" w:rsidRPr="003F6C6C" w:rsidRDefault="00816ADF"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v:textbox>
              </v:shape>
            </w:pict>
          </mc:Fallback>
        </mc:AlternateContent>
      </w:r>
    </w:p>
    <w:p w14:paraId="07E8B89A"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0"/>
          <w:szCs w:val="20"/>
          <w:lang w:val="es-ES_tradnl"/>
        </w:rPr>
      </w:pPr>
    </w:p>
    <w:p w14:paraId="05FE9C21"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0"/>
          <w:szCs w:val="20"/>
          <w:lang w:val="es-ES_tradnl"/>
        </w:rPr>
      </w:pPr>
    </w:p>
    <w:p w14:paraId="13B84999"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0"/>
          <w:szCs w:val="20"/>
          <w:lang w:val="es-ES_tradnl"/>
        </w:rPr>
      </w:pPr>
    </w:p>
    <w:p w14:paraId="1FEC417C"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0"/>
          <w:szCs w:val="20"/>
          <w:lang w:val="es-ES_tradnl"/>
        </w:rPr>
      </w:pPr>
    </w:p>
    <w:p w14:paraId="4598EFCA" w14:textId="2818538E" w:rsidR="00816ADF" w:rsidRPr="00E943B1" w:rsidRDefault="0078201B" w:rsidP="00232A5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0"/>
          <w:szCs w:val="20"/>
          <w:lang w:val="es-ES_tradnl"/>
        </w:rPr>
      </w:pPr>
      <w:r w:rsidRPr="00E943B1">
        <w:rPr>
          <w:rFonts w:asciiTheme="majorHAnsi" w:hAnsiTheme="majorHAnsi"/>
          <w:noProof/>
          <w:sz w:val="20"/>
          <w:szCs w:val="20"/>
        </w:rPr>
        <mc:AlternateContent>
          <mc:Choice Requires="wps">
            <w:drawing>
              <wp:anchor distT="0" distB="0" distL="114300" distR="114300" simplePos="0" relativeHeight="251659264" behindDoc="0" locked="0" layoutInCell="1" allowOverlap="1" wp14:anchorId="4E7A5943" wp14:editId="4B20102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12032F" w14:textId="337DFF30" w:rsidR="00816ADF" w:rsidRPr="003F6C6C" w:rsidRDefault="00816ADF"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3F6C6C">
                              <w:rPr>
                                <w:rFonts w:ascii="Cambria" w:hAnsi="Cambria"/>
                                <w:b/>
                                <w:color w:val="595959"/>
                                <w:sz w:val="18"/>
                                <w:szCs w:val="18"/>
                                <w:lang w:val="pt-BR"/>
                              </w:rPr>
                              <w:t>Citar como:</w:t>
                            </w:r>
                            <w:r w:rsidRPr="003F6C6C">
                              <w:rPr>
                                <w:rFonts w:ascii="Cambria" w:hAnsi="Cambria"/>
                                <w:color w:val="595959"/>
                                <w:sz w:val="18"/>
                                <w:szCs w:val="18"/>
                                <w:lang w:val="pt-BR"/>
                              </w:rPr>
                              <w:t xml:space="preserve"> CIDH, Informe No. </w:t>
                            </w:r>
                            <w:r w:rsidR="008033AB" w:rsidRPr="008033AB">
                              <w:rPr>
                                <w:rFonts w:ascii="Cambria" w:hAnsi="Cambria"/>
                                <w:color w:val="595959"/>
                                <w:sz w:val="18"/>
                                <w:szCs w:val="18"/>
                                <w:lang w:val="pt-BR"/>
                              </w:rPr>
                              <w:t>410</w:t>
                            </w:r>
                            <w:r w:rsidRPr="008033AB">
                              <w:rPr>
                                <w:rFonts w:ascii="Cambria" w:hAnsi="Cambria"/>
                                <w:color w:val="595959"/>
                                <w:sz w:val="18"/>
                                <w:szCs w:val="18"/>
                                <w:lang w:val="pt-BR"/>
                              </w:rPr>
                              <w:t>/2</w:t>
                            </w:r>
                            <w:r w:rsidR="008033AB" w:rsidRPr="008033AB">
                              <w:rPr>
                                <w:rFonts w:ascii="Cambria" w:hAnsi="Cambria"/>
                                <w:color w:val="595959"/>
                                <w:sz w:val="18"/>
                                <w:szCs w:val="18"/>
                                <w:lang w:val="pt-BR"/>
                              </w:rPr>
                              <w:t>1</w:t>
                            </w:r>
                            <w:r w:rsidRPr="008033AB">
                              <w:rPr>
                                <w:rFonts w:ascii="Cambria" w:hAnsi="Cambria"/>
                                <w:color w:val="595959"/>
                                <w:sz w:val="18"/>
                                <w:szCs w:val="18"/>
                                <w:lang w:val="pt-BR"/>
                              </w:rPr>
                              <w:t xml:space="preserve">. </w:t>
                            </w:r>
                            <w:r w:rsidRPr="003F6C6C">
                              <w:rPr>
                                <w:rFonts w:ascii="Cambria" w:hAnsi="Cambria"/>
                                <w:color w:val="595959"/>
                                <w:sz w:val="18"/>
                                <w:szCs w:val="18"/>
                                <w:lang w:val="es-ES_tradnl"/>
                              </w:rPr>
                              <w:t>Admisibilidad. Benedicta Avendaño de Ogalde</w:t>
                            </w:r>
                            <w:r w:rsidR="008033AB">
                              <w:rPr>
                                <w:rFonts w:ascii="Cambria" w:hAnsi="Cambria"/>
                                <w:color w:val="595959"/>
                                <w:sz w:val="18"/>
                                <w:szCs w:val="18"/>
                                <w:lang w:val="es-ES_tradnl"/>
                              </w:rPr>
                              <w:t xml:space="preserve"> y otros</w:t>
                            </w:r>
                            <w:r w:rsidRPr="003F6C6C">
                              <w:rPr>
                                <w:rFonts w:ascii="Cambria" w:hAnsi="Cambria"/>
                                <w:color w:val="595959"/>
                                <w:sz w:val="18"/>
                                <w:szCs w:val="18"/>
                                <w:lang w:val="es-ES_tradnl"/>
                              </w:rPr>
                              <w:t xml:space="preserve">. Argentina. </w:t>
                            </w:r>
                            <w:r w:rsidR="008033AB">
                              <w:rPr>
                                <w:rFonts w:ascii="Cambria" w:hAnsi="Cambria"/>
                                <w:color w:val="595959"/>
                                <w:sz w:val="18"/>
                                <w:szCs w:val="18"/>
                                <w:lang w:val="es-ES"/>
                              </w:rPr>
                              <w:t>31 de diciembre de 2021</w:t>
                            </w:r>
                            <w:r w:rsidRPr="003F6C6C">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7A5943"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" filled="f" stroked="f" strokeweight=".5pt">
                <v:textbox>
                  <w:txbxContent>
                    <w:p w14:paraId="4F12032F" w14:textId="337DFF30" w:rsidR="00816ADF" w:rsidRPr="003F6C6C" w:rsidRDefault="00816ADF"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3F6C6C">
                        <w:rPr>
                          <w:rFonts w:ascii="Cambria" w:hAnsi="Cambria"/>
                          <w:b/>
                          <w:color w:val="595959"/>
                          <w:sz w:val="18"/>
                          <w:szCs w:val="18"/>
                          <w:lang w:val="pt-BR"/>
                        </w:rPr>
                        <w:t>Citar como:</w:t>
                      </w:r>
                      <w:r w:rsidRPr="003F6C6C">
                        <w:rPr>
                          <w:rFonts w:ascii="Cambria" w:hAnsi="Cambria"/>
                          <w:color w:val="595959"/>
                          <w:sz w:val="18"/>
                          <w:szCs w:val="18"/>
                          <w:lang w:val="pt-BR"/>
                        </w:rPr>
                        <w:t xml:space="preserve"> CIDH, Informe No. </w:t>
                      </w:r>
                      <w:r w:rsidR="008033AB" w:rsidRPr="008033AB">
                        <w:rPr>
                          <w:rFonts w:ascii="Cambria" w:hAnsi="Cambria"/>
                          <w:color w:val="595959"/>
                          <w:sz w:val="18"/>
                          <w:szCs w:val="18"/>
                          <w:lang w:val="pt-BR"/>
                        </w:rPr>
                        <w:t>410</w:t>
                      </w:r>
                      <w:r w:rsidRPr="008033AB">
                        <w:rPr>
                          <w:rFonts w:ascii="Cambria" w:hAnsi="Cambria"/>
                          <w:color w:val="595959"/>
                          <w:sz w:val="18"/>
                          <w:szCs w:val="18"/>
                          <w:lang w:val="pt-BR"/>
                        </w:rPr>
                        <w:t>/2</w:t>
                      </w:r>
                      <w:r w:rsidR="008033AB" w:rsidRPr="008033AB">
                        <w:rPr>
                          <w:rFonts w:ascii="Cambria" w:hAnsi="Cambria"/>
                          <w:color w:val="595959"/>
                          <w:sz w:val="18"/>
                          <w:szCs w:val="18"/>
                          <w:lang w:val="pt-BR"/>
                        </w:rPr>
                        <w:t>1</w:t>
                      </w:r>
                      <w:r w:rsidRPr="008033AB">
                        <w:rPr>
                          <w:rFonts w:ascii="Cambria" w:hAnsi="Cambria"/>
                          <w:color w:val="595959"/>
                          <w:sz w:val="18"/>
                          <w:szCs w:val="18"/>
                          <w:lang w:val="pt-BR"/>
                        </w:rPr>
                        <w:t xml:space="preserve">. </w:t>
                      </w:r>
                      <w:r w:rsidRPr="003F6C6C">
                        <w:rPr>
                          <w:rFonts w:ascii="Cambria" w:hAnsi="Cambria"/>
                          <w:color w:val="595959"/>
                          <w:sz w:val="18"/>
                          <w:szCs w:val="18"/>
                          <w:lang w:val="es-ES_tradnl"/>
                        </w:rPr>
                        <w:t>Admisibilidad. Benedicta Avendaño de Ogalde</w:t>
                      </w:r>
                      <w:r w:rsidR="008033AB">
                        <w:rPr>
                          <w:rFonts w:ascii="Cambria" w:hAnsi="Cambria"/>
                          <w:color w:val="595959"/>
                          <w:sz w:val="18"/>
                          <w:szCs w:val="18"/>
                          <w:lang w:val="es-ES_tradnl"/>
                        </w:rPr>
                        <w:t xml:space="preserve"> y otros</w:t>
                      </w:r>
                      <w:r w:rsidRPr="003F6C6C">
                        <w:rPr>
                          <w:rFonts w:ascii="Cambria" w:hAnsi="Cambria"/>
                          <w:color w:val="595959"/>
                          <w:sz w:val="18"/>
                          <w:szCs w:val="18"/>
                          <w:lang w:val="es-ES_tradnl"/>
                        </w:rPr>
                        <w:t xml:space="preserve">. Argentina. </w:t>
                      </w:r>
                      <w:r w:rsidR="008033AB">
                        <w:rPr>
                          <w:rFonts w:ascii="Cambria" w:hAnsi="Cambria"/>
                          <w:color w:val="595959"/>
                          <w:sz w:val="18"/>
                          <w:szCs w:val="18"/>
                          <w:lang w:val="es-ES"/>
                        </w:rPr>
                        <w:t>31 de diciembre de 2021</w:t>
                      </w:r>
                      <w:r w:rsidRPr="003F6C6C">
                        <w:rPr>
                          <w:rFonts w:ascii="Cambria" w:hAnsi="Cambria"/>
                          <w:color w:val="595959"/>
                          <w:sz w:val="18"/>
                          <w:szCs w:val="18"/>
                          <w:lang w:val="es-ES"/>
                        </w:rPr>
                        <w:t>.</w:t>
                      </w:r>
                    </w:p>
                  </w:txbxContent>
                </v:textbox>
              </v:shape>
            </w:pict>
          </mc:Fallback>
        </mc:AlternateContent>
      </w:r>
    </w:p>
    <w:p w14:paraId="1733E5A3"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0"/>
          <w:szCs w:val="20"/>
          <w:lang w:val="es-ES_tradnl"/>
        </w:rPr>
      </w:pPr>
    </w:p>
    <w:p w14:paraId="3CFD5C1B" w14:textId="4FA68374" w:rsidR="00816ADF" w:rsidRPr="00E943B1" w:rsidRDefault="0078201B" w:rsidP="00232A5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b/>
          <w:sz w:val="20"/>
          <w:szCs w:val="20"/>
          <w:lang w:val="es-ES_tradnl"/>
        </w:rPr>
      </w:pPr>
      <w:r w:rsidRPr="00E943B1">
        <w:rPr>
          <w:rFonts w:asciiTheme="majorHAnsi" w:hAnsiTheme="majorHAnsi"/>
          <w:noProof/>
          <w:sz w:val="20"/>
          <w:szCs w:val="20"/>
        </w:rPr>
        <mc:AlternateContent>
          <mc:Choice Requires="wps">
            <w:drawing>
              <wp:anchor distT="0" distB="0" distL="114300" distR="114300" simplePos="0" relativeHeight="251661312" behindDoc="0" locked="0" layoutInCell="1" allowOverlap="1" wp14:anchorId="32297E10" wp14:editId="2901A63C">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501A35" w14:textId="77777777" w:rsidR="00816ADF" w:rsidRPr="003F6C6C" w:rsidRDefault="00816ADF"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3F6C6C">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297E10" id="Text Box 4" o:spid="_x0000_s1031" type="#_x0000_t202" style="position:absolute;left:0;text-align:left;margin-left:-21.45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xe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" filled="f" stroked="f" strokeweight=".5pt">
                <v:textbox>
                  <w:txbxContent>
                    <w:p w14:paraId="3D501A35" w14:textId="77777777" w:rsidR="00816ADF" w:rsidRPr="003F6C6C" w:rsidRDefault="00816ADF"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3F6C6C">
                        <w:rPr>
                          <w:rFonts w:ascii="Calibri" w:hAnsi="Calibri"/>
                          <w:b/>
                          <w:color w:val="FFFFFF"/>
                          <w:lang w:val="pt-BR"/>
                        </w:rPr>
                        <w:t>www.cidh.org</w:t>
                      </w:r>
                    </w:p>
                  </w:txbxContent>
                </v:textbox>
              </v:shape>
            </w:pict>
          </mc:Fallback>
        </mc:AlternateContent>
      </w:r>
    </w:p>
    <w:p w14:paraId="67CB17F9" w14:textId="77777777" w:rsidR="007C7F72" w:rsidRPr="00E943B1" w:rsidRDefault="007C7F72" w:rsidP="00232A5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b/>
          <w:sz w:val="20"/>
          <w:szCs w:val="20"/>
          <w:lang w:val="es-ES_tradnl"/>
        </w:rPr>
      </w:pPr>
    </w:p>
    <w:p w14:paraId="0B69E7D2" w14:textId="77777777" w:rsidR="007C7F72" w:rsidRPr="00E943B1" w:rsidRDefault="007C7F72" w:rsidP="00232A5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b/>
          <w:sz w:val="20"/>
          <w:szCs w:val="20"/>
          <w:lang w:val="es-ES_tradnl"/>
        </w:rPr>
      </w:pPr>
    </w:p>
    <w:p w14:paraId="5EC352FF" w14:textId="420DDDC5" w:rsidR="00816ADF" w:rsidRPr="00E943B1" w:rsidRDefault="008033AB" w:rsidP="00232A5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b/>
          <w:sz w:val="20"/>
          <w:szCs w:val="20"/>
          <w:lang w:val="es-ES_tradnl"/>
        </w:rPr>
        <w:sectPr w:rsidR="00816ADF" w:rsidRPr="00E943B1"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rtlGutter/>
          <w:docGrid w:linePitch="326"/>
        </w:sectPr>
      </w:pPr>
      <w:r w:rsidRPr="00E943B1">
        <w:rPr>
          <w:rFonts w:asciiTheme="majorHAnsi" w:hAnsiTheme="majorHAnsi"/>
          <w:noProof/>
          <w:sz w:val="20"/>
          <w:szCs w:val="20"/>
        </w:rPr>
        <mc:AlternateContent>
          <mc:Choice Requires="wps">
            <w:drawing>
              <wp:anchor distT="0" distB="0" distL="114300" distR="114300" simplePos="0" relativeHeight="251660288" behindDoc="0" locked="0" layoutInCell="1" allowOverlap="1" wp14:anchorId="46BF40E5" wp14:editId="4D69E708">
                <wp:simplePos x="0" y="0"/>
                <wp:positionH relativeFrom="column">
                  <wp:posOffset>1329690</wp:posOffset>
                </wp:positionH>
                <wp:positionV relativeFrom="paragraph">
                  <wp:posOffset>333466</wp:posOffset>
                </wp:positionV>
                <wp:extent cx="4096385" cy="567055"/>
                <wp:effectExtent l="0" t="0" r="0" b="444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5670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5CD9877" w14:textId="7A778AC9" w:rsidR="00816ADF" w:rsidRPr="003F6C6C" w:rsidRDefault="00B47449"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themeColor="background1"/>
                              </w:rPr>
                              <w:drawing>
                                <wp:inline distT="0" distB="0" distL="0" distR="0" wp14:anchorId="571429FE" wp14:editId="3B9BE18C">
                                  <wp:extent cx="1824355" cy="469265"/>
                                  <wp:effectExtent l="0" t="0" r="4445" b="6985"/>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F40E5" id="_x0000_t202" coordsize="21600,21600" o:spt="202" path="m,l,21600r21600,l21600,xe">
                <v:stroke joinstyle="miter"/>
                <v:path gradientshapeok="t" o:connecttype="rect"/>
              </v:shapetype>
              <v:shape id="Text Box 9" o:spid="_x0000_s1032" type="#_x0000_t202" style="position:absolute;left:0;text-align:left;margin-left:104.7pt;margin-top:26.25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" stroked="f" strokeweight=".5pt">
                <v:textbox>
                  <w:txbxContent>
                    <w:p w14:paraId="05CD9877" w14:textId="7A778AC9" w:rsidR="00816ADF" w:rsidRPr="003F6C6C" w:rsidRDefault="00B47449"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themeColor="background1"/>
                        </w:rPr>
                        <w:drawing>
                          <wp:inline distT="0" distB="0" distL="0" distR="0" wp14:anchorId="571429FE" wp14:editId="3B9BE18C">
                            <wp:extent cx="1824355" cy="469265"/>
                            <wp:effectExtent l="0" t="0" r="4445" b="6985"/>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816ADF" w:rsidRPr="00E943B1">
        <w:rPr>
          <w:rFonts w:asciiTheme="majorHAnsi" w:hAnsiTheme="majorHAnsi"/>
          <w:b/>
          <w:sz w:val="20"/>
          <w:szCs w:val="20"/>
          <w:lang w:val="es-ES_tradnl"/>
        </w:rPr>
        <w:tab/>
      </w:r>
    </w:p>
    <w:p w14:paraId="0653DCA7" w14:textId="2C3E8CAC" w:rsidR="00816ADF" w:rsidRPr="008223A7" w:rsidRDefault="00816ADF" w:rsidP="008223A7">
      <w:pPr>
        <w:pStyle w:val="ListParagraph"/>
        <w:numPr>
          <w:ilvl w:val="0"/>
          <w:numId w:val="58"/>
        </w:numPr>
        <w:pBdr>
          <w:top w:val="none" w:sz="0" w:space="0" w:color="auto"/>
          <w:left w:val="none" w:sz="0" w:space="0" w:color="auto"/>
          <w:bottom w:val="none" w:sz="0" w:space="0" w:color="auto"/>
          <w:right w:val="none" w:sz="0" w:space="0" w:color="auto"/>
          <w:bar w:val="none" w:sz="0" w:color="auto"/>
        </w:pBdr>
        <w:jc w:val="both"/>
        <w:rPr>
          <w:rFonts w:asciiTheme="majorHAnsi" w:hAnsiTheme="majorHAnsi"/>
          <w:b/>
          <w:bCs/>
          <w:sz w:val="20"/>
          <w:szCs w:val="20"/>
          <w:lang w:val="es-ES"/>
        </w:rPr>
      </w:pPr>
      <w:r w:rsidRPr="008223A7">
        <w:rPr>
          <w:rFonts w:asciiTheme="majorHAnsi" w:hAnsiTheme="majorHAnsi"/>
          <w:b/>
          <w:bCs/>
          <w:sz w:val="20"/>
          <w:szCs w:val="20"/>
          <w:lang w:val="es-ES"/>
        </w:rPr>
        <w:lastRenderedPageBreak/>
        <w:t xml:space="preserve">DATOS DE LA PETICIÓN </w:t>
      </w:r>
    </w:p>
    <w:p w14:paraId="57B3EAAB" w14:textId="77777777" w:rsidR="008223A7" w:rsidRPr="008223A7" w:rsidRDefault="008223A7" w:rsidP="008223A7">
      <w:pPr>
        <w:pStyle w:val="ListParagraph"/>
        <w:pBdr>
          <w:top w:val="none" w:sz="0" w:space="0" w:color="auto"/>
          <w:left w:val="none" w:sz="0" w:space="0" w:color="auto"/>
          <w:bottom w:val="none" w:sz="0" w:space="0" w:color="auto"/>
          <w:right w:val="none" w:sz="0" w:space="0" w:color="auto"/>
          <w:bar w:val="none" w:sz="0" w:color="auto"/>
        </w:pBdr>
        <w:ind w:left="1440"/>
        <w:jc w:val="both"/>
        <w:rPr>
          <w:rFonts w:asciiTheme="majorHAnsi" w:hAnsiTheme="majorHAnsi"/>
          <w:b/>
          <w:bCs/>
          <w:sz w:val="20"/>
          <w:szCs w:val="20"/>
          <w:lang w:val="es-ES"/>
        </w:rPr>
      </w:pP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00"/>
        <w:gridCol w:w="5760"/>
      </w:tblGrid>
      <w:tr w:rsidR="00816ADF" w:rsidRPr="00E943B1" w14:paraId="22B2E5DE" w14:textId="77777777" w:rsidTr="003F6C6C">
        <w:tc>
          <w:tcPr>
            <w:tcW w:w="3600" w:type="dxa"/>
            <w:tcBorders>
              <w:top w:val="single" w:sz="4" w:space="0" w:color="auto"/>
            </w:tcBorders>
            <w:shd w:val="clear" w:color="auto" w:fill="386294"/>
            <w:vAlign w:val="center"/>
          </w:tcPr>
          <w:p w14:paraId="5A44A83E"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jc w:val="center"/>
              <w:rPr>
                <w:rFonts w:asciiTheme="majorHAnsi" w:hAnsiTheme="majorHAnsi"/>
                <w:b/>
                <w:bCs/>
                <w:color w:val="FFFFFF"/>
                <w:sz w:val="20"/>
                <w:szCs w:val="20"/>
              </w:rPr>
            </w:pPr>
            <w:r w:rsidRPr="00E943B1">
              <w:rPr>
                <w:rFonts w:asciiTheme="majorHAnsi" w:hAnsiTheme="majorHAnsi"/>
                <w:b/>
                <w:bCs/>
                <w:color w:val="FFFFFF"/>
                <w:sz w:val="20"/>
                <w:szCs w:val="20"/>
              </w:rPr>
              <w:t xml:space="preserve">Parte </w:t>
            </w:r>
            <w:r w:rsidRPr="00123DE0">
              <w:rPr>
                <w:rFonts w:asciiTheme="majorHAnsi" w:hAnsiTheme="majorHAnsi"/>
                <w:b/>
                <w:bCs/>
                <w:color w:val="FFFFFF"/>
                <w:sz w:val="20"/>
                <w:szCs w:val="20"/>
                <w:lang w:val="es-ES"/>
              </w:rPr>
              <w:t>peticionaria</w:t>
            </w:r>
            <w:r w:rsidRPr="00E943B1">
              <w:rPr>
                <w:rFonts w:asciiTheme="majorHAnsi" w:hAnsiTheme="majorHAnsi"/>
                <w:b/>
                <w:bCs/>
                <w:color w:val="FFFFFF"/>
                <w:sz w:val="20"/>
                <w:szCs w:val="20"/>
              </w:rPr>
              <w:t>:</w:t>
            </w:r>
          </w:p>
        </w:tc>
        <w:tc>
          <w:tcPr>
            <w:tcW w:w="5760" w:type="dxa"/>
            <w:tcBorders>
              <w:top w:val="single" w:sz="4" w:space="0" w:color="auto"/>
            </w:tcBorders>
            <w:vAlign w:val="center"/>
          </w:tcPr>
          <w:p w14:paraId="16F7277F"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PA"/>
              </w:rPr>
            </w:pPr>
            <w:r w:rsidRPr="00E943B1">
              <w:rPr>
                <w:rFonts w:asciiTheme="majorHAnsi" w:hAnsiTheme="majorHAnsi"/>
                <w:sz w:val="20"/>
                <w:szCs w:val="20"/>
                <w:lang w:val="es-ES_tradnl"/>
              </w:rPr>
              <w:t>José Wenceslao Peñaloza</w:t>
            </w:r>
          </w:p>
        </w:tc>
      </w:tr>
      <w:tr w:rsidR="00816ADF" w:rsidRPr="001B1B14" w14:paraId="164242A4" w14:textId="77777777" w:rsidTr="003F6C6C">
        <w:tc>
          <w:tcPr>
            <w:tcW w:w="3600" w:type="dxa"/>
            <w:shd w:val="clear" w:color="auto" w:fill="386294"/>
            <w:vAlign w:val="center"/>
          </w:tcPr>
          <w:p w14:paraId="44292800"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jc w:val="center"/>
              <w:rPr>
                <w:rFonts w:asciiTheme="majorHAnsi" w:hAnsiTheme="majorHAnsi"/>
                <w:b/>
                <w:bCs/>
                <w:color w:val="FFFFFF"/>
                <w:sz w:val="20"/>
                <w:szCs w:val="20"/>
              </w:rPr>
            </w:pPr>
            <w:r w:rsidRPr="00123DE0">
              <w:rPr>
                <w:rFonts w:asciiTheme="majorHAnsi" w:hAnsiTheme="majorHAnsi"/>
                <w:b/>
                <w:bCs/>
                <w:color w:val="FFFFFF"/>
                <w:sz w:val="20"/>
                <w:szCs w:val="20"/>
                <w:lang w:val="es-ES"/>
              </w:rPr>
              <w:t>Presunta</w:t>
            </w:r>
            <w:r w:rsidRPr="00E943B1">
              <w:rPr>
                <w:rFonts w:asciiTheme="majorHAnsi" w:hAnsiTheme="majorHAnsi"/>
                <w:b/>
                <w:bCs/>
                <w:color w:val="FFFFFF"/>
                <w:sz w:val="20"/>
                <w:szCs w:val="20"/>
              </w:rPr>
              <w:t xml:space="preserve"> víctima:</w:t>
            </w:r>
          </w:p>
        </w:tc>
        <w:tc>
          <w:tcPr>
            <w:tcW w:w="5760" w:type="dxa"/>
            <w:vAlign w:val="center"/>
          </w:tcPr>
          <w:p w14:paraId="79F0643C"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ES"/>
              </w:rPr>
            </w:pPr>
            <w:r w:rsidRPr="00E943B1">
              <w:rPr>
                <w:rFonts w:asciiTheme="majorHAnsi" w:hAnsiTheme="majorHAnsi"/>
                <w:sz w:val="20"/>
                <w:szCs w:val="20"/>
                <w:lang w:val="es-ES_tradnl"/>
              </w:rPr>
              <w:t>Benedicta Avendaño de Ogalde y otros</w:t>
            </w:r>
            <w:r w:rsidRPr="00E943B1">
              <w:rPr>
                <w:rStyle w:val="FootnoteReference"/>
                <w:rFonts w:asciiTheme="majorHAnsi" w:hAnsiTheme="majorHAnsi"/>
                <w:sz w:val="20"/>
                <w:szCs w:val="20"/>
                <w:lang w:val="es-ES_tradnl"/>
              </w:rPr>
              <w:footnoteReference w:id="2"/>
            </w:r>
          </w:p>
        </w:tc>
      </w:tr>
      <w:tr w:rsidR="00816ADF" w:rsidRPr="00E943B1" w14:paraId="63F96FD0" w14:textId="77777777" w:rsidTr="003F6C6C">
        <w:tc>
          <w:tcPr>
            <w:tcW w:w="3600" w:type="dxa"/>
            <w:shd w:val="clear" w:color="auto" w:fill="386294"/>
            <w:vAlign w:val="center"/>
          </w:tcPr>
          <w:p w14:paraId="07035656"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jc w:val="center"/>
              <w:rPr>
                <w:rFonts w:asciiTheme="majorHAnsi" w:hAnsiTheme="majorHAnsi"/>
                <w:b/>
                <w:bCs/>
                <w:color w:val="FFFFFF"/>
                <w:sz w:val="20"/>
                <w:szCs w:val="20"/>
              </w:rPr>
            </w:pPr>
            <w:r w:rsidRPr="00E943B1">
              <w:rPr>
                <w:rFonts w:asciiTheme="majorHAnsi" w:hAnsiTheme="majorHAnsi"/>
                <w:b/>
                <w:bCs/>
                <w:color w:val="FFFFFF"/>
                <w:sz w:val="20"/>
                <w:szCs w:val="20"/>
              </w:rPr>
              <w:t xml:space="preserve">Estado </w:t>
            </w:r>
            <w:proofErr w:type="spellStart"/>
            <w:r w:rsidRPr="00E943B1">
              <w:rPr>
                <w:rFonts w:asciiTheme="majorHAnsi" w:hAnsiTheme="majorHAnsi"/>
                <w:b/>
                <w:bCs/>
                <w:color w:val="FFFFFF"/>
                <w:sz w:val="20"/>
                <w:szCs w:val="20"/>
              </w:rPr>
              <w:t>denunciado</w:t>
            </w:r>
            <w:proofErr w:type="spellEnd"/>
            <w:r w:rsidRPr="00E943B1">
              <w:rPr>
                <w:rFonts w:asciiTheme="majorHAnsi" w:hAnsiTheme="majorHAnsi"/>
                <w:b/>
                <w:bCs/>
                <w:color w:val="FFFFFF"/>
                <w:sz w:val="20"/>
                <w:szCs w:val="20"/>
              </w:rPr>
              <w:t>:</w:t>
            </w:r>
          </w:p>
        </w:tc>
        <w:tc>
          <w:tcPr>
            <w:tcW w:w="5760" w:type="dxa"/>
            <w:vAlign w:val="center"/>
          </w:tcPr>
          <w:p w14:paraId="2613E308"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rPr>
            </w:pPr>
            <w:r w:rsidRPr="00E943B1">
              <w:rPr>
                <w:rFonts w:asciiTheme="majorHAnsi" w:hAnsiTheme="majorHAnsi"/>
                <w:bCs/>
                <w:sz w:val="20"/>
                <w:szCs w:val="20"/>
              </w:rPr>
              <w:t>Argentina</w:t>
            </w:r>
          </w:p>
        </w:tc>
      </w:tr>
      <w:tr w:rsidR="00816ADF" w:rsidRPr="00E943B1" w14:paraId="561BB078" w14:textId="77777777" w:rsidTr="003F6C6C">
        <w:tc>
          <w:tcPr>
            <w:tcW w:w="3600" w:type="dxa"/>
            <w:tcBorders>
              <w:bottom w:val="single" w:sz="4" w:space="0" w:color="auto"/>
            </w:tcBorders>
            <w:shd w:val="clear" w:color="auto" w:fill="386294"/>
            <w:vAlign w:val="center"/>
          </w:tcPr>
          <w:p w14:paraId="73436A75"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jc w:val="center"/>
              <w:rPr>
                <w:rFonts w:asciiTheme="majorHAnsi" w:hAnsiTheme="majorHAnsi"/>
                <w:b/>
                <w:bCs/>
                <w:color w:val="FFFFFF"/>
                <w:sz w:val="20"/>
                <w:szCs w:val="20"/>
              </w:rPr>
            </w:pPr>
            <w:r w:rsidRPr="00E943B1">
              <w:rPr>
                <w:rFonts w:asciiTheme="majorHAnsi" w:hAnsiTheme="majorHAnsi"/>
                <w:b/>
                <w:bCs/>
                <w:color w:val="FFFFFF"/>
                <w:sz w:val="20"/>
                <w:szCs w:val="20"/>
              </w:rPr>
              <w:t>Derechos invocados:</w:t>
            </w:r>
          </w:p>
        </w:tc>
        <w:tc>
          <w:tcPr>
            <w:tcW w:w="5760" w:type="dxa"/>
            <w:tcBorders>
              <w:bottom w:val="single" w:sz="4" w:space="0" w:color="auto"/>
            </w:tcBorders>
            <w:vAlign w:val="center"/>
          </w:tcPr>
          <w:p w14:paraId="7C57F9EB" w14:textId="1409A24F" w:rsidR="00816ADF" w:rsidRPr="00E943B1" w:rsidRDefault="00816ADF" w:rsidP="00232A51">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PA"/>
              </w:rPr>
            </w:pPr>
            <w:r w:rsidRPr="00E943B1">
              <w:rPr>
                <w:rFonts w:asciiTheme="majorHAnsi" w:hAnsiTheme="majorHAnsi"/>
                <w:bCs/>
                <w:sz w:val="20"/>
                <w:szCs w:val="20"/>
                <w:lang w:val="es-PA"/>
              </w:rPr>
              <w:t>Artículos 4 (vida), 5 (integridad personal), 8 (garantías judiciales), 17 (protección a la familia), 21 (propiedad privada), 24 (igualdad ante la ley), 25 (protección judicial) y 26 (</w:t>
            </w:r>
            <w:r w:rsidR="00D1519C" w:rsidRPr="00E943B1">
              <w:rPr>
                <w:rFonts w:asciiTheme="majorHAnsi" w:hAnsiTheme="majorHAnsi"/>
                <w:bCs/>
                <w:sz w:val="20"/>
                <w:szCs w:val="20"/>
                <w:lang w:val="es-PA"/>
              </w:rPr>
              <w:t>desarrollo</w:t>
            </w:r>
            <w:r w:rsidRPr="00E943B1">
              <w:rPr>
                <w:rFonts w:asciiTheme="majorHAnsi" w:hAnsiTheme="majorHAnsi"/>
                <w:bCs/>
                <w:sz w:val="20"/>
                <w:szCs w:val="20"/>
                <w:lang w:val="es-PA"/>
              </w:rPr>
              <w:t xml:space="preserve"> progresivo) de la Convención Americana </w:t>
            </w:r>
            <w:r w:rsidR="00D1519C" w:rsidRPr="00E943B1">
              <w:rPr>
                <w:rFonts w:asciiTheme="majorHAnsi" w:hAnsiTheme="majorHAnsi"/>
                <w:bCs/>
                <w:sz w:val="20"/>
                <w:szCs w:val="20"/>
                <w:lang w:val="es-PA"/>
              </w:rPr>
              <w:t>s</w:t>
            </w:r>
            <w:r w:rsidRPr="00E943B1">
              <w:rPr>
                <w:rFonts w:asciiTheme="majorHAnsi" w:hAnsiTheme="majorHAnsi"/>
                <w:bCs/>
                <w:sz w:val="20"/>
                <w:szCs w:val="20"/>
                <w:lang w:val="es-PA"/>
              </w:rPr>
              <w:t>obre Derechos Humanos</w:t>
            </w:r>
            <w:r w:rsidRPr="00E943B1">
              <w:rPr>
                <w:rStyle w:val="FootnoteReference"/>
                <w:rFonts w:asciiTheme="majorHAnsi" w:hAnsiTheme="majorHAnsi"/>
                <w:bCs/>
                <w:sz w:val="20"/>
                <w:szCs w:val="20"/>
                <w:lang w:val="es-PA"/>
              </w:rPr>
              <w:footnoteReference w:id="3"/>
            </w:r>
            <w:r w:rsidRPr="00E943B1">
              <w:rPr>
                <w:rFonts w:asciiTheme="majorHAnsi" w:hAnsiTheme="majorHAnsi"/>
                <w:bCs/>
                <w:sz w:val="20"/>
                <w:szCs w:val="20"/>
                <w:lang w:val="es-PA"/>
              </w:rPr>
              <w:t xml:space="preserve"> en relación con su artículo 1.1. (obligación de respetar los derechos).</w:t>
            </w:r>
          </w:p>
        </w:tc>
      </w:tr>
    </w:tbl>
    <w:p w14:paraId="0C0BF6A0" w14:textId="77777777" w:rsidR="0015614A" w:rsidRPr="00E943B1" w:rsidRDefault="0015614A" w:rsidP="00232A51">
      <w:pPr>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b/>
          <w:bCs/>
          <w:sz w:val="20"/>
          <w:szCs w:val="20"/>
          <w:lang w:val="es-ES"/>
        </w:rPr>
      </w:pPr>
    </w:p>
    <w:p w14:paraId="7F4DCE6C" w14:textId="0ED0D452" w:rsidR="00816ADF" w:rsidRDefault="00816ADF" w:rsidP="001D331A">
      <w:pPr>
        <w:pStyle w:val="ListParagraph"/>
        <w:numPr>
          <w:ilvl w:val="0"/>
          <w:numId w:val="58"/>
        </w:numPr>
        <w:pBdr>
          <w:top w:val="none" w:sz="0" w:space="0" w:color="auto"/>
          <w:left w:val="none" w:sz="0" w:space="0" w:color="auto"/>
          <w:bottom w:val="none" w:sz="0" w:space="0" w:color="auto"/>
          <w:right w:val="none" w:sz="0" w:space="0" w:color="auto"/>
          <w:bar w:val="none" w:sz="0" w:color="auto"/>
        </w:pBdr>
        <w:jc w:val="both"/>
        <w:rPr>
          <w:rFonts w:asciiTheme="majorHAnsi" w:hAnsiTheme="majorHAnsi"/>
          <w:b/>
          <w:bCs/>
          <w:sz w:val="20"/>
          <w:szCs w:val="20"/>
          <w:lang w:val="es-ES"/>
        </w:rPr>
      </w:pPr>
      <w:r w:rsidRPr="00E943B1">
        <w:rPr>
          <w:rFonts w:asciiTheme="majorHAnsi" w:hAnsiTheme="majorHAnsi"/>
          <w:b/>
          <w:bCs/>
          <w:sz w:val="20"/>
          <w:szCs w:val="20"/>
          <w:lang w:val="es-ES"/>
        </w:rPr>
        <w:t>TRÁMITE ANTE LA CIDH</w:t>
      </w:r>
      <w:r w:rsidRPr="00E943B1">
        <w:rPr>
          <w:rStyle w:val="FootnoteReference"/>
          <w:rFonts w:asciiTheme="majorHAnsi" w:hAnsiTheme="majorHAnsi"/>
          <w:b/>
          <w:sz w:val="20"/>
          <w:szCs w:val="20"/>
        </w:rPr>
        <w:footnoteReference w:id="4"/>
      </w:r>
    </w:p>
    <w:p w14:paraId="7C6E12F2" w14:textId="77777777" w:rsidR="001D331A" w:rsidRPr="00E943B1" w:rsidRDefault="001D331A" w:rsidP="001D331A">
      <w:pPr>
        <w:pStyle w:val="ListParagraph"/>
        <w:pBdr>
          <w:top w:val="none" w:sz="0" w:space="0" w:color="auto"/>
          <w:left w:val="none" w:sz="0" w:space="0" w:color="auto"/>
          <w:bottom w:val="none" w:sz="0" w:space="0" w:color="auto"/>
          <w:right w:val="none" w:sz="0" w:space="0" w:color="auto"/>
          <w:bar w:val="none" w:sz="0" w:color="auto"/>
        </w:pBdr>
        <w:ind w:left="1440"/>
        <w:jc w:val="both"/>
        <w:rPr>
          <w:rFonts w:asciiTheme="majorHAnsi" w:hAnsiTheme="majorHAnsi"/>
          <w:b/>
          <w:bCs/>
          <w:sz w:val="20"/>
          <w:szCs w:val="20"/>
          <w:lang w:val="es-ES"/>
        </w:rPr>
      </w:pP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00"/>
        <w:gridCol w:w="5760"/>
      </w:tblGrid>
      <w:tr w:rsidR="00816ADF" w:rsidRPr="00E943B1" w14:paraId="0F3926D8" w14:textId="77777777" w:rsidTr="003F6C6C">
        <w:tc>
          <w:tcPr>
            <w:tcW w:w="3600" w:type="dxa"/>
            <w:tcBorders>
              <w:top w:val="single" w:sz="4" w:space="0" w:color="auto"/>
            </w:tcBorders>
            <w:shd w:val="clear" w:color="auto" w:fill="386294"/>
            <w:vAlign w:val="center"/>
          </w:tcPr>
          <w:p w14:paraId="66F4F57A"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jc w:val="center"/>
              <w:rPr>
                <w:rFonts w:asciiTheme="majorHAnsi" w:hAnsiTheme="majorHAnsi"/>
                <w:b/>
                <w:bCs/>
                <w:color w:val="FFFFFF"/>
                <w:sz w:val="20"/>
                <w:szCs w:val="20"/>
                <w:lang w:val="es-ES"/>
              </w:rPr>
            </w:pPr>
            <w:r w:rsidRPr="00E943B1">
              <w:rPr>
                <w:rFonts w:asciiTheme="majorHAnsi" w:hAnsiTheme="majorHAnsi"/>
                <w:b/>
                <w:bCs/>
                <w:color w:val="FFFFFF"/>
                <w:sz w:val="20"/>
                <w:szCs w:val="20"/>
                <w:lang w:val="es-ES"/>
              </w:rPr>
              <w:t>Presentación de la petición:</w:t>
            </w:r>
          </w:p>
        </w:tc>
        <w:tc>
          <w:tcPr>
            <w:tcW w:w="5760" w:type="dxa"/>
            <w:tcBorders>
              <w:top w:val="single" w:sz="4" w:space="0" w:color="auto"/>
            </w:tcBorders>
            <w:vAlign w:val="center"/>
          </w:tcPr>
          <w:p w14:paraId="5E7A270E"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ES"/>
              </w:rPr>
            </w:pPr>
            <w:r w:rsidRPr="00E943B1">
              <w:rPr>
                <w:rFonts w:asciiTheme="majorHAnsi" w:hAnsiTheme="majorHAnsi"/>
                <w:bCs/>
                <w:sz w:val="20"/>
                <w:szCs w:val="20"/>
                <w:lang w:val="es-ES"/>
              </w:rPr>
              <w:t>13 de octubre de 2009</w:t>
            </w:r>
          </w:p>
        </w:tc>
      </w:tr>
      <w:tr w:rsidR="00816ADF" w:rsidRPr="001B1B14" w14:paraId="107C415D" w14:textId="77777777" w:rsidTr="003F6C6C">
        <w:tc>
          <w:tcPr>
            <w:tcW w:w="3600" w:type="dxa"/>
            <w:shd w:val="clear" w:color="auto" w:fill="386294"/>
            <w:vAlign w:val="center"/>
          </w:tcPr>
          <w:p w14:paraId="1E93EF62"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jc w:val="center"/>
              <w:rPr>
                <w:rFonts w:asciiTheme="majorHAnsi" w:hAnsiTheme="majorHAnsi"/>
                <w:b/>
                <w:bCs/>
                <w:color w:val="FFFFFF"/>
                <w:sz w:val="20"/>
                <w:szCs w:val="20"/>
                <w:lang w:val="es-ES"/>
              </w:rPr>
            </w:pPr>
            <w:r w:rsidRPr="00E943B1">
              <w:rPr>
                <w:rFonts w:asciiTheme="majorHAnsi" w:hAnsiTheme="majorHAnsi"/>
                <w:b/>
                <w:bCs/>
                <w:color w:val="FFFFFF"/>
                <w:sz w:val="20"/>
                <w:szCs w:val="20"/>
                <w:lang w:val="es-ES"/>
              </w:rPr>
              <w:t>Información adicional recibida durante la etapa de estudio:</w:t>
            </w:r>
          </w:p>
        </w:tc>
        <w:tc>
          <w:tcPr>
            <w:tcW w:w="5760" w:type="dxa"/>
            <w:vAlign w:val="center"/>
          </w:tcPr>
          <w:p w14:paraId="2C533DF2"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rPr>
                <w:rFonts w:asciiTheme="majorHAnsi" w:hAnsiTheme="majorHAnsi"/>
                <w:b/>
                <w:bCs/>
                <w:color w:val="FFFFFF"/>
                <w:sz w:val="20"/>
                <w:szCs w:val="20"/>
                <w:lang w:val="es-AR"/>
              </w:rPr>
            </w:pPr>
            <w:r w:rsidRPr="00E943B1">
              <w:rPr>
                <w:rFonts w:asciiTheme="majorHAnsi" w:hAnsiTheme="majorHAnsi"/>
                <w:bCs/>
                <w:sz w:val="20"/>
                <w:szCs w:val="20"/>
                <w:lang w:val="es-ES"/>
              </w:rPr>
              <w:t>28 de junio y 3 de agosto de 2010</w:t>
            </w:r>
          </w:p>
        </w:tc>
      </w:tr>
      <w:tr w:rsidR="00816ADF" w:rsidRPr="00E943B1" w14:paraId="2F7DD6C6" w14:textId="77777777" w:rsidTr="003F6C6C">
        <w:tc>
          <w:tcPr>
            <w:tcW w:w="3600" w:type="dxa"/>
            <w:shd w:val="clear" w:color="auto" w:fill="386294"/>
            <w:vAlign w:val="center"/>
          </w:tcPr>
          <w:p w14:paraId="09E4351A"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jc w:val="center"/>
              <w:rPr>
                <w:rFonts w:asciiTheme="majorHAnsi" w:hAnsiTheme="majorHAnsi"/>
                <w:b/>
                <w:bCs/>
                <w:color w:val="FFFFFF"/>
                <w:sz w:val="20"/>
                <w:szCs w:val="20"/>
                <w:lang w:val="es-ES"/>
              </w:rPr>
            </w:pPr>
            <w:r w:rsidRPr="00E943B1">
              <w:rPr>
                <w:rFonts w:asciiTheme="majorHAnsi" w:hAnsiTheme="majorHAnsi"/>
                <w:b/>
                <w:color w:val="FFFFFF"/>
                <w:sz w:val="20"/>
                <w:szCs w:val="20"/>
                <w:lang w:val="es-ES"/>
              </w:rPr>
              <w:t>Notificación de la petición al Estado:</w:t>
            </w:r>
          </w:p>
        </w:tc>
        <w:tc>
          <w:tcPr>
            <w:tcW w:w="5760" w:type="dxa"/>
            <w:vAlign w:val="center"/>
          </w:tcPr>
          <w:p w14:paraId="12D5CF49"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ES"/>
              </w:rPr>
            </w:pPr>
            <w:r w:rsidRPr="00E943B1">
              <w:rPr>
                <w:rFonts w:asciiTheme="majorHAnsi" w:hAnsiTheme="majorHAnsi"/>
                <w:bCs/>
                <w:sz w:val="20"/>
                <w:szCs w:val="20"/>
                <w:lang w:val="es-ES"/>
              </w:rPr>
              <w:t>21 de septiembre de 2016</w:t>
            </w:r>
          </w:p>
        </w:tc>
      </w:tr>
      <w:tr w:rsidR="00816ADF" w:rsidRPr="00E943B1" w14:paraId="31E1B5F9" w14:textId="77777777" w:rsidTr="003F6C6C">
        <w:tc>
          <w:tcPr>
            <w:tcW w:w="3600" w:type="dxa"/>
            <w:shd w:val="clear" w:color="auto" w:fill="386294"/>
            <w:vAlign w:val="center"/>
          </w:tcPr>
          <w:p w14:paraId="09A526B3"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jc w:val="center"/>
              <w:rPr>
                <w:rFonts w:asciiTheme="majorHAnsi" w:hAnsiTheme="majorHAnsi"/>
                <w:b/>
                <w:bCs/>
                <w:color w:val="FFFFFF"/>
                <w:sz w:val="20"/>
                <w:szCs w:val="20"/>
                <w:lang w:val="es-ES"/>
              </w:rPr>
            </w:pPr>
            <w:r w:rsidRPr="00E943B1">
              <w:rPr>
                <w:rFonts w:asciiTheme="majorHAnsi" w:hAnsiTheme="majorHAnsi"/>
                <w:b/>
                <w:color w:val="FFFFFF"/>
                <w:sz w:val="20"/>
                <w:szCs w:val="20"/>
                <w:lang w:val="es-ES"/>
              </w:rPr>
              <w:t>Primera respuesta del Estado:</w:t>
            </w:r>
          </w:p>
        </w:tc>
        <w:tc>
          <w:tcPr>
            <w:tcW w:w="5760" w:type="dxa"/>
            <w:vAlign w:val="center"/>
          </w:tcPr>
          <w:p w14:paraId="1FCA606B"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ES"/>
              </w:rPr>
            </w:pPr>
            <w:r w:rsidRPr="00E943B1">
              <w:rPr>
                <w:rFonts w:asciiTheme="majorHAnsi" w:hAnsiTheme="majorHAnsi"/>
                <w:bCs/>
                <w:sz w:val="20"/>
                <w:szCs w:val="20"/>
              </w:rPr>
              <w:t xml:space="preserve">27 de </w:t>
            </w:r>
            <w:r w:rsidRPr="003116D8">
              <w:rPr>
                <w:rFonts w:asciiTheme="majorHAnsi" w:hAnsiTheme="majorHAnsi"/>
                <w:bCs/>
                <w:sz w:val="20"/>
                <w:szCs w:val="20"/>
                <w:lang w:val="es-ES_tradnl"/>
              </w:rPr>
              <w:t>noviembre</w:t>
            </w:r>
            <w:r w:rsidRPr="00E943B1">
              <w:rPr>
                <w:rFonts w:asciiTheme="majorHAnsi" w:hAnsiTheme="majorHAnsi"/>
                <w:bCs/>
                <w:sz w:val="20"/>
                <w:szCs w:val="20"/>
              </w:rPr>
              <w:t xml:space="preserve"> de 2017</w:t>
            </w:r>
          </w:p>
        </w:tc>
      </w:tr>
      <w:tr w:rsidR="00816ADF" w:rsidRPr="001B1B14" w14:paraId="0308F6B0" w14:textId="77777777" w:rsidTr="003F6C6C">
        <w:tc>
          <w:tcPr>
            <w:tcW w:w="3600" w:type="dxa"/>
            <w:shd w:val="clear" w:color="auto" w:fill="386294"/>
            <w:vAlign w:val="center"/>
          </w:tcPr>
          <w:p w14:paraId="3B0EE7C6"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jc w:val="center"/>
              <w:rPr>
                <w:rFonts w:asciiTheme="majorHAnsi" w:hAnsiTheme="majorHAnsi"/>
                <w:b/>
                <w:bCs/>
                <w:color w:val="FFFFFF"/>
                <w:sz w:val="20"/>
                <w:szCs w:val="20"/>
                <w:lang w:val="es-ES"/>
              </w:rPr>
            </w:pPr>
            <w:r w:rsidRPr="00E943B1">
              <w:rPr>
                <w:rFonts w:asciiTheme="majorHAnsi" w:hAnsiTheme="majorHAnsi"/>
                <w:b/>
                <w:bCs/>
                <w:color w:val="FFFFFF"/>
                <w:sz w:val="20"/>
                <w:szCs w:val="20"/>
                <w:lang w:val="es-ES"/>
              </w:rPr>
              <w:t>Observaciones adicionales de la parte peticionaria:</w:t>
            </w:r>
          </w:p>
        </w:tc>
        <w:tc>
          <w:tcPr>
            <w:tcW w:w="5760" w:type="dxa"/>
            <w:vAlign w:val="center"/>
          </w:tcPr>
          <w:p w14:paraId="45DE7A5C"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ES"/>
              </w:rPr>
            </w:pPr>
            <w:r w:rsidRPr="00E943B1">
              <w:rPr>
                <w:rFonts w:asciiTheme="majorHAnsi" w:hAnsiTheme="majorHAnsi"/>
                <w:bCs/>
                <w:sz w:val="20"/>
                <w:szCs w:val="20"/>
                <w:lang w:val="es-ES"/>
              </w:rPr>
              <w:t>7 de febrero y 20 de marzo de 2017; 17 de junio y 6 de agosto de 2018</w:t>
            </w:r>
          </w:p>
        </w:tc>
      </w:tr>
      <w:tr w:rsidR="00816ADF" w:rsidRPr="00E943B1" w14:paraId="6DD968C1" w14:textId="77777777" w:rsidTr="003F6C6C">
        <w:tc>
          <w:tcPr>
            <w:tcW w:w="3600" w:type="dxa"/>
            <w:tcBorders>
              <w:bottom w:val="single" w:sz="4" w:space="0" w:color="auto"/>
            </w:tcBorders>
            <w:shd w:val="clear" w:color="auto" w:fill="386294"/>
            <w:vAlign w:val="center"/>
          </w:tcPr>
          <w:p w14:paraId="09EC7A8F"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jc w:val="center"/>
              <w:rPr>
                <w:rFonts w:asciiTheme="majorHAnsi" w:hAnsiTheme="majorHAnsi"/>
                <w:b/>
                <w:bCs/>
                <w:color w:val="FFFFFF"/>
                <w:sz w:val="20"/>
                <w:szCs w:val="20"/>
              </w:rPr>
            </w:pPr>
            <w:proofErr w:type="spellStart"/>
            <w:r w:rsidRPr="00E943B1">
              <w:rPr>
                <w:rFonts w:asciiTheme="majorHAnsi" w:hAnsiTheme="majorHAnsi"/>
                <w:b/>
                <w:bCs/>
                <w:color w:val="FFFFFF"/>
                <w:sz w:val="20"/>
                <w:szCs w:val="20"/>
              </w:rPr>
              <w:t>Observaciones</w:t>
            </w:r>
            <w:proofErr w:type="spellEnd"/>
            <w:r w:rsidRPr="00E943B1">
              <w:rPr>
                <w:rFonts w:asciiTheme="majorHAnsi" w:hAnsiTheme="majorHAnsi"/>
                <w:b/>
                <w:bCs/>
                <w:color w:val="FFFFFF"/>
                <w:sz w:val="20"/>
                <w:szCs w:val="20"/>
              </w:rPr>
              <w:t xml:space="preserve"> </w:t>
            </w:r>
            <w:proofErr w:type="spellStart"/>
            <w:r w:rsidRPr="00E943B1">
              <w:rPr>
                <w:rFonts w:asciiTheme="majorHAnsi" w:hAnsiTheme="majorHAnsi"/>
                <w:b/>
                <w:bCs/>
                <w:color w:val="FFFFFF"/>
                <w:sz w:val="20"/>
                <w:szCs w:val="20"/>
              </w:rPr>
              <w:t>adicionales</w:t>
            </w:r>
            <w:proofErr w:type="spellEnd"/>
            <w:r w:rsidRPr="00E943B1">
              <w:rPr>
                <w:rFonts w:asciiTheme="majorHAnsi" w:hAnsiTheme="majorHAnsi"/>
                <w:b/>
                <w:bCs/>
                <w:color w:val="FFFFFF"/>
                <w:sz w:val="20"/>
                <w:szCs w:val="20"/>
              </w:rPr>
              <w:t xml:space="preserve"> del Estado:</w:t>
            </w:r>
          </w:p>
        </w:tc>
        <w:tc>
          <w:tcPr>
            <w:tcW w:w="5760" w:type="dxa"/>
            <w:tcBorders>
              <w:bottom w:val="single" w:sz="4" w:space="0" w:color="auto"/>
            </w:tcBorders>
            <w:vAlign w:val="center"/>
          </w:tcPr>
          <w:p w14:paraId="50267167"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PA"/>
              </w:rPr>
            </w:pPr>
            <w:r w:rsidRPr="00E943B1">
              <w:rPr>
                <w:rFonts w:asciiTheme="majorHAnsi" w:hAnsiTheme="majorHAnsi"/>
                <w:bCs/>
                <w:sz w:val="20"/>
                <w:szCs w:val="20"/>
                <w:lang w:val="es-PA"/>
              </w:rPr>
              <w:t>21 de febrero de 2020</w:t>
            </w:r>
          </w:p>
        </w:tc>
      </w:tr>
    </w:tbl>
    <w:p w14:paraId="3D6901A5" w14:textId="77777777" w:rsidR="0015614A" w:rsidRPr="00E943B1" w:rsidRDefault="0015614A" w:rsidP="00232A51">
      <w:pPr>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b/>
          <w:bCs/>
          <w:sz w:val="20"/>
          <w:szCs w:val="20"/>
          <w:lang w:val="es-ES"/>
        </w:rPr>
      </w:pPr>
    </w:p>
    <w:p w14:paraId="489497B1" w14:textId="54BA736E" w:rsidR="00816ADF" w:rsidRPr="001D331A" w:rsidRDefault="00816ADF" w:rsidP="001D331A">
      <w:pPr>
        <w:pStyle w:val="ListParagraph"/>
        <w:numPr>
          <w:ilvl w:val="0"/>
          <w:numId w:val="58"/>
        </w:numPr>
        <w:pBdr>
          <w:top w:val="none" w:sz="0" w:space="0" w:color="auto"/>
          <w:left w:val="none" w:sz="0" w:space="0" w:color="auto"/>
          <w:bottom w:val="none" w:sz="0" w:space="0" w:color="auto"/>
          <w:right w:val="none" w:sz="0" w:space="0" w:color="auto"/>
          <w:bar w:val="none" w:sz="0" w:color="auto"/>
        </w:pBdr>
        <w:jc w:val="both"/>
        <w:rPr>
          <w:rFonts w:asciiTheme="majorHAnsi" w:hAnsiTheme="majorHAnsi"/>
          <w:b/>
          <w:bCs/>
          <w:sz w:val="20"/>
          <w:szCs w:val="20"/>
          <w:lang w:val="es-ES"/>
        </w:rPr>
      </w:pPr>
      <w:r w:rsidRPr="001D331A">
        <w:rPr>
          <w:rFonts w:asciiTheme="majorHAnsi" w:hAnsiTheme="majorHAnsi"/>
          <w:b/>
          <w:bCs/>
          <w:sz w:val="20"/>
          <w:szCs w:val="20"/>
          <w:lang w:val="es-ES"/>
        </w:rPr>
        <w:t xml:space="preserve">COMPETENCIA </w:t>
      </w:r>
    </w:p>
    <w:p w14:paraId="301946B6" w14:textId="77777777" w:rsidR="001D331A" w:rsidRPr="001D331A" w:rsidRDefault="001D331A" w:rsidP="001D331A">
      <w:pPr>
        <w:pStyle w:val="ListParagraph"/>
        <w:pBdr>
          <w:top w:val="none" w:sz="0" w:space="0" w:color="auto"/>
          <w:left w:val="none" w:sz="0" w:space="0" w:color="auto"/>
          <w:bottom w:val="none" w:sz="0" w:space="0" w:color="auto"/>
          <w:right w:val="none" w:sz="0" w:space="0" w:color="auto"/>
          <w:bar w:val="none" w:sz="0" w:color="auto"/>
        </w:pBdr>
        <w:ind w:left="1440"/>
        <w:jc w:val="both"/>
        <w:rPr>
          <w:rFonts w:asciiTheme="majorHAnsi" w:hAnsiTheme="majorHAnsi"/>
          <w:b/>
          <w:bCs/>
          <w:sz w:val="20"/>
          <w:szCs w:val="20"/>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561"/>
        <w:gridCol w:w="5681"/>
      </w:tblGrid>
      <w:tr w:rsidR="00816ADF" w:rsidRPr="00E943B1" w14:paraId="5B1DC59D" w14:textId="77777777" w:rsidTr="003F6C6C">
        <w:trPr>
          <w:cantSplit/>
        </w:trPr>
        <w:tc>
          <w:tcPr>
            <w:tcW w:w="3600" w:type="dxa"/>
            <w:tcBorders>
              <w:top w:val="single" w:sz="4" w:space="0" w:color="auto"/>
            </w:tcBorders>
            <w:shd w:val="clear" w:color="auto" w:fill="386294"/>
            <w:vAlign w:val="center"/>
          </w:tcPr>
          <w:p w14:paraId="078C4A94"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jc w:val="center"/>
              <w:rPr>
                <w:rFonts w:asciiTheme="majorHAnsi" w:hAnsiTheme="majorHAnsi"/>
                <w:b/>
                <w:bCs/>
                <w:i/>
                <w:color w:val="FFFFFF"/>
                <w:sz w:val="20"/>
                <w:szCs w:val="20"/>
              </w:rPr>
            </w:pPr>
            <w:r w:rsidRPr="00E943B1">
              <w:rPr>
                <w:rFonts w:asciiTheme="majorHAnsi" w:hAnsiTheme="majorHAnsi"/>
                <w:b/>
                <w:bCs/>
                <w:color w:val="FFFFFF"/>
                <w:sz w:val="20"/>
                <w:szCs w:val="20"/>
              </w:rPr>
              <w:t>Competencia</w:t>
            </w:r>
            <w:r w:rsidRPr="00E943B1">
              <w:rPr>
                <w:rFonts w:asciiTheme="majorHAnsi" w:hAnsiTheme="majorHAnsi"/>
                <w:b/>
                <w:bCs/>
                <w:i/>
                <w:color w:val="FFFFFF"/>
                <w:sz w:val="20"/>
                <w:szCs w:val="20"/>
              </w:rPr>
              <w:t xml:space="preserve"> Ratione personae:</w:t>
            </w:r>
          </w:p>
        </w:tc>
        <w:tc>
          <w:tcPr>
            <w:tcW w:w="5760" w:type="dxa"/>
            <w:tcBorders>
              <w:top w:val="single" w:sz="4" w:space="0" w:color="auto"/>
            </w:tcBorders>
            <w:vAlign w:val="center"/>
          </w:tcPr>
          <w:p w14:paraId="2C15CB1C"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rPr>
                <w:rFonts w:asciiTheme="majorHAnsi" w:hAnsiTheme="majorHAnsi"/>
                <w:bCs/>
                <w:sz w:val="20"/>
                <w:szCs w:val="20"/>
              </w:rPr>
            </w:pPr>
            <w:r w:rsidRPr="00E943B1">
              <w:rPr>
                <w:rFonts w:asciiTheme="majorHAnsi" w:hAnsiTheme="majorHAnsi"/>
                <w:bCs/>
                <w:sz w:val="20"/>
                <w:szCs w:val="20"/>
              </w:rPr>
              <w:t>Sí</w:t>
            </w:r>
          </w:p>
        </w:tc>
      </w:tr>
      <w:tr w:rsidR="00816ADF" w:rsidRPr="00E943B1" w14:paraId="6E5EFC0F" w14:textId="77777777" w:rsidTr="003F6C6C">
        <w:trPr>
          <w:cantSplit/>
        </w:trPr>
        <w:tc>
          <w:tcPr>
            <w:tcW w:w="3600" w:type="dxa"/>
            <w:shd w:val="clear" w:color="auto" w:fill="386294"/>
            <w:vAlign w:val="center"/>
          </w:tcPr>
          <w:p w14:paraId="20330D13"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jc w:val="center"/>
              <w:rPr>
                <w:rFonts w:asciiTheme="majorHAnsi" w:hAnsiTheme="majorHAnsi"/>
                <w:b/>
                <w:bCs/>
                <w:color w:val="FFFFFF"/>
                <w:sz w:val="20"/>
                <w:szCs w:val="20"/>
              </w:rPr>
            </w:pPr>
            <w:r w:rsidRPr="00E943B1">
              <w:rPr>
                <w:rFonts w:asciiTheme="majorHAnsi" w:hAnsiTheme="majorHAnsi"/>
                <w:b/>
                <w:bCs/>
                <w:color w:val="FFFFFF"/>
                <w:sz w:val="20"/>
                <w:szCs w:val="20"/>
              </w:rPr>
              <w:t>Competencia</w:t>
            </w:r>
            <w:r w:rsidRPr="00E943B1">
              <w:rPr>
                <w:rFonts w:asciiTheme="majorHAnsi" w:hAnsiTheme="majorHAnsi"/>
                <w:b/>
                <w:bCs/>
                <w:i/>
                <w:color w:val="FFFFFF"/>
                <w:sz w:val="20"/>
                <w:szCs w:val="20"/>
              </w:rPr>
              <w:t xml:space="preserve"> Ratione loci</w:t>
            </w:r>
            <w:r w:rsidRPr="00E943B1">
              <w:rPr>
                <w:rFonts w:asciiTheme="majorHAnsi" w:hAnsiTheme="majorHAnsi"/>
                <w:b/>
                <w:bCs/>
                <w:color w:val="FFFFFF"/>
                <w:sz w:val="20"/>
                <w:szCs w:val="20"/>
              </w:rPr>
              <w:t>:</w:t>
            </w:r>
          </w:p>
        </w:tc>
        <w:tc>
          <w:tcPr>
            <w:tcW w:w="5760" w:type="dxa"/>
            <w:vAlign w:val="center"/>
          </w:tcPr>
          <w:p w14:paraId="6189611A"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rPr>
                <w:rFonts w:asciiTheme="majorHAnsi" w:hAnsiTheme="majorHAnsi"/>
                <w:bCs/>
                <w:sz w:val="20"/>
                <w:szCs w:val="20"/>
              </w:rPr>
            </w:pPr>
            <w:r w:rsidRPr="00E943B1">
              <w:rPr>
                <w:rFonts w:asciiTheme="majorHAnsi" w:hAnsiTheme="majorHAnsi"/>
                <w:bCs/>
                <w:sz w:val="20"/>
                <w:szCs w:val="20"/>
              </w:rPr>
              <w:t>Sí</w:t>
            </w:r>
          </w:p>
        </w:tc>
      </w:tr>
      <w:tr w:rsidR="00816ADF" w:rsidRPr="00E943B1" w14:paraId="056A204B" w14:textId="77777777" w:rsidTr="003F6C6C">
        <w:trPr>
          <w:cantSplit/>
        </w:trPr>
        <w:tc>
          <w:tcPr>
            <w:tcW w:w="3600" w:type="dxa"/>
            <w:shd w:val="clear" w:color="auto" w:fill="386294"/>
            <w:vAlign w:val="center"/>
          </w:tcPr>
          <w:p w14:paraId="4CF8AE94"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jc w:val="center"/>
              <w:rPr>
                <w:rFonts w:asciiTheme="majorHAnsi" w:hAnsiTheme="majorHAnsi"/>
                <w:b/>
                <w:bCs/>
                <w:color w:val="FFFFFF"/>
                <w:sz w:val="20"/>
                <w:szCs w:val="20"/>
              </w:rPr>
            </w:pPr>
            <w:r w:rsidRPr="00E943B1">
              <w:rPr>
                <w:rFonts w:asciiTheme="majorHAnsi" w:hAnsiTheme="majorHAnsi"/>
                <w:b/>
                <w:bCs/>
                <w:color w:val="FFFFFF"/>
                <w:sz w:val="20"/>
                <w:szCs w:val="20"/>
              </w:rPr>
              <w:t>Competencia</w:t>
            </w:r>
            <w:r w:rsidRPr="00E943B1">
              <w:rPr>
                <w:rFonts w:asciiTheme="majorHAnsi" w:hAnsiTheme="majorHAnsi"/>
                <w:b/>
                <w:bCs/>
                <w:i/>
                <w:color w:val="FFFFFF"/>
                <w:sz w:val="20"/>
                <w:szCs w:val="20"/>
              </w:rPr>
              <w:t xml:space="preserve"> Ratione temporis</w:t>
            </w:r>
            <w:r w:rsidRPr="00E943B1">
              <w:rPr>
                <w:rFonts w:asciiTheme="majorHAnsi" w:hAnsiTheme="majorHAnsi"/>
                <w:b/>
                <w:bCs/>
                <w:color w:val="FFFFFF"/>
                <w:sz w:val="20"/>
                <w:szCs w:val="20"/>
              </w:rPr>
              <w:t>:</w:t>
            </w:r>
          </w:p>
        </w:tc>
        <w:tc>
          <w:tcPr>
            <w:tcW w:w="5760" w:type="dxa"/>
            <w:vAlign w:val="center"/>
          </w:tcPr>
          <w:p w14:paraId="7B4E4997"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rPr>
                <w:rFonts w:asciiTheme="majorHAnsi" w:hAnsiTheme="majorHAnsi"/>
                <w:bCs/>
                <w:sz w:val="20"/>
                <w:szCs w:val="20"/>
              </w:rPr>
            </w:pPr>
            <w:r w:rsidRPr="00E943B1">
              <w:rPr>
                <w:rFonts w:asciiTheme="majorHAnsi" w:hAnsiTheme="majorHAnsi"/>
                <w:bCs/>
                <w:sz w:val="20"/>
                <w:szCs w:val="20"/>
              </w:rPr>
              <w:t>Sí</w:t>
            </w:r>
          </w:p>
        </w:tc>
      </w:tr>
      <w:tr w:rsidR="00816ADF" w:rsidRPr="001B1B14" w14:paraId="4FF16610" w14:textId="77777777" w:rsidTr="003F6C6C">
        <w:trPr>
          <w:cantSplit/>
        </w:trPr>
        <w:tc>
          <w:tcPr>
            <w:tcW w:w="3600" w:type="dxa"/>
            <w:tcBorders>
              <w:bottom w:val="single" w:sz="4" w:space="0" w:color="auto"/>
            </w:tcBorders>
            <w:shd w:val="clear" w:color="auto" w:fill="386294"/>
            <w:vAlign w:val="center"/>
          </w:tcPr>
          <w:p w14:paraId="5365893A"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jc w:val="center"/>
              <w:rPr>
                <w:rFonts w:asciiTheme="majorHAnsi" w:hAnsiTheme="majorHAnsi"/>
                <w:b/>
                <w:bCs/>
                <w:color w:val="FFFFFF"/>
                <w:sz w:val="20"/>
                <w:szCs w:val="20"/>
              </w:rPr>
            </w:pPr>
            <w:r w:rsidRPr="00E943B1">
              <w:rPr>
                <w:rFonts w:asciiTheme="majorHAnsi" w:hAnsiTheme="majorHAnsi"/>
                <w:b/>
                <w:bCs/>
                <w:color w:val="FFFFFF"/>
                <w:sz w:val="20"/>
                <w:szCs w:val="20"/>
              </w:rPr>
              <w:t>Competencia</w:t>
            </w:r>
            <w:r w:rsidRPr="00E943B1">
              <w:rPr>
                <w:rFonts w:asciiTheme="majorHAnsi" w:hAnsiTheme="majorHAnsi"/>
                <w:b/>
                <w:bCs/>
                <w:i/>
                <w:color w:val="FFFFFF"/>
                <w:sz w:val="20"/>
                <w:szCs w:val="20"/>
              </w:rPr>
              <w:t xml:space="preserve"> Ratione materiae</w:t>
            </w:r>
            <w:r w:rsidRPr="00E943B1">
              <w:rPr>
                <w:rFonts w:asciiTheme="majorHAnsi" w:hAnsiTheme="majorHAnsi"/>
                <w:b/>
                <w:bCs/>
                <w:color w:val="FFFFFF"/>
                <w:sz w:val="20"/>
                <w:szCs w:val="20"/>
              </w:rPr>
              <w:t>:</w:t>
            </w:r>
          </w:p>
        </w:tc>
        <w:tc>
          <w:tcPr>
            <w:tcW w:w="5760" w:type="dxa"/>
            <w:tcBorders>
              <w:bottom w:val="single" w:sz="4" w:space="0" w:color="auto"/>
            </w:tcBorders>
            <w:vAlign w:val="center"/>
          </w:tcPr>
          <w:p w14:paraId="794E67CF"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ES"/>
              </w:rPr>
            </w:pPr>
            <w:r w:rsidRPr="00E943B1">
              <w:rPr>
                <w:rFonts w:asciiTheme="majorHAnsi" w:hAnsiTheme="majorHAnsi"/>
                <w:bCs/>
                <w:sz w:val="20"/>
                <w:szCs w:val="20"/>
                <w:lang w:val="es-ES"/>
              </w:rPr>
              <w:t>Sí (depósito del instrumento de ratificación realizado el 28 de diciembre de 1977)</w:t>
            </w:r>
          </w:p>
        </w:tc>
      </w:tr>
    </w:tbl>
    <w:p w14:paraId="050BFA47" w14:textId="77777777" w:rsidR="0015614A" w:rsidRPr="00E943B1" w:rsidRDefault="0015614A" w:rsidP="00232A51">
      <w:pPr>
        <w:pBdr>
          <w:top w:val="none" w:sz="0" w:space="0" w:color="auto"/>
          <w:left w:val="none" w:sz="0" w:space="0" w:color="auto"/>
          <w:bottom w:val="none" w:sz="0" w:space="0" w:color="auto"/>
          <w:right w:val="none" w:sz="0" w:space="0" w:color="auto"/>
          <w:bar w:val="none" w:sz="0" w:color="auto"/>
        </w:pBdr>
        <w:ind w:left="1440" w:hanging="720"/>
        <w:jc w:val="both"/>
        <w:rPr>
          <w:rFonts w:asciiTheme="majorHAnsi" w:hAnsiTheme="majorHAnsi"/>
          <w:b/>
          <w:bCs/>
          <w:sz w:val="20"/>
          <w:szCs w:val="20"/>
          <w:lang w:val="es-ES"/>
        </w:rPr>
      </w:pPr>
    </w:p>
    <w:p w14:paraId="7AE54302" w14:textId="28073BE3" w:rsidR="00816ADF" w:rsidRDefault="00816ADF" w:rsidP="00232A51">
      <w:pPr>
        <w:pBdr>
          <w:top w:val="none" w:sz="0" w:space="0" w:color="auto"/>
          <w:left w:val="none" w:sz="0" w:space="0" w:color="auto"/>
          <w:bottom w:val="none" w:sz="0" w:space="0" w:color="auto"/>
          <w:right w:val="none" w:sz="0" w:space="0" w:color="auto"/>
          <w:bar w:val="none" w:sz="0" w:color="auto"/>
        </w:pBdr>
        <w:ind w:left="1440" w:hanging="720"/>
        <w:jc w:val="both"/>
        <w:rPr>
          <w:rFonts w:asciiTheme="majorHAnsi" w:hAnsiTheme="majorHAnsi"/>
          <w:b/>
          <w:sz w:val="20"/>
          <w:szCs w:val="20"/>
          <w:lang w:val="es-ES"/>
        </w:rPr>
      </w:pPr>
      <w:r w:rsidRPr="00E943B1">
        <w:rPr>
          <w:rFonts w:asciiTheme="majorHAnsi" w:hAnsiTheme="majorHAnsi"/>
          <w:b/>
          <w:bCs/>
          <w:sz w:val="20"/>
          <w:szCs w:val="20"/>
          <w:lang w:val="es-ES"/>
        </w:rPr>
        <w:t xml:space="preserve">IV. </w:t>
      </w:r>
      <w:r w:rsidRPr="00E943B1">
        <w:rPr>
          <w:rFonts w:asciiTheme="majorHAnsi" w:hAnsiTheme="majorHAnsi"/>
          <w:b/>
          <w:bCs/>
          <w:sz w:val="20"/>
          <w:szCs w:val="20"/>
          <w:lang w:val="es-ES"/>
        </w:rPr>
        <w:tab/>
        <w:t>DUPLICACIÓN</w:t>
      </w:r>
      <w:r w:rsidRPr="00E943B1">
        <w:rPr>
          <w:rFonts w:asciiTheme="majorHAnsi" w:hAnsiTheme="majorHAnsi"/>
          <w:b/>
          <w:bCs/>
          <w:color w:val="FFFFFF"/>
          <w:sz w:val="20"/>
          <w:szCs w:val="20"/>
          <w:lang w:val="es-ES"/>
        </w:rPr>
        <w:t xml:space="preserve"> </w:t>
      </w:r>
      <w:r w:rsidRPr="00E943B1">
        <w:rPr>
          <w:rFonts w:asciiTheme="majorHAnsi" w:hAnsiTheme="majorHAnsi"/>
          <w:b/>
          <w:bCs/>
          <w:sz w:val="20"/>
          <w:szCs w:val="20"/>
          <w:lang w:val="es-ES"/>
        </w:rPr>
        <w:t>DE PROCEDIMIENTOS Y COSA JUZGADA</w:t>
      </w:r>
      <w:r w:rsidRPr="00E943B1">
        <w:rPr>
          <w:rFonts w:asciiTheme="majorHAnsi" w:hAnsiTheme="majorHAnsi"/>
          <w:b/>
          <w:bCs/>
          <w:i/>
          <w:sz w:val="20"/>
          <w:szCs w:val="20"/>
          <w:lang w:val="es-ES"/>
        </w:rPr>
        <w:t xml:space="preserve"> </w:t>
      </w:r>
      <w:r w:rsidR="00A81ADF" w:rsidRPr="00E943B1">
        <w:rPr>
          <w:rFonts w:asciiTheme="majorHAnsi" w:hAnsiTheme="majorHAnsi"/>
          <w:b/>
          <w:bCs/>
          <w:sz w:val="20"/>
          <w:szCs w:val="20"/>
          <w:lang w:val="es-ES"/>
        </w:rPr>
        <w:t>INTERNACIONAL, CARACTERIZACIÓN</w:t>
      </w:r>
      <w:r w:rsidRPr="00E943B1">
        <w:rPr>
          <w:rFonts w:asciiTheme="majorHAnsi" w:hAnsiTheme="majorHAnsi"/>
          <w:b/>
          <w:bCs/>
          <w:sz w:val="20"/>
          <w:szCs w:val="20"/>
          <w:lang w:val="es-ES"/>
        </w:rPr>
        <w:t xml:space="preserve">, </w:t>
      </w:r>
      <w:r w:rsidRPr="00E943B1">
        <w:rPr>
          <w:rFonts w:asciiTheme="majorHAnsi" w:hAnsiTheme="majorHAnsi"/>
          <w:b/>
          <w:sz w:val="20"/>
          <w:szCs w:val="20"/>
          <w:lang w:val="es-ES"/>
        </w:rPr>
        <w:t>AGOTAMIENTO DE LOS RECURSOS INTERNOS Y PLAZO DE PRESENTACIÓN</w:t>
      </w:r>
    </w:p>
    <w:p w14:paraId="38912EC5" w14:textId="77777777" w:rsidR="001D331A" w:rsidRPr="00E943B1" w:rsidRDefault="001D331A" w:rsidP="00232A51">
      <w:pPr>
        <w:pBdr>
          <w:top w:val="none" w:sz="0" w:space="0" w:color="auto"/>
          <w:left w:val="none" w:sz="0" w:space="0" w:color="auto"/>
          <w:bottom w:val="none" w:sz="0" w:space="0" w:color="auto"/>
          <w:right w:val="none" w:sz="0" w:space="0" w:color="auto"/>
          <w:bar w:val="none" w:sz="0" w:color="auto"/>
        </w:pBdr>
        <w:ind w:left="1440" w:hanging="720"/>
        <w:jc w:val="both"/>
        <w:rPr>
          <w:rFonts w:asciiTheme="majorHAnsi" w:hAnsiTheme="majorHAnsi"/>
          <w:b/>
          <w:bCs/>
          <w:sz w:val="20"/>
          <w:szCs w:val="20"/>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564"/>
        <w:gridCol w:w="5678"/>
      </w:tblGrid>
      <w:tr w:rsidR="00816ADF" w:rsidRPr="00E943B1" w14:paraId="61A2BB11" w14:textId="77777777" w:rsidTr="003F6C6C">
        <w:trPr>
          <w:cantSplit/>
        </w:trPr>
        <w:tc>
          <w:tcPr>
            <w:tcW w:w="3600" w:type="dxa"/>
            <w:tcBorders>
              <w:top w:val="single" w:sz="4" w:space="0" w:color="auto"/>
            </w:tcBorders>
            <w:shd w:val="clear" w:color="auto" w:fill="386294"/>
            <w:vAlign w:val="center"/>
          </w:tcPr>
          <w:p w14:paraId="4848A3B4"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jc w:val="center"/>
              <w:rPr>
                <w:rFonts w:asciiTheme="majorHAnsi" w:hAnsiTheme="majorHAnsi"/>
                <w:b/>
                <w:bCs/>
                <w:color w:val="FFFFFF"/>
                <w:sz w:val="20"/>
                <w:szCs w:val="20"/>
                <w:lang w:val="es-ES"/>
              </w:rPr>
            </w:pPr>
            <w:r w:rsidRPr="00E943B1">
              <w:rPr>
                <w:rFonts w:asciiTheme="majorHAnsi" w:hAnsiTheme="majorHAnsi"/>
                <w:b/>
                <w:bCs/>
                <w:color w:val="FFFFFF"/>
                <w:sz w:val="20"/>
                <w:szCs w:val="20"/>
                <w:lang w:val="es-ES"/>
              </w:rPr>
              <w:t>Duplicación de procedimientos y cosa juzgada internacional:</w:t>
            </w:r>
          </w:p>
        </w:tc>
        <w:tc>
          <w:tcPr>
            <w:tcW w:w="5760" w:type="dxa"/>
            <w:tcBorders>
              <w:top w:val="single" w:sz="4" w:space="0" w:color="auto"/>
            </w:tcBorders>
            <w:vAlign w:val="center"/>
          </w:tcPr>
          <w:p w14:paraId="25BD1386"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ES"/>
              </w:rPr>
            </w:pPr>
            <w:r w:rsidRPr="00E943B1">
              <w:rPr>
                <w:rFonts w:asciiTheme="majorHAnsi" w:hAnsiTheme="majorHAnsi"/>
                <w:bCs/>
                <w:sz w:val="20"/>
                <w:szCs w:val="20"/>
                <w:lang w:val="es-ES"/>
              </w:rPr>
              <w:t>No</w:t>
            </w:r>
          </w:p>
        </w:tc>
      </w:tr>
      <w:tr w:rsidR="00816ADF" w:rsidRPr="001B1B14" w14:paraId="218FB7A0" w14:textId="77777777" w:rsidTr="003F6C6C">
        <w:trPr>
          <w:cantSplit/>
        </w:trPr>
        <w:tc>
          <w:tcPr>
            <w:tcW w:w="3600" w:type="dxa"/>
            <w:tcBorders>
              <w:top w:val="single" w:sz="4" w:space="0" w:color="auto"/>
            </w:tcBorders>
            <w:shd w:val="clear" w:color="auto" w:fill="386294"/>
            <w:vAlign w:val="center"/>
          </w:tcPr>
          <w:p w14:paraId="3AEF6EA4"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jc w:val="center"/>
              <w:rPr>
                <w:rFonts w:asciiTheme="majorHAnsi" w:hAnsiTheme="majorHAnsi"/>
                <w:b/>
                <w:bCs/>
                <w:i/>
                <w:color w:val="FFFFFF"/>
                <w:sz w:val="20"/>
                <w:szCs w:val="20"/>
              </w:rPr>
            </w:pPr>
            <w:r w:rsidRPr="00E943B1">
              <w:rPr>
                <w:rFonts w:asciiTheme="majorHAnsi" w:hAnsiTheme="majorHAnsi"/>
                <w:b/>
                <w:bCs/>
                <w:color w:val="FFFFFF"/>
                <w:sz w:val="20"/>
                <w:szCs w:val="20"/>
              </w:rPr>
              <w:t>Derechos declarados admisibles</w:t>
            </w:r>
            <w:r w:rsidRPr="00E943B1">
              <w:rPr>
                <w:rFonts w:asciiTheme="majorHAnsi" w:hAnsiTheme="majorHAnsi"/>
                <w:b/>
                <w:bCs/>
                <w:i/>
                <w:color w:val="FFFFFF"/>
                <w:sz w:val="20"/>
                <w:szCs w:val="20"/>
              </w:rPr>
              <w:t>:</w:t>
            </w:r>
          </w:p>
        </w:tc>
        <w:tc>
          <w:tcPr>
            <w:tcW w:w="5760" w:type="dxa"/>
            <w:vAlign w:val="center"/>
          </w:tcPr>
          <w:p w14:paraId="0E745FE6" w14:textId="04CBD88F" w:rsidR="00816ADF" w:rsidRPr="00E943B1" w:rsidRDefault="00816ADF" w:rsidP="00232A51">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PA"/>
              </w:rPr>
            </w:pPr>
            <w:r w:rsidRPr="00E943B1">
              <w:rPr>
                <w:rFonts w:asciiTheme="majorHAnsi" w:hAnsiTheme="majorHAnsi"/>
                <w:bCs/>
                <w:sz w:val="20"/>
                <w:szCs w:val="20"/>
                <w:lang w:val="es-PA"/>
              </w:rPr>
              <w:t>Artículos 8 (garantías judiciales), 21 (propiedad privada), 24 (igualdad ante la ley), 25 (protección judicial) y 26 (desarrollo progresivo) de la Convención Americana en relación con sus artículos 1.1 (obligación de respetar los derechos) y 2 (deber de adoptar disposiciones de derechos interno)</w:t>
            </w:r>
          </w:p>
        </w:tc>
      </w:tr>
      <w:tr w:rsidR="00816ADF" w:rsidRPr="00E943B1" w14:paraId="34B1FBB6" w14:textId="77777777" w:rsidTr="003F6C6C">
        <w:trPr>
          <w:cantSplit/>
        </w:trPr>
        <w:tc>
          <w:tcPr>
            <w:tcW w:w="3600" w:type="dxa"/>
            <w:shd w:val="clear" w:color="auto" w:fill="386294"/>
            <w:vAlign w:val="center"/>
          </w:tcPr>
          <w:p w14:paraId="21842A07"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jc w:val="center"/>
              <w:rPr>
                <w:rFonts w:asciiTheme="majorHAnsi" w:hAnsiTheme="majorHAnsi"/>
                <w:b/>
                <w:bCs/>
                <w:color w:val="FFFFFF"/>
                <w:sz w:val="20"/>
                <w:szCs w:val="20"/>
                <w:lang w:val="es-ES"/>
              </w:rPr>
            </w:pPr>
            <w:r w:rsidRPr="00E943B1">
              <w:rPr>
                <w:rFonts w:asciiTheme="majorHAnsi" w:hAnsiTheme="majorHAnsi"/>
                <w:b/>
                <w:bCs/>
                <w:color w:val="FFFFFF"/>
                <w:sz w:val="20"/>
                <w:szCs w:val="20"/>
                <w:lang w:val="es-ES"/>
              </w:rPr>
              <w:t>Agotamiento de recursos internos o procedencia de una excepción:</w:t>
            </w:r>
          </w:p>
        </w:tc>
        <w:tc>
          <w:tcPr>
            <w:tcW w:w="5760" w:type="dxa"/>
            <w:vAlign w:val="center"/>
          </w:tcPr>
          <w:p w14:paraId="664D0B28"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rPr>
                <w:rFonts w:asciiTheme="majorHAnsi" w:hAnsiTheme="majorHAnsi"/>
                <w:bCs/>
                <w:sz w:val="20"/>
                <w:szCs w:val="20"/>
                <w:lang w:val="es-ES"/>
              </w:rPr>
            </w:pPr>
            <w:r w:rsidRPr="00E943B1">
              <w:rPr>
                <w:rFonts w:asciiTheme="majorHAnsi" w:hAnsiTheme="majorHAnsi"/>
                <w:bCs/>
                <w:sz w:val="20"/>
                <w:szCs w:val="20"/>
                <w:lang w:val="es-ES"/>
              </w:rPr>
              <w:t>Sí, 28 de abril de 2009</w:t>
            </w:r>
          </w:p>
        </w:tc>
      </w:tr>
      <w:tr w:rsidR="00816ADF" w:rsidRPr="00E943B1" w14:paraId="04C99ACD" w14:textId="77777777" w:rsidTr="003F6C6C">
        <w:trPr>
          <w:cantSplit/>
        </w:trPr>
        <w:tc>
          <w:tcPr>
            <w:tcW w:w="3600" w:type="dxa"/>
            <w:tcBorders>
              <w:bottom w:val="single" w:sz="4" w:space="0" w:color="auto"/>
            </w:tcBorders>
            <w:shd w:val="clear" w:color="auto" w:fill="386294"/>
            <w:vAlign w:val="center"/>
          </w:tcPr>
          <w:p w14:paraId="2B124A76"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jc w:val="center"/>
              <w:rPr>
                <w:rFonts w:asciiTheme="majorHAnsi" w:hAnsiTheme="majorHAnsi"/>
                <w:b/>
                <w:bCs/>
                <w:color w:val="FFFFFF"/>
                <w:sz w:val="20"/>
                <w:szCs w:val="20"/>
                <w:lang w:val="es-PA"/>
              </w:rPr>
            </w:pPr>
            <w:r w:rsidRPr="00E943B1">
              <w:rPr>
                <w:rFonts w:asciiTheme="majorHAnsi" w:hAnsiTheme="majorHAnsi"/>
                <w:b/>
                <w:bCs/>
                <w:color w:val="FFFFFF"/>
                <w:sz w:val="20"/>
                <w:szCs w:val="20"/>
                <w:lang w:val="es-PA"/>
              </w:rPr>
              <w:t>Presentación dentro de plazo:</w:t>
            </w:r>
          </w:p>
        </w:tc>
        <w:tc>
          <w:tcPr>
            <w:tcW w:w="5760" w:type="dxa"/>
            <w:tcBorders>
              <w:bottom w:val="single" w:sz="4" w:space="0" w:color="auto"/>
            </w:tcBorders>
            <w:vAlign w:val="center"/>
          </w:tcPr>
          <w:p w14:paraId="77BF666F"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rPr>
                <w:rFonts w:asciiTheme="majorHAnsi" w:hAnsiTheme="majorHAnsi"/>
                <w:bCs/>
                <w:sz w:val="20"/>
                <w:szCs w:val="20"/>
                <w:lang w:val="es-PA"/>
              </w:rPr>
            </w:pPr>
            <w:r w:rsidRPr="00E943B1">
              <w:rPr>
                <w:rFonts w:asciiTheme="majorHAnsi" w:hAnsiTheme="majorHAnsi"/>
                <w:bCs/>
                <w:sz w:val="20"/>
                <w:szCs w:val="20"/>
                <w:lang w:val="es-PA"/>
              </w:rPr>
              <w:t>Sí, 13 de octubre de 2009</w:t>
            </w:r>
          </w:p>
        </w:tc>
      </w:tr>
    </w:tbl>
    <w:p w14:paraId="2E78F6C4" w14:textId="25D9C0DB" w:rsidR="00232A51" w:rsidRDefault="00232A51" w:rsidP="00232A51">
      <w:pPr>
        <w:pBdr>
          <w:top w:val="none" w:sz="0" w:space="0" w:color="auto"/>
          <w:left w:val="none" w:sz="0" w:space="0" w:color="auto"/>
          <w:bottom w:val="none" w:sz="0" w:space="0" w:color="auto"/>
          <w:right w:val="none" w:sz="0" w:space="0" w:color="auto"/>
          <w:bar w:val="none" w:sz="0" w:color="auto"/>
        </w:pBdr>
        <w:jc w:val="both"/>
        <w:rPr>
          <w:rFonts w:asciiTheme="majorHAnsi" w:hAnsiTheme="majorHAnsi"/>
          <w:b/>
          <w:sz w:val="20"/>
          <w:szCs w:val="20"/>
          <w:lang w:val="es-UY"/>
        </w:rPr>
      </w:pPr>
    </w:p>
    <w:p w14:paraId="2DC85D9D" w14:textId="77777777" w:rsidR="001D331A" w:rsidRPr="00E943B1" w:rsidRDefault="001D331A" w:rsidP="00232A51">
      <w:pPr>
        <w:pBdr>
          <w:top w:val="none" w:sz="0" w:space="0" w:color="auto"/>
          <w:left w:val="none" w:sz="0" w:space="0" w:color="auto"/>
          <w:bottom w:val="none" w:sz="0" w:space="0" w:color="auto"/>
          <w:right w:val="none" w:sz="0" w:space="0" w:color="auto"/>
          <w:bar w:val="none" w:sz="0" w:color="auto"/>
        </w:pBdr>
        <w:jc w:val="both"/>
        <w:rPr>
          <w:rFonts w:asciiTheme="majorHAnsi" w:hAnsiTheme="majorHAnsi"/>
          <w:b/>
          <w:sz w:val="20"/>
          <w:szCs w:val="20"/>
          <w:lang w:val="es-UY"/>
        </w:rPr>
      </w:pPr>
    </w:p>
    <w:p w14:paraId="75FB91BC" w14:textId="77777777" w:rsidR="00C372D0" w:rsidRDefault="00C372D0" w:rsidP="00232A51">
      <w:pPr>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b/>
          <w:sz w:val="20"/>
          <w:szCs w:val="20"/>
          <w:lang w:val="es-ES_tradnl"/>
        </w:rPr>
      </w:pPr>
    </w:p>
    <w:p w14:paraId="21E6CCF9" w14:textId="77777777" w:rsidR="00C372D0" w:rsidRDefault="00C372D0" w:rsidP="00232A51">
      <w:pPr>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b/>
          <w:sz w:val="20"/>
          <w:szCs w:val="20"/>
          <w:lang w:val="es-ES_tradnl"/>
        </w:rPr>
      </w:pPr>
    </w:p>
    <w:p w14:paraId="4544624B" w14:textId="4F12DE4B" w:rsidR="00816ADF" w:rsidRPr="009B184E" w:rsidRDefault="00816ADF" w:rsidP="00232A51">
      <w:pPr>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b/>
          <w:sz w:val="20"/>
          <w:szCs w:val="20"/>
          <w:lang w:val="es-ES_tradnl"/>
        </w:rPr>
      </w:pPr>
      <w:r w:rsidRPr="009B184E">
        <w:rPr>
          <w:rFonts w:asciiTheme="majorHAnsi" w:hAnsiTheme="majorHAnsi"/>
          <w:b/>
          <w:sz w:val="20"/>
          <w:szCs w:val="20"/>
          <w:lang w:val="es-ES_tradnl"/>
        </w:rPr>
        <w:lastRenderedPageBreak/>
        <w:t xml:space="preserve">V. </w:t>
      </w:r>
      <w:r w:rsidRPr="009B184E">
        <w:rPr>
          <w:rFonts w:asciiTheme="majorHAnsi" w:hAnsiTheme="majorHAnsi"/>
          <w:b/>
          <w:sz w:val="20"/>
          <w:szCs w:val="20"/>
          <w:lang w:val="es-ES_tradnl"/>
        </w:rPr>
        <w:tab/>
        <w:t xml:space="preserve">HECHOS ALEGADOS </w:t>
      </w:r>
    </w:p>
    <w:p w14:paraId="0F41F766" w14:textId="77777777" w:rsidR="00232A51" w:rsidRPr="009B184E" w:rsidRDefault="00232A51" w:rsidP="00232A51">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cs="Cambria"/>
          <w:b/>
          <w:bCs/>
          <w:color w:val="000000"/>
          <w:sz w:val="20"/>
          <w:szCs w:val="20"/>
          <w:u w:color="000000"/>
          <w:lang w:val="es-ES_tradnl" w:eastAsia="es-ES"/>
        </w:rPr>
      </w:pPr>
    </w:p>
    <w:p w14:paraId="6B7BBD72" w14:textId="6F23A0B6" w:rsidR="00816ADF" w:rsidRPr="009B184E" w:rsidRDefault="003116D8" w:rsidP="0053381E">
      <w:pPr>
        <w:numPr>
          <w:ilvl w:val="0"/>
          <w:numId w:val="55"/>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cs="Cambria"/>
          <w:b/>
          <w:bCs/>
          <w:color w:val="000000"/>
          <w:sz w:val="20"/>
          <w:szCs w:val="20"/>
          <w:u w:color="000000"/>
          <w:lang w:val="es-ES_tradnl" w:eastAsia="es-ES"/>
        </w:rPr>
      </w:pPr>
      <w:r w:rsidRPr="009B184E">
        <w:rPr>
          <w:rFonts w:asciiTheme="majorHAnsi" w:hAnsiTheme="majorHAnsi"/>
          <w:sz w:val="20"/>
          <w:szCs w:val="20"/>
          <w:lang w:val="es-ES_tradnl"/>
        </w:rPr>
        <w:t xml:space="preserve">El peticionario </w:t>
      </w:r>
      <w:r w:rsidR="00816ADF" w:rsidRPr="009B184E">
        <w:rPr>
          <w:rFonts w:asciiTheme="majorHAnsi" w:hAnsiTheme="majorHAnsi"/>
          <w:sz w:val="20"/>
          <w:szCs w:val="20"/>
          <w:lang w:val="es-ES_tradnl"/>
        </w:rPr>
        <w:t xml:space="preserve">denuncia </w:t>
      </w:r>
      <w:r w:rsidR="005E300C" w:rsidRPr="009B184E">
        <w:rPr>
          <w:rFonts w:asciiTheme="majorHAnsi" w:hAnsiTheme="majorHAnsi"/>
          <w:sz w:val="20"/>
          <w:szCs w:val="20"/>
          <w:lang w:val="es-ES_tradnl"/>
        </w:rPr>
        <w:t xml:space="preserve">que </w:t>
      </w:r>
      <w:r w:rsidRPr="009B184E">
        <w:rPr>
          <w:rFonts w:asciiTheme="majorHAnsi" w:hAnsiTheme="majorHAnsi"/>
          <w:sz w:val="20"/>
          <w:szCs w:val="20"/>
          <w:lang w:val="es-ES_tradnl"/>
        </w:rPr>
        <w:t>sesenta y siete</w:t>
      </w:r>
      <w:r w:rsidR="00816ADF" w:rsidRPr="009B184E">
        <w:rPr>
          <w:rFonts w:asciiTheme="majorHAnsi" w:hAnsiTheme="majorHAnsi"/>
          <w:sz w:val="20"/>
          <w:szCs w:val="20"/>
          <w:lang w:val="es-ES_tradnl"/>
        </w:rPr>
        <w:t xml:space="preserve"> </w:t>
      </w:r>
      <w:r w:rsidRPr="009B184E">
        <w:rPr>
          <w:rFonts w:asciiTheme="majorHAnsi" w:hAnsiTheme="majorHAnsi"/>
          <w:sz w:val="20"/>
          <w:szCs w:val="20"/>
          <w:lang w:val="es-ES_tradnl"/>
        </w:rPr>
        <w:t>extrabajadores</w:t>
      </w:r>
      <w:r w:rsidR="00816ADF" w:rsidRPr="009B184E">
        <w:rPr>
          <w:rFonts w:asciiTheme="majorHAnsi" w:hAnsiTheme="majorHAnsi"/>
          <w:sz w:val="20"/>
          <w:szCs w:val="20"/>
          <w:lang w:val="es-ES_tradnl"/>
        </w:rPr>
        <w:t xml:space="preserve"> de</w:t>
      </w:r>
      <w:r w:rsidR="001D331A">
        <w:rPr>
          <w:rFonts w:asciiTheme="majorHAnsi" w:hAnsiTheme="majorHAnsi"/>
          <w:sz w:val="20"/>
          <w:szCs w:val="20"/>
          <w:lang w:val="es-ES_tradnl"/>
        </w:rPr>
        <w:t>l</w:t>
      </w:r>
      <w:r w:rsidR="00816ADF" w:rsidRPr="009B184E">
        <w:rPr>
          <w:rFonts w:asciiTheme="majorHAnsi" w:hAnsiTheme="majorHAnsi"/>
          <w:sz w:val="20"/>
          <w:szCs w:val="20"/>
          <w:lang w:val="es-ES_tradnl"/>
        </w:rPr>
        <w:t xml:space="preserve"> </w:t>
      </w:r>
      <w:r w:rsidR="001D331A" w:rsidRPr="009B184E">
        <w:rPr>
          <w:rFonts w:asciiTheme="majorHAnsi" w:hAnsiTheme="majorHAnsi"/>
          <w:sz w:val="20"/>
          <w:szCs w:val="20"/>
          <w:lang w:val="es-ES_tradnl"/>
        </w:rPr>
        <w:t xml:space="preserve">Banco Hipotecario Nacional </w:t>
      </w:r>
      <w:r w:rsidR="00816ADF" w:rsidRPr="009B184E">
        <w:rPr>
          <w:rFonts w:asciiTheme="majorHAnsi" w:hAnsiTheme="majorHAnsi"/>
          <w:sz w:val="20"/>
          <w:szCs w:val="20"/>
          <w:lang w:val="es-ES_tradnl"/>
        </w:rPr>
        <w:t xml:space="preserve">(en adelante “las presuntas víctimas”) </w:t>
      </w:r>
      <w:r w:rsidR="005E300C" w:rsidRPr="009B184E">
        <w:rPr>
          <w:rFonts w:asciiTheme="majorHAnsi" w:hAnsiTheme="majorHAnsi"/>
          <w:sz w:val="20"/>
          <w:szCs w:val="20"/>
          <w:lang w:val="es-ES_tradnl"/>
        </w:rPr>
        <w:t xml:space="preserve">sufrieron la reducción </w:t>
      </w:r>
      <w:r w:rsidR="00816ADF" w:rsidRPr="009B184E">
        <w:rPr>
          <w:rFonts w:asciiTheme="majorHAnsi" w:hAnsiTheme="majorHAnsi"/>
          <w:sz w:val="20"/>
          <w:szCs w:val="20"/>
          <w:lang w:val="es-ES_tradnl"/>
        </w:rPr>
        <w:t>injustificada, desproporcionada y discriminatoria</w:t>
      </w:r>
      <w:r w:rsidR="005E300C" w:rsidRPr="009B184E">
        <w:rPr>
          <w:rFonts w:asciiTheme="majorHAnsi" w:hAnsiTheme="majorHAnsi"/>
          <w:sz w:val="20"/>
          <w:szCs w:val="20"/>
          <w:lang w:val="es-ES_tradnl"/>
        </w:rPr>
        <w:t xml:space="preserve"> de</w:t>
      </w:r>
      <w:r w:rsidR="00816ADF" w:rsidRPr="009B184E">
        <w:rPr>
          <w:rFonts w:asciiTheme="majorHAnsi" w:hAnsiTheme="majorHAnsi"/>
          <w:sz w:val="20"/>
          <w:szCs w:val="20"/>
          <w:lang w:val="es-ES_tradnl"/>
        </w:rPr>
        <w:t xml:space="preserve"> un beneficio previsional al que se habían hecho acreedor</w:t>
      </w:r>
      <w:r w:rsidR="001D331A">
        <w:rPr>
          <w:rFonts w:asciiTheme="majorHAnsi" w:hAnsiTheme="majorHAnsi"/>
          <w:sz w:val="20"/>
          <w:szCs w:val="20"/>
          <w:lang w:val="es-ES_tradnl"/>
        </w:rPr>
        <w:t>e</w:t>
      </w:r>
      <w:r w:rsidR="00816ADF" w:rsidRPr="009B184E">
        <w:rPr>
          <w:rFonts w:asciiTheme="majorHAnsi" w:hAnsiTheme="majorHAnsi"/>
          <w:sz w:val="20"/>
          <w:szCs w:val="20"/>
          <w:lang w:val="es-ES_tradnl"/>
        </w:rPr>
        <w:t>s por razón de sus aportes</w:t>
      </w:r>
      <w:r w:rsidR="005E300C" w:rsidRPr="009B184E">
        <w:rPr>
          <w:rFonts w:asciiTheme="majorHAnsi" w:hAnsiTheme="majorHAnsi"/>
          <w:sz w:val="20"/>
          <w:szCs w:val="20"/>
          <w:lang w:val="es-ES_tradnl"/>
        </w:rPr>
        <w:t>,</w:t>
      </w:r>
      <w:r w:rsidR="00816ADF" w:rsidRPr="009B184E">
        <w:rPr>
          <w:rFonts w:asciiTheme="majorHAnsi" w:hAnsiTheme="majorHAnsi"/>
          <w:sz w:val="20"/>
          <w:szCs w:val="20"/>
          <w:lang w:val="es-ES_tradnl"/>
        </w:rPr>
        <w:t xml:space="preserve"> y </w:t>
      </w:r>
      <w:r w:rsidR="005E300C" w:rsidRPr="009B184E">
        <w:rPr>
          <w:rFonts w:asciiTheme="majorHAnsi" w:hAnsiTheme="majorHAnsi"/>
          <w:sz w:val="20"/>
          <w:szCs w:val="20"/>
          <w:lang w:val="es-ES_tradnl"/>
        </w:rPr>
        <w:t>que</w:t>
      </w:r>
      <w:r w:rsidR="00816ADF" w:rsidRPr="009B184E">
        <w:rPr>
          <w:rFonts w:asciiTheme="majorHAnsi" w:hAnsiTheme="majorHAnsi"/>
          <w:sz w:val="20"/>
          <w:szCs w:val="20"/>
          <w:lang w:val="es-ES_tradnl"/>
        </w:rPr>
        <w:t xml:space="preserve"> tenía naturaleza de derecho adquirido.</w:t>
      </w:r>
    </w:p>
    <w:p w14:paraId="15B98CF9" w14:textId="77777777" w:rsidR="00232A51" w:rsidRPr="009B184E" w:rsidRDefault="00232A51" w:rsidP="00232A51">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cs="Cambria"/>
          <w:b/>
          <w:bCs/>
          <w:color w:val="000000"/>
          <w:sz w:val="20"/>
          <w:szCs w:val="20"/>
          <w:u w:color="000000"/>
          <w:lang w:val="es-ES_tradnl" w:eastAsia="es-ES"/>
        </w:rPr>
      </w:pPr>
    </w:p>
    <w:p w14:paraId="051FB554" w14:textId="1AF874B9" w:rsidR="00816ADF" w:rsidRPr="009B184E" w:rsidRDefault="001D331A" w:rsidP="0053381E">
      <w:pPr>
        <w:numPr>
          <w:ilvl w:val="0"/>
          <w:numId w:val="55"/>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cs="Cambria"/>
          <w:b/>
          <w:bCs/>
          <w:color w:val="000000"/>
          <w:sz w:val="20"/>
          <w:szCs w:val="20"/>
          <w:u w:color="000000"/>
          <w:lang w:val="es-ES_tradnl" w:eastAsia="es-ES"/>
        </w:rPr>
      </w:pPr>
      <w:r>
        <w:rPr>
          <w:rFonts w:asciiTheme="majorHAnsi" w:hAnsiTheme="majorHAnsi"/>
          <w:sz w:val="20"/>
          <w:szCs w:val="20"/>
          <w:lang w:val="es-ES_tradnl"/>
        </w:rPr>
        <w:t>Narra</w:t>
      </w:r>
      <w:r w:rsidR="003116D8" w:rsidRPr="009B184E">
        <w:rPr>
          <w:rFonts w:asciiTheme="majorHAnsi" w:hAnsiTheme="majorHAnsi"/>
          <w:sz w:val="20"/>
          <w:szCs w:val="20"/>
          <w:lang w:val="es-ES_tradnl"/>
        </w:rPr>
        <w:t xml:space="preserve"> que e</w:t>
      </w:r>
      <w:r w:rsidR="005E300C" w:rsidRPr="009B184E">
        <w:rPr>
          <w:rFonts w:asciiTheme="majorHAnsi" w:hAnsiTheme="majorHAnsi"/>
          <w:sz w:val="20"/>
          <w:szCs w:val="20"/>
          <w:lang w:val="es-ES_tradnl"/>
        </w:rPr>
        <w:t xml:space="preserve">l Directorio del </w:t>
      </w:r>
      <w:r>
        <w:rPr>
          <w:rFonts w:asciiTheme="majorHAnsi" w:hAnsiTheme="majorHAnsi"/>
          <w:sz w:val="20"/>
          <w:szCs w:val="20"/>
          <w:lang w:val="es-ES_tradnl"/>
        </w:rPr>
        <w:t xml:space="preserve">Banco </w:t>
      </w:r>
      <w:r w:rsidR="009C24B3" w:rsidRPr="009B184E">
        <w:rPr>
          <w:rFonts w:asciiTheme="majorHAnsi" w:hAnsiTheme="majorHAnsi"/>
          <w:sz w:val="20"/>
          <w:szCs w:val="20"/>
          <w:lang w:val="es-ES_tradnl"/>
        </w:rPr>
        <w:t xml:space="preserve">Hipotecario Nacional </w:t>
      </w:r>
      <w:r w:rsidR="005E300C" w:rsidRPr="009B184E">
        <w:rPr>
          <w:rFonts w:asciiTheme="majorHAnsi" w:hAnsiTheme="majorHAnsi"/>
          <w:sz w:val="20"/>
          <w:szCs w:val="20"/>
          <w:lang w:val="es-ES_tradnl"/>
        </w:rPr>
        <w:t>adoptó una resolución en 1987 por la que reconoció a las presuntas víctimas</w:t>
      </w:r>
      <w:r w:rsidR="00816ADF" w:rsidRPr="009B184E">
        <w:rPr>
          <w:rFonts w:asciiTheme="majorHAnsi" w:hAnsiTheme="majorHAnsi"/>
          <w:sz w:val="20"/>
          <w:szCs w:val="20"/>
          <w:lang w:val="es-ES_tradnl"/>
        </w:rPr>
        <w:t xml:space="preserve"> el 82% de su sueldo básico para la jubilación ordinaria. </w:t>
      </w:r>
      <w:r w:rsidR="005E300C" w:rsidRPr="009B184E">
        <w:rPr>
          <w:rFonts w:asciiTheme="majorHAnsi" w:hAnsiTheme="majorHAnsi"/>
          <w:sz w:val="20"/>
          <w:szCs w:val="20"/>
          <w:lang w:val="es-ES_tradnl"/>
        </w:rPr>
        <w:t>Hasta</w:t>
      </w:r>
      <w:r w:rsidR="00816ADF" w:rsidRPr="009B184E">
        <w:rPr>
          <w:rFonts w:asciiTheme="majorHAnsi" w:hAnsiTheme="majorHAnsi"/>
          <w:sz w:val="20"/>
          <w:szCs w:val="20"/>
          <w:lang w:val="es-ES_tradnl"/>
        </w:rPr>
        <w:t xml:space="preserve"> el momento de </w:t>
      </w:r>
      <w:r w:rsidR="005E300C" w:rsidRPr="009B184E">
        <w:rPr>
          <w:rFonts w:asciiTheme="majorHAnsi" w:hAnsiTheme="majorHAnsi"/>
          <w:sz w:val="20"/>
          <w:szCs w:val="20"/>
          <w:lang w:val="es-ES_tradnl"/>
        </w:rPr>
        <w:t xml:space="preserve">los respectivos </w:t>
      </w:r>
      <w:r w:rsidR="00816ADF" w:rsidRPr="009B184E">
        <w:rPr>
          <w:rFonts w:asciiTheme="majorHAnsi" w:hAnsiTheme="majorHAnsi"/>
          <w:sz w:val="20"/>
          <w:szCs w:val="20"/>
          <w:lang w:val="es-ES_tradnl"/>
        </w:rPr>
        <w:t>ceses</w:t>
      </w:r>
      <w:r w:rsidR="005E300C" w:rsidRPr="009B184E">
        <w:rPr>
          <w:rFonts w:asciiTheme="majorHAnsi" w:hAnsiTheme="majorHAnsi"/>
          <w:sz w:val="20"/>
          <w:szCs w:val="20"/>
          <w:lang w:val="es-ES_tradnl"/>
        </w:rPr>
        <w:t>,</w:t>
      </w:r>
      <w:r w:rsidR="00816ADF" w:rsidRPr="009B184E">
        <w:rPr>
          <w:rFonts w:asciiTheme="majorHAnsi" w:hAnsiTheme="majorHAnsi"/>
          <w:sz w:val="20"/>
          <w:szCs w:val="20"/>
          <w:lang w:val="es-ES_tradnl"/>
        </w:rPr>
        <w:t xml:space="preserve"> las presuntas víctimas </w:t>
      </w:r>
      <w:r w:rsidR="005E300C" w:rsidRPr="009B184E">
        <w:rPr>
          <w:rFonts w:asciiTheme="majorHAnsi" w:hAnsiTheme="majorHAnsi"/>
          <w:sz w:val="20"/>
          <w:szCs w:val="20"/>
          <w:lang w:val="es-ES_tradnl"/>
        </w:rPr>
        <w:t>habían cumplido</w:t>
      </w:r>
      <w:r w:rsidR="00816ADF" w:rsidRPr="009B184E">
        <w:rPr>
          <w:rFonts w:asciiTheme="majorHAnsi" w:hAnsiTheme="majorHAnsi"/>
          <w:sz w:val="20"/>
          <w:szCs w:val="20"/>
          <w:lang w:val="es-ES_tradnl"/>
        </w:rPr>
        <w:t xml:space="preserve"> taxativamente con sus aportes al fondo del </w:t>
      </w:r>
      <w:r>
        <w:rPr>
          <w:rFonts w:asciiTheme="majorHAnsi" w:hAnsiTheme="majorHAnsi"/>
          <w:sz w:val="20"/>
          <w:szCs w:val="20"/>
          <w:lang w:val="es-ES_tradnl"/>
        </w:rPr>
        <w:t>que</w:t>
      </w:r>
      <w:r w:rsidR="00816ADF" w:rsidRPr="009B184E">
        <w:rPr>
          <w:rFonts w:asciiTheme="majorHAnsi" w:hAnsiTheme="majorHAnsi"/>
          <w:sz w:val="20"/>
          <w:szCs w:val="20"/>
          <w:lang w:val="es-ES_tradnl"/>
        </w:rPr>
        <w:t xml:space="preserve"> derivaría el beneficio. </w:t>
      </w:r>
      <w:r w:rsidR="005E300C" w:rsidRPr="009B184E">
        <w:rPr>
          <w:rFonts w:asciiTheme="majorHAnsi" w:hAnsiTheme="majorHAnsi"/>
          <w:sz w:val="20"/>
          <w:szCs w:val="20"/>
          <w:lang w:val="es-ES_tradnl"/>
        </w:rPr>
        <w:t>El peticionario d</w:t>
      </w:r>
      <w:r w:rsidR="00816ADF" w:rsidRPr="009B184E">
        <w:rPr>
          <w:rFonts w:asciiTheme="majorHAnsi" w:hAnsiTheme="majorHAnsi"/>
          <w:sz w:val="20"/>
          <w:szCs w:val="20"/>
          <w:lang w:val="es-ES_tradnl"/>
        </w:rPr>
        <w:t>enuncia que en 1990 se modificó retroactivamente el monto del referido beneficio</w:t>
      </w:r>
      <w:r w:rsidR="007974D0" w:rsidRPr="009B184E">
        <w:rPr>
          <w:rFonts w:asciiTheme="majorHAnsi" w:hAnsiTheme="majorHAnsi"/>
          <w:sz w:val="20"/>
          <w:szCs w:val="20"/>
          <w:lang w:val="es-ES_tradnl"/>
        </w:rPr>
        <w:t>,</w:t>
      </w:r>
      <w:r w:rsidR="005E300C" w:rsidRPr="009B184E">
        <w:rPr>
          <w:rFonts w:asciiTheme="majorHAnsi" w:hAnsiTheme="majorHAnsi"/>
          <w:sz w:val="20"/>
          <w:szCs w:val="20"/>
          <w:lang w:val="es-ES_tradnl"/>
        </w:rPr>
        <w:t xml:space="preserve"> y se redujo</w:t>
      </w:r>
      <w:r w:rsidR="00816ADF" w:rsidRPr="009B184E">
        <w:rPr>
          <w:rFonts w:asciiTheme="majorHAnsi" w:hAnsiTheme="majorHAnsi"/>
          <w:sz w:val="20"/>
          <w:szCs w:val="20"/>
          <w:lang w:val="es-ES_tradnl"/>
        </w:rPr>
        <w:t xml:space="preserve"> a un monto que no supere el 30% del sueldo básico en caso de jubilación</w:t>
      </w:r>
      <w:r w:rsidR="005E300C" w:rsidRPr="009B184E">
        <w:rPr>
          <w:rFonts w:asciiTheme="majorHAnsi" w:hAnsiTheme="majorHAnsi"/>
          <w:sz w:val="20"/>
          <w:szCs w:val="20"/>
          <w:lang w:val="es-ES_tradnl"/>
        </w:rPr>
        <w:t>;</w:t>
      </w:r>
      <w:r w:rsidR="00816ADF" w:rsidRPr="009B184E">
        <w:rPr>
          <w:rFonts w:asciiTheme="majorHAnsi" w:hAnsiTheme="majorHAnsi"/>
          <w:sz w:val="20"/>
          <w:szCs w:val="20"/>
          <w:lang w:val="es-ES_tradnl"/>
        </w:rPr>
        <w:t xml:space="preserve"> y el 75% del 30% en caso de pensión. Considera que esta </w:t>
      </w:r>
      <w:r w:rsidR="005E300C" w:rsidRPr="009B184E">
        <w:rPr>
          <w:rFonts w:asciiTheme="majorHAnsi" w:hAnsiTheme="majorHAnsi"/>
          <w:sz w:val="20"/>
          <w:szCs w:val="20"/>
          <w:lang w:val="es-ES_tradnl"/>
        </w:rPr>
        <w:t>modificación retroactiva</w:t>
      </w:r>
      <w:r w:rsidR="00816ADF" w:rsidRPr="009B184E">
        <w:rPr>
          <w:rFonts w:asciiTheme="majorHAnsi" w:hAnsiTheme="majorHAnsi"/>
          <w:sz w:val="20"/>
          <w:szCs w:val="20"/>
          <w:lang w:val="es-ES_tradnl"/>
        </w:rPr>
        <w:t xml:space="preserve"> cercenó ilegal e injustificadamente un derecho adquirido</w:t>
      </w:r>
      <w:r w:rsidR="007974D0" w:rsidRPr="009B184E">
        <w:rPr>
          <w:rFonts w:asciiTheme="majorHAnsi" w:hAnsiTheme="majorHAnsi"/>
          <w:sz w:val="20"/>
          <w:szCs w:val="20"/>
          <w:lang w:val="es-ES_tradnl"/>
        </w:rPr>
        <w:t>,</w:t>
      </w:r>
      <w:r w:rsidR="00816ADF" w:rsidRPr="009B184E">
        <w:rPr>
          <w:rFonts w:asciiTheme="majorHAnsi" w:hAnsiTheme="majorHAnsi"/>
          <w:sz w:val="20"/>
          <w:szCs w:val="20"/>
          <w:lang w:val="es-ES_tradnl"/>
        </w:rPr>
        <w:t xml:space="preserve"> y constituyó una confiscación de la parte aportada por las presuntas víctimas para llegar al 82%.</w:t>
      </w:r>
    </w:p>
    <w:p w14:paraId="0287A5B2" w14:textId="77777777" w:rsidR="00232A51" w:rsidRPr="009B184E" w:rsidRDefault="00232A51" w:rsidP="00232A51">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cs="Cambria"/>
          <w:b/>
          <w:bCs/>
          <w:color w:val="000000"/>
          <w:sz w:val="20"/>
          <w:szCs w:val="20"/>
          <w:u w:color="000000"/>
          <w:lang w:val="es-ES_tradnl" w:eastAsia="es-ES"/>
        </w:rPr>
      </w:pPr>
    </w:p>
    <w:p w14:paraId="2C7C152F" w14:textId="16DFEDE8" w:rsidR="00816ADF" w:rsidRPr="009B184E" w:rsidRDefault="005E300C" w:rsidP="0053381E">
      <w:pPr>
        <w:numPr>
          <w:ilvl w:val="0"/>
          <w:numId w:val="55"/>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cs="Cambria"/>
          <w:b/>
          <w:bCs/>
          <w:color w:val="000000"/>
          <w:sz w:val="20"/>
          <w:szCs w:val="20"/>
          <w:u w:color="000000"/>
          <w:lang w:val="es-ES_tradnl" w:eastAsia="es-ES"/>
        </w:rPr>
      </w:pPr>
      <w:r w:rsidRPr="009B184E">
        <w:rPr>
          <w:rFonts w:asciiTheme="majorHAnsi" w:hAnsiTheme="majorHAnsi"/>
          <w:sz w:val="20"/>
          <w:szCs w:val="20"/>
          <w:lang w:val="es-ES_tradnl"/>
        </w:rPr>
        <w:t xml:space="preserve">Las </w:t>
      </w:r>
      <w:r w:rsidR="00232A51" w:rsidRPr="009B184E">
        <w:rPr>
          <w:rFonts w:asciiTheme="majorHAnsi" w:hAnsiTheme="majorHAnsi"/>
          <w:sz w:val="20"/>
          <w:szCs w:val="20"/>
          <w:lang w:val="es-ES_tradnl"/>
        </w:rPr>
        <w:t>presuntas víctimas</w:t>
      </w:r>
      <w:r w:rsidR="00816ADF" w:rsidRPr="009B184E">
        <w:rPr>
          <w:rFonts w:asciiTheme="majorHAnsi" w:hAnsiTheme="majorHAnsi"/>
          <w:sz w:val="20"/>
          <w:szCs w:val="20"/>
          <w:lang w:val="es-ES_tradnl"/>
        </w:rPr>
        <w:t xml:space="preserve"> interpusieron una demanda </w:t>
      </w:r>
      <w:r w:rsidRPr="009B184E">
        <w:rPr>
          <w:rFonts w:asciiTheme="majorHAnsi" w:hAnsiTheme="majorHAnsi"/>
          <w:sz w:val="20"/>
          <w:szCs w:val="20"/>
          <w:lang w:val="es-ES_tradnl"/>
        </w:rPr>
        <w:t xml:space="preserve">por la que </w:t>
      </w:r>
      <w:r w:rsidR="00816ADF" w:rsidRPr="009B184E">
        <w:rPr>
          <w:rFonts w:asciiTheme="majorHAnsi" w:hAnsiTheme="majorHAnsi"/>
          <w:sz w:val="20"/>
          <w:szCs w:val="20"/>
          <w:lang w:val="es-ES_tradnl"/>
        </w:rPr>
        <w:t>solicita</w:t>
      </w:r>
      <w:r w:rsidRPr="009B184E">
        <w:rPr>
          <w:rFonts w:asciiTheme="majorHAnsi" w:hAnsiTheme="majorHAnsi"/>
          <w:sz w:val="20"/>
          <w:szCs w:val="20"/>
          <w:lang w:val="es-ES_tradnl"/>
        </w:rPr>
        <w:t>ron</w:t>
      </w:r>
      <w:r w:rsidR="00816ADF" w:rsidRPr="009B184E">
        <w:rPr>
          <w:rFonts w:asciiTheme="majorHAnsi" w:hAnsiTheme="majorHAnsi"/>
          <w:sz w:val="20"/>
          <w:szCs w:val="20"/>
          <w:lang w:val="es-ES_tradnl"/>
        </w:rPr>
        <w:t xml:space="preserve"> la nulidad de la resolución </w:t>
      </w:r>
      <w:r w:rsidRPr="009B184E">
        <w:rPr>
          <w:rFonts w:asciiTheme="majorHAnsi" w:hAnsiTheme="majorHAnsi"/>
          <w:sz w:val="20"/>
          <w:szCs w:val="20"/>
          <w:lang w:val="es-ES_tradnl"/>
        </w:rPr>
        <w:t>de 1990</w:t>
      </w:r>
      <w:r w:rsidR="00816ADF" w:rsidRPr="009B184E">
        <w:rPr>
          <w:rFonts w:asciiTheme="majorHAnsi" w:hAnsiTheme="majorHAnsi"/>
          <w:sz w:val="20"/>
          <w:szCs w:val="20"/>
          <w:lang w:val="es-ES_tradnl"/>
        </w:rPr>
        <w:t xml:space="preserve">, </w:t>
      </w:r>
      <w:r w:rsidRPr="009B184E">
        <w:rPr>
          <w:rFonts w:asciiTheme="majorHAnsi" w:hAnsiTheme="majorHAnsi"/>
          <w:sz w:val="20"/>
          <w:szCs w:val="20"/>
          <w:lang w:val="es-ES_tradnl"/>
        </w:rPr>
        <w:t xml:space="preserve">que </w:t>
      </w:r>
      <w:r w:rsidR="00816ADF" w:rsidRPr="009B184E">
        <w:rPr>
          <w:rFonts w:asciiTheme="majorHAnsi" w:hAnsiTheme="majorHAnsi"/>
          <w:sz w:val="20"/>
          <w:szCs w:val="20"/>
          <w:lang w:val="es-ES_tradnl"/>
        </w:rPr>
        <w:t xml:space="preserve">fue resuelta </w:t>
      </w:r>
      <w:r w:rsidR="001D331A" w:rsidRPr="009B184E">
        <w:rPr>
          <w:rFonts w:asciiTheme="majorHAnsi" w:hAnsiTheme="majorHAnsi"/>
          <w:sz w:val="20"/>
          <w:szCs w:val="20"/>
          <w:lang w:val="es-ES_tradnl"/>
        </w:rPr>
        <w:t>el 30 de octubre de 2003</w:t>
      </w:r>
      <w:r w:rsidR="001D331A">
        <w:rPr>
          <w:rFonts w:asciiTheme="majorHAnsi" w:hAnsiTheme="majorHAnsi"/>
          <w:sz w:val="20"/>
          <w:szCs w:val="20"/>
          <w:lang w:val="es-ES_tradnl"/>
        </w:rPr>
        <w:t xml:space="preserve"> </w:t>
      </w:r>
      <w:r w:rsidR="00816ADF" w:rsidRPr="009B184E">
        <w:rPr>
          <w:rFonts w:asciiTheme="majorHAnsi" w:hAnsiTheme="majorHAnsi"/>
          <w:sz w:val="20"/>
          <w:szCs w:val="20"/>
          <w:lang w:val="es-ES_tradnl"/>
        </w:rPr>
        <w:t xml:space="preserve">a su favor en primera instancia. La parte demandada presentó </w:t>
      </w:r>
      <w:r w:rsidR="00CA3FF6" w:rsidRPr="009B184E">
        <w:rPr>
          <w:rFonts w:asciiTheme="majorHAnsi" w:hAnsiTheme="majorHAnsi"/>
          <w:sz w:val="20"/>
          <w:szCs w:val="20"/>
          <w:lang w:val="es-ES_tradnl"/>
        </w:rPr>
        <w:t xml:space="preserve">un </w:t>
      </w:r>
      <w:r w:rsidR="00816ADF" w:rsidRPr="009B184E">
        <w:rPr>
          <w:rFonts w:asciiTheme="majorHAnsi" w:hAnsiTheme="majorHAnsi"/>
          <w:sz w:val="20"/>
          <w:szCs w:val="20"/>
          <w:lang w:val="es-ES_tradnl"/>
        </w:rPr>
        <w:t>recurso de apelación</w:t>
      </w:r>
      <w:r w:rsidR="00CA3FF6" w:rsidRPr="009B184E">
        <w:rPr>
          <w:rFonts w:asciiTheme="majorHAnsi" w:hAnsiTheme="majorHAnsi"/>
          <w:sz w:val="20"/>
          <w:szCs w:val="20"/>
          <w:lang w:val="es-ES_tradnl"/>
        </w:rPr>
        <w:t>, cuyo</w:t>
      </w:r>
      <w:r w:rsidR="00816ADF" w:rsidRPr="009B184E">
        <w:rPr>
          <w:rFonts w:asciiTheme="majorHAnsi" w:hAnsiTheme="majorHAnsi"/>
          <w:sz w:val="20"/>
          <w:szCs w:val="20"/>
          <w:lang w:val="es-ES_tradnl"/>
        </w:rPr>
        <w:t xml:space="preserve"> resultado </w:t>
      </w:r>
      <w:r w:rsidR="00CA3FF6" w:rsidRPr="009B184E">
        <w:rPr>
          <w:rFonts w:asciiTheme="majorHAnsi" w:hAnsiTheme="majorHAnsi"/>
          <w:sz w:val="20"/>
          <w:szCs w:val="20"/>
          <w:lang w:val="es-ES_tradnl"/>
        </w:rPr>
        <w:t xml:space="preserve">fue la revocación de la sentencia de primera instancia </w:t>
      </w:r>
      <w:r w:rsidR="00816ADF" w:rsidRPr="009B184E">
        <w:rPr>
          <w:rFonts w:asciiTheme="majorHAnsi" w:hAnsiTheme="majorHAnsi"/>
          <w:sz w:val="20"/>
          <w:szCs w:val="20"/>
          <w:lang w:val="es-ES_tradnl"/>
        </w:rPr>
        <w:t xml:space="preserve">el 16 de septiembre de 2004 </w:t>
      </w:r>
      <w:r w:rsidR="00CA3FF6" w:rsidRPr="009B184E">
        <w:rPr>
          <w:rFonts w:asciiTheme="majorHAnsi" w:hAnsiTheme="majorHAnsi"/>
          <w:sz w:val="20"/>
          <w:szCs w:val="20"/>
          <w:lang w:val="es-ES_tradnl"/>
        </w:rPr>
        <w:t xml:space="preserve">por </w:t>
      </w:r>
      <w:r w:rsidR="00816ADF" w:rsidRPr="009B184E">
        <w:rPr>
          <w:rFonts w:asciiTheme="majorHAnsi" w:hAnsiTheme="majorHAnsi"/>
          <w:sz w:val="20"/>
          <w:szCs w:val="20"/>
          <w:lang w:val="es-ES_tradnl"/>
        </w:rPr>
        <w:t xml:space="preserve">la Cámara Federal de Apelaciones de Mendoza. Contra esta decisión </w:t>
      </w:r>
      <w:r w:rsidR="00CA3FF6" w:rsidRPr="009B184E">
        <w:rPr>
          <w:rFonts w:asciiTheme="majorHAnsi" w:hAnsiTheme="majorHAnsi"/>
          <w:sz w:val="20"/>
          <w:szCs w:val="20"/>
          <w:lang w:val="es-ES_tradnl"/>
        </w:rPr>
        <w:t xml:space="preserve">se </w:t>
      </w:r>
      <w:r w:rsidR="00816ADF" w:rsidRPr="009B184E">
        <w:rPr>
          <w:rFonts w:asciiTheme="majorHAnsi" w:hAnsiTheme="majorHAnsi"/>
          <w:sz w:val="20"/>
          <w:szCs w:val="20"/>
          <w:lang w:val="es-ES_tradnl"/>
        </w:rPr>
        <w:t>interpus</w:t>
      </w:r>
      <w:r w:rsidR="00CA3FF6" w:rsidRPr="009B184E">
        <w:rPr>
          <w:rFonts w:asciiTheme="majorHAnsi" w:hAnsiTheme="majorHAnsi"/>
          <w:sz w:val="20"/>
          <w:szCs w:val="20"/>
          <w:lang w:val="es-ES_tradnl"/>
        </w:rPr>
        <w:t>o</w:t>
      </w:r>
      <w:r w:rsidR="00816ADF" w:rsidRPr="009B184E">
        <w:rPr>
          <w:rFonts w:asciiTheme="majorHAnsi" w:hAnsiTheme="majorHAnsi"/>
          <w:sz w:val="20"/>
          <w:szCs w:val="20"/>
          <w:lang w:val="es-ES_tradnl"/>
        </w:rPr>
        <w:t xml:space="preserve"> </w:t>
      </w:r>
      <w:r w:rsidR="00CA3FF6" w:rsidRPr="009B184E">
        <w:rPr>
          <w:rFonts w:asciiTheme="majorHAnsi" w:hAnsiTheme="majorHAnsi"/>
          <w:sz w:val="20"/>
          <w:szCs w:val="20"/>
          <w:lang w:val="es-ES_tradnl"/>
        </w:rPr>
        <w:t xml:space="preserve">un </w:t>
      </w:r>
      <w:r w:rsidR="00816ADF" w:rsidRPr="009B184E">
        <w:rPr>
          <w:rFonts w:asciiTheme="majorHAnsi" w:hAnsiTheme="majorHAnsi"/>
          <w:sz w:val="20"/>
          <w:szCs w:val="20"/>
          <w:lang w:val="es-ES_tradnl"/>
        </w:rPr>
        <w:t xml:space="preserve">recurso extraordinario federal, </w:t>
      </w:r>
      <w:r w:rsidR="00CA3FF6" w:rsidRPr="009B184E">
        <w:rPr>
          <w:rFonts w:asciiTheme="majorHAnsi" w:hAnsiTheme="majorHAnsi"/>
          <w:sz w:val="20"/>
          <w:szCs w:val="20"/>
          <w:lang w:val="es-ES_tradnl"/>
        </w:rPr>
        <w:t xml:space="preserve">que fue rechazado </w:t>
      </w:r>
      <w:r w:rsidR="00816ADF" w:rsidRPr="009B184E">
        <w:rPr>
          <w:rFonts w:asciiTheme="majorHAnsi" w:hAnsiTheme="majorHAnsi"/>
          <w:sz w:val="20"/>
          <w:szCs w:val="20"/>
          <w:lang w:val="es-ES_tradnl"/>
        </w:rPr>
        <w:t>el 10 de marzo de 2005 por</w:t>
      </w:r>
      <w:r w:rsidR="00CA3FF6" w:rsidRPr="009B184E">
        <w:rPr>
          <w:rFonts w:asciiTheme="majorHAnsi" w:hAnsiTheme="majorHAnsi"/>
          <w:sz w:val="20"/>
          <w:szCs w:val="20"/>
          <w:lang w:val="es-ES_tradnl"/>
        </w:rPr>
        <w:t xml:space="preserve"> dicha</w:t>
      </w:r>
      <w:r w:rsidR="00816ADF" w:rsidRPr="009B184E">
        <w:rPr>
          <w:rFonts w:asciiTheme="majorHAnsi" w:hAnsiTheme="majorHAnsi"/>
          <w:sz w:val="20"/>
          <w:szCs w:val="20"/>
          <w:lang w:val="es-ES_tradnl"/>
        </w:rPr>
        <w:t xml:space="preserve"> Cámara</w:t>
      </w:r>
      <w:r w:rsidR="00CA3FF6" w:rsidRPr="009B184E">
        <w:rPr>
          <w:rFonts w:asciiTheme="majorHAnsi" w:hAnsiTheme="majorHAnsi"/>
          <w:sz w:val="20"/>
          <w:szCs w:val="20"/>
          <w:lang w:val="es-ES_tradnl"/>
        </w:rPr>
        <w:t xml:space="preserve">, por considerar que </w:t>
      </w:r>
      <w:r w:rsidR="00816ADF" w:rsidRPr="009B184E">
        <w:rPr>
          <w:rFonts w:asciiTheme="majorHAnsi" w:hAnsiTheme="majorHAnsi"/>
          <w:sz w:val="20"/>
          <w:szCs w:val="20"/>
          <w:lang w:val="es-ES_tradnl"/>
        </w:rPr>
        <w:t xml:space="preserve">no </w:t>
      </w:r>
      <w:r w:rsidR="00CA3FF6" w:rsidRPr="009B184E">
        <w:rPr>
          <w:rFonts w:asciiTheme="majorHAnsi" w:hAnsiTheme="majorHAnsi"/>
          <w:sz w:val="20"/>
          <w:szCs w:val="20"/>
          <w:lang w:val="es-ES_tradnl"/>
        </w:rPr>
        <w:t xml:space="preserve">había </w:t>
      </w:r>
      <w:r w:rsidR="00816ADF" w:rsidRPr="009B184E">
        <w:rPr>
          <w:rFonts w:asciiTheme="majorHAnsi" w:hAnsiTheme="majorHAnsi"/>
          <w:sz w:val="20"/>
          <w:szCs w:val="20"/>
          <w:lang w:val="es-ES_tradnl"/>
        </w:rPr>
        <w:t xml:space="preserve">fundamento suficiente para sostener un caso </w:t>
      </w:r>
      <w:r w:rsidR="00CA3FF6" w:rsidRPr="009B184E">
        <w:rPr>
          <w:rFonts w:asciiTheme="majorHAnsi" w:hAnsiTheme="majorHAnsi"/>
          <w:sz w:val="20"/>
          <w:szCs w:val="20"/>
          <w:lang w:val="es-ES_tradnl"/>
        </w:rPr>
        <w:t>f</w:t>
      </w:r>
      <w:r w:rsidR="00816ADF" w:rsidRPr="009B184E">
        <w:rPr>
          <w:rFonts w:asciiTheme="majorHAnsi" w:hAnsiTheme="majorHAnsi"/>
          <w:sz w:val="20"/>
          <w:szCs w:val="20"/>
          <w:lang w:val="es-ES_tradnl"/>
        </w:rPr>
        <w:t xml:space="preserve">ederal. </w:t>
      </w:r>
      <w:r w:rsidR="00CA3FF6" w:rsidRPr="009B184E">
        <w:rPr>
          <w:rFonts w:asciiTheme="majorHAnsi" w:hAnsiTheme="majorHAnsi"/>
          <w:sz w:val="20"/>
          <w:szCs w:val="20"/>
          <w:lang w:val="es-ES_tradnl"/>
        </w:rPr>
        <w:t>El 12 de abril de 2005 las</w:t>
      </w:r>
      <w:r w:rsidR="00816ADF" w:rsidRPr="009B184E">
        <w:rPr>
          <w:rFonts w:asciiTheme="majorHAnsi" w:hAnsiTheme="majorHAnsi"/>
          <w:sz w:val="20"/>
          <w:szCs w:val="20"/>
          <w:lang w:val="es-ES_tradnl"/>
        </w:rPr>
        <w:t xml:space="preserve"> presuntas víctimas presentaron una queja por la denegatoria del recurso extraordinario federal ante la Corte Suprema de Justicia de la Nación</w:t>
      </w:r>
      <w:r w:rsidR="00CA3FF6" w:rsidRPr="009B184E">
        <w:rPr>
          <w:rFonts w:asciiTheme="majorHAnsi" w:hAnsiTheme="majorHAnsi"/>
          <w:sz w:val="20"/>
          <w:szCs w:val="20"/>
          <w:lang w:val="es-ES_tradnl"/>
        </w:rPr>
        <w:t>, que</w:t>
      </w:r>
      <w:r w:rsidR="00816ADF" w:rsidRPr="009B184E">
        <w:rPr>
          <w:rFonts w:asciiTheme="majorHAnsi" w:hAnsiTheme="majorHAnsi"/>
          <w:sz w:val="20"/>
          <w:szCs w:val="20"/>
          <w:lang w:val="es-ES_tradnl"/>
        </w:rPr>
        <w:t xml:space="preserve"> fue rechazada </w:t>
      </w:r>
      <w:r w:rsidR="00CA3FF6" w:rsidRPr="009B184E">
        <w:rPr>
          <w:rFonts w:asciiTheme="majorHAnsi" w:hAnsiTheme="majorHAnsi"/>
          <w:sz w:val="20"/>
          <w:szCs w:val="20"/>
          <w:lang w:val="es-ES_tradnl"/>
        </w:rPr>
        <w:t xml:space="preserve">el </w:t>
      </w:r>
      <w:r w:rsidR="00816ADF" w:rsidRPr="009B184E">
        <w:rPr>
          <w:rFonts w:asciiTheme="majorHAnsi" w:hAnsiTheme="majorHAnsi"/>
          <w:sz w:val="20"/>
          <w:szCs w:val="20"/>
          <w:lang w:val="es-ES_tradnl"/>
        </w:rPr>
        <w:t xml:space="preserve">7 de abril de 2009. </w:t>
      </w:r>
      <w:r w:rsidR="00CA3FF6" w:rsidRPr="009B184E">
        <w:rPr>
          <w:rFonts w:asciiTheme="majorHAnsi" w:hAnsiTheme="majorHAnsi"/>
          <w:sz w:val="20"/>
          <w:szCs w:val="20"/>
          <w:lang w:val="es-ES_tradnl"/>
        </w:rPr>
        <w:t>El peticionario i</w:t>
      </w:r>
      <w:r w:rsidR="00816ADF" w:rsidRPr="009B184E">
        <w:rPr>
          <w:rFonts w:asciiTheme="majorHAnsi" w:hAnsiTheme="majorHAnsi"/>
          <w:sz w:val="20"/>
          <w:szCs w:val="20"/>
          <w:lang w:val="es-ES_tradnl"/>
        </w:rPr>
        <w:t>ndica que con esta decisión</w:t>
      </w:r>
      <w:r w:rsidR="00CA3FF6" w:rsidRPr="009B184E">
        <w:rPr>
          <w:rFonts w:asciiTheme="majorHAnsi" w:hAnsiTheme="majorHAnsi"/>
          <w:sz w:val="20"/>
          <w:szCs w:val="20"/>
          <w:lang w:val="es-ES_tradnl"/>
        </w:rPr>
        <w:t>,</w:t>
      </w:r>
      <w:r w:rsidR="00816ADF" w:rsidRPr="009B184E">
        <w:rPr>
          <w:rFonts w:asciiTheme="majorHAnsi" w:hAnsiTheme="majorHAnsi"/>
          <w:sz w:val="20"/>
          <w:szCs w:val="20"/>
          <w:lang w:val="es-ES_tradnl"/>
        </w:rPr>
        <w:t xml:space="preserve"> </w:t>
      </w:r>
      <w:r w:rsidR="00CA3FF6" w:rsidRPr="009B184E">
        <w:rPr>
          <w:rFonts w:asciiTheme="majorHAnsi" w:hAnsiTheme="majorHAnsi"/>
          <w:sz w:val="20"/>
          <w:szCs w:val="20"/>
          <w:lang w:val="es-ES_tradnl"/>
        </w:rPr>
        <w:t xml:space="preserve">notificada el 28 de abril de 2009, </w:t>
      </w:r>
      <w:r w:rsidR="00816ADF" w:rsidRPr="009B184E">
        <w:rPr>
          <w:rFonts w:asciiTheme="majorHAnsi" w:hAnsiTheme="majorHAnsi"/>
          <w:sz w:val="20"/>
          <w:szCs w:val="20"/>
          <w:lang w:val="es-ES_tradnl"/>
        </w:rPr>
        <w:t xml:space="preserve">se agotó la </w:t>
      </w:r>
      <w:r w:rsidR="00CA3FF6" w:rsidRPr="009B184E">
        <w:rPr>
          <w:rFonts w:asciiTheme="majorHAnsi" w:hAnsiTheme="majorHAnsi"/>
          <w:sz w:val="20"/>
          <w:szCs w:val="20"/>
          <w:lang w:val="es-ES_tradnl"/>
        </w:rPr>
        <w:t>jurisdicción interna</w:t>
      </w:r>
      <w:r w:rsidR="00816ADF" w:rsidRPr="009B184E">
        <w:rPr>
          <w:rFonts w:asciiTheme="majorHAnsi" w:hAnsiTheme="majorHAnsi"/>
          <w:sz w:val="20"/>
          <w:szCs w:val="20"/>
          <w:lang w:val="es-ES_tradnl"/>
        </w:rPr>
        <w:t>.</w:t>
      </w:r>
    </w:p>
    <w:p w14:paraId="51138DCA" w14:textId="77777777" w:rsidR="00232A51" w:rsidRPr="009B184E" w:rsidRDefault="00232A51" w:rsidP="00232A51">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cs="Cambria"/>
          <w:b/>
          <w:bCs/>
          <w:color w:val="000000"/>
          <w:sz w:val="20"/>
          <w:szCs w:val="20"/>
          <w:u w:color="000000"/>
          <w:lang w:val="es-ES_tradnl" w:eastAsia="es-ES"/>
        </w:rPr>
      </w:pPr>
    </w:p>
    <w:p w14:paraId="2F45725C" w14:textId="71BC298A" w:rsidR="00816ADF" w:rsidRPr="009B184E" w:rsidRDefault="00816ADF" w:rsidP="0053381E">
      <w:pPr>
        <w:numPr>
          <w:ilvl w:val="0"/>
          <w:numId w:val="55"/>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cs="Cambria"/>
          <w:b/>
          <w:bCs/>
          <w:color w:val="000000"/>
          <w:sz w:val="20"/>
          <w:szCs w:val="20"/>
          <w:u w:color="000000"/>
          <w:lang w:val="es-ES_tradnl" w:eastAsia="es-ES"/>
        </w:rPr>
      </w:pPr>
      <w:r w:rsidRPr="009B184E">
        <w:rPr>
          <w:rFonts w:asciiTheme="majorHAnsi" w:hAnsiTheme="majorHAnsi"/>
          <w:sz w:val="20"/>
          <w:szCs w:val="20"/>
          <w:lang w:val="es-ES_tradnl"/>
        </w:rPr>
        <w:t>El peticionario alega que la decisión de la Corte Suprema de Justicia de la Nación no estuvo debidamente motivada</w:t>
      </w:r>
      <w:r w:rsidR="00CA3FF6" w:rsidRPr="009B184E">
        <w:rPr>
          <w:rFonts w:asciiTheme="majorHAnsi" w:hAnsiTheme="majorHAnsi"/>
          <w:sz w:val="20"/>
          <w:szCs w:val="20"/>
          <w:lang w:val="es-ES_tradnl"/>
        </w:rPr>
        <w:t>,</w:t>
      </w:r>
      <w:r w:rsidRPr="009B184E">
        <w:rPr>
          <w:rFonts w:asciiTheme="majorHAnsi" w:hAnsiTheme="majorHAnsi"/>
          <w:sz w:val="20"/>
          <w:szCs w:val="20"/>
          <w:lang w:val="es-ES_tradnl"/>
        </w:rPr>
        <w:t xml:space="preserve"> pues se limitó a un rechazo </w:t>
      </w:r>
      <w:r w:rsidRPr="009B184E">
        <w:rPr>
          <w:rFonts w:asciiTheme="majorHAnsi" w:hAnsiTheme="majorHAnsi"/>
          <w:i/>
          <w:sz w:val="20"/>
          <w:szCs w:val="20"/>
          <w:lang w:val="es-ES_tradnl"/>
        </w:rPr>
        <w:t>in limine</w:t>
      </w:r>
      <w:r w:rsidRPr="009B184E">
        <w:rPr>
          <w:rFonts w:asciiTheme="majorHAnsi" w:hAnsiTheme="majorHAnsi"/>
          <w:sz w:val="20"/>
          <w:szCs w:val="20"/>
          <w:lang w:val="es-ES_tradnl"/>
        </w:rPr>
        <w:t xml:space="preserve"> sin pronunciamiento sobre el fondo</w:t>
      </w:r>
      <w:r w:rsidR="003F7D75" w:rsidRPr="009B184E">
        <w:rPr>
          <w:rFonts w:asciiTheme="majorHAnsi" w:hAnsiTheme="majorHAnsi"/>
          <w:sz w:val="20"/>
          <w:szCs w:val="20"/>
          <w:lang w:val="es-ES_tradnl"/>
        </w:rPr>
        <w:t>,</w:t>
      </w:r>
      <w:r w:rsidRPr="009B184E">
        <w:rPr>
          <w:rFonts w:asciiTheme="majorHAnsi" w:hAnsiTheme="majorHAnsi"/>
          <w:sz w:val="20"/>
          <w:szCs w:val="20"/>
          <w:lang w:val="es-ES_tradnl"/>
        </w:rPr>
        <w:t xml:space="preserve"> en base a una supuesta falta de agravio federal suficiente. Considera que </w:t>
      </w:r>
      <w:r w:rsidR="00CA3FF6" w:rsidRPr="009B184E">
        <w:rPr>
          <w:rFonts w:asciiTheme="majorHAnsi" w:hAnsiTheme="majorHAnsi"/>
          <w:sz w:val="20"/>
          <w:szCs w:val="20"/>
          <w:lang w:val="es-ES_tradnl"/>
        </w:rPr>
        <w:t xml:space="preserve">dicho argumento </w:t>
      </w:r>
      <w:r w:rsidRPr="009B184E">
        <w:rPr>
          <w:rFonts w:asciiTheme="majorHAnsi" w:hAnsiTheme="majorHAnsi"/>
          <w:sz w:val="20"/>
          <w:szCs w:val="20"/>
          <w:lang w:val="es-ES_tradnl"/>
        </w:rPr>
        <w:t>no es sustentable al tratarse de un caso en que se afectaban la igualdad ante la ley, la irretroactividad de las normas, el derecho a la propiedad, la prohibición de la confiscación, y la integridad e irrenunciabilidad de los beneficios de seguridad social. Denuncia además que la decisión fue extemporánea</w:t>
      </w:r>
      <w:r w:rsidR="00CA3FF6" w:rsidRPr="009B184E">
        <w:rPr>
          <w:rFonts w:asciiTheme="majorHAnsi" w:hAnsiTheme="majorHAnsi"/>
          <w:sz w:val="20"/>
          <w:szCs w:val="20"/>
          <w:lang w:val="es-ES_tradnl"/>
        </w:rPr>
        <w:t>,</w:t>
      </w:r>
      <w:r w:rsidRPr="009B184E">
        <w:rPr>
          <w:rFonts w:asciiTheme="majorHAnsi" w:hAnsiTheme="majorHAnsi"/>
          <w:sz w:val="20"/>
          <w:szCs w:val="20"/>
          <w:lang w:val="es-ES_tradnl"/>
        </w:rPr>
        <w:t xml:space="preserve"> pues la Corte </w:t>
      </w:r>
      <w:r w:rsidR="00CA3FF6" w:rsidRPr="009B184E">
        <w:rPr>
          <w:rFonts w:asciiTheme="majorHAnsi" w:hAnsiTheme="majorHAnsi"/>
          <w:sz w:val="20"/>
          <w:szCs w:val="20"/>
          <w:lang w:val="es-ES_tradnl"/>
        </w:rPr>
        <w:t xml:space="preserve">Suprema </w:t>
      </w:r>
      <w:r w:rsidRPr="009B184E">
        <w:rPr>
          <w:rFonts w:asciiTheme="majorHAnsi" w:hAnsiTheme="majorHAnsi"/>
          <w:sz w:val="20"/>
          <w:szCs w:val="20"/>
          <w:lang w:val="es-ES_tradnl"/>
        </w:rPr>
        <w:t>ingres</w:t>
      </w:r>
      <w:r w:rsidR="00123DE0" w:rsidRPr="009B184E">
        <w:rPr>
          <w:rFonts w:asciiTheme="majorHAnsi" w:hAnsiTheme="majorHAnsi"/>
          <w:sz w:val="20"/>
          <w:szCs w:val="20"/>
          <w:lang w:val="es-ES_tradnl"/>
        </w:rPr>
        <w:t>ó</w:t>
      </w:r>
      <w:r w:rsidRPr="009B184E">
        <w:rPr>
          <w:rFonts w:asciiTheme="majorHAnsi" w:hAnsiTheme="majorHAnsi"/>
          <w:sz w:val="20"/>
          <w:szCs w:val="20"/>
          <w:lang w:val="es-ES_tradnl"/>
        </w:rPr>
        <w:t xml:space="preserve"> el expediente y realizó un acto procesal de importancia capital</w:t>
      </w:r>
      <w:r w:rsidR="00715B84" w:rsidRPr="009B184E">
        <w:rPr>
          <w:rFonts w:asciiTheme="majorHAnsi" w:hAnsiTheme="majorHAnsi"/>
          <w:sz w:val="20"/>
          <w:szCs w:val="20"/>
          <w:lang w:val="es-ES_tradnl"/>
        </w:rPr>
        <w:t>:</w:t>
      </w:r>
      <w:r w:rsidRPr="009B184E">
        <w:rPr>
          <w:rFonts w:asciiTheme="majorHAnsi" w:hAnsiTheme="majorHAnsi"/>
          <w:sz w:val="20"/>
          <w:szCs w:val="20"/>
          <w:lang w:val="es-ES_tradnl"/>
        </w:rPr>
        <w:t xml:space="preserve"> el reenvío de autos a consideración del Procurador Fiscal de la Nación</w:t>
      </w:r>
      <w:r w:rsidR="001D331A">
        <w:rPr>
          <w:rFonts w:asciiTheme="majorHAnsi" w:hAnsiTheme="majorHAnsi"/>
          <w:sz w:val="20"/>
          <w:szCs w:val="20"/>
          <w:lang w:val="es-ES_tradnl"/>
        </w:rPr>
        <w:t>,</w:t>
      </w:r>
      <w:r w:rsidR="00715B84" w:rsidRPr="009B184E">
        <w:rPr>
          <w:rFonts w:asciiTheme="majorHAnsi" w:hAnsiTheme="majorHAnsi"/>
          <w:sz w:val="20"/>
          <w:szCs w:val="20"/>
          <w:lang w:val="es-ES_tradnl"/>
        </w:rPr>
        <w:t xml:space="preserve"> </w:t>
      </w:r>
      <w:r w:rsidRPr="009B184E">
        <w:rPr>
          <w:rFonts w:asciiTheme="majorHAnsi" w:hAnsiTheme="majorHAnsi"/>
          <w:sz w:val="20"/>
          <w:szCs w:val="20"/>
          <w:lang w:val="es-ES_tradnl"/>
        </w:rPr>
        <w:t xml:space="preserve">para luego </w:t>
      </w:r>
      <w:r w:rsidR="00CA3FF6" w:rsidRPr="009B184E">
        <w:rPr>
          <w:rFonts w:asciiTheme="majorHAnsi" w:hAnsiTheme="majorHAnsi"/>
          <w:sz w:val="20"/>
          <w:szCs w:val="20"/>
          <w:lang w:val="es-ES_tradnl"/>
        </w:rPr>
        <w:t>decidir</w:t>
      </w:r>
      <w:r w:rsidRPr="009B184E">
        <w:rPr>
          <w:rFonts w:asciiTheme="majorHAnsi" w:hAnsiTheme="majorHAnsi"/>
          <w:sz w:val="20"/>
          <w:szCs w:val="20"/>
          <w:lang w:val="es-ES_tradnl"/>
        </w:rPr>
        <w:t xml:space="preserve"> </w:t>
      </w:r>
      <w:r w:rsidR="00CA3FF6" w:rsidRPr="009B184E">
        <w:rPr>
          <w:rFonts w:asciiTheme="majorHAnsi" w:hAnsiTheme="majorHAnsi"/>
          <w:sz w:val="20"/>
          <w:szCs w:val="20"/>
          <w:lang w:val="es-ES_tradnl"/>
        </w:rPr>
        <w:t>el</w:t>
      </w:r>
      <w:r w:rsidRPr="009B184E">
        <w:rPr>
          <w:rFonts w:asciiTheme="majorHAnsi" w:hAnsiTheme="majorHAnsi"/>
          <w:sz w:val="20"/>
          <w:szCs w:val="20"/>
          <w:lang w:val="es-ES_tradnl"/>
        </w:rPr>
        <w:t xml:space="preserve"> rechazo </w:t>
      </w:r>
      <w:r w:rsidRPr="009B184E">
        <w:rPr>
          <w:rFonts w:asciiTheme="majorHAnsi" w:hAnsiTheme="majorHAnsi"/>
          <w:i/>
          <w:sz w:val="20"/>
          <w:szCs w:val="20"/>
          <w:lang w:val="es-ES_tradnl"/>
        </w:rPr>
        <w:t xml:space="preserve">in limine </w:t>
      </w:r>
      <w:r w:rsidR="00715B84" w:rsidRPr="009B184E">
        <w:rPr>
          <w:rFonts w:asciiTheme="majorHAnsi" w:hAnsiTheme="majorHAnsi"/>
          <w:sz w:val="20"/>
          <w:szCs w:val="20"/>
          <w:lang w:val="es-ES_tradnl"/>
        </w:rPr>
        <w:t>cuatro</w:t>
      </w:r>
      <w:r w:rsidRPr="009B184E">
        <w:rPr>
          <w:rFonts w:asciiTheme="majorHAnsi" w:hAnsiTheme="majorHAnsi"/>
          <w:sz w:val="20"/>
          <w:szCs w:val="20"/>
          <w:lang w:val="es-ES_tradnl"/>
        </w:rPr>
        <w:t xml:space="preserve"> años después. Considera que el tiempo transcurrido </w:t>
      </w:r>
      <w:r w:rsidR="00CA3FF6" w:rsidRPr="009B184E">
        <w:rPr>
          <w:rFonts w:asciiTheme="majorHAnsi" w:hAnsiTheme="majorHAnsi"/>
          <w:sz w:val="20"/>
          <w:szCs w:val="20"/>
          <w:lang w:val="es-ES_tradnl"/>
        </w:rPr>
        <w:t xml:space="preserve">hasta el </w:t>
      </w:r>
      <w:r w:rsidRPr="009B184E">
        <w:rPr>
          <w:rFonts w:asciiTheme="majorHAnsi" w:hAnsiTheme="majorHAnsi"/>
          <w:sz w:val="20"/>
          <w:szCs w:val="20"/>
          <w:lang w:val="es-ES_tradnl"/>
        </w:rPr>
        <w:t xml:space="preserve">rechazo generó una injustificada </w:t>
      </w:r>
      <w:r w:rsidR="00D1519C" w:rsidRPr="009B184E">
        <w:rPr>
          <w:rFonts w:asciiTheme="majorHAnsi" w:hAnsiTheme="majorHAnsi"/>
          <w:sz w:val="20"/>
          <w:szCs w:val="20"/>
          <w:lang w:val="es-ES_tradnl"/>
        </w:rPr>
        <w:t>pérdida</w:t>
      </w:r>
      <w:r w:rsidRPr="009B184E">
        <w:rPr>
          <w:rFonts w:asciiTheme="majorHAnsi" w:hAnsiTheme="majorHAnsi"/>
          <w:sz w:val="20"/>
          <w:szCs w:val="20"/>
          <w:lang w:val="es-ES_tradnl"/>
        </w:rPr>
        <w:t xml:space="preserve"> de tiempo para las </w:t>
      </w:r>
      <w:r w:rsidR="00D1519C" w:rsidRPr="009B184E">
        <w:rPr>
          <w:rFonts w:asciiTheme="majorHAnsi" w:hAnsiTheme="majorHAnsi"/>
          <w:sz w:val="20"/>
          <w:szCs w:val="20"/>
          <w:lang w:val="es-ES_tradnl"/>
        </w:rPr>
        <w:t>presuntas víctimas</w:t>
      </w:r>
      <w:r w:rsidR="00A60A42" w:rsidRPr="009B184E">
        <w:rPr>
          <w:rFonts w:asciiTheme="majorHAnsi" w:hAnsiTheme="majorHAnsi"/>
          <w:sz w:val="20"/>
          <w:szCs w:val="20"/>
          <w:lang w:val="es-ES_tradnl"/>
        </w:rPr>
        <w:t>,</w:t>
      </w:r>
      <w:r w:rsidRPr="009B184E">
        <w:rPr>
          <w:rFonts w:asciiTheme="majorHAnsi" w:hAnsiTheme="majorHAnsi"/>
          <w:sz w:val="20"/>
          <w:szCs w:val="20"/>
          <w:lang w:val="es-ES_tradnl"/>
        </w:rPr>
        <w:t xml:space="preserve"> por razón de sus </w:t>
      </w:r>
      <w:r w:rsidR="00CA3FF6" w:rsidRPr="009B184E">
        <w:rPr>
          <w:rFonts w:asciiTheme="majorHAnsi" w:hAnsiTheme="majorHAnsi"/>
          <w:sz w:val="20"/>
          <w:szCs w:val="20"/>
          <w:lang w:val="es-ES_tradnl"/>
        </w:rPr>
        <w:t xml:space="preserve">respectivas </w:t>
      </w:r>
      <w:r w:rsidRPr="009B184E">
        <w:rPr>
          <w:rFonts w:asciiTheme="majorHAnsi" w:hAnsiTheme="majorHAnsi"/>
          <w:sz w:val="20"/>
          <w:szCs w:val="20"/>
          <w:lang w:val="es-ES_tradnl"/>
        </w:rPr>
        <w:t>edades</w:t>
      </w:r>
      <w:r w:rsidR="00A60A42" w:rsidRPr="009B184E">
        <w:rPr>
          <w:rFonts w:asciiTheme="majorHAnsi" w:hAnsiTheme="majorHAnsi"/>
          <w:sz w:val="20"/>
          <w:szCs w:val="20"/>
          <w:lang w:val="es-ES_tradnl"/>
        </w:rPr>
        <w:t xml:space="preserve"> como adultos mayores</w:t>
      </w:r>
      <w:r w:rsidRPr="009B184E">
        <w:rPr>
          <w:rFonts w:asciiTheme="majorHAnsi" w:hAnsiTheme="majorHAnsi"/>
          <w:sz w:val="20"/>
          <w:szCs w:val="20"/>
          <w:lang w:val="es-ES_tradnl"/>
        </w:rPr>
        <w:t xml:space="preserve">. </w:t>
      </w:r>
      <w:r w:rsidR="001D331A">
        <w:rPr>
          <w:rFonts w:asciiTheme="majorHAnsi" w:hAnsiTheme="majorHAnsi"/>
          <w:sz w:val="20"/>
          <w:szCs w:val="20"/>
          <w:lang w:val="es-ES_tradnl"/>
        </w:rPr>
        <w:t>El peticionario s</w:t>
      </w:r>
      <w:r w:rsidRPr="009B184E">
        <w:rPr>
          <w:rFonts w:asciiTheme="majorHAnsi" w:hAnsiTheme="majorHAnsi"/>
          <w:sz w:val="20"/>
          <w:szCs w:val="20"/>
          <w:lang w:val="es-ES_tradnl"/>
        </w:rPr>
        <w:t xml:space="preserve">ostiene </w:t>
      </w:r>
      <w:r w:rsidR="001D331A">
        <w:rPr>
          <w:rFonts w:asciiTheme="majorHAnsi" w:hAnsiTheme="majorHAnsi"/>
          <w:sz w:val="20"/>
          <w:szCs w:val="20"/>
          <w:lang w:val="es-ES_tradnl"/>
        </w:rPr>
        <w:t xml:space="preserve">igualmente </w:t>
      </w:r>
      <w:r w:rsidRPr="009B184E">
        <w:rPr>
          <w:rFonts w:asciiTheme="majorHAnsi" w:hAnsiTheme="majorHAnsi"/>
          <w:sz w:val="20"/>
          <w:szCs w:val="20"/>
          <w:lang w:val="es-ES_tradnl"/>
        </w:rPr>
        <w:t xml:space="preserve">que la decisión de la Corte </w:t>
      </w:r>
      <w:r w:rsidR="00CA3FF6" w:rsidRPr="009B184E">
        <w:rPr>
          <w:rFonts w:asciiTheme="majorHAnsi" w:hAnsiTheme="majorHAnsi"/>
          <w:sz w:val="20"/>
          <w:szCs w:val="20"/>
          <w:lang w:val="es-ES_tradnl"/>
        </w:rPr>
        <w:t xml:space="preserve">Suprema </w:t>
      </w:r>
      <w:r w:rsidRPr="009B184E">
        <w:rPr>
          <w:rFonts w:asciiTheme="majorHAnsi" w:hAnsiTheme="majorHAnsi"/>
          <w:sz w:val="20"/>
          <w:szCs w:val="20"/>
          <w:lang w:val="es-ES_tradnl"/>
        </w:rPr>
        <w:t>afectó discriminatoriamente a un sector social en estado de indefensión</w:t>
      </w:r>
      <w:r w:rsidR="001D331A">
        <w:rPr>
          <w:rFonts w:asciiTheme="majorHAnsi" w:hAnsiTheme="majorHAnsi"/>
          <w:sz w:val="20"/>
          <w:szCs w:val="20"/>
          <w:lang w:val="es-ES_tradnl"/>
        </w:rPr>
        <w:t>,</w:t>
      </w:r>
      <w:r w:rsidR="00CA3FF6" w:rsidRPr="009B184E">
        <w:rPr>
          <w:rFonts w:asciiTheme="majorHAnsi" w:hAnsiTheme="majorHAnsi"/>
          <w:sz w:val="20"/>
          <w:szCs w:val="20"/>
          <w:lang w:val="es-ES_tradnl"/>
        </w:rPr>
        <w:t xml:space="preserve"> y los sometió </w:t>
      </w:r>
      <w:r w:rsidRPr="009B184E">
        <w:rPr>
          <w:rFonts w:asciiTheme="majorHAnsi" w:hAnsiTheme="majorHAnsi"/>
          <w:sz w:val="20"/>
          <w:szCs w:val="20"/>
          <w:lang w:val="es-ES_tradnl"/>
        </w:rPr>
        <w:t xml:space="preserve">a condiciones de </w:t>
      </w:r>
      <w:r w:rsidR="001D331A">
        <w:rPr>
          <w:rFonts w:asciiTheme="majorHAnsi" w:hAnsiTheme="majorHAnsi"/>
          <w:sz w:val="20"/>
          <w:szCs w:val="20"/>
          <w:lang w:val="es-ES_tradnl"/>
        </w:rPr>
        <w:t>vida</w:t>
      </w:r>
      <w:r w:rsidRPr="009B184E">
        <w:rPr>
          <w:rFonts w:asciiTheme="majorHAnsi" w:hAnsiTheme="majorHAnsi"/>
          <w:sz w:val="20"/>
          <w:szCs w:val="20"/>
          <w:lang w:val="es-ES_tradnl"/>
        </w:rPr>
        <w:t xml:space="preserve"> que </w:t>
      </w:r>
      <w:r w:rsidR="00CA3FF6" w:rsidRPr="009B184E">
        <w:rPr>
          <w:rFonts w:asciiTheme="majorHAnsi" w:hAnsiTheme="majorHAnsi"/>
          <w:sz w:val="20"/>
          <w:szCs w:val="20"/>
          <w:lang w:val="es-ES_tradnl"/>
        </w:rPr>
        <w:t xml:space="preserve">podrían </w:t>
      </w:r>
      <w:r w:rsidRPr="009B184E">
        <w:rPr>
          <w:rFonts w:asciiTheme="majorHAnsi" w:hAnsiTheme="majorHAnsi"/>
          <w:sz w:val="20"/>
          <w:szCs w:val="20"/>
          <w:lang w:val="es-ES_tradnl"/>
        </w:rPr>
        <w:t>acarrear su destrucción física total o parcial. Agrega que la reducción “brutal” de sus salarios dejó a las presuntas víctimas sin acceso a medicamentos que requerían</w:t>
      </w:r>
      <w:r w:rsidR="00CA3FF6" w:rsidRPr="009B184E">
        <w:rPr>
          <w:rFonts w:asciiTheme="majorHAnsi" w:hAnsiTheme="majorHAnsi"/>
          <w:sz w:val="20"/>
          <w:szCs w:val="20"/>
          <w:lang w:val="es-ES_tradnl"/>
        </w:rPr>
        <w:t>,</w:t>
      </w:r>
      <w:r w:rsidRPr="009B184E">
        <w:rPr>
          <w:rFonts w:asciiTheme="majorHAnsi" w:hAnsiTheme="majorHAnsi"/>
          <w:sz w:val="20"/>
          <w:szCs w:val="20"/>
          <w:lang w:val="es-ES_tradnl"/>
        </w:rPr>
        <w:t xml:space="preserve"> y les obligó a buscar ayuda sanitaria </w:t>
      </w:r>
      <w:r w:rsidR="00CA3FF6" w:rsidRPr="009B184E">
        <w:rPr>
          <w:rFonts w:asciiTheme="majorHAnsi" w:hAnsiTheme="majorHAnsi"/>
          <w:sz w:val="20"/>
          <w:szCs w:val="20"/>
          <w:lang w:val="es-ES_tradnl"/>
        </w:rPr>
        <w:t>en</w:t>
      </w:r>
      <w:r w:rsidRPr="009B184E">
        <w:rPr>
          <w:rFonts w:asciiTheme="majorHAnsi" w:hAnsiTheme="majorHAnsi"/>
          <w:sz w:val="20"/>
          <w:szCs w:val="20"/>
          <w:lang w:val="es-ES_tradnl"/>
        </w:rPr>
        <w:t xml:space="preserve"> instituciones del gobierno</w:t>
      </w:r>
      <w:r w:rsidR="00CA3FF6" w:rsidRPr="009B184E">
        <w:rPr>
          <w:rFonts w:asciiTheme="majorHAnsi" w:hAnsiTheme="majorHAnsi"/>
          <w:sz w:val="20"/>
          <w:szCs w:val="20"/>
          <w:lang w:val="es-ES_tradnl"/>
        </w:rPr>
        <w:t>, donde</w:t>
      </w:r>
      <w:r w:rsidRPr="009B184E">
        <w:rPr>
          <w:rFonts w:asciiTheme="majorHAnsi" w:hAnsiTheme="majorHAnsi"/>
          <w:sz w:val="20"/>
          <w:szCs w:val="20"/>
          <w:lang w:val="es-ES_tradnl"/>
        </w:rPr>
        <w:t xml:space="preserve"> recibieron una atención mediocre.</w:t>
      </w:r>
    </w:p>
    <w:p w14:paraId="4B792C32" w14:textId="77777777" w:rsidR="00232A51" w:rsidRPr="009B184E" w:rsidRDefault="00232A51" w:rsidP="00CA3FF6">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cs="Cambria"/>
          <w:b/>
          <w:bCs/>
          <w:color w:val="000000"/>
          <w:sz w:val="20"/>
          <w:szCs w:val="20"/>
          <w:u w:color="000000"/>
          <w:lang w:val="es-ES_tradnl" w:eastAsia="es-ES"/>
        </w:rPr>
      </w:pPr>
    </w:p>
    <w:p w14:paraId="1640F570" w14:textId="4555A35F" w:rsidR="00816ADF" w:rsidRPr="009B184E" w:rsidRDefault="00816ADF" w:rsidP="0053381E">
      <w:pPr>
        <w:numPr>
          <w:ilvl w:val="0"/>
          <w:numId w:val="55"/>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cs="Cambria"/>
          <w:b/>
          <w:bCs/>
          <w:color w:val="000000"/>
          <w:sz w:val="20"/>
          <w:szCs w:val="20"/>
          <w:u w:color="000000"/>
          <w:lang w:val="es-ES_tradnl" w:eastAsia="es-ES"/>
        </w:rPr>
      </w:pPr>
      <w:r w:rsidRPr="009B184E">
        <w:rPr>
          <w:rFonts w:asciiTheme="majorHAnsi" w:hAnsiTheme="majorHAnsi"/>
          <w:sz w:val="20"/>
          <w:szCs w:val="20"/>
          <w:lang w:val="es-ES_tradnl"/>
        </w:rPr>
        <w:t xml:space="preserve">El Estado, por su parte, </w:t>
      </w:r>
      <w:r w:rsidR="003F7D75" w:rsidRPr="009B184E">
        <w:rPr>
          <w:rFonts w:asciiTheme="majorHAnsi" w:hAnsiTheme="majorHAnsi"/>
          <w:sz w:val="20"/>
          <w:szCs w:val="20"/>
          <w:lang w:val="es-ES_tradnl"/>
        </w:rPr>
        <w:t>manifiesta</w:t>
      </w:r>
      <w:r w:rsidRPr="009B184E">
        <w:rPr>
          <w:rFonts w:asciiTheme="majorHAnsi" w:hAnsiTheme="majorHAnsi"/>
          <w:sz w:val="20"/>
          <w:szCs w:val="20"/>
          <w:lang w:val="es-ES_tradnl"/>
        </w:rPr>
        <w:t xml:space="preserve"> que las modificaciones al régimen complementario al que se habían acogido las presuntas víctimas se dictaron en el marco de la ley 23.696 de 1989</w:t>
      </w:r>
      <w:r w:rsidR="00D0345B" w:rsidRPr="009B184E">
        <w:rPr>
          <w:rFonts w:asciiTheme="majorHAnsi" w:hAnsiTheme="majorHAnsi"/>
          <w:sz w:val="20"/>
          <w:szCs w:val="20"/>
          <w:lang w:val="es-ES_tradnl"/>
        </w:rPr>
        <w:t>,</w:t>
      </w:r>
      <w:r w:rsidRPr="009B184E">
        <w:rPr>
          <w:rFonts w:asciiTheme="majorHAnsi" w:hAnsiTheme="majorHAnsi"/>
          <w:sz w:val="20"/>
          <w:szCs w:val="20"/>
          <w:lang w:val="es-ES_tradnl"/>
        </w:rPr>
        <w:t xml:space="preserve"> que declaró un estado de emergencia administrativa respecto de la situación económica financiera que atravesaba el país. Indica que en base a esta ley se designó a un interventor para el Banco Hipotecario Nacional</w:t>
      </w:r>
      <w:r w:rsidR="00CA3FF6" w:rsidRPr="009B184E">
        <w:rPr>
          <w:rFonts w:asciiTheme="majorHAnsi" w:hAnsiTheme="majorHAnsi"/>
          <w:sz w:val="20"/>
          <w:szCs w:val="20"/>
          <w:lang w:val="es-ES_tradnl"/>
        </w:rPr>
        <w:t>,</w:t>
      </w:r>
      <w:r w:rsidRPr="009B184E">
        <w:rPr>
          <w:rFonts w:asciiTheme="majorHAnsi" w:hAnsiTheme="majorHAnsi"/>
          <w:sz w:val="20"/>
          <w:szCs w:val="20"/>
          <w:lang w:val="es-ES_tradnl"/>
        </w:rPr>
        <w:t xml:space="preserve"> que fue quien aprobó las modificaciones. </w:t>
      </w:r>
    </w:p>
    <w:p w14:paraId="0190C281" w14:textId="77777777" w:rsidR="00232A51" w:rsidRPr="009B184E" w:rsidRDefault="00232A51" w:rsidP="00CA3FF6">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cs="Cambria"/>
          <w:b/>
          <w:bCs/>
          <w:color w:val="000000"/>
          <w:sz w:val="20"/>
          <w:szCs w:val="20"/>
          <w:u w:color="000000"/>
          <w:lang w:val="es-ES_tradnl" w:eastAsia="es-ES"/>
        </w:rPr>
      </w:pPr>
    </w:p>
    <w:p w14:paraId="55147E23" w14:textId="5EFBF528" w:rsidR="00816ADF" w:rsidRPr="009B184E" w:rsidRDefault="009C24B3" w:rsidP="0053381E">
      <w:pPr>
        <w:numPr>
          <w:ilvl w:val="0"/>
          <w:numId w:val="55"/>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cs="Cambria"/>
          <w:b/>
          <w:bCs/>
          <w:color w:val="000000"/>
          <w:sz w:val="20"/>
          <w:szCs w:val="20"/>
          <w:u w:color="000000"/>
          <w:lang w:val="es-ES_tradnl" w:eastAsia="es-ES"/>
        </w:rPr>
      </w:pPr>
      <w:r>
        <w:rPr>
          <w:rFonts w:asciiTheme="majorHAnsi" w:hAnsiTheme="majorHAnsi"/>
          <w:sz w:val="20"/>
          <w:szCs w:val="20"/>
          <w:lang w:val="es-ES_tradnl"/>
        </w:rPr>
        <w:t>S</w:t>
      </w:r>
      <w:r w:rsidR="00816ADF" w:rsidRPr="009B184E">
        <w:rPr>
          <w:rFonts w:asciiTheme="majorHAnsi" w:hAnsiTheme="majorHAnsi"/>
          <w:sz w:val="20"/>
          <w:szCs w:val="20"/>
          <w:lang w:val="es-ES_tradnl"/>
        </w:rPr>
        <w:t xml:space="preserve">eñala </w:t>
      </w:r>
      <w:r>
        <w:rPr>
          <w:rFonts w:asciiTheme="majorHAnsi" w:hAnsiTheme="majorHAnsi"/>
          <w:sz w:val="20"/>
          <w:szCs w:val="20"/>
          <w:lang w:val="es-ES_tradnl"/>
        </w:rPr>
        <w:t xml:space="preserve">asimismo </w:t>
      </w:r>
      <w:r w:rsidR="00816ADF" w:rsidRPr="009B184E">
        <w:rPr>
          <w:rFonts w:asciiTheme="majorHAnsi" w:hAnsiTheme="majorHAnsi"/>
          <w:sz w:val="20"/>
          <w:szCs w:val="20"/>
          <w:lang w:val="es-ES_tradnl"/>
        </w:rPr>
        <w:t>que el magistrado de primera instancia determinó que las obligaciones adquiridas con las presuntas víctimas eran de carácter contractual</w:t>
      </w:r>
      <w:r w:rsidR="002A5192" w:rsidRPr="009B184E">
        <w:rPr>
          <w:rFonts w:asciiTheme="majorHAnsi" w:hAnsiTheme="majorHAnsi"/>
          <w:sz w:val="20"/>
          <w:szCs w:val="20"/>
          <w:lang w:val="es-ES_tradnl"/>
        </w:rPr>
        <w:t>,</w:t>
      </w:r>
      <w:r w:rsidR="00816ADF" w:rsidRPr="009B184E">
        <w:rPr>
          <w:rFonts w:asciiTheme="majorHAnsi" w:hAnsiTheme="majorHAnsi"/>
          <w:sz w:val="20"/>
          <w:szCs w:val="20"/>
          <w:lang w:val="es-ES_tradnl"/>
        </w:rPr>
        <w:t xml:space="preserve"> que debían </w:t>
      </w:r>
      <w:r w:rsidR="00CA3FF6" w:rsidRPr="009B184E">
        <w:rPr>
          <w:rFonts w:asciiTheme="majorHAnsi" w:hAnsiTheme="majorHAnsi"/>
          <w:sz w:val="20"/>
          <w:szCs w:val="20"/>
          <w:lang w:val="es-ES_tradnl"/>
        </w:rPr>
        <w:t>honrarse</w:t>
      </w:r>
      <w:r w:rsidR="00816ADF" w:rsidRPr="009B184E">
        <w:rPr>
          <w:rFonts w:asciiTheme="majorHAnsi" w:hAnsiTheme="majorHAnsi"/>
          <w:sz w:val="20"/>
          <w:szCs w:val="20"/>
          <w:lang w:val="es-ES_tradnl"/>
        </w:rPr>
        <w:t xml:space="preserve"> porque habían cumplido con las condiciones previstas en el contrato; </w:t>
      </w:r>
      <w:r w:rsidR="00CA3FF6" w:rsidRPr="009B184E">
        <w:rPr>
          <w:rFonts w:asciiTheme="majorHAnsi" w:hAnsiTheme="majorHAnsi"/>
          <w:sz w:val="20"/>
          <w:szCs w:val="20"/>
          <w:lang w:val="es-ES_tradnl"/>
        </w:rPr>
        <w:t>y</w:t>
      </w:r>
      <w:r w:rsidR="00816ADF" w:rsidRPr="009B184E">
        <w:rPr>
          <w:rFonts w:asciiTheme="majorHAnsi" w:hAnsiTheme="majorHAnsi"/>
          <w:sz w:val="20"/>
          <w:szCs w:val="20"/>
          <w:lang w:val="es-ES_tradnl"/>
        </w:rPr>
        <w:t xml:space="preserve"> que las medidas no se ajustaban a la finalidad de atender la situación de emergencia porque carecían de límite temporal. </w:t>
      </w:r>
      <w:r w:rsidR="00CA3FF6" w:rsidRPr="009B184E">
        <w:rPr>
          <w:rFonts w:asciiTheme="majorHAnsi" w:hAnsiTheme="majorHAnsi"/>
          <w:sz w:val="20"/>
          <w:szCs w:val="20"/>
          <w:lang w:val="es-ES_tradnl"/>
        </w:rPr>
        <w:t xml:space="preserve">La </w:t>
      </w:r>
      <w:r w:rsidR="00816ADF" w:rsidRPr="009B184E">
        <w:rPr>
          <w:rFonts w:asciiTheme="majorHAnsi" w:hAnsiTheme="majorHAnsi"/>
          <w:sz w:val="20"/>
          <w:szCs w:val="20"/>
          <w:lang w:val="es-ES_tradnl"/>
        </w:rPr>
        <w:t>Cámara Federal de Apelaciones de Mendoza revoc</w:t>
      </w:r>
      <w:r w:rsidR="00CA3FF6" w:rsidRPr="009B184E">
        <w:rPr>
          <w:rFonts w:asciiTheme="majorHAnsi" w:hAnsiTheme="majorHAnsi"/>
          <w:sz w:val="20"/>
          <w:szCs w:val="20"/>
          <w:lang w:val="es-ES_tradnl"/>
        </w:rPr>
        <w:t>ó</w:t>
      </w:r>
      <w:r w:rsidR="00816ADF" w:rsidRPr="009B184E">
        <w:rPr>
          <w:rFonts w:asciiTheme="majorHAnsi" w:hAnsiTheme="majorHAnsi"/>
          <w:sz w:val="20"/>
          <w:szCs w:val="20"/>
          <w:lang w:val="es-ES_tradnl"/>
        </w:rPr>
        <w:t xml:space="preserve"> la decisión </w:t>
      </w:r>
      <w:r w:rsidR="00CA3FF6" w:rsidRPr="009B184E">
        <w:rPr>
          <w:rFonts w:asciiTheme="majorHAnsi" w:hAnsiTheme="majorHAnsi"/>
          <w:sz w:val="20"/>
          <w:szCs w:val="20"/>
          <w:lang w:val="es-ES_tradnl"/>
        </w:rPr>
        <w:t xml:space="preserve">por </w:t>
      </w:r>
      <w:r w:rsidR="00816ADF" w:rsidRPr="009B184E">
        <w:rPr>
          <w:rFonts w:asciiTheme="majorHAnsi" w:hAnsiTheme="majorHAnsi"/>
          <w:sz w:val="20"/>
          <w:szCs w:val="20"/>
          <w:lang w:val="es-ES_tradnl"/>
        </w:rPr>
        <w:t>considerar que las prestaciones que surgen de fondos compensadores tienen carácter público</w:t>
      </w:r>
      <w:r w:rsidR="002A5192" w:rsidRPr="009B184E">
        <w:rPr>
          <w:rFonts w:asciiTheme="majorHAnsi" w:hAnsiTheme="majorHAnsi"/>
          <w:sz w:val="20"/>
          <w:szCs w:val="20"/>
          <w:lang w:val="es-ES_tradnl"/>
        </w:rPr>
        <w:t>,</w:t>
      </w:r>
      <w:r w:rsidR="00816ADF" w:rsidRPr="009B184E">
        <w:rPr>
          <w:rFonts w:asciiTheme="majorHAnsi" w:hAnsiTheme="majorHAnsi"/>
          <w:sz w:val="20"/>
          <w:szCs w:val="20"/>
          <w:lang w:val="es-ES_tradnl"/>
        </w:rPr>
        <w:t xml:space="preserve"> y no pueden ser analizadas desde la perspectiva de la contratación privada. La Cámara también determinó que la creación del fondo compensatorio emanaba del ejercicio de un poder discrecional</w:t>
      </w:r>
      <w:r w:rsidR="00DB0774" w:rsidRPr="009B184E">
        <w:rPr>
          <w:rFonts w:asciiTheme="majorHAnsi" w:hAnsiTheme="majorHAnsi"/>
          <w:sz w:val="20"/>
          <w:szCs w:val="20"/>
          <w:lang w:val="es-ES_tradnl"/>
        </w:rPr>
        <w:t>,</w:t>
      </w:r>
      <w:r w:rsidR="00816ADF" w:rsidRPr="009B184E">
        <w:rPr>
          <w:rFonts w:asciiTheme="majorHAnsi" w:hAnsiTheme="majorHAnsi"/>
          <w:sz w:val="20"/>
          <w:szCs w:val="20"/>
          <w:lang w:val="es-ES_tradnl"/>
        </w:rPr>
        <w:t xml:space="preserve"> por lo que las resoluciones que lo modificaran gozaban de presunción de legitimidad; </w:t>
      </w:r>
      <w:r w:rsidR="00DB0774" w:rsidRPr="009B184E">
        <w:rPr>
          <w:rFonts w:asciiTheme="majorHAnsi" w:hAnsiTheme="majorHAnsi"/>
          <w:sz w:val="20"/>
          <w:szCs w:val="20"/>
          <w:lang w:val="es-ES_tradnl"/>
        </w:rPr>
        <w:t xml:space="preserve">y </w:t>
      </w:r>
      <w:r w:rsidR="00816ADF" w:rsidRPr="009B184E">
        <w:rPr>
          <w:rFonts w:asciiTheme="majorHAnsi" w:hAnsiTheme="majorHAnsi"/>
          <w:sz w:val="20"/>
          <w:szCs w:val="20"/>
          <w:lang w:val="es-ES_tradnl"/>
        </w:rPr>
        <w:t xml:space="preserve">que debía aplicarse el </w:t>
      </w:r>
      <w:r w:rsidR="00816ADF" w:rsidRPr="009B184E">
        <w:rPr>
          <w:rFonts w:asciiTheme="majorHAnsi" w:hAnsiTheme="majorHAnsi"/>
          <w:sz w:val="20"/>
          <w:szCs w:val="20"/>
          <w:lang w:val="es-ES_tradnl"/>
        </w:rPr>
        <w:lastRenderedPageBreak/>
        <w:t>principio de solidaridad y tener en cuenta</w:t>
      </w:r>
      <w:r w:rsidR="00DB0774" w:rsidRPr="009B184E">
        <w:rPr>
          <w:rFonts w:asciiTheme="majorHAnsi" w:hAnsiTheme="majorHAnsi"/>
          <w:sz w:val="20"/>
          <w:szCs w:val="20"/>
          <w:lang w:val="es-ES_tradnl"/>
        </w:rPr>
        <w:t xml:space="preserve"> no solo </w:t>
      </w:r>
      <w:r w:rsidR="00816ADF" w:rsidRPr="009B184E">
        <w:rPr>
          <w:rFonts w:asciiTheme="majorHAnsi" w:hAnsiTheme="majorHAnsi"/>
          <w:sz w:val="20"/>
          <w:szCs w:val="20"/>
          <w:lang w:val="es-ES_tradnl"/>
        </w:rPr>
        <w:t xml:space="preserve">a las presuntas víctimas, </w:t>
      </w:r>
      <w:r w:rsidR="00DB0774" w:rsidRPr="009B184E">
        <w:rPr>
          <w:rFonts w:asciiTheme="majorHAnsi" w:hAnsiTheme="majorHAnsi"/>
          <w:sz w:val="20"/>
          <w:szCs w:val="20"/>
          <w:lang w:val="es-ES_tradnl"/>
        </w:rPr>
        <w:t xml:space="preserve">sino también </w:t>
      </w:r>
      <w:r w:rsidR="00816ADF" w:rsidRPr="009B184E">
        <w:rPr>
          <w:rFonts w:asciiTheme="majorHAnsi" w:hAnsiTheme="majorHAnsi"/>
          <w:sz w:val="20"/>
          <w:szCs w:val="20"/>
          <w:lang w:val="es-ES_tradnl"/>
        </w:rPr>
        <w:t xml:space="preserve">los intereses de los trabajadores activos y </w:t>
      </w:r>
      <w:r w:rsidR="00DB0774" w:rsidRPr="009B184E">
        <w:rPr>
          <w:rFonts w:asciiTheme="majorHAnsi" w:hAnsiTheme="majorHAnsi"/>
          <w:sz w:val="20"/>
          <w:szCs w:val="20"/>
          <w:lang w:val="es-ES_tradnl"/>
        </w:rPr>
        <w:t xml:space="preserve">de </w:t>
      </w:r>
      <w:r w:rsidR="00816ADF" w:rsidRPr="009B184E">
        <w:rPr>
          <w:rFonts w:asciiTheme="majorHAnsi" w:hAnsiTheme="majorHAnsi"/>
          <w:sz w:val="20"/>
          <w:szCs w:val="20"/>
          <w:lang w:val="es-ES_tradnl"/>
        </w:rPr>
        <w:t xml:space="preserve">las entidades que debían aportar al fondo. </w:t>
      </w:r>
      <w:r w:rsidR="00DB0774" w:rsidRPr="009B184E">
        <w:rPr>
          <w:rFonts w:asciiTheme="majorHAnsi" w:hAnsiTheme="majorHAnsi"/>
          <w:sz w:val="20"/>
          <w:szCs w:val="20"/>
          <w:lang w:val="es-ES_tradnl"/>
        </w:rPr>
        <w:t>Adicionalmente</w:t>
      </w:r>
      <w:r w:rsidR="00816ADF" w:rsidRPr="009B184E">
        <w:rPr>
          <w:rFonts w:asciiTheme="majorHAnsi" w:hAnsiTheme="majorHAnsi"/>
          <w:sz w:val="20"/>
          <w:szCs w:val="20"/>
          <w:lang w:val="es-ES_tradnl"/>
        </w:rPr>
        <w:t xml:space="preserve">, la Cámara consideró que </w:t>
      </w:r>
      <w:r w:rsidR="00816ADF" w:rsidRPr="009C24B3">
        <w:rPr>
          <w:rFonts w:asciiTheme="majorHAnsi" w:hAnsiTheme="majorHAnsi"/>
          <w:sz w:val="20"/>
          <w:szCs w:val="20"/>
          <w:lang w:val="es-ES_tradnl"/>
        </w:rPr>
        <w:t>“si bien no se puede desconocer el beneficio previsional in totum, el haber puede ser reducido mientras ello no resulte confiscatorio o arbitrariamente desproporcionado”</w:t>
      </w:r>
      <w:r w:rsidR="00DB0774" w:rsidRPr="009C24B3">
        <w:rPr>
          <w:rFonts w:asciiTheme="majorHAnsi" w:hAnsiTheme="majorHAnsi"/>
          <w:sz w:val="20"/>
          <w:szCs w:val="20"/>
          <w:lang w:val="es-ES_tradnl"/>
        </w:rPr>
        <w:t>;</w:t>
      </w:r>
      <w:r w:rsidR="00816ADF" w:rsidRPr="009B184E">
        <w:rPr>
          <w:rFonts w:asciiTheme="majorHAnsi" w:hAnsiTheme="majorHAnsi"/>
          <w:sz w:val="20"/>
          <w:szCs w:val="20"/>
          <w:lang w:val="es-ES_tradnl"/>
        </w:rPr>
        <w:t xml:space="preserve"> </w:t>
      </w:r>
      <w:r w:rsidR="00DB0774" w:rsidRPr="009B184E">
        <w:rPr>
          <w:rFonts w:asciiTheme="majorHAnsi" w:hAnsiTheme="majorHAnsi"/>
          <w:sz w:val="20"/>
          <w:szCs w:val="20"/>
          <w:lang w:val="es-ES_tradnl"/>
        </w:rPr>
        <w:t xml:space="preserve">y </w:t>
      </w:r>
      <w:r w:rsidR="00816ADF" w:rsidRPr="009B184E">
        <w:rPr>
          <w:rFonts w:asciiTheme="majorHAnsi" w:hAnsiTheme="majorHAnsi"/>
          <w:sz w:val="20"/>
          <w:szCs w:val="20"/>
          <w:lang w:val="es-ES_tradnl"/>
        </w:rPr>
        <w:t xml:space="preserve">que los derechos de las presuntas víctimas no se veían lesionados por </w:t>
      </w:r>
      <w:r w:rsidR="00816ADF" w:rsidRPr="009C24B3">
        <w:rPr>
          <w:rFonts w:asciiTheme="majorHAnsi" w:hAnsiTheme="majorHAnsi"/>
          <w:sz w:val="20"/>
          <w:szCs w:val="20"/>
          <w:lang w:val="es-ES_tradnl"/>
        </w:rPr>
        <w:t xml:space="preserve">“las limitaciones impuestas para superar o acentuar una solución de épocas de emergencia ante el imperativo de preservar la existencia del régimen”. </w:t>
      </w:r>
      <w:r w:rsidR="00D133DF" w:rsidRPr="009B184E">
        <w:rPr>
          <w:rFonts w:asciiTheme="majorHAnsi" w:hAnsiTheme="majorHAnsi"/>
          <w:sz w:val="20"/>
          <w:szCs w:val="20"/>
          <w:lang w:val="es-ES_tradnl"/>
        </w:rPr>
        <w:t>E</w:t>
      </w:r>
      <w:r w:rsidR="00816ADF" w:rsidRPr="009B184E">
        <w:rPr>
          <w:rFonts w:asciiTheme="majorHAnsi" w:hAnsiTheme="majorHAnsi"/>
          <w:sz w:val="20"/>
          <w:szCs w:val="20"/>
          <w:lang w:val="es-ES_tradnl"/>
        </w:rPr>
        <w:t xml:space="preserve">l recurso federal interpuesto contra esta decisión fue rechazado por no presentar </w:t>
      </w:r>
      <w:r w:rsidR="00DB0774" w:rsidRPr="009B184E">
        <w:rPr>
          <w:rFonts w:asciiTheme="majorHAnsi" w:hAnsiTheme="majorHAnsi"/>
          <w:sz w:val="20"/>
          <w:szCs w:val="20"/>
          <w:lang w:val="es-ES_tradnl"/>
        </w:rPr>
        <w:t xml:space="preserve">una </w:t>
      </w:r>
      <w:r w:rsidR="00816ADF" w:rsidRPr="009B184E">
        <w:rPr>
          <w:rFonts w:asciiTheme="majorHAnsi" w:hAnsiTheme="majorHAnsi"/>
          <w:sz w:val="20"/>
          <w:szCs w:val="20"/>
          <w:lang w:val="es-ES_tradnl"/>
        </w:rPr>
        <w:t>cuestión federal</w:t>
      </w:r>
      <w:r w:rsidR="00D133DF" w:rsidRPr="009B184E">
        <w:rPr>
          <w:rFonts w:asciiTheme="majorHAnsi" w:hAnsiTheme="majorHAnsi"/>
          <w:sz w:val="20"/>
          <w:szCs w:val="20"/>
          <w:lang w:val="es-ES_tradnl"/>
        </w:rPr>
        <w:t>,</w:t>
      </w:r>
      <w:r w:rsidR="00816ADF" w:rsidRPr="009B184E">
        <w:rPr>
          <w:rFonts w:asciiTheme="majorHAnsi" w:hAnsiTheme="majorHAnsi"/>
          <w:sz w:val="20"/>
          <w:szCs w:val="20"/>
          <w:lang w:val="es-ES_tradnl"/>
        </w:rPr>
        <w:t xml:space="preserve"> y </w:t>
      </w:r>
      <w:r w:rsidR="00DB0774" w:rsidRPr="009B184E">
        <w:rPr>
          <w:rFonts w:asciiTheme="majorHAnsi" w:hAnsiTheme="majorHAnsi"/>
          <w:sz w:val="20"/>
          <w:szCs w:val="20"/>
          <w:lang w:val="es-ES_tradnl"/>
        </w:rPr>
        <w:t xml:space="preserve">por </w:t>
      </w:r>
      <w:r w:rsidR="00816ADF" w:rsidRPr="009B184E">
        <w:rPr>
          <w:rFonts w:asciiTheme="majorHAnsi" w:hAnsiTheme="majorHAnsi"/>
          <w:sz w:val="20"/>
          <w:szCs w:val="20"/>
          <w:lang w:val="es-ES_tradnl"/>
        </w:rPr>
        <w:t>esgrimir exclusivamente discrepancias con el criterio del tribunal apelado</w:t>
      </w:r>
      <w:r w:rsidR="00DB0774" w:rsidRPr="009B184E">
        <w:rPr>
          <w:rFonts w:asciiTheme="majorHAnsi" w:hAnsiTheme="majorHAnsi"/>
          <w:sz w:val="20"/>
          <w:szCs w:val="20"/>
          <w:lang w:val="es-ES_tradnl"/>
        </w:rPr>
        <w:t>;</w:t>
      </w:r>
      <w:r w:rsidR="00816ADF" w:rsidRPr="009B184E">
        <w:rPr>
          <w:rFonts w:asciiTheme="majorHAnsi" w:hAnsiTheme="majorHAnsi"/>
          <w:sz w:val="20"/>
          <w:szCs w:val="20"/>
          <w:lang w:val="es-ES_tradnl"/>
        </w:rPr>
        <w:t xml:space="preserve"> y el recurso de queja</w:t>
      </w:r>
      <w:r w:rsidR="009E5356" w:rsidRPr="009B184E">
        <w:rPr>
          <w:rFonts w:asciiTheme="majorHAnsi" w:hAnsiTheme="majorHAnsi"/>
          <w:sz w:val="20"/>
          <w:szCs w:val="20"/>
          <w:lang w:val="es-ES_tradnl"/>
        </w:rPr>
        <w:t>, interpuesto luego</w:t>
      </w:r>
      <w:r w:rsidR="00816ADF" w:rsidRPr="009B184E">
        <w:rPr>
          <w:rFonts w:asciiTheme="majorHAnsi" w:hAnsiTheme="majorHAnsi"/>
          <w:sz w:val="20"/>
          <w:szCs w:val="20"/>
          <w:lang w:val="es-ES_tradnl"/>
        </w:rPr>
        <w:t xml:space="preserve"> contra la denegatoria</w:t>
      </w:r>
      <w:r>
        <w:rPr>
          <w:rFonts w:asciiTheme="majorHAnsi" w:hAnsiTheme="majorHAnsi"/>
          <w:sz w:val="20"/>
          <w:szCs w:val="20"/>
          <w:lang w:val="es-ES_tradnl"/>
        </w:rPr>
        <w:t>,</w:t>
      </w:r>
      <w:r w:rsidR="00816ADF" w:rsidRPr="009B184E">
        <w:rPr>
          <w:rFonts w:asciiTheme="majorHAnsi" w:hAnsiTheme="majorHAnsi"/>
          <w:sz w:val="20"/>
          <w:szCs w:val="20"/>
          <w:lang w:val="es-ES_tradnl"/>
        </w:rPr>
        <w:t xml:space="preserve"> fue rechazado según las normas procesales aplicables por falta de agravio federal suficiente o trascendencia del asunto.</w:t>
      </w:r>
    </w:p>
    <w:p w14:paraId="10E0147B" w14:textId="77777777" w:rsidR="00232A51" w:rsidRPr="009B184E" w:rsidRDefault="00232A51" w:rsidP="00DB0774">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cs="Cambria"/>
          <w:b/>
          <w:bCs/>
          <w:color w:val="000000"/>
          <w:sz w:val="20"/>
          <w:szCs w:val="20"/>
          <w:u w:color="000000"/>
          <w:lang w:val="es-ES_tradnl" w:eastAsia="es-ES"/>
        </w:rPr>
      </w:pPr>
    </w:p>
    <w:p w14:paraId="0E37E440" w14:textId="5BF8466C" w:rsidR="00816ADF" w:rsidRPr="009B184E" w:rsidRDefault="003F7D75" w:rsidP="0053381E">
      <w:pPr>
        <w:numPr>
          <w:ilvl w:val="0"/>
          <w:numId w:val="55"/>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cs="Cambria"/>
          <w:b/>
          <w:bCs/>
          <w:color w:val="000000"/>
          <w:sz w:val="20"/>
          <w:szCs w:val="20"/>
          <w:u w:color="000000"/>
          <w:lang w:val="es-ES_tradnl" w:eastAsia="es-ES"/>
        </w:rPr>
      </w:pPr>
      <w:r w:rsidRPr="009B184E">
        <w:rPr>
          <w:rFonts w:asciiTheme="majorHAnsi" w:hAnsiTheme="majorHAnsi" w:cs="Cambria"/>
          <w:bCs/>
          <w:color w:val="000000"/>
          <w:sz w:val="20"/>
          <w:szCs w:val="20"/>
          <w:u w:color="000000"/>
          <w:lang w:val="es-ES_tradnl" w:eastAsia="es-ES"/>
        </w:rPr>
        <w:t xml:space="preserve">El Estado sostiene </w:t>
      </w:r>
      <w:r w:rsidR="00816ADF" w:rsidRPr="009B184E">
        <w:rPr>
          <w:rFonts w:asciiTheme="majorHAnsi" w:hAnsiTheme="majorHAnsi" w:cs="Cambria"/>
          <w:bCs/>
          <w:color w:val="000000"/>
          <w:sz w:val="20"/>
          <w:szCs w:val="20"/>
          <w:u w:color="000000"/>
          <w:lang w:val="es-ES_tradnl" w:eastAsia="es-ES"/>
        </w:rPr>
        <w:t xml:space="preserve">que la Comisión </w:t>
      </w:r>
      <w:r w:rsidRPr="009B184E">
        <w:rPr>
          <w:rFonts w:asciiTheme="majorHAnsi" w:hAnsiTheme="majorHAnsi" w:cs="Cambria"/>
          <w:bCs/>
          <w:color w:val="000000"/>
          <w:sz w:val="20"/>
          <w:szCs w:val="20"/>
          <w:u w:color="000000"/>
          <w:lang w:val="es-ES_tradnl" w:eastAsia="es-ES"/>
        </w:rPr>
        <w:t xml:space="preserve">Interamericana </w:t>
      </w:r>
      <w:r w:rsidR="00816ADF" w:rsidRPr="009B184E">
        <w:rPr>
          <w:rFonts w:asciiTheme="majorHAnsi" w:hAnsiTheme="majorHAnsi" w:cs="Cambria"/>
          <w:bCs/>
          <w:color w:val="000000"/>
          <w:sz w:val="20"/>
          <w:szCs w:val="20"/>
          <w:u w:color="000000"/>
          <w:lang w:val="es-ES_tradnl" w:eastAsia="es-ES"/>
        </w:rPr>
        <w:t xml:space="preserve">carece de competencia </w:t>
      </w:r>
      <w:r w:rsidR="00816ADF" w:rsidRPr="009B184E">
        <w:rPr>
          <w:rFonts w:asciiTheme="majorHAnsi" w:hAnsiTheme="majorHAnsi" w:cs="Cambria"/>
          <w:bCs/>
          <w:i/>
          <w:color w:val="000000"/>
          <w:sz w:val="20"/>
          <w:szCs w:val="20"/>
          <w:u w:color="000000"/>
          <w:lang w:val="es-ES_tradnl" w:eastAsia="es-ES"/>
        </w:rPr>
        <w:t>ratione materiae</w:t>
      </w:r>
      <w:r w:rsidR="00816ADF" w:rsidRPr="009B184E">
        <w:rPr>
          <w:rFonts w:asciiTheme="majorHAnsi" w:hAnsiTheme="majorHAnsi" w:cs="Cambria"/>
          <w:bCs/>
          <w:color w:val="000000"/>
          <w:sz w:val="20"/>
          <w:szCs w:val="20"/>
          <w:u w:color="000000"/>
          <w:lang w:val="es-ES_tradnl" w:eastAsia="es-ES"/>
        </w:rPr>
        <w:t xml:space="preserve"> para conocer las </w:t>
      </w:r>
      <w:r w:rsidR="00D1519C" w:rsidRPr="009B184E">
        <w:rPr>
          <w:rFonts w:asciiTheme="majorHAnsi" w:hAnsiTheme="majorHAnsi" w:cs="Cambria"/>
          <w:bCs/>
          <w:color w:val="000000"/>
          <w:sz w:val="20"/>
          <w:szCs w:val="20"/>
          <w:u w:color="000000"/>
          <w:lang w:val="es-ES_tradnl" w:eastAsia="es-ES"/>
        </w:rPr>
        <w:t>violaciones</w:t>
      </w:r>
      <w:r w:rsidR="00816ADF" w:rsidRPr="009B184E">
        <w:rPr>
          <w:rFonts w:asciiTheme="majorHAnsi" w:hAnsiTheme="majorHAnsi" w:cs="Cambria"/>
          <w:bCs/>
          <w:color w:val="000000"/>
          <w:sz w:val="20"/>
          <w:szCs w:val="20"/>
          <w:u w:color="000000"/>
          <w:lang w:val="es-ES_tradnl" w:eastAsia="es-ES"/>
        </w:rPr>
        <w:t xml:space="preserve"> </w:t>
      </w:r>
      <w:r w:rsidRPr="009B184E">
        <w:rPr>
          <w:rFonts w:asciiTheme="majorHAnsi" w:hAnsiTheme="majorHAnsi" w:cs="Cambria"/>
          <w:bCs/>
          <w:color w:val="000000"/>
          <w:sz w:val="20"/>
          <w:szCs w:val="20"/>
          <w:u w:color="000000"/>
          <w:lang w:val="es-ES_tradnl" w:eastAsia="es-ES"/>
        </w:rPr>
        <w:t>de</w:t>
      </w:r>
      <w:r w:rsidR="00816ADF" w:rsidRPr="009B184E">
        <w:rPr>
          <w:rFonts w:asciiTheme="majorHAnsi" w:hAnsiTheme="majorHAnsi" w:cs="Cambria"/>
          <w:bCs/>
          <w:color w:val="000000"/>
          <w:sz w:val="20"/>
          <w:szCs w:val="20"/>
          <w:u w:color="000000"/>
          <w:lang w:val="es-ES_tradnl" w:eastAsia="es-ES"/>
        </w:rPr>
        <w:t>l derecho de propiedad por razón de la reserva realizada por Argentina al artículo 21 de la Convención Americana</w:t>
      </w:r>
      <w:r w:rsidRPr="009B184E">
        <w:rPr>
          <w:rStyle w:val="FootnoteReference"/>
          <w:rFonts w:asciiTheme="majorHAnsi" w:hAnsiTheme="majorHAnsi"/>
          <w:bCs/>
          <w:color w:val="000000"/>
          <w:sz w:val="20"/>
          <w:szCs w:val="20"/>
          <w:u w:color="000000"/>
          <w:lang w:val="es-ES_tradnl" w:eastAsia="es-ES"/>
        </w:rPr>
        <w:footnoteReference w:id="5"/>
      </w:r>
      <w:r w:rsidR="00E16B3D" w:rsidRPr="009B184E">
        <w:rPr>
          <w:rFonts w:asciiTheme="majorHAnsi" w:hAnsiTheme="majorHAnsi" w:cs="Cambria"/>
          <w:bCs/>
          <w:color w:val="000000"/>
          <w:sz w:val="20"/>
          <w:szCs w:val="20"/>
          <w:u w:color="000000"/>
          <w:lang w:val="es-ES_tradnl" w:eastAsia="es-ES"/>
        </w:rPr>
        <w:t>.</w:t>
      </w:r>
      <w:r w:rsidR="00816ADF" w:rsidRPr="009B184E">
        <w:rPr>
          <w:rFonts w:asciiTheme="majorHAnsi" w:hAnsiTheme="majorHAnsi" w:cs="Cambria"/>
          <w:bCs/>
          <w:color w:val="000000"/>
          <w:sz w:val="20"/>
          <w:szCs w:val="20"/>
          <w:u w:color="000000"/>
          <w:lang w:val="es-ES_tradnl" w:eastAsia="es-ES"/>
        </w:rPr>
        <w:t xml:space="preserve"> </w:t>
      </w:r>
      <w:r w:rsidR="00E16B3D" w:rsidRPr="009B184E">
        <w:rPr>
          <w:rFonts w:asciiTheme="majorHAnsi" w:hAnsiTheme="majorHAnsi" w:cs="Cambria"/>
          <w:bCs/>
          <w:color w:val="000000"/>
          <w:sz w:val="20"/>
          <w:szCs w:val="20"/>
          <w:u w:color="000000"/>
          <w:lang w:val="es-ES_tradnl" w:eastAsia="es-ES"/>
        </w:rPr>
        <w:t>Considera</w:t>
      </w:r>
      <w:r w:rsidR="00816ADF" w:rsidRPr="009B184E">
        <w:rPr>
          <w:rFonts w:asciiTheme="majorHAnsi" w:hAnsiTheme="majorHAnsi" w:cs="Cambria"/>
          <w:bCs/>
          <w:color w:val="000000"/>
          <w:sz w:val="20"/>
          <w:szCs w:val="20"/>
          <w:u w:color="000000"/>
          <w:lang w:val="es-ES_tradnl" w:eastAsia="es-ES"/>
        </w:rPr>
        <w:t xml:space="preserve"> que </w:t>
      </w:r>
      <w:r w:rsidR="00002BC7" w:rsidRPr="009B184E">
        <w:rPr>
          <w:rFonts w:asciiTheme="majorHAnsi" w:hAnsiTheme="majorHAnsi" w:cs="Cambria"/>
          <w:bCs/>
          <w:color w:val="000000"/>
          <w:sz w:val="20"/>
          <w:szCs w:val="20"/>
          <w:u w:color="000000"/>
          <w:lang w:val="es-ES_tradnl" w:eastAsia="es-ES"/>
        </w:rPr>
        <w:t>los agravios</w:t>
      </w:r>
      <w:r w:rsidR="00816ADF" w:rsidRPr="009B184E">
        <w:rPr>
          <w:rFonts w:asciiTheme="majorHAnsi" w:hAnsiTheme="majorHAnsi" w:cs="Cambria"/>
          <w:bCs/>
          <w:color w:val="000000"/>
          <w:sz w:val="20"/>
          <w:szCs w:val="20"/>
          <w:u w:color="000000"/>
          <w:lang w:val="es-ES_tradnl" w:eastAsia="es-ES"/>
        </w:rPr>
        <w:t xml:space="preserve"> alegados por el peticionario serían consecuencia de las leyes dictadas </w:t>
      </w:r>
      <w:r w:rsidR="00E16B3D" w:rsidRPr="009B184E">
        <w:rPr>
          <w:rFonts w:asciiTheme="majorHAnsi" w:hAnsiTheme="majorHAnsi" w:cs="Cambria"/>
          <w:bCs/>
          <w:color w:val="000000"/>
          <w:sz w:val="20"/>
          <w:szCs w:val="20"/>
          <w:u w:color="000000"/>
          <w:lang w:val="es-ES_tradnl" w:eastAsia="es-ES"/>
        </w:rPr>
        <w:t>como parte</w:t>
      </w:r>
      <w:r w:rsidR="00816ADF" w:rsidRPr="009B184E">
        <w:rPr>
          <w:rFonts w:asciiTheme="majorHAnsi" w:hAnsiTheme="majorHAnsi" w:cs="Cambria"/>
          <w:bCs/>
          <w:color w:val="000000"/>
          <w:sz w:val="20"/>
          <w:szCs w:val="20"/>
          <w:u w:color="000000"/>
          <w:lang w:val="es-ES_tradnl" w:eastAsia="es-ES"/>
        </w:rPr>
        <w:t xml:space="preserve"> </w:t>
      </w:r>
      <w:r w:rsidR="00F570F1" w:rsidRPr="009B184E">
        <w:rPr>
          <w:rFonts w:asciiTheme="majorHAnsi" w:hAnsiTheme="majorHAnsi" w:cs="Cambria"/>
          <w:bCs/>
          <w:color w:val="000000"/>
          <w:sz w:val="20"/>
          <w:szCs w:val="20"/>
          <w:u w:color="000000"/>
          <w:lang w:val="es-ES_tradnl" w:eastAsia="es-ES"/>
        </w:rPr>
        <w:t xml:space="preserve">de la </w:t>
      </w:r>
      <w:r w:rsidR="00816ADF" w:rsidRPr="009B184E">
        <w:rPr>
          <w:rFonts w:asciiTheme="majorHAnsi" w:hAnsiTheme="majorHAnsi" w:cs="Cambria"/>
          <w:bCs/>
          <w:color w:val="000000"/>
          <w:sz w:val="20"/>
          <w:szCs w:val="20"/>
          <w:u w:color="000000"/>
          <w:lang w:val="es-ES_tradnl" w:eastAsia="es-ES"/>
        </w:rPr>
        <w:t xml:space="preserve">política de emergencia </w:t>
      </w:r>
      <w:r w:rsidR="00E16B3D" w:rsidRPr="009B184E">
        <w:rPr>
          <w:rFonts w:asciiTheme="majorHAnsi" w:hAnsiTheme="majorHAnsi" w:cs="Cambria"/>
          <w:bCs/>
          <w:color w:val="000000"/>
          <w:sz w:val="20"/>
          <w:szCs w:val="20"/>
          <w:u w:color="000000"/>
          <w:lang w:val="es-ES_tradnl" w:eastAsia="es-ES"/>
        </w:rPr>
        <w:t>ante</w:t>
      </w:r>
      <w:r w:rsidR="00816ADF" w:rsidRPr="009B184E">
        <w:rPr>
          <w:rFonts w:asciiTheme="majorHAnsi" w:hAnsiTheme="majorHAnsi" w:cs="Cambria"/>
          <w:bCs/>
          <w:color w:val="000000"/>
          <w:sz w:val="20"/>
          <w:szCs w:val="20"/>
          <w:u w:color="000000"/>
          <w:lang w:val="es-ES_tradnl" w:eastAsia="es-ES"/>
        </w:rPr>
        <w:t xml:space="preserve"> la grave crisis que enfrentaba el país en es</w:t>
      </w:r>
      <w:r w:rsidR="00F570F1" w:rsidRPr="009B184E">
        <w:rPr>
          <w:rFonts w:asciiTheme="majorHAnsi" w:hAnsiTheme="majorHAnsi" w:cs="Cambria"/>
          <w:bCs/>
          <w:color w:val="000000"/>
          <w:sz w:val="20"/>
          <w:szCs w:val="20"/>
          <w:u w:color="000000"/>
          <w:lang w:val="es-ES_tradnl" w:eastAsia="es-ES"/>
        </w:rPr>
        <w:t>e</w:t>
      </w:r>
      <w:r w:rsidR="00816ADF" w:rsidRPr="009B184E">
        <w:rPr>
          <w:rFonts w:asciiTheme="majorHAnsi" w:hAnsiTheme="majorHAnsi" w:cs="Cambria"/>
          <w:bCs/>
          <w:color w:val="000000"/>
          <w:sz w:val="20"/>
          <w:szCs w:val="20"/>
          <w:u w:color="000000"/>
          <w:lang w:val="es-ES_tradnl" w:eastAsia="es-ES"/>
        </w:rPr>
        <w:t xml:space="preserve"> </w:t>
      </w:r>
      <w:r w:rsidR="00E16B3D" w:rsidRPr="009B184E">
        <w:rPr>
          <w:rFonts w:asciiTheme="majorHAnsi" w:hAnsiTheme="majorHAnsi" w:cs="Cambria"/>
          <w:bCs/>
          <w:color w:val="000000"/>
          <w:sz w:val="20"/>
          <w:szCs w:val="20"/>
          <w:u w:color="000000"/>
          <w:lang w:val="es-ES_tradnl" w:eastAsia="es-ES"/>
        </w:rPr>
        <w:t>momento, por</w:t>
      </w:r>
      <w:r w:rsidR="00816ADF" w:rsidRPr="009B184E">
        <w:rPr>
          <w:rFonts w:asciiTheme="majorHAnsi" w:hAnsiTheme="majorHAnsi" w:cs="Cambria"/>
          <w:bCs/>
          <w:color w:val="000000"/>
          <w:sz w:val="20"/>
          <w:szCs w:val="20"/>
          <w:u w:color="000000"/>
          <w:lang w:val="es-ES_tradnl" w:eastAsia="es-ES"/>
        </w:rPr>
        <w:t xml:space="preserve"> lo que su análisis implicaría necesariamente una revisión de dicha política en contravención a la</w:t>
      </w:r>
      <w:r w:rsidR="009C24B3">
        <w:rPr>
          <w:rFonts w:asciiTheme="majorHAnsi" w:hAnsiTheme="majorHAnsi" w:cs="Cambria"/>
          <w:bCs/>
          <w:color w:val="000000"/>
          <w:sz w:val="20"/>
          <w:szCs w:val="20"/>
          <w:u w:color="000000"/>
          <w:lang w:val="es-ES_tradnl" w:eastAsia="es-ES"/>
        </w:rPr>
        <w:t xml:space="preserve"> referida </w:t>
      </w:r>
      <w:r w:rsidR="00816ADF" w:rsidRPr="009B184E">
        <w:rPr>
          <w:rFonts w:asciiTheme="majorHAnsi" w:hAnsiTheme="majorHAnsi" w:cs="Cambria"/>
          <w:bCs/>
          <w:color w:val="000000"/>
          <w:sz w:val="20"/>
          <w:szCs w:val="20"/>
          <w:u w:color="000000"/>
          <w:lang w:val="es-ES_tradnl" w:eastAsia="es-ES"/>
        </w:rPr>
        <w:t xml:space="preserve">reserva. </w:t>
      </w:r>
      <w:r w:rsidR="00E16B3D" w:rsidRPr="009B184E">
        <w:rPr>
          <w:rFonts w:asciiTheme="majorHAnsi" w:hAnsiTheme="majorHAnsi" w:cs="Cambria"/>
          <w:bCs/>
          <w:color w:val="000000"/>
          <w:sz w:val="20"/>
          <w:szCs w:val="20"/>
          <w:u w:color="000000"/>
          <w:lang w:val="es-ES_tradnl" w:eastAsia="es-ES"/>
        </w:rPr>
        <w:t>Se</w:t>
      </w:r>
      <w:r w:rsidR="00816ADF" w:rsidRPr="009B184E">
        <w:rPr>
          <w:rFonts w:asciiTheme="majorHAnsi" w:hAnsiTheme="majorHAnsi" w:cs="Cambria"/>
          <w:bCs/>
          <w:color w:val="000000"/>
          <w:sz w:val="20"/>
          <w:szCs w:val="20"/>
          <w:u w:color="000000"/>
          <w:lang w:val="es-ES_tradnl" w:eastAsia="es-ES"/>
        </w:rPr>
        <w:t xml:space="preserve">ñala </w:t>
      </w:r>
      <w:r w:rsidR="00E16B3D" w:rsidRPr="009B184E">
        <w:rPr>
          <w:rFonts w:asciiTheme="majorHAnsi" w:hAnsiTheme="majorHAnsi" w:cs="Cambria"/>
          <w:bCs/>
          <w:color w:val="000000"/>
          <w:sz w:val="20"/>
          <w:szCs w:val="20"/>
          <w:u w:color="000000"/>
          <w:lang w:val="es-ES_tradnl" w:eastAsia="es-ES"/>
        </w:rPr>
        <w:t xml:space="preserve">además </w:t>
      </w:r>
      <w:r w:rsidR="00816ADF" w:rsidRPr="009B184E">
        <w:rPr>
          <w:rFonts w:asciiTheme="majorHAnsi" w:hAnsiTheme="majorHAnsi" w:cs="Cambria"/>
          <w:bCs/>
          <w:color w:val="000000"/>
          <w:sz w:val="20"/>
          <w:szCs w:val="20"/>
          <w:u w:color="000000"/>
          <w:lang w:val="es-ES_tradnl" w:eastAsia="es-ES"/>
        </w:rPr>
        <w:t>que</w:t>
      </w:r>
      <w:r w:rsidR="009E5356" w:rsidRPr="009B184E">
        <w:rPr>
          <w:rFonts w:asciiTheme="majorHAnsi" w:hAnsiTheme="majorHAnsi" w:cs="Cambria"/>
          <w:bCs/>
          <w:color w:val="000000"/>
          <w:sz w:val="20"/>
          <w:szCs w:val="20"/>
          <w:u w:color="000000"/>
          <w:lang w:val="es-ES_tradnl" w:eastAsia="es-ES"/>
        </w:rPr>
        <w:t>,</w:t>
      </w:r>
      <w:r w:rsidR="00816ADF" w:rsidRPr="009B184E">
        <w:rPr>
          <w:rFonts w:asciiTheme="majorHAnsi" w:hAnsiTheme="majorHAnsi" w:cs="Cambria"/>
          <w:bCs/>
          <w:color w:val="000000"/>
          <w:sz w:val="20"/>
          <w:szCs w:val="20"/>
          <w:u w:color="000000"/>
          <w:lang w:val="es-ES_tradnl" w:eastAsia="es-ES"/>
        </w:rPr>
        <w:t xml:space="preserve"> </w:t>
      </w:r>
      <w:r w:rsidR="00E16B3D" w:rsidRPr="009B184E">
        <w:rPr>
          <w:rFonts w:asciiTheme="majorHAnsi" w:hAnsiTheme="majorHAnsi" w:cs="Cambria"/>
          <w:bCs/>
          <w:color w:val="000000"/>
          <w:sz w:val="20"/>
          <w:szCs w:val="20"/>
          <w:u w:color="000000"/>
          <w:lang w:val="es-ES_tradnl" w:eastAsia="es-ES"/>
        </w:rPr>
        <w:t>a efecto de la protección del artículo 21 de la Convención Americana</w:t>
      </w:r>
      <w:r w:rsidR="009E5356" w:rsidRPr="009B184E">
        <w:rPr>
          <w:rFonts w:asciiTheme="majorHAnsi" w:hAnsiTheme="majorHAnsi" w:cs="Cambria"/>
          <w:bCs/>
          <w:color w:val="000000"/>
          <w:sz w:val="20"/>
          <w:szCs w:val="20"/>
          <w:u w:color="000000"/>
          <w:lang w:val="es-ES_tradnl" w:eastAsia="es-ES"/>
        </w:rPr>
        <w:t>,</w:t>
      </w:r>
      <w:r w:rsidR="00E16B3D" w:rsidRPr="009B184E">
        <w:rPr>
          <w:rFonts w:asciiTheme="majorHAnsi" w:hAnsiTheme="majorHAnsi" w:cs="Cambria"/>
          <w:bCs/>
          <w:color w:val="000000"/>
          <w:sz w:val="20"/>
          <w:szCs w:val="20"/>
          <w:u w:color="000000"/>
          <w:lang w:val="es-ES_tradnl" w:eastAsia="es-ES"/>
        </w:rPr>
        <w:t xml:space="preserve"> </w:t>
      </w:r>
      <w:r w:rsidR="00816ADF" w:rsidRPr="009B184E">
        <w:rPr>
          <w:rFonts w:asciiTheme="majorHAnsi" w:hAnsiTheme="majorHAnsi" w:cs="Cambria"/>
          <w:bCs/>
          <w:color w:val="000000"/>
          <w:sz w:val="20"/>
          <w:szCs w:val="20"/>
          <w:u w:color="000000"/>
          <w:lang w:val="es-ES_tradnl" w:eastAsia="es-ES"/>
        </w:rPr>
        <w:t xml:space="preserve">el derecho adquirido lo constituía el beneficio previsional en </w:t>
      </w:r>
      <w:r w:rsidR="00D1519C" w:rsidRPr="009B184E">
        <w:rPr>
          <w:rFonts w:asciiTheme="majorHAnsi" w:hAnsiTheme="majorHAnsi" w:cs="Cambria"/>
          <w:bCs/>
          <w:color w:val="000000"/>
          <w:sz w:val="20"/>
          <w:szCs w:val="20"/>
          <w:u w:color="000000"/>
          <w:lang w:val="es-ES_tradnl" w:eastAsia="es-ES"/>
        </w:rPr>
        <w:t>sí</w:t>
      </w:r>
      <w:r w:rsidR="00816ADF" w:rsidRPr="009B184E">
        <w:rPr>
          <w:rFonts w:asciiTheme="majorHAnsi" w:hAnsiTheme="majorHAnsi" w:cs="Cambria"/>
          <w:bCs/>
          <w:color w:val="000000"/>
          <w:sz w:val="20"/>
          <w:szCs w:val="20"/>
          <w:u w:color="000000"/>
          <w:lang w:val="es-ES_tradnl" w:eastAsia="es-ES"/>
        </w:rPr>
        <w:t xml:space="preserve"> </w:t>
      </w:r>
      <w:r w:rsidR="00D1519C" w:rsidRPr="009B184E">
        <w:rPr>
          <w:rFonts w:asciiTheme="majorHAnsi" w:hAnsiTheme="majorHAnsi" w:cs="Cambria"/>
          <w:bCs/>
          <w:color w:val="000000"/>
          <w:sz w:val="20"/>
          <w:szCs w:val="20"/>
          <w:u w:color="000000"/>
          <w:lang w:val="es-ES_tradnl" w:eastAsia="es-ES"/>
        </w:rPr>
        <w:t>mismo,</w:t>
      </w:r>
      <w:r w:rsidR="00816ADF" w:rsidRPr="009B184E">
        <w:rPr>
          <w:rFonts w:asciiTheme="majorHAnsi" w:hAnsiTheme="majorHAnsi" w:cs="Cambria"/>
          <w:bCs/>
          <w:color w:val="000000"/>
          <w:sz w:val="20"/>
          <w:szCs w:val="20"/>
          <w:u w:color="000000"/>
          <w:lang w:val="es-ES_tradnl" w:eastAsia="es-ES"/>
        </w:rPr>
        <w:t xml:space="preserve"> pero no su monto. También argumenta que el cambio de régimen de </w:t>
      </w:r>
      <w:r w:rsidR="00E16B3D" w:rsidRPr="009B184E">
        <w:rPr>
          <w:rFonts w:asciiTheme="majorHAnsi" w:hAnsiTheme="majorHAnsi" w:cs="Cambria"/>
          <w:bCs/>
          <w:color w:val="000000"/>
          <w:sz w:val="20"/>
          <w:szCs w:val="20"/>
          <w:u w:color="000000"/>
          <w:lang w:val="es-ES_tradnl" w:eastAsia="es-ES"/>
        </w:rPr>
        <w:t>f</w:t>
      </w:r>
      <w:r w:rsidR="00816ADF" w:rsidRPr="009B184E">
        <w:rPr>
          <w:rFonts w:asciiTheme="majorHAnsi" w:hAnsiTheme="majorHAnsi" w:cs="Cambria"/>
          <w:bCs/>
          <w:color w:val="000000"/>
          <w:sz w:val="20"/>
          <w:szCs w:val="20"/>
          <w:u w:color="000000"/>
          <w:lang w:val="es-ES_tradnl" w:eastAsia="es-ES"/>
        </w:rPr>
        <w:t>ondo compensatorio impugnado se inscribió en el marco de restricciones</w:t>
      </w:r>
      <w:r w:rsidR="00E16B3D" w:rsidRPr="009B184E">
        <w:rPr>
          <w:rFonts w:asciiTheme="majorHAnsi" w:hAnsiTheme="majorHAnsi" w:cs="Cambria"/>
          <w:bCs/>
          <w:color w:val="000000"/>
          <w:sz w:val="20"/>
          <w:szCs w:val="20"/>
          <w:u w:color="000000"/>
          <w:lang w:val="es-ES_tradnl" w:eastAsia="es-ES"/>
        </w:rPr>
        <w:t xml:space="preserve"> </w:t>
      </w:r>
      <w:r w:rsidR="00816ADF" w:rsidRPr="009B184E">
        <w:rPr>
          <w:rFonts w:asciiTheme="majorHAnsi" w:hAnsiTheme="majorHAnsi" w:cs="Cambria"/>
          <w:bCs/>
          <w:color w:val="000000"/>
          <w:sz w:val="20"/>
          <w:szCs w:val="20"/>
          <w:u w:color="000000"/>
          <w:lang w:val="es-ES_tradnl" w:eastAsia="es-ES"/>
        </w:rPr>
        <w:t xml:space="preserve">de carácter excepcional que ponían en entredicho la propia subsistencia del sistema previsional, con el objeto legítimo en una sociedad democrática de dar respuesta a las ingentes demandas sociales de la época. </w:t>
      </w:r>
    </w:p>
    <w:p w14:paraId="31EF344D" w14:textId="77777777" w:rsidR="00232A51" w:rsidRPr="009B184E" w:rsidRDefault="00232A51" w:rsidP="00232A51">
      <w:pPr>
        <w:pBdr>
          <w:top w:val="none" w:sz="0" w:space="0" w:color="auto"/>
          <w:left w:val="none" w:sz="0" w:space="0" w:color="auto"/>
          <w:bottom w:val="none" w:sz="0" w:space="0" w:color="auto"/>
          <w:right w:val="none" w:sz="0" w:space="0" w:color="auto"/>
          <w:bar w:val="none" w:sz="0" w:color="auto"/>
        </w:pBdr>
        <w:suppressAutoHyphens/>
        <w:ind w:left="720"/>
        <w:jc w:val="both"/>
        <w:rPr>
          <w:rFonts w:asciiTheme="majorHAnsi" w:hAnsiTheme="majorHAnsi" w:cs="Cambria"/>
          <w:b/>
          <w:bCs/>
          <w:color w:val="000000"/>
          <w:sz w:val="20"/>
          <w:szCs w:val="20"/>
          <w:u w:color="000000"/>
          <w:lang w:val="es-ES_tradnl" w:eastAsia="es-ES"/>
        </w:rPr>
      </w:pPr>
    </w:p>
    <w:p w14:paraId="113C356F" w14:textId="49DF77B7" w:rsidR="00816ADF" w:rsidRPr="009B184E" w:rsidRDefault="00816ADF" w:rsidP="0053381E">
      <w:pPr>
        <w:numPr>
          <w:ilvl w:val="0"/>
          <w:numId w:val="55"/>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cs="Cambria"/>
          <w:b/>
          <w:bCs/>
          <w:color w:val="000000"/>
          <w:sz w:val="20"/>
          <w:szCs w:val="20"/>
          <w:u w:color="000000"/>
          <w:lang w:val="es-ES_tradnl" w:eastAsia="es-ES"/>
        </w:rPr>
      </w:pPr>
      <w:r w:rsidRPr="009B184E">
        <w:rPr>
          <w:rFonts w:asciiTheme="majorHAnsi" w:hAnsiTheme="majorHAnsi" w:cs="Cambria"/>
          <w:bCs/>
          <w:color w:val="000000"/>
          <w:sz w:val="20"/>
          <w:szCs w:val="20"/>
          <w:u w:color="000000"/>
          <w:lang w:val="es-ES_tradnl" w:eastAsia="es-ES"/>
        </w:rPr>
        <w:t xml:space="preserve">Argumenta </w:t>
      </w:r>
      <w:r w:rsidR="009C24B3">
        <w:rPr>
          <w:rFonts w:asciiTheme="majorHAnsi" w:hAnsiTheme="majorHAnsi" w:cs="Cambria"/>
          <w:bCs/>
          <w:color w:val="000000"/>
          <w:sz w:val="20"/>
          <w:szCs w:val="20"/>
          <w:u w:color="000000"/>
          <w:lang w:val="es-ES_tradnl" w:eastAsia="es-ES"/>
        </w:rPr>
        <w:t xml:space="preserve">además </w:t>
      </w:r>
      <w:r w:rsidRPr="009B184E">
        <w:rPr>
          <w:rFonts w:asciiTheme="majorHAnsi" w:hAnsiTheme="majorHAnsi" w:cs="Cambria"/>
          <w:bCs/>
          <w:color w:val="000000"/>
          <w:sz w:val="20"/>
          <w:szCs w:val="20"/>
          <w:u w:color="000000"/>
          <w:lang w:val="es-ES_tradnl" w:eastAsia="es-ES"/>
        </w:rPr>
        <w:t xml:space="preserve">que </w:t>
      </w:r>
      <w:r w:rsidR="00E16B3D" w:rsidRPr="009B184E">
        <w:rPr>
          <w:rFonts w:asciiTheme="majorHAnsi" w:hAnsiTheme="majorHAnsi" w:cs="Cambria"/>
          <w:bCs/>
          <w:color w:val="000000"/>
          <w:sz w:val="20"/>
          <w:szCs w:val="20"/>
          <w:u w:color="000000"/>
          <w:lang w:val="es-ES_tradnl" w:eastAsia="es-ES"/>
        </w:rPr>
        <w:t xml:space="preserve">los alegatos </w:t>
      </w:r>
      <w:r w:rsidR="00814CC1" w:rsidRPr="009B184E">
        <w:rPr>
          <w:rFonts w:asciiTheme="majorHAnsi" w:hAnsiTheme="majorHAnsi" w:cs="Cambria"/>
          <w:bCs/>
          <w:color w:val="000000"/>
          <w:sz w:val="20"/>
          <w:szCs w:val="20"/>
          <w:u w:color="000000"/>
          <w:lang w:val="es-ES_tradnl" w:eastAsia="es-ES"/>
        </w:rPr>
        <w:t>de</w:t>
      </w:r>
      <w:r w:rsidR="00E16B3D" w:rsidRPr="009B184E">
        <w:rPr>
          <w:rFonts w:asciiTheme="majorHAnsi" w:hAnsiTheme="majorHAnsi" w:cs="Cambria"/>
          <w:bCs/>
          <w:color w:val="000000"/>
          <w:sz w:val="20"/>
          <w:szCs w:val="20"/>
          <w:u w:color="000000"/>
          <w:lang w:val="es-ES_tradnl" w:eastAsia="es-ES"/>
        </w:rPr>
        <w:t xml:space="preserve"> violación </w:t>
      </w:r>
      <w:r w:rsidR="009C24B3">
        <w:rPr>
          <w:rFonts w:asciiTheme="majorHAnsi" w:hAnsiTheme="majorHAnsi" w:cs="Cambria"/>
          <w:bCs/>
          <w:color w:val="000000"/>
          <w:sz w:val="20"/>
          <w:szCs w:val="20"/>
          <w:u w:color="000000"/>
          <w:lang w:val="es-ES_tradnl" w:eastAsia="es-ES"/>
        </w:rPr>
        <w:t>de</w:t>
      </w:r>
      <w:r w:rsidRPr="009B184E">
        <w:rPr>
          <w:rFonts w:asciiTheme="majorHAnsi" w:hAnsiTheme="majorHAnsi" w:cs="Cambria"/>
          <w:bCs/>
          <w:color w:val="000000"/>
          <w:sz w:val="20"/>
          <w:szCs w:val="20"/>
          <w:u w:color="000000"/>
          <w:lang w:val="es-ES_tradnl" w:eastAsia="es-ES"/>
        </w:rPr>
        <w:t xml:space="preserve"> los artículos 4 y 26 de la Convención Americana carecen de fundamentación autónoma</w:t>
      </w:r>
      <w:r w:rsidR="00E16B3D" w:rsidRPr="009B184E">
        <w:rPr>
          <w:rFonts w:asciiTheme="majorHAnsi" w:hAnsiTheme="majorHAnsi" w:cs="Cambria"/>
          <w:bCs/>
          <w:color w:val="000000"/>
          <w:sz w:val="20"/>
          <w:szCs w:val="20"/>
          <w:u w:color="000000"/>
          <w:lang w:val="es-ES_tradnl" w:eastAsia="es-ES"/>
        </w:rPr>
        <w:t>,</w:t>
      </w:r>
      <w:r w:rsidRPr="009B184E">
        <w:rPr>
          <w:rFonts w:asciiTheme="majorHAnsi" w:hAnsiTheme="majorHAnsi" w:cs="Cambria"/>
          <w:bCs/>
          <w:color w:val="000000"/>
          <w:sz w:val="20"/>
          <w:szCs w:val="20"/>
          <w:u w:color="000000"/>
          <w:lang w:val="es-ES_tradnl" w:eastAsia="es-ES"/>
        </w:rPr>
        <w:t xml:space="preserve"> pues son expuest</w:t>
      </w:r>
      <w:r w:rsidR="00814CC1" w:rsidRPr="009B184E">
        <w:rPr>
          <w:rFonts w:asciiTheme="majorHAnsi" w:hAnsiTheme="majorHAnsi" w:cs="Cambria"/>
          <w:bCs/>
          <w:color w:val="000000"/>
          <w:sz w:val="20"/>
          <w:szCs w:val="20"/>
          <w:u w:color="000000"/>
          <w:lang w:val="es-ES_tradnl" w:eastAsia="es-ES"/>
        </w:rPr>
        <w:t>o</w:t>
      </w:r>
      <w:r w:rsidRPr="009B184E">
        <w:rPr>
          <w:rFonts w:asciiTheme="majorHAnsi" w:hAnsiTheme="majorHAnsi" w:cs="Cambria"/>
          <w:bCs/>
          <w:color w:val="000000"/>
          <w:sz w:val="20"/>
          <w:szCs w:val="20"/>
          <w:u w:color="000000"/>
          <w:lang w:val="es-ES_tradnl" w:eastAsia="es-ES"/>
        </w:rPr>
        <w:t xml:space="preserve">s como una consecuencia de la supuesta violación </w:t>
      </w:r>
      <w:r w:rsidR="00814CC1" w:rsidRPr="009B184E">
        <w:rPr>
          <w:rFonts w:asciiTheme="majorHAnsi" w:hAnsiTheme="majorHAnsi" w:cs="Cambria"/>
          <w:bCs/>
          <w:color w:val="000000"/>
          <w:sz w:val="20"/>
          <w:szCs w:val="20"/>
          <w:u w:color="000000"/>
          <w:lang w:val="es-ES_tradnl" w:eastAsia="es-ES"/>
        </w:rPr>
        <w:t>de</w:t>
      </w:r>
      <w:r w:rsidRPr="009B184E">
        <w:rPr>
          <w:rFonts w:asciiTheme="majorHAnsi" w:hAnsiTheme="majorHAnsi" w:cs="Cambria"/>
          <w:bCs/>
          <w:color w:val="000000"/>
          <w:sz w:val="20"/>
          <w:szCs w:val="20"/>
          <w:u w:color="000000"/>
          <w:lang w:val="es-ES_tradnl" w:eastAsia="es-ES"/>
        </w:rPr>
        <w:t xml:space="preserve">l derecho de propiedad. Destaca que </w:t>
      </w:r>
      <w:r w:rsidR="00E16B3D" w:rsidRPr="009B184E">
        <w:rPr>
          <w:rFonts w:asciiTheme="majorHAnsi" w:hAnsiTheme="majorHAnsi" w:cs="Cambria"/>
          <w:bCs/>
          <w:color w:val="000000"/>
          <w:sz w:val="20"/>
          <w:szCs w:val="20"/>
          <w:u w:color="000000"/>
          <w:lang w:val="es-ES_tradnl" w:eastAsia="es-ES"/>
        </w:rPr>
        <w:t>las presuntas víctimas</w:t>
      </w:r>
      <w:r w:rsidRPr="009B184E">
        <w:rPr>
          <w:rFonts w:asciiTheme="majorHAnsi" w:hAnsiTheme="majorHAnsi" w:cs="Cambria"/>
          <w:bCs/>
          <w:color w:val="000000"/>
          <w:sz w:val="20"/>
          <w:szCs w:val="20"/>
          <w:u w:color="000000"/>
          <w:lang w:val="es-ES_tradnl" w:eastAsia="es-ES"/>
        </w:rPr>
        <w:t xml:space="preserve"> no realizaron planteos o fundamentación autónoma respecto a estos derechos en los procesos </w:t>
      </w:r>
      <w:r w:rsidR="00E16B3D" w:rsidRPr="009B184E">
        <w:rPr>
          <w:rFonts w:asciiTheme="majorHAnsi" w:hAnsiTheme="majorHAnsi" w:cs="Cambria"/>
          <w:bCs/>
          <w:color w:val="000000"/>
          <w:sz w:val="20"/>
          <w:szCs w:val="20"/>
          <w:u w:color="000000"/>
          <w:lang w:val="es-ES_tradnl" w:eastAsia="es-ES"/>
        </w:rPr>
        <w:t>internos,</w:t>
      </w:r>
      <w:r w:rsidRPr="009B184E">
        <w:rPr>
          <w:rFonts w:asciiTheme="majorHAnsi" w:hAnsiTheme="majorHAnsi" w:cs="Cambria"/>
          <w:bCs/>
          <w:color w:val="000000"/>
          <w:sz w:val="20"/>
          <w:szCs w:val="20"/>
          <w:u w:color="000000"/>
          <w:lang w:val="es-ES_tradnl" w:eastAsia="es-ES"/>
        </w:rPr>
        <w:t xml:space="preserve"> por lo que </w:t>
      </w:r>
      <w:r w:rsidR="00E16B3D" w:rsidRPr="009B184E">
        <w:rPr>
          <w:rFonts w:asciiTheme="majorHAnsi" w:hAnsiTheme="majorHAnsi" w:cs="Cambria"/>
          <w:bCs/>
          <w:color w:val="000000"/>
          <w:sz w:val="20"/>
          <w:szCs w:val="20"/>
          <w:u w:color="000000"/>
          <w:lang w:val="es-ES_tradnl" w:eastAsia="es-ES"/>
        </w:rPr>
        <w:t>el análisis de tales alegatos por la CIDH</w:t>
      </w:r>
      <w:r w:rsidRPr="009B184E">
        <w:rPr>
          <w:rFonts w:asciiTheme="majorHAnsi" w:hAnsiTheme="majorHAnsi" w:cs="Cambria"/>
          <w:bCs/>
          <w:color w:val="000000"/>
          <w:sz w:val="20"/>
          <w:szCs w:val="20"/>
          <w:u w:color="000000"/>
          <w:lang w:val="es-ES_tradnl" w:eastAsia="es-ES"/>
        </w:rPr>
        <w:t xml:space="preserve"> sería contrario a la naturaleza subsidiaria del sistema interamericano. </w:t>
      </w:r>
      <w:r w:rsidR="00E16B3D" w:rsidRPr="009B184E">
        <w:rPr>
          <w:rFonts w:asciiTheme="majorHAnsi" w:hAnsiTheme="majorHAnsi" w:cs="Cambria"/>
          <w:bCs/>
          <w:color w:val="000000"/>
          <w:sz w:val="20"/>
          <w:szCs w:val="20"/>
          <w:u w:color="000000"/>
          <w:lang w:val="es-ES_tradnl" w:eastAsia="es-ES"/>
        </w:rPr>
        <w:t xml:space="preserve">Por otra parte, señala que </w:t>
      </w:r>
      <w:r w:rsidR="00E943B1" w:rsidRPr="009B184E">
        <w:rPr>
          <w:rFonts w:asciiTheme="majorHAnsi" w:hAnsiTheme="majorHAnsi" w:cs="Cambria"/>
          <w:bCs/>
          <w:color w:val="000000"/>
          <w:sz w:val="20"/>
          <w:szCs w:val="20"/>
          <w:u w:color="000000"/>
          <w:lang w:val="es-ES_tradnl" w:eastAsia="es-ES"/>
        </w:rPr>
        <w:t>de acuerdo con</w:t>
      </w:r>
      <w:r w:rsidR="00E16B3D" w:rsidRPr="009B184E">
        <w:rPr>
          <w:rFonts w:asciiTheme="majorHAnsi" w:hAnsiTheme="majorHAnsi" w:cs="Cambria"/>
          <w:bCs/>
          <w:color w:val="000000"/>
          <w:sz w:val="20"/>
          <w:szCs w:val="20"/>
          <w:u w:color="000000"/>
          <w:lang w:val="es-ES_tradnl" w:eastAsia="es-ES"/>
        </w:rPr>
        <w:t xml:space="preserve"> la jurisprudencia de la Corte Interamericana, el</w:t>
      </w:r>
      <w:r w:rsidRPr="009B184E">
        <w:rPr>
          <w:rFonts w:asciiTheme="majorHAnsi" w:hAnsiTheme="majorHAnsi" w:cs="Cambria"/>
          <w:bCs/>
          <w:color w:val="000000"/>
          <w:sz w:val="20"/>
          <w:szCs w:val="20"/>
          <w:u w:color="000000"/>
          <w:lang w:val="es-ES_tradnl" w:eastAsia="es-ES"/>
        </w:rPr>
        <w:t xml:space="preserve"> principio de desarrollo progresivo establecido en el artículo 26 de la Convención Americana se debe medir </w:t>
      </w:r>
      <w:r w:rsidR="009C24B3">
        <w:rPr>
          <w:rFonts w:asciiTheme="majorHAnsi" w:hAnsiTheme="majorHAnsi" w:cs="Cambria"/>
          <w:bCs/>
          <w:color w:val="000000"/>
          <w:sz w:val="20"/>
          <w:szCs w:val="20"/>
          <w:u w:color="000000"/>
          <w:lang w:val="es-ES_tradnl" w:eastAsia="es-ES"/>
        </w:rPr>
        <w:t xml:space="preserve">con base en </w:t>
      </w:r>
      <w:r w:rsidRPr="009B184E">
        <w:rPr>
          <w:rFonts w:asciiTheme="majorHAnsi" w:hAnsiTheme="majorHAnsi" w:cs="Cambria"/>
          <w:bCs/>
          <w:color w:val="000000"/>
          <w:sz w:val="20"/>
          <w:szCs w:val="20"/>
          <w:u w:color="000000"/>
          <w:lang w:val="es-ES_tradnl" w:eastAsia="es-ES"/>
        </w:rPr>
        <w:t>los imperativos de la equidad social, y no en función de circunstancias de un muy limitado grupo, no necesariamente representativo de la situación general prevaleciente.</w:t>
      </w:r>
    </w:p>
    <w:p w14:paraId="702550AD" w14:textId="77777777" w:rsidR="00232A51" w:rsidRPr="009B184E" w:rsidRDefault="00232A51" w:rsidP="009C24B3">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cs="Cambria"/>
          <w:b/>
          <w:bCs/>
          <w:color w:val="000000"/>
          <w:sz w:val="20"/>
          <w:szCs w:val="20"/>
          <w:u w:color="000000"/>
          <w:lang w:val="es-ES_tradnl" w:eastAsia="es-ES"/>
        </w:rPr>
      </w:pPr>
    </w:p>
    <w:p w14:paraId="54D553C8" w14:textId="53252EAB" w:rsidR="00816ADF" w:rsidRPr="006B1D03" w:rsidRDefault="002D1A65" w:rsidP="008C336F">
      <w:pPr>
        <w:numPr>
          <w:ilvl w:val="0"/>
          <w:numId w:val="55"/>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cs="Cambria"/>
          <w:b/>
          <w:bCs/>
          <w:color w:val="000000"/>
          <w:sz w:val="20"/>
          <w:szCs w:val="20"/>
          <w:u w:color="000000"/>
          <w:lang w:val="es-ES_tradnl" w:eastAsia="es-ES"/>
        </w:rPr>
      </w:pPr>
      <w:r w:rsidRPr="006B1D03">
        <w:rPr>
          <w:rFonts w:asciiTheme="majorHAnsi" w:hAnsiTheme="majorHAnsi" w:cs="Cambria"/>
          <w:bCs/>
          <w:color w:val="000000"/>
          <w:sz w:val="20"/>
          <w:szCs w:val="20"/>
          <w:u w:color="000000"/>
          <w:lang w:val="es-ES_tradnl" w:eastAsia="es-ES"/>
        </w:rPr>
        <w:t>El Estado s</w:t>
      </w:r>
      <w:r w:rsidR="00816ADF" w:rsidRPr="006B1D03">
        <w:rPr>
          <w:rFonts w:asciiTheme="majorHAnsi" w:hAnsiTheme="majorHAnsi" w:cs="Cambria"/>
          <w:bCs/>
          <w:color w:val="000000"/>
          <w:sz w:val="20"/>
          <w:szCs w:val="20"/>
          <w:u w:color="000000"/>
          <w:lang w:val="es-ES_tradnl" w:eastAsia="es-ES"/>
        </w:rPr>
        <w:t>ostiene que el mero hecho de que las decisiones h</w:t>
      </w:r>
      <w:r w:rsidRPr="006B1D03">
        <w:rPr>
          <w:rFonts w:asciiTheme="majorHAnsi" w:hAnsiTheme="majorHAnsi" w:cs="Cambria"/>
          <w:bCs/>
          <w:color w:val="000000"/>
          <w:sz w:val="20"/>
          <w:szCs w:val="20"/>
          <w:u w:color="000000"/>
          <w:lang w:val="es-ES_tradnl" w:eastAsia="es-ES"/>
        </w:rPr>
        <w:t xml:space="preserve">ubieran </w:t>
      </w:r>
      <w:r w:rsidR="00816ADF" w:rsidRPr="006B1D03">
        <w:rPr>
          <w:rFonts w:asciiTheme="majorHAnsi" w:hAnsiTheme="majorHAnsi" w:cs="Cambria"/>
          <w:bCs/>
          <w:color w:val="000000"/>
          <w:sz w:val="20"/>
          <w:szCs w:val="20"/>
          <w:u w:color="000000"/>
          <w:lang w:val="es-ES_tradnl" w:eastAsia="es-ES"/>
        </w:rPr>
        <w:t xml:space="preserve">sido desfavorables a las pretensiones de las presuntas víctimas no implica una violación </w:t>
      </w:r>
      <w:r w:rsidRPr="006B1D03">
        <w:rPr>
          <w:rFonts w:asciiTheme="majorHAnsi" w:hAnsiTheme="majorHAnsi" w:cs="Cambria"/>
          <w:bCs/>
          <w:color w:val="000000"/>
          <w:sz w:val="20"/>
          <w:szCs w:val="20"/>
          <w:u w:color="000000"/>
          <w:lang w:val="es-ES_tradnl" w:eastAsia="es-ES"/>
        </w:rPr>
        <w:t xml:space="preserve">del derecho </w:t>
      </w:r>
      <w:r w:rsidR="00816ADF" w:rsidRPr="006B1D03">
        <w:rPr>
          <w:rFonts w:asciiTheme="majorHAnsi" w:hAnsiTheme="majorHAnsi" w:cs="Cambria"/>
          <w:bCs/>
          <w:color w:val="000000"/>
          <w:sz w:val="20"/>
          <w:szCs w:val="20"/>
          <w:u w:color="000000"/>
          <w:lang w:val="es-ES_tradnl" w:eastAsia="es-ES"/>
        </w:rPr>
        <w:t xml:space="preserve">a la protección judicial. Sostiene que </w:t>
      </w:r>
      <w:r w:rsidRPr="006B1D03">
        <w:rPr>
          <w:rFonts w:asciiTheme="majorHAnsi" w:hAnsiTheme="majorHAnsi" w:cs="Cambria"/>
          <w:bCs/>
          <w:color w:val="000000"/>
          <w:sz w:val="20"/>
          <w:szCs w:val="20"/>
          <w:u w:color="000000"/>
          <w:lang w:val="es-ES_tradnl" w:eastAsia="es-ES"/>
        </w:rPr>
        <w:t>dicha disposición tampoco fue violada por el hecho de</w:t>
      </w:r>
      <w:r w:rsidR="00816ADF" w:rsidRPr="006B1D03">
        <w:rPr>
          <w:rFonts w:asciiTheme="majorHAnsi" w:hAnsiTheme="majorHAnsi" w:cs="Cambria"/>
          <w:bCs/>
          <w:color w:val="000000"/>
          <w:sz w:val="20"/>
          <w:szCs w:val="20"/>
          <w:u w:color="000000"/>
          <w:lang w:val="es-ES_tradnl" w:eastAsia="es-ES"/>
        </w:rPr>
        <w:t xml:space="preserve"> que las presuntas víctimas no h</w:t>
      </w:r>
      <w:r w:rsidRPr="006B1D03">
        <w:rPr>
          <w:rFonts w:asciiTheme="majorHAnsi" w:hAnsiTheme="majorHAnsi" w:cs="Cambria"/>
          <w:bCs/>
          <w:color w:val="000000"/>
          <w:sz w:val="20"/>
          <w:szCs w:val="20"/>
          <w:u w:color="000000"/>
          <w:lang w:val="es-ES_tradnl" w:eastAsia="es-ES"/>
        </w:rPr>
        <w:t xml:space="preserve">ubieran </w:t>
      </w:r>
      <w:r w:rsidR="00816ADF" w:rsidRPr="006B1D03">
        <w:rPr>
          <w:rFonts w:asciiTheme="majorHAnsi" w:hAnsiTheme="majorHAnsi" w:cs="Cambria"/>
          <w:bCs/>
          <w:color w:val="000000"/>
          <w:sz w:val="20"/>
          <w:szCs w:val="20"/>
          <w:u w:color="000000"/>
          <w:lang w:val="es-ES_tradnl" w:eastAsia="es-ES"/>
        </w:rPr>
        <w:t>obtenido una sentencia fundada de la Corte Suprema</w:t>
      </w:r>
      <w:r w:rsidRPr="006B1D03">
        <w:rPr>
          <w:rFonts w:asciiTheme="majorHAnsi" w:hAnsiTheme="majorHAnsi" w:cs="Cambria"/>
          <w:bCs/>
          <w:color w:val="000000"/>
          <w:sz w:val="20"/>
          <w:szCs w:val="20"/>
          <w:u w:color="000000"/>
          <w:lang w:val="es-ES_tradnl" w:eastAsia="es-ES"/>
        </w:rPr>
        <w:t xml:space="preserve">, </w:t>
      </w:r>
      <w:r w:rsidR="00816ADF" w:rsidRPr="006B1D03">
        <w:rPr>
          <w:rFonts w:asciiTheme="majorHAnsi" w:hAnsiTheme="majorHAnsi" w:cs="Cambria"/>
          <w:bCs/>
          <w:color w:val="000000"/>
          <w:sz w:val="20"/>
          <w:szCs w:val="20"/>
          <w:u w:color="000000"/>
          <w:lang w:val="es-ES_tradnl" w:eastAsia="es-ES"/>
        </w:rPr>
        <w:t xml:space="preserve">pues las normas procesales aplicables permiten que los recursos promovidos ante el más alto tribunal del país sean rechazados a discreción </w:t>
      </w:r>
      <w:r w:rsidRPr="006B1D03">
        <w:rPr>
          <w:rFonts w:asciiTheme="majorHAnsi" w:hAnsiTheme="majorHAnsi" w:cs="Cambria"/>
          <w:bCs/>
          <w:color w:val="000000"/>
          <w:sz w:val="20"/>
          <w:szCs w:val="20"/>
          <w:u w:color="000000"/>
          <w:lang w:val="es-ES_tradnl" w:eastAsia="es-ES"/>
        </w:rPr>
        <w:t xml:space="preserve">cuando este considere </w:t>
      </w:r>
      <w:r w:rsidR="00816ADF" w:rsidRPr="006B1D03">
        <w:rPr>
          <w:rFonts w:asciiTheme="majorHAnsi" w:hAnsiTheme="majorHAnsi" w:cs="Cambria"/>
          <w:bCs/>
          <w:color w:val="000000"/>
          <w:sz w:val="20"/>
          <w:szCs w:val="20"/>
          <w:u w:color="000000"/>
          <w:lang w:val="es-ES_tradnl" w:eastAsia="es-ES"/>
        </w:rPr>
        <w:t xml:space="preserve">que los planteos resultan insustanciales o intrascendentes. Señala </w:t>
      </w:r>
      <w:r w:rsidRPr="006B1D03">
        <w:rPr>
          <w:rFonts w:asciiTheme="majorHAnsi" w:hAnsiTheme="majorHAnsi" w:cs="Cambria"/>
          <w:bCs/>
          <w:color w:val="000000"/>
          <w:sz w:val="20"/>
          <w:szCs w:val="20"/>
          <w:u w:color="000000"/>
          <w:lang w:val="es-ES_tradnl" w:eastAsia="es-ES"/>
        </w:rPr>
        <w:t>que varios</w:t>
      </w:r>
      <w:r w:rsidR="00816ADF" w:rsidRPr="006B1D03">
        <w:rPr>
          <w:rFonts w:asciiTheme="majorHAnsi" w:hAnsiTheme="majorHAnsi" w:cs="Cambria"/>
          <w:bCs/>
          <w:color w:val="000000"/>
          <w:sz w:val="20"/>
          <w:szCs w:val="20"/>
          <w:u w:color="000000"/>
          <w:lang w:val="es-ES_tradnl" w:eastAsia="es-ES"/>
        </w:rPr>
        <w:t xml:space="preserve"> países tiene</w:t>
      </w:r>
      <w:r w:rsidRPr="006B1D03">
        <w:rPr>
          <w:rFonts w:asciiTheme="majorHAnsi" w:hAnsiTheme="majorHAnsi" w:cs="Cambria"/>
          <w:bCs/>
          <w:color w:val="000000"/>
          <w:sz w:val="20"/>
          <w:szCs w:val="20"/>
          <w:u w:color="000000"/>
          <w:lang w:val="es-ES_tradnl" w:eastAsia="es-ES"/>
        </w:rPr>
        <w:t>n</w:t>
      </w:r>
      <w:r w:rsidR="00816ADF" w:rsidRPr="006B1D03">
        <w:rPr>
          <w:rFonts w:asciiTheme="majorHAnsi" w:hAnsiTheme="majorHAnsi" w:cs="Cambria"/>
          <w:bCs/>
          <w:color w:val="000000"/>
          <w:sz w:val="20"/>
          <w:szCs w:val="20"/>
          <w:u w:color="000000"/>
          <w:lang w:val="es-ES_tradnl" w:eastAsia="es-ES"/>
        </w:rPr>
        <w:t xml:space="preserve"> regulaciones similares</w:t>
      </w:r>
      <w:r w:rsidRPr="009B184E">
        <w:rPr>
          <w:rStyle w:val="FootnoteReference"/>
          <w:rFonts w:asciiTheme="majorHAnsi" w:hAnsiTheme="majorHAnsi"/>
          <w:bCs/>
          <w:color w:val="000000"/>
          <w:sz w:val="20"/>
          <w:szCs w:val="20"/>
          <w:u w:color="000000"/>
          <w:lang w:val="es-ES_tradnl" w:eastAsia="es-ES"/>
        </w:rPr>
        <w:footnoteReference w:id="6"/>
      </w:r>
      <w:r w:rsidR="00E943B1" w:rsidRPr="006B1D03">
        <w:rPr>
          <w:rFonts w:asciiTheme="majorHAnsi" w:hAnsiTheme="majorHAnsi" w:cs="Cambria"/>
          <w:bCs/>
          <w:color w:val="000000"/>
          <w:sz w:val="20"/>
          <w:szCs w:val="20"/>
          <w:u w:color="000000"/>
          <w:lang w:val="es-ES_tradnl" w:eastAsia="es-ES"/>
        </w:rPr>
        <w:t>.</w:t>
      </w:r>
      <w:r w:rsidR="00816ADF" w:rsidRPr="006B1D03">
        <w:rPr>
          <w:rFonts w:asciiTheme="majorHAnsi" w:hAnsiTheme="majorHAnsi" w:cs="Cambria"/>
          <w:bCs/>
          <w:color w:val="000000"/>
          <w:sz w:val="20"/>
          <w:szCs w:val="20"/>
          <w:u w:color="000000"/>
          <w:lang w:val="es-ES_tradnl" w:eastAsia="es-ES"/>
        </w:rPr>
        <w:t xml:space="preserve"> Alega que las exposiciones del peticionario no refieren violaciones </w:t>
      </w:r>
      <w:r w:rsidR="00E943B1" w:rsidRPr="006B1D03">
        <w:rPr>
          <w:rFonts w:asciiTheme="majorHAnsi" w:hAnsiTheme="majorHAnsi" w:cs="Cambria"/>
          <w:bCs/>
          <w:color w:val="000000"/>
          <w:sz w:val="20"/>
          <w:szCs w:val="20"/>
          <w:u w:color="000000"/>
          <w:lang w:val="es-ES_tradnl" w:eastAsia="es-ES"/>
        </w:rPr>
        <w:t>del</w:t>
      </w:r>
      <w:r w:rsidR="00816ADF" w:rsidRPr="006B1D03">
        <w:rPr>
          <w:rFonts w:asciiTheme="majorHAnsi" w:hAnsiTheme="majorHAnsi" w:cs="Cambria"/>
          <w:bCs/>
          <w:color w:val="000000"/>
          <w:sz w:val="20"/>
          <w:szCs w:val="20"/>
          <w:u w:color="000000"/>
          <w:lang w:val="es-ES_tradnl" w:eastAsia="es-ES"/>
        </w:rPr>
        <w:t xml:space="preserve"> debido proceso legal </w:t>
      </w:r>
      <w:r w:rsidR="00E943B1" w:rsidRPr="006B1D03">
        <w:rPr>
          <w:rFonts w:asciiTheme="majorHAnsi" w:hAnsiTheme="majorHAnsi" w:cs="Cambria"/>
          <w:bCs/>
          <w:color w:val="000000"/>
          <w:sz w:val="20"/>
          <w:szCs w:val="20"/>
          <w:u w:color="000000"/>
          <w:lang w:val="es-ES_tradnl" w:eastAsia="es-ES"/>
        </w:rPr>
        <w:t>ni del</w:t>
      </w:r>
      <w:r w:rsidR="00816ADF" w:rsidRPr="006B1D03">
        <w:rPr>
          <w:rFonts w:asciiTheme="majorHAnsi" w:hAnsiTheme="majorHAnsi" w:cs="Cambria"/>
          <w:bCs/>
          <w:color w:val="000000"/>
          <w:sz w:val="20"/>
          <w:szCs w:val="20"/>
          <w:u w:color="000000"/>
          <w:lang w:val="es-ES_tradnl" w:eastAsia="es-ES"/>
        </w:rPr>
        <w:t xml:space="preserve"> acceso a la justicia</w:t>
      </w:r>
      <w:r w:rsidR="00E943B1" w:rsidRPr="006B1D03">
        <w:rPr>
          <w:rFonts w:asciiTheme="majorHAnsi" w:hAnsiTheme="majorHAnsi" w:cs="Cambria"/>
          <w:bCs/>
          <w:color w:val="000000"/>
          <w:sz w:val="20"/>
          <w:szCs w:val="20"/>
          <w:u w:color="000000"/>
          <w:lang w:val="es-ES_tradnl" w:eastAsia="es-ES"/>
        </w:rPr>
        <w:t>, por lo</w:t>
      </w:r>
      <w:r w:rsidR="00816ADF" w:rsidRPr="006B1D03">
        <w:rPr>
          <w:rFonts w:asciiTheme="majorHAnsi" w:hAnsiTheme="majorHAnsi" w:cs="Cambria"/>
          <w:bCs/>
          <w:color w:val="000000"/>
          <w:sz w:val="20"/>
          <w:szCs w:val="20"/>
          <w:u w:color="000000"/>
          <w:lang w:val="es-ES_tradnl" w:eastAsia="es-ES"/>
        </w:rPr>
        <w:t xml:space="preserve"> que pretende que la C</w:t>
      </w:r>
      <w:r w:rsidR="00E943B1" w:rsidRPr="006B1D03">
        <w:rPr>
          <w:rFonts w:asciiTheme="majorHAnsi" w:hAnsiTheme="majorHAnsi" w:cs="Cambria"/>
          <w:bCs/>
          <w:color w:val="000000"/>
          <w:sz w:val="20"/>
          <w:szCs w:val="20"/>
          <w:u w:color="000000"/>
          <w:lang w:val="es-ES_tradnl" w:eastAsia="es-ES"/>
        </w:rPr>
        <w:t>IDH</w:t>
      </w:r>
      <w:r w:rsidR="00816ADF" w:rsidRPr="006B1D03">
        <w:rPr>
          <w:rFonts w:asciiTheme="majorHAnsi" w:hAnsiTheme="majorHAnsi" w:cs="Cambria"/>
          <w:bCs/>
          <w:color w:val="000000"/>
          <w:sz w:val="20"/>
          <w:szCs w:val="20"/>
          <w:u w:color="000000"/>
          <w:lang w:val="es-ES_tradnl" w:eastAsia="es-ES"/>
        </w:rPr>
        <w:t xml:space="preserve"> actué como una cuarta instancia para revis</w:t>
      </w:r>
      <w:r w:rsidR="00E943B1" w:rsidRPr="006B1D03">
        <w:rPr>
          <w:rFonts w:asciiTheme="majorHAnsi" w:hAnsiTheme="majorHAnsi" w:cs="Cambria"/>
          <w:bCs/>
          <w:color w:val="000000"/>
          <w:sz w:val="20"/>
          <w:szCs w:val="20"/>
          <w:u w:color="000000"/>
          <w:lang w:val="es-ES_tradnl" w:eastAsia="es-ES"/>
        </w:rPr>
        <w:t>ar</w:t>
      </w:r>
      <w:r w:rsidR="00816ADF" w:rsidRPr="006B1D03">
        <w:rPr>
          <w:rFonts w:asciiTheme="majorHAnsi" w:hAnsiTheme="majorHAnsi" w:cs="Cambria"/>
          <w:bCs/>
          <w:color w:val="000000"/>
          <w:sz w:val="20"/>
          <w:szCs w:val="20"/>
          <w:u w:color="000000"/>
          <w:lang w:val="es-ES_tradnl" w:eastAsia="es-ES"/>
        </w:rPr>
        <w:t xml:space="preserve"> decisiones </w:t>
      </w:r>
      <w:r w:rsidR="00E943B1" w:rsidRPr="006B1D03">
        <w:rPr>
          <w:rFonts w:asciiTheme="majorHAnsi" w:hAnsiTheme="majorHAnsi" w:cs="Cambria"/>
          <w:bCs/>
          <w:color w:val="000000"/>
          <w:sz w:val="20"/>
          <w:szCs w:val="20"/>
          <w:u w:color="000000"/>
          <w:lang w:val="es-ES_tradnl" w:eastAsia="es-ES"/>
        </w:rPr>
        <w:t>de la jurisdicción interna</w:t>
      </w:r>
      <w:r w:rsidR="00816ADF" w:rsidRPr="006B1D03">
        <w:rPr>
          <w:rFonts w:asciiTheme="majorHAnsi" w:hAnsiTheme="majorHAnsi" w:cs="Cambria"/>
          <w:bCs/>
          <w:color w:val="000000"/>
          <w:sz w:val="20"/>
          <w:szCs w:val="20"/>
          <w:u w:color="000000"/>
          <w:lang w:val="es-ES_tradnl" w:eastAsia="es-ES"/>
        </w:rPr>
        <w:t xml:space="preserve"> por su mero desacuerdo con ellas. También reclama que la petición fue traslada al Estado de manera extemporánea cerca de siete años después de su presentación.</w:t>
      </w:r>
    </w:p>
    <w:p w14:paraId="1B408411" w14:textId="77777777" w:rsidR="00397550" w:rsidRPr="009B184E" w:rsidRDefault="00397550" w:rsidP="00397550">
      <w:pPr>
        <w:pBdr>
          <w:top w:val="none" w:sz="0" w:space="0" w:color="auto"/>
          <w:left w:val="none" w:sz="0" w:space="0" w:color="auto"/>
          <w:bottom w:val="none" w:sz="0" w:space="0" w:color="auto"/>
          <w:right w:val="none" w:sz="0" w:space="0" w:color="auto"/>
          <w:bar w:val="none" w:sz="0" w:color="auto"/>
        </w:pBdr>
        <w:rPr>
          <w:rFonts w:asciiTheme="majorHAnsi" w:hAnsiTheme="majorHAnsi" w:cs="Cambria"/>
          <w:b/>
          <w:bCs/>
          <w:color w:val="000000"/>
          <w:sz w:val="20"/>
          <w:szCs w:val="20"/>
          <w:u w:color="000000"/>
          <w:lang w:val="es-ES_tradnl" w:eastAsia="es-ES"/>
        </w:rPr>
      </w:pPr>
    </w:p>
    <w:p w14:paraId="16FC12AD" w14:textId="02C3592B" w:rsidR="00816ADF" w:rsidRPr="009B184E" w:rsidRDefault="00816ADF" w:rsidP="00397550">
      <w:pPr>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cs="Cambria"/>
          <w:b/>
          <w:bCs/>
          <w:color w:val="000000"/>
          <w:sz w:val="20"/>
          <w:szCs w:val="20"/>
          <w:u w:color="000000"/>
          <w:lang w:val="es-ES_tradnl" w:eastAsia="es-ES"/>
        </w:rPr>
      </w:pPr>
      <w:r w:rsidRPr="009B184E">
        <w:rPr>
          <w:rFonts w:asciiTheme="majorHAnsi" w:hAnsiTheme="majorHAnsi" w:cs="Cambria"/>
          <w:b/>
          <w:bCs/>
          <w:color w:val="000000"/>
          <w:sz w:val="20"/>
          <w:szCs w:val="20"/>
          <w:u w:color="000000"/>
          <w:lang w:val="es-ES_tradnl" w:eastAsia="es-ES"/>
        </w:rPr>
        <w:t>VI.</w:t>
      </w:r>
      <w:r w:rsidRPr="009B184E">
        <w:rPr>
          <w:rFonts w:asciiTheme="majorHAnsi" w:hAnsiTheme="majorHAnsi" w:cs="Cambria"/>
          <w:b/>
          <w:bCs/>
          <w:color w:val="000000"/>
          <w:sz w:val="20"/>
          <w:szCs w:val="20"/>
          <w:u w:color="000000"/>
          <w:lang w:val="es-ES_tradnl" w:eastAsia="es-ES"/>
        </w:rPr>
        <w:tab/>
      </w:r>
      <w:r w:rsidRPr="009B184E">
        <w:rPr>
          <w:rFonts w:asciiTheme="majorHAnsi" w:hAnsiTheme="majorHAnsi"/>
          <w:b/>
          <w:bCs/>
          <w:sz w:val="20"/>
          <w:szCs w:val="20"/>
          <w:lang w:val="es-ES_tradnl"/>
        </w:rPr>
        <w:t xml:space="preserve">ANÁLISIS DE </w:t>
      </w:r>
      <w:r w:rsidRPr="009B184E">
        <w:rPr>
          <w:rFonts w:asciiTheme="majorHAnsi" w:hAnsiTheme="majorHAnsi"/>
          <w:b/>
          <w:sz w:val="20"/>
          <w:szCs w:val="20"/>
          <w:lang w:val="es-ES_tradnl"/>
        </w:rPr>
        <w:t>AGOTAMIENTO DE LOS RECURSOS INTERNOS Y PLAZO DE PRESENTACIÓN</w:t>
      </w:r>
      <w:r w:rsidRPr="009B184E">
        <w:rPr>
          <w:rFonts w:asciiTheme="majorHAnsi" w:hAnsiTheme="majorHAnsi" w:cs="Cambria"/>
          <w:b/>
          <w:bCs/>
          <w:color w:val="000000"/>
          <w:sz w:val="20"/>
          <w:szCs w:val="20"/>
          <w:u w:color="000000"/>
          <w:lang w:val="es-ES_tradnl" w:eastAsia="es-ES"/>
        </w:rPr>
        <w:t xml:space="preserve"> </w:t>
      </w:r>
    </w:p>
    <w:p w14:paraId="7F6A8A99" w14:textId="77777777" w:rsidR="00232A51" w:rsidRPr="009B184E" w:rsidRDefault="00232A51" w:rsidP="00232A51">
      <w:pPr>
        <w:pBdr>
          <w:top w:val="none" w:sz="0" w:space="0" w:color="auto"/>
          <w:left w:val="none" w:sz="0" w:space="0" w:color="auto"/>
          <w:bottom w:val="none" w:sz="0" w:space="0" w:color="auto"/>
          <w:right w:val="none" w:sz="0" w:space="0" w:color="auto"/>
          <w:bar w:val="none" w:sz="0" w:color="auto"/>
        </w:pBdr>
        <w:suppressAutoHyphens/>
        <w:ind w:left="720"/>
        <w:jc w:val="both"/>
        <w:rPr>
          <w:rFonts w:asciiTheme="majorHAnsi" w:hAnsiTheme="majorHAnsi"/>
          <w:sz w:val="20"/>
          <w:szCs w:val="20"/>
          <w:lang w:val="es-ES_tradnl"/>
        </w:rPr>
      </w:pPr>
    </w:p>
    <w:p w14:paraId="5F65235A" w14:textId="2C11AF6B" w:rsidR="00816ADF" w:rsidRPr="009B184E" w:rsidRDefault="00E943B1" w:rsidP="0053381E">
      <w:pPr>
        <w:numPr>
          <w:ilvl w:val="0"/>
          <w:numId w:val="55"/>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ES_tradnl"/>
        </w:rPr>
      </w:pPr>
      <w:r w:rsidRPr="009B184E">
        <w:rPr>
          <w:rFonts w:asciiTheme="majorHAnsi" w:hAnsiTheme="majorHAnsi"/>
          <w:sz w:val="20"/>
          <w:szCs w:val="20"/>
          <w:lang w:val="es-ES_tradnl"/>
        </w:rPr>
        <w:t xml:space="preserve">El </w:t>
      </w:r>
      <w:r w:rsidR="00816ADF" w:rsidRPr="009B184E">
        <w:rPr>
          <w:rFonts w:asciiTheme="majorHAnsi" w:hAnsiTheme="majorHAnsi"/>
          <w:sz w:val="20"/>
          <w:szCs w:val="20"/>
          <w:lang w:val="es-ES_tradnl"/>
        </w:rPr>
        <w:t xml:space="preserve">peticionario </w:t>
      </w:r>
      <w:r w:rsidRPr="009B184E">
        <w:rPr>
          <w:rFonts w:asciiTheme="majorHAnsi" w:hAnsiTheme="majorHAnsi"/>
          <w:sz w:val="20"/>
          <w:szCs w:val="20"/>
          <w:lang w:val="es-ES_tradnl"/>
        </w:rPr>
        <w:t>alega</w:t>
      </w:r>
      <w:r w:rsidR="00816ADF" w:rsidRPr="009B184E">
        <w:rPr>
          <w:rFonts w:asciiTheme="majorHAnsi" w:hAnsiTheme="majorHAnsi"/>
          <w:sz w:val="20"/>
          <w:szCs w:val="20"/>
          <w:lang w:val="es-ES_tradnl"/>
        </w:rPr>
        <w:t xml:space="preserve"> que los recursos </w:t>
      </w:r>
      <w:r w:rsidRPr="009B184E">
        <w:rPr>
          <w:rFonts w:asciiTheme="majorHAnsi" w:hAnsiTheme="majorHAnsi"/>
          <w:sz w:val="20"/>
          <w:szCs w:val="20"/>
          <w:lang w:val="es-ES_tradnl"/>
        </w:rPr>
        <w:t>internos</w:t>
      </w:r>
      <w:r w:rsidR="00816ADF" w:rsidRPr="009B184E">
        <w:rPr>
          <w:rFonts w:asciiTheme="majorHAnsi" w:hAnsiTheme="majorHAnsi"/>
          <w:sz w:val="20"/>
          <w:szCs w:val="20"/>
          <w:lang w:val="es-ES_tradnl"/>
        </w:rPr>
        <w:t xml:space="preserve"> se agotaron con la decisión de la Corte Suprema de Justicia de la Nación que rechazó el recurso de queja interpuesto por las presuntas víctimas contra la denegatoria de su recurso extraordinario </w:t>
      </w:r>
      <w:r w:rsidRPr="009B184E">
        <w:rPr>
          <w:rFonts w:asciiTheme="majorHAnsi" w:hAnsiTheme="majorHAnsi"/>
          <w:sz w:val="20"/>
          <w:szCs w:val="20"/>
          <w:lang w:val="es-ES_tradnl"/>
        </w:rPr>
        <w:t>f</w:t>
      </w:r>
      <w:r w:rsidR="00816ADF" w:rsidRPr="009B184E">
        <w:rPr>
          <w:rFonts w:asciiTheme="majorHAnsi" w:hAnsiTheme="majorHAnsi"/>
          <w:sz w:val="20"/>
          <w:szCs w:val="20"/>
          <w:lang w:val="es-ES_tradnl"/>
        </w:rPr>
        <w:t xml:space="preserve">ederal. </w:t>
      </w:r>
      <w:r w:rsidRPr="009B184E">
        <w:rPr>
          <w:rFonts w:asciiTheme="majorHAnsi" w:hAnsiTheme="majorHAnsi"/>
          <w:sz w:val="20"/>
          <w:szCs w:val="20"/>
          <w:lang w:val="es-ES_tradnl"/>
        </w:rPr>
        <w:t>Por su parte</w:t>
      </w:r>
      <w:r w:rsidR="00816ADF" w:rsidRPr="009B184E">
        <w:rPr>
          <w:rFonts w:asciiTheme="majorHAnsi" w:hAnsiTheme="majorHAnsi"/>
          <w:sz w:val="20"/>
          <w:szCs w:val="20"/>
          <w:lang w:val="es-ES_tradnl"/>
        </w:rPr>
        <w:t xml:space="preserve">, el Estado </w:t>
      </w:r>
      <w:r w:rsidRPr="009B184E">
        <w:rPr>
          <w:rFonts w:asciiTheme="majorHAnsi" w:hAnsiTheme="majorHAnsi"/>
          <w:sz w:val="20"/>
          <w:szCs w:val="20"/>
          <w:lang w:val="es-ES_tradnl"/>
        </w:rPr>
        <w:t xml:space="preserve">sostiene </w:t>
      </w:r>
      <w:r w:rsidR="00816ADF" w:rsidRPr="009B184E">
        <w:rPr>
          <w:rFonts w:asciiTheme="majorHAnsi" w:hAnsiTheme="majorHAnsi"/>
          <w:sz w:val="20"/>
          <w:szCs w:val="20"/>
          <w:lang w:val="es-ES_tradnl"/>
        </w:rPr>
        <w:t>que las presuntas víctima</w:t>
      </w:r>
      <w:r w:rsidRPr="009B184E">
        <w:rPr>
          <w:rFonts w:asciiTheme="majorHAnsi" w:hAnsiTheme="majorHAnsi"/>
          <w:sz w:val="20"/>
          <w:szCs w:val="20"/>
          <w:lang w:val="es-ES_tradnl"/>
        </w:rPr>
        <w:t>s</w:t>
      </w:r>
      <w:r w:rsidR="00816ADF" w:rsidRPr="009B184E">
        <w:rPr>
          <w:rFonts w:asciiTheme="majorHAnsi" w:hAnsiTheme="majorHAnsi"/>
          <w:sz w:val="20"/>
          <w:szCs w:val="20"/>
          <w:lang w:val="es-ES_tradnl"/>
        </w:rPr>
        <w:t xml:space="preserve"> no realizaron planteamientos autónomos respecto a los derechos contenidos en los artículos 4 y 26 de la </w:t>
      </w:r>
      <w:r w:rsidR="00816ADF" w:rsidRPr="009B184E">
        <w:rPr>
          <w:rFonts w:asciiTheme="majorHAnsi" w:hAnsiTheme="majorHAnsi"/>
          <w:sz w:val="20"/>
          <w:szCs w:val="20"/>
          <w:lang w:val="es-ES_tradnl"/>
        </w:rPr>
        <w:lastRenderedPageBreak/>
        <w:t xml:space="preserve">Convención Americana dentro de los procesos </w:t>
      </w:r>
      <w:r w:rsidRPr="009B184E">
        <w:rPr>
          <w:rFonts w:asciiTheme="majorHAnsi" w:hAnsiTheme="majorHAnsi"/>
          <w:sz w:val="20"/>
          <w:szCs w:val="20"/>
          <w:lang w:val="es-ES_tradnl"/>
        </w:rPr>
        <w:t>interno</w:t>
      </w:r>
      <w:r w:rsidR="006B1D03">
        <w:rPr>
          <w:rFonts w:asciiTheme="majorHAnsi" w:hAnsiTheme="majorHAnsi"/>
          <w:sz w:val="20"/>
          <w:szCs w:val="20"/>
          <w:lang w:val="es-ES_tradnl"/>
        </w:rPr>
        <w:t>s</w:t>
      </w:r>
      <w:r w:rsidR="00816ADF" w:rsidRPr="009B184E">
        <w:rPr>
          <w:rFonts w:asciiTheme="majorHAnsi" w:hAnsiTheme="majorHAnsi"/>
          <w:sz w:val="20"/>
          <w:szCs w:val="20"/>
          <w:lang w:val="es-ES_tradnl"/>
        </w:rPr>
        <w:t>; y que la petición le fue trasladada de forma extemporánea.</w:t>
      </w:r>
    </w:p>
    <w:p w14:paraId="728CFF2E" w14:textId="77777777" w:rsidR="00232A51" w:rsidRPr="009B184E" w:rsidRDefault="00232A51" w:rsidP="006B1D03">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ES_tradnl"/>
        </w:rPr>
      </w:pPr>
    </w:p>
    <w:p w14:paraId="460A2FDA" w14:textId="11434939" w:rsidR="00816ADF" w:rsidRPr="009B184E" w:rsidRDefault="00816ADF" w:rsidP="0053381E">
      <w:pPr>
        <w:numPr>
          <w:ilvl w:val="0"/>
          <w:numId w:val="55"/>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ES_tradnl"/>
        </w:rPr>
      </w:pPr>
      <w:r w:rsidRPr="009B184E">
        <w:rPr>
          <w:rFonts w:asciiTheme="majorHAnsi" w:hAnsiTheme="majorHAnsi"/>
          <w:sz w:val="20"/>
          <w:szCs w:val="20"/>
          <w:lang w:val="es-ES_tradnl"/>
        </w:rPr>
        <w:t xml:space="preserve">La Comisión </w:t>
      </w:r>
      <w:r w:rsidR="00E943B1" w:rsidRPr="009B184E">
        <w:rPr>
          <w:rFonts w:asciiTheme="majorHAnsi" w:hAnsiTheme="majorHAnsi"/>
          <w:sz w:val="20"/>
          <w:szCs w:val="20"/>
          <w:lang w:val="es-ES_tradnl"/>
        </w:rPr>
        <w:t>Inter</w:t>
      </w:r>
      <w:r w:rsidR="00613510" w:rsidRPr="009B184E">
        <w:rPr>
          <w:rFonts w:asciiTheme="majorHAnsi" w:hAnsiTheme="majorHAnsi"/>
          <w:sz w:val="20"/>
          <w:szCs w:val="20"/>
          <w:lang w:val="es-ES_tradnl"/>
        </w:rPr>
        <w:t>america</w:t>
      </w:r>
      <w:r w:rsidR="00E943B1" w:rsidRPr="009B184E">
        <w:rPr>
          <w:rFonts w:asciiTheme="majorHAnsi" w:hAnsiTheme="majorHAnsi"/>
          <w:sz w:val="20"/>
          <w:szCs w:val="20"/>
          <w:lang w:val="es-ES_tradnl"/>
        </w:rPr>
        <w:t xml:space="preserve">na </w:t>
      </w:r>
      <w:r w:rsidRPr="009B184E">
        <w:rPr>
          <w:rFonts w:asciiTheme="majorHAnsi" w:hAnsiTheme="majorHAnsi"/>
          <w:sz w:val="20"/>
          <w:szCs w:val="20"/>
          <w:lang w:val="es-ES_tradnl"/>
        </w:rPr>
        <w:t xml:space="preserve">considera que el recurso extraordinario federal </w:t>
      </w:r>
      <w:r w:rsidR="00613510" w:rsidRPr="009B184E">
        <w:rPr>
          <w:rFonts w:asciiTheme="majorHAnsi" w:hAnsiTheme="majorHAnsi"/>
          <w:sz w:val="20"/>
          <w:szCs w:val="20"/>
          <w:lang w:val="es-ES_tradnl"/>
        </w:rPr>
        <w:t>era</w:t>
      </w:r>
      <w:r w:rsidRPr="009B184E">
        <w:rPr>
          <w:rFonts w:asciiTheme="majorHAnsi" w:hAnsiTheme="majorHAnsi"/>
          <w:sz w:val="20"/>
          <w:szCs w:val="20"/>
          <w:lang w:val="es-ES_tradnl"/>
        </w:rPr>
        <w:t xml:space="preserve"> el idóneo </w:t>
      </w:r>
      <w:r w:rsidR="009B3C49" w:rsidRPr="009B184E">
        <w:rPr>
          <w:rFonts w:asciiTheme="majorHAnsi" w:hAnsiTheme="majorHAnsi"/>
          <w:sz w:val="20"/>
          <w:szCs w:val="20"/>
          <w:lang w:val="es-ES_tradnl"/>
        </w:rPr>
        <w:t xml:space="preserve">como mecanismo procesal de cierre </w:t>
      </w:r>
      <w:r w:rsidRPr="009B184E">
        <w:rPr>
          <w:rFonts w:asciiTheme="majorHAnsi" w:hAnsiTheme="majorHAnsi"/>
          <w:sz w:val="20"/>
          <w:szCs w:val="20"/>
          <w:lang w:val="es-ES_tradnl"/>
        </w:rPr>
        <w:t xml:space="preserve">para que </w:t>
      </w:r>
      <w:r w:rsidR="00E943B1" w:rsidRPr="009B184E">
        <w:rPr>
          <w:rFonts w:asciiTheme="majorHAnsi" w:hAnsiTheme="majorHAnsi"/>
          <w:sz w:val="20"/>
          <w:szCs w:val="20"/>
          <w:lang w:val="es-ES_tradnl"/>
        </w:rPr>
        <w:t xml:space="preserve">los reclamos </w:t>
      </w:r>
      <w:r w:rsidRPr="009B184E">
        <w:rPr>
          <w:rFonts w:asciiTheme="majorHAnsi" w:hAnsiTheme="majorHAnsi"/>
          <w:sz w:val="20"/>
          <w:szCs w:val="20"/>
          <w:lang w:val="es-ES_tradnl"/>
        </w:rPr>
        <w:t>de</w:t>
      </w:r>
      <w:r w:rsidR="00E943B1" w:rsidRPr="009B184E">
        <w:rPr>
          <w:rFonts w:asciiTheme="majorHAnsi" w:hAnsiTheme="majorHAnsi"/>
          <w:sz w:val="20"/>
          <w:szCs w:val="20"/>
          <w:lang w:val="es-ES_tradnl"/>
        </w:rPr>
        <w:t xml:space="preserve"> </w:t>
      </w:r>
      <w:r w:rsidRPr="009B184E">
        <w:rPr>
          <w:rFonts w:asciiTheme="majorHAnsi" w:hAnsiTheme="majorHAnsi"/>
          <w:sz w:val="20"/>
          <w:szCs w:val="20"/>
          <w:lang w:val="es-ES_tradnl"/>
        </w:rPr>
        <w:t>l</w:t>
      </w:r>
      <w:r w:rsidR="00E943B1" w:rsidRPr="009B184E">
        <w:rPr>
          <w:rFonts w:asciiTheme="majorHAnsi" w:hAnsiTheme="majorHAnsi"/>
          <w:sz w:val="20"/>
          <w:szCs w:val="20"/>
          <w:lang w:val="es-ES_tradnl"/>
        </w:rPr>
        <w:t>as presuntas víctimas</w:t>
      </w:r>
      <w:r w:rsidRPr="009B184E">
        <w:rPr>
          <w:rFonts w:asciiTheme="majorHAnsi" w:hAnsiTheme="majorHAnsi"/>
          <w:sz w:val="20"/>
          <w:szCs w:val="20"/>
          <w:lang w:val="es-ES_tradnl"/>
        </w:rPr>
        <w:t xml:space="preserve"> fueran atendid</w:t>
      </w:r>
      <w:r w:rsidR="00E943B1" w:rsidRPr="009B184E">
        <w:rPr>
          <w:rFonts w:asciiTheme="majorHAnsi" w:hAnsiTheme="majorHAnsi"/>
          <w:sz w:val="20"/>
          <w:szCs w:val="20"/>
          <w:lang w:val="es-ES_tradnl"/>
        </w:rPr>
        <w:t>o</w:t>
      </w:r>
      <w:r w:rsidRPr="009B184E">
        <w:rPr>
          <w:rFonts w:asciiTheme="majorHAnsi" w:hAnsiTheme="majorHAnsi"/>
          <w:sz w:val="20"/>
          <w:szCs w:val="20"/>
          <w:lang w:val="es-ES_tradnl"/>
        </w:rPr>
        <w:t xml:space="preserve">s </w:t>
      </w:r>
      <w:r w:rsidR="00613510" w:rsidRPr="009B184E">
        <w:rPr>
          <w:rFonts w:asciiTheme="majorHAnsi" w:hAnsiTheme="majorHAnsi"/>
          <w:sz w:val="20"/>
          <w:szCs w:val="20"/>
          <w:lang w:val="es-ES_tradnl"/>
        </w:rPr>
        <w:t>en el ámbito interno</w:t>
      </w:r>
      <w:r w:rsidRPr="009B184E">
        <w:rPr>
          <w:rFonts w:asciiTheme="majorHAnsi" w:hAnsiTheme="majorHAnsi"/>
          <w:sz w:val="20"/>
          <w:szCs w:val="20"/>
          <w:lang w:val="es-ES_tradnl"/>
        </w:rPr>
        <w:t xml:space="preserve">. Por </w:t>
      </w:r>
      <w:r w:rsidR="00613510" w:rsidRPr="009B184E">
        <w:rPr>
          <w:rFonts w:asciiTheme="majorHAnsi" w:hAnsiTheme="majorHAnsi"/>
          <w:sz w:val="20"/>
          <w:szCs w:val="20"/>
          <w:lang w:val="es-ES_tradnl"/>
        </w:rPr>
        <w:t>tal motivo</w:t>
      </w:r>
      <w:r w:rsidRPr="009B184E">
        <w:rPr>
          <w:rFonts w:asciiTheme="majorHAnsi" w:hAnsiTheme="majorHAnsi"/>
          <w:sz w:val="20"/>
          <w:szCs w:val="20"/>
          <w:lang w:val="es-ES_tradnl"/>
        </w:rPr>
        <w:t>, y dado que el Estado no ha</w:t>
      </w:r>
      <w:r w:rsidR="00613510" w:rsidRPr="009B184E">
        <w:rPr>
          <w:rFonts w:asciiTheme="majorHAnsi" w:hAnsiTheme="majorHAnsi"/>
          <w:sz w:val="20"/>
          <w:szCs w:val="20"/>
          <w:lang w:val="es-ES_tradnl"/>
        </w:rPr>
        <w:t>ce</w:t>
      </w:r>
      <w:r w:rsidRPr="009B184E">
        <w:rPr>
          <w:rFonts w:asciiTheme="majorHAnsi" w:hAnsiTheme="majorHAnsi"/>
          <w:sz w:val="20"/>
          <w:szCs w:val="20"/>
          <w:lang w:val="es-ES_tradnl"/>
        </w:rPr>
        <w:t xml:space="preserve"> referencia a otros recursos idóneos, la C</w:t>
      </w:r>
      <w:r w:rsidR="00613510" w:rsidRPr="009B184E">
        <w:rPr>
          <w:rFonts w:asciiTheme="majorHAnsi" w:hAnsiTheme="majorHAnsi"/>
          <w:sz w:val="20"/>
          <w:szCs w:val="20"/>
          <w:lang w:val="es-ES_tradnl"/>
        </w:rPr>
        <w:t>IDH</w:t>
      </w:r>
      <w:r w:rsidRPr="009B184E">
        <w:rPr>
          <w:rFonts w:asciiTheme="majorHAnsi" w:hAnsiTheme="majorHAnsi"/>
          <w:sz w:val="20"/>
          <w:szCs w:val="20"/>
          <w:lang w:val="es-ES_tradnl"/>
        </w:rPr>
        <w:t xml:space="preserve"> estima que </w:t>
      </w:r>
      <w:r w:rsidR="00613510" w:rsidRPr="009B184E">
        <w:rPr>
          <w:rFonts w:asciiTheme="majorHAnsi" w:hAnsiTheme="majorHAnsi"/>
          <w:sz w:val="20"/>
          <w:szCs w:val="20"/>
          <w:lang w:val="es-ES_tradnl"/>
        </w:rPr>
        <w:t xml:space="preserve">la jurisdicción interna fue agotada con la decisión de </w:t>
      </w:r>
      <w:r w:rsidRPr="009B184E">
        <w:rPr>
          <w:rFonts w:asciiTheme="majorHAnsi" w:hAnsiTheme="majorHAnsi"/>
          <w:sz w:val="20"/>
          <w:szCs w:val="20"/>
          <w:lang w:val="es-ES_tradnl"/>
        </w:rPr>
        <w:t>la Corte Suprema que rechazó el recurso de queja</w:t>
      </w:r>
      <w:r w:rsidR="00613510" w:rsidRPr="009B184E">
        <w:rPr>
          <w:rFonts w:asciiTheme="majorHAnsi" w:hAnsiTheme="majorHAnsi"/>
          <w:sz w:val="20"/>
          <w:szCs w:val="20"/>
          <w:lang w:val="es-ES_tradnl"/>
        </w:rPr>
        <w:t>, notificada el 28 de abril de 2009</w:t>
      </w:r>
      <w:r w:rsidRPr="009B184E">
        <w:rPr>
          <w:rFonts w:asciiTheme="majorHAnsi" w:hAnsiTheme="majorHAnsi"/>
          <w:sz w:val="20"/>
          <w:szCs w:val="20"/>
          <w:lang w:val="es-ES_tradnl"/>
        </w:rPr>
        <w:t xml:space="preserve">. </w:t>
      </w:r>
      <w:r w:rsidR="006B1D03">
        <w:rPr>
          <w:rFonts w:asciiTheme="majorHAnsi" w:hAnsiTheme="majorHAnsi"/>
          <w:sz w:val="20"/>
          <w:szCs w:val="20"/>
          <w:lang w:val="es-ES_tradnl"/>
        </w:rPr>
        <w:t>La</w:t>
      </w:r>
      <w:r w:rsidR="00613510" w:rsidRPr="009B184E">
        <w:rPr>
          <w:rFonts w:asciiTheme="majorHAnsi" w:hAnsiTheme="majorHAnsi"/>
          <w:sz w:val="20"/>
          <w:szCs w:val="20"/>
          <w:lang w:val="es-ES_tradnl"/>
        </w:rPr>
        <w:t xml:space="preserve"> </w:t>
      </w:r>
      <w:r w:rsidRPr="009B184E">
        <w:rPr>
          <w:rFonts w:asciiTheme="majorHAnsi" w:hAnsiTheme="majorHAnsi"/>
          <w:sz w:val="20"/>
          <w:szCs w:val="20"/>
          <w:lang w:val="es-ES_tradnl"/>
        </w:rPr>
        <w:t xml:space="preserve">petición </w:t>
      </w:r>
      <w:r w:rsidR="00613510" w:rsidRPr="009B184E">
        <w:rPr>
          <w:rFonts w:asciiTheme="majorHAnsi" w:hAnsiTheme="majorHAnsi"/>
          <w:sz w:val="20"/>
          <w:szCs w:val="20"/>
          <w:lang w:val="es-ES_tradnl"/>
        </w:rPr>
        <w:t xml:space="preserve">fue </w:t>
      </w:r>
      <w:r w:rsidRPr="009B184E">
        <w:rPr>
          <w:rFonts w:asciiTheme="majorHAnsi" w:hAnsiTheme="majorHAnsi"/>
          <w:sz w:val="20"/>
          <w:szCs w:val="20"/>
          <w:lang w:val="es-ES_tradnl"/>
        </w:rPr>
        <w:t>presentada el 13 de octubre de 2009</w:t>
      </w:r>
      <w:r w:rsidR="00613510" w:rsidRPr="009B184E">
        <w:rPr>
          <w:rFonts w:asciiTheme="majorHAnsi" w:hAnsiTheme="majorHAnsi"/>
          <w:sz w:val="20"/>
          <w:szCs w:val="20"/>
          <w:lang w:val="es-ES_tradnl"/>
        </w:rPr>
        <w:t>, por lo que</w:t>
      </w:r>
      <w:r w:rsidRPr="009B184E">
        <w:rPr>
          <w:rFonts w:asciiTheme="majorHAnsi" w:hAnsiTheme="majorHAnsi"/>
          <w:sz w:val="20"/>
          <w:szCs w:val="20"/>
          <w:lang w:val="es-ES_tradnl"/>
        </w:rPr>
        <w:t xml:space="preserve"> la Comisión </w:t>
      </w:r>
      <w:r w:rsidR="00613510" w:rsidRPr="009B184E">
        <w:rPr>
          <w:rFonts w:asciiTheme="majorHAnsi" w:hAnsiTheme="majorHAnsi"/>
          <w:sz w:val="20"/>
          <w:szCs w:val="20"/>
          <w:lang w:val="es-ES_tradnl"/>
        </w:rPr>
        <w:t xml:space="preserve">Interamericana </w:t>
      </w:r>
      <w:r w:rsidRPr="009B184E">
        <w:rPr>
          <w:rFonts w:asciiTheme="majorHAnsi" w:hAnsiTheme="majorHAnsi"/>
          <w:sz w:val="20"/>
          <w:szCs w:val="20"/>
          <w:lang w:val="es-ES_tradnl"/>
        </w:rPr>
        <w:t xml:space="preserve">concluye que </w:t>
      </w:r>
      <w:r w:rsidR="00613510" w:rsidRPr="009B184E">
        <w:rPr>
          <w:rFonts w:asciiTheme="majorHAnsi" w:hAnsiTheme="majorHAnsi"/>
          <w:sz w:val="20"/>
          <w:szCs w:val="20"/>
          <w:lang w:val="es-ES_tradnl"/>
        </w:rPr>
        <w:t>se ha</w:t>
      </w:r>
      <w:r w:rsidR="006B1D03">
        <w:rPr>
          <w:rFonts w:asciiTheme="majorHAnsi" w:hAnsiTheme="majorHAnsi"/>
          <w:sz w:val="20"/>
          <w:szCs w:val="20"/>
          <w:lang w:val="es-ES_tradnl"/>
        </w:rPr>
        <w:t>n</w:t>
      </w:r>
      <w:r w:rsidR="00613510" w:rsidRPr="009B184E">
        <w:rPr>
          <w:rFonts w:asciiTheme="majorHAnsi" w:hAnsiTheme="majorHAnsi"/>
          <w:sz w:val="20"/>
          <w:szCs w:val="20"/>
          <w:lang w:val="es-ES_tradnl"/>
        </w:rPr>
        <w:t xml:space="preserve"> </w:t>
      </w:r>
      <w:r w:rsidRPr="009B184E">
        <w:rPr>
          <w:rFonts w:asciiTheme="majorHAnsi" w:hAnsiTheme="majorHAnsi"/>
          <w:sz w:val="20"/>
          <w:szCs w:val="20"/>
          <w:lang w:val="es-ES_tradnl"/>
        </w:rPr>
        <w:t>cumpl</w:t>
      </w:r>
      <w:r w:rsidR="00613510" w:rsidRPr="009B184E">
        <w:rPr>
          <w:rFonts w:asciiTheme="majorHAnsi" w:hAnsiTheme="majorHAnsi"/>
          <w:sz w:val="20"/>
          <w:szCs w:val="20"/>
          <w:lang w:val="es-ES_tradnl"/>
        </w:rPr>
        <w:t>ido</w:t>
      </w:r>
      <w:r w:rsidRPr="009B184E">
        <w:rPr>
          <w:rFonts w:asciiTheme="majorHAnsi" w:hAnsiTheme="majorHAnsi"/>
          <w:sz w:val="20"/>
          <w:szCs w:val="20"/>
          <w:lang w:val="es-ES_tradnl"/>
        </w:rPr>
        <w:t xml:space="preserve"> los requisitos </w:t>
      </w:r>
      <w:r w:rsidR="009B3C49" w:rsidRPr="009B184E">
        <w:rPr>
          <w:rFonts w:asciiTheme="majorHAnsi" w:hAnsiTheme="majorHAnsi"/>
          <w:sz w:val="20"/>
          <w:szCs w:val="20"/>
          <w:lang w:val="es-ES_tradnl"/>
        </w:rPr>
        <w:t>de los</w:t>
      </w:r>
      <w:r w:rsidRPr="009B184E">
        <w:rPr>
          <w:rFonts w:asciiTheme="majorHAnsi" w:hAnsiTheme="majorHAnsi"/>
          <w:sz w:val="20"/>
          <w:szCs w:val="20"/>
          <w:lang w:val="es-ES_tradnl"/>
        </w:rPr>
        <w:t xml:space="preserve"> artículo</w:t>
      </w:r>
      <w:r w:rsidR="009B3C49" w:rsidRPr="009B184E">
        <w:rPr>
          <w:rFonts w:asciiTheme="majorHAnsi" w:hAnsiTheme="majorHAnsi"/>
          <w:sz w:val="20"/>
          <w:szCs w:val="20"/>
          <w:lang w:val="es-ES_tradnl"/>
        </w:rPr>
        <w:t>s</w:t>
      </w:r>
      <w:r w:rsidRPr="009B184E">
        <w:rPr>
          <w:rFonts w:asciiTheme="majorHAnsi" w:hAnsiTheme="majorHAnsi"/>
          <w:sz w:val="20"/>
          <w:szCs w:val="20"/>
          <w:lang w:val="es-ES_tradnl"/>
        </w:rPr>
        <w:t xml:space="preserve"> 46.1(a) y (b) de la Convención Americana.</w:t>
      </w:r>
    </w:p>
    <w:p w14:paraId="2EE59195" w14:textId="77777777" w:rsidR="00232A51" w:rsidRPr="009B184E" w:rsidRDefault="00232A51" w:rsidP="00232A51">
      <w:pPr>
        <w:pBdr>
          <w:top w:val="none" w:sz="0" w:space="0" w:color="auto"/>
          <w:left w:val="none" w:sz="0" w:space="0" w:color="auto"/>
          <w:bottom w:val="none" w:sz="0" w:space="0" w:color="auto"/>
          <w:right w:val="none" w:sz="0" w:space="0" w:color="auto"/>
          <w:bar w:val="none" w:sz="0" w:color="auto"/>
        </w:pBdr>
        <w:suppressAutoHyphens/>
        <w:ind w:left="720"/>
        <w:jc w:val="both"/>
        <w:rPr>
          <w:rFonts w:asciiTheme="majorHAnsi" w:hAnsiTheme="majorHAnsi"/>
          <w:sz w:val="20"/>
          <w:szCs w:val="20"/>
          <w:lang w:val="es-ES_tradnl"/>
        </w:rPr>
      </w:pPr>
    </w:p>
    <w:p w14:paraId="0FDA9737" w14:textId="05C5E653" w:rsidR="00816ADF" w:rsidRPr="009B184E" w:rsidRDefault="00816ADF" w:rsidP="0053381E">
      <w:pPr>
        <w:numPr>
          <w:ilvl w:val="0"/>
          <w:numId w:val="55"/>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ES_tradnl"/>
        </w:rPr>
      </w:pPr>
      <w:r w:rsidRPr="009B184E">
        <w:rPr>
          <w:rFonts w:asciiTheme="majorHAnsi" w:hAnsiTheme="majorHAnsi"/>
          <w:sz w:val="20"/>
          <w:szCs w:val="20"/>
          <w:lang w:val="es-ES_tradnl"/>
        </w:rPr>
        <w:t xml:space="preserve">En cuanto al alegato de que las presuntas víctimas no presentaron planteamientos autónomos </w:t>
      </w:r>
      <w:r w:rsidR="00613510" w:rsidRPr="009B184E">
        <w:rPr>
          <w:rFonts w:asciiTheme="majorHAnsi" w:hAnsiTheme="majorHAnsi"/>
          <w:sz w:val="20"/>
          <w:szCs w:val="20"/>
          <w:lang w:val="es-ES_tradnl"/>
        </w:rPr>
        <w:t xml:space="preserve">en el ámbito interno </w:t>
      </w:r>
      <w:r w:rsidRPr="009B184E">
        <w:rPr>
          <w:rFonts w:asciiTheme="majorHAnsi" w:hAnsiTheme="majorHAnsi"/>
          <w:sz w:val="20"/>
          <w:szCs w:val="20"/>
          <w:lang w:val="es-ES_tradnl"/>
        </w:rPr>
        <w:t xml:space="preserve">respecto a los derechos </w:t>
      </w:r>
      <w:r w:rsidR="00613510" w:rsidRPr="009B184E">
        <w:rPr>
          <w:rFonts w:asciiTheme="majorHAnsi" w:hAnsiTheme="majorHAnsi"/>
          <w:sz w:val="20"/>
          <w:szCs w:val="20"/>
          <w:lang w:val="es-ES_tradnl"/>
        </w:rPr>
        <w:t xml:space="preserve">reconocidos </w:t>
      </w:r>
      <w:r w:rsidRPr="009B184E">
        <w:rPr>
          <w:rFonts w:asciiTheme="majorHAnsi" w:hAnsiTheme="majorHAnsi"/>
          <w:sz w:val="20"/>
          <w:szCs w:val="20"/>
          <w:lang w:val="es-ES_tradnl"/>
        </w:rPr>
        <w:t>en los artículos 4 y 26 de la Convención Americana, la C</w:t>
      </w:r>
      <w:r w:rsidR="006B1D03">
        <w:rPr>
          <w:rFonts w:asciiTheme="majorHAnsi" w:hAnsiTheme="majorHAnsi"/>
          <w:sz w:val="20"/>
          <w:szCs w:val="20"/>
          <w:lang w:val="es-ES_tradnl"/>
        </w:rPr>
        <w:t>IDH</w:t>
      </w:r>
      <w:r w:rsidR="00613510" w:rsidRPr="009B184E">
        <w:rPr>
          <w:rFonts w:asciiTheme="majorHAnsi" w:hAnsiTheme="majorHAnsi"/>
          <w:sz w:val="20"/>
          <w:szCs w:val="20"/>
          <w:lang w:val="es-ES_tradnl"/>
        </w:rPr>
        <w:t xml:space="preserve"> </w:t>
      </w:r>
      <w:r w:rsidRPr="009B184E">
        <w:rPr>
          <w:rFonts w:asciiTheme="majorHAnsi" w:hAnsiTheme="majorHAnsi"/>
          <w:sz w:val="20"/>
          <w:szCs w:val="20"/>
          <w:lang w:val="es-ES_tradnl"/>
        </w:rPr>
        <w:t xml:space="preserve">recuerda que </w:t>
      </w:r>
      <w:r w:rsidRPr="009B184E">
        <w:rPr>
          <w:rFonts w:asciiTheme="majorHAnsi" w:hAnsiTheme="majorHAnsi" w:cs="Calibri"/>
          <w:sz w:val="20"/>
          <w:szCs w:val="20"/>
          <w:lang w:val="es-ES_tradnl"/>
        </w:rPr>
        <w:t xml:space="preserve">el requisito del previo agotamiento de los recursos internos tiene como objeto permitir que las autoridades nacionales conozcan sobre la supuesta violación de un derecho protegido y </w:t>
      </w:r>
      <w:r w:rsidR="00613510" w:rsidRPr="009B184E">
        <w:rPr>
          <w:rFonts w:asciiTheme="majorHAnsi" w:hAnsiTheme="majorHAnsi" w:cs="Calibri"/>
          <w:sz w:val="20"/>
          <w:szCs w:val="20"/>
          <w:lang w:val="es-ES_tradnl"/>
        </w:rPr>
        <w:t xml:space="preserve">eventualmente </w:t>
      </w:r>
      <w:r w:rsidRPr="009B184E">
        <w:rPr>
          <w:rFonts w:asciiTheme="majorHAnsi" w:hAnsiTheme="majorHAnsi" w:cs="Calibri"/>
          <w:sz w:val="20"/>
          <w:szCs w:val="20"/>
          <w:lang w:val="es-ES_tradnl"/>
        </w:rPr>
        <w:t>solucion</w:t>
      </w:r>
      <w:r w:rsidR="00613510" w:rsidRPr="009B184E">
        <w:rPr>
          <w:rFonts w:asciiTheme="majorHAnsi" w:hAnsiTheme="majorHAnsi" w:cs="Calibri"/>
          <w:sz w:val="20"/>
          <w:szCs w:val="20"/>
          <w:lang w:val="es-ES_tradnl"/>
        </w:rPr>
        <w:t>ar</w:t>
      </w:r>
      <w:r w:rsidRPr="009B184E">
        <w:rPr>
          <w:rFonts w:asciiTheme="majorHAnsi" w:hAnsiTheme="majorHAnsi" w:cs="Calibri"/>
          <w:sz w:val="20"/>
          <w:szCs w:val="20"/>
          <w:lang w:val="es-ES_tradnl"/>
        </w:rPr>
        <w:t xml:space="preserve"> la situación antes de que sea conocida por una instancia internacional</w:t>
      </w:r>
      <w:r w:rsidRPr="009B184E">
        <w:rPr>
          <w:rStyle w:val="FootnoteReference"/>
          <w:rFonts w:asciiTheme="majorHAnsi" w:hAnsiTheme="majorHAnsi" w:cs="Calibri"/>
          <w:sz w:val="20"/>
          <w:szCs w:val="20"/>
          <w:lang w:val="es-ES_tradnl"/>
        </w:rPr>
        <w:footnoteReference w:id="7"/>
      </w:r>
      <w:r w:rsidRPr="009B184E">
        <w:rPr>
          <w:rFonts w:asciiTheme="majorHAnsi" w:hAnsiTheme="majorHAnsi" w:cs="Calibri"/>
          <w:sz w:val="20"/>
          <w:szCs w:val="20"/>
          <w:lang w:val="es-ES_tradnl"/>
        </w:rPr>
        <w:t xml:space="preserve">. </w:t>
      </w:r>
      <w:r w:rsidR="003471ED" w:rsidRPr="009B184E">
        <w:rPr>
          <w:rFonts w:asciiTheme="majorHAnsi" w:hAnsiTheme="majorHAnsi" w:cs="Calibri"/>
          <w:sz w:val="20"/>
          <w:szCs w:val="20"/>
          <w:lang w:val="es-ES_tradnl"/>
        </w:rPr>
        <w:t>Igualmente, cabe señalar que e</w:t>
      </w:r>
      <w:r w:rsidRPr="009B184E">
        <w:rPr>
          <w:rFonts w:asciiTheme="majorHAnsi" w:hAnsiTheme="majorHAnsi"/>
          <w:sz w:val="20"/>
          <w:szCs w:val="20"/>
          <w:lang w:val="es-ES_tradnl"/>
        </w:rPr>
        <w:t>l Estado no argumenta que las autoridades judiciales que fueron puestas en conocimiento de la situación denunciada como violatoria no h</w:t>
      </w:r>
      <w:r w:rsidR="003471ED" w:rsidRPr="009B184E">
        <w:rPr>
          <w:rFonts w:asciiTheme="majorHAnsi" w:hAnsiTheme="majorHAnsi"/>
          <w:sz w:val="20"/>
          <w:szCs w:val="20"/>
          <w:lang w:val="es-ES_tradnl"/>
        </w:rPr>
        <w:t xml:space="preserve">ubieran </w:t>
      </w:r>
      <w:r w:rsidRPr="009B184E">
        <w:rPr>
          <w:rFonts w:asciiTheme="majorHAnsi" w:hAnsiTheme="majorHAnsi"/>
          <w:sz w:val="20"/>
          <w:szCs w:val="20"/>
          <w:lang w:val="es-ES_tradnl"/>
        </w:rPr>
        <w:t xml:space="preserve">sido las competentes para conocer de las </w:t>
      </w:r>
      <w:r w:rsidR="003471ED" w:rsidRPr="009B184E">
        <w:rPr>
          <w:rFonts w:asciiTheme="majorHAnsi" w:hAnsiTheme="majorHAnsi"/>
          <w:sz w:val="20"/>
          <w:szCs w:val="20"/>
          <w:lang w:val="es-ES_tradnl"/>
        </w:rPr>
        <w:t xml:space="preserve">presuntas </w:t>
      </w:r>
      <w:r w:rsidR="00613510" w:rsidRPr="009B184E">
        <w:rPr>
          <w:rFonts w:asciiTheme="majorHAnsi" w:hAnsiTheme="majorHAnsi"/>
          <w:sz w:val="20"/>
          <w:szCs w:val="20"/>
          <w:lang w:val="es-ES_tradnl"/>
        </w:rPr>
        <w:t>violaciones</w:t>
      </w:r>
      <w:r w:rsidRPr="009B184E">
        <w:rPr>
          <w:rFonts w:asciiTheme="majorHAnsi" w:hAnsiTheme="majorHAnsi"/>
          <w:sz w:val="20"/>
          <w:szCs w:val="20"/>
          <w:lang w:val="es-ES_tradnl"/>
        </w:rPr>
        <w:t xml:space="preserve"> </w:t>
      </w:r>
      <w:r w:rsidR="003471ED" w:rsidRPr="009B184E">
        <w:rPr>
          <w:rFonts w:asciiTheme="majorHAnsi" w:hAnsiTheme="majorHAnsi"/>
          <w:sz w:val="20"/>
          <w:szCs w:val="20"/>
          <w:lang w:val="es-ES_tradnl"/>
        </w:rPr>
        <w:t>de tales</w:t>
      </w:r>
      <w:r w:rsidRPr="009B184E">
        <w:rPr>
          <w:rFonts w:asciiTheme="majorHAnsi" w:hAnsiTheme="majorHAnsi"/>
          <w:sz w:val="20"/>
          <w:szCs w:val="20"/>
          <w:lang w:val="es-ES_tradnl"/>
        </w:rPr>
        <w:t xml:space="preserve"> derechos</w:t>
      </w:r>
      <w:r w:rsidR="003471ED" w:rsidRPr="009B184E">
        <w:rPr>
          <w:rFonts w:asciiTheme="majorHAnsi" w:hAnsiTheme="majorHAnsi"/>
          <w:sz w:val="20"/>
          <w:szCs w:val="20"/>
          <w:lang w:val="es-ES_tradnl"/>
        </w:rPr>
        <w:t xml:space="preserve"> y eventualmente repararlas</w:t>
      </w:r>
      <w:r w:rsidR="00613510" w:rsidRPr="009B184E">
        <w:rPr>
          <w:rStyle w:val="FootnoteReference"/>
          <w:rFonts w:asciiTheme="majorHAnsi" w:hAnsiTheme="majorHAnsi"/>
          <w:sz w:val="20"/>
          <w:szCs w:val="20"/>
          <w:lang w:val="es-ES_tradnl"/>
        </w:rPr>
        <w:footnoteReference w:id="8"/>
      </w:r>
      <w:r w:rsidRPr="009B184E">
        <w:rPr>
          <w:rFonts w:asciiTheme="majorHAnsi" w:hAnsiTheme="majorHAnsi"/>
          <w:sz w:val="20"/>
          <w:szCs w:val="20"/>
          <w:lang w:val="es-ES_tradnl"/>
        </w:rPr>
        <w:t>. Por estas razones, la C</w:t>
      </w:r>
      <w:r w:rsidR="003471ED" w:rsidRPr="009B184E">
        <w:rPr>
          <w:rFonts w:asciiTheme="majorHAnsi" w:hAnsiTheme="majorHAnsi"/>
          <w:sz w:val="20"/>
          <w:szCs w:val="20"/>
          <w:lang w:val="es-ES_tradnl"/>
        </w:rPr>
        <w:t>IDH</w:t>
      </w:r>
      <w:r w:rsidRPr="009B184E">
        <w:rPr>
          <w:rFonts w:asciiTheme="majorHAnsi" w:hAnsiTheme="majorHAnsi"/>
          <w:sz w:val="20"/>
          <w:szCs w:val="20"/>
          <w:lang w:val="es-ES_tradnl"/>
        </w:rPr>
        <w:t xml:space="preserve"> estima que el requisito de agotamiento de los recursos internos se encuentra cumplido con respecto a</w:t>
      </w:r>
      <w:r w:rsidR="003471ED" w:rsidRPr="009B184E">
        <w:rPr>
          <w:rFonts w:asciiTheme="majorHAnsi" w:hAnsiTheme="majorHAnsi"/>
          <w:sz w:val="20"/>
          <w:szCs w:val="20"/>
          <w:lang w:val="es-ES_tradnl"/>
        </w:rPr>
        <w:t>l</w:t>
      </w:r>
      <w:r w:rsidRPr="009B184E">
        <w:rPr>
          <w:rFonts w:asciiTheme="majorHAnsi" w:hAnsiTheme="majorHAnsi"/>
          <w:sz w:val="20"/>
          <w:szCs w:val="20"/>
          <w:lang w:val="es-ES_tradnl"/>
        </w:rPr>
        <w:t xml:space="preserve"> </w:t>
      </w:r>
      <w:r w:rsidR="003471ED" w:rsidRPr="009B184E">
        <w:rPr>
          <w:rFonts w:asciiTheme="majorHAnsi" w:hAnsiTheme="majorHAnsi"/>
          <w:sz w:val="20"/>
          <w:szCs w:val="20"/>
          <w:lang w:val="es-ES_tradnl"/>
        </w:rPr>
        <w:t>reclamo</w:t>
      </w:r>
      <w:r w:rsidRPr="009B184E">
        <w:rPr>
          <w:rFonts w:asciiTheme="majorHAnsi" w:hAnsiTheme="majorHAnsi"/>
          <w:sz w:val="20"/>
          <w:szCs w:val="20"/>
          <w:lang w:val="es-ES_tradnl"/>
        </w:rPr>
        <w:t xml:space="preserve"> sobre una posible violación </w:t>
      </w:r>
      <w:r w:rsidR="003471ED" w:rsidRPr="009B184E">
        <w:rPr>
          <w:rFonts w:asciiTheme="majorHAnsi" w:hAnsiTheme="majorHAnsi"/>
          <w:sz w:val="20"/>
          <w:szCs w:val="20"/>
          <w:lang w:val="es-ES_tradnl"/>
        </w:rPr>
        <w:t>de</w:t>
      </w:r>
      <w:r w:rsidRPr="009B184E">
        <w:rPr>
          <w:rFonts w:asciiTheme="majorHAnsi" w:hAnsiTheme="majorHAnsi"/>
          <w:sz w:val="20"/>
          <w:szCs w:val="20"/>
          <w:lang w:val="es-ES_tradnl"/>
        </w:rPr>
        <w:t xml:space="preserve"> los artículos 4 y 26 de la Convención Americana.</w:t>
      </w:r>
    </w:p>
    <w:p w14:paraId="29E27113" w14:textId="77777777" w:rsidR="00232A51" w:rsidRPr="009B184E" w:rsidRDefault="00232A51" w:rsidP="00AD7D00">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ES_tradnl"/>
        </w:rPr>
      </w:pPr>
    </w:p>
    <w:p w14:paraId="4FE7C45D" w14:textId="7B8F67BB" w:rsidR="00816ADF" w:rsidRPr="009B184E" w:rsidRDefault="00816ADF" w:rsidP="0053381E">
      <w:pPr>
        <w:numPr>
          <w:ilvl w:val="0"/>
          <w:numId w:val="55"/>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ES_tradnl"/>
        </w:rPr>
      </w:pPr>
      <w:r w:rsidRPr="009B184E">
        <w:rPr>
          <w:rFonts w:asciiTheme="majorHAnsi" w:hAnsiTheme="majorHAnsi" w:cs="Calibri"/>
          <w:sz w:val="20"/>
          <w:szCs w:val="20"/>
          <w:lang w:val="es-ES_tradnl"/>
        </w:rPr>
        <w:t xml:space="preserve">La Comisión Interamericana toma nota del reclamo del Estado sobre lo que describe como la extemporaneidad en el traslado de la petición. </w:t>
      </w:r>
      <w:r w:rsidR="003471ED" w:rsidRPr="009B184E">
        <w:rPr>
          <w:rFonts w:asciiTheme="majorHAnsi" w:hAnsiTheme="majorHAnsi" w:cs="Calibri"/>
          <w:sz w:val="20"/>
          <w:szCs w:val="20"/>
          <w:lang w:val="es-ES_tradnl"/>
        </w:rPr>
        <w:t xml:space="preserve">Al respecto, </w:t>
      </w:r>
      <w:r w:rsidRPr="009B184E">
        <w:rPr>
          <w:rFonts w:asciiTheme="majorHAnsi" w:hAnsiTheme="majorHAnsi" w:cs="Calibri"/>
          <w:sz w:val="20"/>
          <w:szCs w:val="20"/>
          <w:lang w:val="es-ES_tradnl"/>
        </w:rPr>
        <w:t xml:space="preserve">señala que ni la Convención Americana ni </w:t>
      </w:r>
      <w:r w:rsidR="003471ED" w:rsidRPr="009B184E">
        <w:rPr>
          <w:rFonts w:asciiTheme="majorHAnsi" w:hAnsiTheme="majorHAnsi" w:cs="Calibri"/>
          <w:sz w:val="20"/>
          <w:szCs w:val="20"/>
          <w:lang w:val="es-ES_tradnl"/>
        </w:rPr>
        <w:t>su</w:t>
      </w:r>
      <w:r w:rsidRPr="009B184E">
        <w:rPr>
          <w:rFonts w:asciiTheme="majorHAnsi" w:hAnsiTheme="majorHAnsi" w:cs="Calibri"/>
          <w:sz w:val="20"/>
          <w:szCs w:val="20"/>
          <w:lang w:val="es-ES_tradnl"/>
        </w:rPr>
        <w:t xml:space="preserve"> Reglamento establecen un plazo para el traslado de una petición al Estado a partir de su recepción</w:t>
      </w:r>
      <w:r w:rsidR="00AD7D00" w:rsidRPr="009B184E">
        <w:rPr>
          <w:rFonts w:asciiTheme="majorHAnsi" w:hAnsiTheme="majorHAnsi" w:cs="Calibri"/>
          <w:sz w:val="20"/>
          <w:szCs w:val="20"/>
          <w:lang w:val="es-ES_tradnl"/>
        </w:rPr>
        <w:t>;</w:t>
      </w:r>
      <w:r w:rsidRPr="009B184E">
        <w:rPr>
          <w:rFonts w:asciiTheme="majorHAnsi" w:hAnsiTheme="majorHAnsi" w:cs="Calibri"/>
          <w:sz w:val="20"/>
          <w:szCs w:val="20"/>
          <w:lang w:val="es-ES_tradnl"/>
        </w:rPr>
        <w:t xml:space="preserve"> y que los plazos establecidos en </w:t>
      </w:r>
      <w:r w:rsidR="003471ED" w:rsidRPr="009B184E">
        <w:rPr>
          <w:rFonts w:asciiTheme="majorHAnsi" w:hAnsiTheme="majorHAnsi" w:cs="Calibri"/>
          <w:sz w:val="20"/>
          <w:szCs w:val="20"/>
          <w:lang w:val="es-ES_tradnl"/>
        </w:rPr>
        <w:t xml:space="preserve">dichos instrumentos </w:t>
      </w:r>
      <w:r w:rsidRPr="009B184E">
        <w:rPr>
          <w:rFonts w:asciiTheme="majorHAnsi" w:hAnsiTheme="majorHAnsi" w:cs="Calibri"/>
          <w:sz w:val="20"/>
          <w:szCs w:val="20"/>
          <w:lang w:val="es-ES_tradnl"/>
        </w:rPr>
        <w:t>para otras etapas del trámite no son aplicables por analogía.</w:t>
      </w:r>
    </w:p>
    <w:p w14:paraId="1F8FBB17" w14:textId="77777777" w:rsidR="00232A51" w:rsidRPr="009B184E" w:rsidRDefault="00232A51" w:rsidP="00232A51">
      <w:pPr>
        <w:pBdr>
          <w:top w:val="none" w:sz="0" w:space="0" w:color="auto"/>
          <w:left w:val="none" w:sz="0" w:space="0" w:color="auto"/>
          <w:bottom w:val="none" w:sz="0" w:space="0" w:color="auto"/>
          <w:right w:val="none" w:sz="0" w:space="0" w:color="auto"/>
          <w:bar w:val="none" w:sz="0" w:color="auto"/>
        </w:pBdr>
        <w:jc w:val="both"/>
        <w:rPr>
          <w:rFonts w:asciiTheme="majorHAnsi" w:hAnsiTheme="majorHAnsi"/>
          <w:b/>
          <w:bCs/>
          <w:sz w:val="20"/>
          <w:szCs w:val="20"/>
          <w:lang w:val="es-ES_tradnl"/>
        </w:rPr>
      </w:pPr>
    </w:p>
    <w:p w14:paraId="09650426" w14:textId="6F18A570" w:rsidR="00816ADF" w:rsidRPr="009B184E" w:rsidRDefault="00816ADF" w:rsidP="00232A51">
      <w:pPr>
        <w:pStyle w:val="ListParagraph"/>
        <w:pBdr>
          <w:top w:val="none" w:sz="0" w:space="0" w:color="auto"/>
          <w:left w:val="none" w:sz="0" w:space="0" w:color="auto"/>
          <w:bottom w:val="none" w:sz="0" w:space="0" w:color="auto"/>
          <w:right w:val="none" w:sz="0" w:space="0" w:color="auto"/>
          <w:bar w:val="none" w:sz="0" w:color="auto"/>
        </w:pBdr>
        <w:jc w:val="both"/>
        <w:rPr>
          <w:rFonts w:asciiTheme="majorHAnsi" w:hAnsiTheme="majorHAnsi"/>
          <w:b/>
          <w:sz w:val="20"/>
          <w:szCs w:val="20"/>
          <w:lang w:val="es-ES_tradnl"/>
        </w:rPr>
      </w:pPr>
      <w:r w:rsidRPr="009B184E">
        <w:rPr>
          <w:rFonts w:asciiTheme="majorHAnsi" w:hAnsiTheme="majorHAnsi"/>
          <w:b/>
          <w:bCs/>
          <w:sz w:val="20"/>
          <w:szCs w:val="20"/>
          <w:lang w:val="es-ES_tradnl"/>
        </w:rPr>
        <w:t>VII.</w:t>
      </w:r>
      <w:r w:rsidRPr="009B184E">
        <w:rPr>
          <w:rFonts w:asciiTheme="majorHAnsi" w:hAnsiTheme="majorHAnsi"/>
          <w:b/>
          <w:bCs/>
          <w:sz w:val="20"/>
          <w:szCs w:val="20"/>
          <w:lang w:val="es-ES_tradnl"/>
        </w:rPr>
        <w:tab/>
        <w:t>ANÁLISIS DE CARACTERIZACIÓN DE LOS HECHOS ALEGADOS</w:t>
      </w:r>
    </w:p>
    <w:p w14:paraId="43705303" w14:textId="77777777" w:rsidR="00232A51" w:rsidRPr="009B184E" w:rsidRDefault="00232A51" w:rsidP="003471ED">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ES_tradnl"/>
        </w:rPr>
      </w:pPr>
    </w:p>
    <w:p w14:paraId="035CC98D" w14:textId="7F4A7F5D" w:rsidR="00816ADF" w:rsidRPr="009B184E" w:rsidRDefault="00AD7D00" w:rsidP="0053381E">
      <w:pPr>
        <w:numPr>
          <w:ilvl w:val="0"/>
          <w:numId w:val="55"/>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ES_tradnl"/>
        </w:rPr>
      </w:pPr>
      <w:r w:rsidRPr="009B184E">
        <w:rPr>
          <w:rFonts w:asciiTheme="majorHAnsi" w:hAnsiTheme="majorHAnsi"/>
          <w:sz w:val="20"/>
          <w:szCs w:val="20"/>
          <w:lang w:val="es-ES_tradnl"/>
        </w:rPr>
        <w:t>El peticionario alega</w:t>
      </w:r>
      <w:r w:rsidR="00816ADF" w:rsidRPr="009B184E">
        <w:rPr>
          <w:rFonts w:asciiTheme="majorHAnsi" w:hAnsiTheme="majorHAnsi"/>
          <w:sz w:val="20"/>
          <w:szCs w:val="20"/>
          <w:lang w:val="es-ES_tradnl"/>
        </w:rPr>
        <w:t xml:space="preserve"> que las presuntas víctimas </w:t>
      </w:r>
      <w:r w:rsidRPr="009B184E">
        <w:rPr>
          <w:rFonts w:asciiTheme="majorHAnsi" w:hAnsiTheme="majorHAnsi"/>
          <w:sz w:val="20"/>
          <w:szCs w:val="20"/>
          <w:lang w:val="es-ES_tradnl"/>
        </w:rPr>
        <w:t>sufrieron una reducción</w:t>
      </w:r>
      <w:r w:rsidR="00816ADF" w:rsidRPr="009B184E">
        <w:rPr>
          <w:rFonts w:asciiTheme="majorHAnsi" w:hAnsiTheme="majorHAnsi"/>
          <w:sz w:val="20"/>
          <w:szCs w:val="20"/>
          <w:lang w:val="es-ES_tradnl"/>
        </w:rPr>
        <w:t xml:space="preserve">, en proporción confiscatoria, </w:t>
      </w:r>
      <w:r w:rsidRPr="009B184E">
        <w:rPr>
          <w:rFonts w:asciiTheme="majorHAnsi" w:hAnsiTheme="majorHAnsi"/>
          <w:sz w:val="20"/>
          <w:szCs w:val="20"/>
          <w:lang w:val="es-ES_tradnl"/>
        </w:rPr>
        <w:t xml:space="preserve">de </w:t>
      </w:r>
      <w:r w:rsidR="00816ADF" w:rsidRPr="009B184E">
        <w:rPr>
          <w:rFonts w:asciiTheme="majorHAnsi" w:hAnsiTheme="majorHAnsi"/>
          <w:sz w:val="20"/>
          <w:szCs w:val="20"/>
          <w:lang w:val="es-ES_tradnl"/>
        </w:rPr>
        <w:t xml:space="preserve">un beneficio previsional que habían adquirido; que dicha reducción le causó perjuicio desproporcionado a un grupo vulnerable; y que hubo una demora injustificada en la resolución del recurso de queja la Corte Suprema, </w:t>
      </w:r>
      <w:r w:rsidRPr="009B184E">
        <w:rPr>
          <w:rFonts w:asciiTheme="majorHAnsi" w:hAnsiTheme="majorHAnsi"/>
          <w:sz w:val="20"/>
          <w:szCs w:val="20"/>
          <w:lang w:val="es-ES_tradnl"/>
        </w:rPr>
        <w:t xml:space="preserve">en consideración de </w:t>
      </w:r>
      <w:r w:rsidR="00816ADF" w:rsidRPr="009B184E">
        <w:rPr>
          <w:rFonts w:asciiTheme="majorHAnsi" w:hAnsiTheme="majorHAnsi"/>
          <w:sz w:val="20"/>
          <w:szCs w:val="20"/>
          <w:lang w:val="es-ES_tradnl"/>
        </w:rPr>
        <w:t xml:space="preserve">la edad de las personas demandantes y la decisión final de rechazo </w:t>
      </w:r>
      <w:r w:rsidR="00816ADF" w:rsidRPr="009B184E">
        <w:rPr>
          <w:rFonts w:asciiTheme="majorHAnsi" w:hAnsiTheme="majorHAnsi"/>
          <w:i/>
          <w:sz w:val="20"/>
          <w:szCs w:val="20"/>
          <w:lang w:val="es-ES_tradnl"/>
        </w:rPr>
        <w:t>in limine</w:t>
      </w:r>
      <w:r w:rsidR="00816ADF" w:rsidRPr="009B184E">
        <w:rPr>
          <w:rFonts w:asciiTheme="majorHAnsi" w:hAnsiTheme="majorHAnsi"/>
          <w:sz w:val="20"/>
          <w:szCs w:val="20"/>
          <w:lang w:val="es-ES_tradnl"/>
        </w:rPr>
        <w:t>.</w:t>
      </w:r>
    </w:p>
    <w:p w14:paraId="344F93F2" w14:textId="77777777" w:rsidR="00232A51" w:rsidRPr="009B184E" w:rsidRDefault="00232A51" w:rsidP="00AD7D00">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ES_tradnl"/>
        </w:rPr>
      </w:pPr>
    </w:p>
    <w:p w14:paraId="19ACCBFD" w14:textId="5ED21EF2" w:rsidR="00816ADF" w:rsidRPr="006B1D03" w:rsidRDefault="001202D2" w:rsidP="008E7C5B">
      <w:pPr>
        <w:numPr>
          <w:ilvl w:val="0"/>
          <w:numId w:val="55"/>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ES_tradnl"/>
        </w:rPr>
      </w:pPr>
      <w:r w:rsidRPr="006B1D03">
        <w:rPr>
          <w:rFonts w:asciiTheme="majorHAnsi" w:hAnsiTheme="majorHAnsi"/>
          <w:sz w:val="20"/>
          <w:szCs w:val="20"/>
          <w:lang w:val="es-ES_tradnl"/>
        </w:rPr>
        <w:t xml:space="preserve">El artículo 21 de la Convención Americana reconoce a toda persona el derecho al uso y goce de sus bienes, que puede ser subordinado al interés social; y determina que “ninguna persona puede ser privada de sus bienes, excepto mediante el pago de indemnización justa, por razones de utilidad pública o de interés social y en los casos y según las formas establecidas por la ley”. Al respecto, </w:t>
      </w:r>
      <w:r w:rsidR="00816ADF" w:rsidRPr="006B1D03">
        <w:rPr>
          <w:rFonts w:asciiTheme="majorHAnsi" w:hAnsiTheme="majorHAnsi"/>
          <w:sz w:val="20"/>
          <w:szCs w:val="20"/>
          <w:lang w:val="es-ES_tradnl"/>
        </w:rPr>
        <w:t xml:space="preserve">la Corte Interamericana </w:t>
      </w:r>
      <w:r w:rsidRPr="006B1D03">
        <w:rPr>
          <w:rFonts w:asciiTheme="majorHAnsi" w:hAnsiTheme="majorHAnsi"/>
          <w:sz w:val="20"/>
          <w:szCs w:val="20"/>
          <w:lang w:val="es-ES_tradnl"/>
        </w:rPr>
        <w:t xml:space="preserve">ya </w:t>
      </w:r>
      <w:r w:rsidR="00816ADF" w:rsidRPr="006B1D03">
        <w:rPr>
          <w:rFonts w:asciiTheme="majorHAnsi" w:hAnsiTheme="majorHAnsi"/>
          <w:sz w:val="20"/>
          <w:szCs w:val="20"/>
          <w:lang w:val="es-ES_tradnl"/>
        </w:rPr>
        <w:t xml:space="preserve">ha </w:t>
      </w:r>
      <w:r w:rsidRPr="006B1D03">
        <w:rPr>
          <w:rFonts w:asciiTheme="majorHAnsi" w:hAnsiTheme="majorHAnsi"/>
          <w:sz w:val="20"/>
          <w:szCs w:val="20"/>
          <w:lang w:val="es-ES_tradnl"/>
        </w:rPr>
        <w:t>precisad</w:t>
      </w:r>
      <w:r w:rsidR="00816ADF" w:rsidRPr="006B1D03">
        <w:rPr>
          <w:rFonts w:asciiTheme="majorHAnsi" w:hAnsiTheme="majorHAnsi"/>
          <w:sz w:val="20"/>
          <w:szCs w:val="20"/>
          <w:lang w:val="es-ES_tradnl"/>
        </w:rPr>
        <w:t>o que “</w:t>
      </w:r>
      <w:r w:rsidRPr="006B1D03">
        <w:rPr>
          <w:rFonts w:asciiTheme="majorHAnsi" w:hAnsiTheme="majorHAnsi"/>
          <w:sz w:val="20"/>
          <w:szCs w:val="20"/>
          <w:lang w:val="es-ES_tradnl"/>
        </w:rPr>
        <w:t>en</w:t>
      </w:r>
      <w:r w:rsidR="00816ADF" w:rsidRPr="006B1D03">
        <w:rPr>
          <w:rFonts w:asciiTheme="majorHAnsi" w:hAnsiTheme="majorHAnsi"/>
          <w:sz w:val="20"/>
          <w:szCs w:val="20"/>
          <w:lang w:val="es-ES_tradnl"/>
        </w:rPr>
        <w:t xml:space="preserve"> el caso de los efectos patrimoniales de las pensiones (monto de las pensiones), los Estados pueden reducirlos únicamente por la vía legal adecuada y por los motivos ya indicados</w:t>
      </w:r>
      <w:r w:rsidR="00B94EFC" w:rsidRPr="006B1D03">
        <w:rPr>
          <w:rFonts w:asciiTheme="majorHAnsi" w:hAnsiTheme="majorHAnsi"/>
          <w:sz w:val="20"/>
          <w:szCs w:val="20"/>
          <w:lang w:val="es-ES_tradnl"/>
        </w:rPr>
        <w:t>”</w:t>
      </w:r>
      <w:r w:rsidR="00C67474" w:rsidRPr="006B1D03">
        <w:rPr>
          <w:rFonts w:asciiTheme="majorHAnsi" w:hAnsiTheme="majorHAnsi"/>
          <w:sz w:val="20"/>
          <w:szCs w:val="20"/>
          <w:lang w:val="es-ES_tradnl"/>
        </w:rPr>
        <w:t>;</w:t>
      </w:r>
      <w:r w:rsidR="00B94EFC" w:rsidRPr="006B1D03">
        <w:rPr>
          <w:rFonts w:asciiTheme="majorHAnsi" w:hAnsiTheme="majorHAnsi"/>
          <w:sz w:val="20"/>
          <w:szCs w:val="20"/>
          <w:lang w:val="es-ES_tradnl"/>
        </w:rPr>
        <w:t xml:space="preserve"> y que “</w:t>
      </w:r>
      <w:r w:rsidR="00816ADF" w:rsidRPr="006B1D03">
        <w:rPr>
          <w:rFonts w:asciiTheme="majorHAnsi" w:hAnsiTheme="majorHAnsi"/>
          <w:sz w:val="20"/>
          <w:szCs w:val="20"/>
          <w:lang w:val="es-ES_tradnl"/>
        </w:rPr>
        <w:t>si la restricción o limitación afecta el derecho a la propiedad, ésta debe realizarse, además, de conformidad con los parámetros establecidos en el artículo 21 de la Convención Americana”</w:t>
      </w:r>
      <w:r w:rsidR="00816ADF" w:rsidRPr="006B1D03">
        <w:rPr>
          <w:rStyle w:val="FootnoteReference"/>
          <w:rFonts w:asciiTheme="majorHAnsi" w:hAnsiTheme="majorHAnsi"/>
          <w:sz w:val="20"/>
          <w:szCs w:val="20"/>
          <w:lang w:val="es-ES_tradnl"/>
        </w:rPr>
        <w:footnoteReference w:id="9"/>
      </w:r>
      <w:r w:rsidR="00816ADF" w:rsidRPr="006B1D03">
        <w:rPr>
          <w:rFonts w:asciiTheme="majorHAnsi" w:hAnsiTheme="majorHAnsi"/>
          <w:sz w:val="20"/>
          <w:szCs w:val="20"/>
          <w:lang w:val="es-ES_tradnl"/>
        </w:rPr>
        <w:t>.</w:t>
      </w:r>
      <w:r w:rsidR="00816ADF" w:rsidRPr="009B184E">
        <w:rPr>
          <w:rFonts w:asciiTheme="majorHAnsi" w:hAnsiTheme="majorHAnsi"/>
          <w:sz w:val="20"/>
          <w:szCs w:val="20"/>
          <w:lang w:val="es-ES_tradnl"/>
        </w:rPr>
        <w:t xml:space="preserve"> La C</w:t>
      </w:r>
      <w:r w:rsidR="00B94EFC" w:rsidRPr="009B184E">
        <w:rPr>
          <w:rFonts w:asciiTheme="majorHAnsi" w:hAnsiTheme="majorHAnsi"/>
          <w:sz w:val="20"/>
          <w:szCs w:val="20"/>
          <w:lang w:val="es-ES_tradnl"/>
        </w:rPr>
        <w:t xml:space="preserve">IDH </w:t>
      </w:r>
      <w:r w:rsidR="00816ADF" w:rsidRPr="009B184E">
        <w:rPr>
          <w:rFonts w:asciiTheme="majorHAnsi" w:hAnsiTheme="majorHAnsi"/>
          <w:sz w:val="20"/>
          <w:szCs w:val="20"/>
          <w:lang w:val="es-ES_tradnl"/>
        </w:rPr>
        <w:t xml:space="preserve">también recuerda que para evaluar </w:t>
      </w:r>
      <w:r w:rsidR="00B94EFC" w:rsidRPr="009B184E">
        <w:rPr>
          <w:rFonts w:asciiTheme="majorHAnsi" w:hAnsiTheme="majorHAnsi"/>
          <w:sz w:val="20"/>
          <w:szCs w:val="20"/>
          <w:lang w:val="es-ES_tradnl"/>
        </w:rPr>
        <w:t xml:space="preserve">si un </w:t>
      </w:r>
      <w:r w:rsidR="00816ADF" w:rsidRPr="009B184E">
        <w:rPr>
          <w:rFonts w:asciiTheme="majorHAnsi" w:hAnsiTheme="majorHAnsi"/>
          <w:sz w:val="20"/>
          <w:szCs w:val="20"/>
          <w:lang w:val="es-ES_tradnl"/>
        </w:rPr>
        <w:lastRenderedPageBreak/>
        <w:t xml:space="preserve">plazo </w:t>
      </w:r>
      <w:r w:rsidR="00B94EFC" w:rsidRPr="009B184E">
        <w:rPr>
          <w:rFonts w:asciiTheme="majorHAnsi" w:hAnsiTheme="majorHAnsi"/>
          <w:sz w:val="20"/>
          <w:szCs w:val="20"/>
          <w:lang w:val="es-ES_tradnl"/>
        </w:rPr>
        <w:t xml:space="preserve">es </w:t>
      </w:r>
      <w:r w:rsidR="00816ADF" w:rsidRPr="006B1D03">
        <w:rPr>
          <w:rFonts w:asciiTheme="majorHAnsi" w:hAnsiTheme="majorHAnsi"/>
          <w:sz w:val="20"/>
          <w:szCs w:val="20"/>
          <w:lang w:val="es-ES_tradnl"/>
        </w:rPr>
        <w:t>razonable se debe tomar en cuenta la complejidad del asunto</w:t>
      </w:r>
      <w:r w:rsidR="00B94EFC" w:rsidRPr="006B1D03">
        <w:rPr>
          <w:rFonts w:asciiTheme="majorHAnsi" w:hAnsiTheme="majorHAnsi"/>
          <w:sz w:val="20"/>
          <w:szCs w:val="20"/>
          <w:lang w:val="es-ES_tradnl"/>
        </w:rPr>
        <w:t>,</w:t>
      </w:r>
      <w:r w:rsidR="00816ADF" w:rsidRPr="006B1D03">
        <w:rPr>
          <w:rFonts w:asciiTheme="majorHAnsi" w:hAnsiTheme="majorHAnsi"/>
          <w:sz w:val="20"/>
          <w:szCs w:val="20"/>
          <w:lang w:val="es-ES_tradnl"/>
        </w:rPr>
        <w:t xml:space="preserve"> y que la Corte Interamericana ha determinado que “si el paso del tiempo incide de manera relevante en la situación jurídica del individuo, resultará necesario que el procedimiento avance con mayor diligencia a fin de que el caso se resuelva en un tiempo breve”</w:t>
      </w:r>
      <w:r w:rsidR="00816ADF" w:rsidRPr="006B1D03">
        <w:rPr>
          <w:rStyle w:val="FootnoteReference"/>
          <w:rFonts w:asciiTheme="majorHAnsi" w:hAnsiTheme="majorHAnsi"/>
          <w:sz w:val="20"/>
          <w:szCs w:val="20"/>
          <w:lang w:val="es-ES_tradnl"/>
        </w:rPr>
        <w:footnoteReference w:id="10"/>
      </w:r>
      <w:r w:rsidR="00816ADF" w:rsidRPr="006B1D03">
        <w:rPr>
          <w:rFonts w:asciiTheme="majorHAnsi" w:hAnsiTheme="majorHAnsi"/>
          <w:sz w:val="20"/>
          <w:szCs w:val="20"/>
          <w:lang w:val="es-ES_tradnl"/>
        </w:rPr>
        <w:t>.</w:t>
      </w:r>
    </w:p>
    <w:p w14:paraId="121FC1FF" w14:textId="77777777" w:rsidR="007C7F72" w:rsidRPr="009B184E" w:rsidRDefault="007C7F72" w:rsidP="00B94EFC">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ES_tradnl"/>
        </w:rPr>
      </w:pPr>
    </w:p>
    <w:p w14:paraId="675A0253" w14:textId="3FAE47E7" w:rsidR="008D7286" w:rsidRPr="009B184E" w:rsidRDefault="00763227" w:rsidP="008D7286">
      <w:pPr>
        <w:numPr>
          <w:ilvl w:val="0"/>
          <w:numId w:val="55"/>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ES_tradnl"/>
        </w:rPr>
      </w:pPr>
      <w:r w:rsidRPr="009B184E">
        <w:rPr>
          <w:rFonts w:asciiTheme="majorHAnsi" w:hAnsiTheme="majorHAnsi"/>
          <w:bCs/>
          <w:sz w:val="20"/>
          <w:szCs w:val="20"/>
          <w:lang w:val="es-ES_tradnl"/>
        </w:rPr>
        <w:t xml:space="preserve">El Estado argumenta que la Comisión Interamericana carece de competencia </w:t>
      </w:r>
      <w:r w:rsidRPr="009B184E">
        <w:rPr>
          <w:rFonts w:asciiTheme="majorHAnsi" w:hAnsiTheme="majorHAnsi"/>
          <w:bCs/>
          <w:i/>
          <w:sz w:val="20"/>
          <w:szCs w:val="20"/>
          <w:lang w:val="es-ES_tradnl"/>
        </w:rPr>
        <w:t xml:space="preserve">ratione materiae </w:t>
      </w:r>
      <w:r w:rsidRPr="009B184E">
        <w:rPr>
          <w:rFonts w:asciiTheme="majorHAnsi" w:hAnsiTheme="majorHAnsi"/>
          <w:bCs/>
          <w:sz w:val="20"/>
          <w:szCs w:val="20"/>
          <w:lang w:val="es-ES_tradnl"/>
        </w:rPr>
        <w:t xml:space="preserve">para conocer las presuntas violaciones del derecho a la propiedad </w:t>
      </w:r>
      <w:r w:rsidR="00BF5833" w:rsidRPr="009B184E">
        <w:rPr>
          <w:rFonts w:asciiTheme="majorHAnsi" w:hAnsiTheme="majorHAnsi"/>
          <w:bCs/>
          <w:sz w:val="20"/>
          <w:szCs w:val="20"/>
          <w:lang w:val="es-ES_tradnl"/>
        </w:rPr>
        <w:t xml:space="preserve">alegados </w:t>
      </w:r>
      <w:r w:rsidRPr="009B184E">
        <w:rPr>
          <w:rFonts w:asciiTheme="majorHAnsi" w:hAnsiTheme="majorHAnsi"/>
          <w:bCs/>
          <w:sz w:val="20"/>
          <w:szCs w:val="20"/>
          <w:lang w:val="es-ES_tradnl"/>
        </w:rPr>
        <w:t xml:space="preserve">en </w:t>
      </w:r>
      <w:r w:rsidR="00BF5833" w:rsidRPr="009B184E">
        <w:rPr>
          <w:rFonts w:asciiTheme="majorHAnsi" w:hAnsiTheme="majorHAnsi"/>
          <w:bCs/>
          <w:sz w:val="20"/>
          <w:szCs w:val="20"/>
          <w:lang w:val="es-ES_tradnl"/>
        </w:rPr>
        <w:t>el presente asunto</w:t>
      </w:r>
      <w:r w:rsidRPr="009B184E">
        <w:rPr>
          <w:rFonts w:asciiTheme="majorHAnsi" w:hAnsiTheme="majorHAnsi"/>
          <w:bCs/>
          <w:sz w:val="20"/>
          <w:szCs w:val="20"/>
          <w:lang w:val="es-ES_tradnl"/>
        </w:rPr>
        <w:t>, por razón de la reserva realizada por Argentina</w:t>
      </w:r>
      <w:r w:rsidR="00BF5833" w:rsidRPr="009B184E">
        <w:rPr>
          <w:rFonts w:asciiTheme="majorHAnsi" w:hAnsiTheme="majorHAnsi"/>
          <w:bCs/>
          <w:sz w:val="20"/>
          <w:szCs w:val="20"/>
          <w:lang w:val="es-ES_tradnl"/>
        </w:rPr>
        <w:t xml:space="preserve"> al artículo 21 de la Convención Americana</w:t>
      </w:r>
      <w:r w:rsidRPr="009B184E">
        <w:rPr>
          <w:rFonts w:asciiTheme="majorHAnsi" w:hAnsiTheme="majorHAnsi"/>
          <w:bCs/>
          <w:sz w:val="20"/>
          <w:szCs w:val="20"/>
          <w:lang w:val="es-ES_tradnl"/>
        </w:rPr>
        <w:t xml:space="preserve">. </w:t>
      </w:r>
      <w:r w:rsidR="008C0E32" w:rsidRPr="009B184E">
        <w:rPr>
          <w:rFonts w:asciiTheme="majorHAnsi" w:hAnsiTheme="majorHAnsi"/>
          <w:bCs/>
          <w:sz w:val="20"/>
          <w:szCs w:val="20"/>
          <w:lang w:val="es-ES_tradnl"/>
        </w:rPr>
        <w:t xml:space="preserve">Cabe destacar en primer lugar que </w:t>
      </w:r>
      <w:r w:rsidRPr="009B184E">
        <w:rPr>
          <w:rFonts w:asciiTheme="majorHAnsi" w:hAnsiTheme="majorHAnsi"/>
          <w:bCs/>
          <w:sz w:val="20"/>
          <w:szCs w:val="20"/>
          <w:lang w:val="es-ES_tradnl"/>
        </w:rPr>
        <w:t xml:space="preserve">dicha reserva debe ajustarse al objeto y fin de </w:t>
      </w:r>
      <w:r w:rsidR="00B344C8">
        <w:rPr>
          <w:rFonts w:asciiTheme="majorHAnsi" w:hAnsiTheme="majorHAnsi"/>
          <w:bCs/>
          <w:sz w:val="20"/>
          <w:szCs w:val="20"/>
          <w:lang w:val="es-ES_tradnl"/>
        </w:rPr>
        <w:t>dicho tratado</w:t>
      </w:r>
      <w:r w:rsidR="008C0E32" w:rsidRPr="009B184E">
        <w:rPr>
          <w:rStyle w:val="FootnoteReference"/>
          <w:rFonts w:asciiTheme="majorHAnsi" w:hAnsiTheme="majorHAnsi"/>
          <w:color w:val="000000"/>
          <w:sz w:val="20"/>
          <w:szCs w:val="20"/>
          <w:lang w:val="es-ES_tradnl"/>
        </w:rPr>
        <w:footnoteReference w:id="11"/>
      </w:r>
      <w:r w:rsidRPr="009B184E">
        <w:rPr>
          <w:rFonts w:asciiTheme="majorHAnsi" w:hAnsiTheme="majorHAnsi"/>
          <w:bCs/>
          <w:sz w:val="20"/>
          <w:szCs w:val="20"/>
          <w:lang w:val="es-ES_tradnl"/>
        </w:rPr>
        <w:t xml:space="preserve">, por lo que no </w:t>
      </w:r>
      <w:r w:rsidR="00BF5833" w:rsidRPr="009B184E">
        <w:rPr>
          <w:rFonts w:asciiTheme="majorHAnsi" w:hAnsiTheme="majorHAnsi"/>
          <w:bCs/>
          <w:sz w:val="20"/>
          <w:szCs w:val="20"/>
          <w:lang w:val="es-ES_tradnl"/>
        </w:rPr>
        <w:t xml:space="preserve">puede interpretarse de manera tal que impida a los órganos del sistema interamericano revisar si la aplicación de la política económica resulta en posibles violaciones </w:t>
      </w:r>
      <w:r w:rsidRPr="009B184E">
        <w:rPr>
          <w:rFonts w:asciiTheme="majorHAnsi" w:hAnsiTheme="majorHAnsi"/>
          <w:bCs/>
          <w:sz w:val="20"/>
          <w:szCs w:val="20"/>
          <w:lang w:val="es-ES_tradnl"/>
        </w:rPr>
        <w:t xml:space="preserve">de </w:t>
      </w:r>
      <w:r w:rsidR="00BF5833" w:rsidRPr="009B184E">
        <w:rPr>
          <w:rFonts w:asciiTheme="majorHAnsi" w:hAnsiTheme="majorHAnsi"/>
          <w:bCs/>
          <w:sz w:val="20"/>
          <w:szCs w:val="20"/>
          <w:lang w:val="es-ES_tradnl"/>
        </w:rPr>
        <w:t xml:space="preserve">normas imperativas de derecho internacional, </w:t>
      </w:r>
      <w:r w:rsidRPr="009B184E">
        <w:rPr>
          <w:rFonts w:asciiTheme="majorHAnsi" w:hAnsiTheme="majorHAnsi"/>
          <w:bCs/>
          <w:sz w:val="20"/>
          <w:szCs w:val="20"/>
          <w:lang w:val="es-ES_tradnl"/>
        </w:rPr>
        <w:t xml:space="preserve">tales como el derecho a la protección judicial o la prohibición de </w:t>
      </w:r>
      <w:r w:rsidRPr="009B184E">
        <w:rPr>
          <w:rFonts w:asciiTheme="majorHAnsi" w:hAnsiTheme="majorHAnsi"/>
          <w:color w:val="000000"/>
          <w:sz w:val="20"/>
          <w:szCs w:val="20"/>
          <w:lang w:val="es-ES_tradnl"/>
        </w:rPr>
        <w:t>discriminación</w:t>
      </w:r>
      <w:r w:rsidRPr="009B184E">
        <w:rPr>
          <w:rStyle w:val="FootnoteReference"/>
          <w:rFonts w:asciiTheme="majorHAnsi" w:hAnsiTheme="majorHAnsi"/>
          <w:color w:val="000000"/>
          <w:sz w:val="20"/>
          <w:szCs w:val="20"/>
          <w:lang w:val="es-ES_tradnl"/>
        </w:rPr>
        <w:footnoteReference w:id="12"/>
      </w:r>
      <w:r w:rsidRPr="009B184E">
        <w:rPr>
          <w:rFonts w:asciiTheme="majorHAnsi" w:hAnsiTheme="majorHAnsi"/>
          <w:color w:val="000000"/>
          <w:sz w:val="20"/>
          <w:szCs w:val="20"/>
          <w:lang w:val="es-ES_tradnl"/>
        </w:rPr>
        <w:t>.</w:t>
      </w:r>
      <w:r w:rsidR="008C0E32" w:rsidRPr="009B184E">
        <w:rPr>
          <w:rFonts w:asciiTheme="majorHAnsi" w:hAnsiTheme="majorHAnsi"/>
          <w:sz w:val="20"/>
          <w:szCs w:val="20"/>
          <w:lang w:val="es-ES_tradnl"/>
        </w:rPr>
        <w:t xml:space="preserve"> </w:t>
      </w:r>
      <w:r w:rsidR="008C0E32" w:rsidRPr="009B184E">
        <w:rPr>
          <w:rFonts w:asciiTheme="majorHAnsi" w:hAnsiTheme="majorHAnsi"/>
          <w:color w:val="000000"/>
          <w:sz w:val="20"/>
          <w:szCs w:val="20"/>
          <w:lang w:val="es-ES_tradnl"/>
        </w:rPr>
        <w:t xml:space="preserve">La protección del derecho a la propiedad en el ámbito interamericano se tornaría ilusoria si cualquier afectación quedara exenta de revisión por el solo hecho de invocar una política económica determinada. Por lo tanto, </w:t>
      </w:r>
      <w:r w:rsidR="003A507B" w:rsidRPr="009B184E">
        <w:rPr>
          <w:rFonts w:asciiTheme="majorHAnsi" w:hAnsiTheme="majorHAnsi"/>
          <w:color w:val="000000"/>
          <w:sz w:val="20"/>
          <w:szCs w:val="20"/>
          <w:lang w:val="es-ES_tradnl"/>
        </w:rPr>
        <w:t xml:space="preserve">la CIDH </w:t>
      </w:r>
      <w:r w:rsidR="008C0E32" w:rsidRPr="009B184E">
        <w:rPr>
          <w:rFonts w:asciiTheme="majorHAnsi" w:hAnsiTheme="majorHAnsi"/>
          <w:color w:val="000000"/>
          <w:sz w:val="20"/>
          <w:szCs w:val="20"/>
          <w:lang w:val="es-ES_tradnl"/>
        </w:rPr>
        <w:t xml:space="preserve">no es competente para revisar las cuestiones inherentes a la política económica del gobierno, </w:t>
      </w:r>
      <w:r w:rsidR="003A507B" w:rsidRPr="009B184E">
        <w:rPr>
          <w:rFonts w:asciiTheme="majorHAnsi" w:hAnsiTheme="majorHAnsi"/>
          <w:color w:val="000000"/>
          <w:sz w:val="20"/>
          <w:szCs w:val="20"/>
          <w:lang w:val="es-ES_tradnl"/>
        </w:rPr>
        <w:t>pero sí</w:t>
      </w:r>
      <w:r w:rsidR="008C0E32" w:rsidRPr="009B184E">
        <w:rPr>
          <w:rFonts w:asciiTheme="majorHAnsi" w:hAnsiTheme="majorHAnsi"/>
          <w:color w:val="000000"/>
          <w:sz w:val="20"/>
          <w:szCs w:val="20"/>
          <w:lang w:val="es-ES_tradnl"/>
        </w:rPr>
        <w:t xml:space="preserve"> lo es para analizar si </w:t>
      </w:r>
      <w:r w:rsidR="003A507B" w:rsidRPr="009B184E">
        <w:rPr>
          <w:rFonts w:asciiTheme="majorHAnsi" w:hAnsiTheme="majorHAnsi"/>
          <w:color w:val="000000"/>
          <w:sz w:val="20"/>
          <w:szCs w:val="20"/>
          <w:lang w:val="es-ES_tradnl"/>
        </w:rPr>
        <w:t>su</w:t>
      </w:r>
      <w:r w:rsidR="008C0E32" w:rsidRPr="009B184E">
        <w:rPr>
          <w:rFonts w:asciiTheme="majorHAnsi" w:hAnsiTheme="majorHAnsi"/>
          <w:color w:val="000000"/>
          <w:sz w:val="20"/>
          <w:szCs w:val="20"/>
          <w:lang w:val="es-ES_tradnl"/>
        </w:rPr>
        <w:t xml:space="preserve"> implementación </w:t>
      </w:r>
      <w:r w:rsidR="003A507B" w:rsidRPr="009B184E">
        <w:rPr>
          <w:rFonts w:asciiTheme="majorHAnsi" w:hAnsiTheme="majorHAnsi"/>
          <w:color w:val="000000"/>
          <w:sz w:val="20"/>
          <w:szCs w:val="20"/>
          <w:lang w:val="es-ES_tradnl"/>
        </w:rPr>
        <w:t xml:space="preserve">ha </w:t>
      </w:r>
      <w:r w:rsidR="008C0E32" w:rsidRPr="009B184E">
        <w:rPr>
          <w:rFonts w:asciiTheme="majorHAnsi" w:hAnsiTheme="majorHAnsi"/>
          <w:color w:val="000000"/>
          <w:sz w:val="20"/>
          <w:szCs w:val="20"/>
          <w:lang w:val="es-ES_tradnl"/>
        </w:rPr>
        <w:t>afecta</w:t>
      </w:r>
      <w:r w:rsidR="003A507B" w:rsidRPr="009B184E">
        <w:rPr>
          <w:rFonts w:asciiTheme="majorHAnsi" w:hAnsiTheme="majorHAnsi"/>
          <w:color w:val="000000"/>
          <w:sz w:val="20"/>
          <w:szCs w:val="20"/>
          <w:lang w:val="es-ES_tradnl"/>
        </w:rPr>
        <w:t>do</w:t>
      </w:r>
      <w:r w:rsidR="008C0E32" w:rsidRPr="009B184E">
        <w:rPr>
          <w:rFonts w:asciiTheme="majorHAnsi" w:hAnsiTheme="majorHAnsi"/>
          <w:color w:val="000000"/>
          <w:sz w:val="20"/>
          <w:szCs w:val="20"/>
          <w:lang w:val="es-ES_tradnl"/>
        </w:rPr>
        <w:t xml:space="preserve"> el derecho a la propiedad de </w:t>
      </w:r>
      <w:r w:rsidR="003A507B" w:rsidRPr="009B184E">
        <w:rPr>
          <w:rFonts w:asciiTheme="majorHAnsi" w:hAnsiTheme="majorHAnsi"/>
          <w:color w:val="000000"/>
          <w:sz w:val="20"/>
          <w:szCs w:val="20"/>
          <w:lang w:val="es-ES_tradnl"/>
        </w:rPr>
        <w:t xml:space="preserve">las </w:t>
      </w:r>
      <w:r w:rsidR="008C0E32" w:rsidRPr="009B184E">
        <w:rPr>
          <w:rFonts w:asciiTheme="majorHAnsi" w:hAnsiTheme="majorHAnsi"/>
          <w:color w:val="000000"/>
          <w:sz w:val="20"/>
          <w:szCs w:val="20"/>
          <w:lang w:val="es-ES_tradnl"/>
        </w:rPr>
        <w:t>personas en un grado tal que h</w:t>
      </w:r>
      <w:r w:rsidR="003A507B" w:rsidRPr="009B184E">
        <w:rPr>
          <w:rFonts w:asciiTheme="majorHAnsi" w:hAnsiTheme="majorHAnsi"/>
          <w:color w:val="000000"/>
          <w:sz w:val="20"/>
          <w:szCs w:val="20"/>
          <w:lang w:val="es-ES_tradnl"/>
        </w:rPr>
        <w:t>ubiera</w:t>
      </w:r>
      <w:r w:rsidR="008C0E32" w:rsidRPr="009B184E">
        <w:rPr>
          <w:rFonts w:asciiTheme="majorHAnsi" w:hAnsiTheme="majorHAnsi"/>
          <w:color w:val="000000"/>
          <w:sz w:val="20"/>
          <w:szCs w:val="20"/>
          <w:lang w:val="es-ES_tradnl"/>
        </w:rPr>
        <w:t xml:space="preserve"> cercenado </w:t>
      </w:r>
      <w:r w:rsidR="003A507B" w:rsidRPr="009B184E">
        <w:rPr>
          <w:rFonts w:asciiTheme="majorHAnsi" w:hAnsiTheme="majorHAnsi"/>
          <w:color w:val="000000"/>
          <w:sz w:val="20"/>
          <w:szCs w:val="20"/>
          <w:lang w:val="es-ES_tradnl"/>
        </w:rPr>
        <w:t>su</w:t>
      </w:r>
      <w:r w:rsidR="008C0E32" w:rsidRPr="009B184E">
        <w:rPr>
          <w:rFonts w:asciiTheme="majorHAnsi" w:hAnsiTheme="majorHAnsi"/>
          <w:color w:val="000000"/>
          <w:sz w:val="20"/>
          <w:szCs w:val="20"/>
          <w:lang w:val="es-ES_tradnl"/>
        </w:rPr>
        <w:t xml:space="preserve"> esencia</w:t>
      </w:r>
      <w:r w:rsidR="008C0E32" w:rsidRPr="009B184E">
        <w:rPr>
          <w:rStyle w:val="FootnoteReference"/>
          <w:rFonts w:asciiTheme="majorHAnsi" w:hAnsiTheme="majorHAnsi"/>
          <w:color w:val="000000"/>
          <w:sz w:val="20"/>
          <w:szCs w:val="20"/>
          <w:lang w:val="es-ES_tradnl"/>
        </w:rPr>
        <w:footnoteReference w:id="13"/>
      </w:r>
      <w:r w:rsidR="008C0E32" w:rsidRPr="009B184E">
        <w:rPr>
          <w:rFonts w:asciiTheme="majorHAnsi" w:hAnsiTheme="majorHAnsi"/>
          <w:color w:val="000000"/>
          <w:sz w:val="20"/>
          <w:szCs w:val="20"/>
          <w:lang w:val="es-ES_tradnl"/>
        </w:rPr>
        <w:t xml:space="preserve">. </w:t>
      </w:r>
      <w:r w:rsidR="003A507B" w:rsidRPr="009B184E">
        <w:rPr>
          <w:rFonts w:asciiTheme="majorHAnsi" w:hAnsiTheme="majorHAnsi"/>
          <w:color w:val="000000"/>
          <w:sz w:val="20"/>
          <w:szCs w:val="20"/>
          <w:lang w:val="es-ES_tradnl"/>
        </w:rPr>
        <w:t>La</w:t>
      </w:r>
      <w:r w:rsidR="008C0E32" w:rsidRPr="009B184E">
        <w:rPr>
          <w:rFonts w:asciiTheme="majorHAnsi" w:hAnsiTheme="majorHAnsi"/>
          <w:color w:val="000000"/>
          <w:sz w:val="20"/>
          <w:szCs w:val="20"/>
          <w:lang w:val="es-ES_tradnl"/>
        </w:rPr>
        <w:t xml:space="preserve"> Comisión </w:t>
      </w:r>
      <w:r w:rsidR="003A507B" w:rsidRPr="009B184E">
        <w:rPr>
          <w:rFonts w:asciiTheme="majorHAnsi" w:hAnsiTheme="majorHAnsi"/>
          <w:color w:val="000000"/>
          <w:sz w:val="20"/>
          <w:szCs w:val="20"/>
          <w:lang w:val="es-ES_tradnl"/>
        </w:rPr>
        <w:t xml:space="preserve">Interamericana </w:t>
      </w:r>
      <w:r w:rsidR="008C0E32" w:rsidRPr="009B184E">
        <w:rPr>
          <w:rFonts w:asciiTheme="majorHAnsi" w:hAnsiTheme="majorHAnsi"/>
          <w:color w:val="000000"/>
          <w:sz w:val="20"/>
          <w:szCs w:val="20"/>
          <w:lang w:val="es-ES_tradnl"/>
        </w:rPr>
        <w:t>analizar</w:t>
      </w:r>
      <w:r w:rsidR="003A507B" w:rsidRPr="009B184E">
        <w:rPr>
          <w:rFonts w:asciiTheme="majorHAnsi" w:hAnsiTheme="majorHAnsi"/>
          <w:color w:val="000000"/>
          <w:sz w:val="20"/>
          <w:szCs w:val="20"/>
          <w:lang w:val="es-ES_tradnl"/>
        </w:rPr>
        <w:t>á</w:t>
      </w:r>
      <w:r w:rsidR="008C0E32" w:rsidRPr="009B184E">
        <w:rPr>
          <w:rFonts w:asciiTheme="majorHAnsi" w:hAnsiTheme="majorHAnsi"/>
          <w:color w:val="000000"/>
          <w:sz w:val="20"/>
          <w:szCs w:val="20"/>
          <w:lang w:val="es-ES_tradnl"/>
        </w:rPr>
        <w:t xml:space="preserve"> </w:t>
      </w:r>
      <w:r w:rsidR="00733EB8" w:rsidRPr="009B184E">
        <w:rPr>
          <w:rFonts w:asciiTheme="majorHAnsi" w:hAnsiTheme="majorHAnsi"/>
          <w:color w:val="000000"/>
          <w:sz w:val="20"/>
          <w:szCs w:val="20"/>
          <w:lang w:val="es-ES_tradnl"/>
        </w:rPr>
        <w:t xml:space="preserve">entonces </w:t>
      </w:r>
      <w:r w:rsidR="008C0E32" w:rsidRPr="009B184E">
        <w:rPr>
          <w:rFonts w:asciiTheme="majorHAnsi" w:hAnsiTheme="majorHAnsi"/>
          <w:color w:val="000000"/>
          <w:sz w:val="20"/>
          <w:szCs w:val="20"/>
          <w:lang w:val="es-ES_tradnl"/>
        </w:rPr>
        <w:t xml:space="preserve">en la etapa de fondo si los hechos alegados por el peticionario </w:t>
      </w:r>
      <w:r w:rsidR="00733EB8" w:rsidRPr="009B184E">
        <w:rPr>
          <w:rFonts w:asciiTheme="majorHAnsi" w:hAnsiTheme="majorHAnsi"/>
          <w:color w:val="000000"/>
          <w:sz w:val="20"/>
          <w:szCs w:val="20"/>
          <w:lang w:val="es-ES_tradnl"/>
        </w:rPr>
        <w:t>se enmarcan en</w:t>
      </w:r>
      <w:r w:rsidR="008C0E32" w:rsidRPr="009B184E">
        <w:rPr>
          <w:rFonts w:asciiTheme="majorHAnsi" w:hAnsiTheme="majorHAnsi"/>
          <w:color w:val="000000"/>
          <w:sz w:val="20"/>
          <w:szCs w:val="20"/>
          <w:lang w:val="es-ES_tradnl"/>
        </w:rPr>
        <w:t xml:space="preserve"> </w:t>
      </w:r>
      <w:r w:rsidR="003A507B" w:rsidRPr="009B184E">
        <w:rPr>
          <w:rFonts w:asciiTheme="majorHAnsi" w:hAnsiTheme="majorHAnsi"/>
          <w:color w:val="000000"/>
          <w:sz w:val="20"/>
          <w:szCs w:val="20"/>
          <w:lang w:val="es-ES_tradnl"/>
        </w:rPr>
        <w:t>dicho</w:t>
      </w:r>
      <w:r w:rsidR="008C0E32" w:rsidRPr="009B184E">
        <w:rPr>
          <w:rFonts w:asciiTheme="majorHAnsi" w:hAnsiTheme="majorHAnsi"/>
          <w:color w:val="000000"/>
          <w:sz w:val="20"/>
          <w:szCs w:val="20"/>
          <w:lang w:val="es-ES_tradnl"/>
        </w:rPr>
        <w:t xml:space="preserve"> supuesto. </w:t>
      </w:r>
    </w:p>
    <w:p w14:paraId="3D7BADFB" w14:textId="77777777" w:rsidR="008C0E32" w:rsidRPr="009B184E" w:rsidRDefault="008C0E32" w:rsidP="008C0E32">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ES_tradnl"/>
        </w:rPr>
      </w:pPr>
    </w:p>
    <w:p w14:paraId="151A715E" w14:textId="60905E1D" w:rsidR="00816ADF" w:rsidRPr="009B184E" w:rsidRDefault="00B344C8" w:rsidP="0053381E">
      <w:pPr>
        <w:numPr>
          <w:ilvl w:val="0"/>
          <w:numId w:val="55"/>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_tradnl"/>
        </w:rPr>
        <w:t>T</w:t>
      </w:r>
      <w:r w:rsidR="00816ADF" w:rsidRPr="009B184E">
        <w:rPr>
          <w:rFonts w:asciiTheme="majorHAnsi" w:hAnsiTheme="majorHAnsi"/>
          <w:sz w:val="20"/>
          <w:szCs w:val="20"/>
          <w:lang w:val="es-ES_tradnl"/>
        </w:rPr>
        <w:t>ras examinar los elementos de hecho y de derecho expuestos por las partes</w:t>
      </w:r>
      <w:r w:rsidR="00B94EFC" w:rsidRPr="009B184E">
        <w:rPr>
          <w:rFonts w:asciiTheme="majorHAnsi" w:hAnsiTheme="majorHAnsi"/>
          <w:sz w:val="20"/>
          <w:szCs w:val="20"/>
          <w:lang w:val="es-ES_tradnl"/>
        </w:rPr>
        <w:t>,</w:t>
      </w:r>
      <w:r w:rsidR="00816ADF" w:rsidRPr="009B184E">
        <w:rPr>
          <w:rFonts w:asciiTheme="majorHAnsi" w:hAnsiTheme="majorHAnsi"/>
          <w:sz w:val="20"/>
          <w:szCs w:val="20"/>
          <w:lang w:val="es-ES_tradnl"/>
        </w:rPr>
        <w:t xml:space="preserve"> la C</w:t>
      </w:r>
      <w:r>
        <w:rPr>
          <w:rFonts w:asciiTheme="majorHAnsi" w:hAnsiTheme="majorHAnsi"/>
          <w:sz w:val="20"/>
          <w:szCs w:val="20"/>
          <w:lang w:val="es-ES_tradnl"/>
        </w:rPr>
        <w:t>IDH</w:t>
      </w:r>
      <w:r w:rsidR="00B94EFC" w:rsidRPr="009B184E">
        <w:rPr>
          <w:rFonts w:asciiTheme="majorHAnsi" w:hAnsiTheme="majorHAnsi"/>
          <w:sz w:val="20"/>
          <w:szCs w:val="20"/>
          <w:lang w:val="es-ES_tradnl"/>
        </w:rPr>
        <w:t xml:space="preserve"> </w:t>
      </w:r>
      <w:r w:rsidR="00816ADF" w:rsidRPr="009B184E">
        <w:rPr>
          <w:rFonts w:asciiTheme="majorHAnsi" w:hAnsiTheme="majorHAnsi"/>
          <w:sz w:val="20"/>
          <w:szCs w:val="20"/>
          <w:lang w:val="es-ES_tradnl"/>
        </w:rPr>
        <w:t xml:space="preserve">estima que </w:t>
      </w:r>
      <w:r w:rsidR="00B94EFC" w:rsidRPr="009B184E">
        <w:rPr>
          <w:rFonts w:asciiTheme="majorHAnsi" w:hAnsiTheme="majorHAnsi"/>
          <w:sz w:val="20"/>
          <w:szCs w:val="20"/>
          <w:lang w:val="es-ES_tradnl"/>
        </w:rPr>
        <w:t>los alegatos</w:t>
      </w:r>
      <w:r w:rsidR="00816ADF" w:rsidRPr="009B184E">
        <w:rPr>
          <w:rFonts w:asciiTheme="majorHAnsi" w:hAnsiTheme="majorHAnsi"/>
          <w:sz w:val="20"/>
          <w:szCs w:val="20"/>
          <w:lang w:val="es-ES_tradnl"/>
        </w:rPr>
        <w:t xml:space="preserve"> del peticionari</w:t>
      </w:r>
      <w:r w:rsidR="00B94EFC" w:rsidRPr="009B184E">
        <w:rPr>
          <w:rFonts w:asciiTheme="majorHAnsi" w:hAnsiTheme="majorHAnsi"/>
          <w:sz w:val="20"/>
          <w:szCs w:val="20"/>
          <w:lang w:val="es-ES_tradnl"/>
        </w:rPr>
        <w:t>o</w:t>
      </w:r>
      <w:r w:rsidR="00816ADF" w:rsidRPr="009B184E">
        <w:rPr>
          <w:rFonts w:asciiTheme="majorHAnsi" w:hAnsiTheme="majorHAnsi"/>
          <w:sz w:val="20"/>
          <w:szCs w:val="20"/>
          <w:lang w:val="es-ES_tradnl"/>
        </w:rPr>
        <w:t xml:space="preserve"> no resultan manifiestamente infundad</w:t>
      </w:r>
      <w:r w:rsidR="00B94EFC" w:rsidRPr="009B184E">
        <w:rPr>
          <w:rFonts w:asciiTheme="majorHAnsi" w:hAnsiTheme="majorHAnsi"/>
          <w:sz w:val="20"/>
          <w:szCs w:val="20"/>
          <w:lang w:val="es-ES_tradnl"/>
        </w:rPr>
        <w:t>o</w:t>
      </w:r>
      <w:r w:rsidR="00816ADF" w:rsidRPr="009B184E">
        <w:rPr>
          <w:rFonts w:asciiTheme="majorHAnsi" w:hAnsiTheme="majorHAnsi"/>
          <w:sz w:val="20"/>
          <w:szCs w:val="20"/>
          <w:lang w:val="es-ES_tradnl"/>
        </w:rPr>
        <w:t xml:space="preserve">s y requieren </w:t>
      </w:r>
      <w:r w:rsidR="00B94EFC" w:rsidRPr="009B184E">
        <w:rPr>
          <w:rFonts w:asciiTheme="majorHAnsi" w:hAnsiTheme="majorHAnsi"/>
          <w:sz w:val="20"/>
          <w:szCs w:val="20"/>
          <w:lang w:val="es-ES_tradnl"/>
        </w:rPr>
        <w:t xml:space="preserve">de </w:t>
      </w:r>
      <w:r w:rsidR="00816ADF" w:rsidRPr="009B184E">
        <w:rPr>
          <w:rFonts w:asciiTheme="majorHAnsi" w:hAnsiTheme="majorHAnsi"/>
          <w:sz w:val="20"/>
          <w:szCs w:val="20"/>
          <w:lang w:val="es-ES_tradnl"/>
        </w:rPr>
        <w:t>un estudio de fondo</w:t>
      </w:r>
      <w:r w:rsidR="008D7286" w:rsidRPr="009B184E">
        <w:rPr>
          <w:rFonts w:asciiTheme="majorHAnsi" w:hAnsiTheme="majorHAnsi"/>
          <w:sz w:val="20"/>
          <w:szCs w:val="20"/>
          <w:lang w:val="es-ES_tradnl"/>
        </w:rPr>
        <w:t>,</w:t>
      </w:r>
      <w:r w:rsidR="00816ADF" w:rsidRPr="009B184E">
        <w:rPr>
          <w:rFonts w:asciiTheme="majorHAnsi" w:hAnsiTheme="majorHAnsi"/>
          <w:sz w:val="20"/>
          <w:szCs w:val="20"/>
          <w:lang w:val="es-ES_tradnl"/>
        </w:rPr>
        <w:t xml:space="preserve"> pues los hechos alegados, de corroborarse como ciertos</w:t>
      </w:r>
      <w:r w:rsidR="00B94EFC" w:rsidRPr="009B184E">
        <w:rPr>
          <w:rFonts w:asciiTheme="majorHAnsi" w:hAnsiTheme="majorHAnsi"/>
          <w:sz w:val="20"/>
          <w:szCs w:val="20"/>
          <w:lang w:val="es-ES_tradnl"/>
        </w:rPr>
        <w:t>,</w:t>
      </w:r>
      <w:r w:rsidR="00816ADF" w:rsidRPr="009B184E">
        <w:rPr>
          <w:rFonts w:asciiTheme="majorHAnsi" w:hAnsiTheme="majorHAnsi"/>
          <w:sz w:val="20"/>
          <w:szCs w:val="20"/>
          <w:lang w:val="es-ES_tradnl"/>
        </w:rPr>
        <w:t xml:space="preserve"> podrían c</w:t>
      </w:r>
      <w:r w:rsidR="00B94EFC" w:rsidRPr="009B184E">
        <w:rPr>
          <w:rFonts w:asciiTheme="majorHAnsi" w:hAnsiTheme="majorHAnsi"/>
          <w:sz w:val="20"/>
          <w:szCs w:val="20"/>
          <w:lang w:val="es-ES_tradnl"/>
        </w:rPr>
        <w:t>onstituir</w:t>
      </w:r>
      <w:r w:rsidR="00816ADF" w:rsidRPr="009B184E">
        <w:rPr>
          <w:rFonts w:asciiTheme="majorHAnsi" w:hAnsiTheme="majorHAnsi"/>
          <w:sz w:val="20"/>
          <w:szCs w:val="20"/>
          <w:lang w:val="es-ES_tradnl"/>
        </w:rPr>
        <w:t xml:space="preserve"> violaciones </w:t>
      </w:r>
      <w:r w:rsidR="00B94EFC" w:rsidRPr="009B184E">
        <w:rPr>
          <w:rFonts w:asciiTheme="majorHAnsi" w:hAnsiTheme="majorHAnsi"/>
          <w:sz w:val="20"/>
          <w:szCs w:val="20"/>
          <w:lang w:val="es-ES_tradnl"/>
        </w:rPr>
        <w:t>de</w:t>
      </w:r>
      <w:r w:rsidR="00816ADF" w:rsidRPr="009B184E">
        <w:rPr>
          <w:rFonts w:asciiTheme="majorHAnsi" w:hAnsiTheme="majorHAnsi"/>
          <w:sz w:val="20"/>
          <w:szCs w:val="20"/>
          <w:lang w:val="es-ES_tradnl"/>
        </w:rPr>
        <w:t xml:space="preserve"> </w:t>
      </w:r>
      <w:r w:rsidR="00B94EFC" w:rsidRPr="009B184E">
        <w:rPr>
          <w:rFonts w:asciiTheme="majorHAnsi" w:hAnsiTheme="majorHAnsi"/>
          <w:sz w:val="20"/>
          <w:szCs w:val="20"/>
          <w:lang w:val="es-ES_tradnl"/>
        </w:rPr>
        <w:t xml:space="preserve">los derechos reconocidos en </w:t>
      </w:r>
      <w:r w:rsidR="00816ADF" w:rsidRPr="009B184E">
        <w:rPr>
          <w:rFonts w:asciiTheme="majorHAnsi" w:hAnsiTheme="majorHAnsi"/>
          <w:sz w:val="20"/>
          <w:szCs w:val="20"/>
          <w:lang w:val="es-ES_tradnl"/>
        </w:rPr>
        <w:t>los</w:t>
      </w:r>
      <w:r w:rsidR="00816ADF" w:rsidRPr="009B184E">
        <w:rPr>
          <w:rFonts w:asciiTheme="majorHAnsi" w:hAnsiTheme="majorHAnsi"/>
          <w:bCs/>
          <w:sz w:val="20"/>
          <w:szCs w:val="20"/>
          <w:lang w:val="es-ES_tradnl"/>
        </w:rPr>
        <w:t xml:space="preserve"> artículos 5 (integridad personal), 8 (garantías judiciales), 21 (propiedad privada), 24 (igualdad ante la ley), 25 (protección judicial) y 26 (desarrollo progresivo) de la Convención Americana</w:t>
      </w:r>
      <w:r w:rsidR="008D7286" w:rsidRPr="009B184E">
        <w:rPr>
          <w:rFonts w:asciiTheme="majorHAnsi" w:hAnsiTheme="majorHAnsi"/>
          <w:bCs/>
          <w:sz w:val="20"/>
          <w:szCs w:val="20"/>
          <w:lang w:val="es-ES_tradnl"/>
        </w:rPr>
        <w:t>,</w:t>
      </w:r>
      <w:r w:rsidR="00816ADF" w:rsidRPr="009B184E">
        <w:rPr>
          <w:rFonts w:asciiTheme="majorHAnsi" w:hAnsiTheme="majorHAnsi"/>
          <w:bCs/>
          <w:sz w:val="20"/>
          <w:szCs w:val="20"/>
          <w:lang w:val="es-ES_tradnl"/>
        </w:rPr>
        <w:t xml:space="preserve"> en relación con sus artículos 1.1. (obligación de respetar los derechos) y 2 (deber de adoptar disposiciones de derechos interno)</w:t>
      </w:r>
      <w:r w:rsidR="008D7286" w:rsidRPr="009B184E">
        <w:rPr>
          <w:rFonts w:asciiTheme="majorHAnsi" w:hAnsiTheme="majorHAnsi"/>
          <w:bCs/>
          <w:sz w:val="20"/>
          <w:szCs w:val="20"/>
          <w:lang w:val="es-ES_tradnl"/>
        </w:rPr>
        <w:t>, en perjuicio de las presuntas víctimas individualizadas en el presente informe. Tampoco escapa a la Comisión</w:t>
      </w:r>
      <w:r>
        <w:rPr>
          <w:rFonts w:asciiTheme="majorHAnsi" w:hAnsiTheme="majorHAnsi"/>
          <w:bCs/>
          <w:sz w:val="20"/>
          <w:szCs w:val="20"/>
          <w:lang w:val="es-ES_tradnl"/>
        </w:rPr>
        <w:t xml:space="preserve"> Interamericana </w:t>
      </w:r>
      <w:r w:rsidR="008D7286" w:rsidRPr="009B184E">
        <w:rPr>
          <w:rFonts w:asciiTheme="majorHAnsi" w:hAnsiTheme="majorHAnsi"/>
          <w:bCs/>
          <w:sz w:val="20"/>
          <w:szCs w:val="20"/>
          <w:lang w:val="es-ES_tradnl"/>
        </w:rPr>
        <w:t xml:space="preserve">el hecho de que las presuntas víctimas caso son </w:t>
      </w:r>
      <w:r>
        <w:rPr>
          <w:rFonts w:asciiTheme="majorHAnsi" w:hAnsiTheme="majorHAnsi"/>
          <w:bCs/>
          <w:sz w:val="20"/>
          <w:szCs w:val="20"/>
          <w:lang w:val="es-ES_tradnl"/>
        </w:rPr>
        <w:t xml:space="preserve">personas </w:t>
      </w:r>
      <w:r w:rsidR="008D7286" w:rsidRPr="009B184E">
        <w:rPr>
          <w:rFonts w:asciiTheme="majorHAnsi" w:hAnsiTheme="majorHAnsi"/>
          <w:bCs/>
          <w:sz w:val="20"/>
          <w:szCs w:val="20"/>
          <w:lang w:val="es-ES_tradnl"/>
        </w:rPr>
        <w:t>mayores</w:t>
      </w:r>
      <w:r>
        <w:rPr>
          <w:rFonts w:asciiTheme="majorHAnsi" w:hAnsiTheme="majorHAnsi"/>
          <w:bCs/>
          <w:sz w:val="20"/>
          <w:szCs w:val="20"/>
          <w:lang w:val="es-ES_tradnl"/>
        </w:rPr>
        <w:t>,</w:t>
      </w:r>
      <w:r w:rsidR="008D7286" w:rsidRPr="009B184E">
        <w:rPr>
          <w:rFonts w:asciiTheme="majorHAnsi" w:hAnsiTheme="majorHAnsi"/>
          <w:bCs/>
          <w:sz w:val="20"/>
          <w:szCs w:val="20"/>
          <w:lang w:val="es-ES_tradnl"/>
        </w:rPr>
        <w:t xml:space="preserve"> respecto de </w:t>
      </w:r>
      <w:r>
        <w:rPr>
          <w:rFonts w:asciiTheme="majorHAnsi" w:hAnsiTheme="majorHAnsi"/>
          <w:bCs/>
          <w:sz w:val="20"/>
          <w:szCs w:val="20"/>
          <w:lang w:val="es-ES_tradnl"/>
        </w:rPr>
        <w:t>quienes</w:t>
      </w:r>
      <w:r w:rsidR="008D7286" w:rsidRPr="009B184E">
        <w:rPr>
          <w:rFonts w:asciiTheme="majorHAnsi" w:hAnsiTheme="majorHAnsi"/>
          <w:bCs/>
          <w:sz w:val="20"/>
          <w:szCs w:val="20"/>
          <w:lang w:val="es-ES_tradnl"/>
        </w:rPr>
        <w:t xml:space="preserve"> el Estado tiene el deber de adoptar medidas positivas</w:t>
      </w:r>
      <w:r>
        <w:rPr>
          <w:rFonts w:asciiTheme="majorHAnsi" w:hAnsiTheme="majorHAnsi"/>
          <w:bCs/>
          <w:sz w:val="20"/>
          <w:szCs w:val="20"/>
          <w:lang w:val="es-ES_tradnl"/>
        </w:rPr>
        <w:t>;</w:t>
      </w:r>
      <w:r w:rsidR="008D7286" w:rsidRPr="009B184E">
        <w:rPr>
          <w:rFonts w:asciiTheme="majorHAnsi" w:hAnsiTheme="majorHAnsi"/>
          <w:bCs/>
          <w:sz w:val="20"/>
          <w:szCs w:val="20"/>
          <w:lang w:val="es-ES_tradnl"/>
        </w:rPr>
        <w:t xml:space="preserve"> y </w:t>
      </w:r>
      <w:r>
        <w:rPr>
          <w:rFonts w:asciiTheme="majorHAnsi" w:hAnsiTheme="majorHAnsi"/>
          <w:bCs/>
          <w:sz w:val="20"/>
          <w:szCs w:val="20"/>
          <w:lang w:val="es-ES_tradnl"/>
        </w:rPr>
        <w:t xml:space="preserve">que </w:t>
      </w:r>
      <w:r w:rsidR="008D7286" w:rsidRPr="009B184E">
        <w:rPr>
          <w:rFonts w:asciiTheme="majorHAnsi" w:hAnsiTheme="majorHAnsi"/>
          <w:bCs/>
          <w:sz w:val="20"/>
          <w:szCs w:val="20"/>
          <w:lang w:val="es-ES_tradnl"/>
        </w:rPr>
        <w:t>la carga procesal de verse enfrentad</w:t>
      </w:r>
      <w:r>
        <w:rPr>
          <w:rFonts w:asciiTheme="majorHAnsi" w:hAnsiTheme="majorHAnsi"/>
          <w:bCs/>
          <w:sz w:val="20"/>
          <w:szCs w:val="20"/>
          <w:lang w:val="es-ES_tradnl"/>
        </w:rPr>
        <w:t>a</w:t>
      </w:r>
      <w:r w:rsidR="008D7286" w:rsidRPr="009B184E">
        <w:rPr>
          <w:rFonts w:asciiTheme="majorHAnsi" w:hAnsiTheme="majorHAnsi"/>
          <w:bCs/>
          <w:sz w:val="20"/>
          <w:szCs w:val="20"/>
          <w:lang w:val="es-ES_tradnl"/>
        </w:rPr>
        <w:t xml:space="preserve">s a prolongados litigios y trámites </w:t>
      </w:r>
      <w:r>
        <w:rPr>
          <w:rFonts w:asciiTheme="majorHAnsi" w:hAnsiTheme="majorHAnsi"/>
          <w:bCs/>
          <w:sz w:val="20"/>
          <w:szCs w:val="20"/>
          <w:lang w:val="es-ES_tradnl"/>
        </w:rPr>
        <w:t xml:space="preserve">en el ámbito </w:t>
      </w:r>
      <w:r w:rsidR="008D7286" w:rsidRPr="009B184E">
        <w:rPr>
          <w:rFonts w:asciiTheme="majorHAnsi" w:hAnsiTheme="majorHAnsi"/>
          <w:bCs/>
          <w:sz w:val="20"/>
          <w:szCs w:val="20"/>
          <w:lang w:val="es-ES_tradnl"/>
        </w:rPr>
        <w:t xml:space="preserve">interno para reclamar sus derechos </w:t>
      </w:r>
      <w:r>
        <w:rPr>
          <w:rFonts w:asciiTheme="majorHAnsi" w:hAnsiTheme="majorHAnsi"/>
          <w:bCs/>
          <w:sz w:val="20"/>
          <w:szCs w:val="20"/>
          <w:lang w:val="es-ES_tradnl"/>
        </w:rPr>
        <w:t xml:space="preserve">les </w:t>
      </w:r>
      <w:r w:rsidR="008D7286" w:rsidRPr="009B184E">
        <w:rPr>
          <w:rFonts w:asciiTheme="majorHAnsi" w:hAnsiTheme="majorHAnsi"/>
          <w:bCs/>
          <w:sz w:val="20"/>
          <w:szCs w:val="20"/>
          <w:lang w:val="es-ES_tradnl"/>
        </w:rPr>
        <w:t xml:space="preserve">comporta un impacto diferenciado. </w:t>
      </w:r>
    </w:p>
    <w:p w14:paraId="3516E7F6" w14:textId="77777777" w:rsidR="007C7F72" w:rsidRPr="009B184E" w:rsidRDefault="007C7F72" w:rsidP="007C7F72">
      <w:pPr>
        <w:pBdr>
          <w:top w:val="none" w:sz="0" w:space="0" w:color="auto"/>
          <w:left w:val="none" w:sz="0" w:space="0" w:color="auto"/>
          <w:bottom w:val="none" w:sz="0" w:space="0" w:color="auto"/>
          <w:right w:val="none" w:sz="0" w:space="0" w:color="auto"/>
          <w:bar w:val="none" w:sz="0" w:color="auto"/>
        </w:pBdr>
        <w:suppressAutoHyphens/>
        <w:ind w:left="720"/>
        <w:jc w:val="both"/>
        <w:rPr>
          <w:rFonts w:asciiTheme="majorHAnsi" w:hAnsiTheme="majorHAnsi"/>
          <w:sz w:val="20"/>
          <w:szCs w:val="20"/>
          <w:lang w:val="es-ES_tradnl"/>
        </w:rPr>
      </w:pPr>
    </w:p>
    <w:p w14:paraId="3CEF1A4F" w14:textId="69AC4EA4" w:rsidR="00816ADF" w:rsidRPr="009B184E" w:rsidRDefault="00816ADF" w:rsidP="0053381E">
      <w:pPr>
        <w:numPr>
          <w:ilvl w:val="0"/>
          <w:numId w:val="55"/>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ES_tradnl"/>
        </w:rPr>
      </w:pPr>
      <w:r w:rsidRPr="009B184E">
        <w:rPr>
          <w:rFonts w:asciiTheme="majorHAnsi" w:hAnsiTheme="majorHAnsi"/>
          <w:sz w:val="20"/>
          <w:szCs w:val="20"/>
          <w:lang w:val="es-ES_tradnl"/>
        </w:rPr>
        <w:t xml:space="preserve">En cuanto a </w:t>
      </w:r>
      <w:r w:rsidR="003A507B" w:rsidRPr="009B184E">
        <w:rPr>
          <w:rFonts w:asciiTheme="majorHAnsi" w:hAnsiTheme="majorHAnsi"/>
          <w:sz w:val="20"/>
          <w:szCs w:val="20"/>
          <w:lang w:val="es-ES_tradnl"/>
        </w:rPr>
        <w:t xml:space="preserve">los derechos reconocidos en </w:t>
      </w:r>
      <w:r w:rsidRPr="009B184E">
        <w:rPr>
          <w:rFonts w:asciiTheme="majorHAnsi" w:hAnsiTheme="majorHAnsi"/>
          <w:sz w:val="20"/>
          <w:szCs w:val="20"/>
          <w:lang w:val="es-ES_tradnl"/>
        </w:rPr>
        <w:t>los artículos 4 (vida) y 17 (protección a la familia) de la Convención Americana, la C</w:t>
      </w:r>
      <w:r w:rsidR="003A507B" w:rsidRPr="009B184E">
        <w:rPr>
          <w:rFonts w:asciiTheme="majorHAnsi" w:hAnsiTheme="majorHAnsi"/>
          <w:sz w:val="20"/>
          <w:szCs w:val="20"/>
          <w:lang w:val="es-ES_tradnl"/>
        </w:rPr>
        <w:t>IDH</w:t>
      </w:r>
      <w:r w:rsidRPr="009B184E">
        <w:rPr>
          <w:rFonts w:asciiTheme="majorHAnsi" w:hAnsiTheme="majorHAnsi"/>
          <w:sz w:val="20"/>
          <w:szCs w:val="20"/>
          <w:lang w:val="es-ES_tradnl"/>
        </w:rPr>
        <w:t xml:space="preserve"> estima que no se desprenden de </w:t>
      </w:r>
      <w:r w:rsidR="003A507B" w:rsidRPr="009B184E">
        <w:rPr>
          <w:rFonts w:asciiTheme="majorHAnsi" w:hAnsiTheme="majorHAnsi"/>
          <w:sz w:val="20"/>
          <w:szCs w:val="20"/>
          <w:lang w:val="es-ES_tradnl"/>
        </w:rPr>
        <w:t xml:space="preserve">los alegatos </w:t>
      </w:r>
      <w:r w:rsidRPr="009B184E">
        <w:rPr>
          <w:rFonts w:asciiTheme="majorHAnsi" w:hAnsiTheme="majorHAnsi"/>
          <w:sz w:val="20"/>
          <w:szCs w:val="20"/>
          <w:lang w:val="es-ES_tradnl"/>
        </w:rPr>
        <w:t>del peticionario</w:t>
      </w:r>
      <w:r w:rsidR="003A507B" w:rsidRPr="009B184E">
        <w:rPr>
          <w:rFonts w:asciiTheme="majorHAnsi" w:hAnsiTheme="majorHAnsi"/>
          <w:sz w:val="20"/>
          <w:szCs w:val="20"/>
          <w:lang w:val="es-ES_tradnl"/>
        </w:rPr>
        <w:t>,</w:t>
      </w:r>
      <w:r w:rsidRPr="009B184E">
        <w:rPr>
          <w:rFonts w:asciiTheme="majorHAnsi" w:hAnsiTheme="majorHAnsi"/>
          <w:sz w:val="20"/>
          <w:szCs w:val="20"/>
          <w:lang w:val="es-ES_tradnl"/>
        </w:rPr>
        <w:t xml:space="preserve"> ni del expediente</w:t>
      </w:r>
      <w:r w:rsidR="003A507B" w:rsidRPr="009B184E">
        <w:rPr>
          <w:rFonts w:asciiTheme="majorHAnsi" w:hAnsiTheme="majorHAnsi"/>
          <w:sz w:val="20"/>
          <w:szCs w:val="20"/>
          <w:lang w:val="es-ES_tradnl"/>
        </w:rPr>
        <w:t>,</w:t>
      </w:r>
      <w:r w:rsidRPr="009B184E">
        <w:rPr>
          <w:rFonts w:asciiTheme="majorHAnsi" w:hAnsiTheme="majorHAnsi"/>
          <w:sz w:val="20"/>
          <w:szCs w:val="20"/>
          <w:lang w:val="es-ES_tradnl"/>
        </w:rPr>
        <w:t xml:space="preserve"> elementos o sustento suficiente para considerar </w:t>
      </w:r>
      <w:r w:rsidRPr="009B184E">
        <w:rPr>
          <w:rFonts w:asciiTheme="majorHAnsi" w:hAnsiTheme="majorHAnsi"/>
          <w:i/>
          <w:sz w:val="20"/>
          <w:szCs w:val="20"/>
          <w:lang w:val="es-ES_tradnl"/>
        </w:rPr>
        <w:t>prima facie</w:t>
      </w:r>
      <w:r w:rsidR="003A507B" w:rsidRPr="009B184E">
        <w:rPr>
          <w:rFonts w:asciiTheme="majorHAnsi" w:hAnsiTheme="majorHAnsi"/>
          <w:sz w:val="20"/>
          <w:szCs w:val="20"/>
          <w:lang w:val="es-ES_tradnl"/>
        </w:rPr>
        <w:t xml:space="preserve"> su presunta violación</w:t>
      </w:r>
      <w:r w:rsidRPr="009B184E">
        <w:rPr>
          <w:rFonts w:asciiTheme="majorHAnsi" w:hAnsiTheme="majorHAnsi"/>
          <w:sz w:val="20"/>
          <w:szCs w:val="20"/>
          <w:lang w:val="es-ES_tradnl"/>
        </w:rPr>
        <w:t>.</w:t>
      </w:r>
    </w:p>
    <w:p w14:paraId="3E33F438" w14:textId="77777777" w:rsidR="00B344C8" w:rsidRPr="009B184E" w:rsidRDefault="00B344C8" w:rsidP="00B344C8">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ES_tradnl"/>
        </w:rPr>
      </w:pPr>
    </w:p>
    <w:p w14:paraId="3BD11FD7" w14:textId="0429821C" w:rsidR="00816ADF" w:rsidRPr="009B184E" w:rsidRDefault="00816ADF" w:rsidP="0053381E">
      <w:pPr>
        <w:numPr>
          <w:ilvl w:val="0"/>
          <w:numId w:val="55"/>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ES_tradnl"/>
        </w:rPr>
      </w:pPr>
      <w:r w:rsidRPr="009B184E">
        <w:rPr>
          <w:rFonts w:asciiTheme="majorHAnsi" w:hAnsiTheme="majorHAnsi" w:cs="Calibri"/>
          <w:sz w:val="20"/>
          <w:szCs w:val="20"/>
          <w:lang w:val="es-ES_tradnl"/>
        </w:rPr>
        <w:t xml:space="preserve">Respecto a los alegatos del Estado </w:t>
      </w:r>
      <w:r w:rsidR="003A507B" w:rsidRPr="009B184E">
        <w:rPr>
          <w:rFonts w:asciiTheme="majorHAnsi" w:hAnsiTheme="majorHAnsi" w:cs="Calibri"/>
          <w:sz w:val="20"/>
          <w:szCs w:val="20"/>
          <w:lang w:val="es-ES_tradnl"/>
        </w:rPr>
        <w:t>sobre la llamada “</w:t>
      </w:r>
      <w:r w:rsidRPr="009B184E">
        <w:rPr>
          <w:rFonts w:asciiTheme="majorHAnsi" w:hAnsiTheme="majorHAnsi" w:cs="Calibri"/>
          <w:sz w:val="20"/>
          <w:szCs w:val="20"/>
          <w:lang w:val="es-ES_tradnl"/>
        </w:rPr>
        <w:t xml:space="preserve">fórmula de </w:t>
      </w:r>
      <w:r w:rsidR="003A507B" w:rsidRPr="009B184E">
        <w:rPr>
          <w:rFonts w:asciiTheme="majorHAnsi" w:hAnsiTheme="majorHAnsi" w:cs="Calibri"/>
          <w:sz w:val="20"/>
          <w:szCs w:val="20"/>
          <w:lang w:val="es-ES_tradnl"/>
        </w:rPr>
        <w:t xml:space="preserve">la </w:t>
      </w:r>
      <w:r w:rsidRPr="009B184E">
        <w:rPr>
          <w:rFonts w:asciiTheme="majorHAnsi" w:hAnsiTheme="majorHAnsi" w:cs="Calibri"/>
          <w:sz w:val="20"/>
          <w:szCs w:val="20"/>
          <w:lang w:val="es-ES_tradnl"/>
        </w:rPr>
        <w:t>cuarta instancia</w:t>
      </w:r>
      <w:r w:rsidR="003A507B" w:rsidRPr="009B184E">
        <w:rPr>
          <w:rFonts w:asciiTheme="majorHAnsi" w:hAnsiTheme="majorHAnsi" w:cs="Calibri"/>
          <w:sz w:val="20"/>
          <w:szCs w:val="20"/>
          <w:lang w:val="es-ES_tradnl"/>
        </w:rPr>
        <w:t>”</w:t>
      </w:r>
      <w:r w:rsidRPr="009B184E">
        <w:rPr>
          <w:rFonts w:asciiTheme="majorHAnsi" w:hAnsiTheme="majorHAnsi" w:cs="Calibri"/>
          <w:sz w:val="20"/>
          <w:szCs w:val="20"/>
          <w:lang w:val="es-ES_tradnl"/>
        </w:rPr>
        <w:t xml:space="preserve">, la Comisión </w:t>
      </w:r>
      <w:r w:rsidR="003A507B" w:rsidRPr="009B184E">
        <w:rPr>
          <w:rFonts w:asciiTheme="majorHAnsi" w:hAnsiTheme="majorHAnsi" w:cs="Calibri"/>
          <w:sz w:val="20"/>
          <w:szCs w:val="20"/>
          <w:lang w:val="es-ES_tradnl"/>
        </w:rPr>
        <w:t xml:space="preserve">Interamericana </w:t>
      </w:r>
      <w:r w:rsidRPr="009B184E">
        <w:rPr>
          <w:rFonts w:asciiTheme="majorHAnsi" w:hAnsiTheme="majorHAnsi" w:cs="Calibri"/>
          <w:sz w:val="20"/>
          <w:szCs w:val="20"/>
          <w:lang w:val="es-ES_tradnl"/>
        </w:rPr>
        <w:t xml:space="preserve">observa que al admitir esta petición no pretende suplantar la competencia de las autoridades judiciales </w:t>
      </w:r>
      <w:r w:rsidR="00B344C8">
        <w:rPr>
          <w:rFonts w:asciiTheme="majorHAnsi" w:hAnsiTheme="majorHAnsi" w:cs="Calibri"/>
          <w:sz w:val="20"/>
          <w:szCs w:val="20"/>
          <w:lang w:val="es-ES_tradnl"/>
        </w:rPr>
        <w:t>nacionales</w:t>
      </w:r>
      <w:r w:rsidRPr="009B184E">
        <w:rPr>
          <w:rFonts w:asciiTheme="majorHAnsi" w:hAnsiTheme="majorHAnsi" w:cs="Calibri"/>
          <w:sz w:val="20"/>
          <w:szCs w:val="20"/>
          <w:lang w:val="es-ES_tradnl"/>
        </w:rPr>
        <w:t>. Sin embargo, sí es competente para declarar admisible una petición y fallar sobre su fundamento cuando la sentencia impugnada pued</w:t>
      </w:r>
      <w:r w:rsidR="00B344C8">
        <w:rPr>
          <w:rFonts w:asciiTheme="majorHAnsi" w:hAnsiTheme="majorHAnsi" w:cs="Calibri"/>
          <w:sz w:val="20"/>
          <w:szCs w:val="20"/>
          <w:lang w:val="es-ES_tradnl"/>
        </w:rPr>
        <w:t>a</w:t>
      </w:r>
      <w:r w:rsidRPr="009B184E">
        <w:rPr>
          <w:rFonts w:asciiTheme="majorHAnsi" w:hAnsiTheme="majorHAnsi" w:cs="Calibri"/>
          <w:sz w:val="20"/>
          <w:szCs w:val="20"/>
          <w:lang w:val="es-ES_tradnl"/>
        </w:rPr>
        <w:t>, materialmente, afectar cualquier derecho garantizado por la Convención Americana</w:t>
      </w:r>
      <w:r w:rsidRPr="009B184E">
        <w:rPr>
          <w:rStyle w:val="FootnoteReference"/>
          <w:rFonts w:asciiTheme="majorHAnsi" w:hAnsiTheme="majorHAnsi" w:cs="Calibri"/>
          <w:sz w:val="20"/>
          <w:szCs w:val="20"/>
          <w:lang w:val="es-ES_tradnl"/>
        </w:rPr>
        <w:footnoteReference w:id="14"/>
      </w:r>
      <w:r w:rsidRPr="009B184E">
        <w:rPr>
          <w:rFonts w:asciiTheme="majorHAnsi" w:hAnsiTheme="majorHAnsi" w:cs="Calibri"/>
          <w:sz w:val="20"/>
          <w:szCs w:val="20"/>
          <w:lang w:val="es-ES_tradnl"/>
        </w:rPr>
        <w:t>.</w:t>
      </w:r>
    </w:p>
    <w:p w14:paraId="7EA41579" w14:textId="77777777" w:rsidR="004F20FE" w:rsidRDefault="004F20FE" w:rsidP="00232A51">
      <w:pPr>
        <w:pStyle w:val="ListParagraph"/>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6148"/>
        </w:tabs>
        <w:jc w:val="both"/>
        <w:rPr>
          <w:rFonts w:asciiTheme="majorHAnsi" w:hAnsiTheme="majorHAnsi"/>
          <w:b/>
          <w:bCs/>
          <w:sz w:val="20"/>
          <w:szCs w:val="20"/>
          <w:lang w:val="es-ES_tradnl"/>
        </w:rPr>
      </w:pPr>
    </w:p>
    <w:p w14:paraId="7DA9D820" w14:textId="77777777" w:rsidR="008A0839" w:rsidRDefault="008A0839" w:rsidP="00232A51">
      <w:pPr>
        <w:pStyle w:val="ListParagraph"/>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6148"/>
        </w:tabs>
        <w:jc w:val="both"/>
        <w:rPr>
          <w:rFonts w:asciiTheme="majorHAnsi" w:hAnsiTheme="majorHAnsi"/>
          <w:b/>
          <w:bCs/>
          <w:sz w:val="20"/>
          <w:szCs w:val="20"/>
          <w:lang w:val="es-ES_tradnl"/>
        </w:rPr>
      </w:pPr>
    </w:p>
    <w:p w14:paraId="60BF5E75" w14:textId="2C66C53F" w:rsidR="00816ADF" w:rsidRPr="009B184E" w:rsidRDefault="00816ADF" w:rsidP="00232A51">
      <w:pPr>
        <w:pStyle w:val="ListParagraph"/>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6148"/>
        </w:tabs>
        <w:jc w:val="both"/>
        <w:rPr>
          <w:rFonts w:asciiTheme="majorHAnsi" w:hAnsiTheme="majorHAnsi"/>
          <w:b/>
          <w:bCs/>
          <w:sz w:val="20"/>
          <w:szCs w:val="20"/>
          <w:lang w:val="es-ES_tradnl"/>
        </w:rPr>
      </w:pPr>
      <w:r w:rsidRPr="009B184E">
        <w:rPr>
          <w:rFonts w:asciiTheme="majorHAnsi" w:hAnsiTheme="majorHAnsi"/>
          <w:b/>
          <w:bCs/>
          <w:sz w:val="20"/>
          <w:szCs w:val="20"/>
          <w:lang w:val="es-ES_tradnl"/>
        </w:rPr>
        <w:lastRenderedPageBreak/>
        <w:t xml:space="preserve">VIII. </w:t>
      </w:r>
      <w:r w:rsidRPr="009B184E">
        <w:rPr>
          <w:rFonts w:asciiTheme="majorHAnsi" w:hAnsiTheme="majorHAnsi"/>
          <w:b/>
          <w:bCs/>
          <w:sz w:val="20"/>
          <w:szCs w:val="20"/>
          <w:lang w:val="es-ES_tradnl"/>
        </w:rPr>
        <w:tab/>
        <w:t>DECISIÓN</w:t>
      </w:r>
      <w:r w:rsidRPr="009B184E">
        <w:rPr>
          <w:rFonts w:asciiTheme="majorHAnsi" w:hAnsiTheme="majorHAnsi"/>
          <w:b/>
          <w:bCs/>
          <w:sz w:val="20"/>
          <w:szCs w:val="20"/>
          <w:lang w:val="es-ES_tradnl"/>
        </w:rPr>
        <w:tab/>
      </w:r>
    </w:p>
    <w:p w14:paraId="657B2BCF" w14:textId="77777777" w:rsidR="007C7F72" w:rsidRPr="009B184E" w:rsidRDefault="007C7F72" w:rsidP="007C7F72">
      <w:pPr>
        <w:pBdr>
          <w:top w:val="none" w:sz="0" w:space="0" w:color="auto"/>
          <w:left w:val="none" w:sz="0" w:space="0" w:color="auto"/>
          <w:bottom w:val="none" w:sz="0" w:space="0" w:color="auto"/>
          <w:right w:val="none" w:sz="0" w:space="0" w:color="auto"/>
          <w:bar w:val="none" w:sz="0" w:color="auto"/>
        </w:pBdr>
        <w:suppressAutoHyphens/>
        <w:ind w:left="720"/>
        <w:jc w:val="both"/>
        <w:rPr>
          <w:rFonts w:asciiTheme="majorHAnsi" w:hAnsiTheme="majorHAnsi"/>
          <w:sz w:val="20"/>
          <w:szCs w:val="20"/>
          <w:lang w:val="es-ES_tradnl"/>
        </w:rPr>
      </w:pPr>
    </w:p>
    <w:p w14:paraId="2897A92A" w14:textId="3AC3C383" w:rsidR="00816ADF" w:rsidRPr="009B184E" w:rsidRDefault="00816ADF" w:rsidP="0053381E">
      <w:pPr>
        <w:numPr>
          <w:ilvl w:val="0"/>
          <w:numId w:val="56"/>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ES_tradnl"/>
        </w:rPr>
      </w:pPr>
      <w:r w:rsidRPr="009B184E">
        <w:rPr>
          <w:rFonts w:asciiTheme="majorHAnsi" w:hAnsiTheme="majorHAnsi"/>
          <w:sz w:val="20"/>
          <w:szCs w:val="20"/>
          <w:lang w:val="es-ES_tradnl"/>
        </w:rPr>
        <w:t xml:space="preserve">Declarar admisible la presente petición con respecto a los artículos 8, 9, 21, 24, 25 y </w:t>
      </w:r>
      <w:r w:rsidR="00D1519C" w:rsidRPr="009B184E">
        <w:rPr>
          <w:rFonts w:asciiTheme="majorHAnsi" w:hAnsiTheme="majorHAnsi"/>
          <w:sz w:val="20"/>
          <w:szCs w:val="20"/>
          <w:lang w:val="es-ES_tradnl"/>
        </w:rPr>
        <w:t>26 de</w:t>
      </w:r>
      <w:r w:rsidRPr="009B184E">
        <w:rPr>
          <w:rFonts w:asciiTheme="majorHAnsi" w:hAnsiTheme="majorHAnsi"/>
          <w:sz w:val="20"/>
          <w:szCs w:val="20"/>
          <w:lang w:val="es-ES_tradnl"/>
        </w:rPr>
        <w:t xml:space="preserve"> la Convención Americana en relación con sus artículos 1.1. y 2</w:t>
      </w:r>
      <w:r w:rsidR="00B43EC2">
        <w:rPr>
          <w:rFonts w:asciiTheme="majorHAnsi" w:hAnsiTheme="majorHAnsi"/>
          <w:sz w:val="20"/>
          <w:szCs w:val="20"/>
          <w:lang w:val="es-ES_tradnl"/>
        </w:rPr>
        <w:t>;</w:t>
      </w:r>
    </w:p>
    <w:p w14:paraId="301305B8" w14:textId="77777777" w:rsidR="007C7F72" w:rsidRPr="009B184E" w:rsidRDefault="007C7F72" w:rsidP="007C7F72">
      <w:pPr>
        <w:pBdr>
          <w:top w:val="none" w:sz="0" w:space="0" w:color="auto"/>
          <w:left w:val="none" w:sz="0" w:space="0" w:color="auto"/>
          <w:bottom w:val="none" w:sz="0" w:space="0" w:color="auto"/>
          <w:right w:val="none" w:sz="0" w:space="0" w:color="auto"/>
          <w:bar w:val="none" w:sz="0" w:color="auto"/>
        </w:pBdr>
        <w:suppressAutoHyphens/>
        <w:ind w:left="720"/>
        <w:jc w:val="both"/>
        <w:rPr>
          <w:rFonts w:asciiTheme="majorHAnsi" w:hAnsiTheme="majorHAnsi"/>
          <w:color w:val="000000"/>
          <w:sz w:val="20"/>
          <w:szCs w:val="20"/>
          <w:lang w:val="es-ES_tradnl"/>
        </w:rPr>
      </w:pPr>
    </w:p>
    <w:p w14:paraId="5D4170FF" w14:textId="2F27D231" w:rsidR="00816ADF" w:rsidRPr="009B184E" w:rsidRDefault="00816ADF" w:rsidP="0053381E">
      <w:pPr>
        <w:numPr>
          <w:ilvl w:val="0"/>
          <w:numId w:val="56"/>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color w:val="000000"/>
          <w:sz w:val="20"/>
          <w:szCs w:val="20"/>
          <w:lang w:val="es-ES_tradnl"/>
        </w:rPr>
      </w:pPr>
      <w:r w:rsidRPr="009B184E">
        <w:rPr>
          <w:rFonts w:asciiTheme="majorHAnsi" w:hAnsiTheme="majorHAnsi"/>
          <w:sz w:val="20"/>
          <w:szCs w:val="20"/>
          <w:lang w:val="es-ES_tradnl"/>
        </w:rPr>
        <w:t>Declarar inadmisible la presente petición con respecto a los artículos 4 y 17 de la Convención Americana</w:t>
      </w:r>
      <w:r w:rsidR="00B43EC2">
        <w:rPr>
          <w:rFonts w:asciiTheme="majorHAnsi" w:hAnsiTheme="majorHAnsi"/>
          <w:sz w:val="20"/>
          <w:szCs w:val="20"/>
          <w:lang w:val="es-ES_tradnl"/>
        </w:rPr>
        <w:t>, y;</w:t>
      </w:r>
    </w:p>
    <w:p w14:paraId="722FA50B" w14:textId="77777777" w:rsidR="007C7F72" w:rsidRPr="009B184E" w:rsidRDefault="007C7F72" w:rsidP="007C7F72">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color w:val="000000"/>
          <w:sz w:val="20"/>
          <w:szCs w:val="20"/>
          <w:lang w:val="es-ES_tradnl"/>
        </w:rPr>
      </w:pPr>
    </w:p>
    <w:p w14:paraId="46086603" w14:textId="77777777" w:rsidR="00861289" w:rsidRPr="00861289" w:rsidRDefault="00816ADF" w:rsidP="00C00643">
      <w:pPr>
        <w:numPr>
          <w:ilvl w:val="0"/>
          <w:numId w:val="56"/>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cs="Arial"/>
          <w:noProof/>
          <w:spacing w:val="-2"/>
          <w:sz w:val="20"/>
          <w:szCs w:val="20"/>
          <w:lang w:val="es-CL"/>
        </w:rPr>
      </w:pPr>
      <w:r w:rsidRPr="00861289">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bookmarkStart w:id="1" w:name="_Hlk89320357"/>
    </w:p>
    <w:p w14:paraId="33C2BC28" w14:textId="77777777" w:rsidR="00861289" w:rsidRDefault="00861289" w:rsidP="00861289">
      <w:pPr>
        <w:pBdr>
          <w:top w:val="none" w:sz="0" w:space="0" w:color="auto"/>
          <w:left w:val="none" w:sz="0" w:space="0" w:color="auto"/>
          <w:bottom w:val="none" w:sz="0" w:space="0" w:color="auto"/>
          <w:right w:val="none" w:sz="0" w:space="0" w:color="auto"/>
          <w:bar w:val="none" w:sz="0" w:color="auto"/>
        </w:pBdr>
        <w:suppressAutoHyphens/>
        <w:ind w:left="720"/>
        <w:jc w:val="both"/>
        <w:rPr>
          <w:rFonts w:asciiTheme="majorHAnsi" w:hAnsiTheme="majorHAnsi" w:cs="Arial"/>
          <w:noProof/>
          <w:spacing w:val="-2"/>
          <w:sz w:val="20"/>
          <w:szCs w:val="20"/>
          <w:lang w:val="es-CL"/>
        </w:rPr>
      </w:pPr>
    </w:p>
    <w:p w14:paraId="072E5CAE" w14:textId="7BC7538A" w:rsidR="003C719A" w:rsidRDefault="00B43EC2" w:rsidP="003C719A">
      <w:pPr>
        <w:pBdr>
          <w:top w:val="none" w:sz="0" w:space="0" w:color="auto"/>
          <w:left w:val="none" w:sz="0" w:space="0" w:color="auto"/>
          <w:bottom w:val="none" w:sz="0" w:space="0" w:color="auto"/>
          <w:right w:val="none" w:sz="0" w:space="0" w:color="auto"/>
          <w:bar w:val="none" w:sz="0" w:color="auto"/>
        </w:pBdr>
        <w:suppressAutoHyphens/>
        <w:ind w:firstLine="720"/>
        <w:jc w:val="both"/>
        <w:rPr>
          <w:rFonts w:asciiTheme="majorHAnsi" w:hAnsiTheme="majorHAnsi" w:cs="Arial"/>
          <w:noProof/>
          <w:sz w:val="20"/>
          <w:szCs w:val="20"/>
          <w:lang w:val="es-CL"/>
        </w:rPr>
      </w:pPr>
      <w:r w:rsidRPr="00861289">
        <w:rPr>
          <w:rFonts w:asciiTheme="majorHAnsi" w:hAnsiTheme="majorHAnsi" w:cs="Arial"/>
          <w:noProof/>
          <w:spacing w:val="-2"/>
          <w:sz w:val="20"/>
          <w:szCs w:val="20"/>
          <w:lang w:val="es-CL"/>
        </w:rPr>
        <w:t xml:space="preserve">Aprobado por la Comisión Interamericana de Derechos Humanos  a los </w:t>
      </w:r>
      <w:r w:rsidR="00644230">
        <w:rPr>
          <w:rFonts w:asciiTheme="majorHAnsi" w:hAnsiTheme="majorHAnsi" w:cs="Arial"/>
          <w:noProof/>
          <w:spacing w:val="-2"/>
          <w:sz w:val="20"/>
          <w:szCs w:val="20"/>
          <w:lang w:val="es-CL"/>
        </w:rPr>
        <w:t>3</w:t>
      </w:r>
      <w:r w:rsidRPr="00861289">
        <w:rPr>
          <w:rFonts w:asciiTheme="majorHAnsi" w:hAnsiTheme="majorHAnsi" w:cs="Arial"/>
          <w:noProof/>
          <w:spacing w:val="-2"/>
          <w:sz w:val="20"/>
          <w:szCs w:val="20"/>
          <w:lang w:val="es-CL"/>
        </w:rPr>
        <w:t xml:space="preserve">1 días del mes de diciembre de 2021.  </w:t>
      </w:r>
      <w:bookmarkEnd w:id="1"/>
      <w:r w:rsidR="003C719A" w:rsidRPr="00A37B82">
        <w:rPr>
          <w:rFonts w:asciiTheme="majorHAnsi" w:hAnsiTheme="majorHAnsi" w:cs="Arial"/>
          <w:noProof/>
          <w:spacing w:val="-2"/>
          <w:sz w:val="20"/>
          <w:szCs w:val="20"/>
          <w:lang w:val="es-CL"/>
        </w:rPr>
        <w:t xml:space="preserve">(Firmado): </w:t>
      </w:r>
      <w:r w:rsidR="003C719A">
        <w:rPr>
          <w:rFonts w:asciiTheme="majorHAnsi" w:hAnsiTheme="majorHAnsi" w:cs="Arial"/>
          <w:noProof/>
          <w:spacing w:val="-2"/>
          <w:sz w:val="20"/>
          <w:szCs w:val="20"/>
          <w:lang w:val="es-CL"/>
        </w:rPr>
        <w:t xml:space="preserve">Antonia Urrejola, Presidenta; Julissa Mantilla Falcón, Primera Vicepresidenta; </w:t>
      </w:r>
      <w:r w:rsidR="003C719A" w:rsidRPr="00FE6D56">
        <w:rPr>
          <w:rFonts w:asciiTheme="majorHAnsi" w:hAnsiTheme="majorHAnsi" w:cs="Arial"/>
          <w:noProof/>
          <w:spacing w:val="-2"/>
          <w:sz w:val="20"/>
          <w:szCs w:val="20"/>
          <w:lang w:val="es-CL"/>
        </w:rPr>
        <w:t>Esmeralda E. Arosem</w:t>
      </w:r>
      <w:r w:rsidR="003C719A">
        <w:rPr>
          <w:rFonts w:asciiTheme="majorHAnsi" w:hAnsiTheme="majorHAnsi" w:cs="Arial"/>
          <w:noProof/>
          <w:spacing w:val="-2"/>
          <w:sz w:val="20"/>
          <w:szCs w:val="20"/>
          <w:lang w:val="es-CL"/>
        </w:rPr>
        <w:t>en</w:t>
      </w:r>
      <w:r w:rsidR="003C719A" w:rsidRPr="00FE6D56">
        <w:rPr>
          <w:rFonts w:asciiTheme="majorHAnsi" w:hAnsiTheme="majorHAnsi" w:cs="Arial"/>
          <w:noProof/>
          <w:spacing w:val="-2"/>
          <w:sz w:val="20"/>
          <w:szCs w:val="20"/>
          <w:lang w:val="es-CL"/>
        </w:rPr>
        <w:t>a Bernal de Troitiño</w:t>
      </w:r>
      <w:r w:rsidR="003C719A">
        <w:rPr>
          <w:rFonts w:asciiTheme="majorHAnsi" w:hAnsiTheme="majorHAnsi" w:cs="Arial"/>
          <w:noProof/>
          <w:spacing w:val="-2"/>
          <w:sz w:val="20"/>
          <w:szCs w:val="20"/>
          <w:lang w:val="es-CL"/>
        </w:rPr>
        <w:t xml:space="preserve">, Joel Hernández  y Stuardo Ralón Orellana, </w:t>
      </w:r>
      <w:r w:rsidR="003C719A" w:rsidRPr="00A37B82">
        <w:rPr>
          <w:rFonts w:asciiTheme="majorHAnsi" w:hAnsiTheme="majorHAnsi" w:cs="Arial"/>
          <w:noProof/>
          <w:spacing w:val="-2"/>
          <w:sz w:val="20"/>
          <w:szCs w:val="20"/>
          <w:lang w:val="es-CL"/>
        </w:rPr>
        <w:t>Miembros de la Comisión.</w:t>
      </w:r>
      <w:r w:rsidR="003C719A" w:rsidRPr="00A37B82">
        <w:rPr>
          <w:rFonts w:asciiTheme="majorHAnsi" w:hAnsiTheme="majorHAnsi" w:cs="Arial"/>
          <w:noProof/>
          <w:sz w:val="20"/>
          <w:szCs w:val="20"/>
          <w:lang w:val="es-CL"/>
        </w:rPr>
        <w:t xml:space="preserve"> </w:t>
      </w:r>
    </w:p>
    <w:p w14:paraId="3A7D80EA" w14:textId="77777777" w:rsidR="003C719A" w:rsidRDefault="003C719A" w:rsidP="003C719A">
      <w:pPr>
        <w:pBdr>
          <w:top w:val="none" w:sz="0" w:space="0" w:color="auto"/>
          <w:left w:val="none" w:sz="0" w:space="0" w:color="auto"/>
          <w:bottom w:val="none" w:sz="0" w:space="0" w:color="auto"/>
          <w:right w:val="none" w:sz="0" w:space="0" w:color="auto"/>
          <w:bar w:val="none" w:sz="0" w:color="auto"/>
        </w:pBdr>
        <w:suppressAutoHyphens/>
        <w:ind w:firstLine="720"/>
        <w:jc w:val="both"/>
        <w:rPr>
          <w:rFonts w:asciiTheme="majorHAnsi" w:hAnsiTheme="majorHAnsi" w:cs="Arial"/>
          <w:noProof/>
          <w:sz w:val="20"/>
          <w:szCs w:val="20"/>
          <w:lang w:val="es-CL"/>
        </w:rPr>
      </w:pPr>
    </w:p>
    <w:p w14:paraId="684C9911" w14:textId="69293017" w:rsidR="00B344C8" w:rsidRDefault="00B344C8">
      <w:pPr>
        <w:pBdr>
          <w:top w:val="none" w:sz="0" w:space="0" w:color="auto"/>
          <w:left w:val="none" w:sz="0" w:space="0" w:color="auto"/>
          <w:bottom w:val="none" w:sz="0" w:space="0" w:color="auto"/>
          <w:right w:val="none" w:sz="0" w:space="0" w:color="auto"/>
          <w:bar w:val="none" w:sz="0" w:color="auto"/>
        </w:pBdr>
        <w:rPr>
          <w:rFonts w:asciiTheme="majorHAnsi" w:hAnsiTheme="majorHAnsi"/>
          <w:sz w:val="20"/>
          <w:szCs w:val="20"/>
          <w:lang w:val="es-ES"/>
        </w:rPr>
      </w:pPr>
      <w:r>
        <w:rPr>
          <w:rFonts w:asciiTheme="majorHAnsi" w:hAnsiTheme="majorHAnsi"/>
          <w:sz w:val="20"/>
          <w:szCs w:val="20"/>
          <w:lang w:val="es-ES"/>
        </w:rPr>
        <w:br w:type="page"/>
      </w:r>
    </w:p>
    <w:p w14:paraId="062F8C62" w14:textId="77777777" w:rsidR="00B43EC2" w:rsidRPr="001B1B14" w:rsidRDefault="00B43EC2">
      <w:pPr>
        <w:pBdr>
          <w:top w:val="none" w:sz="0" w:space="0" w:color="auto"/>
          <w:left w:val="none" w:sz="0" w:space="0" w:color="auto"/>
          <w:bottom w:val="none" w:sz="0" w:space="0" w:color="auto"/>
          <w:right w:val="none" w:sz="0" w:space="0" w:color="auto"/>
          <w:bar w:val="none" w:sz="0" w:color="auto"/>
        </w:pBdr>
        <w:rPr>
          <w:rFonts w:asciiTheme="majorHAnsi" w:hAnsiTheme="majorHAnsi"/>
          <w:sz w:val="20"/>
          <w:szCs w:val="20"/>
          <w:lang w:val="es-CL"/>
        </w:rPr>
      </w:pPr>
    </w:p>
    <w:p w14:paraId="0A16822A" w14:textId="5A221355" w:rsidR="00816ADF" w:rsidRPr="008D7286" w:rsidRDefault="00B70C4C" w:rsidP="008D7286">
      <w:pPr>
        <w:pBdr>
          <w:top w:val="none" w:sz="0" w:space="0" w:color="auto"/>
          <w:left w:val="none" w:sz="0" w:space="0" w:color="auto"/>
          <w:bottom w:val="none" w:sz="0" w:space="0" w:color="auto"/>
          <w:right w:val="none" w:sz="0" w:space="0" w:color="auto"/>
          <w:bar w:val="none" w:sz="0" w:color="auto"/>
        </w:pBdr>
        <w:jc w:val="center"/>
        <w:rPr>
          <w:rFonts w:asciiTheme="majorHAnsi" w:hAnsiTheme="majorHAnsi"/>
          <w:sz w:val="20"/>
          <w:szCs w:val="20"/>
          <w:lang w:val="es-ES"/>
        </w:rPr>
      </w:pPr>
      <w:r w:rsidRPr="00E943B1">
        <w:rPr>
          <w:rFonts w:asciiTheme="majorHAnsi" w:hAnsiTheme="majorHAnsi"/>
          <w:b/>
          <w:sz w:val="20"/>
          <w:szCs w:val="20"/>
          <w:lang w:val="es-ES"/>
        </w:rPr>
        <w:t>LISTA DE PRESUNTAS VÍCTIMAS</w:t>
      </w:r>
    </w:p>
    <w:p w14:paraId="409F03B0" w14:textId="77777777" w:rsidR="00B70C4C" w:rsidRPr="00E943B1" w:rsidRDefault="00B70C4C" w:rsidP="00232A51">
      <w:pPr>
        <w:pBdr>
          <w:top w:val="none" w:sz="0" w:space="0" w:color="auto"/>
          <w:left w:val="none" w:sz="0" w:space="0" w:color="auto"/>
          <w:bottom w:val="none" w:sz="0" w:space="0" w:color="auto"/>
          <w:right w:val="none" w:sz="0" w:space="0" w:color="auto"/>
          <w:bar w:val="none" w:sz="0" w:color="auto"/>
        </w:pBdr>
        <w:suppressAutoHyphens/>
        <w:rPr>
          <w:rFonts w:asciiTheme="majorHAnsi" w:hAnsiTheme="majorHAnsi"/>
          <w:b/>
          <w:sz w:val="20"/>
          <w:szCs w:val="20"/>
          <w:lang w:val="es-ES"/>
        </w:rPr>
      </w:pPr>
    </w:p>
    <w:p w14:paraId="3617F643" w14:textId="77777777" w:rsidR="00A06312" w:rsidRPr="00E943B1" w:rsidRDefault="00A06312"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Ramón Aguilar De Freire</w:t>
      </w:r>
    </w:p>
    <w:p w14:paraId="252C56C1" w14:textId="77777777" w:rsidR="00C44576" w:rsidRPr="00E943B1" w:rsidRDefault="00C44576"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Dora Palma Aguirre de Gómez</w:t>
      </w:r>
    </w:p>
    <w:p w14:paraId="05619571" w14:textId="77777777" w:rsidR="00B70C4C" w:rsidRPr="00E943B1" w:rsidRDefault="00B70C4C"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Carlos Fortunato Alvarado</w:t>
      </w:r>
    </w:p>
    <w:p w14:paraId="700CCF2C" w14:textId="77777777" w:rsidR="00B70C4C" w:rsidRPr="00E943B1" w:rsidRDefault="00B70C4C"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Roberto Arnoldo Arenas</w:t>
      </w:r>
    </w:p>
    <w:p w14:paraId="3C2F03F8" w14:textId="77777777" w:rsidR="00123DE0" w:rsidRPr="00E943B1" w:rsidRDefault="00123DE0" w:rsidP="00123DE0">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ES"/>
        </w:rPr>
      </w:pPr>
      <w:r w:rsidRPr="00E943B1">
        <w:rPr>
          <w:rFonts w:asciiTheme="majorHAnsi" w:hAnsiTheme="majorHAnsi"/>
          <w:sz w:val="20"/>
          <w:szCs w:val="20"/>
          <w:lang w:val="es-ES"/>
        </w:rPr>
        <w:t>Benedicta Avendaño de Ogalde</w:t>
      </w:r>
    </w:p>
    <w:p w14:paraId="5AD3D394" w14:textId="77777777" w:rsidR="00C44576" w:rsidRPr="00E943B1" w:rsidRDefault="00C44576"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Luis Mario Avendaño</w:t>
      </w:r>
    </w:p>
    <w:p w14:paraId="70C8DC44" w14:textId="77777777" w:rsidR="00B70C4C" w:rsidRPr="00E943B1" w:rsidRDefault="00B70C4C"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Doralía Báez de Svrsek</w:t>
      </w:r>
    </w:p>
    <w:p w14:paraId="2B83952A" w14:textId="77777777" w:rsidR="00A06312" w:rsidRPr="00E943B1" w:rsidRDefault="00A06312"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Rafael Antonio Becerra</w:t>
      </w:r>
    </w:p>
    <w:p w14:paraId="1986B4FF" w14:textId="77777777" w:rsidR="00C44576" w:rsidRPr="00E943B1" w:rsidRDefault="00C44576"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José Félix Bellino</w:t>
      </w:r>
    </w:p>
    <w:p w14:paraId="14439372" w14:textId="77777777" w:rsidR="00A06312" w:rsidRPr="00E943B1" w:rsidRDefault="00A06312"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Alejandro Agustín Bernal Silva</w:t>
      </w:r>
    </w:p>
    <w:p w14:paraId="63C27C82" w14:textId="77777777" w:rsidR="00B70C4C" w:rsidRPr="00E943B1" w:rsidRDefault="00B70C4C"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Roque Agustín Burgos</w:t>
      </w:r>
    </w:p>
    <w:p w14:paraId="428A1794" w14:textId="77777777" w:rsidR="00B70C4C" w:rsidRPr="00E943B1" w:rsidRDefault="00B70C4C"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Lucia Calderón de Videla</w:t>
      </w:r>
    </w:p>
    <w:p w14:paraId="07DF0937" w14:textId="77777777" w:rsidR="00A06312" w:rsidRPr="00E943B1" w:rsidRDefault="00A06312"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Duilio Roger Cano</w:t>
      </w:r>
    </w:p>
    <w:p w14:paraId="483BFAA7" w14:textId="77777777" w:rsidR="00A06312" w:rsidRPr="00E943B1" w:rsidRDefault="00A06312"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Roberto Agenor Cano</w:t>
      </w:r>
    </w:p>
    <w:p w14:paraId="5196B780" w14:textId="77777777" w:rsidR="00A06312" w:rsidRPr="00E943B1" w:rsidRDefault="00A06312"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Juan Carlos Carril</w:t>
      </w:r>
    </w:p>
    <w:p w14:paraId="15A68505" w14:textId="77777777" w:rsidR="00A06312" w:rsidRPr="00E943B1" w:rsidRDefault="00A06312"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Carlos Carzon Elorza</w:t>
      </w:r>
    </w:p>
    <w:p w14:paraId="3AC12205" w14:textId="77777777" w:rsidR="00A06312" w:rsidRPr="00E943B1" w:rsidRDefault="00A06312"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Elena América Chiffet de Dreidemis</w:t>
      </w:r>
    </w:p>
    <w:p w14:paraId="6FC71366" w14:textId="77777777" w:rsidR="00B70C4C" w:rsidRPr="00E943B1" w:rsidRDefault="00B70C4C"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ES"/>
        </w:rPr>
      </w:pPr>
      <w:r w:rsidRPr="00E943B1">
        <w:rPr>
          <w:rFonts w:asciiTheme="majorHAnsi" w:hAnsiTheme="majorHAnsi"/>
          <w:sz w:val="20"/>
          <w:szCs w:val="20"/>
          <w:lang w:val="es-PA"/>
        </w:rPr>
        <w:t>Hilda Cortellezzi de Moyano</w:t>
      </w:r>
      <w:r w:rsidRPr="00E943B1">
        <w:rPr>
          <w:rFonts w:asciiTheme="majorHAnsi" w:hAnsiTheme="majorHAnsi"/>
          <w:sz w:val="20"/>
          <w:szCs w:val="20"/>
          <w:lang w:val="es-ES"/>
        </w:rPr>
        <w:t xml:space="preserve"> </w:t>
      </w:r>
    </w:p>
    <w:p w14:paraId="2512858F" w14:textId="77777777" w:rsidR="00B70C4C" w:rsidRPr="00E943B1" w:rsidRDefault="00B70C4C"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Isidoro Celestino Cortellezzi</w:t>
      </w:r>
    </w:p>
    <w:p w14:paraId="2C1E50EC" w14:textId="77777777" w:rsidR="00C44576" w:rsidRPr="00E943B1" w:rsidRDefault="00C44576"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Iris Cerioni de Bergamaschi</w:t>
      </w:r>
    </w:p>
    <w:p w14:paraId="25266258" w14:textId="77777777" w:rsidR="00B70C4C" w:rsidRPr="00E943B1" w:rsidRDefault="00B70C4C"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Vicente D’Agostino</w:t>
      </w:r>
    </w:p>
    <w:p w14:paraId="2178351D" w14:textId="3402F03D" w:rsidR="00B70C4C" w:rsidRPr="00E943B1" w:rsidRDefault="00B70C4C"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ES"/>
        </w:rPr>
      </w:pPr>
      <w:r w:rsidRPr="00E943B1">
        <w:rPr>
          <w:rFonts w:asciiTheme="majorHAnsi" w:hAnsiTheme="majorHAnsi"/>
          <w:sz w:val="20"/>
          <w:szCs w:val="20"/>
          <w:lang w:val="es-PA"/>
        </w:rPr>
        <w:t>Hilda Rosario Filomena de Primio de Carubin</w:t>
      </w:r>
      <w:r w:rsidRPr="00E943B1">
        <w:rPr>
          <w:rFonts w:asciiTheme="majorHAnsi" w:hAnsiTheme="majorHAnsi"/>
          <w:sz w:val="20"/>
          <w:szCs w:val="20"/>
          <w:lang w:val="es-ES"/>
        </w:rPr>
        <w:t xml:space="preserve"> </w:t>
      </w:r>
    </w:p>
    <w:p w14:paraId="2748C205" w14:textId="77777777" w:rsidR="00B70C4C" w:rsidRPr="00E943B1" w:rsidRDefault="00B70C4C"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Pedro Manuel Dicesare</w:t>
      </w:r>
    </w:p>
    <w:p w14:paraId="0F0084E3" w14:textId="77777777" w:rsidR="00C44576" w:rsidRPr="00E943B1" w:rsidRDefault="00C44576"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Domingo Estanislao Fernández</w:t>
      </w:r>
    </w:p>
    <w:p w14:paraId="5576E735" w14:textId="77777777" w:rsidR="00B70C4C" w:rsidRPr="00E943B1" w:rsidRDefault="00B70C4C"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Jorge Plutarco Flores</w:t>
      </w:r>
    </w:p>
    <w:p w14:paraId="006426C3" w14:textId="77777777" w:rsidR="00A06312" w:rsidRPr="00E943B1" w:rsidRDefault="00A06312"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Armando Florido</w:t>
      </w:r>
    </w:p>
    <w:p w14:paraId="5014BAD9" w14:textId="77777777" w:rsidR="00B70C4C" w:rsidRPr="00E943B1" w:rsidRDefault="00B70C4C"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Irma Carlota Freixas de Gutiérrez de Castillo</w:t>
      </w:r>
    </w:p>
    <w:p w14:paraId="05124EB3" w14:textId="77777777" w:rsidR="00A06312" w:rsidRPr="00E943B1" w:rsidRDefault="00A06312"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María Justa Frías de Iturralde</w:t>
      </w:r>
    </w:p>
    <w:p w14:paraId="2E0D86C6" w14:textId="77777777" w:rsidR="00B70C4C" w:rsidRPr="00E943B1" w:rsidRDefault="00B70C4C"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Juan Manuel García</w:t>
      </w:r>
    </w:p>
    <w:p w14:paraId="2BA6B0C9" w14:textId="77777777" w:rsidR="00A06312" w:rsidRPr="00E943B1" w:rsidRDefault="00A06312"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Alejandro Noé Garro</w:t>
      </w:r>
    </w:p>
    <w:p w14:paraId="4E537199" w14:textId="77777777" w:rsidR="00C44576" w:rsidRPr="00E943B1" w:rsidRDefault="00C44576"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Blanca Giménez de Pruleti</w:t>
      </w:r>
    </w:p>
    <w:p w14:paraId="642A41CF" w14:textId="77777777" w:rsidR="00B70C4C" w:rsidRPr="00E943B1" w:rsidRDefault="00B70C4C"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Francisco Gómez Sáa</w:t>
      </w:r>
    </w:p>
    <w:p w14:paraId="4AB739B4" w14:textId="77777777" w:rsidR="00C44576" w:rsidRPr="00E943B1" w:rsidRDefault="00C44576"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 xml:space="preserve">Elio Adolfo Gómez Márquez </w:t>
      </w:r>
    </w:p>
    <w:p w14:paraId="0C993AE5" w14:textId="77777777" w:rsidR="00B70C4C" w:rsidRPr="00E943B1" w:rsidRDefault="00B70C4C"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 xml:space="preserve">Juana Irma González de Tomba </w:t>
      </w:r>
    </w:p>
    <w:p w14:paraId="5F42A777" w14:textId="77777777" w:rsidR="00A06312" w:rsidRPr="00E943B1" w:rsidRDefault="00A06312"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Pedro Felipe Iturgay</w:t>
      </w:r>
    </w:p>
    <w:p w14:paraId="5230D806" w14:textId="77777777" w:rsidR="00A81ADF" w:rsidRPr="00E943B1" w:rsidRDefault="00A81ADF"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Dolores Haydée Jardel</w:t>
      </w:r>
    </w:p>
    <w:p w14:paraId="092BE9FA" w14:textId="77777777" w:rsidR="00C44576" w:rsidRPr="00E943B1" w:rsidRDefault="00C44576"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Manuel Landas</w:t>
      </w:r>
    </w:p>
    <w:p w14:paraId="54A55F23" w14:textId="77777777" w:rsidR="00C44576" w:rsidRPr="00E943B1" w:rsidRDefault="00C44576"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Nemesia Lasiar de Bezier</w:t>
      </w:r>
    </w:p>
    <w:p w14:paraId="392A066A" w14:textId="77777777" w:rsidR="00A06312" w:rsidRPr="00E943B1" w:rsidRDefault="00A06312"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Juan Carlos Luna</w:t>
      </w:r>
    </w:p>
    <w:p w14:paraId="669CF715" w14:textId="77777777" w:rsidR="00C44576" w:rsidRPr="00E943B1" w:rsidRDefault="00C44576"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Miguel Ángel Mangia</w:t>
      </w:r>
    </w:p>
    <w:p w14:paraId="64F2737F" w14:textId="77777777" w:rsidR="00C44576" w:rsidRPr="00E943B1" w:rsidRDefault="00C44576"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Juan Carlos Mayer</w:t>
      </w:r>
    </w:p>
    <w:p w14:paraId="68EC0B23" w14:textId="77777777" w:rsidR="00C44576" w:rsidRPr="00E943B1" w:rsidRDefault="00C44576"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Leonor Matilde Mathus Hoyos de Funes</w:t>
      </w:r>
    </w:p>
    <w:p w14:paraId="2B985089" w14:textId="77777777" w:rsidR="00C44576" w:rsidRPr="00E943B1" w:rsidRDefault="00C44576"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Cayetano Vicente Oliva</w:t>
      </w:r>
    </w:p>
    <w:p w14:paraId="00DB541D" w14:textId="77777777" w:rsidR="00A06312" w:rsidRPr="00E943B1" w:rsidRDefault="00A06312"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Eduardo Andrés Olivares</w:t>
      </w:r>
    </w:p>
    <w:p w14:paraId="2852F427" w14:textId="77777777" w:rsidR="00B70C4C" w:rsidRPr="00E943B1" w:rsidRDefault="00B70C4C"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Héctor Ricardo Olivares</w:t>
      </w:r>
    </w:p>
    <w:p w14:paraId="29485F3A" w14:textId="77777777" w:rsidR="00C44576" w:rsidRPr="00E943B1" w:rsidRDefault="00C44576"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 xml:space="preserve">Leopoldo José Ortiz </w:t>
      </w:r>
    </w:p>
    <w:p w14:paraId="7201A70A" w14:textId="77777777" w:rsidR="00C44576" w:rsidRPr="00E943B1" w:rsidRDefault="00C44576"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Olimpia D. Paris de Sosa</w:t>
      </w:r>
    </w:p>
    <w:p w14:paraId="224360F2" w14:textId="7BC911E5" w:rsidR="00816ADF" w:rsidRPr="00E943B1" w:rsidRDefault="00816ADF"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Fany Argentina Perrini de Segura</w:t>
      </w:r>
    </w:p>
    <w:p w14:paraId="2EC8CD08" w14:textId="77777777" w:rsidR="00B70C4C" w:rsidRPr="00E943B1" w:rsidRDefault="00B70C4C"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 xml:space="preserve">Salvador Nicolás Puscama </w:t>
      </w:r>
    </w:p>
    <w:p w14:paraId="5DF02776" w14:textId="77777777" w:rsidR="00C44576" w:rsidRPr="00E943B1" w:rsidRDefault="00C44576"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Juan Arsenio Quiroga</w:t>
      </w:r>
    </w:p>
    <w:p w14:paraId="3D9C78B9" w14:textId="77777777" w:rsidR="00C44576" w:rsidRPr="00E943B1" w:rsidRDefault="00C44576"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Domingo Juan Ramos</w:t>
      </w:r>
    </w:p>
    <w:p w14:paraId="7385F3BA" w14:textId="77777777" w:rsidR="00C44576" w:rsidRPr="00E943B1" w:rsidRDefault="00C44576"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Sabina Reyes de Eguía Muñoz</w:t>
      </w:r>
    </w:p>
    <w:p w14:paraId="208813F1" w14:textId="559ACD74" w:rsidR="00B70C4C" w:rsidRPr="00E943B1" w:rsidRDefault="00B70C4C"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lastRenderedPageBreak/>
        <w:t>Elsa Luisa Rodríguez</w:t>
      </w:r>
    </w:p>
    <w:p w14:paraId="0C9EAF49" w14:textId="77777777" w:rsidR="00C44576" w:rsidRPr="00E943B1" w:rsidRDefault="00C44576"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María Rodríguez de Coldeira</w:t>
      </w:r>
    </w:p>
    <w:p w14:paraId="591E0C7B" w14:textId="77777777" w:rsidR="00B70C4C" w:rsidRPr="00E943B1" w:rsidRDefault="00B70C4C"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Waldo Rojas</w:t>
      </w:r>
    </w:p>
    <w:p w14:paraId="6FC3450A" w14:textId="77777777" w:rsidR="00C44576" w:rsidRPr="00E943B1" w:rsidRDefault="00C44576"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Ángel Fernando Rosselot</w:t>
      </w:r>
    </w:p>
    <w:p w14:paraId="37F1616A" w14:textId="77777777" w:rsidR="00C44576" w:rsidRPr="00E943B1" w:rsidRDefault="00C44576"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María Sáenz de Correa Llano</w:t>
      </w:r>
    </w:p>
    <w:p w14:paraId="1B6DA1E6" w14:textId="77777777" w:rsidR="00B70C4C" w:rsidRPr="00E943B1" w:rsidRDefault="00B70C4C"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Maria Clara Sirio de Eyherachar</w:t>
      </w:r>
    </w:p>
    <w:p w14:paraId="1B18530F" w14:textId="77777777" w:rsidR="00A06312" w:rsidRPr="00E943B1" w:rsidRDefault="00A06312"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Manuel Herman Toranzo</w:t>
      </w:r>
    </w:p>
    <w:p w14:paraId="7C5BFC1F" w14:textId="77777777" w:rsidR="00B70C4C" w:rsidRPr="00E943B1" w:rsidRDefault="00B70C4C"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Manuel Pedro Torquemada</w:t>
      </w:r>
    </w:p>
    <w:p w14:paraId="7C9C9E5A" w14:textId="77777777" w:rsidR="00B70C4C" w:rsidRPr="00E943B1" w:rsidRDefault="00B70C4C"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 xml:space="preserve">Julia Viola Agüero de Bernard </w:t>
      </w:r>
    </w:p>
    <w:p w14:paraId="707A834C" w14:textId="77777777" w:rsidR="00C44576" w:rsidRPr="00E943B1" w:rsidRDefault="00C44576"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Armando Antonio Videla</w:t>
      </w:r>
    </w:p>
    <w:p w14:paraId="335B337F" w14:textId="77777777" w:rsidR="00C44576" w:rsidRPr="00E943B1" w:rsidRDefault="00C44576"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Mario Ramón Videla</w:t>
      </w:r>
    </w:p>
    <w:p w14:paraId="74689F26" w14:textId="77777777" w:rsidR="00C44576" w:rsidRPr="00E943B1" w:rsidRDefault="00C44576"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María I. Lourdes de Videla Segura</w:t>
      </w:r>
    </w:p>
    <w:p w14:paraId="2F7B674E" w14:textId="77777777" w:rsidR="00A06312" w:rsidRPr="00E943B1" w:rsidRDefault="00A06312"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María Vila de Thomas</w:t>
      </w:r>
    </w:p>
    <w:p w14:paraId="4750079F" w14:textId="2C7416D4" w:rsidR="00816ADF" w:rsidRPr="00E943B1" w:rsidRDefault="00816ADF"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Alba Rosa Vítolo de Priore</w:t>
      </w:r>
    </w:p>
    <w:p w14:paraId="6B3EF556" w14:textId="77777777" w:rsidR="00C44576" w:rsidRPr="00E943B1" w:rsidRDefault="00C44576" w:rsidP="0053381E">
      <w:pPr>
        <w:pStyle w:val="ListParagraph"/>
        <w:numPr>
          <w:ilvl w:val="0"/>
          <w:numId w:val="57"/>
        </w:numPr>
        <w:pBdr>
          <w:top w:val="none" w:sz="0" w:space="0" w:color="auto"/>
          <w:left w:val="none" w:sz="0" w:space="0" w:color="auto"/>
          <w:bottom w:val="none" w:sz="0" w:space="0" w:color="auto"/>
          <w:right w:val="none" w:sz="0" w:space="0" w:color="auto"/>
          <w:bar w:val="none" w:sz="0" w:color="auto"/>
        </w:pBdr>
        <w:suppressAutoHyphens/>
        <w:ind w:hanging="720"/>
        <w:jc w:val="both"/>
        <w:rPr>
          <w:rFonts w:asciiTheme="majorHAnsi" w:hAnsiTheme="majorHAnsi"/>
          <w:sz w:val="20"/>
          <w:szCs w:val="20"/>
          <w:lang w:val="es-PA"/>
        </w:rPr>
      </w:pPr>
      <w:r w:rsidRPr="00E943B1">
        <w:rPr>
          <w:rFonts w:asciiTheme="majorHAnsi" w:hAnsiTheme="majorHAnsi"/>
          <w:sz w:val="20"/>
          <w:szCs w:val="20"/>
          <w:lang w:val="es-PA"/>
        </w:rPr>
        <w:t>Julio Zambroni</w:t>
      </w:r>
    </w:p>
    <w:p w14:paraId="61A73463" w14:textId="77777777" w:rsidR="00816ADF" w:rsidRPr="00E943B1" w:rsidRDefault="00816ADF" w:rsidP="00232A51">
      <w:pPr>
        <w:pBdr>
          <w:top w:val="none" w:sz="0" w:space="0" w:color="auto"/>
          <w:left w:val="none" w:sz="0" w:space="0" w:color="auto"/>
          <w:bottom w:val="none" w:sz="0" w:space="0" w:color="auto"/>
          <w:right w:val="none" w:sz="0" w:space="0" w:color="auto"/>
          <w:bar w:val="none" w:sz="0" w:color="auto"/>
        </w:pBdr>
        <w:rPr>
          <w:rFonts w:asciiTheme="majorHAnsi" w:hAnsiTheme="majorHAnsi" w:cs="Calibri"/>
          <w:sz w:val="20"/>
          <w:szCs w:val="20"/>
          <w:lang w:val="es-ES"/>
        </w:rPr>
      </w:pPr>
    </w:p>
    <w:sectPr w:rsidR="00816ADF" w:rsidRPr="00E943B1" w:rsidSect="00934A2C">
      <w:type w:val="oddPage"/>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E7A19" w14:textId="77777777" w:rsidR="00FB3EF8" w:rsidRDefault="00FB3EF8">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0F151EC9" w14:textId="77777777" w:rsidR="00FB3EF8" w:rsidRDefault="00FB3EF8">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ACF6C" w14:textId="23261331" w:rsidR="00816ADF" w:rsidRPr="00934A2C" w:rsidRDefault="00816ADF">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8201B">
      <w:rPr>
        <w:noProof/>
        <w:sz w:val="16"/>
        <w:szCs w:val="22"/>
      </w:rPr>
      <w:t>1</w:t>
    </w:r>
    <w:r w:rsidRPr="00934A2C">
      <w:rPr>
        <w:sz w:val="16"/>
        <w:szCs w:val="22"/>
      </w:rPr>
      <w:fldChar w:fldCharType="end"/>
    </w:r>
  </w:p>
  <w:p w14:paraId="51341C14" w14:textId="77777777" w:rsidR="00816ADF" w:rsidRDefault="00816ADF">
    <w:pPr>
      <w:pStyle w:val="Footer"/>
      <w:pBdr>
        <w:top w:val="none" w:sz="0" w:space="0" w:color="auto"/>
        <w:left w:val="none" w:sz="0" w:space="0" w:color="auto"/>
        <w:bottom w:val="none" w:sz="0" w:space="0" w:color="auto"/>
        <w:right w:val="none" w:sz="0" w:space="0" w:color="auto"/>
        <w:bar w:val="none" w:sz="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C1F7A" w14:textId="77777777" w:rsidR="00816ADF" w:rsidRPr="00934A2C" w:rsidRDefault="00816ADF">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p>
  <w:p w14:paraId="22807964" w14:textId="77777777" w:rsidR="00816ADF" w:rsidRDefault="00816ADF">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45A75" w14:textId="77777777" w:rsidR="00FB3EF8" w:rsidRPr="000F35ED" w:rsidRDefault="00FB3EF8">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footnote>
  <w:footnote w:type="continuationSeparator" w:id="0">
    <w:p w14:paraId="05E55B8F" w14:textId="77777777" w:rsidR="00FB3EF8" w:rsidRPr="000F35ED" w:rsidRDefault="00FB3EF8" w:rsidP="000F35ED">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p w14:paraId="4AF63632" w14:textId="77777777" w:rsidR="00FB3EF8" w:rsidRPr="000F35ED" w:rsidRDefault="00FB3EF8" w:rsidP="000F35ED">
      <w:pPr>
        <w:pStyle w:val="Footer"/>
        <w:pBdr>
          <w:top w:val="none" w:sz="0" w:space="0" w:color="auto"/>
          <w:left w:val="none" w:sz="0" w:space="0" w:color="auto"/>
          <w:bottom w:val="none" w:sz="0" w:space="0" w:color="auto"/>
          <w:right w:val="none" w:sz="0" w:space="0" w:color="auto"/>
          <w:bar w:val="none" w:sz="0" w:color="auto"/>
        </w:pBdr>
        <w:rPr>
          <w:sz w:val="16"/>
          <w:szCs w:val="16"/>
        </w:rPr>
      </w:pPr>
      <w:r>
        <w:rPr>
          <w:sz w:val="16"/>
          <w:szCs w:val="16"/>
        </w:rPr>
        <w:t xml:space="preserve">[… </w:t>
      </w:r>
      <w:proofErr w:type="spellStart"/>
      <w:r>
        <w:rPr>
          <w:sz w:val="16"/>
          <w:szCs w:val="16"/>
        </w:rPr>
        <w:t>c</w:t>
      </w:r>
      <w:r w:rsidRPr="000F35ED">
        <w:rPr>
          <w:sz w:val="16"/>
          <w:szCs w:val="16"/>
        </w:rPr>
        <w:t>ontinuación</w:t>
      </w:r>
      <w:proofErr w:type="spellEnd"/>
      <w:r>
        <w:rPr>
          <w:sz w:val="16"/>
          <w:szCs w:val="16"/>
        </w:rPr>
        <w:t>]</w:t>
      </w:r>
    </w:p>
  </w:footnote>
  <w:footnote w:type="continuationNotice" w:id="1">
    <w:p w14:paraId="6061E509" w14:textId="77777777" w:rsidR="00FB3EF8" w:rsidRPr="000F35ED" w:rsidRDefault="00FB3EF8" w:rsidP="000F35ED">
      <w:pPr>
        <w:pBdr>
          <w:top w:val="none" w:sz="0" w:space="0" w:color="auto"/>
          <w:left w:val="none" w:sz="0" w:space="0" w:color="auto"/>
          <w:bottom w:val="none" w:sz="0" w:space="0" w:color="auto"/>
          <w:right w:val="none" w:sz="0" w:space="0" w:color="auto"/>
          <w:bar w:val="none" w:sz="0" w:color="auto"/>
        </w:pBdr>
        <w:jc w:val="right"/>
        <w:rPr>
          <w:rFonts w:ascii="Cambria" w:hAnsi="Cambria"/>
          <w:sz w:val="16"/>
          <w:szCs w:val="16"/>
          <w:lang w:val="es-ES"/>
        </w:rPr>
      </w:pPr>
      <w:r>
        <w:rPr>
          <w:rFonts w:ascii="Cambria" w:hAnsi="Cambria"/>
          <w:sz w:val="16"/>
          <w:szCs w:val="16"/>
          <w:lang w:val="es-ES"/>
        </w:rPr>
        <w:t>[c</w:t>
      </w:r>
      <w:r w:rsidRPr="000F35ED">
        <w:rPr>
          <w:rFonts w:ascii="Cambria" w:hAnsi="Cambria"/>
          <w:sz w:val="16"/>
          <w:szCs w:val="16"/>
          <w:lang w:val="es-ES"/>
        </w:rPr>
        <w:t>ontinúa…</w:t>
      </w:r>
      <w:r>
        <w:rPr>
          <w:rFonts w:ascii="Cambria" w:hAnsi="Cambria"/>
          <w:sz w:val="16"/>
          <w:szCs w:val="16"/>
          <w:lang w:val="es-ES"/>
        </w:rPr>
        <w:t>]</w:t>
      </w:r>
    </w:p>
  </w:footnote>
  <w:footnote w:id="2">
    <w:p w14:paraId="1F3C48B4" w14:textId="5BEBC2F0" w:rsidR="00816ADF" w:rsidRPr="008223A7" w:rsidRDefault="00816ADF" w:rsidP="00A1156B">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
        </w:rPr>
      </w:pPr>
      <w:r w:rsidRPr="008223A7">
        <w:rPr>
          <w:rStyle w:val="FootnoteReference"/>
          <w:rFonts w:asciiTheme="majorHAnsi" w:hAnsiTheme="majorHAnsi"/>
          <w:sz w:val="16"/>
          <w:szCs w:val="16"/>
        </w:rPr>
        <w:footnoteRef/>
      </w:r>
      <w:r w:rsidRPr="008223A7">
        <w:rPr>
          <w:rFonts w:asciiTheme="majorHAnsi" w:hAnsiTheme="majorHAnsi"/>
          <w:sz w:val="16"/>
          <w:szCs w:val="16"/>
          <w:lang w:val="es-ES"/>
        </w:rPr>
        <w:t xml:space="preserve"> La petición hace referencia a 6</w:t>
      </w:r>
      <w:r w:rsidR="00D1519C" w:rsidRPr="008223A7">
        <w:rPr>
          <w:rFonts w:asciiTheme="majorHAnsi" w:hAnsiTheme="majorHAnsi"/>
          <w:sz w:val="16"/>
          <w:szCs w:val="16"/>
          <w:lang w:val="es-ES"/>
        </w:rPr>
        <w:t>7</w:t>
      </w:r>
      <w:r w:rsidRPr="008223A7">
        <w:rPr>
          <w:rFonts w:asciiTheme="majorHAnsi" w:hAnsiTheme="majorHAnsi"/>
          <w:sz w:val="16"/>
          <w:szCs w:val="16"/>
          <w:lang w:val="es-ES"/>
        </w:rPr>
        <w:t xml:space="preserve"> presuntas víctimas</w:t>
      </w:r>
      <w:r w:rsidR="00A81ADF" w:rsidRPr="008223A7">
        <w:rPr>
          <w:rFonts w:asciiTheme="majorHAnsi" w:hAnsiTheme="majorHAnsi"/>
          <w:sz w:val="16"/>
          <w:szCs w:val="16"/>
          <w:lang w:val="es-ES"/>
        </w:rPr>
        <w:t>, cuyos nombres</w:t>
      </w:r>
      <w:r w:rsidRPr="008223A7">
        <w:rPr>
          <w:rFonts w:asciiTheme="majorHAnsi" w:hAnsiTheme="majorHAnsi"/>
          <w:sz w:val="16"/>
          <w:szCs w:val="16"/>
          <w:lang w:val="es-ES"/>
        </w:rPr>
        <w:t xml:space="preserve"> se detallan en el anexo.</w:t>
      </w:r>
    </w:p>
  </w:footnote>
  <w:footnote w:id="3">
    <w:p w14:paraId="66BDE2F4" w14:textId="77777777" w:rsidR="00816ADF" w:rsidRPr="008223A7" w:rsidRDefault="00816ADF" w:rsidP="00A1156B">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
        </w:rPr>
      </w:pPr>
      <w:r w:rsidRPr="008223A7">
        <w:rPr>
          <w:rStyle w:val="FootnoteReference"/>
          <w:rFonts w:asciiTheme="majorHAnsi" w:hAnsiTheme="majorHAnsi"/>
          <w:sz w:val="16"/>
          <w:szCs w:val="16"/>
        </w:rPr>
        <w:footnoteRef/>
      </w:r>
      <w:r w:rsidRPr="008223A7">
        <w:rPr>
          <w:rFonts w:asciiTheme="majorHAnsi" w:hAnsiTheme="majorHAnsi"/>
          <w:sz w:val="16"/>
          <w:szCs w:val="16"/>
          <w:lang w:val="es-ES"/>
        </w:rPr>
        <w:t xml:space="preserve"> En adelante “la Convención Americana”.</w:t>
      </w:r>
    </w:p>
  </w:footnote>
  <w:footnote w:id="4">
    <w:p w14:paraId="1DB89903" w14:textId="7D72AEA0" w:rsidR="00816ADF" w:rsidRPr="008223A7" w:rsidRDefault="00816ADF" w:rsidP="00A1156B">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
        </w:rPr>
      </w:pPr>
      <w:r w:rsidRPr="008223A7">
        <w:rPr>
          <w:rStyle w:val="FootnoteReference"/>
          <w:rFonts w:asciiTheme="majorHAnsi" w:hAnsiTheme="majorHAnsi"/>
          <w:sz w:val="16"/>
          <w:szCs w:val="16"/>
        </w:rPr>
        <w:footnoteRef/>
      </w:r>
      <w:r w:rsidRPr="008223A7">
        <w:rPr>
          <w:rFonts w:asciiTheme="majorHAnsi" w:hAnsiTheme="majorHAnsi"/>
          <w:sz w:val="16"/>
          <w:szCs w:val="16"/>
          <w:lang w:val="es-ES"/>
        </w:rPr>
        <w:t xml:space="preserve"> Las observaciones de cada parte fueron debidamente trasladadas a la parte contraria.</w:t>
      </w:r>
      <w:r w:rsidR="003116D8">
        <w:rPr>
          <w:rFonts w:asciiTheme="majorHAnsi" w:hAnsiTheme="majorHAnsi"/>
          <w:sz w:val="16"/>
          <w:szCs w:val="16"/>
          <w:lang w:val="es-ES"/>
        </w:rPr>
        <w:t xml:space="preserve"> El 6 de mayo de 2021 el peticionario se comunicó con la CIDH en relación con el trámite de la petición. </w:t>
      </w:r>
    </w:p>
  </w:footnote>
  <w:footnote w:id="5">
    <w:p w14:paraId="53282B67" w14:textId="73B6185A" w:rsidR="003F7D75" w:rsidRPr="00A1156B" w:rsidRDefault="003F7D75" w:rsidP="00A1156B">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PY"/>
        </w:rPr>
      </w:pPr>
      <w:r w:rsidRPr="00A1156B">
        <w:rPr>
          <w:rStyle w:val="FootnoteReference"/>
          <w:rFonts w:asciiTheme="majorHAnsi" w:hAnsiTheme="majorHAnsi"/>
          <w:sz w:val="16"/>
          <w:szCs w:val="16"/>
        </w:rPr>
        <w:footnoteRef/>
      </w:r>
      <w:r w:rsidRPr="00A1156B">
        <w:rPr>
          <w:rStyle w:val="FootnoteReference"/>
          <w:rFonts w:asciiTheme="majorHAnsi" w:hAnsiTheme="majorHAnsi"/>
          <w:sz w:val="16"/>
          <w:szCs w:val="16"/>
          <w:lang w:val="es-PY"/>
        </w:rPr>
        <w:t xml:space="preserve"> </w:t>
      </w:r>
      <w:r w:rsidR="00D76DF7" w:rsidRPr="00A1156B">
        <w:rPr>
          <w:rFonts w:asciiTheme="majorHAnsi" w:hAnsiTheme="majorHAnsi"/>
          <w:sz w:val="16"/>
          <w:szCs w:val="16"/>
          <w:lang w:val="es-PY"/>
        </w:rPr>
        <w:t xml:space="preserve"> La reserva </w:t>
      </w:r>
      <w:r w:rsidR="00E16B3D" w:rsidRPr="00A1156B">
        <w:rPr>
          <w:rFonts w:asciiTheme="majorHAnsi" w:hAnsiTheme="majorHAnsi"/>
          <w:sz w:val="16"/>
          <w:szCs w:val="16"/>
          <w:lang w:val="es-PY"/>
        </w:rPr>
        <w:t xml:space="preserve">al </w:t>
      </w:r>
      <w:r w:rsidR="00E16B3D" w:rsidRPr="00A1156B">
        <w:rPr>
          <w:rFonts w:asciiTheme="majorHAnsi" w:hAnsiTheme="majorHAnsi" w:cs="Tahoma"/>
          <w:sz w:val="16"/>
          <w:szCs w:val="16"/>
          <w:lang w:val="es-PY"/>
        </w:rPr>
        <w:t xml:space="preserve">artículo 21 formulada por </w:t>
      </w:r>
      <w:r w:rsidR="006B1D03" w:rsidRPr="00A1156B">
        <w:rPr>
          <w:rFonts w:asciiTheme="majorHAnsi" w:hAnsiTheme="majorHAnsi" w:cs="Tahoma"/>
          <w:sz w:val="16"/>
          <w:szCs w:val="16"/>
          <w:lang w:val="es-PY"/>
        </w:rPr>
        <w:t xml:space="preserve">Argentina </w:t>
      </w:r>
      <w:r w:rsidR="00E16B3D" w:rsidRPr="00A1156B">
        <w:rPr>
          <w:rFonts w:asciiTheme="majorHAnsi" w:hAnsiTheme="majorHAnsi" w:cs="Tahoma"/>
          <w:sz w:val="16"/>
          <w:szCs w:val="16"/>
          <w:lang w:val="es-PY"/>
        </w:rPr>
        <w:t xml:space="preserve">al ratificar la Convención Americana </w:t>
      </w:r>
      <w:r w:rsidR="00D76DF7" w:rsidRPr="00A1156B">
        <w:rPr>
          <w:rFonts w:asciiTheme="majorHAnsi" w:hAnsiTheme="majorHAnsi"/>
          <w:sz w:val="16"/>
          <w:szCs w:val="16"/>
          <w:lang w:val="es-PY"/>
        </w:rPr>
        <w:t>expresa:</w:t>
      </w:r>
      <w:r w:rsidR="007A3FB7" w:rsidRPr="00A1156B">
        <w:rPr>
          <w:rFonts w:asciiTheme="majorHAnsi" w:hAnsiTheme="majorHAnsi"/>
          <w:sz w:val="16"/>
          <w:szCs w:val="16"/>
          <w:lang w:val="es-PY"/>
        </w:rPr>
        <w:t xml:space="preserve"> “</w:t>
      </w:r>
      <w:r w:rsidRPr="00A1156B">
        <w:rPr>
          <w:rFonts w:asciiTheme="majorHAnsi" w:hAnsiTheme="majorHAnsi" w:cs="Tahoma"/>
          <w:sz w:val="16"/>
          <w:szCs w:val="16"/>
          <w:lang w:val="es-PY"/>
        </w:rPr>
        <w:t>El Gobierno argentino establece que no quedarán sujetas a revisión de un Tribunal Internacional cuestiones inherentes a la política económica del Gobierno. Tampoco considerará revisable lo que los Tribunales nacionales determinen como causas de 'utilidad pública' e `interés social', ni lo que éstos entiendan por `indemnización justa</w:t>
      </w:r>
      <w:r w:rsidR="00E16B3D" w:rsidRPr="00A1156B">
        <w:rPr>
          <w:rFonts w:asciiTheme="majorHAnsi" w:hAnsiTheme="majorHAnsi" w:cs="Tahoma"/>
          <w:sz w:val="16"/>
          <w:szCs w:val="16"/>
          <w:lang w:val="es-PY"/>
        </w:rPr>
        <w:t>'</w:t>
      </w:r>
      <w:r w:rsidR="007A3FB7" w:rsidRPr="00A1156B">
        <w:rPr>
          <w:rFonts w:asciiTheme="majorHAnsi" w:hAnsiTheme="majorHAnsi" w:cs="Tahoma"/>
          <w:sz w:val="16"/>
          <w:szCs w:val="16"/>
          <w:lang w:val="es-PY"/>
        </w:rPr>
        <w:t xml:space="preserve"> “</w:t>
      </w:r>
      <w:r w:rsidRPr="00A1156B">
        <w:rPr>
          <w:rFonts w:asciiTheme="majorHAnsi" w:hAnsiTheme="majorHAnsi" w:cs="Tahoma"/>
          <w:sz w:val="16"/>
          <w:szCs w:val="16"/>
          <w:lang w:val="es-PY"/>
        </w:rPr>
        <w:t>.</w:t>
      </w:r>
    </w:p>
  </w:footnote>
  <w:footnote w:id="6">
    <w:p w14:paraId="69BA48C5" w14:textId="439B8571" w:rsidR="002D1A65" w:rsidRPr="008223A7" w:rsidRDefault="002D1A65" w:rsidP="00A1156B">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
        </w:rPr>
      </w:pPr>
      <w:r w:rsidRPr="00A1156B">
        <w:rPr>
          <w:rStyle w:val="FootnoteReference"/>
          <w:rFonts w:asciiTheme="majorHAnsi" w:hAnsiTheme="majorHAnsi"/>
          <w:sz w:val="16"/>
          <w:szCs w:val="16"/>
        </w:rPr>
        <w:footnoteRef/>
      </w:r>
      <w:r w:rsidRPr="00A1156B">
        <w:rPr>
          <w:rStyle w:val="FootnoteReference"/>
          <w:rFonts w:asciiTheme="majorHAnsi" w:hAnsiTheme="majorHAnsi"/>
          <w:sz w:val="16"/>
          <w:szCs w:val="16"/>
          <w:lang w:val="es-PY"/>
        </w:rPr>
        <w:t xml:space="preserve"> </w:t>
      </w:r>
      <w:r w:rsidRPr="00A1156B">
        <w:rPr>
          <w:rFonts w:asciiTheme="majorHAnsi" w:hAnsiTheme="majorHAnsi"/>
          <w:sz w:val="16"/>
          <w:szCs w:val="16"/>
          <w:lang w:val="es-PY"/>
        </w:rPr>
        <w:t xml:space="preserve">El Estado cita como ejemplos el </w:t>
      </w:r>
      <w:proofErr w:type="spellStart"/>
      <w:r w:rsidRPr="00A1156B">
        <w:rPr>
          <w:rFonts w:asciiTheme="majorHAnsi" w:hAnsiTheme="majorHAnsi"/>
          <w:i/>
          <w:iCs/>
          <w:sz w:val="16"/>
          <w:szCs w:val="16"/>
          <w:lang w:val="es-PY"/>
        </w:rPr>
        <w:t>certiorari</w:t>
      </w:r>
      <w:proofErr w:type="spellEnd"/>
      <w:r w:rsidRPr="00A1156B">
        <w:rPr>
          <w:rFonts w:asciiTheme="majorHAnsi" w:hAnsiTheme="majorHAnsi"/>
          <w:sz w:val="16"/>
          <w:szCs w:val="16"/>
          <w:lang w:val="es-PY"/>
        </w:rPr>
        <w:t xml:space="preserve"> de Estados Unidos de América</w:t>
      </w:r>
      <w:r w:rsidR="007A3FB7" w:rsidRPr="00A1156B">
        <w:rPr>
          <w:rFonts w:asciiTheme="majorHAnsi" w:hAnsiTheme="majorHAnsi"/>
          <w:sz w:val="16"/>
          <w:szCs w:val="16"/>
          <w:lang w:val="es-PY"/>
        </w:rPr>
        <w:t>;</w:t>
      </w:r>
      <w:r w:rsidRPr="00A1156B">
        <w:rPr>
          <w:rFonts w:asciiTheme="majorHAnsi" w:hAnsiTheme="majorHAnsi"/>
          <w:sz w:val="16"/>
          <w:szCs w:val="16"/>
          <w:lang w:val="es-PY"/>
        </w:rPr>
        <w:t xml:space="preserve"> la Enmienda No. 45 de la Constitución de Brasil</w:t>
      </w:r>
      <w:r w:rsidR="007A3FB7" w:rsidRPr="00A1156B">
        <w:rPr>
          <w:rFonts w:asciiTheme="majorHAnsi" w:hAnsiTheme="majorHAnsi"/>
          <w:sz w:val="16"/>
          <w:szCs w:val="16"/>
          <w:lang w:val="es-PY"/>
        </w:rPr>
        <w:t>;</w:t>
      </w:r>
      <w:r w:rsidRPr="00A1156B">
        <w:rPr>
          <w:rFonts w:asciiTheme="majorHAnsi" w:hAnsiTheme="majorHAnsi"/>
          <w:sz w:val="16"/>
          <w:szCs w:val="16"/>
          <w:lang w:val="es-PY"/>
        </w:rPr>
        <w:t xml:space="preserve"> y el </w:t>
      </w:r>
      <w:hyperlink r:id="rId1" w:history="1">
        <w:proofErr w:type="spellStart"/>
        <w:r w:rsidRPr="00A1156B">
          <w:rPr>
            <w:rFonts w:asciiTheme="majorHAnsi" w:hAnsiTheme="majorHAnsi"/>
            <w:i/>
            <w:iCs/>
            <w:sz w:val="16"/>
            <w:szCs w:val="16"/>
            <w:lang w:val="es-PY"/>
          </w:rPr>
          <w:t>grundsätzliche</w:t>
        </w:r>
        <w:proofErr w:type="spellEnd"/>
        <w:r w:rsidRPr="00A1156B">
          <w:rPr>
            <w:rFonts w:asciiTheme="majorHAnsi" w:hAnsiTheme="majorHAnsi"/>
            <w:i/>
            <w:iCs/>
            <w:sz w:val="16"/>
            <w:szCs w:val="16"/>
            <w:lang w:val="es-PY"/>
          </w:rPr>
          <w:t> </w:t>
        </w:r>
        <w:proofErr w:type="spellStart"/>
        <w:r w:rsidRPr="00A1156B">
          <w:rPr>
            <w:rFonts w:asciiTheme="majorHAnsi" w:hAnsiTheme="majorHAnsi"/>
            <w:i/>
            <w:iCs/>
            <w:sz w:val="16"/>
            <w:szCs w:val="16"/>
            <w:lang w:val="es-PY"/>
          </w:rPr>
          <w:t>Bedeutung</w:t>
        </w:r>
        <w:proofErr w:type="spellEnd"/>
      </w:hyperlink>
      <w:r w:rsidRPr="00A1156B">
        <w:rPr>
          <w:rFonts w:asciiTheme="majorHAnsi" w:hAnsiTheme="majorHAnsi"/>
          <w:sz w:val="16"/>
          <w:szCs w:val="16"/>
          <w:lang w:val="es-PY"/>
        </w:rPr>
        <w:t xml:space="preserve"> de Alemania.</w:t>
      </w:r>
    </w:p>
  </w:footnote>
  <w:footnote w:id="7">
    <w:p w14:paraId="4DD2D0EB" w14:textId="70AAE0D0" w:rsidR="00816ADF" w:rsidRPr="008223A7" w:rsidRDefault="00816ADF" w:rsidP="00A1156B">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PY"/>
        </w:rPr>
      </w:pPr>
      <w:r w:rsidRPr="008223A7">
        <w:rPr>
          <w:rStyle w:val="FootnoteReference"/>
          <w:rFonts w:asciiTheme="majorHAnsi" w:hAnsiTheme="majorHAnsi"/>
          <w:sz w:val="16"/>
          <w:szCs w:val="16"/>
          <w:lang w:val="es-ES"/>
        </w:rPr>
        <w:footnoteRef/>
      </w:r>
      <w:r w:rsidRPr="008223A7">
        <w:rPr>
          <w:rFonts w:asciiTheme="majorHAnsi" w:hAnsiTheme="majorHAnsi"/>
          <w:sz w:val="16"/>
          <w:szCs w:val="16"/>
          <w:lang w:val="es-ES"/>
        </w:rPr>
        <w:t xml:space="preserve"> CIDH, Informe No. 82/17. Petición 1067-07. Admisibilidad. Rosa Ángela Martino y María Cristina González. Argentina. 7 de julio de 2017, párr. 12.</w:t>
      </w:r>
    </w:p>
  </w:footnote>
  <w:footnote w:id="8">
    <w:p w14:paraId="528ABD67" w14:textId="024E2AC6" w:rsidR="00613510" w:rsidRPr="006B1D03" w:rsidRDefault="00613510" w:rsidP="00A1156B">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cs="Calibri"/>
          <w:sz w:val="16"/>
          <w:szCs w:val="16"/>
          <w:lang w:val="es-ES"/>
        </w:rPr>
      </w:pPr>
      <w:r w:rsidRPr="008223A7">
        <w:rPr>
          <w:rStyle w:val="FootnoteReference"/>
          <w:rFonts w:asciiTheme="majorHAnsi" w:hAnsiTheme="majorHAnsi"/>
          <w:sz w:val="16"/>
          <w:szCs w:val="16"/>
        </w:rPr>
        <w:footnoteRef/>
      </w:r>
      <w:r w:rsidRPr="008223A7">
        <w:rPr>
          <w:rFonts w:asciiTheme="majorHAnsi" w:hAnsiTheme="majorHAnsi"/>
          <w:sz w:val="16"/>
          <w:szCs w:val="16"/>
          <w:lang w:val="es-PA"/>
        </w:rPr>
        <w:t xml:space="preserve"> </w:t>
      </w:r>
      <w:r w:rsidRPr="006B1D03">
        <w:rPr>
          <w:rFonts w:asciiTheme="majorHAnsi" w:hAnsiTheme="majorHAnsi"/>
          <w:sz w:val="16"/>
          <w:szCs w:val="16"/>
          <w:lang w:val="es-PA"/>
        </w:rPr>
        <w:t>En cuanto al alcance del trabajo jurisdiccional, l</w:t>
      </w:r>
      <w:r w:rsidRPr="006B1D03">
        <w:rPr>
          <w:rFonts w:asciiTheme="majorHAnsi" w:hAnsiTheme="majorHAnsi" w:cs="Calibri"/>
          <w:sz w:val="16"/>
          <w:szCs w:val="16"/>
          <w:lang w:val="es-ES"/>
        </w:rPr>
        <w:t>a Corte Interamericana ha señalado</w:t>
      </w:r>
      <w:r w:rsidR="006B1D03">
        <w:rPr>
          <w:rFonts w:asciiTheme="majorHAnsi" w:hAnsiTheme="majorHAnsi" w:cs="Calibri"/>
          <w:sz w:val="16"/>
          <w:szCs w:val="16"/>
          <w:lang w:val="es-ES"/>
        </w:rPr>
        <w:t xml:space="preserve"> que</w:t>
      </w:r>
      <w:r w:rsidR="00270FB4" w:rsidRPr="006B1D03">
        <w:rPr>
          <w:rFonts w:asciiTheme="majorHAnsi" w:hAnsiTheme="majorHAnsi" w:cs="Calibri"/>
          <w:sz w:val="16"/>
          <w:szCs w:val="16"/>
          <w:lang w:val="es-ES"/>
        </w:rPr>
        <w:t xml:space="preserve"> “</w:t>
      </w:r>
      <w:r w:rsidR="006B1D03">
        <w:rPr>
          <w:rFonts w:asciiTheme="majorHAnsi" w:hAnsiTheme="majorHAnsi" w:cs="Calibri"/>
          <w:sz w:val="16"/>
          <w:szCs w:val="16"/>
          <w:lang w:val="es-ES"/>
        </w:rPr>
        <w:t>l</w:t>
      </w:r>
      <w:r w:rsidRPr="006B1D03">
        <w:rPr>
          <w:rFonts w:asciiTheme="majorHAnsi" w:hAnsiTheme="majorHAnsi"/>
          <w:sz w:val="16"/>
          <w:szCs w:val="16"/>
          <w:lang w:val="es-PA"/>
        </w:rPr>
        <w:t xml:space="preserve">os órganos del Poder Judicial deben ejercer no sólo un control de constitucionalidad, sino también ‘de convencionalidad’ ex </w:t>
      </w:r>
      <w:proofErr w:type="spellStart"/>
      <w:r w:rsidRPr="006B1D03">
        <w:rPr>
          <w:rFonts w:asciiTheme="majorHAnsi" w:hAnsiTheme="majorHAnsi"/>
          <w:sz w:val="16"/>
          <w:szCs w:val="16"/>
          <w:lang w:val="es-PA"/>
        </w:rPr>
        <w:t>officio</w:t>
      </w:r>
      <w:proofErr w:type="spellEnd"/>
      <w:r w:rsidRPr="006B1D03">
        <w:rPr>
          <w:rFonts w:asciiTheme="majorHAnsi" w:hAnsiTheme="majorHAnsi"/>
          <w:sz w:val="16"/>
          <w:szCs w:val="16"/>
          <w:lang w:val="es-PA"/>
        </w:rPr>
        <w:t xml:space="preserve"> entre las normas internas y la Convención Americana, evidentemente en el marco de sus respectivas competencias y de las regulaciones procesales correspondientes</w:t>
      </w:r>
      <w:r w:rsidR="006B1D03">
        <w:rPr>
          <w:rFonts w:asciiTheme="majorHAnsi" w:hAnsiTheme="majorHAnsi"/>
          <w:sz w:val="16"/>
          <w:szCs w:val="16"/>
          <w:lang w:val="es-PA"/>
        </w:rPr>
        <w:t>”</w:t>
      </w:r>
      <w:r w:rsidRPr="006B1D03">
        <w:rPr>
          <w:rFonts w:asciiTheme="majorHAnsi" w:hAnsiTheme="majorHAnsi"/>
          <w:sz w:val="16"/>
          <w:szCs w:val="16"/>
          <w:lang w:val="es-PA"/>
        </w:rPr>
        <w:t xml:space="preserve"> </w:t>
      </w:r>
      <w:r w:rsidR="006B1D03">
        <w:rPr>
          <w:rFonts w:asciiTheme="majorHAnsi" w:hAnsiTheme="majorHAnsi"/>
          <w:sz w:val="16"/>
          <w:szCs w:val="16"/>
          <w:lang w:val="es-PA"/>
        </w:rPr>
        <w:t>y que “e</w:t>
      </w:r>
      <w:r w:rsidRPr="006B1D03">
        <w:rPr>
          <w:rFonts w:asciiTheme="majorHAnsi" w:hAnsiTheme="majorHAnsi"/>
          <w:sz w:val="16"/>
          <w:szCs w:val="16"/>
          <w:lang w:val="es-PA"/>
        </w:rPr>
        <w:t>sta función no debe quedar limitada exclusivamente por las manifestaciones o actos de los accionantes en cada caso concreto</w:t>
      </w:r>
      <w:r w:rsidR="00270FB4" w:rsidRPr="006B1D03">
        <w:rPr>
          <w:rFonts w:asciiTheme="majorHAnsi" w:hAnsiTheme="majorHAnsi"/>
          <w:sz w:val="16"/>
          <w:szCs w:val="16"/>
          <w:lang w:val="es-PA"/>
        </w:rPr>
        <w:t>”</w:t>
      </w:r>
      <w:r w:rsidRPr="006B1D03">
        <w:rPr>
          <w:rFonts w:asciiTheme="majorHAnsi" w:hAnsiTheme="majorHAnsi"/>
          <w:sz w:val="16"/>
          <w:szCs w:val="16"/>
          <w:lang w:val="es-PA"/>
        </w:rPr>
        <w:t>. Corte IDH. Caso Trabajadores Cesados del Congreso (Aguado Alfaro y otros) Vs. Perú. Excepciones Preliminares, Fondo, Reparaciones y Costas. Sentencia de 24 de noviembre de 2006. Serie C No. 215, párr. 128.</w:t>
      </w:r>
    </w:p>
  </w:footnote>
  <w:footnote w:id="9">
    <w:p w14:paraId="0F56C190" w14:textId="68B9616A" w:rsidR="00816ADF" w:rsidRPr="008223A7" w:rsidRDefault="00816ADF" w:rsidP="00A1156B">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PA"/>
        </w:rPr>
      </w:pPr>
      <w:r w:rsidRPr="008223A7">
        <w:rPr>
          <w:rStyle w:val="FootnoteReference"/>
          <w:rFonts w:asciiTheme="majorHAnsi" w:hAnsiTheme="majorHAnsi"/>
          <w:sz w:val="16"/>
          <w:szCs w:val="16"/>
        </w:rPr>
        <w:footnoteRef/>
      </w:r>
      <w:r w:rsidRPr="008A0839">
        <w:rPr>
          <w:rFonts w:asciiTheme="majorHAnsi" w:hAnsiTheme="majorHAnsi"/>
          <w:sz w:val="16"/>
          <w:szCs w:val="16"/>
          <w:lang w:val="pt-BR"/>
        </w:rPr>
        <w:t xml:space="preserve"> Corte IDH. Caso Cinco Pensionistas vs. Perú. </w:t>
      </w:r>
      <w:r w:rsidRPr="008223A7">
        <w:rPr>
          <w:rFonts w:asciiTheme="majorHAnsi" w:hAnsiTheme="majorHAnsi"/>
          <w:sz w:val="16"/>
          <w:szCs w:val="16"/>
          <w:lang w:val="es-PA"/>
        </w:rPr>
        <w:t xml:space="preserve">Fondo, Reparaciones y Costas. Sentencia de 28 de febrero de 2003. Serie C No. 98, </w:t>
      </w:r>
      <w:r w:rsidR="00D1519C" w:rsidRPr="008223A7">
        <w:rPr>
          <w:rFonts w:asciiTheme="majorHAnsi" w:hAnsiTheme="majorHAnsi"/>
          <w:sz w:val="16"/>
          <w:szCs w:val="16"/>
          <w:lang w:val="es-PA"/>
        </w:rPr>
        <w:t>párr.</w:t>
      </w:r>
      <w:r w:rsidRPr="008223A7">
        <w:rPr>
          <w:rFonts w:asciiTheme="majorHAnsi" w:hAnsiTheme="majorHAnsi"/>
          <w:sz w:val="16"/>
          <w:szCs w:val="16"/>
          <w:lang w:val="es-PA"/>
        </w:rPr>
        <w:t xml:space="preserve"> 116.</w:t>
      </w:r>
      <w:r w:rsidR="00B94EFC" w:rsidRPr="008223A7">
        <w:rPr>
          <w:rFonts w:asciiTheme="majorHAnsi" w:hAnsiTheme="majorHAnsi"/>
          <w:sz w:val="16"/>
          <w:szCs w:val="16"/>
          <w:lang w:val="es-PA"/>
        </w:rPr>
        <w:t xml:space="preserve"> Por su parte, la Corte Europea ha determinado lo siguiente:</w:t>
      </w:r>
    </w:p>
    <w:p w14:paraId="6E01233B" w14:textId="76849429" w:rsidR="00B94EFC" w:rsidRPr="008223A7" w:rsidRDefault="00B94EFC" w:rsidP="00A1156B">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
        </w:rPr>
      </w:pPr>
      <w:r w:rsidRPr="008223A7">
        <w:rPr>
          <w:rFonts w:asciiTheme="majorHAnsi" w:hAnsiTheme="majorHAnsi"/>
          <w:sz w:val="16"/>
          <w:szCs w:val="16"/>
          <w:lang w:val="es-ES"/>
        </w:rPr>
        <w:t>En la valoración de la proporcionalidad de medidas tomadas por el Estado con relación a derechos pensionarios, una consideración importante es si los derechos del peticionario se han visto infringidos forma tal que conlleve en esencia al cercenamiento de su derecho. La naturaleza del derecho cercenado -en particular si este ha originado de un régimen pensionario especialmente privilegiado accesible para solo ciertos grupos de personas- también puede ser tomado en cuenta. La valoración variará dependiendo de las particulares circunstancias del caso y la situación personal del peticionario; mientras que una privación total de los beneficios que conlleve a una pérdida de los medios de subsistencia conllevaría en principio a una violación del derecho de propiedad, la imposición de una reducción razonable y conmensurada no lo haría.</w:t>
      </w:r>
    </w:p>
    <w:p w14:paraId="53EA5448" w14:textId="77D8C6D4" w:rsidR="00B94EFC" w:rsidRPr="008223A7" w:rsidRDefault="00B94EFC" w:rsidP="00A1156B">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PA"/>
        </w:rPr>
      </w:pPr>
      <w:r w:rsidRPr="008223A7">
        <w:rPr>
          <w:rFonts w:asciiTheme="majorHAnsi" w:hAnsiTheme="majorHAnsi" w:cs="Tahoma"/>
          <w:sz w:val="16"/>
          <w:szCs w:val="16"/>
          <w:lang w:val="pt-BR"/>
        </w:rPr>
        <w:t xml:space="preserve">Corte Europea de Derechos Humanos. Caso Da </w:t>
      </w:r>
      <w:r w:rsidRPr="008223A7">
        <w:rPr>
          <w:rFonts w:asciiTheme="majorHAnsi" w:hAnsiTheme="majorHAnsi" w:cs="Tahoma"/>
          <w:sz w:val="16"/>
          <w:szCs w:val="16"/>
          <w:lang w:val="pt-BR" w:eastAsia="es-ES"/>
        </w:rPr>
        <w:t>Conceição Mateus y Santos Januário v. Portugal</w:t>
      </w:r>
      <w:r w:rsidRPr="008223A7">
        <w:rPr>
          <w:rFonts w:asciiTheme="majorHAnsi" w:hAnsiTheme="majorHAnsi" w:cs="Tahoma"/>
          <w:sz w:val="16"/>
          <w:szCs w:val="16"/>
          <w:lang w:val="pt-BR"/>
        </w:rPr>
        <w:t xml:space="preserve">. </w:t>
      </w:r>
      <w:r w:rsidRPr="008223A7">
        <w:rPr>
          <w:rFonts w:asciiTheme="majorHAnsi" w:hAnsiTheme="majorHAnsi" w:cs="Tahoma"/>
          <w:sz w:val="16"/>
          <w:szCs w:val="16"/>
          <w:lang w:val="es-PA"/>
        </w:rPr>
        <w:t>Decisión de 8 de octubre de 2013, párr. 24.</w:t>
      </w:r>
    </w:p>
  </w:footnote>
  <w:footnote w:id="10">
    <w:p w14:paraId="26868B3E" w14:textId="0ED58D74" w:rsidR="00816ADF" w:rsidRPr="008223A7" w:rsidRDefault="00816ADF" w:rsidP="00A1156B">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
        </w:rPr>
      </w:pPr>
      <w:r w:rsidRPr="008223A7">
        <w:rPr>
          <w:rStyle w:val="FootnoteReference"/>
          <w:rFonts w:asciiTheme="majorHAnsi" w:hAnsiTheme="majorHAnsi" w:cs="Tahoma"/>
          <w:sz w:val="16"/>
          <w:szCs w:val="16"/>
        </w:rPr>
        <w:footnoteRef/>
      </w:r>
      <w:r w:rsidRPr="008223A7">
        <w:rPr>
          <w:rFonts w:asciiTheme="majorHAnsi" w:hAnsiTheme="majorHAnsi" w:cs="Tahoma"/>
          <w:sz w:val="16"/>
          <w:szCs w:val="16"/>
          <w:lang w:val="es-ES"/>
        </w:rPr>
        <w:t xml:space="preserve"> </w:t>
      </w:r>
      <w:r w:rsidRPr="008223A7">
        <w:rPr>
          <w:rFonts w:asciiTheme="majorHAnsi" w:hAnsiTheme="majorHAnsi" w:cs="Tahoma"/>
          <w:sz w:val="16"/>
          <w:szCs w:val="16"/>
          <w:lang w:val="es-PA"/>
        </w:rPr>
        <w:t xml:space="preserve">Corte IDH. Caso Muelle Flores vs. Perú. Excepciones Preliminares Fondo, Reparaciones y Costas. Sentencia de 6 de marzo </w:t>
      </w:r>
      <w:r w:rsidR="00D1519C" w:rsidRPr="008223A7">
        <w:rPr>
          <w:rFonts w:asciiTheme="majorHAnsi" w:hAnsiTheme="majorHAnsi" w:cs="Tahoma"/>
          <w:sz w:val="16"/>
          <w:szCs w:val="16"/>
          <w:lang w:val="es-PA"/>
        </w:rPr>
        <w:t>de 2019</w:t>
      </w:r>
      <w:r w:rsidRPr="008223A7">
        <w:rPr>
          <w:rFonts w:asciiTheme="majorHAnsi" w:hAnsiTheme="majorHAnsi" w:cs="Tahoma"/>
          <w:sz w:val="16"/>
          <w:szCs w:val="16"/>
          <w:lang w:val="es-PA"/>
        </w:rPr>
        <w:t xml:space="preserve">. Serie C No. 375, </w:t>
      </w:r>
      <w:r w:rsidR="00D1519C" w:rsidRPr="008223A7">
        <w:rPr>
          <w:rFonts w:asciiTheme="majorHAnsi" w:hAnsiTheme="majorHAnsi" w:cs="Tahoma"/>
          <w:sz w:val="16"/>
          <w:szCs w:val="16"/>
          <w:lang w:val="es-PA"/>
        </w:rPr>
        <w:t>párr.</w:t>
      </w:r>
      <w:r w:rsidRPr="008223A7">
        <w:rPr>
          <w:rFonts w:asciiTheme="majorHAnsi" w:hAnsiTheme="majorHAnsi" w:cs="Tahoma"/>
          <w:sz w:val="16"/>
          <w:szCs w:val="16"/>
          <w:lang w:val="es-PA"/>
        </w:rPr>
        <w:t xml:space="preserve"> 162.</w:t>
      </w:r>
    </w:p>
  </w:footnote>
  <w:footnote w:id="11">
    <w:p w14:paraId="6D57275D" w14:textId="77777777" w:rsidR="008C0E32" w:rsidRPr="008223A7" w:rsidRDefault="008C0E32" w:rsidP="00A1156B">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
        </w:rPr>
      </w:pPr>
      <w:r w:rsidRPr="008223A7">
        <w:rPr>
          <w:rStyle w:val="FootnoteReference"/>
          <w:rFonts w:asciiTheme="majorHAnsi" w:hAnsiTheme="majorHAnsi"/>
          <w:sz w:val="16"/>
          <w:szCs w:val="16"/>
        </w:rPr>
        <w:footnoteRef/>
      </w:r>
      <w:r w:rsidRPr="008223A7">
        <w:rPr>
          <w:rFonts w:asciiTheme="majorHAnsi" w:hAnsiTheme="majorHAnsi"/>
          <w:sz w:val="16"/>
          <w:szCs w:val="16"/>
          <w:lang w:val="es-ES"/>
        </w:rPr>
        <w:t xml:space="preserve"> Ver, Corte I.D.H., </w:t>
      </w:r>
      <w:r w:rsidRPr="008223A7">
        <w:rPr>
          <w:rFonts w:asciiTheme="majorHAnsi" w:hAnsiTheme="majorHAnsi"/>
          <w:i/>
          <w:iCs/>
          <w:sz w:val="16"/>
          <w:szCs w:val="16"/>
          <w:lang w:val="es-ES"/>
        </w:rPr>
        <w:t>El efecto de las reservas sobre la entrada en vigencia de la Convención Americana sobre Derechos Humanos</w:t>
      </w:r>
      <w:r w:rsidRPr="008223A7">
        <w:rPr>
          <w:rFonts w:asciiTheme="majorHAnsi" w:hAnsiTheme="majorHAnsi"/>
          <w:sz w:val="16"/>
          <w:szCs w:val="16"/>
          <w:lang w:val="es-ES"/>
        </w:rPr>
        <w:t>. Opinión Consultiva OC-2/82 del 24 de septiembre de 1982. Serie A No. 2.</w:t>
      </w:r>
    </w:p>
  </w:footnote>
  <w:footnote w:id="12">
    <w:p w14:paraId="0FF8C308" w14:textId="77777777" w:rsidR="00763227" w:rsidRPr="008223A7" w:rsidRDefault="00763227" w:rsidP="00A1156B">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
        </w:rPr>
      </w:pPr>
      <w:r w:rsidRPr="008223A7">
        <w:rPr>
          <w:rStyle w:val="FootnoteReference"/>
          <w:rFonts w:asciiTheme="majorHAnsi" w:hAnsiTheme="majorHAnsi" w:cs="Tahoma"/>
          <w:sz w:val="16"/>
          <w:szCs w:val="16"/>
        </w:rPr>
        <w:footnoteRef/>
      </w:r>
      <w:r w:rsidRPr="008223A7">
        <w:rPr>
          <w:rFonts w:asciiTheme="majorHAnsi" w:hAnsiTheme="majorHAnsi"/>
          <w:sz w:val="16"/>
          <w:szCs w:val="16"/>
          <w:lang w:val="es-ES"/>
        </w:rPr>
        <w:t xml:space="preserve"> CIDH, Informe No. 40/06, Petición 11.214. Inadmisibilidad. Pedro Velásquez Ibarra. Argentina. 15 de marzo de 2006 (“CIDH, Pedro Velásquez Ibarra”), </w:t>
      </w:r>
      <w:proofErr w:type="spellStart"/>
      <w:r w:rsidRPr="008223A7">
        <w:rPr>
          <w:rFonts w:asciiTheme="majorHAnsi" w:hAnsiTheme="majorHAnsi"/>
          <w:sz w:val="16"/>
          <w:szCs w:val="16"/>
          <w:lang w:val="es-ES"/>
        </w:rPr>
        <w:t>párrs</w:t>
      </w:r>
      <w:proofErr w:type="spellEnd"/>
      <w:r w:rsidRPr="008223A7">
        <w:rPr>
          <w:rFonts w:asciiTheme="majorHAnsi" w:hAnsiTheme="majorHAnsi"/>
          <w:sz w:val="16"/>
          <w:szCs w:val="16"/>
          <w:lang w:val="es-ES"/>
        </w:rPr>
        <w:t xml:space="preserve"> 45-46.</w:t>
      </w:r>
      <w:r w:rsidRPr="008223A7">
        <w:rPr>
          <w:rFonts w:asciiTheme="majorHAnsi" w:hAnsiTheme="majorHAnsi"/>
          <w:sz w:val="16"/>
          <w:szCs w:val="16"/>
          <w:lang w:val="es-ES_tradnl"/>
        </w:rPr>
        <w:t xml:space="preserve"> </w:t>
      </w:r>
    </w:p>
  </w:footnote>
  <w:footnote w:id="13">
    <w:p w14:paraId="004C5AD6" w14:textId="5C787BEB" w:rsidR="008C0E32" w:rsidRPr="008223A7" w:rsidRDefault="008C0E32" w:rsidP="00A1156B">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PY"/>
        </w:rPr>
      </w:pPr>
      <w:r w:rsidRPr="008223A7">
        <w:rPr>
          <w:rStyle w:val="FootnoteReference"/>
          <w:rFonts w:asciiTheme="majorHAnsi" w:hAnsiTheme="majorHAnsi"/>
          <w:sz w:val="16"/>
          <w:szCs w:val="16"/>
        </w:rPr>
        <w:footnoteRef/>
      </w:r>
      <w:r w:rsidRPr="008223A7">
        <w:rPr>
          <w:rFonts w:asciiTheme="majorHAnsi" w:hAnsiTheme="majorHAnsi"/>
          <w:sz w:val="16"/>
          <w:szCs w:val="16"/>
          <w:lang w:val="es-ES"/>
        </w:rPr>
        <w:t xml:space="preserve"> Ver, CIDH, Informe </w:t>
      </w:r>
      <w:proofErr w:type="spellStart"/>
      <w:r w:rsidRPr="008223A7">
        <w:rPr>
          <w:rFonts w:asciiTheme="majorHAnsi" w:hAnsiTheme="majorHAnsi"/>
          <w:sz w:val="16"/>
          <w:szCs w:val="16"/>
          <w:lang w:val="es-ES"/>
        </w:rPr>
        <w:t>Nº</w:t>
      </w:r>
      <w:proofErr w:type="spellEnd"/>
      <w:r w:rsidRPr="008223A7">
        <w:rPr>
          <w:rFonts w:asciiTheme="majorHAnsi" w:hAnsiTheme="majorHAnsi"/>
          <w:sz w:val="16"/>
          <w:szCs w:val="16"/>
          <w:lang w:val="es-ES"/>
        </w:rPr>
        <w:t xml:space="preserve"> 03/01, Caso 11.670, Amílcar Menéndez, Juan Manuel </w:t>
      </w:r>
      <w:proofErr w:type="spellStart"/>
      <w:r w:rsidRPr="008223A7">
        <w:rPr>
          <w:rFonts w:asciiTheme="majorHAnsi" w:hAnsiTheme="majorHAnsi"/>
          <w:sz w:val="16"/>
          <w:szCs w:val="16"/>
          <w:lang w:val="es-ES"/>
        </w:rPr>
        <w:t>Caride</w:t>
      </w:r>
      <w:proofErr w:type="spellEnd"/>
      <w:r w:rsidRPr="008223A7">
        <w:rPr>
          <w:rFonts w:asciiTheme="majorHAnsi" w:hAnsiTheme="majorHAnsi"/>
          <w:sz w:val="16"/>
          <w:szCs w:val="16"/>
          <w:lang w:val="es-ES"/>
        </w:rPr>
        <w:t>, y otros. (Sistema de Seguridad Social), Argentina. Admisibilidad, 19 de enero de 2001.</w:t>
      </w:r>
    </w:p>
  </w:footnote>
  <w:footnote w:id="14">
    <w:p w14:paraId="11A9E701" w14:textId="7F17F173" w:rsidR="00816ADF" w:rsidRPr="008223A7" w:rsidRDefault="00816ADF" w:rsidP="00A1156B">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rPr>
      </w:pPr>
      <w:r w:rsidRPr="008223A7">
        <w:rPr>
          <w:rStyle w:val="FootnoteReference"/>
          <w:rFonts w:asciiTheme="majorHAnsi" w:hAnsiTheme="majorHAnsi"/>
          <w:sz w:val="16"/>
          <w:szCs w:val="16"/>
        </w:rPr>
        <w:footnoteRef/>
      </w:r>
      <w:r w:rsidRPr="008223A7">
        <w:rPr>
          <w:rFonts w:asciiTheme="majorHAnsi" w:hAnsiTheme="majorHAnsi"/>
          <w:sz w:val="16"/>
          <w:szCs w:val="16"/>
          <w:lang w:val="es-ES"/>
        </w:rPr>
        <w:t xml:space="preserve"> CIDH, Informe No. 72/11, Petición 1164-05. Admisibilidad. </w:t>
      </w:r>
      <w:r w:rsidRPr="008223A7">
        <w:rPr>
          <w:rFonts w:asciiTheme="majorHAnsi" w:hAnsiTheme="majorHAnsi"/>
          <w:sz w:val="16"/>
          <w:szCs w:val="16"/>
          <w:lang w:val="es-ES_tradnl"/>
        </w:rPr>
        <w:t>William Gómez Vargas.</w:t>
      </w:r>
      <w:r w:rsidRPr="008223A7">
        <w:rPr>
          <w:rFonts w:asciiTheme="majorHAnsi" w:hAnsiTheme="majorHAnsi"/>
          <w:sz w:val="16"/>
          <w:szCs w:val="16"/>
          <w:lang w:val="es-ES"/>
        </w:rPr>
        <w:t xml:space="preserve"> Costa Rica. 31 de marzo de 2011, párr. 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F56FC" w14:textId="77777777" w:rsidR="00816ADF" w:rsidRDefault="00816ADF" w:rsidP="00597945">
    <w:pPr>
      <w:pStyle w:val="Header"/>
      <w:framePr w:wrap="around" w:vAnchor="text" w:hAnchor="margin" w:xAlign="center" w:y="1"/>
      <w:rPr>
        <w:rStyle w:val="PageNumber"/>
        <w:rFonts w:cs="Univers"/>
      </w:rPr>
    </w:pPr>
    <w:r>
      <w:rPr>
        <w:rStyle w:val="PageNumber"/>
        <w:rFonts w:cs="Univers"/>
      </w:rPr>
      <w:fldChar w:fldCharType="begin"/>
    </w:r>
    <w:r>
      <w:rPr>
        <w:rStyle w:val="PageNumber"/>
        <w:rFonts w:cs="Univers"/>
      </w:rPr>
      <w:instrText xml:space="preserve">PAGE  </w:instrText>
    </w:r>
    <w:r>
      <w:rPr>
        <w:rStyle w:val="PageNumber"/>
        <w:rFonts w:cs="Univers"/>
      </w:rPr>
      <w:fldChar w:fldCharType="end"/>
    </w:r>
  </w:p>
  <w:p w14:paraId="46E8C761" w14:textId="77777777" w:rsidR="00816ADF" w:rsidRDefault="00816A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D73CD" w14:textId="21A4B984" w:rsidR="00816ADF" w:rsidRDefault="0078201B" w:rsidP="00A50FCF">
    <w:pPr>
      <w:pStyle w:val="Header"/>
      <w:tabs>
        <w:tab w:val="clear" w:pos="4320"/>
        <w:tab w:val="clear" w:pos="8640"/>
      </w:tabs>
      <w:jc w:val="center"/>
      <w:rPr>
        <w:sz w:val="22"/>
        <w:szCs w:val="22"/>
      </w:rPr>
    </w:pPr>
    <w:r>
      <w:rPr>
        <w:noProof/>
        <w:sz w:val="22"/>
        <w:szCs w:val="22"/>
      </w:rPr>
      <w:drawing>
        <wp:inline distT="0" distB="0" distL="0" distR="0" wp14:anchorId="18FED427" wp14:editId="3FD320F9">
          <wp:extent cx="1950085" cy="102870"/>
          <wp:effectExtent l="0" t="0" r="0" b="0"/>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085" cy="102870"/>
                  </a:xfrm>
                  <a:prstGeom prst="rect">
                    <a:avLst/>
                  </a:prstGeom>
                  <a:noFill/>
                  <a:ln>
                    <a:noFill/>
                  </a:ln>
                </pic:spPr>
              </pic:pic>
            </a:graphicData>
          </a:graphic>
        </wp:inline>
      </w:drawing>
    </w:r>
  </w:p>
  <w:p w14:paraId="2A20368C" w14:textId="77777777" w:rsidR="00816ADF" w:rsidRPr="00EC7D62" w:rsidRDefault="00FB3EF8" w:rsidP="00A50FCF">
    <w:pPr>
      <w:pStyle w:val="Header"/>
      <w:tabs>
        <w:tab w:val="clear" w:pos="4320"/>
        <w:tab w:val="clear" w:pos="8640"/>
      </w:tabs>
      <w:jc w:val="center"/>
      <w:rPr>
        <w:sz w:val="22"/>
        <w:szCs w:val="22"/>
      </w:rPr>
    </w:pPr>
    <w:r>
      <w:rPr>
        <w:sz w:val="22"/>
        <w:szCs w:val="22"/>
      </w:rPr>
      <w:pict w14:anchorId="031D89CE">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4" w15:restartNumberingAfterBreak="0">
    <w:nsid w:val="0E1D2261"/>
    <w:multiLevelType w:val="hybridMultilevel"/>
    <w:tmpl w:val="D53ABA56"/>
    <w:lvl w:ilvl="0" w:tplc="188AEDB0">
      <w:start w:val="1"/>
      <w:numFmt w:val="decimal"/>
      <w:lvlText w:val="%1."/>
      <w:lvlJc w:val="left"/>
      <w:pPr>
        <w:tabs>
          <w:tab w:val="num" w:pos="720"/>
        </w:tabs>
        <w:ind w:firstLine="720"/>
      </w:pPr>
      <w:rPr>
        <w:rFonts w:cs="Times New Roman" w:hint="default"/>
        <w:b w:val="0"/>
        <w:bCs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decimal"/>
      <w:lvlText w:val="%1.%2."/>
      <w:lvlJc w:val="left"/>
      <w:pPr>
        <w:tabs>
          <w:tab w:val="num" w:pos="690"/>
        </w:tabs>
        <w:ind w:left="690" w:hanging="330"/>
      </w:pPr>
      <w:rPr>
        <w:rFonts w:ascii="Calibri" w:eastAsia="Times New Roman" w:hAnsi="Calibri" w:cs="Calibri"/>
        <w:b/>
        <w:bCs/>
        <w:color w:val="000000"/>
        <w:position w:val="0"/>
        <w:sz w:val="22"/>
        <w:szCs w:val="22"/>
        <w:u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color="000000"/>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8"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bullet"/>
      <w:lvlText w:val="•"/>
      <w:lvlJc w:val="left"/>
      <w:pPr>
        <w:tabs>
          <w:tab w:val="num" w:pos="1740"/>
        </w:tabs>
        <w:ind w:left="1740" w:hanging="660"/>
      </w:pPr>
      <w:rPr>
        <w:rFonts w:ascii="Calibri" w:eastAsia="Times New Roman" w:hAnsi="Calibri"/>
        <w:color w:val="000000"/>
        <w:position w:val="0"/>
        <w:sz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3"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770"/>
        </w:tabs>
        <w:ind w:left="177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495"/>
        </w:tabs>
        <w:ind w:left="249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3210"/>
        </w:tabs>
        <w:ind w:left="321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930"/>
        </w:tabs>
        <w:ind w:left="393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655"/>
        </w:tabs>
        <w:ind w:left="465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370"/>
        </w:tabs>
        <w:ind w:left="537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6090"/>
        </w:tabs>
        <w:ind w:left="609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815"/>
        </w:tabs>
        <w:ind w:left="6815" w:hanging="271"/>
      </w:pPr>
      <w:rPr>
        <w:rFonts w:ascii="Calibri" w:eastAsia="Times New Roman" w:hAnsi="Calibri" w:cs="Calibri"/>
        <w:b/>
        <w:bCs/>
        <w:color w:val="000000"/>
        <w:position w:val="0"/>
        <w:sz w:val="22"/>
        <w:szCs w:val="22"/>
        <w:u w:val="single" w:color="000000"/>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8"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2"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cs="Calibri"/>
        <w:b/>
        <w:bCs/>
        <w:color w:val="000000"/>
        <w:position w:val="0"/>
        <w:sz w:val="22"/>
        <w:szCs w:val="22"/>
        <w:u w:val="single" w:color="000000"/>
      </w:rPr>
    </w:lvl>
    <w:lvl w:ilvl="1">
      <w:start w:val="2"/>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9" w15:restartNumberingAfterBreak="0">
    <w:nsid w:val="76A60E48"/>
    <w:multiLevelType w:val="hybridMultilevel"/>
    <w:tmpl w:val="0DF02AC0"/>
    <w:lvl w:ilvl="0" w:tplc="FD08D10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b/>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b/>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b/>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b/>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b/>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b/>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b/>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b/>
        <w:color w:val="000000"/>
        <w:position w:val="0"/>
        <w:sz w:val="22"/>
        <w:u w:color="000000"/>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3" w15:restartNumberingAfterBreak="0">
    <w:nsid w:val="7ACB09A0"/>
    <w:multiLevelType w:val="hybridMultilevel"/>
    <w:tmpl w:val="12546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num w:numId="1">
    <w:abstractNumId w:val="3"/>
  </w:num>
  <w:num w:numId="2">
    <w:abstractNumId w:val="5"/>
  </w:num>
  <w:num w:numId="3">
    <w:abstractNumId w:val="51"/>
  </w:num>
  <w:num w:numId="4">
    <w:abstractNumId w:val="20"/>
  </w:num>
  <w:num w:numId="5">
    <w:abstractNumId w:val="44"/>
  </w:num>
  <w:num w:numId="6">
    <w:abstractNumId w:val="25"/>
  </w:num>
  <w:num w:numId="7">
    <w:abstractNumId w:val="6"/>
  </w:num>
  <w:num w:numId="8">
    <w:abstractNumId w:val="16"/>
  </w:num>
  <w:num w:numId="9">
    <w:abstractNumId w:val="39"/>
  </w:num>
  <w:num w:numId="10">
    <w:abstractNumId w:val="0"/>
  </w:num>
  <w:num w:numId="11">
    <w:abstractNumId w:val="34"/>
  </w:num>
  <w:num w:numId="12">
    <w:abstractNumId w:val="35"/>
  </w:num>
  <w:num w:numId="13">
    <w:abstractNumId w:val="41"/>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3"/>
  </w:num>
  <w:num w:numId="42">
    <w:abstractNumId w:val="45"/>
  </w:num>
  <w:num w:numId="43">
    <w:abstractNumId w:val="46"/>
  </w:num>
  <w:num w:numId="44">
    <w:abstractNumId w:val="48"/>
  </w:num>
  <w:num w:numId="45">
    <w:abstractNumId w:val="50"/>
  </w:num>
  <w:num w:numId="46">
    <w:abstractNumId w:val="52"/>
  </w:num>
  <w:num w:numId="47">
    <w:abstractNumId w:val="54"/>
  </w:num>
  <w:num w:numId="48">
    <w:abstractNumId w:val="55"/>
  </w:num>
  <w:num w:numId="49">
    <w:abstractNumId w:val="56"/>
  </w:num>
  <w:num w:numId="50">
    <w:abstractNumId w:val="57"/>
  </w:num>
  <w:num w:numId="51">
    <w:abstractNumId w:val="19"/>
  </w:num>
  <w:num w:numId="52">
    <w:abstractNumId w:val="38"/>
  </w:num>
  <w:num w:numId="53">
    <w:abstractNumId w:val="47"/>
  </w:num>
  <w:num w:numId="54">
    <w:abstractNumId w:val="42"/>
  </w:num>
  <w:num w:numId="55">
    <w:abstractNumId w:val="4"/>
  </w:num>
  <w:num w:numId="56">
    <w:abstractNumId w:val="40"/>
  </w:num>
  <w:num w:numId="57">
    <w:abstractNumId w:val="53"/>
  </w:num>
  <w:num w:numId="58">
    <w:abstractNumId w:val="4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A85"/>
    <w:rsid w:val="00000CDA"/>
    <w:rsid w:val="00002A0F"/>
    <w:rsid w:val="00002BC7"/>
    <w:rsid w:val="000038CB"/>
    <w:rsid w:val="00006E1F"/>
    <w:rsid w:val="000070D7"/>
    <w:rsid w:val="0001788C"/>
    <w:rsid w:val="000211E8"/>
    <w:rsid w:val="00022228"/>
    <w:rsid w:val="000269BA"/>
    <w:rsid w:val="00031C64"/>
    <w:rsid w:val="00033127"/>
    <w:rsid w:val="000337EF"/>
    <w:rsid w:val="00040C3A"/>
    <w:rsid w:val="000419AD"/>
    <w:rsid w:val="0004364E"/>
    <w:rsid w:val="000437E8"/>
    <w:rsid w:val="000441F8"/>
    <w:rsid w:val="000663AD"/>
    <w:rsid w:val="000716C5"/>
    <w:rsid w:val="00075893"/>
    <w:rsid w:val="00075E23"/>
    <w:rsid w:val="00084710"/>
    <w:rsid w:val="000849F0"/>
    <w:rsid w:val="00085C88"/>
    <w:rsid w:val="0008732F"/>
    <w:rsid w:val="0009344A"/>
    <w:rsid w:val="000A392E"/>
    <w:rsid w:val="000A575F"/>
    <w:rsid w:val="000A7BDA"/>
    <w:rsid w:val="000C0BD0"/>
    <w:rsid w:val="000D10DB"/>
    <w:rsid w:val="000E55FB"/>
    <w:rsid w:val="000E5EB5"/>
    <w:rsid w:val="000F35ED"/>
    <w:rsid w:val="00107131"/>
    <w:rsid w:val="00107215"/>
    <w:rsid w:val="0010736F"/>
    <w:rsid w:val="00113A10"/>
    <w:rsid w:val="00113F73"/>
    <w:rsid w:val="001202D2"/>
    <w:rsid w:val="00121CC2"/>
    <w:rsid w:val="00123DE0"/>
    <w:rsid w:val="00132BEB"/>
    <w:rsid w:val="00133C52"/>
    <w:rsid w:val="00133EE5"/>
    <w:rsid w:val="00135EF5"/>
    <w:rsid w:val="001516B9"/>
    <w:rsid w:val="00151C27"/>
    <w:rsid w:val="001559FC"/>
    <w:rsid w:val="0015614A"/>
    <w:rsid w:val="001579E3"/>
    <w:rsid w:val="001625E6"/>
    <w:rsid w:val="0016503B"/>
    <w:rsid w:val="00167A34"/>
    <w:rsid w:val="001702AA"/>
    <w:rsid w:val="00174735"/>
    <w:rsid w:val="001770B1"/>
    <w:rsid w:val="001976CA"/>
    <w:rsid w:val="001A47A8"/>
    <w:rsid w:val="001A5488"/>
    <w:rsid w:val="001A7870"/>
    <w:rsid w:val="001B1B14"/>
    <w:rsid w:val="001B3A00"/>
    <w:rsid w:val="001B4A01"/>
    <w:rsid w:val="001C0119"/>
    <w:rsid w:val="001C1B41"/>
    <w:rsid w:val="001C5C47"/>
    <w:rsid w:val="001D0517"/>
    <w:rsid w:val="001D319F"/>
    <w:rsid w:val="001D331A"/>
    <w:rsid w:val="001D5E86"/>
    <w:rsid w:val="001D64AB"/>
    <w:rsid w:val="001D65EF"/>
    <w:rsid w:val="001E49E7"/>
    <w:rsid w:val="001F7201"/>
    <w:rsid w:val="001F76DC"/>
    <w:rsid w:val="00210292"/>
    <w:rsid w:val="002165C9"/>
    <w:rsid w:val="00223A29"/>
    <w:rsid w:val="002250A3"/>
    <w:rsid w:val="00232A51"/>
    <w:rsid w:val="00235217"/>
    <w:rsid w:val="0023552B"/>
    <w:rsid w:val="002371C6"/>
    <w:rsid w:val="00246798"/>
    <w:rsid w:val="00246D1F"/>
    <w:rsid w:val="00247403"/>
    <w:rsid w:val="00247542"/>
    <w:rsid w:val="00247CF3"/>
    <w:rsid w:val="00252864"/>
    <w:rsid w:val="002555A5"/>
    <w:rsid w:val="00255C02"/>
    <w:rsid w:val="002623DD"/>
    <w:rsid w:val="00263766"/>
    <w:rsid w:val="00263F03"/>
    <w:rsid w:val="002662B1"/>
    <w:rsid w:val="00266B61"/>
    <w:rsid w:val="0026712A"/>
    <w:rsid w:val="002704DB"/>
    <w:rsid w:val="00270FB4"/>
    <w:rsid w:val="002834FF"/>
    <w:rsid w:val="002A0AAE"/>
    <w:rsid w:val="002A5192"/>
    <w:rsid w:val="002A5820"/>
    <w:rsid w:val="002C5A73"/>
    <w:rsid w:val="002D1A65"/>
    <w:rsid w:val="002D2B26"/>
    <w:rsid w:val="002D31DA"/>
    <w:rsid w:val="002D40F1"/>
    <w:rsid w:val="002D7EA2"/>
    <w:rsid w:val="002E187C"/>
    <w:rsid w:val="002F30EC"/>
    <w:rsid w:val="002F3D2A"/>
    <w:rsid w:val="002F5BF0"/>
    <w:rsid w:val="00302733"/>
    <w:rsid w:val="003116D8"/>
    <w:rsid w:val="00312935"/>
    <w:rsid w:val="00314078"/>
    <w:rsid w:val="00314695"/>
    <w:rsid w:val="0031535D"/>
    <w:rsid w:val="00316A16"/>
    <w:rsid w:val="00316DAB"/>
    <w:rsid w:val="00320950"/>
    <w:rsid w:val="003239B8"/>
    <w:rsid w:val="0033169F"/>
    <w:rsid w:val="00337095"/>
    <w:rsid w:val="003373B4"/>
    <w:rsid w:val="00344977"/>
    <w:rsid w:val="00346C95"/>
    <w:rsid w:val="003471ED"/>
    <w:rsid w:val="003559FB"/>
    <w:rsid w:val="00356185"/>
    <w:rsid w:val="00356F4A"/>
    <w:rsid w:val="00360380"/>
    <w:rsid w:val="003611B4"/>
    <w:rsid w:val="00363299"/>
    <w:rsid w:val="00364577"/>
    <w:rsid w:val="00366AA2"/>
    <w:rsid w:val="00372E10"/>
    <w:rsid w:val="00373311"/>
    <w:rsid w:val="0037519E"/>
    <w:rsid w:val="00380186"/>
    <w:rsid w:val="00381D4D"/>
    <w:rsid w:val="00385C22"/>
    <w:rsid w:val="00386CF0"/>
    <w:rsid w:val="00391263"/>
    <w:rsid w:val="00391753"/>
    <w:rsid w:val="00392C9E"/>
    <w:rsid w:val="00395FD5"/>
    <w:rsid w:val="00396A24"/>
    <w:rsid w:val="00397550"/>
    <w:rsid w:val="003A507B"/>
    <w:rsid w:val="003B30BF"/>
    <w:rsid w:val="003B70FB"/>
    <w:rsid w:val="003C676B"/>
    <w:rsid w:val="003C719A"/>
    <w:rsid w:val="003D3BC2"/>
    <w:rsid w:val="003D6150"/>
    <w:rsid w:val="003E3E5C"/>
    <w:rsid w:val="003E6CA1"/>
    <w:rsid w:val="003F200B"/>
    <w:rsid w:val="003F3DD2"/>
    <w:rsid w:val="003F6C6C"/>
    <w:rsid w:val="003F7D75"/>
    <w:rsid w:val="004019DB"/>
    <w:rsid w:val="00405275"/>
    <w:rsid w:val="004059C4"/>
    <w:rsid w:val="00406197"/>
    <w:rsid w:val="004065A8"/>
    <w:rsid w:val="004165C2"/>
    <w:rsid w:val="00421BC8"/>
    <w:rsid w:val="004255BF"/>
    <w:rsid w:val="00430BCF"/>
    <w:rsid w:val="00432FE3"/>
    <w:rsid w:val="00433BE4"/>
    <w:rsid w:val="00441ECB"/>
    <w:rsid w:val="00445193"/>
    <w:rsid w:val="00445B8B"/>
    <w:rsid w:val="00454BDA"/>
    <w:rsid w:val="00457BDF"/>
    <w:rsid w:val="00460106"/>
    <w:rsid w:val="00460E7A"/>
    <w:rsid w:val="00462C1B"/>
    <w:rsid w:val="00467B7E"/>
    <w:rsid w:val="00473BB4"/>
    <w:rsid w:val="00477592"/>
    <w:rsid w:val="00477B4A"/>
    <w:rsid w:val="00486F1C"/>
    <w:rsid w:val="00487C26"/>
    <w:rsid w:val="00487F31"/>
    <w:rsid w:val="00491051"/>
    <w:rsid w:val="0049419D"/>
    <w:rsid w:val="004A1E14"/>
    <w:rsid w:val="004A6A54"/>
    <w:rsid w:val="004B0BE6"/>
    <w:rsid w:val="004B2EA2"/>
    <w:rsid w:val="004C20D2"/>
    <w:rsid w:val="004C2312"/>
    <w:rsid w:val="004C2AEB"/>
    <w:rsid w:val="004C2C06"/>
    <w:rsid w:val="004C4B62"/>
    <w:rsid w:val="004C54C9"/>
    <w:rsid w:val="004D05D6"/>
    <w:rsid w:val="004D3F74"/>
    <w:rsid w:val="004D4ABA"/>
    <w:rsid w:val="004D6025"/>
    <w:rsid w:val="004E2649"/>
    <w:rsid w:val="004E376D"/>
    <w:rsid w:val="004E53C5"/>
    <w:rsid w:val="004F1CEA"/>
    <w:rsid w:val="004F20FE"/>
    <w:rsid w:val="004F5625"/>
    <w:rsid w:val="00501399"/>
    <w:rsid w:val="005054E4"/>
    <w:rsid w:val="0050633D"/>
    <w:rsid w:val="00507BC4"/>
    <w:rsid w:val="005114AC"/>
    <w:rsid w:val="005128E4"/>
    <w:rsid w:val="005133DB"/>
    <w:rsid w:val="00515402"/>
    <w:rsid w:val="0051746A"/>
    <w:rsid w:val="00517991"/>
    <w:rsid w:val="00524D12"/>
    <w:rsid w:val="00525560"/>
    <w:rsid w:val="0053381E"/>
    <w:rsid w:val="00537490"/>
    <w:rsid w:val="00540F17"/>
    <w:rsid w:val="00544C49"/>
    <w:rsid w:val="0055109B"/>
    <w:rsid w:val="005516A1"/>
    <w:rsid w:val="005574B3"/>
    <w:rsid w:val="00563557"/>
    <w:rsid w:val="00565E6D"/>
    <w:rsid w:val="0057402A"/>
    <w:rsid w:val="005758F4"/>
    <w:rsid w:val="005771D0"/>
    <w:rsid w:val="00580173"/>
    <w:rsid w:val="00586B6D"/>
    <w:rsid w:val="00591838"/>
    <w:rsid w:val="0059191A"/>
    <w:rsid w:val="005921FF"/>
    <w:rsid w:val="00597945"/>
    <w:rsid w:val="005A24ED"/>
    <w:rsid w:val="005A6D0E"/>
    <w:rsid w:val="005B52B0"/>
    <w:rsid w:val="005B6806"/>
    <w:rsid w:val="005C4225"/>
    <w:rsid w:val="005D0D39"/>
    <w:rsid w:val="005D1E78"/>
    <w:rsid w:val="005D6FC4"/>
    <w:rsid w:val="005E300C"/>
    <w:rsid w:val="005E399D"/>
    <w:rsid w:val="005F0DAD"/>
    <w:rsid w:val="005F0F33"/>
    <w:rsid w:val="00600DEB"/>
    <w:rsid w:val="00603DDB"/>
    <w:rsid w:val="00606475"/>
    <w:rsid w:val="006132CC"/>
    <w:rsid w:val="00613510"/>
    <w:rsid w:val="006218E4"/>
    <w:rsid w:val="00624240"/>
    <w:rsid w:val="006242ED"/>
    <w:rsid w:val="00624508"/>
    <w:rsid w:val="00627C9F"/>
    <w:rsid w:val="00627CCE"/>
    <w:rsid w:val="006311E9"/>
    <w:rsid w:val="00632354"/>
    <w:rsid w:val="006358EA"/>
    <w:rsid w:val="0063685A"/>
    <w:rsid w:val="00642810"/>
    <w:rsid w:val="00642946"/>
    <w:rsid w:val="00644230"/>
    <w:rsid w:val="00652333"/>
    <w:rsid w:val="0066038B"/>
    <w:rsid w:val="0066213D"/>
    <w:rsid w:val="006621F4"/>
    <w:rsid w:val="00663DF4"/>
    <w:rsid w:val="00663F9E"/>
    <w:rsid w:val="00671C17"/>
    <w:rsid w:val="00677A84"/>
    <w:rsid w:val="0068009E"/>
    <w:rsid w:val="0068681D"/>
    <w:rsid w:val="00687196"/>
    <w:rsid w:val="0068758C"/>
    <w:rsid w:val="00690C58"/>
    <w:rsid w:val="00692219"/>
    <w:rsid w:val="006963BE"/>
    <w:rsid w:val="00697596"/>
    <w:rsid w:val="006A17D2"/>
    <w:rsid w:val="006A73E6"/>
    <w:rsid w:val="006B0A84"/>
    <w:rsid w:val="006B18EB"/>
    <w:rsid w:val="006B1D03"/>
    <w:rsid w:val="006B2682"/>
    <w:rsid w:val="006B2D5C"/>
    <w:rsid w:val="006B549C"/>
    <w:rsid w:val="006B67EF"/>
    <w:rsid w:val="006C4EB1"/>
    <w:rsid w:val="006D3380"/>
    <w:rsid w:val="006E0166"/>
    <w:rsid w:val="006E0241"/>
    <w:rsid w:val="006E10B3"/>
    <w:rsid w:val="006E5612"/>
    <w:rsid w:val="006E6DB0"/>
    <w:rsid w:val="006E7B34"/>
    <w:rsid w:val="006F0ECC"/>
    <w:rsid w:val="007029BC"/>
    <w:rsid w:val="0070697F"/>
    <w:rsid w:val="00706D2A"/>
    <w:rsid w:val="00715B84"/>
    <w:rsid w:val="0072199C"/>
    <w:rsid w:val="0072217C"/>
    <w:rsid w:val="00722C9F"/>
    <w:rsid w:val="007253B8"/>
    <w:rsid w:val="00727E13"/>
    <w:rsid w:val="00731169"/>
    <w:rsid w:val="00733EB8"/>
    <w:rsid w:val="00737058"/>
    <w:rsid w:val="0073741F"/>
    <w:rsid w:val="00755870"/>
    <w:rsid w:val="00761C48"/>
    <w:rsid w:val="00763227"/>
    <w:rsid w:val="0076643F"/>
    <w:rsid w:val="00773242"/>
    <w:rsid w:val="00777F63"/>
    <w:rsid w:val="0078201B"/>
    <w:rsid w:val="0078526D"/>
    <w:rsid w:val="0078604E"/>
    <w:rsid w:val="0078770A"/>
    <w:rsid w:val="00795333"/>
    <w:rsid w:val="007974D0"/>
    <w:rsid w:val="007A3FB7"/>
    <w:rsid w:val="007A5817"/>
    <w:rsid w:val="007A7756"/>
    <w:rsid w:val="007B05C4"/>
    <w:rsid w:val="007B60E9"/>
    <w:rsid w:val="007B6CC3"/>
    <w:rsid w:val="007C3334"/>
    <w:rsid w:val="007C7F72"/>
    <w:rsid w:val="007D185F"/>
    <w:rsid w:val="007D2772"/>
    <w:rsid w:val="007D2B98"/>
    <w:rsid w:val="007E21BC"/>
    <w:rsid w:val="007E5E33"/>
    <w:rsid w:val="007E6137"/>
    <w:rsid w:val="007E6ED6"/>
    <w:rsid w:val="007E7C82"/>
    <w:rsid w:val="007F2C93"/>
    <w:rsid w:val="007F588D"/>
    <w:rsid w:val="007F668C"/>
    <w:rsid w:val="00801BCF"/>
    <w:rsid w:val="008033AB"/>
    <w:rsid w:val="00803F1C"/>
    <w:rsid w:val="0080600E"/>
    <w:rsid w:val="00814CC1"/>
    <w:rsid w:val="00816ADF"/>
    <w:rsid w:val="00817612"/>
    <w:rsid w:val="008223A7"/>
    <w:rsid w:val="008269BA"/>
    <w:rsid w:val="008338A4"/>
    <w:rsid w:val="00834D49"/>
    <w:rsid w:val="00837C45"/>
    <w:rsid w:val="008423F8"/>
    <w:rsid w:val="0084252E"/>
    <w:rsid w:val="00844730"/>
    <w:rsid w:val="008457C2"/>
    <w:rsid w:val="008506B3"/>
    <w:rsid w:val="00854F67"/>
    <w:rsid w:val="00857A82"/>
    <w:rsid w:val="00861289"/>
    <w:rsid w:val="00864DDB"/>
    <w:rsid w:val="00873836"/>
    <w:rsid w:val="00882517"/>
    <w:rsid w:val="008844D0"/>
    <w:rsid w:val="00885737"/>
    <w:rsid w:val="0088585B"/>
    <w:rsid w:val="00886412"/>
    <w:rsid w:val="00890650"/>
    <w:rsid w:val="008924F9"/>
    <w:rsid w:val="0089366B"/>
    <w:rsid w:val="00897E12"/>
    <w:rsid w:val="008A0839"/>
    <w:rsid w:val="008A7E0F"/>
    <w:rsid w:val="008B12F5"/>
    <w:rsid w:val="008C0E32"/>
    <w:rsid w:val="008C431A"/>
    <w:rsid w:val="008D68AE"/>
    <w:rsid w:val="008D6A46"/>
    <w:rsid w:val="008D7286"/>
    <w:rsid w:val="008D768D"/>
    <w:rsid w:val="008E3759"/>
    <w:rsid w:val="008E3BFE"/>
    <w:rsid w:val="008E4BA0"/>
    <w:rsid w:val="008E5EBB"/>
    <w:rsid w:val="008F0766"/>
    <w:rsid w:val="008F1912"/>
    <w:rsid w:val="008F7A8E"/>
    <w:rsid w:val="008F7D6B"/>
    <w:rsid w:val="0090270B"/>
    <w:rsid w:val="009030D1"/>
    <w:rsid w:val="009041DC"/>
    <w:rsid w:val="009049FB"/>
    <w:rsid w:val="00906EA8"/>
    <w:rsid w:val="00917B5A"/>
    <w:rsid w:val="00920A58"/>
    <w:rsid w:val="00920A8C"/>
    <w:rsid w:val="00921361"/>
    <w:rsid w:val="00922B45"/>
    <w:rsid w:val="00923F6D"/>
    <w:rsid w:val="00934A2C"/>
    <w:rsid w:val="00935AC1"/>
    <w:rsid w:val="009465C7"/>
    <w:rsid w:val="00947FDD"/>
    <w:rsid w:val="00951A78"/>
    <w:rsid w:val="0096706E"/>
    <w:rsid w:val="0097061E"/>
    <w:rsid w:val="00974491"/>
    <w:rsid w:val="00975C4E"/>
    <w:rsid w:val="00975DC7"/>
    <w:rsid w:val="00980ACB"/>
    <w:rsid w:val="00981FBA"/>
    <w:rsid w:val="00984A8E"/>
    <w:rsid w:val="00986151"/>
    <w:rsid w:val="00997BC5"/>
    <w:rsid w:val="009A4695"/>
    <w:rsid w:val="009A4F41"/>
    <w:rsid w:val="009B184E"/>
    <w:rsid w:val="009B381B"/>
    <w:rsid w:val="009B3C49"/>
    <w:rsid w:val="009B7794"/>
    <w:rsid w:val="009C24B3"/>
    <w:rsid w:val="009C2A97"/>
    <w:rsid w:val="009C3F43"/>
    <w:rsid w:val="009D1753"/>
    <w:rsid w:val="009D486B"/>
    <w:rsid w:val="009D581C"/>
    <w:rsid w:val="009D7611"/>
    <w:rsid w:val="009E0B61"/>
    <w:rsid w:val="009E0E57"/>
    <w:rsid w:val="009E5356"/>
    <w:rsid w:val="009E53DE"/>
    <w:rsid w:val="009F445E"/>
    <w:rsid w:val="009F78D1"/>
    <w:rsid w:val="00A031C9"/>
    <w:rsid w:val="00A06312"/>
    <w:rsid w:val="00A1156B"/>
    <w:rsid w:val="00A11E44"/>
    <w:rsid w:val="00A328B3"/>
    <w:rsid w:val="00A3719F"/>
    <w:rsid w:val="00A40A59"/>
    <w:rsid w:val="00A42A85"/>
    <w:rsid w:val="00A42DD8"/>
    <w:rsid w:val="00A43FDB"/>
    <w:rsid w:val="00A44C54"/>
    <w:rsid w:val="00A50FCF"/>
    <w:rsid w:val="00A528D1"/>
    <w:rsid w:val="00A52EF1"/>
    <w:rsid w:val="00A5752B"/>
    <w:rsid w:val="00A60A42"/>
    <w:rsid w:val="00A610CD"/>
    <w:rsid w:val="00A716A8"/>
    <w:rsid w:val="00A721F6"/>
    <w:rsid w:val="00A758AA"/>
    <w:rsid w:val="00A81ADF"/>
    <w:rsid w:val="00A8286B"/>
    <w:rsid w:val="00A85EC3"/>
    <w:rsid w:val="00A9574E"/>
    <w:rsid w:val="00A97B45"/>
    <w:rsid w:val="00AA09A2"/>
    <w:rsid w:val="00AA7996"/>
    <w:rsid w:val="00AB1A39"/>
    <w:rsid w:val="00AC19CB"/>
    <w:rsid w:val="00AC22D6"/>
    <w:rsid w:val="00AD3684"/>
    <w:rsid w:val="00AD5788"/>
    <w:rsid w:val="00AD7D00"/>
    <w:rsid w:val="00AE28BA"/>
    <w:rsid w:val="00AE5488"/>
    <w:rsid w:val="00AE6F91"/>
    <w:rsid w:val="00AE7AB7"/>
    <w:rsid w:val="00AF5571"/>
    <w:rsid w:val="00B07341"/>
    <w:rsid w:val="00B1038D"/>
    <w:rsid w:val="00B1383F"/>
    <w:rsid w:val="00B30539"/>
    <w:rsid w:val="00B314DB"/>
    <w:rsid w:val="00B344C8"/>
    <w:rsid w:val="00B3548E"/>
    <w:rsid w:val="00B361F2"/>
    <w:rsid w:val="00B3718B"/>
    <w:rsid w:val="00B4369B"/>
    <w:rsid w:val="00B43EC2"/>
    <w:rsid w:val="00B4632A"/>
    <w:rsid w:val="00B47449"/>
    <w:rsid w:val="00B5212E"/>
    <w:rsid w:val="00B530C4"/>
    <w:rsid w:val="00B530F1"/>
    <w:rsid w:val="00B625F8"/>
    <w:rsid w:val="00B70C4C"/>
    <w:rsid w:val="00B76591"/>
    <w:rsid w:val="00B769B9"/>
    <w:rsid w:val="00B804A0"/>
    <w:rsid w:val="00B83D13"/>
    <w:rsid w:val="00B92847"/>
    <w:rsid w:val="00B92F61"/>
    <w:rsid w:val="00B94EFC"/>
    <w:rsid w:val="00BA276C"/>
    <w:rsid w:val="00BB306F"/>
    <w:rsid w:val="00BB4D5E"/>
    <w:rsid w:val="00BC1EE3"/>
    <w:rsid w:val="00BC6807"/>
    <w:rsid w:val="00BD4B89"/>
    <w:rsid w:val="00BD5922"/>
    <w:rsid w:val="00BE120D"/>
    <w:rsid w:val="00BE54AD"/>
    <w:rsid w:val="00BF02CB"/>
    <w:rsid w:val="00BF0DA0"/>
    <w:rsid w:val="00BF5833"/>
    <w:rsid w:val="00BF6FD8"/>
    <w:rsid w:val="00C00FB9"/>
    <w:rsid w:val="00C02B72"/>
    <w:rsid w:val="00C03680"/>
    <w:rsid w:val="00C054DF"/>
    <w:rsid w:val="00C11CDC"/>
    <w:rsid w:val="00C13B49"/>
    <w:rsid w:val="00C15FD9"/>
    <w:rsid w:val="00C17332"/>
    <w:rsid w:val="00C21762"/>
    <w:rsid w:val="00C21FEF"/>
    <w:rsid w:val="00C24543"/>
    <w:rsid w:val="00C25671"/>
    <w:rsid w:val="00C256A2"/>
    <w:rsid w:val="00C3182B"/>
    <w:rsid w:val="00C350A4"/>
    <w:rsid w:val="00C372D0"/>
    <w:rsid w:val="00C416CC"/>
    <w:rsid w:val="00C44576"/>
    <w:rsid w:val="00C51515"/>
    <w:rsid w:val="00C53520"/>
    <w:rsid w:val="00C5660B"/>
    <w:rsid w:val="00C63C94"/>
    <w:rsid w:val="00C66B72"/>
    <w:rsid w:val="00C67474"/>
    <w:rsid w:val="00C75C8C"/>
    <w:rsid w:val="00C77497"/>
    <w:rsid w:val="00C86C53"/>
    <w:rsid w:val="00C874FB"/>
    <w:rsid w:val="00C87AC4"/>
    <w:rsid w:val="00C9567A"/>
    <w:rsid w:val="00C9784B"/>
    <w:rsid w:val="00C979B1"/>
    <w:rsid w:val="00CA3FF6"/>
    <w:rsid w:val="00CA508C"/>
    <w:rsid w:val="00CB1A04"/>
    <w:rsid w:val="00CB212D"/>
    <w:rsid w:val="00CB24A0"/>
    <w:rsid w:val="00CB2660"/>
    <w:rsid w:val="00CB28F0"/>
    <w:rsid w:val="00CB2C39"/>
    <w:rsid w:val="00CB6043"/>
    <w:rsid w:val="00CB7F62"/>
    <w:rsid w:val="00CC5E90"/>
    <w:rsid w:val="00CC5F20"/>
    <w:rsid w:val="00CC7372"/>
    <w:rsid w:val="00CD046C"/>
    <w:rsid w:val="00CE0425"/>
    <w:rsid w:val="00CE076C"/>
    <w:rsid w:val="00CE28E6"/>
    <w:rsid w:val="00CE5199"/>
    <w:rsid w:val="00CE66D5"/>
    <w:rsid w:val="00CF3E01"/>
    <w:rsid w:val="00CF637A"/>
    <w:rsid w:val="00D02EFC"/>
    <w:rsid w:val="00D0345B"/>
    <w:rsid w:val="00D059DE"/>
    <w:rsid w:val="00D05ABD"/>
    <w:rsid w:val="00D06960"/>
    <w:rsid w:val="00D133DF"/>
    <w:rsid w:val="00D13FCE"/>
    <w:rsid w:val="00D1519C"/>
    <w:rsid w:val="00D306D1"/>
    <w:rsid w:val="00D30800"/>
    <w:rsid w:val="00D33A79"/>
    <w:rsid w:val="00D3467E"/>
    <w:rsid w:val="00D34786"/>
    <w:rsid w:val="00D37BFC"/>
    <w:rsid w:val="00D37EDC"/>
    <w:rsid w:val="00D43FAC"/>
    <w:rsid w:val="00D47A8E"/>
    <w:rsid w:val="00D52D14"/>
    <w:rsid w:val="00D6116C"/>
    <w:rsid w:val="00D63511"/>
    <w:rsid w:val="00D712D3"/>
    <w:rsid w:val="00D71422"/>
    <w:rsid w:val="00D72DC6"/>
    <w:rsid w:val="00D7558D"/>
    <w:rsid w:val="00D75D25"/>
    <w:rsid w:val="00D76DF7"/>
    <w:rsid w:val="00D81B8F"/>
    <w:rsid w:val="00D81D92"/>
    <w:rsid w:val="00D876F9"/>
    <w:rsid w:val="00D879DF"/>
    <w:rsid w:val="00D92ED2"/>
    <w:rsid w:val="00D951AF"/>
    <w:rsid w:val="00DA2B5B"/>
    <w:rsid w:val="00DA7B5F"/>
    <w:rsid w:val="00DA7BAE"/>
    <w:rsid w:val="00DB0774"/>
    <w:rsid w:val="00DB528C"/>
    <w:rsid w:val="00DC11E7"/>
    <w:rsid w:val="00DC3319"/>
    <w:rsid w:val="00DC675A"/>
    <w:rsid w:val="00DC7023"/>
    <w:rsid w:val="00DC769A"/>
    <w:rsid w:val="00DD3D86"/>
    <w:rsid w:val="00DD5B0F"/>
    <w:rsid w:val="00DD7B18"/>
    <w:rsid w:val="00DF1EC4"/>
    <w:rsid w:val="00DF5B69"/>
    <w:rsid w:val="00DF7577"/>
    <w:rsid w:val="00E0340B"/>
    <w:rsid w:val="00E03DE4"/>
    <w:rsid w:val="00E04A90"/>
    <w:rsid w:val="00E0551F"/>
    <w:rsid w:val="00E16066"/>
    <w:rsid w:val="00E16B3D"/>
    <w:rsid w:val="00E176D2"/>
    <w:rsid w:val="00E219C7"/>
    <w:rsid w:val="00E23AFD"/>
    <w:rsid w:val="00E271BA"/>
    <w:rsid w:val="00E355B8"/>
    <w:rsid w:val="00E3777F"/>
    <w:rsid w:val="00E4118C"/>
    <w:rsid w:val="00E41A34"/>
    <w:rsid w:val="00E427C3"/>
    <w:rsid w:val="00E43157"/>
    <w:rsid w:val="00E461CE"/>
    <w:rsid w:val="00E50C73"/>
    <w:rsid w:val="00E5456C"/>
    <w:rsid w:val="00E67E76"/>
    <w:rsid w:val="00E71312"/>
    <w:rsid w:val="00E719B9"/>
    <w:rsid w:val="00E71A16"/>
    <w:rsid w:val="00E720CA"/>
    <w:rsid w:val="00E73369"/>
    <w:rsid w:val="00E84EB5"/>
    <w:rsid w:val="00E85662"/>
    <w:rsid w:val="00E8789F"/>
    <w:rsid w:val="00E943B1"/>
    <w:rsid w:val="00E97B71"/>
    <w:rsid w:val="00EA00C7"/>
    <w:rsid w:val="00EA3BB0"/>
    <w:rsid w:val="00EA3D34"/>
    <w:rsid w:val="00EA5DAB"/>
    <w:rsid w:val="00EB2F22"/>
    <w:rsid w:val="00EB454D"/>
    <w:rsid w:val="00EB4EE8"/>
    <w:rsid w:val="00EB679D"/>
    <w:rsid w:val="00EB7B84"/>
    <w:rsid w:val="00EC0B9E"/>
    <w:rsid w:val="00EC1858"/>
    <w:rsid w:val="00EC33A0"/>
    <w:rsid w:val="00EC4F50"/>
    <w:rsid w:val="00EC7D62"/>
    <w:rsid w:val="00ED21FF"/>
    <w:rsid w:val="00ED24AC"/>
    <w:rsid w:val="00ED2B0A"/>
    <w:rsid w:val="00ED499C"/>
    <w:rsid w:val="00ED549D"/>
    <w:rsid w:val="00ED76BE"/>
    <w:rsid w:val="00EE00E9"/>
    <w:rsid w:val="00EE7B70"/>
    <w:rsid w:val="00EF3BF4"/>
    <w:rsid w:val="00EF619B"/>
    <w:rsid w:val="00F00B55"/>
    <w:rsid w:val="00F00E7E"/>
    <w:rsid w:val="00F01F87"/>
    <w:rsid w:val="00F02AD1"/>
    <w:rsid w:val="00F10532"/>
    <w:rsid w:val="00F253CC"/>
    <w:rsid w:val="00F37106"/>
    <w:rsid w:val="00F44E80"/>
    <w:rsid w:val="00F503AF"/>
    <w:rsid w:val="00F519CF"/>
    <w:rsid w:val="00F56BA5"/>
    <w:rsid w:val="00F570F1"/>
    <w:rsid w:val="00F60E22"/>
    <w:rsid w:val="00F72F15"/>
    <w:rsid w:val="00F81395"/>
    <w:rsid w:val="00F81BB8"/>
    <w:rsid w:val="00F81EBA"/>
    <w:rsid w:val="00F900A1"/>
    <w:rsid w:val="00F917D1"/>
    <w:rsid w:val="00F924BE"/>
    <w:rsid w:val="00F9653B"/>
    <w:rsid w:val="00F9707D"/>
    <w:rsid w:val="00FA1AAA"/>
    <w:rsid w:val="00FA22D7"/>
    <w:rsid w:val="00FB3EF8"/>
    <w:rsid w:val="00FB4E75"/>
    <w:rsid w:val="00FB62CF"/>
    <w:rsid w:val="00FC1A5A"/>
    <w:rsid w:val="00FC2B4A"/>
    <w:rsid w:val="00FD15E3"/>
    <w:rsid w:val="00FD3C3B"/>
    <w:rsid w:val="00FE07DD"/>
    <w:rsid w:val="00FE6A12"/>
    <w:rsid w:val="00FE6B45"/>
    <w:rsid w:val="00FF437B"/>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D6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sz w:val="22"/>
        <w:szCs w:val="22"/>
        <w:lang w:val="es-PA" w:eastAsia="es-P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A0F"/>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paragraph" w:styleId="Heading1">
    <w:name w:val="heading 1"/>
    <w:basedOn w:val="Normal"/>
    <w:next w:val="Normal"/>
    <w:link w:val="Heading1Char"/>
    <w:uiPriority w:val="99"/>
    <w:qFormat/>
    <w:rsid w:val="00D81D92"/>
    <w:pPr>
      <w:keepNext/>
      <w:keepLines/>
      <w:numPr>
        <w:numId w:val="53"/>
      </w:numPr>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D92"/>
    <w:rPr>
      <w:rFonts w:ascii="Cambria" w:eastAsia="MS Gothic" w:hAnsi="Cambria"/>
      <w:b/>
      <w:bCs/>
      <w:color w:val="365F91"/>
      <w:sz w:val="28"/>
      <w:szCs w:val="28"/>
      <w:lang w:val="en-US" w:eastAsia="en-US"/>
    </w:rPr>
  </w:style>
  <w:style w:type="character" w:customStyle="1" w:styleId="Heading2Char">
    <w:name w:val="Heading 2 Char"/>
    <w:basedOn w:val="DefaultParagraphFont"/>
    <w:link w:val="Heading2"/>
    <w:uiPriority w:val="99"/>
    <w:locked/>
    <w:rsid w:val="00DF1EC4"/>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DF1EC4"/>
    <w:rPr>
      <w:rFonts w:ascii="Arial" w:hAnsi="Arial" w:cs="Arial"/>
      <w:b/>
      <w:bCs/>
      <w:sz w:val="26"/>
      <w:szCs w:val="26"/>
      <w:lang w:val="en-US" w:eastAsia="en-US"/>
    </w:rPr>
  </w:style>
  <w:style w:type="character" w:styleId="Hyperlink">
    <w:name w:val="Hyperlink"/>
    <w:basedOn w:val="DefaultParagraphFont"/>
    <w:uiPriority w:val="99"/>
    <w:rsid w:val="00002A0F"/>
    <w:rPr>
      <w:rFonts w:cs="Times New Roman"/>
      <w:u w:val="single"/>
    </w:rPr>
  </w:style>
  <w:style w:type="paragraph" w:customStyle="1" w:styleId="Cabeceraypie">
    <w:name w:val="Cabecera y pie"/>
    <w:uiPriority w:val="99"/>
    <w:rsid w:val="00002A0F"/>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s-ES" w:eastAsia="es-ES"/>
    </w:rPr>
  </w:style>
  <w:style w:type="paragraph" w:styleId="Footer">
    <w:name w:val="footer"/>
    <w:basedOn w:val="Normal"/>
    <w:link w:val="FooterChar"/>
    <w:uiPriority w:val="99"/>
    <w:rsid w:val="00002A0F"/>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A50FCF"/>
    <w:rPr>
      <w:rFonts w:ascii="Cambria" w:eastAsia="Times New Roman" w:hAnsi="Cambria" w:cs="Cambria"/>
      <w:color w:val="000000"/>
      <w:sz w:val="24"/>
      <w:szCs w:val="24"/>
      <w:u w:color="000000"/>
      <w:lang w:val="en-US" w:eastAsia="es-ES" w:bidi="ar-SA"/>
    </w:rPr>
  </w:style>
  <w:style w:type="paragraph" w:customStyle="1" w:styleId="Cuerpo">
    <w:name w:val="Cuerpo"/>
    <w:uiPriority w:val="99"/>
    <w:rsid w:val="00002A0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002A0F"/>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rsid w:val="00150DEC"/>
    <w:rPr>
      <w:sz w:val="24"/>
      <w:szCs w:val="24"/>
      <w:lang w:val="en-US" w:eastAsia="en-US"/>
    </w:rPr>
  </w:style>
  <w:style w:type="paragraph" w:styleId="ListParagraph">
    <w:name w:val="List Paragraph"/>
    <w:basedOn w:val="Normal"/>
    <w:uiPriority w:val="99"/>
    <w:qFormat/>
    <w:rsid w:val="00002A0F"/>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
    <w:basedOn w:val="Normal"/>
    <w:link w:val="FootnoteTextChar2"/>
    <w:uiPriority w:val="99"/>
    <w:rsid w:val="00002A0F"/>
    <w:rPr>
      <w:rFonts w:ascii="Calibri" w:hAnsi="Calibri"/>
      <w:color w:val="000000"/>
      <w:sz w:val="20"/>
      <w:szCs w:val="20"/>
      <w:u w:color="000000"/>
      <w:lang w:eastAsia="es-PA"/>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uiPriority w:val="99"/>
    <w:semiHidden/>
    <w:rsid w:val="00150DEC"/>
    <w:rPr>
      <w:sz w:val="20"/>
      <w:szCs w:val="20"/>
      <w:lang w:val="en-US" w:eastAsia="en-US"/>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basedOn w:val="DefaultParagraphFont"/>
    <w:uiPriority w:val="99"/>
    <w:rsid w:val="00040C3A"/>
    <w:rPr>
      <w:rFonts w:cs="Times New Roman"/>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locked/>
    <w:rsid w:val="000F35ED"/>
    <w:rPr>
      <w:rFonts w:cs="Times New Roman"/>
      <w:vertAlign w:val="superscript"/>
    </w:rPr>
  </w:style>
  <w:style w:type="paragraph" w:styleId="BodyTextIndent2">
    <w:name w:val="Body Text Indent 2"/>
    <w:basedOn w:val="Normal"/>
    <w:link w:val="BodyTextIndent2Char"/>
    <w:uiPriority w:val="99"/>
    <w:semiHidden/>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0F35ED"/>
    <w:rPr>
      <w:rFonts w:cs="Times New Roman"/>
      <w:sz w:val="24"/>
      <w:szCs w:val="24"/>
      <w:lang w:val="en-US" w:eastAsia="en-US"/>
    </w:rPr>
  </w:style>
  <w:style w:type="paragraph" w:styleId="BodyText">
    <w:name w:val="Body Text"/>
    <w:basedOn w:val="Normal"/>
    <w:link w:val="BodyTextChar"/>
    <w:uiPriority w:val="99"/>
    <w:semiHidden/>
    <w:rsid w:val="0031535D"/>
    <w:pPr>
      <w:spacing w:after="120"/>
    </w:pPr>
  </w:style>
  <w:style w:type="character" w:customStyle="1" w:styleId="BodyTextChar">
    <w:name w:val="Body Text Char"/>
    <w:basedOn w:val="DefaultParagraphFont"/>
    <w:link w:val="BodyText"/>
    <w:uiPriority w:val="99"/>
    <w:semiHidden/>
    <w:locked/>
    <w:rsid w:val="0031535D"/>
    <w:rPr>
      <w:rFonts w:cs="Times New Roman"/>
      <w:sz w:val="24"/>
      <w:szCs w:val="24"/>
      <w:lang w:val="en-US" w:eastAsia="en-US"/>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link w:val="FootnoteText"/>
    <w:uiPriority w:val="99"/>
    <w:locked/>
    <w:rsid w:val="0031535D"/>
    <w:rPr>
      <w:rFonts w:ascii="Calibri" w:eastAsia="Times New Roman" w:hAnsi="Calibri"/>
      <w:color w:val="000000"/>
      <w:u w:color="000000"/>
      <w:lang w:val="en-US"/>
    </w:rPr>
  </w:style>
  <w:style w:type="paragraph" w:customStyle="1" w:styleId="Default">
    <w:name w:val="Default"/>
    <w:link w:val="DefaultChar"/>
    <w:uiPriority w:val="99"/>
    <w:rsid w:val="00DF1EC4"/>
    <w:pPr>
      <w:pBdr>
        <w:top w:val="none" w:sz="96" w:space="31" w:color="FFFFFF" w:frame="1"/>
        <w:left w:val="none" w:sz="96" w:space="31" w:color="FFFFFF" w:frame="1"/>
        <w:bottom w:val="none" w:sz="96" w:space="31" w:color="FFFFFF" w:frame="1"/>
        <w:right w:val="none" w:sz="96" w:space="31" w:color="FFFFFF" w:frame="1"/>
        <w:bar w:val="none" w:sz="0" w:color="000000"/>
      </w:pBdr>
      <w:autoSpaceDE w:val="0"/>
      <w:autoSpaceDN w:val="0"/>
      <w:adjustRightInd w:val="0"/>
    </w:pPr>
    <w:rPr>
      <w:rFonts w:eastAsia="Times New Roman"/>
      <w:color w:val="000000"/>
      <w:sz w:val="24"/>
      <w:szCs w:val="24"/>
      <w:lang w:val="en-US" w:eastAsia="en-US"/>
    </w:rPr>
  </w:style>
  <w:style w:type="paragraph" w:styleId="EndnoteText">
    <w:name w:val="endnote text"/>
    <w:basedOn w:val="Normal"/>
    <w:link w:val="EndnoteTextChar"/>
    <w:uiPriority w:val="99"/>
    <w:rsid w:val="00DF1EC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rPr>
  </w:style>
  <w:style w:type="character" w:customStyle="1" w:styleId="EndnoteTextChar">
    <w:name w:val="Endnote Text Char"/>
    <w:basedOn w:val="DefaultParagraphFont"/>
    <w:link w:val="EndnoteText"/>
    <w:uiPriority w:val="99"/>
    <w:locked/>
    <w:rsid w:val="00DF1EC4"/>
    <w:rPr>
      <w:rFonts w:eastAsia="Times New Roman" w:cs="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4"/>
      <w:lang w:val="en-US" w:eastAsia="en-US"/>
    </w:rPr>
  </w:style>
  <w:style w:type="table" w:styleId="TableGrid">
    <w:name w:val="Table Grid"/>
    <w:basedOn w:val="TableNormal"/>
    <w:uiPriority w:val="99"/>
    <w:rsid w:val="003239B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91838"/>
    <w:rPr>
      <w:rFonts w:cs="Times New Roman"/>
      <w:sz w:val="16"/>
      <w:szCs w:val="16"/>
    </w:rPr>
  </w:style>
  <w:style w:type="paragraph" w:styleId="CommentText">
    <w:name w:val="annotation text"/>
    <w:basedOn w:val="Normal"/>
    <w:link w:val="CommentTextChar"/>
    <w:uiPriority w:val="99"/>
    <w:semiHidden/>
    <w:rsid w:val="00591838"/>
    <w:rPr>
      <w:sz w:val="20"/>
      <w:szCs w:val="20"/>
    </w:rPr>
  </w:style>
  <w:style w:type="character" w:customStyle="1" w:styleId="CommentTextChar">
    <w:name w:val="Comment Text Char"/>
    <w:basedOn w:val="DefaultParagraphFont"/>
    <w:link w:val="CommentText"/>
    <w:uiPriority w:val="99"/>
    <w:semiHidden/>
    <w:locked/>
    <w:rsid w:val="00591838"/>
    <w:rPr>
      <w:rFonts w:cs="Times New Roman"/>
      <w:lang w:val="en-US" w:eastAsia="en-US"/>
    </w:rPr>
  </w:style>
  <w:style w:type="paragraph" w:styleId="CommentSubject">
    <w:name w:val="annotation subject"/>
    <w:basedOn w:val="CommentText"/>
    <w:next w:val="CommentText"/>
    <w:link w:val="CommentSubjectChar"/>
    <w:uiPriority w:val="99"/>
    <w:semiHidden/>
    <w:rsid w:val="00135EF5"/>
    <w:rPr>
      <w:b/>
      <w:bCs/>
    </w:rPr>
  </w:style>
  <w:style w:type="character" w:customStyle="1" w:styleId="CommentSubjectChar">
    <w:name w:val="Comment Subject Char"/>
    <w:basedOn w:val="CommentTextChar"/>
    <w:link w:val="CommentSubject"/>
    <w:uiPriority w:val="99"/>
    <w:semiHidden/>
    <w:locked/>
    <w:rsid w:val="00135EF5"/>
    <w:rPr>
      <w:rFonts w:cs="Times New Roman"/>
      <w:b/>
      <w:bCs/>
      <w:lang w:val="en-US" w:eastAsia="en-US"/>
    </w:rPr>
  </w:style>
  <w:style w:type="paragraph" w:customStyle="1" w:styleId="negritamayuscula">
    <w:name w:val="negrita mayuscula"/>
    <w:basedOn w:val="Normal"/>
    <w:uiPriority w:val="99"/>
    <w:rsid w:val="00C11CDC"/>
    <w:pPr>
      <w:widowControl w:val="0"/>
      <w:pBdr>
        <w:top w:val="none" w:sz="0" w:space="0" w:color="auto"/>
        <w:left w:val="none" w:sz="0" w:space="0" w:color="auto"/>
        <w:bottom w:val="none" w:sz="0" w:space="0" w:color="auto"/>
        <w:right w:val="none" w:sz="0" w:space="0" w:color="auto"/>
        <w:bar w:val="none" w:sz="0" w:color="auto"/>
      </w:pBdr>
      <w:tabs>
        <w:tab w:val="left" w:pos="1120"/>
      </w:tabs>
      <w:spacing w:line="360" w:lineRule="atLeast"/>
      <w:jc w:val="both"/>
    </w:pPr>
    <w:rPr>
      <w:rFonts w:ascii="Garamond" w:hAnsi="Garamond"/>
      <w:szCs w:val="20"/>
      <w:lang w:val="es-ES_tradnl" w:eastAsia="es-E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10532"/>
    <w:rPr>
      <w:rFonts w:ascii="Calibri" w:eastAsia="Times New Roman" w:hAnsi="Calibri"/>
      <w:color w:val="000000"/>
      <w:u w:color="000000"/>
      <w:lang w:val="en-U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F10532"/>
    <w:pPr>
      <w:pBdr>
        <w:top w:val="none" w:sz="0" w:space="0" w:color="auto"/>
        <w:left w:val="none" w:sz="0" w:space="0" w:color="auto"/>
        <w:bottom w:val="none" w:sz="0" w:space="0" w:color="auto"/>
        <w:right w:val="none" w:sz="0" w:space="0" w:color="auto"/>
        <w:bar w:val="none" w:sz="0" w:color="auto"/>
      </w:pBdr>
      <w:jc w:val="both"/>
    </w:pPr>
    <w:rPr>
      <w:noProof/>
      <w:sz w:val="20"/>
      <w:szCs w:val="20"/>
      <w:vertAlign w:val="superscript"/>
      <w:lang w:val="es-PA" w:eastAsia="es-PA"/>
    </w:rPr>
  </w:style>
  <w:style w:type="numbering" w:customStyle="1" w:styleId="List16">
    <w:name w:val="List 16"/>
    <w:rsid w:val="00150DEC"/>
    <w:pPr>
      <w:numPr>
        <w:numId w:val="10"/>
      </w:numPr>
    </w:pPr>
  </w:style>
  <w:style w:type="numbering" w:customStyle="1" w:styleId="List36">
    <w:name w:val="List 36"/>
    <w:rsid w:val="00150DEC"/>
    <w:pPr>
      <w:numPr>
        <w:numId w:val="14"/>
      </w:numPr>
    </w:pPr>
  </w:style>
  <w:style w:type="numbering" w:customStyle="1" w:styleId="List25">
    <w:name w:val="List 25"/>
    <w:rsid w:val="00150DEC"/>
    <w:pPr>
      <w:numPr>
        <w:numId w:val="15"/>
      </w:numPr>
    </w:pPr>
  </w:style>
  <w:style w:type="numbering" w:customStyle="1" w:styleId="List1">
    <w:name w:val="List 1"/>
    <w:rsid w:val="00150DEC"/>
    <w:pPr>
      <w:numPr>
        <w:numId w:val="1"/>
      </w:numPr>
    </w:pPr>
  </w:style>
  <w:style w:type="numbering" w:customStyle="1" w:styleId="List41">
    <w:name w:val="List 41"/>
    <w:rsid w:val="00150DEC"/>
    <w:pPr>
      <w:numPr>
        <w:numId w:val="2"/>
      </w:numPr>
    </w:pPr>
  </w:style>
  <w:style w:type="numbering" w:customStyle="1" w:styleId="List11">
    <w:name w:val="List 11"/>
    <w:rsid w:val="00150DEC"/>
    <w:pPr>
      <w:numPr>
        <w:numId w:val="7"/>
      </w:numPr>
    </w:pPr>
  </w:style>
  <w:style w:type="numbering" w:customStyle="1" w:styleId="List15">
    <w:name w:val="List 15"/>
    <w:rsid w:val="00150DEC"/>
    <w:pPr>
      <w:numPr>
        <w:numId w:val="16"/>
      </w:numPr>
    </w:pPr>
  </w:style>
  <w:style w:type="numbering" w:customStyle="1" w:styleId="List14">
    <w:name w:val="List 14"/>
    <w:rsid w:val="00150DEC"/>
    <w:pPr>
      <w:numPr>
        <w:numId w:val="17"/>
      </w:numPr>
    </w:pPr>
  </w:style>
  <w:style w:type="numbering" w:customStyle="1" w:styleId="List23">
    <w:name w:val="List 23"/>
    <w:rsid w:val="00150DEC"/>
    <w:pPr>
      <w:numPr>
        <w:numId w:val="18"/>
      </w:numPr>
    </w:pPr>
  </w:style>
  <w:style w:type="numbering" w:customStyle="1" w:styleId="List19">
    <w:name w:val="List 19"/>
    <w:rsid w:val="00150DEC"/>
    <w:pPr>
      <w:numPr>
        <w:numId w:val="19"/>
      </w:numPr>
    </w:pPr>
  </w:style>
  <w:style w:type="numbering" w:customStyle="1" w:styleId="List45">
    <w:name w:val="List 45"/>
    <w:rsid w:val="00150DEC"/>
    <w:pPr>
      <w:numPr>
        <w:numId w:val="20"/>
      </w:numPr>
    </w:pPr>
  </w:style>
  <w:style w:type="numbering" w:customStyle="1" w:styleId="List40">
    <w:name w:val="List 40"/>
    <w:rsid w:val="00150DEC"/>
    <w:pPr>
      <w:numPr>
        <w:numId w:val="21"/>
      </w:numPr>
    </w:pPr>
  </w:style>
  <w:style w:type="numbering" w:customStyle="1" w:styleId="List9">
    <w:name w:val="List 9"/>
    <w:rsid w:val="00150DEC"/>
    <w:pPr>
      <w:numPr>
        <w:numId w:val="22"/>
      </w:numPr>
    </w:pPr>
  </w:style>
  <w:style w:type="numbering" w:customStyle="1" w:styleId="List43">
    <w:name w:val="List 43"/>
    <w:rsid w:val="00150DEC"/>
    <w:pPr>
      <w:numPr>
        <w:numId w:val="23"/>
      </w:numPr>
    </w:pPr>
  </w:style>
  <w:style w:type="numbering" w:customStyle="1" w:styleId="List46">
    <w:name w:val="List 46"/>
    <w:rsid w:val="00150DEC"/>
    <w:pPr>
      <w:numPr>
        <w:numId w:val="24"/>
      </w:numPr>
    </w:pPr>
  </w:style>
  <w:style w:type="numbering" w:customStyle="1" w:styleId="List35">
    <w:name w:val="List 35"/>
    <w:rsid w:val="00150DEC"/>
    <w:pPr>
      <w:numPr>
        <w:numId w:val="8"/>
      </w:numPr>
    </w:pPr>
  </w:style>
  <w:style w:type="numbering" w:customStyle="1" w:styleId="List17">
    <w:name w:val="List 17"/>
    <w:rsid w:val="00150DEC"/>
    <w:pPr>
      <w:numPr>
        <w:numId w:val="25"/>
      </w:numPr>
    </w:pPr>
  </w:style>
  <w:style w:type="numbering" w:customStyle="1" w:styleId="List33">
    <w:name w:val="List 33"/>
    <w:rsid w:val="00150DEC"/>
    <w:pPr>
      <w:numPr>
        <w:numId w:val="26"/>
      </w:numPr>
    </w:pPr>
  </w:style>
  <w:style w:type="numbering" w:customStyle="1" w:styleId="List31">
    <w:name w:val="List 31"/>
    <w:rsid w:val="00150DEC"/>
    <w:pPr>
      <w:numPr>
        <w:numId w:val="51"/>
      </w:numPr>
    </w:pPr>
  </w:style>
  <w:style w:type="numbering" w:customStyle="1" w:styleId="List7">
    <w:name w:val="List 7"/>
    <w:rsid w:val="00150DEC"/>
    <w:pPr>
      <w:numPr>
        <w:numId w:val="4"/>
      </w:numPr>
    </w:pPr>
  </w:style>
  <w:style w:type="numbering" w:customStyle="1" w:styleId="List18">
    <w:name w:val="List 18"/>
    <w:rsid w:val="00150DEC"/>
    <w:pPr>
      <w:numPr>
        <w:numId w:val="27"/>
      </w:numPr>
    </w:pPr>
  </w:style>
  <w:style w:type="numbering" w:customStyle="1" w:styleId="List22">
    <w:name w:val="List 22"/>
    <w:rsid w:val="00150DEC"/>
    <w:pPr>
      <w:numPr>
        <w:numId w:val="28"/>
      </w:numPr>
    </w:pPr>
  </w:style>
  <w:style w:type="numbering" w:customStyle="1" w:styleId="List47">
    <w:name w:val="List 47"/>
    <w:rsid w:val="00150DEC"/>
    <w:pPr>
      <w:numPr>
        <w:numId w:val="29"/>
      </w:numPr>
    </w:pPr>
  </w:style>
  <w:style w:type="numbering" w:customStyle="1" w:styleId="List28">
    <w:name w:val="List 28"/>
    <w:rsid w:val="00150DEC"/>
    <w:pPr>
      <w:numPr>
        <w:numId w:val="30"/>
      </w:numPr>
    </w:pPr>
  </w:style>
  <w:style w:type="numbering" w:customStyle="1" w:styleId="List10">
    <w:name w:val="List 10"/>
    <w:rsid w:val="00150DEC"/>
    <w:pPr>
      <w:numPr>
        <w:numId w:val="6"/>
      </w:numPr>
    </w:pPr>
  </w:style>
  <w:style w:type="numbering" w:customStyle="1" w:styleId="List0">
    <w:name w:val="List 0"/>
    <w:rsid w:val="00150DEC"/>
    <w:pPr>
      <w:numPr>
        <w:numId w:val="31"/>
      </w:numPr>
    </w:pPr>
  </w:style>
  <w:style w:type="numbering" w:customStyle="1" w:styleId="List30">
    <w:name w:val="List 30"/>
    <w:rsid w:val="00150DEC"/>
    <w:pPr>
      <w:numPr>
        <w:numId w:val="32"/>
      </w:numPr>
    </w:pPr>
  </w:style>
  <w:style w:type="numbering" w:customStyle="1" w:styleId="List511">
    <w:name w:val="List 511"/>
    <w:rsid w:val="00150DEC"/>
    <w:pPr>
      <w:numPr>
        <w:numId w:val="33"/>
      </w:numPr>
    </w:pPr>
  </w:style>
  <w:style w:type="numbering" w:customStyle="1" w:styleId="List29">
    <w:name w:val="List 29"/>
    <w:rsid w:val="00150DEC"/>
    <w:pPr>
      <w:numPr>
        <w:numId w:val="34"/>
      </w:numPr>
    </w:pPr>
  </w:style>
  <w:style w:type="numbering" w:customStyle="1" w:styleId="List38">
    <w:name w:val="List 38"/>
    <w:rsid w:val="00150DEC"/>
    <w:pPr>
      <w:numPr>
        <w:numId w:val="35"/>
      </w:numPr>
    </w:pPr>
  </w:style>
  <w:style w:type="numbering" w:customStyle="1" w:styleId="List12">
    <w:name w:val="List 12"/>
    <w:rsid w:val="00150DEC"/>
    <w:pPr>
      <w:numPr>
        <w:numId w:val="36"/>
      </w:numPr>
    </w:pPr>
  </w:style>
  <w:style w:type="numbering" w:customStyle="1" w:styleId="List50">
    <w:name w:val="List 50"/>
    <w:rsid w:val="00150DEC"/>
    <w:pPr>
      <w:numPr>
        <w:numId w:val="37"/>
      </w:numPr>
    </w:pPr>
  </w:style>
  <w:style w:type="numbering" w:customStyle="1" w:styleId="List211">
    <w:name w:val="List 211"/>
    <w:rsid w:val="00150DEC"/>
    <w:pPr>
      <w:numPr>
        <w:numId w:val="38"/>
      </w:numPr>
    </w:pPr>
  </w:style>
  <w:style w:type="numbering" w:customStyle="1" w:styleId="List34">
    <w:name w:val="List 34"/>
    <w:rsid w:val="00150DEC"/>
    <w:pPr>
      <w:numPr>
        <w:numId w:val="11"/>
      </w:numPr>
    </w:pPr>
  </w:style>
  <w:style w:type="numbering" w:customStyle="1" w:styleId="List42">
    <w:name w:val="List 42"/>
    <w:rsid w:val="00150DEC"/>
    <w:pPr>
      <w:numPr>
        <w:numId w:val="12"/>
      </w:numPr>
    </w:pPr>
  </w:style>
  <w:style w:type="numbering" w:customStyle="1" w:styleId="List49">
    <w:name w:val="List 49"/>
    <w:rsid w:val="00150DEC"/>
    <w:pPr>
      <w:numPr>
        <w:numId w:val="39"/>
      </w:numPr>
    </w:pPr>
  </w:style>
  <w:style w:type="numbering" w:customStyle="1" w:styleId="List44">
    <w:name w:val="List 44"/>
    <w:rsid w:val="00150DEC"/>
    <w:pPr>
      <w:numPr>
        <w:numId w:val="40"/>
      </w:numPr>
    </w:pPr>
  </w:style>
  <w:style w:type="numbering" w:customStyle="1" w:styleId="List21">
    <w:name w:val="List 21"/>
    <w:rsid w:val="00150DEC"/>
    <w:pPr>
      <w:numPr>
        <w:numId w:val="52"/>
      </w:numPr>
    </w:pPr>
  </w:style>
  <w:style w:type="numbering" w:customStyle="1" w:styleId="List52">
    <w:name w:val="List 52"/>
    <w:rsid w:val="00150DEC"/>
    <w:pPr>
      <w:numPr>
        <w:numId w:val="9"/>
      </w:numPr>
    </w:pPr>
  </w:style>
  <w:style w:type="numbering" w:customStyle="1" w:styleId="List24">
    <w:name w:val="List 24"/>
    <w:rsid w:val="00150DEC"/>
    <w:pPr>
      <w:numPr>
        <w:numId w:val="13"/>
      </w:numPr>
    </w:pPr>
  </w:style>
  <w:style w:type="numbering" w:customStyle="1" w:styleId="List51">
    <w:name w:val="List 51"/>
    <w:rsid w:val="00150DEC"/>
    <w:pPr>
      <w:numPr>
        <w:numId w:val="54"/>
      </w:numPr>
    </w:pPr>
  </w:style>
  <w:style w:type="numbering" w:customStyle="1" w:styleId="List27">
    <w:name w:val="List 27"/>
    <w:rsid w:val="00150DEC"/>
    <w:pPr>
      <w:numPr>
        <w:numId w:val="41"/>
      </w:numPr>
    </w:pPr>
  </w:style>
  <w:style w:type="numbering" w:customStyle="1" w:styleId="List8">
    <w:name w:val="List 8"/>
    <w:rsid w:val="00150DEC"/>
    <w:pPr>
      <w:numPr>
        <w:numId w:val="5"/>
      </w:numPr>
    </w:pPr>
  </w:style>
  <w:style w:type="numbering" w:customStyle="1" w:styleId="List13">
    <w:name w:val="List 13"/>
    <w:rsid w:val="00150DEC"/>
    <w:pPr>
      <w:numPr>
        <w:numId w:val="42"/>
      </w:numPr>
    </w:pPr>
  </w:style>
  <w:style w:type="numbering" w:customStyle="1" w:styleId="List20">
    <w:name w:val="List 20"/>
    <w:rsid w:val="00150DEC"/>
    <w:pPr>
      <w:numPr>
        <w:numId w:val="43"/>
      </w:numPr>
    </w:pPr>
  </w:style>
  <w:style w:type="numbering" w:customStyle="1" w:styleId="List411">
    <w:name w:val="List 411"/>
    <w:rsid w:val="00150DEC"/>
    <w:pPr>
      <w:numPr>
        <w:numId w:val="44"/>
      </w:numPr>
    </w:pPr>
  </w:style>
  <w:style w:type="numbering" w:customStyle="1" w:styleId="List311">
    <w:name w:val="List 311"/>
    <w:rsid w:val="00150DEC"/>
    <w:pPr>
      <w:numPr>
        <w:numId w:val="45"/>
      </w:numPr>
    </w:pPr>
  </w:style>
  <w:style w:type="numbering" w:customStyle="1" w:styleId="List6">
    <w:name w:val="List 6"/>
    <w:rsid w:val="00150DEC"/>
    <w:pPr>
      <w:numPr>
        <w:numId w:val="3"/>
      </w:numPr>
    </w:pPr>
  </w:style>
  <w:style w:type="numbering" w:customStyle="1" w:styleId="List39">
    <w:name w:val="List 39"/>
    <w:rsid w:val="00150DEC"/>
    <w:pPr>
      <w:numPr>
        <w:numId w:val="46"/>
      </w:numPr>
    </w:pPr>
  </w:style>
  <w:style w:type="numbering" w:customStyle="1" w:styleId="List37">
    <w:name w:val="List 37"/>
    <w:rsid w:val="00150DEC"/>
    <w:pPr>
      <w:numPr>
        <w:numId w:val="47"/>
      </w:numPr>
    </w:pPr>
  </w:style>
  <w:style w:type="numbering" w:customStyle="1" w:styleId="List32">
    <w:name w:val="List 32"/>
    <w:rsid w:val="00150DEC"/>
    <w:pPr>
      <w:numPr>
        <w:numId w:val="48"/>
      </w:numPr>
    </w:pPr>
  </w:style>
  <w:style w:type="numbering" w:customStyle="1" w:styleId="List26">
    <w:name w:val="List 26"/>
    <w:rsid w:val="00150DEC"/>
    <w:pPr>
      <w:numPr>
        <w:numId w:val="49"/>
      </w:numPr>
    </w:pPr>
  </w:style>
  <w:style w:type="numbering" w:customStyle="1" w:styleId="List48">
    <w:name w:val="List 48"/>
    <w:rsid w:val="00150DEC"/>
    <w:pPr>
      <w:numPr>
        <w:numId w:val="50"/>
      </w:numPr>
    </w:pPr>
  </w:style>
  <w:style w:type="paragraph" w:styleId="NormalWeb">
    <w:name w:val="Normal (Web)"/>
    <w:basedOn w:val="Normal"/>
    <w:uiPriority w:val="99"/>
    <w:semiHidden/>
    <w:unhideWhenUsed/>
    <w:rsid w:val="001202D2"/>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418526">
      <w:marLeft w:val="0"/>
      <w:marRight w:val="0"/>
      <w:marTop w:val="0"/>
      <w:marBottom w:val="0"/>
      <w:divBdr>
        <w:top w:val="none" w:sz="0" w:space="0" w:color="auto"/>
        <w:left w:val="none" w:sz="0" w:space="0" w:color="auto"/>
        <w:bottom w:val="none" w:sz="0" w:space="0" w:color="auto"/>
        <w:right w:val="none" w:sz="0" w:space="0" w:color="auto"/>
      </w:divBdr>
    </w:div>
    <w:div w:id="205770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search?rlz=1C1CHBD_enUS884US884&amp;sxsrf=ALeKk01yy2sxOVSn7VY1oFbmr7jx8wyEag:1622112927518&amp;q=grunds%C3%A4tzliche+Bedeutung&amp;spell=1&amp;sa=X&amp;ved=2ahUKEwj-4dHG2enwAhVKZ80KHTihAgsQBSgAegQIARA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C1EA3-71D0-409C-B235-66E3C34E7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3315</Words>
  <Characters>17339</Characters>
  <Application>Microsoft Office Word</Application>
  <DocSecurity>0</DocSecurity>
  <Lines>346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410/21</dc:title>
  <dc:subject/>
  <dc:creator/>
  <cp:keywords/>
  <dc:description/>
  <cp:lastModifiedBy/>
  <cp:revision>1</cp:revision>
  <dcterms:created xsi:type="dcterms:W3CDTF">2022-02-09T21:52:00Z</dcterms:created>
  <dcterms:modified xsi:type="dcterms:W3CDTF">2022-02-09T21:52:00Z</dcterms:modified>
</cp:coreProperties>
</file>