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10D22"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57728" behindDoc="0" locked="0" layoutInCell="1" allowOverlap="1" wp14:anchorId="32956FAC" wp14:editId="29E9D79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563EA" id="Rectangle 1" o:spid="_x0000_s1026" style="position:absolute;margin-left:-32.75pt;margin-top:-34.6pt;width:121.5pt;height:71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61824" behindDoc="0" locked="0" layoutInCell="1" allowOverlap="1" wp14:anchorId="0B00F8AE" wp14:editId="3F50D47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61853" w14:textId="77777777" w:rsidR="0099258D" w:rsidRDefault="0099258D" w:rsidP="00AE5488">
                            <w:r>
                              <w:rPr>
                                <w:noProof/>
                              </w:rPr>
                              <w:drawing>
                                <wp:inline distT="0" distB="0" distL="0" distR="0" wp14:anchorId="26C29AFB" wp14:editId="12C05997">
                                  <wp:extent cx="2647666" cy="509676"/>
                                  <wp:effectExtent l="0" t="0" r="635" b="5080"/>
                                  <wp:docPr id="15" name="Picture 15"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0F8A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C161853" w14:textId="77777777" w:rsidR="0099258D" w:rsidRDefault="0099258D" w:rsidP="00AE5488">
                      <w:r>
                        <w:rPr>
                          <w:noProof/>
                        </w:rPr>
                        <w:drawing>
                          <wp:inline distT="0" distB="0" distL="0" distR="0" wp14:anchorId="26C29AFB" wp14:editId="12C05997">
                            <wp:extent cx="2647666" cy="509676"/>
                            <wp:effectExtent l="0" t="0" r="635" b="5080"/>
                            <wp:docPr id="15" name="Picture 15"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76319F3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8B55D2A"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0C3F4F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89A7AD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68017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60C3CBE"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E83260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857C98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BA6E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79E917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93F0F6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33F548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F99FADD"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752" behindDoc="0" locked="0" layoutInCell="1" allowOverlap="1" wp14:anchorId="1AF4E933" wp14:editId="40A313E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BEE502" w14:textId="42E3F3C0" w:rsidR="009629C7" w:rsidRDefault="009629C7" w:rsidP="00192CEA">
                            <w:pPr>
                              <w:rPr>
                                <w:rFonts w:asciiTheme="majorHAnsi" w:hAnsiTheme="majorHAnsi" w:cs="Arial"/>
                                <w:b/>
                                <w:bCs/>
                                <w:color w:val="0D0D0D" w:themeColor="text1" w:themeTint="F2"/>
                                <w:sz w:val="36"/>
                                <w:szCs w:val="22"/>
                                <w:lang w:val="es-ES_tradnl"/>
                              </w:rPr>
                            </w:pPr>
                            <w:r>
                              <w:rPr>
                                <w:rFonts w:asciiTheme="majorHAnsi" w:hAnsiTheme="majorHAnsi" w:cs="Arial"/>
                                <w:b/>
                                <w:bCs/>
                                <w:color w:val="0D0D0D" w:themeColor="text1" w:themeTint="F2"/>
                                <w:sz w:val="36"/>
                                <w:szCs w:val="22"/>
                                <w:lang w:val="es-ES_tradnl"/>
                              </w:rPr>
                              <w:t xml:space="preserve">INFORME </w:t>
                            </w:r>
                            <w:r>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92CEA">
                              <w:rPr>
                                <w:rFonts w:asciiTheme="majorHAnsi" w:hAnsiTheme="majorHAnsi" w:cs="Arial"/>
                                <w:b/>
                                <w:bCs/>
                                <w:color w:val="0D0D0D" w:themeColor="text1" w:themeTint="F2"/>
                                <w:sz w:val="36"/>
                                <w:szCs w:val="22"/>
                                <w:lang w:val="es-ES_tradnl"/>
                              </w:rPr>
                              <w:t>104</w:t>
                            </w:r>
                            <w:r>
                              <w:rPr>
                                <w:rFonts w:asciiTheme="majorHAnsi" w:hAnsiTheme="majorHAnsi" w:cs="Arial"/>
                                <w:b/>
                                <w:bCs/>
                                <w:color w:val="0D0D0D" w:themeColor="text1" w:themeTint="F2"/>
                                <w:sz w:val="36"/>
                                <w:szCs w:val="22"/>
                                <w:lang w:val="es-ES_tradnl"/>
                              </w:rPr>
                              <w:t>/</w:t>
                            </w:r>
                            <w:r w:rsidR="009B2D2F">
                              <w:rPr>
                                <w:rFonts w:asciiTheme="majorHAnsi" w:hAnsiTheme="majorHAnsi" w:cs="Arial"/>
                                <w:b/>
                                <w:bCs/>
                                <w:color w:val="0D0D0D" w:themeColor="text1" w:themeTint="F2"/>
                                <w:sz w:val="36"/>
                                <w:szCs w:val="22"/>
                                <w:lang w:val="es-ES_tradnl"/>
                              </w:rPr>
                              <w:t>21</w:t>
                            </w:r>
                          </w:p>
                          <w:p w14:paraId="5C646F17" w14:textId="1B2F7660" w:rsidR="009629C7" w:rsidRDefault="009629C7" w:rsidP="00192CEA">
                            <w:pPr>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6D1FDC">
                              <w:rPr>
                                <w:rFonts w:asciiTheme="majorHAnsi" w:hAnsiTheme="majorHAnsi" w:cs="Arial"/>
                                <w:b/>
                                <w:color w:val="0D0D0D" w:themeColor="text1" w:themeTint="F2"/>
                                <w:sz w:val="36"/>
                                <w:szCs w:val="22"/>
                                <w:lang w:val="es-ES_tradnl"/>
                              </w:rPr>
                              <w:t>1331</w:t>
                            </w:r>
                            <w:r>
                              <w:rPr>
                                <w:rFonts w:asciiTheme="majorHAnsi" w:hAnsiTheme="majorHAnsi" w:cs="Arial"/>
                                <w:b/>
                                <w:color w:val="0D0D0D" w:themeColor="text1" w:themeTint="F2"/>
                                <w:sz w:val="36"/>
                                <w:szCs w:val="22"/>
                                <w:lang w:val="es-ES_tradnl"/>
                              </w:rPr>
                              <w:t>-</w:t>
                            </w:r>
                            <w:r w:rsidR="006D1FDC">
                              <w:rPr>
                                <w:rFonts w:asciiTheme="majorHAnsi" w:hAnsiTheme="majorHAnsi" w:cs="Arial"/>
                                <w:b/>
                                <w:color w:val="0D0D0D" w:themeColor="text1" w:themeTint="F2"/>
                                <w:sz w:val="36"/>
                                <w:szCs w:val="22"/>
                                <w:lang w:val="es-ES_tradnl"/>
                              </w:rPr>
                              <w:t>08</w:t>
                            </w:r>
                          </w:p>
                          <w:p w14:paraId="1406BEBE" w14:textId="06DCF4BB" w:rsidR="009629C7" w:rsidRDefault="009629C7" w:rsidP="00192CEA">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ADMISIBILIDAD </w:t>
                            </w:r>
                          </w:p>
                          <w:p w14:paraId="61D03C63" w14:textId="77777777" w:rsidR="009629C7" w:rsidRDefault="009629C7" w:rsidP="00192CEA">
                            <w:pPr>
                              <w:rPr>
                                <w:rFonts w:asciiTheme="majorHAnsi" w:hAnsiTheme="majorHAnsi" w:cs="Arial"/>
                                <w:color w:val="0D0D0D" w:themeColor="text1" w:themeTint="F2"/>
                                <w:szCs w:val="22"/>
                                <w:lang w:val="es-ES_tradnl"/>
                              </w:rPr>
                            </w:pPr>
                            <w:bookmarkStart w:id="1" w:name="_ftnref1"/>
                          </w:p>
                          <w:p w14:paraId="0CA9991B" w14:textId="4E2C7D8A" w:rsidR="009629C7" w:rsidRDefault="006D1FDC" w:rsidP="00192CEA">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ALEJANDRO MARCOS CERVIÑO</w:t>
                            </w:r>
                          </w:p>
                          <w:bookmarkEnd w:id="1"/>
                          <w:p w14:paraId="61634CF1" w14:textId="76A12240" w:rsidR="009629C7" w:rsidRDefault="006D1FDC" w:rsidP="00192CEA">
                            <w:pPr>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398B92DE" w14:textId="77777777" w:rsidR="009629C7" w:rsidRDefault="009629C7" w:rsidP="009629C7">
                            <w:pPr>
                              <w:rPr>
                                <w:color w:val="0D0D0D" w:themeColor="text1" w:themeTint="F2"/>
                                <w:lang w:val="es-ES_tradnl"/>
                              </w:rPr>
                            </w:pPr>
                          </w:p>
                          <w:p w14:paraId="2F110FE5" w14:textId="77777777" w:rsidR="0099258D" w:rsidRPr="00AE5488" w:rsidRDefault="0099258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4E933" id="Text Box 5" o:spid="_x0000_s1027" type="#_x0000_t202" style="position:absolute;left:0;text-align:left;margin-left:106.5pt;margin-top:8.45pt;width:349.7pt;height:17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EBEE502" w14:textId="42E3F3C0" w:rsidR="009629C7" w:rsidRDefault="009629C7" w:rsidP="00192CEA">
                      <w:pPr>
                        <w:rPr>
                          <w:rFonts w:asciiTheme="majorHAnsi" w:hAnsiTheme="majorHAnsi" w:cs="Arial"/>
                          <w:b/>
                          <w:bCs/>
                          <w:color w:val="0D0D0D" w:themeColor="text1" w:themeTint="F2"/>
                          <w:sz w:val="36"/>
                          <w:szCs w:val="22"/>
                          <w:lang w:val="es-ES_tradnl"/>
                        </w:rPr>
                      </w:pPr>
                      <w:r>
                        <w:rPr>
                          <w:rFonts w:asciiTheme="majorHAnsi" w:hAnsiTheme="majorHAnsi" w:cs="Arial"/>
                          <w:b/>
                          <w:bCs/>
                          <w:color w:val="0D0D0D" w:themeColor="text1" w:themeTint="F2"/>
                          <w:sz w:val="36"/>
                          <w:szCs w:val="22"/>
                          <w:lang w:val="es-ES_tradnl"/>
                        </w:rPr>
                        <w:t xml:space="preserve">INFORME </w:t>
                      </w:r>
                      <w:r>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92CEA">
                        <w:rPr>
                          <w:rFonts w:asciiTheme="majorHAnsi" w:hAnsiTheme="majorHAnsi" w:cs="Arial"/>
                          <w:b/>
                          <w:bCs/>
                          <w:color w:val="0D0D0D" w:themeColor="text1" w:themeTint="F2"/>
                          <w:sz w:val="36"/>
                          <w:szCs w:val="22"/>
                          <w:lang w:val="es-ES_tradnl"/>
                        </w:rPr>
                        <w:t>104</w:t>
                      </w:r>
                      <w:r>
                        <w:rPr>
                          <w:rFonts w:asciiTheme="majorHAnsi" w:hAnsiTheme="majorHAnsi" w:cs="Arial"/>
                          <w:b/>
                          <w:bCs/>
                          <w:color w:val="0D0D0D" w:themeColor="text1" w:themeTint="F2"/>
                          <w:sz w:val="36"/>
                          <w:szCs w:val="22"/>
                          <w:lang w:val="es-ES_tradnl"/>
                        </w:rPr>
                        <w:t>/</w:t>
                      </w:r>
                      <w:r w:rsidR="009B2D2F">
                        <w:rPr>
                          <w:rFonts w:asciiTheme="majorHAnsi" w:hAnsiTheme="majorHAnsi" w:cs="Arial"/>
                          <w:b/>
                          <w:bCs/>
                          <w:color w:val="0D0D0D" w:themeColor="text1" w:themeTint="F2"/>
                          <w:sz w:val="36"/>
                          <w:szCs w:val="22"/>
                          <w:lang w:val="es-ES_tradnl"/>
                        </w:rPr>
                        <w:t>21</w:t>
                      </w:r>
                    </w:p>
                    <w:p w14:paraId="5C646F17" w14:textId="1B2F7660" w:rsidR="009629C7" w:rsidRDefault="009629C7" w:rsidP="00192CEA">
                      <w:pPr>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6D1FDC">
                        <w:rPr>
                          <w:rFonts w:asciiTheme="majorHAnsi" w:hAnsiTheme="majorHAnsi" w:cs="Arial"/>
                          <w:b/>
                          <w:color w:val="0D0D0D" w:themeColor="text1" w:themeTint="F2"/>
                          <w:sz w:val="36"/>
                          <w:szCs w:val="22"/>
                          <w:lang w:val="es-ES_tradnl"/>
                        </w:rPr>
                        <w:t>1331</w:t>
                      </w:r>
                      <w:r>
                        <w:rPr>
                          <w:rFonts w:asciiTheme="majorHAnsi" w:hAnsiTheme="majorHAnsi" w:cs="Arial"/>
                          <w:b/>
                          <w:color w:val="0D0D0D" w:themeColor="text1" w:themeTint="F2"/>
                          <w:sz w:val="36"/>
                          <w:szCs w:val="22"/>
                          <w:lang w:val="es-ES_tradnl"/>
                        </w:rPr>
                        <w:t>-</w:t>
                      </w:r>
                      <w:r w:rsidR="006D1FDC">
                        <w:rPr>
                          <w:rFonts w:asciiTheme="majorHAnsi" w:hAnsiTheme="majorHAnsi" w:cs="Arial"/>
                          <w:b/>
                          <w:color w:val="0D0D0D" w:themeColor="text1" w:themeTint="F2"/>
                          <w:sz w:val="36"/>
                          <w:szCs w:val="22"/>
                          <w:lang w:val="es-ES_tradnl"/>
                        </w:rPr>
                        <w:t>08</w:t>
                      </w:r>
                    </w:p>
                    <w:p w14:paraId="1406BEBE" w14:textId="06DCF4BB" w:rsidR="009629C7" w:rsidRDefault="009629C7" w:rsidP="00192CEA">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ADMISIBILIDAD </w:t>
                      </w:r>
                    </w:p>
                    <w:p w14:paraId="61D03C63" w14:textId="77777777" w:rsidR="009629C7" w:rsidRDefault="009629C7" w:rsidP="00192CEA">
                      <w:pPr>
                        <w:rPr>
                          <w:rFonts w:asciiTheme="majorHAnsi" w:hAnsiTheme="majorHAnsi" w:cs="Arial"/>
                          <w:color w:val="0D0D0D" w:themeColor="text1" w:themeTint="F2"/>
                          <w:szCs w:val="22"/>
                          <w:lang w:val="es-ES_tradnl"/>
                        </w:rPr>
                      </w:pPr>
                      <w:bookmarkStart w:id="2" w:name="_ftnref1"/>
                    </w:p>
                    <w:p w14:paraId="0CA9991B" w14:textId="4E2C7D8A" w:rsidR="009629C7" w:rsidRDefault="006D1FDC" w:rsidP="00192CEA">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ALEJANDRO MARCOS CERVIÑO</w:t>
                      </w:r>
                    </w:p>
                    <w:bookmarkEnd w:id="2"/>
                    <w:p w14:paraId="61634CF1" w14:textId="76A12240" w:rsidR="009629C7" w:rsidRDefault="006D1FDC" w:rsidP="00192CEA">
                      <w:pPr>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398B92DE" w14:textId="77777777" w:rsidR="009629C7" w:rsidRDefault="009629C7" w:rsidP="009629C7">
                      <w:pPr>
                        <w:rPr>
                          <w:color w:val="0D0D0D" w:themeColor="text1" w:themeTint="F2"/>
                          <w:lang w:val="es-ES_tradnl"/>
                        </w:rPr>
                      </w:pPr>
                    </w:p>
                    <w:p w14:paraId="2F110FE5" w14:textId="77777777" w:rsidR="0099258D" w:rsidRPr="00AE5488" w:rsidRDefault="0099258D"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9776" behindDoc="0" locked="0" layoutInCell="1" allowOverlap="1" wp14:anchorId="4B407976" wp14:editId="0380823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154BD" w14:textId="2A9B0DA2" w:rsidR="0099258D" w:rsidRPr="00D11311" w:rsidRDefault="0099258D" w:rsidP="007A5817">
                            <w:pPr>
                              <w:spacing w:line="276" w:lineRule="auto"/>
                              <w:jc w:val="right"/>
                              <w:rPr>
                                <w:rFonts w:asciiTheme="minorHAnsi" w:hAnsiTheme="minorHAnsi"/>
                                <w:color w:val="FFFFFF" w:themeColor="background1"/>
                                <w:sz w:val="22"/>
                                <w:lang w:val="es-419"/>
                              </w:rPr>
                            </w:pPr>
                            <w:r w:rsidRPr="00D11311">
                              <w:rPr>
                                <w:rFonts w:asciiTheme="minorHAnsi" w:hAnsiTheme="minorHAnsi"/>
                                <w:color w:val="FFFFFF" w:themeColor="background1"/>
                                <w:sz w:val="22"/>
                                <w:lang w:val="es-419"/>
                              </w:rPr>
                              <w:t>OEA/Ser.L/V/II</w:t>
                            </w:r>
                          </w:p>
                          <w:p w14:paraId="71FCB0CC" w14:textId="4ECCDEA6" w:rsidR="0099258D" w:rsidRPr="00192CEA" w:rsidRDefault="0099258D" w:rsidP="007A5817">
                            <w:pPr>
                              <w:spacing w:line="276" w:lineRule="auto"/>
                              <w:jc w:val="right"/>
                              <w:rPr>
                                <w:rFonts w:asciiTheme="minorHAnsi" w:hAnsiTheme="minorHAnsi"/>
                                <w:color w:val="FFFFFF" w:themeColor="background1"/>
                                <w:sz w:val="22"/>
                                <w:lang w:val="es-419"/>
                              </w:rPr>
                            </w:pPr>
                            <w:r w:rsidRPr="00192CEA">
                              <w:rPr>
                                <w:rFonts w:asciiTheme="minorHAnsi" w:hAnsiTheme="minorHAnsi"/>
                                <w:color w:val="FFFFFF" w:themeColor="background1"/>
                                <w:sz w:val="22"/>
                                <w:lang w:val="es-419"/>
                              </w:rPr>
                              <w:t xml:space="preserve">Doc. </w:t>
                            </w:r>
                            <w:r w:rsidR="00192CEA">
                              <w:rPr>
                                <w:rFonts w:asciiTheme="minorHAnsi" w:hAnsiTheme="minorHAnsi"/>
                                <w:color w:val="FFFFFF" w:themeColor="background1"/>
                                <w:sz w:val="22"/>
                                <w:lang w:val="es-419"/>
                              </w:rPr>
                              <w:t>111</w:t>
                            </w:r>
                          </w:p>
                          <w:p w14:paraId="06176FA9" w14:textId="0418189D" w:rsidR="0099258D" w:rsidRPr="007160BD" w:rsidRDefault="00192CEA"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3 junio</w:t>
                            </w:r>
                            <w:r w:rsidR="0099258D" w:rsidRPr="007160BD">
                              <w:rPr>
                                <w:rFonts w:asciiTheme="minorHAnsi" w:hAnsiTheme="minorHAnsi"/>
                                <w:color w:val="FFFFFF" w:themeColor="background1"/>
                                <w:sz w:val="22"/>
                                <w:lang w:val="es-US"/>
                              </w:rPr>
                              <w:t xml:space="preserve"> </w:t>
                            </w:r>
                            <w:r w:rsidR="009B2D2F">
                              <w:rPr>
                                <w:rFonts w:asciiTheme="minorHAnsi" w:hAnsiTheme="minorHAnsi"/>
                                <w:color w:val="FFFFFF" w:themeColor="background1"/>
                                <w:sz w:val="22"/>
                                <w:lang w:val="es-US"/>
                              </w:rPr>
                              <w:t>2021</w:t>
                            </w:r>
                          </w:p>
                          <w:p w14:paraId="4C234916" w14:textId="4A121D8D"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802833">
                              <w:rPr>
                                <w:rFonts w:asciiTheme="minorHAnsi" w:hAnsiTheme="minorHAnsi"/>
                                <w:color w:val="FFFFFF" w:themeColor="background1"/>
                                <w:sz w:val="22"/>
                                <w:lang w:val="es-US"/>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07976" id="Text Box 8" o:spid="_x0000_s1028" type="#_x0000_t202" style="position:absolute;left:0;text-align:left;margin-left:-27pt;margin-top:12.95pt;width:109.5pt;height:10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56154BD" w14:textId="2A9B0DA2" w:rsidR="0099258D" w:rsidRPr="00D11311" w:rsidRDefault="0099258D" w:rsidP="007A5817">
                      <w:pPr>
                        <w:spacing w:line="276" w:lineRule="auto"/>
                        <w:jc w:val="right"/>
                        <w:rPr>
                          <w:rFonts w:asciiTheme="minorHAnsi" w:hAnsiTheme="minorHAnsi"/>
                          <w:color w:val="FFFFFF" w:themeColor="background1"/>
                          <w:sz w:val="22"/>
                          <w:lang w:val="es-419"/>
                        </w:rPr>
                      </w:pPr>
                      <w:r w:rsidRPr="00D11311">
                        <w:rPr>
                          <w:rFonts w:asciiTheme="minorHAnsi" w:hAnsiTheme="minorHAnsi"/>
                          <w:color w:val="FFFFFF" w:themeColor="background1"/>
                          <w:sz w:val="22"/>
                          <w:lang w:val="es-419"/>
                        </w:rPr>
                        <w:t>OEA/Ser.L/V/II</w:t>
                      </w:r>
                    </w:p>
                    <w:p w14:paraId="71FCB0CC" w14:textId="4ECCDEA6" w:rsidR="0099258D" w:rsidRPr="00192CEA" w:rsidRDefault="0099258D" w:rsidP="007A5817">
                      <w:pPr>
                        <w:spacing w:line="276" w:lineRule="auto"/>
                        <w:jc w:val="right"/>
                        <w:rPr>
                          <w:rFonts w:asciiTheme="minorHAnsi" w:hAnsiTheme="minorHAnsi"/>
                          <w:color w:val="FFFFFF" w:themeColor="background1"/>
                          <w:sz w:val="22"/>
                          <w:lang w:val="es-419"/>
                        </w:rPr>
                      </w:pPr>
                      <w:r w:rsidRPr="00192CEA">
                        <w:rPr>
                          <w:rFonts w:asciiTheme="minorHAnsi" w:hAnsiTheme="minorHAnsi"/>
                          <w:color w:val="FFFFFF" w:themeColor="background1"/>
                          <w:sz w:val="22"/>
                          <w:lang w:val="es-419"/>
                        </w:rPr>
                        <w:t xml:space="preserve">Doc. </w:t>
                      </w:r>
                      <w:r w:rsidR="00192CEA">
                        <w:rPr>
                          <w:rFonts w:asciiTheme="minorHAnsi" w:hAnsiTheme="minorHAnsi"/>
                          <w:color w:val="FFFFFF" w:themeColor="background1"/>
                          <w:sz w:val="22"/>
                          <w:lang w:val="es-419"/>
                        </w:rPr>
                        <w:t>111</w:t>
                      </w:r>
                    </w:p>
                    <w:p w14:paraId="06176FA9" w14:textId="0418189D" w:rsidR="0099258D" w:rsidRPr="007160BD" w:rsidRDefault="00192CEA"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3 junio</w:t>
                      </w:r>
                      <w:r w:rsidR="0099258D" w:rsidRPr="007160BD">
                        <w:rPr>
                          <w:rFonts w:asciiTheme="minorHAnsi" w:hAnsiTheme="minorHAnsi"/>
                          <w:color w:val="FFFFFF" w:themeColor="background1"/>
                          <w:sz w:val="22"/>
                          <w:lang w:val="es-US"/>
                        </w:rPr>
                        <w:t xml:space="preserve"> </w:t>
                      </w:r>
                      <w:r w:rsidR="009B2D2F">
                        <w:rPr>
                          <w:rFonts w:asciiTheme="minorHAnsi" w:hAnsiTheme="minorHAnsi"/>
                          <w:color w:val="FFFFFF" w:themeColor="background1"/>
                          <w:sz w:val="22"/>
                          <w:lang w:val="es-US"/>
                        </w:rPr>
                        <w:t>2021</w:t>
                      </w:r>
                    </w:p>
                    <w:p w14:paraId="4C234916" w14:textId="4A121D8D"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802833">
                        <w:rPr>
                          <w:rFonts w:asciiTheme="minorHAnsi" w:hAnsiTheme="minorHAnsi"/>
                          <w:color w:val="FFFFFF" w:themeColor="background1"/>
                          <w:sz w:val="22"/>
                          <w:lang w:val="es-US"/>
                        </w:rPr>
                        <w:t>inglés</w:t>
                      </w:r>
                    </w:p>
                  </w:txbxContent>
                </v:textbox>
              </v:shape>
            </w:pict>
          </mc:Fallback>
        </mc:AlternateContent>
      </w:r>
    </w:p>
    <w:p w14:paraId="2139988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99D14E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380C61"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333FC7F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E8448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99A909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9A8DF1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8476E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AD3A46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5643A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C6E47C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DC40BD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506DE3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387DD2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3B7CE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33870D" w14:textId="10F239ED" w:rsidR="00A50FCF" w:rsidRPr="0090270B" w:rsidRDefault="00A50FCF" w:rsidP="00040C3A">
      <w:pPr>
        <w:tabs>
          <w:tab w:val="center" w:pos="5400"/>
        </w:tabs>
        <w:suppressAutoHyphens/>
        <w:jc w:val="center"/>
        <w:rPr>
          <w:rFonts w:asciiTheme="majorHAnsi" w:hAnsiTheme="majorHAnsi"/>
          <w:sz w:val="18"/>
          <w:szCs w:val="22"/>
          <w:lang w:val="es-ES_tradnl"/>
        </w:rPr>
      </w:pPr>
    </w:p>
    <w:p w14:paraId="02D0F589" w14:textId="7E924C50" w:rsidR="00A50FCF" w:rsidRPr="0090270B" w:rsidRDefault="00A50FCF" w:rsidP="00040C3A">
      <w:pPr>
        <w:tabs>
          <w:tab w:val="center" w:pos="5400"/>
        </w:tabs>
        <w:suppressAutoHyphens/>
        <w:jc w:val="center"/>
        <w:rPr>
          <w:rFonts w:asciiTheme="majorHAnsi" w:hAnsiTheme="majorHAnsi"/>
          <w:sz w:val="18"/>
          <w:szCs w:val="22"/>
          <w:lang w:val="es-ES_tradnl"/>
        </w:rPr>
      </w:pPr>
    </w:p>
    <w:p w14:paraId="25684D55" w14:textId="3FB791EF" w:rsidR="00A50FCF" w:rsidRPr="0090270B" w:rsidRDefault="00A50FCF" w:rsidP="00040C3A">
      <w:pPr>
        <w:tabs>
          <w:tab w:val="center" w:pos="5400"/>
        </w:tabs>
        <w:suppressAutoHyphens/>
        <w:jc w:val="center"/>
        <w:rPr>
          <w:rFonts w:asciiTheme="majorHAnsi" w:hAnsiTheme="majorHAnsi"/>
          <w:sz w:val="18"/>
          <w:szCs w:val="22"/>
          <w:lang w:val="es-ES_tradnl"/>
        </w:rPr>
      </w:pPr>
    </w:p>
    <w:p w14:paraId="2D6B711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DDC36B" w14:textId="545F25B6" w:rsidR="00A50FCF" w:rsidRPr="0090270B" w:rsidRDefault="00A50FCF" w:rsidP="00040C3A">
      <w:pPr>
        <w:tabs>
          <w:tab w:val="center" w:pos="5400"/>
        </w:tabs>
        <w:suppressAutoHyphens/>
        <w:jc w:val="center"/>
        <w:rPr>
          <w:rFonts w:asciiTheme="majorHAnsi" w:hAnsiTheme="majorHAnsi"/>
          <w:sz w:val="18"/>
          <w:szCs w:val="22"/>
          <w:lang w:val="es-ES_tradnl"/>
        </w:rPr>
      </w:pPr>
    </w:p>
    <w:p w14:paraId="0F9E875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BBA3B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C83C43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C83E6" w14:textId="7EE8A699" w:rsidR="00A50FCF" w:rsidRPr="0090270B" w:rsidRDefault="00A50FCF" w:rsidP="00040C3A">
      <w:pPr>
        <w:tabs>
          <w:tab w:val="center" w:pos="5400"/>
        </w:tabs>
        <w:suppressAutoHyphens/>
        <w:jc w:val="center"/>
        <w:rPr>
          <w:rFonts w:asciiTheme="majorHAnsi" w:hAnsiTheme="majorHAnsi"/>
          <w:sz w:val="18"/>
          <w:szCs w:val="22"/>
          <w:lang w:val="es-ES_tradnl"/>
        </w:rPr>
      </w:pPr>
    </w:p>
    <w:p w14:paraId="792CCE51" w14:textId="6BE93259" w:rsidR="00A50FCF" w:rsidRPr="0090270B" w:rsidRDefault="00A50FCF" w:rsidP="00040C3A">
      <w:pPr>
        <w:tabs>
          <w:tab w:val="center" w:pos="5400"/>
        </w:tabs>
        <w:suppressAutoHyphens/>
        <w:jc w:val="center"/>
        <w:rPr>
          <w:rFonts w:asciiTheme="majorHAnsi" w:hAnsiTheme="majorHAnsi"/>
          <w:sz w:val="18"/>
          <w:szCs w:val="22"/>
          <w:lang w:val="es-ES_tradnl"/>
        </w:rPr>
      </w:pPr>
    </w:p>
    <w:p w14:paraId="46F3E95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4CA360" w14:textId="3815C175" w:rsidR="00A50FCF" w:rsidRPr="0090270B" w:rsidRDefault="00A50FCF" w:rsidP="00040C3A">
      <w:pPr>
        <w:tabs>
          <w:tab w:val="center" w:pos="5400"/>
        </w:tabs>
        <w:suppressAutoHyphens/>
        <w:jc w:val="center"/>
        <w:rPr>
          <w:rFonts w:asciiTheme="majorHAnsi" w:hAnsiTheme="majorHAnsi"/>
          <w:sz w:val="18"/>
          <w:szCs w:val="22"/>
          <w:lang w:val="es-ES_tradnl"/>
        </w:rPr>
      </w:pPr>
    </w:p>
    <w:p w14:paraId="152466C1" w14:textId="26E95816" w:rsidR="00A50FCF" w:rsidRPr="0090270B" w:rsidRDefault="00A50FCF" w:rsidP="00040C3A">
      <w:pPr>
        <w:tabs>
          <w:tab w:val="center" w:pos="5400"/>
        </w:tabs>
        <w:suppressAutoHyphens/>
        <w:jc w:val="center"/>
        <w:rPr>
          <w:rFonts w:asciiTheme="majorHAnsi" w:hAnsiTheme="majorHAnsi"/>
          <w:sz w:val="18"/>
          <w:szCs w:val="22"/>
          <w:lang w:val="es-ES_tradnl"/>
        </w:rPr>
      </w:pPr>
    </w:p>
    <w:p w14:paraId="3086BB87" w14:textId="09B628B5"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4656" behindDoc="0" locked="0" layoutInCell="1" allowOverlap="1" wp14:anchorId="740FD2AA" wp14:editId="57E51BA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B078A" w14:textId="3B46F4F9"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92CEA">
                              <w:rPr>
                                <w:rFonts w:asciiTheme="majorHAnsi" w:hAnsiTheme="majorHAnsi"/>
                                <w:color w:val="0D0D0D" w:themeColor="text1" w:themeTint="F2"/>
                                <w:sz w:val="18"/>
                                <w:szCs w:val="22"/>
                                <w:lang w:val="es-ES"/>
                              </w:rPr>
                              <w:t xml:space="preserve">3 </w:t>
                            </w:r>
                            <w:r w:rsidR="00192CEA" w:rsidRPr="00890650">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w:t>
                            </w:r>
                            <w:r w:rsidR="00192CEA">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192CEA">
                              <w:rPr>
                                <w:rFonts w:asciiTheme="majorHAnsi" w:hAnsiTheme="majorHAnsi"/>
                                <w:color w:val="0D0D0D" w:themeColor="text1" w:themeTint="F2"/>
                                <w:sz w:val="18"/>
                                <w:szCs w:val="22"/>
                                <w:lang w:val="es-ES"/>
                              </w:rPr>
                              <w:t>21</w:t>
                            </w:r>
                            <w:r w:rsidR="00733356">
                              <w:rPr>
                                <w:rFonts w:asciiTheme="majorHAnsi" w:hAnsiTheme="majorHAnsi"/>
                                <w:color w:val="0D0D0D" w:themeColor="text1" w:themeTint="F2"/>
                                <w:sz w:val="18"/>
                                <w:szCs w:val="22"/>
                                <w:lang w:val="es-ES"/>
                              </w:rPr>
                              <w:t>.</w:t>
                            </w:r>
                          </w:p>
                          <w:p w14:paraId="48FCFF9A"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E69D9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FD2AA" id="Text Box 7" o:spid="_x0000_s1029" type="#_x0000_t202" style="position:absolute;left:0;text-align:left;margin-left:105.65pt;margin-top:1.8pt;width:388.5pt;height:5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51B078A" w14:textId="3B46F4F9"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92CEA">
                        <w:rPr>
                          <w:rFonts w:asciiTheme="majorHAnsi" w:hAnsiTheme="majorHAnsi"/>
                          <w:color w:val="0D0D0D" w:themeColor="text1" w:themeTint="F2"/>
                          <w:sz w:val="18"/>
                          <w:szCs w:val="22"/>
                          <w:lang w:val="es-ES"/>
                        </w:rPr>
                        <w:t xml:space="preserve">3 </w:t>
                      </w:r>
                      <w:r w:rsidR="00192CEA" w:rsidRPr="00890650">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w:t>
                      </w:r>
                      <w:r w:rsidR="00192CEA">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192CEA">
                        <w:rPr>
                          <w:rFonts w:asciiTheme="majorHAnsi" w:hAnsiTheme="majorHAnsi"/>
                          <w:color w:val="0D0D0D" w:themeColor="text1" w:themeTint="F2"/>
                          <w:sz w:val="18"/>
                          <w:szCs w:val="22"/>
                          <w:lang w:val="es-ES"/>
                        </w:rPr>
                        <w:t>21</w:t>
                      </w:r>
                      <w:r w:rsidR="00733356">
                        <w:rPr>
                          <w:rFonts w:asciiTheme="majorHAnsi" w:hAnsiTheme="majorHAnsi"/>
                          <w:color w:val="0D0D0D" w:themeColor="text1" w:themeTint="F2"/>
                          <w:sz w:val="18"/>
                          <w:szCs w:val="22"/>
                          <w:lang w:val="es-ES"/>
                        </w:rPr>
                        <w:t>.</w:t>
                      </w:r>
                    </w:p>
                    <w:p w14:paraId="48FCFF9A"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E69D9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BD4F379" w14:textId="199C4DFF" w:rsidR="00A50FCF" w:rsidRPr="0090270B" w:rsidRDefault="00A50FCF" w:rsidP="00040C3A">
      <w:pPr>
        <w:tabs>
          <w:tab w:val="center" w:pos="5400"/>
        </w:tabs>
        <w:suppressAutoHyphens/>
        <w:jc w:val="center"/>
        <w:rPr>
          <w:rFonts w:asciiTheme="majorHAnsi" w:hAnsiTheme="majorHAnsi"/>
          <w:sz w:val="18"/>
          <w:szCs w:val="22"/>
          <w:lang w:val="es-ES_tradnl"/>
        </w:rPr>
      </w:pPr>
    </w:p>
    <w:p w14:paraId="738D4318" w14:textId="34282B69" w:rsidR="00A50FCF" w:rsidRPr="0090270B" w:rsidRDefault="00A50FCF" w:rsidP="00040C3A">
      <w:pPr>
        <w:tabs>
          <w:tab w:val="center" w:pos="5400"/>
        </w:tabs>
        <w:suppressAutoHyphens/>
        <w:jc w:val="center"/>
        <w:rPr>
          <w:rFonts w:asciiTheme="majorHAnsi" w:hAnsiTheme="majorHAnsi"/>
          <w:sz w:val="18"/>
          <w:szCs w:val="22"/>
          <w:lang w:val="es-ES_tradnl"/>
        </w:rPr>
      </w:pPr>
    </w:p>
    <w:p w14:paraId="0D53DD44" w14:textId="6340F273" w:rsidR="00A50FCF" w:rsidRPr="0090270B" w:rsidRDefault="00A50FCF" w:rsidP="00040C3A">
      <w:pPr>
        <w:tabs>
          <w:tab w:val="center" w:pos="5400"/>
        </w:tabs>
        <w:suppressAutoHyphens/>
        <w:jc w:val="center"/>
        <w:rPr>
          <w:rFonts w:asciiTheme="majorHAnsi" w:hAnsiTheme="majorHAnsi"/>
          <w:sz w:val="18"/>
          <w:szCs w:val="22"/>
          <w:lang w:val="es-ES_tradnl"/>
        </w:rPr>
      </w:pPr>
    </w:p>
    <w:p w14:paraId="655C42C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79EA24" w14:textId="364A84A5"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5680" behindDoc="0" locked="0" layoutInCell="1" allowOverlap="1" wp14:anchorId="27F6E461" wp14:editId="2A9BE0B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BB61D" w14:textId="556F447C" w:rsidR="0099258D" w:rsidRPr="007B05C4" w:rsidRDefault="0099258D" w:rsidP="0041467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92CEA" w:rsidRPr="00192CEA">
                              <w:rPr>
                                <w:rFonts w:asciiTheme="majorHAnsi" w:hAnsiTheme="majorHAnsi"/>
                                <w:color w:val="595959" w:themeColor="text1" w:themeTint="A6"/>
                                <w:sz w:val="18"/>
                                <w:szCs w:val="18"/>
                                <w:lang w:val="pt-BR"/>
                              </w:rPr>
                              <w:t>104</w:t>
                            </w:r>
                            <w:r w:rsidR="00C725B5" w:rsidRPr="00192CEA">
                              <w:rPr>
                                <w:rFonts w:asciiTheme="majorHAnsi" w:hAnsiTheme="majorHAnsi"/>
                                <w:color w:val="595959" w:themeColor="text1" w:themeTint="A6"/>
                                <w:sz w:val="18"/>
                                <w:szCs w:val="18"/>
                                <w:lang w:val="pt-BR"/>
                              </w:rPr>
                              <w:t>/</w:t>
                            </w:r>
                            <w:r w:rsidR="00192CEA" w:rsidRPr="00192CEA">
                              <w:rPr>
                                <w:rFonts w:asciiTheme="majorHAnsi" w:hAnsiTheme="majorHAnsi"/>
                                <w:color w:val="595959" w:themeColor="text1" w:themeTint="A6"/>
                                <w:sz w:val="18"/>
                                <w:szCs w:val="18"/>
                                <w:lang w:val="pt-BR"/>
                              </w:rPr>
                              <w:t>21</w:t>
                            </w:r>
                            <w:r w:rsidRPr="00192CEA">
                              <w:rPr>
                                <w:rFonts w:asciiTheme="majorHAnsi" w:hAnsiTheme="majorHAnsi"/>
                                <w:color w:val="595959" w:themeColor="text1" w:themeTint="A6"/>
                                <w:sz w:val="18"/>
                                <w:szCs w:val="18"/>
                                <w:lang w:val="pt-BR"/>
                              </w:rPr>
                              <w:t xml:space="preserve">. </w:t>
                            </w:r>
                            <w:r w:rsidR="00694D48">
                              <w:rPr>
                                <w:rFonts w:asciiTheme="majorHAnsi" w:hAnsiTheme="majorHAnsi"/>
                                <w:color w:val="595959" w:themeColor="text1" w:themeTint="A6"/>
                                <w:sz w:val="18"/>
                                <w:szCs w:val="18"/>
                                <w:lang w:val="es-ES_tradnl"/>
                              </w:rPr>
                              <w:t xml:space="preserve">Petición </w:t>
                            </w:r>
                            <w:r w:rsidR="00192CEA">
                              <w:rPr>
                                <w:rFonts w:asciiTheme="majorHAnsi" w:hAnsiTheme="majorHAnsi"/>
                                <w:color w:val="595959" w:themeColor="text1" w:themeTint="A6"/>
                                <w:sz w:val="18"/>
                                <w:szCs w:val="18"/>
                                <w:lang w:val="es-ES_tradnl"/>
                              </w:rPr>
                              <w:t>1331</w:t>
                            </w:r>
                            <w:r w:rsidR="00694D48">
                              <w:rPr>
                                <w:rFonts w:asciiTheme="majorHAnsi" w:hAnsiTheme="majorHAnsi"/>
                                <w:color w:val="595959" w:themeColor="text1" w:themeTint="A6"/>
                                <w:sz w:val="18"/>
                                <w:szCs w:val="18"/>
                                <w:lang w:val="es-ES_tradnl"/>
                              </w:rPr>
                              <w:t>-</w:t>
                            </w:r>
                            <w:r w:rsidR="00192CEA">
                              <w:rPr>
                                <w:rFonts w:asciiTheme="majorHAnsi" w:hAnsiTheme="majorHAnsi"/>
                                <w:color w:val="595959" w:themeColor="text1" w:themeTint="A6"/>
                                <w:sz w:val="18"/>
                                <w:szCs w:val="18"/>
                                <w:lang w:val="es-ES_tradnl"/>
                              </w:rPr>
                              <w:t>08</w:t>
                            </w:r>
                            <w:r w:rsidR="00694D48">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r w:rsidR="00192CEA">
                              <w:rPr>
                                <w:rFonts w:asciiTheme="majorHAnsi" w:hAnsiTheme="majorHAnsi"/>
                                <w:color w:val="595959" w:themeColor="text1" w:themeTint="A6"/>
                                <w:sz w:val="18"/>
                                <w:szCs w:val="18"/>
                                <w:lang w:val="es-ES_tradnl"/>
                              </w:rPr>
                              <w:t>Alejandro Marcos Cerviño</w:t>
                            </w:r>
                            <w:r w:rsidRPr="00890650">
                              <w:rPr>
                                <w:rFonts w:asciiTheme="majorHAnsi" w:hAnsiTheme="majorHAnsi"/>
                                <w:color w:val="595959" w:themeColor="text1" w:themeTint="A6"/>
                                <w:sz w:val="18"/>
                                <w:szCs w:val="18"/>
                                <w:lang w:val="es-ES_tradnl"/>
                              </w:rPr>
                              <w:t xml:space="preserve">. </w:t>
                            </w:r>
                            <w:r w:rsidR="00192CEA">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192CEA">
                              <w:rPr>
                                <w:rFonts w:asciiTheme="majorHAnsi" w:hAnsiTheme="majorHAnsi"/>
                                <w:color w:val="595959" w:themeColor="text1" w:themeTint="A6"/>
                                <w:sz w:val="18"/>
                                <w:szCs w:val="18"/>
                                <w:lang w:val="es-ES"/>
                              </w:rPr>
                              <w:t>3 de junio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E461" id="Text Box 10" o:spid="_x0000_s1030" type="#_x0000_t202" style="position:absolute;left:0;text-align:left;margin-left:105pt;margin-top:.45pt;width:389.25pt;height:5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49BB61D" w14:textId="556F447C" w:rsidR="0099258D" w:rsidRPr="007B05C4" w:rsidRDefault="0099258D" w:rsidP="0041467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92CEA" w:rsidRPr="00192CEA">
                        <w:rPr>
                          <w:rFonts w:asciiTheme="majorHAnsi" w:hAnsiTheme="majorHAnsi"/>
                          <w:color w:val="595959" w:themeColor="text1" w:themeTint="A6"/>
                          <w:sz w:val="18"/>
                          <w:szCs w:val="18"/>
                          <w:lang w:val="pt-BR"/>
                        </w:rPr>
                        <w:t>104</w:t>
                      </w:r>
                      <w:r w:rsidR="00C725B5" w:rsidRPr="00192CEA">
                        <w:rPr>
                          <w:rFonts w:asciiTheme="majorHAnsi" w:hAnsiTheme="majorHAnsi"/>
                          <w:color w:val="595959" w:themeColor="text1" w:themeTint="A6"/>
                          <w:sz w:val="18"/>
                          <w:szCs w:val="18"/>
                          <w:lang w:val="pt-BR"/>
                        </w:rPr>
                        <w:t>/</w:t>
                      </w:r>
                      <w:r w:rsidR="00192CEA" w:rsidRPr="00192CEA">
                        <w:rPr>
                          <w:rFonts w:asciiTheme="majorHAnsi" w:hAnsiTheme="majorHAnsi"/>
                          <w:color w:val="595959" w:themeColor="text1" w:themeTint="A6"/>
                          <w:sz w:val="18"/>
                          <w:szCs w:val="18"/>
                          <w:lang w:val="pt-BR"/>
                        </w:rPr>
                        <w:t>21</w:t>
                      </w:r>
                      <w:r w:rsidRPr="00192CEA">
                        <w:rPr>
                          <w:rFonts w:asciiTheme="majorHAnsi" w:hAnsiTheme="majorHAnsi"/>
                          <w:color w:val="595959" w:themeColor="text1" w:themeTint="A6"/>
                          <w:sz w:val="18"/>
                          <w:szCs w:val="18"/>
                          <w:lang w:val="pt-BR"/>
                        </w:rPr>
                        <w:t xml:space="preserve">. </w:t>
                      </w:r>
                      <w:r w:rsidR="00694D48">
                        <w:rPr>
                          <w:rFonts w:asciiTheme="majorHAnsi" w:hAnsiTheme="majorHAnsi"/>
                          <w:color w:val="595959" w:themeColor="text1" w:themeTint="A6"/>
                          <w:sz w:val="18"/>
                          <w:szCs w:val="18"/>
                          <w:lang w:val="es-ES_tradnl"/>
                        </w:rPr>
                        <w:t xml:space="preserve">Petición </w:t>
                      </w:r>
                      <w:r w:rsidR="00192CEA">
                        <w:rPr>
                          <w:rFonts w:asciiTheme="majorHAnsi" w:hAnsiTheme="majorHAnsi"/>
                          <w:color w:val="595959" w:themeColor="text1" w:themeTint="A6"/>
                          <w:sz w:val="18"/>
                          <w:szCs w:val="18"/>
                          <w:lang w:val="es-ES_tradnl"/>
                        </w:rPr>
                        <w:t>1331</w:t>
                      </w:r>
                      <w:r w:rsidR="00694D48">
                        <w:rPr>
                          <w:rFonts w:asciiTheme="majorHAnsi" w:hAnsiTheme="majorHAnsi"/>
                          <w:color w:val="595959" w:themeColor="text1" w:themeTint="A6"/>
                          <w:sz w:val="18"/>
                          <w:szCs w:val="18"/>
                          <w:lang w:val="es-ES_tradnl"/>
                        </w:rPr>
                        <w:t>-</w:t>
                      </w:r>
                      <w:r w:rsidR="00192CEA">
                        <w:rPr>
                          <w:rFonts w:asciiTheme="majorHAnsi" w:hAnsiTheme="majorHAnsi"/>
                          <w:color w:val="595959" w:themeColor="text1" w:themeTint="A6"/>
                          <w:sz w:val="18"/>
                          <w:szCs w:val="18"/>
                          <w:lang w:val="es-ES_tradnl"/>
                        </w:rPr>
                        <w:t>08</w:t>
                      </w:r>
                      <w:r w:rsidR="00694D48">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r w:rsidR="00192CEA">
                        <w:rPr>
                          <w:rFonts w:asciiTheme="majorHAnsi" w:hAnsiTheme="majorHAnsi"/>
                          <w:color w:val="595959" w:themeColor="text1" w:themeTint="A6"/>
                          <w:sz w:val="18"/>
                          <w:szCs w:val="18"/>
                          <w:lang w:val="es-ES_tradnl"/>
                        </w:rPr>
                        <w:t>Alejandro Marcos Cerviño</w:t>
                      </w:r>
                      <w:r w:rsidRPr="00890650">
                        <w:rPr>
                          <w:rFonts w:asciiTheme="majorHAnsi" w:hAnsiTheme="majorHAnsi"/>
                          <w:color w:val="595959" w:themeColor="text1" w:themeTint="A6"/>
                          <w:sz w:val="18"/>
                          <w:szCs w:val="18"/>
                          <w:lang w:val="es-ES_tradnl"/>
                        </w:rPr>
                        <w:t xml:space="preserve">. </w:t>
                      </w:r>
                      <w:r w:rsidR="00192CEA">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192CEA">
                        <w:rPr>
                          <w:rFonts w:asciiTheme="majorHAnsi" w:hAnsiTheme="majorHAnsi"/>
                          <w:color w:val="595959" w:themeColor="text1" w:themeTint="A6"/>
                          <w:sz w:val="18"/>
                          <w:szCs w:val="18"/>
                          <w:lang w:val="es-ES"/>
                        </w:rPr>
                        <w:t>3 de junio de 2021</w:t>
                      </w:r>
                      <w:r w:rsidRPr="007B05C4">
                        <w:rPr>
                          <w:rFonts w:asciiTheme="majorHAnsi" w:hAnsiTheme="majorHAnsi"/>
                          <w:color w:val="595959" w:themeColor="text1" w:themeTint="A6"/>
                          <w:sz w:val="18"/>
                          <w:szCs w:val="18"/>
                          <w:lang w:val="es-ES"/>
                        </w:rPr>
                        <w:t>.</w:t>
                      </w:r>
                    </w:p>
                  </w:txbxContent>
                </v:textbox>
              </v:shape>
            </w:pict>
          </mc:Fallback>
        </mc:AlternateContent>
      </w:r>
    </w:p>
    <w:p w14:paraId="23181C8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F0A47E5" w14:textId="252FBD56"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2608" behindDoc="0" locked="0" layoutInCell="1" allowOverlap="1" wp14:anchorId="4012B702" wp14:editId="3745BEC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654C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2B702" id="Text Box 4" o:spid="_x0000_s1031" type="#_x0000_t202" style="position:absolute;left:0;text-align:left;margin-left:-21.45pt;margin-top:72.05pt;width:93pt;height:2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1D8654C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874FD85" w14:textId="6C3D6D0D" w:rsidR="0070697F" w:rsidRDefault="00D11311"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90270B">
        <w:rPr>
          <w:rFonts w:asciiTheme="majorHAnsi" w:hAnsiTheme="majorHAnsi"/>
          <w:noProof/>
          <w:sz w:val="22"/>
          <w:szCs w:val="22"/>
        </w:rPr>
        <mc:AlternateContent>
          <mc:Choice Requires="wps">
            <w:drawing>
              <wp:anchor distT="0" distB="0" distL="114300" distR="114300" simplePos="0" relativeHeight="251660800" behindDoc="0" locked="0" layoutInCell="1" allowOverlap="1" wp14:anchorId="06466960" wp14:editId="3714C014">
                <wp:simplePos x="0" y="0"/>
                <wp:positionH relativeFrom="column">
                  <wp:posOffset>-220980</wp:posOffset>
                </wp:positionH>
                <wp:positionV relativeFrom="paragraph">
                  <wp:posOffset>758190</wp:posOffset>
                </wp:positionV>
                <wp:extent cx="1134836" cy="397328"/>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1134836" cy="397328"/>
                        </a:xfrm>
                        <a:prstGeom prst="rect">
                          <a:avLst/>
                        </a:prstGeom>
                        <a:noFill/>
                        <a:ln w="6350">
                          <a:noFill/>
                        </a:ln>
                        <a:effectLst/>
                      </wps:spPr>
                      <wps:txbx>
                        <w:txbxContent>
                          <w:p w14:paraId="0245F527" w14:textId="77777777" w:rsidR="00D11311" w:rsidRPr="00003809" w:rsidRDefault="00D11311" w:rsidP="00D11311">
                            <w:pPr>
                              <w:spacing w:line="276" w:lineRule="auto"/>
                              <w:jc w:val="right"/>
                              <w:rPr>
                                <w:rFonts w:asciiTheme="minorHAnsi" w:hAnsiTheme="minorHAnsi"/>
                                <w:b/>
                                <w:bCs/>
                                <w:color w:val="FFFFFF" w:themeColor="background1"/>
                                <w:lang w:val="es-US"/>
                              </w:rPr>
                            </w:pPr>
                            <w:r w:rsidRPr="00003809">
                              <w:rPr>
                                <w:rFonts w:asciiTheme="minorHAnsi" w:hAnsiTheme="minorHAnsi"/>
                                <w:b/>
                                <w:bCs/>
                                <w:color w:val="FFFFFF" w:themeColor="background1"/>
                                <w:lang w:val="es-419"/>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66960" id="Text Box 6" o:spid="_x0000_s1032" type="#_x0000_t202" style="position:absolute;left:0;text-align:left;margin-left:-17.4pt;margin-top:59.7pt;width:89.35pt;height:3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" filled="f" stroked="f" strokeweight=".5pt">
                <v:textbox>
                  <w:txbxContent>
                    <w:p w14:paraId="0245F527" w14:textId="77777777" w:rsidR="00D11311" w:rsidRPr="00003809" w:rsidRDefault="00D11311" w:rsidP="00D11311">
                      <w:pPr>
                        <w:spacing w:line="276" w:lineRule="auto"/>
                        <w:jc w:val="right"/>
                        <w:rPr>
                          <w:rFonts w:asciiTheme="minorHAnsi" w:hAnsiTheme="minorHAnsi"/>
                          <w:b/>
                          <w:bCs/>
                          <w:color w:val="FFFFFF" w:themeColor="background1"/>
                          <w:lang w:val="es-US"/>
                        </w:rPr>
                      </w:pPr>
                      <w:r w:rsidRPr="00003809">
                        <w:rPr>
                          <w:rFonts w:asciiTheme="minorHAnsi" w:hAnsiTheme="minorHAnsi"/>
                          <w:b/>
                          <w:bCs/>
                          <w:color w:val="FFFFFF" w:themeColor="background1"/>
                          <w:lang w:val="es-419"/>
                        </w:rPr>
                        <w:t>www.cidh.org</w:t>
                      </w:r>
                    </w:p>
                  </w:txbxContent>
                </v:textbox>
              </v:shape>
            </w:pict>
          </mc:Fallback>
        </mc:AlternateContent>
      </w:r>
      <w:r w:rsidR="00192CEA" w:rsidRPr="0090270B">
        <w:rPr>
          <w:rFonts w:asciiTheme="majorHAnsi" w:hAnsiTheme="majorHAnsi"/>
          <w:noProof/>
          <w:sz w:val="22"/>
          <w:szCs w:val="22"/>
        </w:rPr>
        <mc:AlternateContent>
          <mc:Choice Requires="wps">
            <w:drawing>
              <wp:anchor distT="0" distB="0" distL="114300" distR="114300" simplePos="0" relativeHeight="251656704" behindDoc="0" locked="0" layoutInCell="1" allowOverlap="1" wp14:anchorId="0F35B61D" wp14:editId="5AD9ECFB">
                <wp:simplePos x="0" y="0"/>
                <wp:positionH relativeFrom="column">
                  <wp:posOffset>-259987</wp:posOffset>
                </wp:positionH>
                <wp:positionV relativeFrom="paragraph">
                  <wp:posOffset>674370</wp:posOffset>
                </wp:positionV>
                <wp:extent cx="1134836" cy="397328"/>
                <wp:effectExtent l="0" t="0" r="0" b="3175"/>
                <wp:wrapNone/>
                <wp:docPr id="17" name="Text Box 17"/>
                <wp:cNvGraphicFramePr/>
                <a:graphic xmlns:a="http://schemas.openxmlformats.org/drawingml/2006/main">
                  <a:graphicData uri="http://schemas.microsoft.com/office/word/2010/wordprocessingShape">
                    <wps:wsp>
                      <wps:cNvSpPr txBox="1"/>
                      <wps:spPr>
                        <a:xfrm>
                          <a:off x="0" y="0"/>
                          <a:ext cx="1134836" cy="3973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C0DB2" w14:textId="4B8AC6CB" w:rsidR="00192CEA" w:rsidRPr="00003809" w:rsidRDefault="00192CEA" w:rsidP="00192CEA">
                            <w:pPr>
                              <w:spacing w:line="276" w:lineRule="auto"/>
                              <w:jc w:val="right"/>
                              <w:rPr>
                                <w:rFonts w:asciiTheme="minorHAnsi" w:hAnsiTheme="minorHAnsi"/>
                                <w:b/>
                                <w:bCs/>
                                <w:color w:val="FFFFFF" w:themeColor="background1"/>
                                <w:lang w:val="es-US"/>
                              </w:rPr>
                            </w:pPr>
                            <w:r w:rsidRPr="00003809">
                              <w:rPr>
                                <w:rFonts w:asciiTheme="minorHAnsi" w:hAnsiTheme="minorHAnsi"/>
                                <w:b/>
                                <w:bCs/>
                                <w:color w:val="FFFFFF" w:themeColor="background1"/>
                                <w:lang w:val="es-419"/>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5B61D" id="Text Box 17" o:spid="_x0000_s1033" type="#_x0000_t202" style="position:absolute;left:0;text-align:left;margin-left:-20.45pt;margin-top:53.1pt;width:89.35pt;height:3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" filled="f" stroked="f" strokeweight=".5pt">
                <v:textbox>
                  <w:txbxContent>
                    <w:p w14:paraId="7E2C0DB2" w14:textId="4B8AC6CB" w:rsidR="00192CEA" w:rsidRPr="00003809" w:rsidRDefault="00192CEA" w:rsidP="00192CEA">
                      <w:pPr>
                        <w:spacing w:line="276" w:lineRule="auto"/>
                        <w:jc w:val="right"/>
                        <w:rPr>
                          <w:rFonts w:asciiTheme="minorHAnsi" w:hAnsiTheme="minorHAnsi"/>
                          <w:b/>
                          <w:bCs/>
                          <w:color w:val="FFFFFF" w:themeColor="background1"/>
                          <w:lang w:val="es-US"/>
                        </w:rPr>
                      </w:pPr>
                      <w:r w:rsidRPr="00003809">
                        <w:rPr>
                          <w:rFonts w:asciiTheme="minorHAnsi" w:hAnsiTheme="minorHAnsi"/>
                          <w:b/>
                          <w:bCs/>
                          <w:color w:val="FFFFFF" w:themeColor="background1"/>
                          <w:lang w:val="es-419"/>
                        </w:rPr>
                        <w:t>www.cidh.org</w:t>
                      </w:r>
                    </w:p>
                  </w:txbxContent>
                </v:textbox>
              </v:shape>
            </w:pict>
          </mc:Fallback>
        </mc:AlternateContent>
      </w:r>
      <w:r w:rsidR="0045247F">
        <w:rPr>
          <w:rFonts w:asciiTheme="majorHAnsi" w:hAnsiTheme="majorHAnsi"/>
          <w:noProof/>
          <w:sz w:val="18"/>
          <w:szCs w:val="22"/>
        </w:rPr>
        <mc:AlternateContent>
          <mc:Choice Requires="wps">
            <w:drawing>
              <wp:anchor distT="0" distB="0" distL="114300" distR="114300" simplePos="0" relativeHeight="251653632" behindDoc="0" locked="0" layoutInCell="1" allowOverlap="1" wp14:anchorId="43E559D9" wp14:editId="59B4FD3E">
                <wp:simplePos x="0" y="0"/>
                <wp:positionH relativeFrom="column">
                  <wp:posOffset>1330658</wp:posOffset>
                </wp:positionH>
                <wp:positionV relativeFrom="paragraph">
                  <wp:posOffset>489651</wp:posOffset>
                </wp:positionV>
                <wp:extent cx="2286000"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2286000"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AAA1D" w14:textId="4961D543" w:rsidR="0099258D" w:rsidRPr="00D72DC6" w:rsidRDefault="0099258D" w:rsidP="00F02AD1">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559D9" id="Text Box 9" o:spid="_x0000_s1034" type="#_x0000_t202" style="position:absolute;left:0;text-align:left;margin-left:104.8pt;margin-top:38.55pt;width:180pt;height:44.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" fillcolor="white [3201]" stroked="f" strokeweight=".5pt">
                <v:textbox>
                  <w:txbxContent>
                    <w:p w14:paraId="0AEAAA1D" w14:textId="4961D543" w:rsidR="0099258D" w:rsidRPr="00D72DC6" w:rsidRDefault="0099258D" w:rsidP="00F02AD1">
                      <w:pPr>
                        <w:rPr>
                          <w:color w:val="FFFFFF" w:themeColor="background1"/>
                          <w14:textFill>
                            <w14:noFill/>
                          </w14:textFill>
                        </w:rPr>
                      </w:pPr>
                    </w:p>
                  </w:txbxContent>
                </v:textbox>
              </v:shape>
            </w:pict>
          </mc:Fallback>
        </mc:AlternateContent>
      </w:r>
      <w:r w:rsidR="0045247F" w:rsidRPr="00D72DC6">
        <w:rPr>
          <w:noProof/>
          <w:color w:val="FFFFFF" w:themeColor="background1"/>
          <w14:textFill>
            <w14:noFill/>
          </w14:textFill>
        </w:rPr>
        <w:drawing>
          <wp:anchor distT="0" distB="0" distL="114300" distR="114300" simplePos="0" relativeHeight="251662848" behindDoc="0" locked="0" layoutInCell="1" allowOverlap="1" wp14:anchorId="1E3925C3" wp14:editId="0F5D3F10">
            <wp:simplePos x="0" y="0"/>
            <wp:positionH relativeFrom="column">
              <wp:posOffset>1466850</wp:posOffset>
            </wp:positionH>
            <wp:positionV relativeFrom="paragraph">
              <wp:posOffset>558165</wp:posOffset>
            </wp:positionV>
            <wp:extent cx="1515600" cy="390950"/>
            <wp:effectExtent l="0" t="0" r="0" b="9525"/>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cstate="print">
                      <a:extLst>
                        <a:ext uri="{28A0092B-C50C-407E-A947-70E740481C1C}">
                          <a14:useLocalDpi xmlns:a14="http://schemas.microsoft.com/office/drawing/2010/main"/>
                        </a:ext>
                      </a:extLst>
                    </a:blip>
                    <a:stretch>
                      <a:fillRect/>
                    </a:stretch>
                  </pic:blipFill>
                  <pic:spPr bwMode="auto">
                    <a:xfrm>
                      <a:off x="0" y="0"/>
                      <a:ext cx="1515600" cy="390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2ED5B9"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56" w:type="dxa"/>
        <w:tblInd w:w="108" w:type="dxa"/>
        <w:tblLook w:val="04A0" w:firstRow="1" w:lastRow="0" w:firstColumn="1" w:lastColumn="0" w:noHBand="0" w:noVBand="1"/>
      </w:tblPr>
      <w:tblGrid>
        <w:gridCol w:w="3828"/>
        <w:gridCol w:w="5528"/>
      </w:tblGrid>
      <w:tr w:rsidR="00802833" w:rsidRPr="007E5CFB" w14:paraId="14353E3A" w14:textId="77777777" w:rsidTr="004D01EE">
        <w:tc>
          <w:tcPr>
            <w:tcW w:w="3828" w:type="dxa"/>
            <w:shd w:val="clear" w:color="auto" w:fill="386294"/>
            <w:vAlign w:val="center"/>
          </w:tcPr>
          <w:p w14:paraId="0EC9DE2C" w14:textId="0CB5568C" w:rsidR="00802833" w:rsidRPr="007E5CFB" w:rsidRDefault="00802833" w:rsidP="00802833">
            <w:pPr>
              <w:jc w:val="center"/>
              <w:rPr>
                <w:rFonts w:ascii="Cambria" w:hAnsi="Cambria"/>
                <w:b/>
                <w:color w:val="FFFFFF" w:themeColor="background1"/>
                <w:sz w:val="20"/>
                <w:szCs w:val="20"/>
                <w:lang w:val="es-ES"/>
              </w:rPr>
            </w:pPr>
            <w:r w:rsidRPr="007E5CFB">
              <w:rPr>
                <w:rFonts w:ascii="Cambria" w:hAnsi="Cambria"/>
                <w:b/>
                <w:color w:val="FFFFFF" w:themeColor="background1"/>
                <w:sz w:val="20"/>
                <w:szCs w:val="20"/>
                <w:lang w:val="es-ES"/>
              </w:rPr>
              <w:t>Parte peticionaria</w:t>
            </w:r>
          </w:p>
        </w:tc>
        <w:tc>
          <w:tcPr>
            <w:tcW w:w="5528" w:type="dxa"/>
            <w:vAlign w:val="center"/>
          </w:tcPr>
          <w:p w14:paraId="706D0974" w14:textId="67D7C12F" w:rsidR="00802833" w:rsidRPr="00DF07D8" w:rsidRDefault="006D1FDC" w:rsidP="00802833">
            <w:pPr>
              <w:jc w:val="both"/>
              <w:rPr>
                <w:rFonts w:asciiTheme="majorHAnsi" w:hAnsiTheme="majorHAnsi"/>
                <w:bCs/>
                <w:sz w:val="20"/>
                <w:szCs w:val="20"/>
                <w:lang w:val="es-ES"/>
              </w:rPr>
            </w:pPr>
            <w:r w:rsidRPr="00DF07D8">
              <w:rPr>
                <w:rFonts w:asciiTheme="majorHAnsi" w:hAnsiTheme="majorHAnsi"/>
                <w:bCs/>
                <w:sz w:val="20"/>
                <w:szCs w:val="20"/>
                <w:lang w:val="es-ES"/>
              </w:rPr>
              <w:t>Alejandro Marcos Cerviño</w:t>
            </w:r>
          </w:p>
        </w:tc>
      </w:tr>
      <w:tr w:rsidR="00802833" w:rsidRPr="007E5CFB" w14:paraId="2355CD53" w14:textId="77777777" w:rsidTr="004D01EE">
        <w:tc>
          <w:tcPr>
            <w:tcW w:w="3828" w:type="dxa"/>
            <w:shd w:val="clear" w:color="auto" w:fill="386294"/>
            <w:vAlign w:val="center"/>
          </w:tcPr>
          <w:p w14:paraId="59A0E4B3" w14:textId="23C5F734" w:rsidR="00802833" w:rsidRPr="007E5CFB" w:rsidRDefault="00B77492" w:rsidP="00802833">
            <w:pPr>
              <w:jc w:val="center"/>
              <w:rPr>
                <w:rFonts w:ascii="Cambria" w:hAnsi="Cambria"/>
                <w:b/>
                <w:color w:val="FFFFFF" w:themeColor="background1"/>
                <w:sz w:val="20"/>
                <w:szCs w:val="20"/>
                <w:lang w:val="es-ES"/>
              </w:rPr>
            </w:pPr>
            <w:sdt>
              <w:sdtPr>
                <w:rPr>
                  <w:rFonts w:ascii="Cambria" w:hAnsi="Cambria"/>
                  <w:b/>
                  <w:color w:val="FFFFFF" w:themeColor="background1"/>
                  <w:sz w:val="20"/>
                  <w:szCs w:val="20"/>
                  <w:lang w:val="es-ES"/>
                </w:rPr>
                <w:alias w:val="Elegir una opción"/>
                <w:tag w:val="Elegir una opción"/>
                <w:id w:val="931095713"/>
                <w:placeholder>
                  <w:docPart w:val="3CC00BABF2EA4BDC95125B72D2BF8292"/>
                </w:placeholder>
                <w:dropDownList>
                  <w:listItem w:value="Choose an item."/>
                  <w:listItem w:displayText="Presunta víctima" w:value="Presunta víctima"/>
                  <w:listItem w:displayText="Presuntas víctimas" w:value="Presuntas víctimas"/>
                </w:dropDownList>
              </w:sdtPr>
              <w:sdtEndPr/>
              <w:sdtContent>
                <w:r w:rsidR="00802833" w:rsidRPr="007E5CFB">
                  <w:rPr>
                    <w:rFonts w:ascii="Cambria" w:hAnsi="Cambria"/>
                    <w:b/>
                    <w:color w:val="FFFFFF" w:themeColor="background1"/>
                    <w:sz w:val="20"/>
                    <w:szCs w:val="20"/>
                    <w:lang w:val="es-ES"/>
                  </w:rPr>
                  <w:t>Presunta víctima</w:t>
                </w:r>
              </w:sdtContent>
            </w:sdt>
          </w:p>
        </w:tc>
        <w:tc>
          <w:tcPr>
            <w:tcW w:w="5528" w:type="dxa"/>
            <w:vAlign w:val="center"/>
          </w:tcPr>
          <w:p w14:paraId="70B7B1C1" w14:textId="3A6C6E68" w:rsidR="00802833" w:rsidRPr="00DF07D8" w:rsidRDefault="006D1FDC" w:rsidP="00802833">
            <w:pPr>
              <w:jc w:val="both"/>
              <w:rPr>
                <w:rFonts w:asciiTheme="majorHAnsi" w:hAnsiTheme="majorHAnsi"/>
                <w:bCs/>
                <w:sz w:val="20"/>
                <w:szCs w:val="20"/>
              </w:rPr>
            </w:pPr>
            <w:r w:rsidRPr="00DF07D8">
              <w:rPr>
                <w:rFonts w:asciiTheme="majorHAnsi" w:hAnsiTheme="majorHAnsi"/>
                <w:bCs/>
                <w:sz w:val="20"/>
                <w:szCs w:val="20"/>
                <w:lang w:val="es-ES"/>
              </w:rPr>
              <w:t>Alejandro Marcos Cerviño</w:t>
            </w:r>
          </w:p>
        </w:tc>
      </w:tr>
      <w:tr w:rsidR="00802833" w:rsidRPr="007E5CFB" w14:paraId="6B9385E9" w14:textId="77777777" w:rsidTr="004D01EE">
        <w:tc>
          <w:tcPr>
            <w:tcW w:w="3828" w:type="dxa"/>
            <w:shd w:val="clear" w:color="auto" w:fill="386294"/>
            <w:vAlign w:val="center"/>
          </w:tcPr>
          <w:p w14:paraId="2DB2C085" w14:textId="7CA93E29" w:rsidR="00802833" w:rsidRPr="007E5CFB" w:rsidRDefault="00802833" w:rsidP="00802833">
            <w:pPr>
              <w:jc w:val="center"/>
              <w:rPr>
                <w:rFonts w:ascii="Cambria" w:hAnsi="Cambria"/>
                <w:b/>
                <w:color w:val="FFFFFF" w:themeColor="background1"/>
                <w:sz w:val="20"/>
                <w:szCs w:val="20"/>
                <w:lang w:val="es-ES"/>
              </w:rPr>
            </w:pPr>
            <w:r w:rsidRPr="007E5CFB">
              <w:rPr>
                <w:rFonts w:ascii="Cambria" w:hAnsi="Cambria"/>
                <w:b/>
                <w:color w:val="FFFFFF" w:themeColor="background1"/>
                <w:sz w:val="20"/>
                <w:szCs w:val="20"/>
                <w:lang w:val="es-ES"/>
              </w:rPr>
              <w:t>Estado denunciado</w:t>
            </w:r>
          </w:p>
        </w:tc>
        <w:tc>
          <w:tcPr>
            <w:tcW w:w="5528" w:type="dxa"/>
            <w:vAlign w:val="center"/>
          </w:tcPr>
          <w:p w14:paraId="5E375646" w14:textId="65D225FE" w:rsidR="00802833" w:rsidRPr="00DF07D8" w:rsidRDefault="006D1FDC" w:rsidP="00802833">
            <w:pPr>
              <w:jc w:val="both"/>
              <w:rPr>
                <w:rFonts w:asciiTheme="majorHAnsi" w:hAnsiTheme="majorHAnsi"/>
                <w:bCs/>
                <w:sz w:val="20"/>
                <w:szCs w:val="20"/>
              </w:rPr>
            </w:pPr>
            <w:r w:rsidRPr="00DF07D8">
              <w:rPr>
                <w:rFonts w:asciiTheme="majorHAnsi" w:hAnsiTheme="majorHAnsi"/>
                <w:bCs/>
                <w:sz w:val="20"/>
                <w:szCs w:val="20"/>
              </w:rPr>
              <w:t>Argentina</w:t>
            </w:r>
          </w:p>
        </w:tc>
      </w:tr>
      <w:tr w:rsidR="00802833" w:rsidRPr="00974D6F" w14:paraId="2485421D" w14:textId="77777777" w:rsidTr="004D01EE">
        <w:tc>
          <w:tcPr>
            <w:tcW w:w="3828" w:type="dxa"/>
            <w:shd w:val="clear" w:color="auto" w:fill="386294"/>
            <w:vAlign w:val="center"/>
          </w:tcPr>
          <w:p w14:paraId="158523DF" w14:textId="03C2948C" w:rsidR="00802833" w:rsidRPr="007E5CFB" w:rsidRDefault="00802833" w:rsidP="00802833">
            <w:pPr>
              <w:jc w:val="center"/>
              <w:rPr>
                <w:rFonts w:ascii="Cambria" w:hAnsi="Cambria"/>
                <w:b/>
                <w:color w:val="FFFFFF" w:themeColor="background1"/>
                <w:sz w:val="20"/>
                <w:szCs w:val="20"/>
                <w:lang w:val="es-ES"/>
              </w:rPr>
            </w:pPr>
            <w:r w:rsidRPr="007E5CFB">
              <w:rPr>
                <w:rFonts w:ascii="Cambria" w:hAnsi="Cambria"/>
                <w:b/>
                <w:color w:val="FFFFFF" w:themeColor="background1"/>
                <w:sz w:val="20"/>
                <w:szCs w:val="20"/>
                <w:lang w:val="es-ES"/>
              </w:rPr>
              <w:t>Derechos invocados</w:t>
            </w:r>
          </w:p>
        </w:tc>
        <w:tc>
          <w:tcPr>
            <w:tcW w:w="5528" w:type="dxa"/>
            <w:vAlign w:val="center"/>
          </w:tcPr>
          <w:p w14:paraId="6963531B" w14:textId="0B964742" w:rsidR="00802833" w:rsidRPr="00DF07D8" w:rsidRDefault="006D1FDC" w:rsidP="00802833">
            <w:pPr>
              <w:jc w:val="both"/>
              <w:rPr>
                <w:rFonts w:asciiTheme="majorHAnsi" w:hAnsiTheme="majorHAnsi"/>
                <w:bCs/>
                <w:sz w:val="20"/>
                <w:szCs w:val="20"/>
                <w:lang w:val="es-PA"/>
              </w:rPr>
            </w:pPr>
            <w:r w:rsidRPr="00DF07D8">
              <w:rPr>
                <w:rFonts w:asciiTheme="majorHAnsi" w:hAnsiTheme="majorHAnsi"/>
                <w:bCs/>
                <w:sz w:val="20"/>
                <w:szCs w:val="20"/>
                <w:lang w:val="es-PA"/>
              </w:rPr>
              <w:t>Artículos 8 (garantías judiciales), 11 (protección de la honra y la dignidad), 21 (derecho a la propiedad privada), 24 (igualdad ante la ley)</w:t>
            </w:r>
            <w:r w:rsidR="00DF07D8" w:rsidRPr="00DF07D8">
              <w:rPr>
                <w:rFonts w:asciiTheme="majorHAnsi" w:hAnsiTheme="majorHAnsi"/>
                <w:bCs/>
                <w:sz w:val="20"/>
                <w:szCs w:val="20"/>
                <w:lang w:val="es-PA"/>
              </w:rPr>
              <w:t>,</w:t>
            </w:r>
            <w:r w:rsidRPr="00DF07D8">
              <w:rPr>
                <w:rFonts w:asciiTheme="majorHAnsi" w:hAnsiTheme="majorHAnsi"/>
                <w:bCs/>
                <w:sz w:val="20"/>
                <w:szCs w:val="20"/>
                <w:lang w:val="es-PA"/>
              </w:rPr>
              <w:t xml:space="preserve"> 25 (protección judicial), 26 (desarrollo progresivo), 28 (cláusula federal) y 29 (normas de interpretación) de la Convención Americana sobre Derechos Humanos</w:t>
            </w:r>
            <w:r w:rsidRPr="00DF07D8">
              <w:rPr>
                <w:rStyle w:val="FootnoteReference"/>
                <w:rFonts w:asciiTheme="majorHAnsi" w:hAnsiTheme="majorHAnsi"/>
                <w:bCs/>
                <w:sz w:val="20"/>
                <w:szCs w:val="20"/>
                <w:lang w:val="es-PA"/>
              </w:rPr>
              <w:footnoteReference w:id="2"/>
            </w:r>
            <w:r w:rsidRPr="00DF07D8">
              <w:rPr>
                <w:rFonts w:asciiTheme="majorHAnsi" w:hAnsiTheme="majorHAnsi"/>
                <w:bCs/>
                <w:sz w:val="20"/>
                <w:szCs w:val="20"/>
                <w:lang w:val="es-PA"/>
              </w:rPr>
              <w:t xml:space="preserve"> en relación con </w:t>
            </w:r>
            <w:r w:rsidR="00775FCE" w:rsidRPr="00DF07D8">
              <w:rPr>
                <w:rFonts w:asciiTheme="majorHAnsi" w:hAnsiTheme="majorHAnsi"/>
                <w:bCs/>
                <w:sz w:val="20"/>
                <w:szCs w:val="20"/>
                <w:lang w:val="es-PA"/>
              </w:rPr>
              <w:t>sus</w:t>
            </w:r>
            <w:r w:rsidRPr="00DF07D8">
              <w:rPr>
                <w:rFonts w:asciiTheme="majorHAnsi" w:hAnsiTheme="majorHAnsi"/>
                <w:bCs/>
                <w:sz w:val="20"/>
                <w:szCs w:val="20"/>
                <w:lang w:val="es-PA"/>
              </w:rPr>
              <w:t xml:space="preserve"> artículos 1 (obligación de respetar los derechos) y 2 (deber de adoptar disposiciones de derecho interno); artículos II (derecho de igualdad ante la ley), XVII (derecho de reconocimiento de la personalidad jurídica y de los derechos civiles), XVIII (derecho de justicia), XXIII (derecho a la propiedad) y XXIV (derecho de petición) de la Declaración Americana de los Derechos y Deberes del Hombre</w:t>
            </w:r>
            <w:r w:rsidRPr="00DF07D8">
              <w:rPr>
                <w:rStyle w:val="FootnoteReference"/>
                <w:rFonts w:asciiTheme="majorHAnsi" w:hAnsiTheme="majorHAnsi"/>
                <w:bCs/>
                <w:sz w:val="20"/>
                <w:szCs w:val="20"/>
                <w:lang w:val="es-PA"/>
              </w:rPr>
              <w:footnoteReference w:id="3"/>
            </w:r>
            <w:r w:rsidRPr="00DF07D8">
              <w:rPr>
                <w:rFonts w:asciiTheme="majorHAnsi" w:hAnsiTheme="majorHAnsi"/>
                <w:bCs/>
                <w:sz w:val="20"/>
                <w:szCs w:val="20"/>
                <w:lang w:val="es-PA"/>
              </w:rPr>
              <w:t xml:space="preserve"> y otros derechos mencionados en otro instrumento internacional</w:t>
            </w:r>
            <w:r w:rsidRPr="00DF07D8">
              <w:rPr>
                <w:rStyle w:val="FootnoteReference"/>
                <w:rFonts w:asciiTheme="majorHAnsi" w:hAnsiTheme="majorHAnsi"/>
                <w:bCs/>
                <w:sz w:val="20"/>
                <w:szCs w:val="20"/>
                <w:lang w:val="es-PA"/>
              </w:rPr>
              <w:footnoteReference w:id="4"/>
            </w:r>
          </w:p>
        </w:tc>
      </w:tr>
    </w:tbl>
    <w:p w14:paraId="274617D8"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56" w:type="dxa"/>
        <w:tblInd w:w="108" w:type="dxa"/>
        <w:tblBorders>
          <w:insideH w:val="single" w:sz="6" w:space="0" w:color="auto"/>
          <w:insideV w:val="single" w:sz="6" w:space="0" w:color="auto"/>
        </w:tblBorders>
        <w:tblLook w:val="04A0" w:firstRow="1" w:lastRow="0" w:firstColumn="1" w:lastColumn="0" w:noHBand="0" w:noVBand="1"/>
      </w:tblPr>
      <w:tblGrid>
        <w:gridCol w:w="3828"/>
        <w:gridCol w:w="5528"/>
      </w:tblGrid>
      <w:tr w:rsidR="009629C7" w:rsidRPr="007E5CFB" w14:paraId="78A941EA" w14:textId="77777777" w:rsidTr="004D01EE">
        <w:tc>
          <w:tcPr>
            <w:tcW w:w="3828" w:type="dxa"/>
            <w:tcBorders>
              <w:top w:val="single" w:sz="6" w:space="0" w:color="auto"/>
              <w:bottom w:val="single" w:sz="6" w:space="0" w:color="auto"/>
            </w:tcBorders>
            <w:shd w:val="clear" w:color="auto" w:fill="386294"/>
            <w:vAlign w:val="center"/>
          </w:tcPr>
          <w:p w14:paraId="470D93FB" w14:textId="4BD55022" w:rsidR="009629C7" w:rsidRPr="007E5CFB" w:rsidRDefault="009629C7" w:rsidP="00802833">
            <w:pPr>
              <w:jc w:val="center"/>
              <w:rPr>
                <w:rFonts w:ascii="Cambria" w:hAnsi="Cambria"/>
                <w:b/>
                <w:color w:val="FFFFFF" w:themeColor="background1"/>
                <w:sz w:val="20"/>
                <w:szCs w:val="20"/>
                <w:lang w:val="es-ES"/>
              </w:rPr>
            </w:pPr>
            <w:r w:rsidRPr="007E5CFB">
              <w:rPr>
                <w:rFonts w:ascii="Cambria" w:hAnsi="Cambria"/>
                <w:b/>
                <w:color w:val="FFFFFF" w:themeColor="background1"/>
                <w:sz w:val="20"/>
                <w:szCs w:val="20"/>
                <w:lang w:val="es-ES"/>
              </w:rPr>
              <w:t>Recepción de la petición</w:t>
            </w:r>
          </w:p>
        </w:tc>
        <w:tc>
          <w:tcPr>
            <w:tcW w:w="5528" w:type="dxa"/>
          </w:tcPr>
          <w:p w14:paraId="1C0FBE93" w14:textId="59EC9A6F" w:rsidR="009629C7" w:rsidRPr="007E5CFB" w:rsidRDefault="007E5CFB" w:rsidP="00802833">
            <w:pPr>
              <w:jc w:val="both"/>
              <w:rPr>
                <w:rFonts w:ascii="Cambria" w:hAnsi="Cambria"/>
                <w:bCs/>
                <w:sz w:val="20"/>
                <w:szCs w:val="20"/>
                <w:lang w:val="es-ES"/>
              </w:rPr>
            </w:pPr>
            <w:r w:rsidRPr="007E5CFB">
              <w:rPr>
                <w:rFonts w:ascii="Cambria" w:hAnsi="Cambria"/>
                <w:bCs/>
                <w:sz w:val="20"/>
                <w:szCs w:val="20"/>
                <w:lang w:val="es-ES"/>
              </w:rPr>
              <w:t>12 de noviembre de 2008</w:t>
            </w:r>
          </w:p>
        </w:tc>
      </w:tr>
      <w:tr w:rsidR="009629C7" w:rsidRPr="007E5CFB" w14:paraId="33F566F4" w14:textId="77777777" w:rsidTr="004D01EE">
        <w:tc>
          <w:tcPr>
            <w:tcW w:w="3828" w:type="dxa"/>
            <w:tcBorders>
              <w:top w:val="single" w:sz="6" w:space="0" w:color="auto"/>
              <w:bottom w:val="single" w:sz="6" w:space="0" w:color="auto"/>
            </w:tcBorders>
            <w:shd w:val="clear" w:color="auto" w:fill="386294"/>
            <w:vAlign w:val="center"/>
          </w:tcPr>
          <w:p w14:paraId="1052A61F" w14:textId="27056C16" w:rsidR="009629C7" w:rsidRPr="007E5CFB" w:rsidRDefault="009629C7" w:rsidP="00802833">
            <w:pPr>
              <w:jc w:val="center"/>
              <w:rPr>
                <w:rFonts w:ascii="Cambria" w:hAnsi="Cambria"/>
                <w:b/>
                <w:color w:val="FFFFFF" w:themeColor="background1"/>
                <w:sz w:val="20"/>
                <w:szCs w:val="20"/>
                <w:lang w:val="es-ES"/>
              </w:rPr>
            </w:pPr>
            <w:r w:rsidRPr="007E5CFB">
              <w:rPr>
                <w:rFonts w:ascii="Cambria" w:hAnsi="Cambria"/>
                <w:b/>
                <w:color w:val="FFFFFF" w:themeColor="background1"/>
                <w:sz w:val="20"/>
                <w:szCs w:val="20"/>
                <w:lang w:val="es-ES"/>
              </w:rPr>
              <w:t xml:space="preserve">Información adicional </w:t>
            </w:r>
            <w:r w:rsidR="00E64D1A">
              <w:rPr>
                <w:rFonts w:ascii="Cambria" w:hAnsi="Cambria"/>
                <w:b/>
                <w:color w:val="FFFFFF" w:themeColor="background1"/>
                <w:sz w:val="20"/>
                <w:szCs w:val="20"/>
                <w:lang w:val="es-ES"/>
              </w:rPr>
              <w:br/>
            </w:r>
            <w:r w:rsidRPr="007E5CFB">
              <w:rPr>
                <w:rFonts w:ascii="Cambria" w:hAnsi="Cambria"/>
                <w:b/>
                <w:color w:val="FFFFFF" w:themeColor="background1"/>
                <w:sz w:val="20"/>
                <w:szCs w:val="20"/>
                <w:lang w:val="es-ES"/>
              </w:rPr>
              <w:t xml:space="preserve">recibida </w:t>
            </w:r>
            <w:r w:rsidR="007E5CFB" w:rsidRPr="007E5CFB">
              <w:rPr>
                <w:rFonts w:ascii="Cambria" w:hAnsi="Cambria"/>
                <w:b/>
                <w:color w:val="FFFFFF" w:themeColor="background1"/>
                <w:sz w:val="20"/>
                <w:szCs w:val="20"/>
                <w:lang w:val="es-ES"/>
              </w:rPr>
              <w:t>en</w:t>
            </w:r>
            <w:r w:rsidRPr="007E5CFB">
              <w:rPr>
                <w:rFonts w:ascii="Cambria" w:hAnsi="Cambria"/>
                <w:b/>
                <w:color w:val="FFFFFF" w:themeColor="background1"/>
                <w:sz w:val="20"/>
                <w:szCs w:val="20"/>
                <w:lang w:val="es-ES"/>
              </w:rPr>
              <w:t xml:space="preserve"> la etapa de estudio</w:t>
            </w:r>
          </w:p>
        </w:tc>
        <w:tc>
          <w:tcPr>
            <w:tcW w:w="5528" w:type="dxa"/>
          </w:tcPr>
          <w:p w14:paraId="08E4BF96" w14:textId="2C24B3DA" w:rsidR="00821540" w:rsidRPr="007E5CFB" w:rsidRDefault="007E5CFB" w:rsidP="00802833">
            <w:pPr>
              <w:rPr>
                <w:rFonts w:ascii="Cambria" w:hAnsi="Cambria"/>
                <w:sz w:val="20"/>
                <w:szCs w:val="20"/>
                <w:lang w:val="es"/>
              </w:rPr>
            </w:pPr>
            <w:r w:rsidRPr="007E5CFB">
              <w:rPr>
                <w:rFonts w:ascii="Cambria" w:hAnsi="Cambria"/>
                <w:sz w:val="20"/>
                <w:szCs w:val="20"/>
                <w:lang w:val="es"/>
              </w:rPr>
              <w:t>31 de octubre de 2012</w:t>
            </w:r>
          </w:p>
        </w:tc>
      </w:tr>
      <w:tr w:rsidR="009629C7" w:rsidRPr="007E5CFB" w14:paraId="4C078278" w14:textId="77777777" w:rsidTr="004D01EE">
        <w:tc>
          <w:tcPr>
            <w:tcW w:w="3828" w:type="dxa"/>
            <w:tcBorders>
              <w:top w:val="single" w:sz="6" w:space="0" w:color="auto"/>
              <w:bottom w:val="single" w:sz="6" w:space="0" w:color="auto"/>
            </w:tcBorders>
            <w:shd w:val="clear" w:color="auto" w:fill="386294"/>
            <w:vAlign w:val="center"/>
          </w:tcPr>
          <w:p w14:paraId="687B66A5" w14:textId="7667493E" w:rsidR="009629C7" w:rsidRPr="007E5CFB" w:rsidRDefault="009629C7" w:rsidP="00802833">
            <w:pPr>
              <w:jc w:val="center"/>
              <w:rPr>
                <w:rFonts w:ascii="Cambria" w:hAnsi="Cambria"/>
                <w:b/>
                <w:color w:val="FFFFFF" w:themeColor="background1"/>
                <w:sz w:val="20"/>
                <w:szCs w:val="20"/>
                <w:lang w:val="es-ES"/>
              </w:rPr>
            </w:pPr>
            <w:r w:rsidRPr="007E5CFB">
              <w:rPr>
                <w:rFonts w:ascii="Cambria" w:hAnsi="Cambria"/>
                <w:b/>
                <w:color w:val="FFFFFF" w:themeColor="background1"/>
                <w:sz w:val="20"/>
                <w:szCs w:val="20"/>
                <w:lang w:val="es-ES"/>
              </w:rPr>
              <w:t>Notificación de la petición</w:t>
            </w:r>
          </w:p>
        </w:tc>
        <w:tc>
          <w:tcPr>
            <w:tcW w:w="5528" w:type="dxa"/>
          </w:tcPr>
          <w:p w14:paraId="0C419769" w14:textId="4C086A8F" w:rsidR="009629C7" w:rsidRPr="007E5CFB" w:rsidRDefault="007E5CFB" w:rsidP="00802833">
            <w:pPr>
              <w:jc w:val="both"/>
              <w:rPr>
                <w:rFonts w:ascii="Cambria" w:hAnsi="Cambria"/>
                <w:sz w:val="20"/>
                <w:szCs w:val="20"/>
                <w:lang w:val="es"/>
              </w:rPr>
            </w:pPr>
            <w:r w:rsidRPr="007E5CFB">
              <w:rPr>
                <w:rFonts w:ascii="Cambria" w:hAnsi="Cambria"/>
                <w:sz w:val="20"/>
                <w:szCs w:val="20"/>
                <w:lang w:val="es"/>
              </w:rPr>
              <w:t>28 de mayo de 2014</w:t>
            </w:r>
          </w:p>
        </w:tc>
      </w:tr>
      <w:tr w:rsidR="009629C7" w:rsidRPr="007E5CFB" w14:paraId="13AC9F25" w14:textId="77777777" w:rsidTr="004D01EE">
        <w:tc>
          <w:tcPr>
            <w:tcW w:w="3828" w:type="dxa"/>
            <w:tcBorders>
              <w:top w:val="single" w:sz="6" w:space="0" w:color="auto"/>
              <w:bottom w:val="single" w:sz="6" w:space="0" w:color="auto"/>
            </w:tcBorders>
            <w:shd w:val="clear" w:color="auto" w:fill="386294"/>
            <w:vAlign w:val="center"/>
          </w:tcPr>
          <w:p w14:paraId="57251DBE" w14:textId="7371D139" w:rsidR="009629C7" w:rsidRPr="007E5CFB" w:rsidRDefault="009629C7" w:rsidP="00802833">
            <w:pPr>
              <w:jc w:val="center"/>
              <w:rPr>
                <w:rFonts w:ascii="Cambria" w:hAnsi="Cambria"/>
                <w:b/>
                <w:color w:val="FFFFFF" w:themeColor="background1"/>
                <w:sz w:val="20"/>
                <w:szCs w:val="20"/>
                <w:lang w:val="es-ES"/>
              </w:rPr>
            </w:pPr>
            <w:r w:rsidRPr="007E5CFB">
              <w:rPr>
                <w:rFonts w:ascii="Cambria" w:hAnsi="Cambria"/>
                <w:b/>
                <w:color w:val="FFFFFF" w:themeColor="background1"/>
                <w:sz w:val="20"/>
                <w:szCs w:val="20"/>
                <w:lang w:val="es-ES"/>
              </w:rPr>
              <w:t>Primera respuesta del Estado</w:t>
            </w:r>
          </w:p>
        </w:tc>
        <w:tc>
          <w:tcPr>
            <w:tcW w:w="5528" w:type="dxa"/>
          </w:tcPr>
          <w:p w14:paraId="5FF39E31" w14:textId="59F27E4C" w:rsidR="009629C7" w:rsidRPr="007E5CFB" w:rsidRDefault="007E5CFB" w:rsidP="00802833">
            <w:pPr>
              <w:jc w:val="both"/>
              <w:rPr>
                <w:rFonts w:ascii="Cambria" w:hAnsi="Cambria"/>
                <w:sz w:val="20"/>
                <w:szCs w:val="20"/>
                <w:lang w:val="es"/>
              </w:rPr>
            </w:pPr>
            <w:r w:rsidRPr="007E5CFB">
              <w:rPr>
                <w:rFonts w:ascii="Cambria" w:hAnsi="Cambria"/>
                <w:sz w:val="20"/>
                <w:szCs w:val="20"/>
                <w:lang w:val="es"/>
              </w:rPr>
              <w:t>5 de marzo de 2015</w:t>
            </w:r>
          </w:p>
        </w:tc>
      </w:tr>
      <w:tr w:rsidR="009629C7" w:rsidRPr="007E5CFB" w14:paraId="72BEADE5" w14:textId="77777777" w:rsidTr="004D01EE">
        <w:tc>
          <w:tcPr>
            <w:tcW w:w="3828" w:type="dxa"/>
            <w:tcBorders>
              <w:top w:val="single" w:sz="6" w:space="0" w:color="auto"/>
              <w:bottom w:val="single" w:sz="6" w:space="0" w:color="auto"/>
            </w:tcBorders>
            <w:shd w:val="clear" w:color="auto" w:fill="386294"/>
            <w:vAlign w:val="center"/>
          </w:tcPr>
          <w:p w14:paraId="6062177F" w14:textId="271B428F" w:rsidR="009629C7" w:rsidRPr="007E5CFB" w:rsidRDefault="009629C7" w:rsidP="00FD605B">
            <w:pPr>
              <w:jc w:val="center"/>
              <w:rPr>
                <w:rFonts w:ascii="Cambria" w:hAnsi="Cambria"/>
                <w:b/>
                <w:color w:val="FFFFFF" w:themeColor="background1"/>
                <w:sz w:val="20"/>
                <w:szCs w:val="20"/>
                <w:lang w:val="es-ES"/>
              </w:rPr>
            </w:pPr>
            <w:r w:rsidRPr="007E5CFB">
              <w:rPr>
                <w:rFonts w:ascii="Cambria" w:hAnsi="Cambria"/>
                <w:b/>
                <w:color w:val="FFFFFF" w:themeColor="background1"/>
                <w:sz w:val="20"/>
                <w:szCs w:val="20"/>
                <w:lang w:val="es-ES"/>
              </w:rPr>
              <w:t>Observaciones adicionales</w:t>
            </w:r>
            <w:r w:rsidR="007E5CFB" w:rsidRPr="007E5CFB">
              <w:rPr>
                <w:rFonts w:ascii="Cambria" w:hAnsi="Cambria"/>
                <w:b/>
                <w:color w:val="FFFFFF" w:themeColor="background1"/>
                <w:sz w:val="20"/>
                <w:szCs w:val="20"/>
                <w:lang w:val="es-ES"/>
              </w:rPr>
              <w:br/>
            </w:r>
            <w:r w:rsidRPr="007E5CFB">
              <w:rPr>
                <w:rFonts w:ascii="Cambria" w:hAnsi="Cambria"/>
                <w:b/>
                <w:color w:val="FFFFFF" w:themeColor="background1"/>
                <w:sz w:val="20"/>
                <w:szCs w:val="20"/>
                <w:lang w:val="es-ES"/>
              </w:rPr>
              <w:t>de la parte peticionaria</w:t>
            </w:r>
          </w:p>
        </w:tc>
        <w:tc>
          <w:tcPr>
            <w:tcW w:w="5528" w:type="dxa"/>
          </w:tcPr>
          <w:p w14:paraId="09D2C506" w14:textId="3251069B" w:rsidR="009629C7" w:rsidRPr="007E5CFB" w:rsidRDefault="007E5CFB" w:rsidP="00802833">
            <w:pPr>
              <w:jc w:val="both"/>
              <w:rPr>
                <w:rFonts w:ascii="Cambria" w:hAnsi="Cambria"/>
                <w:sz w:val="20"/>
                <w:szCs w:val="20"/>
                <w:lang w:val="es"/>
              </w:rPr>
            </w:pPr>
            <w:r w:rsidRPr="007E5CFB">
              <w:rPr>
                <w:rFonts w:ascii="Cambria" w:hAnsi="Cambria"/>
                <w:sz w:val="20"/>
                <w:szCs w:val="20"/>
                <w:lang w:val="es"/>
              </w:rPr>
              <w:t>19 de enero de 2016</w:t>
            </w:r>
          </w:p>
        </w:tc>
      </w:tr>
      <w:tr w:rsidR="009629C7" w:rsidRPr="00974D6F" w14:paraId="5205865D" w14:textId="77777777" w:rsidTr="004D01EE">
        <w:tc>
          <w:tcPr>
            <w:tcW w:w="3828" w:type="dxa"/>
            <w:tcBorders>
              <w:top w:val="single" w:sz="6" w:space="0" w:color="auto"/>
              <w:bottom w:val="single" w:sz="6" w:space="0" w:color="auto"/>
            </w:tcBorders>
            <w:shd w:val="clear" w:color="auto" w:fill="386294"/>
            <w:vAlign w:val="center"/>
          </w:tcPr>
          <w:p w14:paraId="2AE512A8" w14:textId="52D33013" w:rsidR="009629C7" w:rsidRPr="007E5CFB" w:rsidRDefault="009629C7" w:rsidP="00802833">
            <w:pPr>
              <w:jc w:val="center"/>
              <w:rPr>
                <w:rFonts w:ascii="Cambria" w:hAnsi="Cambria"/>
                <w:b/>
                <w:color w:val="FFFFFF" w:themeColor="background1"/>
                <w:sz w:val="20"/>
                <w:szCs w:val="20"/>
                <w:lang w:val="es-ES"/>
              </w:rPr>
            </w:pPr>
            <w:r w:rsidRPr="007E5CFB">
              <w:rPr>
                <w:rFonts w:ascii="Cambria" w:hAnsi="Cambria"/>
                <w:b/>
                <w:color w:val="FFFFFF" w:themeColor="background1"/>
                <w:sz w:val="20"/>
                <w:szCs w:val="20"/>
                <w:lang w:val="es-ES"/>
              </w:rPr>
              <w:t xml:space="preserve">Observaciones adicionales </w:t>
            </w:r>
            <w:r w:rsidR="007E5CFB">
              <w:rPr>
                <w:rFonts w:ascii="Cambria" w:hAnsi="Cambria"/>
                <w:b/>
                <w:color w:val="FFFFFF" w:themeColor="background1"/>
                <w:sz w:val="20"/>
                <w:szCs w:val="20"/>
                <w:lang w:val="es-ES"/>
              </w:rPr>
              <w:br/>
            </w:r>
            <w:r w:rsidRPr="007E5CFB">
              <w:rPr>
                <w:rFonts w:ascii="Cambria" w:hAnsi="Cambria"/>
                <w:b/>
                <w:color w:val="FFFFFF" w:themeColor="background1"/>
                <w:sz w:val="20"/>
                <w:szCs w:val="20"/>
                <w:lang w:val="es-ES"/>
              </w:rPr>
              <w:t>del Estado</w:t>
            </w:r>
          </w:p>
        </w:tc>
        <w:tc>
          <w:tcPr>
            <w:tcW w:w="5528" w:type="dxa"/>
          </w:tcPr>
          <w:p w14:paraId="3F83CEAC" w14:textId="4D2496F0" w:rsidR="009629C7" w:rsidRPr="007E5CFB" w:rsidRDefault="007E5CFB" w:rsidP="00802833">
            <w:pPr>
              <w:jc w:val="both"/>
              <w:rPr>
                <w:rFonts w:ascii="Cambria" w:hAnsi="Cambria"/>
                <w:sz w:val="20"/>
                <w:szCs w:val="20"/>
                <w:lang w:val="es"/>
              </w:rPr>
            </w:pPr>
            <w:r w:rsidRPr="007E5CFB">
              <w:rPr>
                <w:rFonts w:ascii="Cambria" w:hAnsi="Cambria"/>
                <w:sz w:val="20"/>
                <w:szCs w:val="20"/>
                <w:lang w:val="es"/>
              </w:rPr>
              <w:t>11 de octubre y 6 de diciembre de 2016</w:t>
            </w:r>
          </w:p>
        </w:tc>
      </w:tr>
    </w:tbl>
    <w:p w14:paraId="18221797" w14:textId="0789F5CE" w:rsidR="003239B8" w:rsidRPr="003239B8" w:rsidRDefault="003239B8" w:rsidP="00CE2A41">
      <w:pPr>
        <w:tabs>
          <w:tab w:val="left" w:pos="720"/>
          <w:tab w:val="left" w:pos="1440"/>
          <w:tab w:val="left" w:pos="2160"/>
          <w:tab w:val="left" w:pos="2880"/>
          <w:tab w:val="left" w:pos="4500"/>
        </w:tabs>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828"/>
        <w:gridCol w:w="5532"/>
      </w:tblGrid>
      <w:tr w:rsidR="00802833" w:rsidRPr="00974D6F" w14:paraId="716354D3" w14:textId="77777777" w:rsidTr="004D01EE">
        <w:trPr>
          <w:cantSplit/>
        </w:trPr>
        <w:tc>
          <w:tcPr>
            <w:tcW w:w="3828" w:type="dxa"/>
            <w:tcBorders>
              <w:top w:val="single" w:sz="4" w:space="0" w:color="auto"/>
              <w:bottom w:val="single" w:sz="6" w:space="0" w:color="auto"/>
            </w:tcBorders>
            <w:shd w:val="clear" w:color="auto" w:fill="386294"/>
            <w:vAlign w:val="center"/>
          </w:tcPr>
          <w:p w14:paraId="6EEFB6D2" w14:textId="1BF00457" w:rsidR="00802833" w:rsidRPr="007E5CFB" w:rsidRDefault="003D254F" w:rsidP="00802833">
            <w:pPr>
              <w:jc w:val="center"/>
              <w:rPr>
                <w:rFonts w:ascii="Cambria" w:hAnsi="Cambria"/>
                <w:b/>
                <w:i/>
                <w:iCs/>
                <w:color w:val="FFFFFF" w:themeColor="background1"/>
                <w:sz w:val="20"/>
                <w:szCs w:val="20"/>
                <w:lang w:val="es-ES"/>
              </w:rPr>
            </w:pPr>
            <w:r w:rsidRPr="003D254F">
              <w:rPr>
                <w:rFonts w:ascii="Cambria" w:hAnsi="Cambria"/>
                <w:b/>
                <w:color w:val="FFFFFF" w:themeColor="background1"/>
                <w:sz w:val="20"/>
                <w:szCs w:val="20"/>
                <w:lang w:val="es-ES"/>
              </w:rPr>
              <w:t xml:space="preserve">Competencia </w:t>
            </w:r>
            <w:r w:rsidRPr="003D254F">
              <w:rPr>
                <w:rFonts w:ascii="Cambria" w:hAnsi="Cambria"/>
                <w:b/>
                <w:i/>
                <w:iCs/>
                <w:color w:val="FFFFFF" w:themeColor="background1"/>
                <w:sz w:val="20"/>
                <w:szCs w:val="20"/>
                <w:lang w:val="es-ES"/>
              </w:rPr>
              <w:t>r</w:t>
            </w:r>
            <w:r w:rsidR="00802833" w:rsidRPr="007E5CFB">
              <w:rPr>
                <w:rFonts w:ascii="Cambria" w:hAnsi="Cambria"/>
                <w:b/>
                <w:i/>
                <w:iCs/>
                <w:color w:val="FFFFFF" w:themeColor="background1"/>
                <w:sz w:val="20"/>
                <w:szCs w:val="20"/>
                <w:lang w:val="es-ES"/>
              </w:rPr>
              <w:t>atione personae</w:t>
            </w:r>
          </w:p>
        </w:tc>
        <w:tc>
          <w:tcPr>
            <w:tcW w:w="5532" w:type="dxa"/>
            <w:vAlign w:val="center"/>
          </w:tcPr>
          <w:p w14:paraId="5E836BC1" w14:textId="702D68A8" w:rsidR="00802833" w:rsidRPr="007E5CFB" w:rsidRDefault="007E5CFB" w:rsidP="00802833">
            <w:pPr>
              <w:rPr>
                <w:rFonts w:asciiTheme="majorHAnsi" w:hAnsiTheme="majorHAnsi"/>
                <w:bCs/>
                <w:sz w:val="20"/>
                <w:szCs w:val="20"/>
                <w:lang w:val="es-ES"/>
              </w:rPr>
            </w:pPr>
            <w:r w:rsidRPr="007E5CFB">
              <w:rPr>
                <w:rFonts w:asciiTheme="majorHAnsi" w:hAnsiTheme="majorHAnsi"/>
                <w:bCs/>
                <w:sz w:val="20"/>
                <w:szCs w:val="20"/>
                <w:lang w:val="es-ES"/>
              </w:rPr>
              <w:t>Sí y no (</w:t>
            </w:r>
            <w:r>
              <w:rPr>
                <w:rFonts w:asciiTheme="majorHAnsi" w:hAnsiTheme="majorHAnsi"/>
                <w:bCs/>
                <w:sz w:val="20"/>
                <w:szCs w:val="20"/>
                <w:lang w:val="es-ES"/>
              </w:rPr>
              <w:t>ver</w:t>
            </w:r>
            <w:r w:rsidRPr="007E5CFB">
              <w:rPr>
                <w:rFonts w:asciiTheme="majorHAnsi" w:hAnsiTheme="majorHAnsi"/>
                <w:bCs/>
                <w:sz w:val="20"/>
                <w:szCs w:val="20"/>
                <w:lang w:val="es-ES"/>
              </w:rPr>
              <w:t xml:space="preserve"> Sección VI</w:t>
            </w:r>
            <w:r>
              <w:rPr>
                <w:rFonts w:asciiTheme="majorHAnsi" w:hAnsiTheme="majorHAnsi"/>
                <w:bCs/>
                <w:sz w:val="20"/>
                <w:szCs w:val="20"/>
                <w:lang w:val="es-ES"/>
              </w:rPr>
              <w:t>)</w:t>
            </w:r>
          </w:p>
        </w:tc>
      </w:tr>
      <w:tr w:rsidR="00802833" w:rsidRPr="007E5CFB" w14:paraId="139DBF83" w14:textId="77777777" w:rsidTr="004D01EE">
        <w:trPr>
          <w:cantSplit/>
        </w:trPr>
        <w:tc>
          <w:tcPr>
            <w:tcW w:w="3828" w:type="dxa"/>
            <w:tcBorders>
              <w:top w:val="single" w:sz="6" w:space="0" w:color="auto"/>
              <w:bottom w:val="single" w:sz="6" w:space="0" w:color="auto"/>
            </w:tcBorders>
            <w:shd w:val="clear" w:color="auto" w:fill="386294"/>
            <w:vAlign w:val="center"/>
          </w:tcPr>
          <w:p w14:paraId="0ABA245B" w14:textId="5A4FF6BF" w:rsidR="00802833" w:rsidRPr="007E5CFB" w:rsidRDefault="003D254F" w:rsidP="00802833">
            <w:pPr>
              <w:jc w:val="center"/>
              <w:rPr>
                <w:rFonts w:ascii="Cambria" w:hAnsi="Cambria"/>
                <w:b/>
                <w:i/>
                <w:iCs/>
                <w:color w:val="FFFFFF" w:themeColor="background1"/>
                <w:sz w:val="20"/>
                <w:szCs w:val="20"/>
                <w:lang w:val="es-ES"/>
              </w:rPr>
            </w:pPr>
            <w:r w:rsidRPr="003D254F">
              <w:rPr>
                <w:rFonts w:ascii="Cambria" w:hAnsi="Cambria"/>
                <w:b/>
                <w:color w:val="FFFFFF" w:themeColor="background1"/>
                <w:sz w:val="20"/>
                <w:szCs w:val="20"/>
                <w:lang w:val="es-ES"/>
              </w:rPr>
              <w:t xml:space="preserve">Competencia </w:t>
            </w:r>
            <w:proofErr w:type="spellStart"/>
            <w:r>
              <w:rPr>
                <w:rFonts w:ascii="Cambria" w:hAnsi="Cambria"/>
                <w:b/>
                <w:i/>
                <w:iCs/>
                <w:color w:val="FFFFFF" w:themeColor="background1"/>
                <w:sz w:val="20"/>
                <w:szCs w:val="20"/>
                <w:lang w:val="es-ES"/>
              </w:rPr>
              <w:t>r</w:t>
            </w:r>
            <w:r w:rsidR="00802833" w:rsidRPr="007E5CFB">
              <w:rPr>
                <w:rFonts w:ascii="Cambria" w:hAnsi="Cambria"/>
                <w:b/>
                <w:i/>
                <w:iCs/>
                <w:color w:val="FFFFFF" w:themeColor="background1"/>
                <w:sz w:val="20"/>
                <w:szCs w:val="20"/>
                <w:lang w:val="es-ES"/>
              </w:rPr>
              <w:t>atione</w:t>
            </w:r>
            <w:proofErr w:type="spellEnd"/>
            <w:r w:rsidR="00802833" w:rsidRPr="007E5CFB">
              <w:rPr>
                <w:rFonts w:ascii="Cambria" w:hAnsi="Cambria"/>
                <w:b/>
                <w:i/>
                <w:iCs/>
                <w:color w:val="FFFFFF" w:themeColor="background1"/>
                <w:sz w:val="20"/>
                <w:szCs w:val="20"/>
                <w:lang w:val="es-ES"/>
              </w:rPr>
              <w:t xml:space="preserve"> </w:t>
            </w:r>
            <w:proofErr w:type="spellStart"/>
            <w:r w:rsidR="00802833" w:rsidRPr="007E5CFB">
              <w:rPr>
                <w:rFonts w:ascii="Cambria" w:hAnsi="Cambria"/>
                <w:b/>
                <w:i/>
                <w:iCs/>
                <w:color w:val="FFFFFF" w:themeColor="background1"/>
                <w:sz w:val="20"/>
                <w:szCs w:val="20"/>
                <w:lang w:val="es-ES"/>
              </w:rPr>
              <w:t>loci</w:t>
            </w:r>
            <w:proofErr w:type="spellEnd"/>
          </w:p>
        </w:tc>
        <w:tc>
          <w:tcPr>
            <w:tcW w:w="5532" w:type="dxa"/>
            <w:vAlign w:val="center"/>
          </w:tcPr>
          <w:p w14:paraId="41226443" w14:textId="4FA4437F" w:rsidR="00802833" w:rsidRPr="007E5CFB" w:rsidRDefault="007E5CFB" w:rsidP="00802833">
            <w:pPr>
              <w:rPr>
                <w:rFonts w:asciiTheme="majorHAnsi" w:hAnsiTheme="majorHAnsi"/>
                <w:bCs/>
                <w:sz w:val="20"/>
                <w:szCs w:val="20"/>
              </w:rPr>
            </w:pPr>
            <w:proofErr w:type="spellStart"/>
            <w:r>
              <w:rPr>
                <w:rFonts w:asciiTheme="majorHAnsi" w:hAnsiTheme="majorHAnsi"/>
                <w:bCs/>
                <w:sz w:val="20"/>
                <w:szCs w:val="20"/>
              </w:rPr>
              <w:t>Sí</w:t>
            </w:r>
            <w:proofErr w:type="spellEnd"/>
          </w:p>
        </w:tc>
      </w:tr>
      <w:tr w:rsidR="00802833" w:rsidRPr="007E5CFB" w14:paraId="77BF1F3F" w14:textId="77777777" w:rsidTr="004D01EE">
        <w:trPr>
          <w:cantSplit/>
        </w:trPr>
        <w:tc>
          <w:tcPr>
            <w:tcW w:w="3828" w:type="dxa"/>
            <w:tcBorders>
              <w:top w:val="single" w:sz="6" w:space="0" w:color="auto"/>
              <w:bottom w:val="single" w:sz="6" w:space="0" w:color="auto"/>
            </w:tcBorders>
            <w:shd w:val="clear" w:color="auto" w:fill="386294"/>
            <w:vAlign w:val="center"/>
          </w:tcPr>
          <w:p w14:paraId="25C8AFD3" w14:textId="6606166F" w:rsidR="00802833" w:rsidRPr="007E5CFB" w:rsidRDefault="003D254F" w:rsidP="00802833">
            <w:pPr>
              <w:jc w:val="center"/>
              <w:rPr>
                <w:rFonts w:ascii="Cambria" w:hAnsi="Cambria"/>
                <w:b/>
                <w:i/>
                <w:iCs/>
                <w:color w:val="FFFFFF" w:themeColor="background1"/>
                <w:sz w:val="20"/>
                <w:szCs w:val="20"/>
                <w:lang w:val="es-ES"/>
              </w:rPr>
            </w:pPr>
            <w:r w:rsidRPr="003D254F">
              <w:rPr>
                <w:rFonts w:ascii="Cambria" w:hAnsi="Cambria"/>
                <w:b/>
                <w:color w:val="FFFFFF" w:themeColor="background1"/>
                <w:sz w:val="20"/>
                <w:szCs w:val="20"/>
                <w:lang w:val="es-ES"/>
              </w:rPr>
              <w:t xml:space="preserve">Competencia </w:t>
            </w:r>
            <w:r w:rsidRPr="003D254F">
              <w:rPr>
                <w:rFonts w:ascii="Cambria" w:hAnsi="Cambria"/>
                <w:b/>
                <w:i/>
                <w:iCs/>
                <w:color w:val="FFFFFF" w:themeColor="background1"/>
                <w:sz w:val="20"/>
                <w:szCs w:val="20"/>
                <w:lang w:val="es-ES"/>
              </w:rPr>
              <w:t>r</w:t>
            </w:r>
            <w:r w:rsidR="00802833" w:rsidRPr="007E5CFB">
              <w:rPr>
                <w:rFonts w:ascii="Cambria" w:hAnsi="Cambria"/>
                <w:b/>
                <w:i/>
                <w:iCs/>
                <w:color w:val="FFFFFF" w:themeColor="background1"/>
                <w:sz w:val="20"/>
                <w:szCs w:val="20"/>
                <w:lang w:val="es-ES"/>
              </w:rPr>
              <w:t>atione temporis</w:t>
            </w:r>
          </w:p>
        </w:tc>
        <w:tc>
          <w:tcPr>
            <w:tcW w:w="5532" w:type="dxa"/>
            <w:vAlign w:val="center"/>
          </w:tcPr>
          <w:p w14:paraId="7E7832B4" w14:textId="3E5C8193" w:rsidR="00802833" w:rsidRPr="007E5CFB" w:rsidRDefault="007E5CFB" w:rsidP="00802833">
            <w:pPr>
              <w:rPr>
                <w:rFonts w:asciiTheme="majorHAnsi" w:hAnsiTheme="majorHAnsi"/>
                <w:bCs/>
                <w:sz w:val="20"/>
                <w:szCs w:val="20"/>
              </w:rPr>
            </w:pPr>
            <w:proofErr w:type="spellStart"/>
            <w:r>
              <w:rPr>
                <w:rFonts w:asciiTheme="majorHAnsi" w:hAnsiTheme="majorHAnsi"/>
                <w:bCs/>
                <w:sz w:val="20"/>
                <w:szCs w:val="20"/>
              </w:rPr>
              <w:t>Sí</w:t>
            </w:r>
            <w:proofErr w:type="spellEnd"/>
          </w:p>
        </w:tc>
      </w:tr>
      <w:tr w:rsidR="00802833" w:rsidRPr="00974D6F" w14:paraId="0FFDD8DB" w14:textId="77777777" w:rsidTr="004D01EE">
        <w:trPr>
          <w:cantSplit/>
        </w:trPr>
        <w:tc>
          <w:tcPr>
            <w:tcW w:w="3828" w:type="dxa"/>
            <w:tcBorders>
              <w:top w:val="single" w:sz="6" w:space="0" w:color="auto"/>
              <w:bottom w:val="single" w:sz="6" w:space="0" w:color="auto"/>
            </w:tcBorders>
            <w:shd w:val="clear" w:color="auto" w:fill="386294"/>
            <w:vAlign w:val="center"/>
          </w:tcPr>
          <w:p w14:paraId="7A1EA5A0" w14:textId="08BED48D" w:rsidR="00802833" w:rsidRPr="007E5CFB" w:rsidRDefault="003D254F" w:rsidP="00802833">
            <w:pPr>
              <w:jc w:val="center"/>
              <w:rPr>
                <w:rFonts w:ascii="Cambria" w:hAnsi="Cambria"/>
                <w:b/>
                <w:i/>
                <w:iCs/>
                <w:color w:val="FFFFFF" w:themeColor="background1"/>
                <w:sz w:val="20"/>
                <w:szCs w:val="20"/>
                <w:lang w:val="es-ES"/>
              </w:rPr>
            </w:pPr>
            <w:r w:rsidRPr="003D254F">
              <w:rPr>
                <w:rFonts w:ascii="Cambria" w:hAnsi="Cambria"/>
                <w:b/>
                <w:color w:val="FFFFFF" w:themeColor="background1"/>
                <w:sz w:val="20"/>
                <w:szCs w:val="20"/>
                <w:lang w:val="es-ES"/>
              </w:rPr>
              <w:t xml:space="preserve">Competencia </w:t>
            </w:r>
            <w:r>
              <w:rPr>
                <w:rFonts w:ascii="Cambria" w:hAnsi="Cambria"/>
                <w:b/>
                <w:i/>
                <w:iCs/>
                <w:color w:val="FFFFFF" w:themeColor="background1"/>
                <w:sz w:val="20"/>
                <w:szCs w:val="20"/>
                <w:lang w:val="es-ES"/>
              </w:rPr>
              <w:t>r</w:t>
            </w:r>
            <w:r w:rsidR="00802833" w:rsidRPr="007E5CFB">
              <w:rPr>
                <w:rFonts w:ascii="Cambria" w:hAnsi="Cambria"/>
                <w:b/>
                <w:i/>
                <w:iCs/>
                <w:color w:val="FFFFFF" w:themeColor="background1"/>
                <w:sz w:val="20"/>
                <w:szCs w:val="20"/>
                <w:lang w:val="es-ES"/>
              </w:rPr>
              <w:t>atione materiae</w:t>
            </w:r>
          </w:p>
        </w:tc>
        <w:tc>
          <w:tcPr>
            <w:tcW w:w="5532" w:type="dxa"/>
            <w:vAlign w:val="center"/>
          </w:tcPr>
          <w:p w14:paraId="3EE84FF7" w14:textId="15B37662" w:rsidR="00802833" w:rsidRPr="007E5CFB" w:rsidRDefault="007E5CFB" w:rsidP="00802833">
            <w:pPr>
              <w:jc w:val="both"/>
              <w:rPr>
                <w:rFonts w:ascii="Cambria" w:hAnsi="Cambria"/>
                <w:bCs/>
                <w:sz w:val="20"/>
                <w:szCs w:val="20"/>
                <w:lang w:val="es-ES"/>
              </w:rPr>
            </w:pPr>
            <w:r w:rsidRPr="007E5CFB">
              <w:rPr>
                <w:rFonts w:asciiTheme="majorHAnsi" w:hAnsiTheme="majorHAnsi"/>
                <w:bCs/>
                <w:sz w:val="20"/>
                <w:szCs w:val="20"/>
                <w:lang w:val="es-ES"/>
              </w:rPr>
              <w:t>Sí, Convención Americana (instrument</w:t>
            </w:r>
            <w:r>
              <w:rPr>
                <w:rFonts w:asciiTheme="majorHAnsi" w:hAnsiTheme="majorHAnsi"/>
                <w:bCs/>
                <w:sz w:val="20"/>
                <w:szCs w:val="20"/>
                <w:lang w:val="es-ES"/>
              </w:rPr>
              <w:t>o</w:t>
            </w:r>
            <w:r w:rsidRPr="007E5CFB">
              <w:rPr>
                <w:rFonts w:asciiTheme="majorHAnsi" w:hAnsiTheme="majorHAnsi"/>
                <w:bCs/>
                <w:sz w:val="20"/>
                <w:szCs w:val="20"/>
                <w:lang w:val="es-ES"/>
              </w:rPr>
              <w:t xml:space="preserve"> de ratificación depo</w:t>
            </w:r>
            <w:r>
              <w:rPr>
                <w:rFonts w:asciiTheme="majorHAnsi" w:hAnsiTheme="majorHAnsi"/>
                <w:bCs/>
                <w:sz w:val="20"/>
                <w:szCs w:val="20"/>
                <w:lang w:val="es-ES"/>
              </w:rPr>
              <w:t>sitado el 5 de septiembre de 1984)</w:t>
            </w:r>
          </w:p>
        </w:tc>
      </w:tr>
    </w:tbl>
    <w:p w14:paraId="1874F492" w14:textId="7424B831"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802833">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 RECURSOS INTERNOS Y PLAZO DE PRESENTACIÓN</w:t>
      </w:r>
    </w:p>
    <w:tbl>
      <w:tblPr>
        <w:tblStyle w:val="TableGrid"/>
        <w:tblW w:w="9360" w:type="dxa"/>
        <w:tblInd w:w="108" w:type="dxa"/>
        <w:tblLook w:val="04A0" w:firstRow="1" w:lastRow="0" w:firstColumn="1" w:lastColumn="0" w:noHBand="0" w:noVBand="1"/>
      </w:tblPr>
      <w:tblGrid>
        <w:gridCol w:w="3828"/>
        <w:gridCol w:w="5532"/>
      </w:tblGrid>
      <w:tr w:rsidR="00802833" w:rsidRPr="007E5CFB" w14:paraId="3BE0CDDD" w14:textId="77777777" w:rsidTr="004D01EE">
        <w:trPr>
          <w:cantSplit/>
        </w:trPr>
        <w:tc>
          <w:tcPr>
            <w:tcW w:w="3828" w:type="dxa"/>
            <w:shd w:val="clear" w:color="auto" w:fill="386294"/>
            <w:vAlign w:val="center"/>
          </w:tcPr>
          <w:p w14:paraId="59D7428E" w14:textId="69C2F44D" w:rsidR="00802833" w:rsidRPr="007E5CFB" w:rsidRDefault="00802833" w:rsidP="00FD605B">
            <w:pPr>
              <w:jc w:val="center"/>
              <w:rPr>
                <w:rFonts w:ascii="Cambria" w:hAnsi="Cambria"/>
                <w:b/>
                <w:color w:val="FFFFFF" w:themeColor="background1"/>
                <w:sz w:val="20"/>
                <w:szCs w:val="20"/>
                <w:lang w:val="es-ES"/>
              </w:rPr>
            </w:pPr>
            <w:r w:rsidRPr="007E5CFB">
              <w:rPr>
                <w:rFonts w:ascii="Cambria" w:hAnsi="Cambria"/>
                <w:b/>
                <w:color w:val="FFFFFF" w:themeColor="background1"/>
                <w:sz w:val="20"/>
                <w:szCs w:val="20"/>
                <w:lang w:val="es-ES"/>
              </w:rPr>
              <w:t xml:space="preserve">Duplicación y </w:t>
            </w:r>
            <w:r w:rsidR="004D01EE">
              <w:rPr>
                <w:rFonts w:ascii="Cambria" w:hAnsi="Cambria"/>
                <w:b/>
                <w:color w:val="FFFFFF" w:themeColor="background1"/>
                <w:sz w:val="20"/>
                <w:szCs w:val="20"/>
                <w:lang w:val="es-ES"/>
              </w:rPr>
              <w:br/>
            </w:r>
            <w:r w:rsidRPr="007E5CFB">
              <w:rPr>
                <w:rFonts w:ascii="Cambria" w:hAnsi="Cambria"/>
                <w:b/>
                <w:color w:val="FFFFFF" w:themeColor="background1"/>
                <w:sz w:val="20"/>
                <w:szCs w:val="20"/>
                <w:lang w:val="es-ES"/>
              </w:rPr>
              <w:t>cosa juzgada internacional</w:t>
            </w:r>
          </w:p>
        </w:tc>
        <w:tc>
          <w:tcPr>
            <w:tcW w:w="5532" w:type="dxa"/>
            <w:vAlign w:val="center"/>
          </w:tcPr>
          <w:p w14:paraId="44ABEC84" w14:textId="16527544" w:rsidR="00802833" w:rsidRPr="007E5CFB" w:rsidRDefault="007E5CFB" w:rsidP="00802833">
            <w:pPr>
              <w:jc w:val="both"/>
              <w:rPr>
                <w:rFonts w:ascii="Cambria" w:hAnsi="Cambria"/>
                <w:bCs/>
                <w:sz w:val="20"/>
                <w:szCs w:val="20"/>
                <w:lang w:val="es-ES"/>
              </w:rPr>
            </w:pPr>
            <w:r>
              <w:rPr>
                <w:rFonts w:ascii="Cambria" w:hAnsi="Cambria"/>
                <w:bCs/>
                <w:sz w:val="20"/>
                <w:szCs w:val="20"/>
                <w:lang w:val="es-ES"/>
              </w:rPr>
              <w:t>No</w:t>
            </w:r>
          </w:p>
        </w:tc>
      </w:tr>
      <w:tr w:rsidR="00802833" w:rsidRPr="00974D6F" w14:paraId="6A5B3CAB" w14:textId="77777777" w:rsidTr="004D01EE">
        <w:trPr>
          <w:cantSplit/>
        </w:trPr>
        <w:tc>
          <w:tcPr>
            <w:tcW w:w="3828" w:type="dxa"/>
            <w:shd w:val="clear" w:color="auto" w:fill="386294"/>
            <w:vAlign w:val="center"/>
          </w:tcPr>
          <w:p w14:paraId="3A46715A" w14:textId="66C52666" w:rsidR="00802833" w:rsidRPr="007E5CFB" w:rsidRDefault="00802833" w:rsidP="00802833">
            <w:pPr>
              <w:jc w:val="center"/>
              <w:rPr>
                <w:rFonts w:ascii="Cambria" w:hAnsi="Cambria"/>
                <w:b/>
                <w:color w:val="FFFFFF" w:themeColor="background1"/>
                <w:sz w:val="20"/>
                <w:szCs w:val="20"/>
                <w:lang w:val="es-ES"/>
              </w:rPr>
            </w:pPr>
            <w:r w:rsidRPr="007E5CFB">
              <w:rPr>
                <w:rFonts w:ascii="Cambria" w:hAnsi="Cambria"/>
                <w:b/>
                <w:color w:val="FFFFFF" w:themeColor="background1"/>
                <w:sz w:val="20"/>
                <w:szCs w:val="20"/>
                <w:lang w:val="es-ES"/>
              </w:rPr>
              <w:t>Derechos admi</w:t>
            </w:r>
            <w:r w:rsidR="009629C7" w:rsidRPr="007E5CFB">
              <w:rPr>
                <w:rFonts w:ascii="Cambria" w:hAnsi="Cambria"/>
                <w:b/>
                <w:color w:val="FFFFFF" w:themeColor="background1"/>
                <w:sz w:val="20"/>
                <w:szCs w:val="20"/>
                <w:lang w:val="es-ES"/>
              </w:rPr>
              <w:t>tido</w:t>
            </w:r>
            <w:r w:rsidRPr="007E5CFB">
              <w:rPr>
                <w:rFonts w:ascii="Cambria" w:hAnsi="Cambria"/>
                <w:b/>
                <w:color w:val="FFFFFF" w:themeColor="background1"/>
                <w:sz w:val="20"/>
                <w:szCs w:val="20"/>
                <w:lang w:val="es-ES"/>
              </w:rPr>
              <w:t>s</w:t>
            </w:r>
          </w:p>
        </w:tc>
        <w:tc>
          <w:tcPr>
            <w:tcW w:w="5532" w:type="dxa"/>
            <w:vAlign w:val="center"/>
          </w:tcPr>
          <w:p w14:paraId="3A3B0562" w14:textId="35B7FC2F" w:rsidR="00802833" w:rsidRPr="007E5CFB" w:rsidRDefault="007E5CFB" w:rsidP="00802833">
            <w:pPr>
              <w:jc w:val="both"/>
              <w:rPr>
                <w:rFonts w:ascii="Cambria" w:hAnsi="Cambria"/>
                <w:bCs/>
                <w:sz w:val="20"/>
                <w:szCs w:val="20"/>
                <w:lang w:val="es-PA"/>
              </w:rPr>
            </w:pPr>
            <w:r>
              <w:rPr>
                <w:rFonts w:ascii="Cambria" w:hAnsi="Cambria"/>
                <w:bCs/>
                <w:sz w:val="20"/>
                <w:szCs w:val="20"/>
                <w:lang w:val="es-PA"/>
              </w:rPr>
              <w:t>Artículos 5 (derecho a la integridad personal), 7 (derecho a la libertad personal), 8 (garantías judiciales) y 25 (protección judicial) de la Convención Americana</w:t>
            </w:r>
          </w:p>
        </w:tc>
      </w:tr>
      <w:tr w:rsidR="00802833" w:rsidRPr="00974D6F" w14:paraId="6898F859" w14:textId="77777777" w:rsidTr="004D01EE">
        <w:trPr>
          <w:cantSplit/>
        </w:trPr>
        <w:tc>
          <w:tcPr>
            <w:tcW w:w="3828" w:type="dxa"/>
            <w:shd w:val="clear" w:color="auto" w:fill="386294"/>
            <w:vAlign w:val="center"/>
          </w:tcPr>
          <w:p w14:paraId="493361D5" w14:textId="69F778A7" w:rsidR="00802833" w:rsidRPr="007E5CFB" w:rsidRDefault="00802833" w:rsidP="00FD605B">
            <w:pPr>
              <w:jc w:val="center"/>
              <w:rPr>
                <w:rFonts w:ascii="Cambria" w:hAnsi="Cambria"/>
                <w:b/>
                <w:color w:val="FFFFFF" w:themeColor="background1"/>
                <w:sz w:val="20"/>
                <w:szCs w:val="20"/>
                <w:lang w:val="es-ES"/>
              </w:rPr>
            </w:pPr>
            <w:r w:rsidRPr="007E5CFB">
              <w:rPr>
                <w:rFonts w:ascii="Cambria" w:hAnsi="Cambria"/>
                <w:b/>
                <w:color w:val="FFFFFF" w:themeColor="background1"/>
                <w:sz w:val="20"/>
                <w:szCs w:val="20"/>
                <w:lang w:val="es-ES"/>
              </w:rPr>
              <w:lastRenderedPageBreak/>
              <w:t xml:space="preserve">Agotamiento de recursos </w:t>
            </w:r>
            <w:r w:rsidR="00FD605B" w:rsidRPr="007E5CFB">
              <w:rPr>
                <w:rFonts w:ascii="Cambria" w:hAnsi="Cambria"/>
                <w:b/>
                <w:color w:val="FFFFFF" w:themeColor="background1"/>
                <w:sz w:val="20"/>
                <w:szCs w:val="20"/>
                <w:lang w:val="es-ES"/>
              </w:rPr>
              <w:br/>
            </w:r>
            <w:r w:rsidRPr="007E5CFB">
              <w:rPr>
                <w:rFonts w:ascii="Cambria" w:hAnsi="Cambria"/>
                <w:b/>
                <w:color w:val="FFFFFF" w:themeColor="background1"/>
                <w:sz w:val="20"/>
                <w:szCs w:val="20"/>
                <w:lang w:val="es-ES"/>
              </w:rPr>
              <w:t>o procedencia de una excepció</w:t>
            </w:r>
            <w:r w:rsidR="009629C7" w:rsidRPr="007E5CFB">
              <w:rPr>
                <w:rFonts w:ascii="Cambria" w:hAnsi="Cambria"/>
                <w:b/>
                <w:color w:val="FFFFFF" w:themeColor="background1"/>
                <w:sz w:val="20"/>
                <w:szCs w:val="20"/>
                <w:lang w:val="es-ES"/>
              </w:rPr>
              <w:t>n</w:t>
            </w:r>
          </w:p>
        </w:tc>
        <w:tc>
          <w:tcPr>
            <w:tcW w:w="5532" w:type="dxa"/>
            <w:vAlign w:val="center"/>
          </w:tcPr>
          <w:p w14:paraId="113A2A31" w14:textId="116B8633" w:rsidR="00802833" w:rsidRPr="007E5CFB" w:rsidRDefault="007E5CFB" w:rsidP="00802833">
            <w:pPr>
              <w:rPr>
                <w:rFonts w:ascii="Cambria" w:hAnsi="Cambria"/>
                <w:bCs/>
                <w:sz w:val="20"/>
                <w:szCs w:val="20"/>
                <w:lang w:val="es-ES"/>
              </w:rPr>
            </w:pPr>
            <w:r>
              <w:rPr>
                <w:rFonts w:ascii="Cambria" w:hAnsi="Cambria"/>
                <w:bCs/>
                <w:sz w:val="20"/>
                <w:szCs w:val="20"/>
                <w:lang w:val="es-ES"/>
              </w:rPr>
              <w:t xml:space="preserve">Sí, </w:t>
            </w:r>
            <w:r w:rsidR="00864C4D">
              <w:rPr>
                <w:rFonts w:ascii="Cambria" w:hAnsi="Cambria"/>
                <w:bCs/>
                <w:sz w:val="20"/>
                <w:szCs w:val="20"/>
                <w:lang w:val="es-ES"/>
              </w:rPr>
              <w:t>en los términos de la Sección VI</w:t>
            </w:r>
          </w:p>
        </w:tc>
      </w:tr>
      <w:tr w:rsidR="00802833" w:rsidRPr="00974D6F" w14:paraId="01019AF2" w14:textId="77777777" w:rsidTr="004D01EE">
        <w:trPr>
          <w:cantSplit/>
        </w:trPr>
        <w:tc>
          <w:tcPr>
            <w:tcW w:w="3828" w:type="dxa"/>
            <w:shd w:val="clear" w:color="auto" w:fill="386294"/>
            <w:vAlign w:val="center"/>
          </w:tcPr>
          <w:p w14:paraId="4F7C54D5" w14:textId="5661FE5F" w:rsidR="00802833" w:rsidRPr="007E5CFB" w:rsidRDefault="00802833" w:rsidP="00802833">
            <w:pPr>
              <w:jc w:val="center"/>
              <w:rPr>
                <w:rFonts w:ascii="Cambria" w:hAnsi="Cambria"/>
                <w:b/>
                <w:color w:val="FFFFFF" w:themeColor="background1"/>
                <w:sz w:val="20"/>
                <w:szCs w:val="20"/>
                <w:lang w:val="es-ES"/>
              </w:rPr>
            </w:pPr>
            <w:r w:rsidRPr="007E5CFB">
              <w:rPr>
                <w:rFonts w:ascii="Cambria" w:hAnsi="Cambria"/>
                <w:b/>
                <w:color w:val="FFFFFF" w:themeColor="background1"/>
                <w:sz w:val="20"/>
                <w:szCs w:val="20"/>
                <w:lang w:val="es-ES"/>
              </w:rPr>
              <w:t>Presentación dentro de plazo</w:t>
            </w:r>
          </w:p>
        </w:tc>
        <w:tc>
          <w:tcPr>
            <w:tcW w:w="5532" w:type="dxa"/>
            <w:vAlign w:val="center"/>
          </w:tcPr>
          <w:p w14:paraId="3818F531" w14:textId="10CC5D7F" w:rsidR="00802833" w:rsidRPr="007E5CFB" w:rsidRDefault="00864C4D" w:rsidP="00802833">
            <w:pPr>
              <w:rPr>
                <w:bCs/>
                <w:sz w:val="20"/>
                <w:szCs w:val="20"/>
                <w:lang w:val="es-PA"/>
              </w:rPr>
            </w:pPr>
            <w:r>
              <w:rPr>
                <w:rFonts w:ascii="Cambria" w:hAnsi="Cambria"/>
                <w:bCs/>
                <w:sz w:val="20"/>
                <w:szCs w:val="20"/>
                <w:lang w:val="es-ES"/>
              </w:rPr>
              <w:t>Sí, en los términos de la Sección VI</w:t>
            </w:r>
          </w:p>
        </w:tc>
      </w:tr>
    </w:tbl>
    <w:p w14:paraId="35A1F6E1" w14:textId="77FD002B" w:rsidR="003239B8" w:rsidRPr="00494BB7"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sidRPr="00494BB7">
        <w:rPr>
          <w:rFonts w:asciiTheme="majorHAnsi" w:hAnsiTheme="majorHAnsi"/>
          <w:b/>
          <w:sz w:val="20"/>
          <w:szCs w:val="20"/>
          <w:lang w:val="es-UY"/>
        </w:rPr>
        <w:t xml:space="preserve">HECHOS ALEGADOS </w:t>
      </w:r>
    </w:p>
    <w:p w14:paraId="0FA65A01" w14:textId="4C3E11D9" w:rsidR="00943E42" w:rsidRPr="00494BB7" w:rsidRDefault="00943E42" w:rsidP="00943E42">
      <w:pPr>
        <w:numPr>
          <w:ilvl w:val="0"/>
          <w:numId w:val="103"/>
        </w:numPr>
        <w:suppressAutoHyphens/>
        <w:jc w:val="both"/>
        <w:rPr>
          <w:rFonts w:asciiTheme="majorHAnsi" w:hAnsiTheme="majorHAnsi"/>
          <w:sz w:val="20"/>
          <w:szCs w:val="20"/>
          <w:lang w:val="es-ES"/>
        </w:rPr>
      </w:pPr>
      <w:r w:rsidRPr="00494BB7">
        <w:rPr>
          <w:rFonts w:asciiTheme="majorHAnsi" w:hAnsiTheme="majorHAnsi"/>
          <w:sz w:val="20"/>
          <w:szCs w:val="20"/>
          <w:lang w:val="es"/>
        </w:rPr>
        <w:t xml:space="preserve">En esencia, el peticionario y presunta víctima plantea dos </w:t>
      </w:r>
      <w:r w:rsidR="00494BB7">
        <w:rPr>
          <w:rFonts w:asciiTheme="majorHAnsi" w:hAnsiTheme="majorHAnsi"/>
          <w:sz w:val="20"/>
          <w:szCs w:val="20"/>
          <w:lang w:val="es"/>
        </w:rPr>
        <w:t>reclamos</w:t>
      </w:r>
      <w:r w:rsidRPr="00494BB7">
        <w:rPr>
          <w:rFonts w:asciiTheme="majorHAnsi" w:hAnsiTheme="majorHAnsi"/>
          <w:sz w:val="20"/>
          <w:szCs w:val="20"/>
          <w:lang w:val="es"/>
        </w:rPr>
        <w:t xml:space="preserve"> diferentes pero relacionad</w:t>
      </w:r>
      <w:r w:rsidR="00494BB7">
        <w:rPr>
          <w:rFonts w:asciiTheme="majorHAnsi" w:hAnsiTheme="majorHAnsi"/>
          <w:sz w:val="20"/>
          <w:szCs w:val="20"/>
          <w:lang w:val="es"/>
        </w:rPr>
        <w:t>o</w:t>
      </w:r>
      <w:r w:rsidRPr="00494BB7">
        <w:rPr>
          <w:rFonts w:asciiTheme="majorHAnsi" w:hAnsiTheme="majorHAnsi"/>
          <w:sz w:val="20"/>
          <w:szCs w:val="20"/>
          <w:lang w:val="es"/>
        </w:rPr>
        <w:t xml:space="preserve">s entre sí. </w:t>
      </w:r>
      <w:r w:rsidR="004D01EE">
        <w:rPr>
          <w:rFonts w:asciiTheme="majorHAnsi" w:hAnsiTheme="majorHAnsi"/>
          <w:sz w:val="20"/>
          <w:szCs w:val="20"/>
          <w:lang w:val="es"/>
        </w:rPr>
        <w:t>El</w:t>
      </w:r>
      <w:r w:rsidRPr="00494BB7">
        <w:rPr>
          <w:rFonts w:asciiTheme="majorHAnsi" w:hAnsiTheme="majorHAnsi"/>
          <w:sz w:val="20"/>
          <w:szCs w:val="20"/>
          <w:lang w:val="es"/>
        </w:rPr>
        <w:t xml:space="preserve"> primer</w:t>
      </w:r>
      <w:r w:rsidR="004D01EE">
        <w:rPr>
          <w:rFonts w:asciiTheme="majorHAnsi" w:hAnsiTheme="majorHAnsi"/>
          <w:sz w:val="20"/>
          <w:szCs w:val="20"/>
          <w:lang w:val="es"/>
        </w:rPr>
        <w:t>o</w:t>
      </w:r>
      <w:r w:rsidRPr="00494BB7">
        <w:rPr>
          <w:rFonts w:asciiTheme="majorHAnsi" w:hAnsiTheme="majorHAnsi"/>
          <w:sz w:val="20"/>
          <w:szCs w:val="20"/>
          <w:lang w:val="es"/>
        </w:rPr>
        <w:t xml:space="preserve"> se refiere a su intento de obtener </w:t>
      </w:r>
      <w:r w:rsidR="00190031">
        <w:rPr>
          <w:rFonts w:asciiTheme="majorHAnsi" w:hAnsiTheme="majorHAnsi"/>
          <w:sz w:val="20"/>
          <w:szCs w:val="20"/>
          <w:lang w:val="es"/>
        </w:rPr>
        <w:t>el título pleno</w:t>
      </w:r>
      <w:r w:rsidRPr="00494BB7">
        <w:rPr>
          <w:rFonts w:asciiTheme="majorHAnsi" w:hAnsiTheme="majorHAnsi"/>
          <w:sz w:val="20"/>
          <w:szCs w:val="20"/>
          <w:lang w:val="es"/>
        </w:rPr>
        <w:t xml:space="preserve"> sobre una propiedad que adquirió en 1999 o por aquel entonces, en Pinchas, departamento Castro Barros, provincia de la Rioja. </w:t>
      </w:r>
      <w:r w:rsidR="004D01EE">
        <w:rPr>
          <w:rFonts w:asciiTheme="majorHAnsi" w:hAnsiTheme="majorHAnsi"/>
          <w:sz w:val="20"/>
          <w:szCs w:val="20"/>
          <w:lang w:val="es"/>
        </w:rPr>
        <w:t>El</w:t>
      </w:r>
      <w:r w:rsidRPr="00494BB7">
        <w:rPr>
          <w:rFonts w:asciiTheme="majorHAnsi" w:hAnsiTheme="majorHAnsi"/>
          <w:sz w:val="20"/>
          <w:szCs w:val="20"/>
          <w:lang w:val="es"/>
        </w:rPr>
        <w:t xml:space="preserve"> segund</w:t>
      </w:r>
      <w:r w:rsidR="004D01EE">
        <w:rPr>
          <w:rFonts w:asciiTheme="majorHAnsi" w:hAnsiTheme="majorHAnsi"/>
          <w:sz w:val="20"/>
          <w:szCs w:val="20"/>
          <w:lang w:val="es"/>
        </w:rPr>
        <w:t>o</w:t>
      </w:r>
      <w:r w:rsidRPr="00494BB7">
        <w:rPr>
          <w:rFonts w:asciiTheme="majorHAnsi" w:hAnsiTheme="majorHAnsi"/>
          <w:sz w:val="20"/>
          <w:szCs w:val="20"/>
          <w:lang w:val="es"/>
        </w:rPr>
        <w:t xml:space="preserve"> tiene que ver con una presunta campaña de hostigamiento </w:t>
      </w:r>
      <w:r w:rsidR="004D01EE">
        <w:rPr>
          <w:rFonts w:asciiTheme="majorHAnsi" w:hAnsiTheme="majorHAnsi"/>
          <w:sz w:val="20"/>
          <w:szCs w:val="20"/>
          <w:lang w:val="es"/>
        </w:rPr>
        <w:t>realizada</w:t>
      </w:r>
      <w:r w:rsidRPr="00494BB7">
        <w:rPr>
          <w:rFonts w:asciiTheme="majorHAnsi" w:hAnsiTheme="majorHAnsi"/>
          <w:sz w:val="20"/>
          <w:szCs w:val="20"/>
          <w:lang w:val="es"/>
        </w:rPr>
        <w:t xml:space="preserve"> entre 2002 y 2006 por personas que se oponían a </w:t>
      </w:r>
      <w:r w:rsidR="009B7F45">
        <w:rPr>
          <w:rFonts w:asciiTheme="majorHAnsi" w:hAnsiTheme="majorHAnsi"/>
          <w:sz w:val="20"/>
          <w:szCs w:val="20"/>
          <w:lang w:val="es"/>
        </w:rPr>
        <w:t xml:space="preserve">que </w:t>
      </w:r>
      <w:r w:rsidRPr="00494BB7">
        <w:rPr>
          <w:rFonts w:asciiTheme="majorHAnsi" w:hAnsiTheme="majorHAnsi"/>
          <w:sz w:val="20"/>
          <w:szCs w:val="20"/>
          <w:lang w:val="es"/>
        </w:rPr>
        <w:t xml:space="preserve">el peticionario </w:t>
      </w:r>
      <w:r w:rsidR="009B7F45">
        <w:rPr>
          <w:rFonts w:asciiTheme="majorHAnsi" w:hAnsiTheme="majorHAnsi"/>
          <w:sz w:val="20"/>
          <w:szCs w:val="20"/>
          <w:lang w:val="es"/>
        </w:rPr>
        <w:t>poseyera</w:t>
      </w:r>
      <w:r w:rsidRPr="00494BB7">
        <w:rPr>
          <w:rFonts w:asciiTheme="majorHAnsi" w:hAnsiTheme="majorHAnsi"/>
          <w:sz w:val="20"/>
          <w:szCs w:val="20"/>
          <w:lang w:val="es"/>
        </w:rPr>
        <w:t xml:space="preserve"> dicha propiedad y que aparentemente contaban con el aval y la complicidad de la policía y </w:t>
      </w:r>
      <w:r w:rsidR="00494BB7">
        <w:rPr>
          <w:rFonts w:asciiTheme="majorHAnsi" w:hAnsiTheme="majorHAnsi"/>
          <w:sz w:val="20"/>
          <w:szCs w:val="20"/>
          <w:lang w:val="es"/>
        </w:rPr>
        <w:t xml:space="preserve">de </w:t>
      </w:r>
      <w:r w:rsidRPr="00494BB7">
        <w:rPr>
          <w:rFonts w:asciiTheme="majorHAnsi" w:hAnsiTheme="majorHAnsi"/>
          <w:sz w:val="20"/>
          <w:szCs w:val="20"/>
          <w:lang w:val="es"/>
        </w:rPr>
        <w:t xml:space="preserve">ciertos políticos. </w:t>
      </w:r>
    </w:p>
    <w:p w14:paraId="7BD78C23" w14:textId="77777777" w:rsidR="00943E42" w:rsidRPr="00494BB7" w:rsidRDefault="00943E42" w:rsidP="004D01EE">
      <w:pPr>
        <w:suppressAutoHyphens/>
        <w:jc w:val="both"/>
        <w:rPr>
          <w:rFonts w:asciiTheme="majorHAnsi" w:hAnsiTheme="majorHAnsi"/>
          <w:sz w:val="20"/>
          <w:szCs w:val="20"/>
          <w:lang w:val="es-ES"/>
        </w:rPr>
      </w:pPr>
    </w:p>
    <w:p w14:paraId="17280843" w14:textId="28A337CB" w:rsidR="00943E42" w:rsidRPr="00192CEA" w:rsidRDefault="00943E42" w:rsidP="00943E42">
      <w:pPr>
        <w:suppressAutoHyphens/>
        <w:ind w:left="720"/>
        <w:jc w:val="both"/>
        <w:rPr>
          <w:rFonts w:asciiTheme="majorHAnsi" w:hAnsiTheme="majorHAnsi"/>
          <w:b/>
          <w:sz w:val="20"/>
          <w:szCs w:val="20"/>
          <w:lang w:val="es-419"/>
        </w:rPr>
      </w:pPr>
      <w:r w:rsidRPr="00494BB7">
        <w:rPr>
          <w:rFonts w:asciiTheme="majorHAnsi" w:hAnsiTheme="majorHAnsi"/>
          <w:b/>
          <w:bCs/>
          <w:sz w:val="20"/>
          <w:szCs w:val="20"/>
          <w:lang w:val="es"/>
        </w:rPr>
        <w:t>Cuestión del título de propiedad</w:t>
      </w:r>
    </w:p>
    <w:p w14:paraId="75D1BB64" w14:textId="77777777" w:rsidR="00943E42" w:rsidRPr="00192CEA" w:rsidRDefault="00943E42" w:rsidP="00943E42">
      <w:pPr>
        <w:jc w:val="both"/>
        <w:rPr>
          <w:rFonts w:asciiTheme="majorHAnsi" w:hAnsiTheme="majorHAnsi"/>
          <w:sz w:val="20"/>
          <w:szCs w:val="20"/>
          <w:u w:color="000000"/>
          <w:lang w:val="es-419"/>
        </w:rPr>
      </w:pPr>
    </w:p>
    <w:p w14:paraId="0A0EEF5B" w14:textId="2D286B6B" w:rsidR="00943E42" w:rsidRPr="00494BB7" w:rsidRDefault="00943E42" w:rsidP="00943E42">
      <w:pPr>
        <w:numPr>
          <w:ilvl w:val="0"/>
          <w:numId w:val="103"/>
        </w:numPr>
        <w:jc w:val="both"/>
        <w:rPr>
          <w:rFonts w:asciiTheme="majorHAnsi" w:hAnsiTheme="majorHAnsi"/>
          <w:sz w:val="20"/>
          <w:szCs w:val="20"/>
          <w:u w:color="000000"/>
          <w:lang w:val="es-ES"/>
        </w:rPr>
      </w:pPr>
      <w:r w:rsidRPr="00494BB7">
        <w:rPr>
          <w:rFonts w:asciiTheme="majorHAnsi" w:hAnsiTheme="majorHAnsi"/>
          <w:sz w:val="20"/>
          <w:szCs w:val="20"/>
          <w:u w:color="000000"/>
          <w:lang w:val="es"/>
        </w:rPr>
        <w:t xml:space="preserve">El peticionario </w:t>
      </w:r>
      <w:r w:rsidR="008B6FA8">
        <w:rPr>
          <w:rFonts w:asciiTheme="majorHAnsi" w:hAnsiTheme="majorHAnsi"/>
          <w:sz w:val="20"/>
          <w:szCs w:val="20"/>
          <w:u w:color="000000"/>
          <w:lang w:val="es"/>
        </w:rPr>
        <w:t>relat</w:t>
      </w:r>
      <w:r w:rsidR="00124D2C">
        <w:rPr>
          <w:rFonts w:asciiTheme="majorHAnsi" w:hAnsiTheme="majorHAnsi"/>
          <w:sz w:val="20"/>
          <w:szCs w:val="20"/>
          <w:u w:color="000000"/>
          <w:lang w:val="es"/>
        </w:rPr>
        <w:t>a</w:t>
      </w:r>
      <w:r w:rsidR="002F0A0B">
        <w:rPr>
          <w:rFonts w:asciiTheme="majorHAnsi" w:hAnsiTheme="majorHAnsi"/>
          <w:sz w:val="20"/>
          <w:szCs w:val="20"/>
          <w:u w:color="000000"/>
          <w:lang w:val="es"/>
        </w:rPr>
        <w:t xml:space="preserve"> </w:t>
      </w:r>
      <w:r w:rsidRPr="00494BB7">
        <w:rPr>
          <w:rFonts w:asciiTheme="majorHAnsi" w:hAnsiTheme="majorHAnsi"/>
          <w:sz w:val="20"/>
          <w:szCs w:val="20"/>
          <w:u w:color="000000"/>
          <w:lang w:val="es"/>
        </w:rPr>
        <w:t>que</w:t>
      </w:r>
      <w:r w:rsidR="00F950E1">
        <w:rPr>
          <w:rFonts w:asciiTheme="majorHAnsi" w:hAnsiTheme="majorHAnsi"/>
          <w:sz w:val="20"/>
          <w:szCs w:val="20"/>
          <w:u w:color="000000"/>
          <w:lang w:val="es"/>
        </w:rPr>
        <w:t xml:space="preserve"> compró</w:t>
      </w:r>
      <w:r w:rsidRPr="00494BB7">
        <w:rPr>
          <w:rFonts w:asciiTheme="majorHAnsi" w:hAnsiTheme="majorHAnsi"/>
          <w:sz w:val="20"/>
          <w:szCs w:val="20"/>
          <w:u w:color="000000"/>
          <w:lang w:val="es"/>
        </w:rPr>
        <w:t xml:space="preserve"> la propiedad </w:t>
      </w:r>
      <w:r w:rsidR="00F950E1">
        <w:rPr>
          <w:rFonts w:asciiTheme="majorHAnsi" w:hAnsiTheme="majorHAnsi"/>
          <w:sz w:val="20"/>
          <w:szCs w:val="20"/>
          <w:u w:color="000000"/>
          <w:lang w:val="es"/>
        </w:rPr>
        <w:t>a nombre</w:t>
      </w:r>
      <w:r w:rsidRPr="00494BB7">
        <w:rPr>
          <w:rFonts w:asciiTheme="majorHAnsi" w:hAnsiTheme="majorHAnsi"/>
          <w:sz w:val="20"/>
          <w:szCs w:val="20"/>
          <w:u w:color="000000"/>
          <w:lang w:val="es"/>
        </w:rPr>
        <w:t xml:space="preserve"> </w:t>
      </w:r>
      <w:r w:rsidR="00F950E1">
        <w:rPr>
          <w:rFonts w:asciiTheme="majorHAnsi" w:hAnsiTheme="majorHAnsi"/>
          <w:sz w:val="20"/>
          <w:szCs w:val="20"/>
          <w:u w:color="000000"/>
          <w:lang w:val="es"/>
        </w:rPr>
        <w:t>de</w:t>
      </w:r>
      <w:r w:rsidRPr="00494BB7">
        <w:rPr>
          <w:rFonts w:asciiTheme="majorHAnsi" w:hAnsiTheme="majorHAnsi"/>
          <w:sz w:val="20"/>
          <w:szCs w:val="20"/>
          <w:u w:color="000000"/>
          <w:lang w:val="es"/>
        </w:rPr>
        <w:t xml:space="preserve"> una </w:t>
      </w:r>
      <w:r w:rsidR="00F950E1">
        <w:rPr>
          <w:rFonts w:asciiTheme="majorHAnsi" w:hAnsiTheme="majorHAnsi"/>
          <w:sz w:val="20"/>
          <w:szCs w:val="20"/>
          <w:u w:color="000000"/>
          <w:lang w:val="es"/>
        </w:rPr>
        <w:t>persona jurídica</w:t>
      </w:r>
      <w:r w:rsidRPr="00494BB7">
        <w:rPr>
          <w:rFonts w:asciiTheme="majorHAnsi" w:hAnsiTheme="majorHAnsi"/>
          <w:sz w:val="20"/>
          <w:szCs w:val="20"/>
          <w:u w:color="000000"/>
          <w:lang w:val="es"/>
        </w:rPr>
        <w:t xml:space="preserve"> empresarial fundada por él mismo, ASCHA S.A., a un vendedor que contaba con título posesorio sobre esta </w:t>
      </w:r>
      <w:r w:rsidR="00190031">
        <w:rPr>
          <w:rFonts w:asciiTheme="majorHAnsi" w:hAnsiTheme="majorHAnsi"/>
          <w:sz w:val="20"/>
          <w:szCs w:val="20"/>
          <w:u w:color="000000"/>
          <w:lang w:val="es"/>
        </w:rPr>
        <w:t>tras haberla poseído</w:t>
      </w:r>
      <w:r w:rsidRPr="00494BB7">
        <w:rPr>
          <w:rFonts w:asciiTheme="majorHAnsi" w:hAnsiTheme="majorHAnsi"/>
          <w:sz w:val="20"/>
          <w:szCs w:val="20"/>
          <w:u w:color="000000"/>
          <w:lang w:val="es"/>
        </w:rPr>
        <w:t xml:space="preserve"> </w:t>
      </w:r>
      <w:r w:rsidR="00190031">
        <w:rPr>
          <w:rFonts w:asciiTheme="majorHAnsi" w:hAnsiTheme="majorHAnsi"/>
          <w:sz w:val="20"/>
          <w:szCs w:val="20"/>
          <w:u w:color="000000"/>
          <w:lang w:val="es"/>
        </w:rPr>
        <w:t xml:space="preserve">de modo </w:t>
      </w:r>
      <w:r w:rsidRPr="00494BB7">
        <w:rPr>
          <w:rFonts w:asciiTheme="majorHAnsi" w:hAnsiTheme="majorHAnsi"/>
          <w:sz w:val="20"/>
          <w:szCs w:val="20"/>
          <w:u w:color="000000"/>
          <w:lang w:val="es"/>
        </w:rPr>
        <w:t>ininterrumpid</w:t>
      </w:r>
      <w:r w:rsidR="00190031">
        <w:rPr>
          <w:rFonts w:asciiTheme="majorHAnsi" w:hAnsiTheme="majorHAnsi"/>
          <w:sz w:val="20"/>
          <w:szCs w:val="20"/>
          <w:u w:color="000000"/>
          <w:lang w:val="es"/>
        </w:rPr>
        <w:t>o</w:t>
      </w:r>
      <w:r w:rsidRPr="00494BB7">
        <w:rPr>
          <w:rFonts w:asciiTheme="majorHAnsi" w:hAnsiTheme="majorHAnsi"/>
          <w:sz w:val="20"/>
          <w:szCs w:val="20"/>
          <w:u w:color="000000"/>
          <w:lang w:val="es"/>
        </w:rPr>
        <w:t xml:space="preserve"> por más de 20 años. Alega que adquirió ese terreno con el propósito de desarrollar un atractivo turístico ecológico.</w:t>
      </w:r>
    </w:p>
    <w:p w14:paraId="7A012BA1" w14:textId="77777777" w:rsidR="00943E42" w:rsidRPr="00494BB7" w:rsidRDefault="00943E42" w:rsidP="00943E42">
      <w:pPr>
        <w:rPr>
          <w:rFonts w:asciiTheme="majorHAnsi" w:hAnsiTheme="majorHAnsi"/>
          <w:sz w:val="20"/>
          <w:szCs w:val="20"/>
          <w:lang w:val="es-ES"/>
        </w:rPr>
      </w:pPr>
    </w:p>
    <w:p w14:paraId="19F3BAD3" w14:textId="29D4D7E1" w:rsidR="00943E42" w:rsidRPr="00494BB7" w:rsidRDefault="00943E42" w:rsidP="00943E42">
      <w:pPr>
        <w:numPr>
          <w:ilvl w:val="0"/>
          <w:numId w:val="103"/>
        </w:numPr>
        <w:jc w:val="both"/>
        <w:rPr>
          <w:rFonts w:asciiTheme="majorHAnsi" w:hAnsiTheme="majorHAnsi"/>
          <w:sz w:val="20"/>
          <w:szCs w:val="20"/>
          <w:u w:color="000000"/>
          <w:lang w:val="es-ES"/>
        </w:rPr>
      </w:pPr>
      <w:r w:rsidRPr="00494BB7">
        <w:rPr>
          <w:rFonts w:asciiTheme="majorHAnsi" w:hAnsiTheme="majorHAnsi"/>
          <w:sz w:val="20"/>
          <w:szCs w:val="20"/>
          <w:u w:color="000000"/>
          <w:lang w:val="es"/>
        </w:rPr>
        <w:t xml:space="preserve">Afirma que en 2002 o </w:t>
      </w:r>
      <w:r w:rsidR="00FA2C30">
        <w:rPr>
          <w:rFonts w:asciiTheme="majorHAnsi" w:hAnsiTheme="majorHAnsi"/>
          <w:sz w:val="20"/>
          <w:szCs w:val="20"/>
          <w:u w:color="000000"/>
          <w:lang w:val="es"/>
        </w:rPr>
        <w:t>por aquel entonces</w:t>
      </w:r>
      <w:r w:rsidRPr="00494BB7">
        <w:rPr>
          <w:rFonts w:asciiTheme="majorHAnsi" w:hAnsiTheme="majorHAnsi"/>
          <w:sz w:val="20"/>
          <w:szCs w:val="20"/>
          <w:u w:color="000000"/>
          <w:lang w:val="es"/>
        </w:rPr>
        <w:t xml:space="preserve">, inició una acción judicial (juicio de usucapión) ante la Cámara Civil, Comercial y de Minería del Tribunal Superior de Justicia con vistas a perfeccionar </w:t>
      </w:r>
      <w:r w:rsidR="009B7F45">
        <w:rPr>
          <w:rFonts w:asciiTheme="majorHAnsi" w:hAnsiTheme="majorHAnsi"/>
          <w:sz w:val="20"/>
          <w:szCs w:val="20"/>
          <w:u w:color="000000"/>
          <w:lang w:val="es"/>
        </w:rPr>
        <w:t>su</w:t>
      </w:r>
      <w:r w:rsidRPr="00494BB7">
        <w:rPr>
          <w:rFonts w:asciiTheme="majorHAnsi" w:hAnsiTheme="majorHAnsi"/>
          <w:sz w:val="20"/>
          <w:szCs w:val="20"/>
          <w:u w:color="000000"/>
          <w:lang w:val="es"/>
        </w:rPr>
        <w:t xml:space="preserve"> t</w:t>
      </w:r>
      <w:r w:rsidR="009B7F45">
        <w:rPr>
          <w:rFonts w:asciiTheme="majorHAnsi" w:hAnsiTheme="majorHAnsi"/>
          <w:sz w:val="20"/>
          <w:szCs w:val="20"/>
          <w:u w:color="000000"/>
          <w:lang w:val="es"/>
        </w:rPr>
        <w:t>í</w:t>
      </w:r>
      <w:r w:rsidRPr="00494BB7">
        <w:rPr>
          <w:rFonts w:asciiTheme="majorHAnsi" w:hAnsiTheme="majorHAnsi"/>
          <w:sz w:val="20"/>
          <w:szCs w:val="20"/>
          <w:u w:color="000000"/>
          <w:lang w:val="es"/>
        </w:rPr>
        <w:t>tul</w:t>
      </w:r>
      <w:r w:rsidR="009B7F45">
        <w:rPr>
          <w:rFonts w:asciiTheme="majorHAnsi" w:hAnsiTheme="majorHAnsi"/>
          <w:sz w:val="20"/>
          <w:szCs w:val="20"/>
          <w:u w:color="000000"/>
          <w:lang w:val="es"/>
        </w:rPr>
        <w:t>o</w:t>
      </w:r>
      <w:r w:rsidRPr="00494BB7">
        <w:rPr>
          <w:rFonts w:asciiTheme="majorHAnsi" w:hAnsiTheme="majorHAnsi"/>
          <w:sz w:val="20"/>
          <w:szCs w:val="20"/>
          <w:u w:color="000000"/>
          <w:lang w:val="es"/>
        </w:rPr>
        <w:t xml:space="preserve"> de propiedad. </w:t>
      </w:r>
      <w:r w:rsidR="001D344F">
        <w:rPr>
          <w:rFonts w:asciiTheme="majorHAnsi" w:hAnsiTheme="majorHAnsi"/>
          <w:sz w:val="20"/>
          <w:szCs w:val="20"/>
          <w:u w:color="000000"/>
          <w:lang w:val="es"/>
        </w:rPr>
        <w:t>La petición relata que</w:t>
      </w:r>
      <w:r w:rsidRPr="00494BB7">
        <w:rPr>
          <w:rFonts w:asciiTheme="majorHAnsi" w:hAnsiTheme="majorHAnsi"/>
          <w:sz w:val="20"/>
          <w:szCs w:val="20"/>
          <w:u w:color="000000"/>
          <w:lang w:val="es"/>
        </w:rPr>
        <w:t xml:space="preserve"> un grupo de personas junto con dos </w:t>
      </w:r>
      <w:r w:rsidR="001D344F">
        <w:rPr>
          <w:rFonts w:asciiTheme="majorHAnsi" w:hAnsiTheme="majorHAnsi"/>
          <w:sz w:val="20"/>
          <w:szCs w:val="20"/>
          <w:u w:color="000000"/>
          <w:lang w:val="es"/>
        </w:rPr>
        <w:t>entes corporativos</w:t>
      </w:r>
      <w:r w:rsidRPr="00494BB7">
        <w:rPr>
          <w:rFonts w:asciiTheme="majorHAnsi" w:hAnsiTheme="majorHAnsi"/>
          <w:sz w:val="20"/>
          <w:szCs w:val="20"/>
          <w:u w:color="000000"/>
          <w:lang w:val="es"/>
        </w:rPr>
        <w:t>, denominad</w:t>
      </w:r>
      <w:r w:rsidR="001D344F">
        <w:rPr>
          <w:rFonts w:asciiTheme="majorHAnsi" w:hAnsiTheme="majorHAnsi"/>
          <w:sz w:val="20"/>
          <w:szCs w:val="20"/>
          <w:u w:color="000000"/>
          <w:lang w:val="es"/>
        </w:rPr>
        <w:t>o</w:t>
      </w:r>
      <w:r w:rsidRPr="00494BB7">
        <w:rPr>
          <w:rFonts w:asciiTheme="majorHAnsi" w:hAnsiTheme="majorHAnsi"/>
          <w:sz w:val="20"/>
          <w:szCs w:val="20"/>
          <w:u w:color="000000"/>
          <w:lang w:val="es"/>
        </w:rPr>
        <w:t xml:space="preserve">s El Consorcio de Usuarios de Agua de Pinchas y La Unión Vecinal de Pinchas, se opusieron </w:t>
      </w:r>
      <w:r w:rsidR="001D344F">
        <w:rPr>
          <w:rFonts w:asciiTheme="majorHAnsi" w:hAnsiTheme="majorHAnsi"/>
          <w:sz w:val="20"/>
          <w:szCs w:val="20"/>
          <w:u w:color="000000"/>
          <w:lang w:val="es"/>
        </w:rPr>
        <w:t xml:space="preserve">a </w:t>
      </w:r>
      <w:r w:rsidRPr="00494BB7">
        <w:rPr>
          <w:rFonts w:asciiTheme="majorHAnsi" w:hAnsiTheme="majorHAnsi"/>
          <w:sz w:val="20"/>
          <w:szCs w:val="20"/>
          <w:u w:color="000000"/>
          <w:lang w:val="es"/>
        </w:rPr>
        <w:t>dicho juicio. Alega que dichas partes contrarias presentaron documentación fraudulenta acerca de la propiedad y denunciaron que la concesión de</w:t>
      </w:r>
      <w:r w:rsidR="00763CA6">
        <w:rPr>
          <w:rFonts w:asciiTheme="majorHAnsi" w:hAnsiTheme="majorHAnsi"/>
          <w:sz w:val="20"/>
          <w:szCs w:val="20"/>
          <w:u w:color="000000"/>
          <w:lang w:val="es"/>
        </w:rPr>
        <w:t xml:space="preserve">l título </w:t>
      </w:r>
      <w:r w:rsidRPr="00494BB7">
        <w:rPr>
          <w:rFonts w:asciiTheme="majorHAnsi" w:hAnsiTheme="majorHAnsi"/>
          <w:sz w:val="20"/>
          <w:szCs w:val="20"/>
          <w:u w:color="000000"/>
          <w:lang w:val="es"/>
        </w:rPr>
        <w:t>plen</w:t>
      </w:r>
      <w:r w:rsidR="00763CA6">
        <w:rPr>
          <w:rFonts w:asciiTheme="majorHAnsi" w:hAnsiTheme="majorHAnsi"/>
          <w:sz w:val="20"/>
          <w:szCs w:val="20"/>
          <w:u w:color="000000"/>
          <w:lang w:val="es"/>
        </w:rPr>
        <w:t>o</w:t>
      </w:r>
      <w:r w:rsidRPr="00494BB7">
        <w:rPr>
          <w:rFonts w:asciiTheme="majorHAnsi" w:hAnsiTheme="majorHAnsi"/>
          <w:sz w:val="20"/>
          <w:szCs w:val="20"/>
          <w:u w:color="000000"/>
          <w:lang w:val="es"/>
        </w:rPr>
        <w:t xml:space="preserve"> a ASCHA afectaría el derecho de acceso al agua potable y riego. </w:t>
      </w:r>
      <w:r w:rsidR="002F2A99">
        <w:rPr>
          <w:rFonts w:asciiTheme="majorHAnsi" w:hAnsiTheme="majorHAnsi"/>
          <w:sz w:val="20"/>
          <w:szCs w:val="20"/>
          <w:u w:color="000000"/>
          <w:lang w:val="es"/>
        </w:rPr>
        <w:t xml:space="preserve">Agrega </w:t>
      </w:r>
      <w:r w:rsidRPr="00494BB7">
        <w:rPr>
          <w:rFonts w:asciiTheme="majorHAnsi" w:hAnsiTheme="majorHAnsi"/>
          <w:sz w:val="20"/>
          <w:szCs w:val="20"/>
          <w:u w:color="000000"/>
          <w:lang w:val="es"/>
        </w:rPr>
        <w:t xml:space="preserve">que presentó una objeción preliminar ante dicha Cámara reclamando que las partes contrarias carecían de legitimación procesal en el asunto. Dicha objeción fue desestimada en noviembre de 2003 o </w:t>
      </w:r>
      <w:r w:rsidR="00A84104">
        <w:rPr>
          <w:rFonts w:asciiTheme="majorHAnsi" w:hAnsiTheme="majorHAnsi"/>
          <w:sz w:val="20"/>
          <w:szCs w:val="20"/>
          <w:u w:color="000000"/>
          <w:lang w:val="es"/>
        </w:rPr>
        <w:t>alrededor</w:t>
      </w:r>
      <w:r w:rsidRPr="00494BB7">
        <w:rPr>
          <w:rFonts w:asciiTheme="majorHAnsi" w:hAnsiTheme="majorHAnsi"/>
          <w:sz w:val="20"/>
          <w:szCs w:val="20"/>
          <w:u w:color="000000"/>
          <w:lang w:val="es"/>
        </w:rPr>
        <w:t xml:space="preserve"> </w:t>
      </w:r>
      <w:r w:rsidR="00A84104">
        <w:rPr>
          <w:rFonts w:asciiTheme="majorHAnsi" w:hAnsiTheme="majorHAnsi"/>
          <w:sz w:val="20"/>
          <w:szCs w:val="20"/>
          <w:u w:color="000000"/>
          <w:lang w:val="es"/>
        </w:rPr>
        <w:t>de</w:t>
      </w:r>
      <w:r w:rsidRPr="00494BB7">
        <w:rPr>
          <w:rFonts w:asciiTheme="majorHAnsi" w:hAnsiTheme="majorHAnsi"/>
          <w:sz w:val="20"/>
          <w:szCs w:val="20"/>
          <w:u w:color="000000"/>
          <w:lang w:val="es"/>
        </w:rPr>
        <w:t xml:space="preserve"> esa fecha. </w:t>
      </w:r>
      <w:r w:rsidR="004C7B2C">
        <w:rPr>
          <w:rFonts w:asciiTheme="majorHAnsi" w:hAnsiTheme="majorHAnsi"/>
          <w:sz w:val="20"/>
          <w:szCs w:val="20"/>
          <w:u w:color="000000"/>
          <w:lang w:val="es"/>
        </w:rPr>
        <w:t>Afirma además</w:t>
      </w:r>
      <w:r w:rsidRPr="00494BB7">
        <w:rPr>
          <w:rFonts w:asciiTheme="majorHAnsi" w:hAnsiTheme="majorHAnsi"/>
          <w:sz w:val="20"/>
          <w:szCs w:val="20"/>
          <w:u w:color="000000"/>
          <w:lang w:val="es"/>
        </w:rPr>
        <w:t xml:space="preserve"> que</w:t>
      </w:r>
      <w:r w:rsidR="004C7B2C">
        <w:rPr>
          <w:rFonts w:asciiTheme="majorHAnsi" w:hAnsiTheme="majorHAnsi"/>
          <w:sz w:val="20"/>
          <w:szCs w:val="20"/>
          <w:u w:color="000000"/>
          <w:lang w:val="es"/>
        </w:rPr>
        <w:t>,</w:t>
      </w:r>
      <w:r w:rsidRPr="00494BB7">
        <w:rPr>
          <w:rFonts w:asciiTheme="majorHAnsi" w:hAnsiTheme="majorHAnsi"/>
          <w:sz w:val="20"/>
          <w:szCs w:val="20"/>
          <w:u w:color="000000"/>
          <w:lang w:val="es"/>
        </w:rPr>
        <w:t xml:space="preserve"> durante el proceso</w:t>
      </w:r>
      <w:r w:rsidR="004C7B2C">
        <w:rPr>
          <w:rFonts w:asciiTheme="majorHAnsi" w:hAnsiTheme="majorHAnsi"/>
          <w:sz w:val="20"/>
          <w:szCs w:val="20"/>
          <w:u w:color="000000"/>
          <w:lang w:val="es"/>
        </w:rPr>
        <w:t>,</w:t>
      </w:r>
      <w:r w:rsidRPr="00494BB7">
        <w:rPr>
          <w:rFonts w:asciiTheme="majorHAnsi" w:hAnsiTheme="majorHAnsi"/>
          <w:sz w:val="20"/>
          <w:szCs w:val="20"/>
          <w:u w:color="000000"/>
          <w:lang w:val="es"/>
        </w:rPr>
        <w:t xml:space="preserve"> los tres jueces de la Cámara se excusaron, pero que posteriormente dicho órgano judicial se reconstituyó con dos de ellos y un nuevo juez. </w:t>
      </w:r>
      <w:r w:rsidR="004C7B2C">
        <w:rPr>
          <w:rFonts w:asciiTheme="majorHAnsi" w:hAnsiTheme="majorHAnsi"/>
          <w:sz w:val="20"/>
          <w:szCs w:val="20"/>
          <w:u w:color="000000"/>
          <w:lang w:val="es"/>
        </w:rPr>
        <w:t>Según el</w:t>
      </w:r>
      <w:r w:rsidRPr="00494BB7">
        <w:rPr>
          <w:rFonts w:asciiTheme="majorHAnsi" w:hAnsiTheme="majorHAnsi"/>
          <w:sz w:val="20"/>
          <w:szCs w:val="20"/>
          <w:u w:color="000000"/>
          <w:lang w:val="es"/>
        </w:rPr>
        <w:t xml:space="preserve"> peticionario</w:t>
      </w:r>
      <w:r w:rsidR="004C7B2C">
        <w:rPr>
          <w:rFonts w:asciiTheme="majorHAnsi" w:hAnsiTheme="majorHAnsi"/>
          <w:sz w:val="20"/>
          <w:szCs w:val="20"/>
          <w:u w:color="000000"/>
          <w:lang w:val="es"/>
        </w:rPr>
        <w:t>,</w:t>
      </w:r>
      <w:r w:rsidRPr="00494BB7">
        <w:rPr>
          <w:rFonts w:asciiTheme="majorHAnsi" w:hAnsiTheme="majorHAnsi"/>
          <w:sz w:val="20"/>
          <w:szCs w:val="20"/>
          <w:u w:color="000000"/>
          <w:lang w:val="es"/>
        </w:rPr>
        <w:t xml:space="preserve"> dicha excusación y la posterior reconstitución de la Cámara </w:t>
      </w:r>
      <w:r w:rsidR="00A75939">
        <w:rPr>
          <w:rFonts w:asciiTheme="majorHAnsi" w:hAnsiTheme="majorHAnsi"/>
          <w:sz w:val="20"/>
          <w:szCs w:val="20"/>
          <w:u w:color="000000"/>
          <w:lang w:val="es"/>
        </w:rPr>
        <w:t>dio lugar o contribuyó a</w:t>
      </w:r>
      <w:r w:rsidRPr="00494BB7">
        <w:rPr>
          <w:rFonts w:asciiTheme="majorHAnsi" w:hAnsiTheme="majorHAnsi"/>
          <w:sz w:val="20"/>
          <w:szCs w:val="20"/>
          <w:u w:color="000000"/>
          <w:lang w:val="es"/>
        </w:rPr>
        <w:t xml:space="preserve"> la adopción de una decisión arbitraria en contra suyo y de ASCHA S.A.</w:t>
      </w:r>
    </w:p>
    <w:p w14:paraId="3652E388" w14:textId="77777777" w:rsidR="00943E42" w:rsidRPr="00494BB7" w:rsidRDefault="00943E42" w:rsidP="00943E42">
      <w:pPr>
        <w:ind w:left="720"/>
        <w:rPr>
          <w:rFonts w:asciiTheme="majorHAnsi" w:hAnsiTheme="majorHAnsi"/>
          <w:sz w:val="20"/>
          <w:szCs w:val="20"/>
          <w:u w:color="000000"/>
          <w:lang w:val="es-ES"/>
        </w:rPr>
      </w:pPr>
    </w:p>
    <w:p w14:paraId="24EF98B2" w14:textId="76E26C81" w:rsidR="00943E42" w:rsidRPr="00494BB7" w:rsidRDefault="00943E42" w:rsidP="00943E42">
      <w:pPr>
        <w:numPr>
          <w:ilvl w:val="0"/>
          <w:numId w:val="103"/>
        </w:numPr>
        <w:jc w:val="both"/>
        <w:rPr>
          <w:rFonts w:asciiTheme="majorHAnsi" w:hAnsiTheme="majorHAnsi"/>
          <w:sz w:val="20"/>
          <w:szCs w:val="20"/>
          <w:u w:color="000000"/>
          <w:lang w:val="es-ES"/>
        </w:rPr>
      </w:pPr>
      <w:r w:rsidRPr="00494BB7">
        <w:rPr>
          <w:rFonts w:asciiTheme="majorHAnsi" w:hAnsiTheme="majorHAnsi"/>
          <w:sz w:val="20"/>
          <w:szCs w:val="20"/>
          <w:u w:color="000000"/>
          <w:lang w:val="es"/>
        </w:rPr>
        <w:t xml:space="preserve">Tras la decisión de la Cámara, el peticionario apeló </w:t>
      </w:r>
      <w:r w:rsidR="00C355E6">
        <w:rPr>
          <w:rFonts w:asciiTheme="majorHAnsi" w:hAnsiTheme="majorHAnsi"/>
          <w:sz w:val="20"/>
          <w:szCs w:val="20"/>
          <w:u w:color="000000"/>
          <w:lang w:val="es"/>
        </w:rPr>
        <w:t>a</w:t>
      </w:r>
      <w:r w:rsidRPr="00494BB7">
        <w:rPr>
          <w:rFonts w:asciiTheme="majorHAnsi" w:hAnsiTheme="majorHAnsi"/>
          <w:sz w:val="20"/>
          <w:szCs w:val="20"/>
          <w:u w:color="000000"/>
          <w:lang w:val="es"/>
        </w:rPr>
        <w:t xml:space="preserve"> nombre de ASCHA S.A. ante el Tribunal Superior de Justicia de La Rioja. Dicha apelación fue inicialmente resuelta a su favor en 2004, pero en 2006 el Tribunal se desdijo mediante una decisión contraria. El peticionario considera que dicha revocación demuestra la falta de independencia e imparcialidad del Tribunal.</w:t>
      </w:r>
    </w:p>
    <w:p w14:paraId="16C1B8A9" w14:textId="77777777" w:rsidR="00943E42" w:rsidRPr="00494BB7" w:rsidRDefault="00943E42" w:rsidP="00943E42">
      <w:pPr>
        <w:ind w:left="720"/>
        <w:rPr>
          <w:rFonts w:asciiTheme="majorHAnsi" w:hAnsiTheme="majorHAnsi"/>
          <w:sz w:val="20"/>
          <w:szCs w:val="20"/>
          <w:u w:color="000000"/>
          <w:lang w:val="es-ES"/>
        </w:rPr>
      </w:pPr>
    </w:p>
    <w:p w14:paraId="20D5F6A0" w14:textId="00235372" w:rsidR="00943E42" w:rsidRPr="00494BB7" w:rsidRDefault="00943E42" w:rsidP="00943E42">
      <w:pPr>
        <w:numPr>
          <w:ilvl w:val="0"/>
          <w:numId w:val="103"/>
        </w:numPr>
        <w:jc w:val="both"/>
        <w:rPr>
          <w:rFonts w:asciiTheme="majorHAnsi" w:hAnsiTheme="majorHAnsi"/>
          <w:sz w:val="20"/>
          <w:szCs w:val="20"/>
          <w:u w:color="000000"/>
          <w:lang w:val="es-ES"/>
        </w:rPr>
      </w:pPr>
      <w:r w:rsidRPr="00494BB7">
        <w:rPr>
          <w:rFonts w:asciiTheme="majorHAnsi" w:hAnsiTheme="majorHAnsi"/>
          <w:sz w:val="20"/>
          <w:szCs w:val="20"/>
          <w:u w:color="000000"/>
          <w:lang w:val="es"/>
        </w:rPr>
        <w:t xml:space="preserve">En 2006, una vez más </w:t>
      </w:r>
      <w:r w:rsidR="00C355E6">
        <w:rPr>
          <w:rFonts w:asciiTheme="majorHAnsi" w:hAnsiTheme="majorHAnsi"/>
          <w:sz w:val="20"/>
          <w:szCs w:val="20"/>
          <w:u w:color="000000"/>
          <w:lang w:val="es"/>
        </w:rPr>
        <w:t>a</w:t>
      </w:r>
      <w:r w:rsidRPr="00494BB7">
        <w:rPr>
          <w:rFonts w:asciiTheme="majorHAnsi" w:hAnsiTheme="majorHAnsi"/>
          <w:sz w:val="20"/>
          <w:szCs w:val="20"/>
          <w:u w:color="000000"/>
          <w:lang w:val="es"/>
        </w:rPr>
        <w:t xml:space="preserve"> nombre de ASCHA S.A., el peticionario </w:t>
      </w:r>
      <w:r w:rsidR="009C0E40">
        <w:rPr>
          <w:rFonts w:asciiTheme="majorHAnsi" w:hAnsiTheme="majorHAnsi"/>
          <w:sz w:val="20"/>
          <w:szCs w:val="20"/>
          <w:u w:color="000000"/>
          <w:lang w:val="es"/>
        </w:rPr>
        <w:t>solicitó</w:t>
      </w:r>
      <w:r w:rsidRPr="00494BB7">
        <w:rPr>
          <w:rFonts w:asciiTheme="majorHAnsi" w:hAnsiTheme="majorHAnsi"/>
          <w:sz w:val="20"/>
          <w:szCs w:val="20"/>
          <w:u w:color="000000"/>
          <w:lang w:val="es"/>
        </w:rPr>
        <w:t xml:space="preserve"> al Tribunal Superior de Justicia</w:t>
      </w:r>
      <w:r w:rsidR="00B82E30">
        <w:rPr>
          <w:rFonts w:asciiTheme="majorHAnsi" w:hAnsiTheme="majorHAnsi"/>
          <w:sz w:val="20"/>
          <w:szCs w:val="20"/>
          <w:u w:color="000000"/>
          <w:lang w:val="es"/>
        </w:rPr>
        <w:t xml:space="preserve"> que</w:t>
      </w:r>
      <w:r w:rsidR="009C0E40">
        <w:rPr>
          <w:rFonts w:asciiTheme="majorHAnsi" w:hAnsiTheme="majorHAnsi"/>
          <w:sz w:val="20"/>
          <w:szCs w:val="20"/>
          <w:u w:color="000000"/>
          <w:lang w:val="es"/>
        </w:rPr>
        <w:t>,</w:t>
      </w:r>
      <w:r w:rsidRPr="00494BB7">
        <w:rPr>
          <w:rFonts w:asciiTheme="majorHAnsi" w:hAnsiTheme="majorHAnsi"/>
          <w:sz w:val="20"/>
          <w:szCs w:val="20"/>
          <w:u w:color="000000"/>
          <w:lang w:val="es"/>
        </w:rPr>
        <w:t xml:space="preserve"> mediante un recurso extraordinario federal</w:t>
      </w:r>
      <w:r w:rsidR="009C0E40">
        <w:rPr>
          <w:rFonts w:asciiTheme="majorHAnsi" w:hAnsiTheme="majorHAnsi"/>
          <w:sz w:val="20"/>
          <w:szCs w:val="20"/>
          <w:u w:color="000000"/>
          <w:lang w:val="es"/>
        </w:rPr>
        <w:t>,</w:t>
      </w:r>
      <w:r w:rsidRPr="00494BB7">
        <w:rPr>
          <w:rFonts w:asciiTheme="majorHAnsi" w:hAnsiTheme="majorHAnsi"/>
          <w:sz w:val="20"/>
          <w:szCs w:val="20"/>
          <w:u w:color="000000"/>
          <w:lang w:val="es"/>
        </w:rPr>
        <w:t xml:space="preserve"> remitiera el asunto a la Corte Suprema de Justicia de la Nación para su estudio y resolución. Dicha solicitud fue denegada en 2006. </w:t>
      </w:r>
      <w:r w:rsidR="009C0E40">
        <w:rPr>
          <w:rFonts w:asciiTheme="majorHAnsi" w:hAnsiTheme="majorHAnsi"/>
          <w:sz w:val="20"/>
          <w:szCs w:val="20"/>
          <w:u w:color="000000"/>
          <w:lang w:val="es"/>
        </w:rPr>
        <w:t>Posteriormente</w:t>
      </w:r>
      <w:r w:rsidRPr="00494BB7">
        <w:rPr>
          <w:rFonts w:asciiTheme="majorHAnsi" w:hAnsiTheme="majorHAnsi"/>
          <w:sz w:val="20"/>
          <w:szCs w:val="20"/>
          <w:u w:color="000000"/>
          <w:lang w:val="es"/>
        </w:rPr>
        <w:t>, el peticionario presentó rec</w:t>
      </w:r>
      <w:r w:rsidR="009C0E40">
        <w:rPr>
          <w:rFonts w:asciiTheme="majorHAnsi" w:hAnsiTheme="majorHAnsi"/>
          <w:sz w:val="20"/>
          <w:szCs w:val="20"/>
          <w:u w:color="000000"/>
          <w:lang w:val="es"/>
        </w:rPr>
        <w:t>lamos</w:t>
      </w:r>
      <w:r w:rsidRPr="00494BB7">
        <w:rPr>
          <w:rFonts w:asciiTheme="majorHAnsi" w:hAnsiTheme="majorHAnsi"/>
          <w:sz w:val="20"/>
          <w:szCs w:val="20"/>
          <w:u w:color="000000"/>
          <w:lang w:val="es"/>
        </w:rPr>
        <w:t xml:space="preserve"> ante diferentes autoridades del Estado, entre ellas, el Ministerio de Gobierno y Derechos Humanos de La Rioja, la Secretaría de Derechos Humanos de la Nación y la Defensoría del Pueblo de la Nación en La Rioja. Señala que ningun</w:t>
      </w:r>
      <w:r w:rsidR="00EC5E9C">
        <w:rPr>
          <w:rFonts w:asciiTheme="majorHAnsi" w:hAnsiTheme="majorHAnsi"/>
          <w:sz w:val="20"/>
          <w:szCs w:val="20"/>
          <w:u w:color="000000"/>
          <w:lang w:val="es"/>
        </w:rPr>
        <w:t>o</w:t>
      </w:r>
      <w:r w:rsidRPr="00494BB7">
        <w:rPr>
          <w:rFonts w:asciiTheme="majorHAnsi" w:hAnsiTheme="majorHAnsi"/>
          <w:sz w:val="20"/>
          <w:szCs w:val="20"/>
          <w:u w:color="000000"/>
          <w:lang w:val="es"/>
        </w:rPr>
        <w:t xml:space="preserve"> de su</w:t>
      </w:r>
      <w:r w:rsidR="009C0E40">
        <w:rPr>
          <w:rFonts w:asciiTheme="majorHAnsi" w:hAnsiTheme="majorHAnsi"/>
          <w:sz w:val="20"/>
          <w:szCs w:val="20"/>
          <w:u w:color="000000"/>
          <w:lang w:val="es"/>
        </w:rPr>
        <w:t xml:space="preserve">s reclamos </w:t>
      </w:r>
      <w:r w:rsidRPr="00494BB7">
        <w:rPr>
          <w:rFonts w:asciiTheme="majorHAnsi" w:hAnsiTheme="majorHAnsi"/>
          <w:sz w:val="20"/>
          <w:szCs w:val="20"/>
          <w:u w:color="000000"/>
          <w:lang w:val="es"/>
        </w:rPr>
        <w:t xml:space="preserve">derivó en reparaciones. Fundamentalmente, alega que tanto las autoridades estatales como las judiciales le impidieron perfeccionar </w:t>
      </w:r>
      <w:r w:rsidR="00EC5E9C">
        <w:rPr>
          <w:rFonts w:asciiTheme="majorHAnsi" w:hAnsiTheme="majorHAnsi"/>
          <w:sz w:val="20"/>
          <w:szCs w:val="20"/>
          <w:u w:color="000000"/>
          <w:lang w:val="es"/>
        </w:rPr>
        <w:t>su</w:t>
      </w:r>
      <w:r w:rsidRPr="00494BB7">
        <w:rPr>
          <w:rFonts w:asciiTheme="majorHAnsi" w:hAnsiTheme="majorHAnsi"/>
          <w:sz w:val="20"/>
          <w:szCs w:val="20"/>
          <w:u w:color="000000"/>
          <w:lang w:val="es"/>
        </w:rPr>
        <w:t xml:space="preserve"> t</w:t>
      </w:r>
      <w:r w:rsidR="00763CA6">
        <w:rPr>
          <w:rFonts w:asciiTheme="majorHAnsi" w:hAnsiTheme="majorHAnsi"/>
          <w:sz w:val="20"/>
          <w:szCs w:val="20"/>
          <w:u w:color="000000"/>
          <w:lang w:val="es"/>
        </w:rPr>
        <w:t>ítulo</w:t>
      </w:r>
      <w:r w:rsidRPr="00494BB7">
        <w:rPr>
          <w:rFonts w:asciiTheme="majorHAnsi" w:hAnsiTheme="majorHAnsi"/>
          <w:sz w:val="20"/>
          <w:szCs w:val="20"/>
          <w:u w:color="000000"/>
          <w:lang w:val="es"/>
        </w:rPr>
        <w:t xml:space="preserve"> de propiedad. </w:t>
      </w:r>
    </w:p>
    <w:p w14:paraId="4B6319B0" w14:textId="77777777" w:rsidR="00943E42" w:rsidRPr="00494BB7" w:rsidRDefault="00943E42" w:rsidP="00943E42">
      <w:pPr>
        <w:rPr>
          <w:rFonts w:asciiTheme="majorHAnsi" w:hAnsiTheme="majorHAnsi"/>
          <w:sz w:val="20"/>
          <w:szCs w:val="20"/>
          <w:lang w:val="es-ES"/>
        </w:rPr>
      </w:pPr>
    </w:p>
    <w:p w14:paraId="33DD4C4E" w14:textId="18A02C0F" w:rsidR="00943E42" w:rsidRPr="00192CEA" w:rsidRDefault="00943E42" w:rsidP="00943E42">
      <w:pPr>
        <w:ind w:left="720"/>
        <w:rPr>
          <w:rFonts w:asciiTheme="majorHAnsi" w:hAnsiTheme="majorHAnsi"/>
          <w:b/>
          <w:sz w:val="20"/>
          <w:szCs w:val="20"/>
          <w:u w:color="000000"/>
          <w:lang w:val="es-419"/>
        </w:rPr>
      </w:pPr>
      <w:r w:rsidRPr="00494BB7">
        <w:rPr>
          <w:rFonts w:asciiTheme="majorHAnsi" w:hAnsiTheme="majorHAnsi"/>
          <w:b/>
          <w:bCs/>
          <w:sz w:val="20"/>
          <w:szCs w:val="20"/>
          <w:u w:color="000000"/>
          <w:lang w:val="es"/>
        </w:rPr>
        <w:t>Cuestión de hostigamiento e intimidación</w:t>
      </w:r>
    </w:p>
    <w:p w14:paraId="4BC51E3B" w14:textId="77777777" w:rsidR="00943E42" w:rsidRPr="00192CEA" w:rsidRDefault="00943E42" w:rsidP="00943E42">
      <w:pPr>
        <w:rPr>
          <w:rFonts w:asciiTheme="majorHAnsi" w:hAnsiTheme="majorHAnsi"/>
          <w:sz w:val="20"/>
          <w:szCs w:val="20"/>
          <w:lang w:val="es-419"/>
        </w:rPr>
      </w:pPr>
    </w:p>
    <w:p w14:paraId="6425ABBA" w14:textId="254E5748" w:rsidR="00943E42" w:rsidRPr="00494BB7" w:rsidRDefault="00943E42" w:rsidP="00943E42">
      <w:pPr>
        <w:numPr>
          <w:ilvl w:val="0"/>
          <w:numId w:val="103"/>
        </w:numPr>
        <w:jc w:val="both"/>
        <w:rPr>
          <w:rFonts w:asciiTheme="majorHAnsi" w:hAnsiTheme="majorHAnsi"/>
          <w:sz w:val="20"/>
          <w:szCs w:val="20"/>
          <w:u w:color="000000"/>
          <w:lang w:val="es-ES"/>
        </w:rPr>
      </w:pPr>
      <w:r w:rsidRPr="00494BB7">
        <w:rPr>
          <w:rFonts w:asciiTheme="majorHAnsi" w:hAnsiTheme="majorHAnsi"/>
          <w:sz w:val="20"/>
          <w:szCs w:val="20"/>
          <w:u w:color="000000"/>
          <w:lang w:val="es"/>
        </w:rPr>
        <w:t xml:space="preserve">El peticionario también alega que su intento de regularizar </w:t>
      </w:r>
      <w:r w:rsidR="00A75A7D">
        <w:rPr>
          <w:rFonts w:asciiTheme="majorHAnsi" w:hAnsiTheme="majorHAnsi"/>
          <w:sz w:val="20"/>
          <w:szCs w:val="20"/>
          <w:u w:color="000000"/>
          <w:lang w:val="es"/>
        </w:rPr>
        <w:t>su</w:t>
      </w:r>
      <w:r w:rsidRPr="00494BB7">
        <w:rPr>
          <w:rFonts w:asciiTheme="majorHAnsi" w:hAnsiTheme="majorHAnsi"/>
          <w:sz w:val="20"/>
          <w:szCs w:val="20"/>
          <w:u w:color="000000"/>
          <w:lang w:val="es"/>
        </w:rPr>
        <w:t xml:space="preserve"> título de propiedad coincide con una campaña de hostigamiento e intimidación perpetrada por un grupo de personas que se oponía al hecho de que </w:t>
      </w:r>
      <w:r w:rsidR="00A75A7D">
        <w:rPr>
          <w:rFonts w:asciiTheme="majorHAnsi" w:hAnsiTheme="majorHAnsi"/>
          <w:sz w:val="20"/>
          <w:szCs w:val="20"/>
          <w:u w:color="000000"/>
          <w:lang w:val="es"/>
        </w:rPr>
        <w:t>él</w:t>
      </w:r>
      <w:r w:rsidRPr="00494BB7">
        <w:rPr>
          <w:rFonts w:asciiTheme="majorHAnsi" w:hAnsiTheme="majorHAnsi"/>
          <w:sz w:val="20"/>
          <w:szCs w:val="20"/>
          <w:u w:color="000000"/>
          <w:lang w:val="es"/>
        </w:rPr>
        <w:t xml:space="preserve"> obtuviera dich</w:t>
      </w:r>
      <w:r w:rsidR="00763CA6">
        <w:rPr>
          <w:rFonts w:asciiTheme="majorHAnsi" w:hAnsiTheme="majorHAnsi"/>
          <w:sz w:val="20"/>
          <w:szCs w:val="20"/>
          <w:u w:color="000000"/>
          <w:lang w:val="es"/>
        </w:rPr>
        <w:t>o</w:t>
      </w:r>
      <w:r w:rsidRPr="00494BB7">
        <w:rPr>
          <w:rFonts w:asciiTheme="majorHAnsi" w:hAnsiTheme="majorHAnsi"/>
          <w:sz w:val="20"/>
          <w:szCs w:val="20"/>
          <w:u w:color="000000"/>
          <w:lang w:val="es"/>
        </w:rPr>
        <w:t xml:space="preserve"> t</w:t>
      </w:r>
      <w:r w:rsidR="00763CA6">
        <w:rPr>
          <w:rFonts w:asciiTheme="majorHAnsi" w:hAnsiTheme="majorHAnsi"/>
          <w:sz w:val="20"/>
          <w:szCs w:val="20"/>
          <w:u w:color="000000"/>
          <w:lang w:val="es"/>
        </w:rPr>
        <w:t>ítulo</w:t>
      </w:r>
      <w:r w:rsidRPr="00494BB7">
        <w:rPr>
          <w:rFonts w:asciiTheme="majorHAnsi" w:hAnsiTheme="majorHAnsi"/>
          <w:sz w:val="20"/>
          <w:szCs w:val="20"/>
          <w:u w:color="000000"/>
          <w:lang w:val="es"/>
        </w:rPr>
        <w:t xml:space="preserve"> plen</w:t>
      </w:r>
      <w:r w:rsidR="00763CA6">
        <w:rPr>
          <w:rFonts w:asciiTheme="majorHAnsi" w:hAnsiTheme="majorHAnsi"/>
          <w:sz w:val="20"/>
          <w:szCs w:val="20"/>
          <w:u w:color="000000"/>
          <w:lang w:val="es"/>
        </w:rPr>
        <w:t>o</w:t>
      </w:r>
      <w:r w:rsidRPr="00494BB7">
        <w:rPr>
          <w:rFonts w:asciiTheme="majorHAnsi" w:hAnsiTheme="majorHAnsi"/>
          <w:sz w:val="20"/>
          <w:szCs w:val="20"/>
          <w:u w:color="000000"/>
          <w:lang w:val="es"/>
        </w:rPr>
        <w:t xml:space="preserve">, campaña que inició en 2002 o </w:t>
      </w:r>
      <w:r w:rsidR="00A75A7D">
        <w:rPr>
          <w:rFonts w:asciiTheme="majorHAnsi" w:hAnsiTheme="majorHAnsi"/>
          <w:sz w:val="20"/>
          <w:szCs w:val="20"/>
          <w:u w:color="000000"/>
          <w:lang w:val="es"/>
        </w:rPr>
        <w:t>por aquel entonces</w:t>
      </w:r>
      <w:r w:rsidRPr="00494BB7">
        <w:rPr>
          <w:rFonts w:asciiTheme="majorHAnsi" w:hAnsiTheme="majorHAnsi"/>
          <w:sz w:val="20"/>
          <w:szCs w:val="20"/>
          <w:u w:color="000000"/>
          <w:lang w:val="es"/>
        </w:rPr>
        <w:t xml:space="preserve"> y continuó hasta 2006. </w:t>
      </w:r>
      <w:r w:rsidR="00A75A7D">
        <w:rPr>
          <w:rFonts w:asciiTheme="majorHAnsi" w:hAnsiTheme="majorHAnsi"/>
          <w:sz w:val="20"/>
          <w:szCs w:val="20"/>
          <w:u w:color="000000"/>
          <w:lang w:val="es"/>
        </w:rPr>
        <w:t>Sostiene además</w:t>
      </w:r>
      <w:r w:rsidRPr="00494BB7">
        <w:rPr>
          <w:rFonts w:asciiTheme="majorHAnsi" w:hAnsiTheme="majorHAnsi"/>
          <w:sz w:val="20"/>
          <w:szCs w:val="20"/>
          <w:u w:color="000000"/>
          <w:lang w:val="es"/>
        </w:rPr>
        <w:t xml:space="preserve"> que él y sus empleados fueron víctimas de diversos tipos de conducta delictiva, como la destrucción de sistemas de cultivo orgánico y de riego, robo de herramientas y amenazas de muerte. Señala que en enero de 2004 su perro y algunas aves de corral fueron envenados y muertos. </w:t>
      </w:r>
    </w:p>
    <w:p w14:paraId="1439E6CC" w14:textId="77777777" w:rsidR="00943E42" w:rsidRPr="00494BB7" w:rsidRDefault="00943E42" w:rsidP="00943E42">
      <w:pPr>
        <w:rPr>
          <w:rFonts w:asciiTheme="majorHAnsi" w:hAnsiTheme="majorHAnsi"/>
          <w:sz w:val="20"/>
          <w:szCs w:val="20"/>
          <w:lang w:val="es-ES"/>
        </w:rPr>
      </w:pPr>
    </w:p>
    <w:p w14:paraId="0C57ECFD" w14:textId="6A173BBA" w:rsidR="00943E42" w:rsidRPr="00494BB7" w:rsidRDefault="00A75A7D" w:rsidP="00943E42">
      <w:pPr>
        <w:numPr>
          <w:ilvl w:val="0"/>
          <w:numId w:val="103"/>
        </w:numPr>
        <w:jc w:val="both"/>
        <w:rPr>
          <w:rFonts w:asciiTheme="majorHAnsi" w:hAnsiTheme="majorHAnsi"/>
          <w:sz w:val="20"/>
          <w:szCs w:val="20"/>
          <w:u w:color="000000"/>
          <w:lang w:val="es-ES"/>
        </w:rPr>
      </w:pPr>
      <w:r>
        <w:rPr>
          <w:rFonts w:asciiTheme="majorHAnsi" w:hAnsiTheme="majorHAnsi"/>
          <w:sz w:val="20"/>
          <w:szCs w:val="20"/>
          <w:u w:color="000000"/>
          <w:lang w:val="es"/>
        </w:rPr>
        <w:t>Relata</w:t>
      </w:r>
      <w:r w:rsidR="00943E42" w:rsidRPr="00494BB7">
        <w:rPr>
          <w:rFonts w:asciiTheme="majorHAnsi" w:hAnsiTheme="majorHAnsi"/>
          <w:sz w:val="20"/>
          <w:szCs w:val="20"/>
          <w:u w:color="000000"/>
          <w:lang w:val="es"/>
        </w:rPr>
        <w:t xml:space="preserve"> que también fue víctima de hostigamientos por parte de la policía, que lo arrestó en su casa el 16 de enero o el 14 de febrero de 2004 y lo trasladó a una comisaría ubicada a más de 15 kilómetros. Alega que estuvo detenido por 48 horas sin formulación de cargos ni orden judicial </w:t>
      </w:r>
      <w:r w:rsidR="003D1D3C">
        <w:rPr>
          <w:rFonts w:asciiTheme="majorHAnsi" w:hAnsiTheme="majorHAnsi"/>
          <w:sz w:val="20"/>
          <w:szCs w:val="20"/>
          <w:u w:color="000000"/>
          <w:lang w:val="es"/>
        </w:rPr>
        <w:t>y sin permiso para</w:t>
      </w:r>
      <w:r w:rsidR="00943E42" w:rsidRPr="00494BB7">
        <w:rPr>
          <w:rFonts w:asciiTheme="majorHAnsi" w:hAnsiTheme="majorHAnsi"/>
          <w:sz w:val="20"/>
          <w:szCs w:val="20"/>
          <w:u w:color="000000"/>
          <w:lang w:val="es"/>
        </w:rPr>
        <w:t xml:space="preserve"> comunicarse con su abogado. Tras ser liberado, el peticionario se dirigió a su casa; al llegar, descubrió que esta había sido revuelta y asaltada. Estos hechos delictivos se habrían </w:t>
      </w:r>
      <w:r w:rsidR="007A601D">
        <w:rPr>
          <w:rFonts w:asciiTheme="majorHAnsi" w:hAnsiTheme="majorHAnsi"/>
          <w:sz w:val="20"/>
          <w:szCs w:val="20"/>
          <w:u w:color="000000"/>
          <w:lang w:val="es"/>
        </w:rPr>
        <w:t>perpetrado</w:t>
      </w:r>
      <w:r w:rsidR="00943E42" w:rsidRPr="00494BB7">
        <w:rPr>
          <w:rFonts w:asciiTheme="majorHAnsi" w:hAnsiTheme="majorHAnsi"/>
          <w:sz w:val="20"/>
          <w:szCs w:val="20"/>
          <w:u w:color="000000"/>
          <w:lang w:val="es"/>
        </w:rPr>
        <w:t xml:space="preserve"> con el consentimiento de la policía y el aval de algunas autoridades políticas. El peticionario presentó </w:t>
      </w:r>
      <w:r w:rsidR="00A066A6">
        <w:rPr>
          <w:rFonts w:asciiTheme="majorHAnsi" w:hAnsiTheme="majorHAnsi"/>
          <w:sz w:val="20"/>
          <w:szCs w:val="20"/>
          <w:u w:color="000000"/>
          <w:lang w:val="es"/>
        </w:rPr>
        <w:t>denuncias</w:t>
      </w:r>
      <w:r w:rsidR="00943E42" w:rsidRPr="00494BB7">
        <w:rPr>
          <w:rFonts w:asciiTheme="majorHAnsi" w:hAnsiTheme="majorHAnsi"/>
          <w:sz w:val="20"/>
          <w:szCs w:val="20"/>
          <w:u w:color="000000"/>
          <w:lang w:val="es"/>
        </w:rPr>
        <w:t xml:space="preserve"> ante varias autoridades, entre ellas el Juzgado en lo Penal y Correccional de Aimogasta, la Secretaría de Seguridad de La Rioja y el Fiscal de Estado de la Provincia de La Rioja; no obstante, ninguna de estas acciones dio resultado. </w:t>
      </w:r>
      <w:r w:rsidR="00125F09">
        <w:rPr>
          <w:rFonts w:asciiTheme="majorHAnsi" w:hAnsiTheme="majorHAnsi"/>
          <w:sz w:val="20"/>
          <w:szCs w:val="20"/>
          <w:u w:color="000000"/>
          <w:lang w:val="es"/>
        </w:rPr>
        <w:t>El peticionario detalla que</w:t>
      </w:r>
      <w:r w:rsidR="00943E42" w:rsidRPr="00494BB7">
        <w:rPr>
          <w:rFonts w:asciiTheme="majorHAnsi" w:hAnsiTheme="majorHAnsi"/>
          <w:sz w:val="20"/>
          <w:szCs w:val="20"/>
          <w:u w:color="000000"/>
          <w:lang w:val="es"/>
        </w:rPr>
        <w:t xml:space="preserve">, en octubre de 2005 o </w:t>
      </w:r>
      <w:r w:rsidR="00125F09">
        <w:rPr>
          <w:rFonts w:asciiTheme="majorHAnsi" w:hAnsiTheme="majorHAnsi"/>
          <w:sz w:val="20"/>
          <w:szCs w:val="20"/>
          <w:u w:color="000000"/>
          <w:lang w:val="es"/>
        </w:rPr>
        <w:t>por ese entonces</w:t>
      </w:r>
      <w:r w:rsidR="00943E42" w:rsidRPr="00494BB7">
        <w:rPr>
          <w:rFonts w:asciiTheme="majorHAnsi" w:hAnsiTheme="majorHAnsi"/>
          <w:sz w:val="20"/>
          <w:szCs w:val="20"/>
          <w:u w:color="000000"/>
          <w:lang w:val="es"/>
        </w:rPr>
        <w:t>, el Fiscal abrió una causa</w:t>
      </w:r>
      <w:r w:rsidR="00943E42" w:rsidRPr="00494BB7">
        <w:rPr>
          <w:rFonts w:asciiTheme="majorHAnsi" w:hAnsiTheme="majorHAnsi"/>
          <w:sz w:val="20"/>
          <w:szCs w:val="20"/>
          <w:u w:color="000000"/>
          <w:vertAlign w:val="superscript"/>
          <w:lang w:val="es"/>
        </w:rPr>
        <w:footnoteReference w:id="6"/>
      </w:r>
      <w:r w:rsidR="00943E42" w:rsidRPr="00494BB7">
        <w:rPr>
          <w:rFonts w:asciiTheme="majorHAnsi" w:hAnsiTheme="majorHAnsi"/>
          <w:sz w:val="20"/>
          <w:szCs w:val="20"/>
          <w:u w:color="000000"/>
          <w:lang w:val="es"/>
        </w:rPr>
        <w:t xml:space="preserve">, </w:t>
      </w:r>
      <w:r w:rsidR="00125F09">
        <w:rPr>
          <w:rFonts w:asciiTheme="majorHAnsi" w:hAnsiTheme="majorHAnsi"/>
          <w:sz w:val="20"/>
          <w:szCs w:val="20"/>
          <w:u w:color="000000"/>
          <w:lang w:val="es"/>
        </w:rPr>
        <w:t>la</w:t>
      </w:r>
      <w:r w:rsidR="00943E42" w:rsidRPr="00494BB7">
        <w:rPr>
          <w:rFonts w:asciiTheme="majorHAnsi" w:hAnsiTheme="majorHAnsi"/>
          <w:sz w:val="20"/>
          <w:szCs w:val="20"/>
          <w:u w:color="000000"/>
          <w:lang w:val="es"/>
        </w:rPr>
        <w:t xml:space="preserve"> que posteriormente fue archivada sin resolverse. Afirma que ninguna de </w:t>
      </w:r>
      <w:r w:rsidR="00C60664">
        <w:rPr>
          <w:rFonts w:asciiTheme="majorHAnsi" w:hAnsiTheme="majorHAnsi"/>
          <w:sz w:val="20"/>
          <w:szCs w:val="20"/>
          <w:u w:color="000000"/>
          <w:lang w:val="es"/>
        </w:rPr>
        <w:t>dichas</w:t>
      </w:r>
      <w:r w:rsidR="00943E42" w:rsidRPr="00494BB7">
        <w:rPr>
          <w:rFonts w:asciiTheme="majorHAnsi" w:hAnsiTheme="majorHAnsi"/>
          <w:sz w:val="20"/>
          <w:szCs w:val="20"/>
          <w:u w:color="000000"/>
          <w:lang w:val="es"/>
        </w:rPr>
        <w:t xml:space="preserve"> autoridades adoptó ninguna medida concreta para investigar </w:t>
      </w:r>
      <w:r w:rsidR="00C60664">
        <w:rPr>
          <w:rFonts w:asciiTheme="majorHAnsi" w:hAnsiTheme="majorHAnsi"/>
          <w:sz w:val="20"/>
          <w:szCs w:val="20"/>
          <w:u w:color="000000"/>
          <w:lang w:val="es"/>
        </w:rPr>
        <w:t>la</w:t>
      </w:r>
      <w:r w:rsidR="00943E42" w:rsidRPr="00494BB7">
        <w:rPr>
          <w:rFonts w:asciiTheme="majorHAnsi" w:hAnsiTheme="majorHAnsi"/>
          <w:sz w:val="20"/>
          <w:szCs w:val="20"/>
          <w:u w:color="000000"/>
          <w:lang w:val="es"/>
        </w:rPr>
        <w:t xml:space="preserve"> presunta campaña de hostigamiento e intimidación.</w:t>
      </w:r>
    </w:p>
    <w:p w14:paraId="242B6753" w14:textId="77777777" w:rsidR="00943E42" w:rsidRPr="00494BB7" w:rsidRDefault="00943E42" w:rsidP="00943E42">
      <w:pPr>
        <w:ind w:left="720"/>
        <w:rPr>
          <w:rFonts w:asciiTheme="majorHAnsi" w:hAnsiTheme="majorHAnsi"/>
          <w:sz w:val="20"/>
          <w:szCs w:val="20"/>
          <w:u w:color="000000"/>
          <w:lang w:val="es-ES"/>
        </w:rPr>
      </w:pPr>
    </w:p>
    <w:p w14:paraId="3027A495" w14:textId="4C3A7DF9" w:rsidR="00943E42" w:rsidRPr="00494BB7" w:rsidRDefault="00943E42" w:rsidP="00943E42">
      <w:pPr>
        <w:numPr>
          <w:ilvl w:val="0"/>
          <w:numId w:val="103"/>
        </w:numPr>
        <w:jc w:val="both"/>
        <w:rPr>
          <w:rFonts w:asciiTheme="majorHAnsi" w:hAnsiTheme="majorHAnsi"/>
          <w:sz w:val="20"/>
          <w:szCs w:val="20"/>
          <w:u w:color="000000"/>
          <w:lang w:val="es-ES"/>
        </w:rPr>
      </w:pPr>
      <w:r w:rsidRPr="00494BB7">
        <w:rPr>
          <w:rFonts w:asciiTheme="majorHAnsi" w:hAnsiTheme="majorHAnsi"/>
          <w:sz w:val="20"/>
          <w:szCs w:val="20"/>
          <w:u w:color="000000"/>
          <w:lang w:val="es"/>
        </w:rPr>
        <w:t>El peticionario alega que en 2006 decidió abandonar el inmueble en aras de su seguridad personal y que finalmente lo vendió en 2014. Considera que l</w:t>
      </w:r>
      <w:r w:rsidR="00CE5C4A">
        <w:rPr>
          <w:rFonts w:asciiTheme="majorHAnsi" w:hAnsiTheme="majorHAnsi"/>
          <w:sz w:val="20"/>
          <w:szCs w:val="20"/>
          <w:u w:color="000000"/>
          <w:lang w:val="es"/>
        </w:rPr>
        <w:t>a</w:t>
      </w:r>
      <w:r w:rsidRPr="00494BB7">
        <w:rPr>
          <w:rFonts w:asciiTheme="majorHAnsi" w:hAnsiTheme="majorHAnsi"/>
          <w:sz w:val="20"/>
          <w:szCs w:val="20"/>
          <w:u w:color="000000"/>
          <w:lang w:val="es"/>
        </w:rPr>
        <w:t xml:space="preserve"> campaña de </w:t>
      </w:r>
      <w:r w:rsidR="00CE5C4A">
        <w:rPr>
          <w:rFonts w:asciiTheme="majorHAnsi" w:hAnsiTheme="majorHAnsi"/>
          <w:sz w:val="20"/>
          <w:szCs w:val="20"/>
          <w:u w:color="000000"/>
          <w:lang w:val="es"/>
        </w:rPr>
        <w:t xml:space="preserve">hostigamiento e </w:t>
      </w:r>
      <w:r w:rsidRPr="00494BB7">
        <w:rPr>
          <w:rFonts w:asciiTheme="majorHAnsi" w:hAnsiTheme="majorHAnsi"/>
          <w:sz w:val="20"/>
          <w:szCs w:val="20"/>
          <w:u w:color="000000"/>
          <w:lang w:val="es"/>
        </w:rPr>
        <w:t>intimidación—junto con la falta de intervención de las autoridades—no solo lo hicieron temer por su vida</w:t>
      </w:r>
      <w:r w:rsidR="001A6A1B">
        <w:rPr>
          <w:rFonts w:asciiTheme="majorHAnsi" w:hAnsiTheme="majorHAnsi"/>
          <w:sz w:val="20"/>
          <w:szCs w:val="20"/>
          <w:u w:color="000000"/>
          <w:lang w:val="es"/>
        </w:rPr>
        <w:t>,</w:t>
      </w:r>
      <w:r w:rsidRPr="00494BB7">
        <w:rPr>
          <w:rFonts w:asciiTheme="majorHAnsi" w:hAnsiTheme="majorHAnsi"/>
          <w:sz w:val="20"/>
          <w:szCs w:val="20"/>
          <w:u w:color="000000"/>
          <w:lang w:val="es"/>
        </w:rPr>
        <w:t xml:space="preserve"> sino que además </w:t>
      </w:r>
      <w:r w:rsidR="001A6A1B">
        <w:rPr>
          <w:rFonts w:asciiTheme="majorHAnsi" w:hAnsiTheme="majorHAnsi"/>
          <w:sz w:val="20"/>
          <w:szCs w:val="20"/>
          <w:u w:color="000000"/>
          <w:lang w:val="es"/>
        </w:rPr>
        <w:t xml:space="preserve">dieron lugar o </w:t>
      </w:r>
      <w:r w:rsidRPr="00494BB7">
        <w:rPr>
          <w:rFonts w:asciiTheme="majorHAnsi" w:hAnsiTheme="majorHAnsi"/>
          <w:sz w:val="20"/>
          <w:szCs w:val="20"/>
          <w:u w:color="000000"/>
          <w:lang w:val="es"/>
        </w:rPr>
        <w:t>contribuyeron a pérdidas financieras y económicas.</w:t>
      </w:r>
    </w:p>
    <w:p w14:paraId="7BE1C244" w14:textId="77777777" w:rsidR="00943E42" w:rsidRPr="00494BB7" w:rsidRDefault="00943E42" w:rsidP="00943E42">
      <w:pPr>
        <w:ind w:left="720"/>
        <w:rPr>
          <w:rFonts w:asciiTheme="majorHAnsi" w:hAnsiTheme="majorHAnsi"/>
          <w:sz w:val="20"/>
          <w:szCs w:val="20"/>
          <w:u w:color="000000"/>
          <w:lang w:val="es-ES"/>
        </w:rPr>
      </w:pPr>
    </w:p>
    <w:p w14:paraId="1EE69840" w14:textId="0E1135F9" w:rsidR="00943E42" w:rsidRPr="00494BB7" w:rsidRDefault="00943E42" w:rsidP="00943E42">
      <w:pPr>
        <w:numPr>
          <w:ilvl w:val="0"/>
          <w:numId w:val="103"/>
        </w:numPr>
        <w:jc w:val="both"/>
        <w:rPr>
          <w:rFonts w:asciiTheme="majorHAnsi" w:hAnsiTheme="majorHAnsi"/>
          <w:sz w:val="20"/>
          <w:szCs w:val="20"/>
          <w:u w:color="000000"/>
          <w:lang w:val="es-ES"/>
        </w:rPr>
      </w:pPr>
      <w:r w:rsidRPr="00494BB7">
        <w:rPr>
          <w:rFonts w:asciiTheme="majorHAnsi" w:hAnsiTheme="majorHAnsi"/>
          <w:sz w:val="20"/>
          <w:szCs w:val="20"/>
          <w:u w:color="000000"/>
          <w:lang w:val="es"/>
        </w:rPr>
        <w:t xml:space="preserve">El Estado </w:t>
      </w:r>
      <w:r w:rsidR="001633E0">
        <w:rPr>
          <w:rFonts w:asciiTheme="majorHAnsi" w:hAnsiTheme="majorHAnsi"/>
          <w:sz w:val="20"/>
          <w:szCs w:val="20"/>
          <w:u w:color="000000"/>
          <w:lang w:val="es"/>
        </w:rPr>
        <w:t>sostiene</w:t>
      </w:r>
      <w:r w:rsidRPr="00494BB7">
        <w:rPr>
          <w:rFonts w:asciiTheme="majorHAnsi" w:hAnsiTheme="majorHAnsi"/>
          <w:sz w:val="20"/>
          <w:szCs w:val="20"/>
          <w:u w:color="000000"/>
          <w:lang w:val="es"/>
        </w:rPr>
        <w:t xml:space="preserve"> que la petición es inadmisible por las siguientes razones: falta de competencia </w:t>
      </w:r>
      <w:r w:rsidRPr="00494BB7">
        <w:rPr>
          <w:rFonts w:asciiTheme="majorHAnsi" w:hAnsiTheme="majorHAnsi"/>
          <w:i/>
          <w:iCs/>
          <w:sz w:val="20"/>
          <w:szCs w:val="20"/>
          <w:u w:color="000000"/>
          <w:lang w:val="es"/>
        </w:rPr>
        <w:t xml:space="preserve">ratione </w:t>
      </w:r>
      <w:r w:rsidR="00125502">
        <w:rPr>
          <w:rFonts w:asciiTheme="majorHAnsi" w:hAnsiTheme="majorHAnsi"/>
          <w:i/>
          <w:iCs/>
          <w:sz w:val="20"/>
          <w:szCs w:val="20"/>
          <w:u w:color="000000"/>
          <w:lang w:val="es"/>
        </w:rPr>
        <w:t>personae</w:t>
      </w:r>
      <w:r w:rsidRPr="00494BB7">
        <w:rPr>
          <w:rFonts w:asciiTheme="majorHAnsi" w:hAnsiTheme="majorHAnsi"/>
          <w:sz w:val="20"/>
          <w:szCs w:val="20"/>
          <w:u w:color="000000"/>
          <w:lang w:val="es"/>
        </w:rPr>
        <w:t xml:space="preserve"> en cuanto a la cuestión de la adquisición del título del terreno</w:t>
      </w:r>
      <w:r w:rsidR="000051C6">
        <w:rPr>
          <w:rFonts w:asciiTheme="majorHAnsi" w:hAnsiTheme="majorHAnsi"/>
          <w:sz w:val="20"/>
          <w:szCs w:val="20"/>
          <w:u w:color="000000"/>
          <w:lang w:val="es"/>
        </w:rPr>
        <w:t>,</w:t>
      </w:r>
      <w:r w:rsidRPr="00494BB7">
        <w:rPr>
          <w:rFonts w:asciiTheme="majorHAnsi" w:hAnsiTheme="majorHAnsi"/>
          <w:sz w:val="20"/>
          <w:szCs w:val="20"/>
          <w:u w:color="000000"/>
          <w:lang w:val="es"/>
        </w:rPr>
        <w:t xml:space="preserve"> falta de agotamiento de los recursos internos y falta de hechos que caractericen </w:t>
      </w:r>
      <w:r w:rsidRPr="00494BB7">
        <w:rPr>
          <w:rFonts w:asciiTheme="majorHAnsi" w:hAnsiTheme="majorHAnsi"/>
          <w:i/>
          <w:iCs/>
          <w:sz w:val="20"/>
          <w:szCs w:val="20"/>
          <w:u w:color="000000"/>
          <w:lang w:val="es"/>
        </w:rPr>
        <w:t>prima facie</w:t>
      </w:r>
      <w:r w:rsidRPr="00494BB7">
        <w:rPr>
          <w:rFonts w:asciiTheme="majorHAnsi" w:hAnsiTheme="majorHAnsi"/>
          <w:sz w:val="20"/>
          <w:szCs w:val="20"/>
          <w:u w:color="000000"/>
          <w:lang w:val="es"/>
        </w:rPr>
        <w:t xml:space="preserve"> violaciones de la Convención Americana. Argentina además argumenta que cualquier pronunciamiento de la CIDH sobre la presente petición violaría lo que se denomina «fórmula de cuarta instancia».</w:t>
      </w:r>
    </w:p>
    <w:p w14:paraId="0F6B984F" w14:textId="77777777" w:rsidR="00943E42" w:rsidRPr="00494BB7" w:rsidRDefault="00943E42" w:rsidP="00943E42">
      <w:pPr>
        <w:ind w:left="720"/>
        <w:jc w:val="both"/>
        <w:rPr>
          <w:rFonts w:asciiTheme="majorHAnsi" w:hAnsiTheme="majorHAnsi"/>
          <w:sz w:val="20"/>
          <w:szCs w:val="20"/>
          <w:u w:color="000000"/>
          <w:lang w:val="es-ES"/>
        </w:rPr>
      </w:pPr>
    </w:p>
    <w:p w14:paraId="2DBEC5FF" w14:textId="7DA3680C" w:rsidR="00943E42" w:rsidRPr="00494BB7" w:rsidRDefault="00943E42" w:rsidP="00943E42">
      <w:pPr>
        <w:numPr>
          <w:ilvl w:val="0"/>
          <w:numId w:val="103"/>
        </w:numPr>
        <w:jc w:val="both"/>
        <w:rPr>
          <w:rFonts w:asciiTheme="majorHAnsi" w:hAnsiTheme="majorHAnsi"/>
          <w:sz w:val="20"/>
          <w:szCs w:val="20"/>
          <w:u w:color="000000"/>
          <w:lang w:val="es-ES"/>
        </w:rPr>
      </w:pPr>
      <w:r w:rsidRPr="00494BB7">
        <w:rPr>
          <w:rFonts w:asciiTheme="majorHAnsi" w:hAnsiTheme="majorHAnsi"/>
          <w:sz w:val="20"/>
          <w:szCs w:val="20"/>
          <w:u w:color="000000"/>
          <w:lang w:val="es"/>
        </w:rPr>
        <w:t xml:space="preserve">En cuanto a la competencia </w:t>
      </w:r>
      <w:r w:rsidRPr="00494BB7">
        <w:rPr>
          <w:rFonts w:asciiTheme="majorHAnsi" w:hAnsiTheme="majorHAnsi"/>
          <w:i/>
          <w:iCs/>
          <w:sz w:val="20"/>
          <w:szCs w:val="20"/>
          <w:u w:color="000000"/>
          <w:lang w:val="es"/>
        </w:rPr>
        <w:t>ratione personae,</w:t>
      </w:r>
      <w:r w:rsidRPr="00494BB7">
        <w:rPr>
          <w:rFonts w:asciiTheme="majorHAnsi" w:hAnsiTheme="majorHAnsi"/>
          <w:sz w:val="20"/>
          <w:szCs w:val="20"/>
          <w:u w:color="000000"/>
          <w:lang w:val="es"/>
        </w:rPr>
        <w:t xml:space="preserve"> el Estado afirma que la compra del inmueble y los </w:t>
      </w:r>
      <w:r w:rsidR="00413625">
        <w:rPr>
          <w:rFonts w:asciiTheme="majorHAnsi" w:hAnsiTheme="majorHAnsi"/>
          <w:sz w:val="20"/>
          <w:szCs w:val="20"/>
          <w:u w:color="000000"/>
          <w:lang w:val="es"/>
        </w:rPr>
        <w:t>posteriores</w:t>
      </w:r>
      <w:r w:rsidRPr="00494BB7">
        <w:rPr>
          <w:rFonts w:asciiTheme="majorHAnsi" w:hAnsiTheme="majorHAnsi"/>
          <w:sz w:val="20"/>
          <w:szCs w:val="20"/>
          <w:u w:color="000000"/>
          <w:lang w:val="es"/>
        </w:rPr>
        <w:t xml:space="preserve"> procesos judiciales fueron realizados </w:t>
      </w:r>
      <w:r w:rsidR="004F555A">
        <w:rPr>
          <w:rFonts w:asciiTheme="majorHAnsi" w:hAnsiTheme="majorHAnsi"/>
          <w:sz w:val="20"/>
          <w:szCs w:val="20"/>
          <w:u w:color="000000"/>
          <w:lang w:val="es"/>
        </w:rPr>
        <w:t>a</w:t>
      </w:r>
      <w:r w:rsidRPr="00494BB7">
        <w:rPr>
          <w:rFonts w:asciiTheme="majorHAnsi" w:hAnsiTheme="majorHAnsi"/>
          <w:sz w:val="20"/>
          <w:szCs w:val="20"/>
          <w:u w:color="000000"/>
          <w:lang w:val="es"/>
        </w:rPr>
        <w:t xml:space="preserve"> nombre de ASCHA S.A., una </w:t>
      </w:r>
      <w:r w:rsidR="004F555A">
        <w:rPr>
          <w:rFonts w:asciiTheme="majorHAnsi" w:hAnsiTheme="majorHAnsi"/>
          <w:sz w:val="20"/>
          <w:szCs w:val="20"/>
          <w:u w:color="000000"/>
          <w:lang w:val="es"/>
        </w:rPr>
        <w:t>persona</w:t>
      </w:r>
      <w:r w:rsidRPr="00494BB7">
        <w:rPr>
          <w:rFonts w:asciiTheme="majorHAnsi" w:hAnsiTheme="majorHAnsi"/>
          <w:sz w:val="20"/>
          <w:szCs w:val="20"/>
          <w:u w:color="000000"/>
          <w:lang w:val="es"/>
        </w:rPr>
        <w:t xml:space="preserve"> jurídica. En este sentido, el Estado argumenta que la Convención Americana protege a personas </w:t>
      </w:r>
      <w:r w:rsidR="00647B06">
        <w:rPr>
          <w:rFonts w:asciiTheme="majorHAnsi" w:hAnsiTheme="majorHAnsi"/>
          <w:sz w:val="20"/>
          <w:szCs w:val="20"/>
          <w:u w:color="000000"/>
          <w:lang w:val="es"/>
        </w:rPr>
        <w:t xml:space="preserve">naturales </w:t>
      </w:r>
      <w:r w:rsidRPr="00494BB7">
        <w:rPr>
          <w:rFonts w:asciiTheme="majorHAnsi" w:hAnsiTheme="majorHAnsi"/>
          <w:sz w:val="20"/>
          <w:szCs w:val="20"/>
          <w:u w:color="000000"/>
          <w:lang w:val="es"/>
        </w:rPr>
        <w:t xml:space="preserve">y no a </w:t>
      </w:r>
      <w:r w:rsidR="00647B06">
        <w:rPr>
          <w:rFonts w:asciiTheme="majorHAnsi" w:hAnsiTheme="majorHAnsi"/>
          <w:sz w:val="20"/>
          <w:szCs w:val="20"/>
          <w:u w:color="000000"/>
          <w:lang w:val="es"/>
        </w:rPr>
        <w:t>personas</w:t>
      </w:r>
      <w:r w:rsidRPr="00494BB7">
        <w:rPr>
          <w:rFonts w:asciiTheme="majorHAnsi" w:hAnsiTheme="majorHAnsi"/>
          <w:sz w:val="20"/>
          <w:szCs w:val="20"/>
          <w:u w:color="000000"/>
          <w:lang w:val="es"/>
        </w:rPr>
        <w:t xml:space="preserve"> jurídic</w:t>
      </w:r>
      <w:r w:rsidR="00647B06">
        <w:rPr>
          <w:rFonts w:asciiTheme="majorHAnsi" w:hAnsiTheme="majorHAnsi"/>
          <w:sz w:val="20"/>
          <w:szCs w:val="20"/>
          <w:u w:color="000000"/>
          <w:lang w:val="es"/>
        </w:rPr>
        <w:t>a</w:t>
      </w:r>
      <w:r w:rsidRPr="00494BB7">
        <w:rPr>
          <w:rFonts w:asciiTheme="majorHAnsi" w:hAnsiTheme="majorHAnsi"/>
          <w:sz w:val="20"/>
          <w:szCs w:val="20"/>
          <w:u w:color="000000"/>
          <w:lang w:val="es"/>
        </w:rPr>
        <w:t>s y artificiales y que, por lo tanto, la Comisión no es competente para conocer esta petición.</w:t>
      </w:r>
    </w:p>
    <w:p w14:paraId="0ABEA36D" w14:textId="77777777" w:rsidR="00943E42" w:rsidRPr="00494BB7" w:rsidRDefault="00943E42" w:rsidP="00943E42">
      <w:pPr>
        <w:ind w:left="720"/>
        <w:jc w:val="both"/>
        <w:rPr>
          <w:rFonts w:asciiTheme="majorHAnsi" w:hAnsiTheme="majorHAnsi"/>
          <w:sz w:val="20"/>
          <w:szCs w:val="20"/>
          <w:u w:color="000000"/>
          <w:lang w:val="es-ES"/>
        </w:rPr>
      </w:pPr>
    </w:p>
    <w:p w14:paraId="4E9053A1" w14:textId="34B7BEF9" w:rsidR="00943E42" w:rsidRPr="00494BB7" w:rsidRDefault="00943E42" w:rsidP="00943E42">
      <w:pPr>
        <w:numPr>
          <w:ilvl w:val="0"/>
          <w:numId w:val="103"/>
        </w:numPr>
        <w:jc w:val="both"/>
        <w:rPr>
          <w:rFonts w:asciiTheme="majorHAnsi" w:hAnsiTheme="majorHAnsi"/>
          <w:sz w:val="20"/>
          <w:szCs w:val="20"/>
          <w:u w:color="000000"/>
          <w:lang w:val="es-ES"/>
        </w:rPr>
      </w:pPr>
      <w:r w:rsidRPr="00494BB7">
        <w:rPr>
          <w:rFonts w:asciiTheme="majorHAnsi" w:hAnsiTheme="majorHAnsi"/>
          <w:sz w:val="20"/>
          <w:szCs w:val="20"/>
          <w:u w:color="000000"/>
          <w:lang w:val="es"/>
        </w:rPr>
        <w:t xml:space="preserve">En cuanto al agotamiento de los recursos internos referentes a la propiedad, el Estado reafirma que los procesos judiciales fueron iniciados por ASCHA S.A. para proteger derechos no reconocidos por la Convención Americana. </w:t>
      </w:r>
      <w:r w:rsidR="00712401">
        <w:rPr>
          <w:rFonts w:asciiTheme="majorHAnsi" w:hAnsiTheme="majorHAnsi"/>
          <w:sz w:val="20"/>
          <w:szCs w:val="20"/>
          <w:u w:color="000000"/>
          <w:lang w:val="es"/>
        </w:rPr>
        <w:t>A</w:t>
      </w:r>
      <w:r w:rsidRPr="00494BB7">
        <w:rPr>
          <w:rFonts w:asciiTheme="majorHAnsi" w:hAnsiTheme="majorHAnsi"/>
          <w:sz w:val="20"/>
          <w:szCs w:val="20"/>
          <w:u w:color="000000"/>
          <w:lang w:val="es"/>
        </w:rPr>
        <w:t xml:space="preserve">grega que incluso si dichos procesos fueran atribuidos al peticionario, fue </w:t>
      </w:r>
      <w:r w:rsidR="009A1F10">
        <w:rPr>
          <w:rFonts w:asciiTheme="majorHAnsi" w:hAnsiTheme="majorHAnsi"/>
          <w:sz w:val="20"/>
          <w:szCs w:val="20"/>
          <w:u w:color="000000"/>
          <w:lang w:val="es"/>
        </w:rPr>
        <w:t xml:space="preserve">el </w:t>
      </w:r>
      <w:r w:rsidRPr="00494BB7">
        <w:rPr>
          <w:rFonts w:asciiTheme="majorHAnsi" w:hAnsiTheme="majorHAnsi"/>
          <w:sz w:val="20"/>
          <w:szCs w:val="20"/>
          <w:u w:color="000000"/>
          <w:lang w:val="es"/>
        </w:rPr>
        <w:t xml:space="preserve">accionar </w:t>
      </w:r>
      <w:r w:rsidR="009A1F10">
        <w:rPr>
          <w:rFonts w:asciiTheme="majorHAnsi" w:hAnsiTheme="majorHAnsi"/>
          <w:sz w:val="20"/>
          <w:szCs w:val="20"/>
          <w:u w:color="000000"/>
          <w:lang w:val="es"/>
        </w:rPr>
        <w:t xml:space="preserve">del propio peticionario </w:t>
      </w:r>
      <w:r w:rsidRPr="00494BB7">
        <w:rPr>
          <w:rFonts w:asciiTheme="majorHAnsi" w:hAnsiTheme="majorHAnsi"/>
          <w:sz w:val="20"/>
          <w:szCs w:val="20"/>
          <w:u w:color="000000"/>
          <w:lang w:val="es"/>
        </w:rPr>
        <w:t xml:space="preserve">lo que retrasó la resolución de su solicitud para perfeccionar el título de propiedad del terreno. En este sentido, el Estado recuerda la decisión </w:t>
      </w:r>
      <w:r w:rsidR="00797815">
        <w:rPr>
          <w:rFonts w:asciiTheme="majorHAnsi" w:hAnsiTheme="majorHAnsi"/>
          <w:sz w:val="20"/>
          <w:szCs w:val="20"/>
          <w:u w:color="000000"/>
          <w:lang w:val="es"/>
        </w:rPr>
        <w:t>d</w:t>
      </w:r>
      <w:r w:rsidRPr="00494BB7">
        <w:rPr>
          <w:rFonts w:asciiTheme="majorHAnsi" w:hAnsiTheme="majorHAnsi"/>
          <w:sz w:val="20"/>
          <w:szCs w:val="20"/>
          <w:u w:color="000000"/>
          <w:lang w:val="es"/>
        </w:rPr>
        <w:t xml:space="preserve">el Tribunal Superior de Justicia de La Rioja </w:t>
      </w:r>
      <w:r w:rsidR="00797815">
        <w:rPr>
          <w:rFonts w:asciiTheme="majorHAnsi" w:hAnsiTheme="majorHAnsi"/>
          <w:sz w:val="20"/>
          <w:szCs w:val="20"/>
          <w:u w:color="000000"/>
          <w:lang w:val="es"/>
        </w:rPr>
        <w:t>d</w:t>
      </w:r>
      <w:r w:rsidRPr="00494BB7">
        <w:rPr>
          <w:rFonts w:asciiTheme="majorHAnsi" w:hAnsiTheme="majorHAnsi"/>
          <w:sz w:val="20"/>
          <w:szCs w:val="20"/>
          <w:u w:color="000000"/>
          <w:lang w:val="es"/>
        </w:rPr>
        <w:t xml:space="preserve">el 10 de marzo de 2011 </w:t>
      </w:r>
      <w:r w:rsidR="00797815">
        <w:rPr>
          <w:rFonts w:asciiTheme="majorHAnsi" w:hAnsiTheme="majorHAnsi"/>
          <w:sz w:val="20"/>
          <w:szCs w:val="20"/>
          <w:u w:color="000000"/>
          <w:lang w:val="es"/>
        </w:rPr>
        <w:t xml:space="preserve">en la que </w:t>
      </w:r>
      <w:r w:rsidR="00B82E30">
        <w:rPr>
          <w:rFonts w:asciiTheme="majorHAnsi" w:hAnsiTheme="majorHAnsi"/>
          <w:sz w:val="20"/>
          <w:szCs w:val="20"/>
          <w:u w:color="000000"/>
          <w:lang w:val="es"/>
        </w:rPr>
        <w:t xml:space="preserve">se </w:t>
      </w:r>
      <w:r w:rsidR="00797815">
        <w:rPr>
          <w:rFonts w:asciiTheme="majorHAnsi" w:hAnsiTheme="majorHAnsi"/>
          <w:sz w:val="20"/>
          <w:szCs w:val="20"/>
          <w:u w:color="000000"/>
          <w:lang w:val="es"/>
        </w:rPr>
        <w:t>ordena</w:t>
      </w:r>
      <w:r w:rsidRPr="00494BB7">
        <w:rPr>
          <w:rFonts w:asciiTheme="majorHAnsi" w:hAnsiTheme="majorHAnsi"/>
          <w:sz w:val="20"/>
          <w:szCs w:val="20"/>
          <w:u w:color="000000"/>
          <w:lang w:val="es"/>
        </w:rPr>
        <w:t xml:space="preserve"> la continuidad del proceso judicial </w:t>
      </w:r>
      <w:r w:rsidR="00B82E30">
        <w:rPr>
          <w:rFonts w:asciiTheme="majorHAnsi" w:hAnsiTheme="majorHAnsi"/>
          <w:sz w:val="20"/>
          <w:szCs w:val="20"/>
          <w:u w:color="000000"/>
          <w:lang w:val="es"/>
        </w:rPr>
        <w:t>ante la</w:t>
      </w:r>
      <w:r w:rsidRPr="00494BB7">
        <w:rPr>
          <w:rFonts w:asciiTheme="majorHAnsi" w:hAnsiTheme="majorHAnsi"/>
          <w:sz w:val="20"/>
          <w:szCs w:val="20"/>
          <w:u w:color="000000"/>
          <w:lang w:val="es"/>
        </w:rPr>
        <w:t xml:space="preserve"> Cámara de Apelaciones en Materia Civil, Comercial y </w:t>
      </w:r>
      <w:r w:rsidR="00B82E30">
        <w:rPr>
          <w:rFonts w:asciiTheme="majorHAnsi" w:hAnsiTheme="majorHAnsi"/>
          <w:sz w:val="20"/>
          <w:szCs w:val="20"/>
          <w:u w:color="000000"/>
          <w:lang w:val="es"/>
        </w:rPr>
        <w:t xml:space="preserve">de </w:t>
      </w:r>
      <w:r w:rsidRPr="00494BB7">
        <w:rPr>
          <w:rFonts w:asciiTheme="majorHAnsi" w:hAnsiTheme="majorHAnsi"/>
          <w:sz w:val="20"/>
          <w:szCs w:val="20"/>
          <w:u w:color="000000"/>
          <w:lang w:val="es"/>
        </w:rPr>
        <w:t xml:space="preserve">Minería. Alega que durante tres años </w:t>
      </w:r>
      <w:r w:rsidR="00204786">
        <w:rPr>
          <w:rFonts w:asciiTheme="majorHAnsi" w:hAnsiTheme="majorHAnsi"/>
          <w:sz w:val="20"/>
          <w:szCs w:val="20"/>
          <w:u w:color="000000"/>
          <w:lang w:val="es"/>
        </w:rPr>
        <w:t xml:space="preserve">ni </w:t>
      </w:r>
      <w:r w:rsidR="00204786" w:rsidRPr="00494BB7">
        <w:rPr>
          <w:rFonts w:asciiTheme="majorHAnsi" w:hAnsiTheme="majorHAnsi"/>
          <w:sz w:val="20"/>
          <w:szCs w:val="20"/>
          <w:u w:color="000000"/>
          <w:lang w:val="es"/>
        </w:rPr>
        <w:t xml:space="preserve">ASCHA S.A. ni el peticionario </w:t>
      </w:r>
      <w:r w:rsidR="00204786">
        <w:rPr>
          <w:rFonts w:asciiTheme="majorHAnsi" w:hAnsiTheme="majorHAnsi"/>
          <w:sz w:val="20"/>
          <w:szCs w:val="20"/>
          <w:u w:color="000000"/>
          <w:lang w:val="es"/>
        </w:rPr>
        <w:t>ejercieron</w:t>
      </w:r>
      <w:r w:rsidRPr="00494BB7">
        <w:rPr>
          <w:rFonts w:asciiTheme="majorHAnsi" w:hAnsiTheme="majorHAnsi"/>
          <w:sz w:val="20"/>
          <w:szCs w:val="20"/>
          <w:u w:color="000000"/>
          <w:lang w:val="es"/>
        </w:rPr>
        <w:t xml:space="preserve"> actividad procesal</w:t>
      </w:r>
      <w:r w:rsidR="00204786">
        <w:rPr>
          <w:rFonts w:asciiTheme="majorHAnsi" w:hAnsiTheme="majorHAnsi"/>
          <w:sz w:val="20"/>
          <w:szCs w:val="20"/>
          <w:u w:color="000000"/>
          <w:lang w:val="es"/>
        </w:rPr>
        <w:t xml:space="preserve"> </w:t>
      </w:r>
      <w:r w:rsidR="00B82E30">
        <w:rPr>
          <w:rFonts w:asciiTheme="majorHAnsi" w:hAnsiTheme="majorHAnsi"/>
          <w:sz w:val="20"/>
          <w:szCs w:val="20"/>
          <w:u w:color="000000"/>
          <w:lang w:val="es"/>
        </w:rPr>
        <w:t>para impulsar la causa a</w:t>
      </w:r>
      <w:r w:rsidRPr="00494BB7">
        <w:rPr>
          <w:rFonts w:asciiTheme="majorHAnsi" w:hAnsiTheme="majorHAnsi"/>
          <w:sz w:val="20"/>
          <w:szCs w:val="20"/>
          <w:u w:color="000000"/>
          <w:lang w:val="es"/>
        </w:rPr>
        <w:t>n</w:t>
      </w:r>
      <w:r w:rsidR="00B82E30">
        <w:rPr>
          <w:rFonts w:asciiTheme="majorHAnsi" w:hAnsiTheme="majorHAnsi"/>
          <w:sz w:val="20"/>
          <w:szCs w:val="20"/>
          <w:u w:color="000000"/>
          <w:lang w:val="es"/>
        </w:rPr>
        <w:t>te</w:t>
      </w:r>
      <w:r w:rsidRPr="00494BB7">
        <w:rPr>
          <w:rFonts w:asciiTheme="majorHAnsi" w:hAnsiTheme="majorHAnsi"/>
          <w:sz w:val="20"/>
          <w:szCs w:val="20"/>
          <w:u w:color="000000"/>
          <w:lang w:val="es"/>
        </w:rPr>
        <w:t xml:space="preserve"> la Cámara de Apelaciones y que esto </w:t>
      </w:r>
      <w:r w:rsidR="001369C1">
        <w:rPr>
          <w:rFonts w:asciiTheme="majorHAnsi" w:hAnsiTheme="majorHAnsi"/>
          <w:sz w:val="20"/>
          <w:szCs w:val="20"/>
          <w:u w:color="000000"/>
          <w:lang w:val="es"/>
        </w:rPr>
        <w:t>ocasionó</w:t>
      </w:r>
      <w:r w:rsidRPr="00494BB7">
        <w:rPr>
          <w:rFonts w:asciiTheme="majorHAnsi" w:hAnsiTheme="majorHAnsi"/>
          <w:sz w:val="20"/>
          <w:szCs w:val="20"/>
          <w:u w:color="000000"/>
          <w:lang w:val="es"/>
        </w:rPr>
        <w:t xml:space="preserve"> que dos de las partes contrarias solicitaran la desestimación del asunto por extinción del plazo (recurso de caducidad). Dicha solicitud fue confirmada por la Cámara de Apelaciones con el consentimiento de ASCHA S.A.</w:t>
      </w:r>
      <w:r w:rsidR="00B82E30">
        <w:rPr>
          <w:rFonts w:asciiTheme="majorHAnsi" w:hAnsiTheme="majorHAnsi"/>
          <w:sz w:val="20"/>
          <w:szCs w:val="20"/>
          <w:u w:color="000000"/>
          <w:lang w:val="es"/>
        </w:rPr>
        <w:t xml:space="preserve"> E</w:t>
      </w:r>
      <w:r w:rsidRPr="00494BB7">
        <w:rPr>
          <w:rFonts w:asciiTheme="majorHAnsi" w:hAnsiTheme="majorHAnsi"/>
          <w:sz w:val="20"/>
          <w:szCs w:val="20"/>
          <w:u w:color="000000"/>
          <w:lang w:val="es"/>
        </w:rPr>
        <w:t xml:space="preserve">l Estado </w:t>
      </w:r>
      <w:r w:rsidR="00B82E30">
        <w:rPr>
          <w:rFonts w:asciiTheme="majorHAnsi" w:hAnsiTheme="majorHAnsi"/>
          <w:sz w:val="20"/>
          <w:szCs w:val="20"/>
          <w:u w:color="000000"/>
          <w:lang w:val="es"/>
        </w:rPr>
        <w:t xml:space="preserve">también </w:t>
      </w:r>
      <w:r w:rsidRPr="00494BB7">
        <w:rPr>
          <w:rFonts w:asciiTheme="majorHAnsi" w:hAnsiTheme="majorHAnsi"/>
          <w:sz w:val="20"/>
          <w:szCs w:val="20"/>
          <w:u w:color="000000"/>
          <w:lang w:val="es"/>
        </w:rPr>
        <w:t xml:space="preserve">sostiene que </w:t>
      </w:r>
      <w:r w:rsidR="008F5938">
        <w:rPr>
          <w:rFonts w:asciiTheme="majorHAnsi" w:hAnsiTheme="majorHAnsi"/>
          <w:sz w:val="20"/>
          <w:szCs w:val="20"/>
          <w:u w:color="000000"/>
          <w:lang w:val="es"/>
        </w:rPr>
        <w:t>luego de</w:t>
      </w:r>
      <w:r w:rsidRPr="00494BB7">
        <w:rPr>
          <w:rFonts w:asciiTheme="majorHAnsi" w:hAnsiTheme="majorHAnsi"/>
          <w:sz w:val="20"/>
          <w:szCs w:val="20"/>
          <w:u w:color="000000"/>
          <w:lang w:val="es"/>
        </w:rPr>
        <w:t xml:space="preserve"> la desestimación de la solicitud de recurso extraordinario federal presentada por el peticionario, tanto este último como ASCHA S.A. tuvieron la posibilidad de apelar directamente ante la Corte Suprema nacional, lo cual no se hizo.</w:t>
      </w:r>
    </w:p>
    <w:p w14:paraId="11E528D3" w14:textId="77777777" w:rsidR="00943E42" w:rsidRPr="00494BB7" w:rsidRDefault="00943E42" w:rsidP="00943E42">
      <w:pPr>
        <w:jc w:val="both"/>
        <w:rPr>
          <w:rFonts w:asciiTheme="majorHAnsi" w:hAnsiTheme="majorHAnsi"/>
          <w:sz w:val="20"/>
          <w:szCs w:val="20"/>
          <w:lang w:val="es-ES"/>
        </w:rPr>
      </w:pPr>
    </w:p>
    <w:p w14:paraId="1F5BD842" w14:textId="41241872" w:rsidR="00943E42" w:rsidRPr="00494BB7" w:rsidRDefault="00943E42" w:rsidP="00943E42">
      <w:pPr>
        <w:numPr>
          <w:ilvl w:val="0"/>
          <w:numId w:val="103"/>
        </w:numPr>
        <w:jc w:val="both"/>
        <w:rPr>
          <w:rFonts w:asciiTheme="majorHAnsi" w:hAnsiTheme="majorHAnsi"/>
          <w:sz w:val="20"/>
          <w:szCs w:val="20"/>
          <w:u w:color="000000"/>
          <w:lang w:val="es-ES"/>
        </w:rPr>
      </w:pPr>
      <w:r w:rsidRPr="00494BB7">
        <w:rPr>
          <w:rFonts w:asciiTheme="majorHAnsi" w:hAnsiTheme="majorHAnsi"/>
          <w:sz w:val="20"/>
          <w:szCs w:val="20"/>
          <w:u w:color="000000"/>
          <w:lang w:val="es"/>
        </w:rPr>
        <w:t xml:space="preserve">En cuanto a la presunta campaña de hostigamiento e intimidación, incluido el arresto y detención del peticionario, el Estado sostiene en general que la parte peticionaria no </w:t>
      </w:r>
      <w:r w:rsidR="00112D61">
        <w:rPr>
          <w:rFonts w:asciiTheme="majorHAnsi" w:hAnsiTheme="majorHAnsi"/>
          <w:sz w:val="20"/>
          <w:szCs w:val="20"/>
          <w:u w:color="000000"/>
          <w:lang w:val="es"/>
        </w:rPr>
        <w:t xml:space="preserve">ha </w:t>
      </w:r>
      <w:r w:rsidRPr="00494BB7">
        <w:rPr>
          <w:rFonts w:asciiTheme="majorHAnsi" w:hAnsiTheme="majorHAnsi"/>
          <w:sz w:val="20"/>
          <w:szCs w:val="20"/>
          <w:u w:color="000000"/>
          <w:lang w:val="es"/>
        </w:rPr>
        <w:t>aporta</w:t>
      </w:r>
      <w:r w:rsidR="00112D61">
        <w:rPr>
          <w:rFonts w:asciiTheme="majorHAnsi" w:hAnsiTheme="majorHAnsi"/>
          <w:sz w:val="20"/>
          <w:szCs w:val="20"/>
          <w:u w:color="000000"/>
          <w:lang w:val="es"/>
        </w:rPr>
        <w:t>do</w:t>
      </w:r>
      <w:r w:rsidRPr="00494BB7">
        <w:rPr>
          <w:rFonts w:asciiTheme="majorHAnsi" w:hAnsiTheme="majorHAnsi"/>
          <w:sz w:val="20"/>
          <w:szCs w:val="20"/>
          <w:u w:color="000000"/>
          <w:lang w:val="es"/>
        </w:rPr>
        <w:t xml:space="preserve"> pruebas que avalen su afirmación de que </w:t>
      </w:r>
      <w:r w:rsidR="00112D61">
        <w:rPr>
          <w:rFonts w:asciiTheme="majorHAnsi" w:hAnsiTheme="majorHAnsi"/>
          <w:sz w:val="20"/>
          <w:szCs w:val="20"/>
          <w:u w:color="000000"/>
          <w:lang w:val="es"/>
        </w:rPr>
        <w:t>presentó denuncias ante</w:t>
      </w:r>
      <w:r w:rsidRPr="00494BB7">
        <w:rPr>
          <w:rFonts w:asciiTheme="majorHAnsi" w:hAnsiTheme="majorHAnsi"/>
          <w:sz w:val="20"/>
          <w:szCs w:val="20"/>
          <w:u w:color="000000"/>
          <w:lang w:val="es"/>
        </w:rPr>
        <w:t xml:space="preserve"> varias autoridades. Con respecto al presunto arresto y detención del peticionario, el Estado sostiene que el peticionario no aporta ning</w:t>
      </w:r>
      <w:r w:rsidR="00112D61">
        <w:rPr>
          <w:rFonts w:asciiTheme="majorHAnsi" w:hAnsiTheme="majorHAnsi"/>
          <w:sz w:val="20"/>
          <w:szCs w:val="20"/>
          <w:u w:color="000000"/>
          <w:lang w:val="es"/>
        </w:rPr>
        <w:t>una</w:t>
      </w:r>
      <w:r w:rsidRPr="00494BB7">
        <w:rPr>
          <w:rFonts w:asciiTheme="majorHAnsi" w:hAnsiTheme="majorHAnsi"/>
          <w:sz w:val="20"/>
          <w:szCs w:val="20"/>
          <w:u w:color="000000"/>
          <w:lang w:val="es"/>
        </w:rPr>
        <w:t xml:space="preserve"> </w:t>
      </w:r>
      <w:r w:rsidR="00112D61">
        <w:rPr>
          <w:rFonts w:asciiTheme="majorHAnsi" w:hAnsiTheme="majorHAnsi"/>
          <w:sz w:val="20"/>
          <w:szCs w:val="20"/>
          <w:u w:color="000000"/>
          <w:lang w:val="es"/>
        </w:rPr>
        <w:t>constancia</w:t>
      </w:r>
      <w:r w:rsidRPr="00494BB7">
        <w:rPr>
          <w:rFonts w:asciiTheme="majorHAnsi" w:hAnsiTheme="majorHAnsi"/>
          <w:sz w:val="20"/>
          <w:szCs w:val="20"/>
          <w:u w:color="000000"/>
          <w:lang w:val="es"/>
        </w:rPr>
        <w:t xml:space="preserve"> de</w:t>
      </w:r>
      <w:r w:rsidR="00112D61">
        <w:rPr>
          <w:rFonts w:asciiTheme="majorHAnsi" w:hAnsiTheme="majorHAnsi"/>
          <w:sz w:val="20"/>
          <w:szCs w:val="20"/>
          <w:u w:color="000000"/>
          <w:lang w:val="es"/>
        </w:rPr>
        <w:t xml:space="preserve"> su</w:t>
      </w:r>
      <w:r w:rsidRPr="00494BB7">
        <w:rPr>
          <w:rFonts w:asciiTheme="majorHAnsi" w:hAnsiTheme="majorHAnsi"/>
          <w:sz w:val="20"/>
          <w:szCs w:val="20"/>
          <w:u w:color="000000"/>
          <w:lang w:val="es"/>
        </w:rPr>
        <w:t xml:space="preserve"> denuncia ante el Juzgado en lo Penal y Correccional de Aimogasta ni ningún dato sobre el estado de las investigaciones. En cuanto a</w:t>
      </w:r>
      <w:r w:rsidR="00112D61">
        <w:rPr>
          <w:rFonts w:asciiTheme="majorHAnsi" w:hAnsiTheme="majorHAnsi"/>
          <w:sz w:val="20"/>
          <w:szCs w:val="20"/>
          <w:u w:color="000000"/>
          <w:lang w:val="es"/>
        </w:rPr>
        <w:t xml:space="preserve"> la denuncia </w:t>
      </w:r>
      <w:r w:rsidRPr="00494BB7">
        <w:rPr>
          <w:rFonts w:asciiTheme="majorHAnsi" w:hAnsiTheme="majorHAnsi"/>
          <w:sz w:val="20"/>
          <w:szCs w:val="20"/>
          <w:u w:color="000000"/>
          <w:lang w:val="es"/>
        </w:rPr>
        <w:t>ante la fiscalía, el Estado sostiene que en el expediente no obra documentación probatoria ni prueba</w:t>
      </w:r>
      <w:r w:rsidR="00420D33">
        <w:rPr>
          <w:rFonts w:asciiTheme="majorHAnsi" w:hAnsiTheme="majorHAnsi"/>
          <w:sz w:val="20"/>
          <w:szCs w:val="20"/>
          <w:u w:color="000000"/>
          <w:lang w:val="es"/>
        </w:rPr>
        <w:t>s</w:t>
      </w:r>
      <w:r w:rsidRPr="00494BB7">
        <w:rPr>
          <w:rFonts w:asciiTheme="majorHAnsi" w:hAnsiTheme="majorHAnsi"/>
          <w:sz w:val="20"/>
          <w:szCs w:val="20"/>
          <w:u w:color="000000"/>
          <w:lang w:val="es"/>
        </w:rPr>
        <w:t xml:space="preserve"> de que el peticionario haya agotado algún recurso interno. Por último, en relación con el presunto arresto y detención del peticionario, el Estado argumenta que el peticionario no interpuso ni agotó el recurso de </w:t>
      </w:r>
      <w:r w:rsidRPr="00494BB7">
        <w:rPr>
          <w:rFonts w:asciiTheme="majorHAnsi" w:hAnsiTheme="majorHAnsi"/>
          <w:i/>
          <w:iCs/>
          <w:sz w:val="20"/>
          <w:szCs w:val="20"/>
          <w:u w:color="000000"/>
          <w:lang w:val="es"/>
        </w:rPr>
        <w:t>habeas corpus</w:t>
      </w:r>
      <w:r w:rsidRPr="00494BB7">
        <w:rPr>
          <w:rFonts w:asciiTheme="majorHAnsi" w:hAnsiTheme="majorHAnsi"/>
          <w:sz w:val="20"/>
          <w:szCs w:val="20"/>
          <w:u w:color="000000"/>
          <w:lang w:val="es"/>
        </w:rPr>
        <w:t>.</w:t>
      </w:r>
    </w:p>
    <w:p w14:paraId="63BBD684" w14:textId="77777777" w:rsidR="00943E42" w:rsidRPr="00192CEA" w:rsidRDefault="00943E42" w:rsidP="00192CEA">
      <w:pPr>
        <w:spacing w:before="240" w:after="240"/>
        <w:ind w:firstLine="720"/>
        <w:jc w:val="both"/>
        <w:rPr>
          <w:rFonts w:asciiTheme="majorHAnsi" w:hAnsiTheme="majorHAnsi"/>
          <w:b/>
          <w:bCs/>
          <w:sz w:val="20"/>
          <w:szCs w:val="20"/>
          <w:lang w:val="es-ES"/>
        </w:rPr>
      </w:pPr>
      <w:r w:rsidRPr="00192CEA">
        <w:rPr>
          <w:rFonts w:asciiTheme="majorHAnsi" w:hAnsiTheme="majorHAnsi"/>
          <w:b/>
          <w:bCs/>
          <w:sz w:val="20"/>
          <w:szCs w:val="20"/>
          <w:lang w:val="es-ES"/>
        </w:rPr>
        <w:lastRenderedPageBreak/>
        <w:t>VI.</w:t>
      </w:r>
      <w:r w:rsidRPr="00192CEA">
        <w:rPr>
          <w:rFonts w:asciiTheme="majorHAnsi" w:hAnsiTheme="majorHAnsi"/>
          <w:b/>
          <w:bCs/>
          <w:sz w:val="20"/>
          <w:szCs w:val="20"/>
          <w:lang w:val="es-ES"/>
        </w:rPr>
        <w:tab/>
        <w:t>ANÁLISIS DE AGOTAMIENTO DE LOS RECURSOS INTERNOS Y PLAZO DE PRESENTACIÓN</w:t>
      </w:r>
    </w:p>
    <w:p w14:paraId="75FFA269" w14:textId="7E18A16B" w:rsidR="00943E42" w:rsidRPr="00494BB7" w:rsidRDefault="00943E42" w:rsidP="00943E42">
      <w:pPr>
        <w:numPr>
          <w:ilvl w:val="0"/>
          <w:numId w:val="103"/>
        </w:numPr>
        <w:jc w:val="both"/>
        <w:rPr>
          <w:rFonts w:asciiTheme="majorHAnsi" w:hAnsiTheme="majorHAnsi"/>
          <w:sz w:val="20"/>
          <w:szCs w:val="20"/>
          <w:u w:color="000000"/>
          <w:lang w:val="es-ES"/>
        </w:rPr>
      </w:pPr>
      <w:r w:rsidRPr="00494BB7">
        <w:rPr>
          <w:rFonts w:asciiTheme="majorHAnsi" w:hAnsiTheme="majorHAnsi"/>
          <w:sz w:val="20"/>
          <w:szCs w:val="20"/>
          <w:u w:color="000000"/>
          <w:lang w:val="es"/>
        </w:rPr>
        <w:t xml:space="preserve">Para analizar la cuestión de los recursos internos, la Comisión propone abordar los reclamos del peticionario por separado. </w:t>
      </w:r>
      <w:r w:rsidR="003073AD">
        <w:rPr>
          <w:rFonts w:asciiTheme="majorHAnsi" w:hAnsiTheme="majorHAnsi"/>
          <w:sz w:val="20"/>
          <w:szCs w:val="20"/>
          <w:u w:color="000000"/>
          <w:lang w:val="es"/>
        </w:rPr>
        <w:t>Primeramente, a</w:t>
      </w:r>
      <w:r w:rsidRPr="00494BB7">
        <w:rPr>
          <w:rFonts w:asciiTheme="majorHAnsi" w:hAnsiTheme="majorHAnsi"/>
          <w:sz w:val="20"/>
          <w:szCs w:val="20"/>
          <w:u w:color="000000"/>
          <w:lang w:val="es"/>
        </w:rPr>
        <w:t xml:space="preserve">bordará la </w:t>
      </w:r>
      <w:r w:rsidR="003073AD">
        <w:rPr>
          <w:rFonts w:asciiTheme="majorHAnsi" w:hAnsiTheme="majorHAnsi"/>
          <w:sz w:val="20"/>
          <w:szCs w:val="20"/>
          <w:u w:color="000000"/>
          <w:lang w:val="es"/>
        </w:rPr>
        <w:t>supues</w:t>
      </w:r>
      <w:r w:rsidRPr="00494BB7">
        <w:rPr>
          <w:rFonts w:asciiTheme="majorHAnsi" w:hAnsiTheme="majorHAnsi"/>
          <w:sz w:val="20"/>
          <w:szCs w:val="20"/>
          <w:u w:color="000000"/>
          <w:lang w:val="es"/>
        </w:rPr>
        <w:t xml:space="preserve">ta falta del Estado de emitir el título </w:t>
      </w:r>
      <w:r w:rsidR="003073AD">
        <w:rPr>
          <w:rFonts w:asciiTheme="majorHAnsi" w:hAnsiTheme="majorHAnsi"/>
          <w:sz w:val="20"/>
          <w:szCs w:val="20"/>
          <w:u w:color="000000"/>
          <w:lang w:val="es"/>
        </w:rPr>
        <w:t>pleno</w:t>
      </w:r>
      <w:r w:rsidRPr="00494BB7">
        <w:rPr>
          <w:rFonts w:asciiTheme="majorHAnsi" w:hAnsiTheme="majorHAnsi"/>
          <w:sz w:val="20"/>
          <w:szCs w:val="20"/>
          <w:u w:color="000000"/>
          <w:lang w:val="es"/>
        </w:rPr>
        <w:t xml:space="preserve"> </w:t>
      </w:r>
      <w:r w:rsidR="003073AD">
        <w:rPr>
          <w:rFonts w:asciiTheme="majorHAnsi" w:hAnsiTheme="majorHAnsi"/>
          <w:sz w:val="20"/>
          <w:szCs w:val="20"/>
          <w:u w:color="000000"/>
          <w:lang w:val="es"/>
        </w:rPr>
        <w:t>de</w:t>
      </w:r>
      <w:r w:rsidRPr="00494BB7">
        <w:rPr>
          <w:rFonts w:asciiTheme="majorHAnsi" w:hAnsiTheme="majorHAnsi"/>
          <w:sz w:val="20"/>
          <w:szCs w:val="20"/>
          <w:u w:color="000000"/>
          <w:lang w:val="es"/>
        </w:rPr>
        <w:t xml:space="preserve"> la propiedad y, en general, de </w:t>
      </w:r>
      <w:r w:rsidR="00763AE4">
        <w:rPr>
          <w:rFonts w:asciiTheme="majorHAnsi" w:hAnsiTheme="majorHAnsi"/>
          <w:sz w:val="20"/>
          <w:szCs w:val="20"/>
          <w:u w:color="000000"/>
          <w:lang w:val="es"/>
        </w:rPr>
        <w:t>garantizar el</w:t>
      </w:r>
      <w:r w:rsidRPr="00494BB7">
        <w:rPr>
          <w:rFonts w:asciiTheme="majorHAnsi" w:hAnsiTheme="majorHAnsi"/>
          <w:sz w:val="20"/>
          <w:szCs w:val="20"/>
          <w:u w:color="000000"/>
          <w:lang w:val="es"/>
        </w:rPr>
        <w:t xml:space="preserve"> debido proceso al peticionario; </w:t>
      </w:r>
      <w:r w:rsidR="003073AD">
        <w:rPr>
          <w:rFonts w:asciiTheme="majorHAnsi" w:hAnsiTheme="majorHAnsi"/>
          <w:sz w:val="20"/>
          <w:szCs w:val="20"/>
          <w:u w:color="000000"/>
          <w:lang w:val="es"/>
        </w:rPr>
        <w:t>seguidamente</w:t>
      </w:r>
      <w:r w:rsidRPr="00494BB7">
        <w:rPr>
          <w:rFonts w:asciiTheme="majorHAnsi" w:hAnsiTheme="majorHAnsi"/>
          <w:sz w:val="20"/>
          <w:szCs w:val="20"/>
          <w:u w:color="000000"/>
          <w:lang w:val="es"/>
        </w:rPr>
        <w:t xml:space="preserve">, la presunta falta del Estado de intervenir o de investigar la </w:t>
      </w:r>
      <w:r w:rsidR="00763AE4">
        <w:rPr>
          <w:rFonts w:asciiTheme="majorHAnsi" w:hAnsiTheme="majorHAnsi"/>
          <w:sz w:val="20"/>
          <w:szCs w:val="20"/>
          <w:u w:color="000000"/>
          <w:lang w:val="es"/>
        </w:rPr>
        <w:t>supues</w:t>
      </w:r>
      <w:r w:rsidRPr="00494BB7">
        <w:rPr>
          <w:rFonts w:asciiTheme="majorHAnsi" w:hAnsiTheme="majorHAnsi"/>
          <w:sz w:val="20"/>
          <w:szCs w:val="20"/>
          <w:u w:color="000000"/>
          <w:lang w:val="es"/>
        </w:rPr>
        <w:t>ta campaña de hostigamiento e intimidación en contra del peticionario.</w:t>
      </w:r>
    </w:p>
    <w:p w14:paraId="6B0698E4" w14:textId="77777777" w:rsidR="00943E42" w:rsidRPr="00494BB7" w:rsidRDefault="00943E42" w:rsidP="00943E42">
      <w:pPr>
        <w:ind w:left="720"/>
        <w:jc w:val="both"/>
        <w:rPr>
          <w:rFonts w:asciiTheme="majorHAnsi" w:hAnsiTheme="majorHAnsi"/>
          <w:sz w:val="20"/>
          <w:szCs w:val="20"/>
          <w:u w:color="000000"/>
          <w:lang w:val="es-ES"/>
        </w:rPr>
      </w:pPr>
    </w:p>
    <w:p w14:paraId="772461AE" w14:textId="73B1317C" w:rsidR="00943E42" w:rsidRPr="00494BB7" w:rsidRDefault="00943E42" w:rsidP="00943E42">
      <w:pPr>
        <w:numPr>
          <w:ilvl w:val="0"/>
          <w:numId w:val="103"/>
        </w:numPr>
        <w:jc w:val="both"/>
        <w:rPr>
          <w:rFonts w:asciiTheme="majorHAnsi" w:hAnsiTheme="majorHAnsi"/>
          <w:sz w:val="20"/>
          <w:szCs w:val="20"/>
          <w:u w:color="000000"/>
          <w:lang w:val="es-ES"/>
        </w:rPr>
      </w:pPr>
      <w:r w:rsidRPr="00494BB7">
        <w:rPr>
          <w:rFonts w:asciiTheme="majorHAnsi" w:hAnsiTheme="majorHAnsi"/>
          <w:sz w:val="20"/>
          <w:szCs w:val="20"/>
          <w:u w:color="000000"/>
          <w:lang w:val="es"/>
        </w:rPr>
        <w:t xml:space="preserve">Con relación al primer reclamo, la CIDH debe comenzar por considerar la aseveración del Estado de que este órgano carece de competencia </w:t>
      </w:r>
      <w:r w:rsidRPr="00494BB7">
        <w:rPr>
          <w:rFonts w:asciiTheme="majorHAnsi" w:hAnsiTheme="majorHAnsi"/>
          <w:i/>
          <w:iCs/>
          <w:sz w:val="20"/>
          <w:szCs w:val="20"/>
          <w:u w:color="000000"/>
          <w:lang w:val="es"/>
        </w:rPr>
        <w:t>ratione personae</w:t>
      </w:r>
      <w:r w:rsidRPr="00494BB7">
        <w:rPr>
          <w:rFonts w:asciiTheme="majorHAnsi" w:hAnsiTheme="majorHAnsi"/>
          <w:sz w:val="20"/>
          <w:szCs w:val="20"/>
          <w:u w:color="000000"/>
          <w:lang w:val="es"/>
        </w:rPr>
        <w:t xml:space="preserve">. El peticionario no niega que la compra del inmueble y los </w:t>
      </w:r>
      <w:r w:rsidR="003864E7">
        <w:rPr>
          <w:rFonts w:asciiTheme="majorHAnsi" w:hAnsiTheme="majorHAnsi"/>
          <w:sz w:val="20"/>
          <w:szCs w:val="20"/>
          <w:u w:color="000000"/>
          <w:lang w:val="es"/>
        </w:rPr>
        <w:t>posteriores</w:t>
      </w:r>
      <w:r w:rsidRPr="00494BB7">
        <w:rPr>
          <w:rFonts w:asciiTheme="majorHAnsi" w:hAnsiTheme="majorHAnsi"/>
          <w:sz w:val="20"/>
          <w:szCs w:val="20"/>
          <w:u w:color="000000"/>
          <w:lang w:val="es"/>
        </w:rPr>
        <w:t xml:space="preserve"> procesos judiciales fueron realizados </w:t>
      </w:r>
      <w:r w:rsidR="003864E7">
        <w:rPr>
          <w:rFonts w:asciiTheme="majorHAnsi" w:hAnsiTheme="majorHAnsi"/>
          <w:sz w:val="20"/>
          <w:szCs w:val="20"/>
          <w:u w:color="000000"/>
          <w:lang w:val="es"/>
        </w:rPr>
        <w:t>a</w:t>
      </w:r>
      <w:r w:rsidRPr="00494BB7">
        <w:rPr>
          <w:rFonts w:asciiTheme="majorHAnsi" w:hAnsiTheme="majorHAnsi"/>
          <w:sz w:val="20"/>
          <w:szCs w:val="20"/>
          <w:u w:color="000000"/>
          <w:lang w:val="es"/>
        </w:rPr>
        <w:t xml:space="preserve"> nombre de ASCHA S.A., una </w:t>
      </w:r>
      <w:r w:rsidR="005E37A9">
        <w:rPr>
          <w:rFonts w:asciiTheme="majorHAnsi" w:hAnsiTheme="majorHAnsi"/>
          <w:sz w:val="20"/>
          <w:szCs w:val="20"/>
          <w:u w:color="000000"/>
          <w:lang w:val="es"/>
        </w:rPr>
        <w:t>persona</w:t>
      </w:r>
      <w:r w:rsidRPr="00494BB7">
        <w:rPr>
          <w:rFonts w:asciiTheme="majorHAnsi" w:hAnsiTheme="majorHAnsi"/>
          <w:sz w:val="20"/>
          <w:szCs w:val="20"/>
          <w:u w:color="000000"/>
          <w:lang w:val="es"/>
        </w:rPr>
        <w:t xml:space="preserve"> jurídica. No obstante, el peticionario argumenta que dicha empresa fue simplemente un medio para ejercer y proteger derechos</w:t>
      </w:r>
      <w:r w:rsidR="00E56B50">
        <w:rPr>
          <w:rFonts w:asciiTheme="majorHAnsi" w:hAnsiTheme="majorHAnsi"/>
          <w:sz w:val="20"/>
          <w:szCs w:val="20"/>
          <w:u w:color="000000"/>
          <w:lang w:val="es"/>
        </w:rPr>
        <w:t xml:space="preserve"> </w:t>
      </w:r>
      <w:r w:rsidRPr="00494BB7">
        <w:rPr>
          <w:rFonts w:asciiTheme="majorHAnsi" w:hAnsiTheme="majorHAnsi"/>
          <w:sz w:val="20"/>
          <w:szCs w:val="20"/>
          <w:u w:color="000000"/>
          <w:lang w:val="es"/>
        </w:rPr>
        <w:t>y que</w:t>
      </w:r>
      <w:r w:rsidR="00E56B50">
        <w:rPr>
          <w:rFonts w:asciiTheme="majorHAnsi" w:hAnsiTheme="majorHAnsi"/>
          <w:sz w:val="20"/>
          <w:szCs w:val="20"/>
          <w:u w:color="000000"/>
          <w:lang w:val="es"/>
        </w:rPr>
        <w:t>,</w:t>
      </w:r>
      <w:r w:rsidRPr="00494BB7">
        <w:rPr>
          <w:rFonts w:asciiTheme="majorHAnsi" w:hAnsiTheme="majorHAnsi"/>
          <w:sz w:val="20"/>
          <w:szCs w:val="20"/>
          <w:u w:color="000000"/>
          <w:lang w:val="es"/>
        </w:rPr>
        <w:t xml:space="preserve"> si bien la presunta violación de estos derechos fue </w:t>
      </w:r>
      <w:r w:rsidR="005E37A9">
        <w:rPr>
          <w:rFonts w:asciiTheme="majorHAnsi" w:hAnsiTheme="majorHAnsi"/>
          <w:sz w:val="20"/>
          <w:szCs w:val="20"/>
          <w:u w:color="000000"/>
          <w:lang w:val="es"/>
        </w:rPr>
        <w:t>en perjuicio</w:t>
      </w:r>
      <w:r w:rsidRPr="00494BB7">
        <w:rPr>
          <w:rFonts w:asciiTheme="majorHAnsi" w:hAnsiTheme="majorHAnsi"/>
          <w:sz w:val="20"/>
          <w:szCs w:val="20"/>
          <w:u w:color="000000"/>
          <w:lang w:val="es"/>
        </w:rPr>
        <w:t xml:space="preserve"> de ASCHA S.A., en última instancia </w:t>
      </w:r>
      <w:r w:rsidR="005E37A9">
        <w:rPr>
          <w:rFonts w:asciiTheme="majorHAnsi" w:hAnsiTheme="majorHAnsi"/>
          <w:sz w:val="20"/>
          <w:szCs w:val="20"/>
          <w:u w:color="000000"/>
          <w:lang w:val="es"/>
        </w:rPr>
        <w:t>esta afectaba</w:t>
      </w:r>
      <w:r w:rsidRPr="00494BB7">
        <w:rPr>
          <w:rFonts w:asciiTheme="majorHAnsi" w:hAnsiTheme="majorHAnsi"/>
          <w:sz w:val="20"/>
          <w:szCs w:val="20"/>
          <w:u w:color="000000"/>
          <w:lang w:val="es"/>
        </w:rPr>
        <w:t xml:space="preserve"> personal y directamente los derechos del peticionario.</w:t>
      </w:r>
    </w:p>
    <w:p w14:paraId="49C43DFB" w14:textId="77777777" w:rsidR="00943E42" w:rsidRPr="00494BB7" w:rsidRDefault="00943E42" w:rsidP="00943E42">
      <w:pPr>
        <w:ind w:left="720"/>
        <w:jc w:val="both"/>
        <w:rPr>
          <w:rFonts w:asciiTheme="majorHAnsi" w:hAnsiTheme="majorHAnsi"/>
          <w:sz w:val="20"/>
          <w:szCs w:val="20"/>
          <w:u w:color="000000"/>
          <w:lang w:val="es-ES"/>
        </w:rPr>
      </w:pPr>
    </w:p>
    <w:p w14:paraId="088AA413" w14:textId="67267DF9" w:rsidR="00943E42" w:rsidRPr="00494BB7" w:rsidRDefault="00943E42" w:rsidP="00943E42">
      <w:pPr>
        <w:numPr>
          <w:ilvl w:val="0"/>
          <w:numId w:val="103"/>
        </w:numPr>
        <w:jc w:val="both"/>
        <w:rPr>
          <w:rFonts w:asciiTheme="majorHAnsi" w:hAnsiTheme="majorHAnsi"/>
          <w:sz w:val="20"/>
          <w:szCs w:val="20"/>
          <w:u w:color="000000"/>
          <w:lang w:val="es-ES"/>
        </w:rPr>
      </w:pPr>
      <w:r w:rsidRPr="00494BB7">
        <w:rPr>
          <w:rFonts w:asciiTheme="majorHAnsi" w:hAnsiTheme="majorHAnsi"/>
          <w:sz w:val="20"/>
          <w:szCs w:val="20"/>
          <w:u w:color="000000"/>
          <w:lang w:val="es"/>
        </w:rPr>
        <w:t xml:space="preserve">La Comisión ha reiterado que el Preámbulo de la Convención Americana y su artículo 1.2 establecen que “para los propósitos de esta Convención, </w:t>
      </w:r>
      <w:r w:rsidR="00C23D35">
        <w:rPr>
          <w:rFonts w:asciiTheme="majorHAnsi" w:hAnsiTheme="majorHAnsi"/>
          <w:sz w:val="20"/>
          <w:szCs w:val="20"/>
          <w:u w:color="000000"/>
          <w:lang w:val="es"/>
        </w:rPr>
        <w:t>‘</w:t>
      </w:r>
      <w:r w:rsidRPr="00494BB7">
        <w:rPr>
          <w:rFonts w:asciiTheme="majorHAnsi" w:hAnsiTheme="majorHAnsi"/>
          <w:sz w:val="20"/>
          <w:szCs w:val="20"/>
          <w:u w:color="000000"/>
          <w:lang w:val="es"/>
        </w:rPr>
        <w:t>persona</w:t>
      </w:r>
      <w:r w:rsidR="00C23D35">
        <w:rPr>
          <w:rFonts w:asciiTheme="majorHAnsi" w:hAnsiTheme="majorHAnsi"/>
          <w:sz w:val="20"/>
          <w:szCs w:val="20"/>
          <w:u w:color="000000"/>
          <w:lang w:val="es"/>
        </w:rPr>
        <w:t>’</w:t>
      </w:r>
      <w:r w:rsidRPr="00494BB7">
        <w:rPr>
          <w:rFonts w:asciiTheme="majorHAnsi" w:hAnsiTheme="majorHAnsi"/>
          <w:sz w:val="20"/>
          <w:szCs w:val="20"/>
          <w:u w:color="000000"/>
          <w:lang w:val="es"/>
        </w:rPr>
        <w:t xml:space="preserve"> significa todo ser humano” y que la protección otorgada por el Sistema Interamericano de Derechos Humanos se limita s</w:t>
      </w:r>
      <w:r w:rsidR="00C23D35">
        <w:rPr>
          <w:rFonts w:asciiTheme="majorHAnsi" w:hAnsiTheme="majorHAnsi"/>
          <w:sz w:val="20"/>
          <w:szCs w:val="20"/>
          <w:u w:color="000000"/>
          <w:lang w:val="es"/>
        </w:rPr>
        <w:t>o</w:t>
      </w:r>
      <w:r w:rsidRPr="00494BB7">
        <w:rPr>
          <w:rFonts w:asciiTheme="majorHAnsi" w:hAnsiTheme="majorHAnsi"/>
          <w:sz w:val="20"/>
          <w:szCs w:val="20"/>
          <w:u w:color="000000"/>
          <w:lang w:val="es"/>
        </w:rPr>
        <w:t>lo a las personas naturales</w:t>
      </w:r>
      <w:r w:rsidRPr="00494BB7">
        <w:rPr>
          <w:rFonts w:asciiTheme="majorHAnsi" w:hAnsiTheme="majorHAnsi"/>
          <w:sz w:val="20"/>
          <w:szCs w:val="20"/>
          <w:u w:color="000000"/>
          <w:vertAlign w:val="superscript"/>
          <w:lang w:val="es"/>
        </w:rPr>
        <w:footnoteReference w:id="7"/>
      </w:r>
      <w:r w:rsidRPr="00494BB7">
        <w:rPr>
          <w:rFonts w:asciiTheme="majorHAnsi" w:hAnsiTheme="majorHAnsi"/>
          <w:sz w:val="20"/>
          <w:szCs w:val="20"/>
          <w:u w:color="000000"/>
          <w:lang w:val="es"/>
        </w:rPr>
        <w:t>. En este sentido, la Comisión también ha establecido jurisprudencia constante e invariable sobre la inadmisibilidad de peticiones interpuestas por personas jurídicas empresariales o de casos donde el agotamiento de los recursos internos fue realizado por tales entidades y no por las personas naturales que se presentan como peticionarios ante la Comisión</w:t>
      </w:r>
      <w:r w:rsidRPr="00494BB7">
        <w:rPr>
          <w:rFonts w:asciiTheme="majorHAnsi" w:hAnsiTheme="majorHAnsi"/>
          <w:sz w:val="20"/>
          <w:szCs w:val="20"/>
          <w:u w:color="000000"/>
          <w:vertAlign w:val="superscript"/>
          <w:lang w:val="es"/>
        </w:rPr>
        <w:footnoteReference w:id="8"/>
      </w:r>
      <w:r w:rsidRPr="00494BB7">
        <w:rPr>
          <w:rFonts w:asciiTheme="majorHAnsi" w:hAnsiTheme="majorHAnsi"/>
          <w:sz w:val="20"/>
          <w:szCs w:val="20"/>
          <w:u w:color="000000"/>
          <w:lang w:val="es"/>
        </w:rPr>
        <w:t xml:space="preserve">. Tal es la situación en el presente caso, donde </w:t>
      </w:r>
      <w:r w:rsidR="00E56B50">
        <w:rPr>
          <w:rFonts w:asciiTheme="majorHAnsi" w:hAnsiTheme="majorHAnsi"/>
          <w:sz w:val="20"/>
          <w:szCs w:val="20"/>
          <w:u w:color="000000"/>
          <w:lang w:val="es"/>
        </w:rPr>
        <w:t>el peticionario</w:t>
      </w:r>
      <w:r w:rsidRPr="00494BB7">
        <w:rPr>
          <w:rFonts w:asciiTheme="majorHAnsi" w:hAnsiTheme="majorHAnsi"/>
          <w:sz w:val="20"/>
          <w:szCs w:val="20"/>
          <w:u w:color="000000"/>
          <w:lang w:val="es"/>
        </w:rPr>
        <w:t xml:space="preserve"> sostiene que los recursos internos fueron presentados y agotados a nombre de una persona jurídica de </w:t>
      </w:r>
      <w:r w:rsidR="00E56B50">
        <w:rPr>
          <w:rFonts w:asciiTheme="majorHAnsi" w:hAnsiTheme="majorHAnsi"/>
          <w:sz w:val="20"/>
          <w:szCs w:val="20"/>
          <w:u w:color="000000"/>
          <w:lang w:val="es"/>
        </w:rPr>
        <w:t>la cual</w:t>
      </w:r>
      <w:r w:rsidRPr="00494BB7">
        <w:rPr>
          <w:rFonts w:asciiTheme="majorHAnsi" w:hAnsiTheme="majorHAnsi"/>
          <w:sz w:val="20"/>
          <w:szCs w:val="20"/>
          <w:u w:color="000000"/>
          <w:lang w:val="es"/>
        </w:rPr>
        <w:t xml:space="preserve"> </w:t>
      </w:r>
      <w:r w:rsidR="00E56B50">
        <w:rPr>
          <w:rFonts w:asciiTheme="majorHAnsi" w:hAnsiTheme="majorHAnsi"/>
          <w:sz w:val="20"/>
          <w:szCs w:val="20"/>
          <w:u w:color="000000"/>
          <w:lang w:val="es"/>
        </w:rPr>
        <w:t>él</w:t>
      </w:r>
      <w:r w:rsidRPr="00494BB7">
        <w:rPr>
          <w:rFonts w:asciiTheme="majorHAnsi" w:hAnsiTheme="majorHAnsi"/>
          <w:sz w:val="20"/>
          <w:szCs w:val="20"/>
          <w:u w:color="000000"/>
          <w:lang w:val="es"/>
        </w:rPr>
        <w:t xml:space="preserve"> era titular. La CIDH estima que los derechos a la propiedad y al debido proceso aquí abordados </w:t>
      </w:r>
      <w:r w:rsidR="00E261B5">
        <w:rPr>
          <w:rFonts w:asciiTheme="majorHAnsi" w:hAnsiTheme="majorHAnsi"/>
          <w:sz w:val="20"/>
          <w:szCs w:val="20"/>
          <w:u w:color="000000"/>
          <w:lang w:val="es"/>
        </w:rPr>
        <w:t>corresponden</w:t>
      </w:r>
      <w:r w:rsidRPr="00494BB7">
        <w:rPr>
          <w:rFonts w:asciiTheme="majorHAnsi" w:hAnsiTheme="majorHAnsi"/>
          <w:sz w:val="20"/>
          <w:szCs w:val="20"/>
          <w:u w:color="000000"/>
          <w:lang w:val="es"/>
        </w:rPr>
        <w:t xml:space="preserve"> a la persona jurídica empresarial y no al peticionario. En consecuencia, la Comisión </w:t>
      </w:r>
      <w:r w:rsidR="002E3CA5">
        <w:rPr>
          <w:rFonts w:asciiTheme="majorHAnsi" w:hAnsiTheme="majorHAnsi"/>
          <w:sz w:val="20"/>
          <w:szCs w:val="20"/>
          <w:u w:color="000000"/>
          <w:lang w:val="es"/>
        </w:rPr>
        <w:t>estima</w:t>
      </w:r>
      <w:r w:rsidRPr="00494BB7">
        <w:rPr>
          <w:rFonts w:asciiTheme="majorHAnsi" w:hAnsiTheme="majorHAnsi"/>
          <w:sz w:val="20"/>
          <w:szCs w:val="20"/>
          <w:u w:color="000000"/>
          <w:lang w:val="es"/>
        </w:rPr>
        <w:t xml:space="preserve"> que el peticionario </w:t>
      </w:r>
      <w:r w:rsidR="002E3CA5">
        <w:rPr>
          <w:rFonts w:asciiTheme="majorHAnsi" w:hAnsiTheme="majorHAnsi"/>
          <w:sz w:val="20"/>
          <w:szCs w:val="20"/>
          <w:u w:color="000000"/>
          <w:lang w:val="es"/>
        </w:rPr>
        <w:t>omitió</w:t>
      </w:r>
      <w:r w:rsidRPr="00494BB7">
        <w:rPr>
          <w:rFonts w:asciiTheme="majorHAnsi" w:hAnsiTheme="majorHAnsi"/>
          <w:sz w:val="20"/>
          <w:szCs w:val="20"/>
          <w:u w:color="000000"/>
          <w:lang w:val="es"/>
        </w:rPr>
        <w:t xml:space="preserve"> interp</w:t>
      </w:r>
      <w:r w:rsidR="002E3CA5">
        <w:rPr>
          <w:rFonts w:asciiTheme="majorHAnsi" w:hAnsiTheme="majorHAnsi"/>
          <w:sz w:val="20"/>
          <w:szCs w:val="20"/>
          <w:u w:color="000000"/>
          <w:lang w:val="es"/>
        </w:rPr>
        <w:t>oner y agotar</w:t>
      </w:r>
      <w:r w:rsidRPr="00494BB7">
        <w:rPr>
          <w:rFonts w:asciiTheme="majorHAnsi" w:hAnsiTheme="majorHAnsi"/>
          <w:sz w:val="20"/>
          <w:szCs w:val="20"/>
          <w:u w:color="000000"/>
          <w:lang w:val="es"/>
        </w:rPr>
        <w:t xml:space="preserve"> los recursos internos a título personal y que, por lo tanto, la Comisión carece de competencia </w:t>
      </w:r>
      <w:r w:rsidRPr="00494BB7">
        <w:rPr>
          <w:rFonts w:asciiTheme="majorHAnsi" w:hAnsiTheme="majorHAnsi"/>
          <w:i/>
          <w:iCs/>
          <w:sz w:val="20"/>
          <w:szCs w:val="20"/>
          <w:u w:color="000000"/>
          <w:lang w:val="es"/>
        </w:rPr>
        <w:t xml:space="preserve">ratione </w:t>
      </w:r>
      <w:r w:rsidR="00125502">
        <w:rPr>
          <w:rFonts w:asciiTheme="majorHAnsi" w:hAnsiTheme="majorHAnsi"/>
          <w:i/>
          <w:iCs/>
          <w:sz w:val="20"/>
          <w:szCs w:val="20"/>
          <w:u w:color="000000"/>
          <w:lang w:val="es"/>
        </w:rPr>
        <w:t>personae</w:t>
      </w:r>
      <w:r w:rsidRPr="00494BB7">
        <w:rPr>
          <w:rFonts w:asciiTheme="majorHAnsi" w:hAnsiTheme="majorHAnsi"/>
          <w:sz w:val="20"/>
          <w:szCs w:val="20"/>
          <w:u w:color="000000"/>
          <w:lang w:val="es"/>
        </w:rPr>
        <w:t xml:space="preserve"> para pronunciarse sobre este extremo de la petición.</w:t>
      </w:r>
    </w:p>
    <w:p w14:paraId="49C510DE" w14:textId="77777777" w:rsidR="00943E42" w:rsidRPr="00494BB7" w:rsidRDefault="00943E42" w:rsidP="00943E42">
      <w:pPr>
        <w:ind w:left="720"/>
        <w:jc w:val="both"/>
        <w:rPr>
          <w:rFonts w:asciiTheme="majorHAnsi" w:hAnsiTheme="majorHAnsi"/>
          <w:sz w:val="20"/>
          <w:szCs w:val="20"/>
          <w:u w:color="000000"/>
          <w:lang w:val="es-ES"/>
        </w:rPr>
      </w:pPr>
    </w:p>
    <w:p w14:paraId="2824F5AF" w14:textId="22D2A912" w:rsidR="00943E42" w:rsidRPr="00494BB7" w:rsidRDefault="00943E42" w:rsidP="00943E42">
      <w:pPr>
        <w:numPr>
          <w:ilvl w:val="0"/>
          <w:numId w:val="103"/>
        </w:numPr>
        <w:jc w:val="both"/>
        <w:rPr>
          <w:rFonts w:asciiTheme="majorHAnsi" w:hAnsiTheme="majorHAnsi"/>
          <w:sz w:val="20"/>
          <w:szCs w:val="20"/>
          <w:u w:color="000000"/>
          <w:lang w:val="es-ES"/>
        </w:rPr>
      </w:pPr>
      <w:r w:rsidRPr="00494BB7">
        <w:rPr>
          <w:rFonts w:asciiTheme="majorHAnsi" w:hAnsiTheme="majorHAnsi"/>
          <w:sz w:val="20"/>
          <w:szCs w:val="20"/>
          <w:u w:color="000000"/>
          <w:lang w:val="es"/>
        </w:rPr>
        <w:t xml:space="preserve">Con respecto a la presunta campaña de hostigamiento e intimidación en contra del peticionario—incluido su arresto y detención—, la CIDH considera que esto sí recae dentro de su ámbito de competencia </w:t>
      </w:r>
      <w:r w:rsidRPr="00494BB7">
        <w:rPr>
          <w:rFonts w:asciiTheme="majorHAnsi" w:hAnsiTheme="majorHAnsi"/>
          <w:i/>
          <w:iCs/>
          <w:sz w:val="20"/>
          <w:szCs w:val="20"/>
          <w:u w:color="000000"/>
          <w:lang w:val="es"/>
        </w:rPr>
        <w:t xml:space="preserve">ratione </w:t>
      </w:r>
      <w:r w:rsidR="00125502">
        <w:rPr>
          <w:rFonts w:asciiTheme="majorHAnsi" w:hAnsiTheme="majorHAnsi"/>
          <w:i/>
          <w:iCs/>
          <w:sz w:val="20"/>
          <w:szCs w:val="20"/>
          <w:u w:color="000000"/>
          <w:lang w:val="es"/>
        </w:rPr>
        <w:t>personae</w:t>
      </w:r>
      <w:r w:rsidRPr="00494BB7">
        <w:rPr>
          <w:rFonts w:asciiTheme="majorHAnsi" w:hAnsiTheme="majorHAnsi"/>
          <w:i/>
          <w:iCs/>
          <w:sz w:val="20"/>
          <w:szCs w:val="20"/>
          <w:u w:color="000000"/>
          <w:lang w:val="es"/>
        </w:rPr>
        <w:t xml:space="preserve"> </w:t>
      </w:r>
      <w:r w:rsidRPr="00494BB7">
        <w:rPr>
          <w:rFonts w:asciiTheme="majorHAnsi" w:hAnsiTheme="majorHAnsi"/>
          <w:sz w:val="20"/>
          <w:szCs w:val="20"/>
          <w:u w:color="000000"/>
          <w:lang w:val="es"/>
        </w:rPr>
        <w:t xml:space="preserve">dado que </w:t>
      </w:r>
      <w:r w:rsidR="00125502">
        <w:rPr>
          <w:rFonts w:asciiTheme="majorHAnsi" w:hAnsiTheme="majorHAnsi"/>
          <w:sz w:val="20"/>
          <w:szCs w:val="20"/>
          <w:u w:color="000000"/>
          <w:lang w:val="es"/>
        </w:rPr>
        <w:t>ello</w:t>
      </w:r>
      <w:r w:rsidRPr="00494BB7">
        <w:rPr>
          <w:rFonts w:asciiTheme="majorHAnsi" w:hAnsiTheme="majorHAnsi"/>
          <w:sz w:val="20"/>
          <w:szCs w:val="20"/>
          <w:u w:color="000000"/>
          <w:lang w:val="es"/>
        </w:rPr>
        <w:t xml:space="preserve"> estaba </w:t>
      </w:r>
      <w:r w:rsidR="00125502" w:rsidRPr="00494BB7">
        <w:rPr>
          <w:rFonts w:asciiTheme="majorHAnsi" w:hAnsiTheme="majorHAnsi"/>
          <w:sz w:val="20"/>
          <w:szCs w:val="20"/>
          <w:u w:color="000000"/>
          <w:lang w:val="es"/>
        </w:rPr>
        <w:t xml:space="preserve">supuestamente </w:t>
      </w:r>
      <w:r w:rsidRPr="00494BB7">
        <w:rPr>
          <w:rFonts w:asciiTheme="majorHAnsi" w:hAnsiTheme="majorHAnsi"/>
          <w:sz w:val="20"/>
          <w:szCs w:val="20"/>
          <w:u w:color="000000"/>
          <w:lang w:val="es"/>
        </w:rPr>
        <w:t xml:space="preserve">dirigido contra él a título personal. El peticionario sostiene que presentó denuncias ante varias autoridades pero que no se realizó ninguna investigación al respecto. Por su parte, el Estado </w:t>
      </w:r>
      <w:r w:rsidR="00661C97">
        <w:rPr>
          <w:rFonts w:asciiTheme="majorHAnsi" w:hAnsiTheme="majorHAnsi"/>
          <w:sz w:val="20"/>
          <w:szCs w:val="20"/>
          <w:u w:color="000000"/>
          <w:lang w:val="es"/>
        </w:rPr>
        <w:t>señala</w:t>
      </w:r>
      <w:r w:rsidRPr="00494BB7">
        <w:rPr>
          <w:rFonts w:asciiTheme="majorHAnsi" w:hAnsiTheme="majorHAnsi"/>
          <w:sz w:val="20"/>
          <w:szCs w:val="20"/>
          <w:u w:color="000000"/>
          <w:lang w:val="es"/>
        </w:rPr>
        <w:t xml:space="preserve"> que el peticionario no ha presentado </w:t>
      </w:r>
      <w:r w:rsidR="004B21CF">
        <w:rPr>
          <w:rFonts w:asciiTheme="majorHAnsi" w:hAnsiTheme="majorHAnsi"/>
          <w:sz w:val="20"/>
          <w:szCs w:val="20"/>
          <w:u w:color="000000"/>
          <w:lang w:val="es"/>
        </w:rPr>
        <w:t>constancias</w:t>
      </w:r>
      <w:r w:rsidRPr="00494BB7">
        <w:rPr>
          <w:rFonts w:asciiTheme="majorHAnsi" w:hAnsiTheme="majorHAnsi"/>
          <w:sz w:val="20"/>
          <w:szCs w:val="20"/>
          <w:u w:color="000000"/>
          <w:lang w:val="es"/>
        </w:rPr>
        <w:t xml:space="preserve"> ni pruebas de sus denuncias y que</w:t>
      </w:r>
      <w:r w:rsidR="00D57A0C">
        <w:rPr>
          <w:rFonts w:asciiTheme="majorHAnsi" w:hAnsiTheme="majorHAnsi"/>
          <w:sz w:val="20"/>
          <w:szCs w:val="20"/>
          <w:u w:color="000000"/>
          <w:lang w:val="es"/>
        </w:rPr>
        <w:t>,</w:t>
      </w:r>
      <w:r w:rsidRPr="00494BB7">
        <w:rPr>
          <w:rFonts w:asciiTheme="majorHAnsi" w:hAnsiTheme="majorHAnsi"/>
          <w:sz w:val="20"/>
          <w:szCs w:val="20"/>
          <w:u w:color="000000"/>
          <w:lang w:val="es"/>
        </w:rPr>
        <w:t xml:space="preserve"> con respecto al presunto arresto y detención, el peticionario omitió interponer el recurso de </w:t>
      </w:r>
      <w:r w:rsidRPr="00494BB7">
        <w:rPr>
          <w:rFonts w:asciiTheme="majorHAnsi" w:hAnsiTheme="majorHAnsi"/>
          <w:i/>
          <w:iCs/>
          <w:sz w:val="20"/>
          <w:szCs w:val="20"/>
          <w:u w:color="000000"/>
          <w:lang w:val="es"/>
        </w:rPr>
        <w:t>habeas corpus</w:t>
      </w:r>
      <w:r w:rsidRPr="00494BB7">
        <w:rPr>
          <w:rFonts w:asciiTheme="majorHAnsi" w:hAnsiTheme="majorHAnsi"/>
          <w:sz w:val="20"/>
          <w:szCs w:val="20"/>
          <w:u w:color="000000"/>
          <w:lang w:val="es"/>
        </w:rPr>
        <w:t>. A partir del expediente, la Comisión nota que el peticionario presentó un</w:t>
      </w:r>
      <w:r w:rsidR="005A1606">
        <w:rPr>
          <w:rFonts w:asciiTheme="majorHAnsi" w:hAnsiTheme="majorHAnsi"/>
          <w:sz w:val="20"/>
          <w:szCs w:val="20"/>
          <w:u w:color="000000"/>
          <w:lang w:val="es"/>
        </w:rPr>
        <w:t xml:space="preserve">a constancia </w:t>
      </w:r>
      <w:r w:rsidRPr="00494BB7">
        <w:rPr>
          <w:rFonts w:asciiTheme="majorHAnsi" w:hAnsiTheme="majorHAnsi"/>
          <w:sz w:val="20"/>
          <w:szCs w:val="20"/>
          <w:u w:color="000000"/>
          <w:lang w:val="es"/>
        </w:rPr>
        <w:t>emitid</w:t>
      </w:r>
      <w:r w:rsidR="005A1606">
        <w:rPr>
          <w:rFonts w:asciiTheme="majorHAnsi" w:hAnsiTheme="majorHAnsi"/>
          <w:sz w:val="20"/>
          <w:szCs w:val="20"/>
          <w:u w:color="000000"/>
          <w:lang w:val="es"/>
        </w:rPr>
        <w:t>a</w:t>
      </w:r>
      <w:r w:rsidRPr="00494BB7">
        <w:rPr>
          <w:rFonts w:asciiTheme="majorHAnsi" w:hAnsiTheme="majorHAnsi"/>
          <w:sz w:val="20"/>
          <w:szCs w:val="20"/>
          <w:u w:color="000000"/>
          <w:lang w:val="es"/>
        </w:rPr>
        <w:t xml:space="preserve"> por la Fiscalía que confirma la presentación de una denuncia el 25 de octubre de 2005 y la apertura de una causa. En segundo lugar, la CIDH observa que en los anexos de la primera respuesta del Estado obran numerosas comunicaciones de la Secretaría de Derechos Humanos de La Rioja </w:t>
      </w:r>
      <w:r w:rsidR="001A754A">
        <w:rPr>
          <w:rFonts w:asciiTheme="majorHAnsi" w:hAnsiTheme="majorHAnsi"/>
          <w:sz w:val="20"/>
          <w:szCs w:val="20"/>
          <w:u w:color="000000"/>
          <w:lang w:val="es"/>
        </w:rPr>
        <w:t>de</w:t>
      </w:r>
      <w:r w:rsidRPr="00494BB7">
        <w:rPr>
          <w:rFonts w:asciiTheme="majorHAnsi" w:hAnsiTheme="majorHAnsi"/>
          <w:sz w:val="20"/>
          <w:szCs w:val="20"/>
          <w:u w:color="000000"/>
          <w:lang w:val="es"/>
        </w:rPr>
        <w:t xml:space="preserve"> 2014 dirigidas a varias autoridades solicita</w:t>
      </w:r>
      <w:r w:rsidR="001A754A">
        <w:rPr>
          <w:rFonts w:asciiTheme="majorHAnsi" w:hAnsiTheme="majorHAnsi"/>
          <w:sz w:val="20"/>
          <w:szCs w:val="20"/>
          <w:u w:color="000000"/>
          <w:lang w:val="es"/>
        </w:rPr>
        <w:t>ndo</w:t>
      </w:r>
      <w:r w:rsidRPr="00494BB7">
        <w:rPr>
          <w:rFonts w:asciiTheme="majorHAnsi" w:hAnsiTheme="majorHAnsi"/>
          <w:sz w:val="20"/>
          <w:szCs w:val="20"/>
          <w:u w:color="000000"/>
          <w:lang w:val="es"/>
        </w:rPr>
        <w:t xml:space="preserve"> información sobre las denuncias </w:t>
      </w:r>
      <w:r w:rsidR="001A754A">
        <w:rPr>
          <w:rFonts w:asciiTheme="majorHAnsi" w:hAnsiTheme="majorHAnsi"/>
          <w:sz w:val="20"/>
          <w:szCs w:val="20"/>
          <w:u w:color="000000"/>
          <w:lang w:val="es"/>
        </w:rPr>
        <w:t>d</w:t>
      </w:r>
      <w:r w:rsidRPr="00494BB7">
        <w:rPr>
          <w:rFonts w:asciiTheme="majorHAnsi" w:hAnsiTheme="majorHAnsi"/>
          <w:sz w:val="20"/>
          <w:szCs w:val="20"/>
          <w:u w:color="000000"/>
          <w:lang w:val="es"/>
        </w:rPr>
        <w:t>el peticionario con motivo de la campaña de hostigamiento e intimidación. Entre ellas, la Secretaría de Seguridad de La Rioja y el Ministerio de Gobierno, Justicia, Seguridad y Derechos Humanos de dicha provincia. Con base en lo anteriormente expuesto, la Comisión infiere que el peticionario efectivamente denunció ante las autoridades y que las autoridades tenían conocimiento acerca de la situación denunciada.</w:t>
      </w:r>
    </w:p>
    <w:p w14:paraId="2CF1F6AB" w14:textId="77777777" w:rsidR="00943E42" w:rsidRPr="00494BB7" w:rsidRDefault="00943E42" w:rsidP="00943E42">
      <w:pPr>
        <w:ind w:left="720"/>
        <w:jc w:val="both"/>
        <w:rPr>
          <w:rFonts w:asciiTheme="majorHAnsi" w:hAnsiTheme="majorHAnsi"/>
          <w:sz w:val="20"/>
          <w:szCs w:val="20"/>
          <w:u w:color="000000"/>
          <w:lang w:val="es-ES"/>
        </w:rPr>
      </w:pPr>
    </w:p>
    <w:p w14:paraId="5990CB85" w14:textId="3D0F331B" w:rsidR="00943E42" w:rsidRPr="00494BB7" w:rsidRDefault="00943E42" w:rsidP="00943E42">
      <w:pPr>
        <w:numPr>
          <w:ilvl w:val="0"/>
          <w:numId w:val="103"/>
        </w:numPr>
        <w:jc w:val="both"/>
        <w:rPr>
          <w:rFonts w:asciiTheme="majorHAnsi" w:hAnsiTheme="majorHAnsi"/>
          <w:sz w:val="20"/>
          <w:szCs w:val="20"/>
          <w:u w:color="000000"/>
          <w:lang w:val="es-ES"/>
        </w:rPr>
      </w:pPr>
      <w:r w:rsidRPr="00494BB7">
        <w:rPr>
          <w:rFonts w:asciiTheme="majorHAnsi" w:hAnsiTheme="majorHAnsi"/>
          <w:sz w:val="20"/>
          <w:szCs w:val="20"/>
          <w:u w:color="000000"/>
          <w:lang w:val="es"/>
        </w:rPr>
        <w:t xml:space="preserve">En cuanto al presunto arresto y detención del peticionario y la campaña de hostigamiento e intimidación en su contra, el Estado está obligado a investigar con vistas a identificar, enjuiciar y sentenciar a los responsables. Teniendo en cuenta la postura de las partes, no se habría realizado ninguna investigación. Debido al tiempo transcurrido desde que ocurrieron los </w:t>
      </w:r>
      <w:r w:rsidR="001A754A">
        <w:rPr>
          <w:rFonts w:asciiTheme="majorHAnsi" w:hAnsiTheme="majorHAnsi"/>
          <w:sz w:val="20"/>
          <w:szCs w:val="20"/>
          <w:u w:color="000000"/>
          <w:lang w:val="es"/>
        </w:rPr>
        <w:t xml:space="preserve">presuntos </w:t>
      </w:r>
      <w:r w:rsidRPr="00494BB7">
        <w:rPr>
          <w:rFonts w:asciiTheme="majorHAnsi" w:hAnsiTheme="majorHAnsi"/>
          <w:sz w:val="20"/>
          <w:szCs w:val="20"/>
          <w:u w:color="000000"/>
          <w:lang w:val="es"/>
        </w:rPr>
        <w:t xml:space="preserve">hechos denunciados en la petición, la CIDH considera que corresponde aplicar la excepción al requisito de agotamiento de los recursos internos establecida en el artículo 46.2(c) de la Convención Americana. Asimismo, la Comisión estima que la petición </w:t>
      </w:r>
      <w:r w:rsidRPr="00494BB7">
        <w:rPr>
          <w:rFonts w:asciiTheme="majorHAnsi" w:hAnsiTheme="majorHAnsi"/>
          <w:sz w:val="20"/>
          <w:szCs w:val="20"/>
          <w:u w:color="000000"/>
          <w:lang w:val="es"/>
        </w:rPr>
        <w:lastRenderedPageBreak/>
        <w:t>fue presentada dentro de un plazo razonable y, por lo tanto, cumple el requisito referente al plazo de presentación.</w:t>
      </w:r>
    </w:p>
    <w:p w14:paraId="22DC9F82" w14:textId="77777777" w:rsidR="00943E42" w:rsidRPr="00494BB7" w:rsidRDefault="00943E42" w:rsidP="00943E42">
      <w:pPr>
        <w:jc w:val="both"/>
        <w:rPr>
          <w:rFonts w:asciiTheme="majorHAnsi" w:hAnsiTheme="majorHAnsi"/>
          <w:sz w:val="20"/>
          <w:szCs w:val="20"/>
          <w:u w:color="000000"/>
          <w:lang w:val="es-ES"/>
        </w:rPr>
      </w:pPr>
    </w:p>
    <w:p w14:paraId="04E0112D" w14:textId="77777777" w:rsidR="00943E42" w:rsidRPr="00494BB7" w:rsidRDefault="00943E42" w:rsidP="00943E42">
      <w:pPr>
        <w:ind w:left="720"/>
        <w:jc w:val="both"/>
        <w:rPr>
          <w:rFonts w:asciiTheme="majorHAnsi" w:eastAsia="Cambria" w:hAnsiTheme="majorHAnsi" w:cs="Cambria"/>
          <w:b/>
          <w:color w:val="000000"/>
          <w:sz w:val="20"/>
          <w:szCs w:val="20"/>
          <w:u w:color="000000"/>
          <w:lang w:val="es-ES"/>
        </w:rPr>
      </w:pPr>
      <w:r w:rsidRPr="00494BB7">
        <w:rPr>
          <w:rFonts w:asciiTheme="majorHAnsi" w:eastAsia="Cambria" w:hAnsiTheme="majorHAnsi" w:cs="Cambria"/>
          <w:b/>
          <w:bCs/>
          <w:color w:val="000000"/>
          <w:sz w:val="20"/>
          <w:szCs w:val="20"/>
          <w:u w:color="000000"/>
          <w:lang w:val="es"/>
        </w:rPr>
        <w:t>VII.</w:t>
      </w:r>
      <w:r w:rsidRPr="00494BB7">
        <w:rPr>
          <w:rFonts w:asciiTheme="majorHAnsi" w:eastAsia="Cambria" w:hAnsiTheme="majorHAnsi" w:cs="Cambria"/>
          <w:b/>
          <w:bCs/>
          <w:color w:val="000000"/>
          <w:sz w:val="20"/>
          <w:szCs w:val="20"/>
          <w:u w:color="000000"/>
          <w:lang w:val="es"/>
        </w:rPr>
        <w:tab/>
        <w:t>ANÁLISIS DE CARACTERIZACIÓN DE LOS HECHOS ALEGADOS</w:t>
      </w:r>
    </w:p>
    <w:p w14:paraId="22FFA1BF" w14:textId="77777777" w:rsidR="00943E42" w:rsidRPr="00494BB7" w:rsidRDefault="00943E42" w:rsidP="00943E42">
      <w:pPr>
        <w:suppressAutoHyphens/>
        <w:ind w:left="720"/>
        <w:jc w:val="both"/>
        <w:rPr>
          <w:rFonts w:asciiTheme="majorHAnsi" w:hAnsiTheme="majorHAnsi"/>
          <w:sz w:val="20"/>
          <w:szCs w:val="20"/>
          <w:lang w:val="es-ES"/>
        </w:rPr>
      </w:pPr>
    </w:p>
    <w:p w14:paraId="43ECF148" w14:textId="0B2866F5" w:rsidR="00943E42" w:rsidRPr="00494BB7" w:rsidRDefault="00943E42" w:rsidP="00943E42">
      <w:pPr>
        <w:numPr>
          <w:ilvl w:val="0"/>
          <w:numId w:val="103"/>
        </w:numPr>
        <w:suppressAutoHyphens/>
        <w:jc w:val="both"/>
        <w:rPr>
          <w:rFonts w:asciiTheme="majorHAnsi" w:hAnsiTheme="majorHAnsi"/>
          <w:sz w:val="20"/>
          <w:szCs w:val="20"/>
          <w:lang w:val="es-ES"/>
        </w:rPr>
      </w:pPr>
      <w:r w:rsidRPr="00494BB7">
        <w:rPr>
          <w:rFonts w:asciiTheme="majorHAnsi" w:hAnsiTheme="majorHAnsi"/>
          <w:sz w:val="20"/>
          <w:szCs w:val="20"/>
          <w:lang w:val="es"/>
        </w:rPr>
        <w:t>Teniendo en cuenta el anterior análisis sobre los recursos internos, el único reclamo que se caracteriza y podría plantearse es la denuncia referente a la presunta campaña de hostigamiento e intimidación en contra del peticionario.</w:t>
      </w:r>
    </w:p>
    <w:p w14:paraId="73F12946" w14:textId="77777777" w:rsidR="00943E42" w:rsidRPr="00494BB7" w:rsidRDefault="00943E42" w:rsidP="00943E42">
      <w:pPr>
        <w:suppressAutoHyphens/>
        <w:ind w:left="720"/>
        <w:jc w:val="both"/>
        <w:rPr>
          <w:rFonts w:asciiTheme="majorHAnsi" w:hAnsiTheme="majorHAnsi"/>
          <w:sz w:val="20"/>
          <w:szCs w:val="20"/>
          <w:lang w:val="es-ES"/>
        </w:rPr>
      </w:pPr>
    </w:p>
    <w:p w14:paraId="05C965A2" w14:textId="01BAF986" w:rsidR="00943E42" w:rsidRPr="00494BB7" w:rsidRDefault="00943E42" w:rsidP="00943E42">
      <w:pPr>
        <w:numPr>
          <w:ilvl w:val="0"/>
          <w:numId w:val="103"/>
        </w:numPr>
        <w:suppressAutoHyphens/>
        <w:jc w:val="both"/>
        <w:rPr>
          <w:rFonts w:asciiTheme="majorHAnsi" w:hAnsiTheme="majorHAnsi"/>
          <w:sz w:val="20"/>
          <w:szCs w:val="20"/>
          <w:lang w:val="es-ES"/>
        </w:rPr>
      </w:pPr>
      <w:r w:rsidRPr="00494BB7">
        <w:rPr>
          <w:rFonts w:asciiTheme="majorHAnsi" w:hAnsiTheme="majorHAnsi"/>
          <w:sz w:val="20"/>
          <w:szCs w:val="20"/>
          <w:lang w:val="es"/>
        </w:rPr>
        <w:t>El peticionario invoca disposiciones no solo de la Convención Americana sino también de la Declaración Americana y la Declaración Universal de Derechos Humanos. La Comisión ha establecido en decisiones anteriores que una vez que la Convención Americana ha entrado en vigor en relación con un Estado, esta, no la Declaración Americana, se convierte en la fuente principal de derecho aplicable por la Comisión, siempre que la petición se refiera a presuntas violaciones de derechos idénticos en ambos instrumentos y no se trate de violaciones continuas</w:t>
      </w:r>
      <w:r w:rsidRPr="00494BB7">
        <w:rPr>
          <w:rFonts w:asciiTheme="majorHAnsi" w:hAnsiTheme="majorHAnsi"/>
          <w:sz w:val="20"/>
          <w:szCs w:val="20"/>
          <w:vertAlign w:val="superscript"/>
          <w:lang w:val="es"/>
        </w:rPr>
        <w:footnoteReference w:id="9"/>
      </w:r>
      <w:r w:rsidRPr="00494BB7">
        <w:rPr>
          <w:rFonts w:asciiTheme="majorHAnsi" w:hAnsiTheme="majorHAnsi"/>
          <w:sz w:val="20"/>
          <w:szCs w:val="20"/>
          <w:lang w:val="es"/>
        </w:rPr>
        <w:t>. En la presente petición, existe una similitud en el contenido de las disposiciones de ambos instrumentos invocados por el peticionario; por lo que</w:t>
      </w:r>
      <w:r w:rsidR="00AD1C7A">
        <w:rPr>
          <w:rFonts w:asciiTheme="majorHAnsi" w:hAnsiTheme="majorHAnsi"/>
          <w:sz w:val="20"/>
          <w:szCs w:val="20"/>
          <w:lang w:val="es"/>
        </w:rPr>
        <w:t>,</w:t>
      </w:r>
      <w:r w:rsidRPr="00494BB7">
        <w:rPr>
          <w:rFonts w:asciiTheme="majorHAnsi" w:hAnsiTheme="majorHAnsi"/>
          <w:sz w:val="20"/>
          <w:szCs w:val="20"/>
          <w:lang w:val="es"/>
        </w:rPr>
        <w:t xml:space="preserve"> en cuanto a las presuntas violaciones de la Declaración Americana, la CIDH solo se referirá a las disposiciones de la Convención Americana.</w:t>
      </w:r>
    </w:p>
    <w:p w14:paraId="1A4CAD6E" w14:textId="77777777" w:rsidR="00943E42" w:rsidRPr="00494BB7" w:rsidRDefault="00943E42" w:rsidP="00943E42">
      <w:pPr>
        <w:suppressAutoHyphens/>
        <w:ind w:left="720"/>
        <w:jc w:val="both"/>
        <w:rPr>
          <w:rFonts w:asciiTheme="majorHAnsi" w:hAnsiTheme="majorHAnsi"/>
          <w:sz w:val="20"/>
          <w:szCs w:val="20"/>
          <w:lang w:val="es-ES"/>
        </w:rPr>
      </w:pPr>
    </w:p>
    <w:p w14:paraId="0AA60392" w14:textId="35E9DEB2" w:rsidR="00943E42" w:rsidRPr="00494BB7" w:rsidRDefault="00943E42" w:rsidP="00943E42">
      <w:pPr>
        <w:numPr>
          <w:ilvl w:val="0"/>
          <w:numId w:val="103"/>
        </w:numPr>
        <w:suppressAutoHyphens/>
        <w:jc w:val="both"/>
        <w:rPr>
          <w:rFonts w:asciiTheme="majorHAnsi" w:hAnsiTheme="majorHAnsi"/>
          <w:sz w:val="20"/>
          <w:szCs w:val="20"/>
          <w:lang w:val="es-ES"/>
        </w:rPr>
      </w:pPr>
      <w:r w:rsidRPr="00494BB7">
        <w:rPr>
          <w:rFonts w:asciiTheme="majorHAnsi" w:hAnsiTheme="majorHAnsi"/>
          <w:sz w:val="20"/>
          <w:szCs w:val="20"/>
          <w:lang w:val="es"/>
        </w:rPr>
        <w:t xml:space="preserve">Con respecto a la referencia a la Declaración Universal de Derechos Humanos, la </w:t>
      </w:r>
      <w:r w:rsidR="00AD1C7A">
        <w:rPr>
          <w:rFonts w:asciiTheme="majorHAnsi" w:hAnsiTheme="majorHAnsi"/>
          <w:sz w:val="20"/>
          <w:szCs w:val="20"/>
          <w:lang w:val="es"/>
        </w:rPr>
        <w:t>Comisión</w:t>
      </w:r>
      <w:r w:rsidRPr="00494BB7">
        <w:rPr>
          <w:rFonts w:asciiTheme="majorHAnsi" w:hAnsiTheme="majorHAnsi"/>
          <w:sz w:val="20"/>
          <w:szCs w:val="20"/>
          <w:lang w:val="es"/>
        </w:rPr>
        <w:t xml:space="preserve"> carece de competencia </w:t>
      </w:r>
      <w:r w:rsidRPr="00494BB7">
        <w:rPr>
          <w:rFonts w:asciiTheme="majorHAnsi" w:hAnsiTheme="majorHAnsi"/>
          <w:i/>
          <w:iCs/>
          <w:sz w:val="20"/>
          <w:szCs w:val="20"/>
          <w:lang w:val="es"/>
        </w:rPr>
        <w:t>ratione materiae</w:t>
      </w:r>
      <w:r w:rsidRPr="00494BB7">
        <w:rPr>
          <w:rFonts w:asciiTheme="majorHAnsi" w:hAnsiTheme="majorHAnsi"/>
          <w:sz w:val="20"/>
          <w:szCs w:val="20"/>
          <w:lang w:val="es"/>
        </w:rPr>
        <w:t xml:space="preserve"> para pronunciarse sobre violaciones </w:t>
      </w:r>
      <w:r w:rsidR="00465858">
        <w:rPr>
          <w:rFonts w:asciiTheme="majorHAnsi" w:hAnsiTheme="majorHAnsi"/>
          <w:sz w:val="20"/>
          <w:szCs w:val="20"/>
          <w:lang w:val="es"/>
        </w:rPr>
        <w:t>de</w:t>
      </w:r>
      <w:r w:rsidRPr="00494BB7">
        <w:rPr>
          <w:rFonts w:asciiTheme="majorHAnsi" w:hAnsiTheme="majorHAnsi"/>
          <w:sz w:val="20"/>
          <w:szCs w:val="20"/>
          <w:lang w:val="es"/>
        </w:rPr>
        <w:t xml:space="preserve"> los derechos contenidos en tratados fuera del Sistema Interamericano, sin perjuicio </w:t>
      </w:r>
      <w:r w:rsidR="00465858">
        <w:rPr>
          <w:rFonts w:asciiTheme="majorHAnsi" w:hAnsiTheme="majorHAnsi"/>
          <w:sz w:val="20"/>
          <w:szCs w:val="20"/>
          <w:lang w:val="es"/>
        </w:rPr>
        <w:t xml:space="preserve">de </w:t>
      </w:r>
      <w:r w:rsidRPr="00494BB7">
        <w:rPr>
          <w:rFonts w:asciiTheme="majorHAnsi" w:hAnsiTheme="majorHAnsi"/>
          <w:sz w:val="20"/>
          <w:szCs w:val="20"/>
          <w:lang w:val="es"/>
        </w:rPr>
        <w:t xml:space="preserve">que pueda recurrir a los estándares establecidos en otros tratados a fin de interpretar las normas de la Convención Americana en virtud </w:t>
      </w:r>
      <w:r w:rsidR="00465858">
        <w:rPr>
          <w:rFonts w:asciiTheme="majorHAnsi" w:hAnsiTheme="majorHAnsi"/>
          <w:sz w:val="20"/>
          <w:szCs w:val="20"/>
          <w:lang w:val="es"/>
        </w:rPr>
        <w:t>de su</w:t>
      </w:r>
      <w:r w:rsidRPr="00494BB7">
        <w:rPr>
          <w:rFonts w:asciiTheme="majorHAnsi" w:hAnsiTheme="majorHAnsi"/>
          <w:sz w:val="20"/>
          <w:szCs w:val="20"/>
          <w:lang w:val="es"/>
        </w:rPr>
        <w:t xml:space="preserve"> artículo 29</w:t>
      </w:r>
      <w:r w:rsidRPr="00494BB7">
        <w:rPr>
          <w:rFonts w:asciiTheme="majorHAnsi" w:hAnsiTheme="majorHAnsi"/>
          <w:sz w:val="20"/>
          <w:szCs w:val="20"/>
          <w:vertAlign w:val="superscript"/>
          <w:lang w:val="es"/>
        </w:rPr>
        <w:footnoteReference w:id="10"/>
      </w:r>
      <w:r w:rsidRPr="00494BB7">
        <w:rPr>
          <w:rFonts w:asciiTheme="majorHAnsi" w:hAnsiTheme="majorHAnsi"/>
          <w:sz w:val="20"/>
          <w:szCs w:val="20"/>
          <w:lang w:val="es"/>
        </w:rPr>
        <w:t>.</w:t>
      </w:r>
    </w:p>
    <w:p w14:paraId="1DE3AAC5" w14:textId="77777777" w:rsidR="00943E42" w:rsidRPr="00494BB7" w:rsidRDefault="00943E42" w:rsidP="00943E42">
      <w:pPr>
        <w:suppressAutoHyphens/>
        <w:ind w:left="720"/>
        <w:jc w:val="both"/>
        <w:rPr>
          <w:rFonts w:asciiTheme="majorHAnsi" w:hAnsiTheme="majorHAnsi"/>
          <w:sz w:val="20"/>
          <w:szCs w:val="20"/>
          <w:lang w:val="es-ES"/>
        </w:rPr>
      </w:pPr>
    </w:p>
    <w:p w14:paraId="421AF9EB" w14:textId="08360CA5" w:rsidR="00943E42" w:rsidRPr="00494BB7" w:rsidRDefault="00943E42" w:rsidP="00943E42">
      <w:pPr>
        <w:numPr>
          <w:ilvl w:val="0"/>
          <w:numId w:val="103"/>
        </w:numPr>
        <w:suppressAutoHyphens/>
        <w:jc w:val="both"/>
        <w:rPr>
          <w:rFonts w:asciiTheme="majorHAnsi" w:hAnsiTheme="majorHAnsi"/>
          <w:sz w:val="20"/>
          <w:szCs w:val="20"/>
          <w:lang w:val="es-ES"/>
        </w:rPr>
      </w:pPr>
      <w:r w:rsidRPr="00494BB7">
        <w:rPr>
          <w:rFonts w:asciiTheme="majorHAnsi" w:hAnsiTheme="majorHAnsi"/>
          <w:sz w:val="20"/>
          <w:szCs w:val="20"/>
          <w:lang w:val="es"/>
        </w:rPr>
        <w:t xml:space="preserve">En vista de los elementos de hecho y de derecho presentados por las partes y la naturaleza del asunto puesto bajo su conocimiento, la CIDH considera que la presunta campaña de hostigamiento e intimidación contra el peticionario, junto con la falta de investigación y condena de los responsables, podría caracterizar la violación de los derechos protegidos en los artículos 8 (garantías judiciales) y 25 (protección judicial) de la Convención Americana, con relación a su artículo 1.1 (obligación de respetar los derechos). Si bien el peticionario no invoca el artículo 5 (derecho a la integridad personal) o el artículo 7 (derecho a la libertad personal) de la Convención Americana, la Comisión estima que la supuesta campaña de hostigamiento e intimidación contra la presunta víctima podría caracterizar la violación de ambas disposiciones. En este sentido, la CIDH observa que en su Reglamento no existen requisitos específicos que obliguen a los peticionarios a identificar los derechos específicos que se alegan violados por el Estado. Fundamentalmente, corresponde a la CIDH determinar cuáles disposiciones de los instrumentos interamericanos relevantes deben aplicarse en casos donde pudiera haber, </w:t>
      </w:r>
      <w:r w:rsidRPr="00494BB7">
        <w:rPr>
          <w:rFonts w:asciiTheme="majorHAnsi" w:hAnsiTheme="majorHAnsi"/>
          <w:i/>
          <w:iCs/>
          <w:sz w:val="20"/>
          <w:szCs w:val="20"/>
          <w:lang w:val="es"/>
        </w:rPr>
        <w:t xml:space="preserve">prima facie, </w:t>
      </w:r>
      <w:r w:rsidRPr="00494BB7">
        <w:rPr>
          <w:rFonts w:asciiTheme="majorHAnsi" w:hAnsiTheme="majorHAnsi"/>
          <w:sz w:val="20"/>
          <w:szCs w:val="20"/>
          <w:lang w:val="es"/>
        </w:rPr>
        <w:t>prueba de violaciones con base en hechos o situaciones denunciadas por los peticionarios</w:t>
      </w:r>
      <w:r w:rsidRPr="00494BB7">
        <w:rPr>
          <w:rFonts w:asciiTheme="majorHAnsi" w:hAnsiTheme="majorHAnsi"/>
          <w:sz w:val="20"/>
          <w:szCs w:val="20"/>
          <w:vertAlign w:val="superscript"/>
          <w:lang w:val="es"/>
        </w:rPr>
        <w:footnoteReference w:id="11"/>
      </w:r>
      <w:r w:rsidRPr="00494BB7">
        <w:rPr>
          <w:rFonts w:asciiTheme="majorHAnsi" w:hAnsiTheme="majorHAnsi"/>
          <w:sz w:val="20"/>
          <w:szCs w:val="20"/>
          <w:lang w:val="es"/>
        </w:rPr>
        <w:t>.</w:t>
      </w:r>
    </w:p>
    <w:p w14:paraId="1FF2889C" w14:textId="77777777" w:rsidR="00943E42" w:rsidRPr="00494BB7" w:rsidRDefault="00943E42" w:rsidP="00943E42">
      <w:pPr>
        <w:suppressAutoHyphens/>
        <w:ind w:left="720"/>
        <w:jc w:val="both"/>
        <w:rPr>
          <w:rFonts w:asciiTheme="majorHAnsi" w:hAnsiTheme="majorHAnsi"/>
          <w:sz w:val="20"/>
          <w:szCs w:val="20"/>
          <w:lang w:val="es-ES"/>
        </w:rPr>
      </w:pPr>
    </w:p>
    <w:p w14:paraId="366F9327" w14:textId="7E11EE0D" w:rsidR="00943E42" w:rsidRPr="00494BB7" w:rsidRDefault="00943E42" w:rsidP="00943E42">
      <w:pPr>
        <w:numPr>
          <w:ilvl w:val="0"/>
          <w:numId w:val="103"/>
        </w:numPr>
        <w:suppressAutoHyphens/>
        <w:jc w:val="both"/>
        <w:rPr>
          <w:rFonts w:asciiTheme="majorHAnsi" w:hAnsiTheme="majorHAnsi"/>
          <w:sz w:val="20"/>
          <w:szCs w:val="20"/>
          <w:lang w:val="es-ES"/>
        </w:rPr>
      </w:pPr>
      <w:r w:rsidRPr="00494BB7">
        <w:rPr>
          <w:rFonts w:asciiTheme="majorHAnsi" w:hAnsiTheme="majorHAnsi"/>
          <w:sz w:val="20"/>
          <w:szCs w:val="20"/>
          <w:lang w:val="es"/>
        </w:rPr>
        <w:t xml:space="preserve">Con base en los análisis </w:t>
      </w:r>
      <w:r w:rsidR="00F8171D">
        <w:rPr>
          <w:rFonts w:asciiTheme="majorHAnsi" w:hAnsiTheme="majorHAnsi"/>
          <w:sz w:val="20"/>
          <w:szCs w:val="20"/>
          <w:lang w:val="es"/>
        </w:rPr>
        <w:t>expuestos</w:t>
      </w:r>
      <w:r w:rsidR="00B92BFA">
        <w:rPr>
          <w:rFonts w:asciiTheme="majorHAnsi" w:hAnsiTheme="majorHAnsi"/>
          <w:sz w:val="20"/>
          <w:szCs w:val="20"/>
          <w:lang w:val="es"/>
        </w:rPr>
        <w:t xml:space="preserve"> en</w:t>
      </w:r>
      <w:r w:rsidRPr="00494BB7">
        <w:rPr>
          <w:rFonts w:asciiTheme="majorHAnsi" w:hAnsiTheme="majorHAnsi"/>
          <w:sz w:val="20"/>
          <w:szCs w:val="20"/>
          <w:lang w:val="es"/>
        </w:rPr>
        <w:t xml:space="preserve"> las secciones VI y VII, la Comisión considera que la sustanciación de los alegatos del peticionario es insuficiente </w:t>
      </w:r>
      <w:r w:rsidR="00B92BFA">
        <w:rPr>
          <w:rFonts w:asciiTheme="majorHAnsi" w:hAnsiTheme="majorHAnsi"/>
          <w:sz w:val="20"/>
          <w:szCs w:val="20"/>
          <w:lang w:val="es"/>
        </w:rPr>
        <w:t>y, por ende, impide</w:t>
      </w:r>
      <w:r w:rsidRPr="00494BB7">
        <w:rPr>
          <w:rFonts w:asciiTheme="majorHAnsi" w:hAnsiTheme="majorHAnsi"/>
          <w:sz w:val="20"/>
          <w:szCs w:val="20"/>
          <w:lang w:val="es"/>
        </w:rPr>
        <w:t xml:space="preserve"> </w:t>
      </w:r>
      <w:r w:rsidR="00B92BFA">
        <w:rPr>
          <w:rFonts w:asciiTheme="majorHAnsi" w:hAnsiTheme="majorHAnsi"/>
          <w:sz w:val="20"/>
          <w:szCs w:val="20"/>
          <w:lang w:val="es"/>
        </w:rPr>
        <w:t>que</w:t>
      </w:r>
      <w:r w:rsidRPr="00494BB7">
        <w:rPr>
          <w:rFonts w:asciiTheme="majorHAnsi" w:hAnsiTheme="majorHAnsi"/>
          <w:sz w:val="20"/>
          <w:szCs w:val="20"/>
          <w:lang w:val="es"/>
        </w:rPr>
        <w:t xml:space="preserve"> a los fines de la admisibilidad</w:t>
      </w:r>
      <w:r w:rsidR="00B92BFA">
        <w:rPr>
          <w:rFonts w:asciiTheme="majorHAnsi" w:hAnsiTheme="majorHAnsi"/>
          <w:sz w:val="20"/>
          <w:szCs w:val="20"/>
          <w:lang w:val="es"/>
        </w:rPr>
        <w:t xml:space="preserve"> se determine</w:t>
      </w:r>
      <w:r w:rsidRPr="00494BB7">
        <w:rPr>
          <w:rFonts w:asciiTheme="majorHAnsi" w:hAnsiTheme="majorHAnsi"/>
          <w:sz w:val="20"/>
          <w:szCs w:val="20"/>
          <w:lang w:val="es"/>
        </w:rPr>
        <w:t xml:space="preserve"> que los hechos tienden a establecer </w:t>
      </w:r>
      <w:r w:rsidRPr="00494BB7">
        <w:rPr>
          <w:rFonts w:asciiTheme="majorHAnsi" w:hAnsiTheme="majorHAnsi"/>
          <w:i/>
          <w:iCs/>
          <w:sz w:val="20"/>
          <w:szCs w:val="20"/>
          <w:lang w:val="es"/>
        </w:rPr>
        <w:t>prima facie</w:t>
      </w:r>
      <w:r w:rsidRPr="00494BB7">
        <w:rPr>
          <w:rFonts w:asciiTheme="majorHAnsi" w:hAnsiTheme="majorHAnsi"/>
          <w:sz w:val="20"/>
          <w:szCs w:val="20"/>
          <w:lang w:val="es"/>
        </w:rPr>
        <w:t xml:space="preserve"> violaciones de los artículos 2 (deber de adoptar disposiciones de derecho interno), 11 (protección de la honra y la dignidad), 21 (derecho a la propiedad privada), 24 (igualdad ante la ley), 26 (desarrollo progresivo), 28 (cláusula federal) y 29 (normas de interpretación) de la Convención Americana.</w:t>
      </w:r>
    </w:p>
    <w:p w14:paraId="716D07C5" w14:textId="77777777" w:rsidR="00943E42" w:rsidRPr="00494BB7" w:rsidRDefault="00943E42" w:rsidP="00943E42">
      <w:pPr>
        <w:suppressAutoHyphens/>
        <w:jc w:val="both"/>
        <w:rPr>
          <w:rFonts w:asciiTheme="majorHAnsi" w:hAnsiTheme="majorHAnsi"/>
          <w:sz w:val="20"/>
          <w:szCs w:val="20"/>
          <w:highlight w:val="yellow"/>
          <w:lang w:val="es-ES"/>
        </w:rPr>
      </w:pPr>
    </w:p>
    <w:p w14:paraId="7ED01124" w14:textId="41A6EFCA" w:rsidR="00943E42" w:rsidRPr="00494BB7" w:rsidRDefault="00287D5A" w:rsidP="00943E42">
      <w:pPr>
        <w:numPr>
          <w:ilvl w:val="0"/>
          <w:numId w:val="103"/>
        </w:numPr>
        <w:suppressAutoHyphens/>
        <w:jc w:val="both"/>
        <w:rPr>
          <w:rFonts w:asciiTheme="majorHAnsi" w:hAnsiTheme="majorHAnsi"/>
          <w:sz w:val="20"/>
          <w:szCs w:val="20"/>
          <w:lang w:val="es-ES"/>
        </w:rPr>
      </w:pPr>
      <w:r>
        <w:rPr>
          <w:rFonts w:asciiTheme="majorHAnsi" w:hAnsiTheme="majorHAnsi"/>
          <w:sz w:val="20"/>
          <w:szCs w:val="20"/>
          <w:lang w:val="es"/>
        </w:rPr>
        <w:t>Con</w:t>
      </w:r>
      <w:r w:rsidR="00943E42" w:rsidRPr="00494BB7">
        <w:rPr>
          <w:rFonts w:asciiTheme="majorHAnsi" w:hAnsiTheme="majorHAnsi"/>
          <w:sz w:val="20"/>
          <w:szCs w:val="20"/>
          <w:lang w:val="es"/>
        </w:rPr>
        <w:t xml:space="preserve"> relación a los alegatos del Estado de que la presente petición es contraria a la “fórmula de cuarta instancia”, la CIDH reconoce que no está autorizada a revisar sentencias adoptadas por tribunales nacionales dentro de su jurisdicción y de conformidad con el debido proceso legal y</w:t>
      </w:r>
      <w:r w:rsidR="00AD1E5F">
        <w:rPr>
          <w:rFonts w:asciiTheme="majorHAnsi" w:hAnsiTheme="majorHAnsi"/>
          <w:sz w:val="20"/>
          <w:szCs w:val="20"/>
          <w:lang w:val="es"/>
        </w:rPr>
        <w:t xml:space="preserve"> las</w:t>
      </w:r>
      <w:r w:rsidR="00943E42" w:rsidRPr="00494BB7">
        <w:rPr>
          <w:rFonts w:asciiTheme="majorHAnsi" w:hAnsiTheme="majorHAnsi"/>
          <w:sz w:val="20"/>
          <w:szCs w:val="20"/>
          <w:lang w:val="es"/>
        </w:rPr>
        <w:t xml:space="preserve"> garantías judiciales. Sin embargo, la Comisión reitera que, según su mandato, sí es competente para declarar admisible una </w:t>
      </w:r>
      <w:r w:rsidR="00943E42" w:rsidRPr="00494BB7">
        <w:rPr>
          <w:rFonts w:asciiTheme="majorHAnsi" w:hAnsiTheme="majorHAnsi"/>
          <w:sz w:val="20"/>
          <w:szCs w:val="20"/>
          <w:lang w:val="es"/>
        </w:rPr>
        <w:lastRenderedPageBreak/>
        <w:t>petición y fallar sobre el fondo cuando esta se refiere a procesos internos que podrían ser violatorios de cualesquiera de los derechos garantizados por la Convención Americana.</w:t>
      </w:r>
    </w:p>
    <w:p w14:paraId="0F2E8698" w14:textId="77777777" w:rsidR="00943E42" w:rsidRPr="00494BB7" w:rsidRDefault="00943E42" w:rsidP="00943E42">
      <w:pPr>
        <w:jc w:val="both"/>
        <w:rPr>
          <w:rFonts w:asciiTheme="majorHAnsi" w:eastAsia="Cambria" w:hAnsiTheme="majorHAnsi" w:cs="Cambria"/>
          <w:b/>
          <w:bCs/>
          <w:color w:val="000000"/>
          <w:sz w:val="20"/>
          <w:szCs w:val="20"/>
          <w:u w:color="000000"/>
          <w:lang w:val="es-ES"/>
        </w:rPr>
      </w:pPr>
    </w:p>
    <w:p w14:paraId="06EE3A15" w14:textId="77777777" w:rsidR="00943E42" w:rsidRPr="00494BB7" w:rsidRDefault="00943E42" w:rsidP="00943E42">
      <w:pPr>
        <w:ind w:left="720"/>
        <w:jc w:val="both"/>
        <w:rPr>
          <w:rFonts w:asciiTheme="majorHAnsi" w:eastAsia="Cambria" w:hAnsiTheme="majorHAnsi" w:cs="Cambria"/>
          <w:b/>
          <w:bCs/>
          <w:color w:val="000000"/>
          <w:sz w:val="20"/>
          <w:szCs w:val="20"/>
          <w:u w:color="000000"/>
        </w:rPr>
      </w:pPr>
      <w:r w:rsidRPr="00494BB7">
        <w:rPr>
          <w:rFonts w:asciiTheme="majorHAnsi" w:eastAsia="Cambria" w:hAnsiTheme="majorHAnsi" w:cs="Cambria"/>
          <w:b/>
          <w:bCs/>
          <w:color w:val="000000"/>
          <w:sz w:val="20"/>
          <w:szCs w:val="20"/>
          <w:u w:color="000000"/>
          <w:lang w:val="es"/>
        </w:rPr>
        <w:t xml:space="preserve">VIII. </w:t>
      </w:r>
      <w:r w:rsidRPr="00494BB7">
        <w:rPr>
          <w:rFonts w:asciiTheme="majorHAnsi" w:eastAsia="Cambria" w:hAnsiTheme="majorHAnsi" w:cs="Cambria"/>
          <w:b/>
          <w:bCs/>
          <w:color w:val="000000"/>
          <w:sz w:val="20"/>
          <w:szCs w:val="20"/>
          <w:u w:color="000000"/>
          <w:lang w:val="es"/>
        </w:rPr>
        <w:tab/>
        <w:t>DECISIÓN</w:t>
      </w:r>
    </w:p>
    <w:p w14:paraId="7C36E854" w14:textId="77777777" w:rsidR="00943E42" w:rsidRPr="00494BB7" w:rsidRDefault="00943E42" w:rsidP="00943E42">
      <w:pPr>
        <w:suppressAutoHyphens/>
        <w:ind w:left="720"/>
        <w:jc w:val="both"/>
        <w:rPr>
          <w:rFonts w:asciiTheme="majorHAnsi" w:hAnsiTheme="majorHAnsi"/>
          <w:sz w:val="20"/>
          <w:szCs w:val="20"/>
        </w:rPr>
      </w:pPr>
    </w:p>
    <w:p w14:paraId="617BE144" w14:textId="77777777" w:rsidR="00943E42" w:rsidRPr="00494BB7" w:rsidRDefault="00943E42" w:rsidP="00943E42">
      <w:pPr>
        <w:numPr>
          <w:ilvl w:val="0"/>
          <w:numId w:val="109"/>
        </w:numPr>
        <w:suppressAutoHyphens/>
        <w:jc w:val="both"/>
        <w:rPr>
          <w:rFonts w:asciiTheme="majorHAnsi" w:hAnsiTheme="majorHAnsi"/>
          <w:sz w:val="20"/>
          <w:szCs w:val="20"/>
          <w:lang w:val="es-ES"/>
        </w:rPr>
      </w:pPr>
      <w:r w:rsidRPr="00494BB7">
        <w:rPr>
          <w:rFonts w:asciiTheme="majorHAnsi" w:hAnsiTheme="majorHAnsi"/>
          <w:sz w:val="20"/>
          <w:szCs w:val="20"/>
          <w:lang w:val="es"/>
        </w:rPr>
        <w:t>Declarar admisible la presente petición respecto de los artículos 5, 7, 8 y 25 de la Convención Americana</w:t>
      </w:r>
      <w:r w:rsidRPr="00494BB7">
        <w:rPr>
          <w:rFonts w:asciiTheme="majorHAnsi" w:hAnsiTheme="majorHAnsi"/>
          <w:lang w:val="es"/>
        </w:rPr>
        <w:t xml:space="preserve"> </w:t>
      </w:r>
      <w:r w:rsidRPr="00494BB7">
        <w:rPr>
          <w:rFonts w:asciiTheme="majorHAnsi" w:hAnsiTheme="majorHAnsi"/>
          <w:sz w:val="20"/>
          <w:szCs w:val="20"/>
          <w:lang w:val="es"/>
        </w:rPr>
        <w:t>en concordancia con su artículo 1.1;</w:t>
      </w:r>
    </w:p>
    <w:p w14:paraId="687DC631" w14:textId="77777777" w:rsidR="00943E42" w:rsidRPr="00494BB7" w:rsidRDefault="00943E42" w:rsidP="00943E42">
      <w:pPr>
        <w:ind w:left="720"/>
        <w:rPr>
          <w:rFonts w:asciiTheme="majorHAnsi" w:hAnsiTheme="majorHAnsi"/>
          <w:sz w:val="20"/>
          <w:szCs w:val="20"/>
          <w:u w:color="000000"/>
          <w:lang w:val="es-ES"/>
        </w:rPr>
      </w:pPr>
    </w:p>
    <w:p w14:paraId="3C29337F" w14:textId="77777777" w:rsidR="00943E42" w:rsidRPr="00AD1E5F" w:rsidRDefault="00943E42" w:rsidP="00943E42">
      <w:pPr>
        <w:numPr>
          <w:ilvl w:val="0"/>
          <w:numId w:val="109"/>
        </w:numPr>
        <w:rPr>
          <w:rFonts w:asciiTheme="majorHAnsi" w:hAnsiTheme="majorHAnsi"/>
          <w:sz w:val="16"/>
          <w:szCs w:val="16"/>
          <w:u w:color="000000"/>
          <w:lang w:val="es-ES"/>
        </w:rPr>
      </w:pPr>
      <w:r w:rsidRPr="00AD1E5F">
        <w:rPr>
          <w:rFonts w:asciiTheme="majorHAnsi" w:hAnsiTheme="majorHAnsi"/>
          <w:sz w:val="20"/>
          <w:szCs w:val="20"/>
          <w:lang w:val="es"/>
        </w:rPr>
        <w:t>Declarar inadmisible la presente petición respecto de los artículos 2, 11, 21, 24, 26, 28 y 29 de la Convención Americana; y</w:t>
      </w:r>
    </w:p>
    <w:p w14:paraId="13A965FB" w14:textId="77777777" w:rsidR="00943E42" w:rsidRPr="00494BB7" w:rsidRDefault="00943E42" w:rsidP="00943E42">
      <w:pPr>
        <w:rPr>
          <w:rFonts w:asciiTheme="majorHAnsi" w:hAnsiTheme="majorHAnsi"/>
          <w:sz w:val="20"/>
          <w:szCs w:val="20"/>
          <w:u w:color="000000"/>
          <w:lang w:val="es-ES"/>
        </w:rPr>
      </w:pPr>
    </w:p>
    <w:p w14:paraId="399B2D38" w14:textId="56736798" w:rsidR="00B254A3" w:rsidRPr="00494BB7" w:rsidRDefault="00943E42" w:rsidP="00943E42">
      <w:pPr>
        <w:numPr>
          <w:ilvl w:val="0"/>
          <w:numId w:val="109"/>
        </w:numPr>
        <w:suppressAutoHyphens/>
        <w:jc w:val="both"/>
        <w:rPr>
          <w:rFonts w:asciiTheme="majorHAnsi" w:hAnsiTheme="majorHAnsi"/>
          <w:sz w:val="20"/>
          <w:szCs w:val="20"/>
          <w:lang w:val="es-ES"/>
        </w:rPr>
      </w:pPr>
      <w:r w:rsidRPr="00494BB7">
        <w:rPr>
          <w:rFonts w:asciiTheme="majorHAnsi" w:hAnsiTheme="majorHAnsi"/>
          <w:sz w:val="20"/>
          <w:szCs w:val="20"/>
          <w:lang w:val="es"/>
        </w:rPr>
        <w:t>Notificar a las partes la presente decisión; continuar con el análisis del fondo de la cuestión; y publicar esta decisión e incluirla en su Informe Anual a la Asamblea General de la Organización de los Estados Americanos.</w:t>
      </w:r>
    </w:p>
    <w:p w14:paraId="2B8AB186" w14:textId="77777777" w:rsidR="00192CEA" w:rsidRDefault="003C093F" w:rsidP="00192CEA">
      <w:pPr>
        <w:ind w:firstLine="720"/>
        <w:jc w:val="both"/>
        <w:rPr>
          <w:rFonts w:ascii="Cambria" w:hAnsi="Cambria"/>
          <w:sz w:val="20"/>
          <w:szCs w:val="20"/>
          <w:lang w:val="es-PA"/>
        </w:rPr>
      </w:pPr>
      <w:r>
        <w:rPr>
          <w:rFonts w:ascii="Cambria" w:hAnsi="Cambria"/>
          <w:sz w:val="20"/>
          <w:szCs w:val="20"/>
          <w:lang w:val="es-PA"/>
        </w:rPr>
        <w:t xml:space="preserve"> </w:t>
      </w:r>
    </w:p>
    <w:p w14:paraId="17D67B94" w14:textId="6578A4CA" w:rsidR="00192CEA" w:rsidRPr="00A37B82" w:rsidRDefault="00192CEA" w:rsidP="00192CE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(en disidencia)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A4FA9DF" w14:textId="77777777" w:rsidR="00192CEA" w:rsidRPr="00A37B82" w:rsidRDefault="00192CEA" w:rsidP="00192CEA">
      <w:pPr>
        <w:suppressAutoHyphens/>
        <w:ind w:firstLine="720"/>
        <w:jc w:val="both"/>
        <w:rPr>
          <w:rFonts w:asciiTheme="majorHAnsi" w:hAnsiTheme="majorHAnsi" w:cs="Arial"/>
          <w:noProof/>
          <w:spacing w:val="-2"/>
          <w:sz w:val="20"/>
          <w:szCs w:val="20"/>
          <w:lang w:val="es-CL"/>
        </w:rPr>
      </w:pPr>
    </w:p>
    <w:sectPr w:rsidR="00192CEA"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86BA8" w14:textId="77777777" w:rsidR="00B77492" w:rsidRDefault="00B77492">
      <w:r>
        <w:separator/>
      </w:r>
    </w:p>
  </w:endnote>
  <w:endnote w:type="continuationSeparator" w:id="0">
    <w:p w14:paraId="73536FA3" w14:textId="77777777" w:rsidR="00B77492" w:rsidRDefault="00B7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48DB5" w14:textId="77777777" w:rsidR="00974D6F" w:rsidRDefault="00974D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200A08A" w14:textId="77777777" w:rsidR="0099258D" w:rsidRPr="00934A2C" w:rsidRDefault="0099258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74D6F">
          <w:rPr>
            <w:noProof/>
            <w:sz w:val="16"/>
            <w:szCs w:val="22"/>
          </w:rPr>
          <w:t>1</w:t>
        </w:r>
        <w:r w:rsidRPr="00934A2C">
          <w:rPr>
            <w:noProof/>
            <w:sz w:val="16"/>
            <w:szCs w:val="22"/>
          </w:rPr>
          <w:fldChar w:fldCharType="end"/>
        </w:r>
      </w:p>
    </w:sdtContent>
  </w:sdt>
  <w:p w14:paraId="3D1B8761" w14:textId="77777777" w:rsidR="0099258D" w:rsidRDefault="00992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F55F1" w14:textId="77777777" w:rsidR="0099258D" w:rsidRPr="00934A2C" w:rsidRDefault="0099258D">
    <w:pPr>
      <w:pStyle w:val="Footer"/>
      <w:jc w:val="center"/>
      <w:rPr>
        <w:sz w:val="16"/>
        <w:szCs w:val="22"/>
      </w:rPr>
    </w:pPr>
  </w:p>
  <w:p w14:paraId="2680C343" w14:textId="77777777" w:rsidR="0099258D" w:rsidRDefault="0099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6B58F" w14:textId="77777777" w:rsidR="00B77492" w:rsidRPr="000F35ED" w:rsidRDefault="00B7749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3E2EB65" w14:textId="77777777" w:rsidR="00B77492" w:rsidRPr="000F35ED" w:rsidRDefault="00B77492" w:rsidP="000F35ED">
      <w:pPr>
        <w:rPr>
          <w:rFonts w:asciiTheme="majorHAnsi" w:hAnsiTheme="majorHAnsi"/>
          <w:sz w:val="16"/>
          <w:szCs w:val="16"/>
        </w:rPr>
      </w:pPr>
      <w:r w:rsidRPr="000F35ED">
        <w:rPr>
          <w:rFonts w:asciiTheme="majorHAnsi" w:hAnsiTheme="majorHAnsi"/>
          <w:sz w:val="16"/>
          <w:szCs w:val="16"/>
        </w:rPr>
        <w:separator/>
      </w:r>
    </w:p>
    <w:p w14:paraId="636D74DB" w14:textId="77777777" w:rsidR="00B77492" w:rsidRPr="000F35ED" w:rsidRDefault="00B77492"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EB78192" w14:textId="77777777" w:rsidR="00B77492" w:rsidRPr="000F35ED" w:rsidRDefault="00B7749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013B037" w14:textId="4B35D0D5" w:rsidR="006D1FDC" w:rsidRPr="00654C4A" w:rsidRDefault="006D1FDC" w:rsidP="005A7CF1">
      <w:pPr>
        <w:pStyle w:val="FootnoteText"/>
        <w:ind w:firstLine="709"/>
        <w:jc w:val="both"/>
        <w:rPr>
          <w:rFonts w:asciiTheme="majorHAnsi" w:hAnsiTheme="majorHAnsi"/>
          <w:sz w:val="16"/>
          <w:szCs w:val="16"/>
          <w:lang w:val="es-ES"/>
        </w:rPr>
      </w:pPr>
      <w:r w:rsidRPr="00654C4A">
        <w:rPr>
          <w:rStyle w:val="FootnoteReference"/>
          <w:rFonts w:asciiTheme="majorHAnsi" w:hAnsiTheme="majorHAnsi"/>
          <w:sz w:val="16"/>
          <w:szCs w:val="16"/>
        </w:rPr>
        <w:footnoteRef/>
      </w:r>
      <w:r w:rsidRPr="00654C4A">
        <w:rPr>
          <w:rFonts w:asciiTheme="majorHAnsi" w:hAnsiTheme="majorHAnsi"/>
          <w:sz w:val="16"/>
          <w:szCs w:val="16"/>
          <w:lang w:val="es-ES"/>
        </w:rPr>
        <w:t xml:space="preserve"> </w:t>
      </w:r>
      <w:r w:rsidR="00654C4A" w:rsidRPr="00654C4A">
        <w:rPr>
          <w:rFonts w:asciiTheme="majorHAnsi" w:hAnsiTheme="majorHAnsi"/>
          <w:sz w:val="16"/>
          <w:szCs w:val="16"/>
          <w:lang w:val="es-ES"/>
        </w:rPr>
        <w:t>En adelante, “la Convención” o “la Convención Americana”.</w:t>
      </w:r>
    </w:p>
  </w:footnote>
  <w:footnote w:id="3">
    <w:p w14:paraId="2BE24C1A" w14:textId="50EDC165" w:rsidR="006D1FDC" w:rsidRPr="00654C4A" w:rsidRDefault="006D1FDC" w:rsidP="005A7CF1">
      <w:pPr>
        <w:pStyle w:val="FootnoteText"/>
        <w:ind w:firstLine="709"/>
        <w:jc w:val="both"/>
        <w:rPr>
          <w:rFonts w:asciiTheme="majorHAnsi" w:hAnsiTheme="majorHAnsi"/>
          <w:sz w:val="16"/>
          <w:szCs w:val="16"/>
          <w:lang w:val="es-ES"/>
        </w:rPr>
      </w:pPr>
      <w:r w:rsidRPr="00654C4A">
        <w:rPr>
          <w:rStyle w:val="FootnoteReference"/>
          <w:rFonts w:asciiTheme="majorHAnsi" w:hAnsiTheme="majorHAnsi"/>
          <w:sz w:val="16"/>
          <w:szCs w:val="16"/>
        </w:rPr>
        <w:footnoteRef/>
      </w:r>
      <w:r w:rsidRPr="00654C4A">
        <w:rPr>
          <w:rFonts w:asciiTheme="majorHAnsi" w:hAnsiTheme="majorHAnsi"/>
          <w:sz w:val="16"/>
          <w:szCs w:val="16"/>
          <w:lang w:val="es-ES"/>
        </w:rPr>
        <w:t xml:space="preserve"> </w:t>
      </w:r>
      <w:r w:rsidR="00654C4A" w:rsidRPr="00654C4A">
        <w:rPr>
          <w:rFonts w:asciiTheme="majorHAnsi" w:hAnsiTheme="majorHAnsi"/>
          <w:sz w:val="16"/>
          <w:szCs w:val="16"/>
          <w:lang w:val="es-ES"/>
        </w:rPr>
        <w:t>En adelante, “la Declaración Americana”.</w:t>
      </w:r>
    </w:p>
  </w:footnote>
  <w:footnote w:id="4">
    <w:p w14:paraId="177E4662" w14:textId="6B70C5EA" w:rsidR="006D1FDC" w:rsidRPr="00654C4A" w:rsidRDefault="006D1FDC" w:rsidP="005A7CF1">
      <w:pPr>
        <w:pStyle w:val="FootnoteText"/>
        <w:ind w:firstLine="709"/>
        <w:jc w:val="both"/>
        <w:rPr>
          <w:rFonts w:asciiTheme="majorHAnsi" w:hAnsiTheme="majorHAnsi"/>
          <w:sz w:val="16"/>
          <w:szCs w:val="16"/>
          <w:lang w:val="es-ES"/>
        </w:rPr>
      </w:pPr>
      <w:r w:rsidRPr="00654C4A">
        <w:rPr>
          <w:rStyle w:val="FootnoteReference"/>
          <w:rFonts w:asciiTheme="majorHAnsi" w:hAnsiTheme="majorHAnsi"/>
          <w:sz w:val="16"/>
          <w:szCs w:val="16"/>
        </w:rPr>
        <w:footnoteRef/>
      </w:r>
      <w:r w:rsidRPr="00654C4A">
        <w:rPr>
          <w:rFonts w:asciiTheme="majorHAnsi" w:hAnsiTheme="majorHAnsi"/>
          <w:sz w:val="16"/>
          <w:szCs w:val="16"/>
          <w:lang w:val="es-ES"/>
        </w:rPr>
        <w:t xml:space="preserve"> </w:t>
      </w:r>
      <w:r w:rsidR="00654C4A" w:rsidRPr="00654C4A">
        <w:rPr>
          <w:rFonts w:asciiTheme="majorHAnsi" w:hAnsiTheme="majorHAnsi"/>
          <w:sz w:val="16"/>
          <w:szCs w:val="16"/>
          <w:lang w:val="es-ES"/>
        </w:rPr>
        <w:t>Los artículos 6, 7, 8, 10, 17, 28 y 30 de la Declaración Universal de Derechos Humanos.</w:t>
      </w:r>
    </w:p>
  </w:footnote>
  <w:footnote w:id="5">
    <w:p w14:paraId="2551BE75" w14:textId="77777777" w:rsidR="0099258D" w:rsidRPr="007C4150" w:rsidRDefault="0099258D" w:rsidP="005A7CF1">
      <w:pPr>
        <w:pStyle w:val="FootnoteText"/>
        <w:ind w:firstLine="709"/>
        <w:jc w:val="both"/>
        <w:rPr>
          <w:rFonts w:asciiTheme="majorHAnsi" w:hAnsiTheme="majorHAnsi"/>
          <w:sz w:val="16"/>
          <w:szCs w:val="16"/>
          <w:lang w:val="es-ES"/>
        </w:rPr>
      </w:pPr>
      <w:r w:rsidRPr="007C4150">
        <w:rPr>
          <w:rStyle w:val="FootnoteReference"/>
          <w:rFonts w:asciiTheme="majorHAnsi" w:hAnsiTheme="majorHAnsi"/>
          <w:sz w:val="16"/>
          <w:szCs w:val="16"/>
        </w:rPr>
        <w:footnoteRef/>
      </w:r>
      <w:r w:rsidRPr="007C4150">
        <w:rPr>
          <w:rFonts w:asciiTheme="majorHAnsi" w:hAnsiTheme="majorHAnsi"/>
          <w:sz w:val="16"/>
          <w:szCs w:val="16"/>
          <w:lang w:val="es-ES"/>
        </w:rPr>
        <w:t xml:space="preserve"> Las observaciones de cada parte fueron debidamente trasladadas a la parte contraria.</w:t>
      </w:r>
    </w:p>
  </w:footnote>
  <w:footnote w:id="6">
    <w:p w14:paraId="4CA1105F" w14:textId="77777777" w:rsidR="00943E42" w:rsidRPr="00494BB7" w:rsidRDefault="00943E42" w:rsidP="005A7CF1">
      <w:pPr>
        <w:pStyle w:val="FootnoteText"/>
        <w:ind w:firstLine="709"/>
        <w:jc w:val="both"/>
        <w:rPr>
          <w:rFonts w:ascii="Cambria" w:hAnsi="Cambria"/>
          <w:sz w:val="16"/>
          <w:szCs w:val="16"/>
          <w:lang w:val="es-ES"/>
        </w:rPr>
      </w:pPr>
      <w:r>
        <w:rPr>
          <w:rStyle w:val="FootnoteReference"/>
          <w:rFonts w:ascii="Cambria" w:hAnsi="Cambria"/>
          <w:sz w:val="16"/>
          <w:szCs w:val="16"/>
          <w:lang w:val="es"/>
        </w:rPr>
        <w:footnoteRef/>
      </w:r>
      <w:r>
        <w:rPr>
          <w:rFonts w:ascii="Cambria" w:hAnsi="Cambria"/>
          <w:sz w:val="16"/>
          <w:szCs w:val="16"/>
          <w:lang w:val="es"/>
        </w:rPr>
        <w:t xml:space="preserve"> Radicada como Expediente No. 2485, Letra C.</w:t>
      </w:r>
    </w:p>
  </w:footnote>
  <w:footnote w:id="7">
    <w:p w14:paraId="59FDF20A" w14:textId="201592B2" w:rsidR="00943E42" w:rsidRPr="00494BB7" w:rsidRDefault="00943E42" w:rsidP="005A7CF1">
      <w:pPr>
        <w:pStyle w:val="FootnoteText"/>
        <w:ind w:firstLine="709"/>
        <w:jc w:val="both"/>
        <w:rPr>
          <w:rFonts w:ascii="Cambria" w:hAnsi="Cambria"/>
          <w:sz w:val="16"/>
          <w:szCs w:val="16"/>
          <w:lang w:val="es-ES"/>
        </w:rPr>
      </w:pPr>
      <w:r>
        <w:rPr>
          <w:rStyle w:val="FootnoteReference"/>
          <w:rFonts w:ascii="Cambria" w:hAnsi="Cambria"/>
          <w:sz w:val="16"/>
          <w:szCs w:val="16"/>
          <w:lang w:val="es"/>
        </w:rPr>
        <w:footnoteRef/>
      </w:r>
      <w:r>
        <w:rPr>
          <w:rFonts w:ascii="Cambria" w:hAnsi="Cambria"/>
          <w:sz w:val="16"/>
          <w:szCs w:val="16"/>
          <w:lang w:val="es"/>
        </w:rPr>
        <w:t xml:space="preserve"> CIDH, Informe N</w:t>
      </w:r>
      <w:r w:rsidR="00C23D35">
        <w:rPr>
          <w:rFonts w:ascii="Cambria" w:hAnsi="Cambria"/>
          <w:sz w:val="16"/>
          <w:szCs w:val="16"/>
          <w:lang w:val="es"/>
        </w:rPr>
        <w:t>o.</w:t>
      </w:r>
      <w:r>
        <w:rPr>
          <w:rFonts w:ascii="Cambria" w:hAnsi="Cambria"/>
          <w:sz w:val="16"/>
          <w:szCs w:val="16"/>
          <w:lang w:val="es"/>
        </w:rPr>
        <w:t xml:space="preserve"> 122/10</w:t>
      </w:r>
      <w:r w:rsidR="00C23D35">
        <w:rPr>
          <w:rFonts w:ascii="Cambria" w:hAnsi="Cambria"/>
          <w:sz w:val="16"/>
          <w:szCs w:val="16"/>
          <w:lang w:val="es"/>
        </w:rPr>
        <w:t>.</w:t>
      </w:r>
      <w:r>
        <w:rPr>
          <w:rFonts w:ascii="Cambria" w:hAnsi="Cambria"/>
          <w:sz w:val="16"/>
          <w:szCs w:val="16"/>
          <w:lang w:val="es"/>
        </w:rPr>
        <w:t xml:space="preserve"> Admisibilidad. Petición 475-00</w:t>
      </w:r>
      <w:r w:rsidR="00C23D35">
        <w:rPr>
          <w:rFonts w:ascii="Cambria" w:hAnsi="Cambria"/>
          <w:sz w:val="16"/>
          <w:szCs w:val="16"/>
          <w:lang w:val="es"/>
        </w:rPr>
        <w:t>.</w:t>
      </w:r>
      <w:r>
        <w:rPr>
          <w:rFonts w:ascii="Cambria" w:hAnsi="Cambria"/>
          <w:sz w:val="16"/>
          <w:szCs w:val="16"/>
          <w:lang w:val="es"/>
        </w:rPr>
        <w:t xml:space="preserve"> Carlos Arturo Betancourt Estrada y otros. Colombia. 23 de octubre de 2010, párr. 29.</w:t>
      </w:r>
    </w:p>
  </w:footnote>
  <w:footnote w:id="8">
    <w:p w14:paraId="7E3B4830" w14:textId="46F85BBB" w:rsidR="00943E42" w:rsidRPr="00494BB7" w:rsidRDefault="00943E42" w:rsidP="005A7CF1">
      <w:pPr>
        <w:pStyle w:val="FootnoteText"/>
        <w:ind w:firstLine="709"/>
        <w:jc w:val="both"/>
        <w:rPr>
          <w:rFonts w:ascii="Cambria" w:hAnsi="Cambria"/>
          <w:sz w:val="16"/>
          <w:szCs w:val="16"/>
          <w:lang w:val="es-ES"/>
        </w:rPr>
      </w:pPr>
      <w:r>
        <w:rPr>
          <w:rStyle w:val="FootnoteReference"/>
          <w:rFonts w:ascii="Cambria" w:hAnsi="Cambria"/>
          <w:sz w:val="16"/>
          <w:szCs w:val="16"/>
          <w:lang w:val="es"/>
        </w:rPr>
        <w:footnoteRef/>
      </w:r>
      <w:r>
        <w:rPr>
          <w:rFonts w:ascii="Cambria" w:hAnsi="Cambria"/>
          <w:sz w:val="16"/>
          <w:szCs w:val="16"/>
          <w:lang w:val="es"/>
        </w:rPr>
        <w:t xml:space="preserve"> CIDH, Informe N</w:t>
      </w:r>
      <w:r w:rsidR="00C23D35">
        <w:rPr>
          <w:rFonts w:ascii="Cambria" w:hAnsi="Cambria"/>
          <w:sz w:val="16"/>
          <w:szCs w:val="16"/>
          <w:lang w:val="es"/>
        </w:rPr>
        <w:t>o.</w:t>
      </w:r>
      <w:r>
        <w:rPr>
          <w:rFonts w:ascii="Cambria" w:hAnsi="Cambria"/>
          <w:sz w:val="16"/>
          <w:szCs w:val="16"/>
          <w:lang w:val="es"/>
        </w:rPr>
        <w:t xml:space="preserve"> 40/05</w:t>
      </w:r>
      <w:r w:rsidR="00C23D35">
        <w:rPr>
          <w:rFonts w:ascii="Cambria" w:hAnsi="Cambria"/>
          <w:sz w:val="16"/>
          <w:szCs w:val="16"/>
          <w:lang w:val="es"/>
        </w:rPr>
        <w:t>.</w:t>
      </w:r>
      <w:r>
        <w:rPr>
          <w:rFonts w:ascii="Cambria" w:hAnsi="Cambria"/>
          <w:sz w:val="16"/>
          <w:szCs w:val="16"/>
          <w:lang w:val="es"/>
        </w:rPr>
        <w:t xml:space="preserve"> Inadmisibilidad. Petición 12.139</w:t>
      </w:r>
      <w:r w:rsidR="00C23D35">
        <w:rPr>
          <w:rFonts w:ascii="Cambria" w:hAnsi="Cambria"/>
          <w:sz w:val="16"/>
          <w:szCs w:val="16"/>
          <w:lang w:val="es"/>
        </w:rPr>
        <w:t>.</w:t>
      </w:r>
      <w:r>
        <w:rPr>
          <w:rFonts w:ascii="Cambria" w:hAnsi="Cambria"/>
          <w:sz w:val="16"/>
          <w:szCs w:val="16"/>
          <w:lang w:val="es"/>
        </w:rPr>
        <w:t xml:space="preserve"> José Luis Forzanni Ballardo. Perú. 9 de marzo de 2005, párr. 35.</w:t>
      </w:r>
    </w:p>
  </w:footnote>
  <w:footnote w:id="9">
    <w:p w14:paraId="434D627B" w14:textId="77777777" w:rsidR="00943E42" w:rsidRPr="00494BB7" w:rsidRDefault="00943E42" w:rsidP="005A7CF1">
      <w:pPr>
        <w:pStyle w:val="FootnoteText"/>
        <w:ind w:firstLine="709"/>
        <w:jc w:val="both"/>
        <w:rPr>
          <w:rFonts w:ascii="Cambria" w:hAnsi="Cambria"/>
          <w:sz w:val="16"/>
          <w:szCs w:val="16"/>
          <w:lang w:val="es-ES"/>
        </w:rPr>
      </w:pPr>
      <w:r>
        <w:rPr>
          <w:rStyle w:val="FootnoteReference"/>
          <w:rFonts w:ascii="Cambria" w:hAnsi="Cambria"/>
          <w:sz w:val="16"/>
          <w:szCs w:val="16"/>
          <w:lang w:val="es"/>
        </w:rPr>
        <w:footnoteRef/>
      </w:r>
      <w:r>
        <w:rPr>
          <w:rFonts w:ascii="Cambria" w:hAnsi="Cambria"/>
          <w:sz w:val="16"/>
          <w:szCs w:val="16"/>
          <w:lang w:val="es"/>
        </w:rPr>
        <w:t xml:space="preserve"> CIDH, Informe No. 125/01. Caso 12.388. YATAMA. Nicaragua. 3 de diciembre de 2001, párr. 15.</w:t>
      </w:r>
    </w:p>
  </w:footnote>
  <w:footnote w:id="10">
    <w:p w14:paraId="0AC7EB11" w14:textId="77777777" w:rsidR="00943E42" w:rsidRPr="00494BB7" w:rsidRDefault="00943E42" w:rsidP="005A7CF1">
      <w:pPr>
        <w:pStyle w:val="FootnoteText"/>
        <w:ind w:firstLine="709"/>
        <w:jc w:val="both"/>
        <w:rPr>
          <w:rFonts w:ascii="Cambria" w:hAnsi="Cambria"/>
          <w:sz w:val="16"/>
          <w:szCs w:val="16"/>
          <w:lang w:val="es-ES"/>
        </w:rPr>
      </w:pPr>
      <w:r>
        <w:rPr>
          <w:rStyle w:val="FootnoteReference"/>
          <w:rFonts w:ascii="Cambria" w:hAnsi="Cambria"/>
          <w:sz w:val="16"/>
          <w:szCs w:val="16"/>
          <w:lang w:val="es"/>
        </w:rPr>
        <w:footnoteRef/>
      </w:r>
      <w:r>
        <w:rPr>
          <w:rFonts w:ascii="Cambria" w:hAnsi="Cambria"/>
          <w:sz w:val="16"/>
          <w:szCs w:val="16"/>
          <w:lang w:val="es"/>
        </w:rPr>
        <w:t xml:space="preserve"> CIDH, Informe No. 26/17. Petición 1208-08. Admisibilidad. William Olaya Moreno y familia. Colombia. 18 de marzo de 2017, párr. 9.</w:t>
      </w:r>
    </w:p>
  </w:footnote>
  <w:footnote w:id="11">
    <w:p w14:paraId="3291B19C" w14:textId="77777777" w:rsidR="00943E42" w:rsidRPr="00687A3D" w:rsidRDefault="00943E42" w:rsidP="005A7CF1">
      <w:pPr>
        <w:pStyle w:val="FootnoteText"/>
        <w:ind w:firstLine="709"/>
        <w:jc w:val="both"/>
        <w:rPr>
          <w:rFonts w:ascii="Cambria" w:hAnsi="Cambria"/>
          <w:sz w:val="16"/>
          <w:szCs w:val="16"/>
        </w:rPr>
      </w:pPr>
      <w:r>
        <w:rPr>
          <w:rStyle w:val="FootnoteReference"/>
          <w:rFonts w:ascii="Cambria" w:hAnsi="Cambria"/>
          <w:sz w:val="16"/>
          <w:szCs w:val="16"/>
          <w:lang w:val="es"/>
        </w:rPr>
        <w:footnoteRef/>
      </w:r>
      <w:r>
        <w:rPr>
          <w:rFonts w:ascii="Cambria" w:hAnsi="Cambria"/>
          <w:sz w:val="16"/>
          <w:szCs w:val="16"/>
          <w:lang w:val="es"/>
        </w:rPr>
        <w:t xml:space="preserve"> Ver CIDH, Informe No. 71/17. Petición 271-07. Admisibilidad. Jorge Luis de la Rosa Mejía y otros. Colombia. 29 de junio de 2017, párr. 56, e Informe No. 33/06. Petición 12.261. Admisibilidad. Philip Workman. Estados Unidos. 14 de marzo de 2006, párr.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EC5E" w14:textId="77777777" w:rsidR="0099258D" w:rsidRDefault="0099258D" w:rsidP="009925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A489E21" w14:textId="77777777" w:rsidR="0099258D" w:rsidRDefault="0099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D9BF" w14:textId="77777777" w:rsidR="0099258D" w:rsidRDefault="0099258D" w:rsidP="00A50FCF">
    <w:pPr>
      <w:pStyle w:val="Header"/>
      <w:tabs>
        <w:tab w:val="clear" w:pos="4320"/>
        <w:tab w:val="clear" w:pos="8640"/>
      </w:tabs>
      <w:jc w:val="center"/>
      <w:rPr>
        <w:sz w:val="22"/>
        <w:szCs w:val="22"/>
      </w:rPr>
    </w:pPr>
    <w:r>
      <w:rPr>
        <w:noProof/>
        <w:sz w:val="22"/>
        <w:szCs w:val="22"/>
      </w:rPr>
      <w:drawing>
        <wp:inline distT="0" distB="0" distL="0" distR="0" wp14:anchorId="281B3C60" wp14:editId="37E7F64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B574A09" w14:textId="77777777" w:rsidR="0099258D" w:rsidRPr="00EC7D62" w:rsidRDefault="00B77492" w:rsidP="00A50FCF">
    <w:pPr>
      <w:pStyle w:val="Header"/>
      <w:tabs>
        <w:tab w:val="clear" w:pos="4320"/>
        <w:tab w:val="clear" w:pos="8640"/>
      </w:tabs>
      <w:jc w:val="center"/>
      <w:rPr>
        <w:sz w:val="22"/>
        <w:szCs w:val="22"/>
      </w:rPr>
    </w:pPr>
    <w:r>
      <w:rPr>
        <w:sz w:val="22"/>
        <w:szCs w:val="22"/>
      </w:rPr>
      <w:pict w14:anchorId="58E005F7">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EA1AC" w14:textId="77777777" w:rsidR="00974D6F" w:rsidRDefault="00974D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7892F4C8"/>
    <w:lvl w:ilvl="0" w:tplc="566CD390">
      <w:start w:val="1"/>
      <w:numFmt w:val="decimal"/>
      <w:lvlText w:val="%1."/>
      <w:lvlJc w:val="left"/>
      <w:pPr>
        <w:tabs>
          <w:tab w:val="num" w:pos="720"/>
        </w:tabs>
        <w:ind w:left="0" w:firstLine="720"/>
      </w:pPr>
      <w:rPr>
        <w:rFonts w:hint="default"/>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23442C8"/>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8"/>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3809"/>
    <w:rsid w:val="000051C6"/>
    <w:rsid w:val="00006E1F"/>
    <w:rsid w:val="000070D7"/>
    <w:rsid w:val="00010DFF"/>
    <w:rsid w:val="000121EF"/>
    <w:rsid w:val="0001560F"/>
    <w:rsid w:val="0001788C"/>
    <w:rsid w:val="000337EF"/>
    <w:rsid w:val="00040C3A"/>
    <w:rsid w:val="000419AD"/>
    <w:rsid w:val="00046260"/>
    <w:rsid w:val="00050465"/>
    <w:rsid w:val="000716C5"/>
    <w:rsid w:val="00075E23"/>
    <w:rsid w:val="0009344A"/>
    <w:rsid w:val="000A2DC2"/>
    <w:rsid w:val="000A392E"/>
    <w:rsid w:val="000A575F"/>
    <w:rsid w:val="000A785C"/>
    <w:rsid w:val="000C0F58"/>
    <w:rsid w:val="000C521D"/>
    <w:rsid w:val="000C5F6A"/>
    <w:rsid w:val="000D10DB"/>
    <w:rsid w:val="000E5EB5"/>
    <w:rsid w:val="000F35ED"/>
    <w:rsid w:val="00107131"/>
    <w:rsid w:val="0010736F"/>
    <w:rsid w:val="00112D61"/>
    <w:rsid w:val="001136CF"/>
    <w:rsid w:val="00113F73"/>
    <w:rsid w:val="00121CC2"/>
    <w:rsid w:val="00124D2C"/>
    <w:rsid w:val="00125502"/>
    <w:rsid w:val="00125F09"/>
    <w:rsid w:val="0012651F"/>
    <w:rsid w:val="00133EE5"/>
    <w:rsid w:val="0013619C"/>
    <w:rsid w:val="001369C1"/>
    <w:rsid w:val="00157768"/>
    <w:rsid w:val="001633E0"/>
    <w:rsid w:val="00167A34"/>
    <w:rsid w:val="00171A7E"/>
    <w:rsid w:val="00190031"/>
    <w:rsid w:val="00192CEA"/>
    <w:rsid w:val="001A6A1B"/>
    <w:rsid w:val="001A754A"/>
    <w:rsid w:val="001A7870"/>
    <w:rsid w:val="001B31B5"/>
    <w:rsid w:val="001B3A00"/>
    <w:rsid w:val="001C1B41"/>
    <w:rsid w:val="001D344F"/>
    <w:rsid w:val="001D65EF"/>
    <w:rsid w:val="001E49E7"/>
    <w:rsid w:val="001F7201"/>
    <w:rsid w:val="001F76DC"/>
    <w:rsid w:val="002031A3"/>
    <w:rsid w:val="00204786"/>
    <w:rsid w:val="00207299"/>
    <w:rsid w:val="00210EC0"/>
    <w:rsid w:val="0021484C"/>
    <w:rsid w:val="00217C73"/>
    <w:rsid w:val="00223A29"/>
    <w:rsid w:val="002250A3"/>
    <w:rsid w:val="00231998"/>
    <w:rsid w:val="002345F8"/>
    <w:rsid w:val="00235217"/>
    <w:rsid w:val="0024549B"/>
    <w:rsid w:val="00246D1F"/>
    <w:rsid w:val="00247403"/>
    <w:rsid w:val="00247542"/>
    <w:rsid w:val="00266B61"/>
    <w:rsid w:val="0026712A"/>
    <w:rsid w:val="002704DB"/>
    <w:rsid w:val="0028150B"/>
    <w:rsid w:val="00287D5A"/>
    <w:rsid w:val="002A0AAE"/>
    <w:rsid w:val="002A5820"/>
    <w:rsid w:val="002B0C4E"/>
    <w:rsid w:val="002D2B26"/>
    <w:rsid w:val="002D5DFD"/>
    <w:rsid w:val="002D7EA2"/>
    <w:rsid w:val="002E187C"/>
    <w:rsid w:val="002E3CA5"/>
    <w:rsid w:val="002F0A0B"/>
    <w:rsid w:val="002F2A99"/>
    <w:rsid w:val="00302733"/>
    <w:rsid w:val="003073AD"/>
    <w:rsid w:val="00312CCC"/>
    <w:rsid w:val="00314078"/>
    <w:rsid w:val="0031535D"/>
    <w:rsid w:val="003239B8"/>
    <w:rsid w:val="0032427A"/>
    <w:rsid w:val="0033169F"/>
    <w:rsid w:val="00335E12"/>
    <w:rsid w:val="00337F78"/>
    <w:rsid w:val="00344977"/>
    <w:rsid w:val="00346C95"/>
    <w:rsid w:val="00356185"/>
    <w:rsid w:val="00360380"/>
    <w:rsid w:val="00364C3F"/>
    <w:rsid w:val="00370BFD"/>
    <w:rsid w:val="00374E78"/>
    <w:rsid w:val="0037519E"/>
    <w:rsid w:val="00380585"/>
    <w:rsid w:val="0038168A"/>
    <w:rsid w:val="0038296C"/>
    <w:rsid w:val="0038518C"/>
    <w:rsid w:val="003864E7"/>
    <w:rsid w:val="00386CF0"/>
    <w:rsid w:val="003A7451"/>
    <w:rsid w:val="003B2204"/>
    <w:rsid w:val="003B6B4F"/>
    <w:rsid w:val="003B70FB"/>
    <w:rsid w:val="003C093F"/>
    <w:rsid w:val="003C676B"/>
    <w:rsid w:val="003D1D3C"/>
    <w:rsid w:val="003D254F"/>
    <w:rsid w:val="003D3BC2"/>
    <w:rsid w:val="003E05E8"/>
    <w:rsid w:val="003E2C82"/>
    <w:rsid w:val="003E6CA1"/>
    <w:rsid w:val="004065A8"/>
    <w:rsid w:val="00413625"/>
    <w:rsid w:val="00414671"/>
    <w:rsid w:val="004165C2"/>
    <w:rsid w:val="00420D33"/>
    <w:rsid w:val="0043200A"/>
    <w:rsid w:val="004403A2"/>
    <w:rsid w:val="00440B44"/>
    <w:rsid w:val="00441ECB"/>
    <w:rsid w:val="00445193"/>
    <w:rsid w:val="00447897"/>
    <w:rsid w:val="00447BBF"/>
    <w:rsid w:val="004504B2"/>
    <w:rsid w:val="0045247F"/>
    <w:rsid w:val="00454503"/>
    <w:rsid w:val="00462C1B"/>
    <w:rsid w:val="00465858"/>
    <w:rsid w:val="00467B7E"/>
    <w:rsid w:val="00473BB4"/>
    <w:rsid w:val="00477592"/>
    <w:rsid w:val="00486F1C"/>
    <w:rsid w:val="0049419D"/>
    <w:rsid w:val="00494BB7"/>
    <w:rsid w:val="004A6A54"/>
    <w:rsid w:val="004B21CF"/>
    <w:rsid w:val="004B7461"/>
    <w:rsid w:val="004C20D2"/>
    <w:rsid w:val="004C2312"/>
    <w:rsid w:val="004C4B62"/>
    <w:rsid w:val="004C54C9"/>
    <w:rsid w:val="004C7B2C"/>
    <w:rsid w:val="004D01EE"/>
    <w:rsid w:val="004D4ABA"/>
    <w:rsid w:val="004D6025"/>
    <w:rsid w:val="004D78C1"/>
    <w:rsid w:val="004E1619"/>
    <w:rsid w:val="004E2649"/>
    <w:rsid w:val="004F555A"/>
    <w:rsid w:val="004F7707"/>
    <w:rsid w:val="00500F38"/>
    <w:rsid w:val="00501399"/>
    <w:rsid w:val="0050633D"/>
    <w:rsid w:val="00507951"/>
    <w:rsid w:val="00507BC4"/>
    <w:rsid w:val="005128E4"/>
    <w:rsid w:val="005133DB"/>
    <w:rsid w:val="0051652D"/>
    <w:rsid w:val="00525560"/>
    <w:rsid w:val="00544C49"/>
    <w:rsid w:val="00544E91"/>
    <w:rsid w:val="00547814"/>
    <w:rsid w:val="005516A1"/>
    <w:rsid w:val="00563557"/>
    <w:rsid w:val="00566CB8"/>
    <w:rsid w:val="0057402A"/>
    <w:rsid w:val="005771D0"/>
    <w:rsid w:val="00585D5F"/>
    <w:rsid w:val="00590296"/>
    <w:rsid w:val="0059191A"/>
    <w:rsid w:val="005921FF"/>
    <w:rsid w:val="0059369B"/>
    <w:rsid w:val="005A1606"/>
    <w:rsid w:val="005A24ED"/>
    <w:rsid w:val="005A28CC"/>
    <w:rsid w:val="005A6D0E"/>
    <w:rsid w:val="005A7CF1"/>
    <w:rsid w:val="005B226B"/>
    <w:rsid w:val="005B52B0"/>
    <w:rsid w:val="005B6806"/>
    <w:rsid w:val="005C0010"/>
    <w:rsid w:val="005C4225"/>
    <w:rsid w:val="005C5CCF"/>
    <w:rsid w:val="005E37A9"/>
    <w:rsid w:val="005E5869"/>
    <w:rsid w:val="005F0DAD"/>
    <w:rsid w:val="005F0F33"/>
    <w:rsid w:val="00600DEB"/>
    <w:rsid w:val="0060356B"/>
    <w:rsid w:val="00606CDA"/>
    <w:rsid w:val="00613C8A"/>
    <w:rsid w:val="006218E4"/>
    <w:rsid w:val="00622697"/>
    <w:rsid w:val="00623C62"/>
    <w:rsid w:val="00627C9F"/>
    <w:rsid w:val="00627DA9"/>
    <w:rsid w:val="006311E9"/>
    <w:rsid w:val="00632354"/>
    <w:rsid w:val="00642810"/>
    <w:rsid w:val="00643DC9"/>
    <w:rsid w:val="00647B06"/>
    <w:rsid w:val="00652333"/>
    <w:rsid w:val="00654C4A"/>
    <w:rsid w:val="00661C97"/>
    <w:rsid w:val="00663E46"/>
    <w:rsid w:val="006731B9"/>
    <w:rsid w:val="0068009E"/>
    <w:rsid w:val="00692219"/>
    <w:rsid w:val="00694D48"/>
    <w:rsid w:val="006A0DC2"/>
    <w:rsid w:val="006A17D2"/>
    <w:rsid w:val="006A3251"/>
    <w:rsid w:val="006A73E6"/>
    <w:rsid w:val="006B2D5C"/>
    <w:rsid w:val="006C4EB1"/>
    <w:rsid w:val="006D1FDC"/>
    <w:rsid w:val="006D421B"/>
    <w:rsid w:val="006E0166"/>
    <w:rsid w:val="006E2CC0"/>
    <w:rsid w:val="006E7B34"/>
    <w:rsid w:val="006F00E7"/>
    <w:rsid w:val="006F084F"/>
    <w:rsid w:val="006F1C9E"/>
    <w:rsid w:val="006F5ACD"/>
    <w:rsid w:val="00705EAE"/>
    <w:rsid w:val="00706149"/>
    <w:rsid w:val="007067C6"/>
    <w:rsid w:val="0070697F"/>
    <w:rsid w:val="00710CE8"/>
    <w:rsid w:val="00711C21"/>
    <w:rsid w:val="00712401"/>
    <w:rsid w:val="007160BD"/>
    <w:rsid w:val="007218F1"/>
    <w:rsid w:val="0072199C"/>
    <w:rsid w:val="00722C9F"/>
    <w:rsid w:val="007253B8"/>
    <w:rsid w:val="00733356"/>
    <w:rsid w:val="0073741F"/>
    <w:rsid w:val="00742890"/>
    <w:rsid w:val="00742E25"/>
    <w:rsid w:val="00756F85"/>
    <w:rsid w:val="00763AE4"/>
    <w:rsid w:val="00763CA6"/>
    <w:rsid w:val="0076643F"/>
    <w:rsid w:val="00775FCE"/>
    <w:rsid w:val="00777F63"/>
    <w:rsid w:val="0078681C"/>
    <w:rsid w:val="00797815"/>
    <w:rsid w:val="007A0CDE"/>
    <w:rsid w:val="007A5817"/>
    <w:rsid w:val="007A601D"/>
    <w:rsid w:val="007B05C4"/>
    <w:rsid w:val="007B60E9"/>
    <w:rsid w:val="007B6CC3"/>
    <w:rsid w:val="007C3334"/>
    <w:rsid w:val="007C4150"/>
    <w:rsid w:val="007D2B98"/>
    <w:rsid w:val="007D48DE"/>
    <w:rsid w:val="007E21BC"/>
    <w:rsid w:val="007E5CFB"/>
    <w:rsid w:val="007E7C82"/>
    <w:rsid w:val="007F203C"/>
    <w:rsid w:val="007F588D"/>
    <w:rsid w:val="00802833"/>
    <w:rsid w:val="00803F1C"/>
    <w:rsid w:val="0080600E"/>
    <w:rsid w:val="0080687A"/>
    <w:rsid w:val="00817612"/>
    <w:rsid w:val="00821540"/>
    <w:rsid w:val="008338A4"/>
    <w:rsid w:val="00834D49"/>
    <w:rsid w:val="00837C45"/>
    <w:rsid w:val="00844730"/>
    <w:rsid w:val="008457C2"/>
    <w:rsid w:val="00857A82"/>
    <w:rsid w:val="00864C4D"/>
    <w:rsid w:val="00866F3B"/>
    <w:rsid w:val="00873836"/>
    <w:rsid w:val="00876D62"/>
    <w:rsid w:val="00883BDD"/>
    <w:rsid w:val="00885737"/>
    <w:rsid w:val="00890650"/>
    <w:rsid w:val="00890AD8"/>
    <w:rsid w:val="00893CA2"/>
    <w:rsid w:val="008948FF"/>
    <w:rsid w:val="00897E12"/>
    <w:rsid w:val="008A7E0F"/>
    <w:rsid w:val="008B12F5"/>
    <w:rsid w:val="008B20E6"/>
    <w:rsid w:val="008B6FA8"/>
    <w:rsid w:val="008D00AC"/>
    <w:rsid w:val="008D768D"/>
    <w:rsid w:val="008E3759"/>
    <w:rsid w:val="008E3BFE"/>
    <w:rsid w:val="008E6CE0"/>
    <w:rsid w:val="008F1912"/>
    <w:rsid w:val="008F22E7"/>
    <w:rsid w:val="008F5938"/>
    <w:rsid w:val="0090270B"/>
    <w:rsid w:val="009041DC"/>
    <w:rsid w:val="00917B5A"/>
    <w:rsid w:val="00920A58"/>
    <w:rsid w:val="00920A8C"/>
    <w:rsid w:val="009223E3"/>
    <w:rsid w:val="009225CF"/>
    <w:rsid w:val="00931F51"/>
    <w:rsid w:val="00933F6A"/>
    <w:rsid w:val="00934A2C"/>
    <w:rsid w:val="00934B2B"/>
    <w:rsid w:val="009358E1"/>
    <w:rsid w:val="00943E42"/>
    <w:rsid w:val="009559CD"/>
    <w:rsid w:val="00960625"/>
    <w:rsid w:val="009629C7"/>
    <w:rsid w:val="0096706E"/>
    <w:rsid w:val="0096709F"/>
    <w:rsid w:val="00973E52"/>
    <w:rsid w:val="00974491"/>
    <w:rsid w:val="00974D6F"/>
    <w:rsid w:val="00975C4E"/>
    <w:rsid w:val="00981FBA"/>
    <w:rsid w:val="00986116"/>
    <w:rsid w:val="0099258D"/>
    <w:rsid w:val="00997BC5"/>
    <w:rsid w:val="009A1F10"/>
    <w:rsid w:val="009A4F41"/>
    <w:rsid w:val="009B2D2F"/>
    <w:rsid w:val="009B381B"/>
    <w:rsid w:val="009B7F45"/>
    <w:rsid w:val="009C0E40"/>
    <w:rsid w:val="009C42F3"/>
    <w:rsid w:val="009D1753"/>
    <w:rsid w:val="009D7611"/>
    <w:rsid w:val="009E0B61"/>
    <w:rsid w:val="009E53DE"/>
    <w:rsid w:val="00A040E2"/>
    <w:rsid w:val="00A066A6"/>
    <w:rsid w:val="00A11E44"/>
    <w:rsid w:val="00A1365F"/>
    <w:rsid w:val="00A218EF"/>
    <w:rsid w:val="00A24333"/>
    <w:rsid w:val="00A328B3"/>
    <w:rsid w:val="00A3717F"/>
    <w:rsid w:val="00A50FCF"/>
    <w:rsid w:val="00A528D1"/>
    <w:rsid w:val="00A610CD"/>
    <w:rsid w:val="00A65E58"/>
    <w:rsid w:val="00A74695"/>
    <w:rsid w:val="00A758AA"/>
    <w:rsid w:val="00A75939"/>
    <w:rsid w:val="00A75A7D"/>
    <w:rsid w:val="00A84104"/>
    <w:rsid w:val="00AA03A1"/>
    <w:rsid w:val="00AA09A2"/>
    <w:rsid w:val="00AA7996"/>
    <w:rsid w:val="00AB2650"/>
    <w:rsid w:val="00AC19CB"/>
    <w:rsid w:val="00AD1C7A"/>
    <w:rsid w:val="00AD1E5F"/>
    <w:rsid w:val="00AE33F9"/>
    <w:rsid w:val="00AE5488"/>
    <w:rsid w:val="00AE6F91"/>
    <w:rsid w:val="00AE7900"/>
    <w:rsid w:val="00AF5571"/>
    <w:rsid w:val="00B07341"/>
    <w:rsid w:val="00B10D88"/>
    <w:rsid w:val="00B165FF"/>
    <w:rsid w:val="00B254A3"/>
    <w:rsid w:val="00B259EF"/>
    <w:rsid w:val="00B30539"/>
    <w:rsid w:val="00B314DB"/>
    <w:rsid w:val="00B361F2"/>
    <w:rsid w:val="00B3718B"/>
    <w:rsid w:val="00B44E2A"/>
    <w:rsid w:val="00B4632A"/>
    <w:rsid w:val="00B46C68"/>
    <w:rsid w:val="00B530F1"/>
    <w:rsid w:val="00B532AA"/>
    <w:rsid w:val="00B60C16"/>
    <w:rsid w:val="00B643B4"/>
    <w:rsid w:val="00B73438"/>
    <w:rsid w:val="00B77492"/>
    <w:rsid w:val="00B82E30"/>
    <w:rsid w:val="00B92BFA"/>
    <w:rsid w:val="00BA276C"/>
    <w:rsid w:val="00BB306F"/>
    <w:rsid w:val="00BC1EE3"/>
    <w:rsid w:val="00BD4B89"/>
    <w:rsid w:val="00BD5460"/>
    <w:rsid w:val="00BD5922"/>
    <w:rsid w:val="00BF02CB"/>
    <w:rsid w:val="00BF561B"/>
    <w:rsid w:val="00BF6FD8"/>
    <w:rsid w:val="00C03680"/>
    <w:rsid w:val="00C05296"/>
    <w:rsid w:val="00C054DF"/>
    <w:rsid w:val="00C21762"/>
    <w:rsid w:val="00C21FEF"/>
    <w:rsid w:val="00C225C4"/>
    <w:rsid w:val="00C23D35"/>
    <w:rsid w:val="00C24543"/>
    <w:rsid w:val="00C256A2"/>
    <w:rsid w:val="00C26D0A"/>
    <w:rsid w:val="00C355E6"/>
    <w:rsid w:val="00C450AE"/>
    <w:rsid w:val="00C51515"/>
    <w:rsid w:val="00C53201"/>
    <w:rsid w:val="00C5660B"/>
    <w:rsid w:val="00C60664"/>
    <w:rsid w:val="00C66B72"/>
    <w:rsid w:val="00C725B5"/>
    <w:rsid w:val="00C74927"/>
    <w:rsid w:val="00C765B7"/>
    <w:rsid w:val="00C76649"/>
    <w:rsid w:val="00C85BEA"/>
    <w:rsid w:val="00C87AC4"/>
    <w:rsid w:val="00C9567A"/>
    <w:rsid w:val="00CB212D"/>
    <w:rsid w:val="00CB2660"/>
    <w:rsid w:val="00CB2E5A"/>
    <w:rsid w:val="00CC09CB"/>
    <w:rsid w:val="00CC0AD2"/>
    <w:rsid w:val="00CC5E90"/>
    <w:rsid w:val="00CD046C"/>
    <w:rsid w:val="00CE076C"/>
    <w:rsid w:val="00CE2A41"/>
    <w:rsid w:val="00CE5199"/>
    <w:rsid w:val="00CE5C4A"/>
    <w:rsid w:val="00CE66D5"/>
    <w:rsid w:val="00CF637A"/>
    <w:rsid w:val="00D059DE"/>
    <w:rsid w:val="00D05ABD"/>
    <w:rsid w:val="00D11311"/>
    <w:rsid w:val="00D13FCE"/>
    <w:rsid w:val="00D14F60"/>
    <w:rsid w:val="00D306D1"/>
    <w:rsid w:val="00D30800"/>
    <w:rsid w:val="00D34786"/>
    <w:rsid w:val="00D37BFC"/>
    <w:rsid w:val="00D4529C"/>
    <w:rsid w:val="00D45905"/>
    <w:rsid w:val="00D47A8E"/>
    <w:rsid w:val="00D52D14"/>
    <w:rsid w:val="00D57A0C"/>
    <w:rsid w:val="00D64F28"/>
    <w:rsid w:val="00D712D3"/>
    <w:rsid w:val="00D71422"/>
    <w:rsid w:val="00D72DC6"/>
    <w:rsid w:val="00D7558D"/>
    <w:rsid w:val="00D81471"/>
    <w:rsid w:val="00D81D92"/>
    <w:rsid w:val="00D876F9"/>
    <w:rsid w:val="00DA2715"/>
    <w:rsid w:val="00DA671F"/>
    <w:rsid w:val="00DA7B5F"/>
    <w:rsid w:val="00DB15AD"/>
    <w:rsid w:val="00DB42D0"/>
    <w:rsid w:val="00DC11E7"/>
    <w:rsid w:val="00DC7023"/>
    <w:rsid w:val="00DC769A"/>
    <w:rsid w:val="00DD0231"/>
    <w:rsid w:val="00DD26CE"/>
    <w:rsid w:val="00DD3D86"/>
    <w:rsid w:val="00DE02AB"/>
    <w:rsid w:val="00DF05F0"/>
    <w:rsid w:val="00DF07D8"/>
    <w:rsid w:val="00DF1EC4"/>
    <w:rsid w:val="00E0340B"/>
    <w:rsid w:val="00E04A90"/>
    <w:rsid w:val="00E0551F"/>
    <w:rsid w:val="00E069A1"/>
    <w:rsid w:val="00E219C7"/>
    <w:rsid w:val="00E25F59"/>
    <w:rsid w:val="00E261B5"/>
    <w:rsid w:val="00E2743A"/>
    <w:rsid w:val="00E4118C"/>
    <w:rsid w:val="00E43157"/>
    <w:rsid w:val="00E44035"/>
    <w:rsid w:val="00E461CE"/>
    <w:rsid w:val="00E47256"/>
    <w:rsid w:val="00E50BE8"/>
    <w:rsid w:val="00E56B50"/>
    <w:rsid w:val="00E6386B"/>
    <w:rsid w:val="00E64D1A"/>
    <w:rsid w:val="00E720CA"/>
    <w:rsid w:val="00E75E2E"/>
    <w:rsid w:val="00E77E88"/>
    <w:rsid w:val="00E80D19"/>
    <w:rsid w:val="00E84EB5"/>
    <w:rsid w:val="00E85662"/>
    <w:rsid w:val="00E8734F"/>
    <w:rsid w:val="00E8789F"/>
    <w:rsid w:val="00E91F8C"/>
    <w:rsid w:val="00E97B71"/>
    <w:rsid w:val="00EA3D34"/>
    <w:rsid w:val="00EB454D"/>
    <w:rsid w:val="00EC33A0"/>
    <w:rsid w:val="00EC3C2F"/>
    <w:rsid w:val="00EC5E9C"/>
    <w:rsid w:val="00ED0C98"/>
    <w:rsid w:val="00ED549D"/>
    <w:rsid w:val="00ED76BE"/>
    <w:rsid w:val="00EE00E9"/>
    <w:rsid w:val="00EE28EE"/>
    <w:rsid w:val="00EF619B"/>
    <w:rsid w:val="00F00B55"/>
    <w:rsid w:val="00F02AD1"/>
    <w:rsid w:val="00F02C97"/>
    <w:rsid w:val="00F253CC"/>
    <w:rsid w:val="00F34AFF"/>
    <w:rsid w:val="00F37106"/>
    <w:rsid w:val="00F519CF"/>
    <w:rsid w:val="00F55B4E"/>
    <w:rsid w:val="00F56253"/>
    <w:rsid w:val="00F56BA5"/>
    <w:rsid w:val="00F60E22"/>
    <w:rsid w:val="00F717C2"/>
    <w:rsid w:val="00F730D3"/>
    <w:rsid w:val="00F81395"/>
    <w:rsid w:val="00F8171D"/>
    <w:rsid w:val="00F81BB8"/>
    <w:rsid w:val="00F917D1"/>
    <w:rsid w:val="00F950E1"/>
    <w:rsid w:val="00F9653B"/>
    <w:rsid w:val="00FA2C30"/>
    <w:rsid w:val="00FB62CF"/>
    <w:rsid w:val="00FD3C3B"/>
    <w:rsid w:val="00FD42AD"/>
    <w:rsid w:val="00FD605B"/>
    <w:rsid w:val="00FD62AD"/>
    <w:rsid w:val="00FE07DD"/>
    <w:rsid w:val="00FE6B45"/>
    <w:rsid w:val="00FF1323"/>
    <w:rsid w:val="00FF3683"/>
    <w:rsid w:val="00FF55F3"/>
    <w:rsid w:val="00FF5851"/>
    <w:rsid w:val="00FF628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01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09F"/>
    <w:rPr>
      <w:sz w:val="16"/>
      <w:szCs w:val="16"/>
    </w:rPr>
  </w:style>
  <w:style w:type="paragraph" w:styleId="CommentText">
    <w:name w:val="annotation text"/>
    <w:basedOn w:val="Normal"/>
    <w:link w:val="CommentTextChar"/>
    <w:uiPriority w:val="99"/>
    <w:semiHidden/>
    <w:unhideWhenUsed/>
    <w:rsid w:val="0096709F"/>
    <w:rPr>
      <w:sz w:val="20"/>
      <w:szCs w:val="20"/>
    </w:rPr>
  </w:style>
  <w:style w:type="character" w:customStyle="1" w:styleId="CommentTextChar">
    <w:name w:val="Comment Text Char"/>
    <w:basedOn w:val="DefaultParagraphFont"/>
    <w:link w:val="CommentText"/>
    <w:uiPriority w:val="99"/>
    <w:semiHidden/>
    <w:rsid w:val="0096709F"/>
    <w:rPr>
      <w:lang w:val="en-US" w:eastAsia="en-US"/>
    </w:rPr>
  </w:style>
  <w:style w:type="paragraph" w:styleId="CommentSubject">
    <w:name w:val="annotation subject"/>
    <w:basedOn w:val="CommentText"/>
    <w:next w:val="CommentText"/>
    <w:link w:val="CommentSubjectChar"/>
    <w:uiPriority w:val="99"/>
    <w:semiHidden/>
    <w:unhideWhenUsed/>
    <w:rsid w:val="0096709F"/>
    <w:rPr>
      <w:b/>
      <w:bCs/>
    </w:rPr>
  </w:style>
  <w:style w:type="character" w:customStyle="1" w:styleId="CommentSubjectChar">
    <w:name w:val="Comment Subject Char"/>
    <w:basedOn w:val="CommentTextChar"/>
    <w:link w:val="CommentSubject"/>
    <w:uiPriority w:val="99"/>
    <w:semiHidden/>
    <w:rsid w:val="0096709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1391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C00BABF2EA4BDC95125B72D2BF8292"/>
        <w:category>
          <w:name w:val="General"/>
          <w:gallery w:val="placeholder"/>
        </w:category>
        <w:types>
          <w:type w:val="bbPlcHdr"/>
        </w:types>
        <w:behaviors>
          <w:behavior w:val="content"/>
        </w:behaviors>
        <w:guid w:val="{F82E19EA-309D-428C-B050-E252E5BE1B8F}"/>
      </w:docPartPr>
      <w:docPartBody>
        <w:p w:rsidR="009E7D65" w:rsidRDefault="005342BA" w:rsidP="005342BA">
          <w:pPr>
            <w:pStyle w:val="3CC00BABF2EA4BDC95125B72D2BF829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A0F6A"/>
    <w:rsid w:val="000C639B"/>
    <w:rsid w:val="00116D0C"/>
    <w:rsid w:val="001325A7"/>
    <w:rsid w:val="00200821"/>
    <w:rsid w:val="00233774"/>
    <w:rsid w:val="00394049"/>
    <w:rsid w:val="003B5260"/>
    <w:rsid w:val="0047570C"/>
    <w:rsid w:val="004F2DF8"/>
    <w:rsid w:val="005342BA"/>
    <w:rsid w:val="005C0C44"/>
    <w:rsid w:val="005F1A2F"/>
    <w:rsid w:val="0060264A"/>
    <w:rsid w:val="0067227E"/>
    <w:rsid w:val="007200C3"/>
    <w:rsid w:val="0073427B"/>
    <w:rsid w:val="00782223"/>
    <w:rsid w:val="009A261B"/>
    <w:rsid w:val="009E7D65"/>
    <w:rsid w:val="00A56429"/>
    <w:rsid w:val="00AB4B32"/>
    <w:rsid w:val="00AC0348"/>
    <w:rsid w:val="00AC15A4"/>
    <w:rsid w:val="00B0336C"/>
    <w:rsid w:val="00D223B1"/>
    <w:rsid w:val="00D435D1"/>
    <w:rsid w:val="00DE7283"/>
    <w:rsid w:val="00E114B9"/>
    <w:rsid w:val="00E32515"/>
    <w:rsid w:val="00EF1061"/>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2BA"/>
    <w:rPr>
      <w:color w:val="808080"/>
    </w:rPr>
  </w:style>
  <w:style w:type="paragraph" w:customStyle="1" w:styleId="3CC00BABF2EA4BDC95125B72D2BF8292">
    <w:name w:val="3CC00BABF2EA4BDC95125B72D2BF8292"/>
    <w:rsid w:val="005342B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0F5F2-73AD-4051-8EE6-2566E039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3023</Words>
  <Characters>17233</Characters>
  <Application>Microsoft Office Word</Application>
  <DocSecurity>0</DocSecurity>
  <Lines>143</Lines>
  <Paragraphs>40</Paragraphs>
  <ScaleCrop>false</ScaleCrop>
  <Company/>
  <LinksUpToDate>false</LinksUpToDate>
  <CharactersWithSpaces>20216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104/21</dc:title>
  <dc:creator/>
  <cp:lastModifiedBy/>
  <cp:revision>1</cp:revision>
  <dcterms:created xsi:type="dcterms:W3CDTF">2021-06-28T12:10:00Z</dcterms:created>
  <dcterms:modified xsi:type="dcterms:W3CDTF">2021-06-28T12:10:00Z</dcterms:modified>
</cp:coreProperties>
</file>