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6167748"/>
    <w:p w14:paraId="11289B20" w14:textId="57F7A499" w:rsidR="00C02C7F" w:rsidRPr="007E16D2" w:rsidRDefault="00035FF1" w:rsidP="007E16D2">
      <w:pPr>
        <w:pStyle w:val="BodyText"/>
        <w:ind w:right="1000"/>
        <w:rPr>
          <w:rFonts w:ascii="Times New Roman"/>
          <w:sz w:val="9"/>
        </w:rPr>
      </w:pPr>
      <w:r w:rsidRPr="007E16D2">
        <w:rPr>
          <w:noProof/>
        </w:rPr>
        <mc:AlternateContent>
          <mc:Choice Requires="wps">
            <w:drawing>
              <wp:anchor distT="0" distB="0" distL="114300" distR="114300" simplePos="0" relativeHeight="251657216" behindDoc="0" locked="0" layoutInCell="1" allowOverlap="1" wp14:anchorId="5F6C74EE" wp14:editId="009FEEE0">
                <wp:simplePos x="0" y="0"/>
                <wp:positionH relativeFrom="page">
                  <wp:posOffset>498475</wp:posOffset>
                </wp:positionH>
                <wp:positionV relativeFrom="page">
                  <wp:posOffset>474980</wp:posOffset>
                </wp:positionV>
                <wp:extent cx="1543050" cy="9096375"/>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6298F" w14:textId="77777777" w:rsidR="00C02C7F" w:rsidRDefault="00C02C7F">
                            <w:pPr>
                              <w:pStyle w:val="BodyText"/>
                              <w:rPr>
                                <w:sz w:val="22"/>
                              </w:rPr>
                            </w:pPr>
                          </w:p>
                          <w:p w14:paraId="68352512" w14:textId="77777777" w:rsidR="00C02C7F" w:rsidRDefault="00C02C7F">
                            <w:pPr>
                              <w:pStyle w:val="BodyText"/>
                              <w:rPr>
                                <w:sz w:val="22"/>
                              </w:rPr>
                            </w:pPr>
                          </w:p>
                          <w:p w14:paraId="59DC0060" w14:textId="77777777" w:rsidR="00C02C7F" w:rsidRDefault="00C02C7F">
                            <w:pPr>
                              <w:pStyle w:val="BodyText"/>
                              <w:rPr>
                                <w:sz w:val="22"/>
                              </w:rPr>
                            </w:pPr>
                          </w:p>
                          <w:p w14:paraId="68073EBC" w14:textId="77777777" w:rsidR="00C02C7F" w:rsidRDefault="00C02C7F">
                            <w:pPr>
                              <w:pStyle w:val="BodyText"/>
                              <w:rPr>
                                <w:sz w:val="22"/>
                              </w:rPr>
                            </w:pPr>
                          </w:p>
                          <w:p w14:paraId="78FEA6A8" w14:textId="77777777" w:rsidR="00C02C7F" w:rsidRDefault="00C02C7F">
                            <w:pPr>
                              <w:pStyle w:val="BodyText"/>
                              <w:rPr>
                                <w:sz w:val="22"/>
                              </w:rPr>
                            </w:pPr>
                          </w:p>
                          <w:p w14:paraId="5C4C7E9B" w14:textId="77777777" w:rsidR="00C02C7F" w:rsidRDefault="00C02C7F">
                            <w:pPr>
                              <w:pStyle w:val="BodyText"/>
                              <w:rPr>
                                <w:sz w:val="22"/>
                              </w:rPr>
                            </w:pPr>
                          </w:p>
                          <w:p w14:paraId="7DA1D8A5" w14:textId="77777777" w:rsidR="00C02C7F" w:rsidRDefault="00C02C7F">
                            <w:pPr>
                              <w:pStyle w:val="BodyText"/>
                              <w:rPr>
                                <w:sz w:val="22"/>
                              </w:rPr>
                            </w:pPr>
                          </w:p>
                          <w:p w14:paraId="45013810" w14:textId="77777777" w:rsidR="00C02C7F" w:rsidRDefault="00C02C7F">
                            <w:pPr>
                              <w:pStyle w:val="BodyText"/>
                              <w:rPr>
                                <w:sz w:val="22"/>
                              </w:rPr>
                            </w:pPr>
                          </w:p>
                          <w:p w14:paraId="5AD09D0C" w14:textId="77777777" w:rsidR="00C02C7F" w:rsidRDefault="00C02C7F">
                            <w:pPr>
                              <w:pStyle w:val="BodyText"/>
                              <w:rPr>
                                <w:sz w:val="22"/>
                              </w:rPr>
                            </w:pPr>
                          </w:p>
                          <w:p w14:paraId="1025AA08" w14:textId="77777777" w:rsidR="00C02C7F" w:rsidRDefault="00C02C7F">
                            <w:pPr>
                              <w:pStyle w:val="BodyText"/>
                              <w:rPr>
                                <w:sz w:val="22"/>
                              </w:rPr>
                            </w:pPr>
                          </w:p>
                          <w:p w14:paraId="0FF8B220" w14:textId="77777777" w:rsidR="00C02C7F" w:rsidRDefault="00C02C7F">
                            <w:pPr>
                              <w:pStyle w:val="BodyText"/>
                              <w:rPr>
                                <w:sz w:val="22"/>
                              </w:rPr>
                            </w:pPr>
                          </w:p>
                          <w:p w14:paraId="52D63876" w14:textId="77777777" w:rsidR="00C02C7F" w:rsidRDefault="00C02C7F">
                            <w:pPr>
                              <w:pStyle w:val="BodyText"/>
                              <w:rPr>
                                <w:sz w:val="22"/>
                              </w:rPr>
                            </w:pPr>
                          </w:p>
                          <w:p w14:paraId="7F40E19A" w14:textId="77777777" w:rsidR="00C02C7F" w:rsidRDefault="00C02C7F">
                            <w:pPr>
                              <w:pStyle w:val="BodyText"/>
                              <w:rPr>
                                <w:sz w:val="22"/>
                              </w:rPr>
                            </w:pPr>
                          </w:p>
                          <w:p w14:paraId="771BCFDF" w14:textId="77777777" w:rsidR="00C02C7F" w:rsidRDefault="00C02C7F">
                            <w:pPr>
                              <w:pStyle w:val="BodyText"/>
                              <w:rPr>
                                <w:sz w:val="22"/>
                              </w:rPr>
                            </w:pPr>
                          </w:p>
                          <w:p w14:paraId="010292D4" w14:textId="77777777" w:rsidR="00C02C7F" w:rsidRDefault="00C02C7F">
                            <w:pPr>
                              <w:pStyle w:val="BodyText"/>
                              <w:rPr>
                                <w:sz w:val="22"/>
                              </w:rPr>
                            </w:pPr>
                          </w:p>
                          <w:p w14:paraId="5AC78962" w14:textId="77777777" w:rsidR="00C02C7F" w:rsidRDefault="00C02C7F">
                            <w:pPr>
                              <w:pStyle w:val="BodyText"/>
                              <w:rPr>
                                <w:sz w:val="22"/>
                              </w:rPr>
                            </w:pPr>
                          </w:p>
                          <w:p w14:paraId="33EE618D" w14:textId="77777777" w:rsidR="00C02C7F" w:rsidRDefault="00C02C7F">
                            <w:pPr>
                              <w:pStyle w:val="BodyText"/>
                              <w:spacing w:before="4"/>
                              <w:rPr>
                                <w:sz w:val="21"/>
                              </w:rPr>
                            </w:pPr>
                          </w:p>
                          <w:p w14:paraId="5B212135" w14:textId="79DA655F" w:rsidR="00C02C7F" w:rsidRPr="00D360FB" w:rsidRDefault="001223F2">
                            <w:pPr>
                              <w:spacing w:before="1"/>
                              <w:ind w:left="794"/>
                              <w:rPr>
                                <w:rFonts w:ascii="Calibri"/>
                                <w:lang w:val="es-419"/>
                              </w:rPr>
                            </w:pPr>
                            <w:r w:rsidRPr="00D360FB">
                              <w:rPr>
                                <w:rFonts w:ascii="Calibri"/>
                                <w:color w:val="FFFFFF"/>
                                <w:lang w:val="es-419"/>
                              </w:rPr>
                              <w:t>OEA/Ser.L/V/II</w:t>
                            </w:r>
                            <w:r w:rsidR="00706790">
                              <w:rPr>
                                <w:rFonts w:ascii="Calibri"/>
                                <w:color w:val="FFFFFF"/>
                                <w:lang w:val="es-419"/>
                              </w:rPr>
                              <w:t>.</w:t>
                            </w:r>
                          </w:p>
                          <w:p w14:paraId="2103D6EE" w14:textId="210EA538" w:rsidR="00C02C7F" w:rsidRPr="00D360FB" w:rsidRDefault="001223F2">
                            <w:pPr>
                              <w:spacing w:before="41"/>
                              <w:ind w:right="271"/>
                              <w:jc w:val="right"/>
                              <w:rPr>
                                <w:rFonts w:ascii="Calibri"/>
                                <w:lang w:val="es-419"/>
                              </w:rPr>
                            </w:pPr>
                            <w:r w:rsidRPr="00D360FB">
                              <w:rPr>
                                <w:rFonts w:ascii="Calibri"/>
                                <w:color w:val="FFFFFF"/>
                                <w:lang w:val="es-419"/>
                              </w:rPr>
                              <w:t>Doc.</w:t>
                            </w:r>
                            <w:r w:rsidRPr="00D360FB">
                              <w:rPr>
                                <w:rFonts w:ascii="Calibri"/>
                                <w:color w:val="FFFFFF"/>
                                <w:spacing w:val="-2"/>
                                <w:lang w:val="es-419"/>
                              </w:rPr>
                              <w:t xml:space="preserve"> </w:t>
                            </w:r>
                            <w:r w:rsidR="0065070E" w:rsidRPr="00D360FB">
                              <w:rPr>
                                <w:rFonts w:ascii="Calibri"/>
                                <w:color w:val="FFFFFF"/>
                                <w:lang w:val="es-419"/>
                              </w:rPr>
                              <w:t>197</w:t>
                            </w:r>
                          </w:p>
                          <w:p w14:paraId="2B5938C9" w14:textId="6A465EA3" w:rsidR="00C02C7F" w:rsidRPr="00D360FB" w:rsidRDefault="0065070E">
                            <w:pPr>
                              <w:spacing w:before="38" w:line="278" w:lineRule="auto"/>
                              <w:ind w:left="650" w:right="270" w:hanging="286"/>
                              <w:jc w:val="right"/>
                              <w:rPr>
                                <w:rFonts w:ascii="Calibri" w:hAnsi="Calibri"/>
                                <w:lang w:val="es-419"/>
                              </w:rPr>
                            </w:pPr>
                            <w:r w:rsidRPr="00D360FB">
                              <w:rPr>
                                <w:rFonts w:ascii="Calibri" w:hAnsi="Calibri"/>
                                <w:color w:val="FFFFFF"/>
                                <w:lang w:val="es-419"/>
                              </w:rPr>
                              <w:t xml:space="preserve">3 </w:t>
                            </w:r>
                            <w:r w:rsidR="004125B5" w:rsidRPr="00D360FB">
                              <w:rPr>
                                <w:rFonts w:ascii="Calibri" w:hAnsi="Calibri"/>
                                <w:color w:val="FFFFFF"/>
                                <w:lang w:val="es-419"/>
                              </w:rPr>
                              <w:t>septiembre</w:t>
                            </w:r>
                            <w:r w:rsidR="001223F2" w:rsidRPr="00D360FB">
                              <w:rPr>
                                <w:rFonts w:ascii="Calibri" w:hAnsi="Calibri"/>
                                <w:color w:val="FFFFFF"/>
                                <w:spacing w:val="-5"/>
                                <w:lang w:val="es-419"/>
                              </w:rPr>
                              <w:t xml:space="preserve"> </w:t>
                            </w:r>
                            <w:r w:rsidR="001223F2" w:rsidRPr="00D360FB">
                              <w:rPr>
                                <w:rFonts w:ascii="Calibri" w:hAnsi="Calibri"/>
                                <w:color w:val="FFFFFF"/>
                                <w:lang w:val="es-419"/>
                              </w:rPr>
                              <w:t>202</w:t>
                            </w:r>
                            <w:r w:rsidR="00586D3D" w:rsidRPr="00D360FB">
                              <w:rPr>
                                <w:rFonts w:ascii="Calibri" w:hAnsi="Calibri"/>
                                <w:color w:val="FFFFFF"/>
                                <w:lang w:val="es-419"/>
                              </w:rPr>
                              <w:t>1</w:t>
                            </w:r>
                            <w:r w:rsidR="001223F2" w:rsidRPr="00D360FB">
                              <w:rPr>
                                <w:rFonts w:ascii="Calibri" w:hAnsi="Calibri"/>
                                <w:color w:val="FFFFFF"/>
                                <w:spacing w:val="-2"/>
                                <w:lang w:val="es-419"/>
                              </w:rPr>
                              <w:t xml:space="preserve"> </w:t>
                            </w:r>
                            <w:r w:rsidR="001223F2" w:rsidRPr="00D360FB">
                              <w:rPr>
                                <w:rFonts w:ascii="Calibri" w:hAnsi="Calibri"/>
                                <w:color w:val="FFFFFF"/>
                                <w:lang w:val="es-419"/>
                              </w:rPr>
                              <w:t>Original:</w:t>
                            </w:r>
                            <w:r w:rsidR="001223F2" w:rsidRPr="00D360FB">
                              <w:rPr>
                                <w:rFonts w:ascii="Calibri" w:hAnsi="Calibri"/>
                                <w:color w:val="FFFFFF"/>
                                <w:spacing w:val="-6"/>
                                <w:lang w:val="es-419"/>
                              </w:rPr>
                              <w:t xml:space="preserve"> </w:t>
                            </w:r>
                            <w:r w:rsidR="001223F2" w:rsidRPr="00D360FB">
                              <w:rPr>
                                <w:rFonts w:ascii="Calibri" w:hAnsi="Calibri"/>
                                <w:color w:val="FFFFFF"/>
                                <w:lang w:val="es-419"/>
                              </w:rPr>
                              <w:t>español</w:t>
                            </w:r>
                          </w:p>
                          <w:p w14:paraId="18E44612" w14:textId="77777777" w:rsidR="00C02C7F" w:rsidRPr="00D360FB" w:rsidRDefault="00C02C7F">
                            <w:pPr>
                              <w:pStyle w:val="BodyText"/>
                              <w:rPr>
                                <w:sz w:val="22"/>
                                <w:lang w:val="es-419"/>
                              </w:rPr>
                            </w:pPr>
                          </w:p>
                          <w:p w14:paraId="0860EC38" w14:textId="77777777" w:rsidR="00C02C7F" w:rsidRPr="00D360FB" w:rsidRDefault="00C02C7F">
                            <w:pPr>
                              <w:pStyle w:val="BodyText"/>
                              <w:rPr>
                                <w:sz w:val="22"/>
                                <w:lang w:val="es-419"/>
                              </w:rPr>
                            </w:pPr>
                          </w:p>
                          <w:p w14:paraId="0952E55B" w14:textId="77777777" w:rsidR="00C02C7F" w:rsidRPr="00D360FB" w:rsidRDefault="00C02C7F">
                            <w:pPr>
                              <w:pStyle w:val="BodyText"/>
                              <w:rPr>
                                <w:sz w:val="22"/>
                                <w:lang w:val="es-419"/>
                              </w:rPr>
                            </w:pPr>
                          </w:p>
                          <w:p w14:paraId="4C3592B3" w14:textId="77777777" w:rsidR="00C02C7F" w:rsidRPr="00D360FB" w:rsidRDefault="00C02C7F">
                            <w:pPr>
                              <w:pStyle w:val="BodyText"/>
                              <w:rPr>
                                <w:sz w:val="22"/>
                                <w:lang w:val="es-419"/>
                              </w:rPr>
                            </w:pPr>
                          </w:p>
                          <w:p w14:paraId="3E49B12C" w14:textId="77777777" w:rsidR="00C02C7F" w:rsidRPr="00D360FB" w:rsidRDefault="00C02C7F">
                            <w:pPr>
                              <w:pStyle w:val="BodyText"/>
                              <w:rPr>
                                <w:sz w:val="22"/>
                                <w:lang w:val="es-419"/>
                              </w:rPr>
                            </w:pPr>
                          </w:p>
                          <w:p w14:paraId="2C1EBE27" w14:textId="77777777" w:rsidR="00C02C7F" w:rsidRPr="00D360FB" w:rsidRDefault="00C02C7F">
                            <w:pPr>
                              <w:pStyle w:val="BodyText"/>
                              <w:rPr>
                                <w:sz w:val="22"/>
                                <w:lang w:val="es-419"/>
                              </w:rPr>
                            </w:pPr>
                          </w:p>
                          <w:p w14:paraId="3271977D" w14:textId="77777777" w:rsidR="00C02C7F" w:rsidRPr="00D360FB" w:rsidRDefault="00C02C7F">
                            <w:pPr>
                              <w:pStyle w:val="BodyText"/>
                              <w:rPr>
                                <w:sz w:val="22"/>
                                <w:lang w:val="es-419"/>
                              </w:rPr>
                            </w:pPr>
                          </w:p>
                          <w:p w14:paraId="4ACD6E87" w14:textId="77777777" w:rsidR="00C02C7F" w:rsidRPr="00D360FB" w:rsidRDefault="00C02C7F">
                            <w:pPr>
                              <w:pStyle w:val="BodyText"/>
                              <w:rPr>
                                <w:sz w:val="22"/>
                                <w:lang w:val="es-419"/>
                              </w:rPr>
                            </w:pPr>
                          </w:p>
                          <w:p w14:paraId="4615FBE5" w14:textId="77777777" w:rsidR="00C02C7F" w:rsidRPr="00D360FB" w:rsidRDefault="00C02C7F">
                            <w:pPr>
                              <w:pStyle w:val="BodyText"/>
                              <w:rPr>
                                <w:sz w:val="22"/>
                                <w:lang w:val="es-419"/>
                              </w:rPr>
                            </w:pPr>
                          </w:p>
                          <w:p w14:paraId="546D6BA3" w14:textId="77777777" w:rsidR="00C02C7F" w:rsidRPr="00D360FB" w:rsidRDefault="00C02C7F">
                            <w:pPr>
                              <w:pStyle w:val="BodyText"/>
                              <w:rPr>
                                <w:sz w:val="22"/>
                                <w:lang w:val="es-419"/>
                              </w:rPr>
                            </w:pPr>
                          </w:p>
                          <w:p w14:paraId="04C73831" w14:textId="77777777" w:rsidR="00C02C7F" w:rsidRPr="00D360FB" w:rsidRDefault="00C02C7F">
                            <w:pPr>
                              <w:pStyle w:val="BodyText"/>
                              <w:rPr>
                                <w:sz w:val="22"/>
                                <w:lang w:val="es-419"/>
                              </w:rPr>
                            </w:pPr>
                          </w:p>
                          <w:p w14:paraId="69C35975" w14:textId="77777777" w:rsidR="00C02C7F" w:rsidRPr="00D360FB" w:rsidRDefault="00C02C7F">
                            <w:pPr>
                              <w:pStyle w:val="BodyText"/>
                              <w:rPr>
                                <w:sz w:val="22"/>
                                <w:lang w:val="es-419"/>
                              </w:rPr>
                            </w:pPr>
                          </w:p>
                          <w:p w14:paraId="064BDD69" w14:textId="77777777" w:rsidR="00C02C7F" w:rsidRPr="00D360FB" w:rsidRDefault="00C02C7F">
                            <w:pPr>
                              <w:pStyle w:val="BodyText"/>
                              <w:rPr>
                                <w:sz w:val="22"/>
                                <w:lang w:val="es-419"/>
                              </w:rPr>
                            </w:pPr>
                          </w:p>
                          <w:p w14:paraId="2779BAF2" w14:textId="77777777" w:rsidR="00C02C7F" w:rsidRPr="00D360FB" w:rsidRDefault="00C02C7F">
                            <w:pPr>
                              <w:pStyle w:val="BodyText"/>
                              <w:rPr>
                                <w:sz w:val="22"/>
                                <w:lang w:val="es-419"/>
                              </w:rPr>
                            </w:pPr>
                          </w:p>
                          <w:p w14:paraId="0405996E" w14:textId="77777777" w:rsidR="00C02C7F" w:rsidRPr="00D360FB" w:rsidRDefault="00C02C7F">
                            <w:pPr>
                              <w:pStyle w:val="BodyText"/>
                              <w:rPr>
                                <w:sz w:val="22"/>
                                <w:lang w:val="es-419"/>
                              </w:rPr>
                            </w:pPr>
                          </w:p>
                          <w:p w14:paraId="65DBB752" w14:textId="77777777" w:rsidR="00C02C7F" w:rsidRPr="00D360FB" w:rsidRDefault="00C02C7F">
                            <w:pPr>
                              <w:pStyle w:val="BodyText"/>
                              <w:rPr>
                                <w:sz w:val="22"/>
                                <w:lang w:val="es-419"/>
                              </w:rPr>
                            </w:pPr>
                          </w:p>
                          <w:p w14:paraId="3914C4FE" w14:textId="77777777" w:rsidR="00C02C7F" w:rsidRPr="00D360FB" w:rsidRDefault="00C02C7F">
                            <w:pPr>
                              <w:pStyle w:val="BodyText"/>
                              <w:rPr>
                                <w:sz w:val="22"/>
                                <w:lang w:val="es-419"/>
                              </w:rPr>
                            </w:pPr>
                          </w:p>
                          <w:p w14:paraId="6CD615F1" w14:textId="77777777" w:rsidR="00C02C7F" w:rsidRPr="00D360FB" w:rsidRDefault="00C02C7F">
                            <w:pPr>
                              <w:pStyle w:val="BodyText"/>
                              <w:rPr>
                                <w:sz w:val="22"/>
                                <w:lang w:val="es-419"/>
                              </w:rPr>
                            </w:pPr>
                          </w:p>
                          <w:p w14:paraId="6C14BE4D" w14:textId="77777777" w:rsidR="00C02C7F" w:rsidRPr="00D360FB" w:rsidRDefault="00C02C7F">
                            <w:pPr>
                              <w:pStyle w:val="BodyText"/>
                              <w:rPr>
                                <w:sz w:val="22"/>
                                <w:lang w:val="es-419"/>
                              </w:rPr>
                            </w:pPr>
                          </w:p>
                          <w:p w14:paraId="72D584A2" w14:textId="77777777" w:rsidR="00C02C7F" w:rsidRPr="00D360FB" w:rsidRDefault="00C02C7F">
                            <w:pPr>
                              <w:pStyle w:val="BodyText"/>
                              <w:rPr>
                                <w:sz w:val="22"/>
                                <w:lang w:val="es-419"/>
                              </w:rPr>
                            </w:pPr>
                          </w:p>
                          <w:p w14:paraId="044E3404" w14:textId="77777777" w:rsidR="00C02C7F" w:rsidRPr="00D360FB" w:rsidRDefault="00C02C7F">
                            <w:pPr>
                              <w:pStyle w:val="BodyText"/>
                              <w:rPr>
                                <w:sz w:val="22"/>
                                <w:lang w:val="es-419"/>
                              </w:rPr>
                            </w:pPr>
                          </w:p>
                          <w:p w14:paraId="472E25FD" w14:textId="77777777" w:rsidR="00C02C7F" w:rsidRPr="00D360FB" w:rsidRDefault="00C02C7F">
                            <w:pPr>
                              <w:pStyle w:val="BodyText"/>
                              <w:rPr>
                                <w:sz w:val="22"/>
                                <w:lang w:val="es-419"/>
                              </w:rPr>
                            </w:pPr>
                          </w:p>
                          <w:p w14:paraId="50743F04" w14:textId="77777777" w:rsidR="00C02C7F" w:rsidRPr="00D360FB" w:rsidRDefault="00C02C7F">
                            <w:pPr>
                              <w:pStyle w:val="BodyText"/>
                              <w:rPr>
                                <w:sz w:val="22"/>
                                <w:lang w:val="es-419"/>
                              </w:rPr>
                            </w:pPr>
                          </w:p>
                          <w:p w14:paraId="16A249B5" w14:textId="77777777" w:rsidR="00C02C7F" w:rsidRPr="00D360FB" w:rsidRDefault="00C02C7F">
                            <w:pPr>
                              <w:pStyle w:val="BodyText"/>
                              <w:rPr>
                                <w:sz w:val="22"/>
                                <w:lang w:val="es-419"/>
                              </w:rPr>
                            </w:pPr>
                          </w:p>
                          <w:p w14:paraId="6AF262A4" w14:textId="77777777" w:rsidR="00C02C7F" w:rsidRPr="00D360FB" w:rsidRDefault="00C02C7F">
                            <w:pPr>
                              <w:pStyle w:val="BodyText"/>
                              <w:rPr>
                                <w:sz w:val="22"/>
                                <w:lang w:val="es-419"/>
                              </w:rPr>
                            </w:pPr>
                          </w:p>
                          <w:p w14:paraId="6FBF2F20" w14:textId="77777777" w:rsidR="00C02C7F" w:rsidRPr="00D360FB" w:rsidRDefault="00C02C7F">
                            <w:pPr>
                              <w:pStyle w:val="BodyText"/>
                              <w:rPr>
                                <w:sz w:val="22"/>
                                <w:lang w:val="es-419"/>
                              </w:rPr>
                            </w:pPr>
                          </w:p>
                          <w:p w14:paraId="147FE114" w14:textId="77777777" w:rsidR="00C02C7F" w:rsidRPr="00D360FB" w:rsidRDefault="00C02C7F">
                            <w:pPr>
                              <w:pStyle w:val="BodyText"/>
                              <w:rPr>
                                <w:sz w:val="22"/>
                                <w:lang w:val="es-419"/>
                              </w:rPr>
                            </w:pPr>
                          </w:p>
                          <w:p w14:paraId="08EA78E3" w14:textId="77777777" w:rsidR="00C02C7F" w:rsidRPr="00D360FB" w:rsidRDefault="00C02C7F">
                            <w:pPr>
                              <w:pStyle w:val="BodyText"/>
                              <w:rPr>
                                <w:sz w:val="22"/>
                                <w:lang w:val="es-419"/>
                              </w:rPr>
                            </w:pPr>
                          </w:p>
                          <w:p w14:paraId="262C4DEB" w14:textId="77777777" w:rsidR="00C02C7F" w:rsidRPr="00D360FB" w:rsidRDefault="00C02C7F">
                            <w:pPr>
                              <w:pStyle w:val="BodyText"/>
                              <w:rPr>
                                <w:sz w:val="22"/>
                                <w:lang w:val="es-419"/>
                              </w:rPr>
                            </w:pPr>
                          </w:p>
                          <w:p w14:paraId="0CB605B8" w14:textId="77777777" w:rsidR="00C02C7F" w:rsidRPr="00D360FB" w:rsidRDefault="00C02C7F">
                            <w:pPr>
                              <w:pStyle w:val="BodyText"/>
                              <w:rPr>
                                <w:sz w:val="22"/>
                                <w:lang w:val="es-419"/>
                              </w:rPr>
                            </w:pPr>
                          </w:p>
                          <w:p w14:paraId="3E06130D" w14:textId="77777777" w:rsidR="00C02C7F" w:rsidRPr="00D360FB" w:rsidRDefault="00C02C7F">
                            <w:pPr>
                              <w:pStyle w:val="BodyText"/>
                              <w:rPr>
                                <w:sz w:val="22"/>
                                <w:lang w:val="es-419"/>
                              </w:rPr>
                            </w:pPr>
                          </w:p>
                          <w:p w14:paraId="0A159DD6" w14:textId="77777777" w:rsidR="00C02C7F" w:rsidRPr="00D360FB" w:rsidRDefault="00C02C7F">
                            <w:pPr>
                              <w:pStyle w:val="BodyText"/>
                              <w:spacing w:before="3"/>
                              <w:rPr>
                                <w:sz w:val="21"/>
                                <w:lang w:val="es-419"/>
                              </w:rPr>
                            </w:pPr>
                          </w:p>
                          <w:p w14:paraId="7A54D27C" w14:textId="77777777" w:rsidR="00C02C7F" w:rsidRPr="00EE7BDA" w:rsidRDefault="001A0595">
                            <w:pPr>
                              <w:spacing w:before="1"/>
                              <w:ind w:left="453"/>
                              <w:rPr>
                                <w:rFonts w:ascii="Calibri"/>
                                <w:b/>
                                <w:sz w:val="24"/>
                                <w:lang w:val="pt-BR"/>
                              </w:rPr>
                            </w:pPr>
                            <w:hyperlink r:id="rId8">
                              <w:r w:rsidR="001223F2" w:rsidRPr="00EE7BDA">
                                <w:rPr>
                                  <w:rFonts w:ascii="Calibri"/>
                                  <w:b/>
                                  <w:color w:val="FFFFFF"/>
                                  <w:sz w:val="24"/>
                                  <w:lang w:val="pt-BR"/>
                                </w:rPr>
                                <w:t>www.cidh.org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74EE" id="_x0000_t202" coordsize="21600,21600" o:spt="202" path="m,l,21600r21600,l21600,xe">
                <v:stroke joinstyle="miter"/>
                <v:path gradientshapeok="t" o:connecttype="rect"/>
              </v:shapetype>
              <v:shape id="Text Box 4" o:spid="_x0000_s1026" type="#_x0000_t202" style="position:absolute;margin-left:39.25pt;margin-top:37.4pt;width:121.5pt;height:7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" fillcolor="#4a7194" stroked="f">
                <v:textbox inset="0,0,0,0">
                  <w:txbxContent>
                    <w:p w14:paraId="57C6298F" w14:textId="77777777" w:rsidR="00C02C7F" w:rsidRDefault="00C02C7F">
                      <w:pPr>
                        <w:pStyle w:val="BodyText"/>
                        <w:rPr>
                          <w:sz w:val="22"/>
                        </w:rPr>
                      </w:pPr>
                    </w:p>
                    <w:p w14:paraId="68352512" w14:textId="77777777" w:rsidR="00C02C7F" w:rsidRDefault="00C02C7F">
                      <w:pPr>
                        <w:pStyle w:val="BodyText"/>
                        <w:rPr>
                          <w:sz w:val="22"/>
                        </w:rPr>
                      </w:pPr>
                    </w:p>
                    <w:p w14:paraId="59DC0060" w14:textId="77777777" w:rsidR="00C02C7F" w:rsidRDefault="00C02C7F">
                      <w:pPr>
                        <w:pStyle w:val="BodyText"/>
                        <w:rPr>
                          <w:sz w:val="22"/>
                        </w:rPr>
                      </w:pPr>
                    </w:p>
                    <w:p w14:paraId="68073EBC" w14:textId="77777777" w:rsidR="00C02C7F" w:rsidRDefault="00C02C7F">
                      <w:pPr>
                        <w:pStyle w:val="BodyText"/>
                        <w:rPr>
                          <w:sz w:val="22"/>
                        </w:rPr>
                      </w:pPr>
                    </w:p>
                    <w:p w14:paraId="78FEA6A8" w14:textId="77777777" w:rsidR="00C02C7F" w:rsidRDefault="00C02C7F">
                      <w:pPr>
                        <w:pStyle w:val="BodyText"/>
                        <w:rPr>
                          <w:sz w:val="22"/>
                        </w:rPr>
                      </w:pPr>
                    </w:p>
                    <w:p w14:paraId="5C4C7E9B" w14:textId="77777777" w:rsidR="00C02C7F" w:rsidRDefault="00C02C7F">
                      <w:pPr>
                        <w:pStyle w:val="BodyText"/>
                        <w:rPr>
                          <w:sz w:val="22"/>
                        </w:rPr>
                      </w:pPr>
                    </w:p>
                    <w:p w14:paraId="7DA1D8A5" w14:textId="77777777" w:rsidR="00C02C7F" w:rsidRDefault="00C02C7F">
                      <w:pPr>
                        <w:pStyle w:val="BodyText"/>
                        <w:rPr>
                          <w:sz w:val="22"/>
                        </w:rPr>
                      </w:pPr>
                    </w:p>
                    <w:p w14:paraId="45013810" w14:textId="77777777" w:rsidR="00C02C7F" w:rsidRDefault="00C02C7F">
                      <w:pPr>
                        <w:pStyle w:val="BodyText"/>
                        <w:rPr>
                          <w:sz w:val="22"/>
                        </w:rPr>
                      </w:pPr>
                    </w:p>
                    <w:p w14:paraId="5AD09D0C" w14:textId="77777777" w:rsidR="00C02C7F" w:rsidRDefault="00C02C7F">
                      <w:pPr>
                        <w:pStyle w:val="BodyText"/>
                        <w:rPr>
                          <w:sz w:val="22"/>
                        </w:rPr>
                      </w:pPr>
                    </w:p>
                    <w:p w14:paraId="1025AA08" w14:textId="77777777" w:rsidR="00C02C7F" w:rsidRDefault="00C02C7F">
                      <w:pPr>
                        <w:pStyle w:val="BodyText"/>
                        <w:rPr>
                          <w:sz w:val="22"/>
                        </w:rPr>
                      </w:pPr>
                    </w:p>
                    <w:p w14:paraId="0FF8B220" w14:textId="77777777" w:rsidR="00C02C7F" w:rsidRDefault="00C02C7F">
                      <w:pPr>
                        <w:pStyle w:val="BodyText"/>
                        <w:rPr>
                          <w:sz w:val="22"/>
                        </w:rPr>
                      </w:pPr>
                    </w:p>
                    <w:p w14:paraId="52D63876" w14:textId="77777777" w:rsidR="00C02C7F" w:rsidRDefault="00C02C7F">
                      <w:pPr>
                        <w:pStyle w:val="BodyText"/>
                        <w:rPr>
                          <w:sz w:val="22"/>
                        </w:rPr>
                      </w:pPr>
                    </w:p>
                    <w:p w14:paraId="7F40E19A" w14:textId="77777777" w:rsidR="00C02C7F" w:rsidRDefault="00C02C7F">
                      <w:pPr>
                        <w:pStyle w:val="BodyText"/>
                        <w:rPr>
                          <w:sz w:val="22"/>
                        </w:rPr>
                      </w:pPr>
                    </w:p>
                    <w:p w14:paraId="771BCFDF" w14:textId="77777777" w:rsidR="00C02C7F" w:rsidRDefault="00C02C7F">
                      <w:pPr>
                        <w:pStyle w:val="BodyText"/>
                        <w:rPr>
                          <w:sz w:val="22"/>
                        </w:rPr>
                      </w:pPr>
                    </w:p>
                    <w:p w14:paraId="010292D4" w14:textId="77777777" w:rsidR="00C02C7F" w:rsidRDefault="00C02C7F">
                      <w:pPr>
                        <w:pStyle w:val="BodyText"/>
                        <w:rPr>
                          <w:sz w:val="22"/>
                        </w:rPr>
                      </w:pPr>
                    </w:p>
                    <w:p w14:paraId="5AC78962" w14:textId="77777777" w:rsidR="00C02C7F" w:rsidRDefault="00C02C7F">
                      <w:pPr>
                        <w:pStyle w:val="BodyText"/>
                        <w:rPr>
                          <w:sz w:val="22"/>
                        </w:rPr>
                      </w:pPr>
                    </w:p>
                    <w:p w14:paraId="33EE618D" w14:textId="77777777" w:rsidR="00C02C7F" w:rsidRDefault="00C02C7F">
                      <w:pPr>
                        <w:pStyle w:val="BodyText"/>
                        <w:spacing w:before="4"/>
                        <w:rPr>
                          <w:sz w:val="21"/>
                        </w:rPr>
                      </w:pPr>
                    </w:p>
                    <w:p w14:paraId="5B212135" w14:textId="79DA655F" w:rsidR="00C02C7F" w:rsidRPr="00D360FB" w:rsidRDefault="001223F2">
                      <w:pPr>
                        <w:spacing w:before="1"/>
                        <w:ind w:left="794"/>
                        <w:rPr>
                          <w:rFonts w:ascii="Calibri"/>
                          <w:lang w:val="es-419"/>
                        </w:rPr>
                      </w:pPr>
                      <w:r w:rsidRPr="00D360FB">
                        <w:rPr>
                          <w:rFonts w:ascii="Calibri"/>
                          <w:color w:val="FFFFFF"/>
                          <w:lang w:val="es-419"/>
                        </w:rPr>
                        <w:t>OEA/</w:t>
                      </w:r>
                      <w:proofErr w:type="spellStart"/>
                      <w:r w:rsidRPr="00D360FB">
                        <w:rPr>
                          <w:rFonts w:ascii="Calibri"/>
                          <w:color w:val="FFFFFF"/>
                          <w:lang w:val="es-419"/>
                        </w:rPr>
                        <w:t>Ser.L</w:t>
                      </w:r>
                      <w:proofErr w:type="spellEnd"/>
                      <w:r w:rsidRPr="00D360FB">
                        <w:rPr>
                          <w:rFonts w:ascii="Calibri"/>
                          <w:color w:val="FFFFFF"/>
                          <w:lang w:val="es-419"/>
                        </w:rPr>
                        <w:t>/V/II</w:t>
                      </w:r>
                      <w:r w:rsidR="00706790">
                        <w:rPr>
                          <w:rFonts w:ascii="Calibri"/>
                          <w:color w:val="FFFFFF"/>
                          <w:lang w:val="es-419"/>
                        </w:rPr>
                        <w:t>.</w:t>
                      </w:r>
                    </w:p>
                    <w:p w14:paraId="2103D6EE" w14:textId="210EA538" w:rsidR="00C02C7F" w:rsidRPr="00D360FB" w:rsidRDefault="001223F2">
                      <w:pPr>
                        <w:spacing w:before="41"/>
                        <w:ind w:right="271"/>
                        <w:jc w:val="right"/>
                        <w:rPr>
                          <w:rFonts w:ascii="Calibri"/>
                          <w:lang w:val="es-419"/>
                        </w:rPr>
                      </w:pPr>
                      <w:r w:rsidRPr="00D360FB">
                        <w:rPr>
                          <w:rFonts w:ascii="Calibri"/>
                          <w:color w:val="FFFFFF"/>
                          <w:lang w:val="es-419"/>
                        </w:rPr>
                        <w:t>Doc.</w:t>
                      </w:r>
                      <w:r w:rsidRPr="00D360FB">
                        <w:rPr>
                          <w:rFonts w:ascii="Calibri"/>
                          <w:color w:val="FFFFFF"/>
                          <w:spacing w:val="-2"/>
                          <w:lang w:val="es-419"/>
                        </w:rPr>
                        <w:t xml:space="preserve"> </w:t>
                      </w:r>
                      <w:r w:rsidR="0065070E" w:rsidRPr="00D360FB">
                        <w:rPr>
                          <w:rFonts w:ascii="Calibri"/>
                          <w:color w:val="FFFFFF"/>
                          <w:lang w:val="es-419"/>
                        </w:rPr>
                        <w:t>197</w:t>
                      </w:r>
                    </w:p>
                    <w:p w14:paraId="2B5938C9" w14:textId="6A465EA3" w:rsidR="00C02C7F" w:rsidRPr="00D360FB" w:rsidRDefault="0065070E">
                      <w:pPr>
                        <w:spacing w:before="38" w:line="278" w:lineRule="auto"/>
                        <w:ind w:left="650" w:right="270" w:hanging="286"/>
                        <w:jc w:val="right"/>
                        <w:rPr>
                          <w:rFonts w:ascii="Calibri" w:hAnsi="Calibri"/>
                          <w:lang w:val="es-419"/>
                        </w:rPr>
                      </w:pPr>
                      <w:r w:rsidRPr="00D360FB">
                        <w:rPr>
                          <w:rFonts w:ascii="Calibri" w:hAnsi="Calibri"/>
                          <w:color w:val="FFFFFF"/>
                          <w:lang w:val="es-419"/>
                        </w:rPr>
                        <w:t xml:space="preserve">3 </w:t>
                      </w:r>
                      <w:r w:rsidR="004125B5" w:rsidRPr="00D360FB">
                        <w:rPr>
                          <w:rFonts w:ascii="Calibri" w:hAnsi="Calibri"/>
                          <w:color w:val="FFFFFF"/>
                          <w:lang w:val="es-419"/>
                        </w:rPr>
                        <w:t>septiembre</w:t>
                      </w:r>
                      <w:r w:rsidR="001223F2" w:rsidRPr="00D360FB">
                        <w:rPr>
                          <w:rFonts w:ascii="Calibri" w:hAnsi="Calibri"/>
                          <w:color w:val="FFFFFF"/>
                          <w:spacing w:val="-5"/>
                          <w:lang w:val="es-419"/>
                        </w:rPr>
                        <w:t xml:space="preserve"> </w:t>
                      </w:r>
                      <w:r w:rsidR="001223F2" w:rsidRPr="00D360FB">
                        <w:rPr>
                          <w:rFonts w:ascii="Calibri" w:hAnsi="Calibri"/>
                          <w:color w:val="FFFFFF"/>
                          <w:lang w:val="es-419"/>
                        </w:rPr>
                        <w:t>202</w:t>
                      </w:r>
                      <w:r w:rsidR="00586D3D" w:rsidRPr="00D360FB">
                        <w:rPr>
                          <w:rFonts w:ascii="Calibri" w:hAnsi="Calibri"/>
                          <w:color w:val="FFFFFF"/>
                          <w:lang w:val="es-419"/>
                        </w:rPr>
                        <w:t>1</w:t>
                      </w:r>
                      <w:r w:rsidR="001223F2" w:rsidRPr="00D360FB">
                        <w:rPr>
                          <w:rFonts w:ascii="Calibri" w:hAnsi="Calibri"/>
                          <w:color w:val="FFFFFF"/>
                          <w:spacing w:val="-2"/>
                          <w:lang w:val="es-419"/>
                        </w:rPr>
                        <w:t xml:space="preserve"> </w:t>
                      </w:r>
                      <w:r w:rsidR="001223F2" w:rsidRPr="00D360FB">
                        <w:rPr>
                          <w:rFonts w:ascii="Calibri" w:hAnsi="Calibri"/>
                          <w:color w:val="FFFFFF"/>
                          <w:lang w:val="es-419"/>
                        </w:rPr>
                        <w:t>Original:</w:t>
                      </w:r>
                      <w:r w:rsidR="001223F2" w:rsidRPr="00D360FB">
                        <w:rPr>
                          <w:rFonts w:ascii="Calibri" w:hAnsi="Calibri"/>
                          <w:color w:val="FFFFFF"/>
                          <w:spacing w:val="-6"/>
                          <w:lang w:val="es-419"/>
                        </w:rPr>
                        <w:t xml:space="preserve"> </w:t>
                      </w:r>
                      <w:r w:rsidR="001223F2" w:rsidRPr="00D360FB">
                        <w:rPr>
                          <w:rFonts w:ascii="Calibri" w:hAnsi="Calibri"/>
                          <w:color w:val="FFFFFF"/>
                          <w:lang w:val="es-419"/>
                        </w:rPr>
                        <w:t>español</w:t>
                      </w:r>
                    </w:p>
                    <w:p w14:paraId="18E44612" w14:textId="77777777" w:rsidR="00C02C7F" w:rsidRPr="00D360FB" w:rsidRDefault="00C02C7F">
                      <w:pPr>
                        <w:pStyle w:val="BodyText"/>
                        <w:rPr>
                          <w:sz w:val="22"/>
                          <w:lang w:val="es-419"/>
                        </w:rPr>
                      </w:pPr>
                    </w:p>
                    <w:p w14:paraId="0860EC38" w14:textId="77777777" w:rsidR="00C02C7F" w:rsidRPr="00D360FB" w:rsidRDefault="00C02C7F">
                      <w:pPr>
                        <w:pStyle w:val="BodyText"/>
                        <w:rPr>
                          <w:sz w:val="22"/>
                          <w:lang w:val="es-419"/>
                        </w:rPr>
                      </w:pPr>
                    </w:p>
                    <w:p w14:paraId="0952E55B" w14:textId="77777777" w:rsidR="00C02C7F" w:rsidRPr="00D360FB" w:rsidRDefault="00C02C7F">
                      <w:pPr>
                        <w:pStyle w:val="BodyText"/>
                        <w:rPr>
                          <w:sz w:val="22"/>
                          <w:lang w:val="es-419"/>
                        </w:rPr>
                      </w:pPr>
                    </w:p>
                    <w:p w14:paraId="4C3592B3" w14:textId="77777777" w:rsidR="00C02C7F" w:rsidRPr="00D360FB" w:rsidRDefault="00C02C7F">
                      <w:pPr>
                        <w:pStyle w:val="BodyText"/>
                        <w:rPr>
                          <w:sz w:val="22"/>
                          <w:lang w:val="es-419"/>
                        </w:rPr>
                      </w:pPr>
                    </w:p>
                    <w:p w14:paraId="3E49B12C" w14:textId="77777777" w:rsidR="00C02C7F" w:rsidRPr="00D360FB" w:rsidRDefault="00C02C7F">
                      <w:pPr>
                        <w:pStyle w:val="BodyText"/>
                        <w:rPr>
                          <w:sz w:val="22"/>
                          <w:lang w:val="es-419"/>
                        </w:rPr>
                      </w:pPr>
                    </w:p>
                    <w:p w14:paraId="2C1EBE27" w14:textId="77777777" w:rsidR="00C02C7F" w:rsidRPr="00D360FB" w:rsidRDefault="00C02C7F">
                      <w:pPr>
                        <w:pStyle w:val="BodyText"/>
                        <w:rPr>
                          <w:sz w:val="22"/>
                          <w:lang w:val="es-419"/>
                        </w:rPr>
                      </w:pPr>
                    </w:p>
                    <w:p w14:paraId="3271977D" w14:textId="77777777" w:rsidR="00C02C7F" w:rsidRPr="00D360FB" w:rsidRDefault="00C02C7F">
                      <w:pPr>
                        <w:pStyle w:val="BodyText"/>
                        <w:rPr>
                          <w:sz w:val="22"/>
                          <w:lang w:val="es-419"/>
                        </w:rPr>
                      </w:pPr>
                    </w:p>
                    <w:p w14:paraId="4ACD6E87" w14:textId="77777777" w:rsidR="00C02C7F" w:rsidRPr="00D360FB" w:rsidRDefault="00C02C7F">
                      <w:pPr>
                        <w:pStyle w:val="BodyText"/>
                        <w:rPr>
                          <w:sz w:val="22"/>
                          <w:lang w:val="es-419"/>
                        </w:rPr>
                      </w:pPr>
                    </w:p>
                    <w:p w14:paraId="4615FBE5" w14:textId="77777777" w:rsidR="00C02C7F" w:rsidRPr="00D360FB" w:rsidRDefault="00C02C7F">
                      <w:pPr>
                        <w:pStyle w:val="BodyText"/>
                        <w:rPr>
                          <w:sz w:val="22"/>
                          <w:lang w:val="es-419"/>
                        </w:rPr>
                      </w:pPr>
                    </w:p>
                    <w:p w14:paraId="546D6BA3" w14:textId="77777777" w:rsidR="00C02C7F" w:rsidRPr="00D360FB" w:rsidRDefault="00C02C7F">
                      <w:pPr>
                        <w:pStyle w:val="BodyText"/>
                        <w:rPr>
                          <w:sz w:val="22"/>
                          <w:lang w:val="es-419"/>
                        </w:rPr>
                      </w:pPr>
                    </w:p>
                    <w:p w14:paraId="04C73831" w14:textId="77777777" w:rsidR="00C02C7F" w:rsidRPr="00D360FB" w:rsidRDefault="00C02C7F">
                      <w:pPr>
                        <w:pStyle w:val="BodyText"/>
                        <w:rPr>
                          <w:sz w:val="22"/>
                          <w:lang w:val="es-419"/>
                        </w:rPr>
                      </w:pPr>
                    </w:p>
                    <w:p w14:paraId="69C35975" w14:textId="77777777" w:rsidR="00C02C7F" w:rsidRPr="00D360FB" w:rsidRDefault="00C02C7F">
                      <w:pPr>
                        <w:pStyle w:val="BodyText"/>
                        <w:rPr>
                          <w:sz w:val="22"/>
                          <w:lang w:val="es-419"/>
                        </w:rPr>
                      </w:pPr>
                    </w:p>
                    <w:p w14:paraId="064BDD69" w14:textId="77777777" w:rsidR="00C02C7F" w:rsidRPr="00D360FB" w:rsidRDefault="00C02C7F">
                      <w:pPr>
                        <w:pStyle w:val="BodyText"/>
                        <w:rPr>
                          <w:sz w:val="22"/>
                          <w:lang w:val="es-419"/>
                        </w:rPr>
                      </w:pPr>
                    </w:p>
                    <w:p w14:paraId="2779BAF2" w14:textId="77777777" w:rsidR="00C02C7F" w:rsidRPr="00D360FB" w:rsidRDefault="00C02C7F">
                      <w:pPr>
                        <w:pStyle w:val="BodyText"/>
                        <w:rPr>
                          <w:sz w:val="22"/>
                          <w:lang w:val="es-419"/>
                        </w:rPr>
                      </w:pPr>
                    </w:p>
                    <w:p w14:paraId="0405996E" w14:textId="77777777" w:rsidR="00C02C7F" w:rsidRPr="00D360FB" w:rsidRDefault="00C02C7F">
                      <w:pPr>
                        <w:pStyle w:val="BodyText"/>
                        <w:rPr>
                          <w:sz w:val="22"/>
                          <w:lang w:val="es-419"/>
                        </w:rPr>
                      </w:pPr>
                    </w:p>
                    <w:p w14:paraId="65DBB752" w14:textId="77777777" w:rsidR="00C02C7F" w:rsidRPr="00D360FB" w:rsidRDefault="00C02C7F">
                      <w:pPr>
                        <w:pStyle w:val="BodyText"/>
                        <w:rPr>
                          <w:sz w:val="22"/>
                          <w:lang w:val="es-419"/>
                        </w:rPr>
                      </w:pPr>
                    </w:p>
                    <w:p w14:paraId="3914C4FE" w14:textId="77777777" w:rsidR="00C02C7F" w:rsidRPr="00D360FB" w:rsidRDefault="00C02C7F">
                      <w:pPr>
                        <w:pStyle w:val="BodyText"/>
                        <w:rPr>
                          <w:sz w:val="22"/>
                          <w:lang w:val="es-419"/>
                        </w:rPr>
                      </w:pPr>
                    </w:p>
                    <w:p w14:paraId="6CD615F1" w14:textId="77777777" w:rsidR="00C02C7F" w:rsidRPr="00D360FB" w:rsidRDefault="00C02C7F">
                      <w:pPr>
                        <w:pStyle w:val="BodyText"/>
                        <w:rPr>
                          <w:sz w:val="22"/>
                          <w:lang w:val="es-419"/>
                        </w:rPr>
                      </w:pPr>
                    </w:p>
                    <w:p w14:paraId="6C14BE4D" w14:textId="77777777" w:rsidR="00C02C7F" w:rsidRPr="00D360FB" w:rsidRDefault="00C02C7F">
                      <w:pPr>
                        <w:pStyle w:val="BodyText"/>
                        <w:rPr>
                          <w:sz w:val="22"/>
                          <w:lang w:val="es-419"/>
                        </w:rPr>
                      </w:pPr>
                    </w:p>
                    <w:p w14:paraId="72D584A2" w14:textId="77777777" w:rsidR="00C02C7F" w:rsidRPr="00D360FB" w:rsidRDefault="00C02C7F">
                      <w:pPr>
                        <w:pStyle w:val="BodyText"/>
                        <w:rPr>
                          <w:sz w:val="22"/>
                          <w:lang w:val="es-419"/>
                        </w:rPr>
                      </w:pPr>
                    </w:p>
                    <w:p w14:paraId="044E3404" w14:textId="77777777" w:rsidR="00C02C7F" w:rsidRPr="00D360FB" w:rsidRDefault="00C02C7F">
                      <w:pPr>
                        <w:pStyle w:val="BodyText"/>
                        <w:rPr>
                          <w:sz w:val="22"/>
                          <w:lang w:val="es-419"/>
                        </w:rPr>
                      </w:pPr>
                    </w:p>
                    <w:p w14:paraId="472E25FD" w14:textId="77777777" w:rsidR="00C02C7F" w:rsidRPr="00D360FB" w:rsidRDefault="00C02C7F">
                      <w:pPr>
                        <w:pStyle w:val="BodyText"/>
                        <w:rPr>
                          <w:sz w:val="22"/>
                          <w:lang w:val="es-419"/>
                        </w:rPr>
                      </w:pPr>
                    </w:p>
                    <w:p w14:paraId="50743F04" w14:textId="77777777" w:rsidR="00C02C7F" w:rsidRPr="00D360FB" w:rsidRDefault="00C02C7F">
                      <w:pPr>
                        <w:pStyle w:val="BodyText"/>
                        <w:rPr>
                          <w:sz w:val="22"/>
                          <w:lang w:val="es-419"/>
                        </w:rPr>
                      </w:pPr>
                    </w:p>
                    <w:p w14:paraId="16A249B5" w14:textId="77777777" w:rsidR="00C02C7F" w:rsidRPr="00D360FB" w:rsidRDefault="00C02C7F">
                      <w:pPr>
                        <w:pStyle w:val="BodyText"/>
                        <w:rPr>
                          <w:sz w:val="22"/>
                          <w:lang w:val="es-419"/>
                        </w:rPr>
                      </w:pPr>
                    </w:p>
                    <w:p w14:paraId="6AF262A4" w14:textId="77777777" w:rsidR="00C02C7F" w:rsidRPr="00D360FB" w:rsidRDefault="00C02C7F">
                      <w:pPr>
                        <w:pStyle w:val="BodyText"/>
                        <w:rPr>
                          <w:sz w:val="22"/>
                          <w:lang w:val="es-419"/>
                        </w:rPr>
                      </w:pPr>
                    </w:p>
                    <w:p w14:paraId="6FBF2F20" w14:textId="77777777" w:rsidR="00C02C7F" w:rsidRPr="00D360FB" w:rsidRDefault="00C02C7F">
                      <w:pPr>
                        <w:pStyle w:val="BodyText"/>
                        <w:rPr>
                          <w:sz w:val="22"/>
                          <w:lang w:val="es-419"/>
                        </w:rPr>
                      </w:pPr>
                    </w:p>
                    <w:p w14:paraId="147FE114" w14:textId="77777777" w:rsidR="00C02C7F" w:rsidRPr="00D360FB" w:rsidRDefault="00C02C7F">
                      <w:pPr>
                        <w:pStyle w:val="BodyText"/>
                        <w:rPr>
                          <w:sz w:val="22"/>
                          <w:lang w:val="es-419"/>
                        </w:rPr>
                      </w:pPr>
                    </w:p>
                    <w:p w14:paraId="08EA78E3" w14:textId="77777777" w:rsidR="00C02C7F" w:rsidRPr="00D360FB" w:rsidRDefault="00C02C7F">
                      <w:pPr>
                        <w:pStyle w:val="BodyText"/>
                        <w:rPr>
                          <w:sz w:val="22"/>
                          <w:lang w:val="es-419"/>
                        </w:rPr>
                      </w:pPr>
                    </w:p>
                    <w:p w14:paraId="262C4DEB" w14:textId="77777777" w:rsidR="00C02C7F" w:rsidRPr="00D360FB" w:rsidRDefault="00C02C7F">
                      <w:pPr>
                        <w:pStyle w:val="BodyText"/>
                        <w:rPr>
                          <w:sz w:val="22"/>
                          <w:lang w:val="es-419"/>
                        </w:rPr>
                      </w:pPr>
                    </w:p>
                    <w:p w14:paraId="0CB605B8" w14:textId="77777777" w:rsidR="00C02C7F" w:rsidRPr="00D360FB" w:rsidRDefault="00C02C7F">
                      <w:pPr>
                        <w:pStyle w:val="BodyText"/>
                        <w:rPr>
                          <w:sz w:val="22"/>
                          <w:lang w:val="es-419"/>
                        </w:rPr>
                      </w:pPr>
                    </w:p>
                    <w:p w14:paraId="3E06130D" w14:textId="77777777" w:rsidR="00C02C7F" w:rsidRPr="00D360FB" w:rsidRDefault="00C02C7F">
                      <w:pPr>
                        <w:pStyle w:val="BodyText"/>
                        <w:rPr>
                          <w:sz w:val="22"/>
                          <w:lang w:val="es-419"/>
                        </w:rPr>
                      </w:pPr>
                    </w:p>
                    <w:p w14:paraId="0A159DD6" w14:textId="77777777" w:rsidR="00C02C7F" w:rsidRPr="00D360FB" w:rsidRDefault="00C02C7F">
                      <w:pPr>
                        <w:pStyle w:val="BodyText"/>
                        <w:spacing w:before="3"/>
                        <w:rPr>
                          <w:sz w:val="21"/>
                          <w:lang w:val="es-419"/>
                        </w:rPr>
                      </w:pPr>
                    </w:p>
                    <w:p w14:paraId="7A54D27C" w14:textId="77777777" w:rsidR="00C02C7F" w:rsidRPr="00EE7BDA" w:rsidRDefault="004F74A7">
                      <w:pPr>
                        <w:spacing w:before="1"/>
                        <w:ind w:left="453"/>
                        <w:rPr>
                          <w:rFonts w:ascii="Calibri"/>
                          <w:b/>
                          <w:sz w:val="24"/>
                          <w:lang w:val="pt-BR"/>
                        </w:rPr>
                      </w:pPr>
                      <w:hyperlink r:id="rId9">
                        <w:r w:rsidR="001223F2" w:rsidRPr="00EE7BDA">
                          <w:rPr>
                            <w:rFonts w:ascii="Calibri"/>
                            <w:b/>
                            <w:color w:val="FFFFFF"/>
                            <w:sz w:val="24"/>
                            <w:lang w:val="pt-BR"/>
                          </w:rPr>
                          <w:t>www.cidh.org</w:t>
                        </w:r>
                      </w:hyperlink>
                    </w:p>
                  </w:txbxContent>
                </v:textbox>
                <w10:wrap anchorx="page" anchory="page"/>
              </v:shape>
            </w:pict>
          </mc:Fallback>
        </mc:AlternateContent>
      </w:r>
    </w:p>
    <w:p w14:paraId="5DD3CB1A" w14:textId="77777777" w:rsidR="00C02C7F" w:rsidRPr="007E16D2" w:rsidRDefault="001223F2" w:rsidP="007E16D2">
      <w:pPr>
        <w:pStyle w:val="BodyText"/>
        <w:ind w:left="3011" w:right="1000"/>
        <w:rPr>
          <w:rFonts w:ascii="Times New Roman"/>
        </w:rPr>
      </w:pPr>
      <w:r w:rsidRPr="007E16D2">
        <w:rPr>
          <w:rFonts w:ascii="Times New Roman"/>
          <w:noProof/>
        </w:rPr>
        <w:drawing>
          <wp:inline distT="0" distB="0" distL="0" distR="0" wp14:anchorId="5ECEBE8E" wp14:editId="3C7128B3">
            <wp:extent cx="2525632" cy="473201"/>
            <wp:effectExtent l="0" t="0" r="0" b="0"/>
            <wp:docPr id="1" name="image1.jpeg"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25632" cy="473201"/>
                    </a:xfrm>
                    <a:prstGeom prst="rect">
                      <a:avLst/>
                    </a:prstGeom>
                  </pic:spPr>
                </pic:pic>
              </a:graphicData>
            </a:graphic>
          </wp:inline>
        </w:drawing>
      </w:r>
    </w:p>
    <w:p w14:paraId="2123924B" w14:textId="77777777" w:rsidR="00C02C7F" w:rsidRPr="007E16D2" w:rsidRDefault="00C02C7F" w:rsidP="007E16D2">
      <w:pPr>
        <w:pStyle w:val="BodyText"/>
        <w:ind w:right="1000"/>
        <w:rPr>
          <w:rFonts w:ascii="Times New Roman"/>
        </w:rPr>
      </w:pPr>
    </w:p>
    <w:p w14:paraId="6CB005A9" w14:textId="77777777" w:rsidR="00C02C7F" w:rsidRPr="007E16D2" w:rsidRDefault="00C02C7F" w:rsidP="007E16D2">
      <w:pPr>
        <w:pStyle w:val="BodyText"/>
        <w:ind w:right="1000"/>
        <w:rPr>
          <w:rFonts w:ascii="Times New Roman"/>
        </w:rPr>
      </w:pPr>
    </w:p>
    <w:p w14:paraId="37D60A00" w14:textId="77777777" w:rsidR="00C02C7F" w:rsidRPr="007E16D2" w:rsidRDefault="00C02C7F" w:rsidP="007E16D2">
      <w:pPr>
        <w:pStyle w:val="BodyText"/>
        <w:ind w:right="1000"/>
        <w:rPr>
          <w:rFonts w:ascii="Times New Roman"/>
        </w:rPr>
      </w:pPr>
    </w:p>
    <w:p w14:paraId="294A612B" w14:textId="77777777" w:rsidR="00C02C7F" w:rsidRPr="007E16D2" w:rsidRDefault="00C02C7F" w:rsidP="007E16D2">
      <w:pPr>
        <w:pStyle w:val="BodyText"/>
        <w:ind w:right="1000"/>
        <w:rPr>
          <w:rFonts w:ascii="Times New Roman"/>
        </w:rPr>
      </w:pPr>
    </w:p>
    <w:p w14:paraId="257E66D2" w14:textId="77777777" w:rsidR="00C02C7F" w:rsidRPr="007E16D2" w:rsidRDefault="00C02C7F" w:rsidP="007E16D2">
      <w:pPr>
        <w:pStyle w:val="BodyText"/>
        <w:ind w:right="1000"/>
        <w:rPr>
          <w:rFonts w:ascii="Times New Roman"/>
        </w:rPr>
      </w:pPr>
    </w:p>
    <w:p w14:paraId="7D3B429A" w14:textId="77777777" w:rsidR="00C02C7F" w:rsidRPr="007E16D2" w:rsidRDefault="00C02C7F" w:rsidP="007E16D2">
      <w:pPr>
        <w:pStyle w:val="BodyText"/>
        <w:ind w:right="1000"/>
        <w:rPr>
          <w:rFonts w:ascii="Times New Roman"/>
        </w:rPr>
      </w:pPr>
    </w:p>
    <w:p w14:paraId="6577169D" w14:textId="77777777" w:rsidR="00C02C7F" w:rsidRPr="007E16D2" w:rsidRDefault="00C02C7F" w:rsidP="007E16D2">
      <w:pPr>
        <w:pStyle w:val="BodyText"/>
        <w:ind w:right="1000"/>
        <w:rPr>
          <w:rFonts w:ascii="Times New Roman"/>
        </w:rPr>
      </w:pPr>
    </w:p>
    <w:p w14:paraId="24AB6ADD" w14:textId="77777777" w:rsidR="00C02C7F" w:rsidRPr="007E16D2" w:rsidRDefault="00C02C7F" w:rsidP="007E16D2">
      <w:pPr>
        <w:pStyle w:val="BodyText"/>
        <w:ind w:right="1000"/>
        <w:rPr>
          <w:rFonts w:ascii="Times New Roman"/>
        </w:rPr>
      </w:pPr>
    </w:p>
    <w:p w14:paraId="5F2F745A" w14:textId="77777777" w:rsidR="00C02C7F" w:rsidRPr="007E16D2" w:rsidRDefault="00C02C7F" w:rsidP="007E16D2">
      <w:pPr>
        <w:pStyle w:val="BodyText"/>
        <w:ind w:right="1000"/>
        <w:rPr>
          <w:rFonts w:ascii="Times New Roman"/>
        </w:rPr>
      </w:pPr>
    </w:p>
    <w:p w14:paraId="3A8F9941" w14:textId="77777777" w:rsidR="00C02C7F" w:rsidRPr="007E16D2" w:rsidRDefault="00C02C7F" w:rsidP="007E16D2">
      <w:pPr>
        <w:pStyle w:val="BodyText"/>
        <w:ind w:right="1000"/>
        <w:rPr>
          <w:rFonts w:ascii="Times New Roman"/>
        </w:rPr>
      </w:pPr>
    </w:p>
    <w:p w14:paraId="31F7366B" w14:textId="77777777" w:rsidR="00C02C7F" w:rsidRPr="007E16D2" w:rsidRDefault="00C02C7F" w:rsidP="007E16D2">
      <w:pPr>
        <w:pStyle w:val="BodyText"/>
        <w:ind w:right="1000"/>
        <w:rPr>
          <w:rFonts w:ascii="Times New Roman"/>
        </w:rPr>
      </w:pPr>
    </w:p>
    <w:p w14:paraId="73EF7E9C" w14:textId="77777777" w:rsidR="00C02C7F" w:rsidRPr="007E16D2" w:rsidRDefault="00C02C7F" w:rsidP="007E16D2">
      <w:pPr>
        <w:pStyle w:val="BodyText"/>
        <w:ind w:right="1000"/>
        <w:rPr>
          <w:rFonts w:ascii="Times New Roman"/>
        </w:rPr>
      </w:pPr>
    </w:p>
    <w:p w14:paraId="45D91B69" w14:textId="77777777" w:rsidR="00C02C7F" w:rsidRPr="007E16D2" w:rsidRDefault="00C02C7F" w:rsidP="007E16D2">
      <w:pPr>
        <w:pStyle w:val="BodyText"/>
        <w:ind w:right="1000"/>
        <w:rPr>
          <w:rFonts w:ascii="Times New Roman"/>
        </w:rPr>
      </w:pPr>
    </w:p>
    <w:p w14:paraId="34FD64FC" w14:textId="77777777" w:rsidR="00C02C7F" w:rsidRPr="007E16D2" w:rsidRDefault="00C02C7F" w:rsidP="007E16D2">
      <w:pPr>
        <w:pStyle w:val="BodyText"/>
        <w:ind w:right="1000"/>
        <w:rPr>
          <w:rFonts w:ascii="Times New Roman"/>
        </w:rPr>
      </w:pPr>
    </w:p>
    <w:p w14:paraId="73203A67" w14:textId="0CDE3230" w:rsidR="007E16D2" w:rsidRDefault="001223F2" w:rsidP="007E16D2">
      <w:pPr>
        <w:ind w:left="3040" w:right="1000"/>
        <w:rPr>
          <w:b/>
          <w:color w:val="050505"/>
          <w:spacing w:val="-3"/>
          <w:sz w:val="36"/>
        </w:rPr>
      </w:pPr>
      <w:r w:rsidRPr="007E16D2">
        <w:rPr>
          <w:b/>
          <w:color w:val="050505"/>
          <w:sz w:val="36"/>
        </w:rPr>
        <w:t xml:space="preserve">INFORME No. </w:t>
      </w:r>
      <w:r w:rsidR="0065070E">
        <w:rPr>
          <w:b/>
          <w:color w:val="050505"/>
          <w:spacing w:val="-3"/>
          <w:sz w:val="36"/>
        </w:rPr>
        <w:t>189/</w:t>
      </w:r>
      <w:r w:rsidRPr="007E16D2">
        <w:rPr>
          <w:b/>
          <w:color w:val="050505"/>
          <w:spacing w:val="-3"/>
          <w:sz w:val="36"/>
        </w:rPr>
        <w:t>2</w:t>
      </w:r>
      <w:r w:rsidR="00586D3D" w:rsidRPr="007E16D2">
        <w:rPr>
          <w:b/>
          <w:color w:val="050505"/>
          <w:spacing w:val="-3"/>
          <w:sz w:val="36"/>
        </w:rPr>
        <w:t>1</w:t>
      </w:r>
      <w:r w:rsidRPr="007E16D2">
        <w:rPr>
          <w:b/>
          <w:color w:val="050505"/>
          <w:spacing w:val="-3"/>
          <w:sz w:val="36"/>
        </w:rPr>
        <w:t xml:space="preserve"> </w:t>
      </w:r>
    </w:p>
    <w:p w14:paraId="7817E937" w14:textId="26E67B98" w:rsidR="00C02C7F" w:rsidRPr="007E16D2" w:rsidRDefault="001223F2" w:rsidP="007E16D2">
      <w:pPr>
        <w:ind w:left="3040" w:right="1000"/>
        <w:rPr>
          <w:b/>
          <w:sz w:val="36"/>
        </w:rPr>
      </w:pPr>
      <w:r w:rsidRPr="007E16D2">
        <w:rPr>
          <w:b/>
          <w:color w:val="050505"/>
          <w:sz w:val="36"/>
        </w:rPr>
        <w:t>PETICIÓN</w:t>
      </w:r>
      <w:r w:rsidRPr="007E16D2">
        <w:rPr>
          <w:b/>
          <w:color w:val="050505"/>
          <w:spacing w:val="-2"/>
          <w:sz w:val="36"/>
        </w:rPr>
        <w:t xml:space="preserve"> </w:t>
      </w:r>
      <w:r w:rsidR="0026469F" w:rsidRPr="007E16D2">
        <w:rPr>
          <w:b/>
          <w:color w:val="050505"/>
          <w:sz w:val="36"/>
        </w:rPr>
        <w:t>1359</w:t>
      </w:r>
      <w:r w:rsidRPr="007E16D2">
        <w:rPr>
          <w:b/>
          <w:color w:val="050505"/>
          <w:sz w:val="36"/>
        </w:rPr>
        <w:t>-</w:t>
      </w:r>
      <w:r w:rsidR="0026469F" w:rsidRPr="007E16D2">
        <w:rPr>
          <w:b/>
          <w:color w:val="050505"/>
          <w:sz w:val="36"/>
        </w:rPr>
        <w:t>10</w:t>
      </w:r>
    </w:p>
    <w:p w14:paraId="485AE2BC" w14:textId="77777777" w:rsidR="00C02C7F" w:rsidRPr="007E16D2" w:rsidRDefault="001223F2" w:rsidP="007E16D2">
      <w:pPr>
        <w:pStyle w:val="Heading1"/>
        <w:ind w:right="1000"/>
      </w:pPr>
      <w:r w:rsidRPr="007E16D2">
        <w:rPr>
          <w:color w:val="050505"/>
        </w:rPr>
        <w:t>INFORME DE</w:t>
      </w:r>
      <w:r w:rsidRPr="007E16D2">
        <w:rPr>
          <w:color w:val="050505"/>
          <w:spacing w:val="-15"/>
        </w:rPr>
        <w:t xml:space="preserve"> </w:t>
      </w:r>
      <w:r w:rsidRPr="007E16D2">
        <w:rPr>
          <w:color w:val="050505"/>
        </w:rPr>
        <w:t>ADMISIBILIDAD</w:t>
      </w:r>
    </w:p>
    <w:p w14:paraId="61B91498" w14:textId="77777777" w:rsidR="00C02C7F" w:rsidRPr="007E16D2" w:rsidRDefault="00C02C7F" w:rsidP="007E16D2">
      <w:pPr>
        <w:pStyle w:val="BodyText"/>
        <w:ind w:right="1000"/>
        <w:rPr>
          <w:sz w:val="31"/>
        </w:rPr>
      </w:pPr>
    </w:p>
    <w:p w14:paraId="597FBE5E" w14:textId="42517D24" w:rsidR="0026469F" w:rsidRPr="007E16D2" w:rsidRDefault="0026469F" w:rsidP="007E16D2">
      <w:pPr>
        <w:ind w:left="3040" w:right="1000"/>
        <w:rPr>
          <w:color w:val="050505"/>
          <w:sz w:val="24"/>
        </w:rPr>
      </w:pPr>
      <w:r w:rsidRPr="007E16D2">
        <w:rPr>
          <w:color w:val="050505"/>
          <w:sz w:val="24"/>
        </w:rPr>
        <w:t>ANT</w:t>
      </w:r>
      <w:r w:rsidR="00113C4F" w:rsidRPr="007E16D2">
        <w:rPr>
          <w:color w:val="050505"/>
          <w:sz w:val="24"/>
        </w:rPr>
        <w:t>ONIO FERNANDO FERREYRA PEREYRA</w:t>
      </w:r>
    </w:p>
    <w:p w14:paraId="1458044E" w14:textId="612B699E" w:rsidR="00C02C7F" w:rsidRPr="007E16D2" w:rsidRDefault="001223F2" w:rsidP="007E16D2">
      <w:pPr>
        <w:ind w:left="3040" w:right="1000"/>
        <w:rPr>
          <w:sz w:val="24"/>
        </w:rPr>
      </w:pPr>
      <w:r w:rsidRPr="007E16D2">
        <w:rPr>
          <w:color w:val="050505"/>
          <w:sz w:val="24"/>
        </w:rPr>
        <w:t>ARGENTINA</w:t>
      </w:r>
    </w:p>
    <w:p w14:paraId="0FA9EC32" w14:textId="77777777" w:rsidR="00C02C7F" w:rsidRPr="007E16D2" w:rsidRDefault="00C02C7F" w:rsidP="007E16D2">
      <w:pPr>
        <w:pStyle w:val="BodyText"/>
        <w:ind w:right="1000"/>
        <w:rPr>
          <w:sz w:val="28"/>
        </w:rPr>
      </w:pPr>
    </w:p>
    <w:p w14:paraId="04D6F510" w14:textId="77777777" w:rsidR="00C02C7F" w:rsidRPr="007E16D2" w:rsidRDefault="00C02C7F" w:rsidP="007E16D2">
      <w:pPr>
        <w:pStyle w:val="BodyText"/>
        <w:ind w:right="1000"/>
        <w:rPr>
          <w:sz w:val="28"/>
        </w:rPr>
      </w:pPr>
    </w:p>
    <w:p w14:paraId="45841172" w14:textId="77777777" w:rsidR="00C02C7F" w:rsidRPr="007E16D2" w:rsidRDefault="00C02C7F" w:rsidP="007E16D2">
      <w:pPr>
        <w:pStyle w:val="BodyText"/>
        <w:ind w:right="1000"/>
        <w:rPr>
          <w:sz w:val="28"/>
        </w:rPr>
      </w:pPr>
    </w:p>
    <w:p w14:paraId="769E29D0" w14:textId="77777777" w:rsidR="00C02C7F" w:rsidRPr="007E16D2" w:rsidRDefault="00C02C7F" w:rsidP="007E16D2">
      <w:pPr>
        <w:pStyle w:val="BodyText"/>
        <w:ind w:right="1000"/>
        <w:rPr>
          <w:sz w:val="28"/>
        </w:rPr>
      </w:pPr>
    </w:p>
    <w:p w14:paraId="2CB703E1" w14:textId="77777777" w:rsidR="00C02C7F" w:rsidRPr="007E16D2" w:rsidRDefault="00C02C7F" w:rsidP="007E16D2">
      <w:pPr>
        <w:pStyle w:val="BodyText"/>
        <w:ind w:right="1000"/>
        <w:rPr>
          <w:sz w:val="28"/>
        </w:rPr>
      </w:pPr>
    </w:p>
    <w:p w14:paraId="041C9733" w14:textId="77777777" w:rsidR="00C02C7F" w:rsidRPr="007E16D2" w:rsidRDefault="00C02C7F" w:rsidP="007E16D2">
      <w:pPr>
        <w:pStyle w:val="BodyText"/>
        <w:ind w:right="1000"/>
        <w:rPr>
          <w:sz w:val="28"/>
        </w:rPr>
      </w:pPr>
    </w:p>
    <w:p w14:paraId="57E12571" w14:textId="77777777" w:rsidR="00C02C7F" w:rsidRPr="007E16D2" w:rsidRDefault="00C02C7F" w:rsidP="007E16D2">
      <w:pPr>
        <w:pStyle w:val="BodyText"/>
        <w:ind w:right="1000"/>
        <w:rPr>
          <w:sz w:val="28"/>
        </w:rPr>
      </w:pPr>
    </w:p>
    <w:p w14:paraId="73663671" w14:textId="77777777" w:rsidR="00C02C7F" w:rsidRPr="007E16D2" w:rsidRDefault="00C02C7F" w:rsidP="007E16D2">
      <w:pPr>
        <w:pStyle w:val="BodyText"/>
        <w:ind w:right="1000"/>
        <w:rPr>
          <w:sz w:val="28"/>
        </w:rPr>
      </w:pPr>
    </w:p>
    <w:p w14:paraId="33437773" w14:textId="77777777" w:rsidR="00C02C7F" w:rsidRPr="007E16D2" w:rsidRDefault="00C02C7F" w:rsidP="007E16D2">
      <w:pPr>
        <w:pStyle w:val="BodyText"/>
        <w:ind w:right="1000"/>
        <w:rPr>
          <w:sz w:val="28"/>
        </w:rPr>
      </w:pPr>
    </w:p>
    <w:p w14:paraId="3E4A4DEB" w14:textId="77777777" w:rsidR="00C02C7F" w:rsidRPr="007E16D2" w:rsidRDefault="00C02C7F" w:rsidP="007E16D2">
      <w:pPr>
        <w:pStyle w:val="BodyText"/>
        <w:ind w:right="1000"/>
        <w:rPr>
          <w:sz w:val="28"/>
        </w:rPr>
      </w:pPr>
    </w:p>
    <w:p w14:paraId="439C13BA" w14:textId="77777777" w:rsidR="00C02C7F" w:rsidRPr="007E16D2" w:rsidRDefault="00C02C7F" w:rsidP="007E16D2">
      <w:pPr>
        <w:pStyle w:val="BodyText"/>
        <w:ind w:right="1000"/>
        <w:rPr>
          <w:sz w:val="28"/>
        </w:rPr>
      </w:pPr>
    </w:p>
    <w:p w14:paraId="55AD9ADD" w14:textId="77777777" w:rsidR="00C02C7F" w:rsidRPr="007E16D2" w:rsidRDefault="00C02C7F" w:rsidP="007E16D2">
      <w:pPr>
        <w:pStyle w:val="BodyText"/>
        <w:ind w:right="1000"/>
        <w:rPr>
          <w:sz w:val="28"/>
        </w:rPr>
      </w:pPr>
    </w:p>
    <w:p w14:paraId="001AF764" w14:textId="77777777" w:rsidR="00C02C7F" w:rsidRPr="007E16D2" w:rsidRDefault="00C02C7F" w:rsidP="007E16D2">
      <w:pPr>
        <w:pStyle w:val="BodyText"/>
        <w:ind w:right="1000"/>
        <w:rPr>
          <w:sz w:val="28"/>
        </w:rPr>
      </w:pPr>
    </w:p>
    <w:p w14:paraId="25916868" w14:textId="069AC092" w:rsidR="00C02C7F" w:rsidRPr="007E16D2" w:rsidRDefault="001223F2" w:rsidP="007E16D2">
      <w:pPr>
        <w:ind w:left="3023" w:right="1000"/>
        <w:rPr>
          <w:sz w:val="18"/>
        </w:rPr>
      </w:pPr>
      <w:r w:rsidRPr="007E16D2">
        <w:rPr>
          <w:color w:val="050505"/>
          <w:sz w:val="18"/>
        </w:rPr>
        <w:t xml:space="preserve">Aprobado electrónicamente por la Comisión el </w:t>
      </w:r>
      <w:r w:rsidR="0065070E">
        <w:rPr>
          <w:color w:val="050505"/>
          <w:sz w:val="18"/>
        </w:rPr>
        <w:t>3</w:t>
      </w:r>
      <w:r w:rsidRPr="007E16D2">
        <w:rPr>
          <w:color w:val="050505"/>
          <w:sz w:val="18"/>
        </w:rPr>
        <w:t xml:space="preserve"> de </w:t>
      </w:r>
      <w:r w:rsidR="004125B5">
        <w:rPr>
          <w:color w:val="050505"/>
          <w:sz w:val="18"/>
        </w:rPr>
        <w:t>septiembre</w:t>
      </w:r>
      <w:r w:rsidRPr="007E16D2">
        <w:rPr>
          <w:color w:val="050505"/>
          <w:sz w:val="18"/>
        </w:rPr>
        <w:t xml:space="preserve"> de 202</w:t>
      </w:r>
      <w:r w:rsidR="002B0C7A" w:rsidRPr="007E16D2">
        <w:rPr>
          <w:color w:val="050505"/>
          <w:sz w:val="18"/>
        </w:rPr>
        <w:t>1</w:t>
      </w:r>
      <w:r w:rsidR="00706790">
        <w:rPr>
          <w:color w:val="050505"/>
          <w:sz w:val="18"/>
        </w:rPr>
        <w:t>.</w:t>
      </w:r>
    </w:p>
    <w:p w14:paraId="565F36A6" w14:textId="77777777" w:rsidR="00C02C7F" w:rsidRPr="007E16D2" w:rsidRDefault="00C02C7F" w:rsidP="007E16D2">
      <w:pPr>
        <w:pStyle w:val="BodyText"/>
        <w:ind w:right="1000"/>
      </w:pPr>
    </w:p>
    <w:p w14:paraId="1DC05081" w14:textId="77777777" w:rsidR="00C02C7F" w:rsidRPr="007E16D2" w:rsidRDefault="00C02C7F" w:rsidP="007E16D2">
      <w:pPr>
        <w:pStyle w:val="BodyText"/>
        <w:ind w:right="1000"/>
      </w:pPr>
    </w:p>
    <w:p w14:paraId="75DD224D" w14:textId="77777777" w:rsidR="00C02C7F" w:rsidRPr="007E16D2" w:rsidRDefault="00C02C7F" w:rsidP="007E16D2">
      <w:pPr>
        <w:pStyle w:val="BodyText"/>
        <w:ind w:right="1000"/>
        <w:rPr>
          <w:sz w:val="16"/>
        </w:rPr>
      </w:pPr>
    </w:p>
    <w:p w14:paraId="3F79E214" w14:textId="4CF8F4C3" w:rsidR="00C02C7F" w:rsidRPr="007E16D2" w:rsidRDefault="001223F2" w:rsidP="007E16D2">
      <w:pPr>
        <w:ind w:left="3008" w:right="1000"/>
        <w:rPr>
          <w:sz w:val="18"/>
        </w:rPr>
      </w:pPr>
      <w:r w:rsidRPr="007E16D2">
        <w:rPr>
          <w:b/>
          <w:color w:val="595958"/>
          <w:sz w:val="18"/>
          <w:lang w:val="pt-BR"/>
        </w:rPr>
        <w:t xml:space="preserve">Citar como: </w:t>
      </w:r>
      <w:r w:rsidRPr="007E16D2">
        <w:rPr>
          <w:color w:val="595958"/>
          <w:sz w:val="18"/>
          <w:lang w:val="pt-BR"/>
        </w:rPr>
        <w:t xml:space="preserve">CIDH, Informe No. </w:t>
      </w:r>
      <w:r w:rsidR="0065070E" w:rsidRPr="0065070E">
        <w:rPr>
          <w:color w:val="595958"/>
          <w:sz w:val="18"/>
          <w:lang w:val="pt-BR"/>
        </w:rPr>
        <w:t>189</w:t>
      </w:r>
      <w:r w:rsidRPr="0065070E">
        <w:rPr>
          <w:color w:val="595958"/>
          <w:sz w:val="18"/>
          <w:lang w:val="pt-BR"/>
        </w:rPr>
        <w:t>/2</w:t>
      </w:r>
      <w:r w:rsidR="002B0C7A" w:rsidRPr="0065070E">
        <w:rPr>
          <w:color w:val="595958"/>
          <w:sz w:val="18"/>
          <w:lang w:val="pt-BR"/>
        </w:rPr>
        <w:t>1</w:t>
      </w:r>
      <w:r w:rsidRPr="0065070E">
        <w:rPr>
          <w:color w:val="595958"/>
          <w:sz w:val="18"/>
          <w:lang w:val="pt-BR"/>
        </w:rPr>
        <w:t xml:space="preserve">. </w:t>
      </w:r>
      <w:r w:rsidRPr="007E16D2">
        <w:rPr>
          <w:color w:val="595958"/>
          <w:sz w:val="18"/>
        </w:rPr>
        <w:t>Petición P-1</w:t>
      </w:r>
      <w:r w:rsidR="0026469F" w:rsidRPr="007E16D2">
        <w:rPr>
          <w:color w:val="595958"/>
          <w:sz w:val="18"/>
        </w:rPr>
        <w:t>359</w:t>
      </w:r>
      <w:r w:rsidRPr="007E16D2">
        <w:rPr>
          <w:color w:val="595958"/>
          <w:sz w:val="18"/>
        </w:rPr>
        <w:t>-</w:t>
      </w:r>
      <w:r w:rsidR="0026469F" w:rsidRPr="007E16D2">
        <w:rPr>
          <w:color w:val="595958"/>
          <w:sz w:val="18"/>
        </w:rPr>
        <w:t>10</w:t>
      </w:r>
      <w:r w:rsidRPr="007E16D2">
        <w:rPr>
          <w:color w:val="595958"/>
          <w:sz w:val="18"/>
        </w:rPr>
        <w:t xml:space="preserve">. Admisibilidad. </w:t>
      </w:r>
      <w:r w:rsidR="0065070E">
        <w:rPr>
          <w:color w:val="595958"/>
          <w:sz w:val="18"/>
        </w:rPr>
        <w:t>Antonio Fernando Ferreyra Pereyra</w:t>
      </w:r>
      <w:r w:rsidRPr="007E16D2">
        <w:rPr>
          <w:color w:val="595958"/>
          <w:sz w:val="18"/>
        </w:rPr>
        <w:t xml:space="preserve">. Argentina. </w:t>
      </w:r>
      <w:r w:rsidR="0065070E">
        <w:rPr>
          <w:color w:val="595958"/>
          <w:sz w:val="18"/>
        </w:rPr>
        <w:t>3</w:t>
      </w:r>
      <w:r w:rsidRPr="007E16D2">
        <w:rPr>
          <w:color w:val="595958"/>
          <w:sz w:val="18"/>
        </w:rPr>
        <w:t xml:space="preserve"> de </w:t>
      </w:r>
      <w:r w:rsidR="004125B5">
        <w:rPr>
          <w:color w:val="595958"/>
          <w:sz w:val="18"/>
        </w:rPr>
        <w:t>septiembre</w:t>
      </w:r>
      <w:r w:rsidRPr="007E16D2">
        <w:rPr>
          <w:color w:val="595958"/>
          <w:sz w:val="18"/>
        </w:rPr>
        <w:t xml:space="preserve"> de 202</w:t>
      </w:r>
      <w:r w:rsidR="002B0C7A" w:rsidRPr="007E16D2">
        <w:rPr>
          <w:color w:val="595958"/>
          <w:sz w:val="18"/>
        </w:rPr>
        <w:t>1</w:t>
      </w:r>
      <w:r w:rsidRPr="007E16D2">
        <w:rPr>
          <w:color w:val="595958"/>
          <w:sz w:val="18"/>
        </w:rPr>
        <w:t>.</w:t>
      </w:r>
    </w:p>
    <w:p w14:paraId="41E2E7B7" w14:textId="77777777" w:rsidR="00C02C7F" w:rsidRPr="007E16D2" w:rsidRDefault="00C02C7F" w:rsidP="007E16D2">
      <w:pPr>
        <w:pStyle w:val="BodyText"/>
        <w:ind w:right="1000"/>
      </w:pPr>
    </w:p>
    <w:p w14:paraId="38E03824" w14:textId="77777777" w:rsidR="00C02C7F" w:rsidRPr="007E16D2" w:rsidRDefault="00C02C7F" w:rsidP="007E16D2">
      <w:pPr>
        <w:pStyle w:val="BodyText"/>
        <w:ind w:right="1000"/>
      </w:pPr>
    </w:p>
    <w:p w14:paraId="0CD67CB2" w14:textId="77777777" w:rsidR="00C02C7F" w:rsidRPr="007E16D2" w:rsidRDefault="00C02C7F" w:rsidP="007E16D2">
      <w:pPr>
        <w:pStyle w:val="BodyText"/>
        <w:ind w:right="1000"/>
      </w:pPr>
    </w:p>
    <w:p w14:paraId="1B7A744F" w14:textId="77777777" w:rsidR="00C02C7F" w:rsidRPr="007E16D2" w:rsidRDefault="001223F2" w:rsidP="007E16D2">
      <w:pPr>
        <w:pStyle w:val="BodyText"/>
        <w:ind w:right="1000"/>
        <w:rPr>
          <w:sz w:val="16"/>
        </w:rPr>
      </w:pPr>
      <w:r w:rsidRPr="007E16D2">
        <w:rPr>
          <w:noProof/>
        </w:rPr>
        <w:drawing>
          <wp:anchor distT="0" distB="0" distL="0" distR="0" simplePos="0" relativeHeight="251656192" behindDoc="0" locked="0" layoutInCell="1" allowOverlap="1" wp14:anchorId="5C333012" wp14:editId="1C9E1EBB">
            <wp:simplePos x="0" y="0"/>
            <wp:positionH relativeFrom="page">
              <wp:posOffset>2338705</wp:posOffset>
            </wp:positionH>
            <wp:positionV relativeFrom="paragraph">
              <wp:posOffset>719818</wp:posOffset>
            </wp:positionV>
            <wp:extent cx="1772183" cy="456056"/>
            <wp:effectExtent l="0" t="0" r="0" b="127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772183" cy="456056"/>
                    </a:xfrm>
                    <a:prstGeom prst="rect">
                      <a:avLst/>
                    </a:prstGeom>
                  </pic:spPr>
                </pic:pic>
              </a:graphicData>
            </a:graphic>
          </wp:anchor>
        </w:drawing>
      </w:r>
    </w:p>
    <w:p w14:paraId="43CCC4A7" w14:textId="77777777" w:rsidR="00C02C7F" w:rsidRPr="007E16D2" w:rsidRDefault="00C02C7F" w:rsidP="007E16D2">
      <w:pPr>
        <w:ind w:right="1000"/>
        <w:rPr>
          <w:sz w:val="16"/>
        </w:rPr>
        <w:sectPr w:rsidR="00C02C7F" w:rsidRPr="007E16D2" w:rsidSect="00FF4383">
          <w:headerReference w:type="default" r:id="rId12"/>
          <w:type w:val="continuous"/>
          <w:pgSz w:w="12240" w:h="15840"/>
          <w:pgMar w:top="740" w:right="1200" w:bottom="280" w:left="680" w:header="720" w:footer="720" w:gutter="0"/>
          <w:cols w:space="720"/>
          <w:titlePg/>
          <w:docGrid w:linePitch="299"/>
        </w:sectPr>
      </w:pPr>
    </w:p>
    <w:p w14:paraId="21A11F39" w14:textId="77777777" w:rsidR="00C02C7F" w:rsidRPr="007E16D2" w:rsidRDefault="00C02C7F" w:rsidP="007E16D2">
      <w:pPr>
        <w:pStyle w:val="BodyText"/>
        <w:ind w:right="1000"/>
        <w:rPr>
          <w:sz w:val="11"/>
        </w:rPr>
      </w:pPr>
    </w:p>
    <w:p w14:paraId="3D379E68" w14:textId="4AE5CB4B" w:rsidR="00C02C7F" w:rsidRPr="007E16D2" w:rsidRDefault="001223F2" w:rsidP="00542CB9">
      <w:pPr>
        <w:pStyle w:val="Heading2"/>
        <w:numPr>
          <w:ilvl w:val="0"/>
          <w:numId w:val="3"/>
        </w:numPr>
        <w:spacing w:before="0"/>
        <w:ind w:left="0" w:right="1000" w:firstLine="1440"/>
      </w:pPr>
      <w:bookmarkStart w:id="1" w:name="_bookmark4"/>
      <w:bookmarkEnd w:id="1"/>
      <w:r w:rsidRPr="007E16D2">
        <w:t>DATOS DE LA</w:t>
      </w:r>
      <w:r w:rsidRPr="007E16D2">
        <w:rPr>
          <w:spacing w:val="1"/>
        </w:rPr>
        <w:t xml:space="preserve"> </w:t>
      </w:r>
      <w:r w:rsidRPr="007E16D2">
        <w:t>PETICIÓN</w:t>
      </w:r>
    </w:p>
    <w:p w14:paraId="19C4C750" w14:textId="77777777" w:rsidR="00C02C7F" w:rsidRPr="007E16D2" w:rsidRDefault="00C02C7F" w:rsidP="007E16D2">
      <w:pPr>
        <w:pStyle w:val="BodyText"/>
        <w:ind w:right="1000" w:firstLine="720"/>
        <w:rPr>
          <w:b/>
          <w:sz w:val="10"/>
        </w:rPr>
      </w:pPr>
    </w:p>
    <w:tbl>
      <w:tblPr>
        <w:tblStyle w:val="TableNormal1"/>
        <w:tblW w:w="9377"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1"/>
        <w:gridCol w:w="6586"/>
      </w:tblGrid>
      <w:tr w:rsidR="00C02C7F" w:rsidRPr="007E16D2" w14:paraId="2E06C8FB" w14:textId="77777777" w:rsidTr="00317E54">
        <w:trPr>
          <w:trHeight w:val="222"/>
        </w:trPr>
        <w:tc>
          <w:tcPr>
            <w:tcW w:w="2791" w:type="dxa"/>
            <w:tcBorders>
              <w:bottom w:val="single" w:sz="6" w:space="0" w:color="000000"/>
              <w:right w:val="single" w:sz="6" w:space="0" w:color="000000"/>
            </w:tcBorders>
            <w:shd w:val="clear" w:color="auto" w:fill="386294"/>
            <w:vAlign w:val="center"/>
          </w:tcPr>
          <w:p w14:paraId="2D1EFF23"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Parte peticionaria</w:t>
            </w:r>
          </w:p>
        </w:tc>
        <w:tc>
          <w:tcPr>
            <w:tcW w:w="6586" w:type="dxa"/>
            <w:tcBorders>
              <w:left w:val="single" w:sz="6" w:space="0" w:color="000000"/>
              <w:bottom w:val="single" w:sz="6" w:space="0" w:color="000000"/>
            </w:tcBorders>
          </w:tcPr>
          <w:p w14:paraId="192EA89A" w14:textId="4DE838EB" w:rsidR="00C02C7F" w:rsidRPr="007E16D2" w:rsidRDefault="00EE7BDA" w:rsidP="007E16D2">
            <w:pPr>
              <w:pStyle w:val="TableParagraph"/>
              <w:spacing w:line="240" w:lineRule="auto"/>
              <w:ind w:left="0" w:right="760"/>
              <w:jc w:val="both"/>
              <w:rPr>
                <w:sz w:val="12"/>
              </w:rPr>
            </w:pPr>
            <w:r w:rsidRPr="007E16D2">
              <w:rPr>
                <w:sz w:val="19"/>
              </w:rPr>
              <w:t>Mario Luis Coriolano</w:t>
            </w:r>
            <w:r w:rsidR="00A934CD" w:rsidRPr="007E16D2">
              <w:rPr>
                <w:sz w:val="19"/>
              </w:rPr>
              <w:t xml:space="preserve"> y</w:t>
            </w:r>
            <w:r w:rsidRPr="007E16D2">
              <w:rPr>
                <w:sz w:val="19"/>
              </w:rPr>
              <w:t xml:space="preserve"> </w:t>
            </w:r>
            <w:r w:rsidR="00113C4F" w:rsidRPr="007E16D2">
              <w:rPr>
                <w:sz w:val="19"/>
              </w:rPr>
              <w:t xml:space="preserve">Antonio Fernando Ferreyra Pereyra </w:t>
            </w:r>
          </w:p>
        </w:tc>
      </w:tr>
      <w:tr w:rsidR="00C02C7F" w:rsidRPr="007E16D2" w14:paraId="78BCB745" w14:textId="77777777" w:rsidTr="00317E54">
        <w:trPr>
          <w:trHeight w:val="222"/>
        </w:trPr>
        <w:tc>
          <w:tcPr>
            <w:tcW w:w="2791" w:type="dxa"/>
            <w:tcBorders>
              <w:top w:val="single" w:sz="6" w:space="0" w:color="000000"/>
              <w:bottom w:val="single" w:sz="6" w:space="0" w:color="000000"/>
              <w:right w:val="single" w:sz="6" w:space="0" w:color="000000"/>
            </w:tcBorders>
            <w:shd w:val="clear" w:color="auto" w:fill="386294"/>
            <w:vAlign w:val="center"/>
          </w:tcPr>
          <w:p w14:paraId="5558FF07"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Presunta víctima</w:t>
            </w:r>
          </w:p>
        </w:tc>
        <w:tc>
          <w:tcPr>
            <w:tcW w:w="6586" w:type="dxa"/>
            <w:tcBorders>
              <w:top w:val="single" w:sz="6" w:space="0" w:color="000000"/>
              <w:left w:val="single" w:sz="6" w:space="0" w:color="000000"/>
              <w:bottom w:val="single" w:sz="6" w:space="0" w:color="000000"/>
            </w:tcBorders>
          </w:tcPr>
          <w:p w14:paraId="523C9213" w14:textId="292236D2" w:rsidR="00C02C7F" w:rsidRPr="007E16D2" w:rsidRDefault="00113C4F" w:rsidP="007E16D2">
            <w:pPr>
              <w:pStyle w:val="TableParagraph"/>
              <w:spacing w:line="240" w:lineRule="auto"/>
              <w:ind w:left="0" w:right="760"/>
              <w:jc w:val="both"/>
              <w:rPr>
                <w:sz w:val="19"/>
              </w:rPr>
            </w:pPr>
            <w:r w:rsidRPr="007E16D2">
              <w:rPr>
                <w:sz w:val="19"/>
              </w:rPr>
              <w:t>Antonio Fernando Ferreyra Pereyra</w:t>
            </w:r>
          </w:p>
        </w:tc>
      </w:tr>
      <w:tr w:rsidR="00C02C7F" w:rsidRPr="007E16D2" w14:paraId="2D2B5C75" w14:textId="77777777" w:rsidTr="00317E54">
        <w:trPr>
          <w:trHeight w:val="222"/>
        </w:trPr>
        <w:tc>
          <w:tcPr>
            <w:tcW w:w="2791" w:type="dxa"/>
            <w:tcBorders>
              <w:top w:val="single" w:sz="6" w:space="0" w:color="000000"/>
              <w:bottom w:val="single" w:sz="6" w:space="0" w:color="000000"/>
              <w:right w:val="single" w:sz="6" w:space="0" w:color="000000"/>
            </w:tcBorders>
            <w:shd w:val="clear" w:color="auto" w:fill="386294"/>
            <w:vAlign w:val="center"/>
          </w:tcPr>
          <w:p w14:paraId="7ACFC022"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Estado denunciado</w:t>
            </w:r>
          </w:p>
        </w:tc>
        <w:tc>
          <w:tcPr>
            <w:tcW w:w="6586" w:type="dxa"/>
            <w:tcBorders>
              <w:top w:val="single" w:sz="6" w:space="0" w:color="000000"/>
              <w:left w:val="single" w:sz="6" w:space="0" w:color="000000"/>
              <w:bottom w:val="single" w:sz="6" w:space="0" w:color="000000"/>
            </w:tcBorders>
          </w:tcPr>
          <w:p w14:paraId="0F0AD21D" w14:textId="77777777" w:rsidR="00C02C7F" w:rsidRPr="007E16D2" w:rsidRDefault="001223F2" w:rsidP="007E16D2">
            <w:pPr>
              <w:pStyle w:val="TableParagraph"/>
              <w:spacing w:line="240" w:lineRule="auto"/>
              <w:ind w:left="0" w:right="760"/>
              <w:jc w:val="both"/>
              <w:rPr>
                <w:sz w:val="19"/>
              </w:rPr>
            </w:pPr>
            <w:r w:rsidRPr="007E16D2">
              <w:rPr>
                <w:sz w:val="19"/>
              </w:rPr>
              <w:t>Argentina</w:t>
            </w:r>
          </w:p>
        </w:tc>
      </w:tr>
      <w:tr w:rsidR="00C02C7F" w:rsidRPr="007E16D2" w14:paraId="7B4FADA0" w14:textId="77777777" w:rsidTr="00317E54">
        <w:trPr>
          <w:trHeight w:val="889"/>
        </w:trPr>
        <w:tc>
          <w:tcPr>
            <w:tcW w:w="2791" w:type="dxa"/>
            <w:tcBorders>
              <w:top w:val="single" w:sz="6" w:space="0" w:color="000000"/>
              <w:bottom w:val="single" w:sz="6" w:space="0" w:color="000000"/>
              <w:right w:val="single" w:sz="6" w:space="0" w:color="000000"/>
            </w:tcBorders>
            <w:shd w:val="clear" w:color="auto" w:fill="386294"/>
            <w:vAlign w:val="center"/>
          </w:tcPr>
          <w:p w14:paraId="123FDED4" w14:textId="531D36C0"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Derechos</w:t>
            </w:r>
            <w:r w:rsidR="00A934CD" w:rsidRPr="00D360FB">
              <w:rPr>
                <w:b/>
                <w:bCs/>
                <w:color w:val="FFFFFF"/>
                <w:sz w:val="19"/>
              </w:rPr>
              <w:t xml:space="preserve"> </w:t>
            </w:r>
            <w:r w:rsidRPr="00D360FB">
              <w:rPr>
                <w:b/>
                <w:bCs/>
                <w:color w:val="FFFFFF"/>
                <w:sz w:val="19"/>
              </w:rPr>
              <w:t>invocados</w:t>
            </w:r>
          </w:p>
        </w:tc>
        <w:tc>
          <w:tcPr>
            <w:tcW w:w="6586" w:type="dxa"/>
            <w:tcBorders>
              <w:top w:val="single" w:sz="6" w:space="0" w:color="000000"/>
              <w:left w:val="single" w:sz="6" w:space="0" w:color="000000"/>
            </w:tcBorders>
          </w:tcPr>
          <w:p w14:paraId="343BF5C1" w14:textId="08DD7A86" w:rsidR="00C02C7F" w:rsidRPr="007E16D2" w:rsidRDefault="001223F2" w:rsidP="007E16D2">
            <w:pPr>
              <w:pStyle w:val="TableParagraph"/>
              <w:spacing w:line="240" w:lineRule="auto"/>
              <w:ind w:left="0" w:right="80"/>
              <w:jc w:val="both"/>
              <w:rPr>
                <w:sz w:val="12"/>
              </w:rPr>
            </w:pPr>
            <w:r w:rsidRPr="007E16D2">
              <w:rPr>
                <w:sz w:val="19"/>
              </w:rPr>
              <w:t>Artículos 7</w:t>
            </w:r>
            <w:r w:rsidR="00384195" w:rsidRPr="007E16D2">
              <w:rPr>
                <w:sz w:val="19"/>
              </w:rPr>
              <w:t>.2, 7.3, 7.5</w:t>
            </w:r>
            <w:r w:rsidRPr="007E16D2">
              <w:rPr>
                <w:sz w:val="19"/>
              </w:rPr>
              <w:t xml:space="preserve"> (libertad personal)</w:t>
            </w:r>
            <w:r w:rsidR="00384195" w:rsidRPr="007E16D2">
              <w:rPr>
                <w:sz w:val="19"/>
              </w:rPr>
              <w:t xml:space="preserve"> y</w:t>
            </w:r>
            <w:r w:rsidRPr="007E16D2">
              <w:rPr>
                <w:sz w:val="19"/>
              </w:rPr>
              <w:t xml:space="preserve"> </w:t>
            </w:r>
            <w:r w:rsidR="00384195" w:rsidRPr="007E16D2">
              <w:rPr>
                <w:sz w:val="19"/>
              </w:rPr>
              <w:t xml:space="preserve">8.2 (garantías judiciales) de la Convención Americana </w:t>
            </w:r>
            <w:r w:rsidR="008B7A6E">
              <w:rPr>
                <w:sz w:val="19"/>
              </w:rPr>
              <w:t>sobre</w:t>
            </w:r>
            <w:r w:rsidR="00384195" w:rsidRPr="007E16D2">
              <w:rPr>
                <w:sz w:val="19"/>
              </w:rPr>
              <w:t xml:space="preserve"> Derechos Humanos, </w:t>
            </w:r>
            <w:r w:rsidR="00807BF6" w:rsidRPr="007E16D2">
              <w:rPr>
                <w:sz w:val="19"/>
              </w:rPr>
              <w:t>en conexión con sus artículos 1.1 (obligación de respetar los derechos) y 2 (deber de adoptar disposiciones de derecho interno)</w:t>
            </w:r>
          </w:p>
        </w:tc>
      </w:tr>
    </w:tbl>
    <w:p w14:paraId="1CC2D8A3" w14:textId="1047D671" w:rsidR="0065070E" w:rsidRPr="0065070E" w:rsidRDefault="0065070E" w:rsidP="0065070E">
      <w:pPr>
        <w:pStyle w:val="ListParagraph"/>
        <w:spacing w:before="0"/>
        <w:ind w:left="720" w:right="760" w:firstLine="0"/>
        <w:rPr>
          <w:b/>
          <w:sz w:val="13"/>
        </w:rPr>
      </w:pPr>
    </w:p>
    <w:p w14:paraId="3AC4BC06" w14:textId="790DAD6B" w:rsidR="00C02C7F" w:rsidRPr="00542CB9" w:rsidRDefault="001223F2" w:rsidP="00542CB9">
      <w:pPr>
        <w:pStyle w:val="Heading2"/>
        <w:numPr>
          <w:ilvl w:val="0"/>
          <w:numId w:val="3"/>
        </w:numPr>
        <w:spacing w:before="0"/>
        <w:ind w:left="0" w:right="1000" w:firstLine="1440"/>
      </w:pPr>
      <w:r w:rsidRPr="007E16D2">
        <w:t>TRÁMITE ANTE LA</w:t>
      </w:r>
      <w:r w:rsidRPr="00542CB9">
        <w:t xml:space="preserve"> CIDH</w:t>
      </w:r>
    </w:p>
    <w:p w14:paraId="286E1769" w14:textId="77777777" w:rsidR="00C02C7F" w:rsidRPr="007E16D2" w:rsidRDefault="00C02C7F" w:rsidP="007E16D2">
      <w:pPr>
        <w:pStyle w:val="BodyText"/>
        <w:ind w:right="760"/>
        <w:rPr>
          <w:b/>
          <w:sz w:val="9"/>
        </w:rPr>
      </w:pPr>
    </w:p>
    <w:tbl>
      <w:tblPr>
        <w:tblStyle w:val="TableNormal1"/>
        <w:tblW w:w="9287" w:type="dxa"/>
        <w:tblInd w:w="8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1"/>
        <w:gridCol w:w="6496"/>
      </w:tblGrid>
      <w:tr w:rsidR="00C02C7F" w:rsidRPr="007E16D2" w14:paraId="3325FE85" w14:textId="77777777" w:rsidTr="00A934CD">
        <w:trPr>
          <w:trHeight w:val="225"/>
        </w:trPr>
        <w:tc>
          <w:tcPr>
            <w:tcW w:w="2791" w:type="dxa"/>
            <w:tcBorders>
              <w:left w:val="single" w:sz="4" w:space="0" w:color="000000"/>
            </w:tcBorders>
            <w:shd w:val="clear" w:color="auto" w:fill="386294"/>
            <w:vAlign w:val="center"/>
          </w:tcPr>
          <w:p w14:paraId="2284D9D5"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Recepción de la petición</w:t>
            </w:r>
          </w:p>
        </w:tc>
        <w:tc>
          <w:tcPr>
            <w:tcW w:w="6496" w:type="dxa"/>
            <w:tcBorders>
              <w:top w:val="single" w:sz="4" w:space="0" w:color="000000"/>
              <w:right w:val="single" w:sz="4" w:space="0" w:color="000000"/>
            </w:tcBorders>
          </w:tcPr>
          <w:p w14:paraId="5DA58D2E" w14:textId="4487832B" w:rsidR="00C02C7F" w:rsidRPr="007E16D2" w:rsidRDefault="00220FFB" w:rsidP="007E16D2">
            <w:pPr>
              <w:pStyle w:val="TableParagraph"/>
              <w:spacing w:line="240" w:lineRule="auto"/>
              <w:ind w:left="18" w:right="760"/>
              <w:rPr>
                <w:sz w:val="19"/>
              </w:rPr>
            </w:pPr>
            <w:r w:rsidRPr="007E16D2">
              <w:rPr>
                <w:sz w:val="19"/>
              </w:rPr>
              <w:t>12 de octubre</w:t>
            </w:r>
            <w:r w:rsidR="00987AEF" w:rsidRPr="007E16D2">
              <w:rPr>
                <w:sz w:val="19"/>
              </w:rPr>
              <w:t xml:space="preserve"> de 2010</w:t>
            </w:r>
          </w:p>
        </w:tc>
      </w:tr>
      <w:tr w:rsidR="00C02C7F" w:rsidRPr="007E16D2" w14:paraId="32759362" w14:textId="77777777" w:rsidTr="00A934CD">
        <w:trPr>
          <w:trHeight w:val="222"/>
        </w:trPr>
        <w:tc>
          <w:tcPr>
            <w:tcW w:w="2791" w:type="dxa"/>
            <w:tcBorders>
              <w:left w:val="single" w:sz="4" w:space="0" w:color="000000"/>
            </w:tcBorders>
            <w:shd w:val="clear" w:color="auto" w:fill="386294"/>
            <w:vAlign w:val="center"/>
          </w:tcPr>
          <w:p w14:paraId="017B6122"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Notificación de la petición</w:t>
            </w:r>
          </w:p>
        </w:tc>
        <w:tc>
          <w:tcPr>
            <w:tcW w:w="6496" w:type="dxa"/>
            <w:tcBorders>
              <w:right w:val="single" w:sz="4" w:space="0" w:color="000000"/>
            </w:tcBorders>
          </w:tcPr>
          <w:p w14:paraId="7549FCD6" w14:textId="3F715E3C" w:rsidR="00C02C7F" w:rsidRPr="007E16D2" w:rsidRDefault="00987AEF" w:rsidP="007E16D2">
            <w:pPr>
              <w:pStyle w:val="TableParagraph"/>
              <w:spacing w:line="240" w:lineRule="auto"/>
              <w:ind w:left="18" w:right="760"/>
              <w:rPr>
                <w:sz w:val="19"/>
              </w:rPr>
            </w:pPr>
            <w:r w:rsidRPr="007E16D2">
              <w:rPr>
                <w:sz w:val="19"/>
              </w:rPr>
              <w:t>3 de diciembre de 2015</w:t>
            </w:r>
          </w:p>
        </w:tc>
      </w:tr>
      <w:tr w:rsidR="00C02C7F" w:rsidRPr="007E16D2" w14:paraId="41A7E7E6" w14:textId="77777777" w:rsidTr="00A934CD">
        <w:trPr>
          <w:trHeight w:val="222"/>
        </w:trPr>
        <w:tc>
          <w:tcPr>
            <w:tcW w:w="2791" w:type="dxa"/>
            <w:tcBorders>
              <w:left w:val="single" w:sz="4" w:space="0" w:color="000000"/>
            </w:tcBorders>
            <w:shd w:val="clear" w:color="auto" w:fill="386294"/>
            <w:vAlign w:val="center"/>
          </w:tcPr>
          <w:p w14:paraId="63A3DC5C"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Primera respuesta del Estado</w:t>
            </w:r>
          </w:p>
        </w:tc>
        <w:tc>
          <w:tcPr>
            <w:tcW w:w="6496" w:type="dxa"/>
            <w:tcBorders>
              <w:right w:val="single" w:sz="4" w:space="0" w:color="000000"/>
            </w:tcBorders>
          </w:tcPr>
          <w:p w14:paraId="20499362" w14:textId="77777777" w:rsidR="00C02C7F" w:rsidRPr="007E16D2" w:rsidRDefault="001223F2" w:rsidP="007E16D2">
            <w:pPr>
              <w:pStyle w:val="TableParagraph"/>
              <w:spacing w:line="240" w:lineRule="auto"/>
              <w:ind w:left="18" w:right="760"/>
              <w:rPr>
                <w:sz w:val="19"/>
              </w:rPr>
            </w:pPr>
            <w:r w:rsidRPr="007E16D2">
              <w:rPr>
                <w:sz w:val="19"/>
              </w:rPr>
              <w:t>4 de diciembre de 2014</w:t>
            </w:r>
          </w:p>
        </w:tc>
      </w:tr>
      <w:tr w:rsidR="00C02C7F" w:rsidRPr="007E16D2" w14:paraId="53747EB1" w14:textId="77777777" w:rsidTr="00A934CD">
        <w:trPr>
          <w:trHeight w:val="445"/>
        </w:trPr>
        <w:tc>
          <w:tcPr>
            <w:tcW w:w="2791" w:type="dxa"/>
            <w:tcBorders>
              <w:left w:val="single" w:sz="4" w:space="0" w:color="000000"/>
            </w:tcBorders>
            <w:shd w:val="clear" w:color="auto" w:fill="386294"/>
            <w:vAlign w:val="center"/>
          </w:tcPr>
          <w:p w14:paraId="61783F77" w14:textId="4769B055"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 xml:space="preserve">Observaciones </w:t>
            </w:r>
            <w:r w:rsidR="00A934CD" w:rsidRPr="00D360FB">
              <w:rPr>
                <w:b/>
                <w:bCs/>
                <w:color w:val="FFFFFF"/>
                <w:sz w:val="19"/>
              </w:rPr>
              <w:t>a</w:t>
            </w:r>
            <w:r w:rsidRPr="00D360FB">
              <w:rPr>
                <w:b/>
                <w:bCs/>
                <w:color w:val="FFFFFF"/>
                <w:sz w:val="19"/>
              </w:rPr>
              <w:t>dicionales del Estado</w:t>
            </w:r>
          </w:p>
        </w:tc>
        <w:tc>
          <w:tcPr>
            <w:tcW w:w="6496" w:type="dxa"/>
            <w:tcBorders>
              <w:right w:val="single" w:sz="4" w:space="0" w:color="000000"/>
            </w:tcBorders>
          </w:tcPr>
          <w:p w14:paraId="5D279B0F" w14:textId="67DC6EE9" w:rsidR="00C02C7F" w:rsidRPr="007E16D2" w:rsidRDefault="00987AEF" w:rsidP="007E16D2">
            <w:pPr>
              <w:pStyle w:val="TableParagraph"/>
              <w:spacing w:line="240" w:lineRule="auto"/>
              <w:ind w:left="18" w:right="760"/>
              <w:rPr>
                <w:sz w:val="19"/>
              </w:rPr>
            </w:pPr>
            <w:r w:rsidRPr="007E16D2">
              <w:rPr>
                <w:sz w:val="19"/>
              </w:rPr>
              <w:t>8 de diciembre de 2017</w:t>
            </w:r>
          </w:p>
        </w:tc>
      </w:tr>
      <w:tr w:rsidR="00C02C7F" w:rsidRPr="007E16D2" w14:paraId="48FD695B" w14:textId="77777777" w:rsidTr="00A934CD">
        <w:trPr>
          <w:trHeight w:val="443"/>
        </w:trPr>
        <w:tc>
          <w:tcPr>
            <w:tcW w:w="2791" w:type="dxa"/>
            <w:tcBorders>
              <w:left w:val="single" w:sz="4" w:space="0" w:color="000000"/>
            </w:tcBorders>
            <w:shd w:val="clear" w:color="auto" w:fill="386294"/>
            <w:vAlign w:val="center"/>
          </w:tcPr>
          <w:p w14:paraId="5872FE89" w14:textId="238476EA" w:rsidR="00C02C7F" w:rsidRPr="00D360FB" w:rsidRDefault="00987AEF" w:rsidP="00D360FB">
            <w:pPr>
              <w:pStyle w:val="TableParagraph"/>
              <w:spacing w:line="240" w:lineRule="auto"/>
              <w:ind w:left="0" w:right="133"/>
              <w:jc w:val="center"/>
              <w:rPr>
                <w:b/>
                <w:bCs/>
                <w:color w:val="FFFFFF"/>
                <w:sz w:val="19"/>
              </w:rPr>
            </w:pPr>
            <w:r w:rsidRPr="00D360FB">
              <w:rPr>
                <w:b/>
                <w:bCs/>
                <w:color w:val="FFFFFF"/>
                <w:sz w:val="19"/>
              </w:rPr>
              <w:t>Observaciones adicionales de la parte peticionaria</w:t>
            </w:r>
          </w:p>
        </w:tc>
        <w:tc>
          <w:tcPr>
            <w:tcW w:w="6496" w:type="dxa"/>
            <w:tcBorders>
              <w:bottom w:val="single" w:sz="4" w:space="0" w:color="000000"/>
              <w:right w:val="single" w:sz="4" w:space="0" w:color="000000"/>
            </w:tcBorders>
          </w:tcPr>
          <w:p w14:paraId="4E9BC5BB" w14:textId="0AEAD6D2" w:rsidR="00C02C7F" w:rsidRPr="007E16D2" w:rsidRDefault="00987AEF" w:rsidP="007E16D2">
            <w:pPr>
              <w:pStyle w:val="TableParagraph"/>
              <w:spacing w:line="240" w:lineRule="auto"/>
              <w:ind w:left="18" w:right="760"/>
              <w:rPr>
                <w:sz w:val="19"/>
              </w:rPr>
            </w:pPr>
            <w:r w:rsidRPr="007E16D2">
              <w:rPr>
                <w:sz w:val="19"/>
              </w:rPr>
              <w:t>15 de junio de 2018; 6 de febrero de 2020</w:t>
            </w:r>
          </w:p>
        </w:tc>
      </w:tr>
    </w:tbl>
    <w:p w14:paraId="5866D4EB" w14:textId="77777777" w:rsidR="0065070E" w:rsidRDefault="0065070E" w:rsidP="0065070E">
      <w:pPr>
        <w:pStyle w:val="ListParagraph"/>
        <w:spacing w:before="0"/>
        <w:ind w:left="900" w:right="760" w:firstLine="0"/>
        <w:rPr>
          <w:b/>
          <w:sz w:val="20"/>
        </w:rPr>
      </w:pPr>
    </w:p>
    <w:p w14:paraId="3CBF9A68" w14:textId="2EFA6E51" w:rsidR="00C02C7F" w:rsidRPr="00542CB9" w:rsidRDefault="001223F2" w:rsidP="00542CB9">
      <w:pPr>
        <w:pStyle w:val="Heading2"/>
        <w:numPr>
          <w:ilvl w:val="0"/>
          <w:numId w:val="3"/>
        </w:numPr>
        <w:spacing w:before="0"/>
        <w:ind w:left="0" w:right="1000" w:firstLine="1440"/>
      </w:pPr>
      <w:r w:rsidRPr="007E16D2">
        <w:t>COMPETENCIA</w:t>
      </w:r>
    </w:p>
    <w:p w14:paraId="1D935329" w14:textId="77777777" w:rsidR="00C02C7F" w:rsidRPr="007E16D2" w:rsidRDefault="00C02C7F" w:rsidP="007E16D2">
      <w:pPr>
        <w:pStyle w:val="BodyText"/>
        <w:ind w:right="760"/>
        <w:rPr>
          <w:b/>
          <w:sz w:val="10"/>
        </w:rPr>
      </w:pPr>
    </w:p>
    <w:tbl>
      <w:tblPr>
        <w:tblStyle w:val="TableNormal1"/>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6482"/>
      </w:tblGrid>
      <w:tr w:rsidR="00C02C7F" w:rsidRPr="007E16D2" w14:paraId="7BD6E492" w14:textId="77777777" w:rsidTr="00A934CD">
        <w:trPr>
          <w:trHeight w:val="222"/>
        </w:trPr>
        <w:tc>
          <w:tcPr>
            <w:tcW w:w="2760" w:type="dxa"/>
            <w:tcBorders>
              <w:bottom w:val="single" w:sz="6" w:space="0" w:color="000000"/>
              <w:right w:val="single" w:sz="6" w:space="0" w:color="000000"/>
            </w:tcBorders>
            <w:shd w:val="clear" w:color="auto" w:fill="386294"/>
            <w:vAlign w:val="center"/>
          </w:tcPr>
          <w:p w14:paraId="37EA1B65"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Ratione personae</w:t>
            </w:r>
          </w:p>
        </w:tc>
        <w:tc>
          <w:tcPr>
            <w:tcW w:w="6482" w:type="dxa"/>
            <w:tcBorders>
              <w:left w:val="single" w:sz="6" w:space="0" w:color="000000"/>
              <w:bottom w:val="single" w:sz="6" w:space="0" w:color="000000"/>
            </w:tcBorders>
          </w:tcPr>
          <w:p w14:paraId="2B29C0D1" w14:textId="77777777" w:rsidR="00C02C7F" w:rsidRPr="007E16D2" w:rsidRDefault="001223F2" w:rsidP="007E16D2">
            <w:pPr>
              <w:pStyle w:val="TableParagraph"/>
              <w:spacing w:line="240" w:lineRule="auto"/>
              <w:ind w:left="50" w:right="760"/>
              <w:rPr>
                <w:sz w:val="19"/>
              </w:rPr>
            </w:pPr>
            <w:r w:rsidRPr="007E16D2">
              <w:rPr>
                <w:sz w:val="19"/>
              </w:rPr>
              <w:t>Sí</w:t>
            </w:r>
          </w:p>
        </w:tc>
      </w:tr>
      <w:tr w:rsidR="00C02C7F" w:rsidRPr="007E16D2" w14:paraId="6F84A2C7" w14:textId="77777777" w:rsidTr="00A934CD">
        <w:trPr>
          <w:trHeight w:val="222"/>
        </w:trPr>
        <w:tc>
          <w:tcPr>
            <w:tcW w:w="2760" w:type="dxa"/>
            <w:tcBorders>
              <w:top w:val="single" w:sz="6" w:space="0" w:color="000000"/>
              <w:bottom w:val="single" w:sz="6" w:space="0" w:color="000000"/>
              <w:right w:val="single" w:sz="6" w:space="0" w:color="000000"/>
            </w:tcBorders>
            <w:shd w:val="clear" w:color="auto" w:fill="386294"/>
            <w:vAlign w:val="center"/>
          </w:tcPr>
          <w:p w14:paraId="7E0B9C49"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Ratione loci</w:t>
            </w:r>
          </w:p>
        </w:tc>
        <w:tc>
          <w:tcPr>
            <w:tcW w:w="6482" w:type="dxa"/>
            <w:tcBorders>
              <w:top w:val="single" w:sz="6" w:space="0" w:color="000000"/>
              <w:left w:val="single" w:sz="6" w:space="0" w:color="000000"/>
              <w:bottom w:val="single" w:sz="6" w:space="0" w:color="000000"/>
            </w:tcBorders>
          </w:tcPr>
          <w:p w14:paraId="1E77A86A" w14:textId="77777777" w:rsidR="00C02C7F" w:rsidRPr="007E16D2" w:rsidRDefault="001223F2" w:rsidP="007E16D2">
            <w:pPr>
              <w:pStyle w:val="TableParagraph"/>
              <w:spacing w:line="240" w:lineRule="auto"/>
              <w:ind w:left="50" w:right="760"/>
              <w:rPr>
                <w:sz w:val="19"/>
              </w:rPr>
            </w:pPr>
            <w:r w:rsidRPr="007E16D2">
              <w:rPr>
                <w:sz w:val="19"/>
              </w:rPr>
              <w:t>Sí</w:t>
            </w:r>
          </w:p>
        </w:tc>
      </w:tr>
      <w:tr w:rsidR="00C02C7F" w:rsidRPr="007E16D2" w14:paraId="78FEFE3D" w14:textId="77777777" w:rsidTr="00A934CD">
        <w:trPr>
          <w:trHeight w:val="222"/>
        </w:trPr>
        <w:tc>
          <w:tcPr>
            <w:tcW w:w="2760" w:type="dxa"/>
            <w:tcBorders>
              <w:top w:val="single" w:sz="6" w:space="0" w:color="000000"/>
              <w:bottom w:val="single" w:sz="6" w:space="0" w:color="000000"/>
              <w:right w:val="single" w:sz="6" w:space="0" w:color="000000"/>
            </w:tcBorders>
            <w:shd w:val="clear" w:color="auto" w:fill="386294"/>
            <w:vAlign w:val="center"/>
          </w:tcPr>
          <w:p w14:paraId="4E6595F1"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Ratione temporis</w:t>
            </w:r>
          </w:p>
        </w:tc>
        <w:tc>
          <w:tcPr>
            <w:tcW w:w="6482" w:type="dxa"/>
            <w:tcBorders>
              <w:top w:val="single" w:sz="6" w:space="0" w:color="000000"/>
              <w:left w:val="single" w:sz="6" w:space="0" w:color="000000"/>
              <w:bottom w:val="single" w:sz="6" w:space="0" w:color="000000"/>
            </w:tcBorders>
          </w:tcPr>
          <w:p w14:paraId="2A361CE3" w14:textId="77777777" w:rsidR="00C02C7F" w:rsidRPr="007E16D2" w:rsidRDefault="001223F2" w:rsidP="007E16D2">
            <w:pPr>
              <w:pStyle w:val="TableParagraph"/>
              <w:spacing w:line="240" w:lineRule="auto"/>
              <w:ind w:left="50" w:right="760"/>
              <w:rPr>
                <w:sz w:val="19"/>
              </w:rPr>
            </w:pPr>
            <w:r w:rsidRPr="007E16D2">
              <w:rPr>
                <w:sz w:val="19"/>
              </w:rPr>
              <w:t>Sí</w:t>
            </w:r>
          </w:p>
        </w:tc>
      </w:tr>
      <w:tr w:rsidR="00C02C7F" w:rsidRPr="007E16D2" w14:paraId="099011DD" w14:textId="77777777" w:rsidTr="00A934CD">
        <w:trPr>
          <w:trHeight w:val="443"/>
        </w:trPr>
        <w:tc>
          <w:tcPr>
            <w:tcW w:w="2760" w:type="dxa"/>
            <w:tcBorders>
              <w:top w:val="single" w:sz="6" w:space="0" w:color="000000"/>
              <w:bottom w:val="single" w:sz="6" w:space="0" w:color="000000"/>
              <w:right w:val="single" w:sz="6" w:space="0" w:color="000000"/>
            </w:tcBorders>
            <w:shd w:val="clear" w:color="auto" w:fill="386294"/>
            <w:vAlign w:val="center"/>
          </w:tcPr>
          <w:p w14:paraId="696C58D4" w14:textId="77777777" w:rsidR="00C02C7F" w:rsidRPr="00D360FB" w:rsidRDefault="001223F2" w:rsidP="00D360FB">
            <w:pPr>
              <w:pStyle w:val="TableParagraph"/>
              <w:spacing w:line="240" w:lineRule="auto"/>
              <w:ind w:left="0" w:right="133"/>
              <w:jc w:val="center"/>
              <w:rPr>
                <w:b/>
                <w:bCs/>
                <w:color w:val="FFFFFF"/>
                <w:sz w:val="19"/>
              </w:rPr>
            </w:pPr>
            <w:r w:rsidRPr="00D360FB">
              <w:rPr>
                <w:b/>
                <w:bCs/>
                <w:color w:val="FFFFFF"/>
                <w:sz w:val="19"/>
              </w:rPr>
              <w:t>Ratione materiae</w:t>
            </w:r>
          </w:p>
        </w:tc>
        <w:tc>
          <w:tcPr>
            <w:tcW w:w="6482" w:type="dxa"/>
            <w:tcBorders>
              <w:top w:val="single" w:sz="6" w:space="0" w:color="000000"/>
              <w:left w:val="single" w:sz="6" w:space="0" w:color="000000"/>
            </w:tcBorders>
          </w:tcPr>
          <w:p w14:paraId="0683CE5A" w14:textId="54430F73" w:rsidR="00C02C7F" w:rsidRPr="007E16D2" w:rsidRDefault="001223F2" w:rsidP="008B7A6E">
            <w:pPr>
              <w:pStyle w:val="TableParagraph"/>
              <w:spacing w:line="240" w:lineRule="auto"/>
              <w:ind w:left="50" w:right="760"/>
              <w:rPr>
                <w:sz w:val="19"/>
              </w:rPr>
            </w:pPr>
            <w:r w:rsidRPr="007E16D2">
              <w:rPr>
                <w:sz w:val="19"/>
              </w:rPr>
              <w:t xml:space="preserve">Sí, Convención Americana (depósito del instrumento de </w:t>
            </w:r>
            <w:r w:rsidR="00A934CD" w:rsidRPr="007E16D2">
              <w:rPr>
                <w:sz w:val="19"/>
              </w:rPr>
              <w:t>r</w:t>
            </w:r>
            <w:r w:rsidRPr="007E16D2">
              <w:rPr>
                <w:sz w:val="19"/>
              </w:rPr>
              <w:t>atificación realizado</w:t>
            </w:r>
            <w:r w:rsidR="008B7A6E">
              <w:rPr>
                <w:sz w:val="19"/>
              </w:rPr>
              <w:t xml:space="preserve"> </w:t>
            </w:r>
            <w:r w:rsidRPr="007E16D2">
              <w:rPr>
                <w:sz w:val="19"/>
              </w:rPr>
              <w:t>el 5 de setiembre de 1984)</w:t>
            </w:r>
          </w:p>
        </w:tc>
      </w:tr>
    </w:tbl>
    <w:p w14:paraId="1E993B8C" w14:textId="77777777" w:rsidR="0065070E" w:rsidRDefault="0065070E" w:rsidP="0065070E">
      <w:pPr>
        <w:pStyle w:val="ListParagraph"/>
        <w:spacing w:before="0"/>
        <w:ind w:left="2160" w:right="760" w:firstLine="0"/>
        <w:rPr>
          <w:b/>
          <w:sz w:val="20"/>
        </w:rPr>
      </w:pPr>
    </w:p>
    <w:p w14:paraId="770A037A" w14:textId="7C031DC0" w:rsidR="00C02C7F" w:rsidRPr="007E16D2" w:rsidRDefault="001223F2" w:rsidP="00D360FB">
      <w:pPr>
        <w:pStyle w:val="ListParagraph"/>
        <w:numPr>
          <w:ilvl w:val="0"/>
          <w:numId w:val="3"/>
        </w:numPr>
        <w:spacing w:before="0"/>
        <w:ind w:left="720" w:right="40" w:firstLine="720"/>
        <w:rPr>
          <w:b/>
          <w:sz w:val="20"/>
        </w:rPr>
      </w:pPr>
      <w:r w:rsidRPr="007E16D2">
        <w:rPr>
          <w:b/>
          <w:sz w:val="20"/>
        </w:rPr>
        <w:t>DUPLICACIÓN DE PROCEDIMIENTOS Y COSA JUZGADA INTERNACIONAL, CARACTERIZACIÓN, AGOTAMIENTO DE LOS RECURSOS INTERNOS Y PLAZO DE</w:t>
      </w:r>
      <w:r w:rsidRPr="007E16D2">
        <w:rPr>
          <w:b/>
          <w:spacing w:val="-10"/>
          <w:sz w:val="20"/>
        </w:rPr>
        <w:t xml:space="preserve"> </w:t>
      </w:r>
      <w:r w:rsidRPr="007E16D2">
        <w:rPr>
          <w:b/>
          <w:sz w:val="20"/>
        </w:rPr>
        <w:t>PRESENTACIÓN</w:t>
      </w:r>
    </w:p>
    <w:p w14:paraId="5634685D" w14:textId="77777777" w:rsidR="00C02C7F" w:rsidRPr="007E16D2" w:rsidRDefault="00C02C7F" w:rsidP="007E16D2">
      <w:pPr>
        <w:pStyle w:val="BodyText"/>
        <w:ind w:right="760"/>
        <w:rPr>
          <w:b/>
          <w:sz w:val="10"/>
        </w:rPr>
      </w:pPr>
    </w:p>
    <w:tbl>
      <w:tblPr>
        <w:tblStyle w:val="TableNormal1"/>
        <w:tblW w:w="9287"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6522"/>
      </w:tblGrid>
      <w:tr w:rsidR="00C02C7F" w:rsidRPr="007E16D2" w14:paraId="68B4CAD7" w14:textId="77777777" w:rsidTr="00317E54">
        <w:trPr>
          <w:trHeight w:val="443"/>
        </w:trPr>
        <w:tc>
          <w:tcPr>
            <w:tcW w:w="2765" w:type="dxa"/>
            <w:tcBorders>
              <w:bottom w:val="single" w:sz="6" w:space="0" w:color="000000"/>
              <w:right w:val="single" w:sz="6" w:space="0" w:color="000000"/>
            </w:tcBorders>
            <w:shd w:val="clear" w:color="auto" w:fill="386294"/>
          </w:tcPr>
          <w:p w14:paraId="33949A2B"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Duplicación y cosa juzgada</w:t>
            </w:r>
          </w:p>
          <w:p w14:paraId="66EB2A0D"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internacional</w:t>
            </w:r>
          </w:p>
        </w:tc>
        <w:tc>
          <w:tcPr>
            <w:tcW w:w="6522" w:type="dxa"/>
            <w:tcBorders>
              <w:left w:val="single" w:sz="6" w:space="0" w:color="000000"/>
              <w:bottom w:val="single" w:sz="6" w:space="0" w:color="000000"/>
            </w:tcBorders>
          </w:tcPr>
          <w:p w14:paraId="66B92B08" w14:textId="77777777" w:rsidR="00C02C7F" w:rsidRPr="007E16D2" w:rsidRDefault="001223F2" w:rsidP="007E16D2">
            <w:pPr>
              <w:pStyle w:val="TableParagraph"/>
              <w:spacing w:line="240" w:lineRule="auto"/>
              <w:ind w:left="0" w:right="760"/>
              <w:rPr>
                <w:sz w:val="19"/>
              </w:rPr>
            </w:pPr>
            <w:r w:rsidRPr="007E16D2">
              <w:rPr>
                <w:sz w:val="19"/>
              </w:rPr>
              <w:t>No</w:t>
            </w:r>
          </w:p>
        </w:tc>
      </w:tr>
      <w:tr w:rsidR="00C02C7F" w:rsidRPr="007E16D2" w14:paraId="1357AF01" w14:textId="77777777" w:rsidTr="00317E54">
        <w:trPr>
          <w:trHeight w:val="892"/>
        </w:trPr>
        <w:tc>
          <w:tcPr>
            <w:tcW w:w="2765" w:type="dxa"/>
            <w:tcBorders>
              <w:top w:val="single" w:sz="6" w:space="0" w:color="000000"/>
              <w:bottom w:val="single" w:sz="6" w:space="0" w:color="000000"/>
              <w:right w:val="single" w:sz="6" w:space="0" w:color="000000"/>
            </w:tcBorders>
            <w:shd w:val="clear" w:color="auto" w:fill="386294"/>
          </w:tcPr>
          <w:p w14:paraId="7AD67A63" w14:textId="77777777" w:rsidR="00C02C7F" w:rsidRPr="00D360FB" w:rsidRDefault="00C02C7F" w:rsidP="00D360FB">
            <w:pPr>
              <w:pStyle w:val="TableParagraph"/>
              <w:spacing w:line="240" w:lineRule="auto"/>
              <w:ind w:left="0" w:right="133"/>
              <w:jc w:val="center"/>
              <w:rPr>
                <w:b/>
                <w:bCs/>
                <w:sz w:val="18"/>
              </w:rPr>
            </w:pPr>
          </w:p>
          <w:p w14:paraId="11221178"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Derechos declarados admisibles</w:t>
            </w:r>
          </w:p>
        </w:tc>
        <w:tc>
          <w:tcPr>
            <w:tcW w:w="6522" w:type="dxa"/>
            <w:tcBorders>
              <w:top w:val="single" w:sz="6" w:space="0" w:color="000000"/>
              <w:left w:val="single" w:sz="6" w:space="0" w:color="000000"/>
              <w:bottom w:val="single" w:sz="6" w:space="0" w:color="000000"/>
            </w:tcBorders>
          </w:tcPr>
          <w:p w14:paraId="4B0B80C4" w14:textId="5EB0B7F0" w:rsidR="00C02C7F" w:rsidRPr="007E16D2" w:rsidRDefault="00807BF6" w:rsidP="007E16D2">
            <w:pPr>
              <w:pStyle w:val="TableParagraph"/>
              <w:spacing w:line="240" w:lineRule="auto"/>
              <w:ind w:left="0" w:right="92"/>
              <w:jc w:val="both"/>
              <w:rPr>
                <w:sz w:val="19"/>
              </w:rPr>
            </w:pPr>
            <w:r w:rsidRPr="007E16D2">
              <w:rPr>
                <w:sz w:val="19"/>
              </w:rPr>
              <w:t xml:space="preserve">Artículos 7.2, 7.3, 7.5 (libertad personal) y 8.2 (garantías judiciales) de la Convención Americana </w:t>
            </w:r>
            <w:r w:rsidR="00BA111E">
              <w:rPr>
                <w:sz w:val="19"/>
              </w:rPr>
              <w:t>sobre</w:t>
            </w:r>
            <w:r w:rsidRPr="007E16D2">
              <w:rPr>
                <w:sz w:val="19"/>
              </w:rPr>
              <w:t xml:space="preserve"> Derechos Humanos, en conexión con sus artículos 1.1 (obligación de respetar los derechos) y 2 (deber de adoptar disposiciones de derecho interno)</w:t>
            </w:r>
          </w:p>
        </w:tc>
      </w:tr>
      <w:tr w:rsidR="00C02C7F" w:rsidRPr="007E16D2" w14:paraId="6D15123B" w14:textId="77777777" w:rsidTr="00317E54">
        <w:trPr>
          <w:trHeight w:val="445"/>
        </w:trPr>
        <w:tc>
          <w:tcPr>
            <w:tcW w:w="2765" w:type="dxa"/>
            <w:tcBorders>
              <w:top w:val="single" w:sz="6" w:space="0" w:color="000000"/>
              <w:bottom w:val="single" w:sz="6" w:space="0" w:color="000000"/>
              <w:right w:val="single" w:sz="6" w:space="0" w:color="000000"/>
            </w:tcBorders>
            <w:shd w:val="clear" w:color="auto" w:fill="386294"/>
          </w:tcPr>
          <w:p w14:paraId="25E17E00"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Agotamiento de recursos o</w:t>
            </w:r>
          </w:p>
          <w:p w14:paraId="56AB8829"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procedencia de una excepción</w:t>
            </w:r>
          </w:p>
        </w:tc>
        <w:tc>
          <w:tcPr>
            <w:tcW w:w="6522" w:type="dxa"/>
            <w:tcBorders>
              <w:top w:val="single" w:sz="6" w:space="0" w:color="000000"/>
              <w:left w:val="single" w:sz="6" w:space="0" w:color="000000"/>
              <w:bottom w:val="single" w:sz="6" w:space="0" w:color="000000"/>
            </w:tcBorders>
          </w:tcPr>
          <w:p w14:paraId="0D9375A6" w14:textId="0F52A6FA" w:rsidR="00C02C7F" w:rsidRPr="007E16D2" w:rsidRDefault="001223F2" w:rsidP="007E16D2">
            <w:pPr>
              <w:pStyle w:val="TableParagraph"/>
              <w:spacing w:line="240" w:lineRule="auto"/>
              <w:ind w:left="0"/>
              <w:rPr>
                <w:sz w:val="19"/>
              </w:rPr>
            </w:pPr>
            <w:r w:rsidRPr="007E16D2">
              <w:rPr>
                <w:sz w:val="19"/>
              </w:rPr>
              <w:t xml:space="preserve">Sí, </w:t>
            </w:r>
            <w:r w:rsidR="00B40AED" w:rsidRPr="007E16D2">
              <w:rPr>
                <w:sz w:val="19"/>
              </w:rPr>
              <w:t>excepción del artículo 46.2 (c) de la Convención Americana</w:t>
            </w:r>
          </w:p>
        </w:tc>
      </w:tr>
      <w:tr w:rsidR="00C02C7F" w:rsidRPr="007E16D2" w14:paraId="00883C9E" w14:textId="77777777" w:rsidTr="00317E54">
        <w:trPr>
          <w:trHeight w:val="220"/>
        </w:trPr>
        <w:tc>
          <w:tcPr>
            <w:tcW w:w="2765" w:type="dxa"/>
            <w:tcBorders>
              <w:top w:val="single" w:sz="6" w:space="0" w:color="000000"/>
              <w:bottom w:val="single" w:sz="6" w:space="0" w:color="000000"/>
              <w:right w:val="single" w:sz="6" w:space="0" w:color="000000"/>
            </w:tcBorders>
            <w:shd w:val="clear" w:color="auto" w:fill="386294"/>
            <w:vAlign w:val="center"/>
          </w:tcPr>
          <w:p w14:paraId="5C6952B9" w14:textId="77777777" w:rsidR="00C02C7F" w:rsidRPr="00D360FB" w:rsidRDefault="001223F2" w:rsidP="00D360FB">
            <w:pPr>
              <w:pStyle w:val="TableParagraph"/>
              <w:spacing w:line="240" w:lineRule="auto"/>
              <w:ind w:left="0" w:right="133"/>
              <w:jc w:val="center"/>
              <w:rPr>
                <w:b/>
                <w:bCs/>
                <w:sz w:val="19"/>
              </w:rPr>
            </w:pPr>
            <w:r w:rsidRPr="00D360FB">
              <w:rPr>
                <w:b/>
                <w:bCs/>
                <w:color w:val="FFFFFF"/>
                <w:sz w:val="19"/>
              </w:rPr>
              <w:t>Presentación dentro de plazo</w:t>
            </w:r>
          </w:p>
        </w:tc>
        <w:tc>
          <w:tcPr>
            <w:tcW w:w="6522" w:type="dxa"/>
            <w:tcBorders>
              <w:top w:val="single" w:sz="6" w:space="0" w:color="000000"/>
              <w:left w:val="single" w:sz="6" w:space="0" w:color="000000"/>
            </w:tcBorders>
          </w:tcPr>
          <w:p w14:paraId="4F97759F" w14:textId="69D72143" w:rsidR="00C02C7F" w:rsidRPr="007E16D2" w:rsidRDefault="001223F2" w:rsidP="007E16D2">
            <w:pPr>
              <w:pStyle w:val="TableParagraph"/>
              <w:spacing w:line="240" w:lineRule="auto"/>
              <w:ind w:left="0" w:right="92"/>
              <w:jc w:val="both"/>
              <w:rPr>
                <w:sz w:val="19"/>
              </w:rPr>
            </w:pPr>
            <w:r w:rsidRPr="007E16D2">
              <w:rPr>
                <w:sz w:val="19"/>
              </w:rPr>
              <w:t>Sí,</w:t>
            </w:r>
            <w:r w:rsidR="00B40AED" w:rsidRPr="007E16D2">
              <w:rPr>
                <w:sz w:val="19"/>
              </w:rPr>
              <w:t xml:space="preserve"> la petición fue presentada dentro de un plazo razonable, en los términos del artículo 32.2 del Reglamento de la CIDH, en concordancia con el artículo 46.2 de la Convención Americana</w:t>
            </w:r>
          </w:p>
        </w:tc>
      </w:tr>
    </w:tbl>
    <w:p w14:paraId="69C852CF" w14:textId="77777777" w:rsidR="0026469F" w:rsidRPr="007E16D2" w:rsidRDefault="0026469F" w:rsidP="007E16D2">
      <w:pPr>
        <w:pStyle w:val="ListParagraph"/>
        <w:spacing w:before="0"/>
        <w:ind w:left="0" w:right="1000" w:firstLine="0"/>
        <w:rPr>
          <w:b/>
          <w:sz w:val="20"/>
          <w:szCs w:val="20"/>
        </w:rPr>
      </w:pPr>
    </w:p>
    <w:p w14:paraId="058A2370" w14:textId="29E8F9EA" w:rsidR="00C02C7F" w:rsidRPr="007E16D2" w:rsidRDefault="001223F2" w:rsidP="007E16D2">
      <w:pPr>
        <w:pStyle w:val="ListParagraph"/>
        <w:numPr>
          <w:ilvl w:val="0"/>
          <w:numId w:val="3"/>
        </w:numPr>
        <w:spacing w:before="0"/>
        <w:ind w:left="0" w:right="760" w:firstLine="1440"/>
        <w:rPr>
          <w:b/>
          <w:sz w:val="20"/>
          <w:szCs w:val="20"/>
        </w:rPr>
      </w:pPr>
      <w:r w:rsidRPr="007E16D2">
        <w:rPr>
          <w:b/>
          <w:sz w:val="20"/>
          <w:szCs w:val="20"/>
        </w:rPr>
        <w:t>RESUMEN DE LOS HECHOS ALEGADOS</w:t>
      </w:r>
    </w:p>
    <w:bookmarkEnd w:id="0"/>
    <w:p w14:paraId="43A71486" w14:textId="77777777" w:rsidR="00113C4F" w:rsidRPr="007E16D2" w:rsidRDefault="00113C4F" w:rsidP="007E16D2">
      <w:pPr>
        <w:pStyle w:val="ListParagraph"/>
        <w:spacing w:before="0"/>
        <w:ind w:left="0" w:right="760" w:firstLine="720"/>
        <w:rPr>
          <w:sz w:val="20"/>
          <w:szCs w:val="20"/>
        </w:rPr>
      </w:pPr>
    </w:p>
    <w:p w14:paraId="62AE3BFA" w14:textId="2EE6D8BA" w:rsidR="00E80E1F" w:rsidRDefault="001223F2" w:rsidP="007E16D2">
      <w:pPr>
        <w:pStyle w:val="ListParagraph"/>
        <w:numPr>
          <w:ilvl w:val="0"/>
          <w:numId w:val="2"/>
        </w:numPr>
        <w:spacing w:before="0"/>
        <w:ind w:left="720" w:right="40" w:firstLine="720"/>
        <w:rPr>
          <w:sz w:val="20"/>
          <w:szCs w:val="20"/>
        </w:rPr>
      </w:pPr>
      <w:r w:rsidRPr="007E16D2">
        <w:rPr>
          <w:sz w:val="20"/>
          <w:szCs w:val="20"/>
        </w:rPr>
        <w:t>L</w:t>
      </w:r>
      <w:r w:rsidR="002B0C7A" w:rsidRPr="007E16D2">
        <w:rPr>
          <w:sz w:val="20"/>
          <w:szCs w:val="20"/>
        </w:rPr>
        <w:t xml:space="preserve">os </w:t>
      </w:r>
      <w:r w:rsidRPr="007E16D2">
        <w:rPr>
          <w:sz w:val="20"/>
          <w:szCs w:val="20"/>
        </w:rPr>
        <w:t>petici</w:t>
      </w:r>
      <w:r w:rsidR="002B0C7A" w:rsidRPr="007E16D2">
        <w:rPr>
          <w:sz w:val="20"/>
          <w:szCs w:val="20"/>
        </w:rPr>
        <w:t xml:space="preserve">onarios </w:t>
      </w:r>
      <w:r w:rsidR="00E80E1F" w:rsidRPr="007E16D2">
        <w:rPr>
          <w:sz w:val="20"/>
          <w:szCs w:val="20"/>
        </w:rPr>
        <w:t>alega</w:t>
      </w:r>
      <w:r w:rsidR="002B0C7A" w:rsidRPr="007E16D2">
        <w:rPr>
          <w:sz w:val="20"/>
          <w:szCs w:val="20"/>
        </w:rPr>
        <w:t>n l</w:t>
      </w:r>
      <w:r w:rsidR="00E80E1F" w:rsidRPr="007E16D2">
        <w:rPr>
          <w:sz w:val="20"/>
          <w:szCs w:val="20"/>
        </w:rPr>
        <w:t xml:space="preserve">a violación del plazo razonable de la prisión preventiva </w:t>
      </w:r>
      <w:r w:rsidR="002B0C7A" w:rsidRPr="007E16D2">
        <w:rPr>
          <w:sz w:val="20"/>
          <w:szCs w:val="20"/>
        </w:rPr>
        <w:t>de Antonio Fernando Ferreyra Pereyra (en adelante “la presunta víctima”)</w:t>
      </w:r>
      <w:r w:rsidR="00E80E1F" w:rsidRPr="007E16D2">
        <w:rPr>
          <w:sz w:val="20"/>
          <w:szCs w:val="20"/>
        </w:rPr>
        <w:t xml:space="preserve"> como inculpado de </w:t>
      </w:r>
      <w:r w:rsidR="002B0C7A" w:rsidRPr="007E16D2">
        <w:rPr>
          <w:sz w:val="20"/>
          <w:szCs w:val="20"/>
        </w:rPr>
        <w:t>homicidio agravado por el vínculo</w:t>
      </w:r>
      <w:r w:rsidR="00E80E1F" w:rsidRPr="007E16D2">
        <w:rPr>
          <w:sz w:val="20"/>
          <w:szCs w:val="20"/>
        </w:rPr>
        <w:t>. Aduce</w:t>
      </w:r>
      <w:r w:rsidR="002B0C7A" w:rsidRPr="007E16D2">
        <w:rPr>
          <w:sz w:val="20"/>
          <w:szCs w:val="20"/>
        </w:rPr>
        <w:t>n</w:t>
      </w:r>
      <w:r w:rsidR="00E80E1F" w:rsidRPr="007E16D2">
        <w:rPr>
          <w:sz w:val="20"/>
          <w:szCs w:val="20"/>
        </w:rPr>
        <w:t xml:space="preserve"> que dicha situación vulnera </w:t>
      </w:r>
      <w:r w:rsidR="002B0C7A" w:rsidRPr="007E16D2">
        <w:rPr>
          <w:sz w:val="20"/>
          <w:szCs w:val="20"/>
        </w:rPr>
        <w:t xml:space="preserve">los derechos a la libertad personal y a la presunción de inocencia, </w:t>
      </w:r>
      <w:r w:rsidR="00E80E1F" w:rsidRPr="007E16D2">
        <w:rPr>
          <w:sz w:val="20"/>
          <w:szCs w:val="20"/>
        </w:rPr>
        <w:t xml:space="preserve">protegidos por los artículos 7 </w:t>
      </w:r>
      <w:r w:rsidR="002B0C7A" w:rsidRPr="007E16D2">
        <w:rPr>
          <w:sz w:val="20"/>
          <w:szCs w:val="20"/>
        </w:rPr>
        <w:t xml:space="preserve">y 8 </w:t>
      </w:r>
      <w:r w:rsidR="00E80E1F" w:rsidRPr="007E16D2">
        <w:rPr>
          <w:sz w:val="20"/>
          <w:szCs w:val="20"/>
        </w:rPr>
        <w:t>de la Convención Americana, en conexión con las obligaciones de respeto y de adoptar disposiciones internas previstas en los artículos 1.1 y 2 del mismo instrumento.</w:t>
      </w:r>
    </w:p>
    <w:p w14:paraId="63B921DC" w14:textId="77777777" w:rsidR="00E80E1F" w:rsidRPr="007E16D2" w:rsidRDefault="00E80E1F" w:rsidP="007E16D2">
      <w:pPr>
        <w:pStyle w:val="ListParagraph"/>
        <w:spacing w:before="0"/>
        <w:ind w:left="0" w:right="760" w:firstLine="720"/>
        <w:rPr>
          <w:sz w:val="20"/>
          <w:szCs w:val="20"/>
        </w:rPr>
      </w:pPr>
    </w:p>
    <w:p w14:paraId="412AC90D" w14:textId="3FBC8FD8" w:rsidR="003411B6" w:rsidRPr="007E16D2" w:rsidRDefault="00E80E1F" w:rsidP="007E16D2">
      <w:pPr>
        <w:pStyle w:val="ListParagraph"/>
        <w:numPr>
          <w:ilvl w:val="0"/>
          <w:numId w:val="2"/>
        </w:numPr>
        <w:spacing w:before="0"/>
        <w:ind w:left="720" w:right="40" w:firstLine="720"/>
        <w:rPr>
          <w:sz w:val="20"/>
          <w:szCs w:val="20"/>
        </w:rPr>
      </w:pPr>
      <w:r w:rsidRPr="007E16D2">
        <w:rPr>
          <w:sz w:val="20"/>
          <w:szCs w:val="20"/>
        </w:rPr>
        <w:t>L</w:t>
      </w:r>
      <w:r w:rsidR="002B0C7A" w:rsidRPr="007E16D2">
        <w:rPr>
          <w:sz w:val="20"/>
          <w:szCs w:val="20"/>
        </w:rPr>
        <w:t xml:space="preserve">a presunta víctima fue </w:t>
      </w:r>
      <w:r w:rsidR="00EE7BDA" w:rsidRPr="007E16D2">
        <w:rPr>
          <w:sz w:val="20"/>
          <w:szCs w:val="20"/>
        </w:rPr>
        <w:t>detenid</w:t>
      </w:r>
      <w:r w:rsidR="002B0C7A" w:rsidRPr="007E16D2">
        <w:rPr>
          <w:sz w:val="20"/>
          <w:szCs w:val="20"/>
        </w:rPr>
        <w:t>a</w:t>
      </w:r>
      <w:r w:rsidR="00EE7BDA" w:rsidRPr="007E16D2">
        <w:rPr>
          <w:sz w:val="20"/>
          <w:szCs w:val="20"/>
        </w:rPr>
        <w:t xml:space="preserve"> el 11 de mayo de 2001 y condenad</w:t>
      </w:r>
      <w:r w:rsidR="002B0C7A" w:rsidRPr="007E16D2">
        <w:rPr>
          <w:sz w:val="20"/>
          <w:szCs w:val="20"/>
        </w:rPr>
        <w:t>a</w:t>
      </w:r>
      <w:r w:rsidR="00EE7BDA" w:rsidRPr="007E16D2">
        <w:rPr>
          <w:sz w:val="20"/>
          <w:szCs w:val="20"/>
        </w:rPr>
        <w:t xml:space="preserve"> </w:t>
      </w:r>
      <w:r w:rsidR="002B0C7A" w:rsidRPr="007E16D2">
        <w:rPr>
          <w:sz w:val="20"/>
          <w:szCs w:val="20"/>
        </w:rPr>
        <w:t xml:space="preserve">a prisión perpetua el </w:t>
      </w:r>
      <w:r w:rsidR="00EE7BDA" w:rsidRPr="007E16D2">
        <w:rPr>
          <w:sz w:val="20"/>
          <w:szCs w:val="20"/>
        </w:rPr>
        <w:t xml:space="preserve">24 de agosto de 2004 por el Tribunal Oral en lo Criminal </w:t>
      </w:r>
      <w:r w:rsidR="002B0C7A" w:rsidRPr="007E16D2">
        <w:rPr>
          <w:sz w:val="20"/>
          <w:szCs w:val="20"/>
        </w:rPr>
        <w:t>N</w:t>
      </w:r>
      <w:r w:rsidR="00EE7BDA" w:rsidRPr="007E16D2">
        <w:rPr>
          <w:sz w:val="20"/>
          <w:szCs w:val="20"/>
        </w:rPr>
        <w:t>º 3 del Departamento Judicial de Lomas de Zamora de la Provincia de Buenos Aires</w:t>
      </w:r>
      <w:r w:rsidR="00AD0BFF" w:rsidRPr="007E16D2">
        <w:rPr>
          <w:sz w:val="20"/>
          <w:szCs w:val="20"/>
        </w:rPr>
        <w:t xml:space="preserve"> (en adelante TOC3)</w:t>
      </w:r>
      <w:r w:rsidR="00EE7BDA" w:rsidRPr="007E16D2">
        <w:rPr>
          <w:sz w:val="20"/>
          <w:szCs w:val="20"/>
        </w:rPr>
        <w:t xml:space="preserve">. Contra dicha sentencia se interpuso recurso de casación, </w:t>
      </w:r>
      <w:r w:rsidR="002B0C7A" w:rsidRPr="007E16D2">
        <w:rPr>
          <w:sz w:val="20"/>
          <w:szCs w:val="20"/>
        </w:rPr>
        <w:t xml:space="preserve">rechazado por improcedente </w:t>
      </w:r>
      <w:r w:rsidR="00EE7BDA" w:rsidRPr="007E16D2">
        <w:rPr>
          <w:sz w:val="20"/>
          <w:szCs w:val="20"/>
        </w:rPr>
        <w:t xml:space="preserve">el 9 de diciembre de 2008 por la Sala II del </w:t>
      </w:r>
      <w:r w:rsidR="00AD0BFF" w:rsidRPr="007E16D2">
        <w:rPr>
          <w:sz w:val="20"/>
          <w:szCs w:val="20"/>
        </w:rPr>
        <w:t>TOC3</w:t>
      </w:r>
      <w:r w:rsidR="00EE7BDA" w:rsidRPr="007E16D2">
        <w:rPr>
          <w:sz w:val="20"/>
          <w:szCs w:val="20"/>
        </w:rPr>
        <w:t xml:space="preserve">. </w:t>
      </w:r>
      <w:r w:rsidR="002B0C7A" w:rsidRPr="007E16D2">
        <w:rPr>
          <w:sz w:val="20"/>
          <w:szCs w:val="20"/>
        </w:rPr>
        <w:t xml:space="preserve">Contra dicho </w:t>
      </w:r>
      <w:r w:rsidR="00EE7BDA" w:rsidRPr="007E16D2">
        <w:rPr>
          <w:sz w:val="20"/>
          <w:szCs w:val="20"/>
        </w:rPr>
        <w:t xml:space="preserve">rechazo se interpuso </w:t>
      </w:r>
      <w:r w:rsidR="002B0C7A" w:rsidRPr="007E16D2">
        <w:rPr>
          <w:sz w:val="20"/>
          <w:szCs w:val="20"/>
        </w:rPr>
        <w:t xml:space="preserve">un </w:t>
      </w:r>
      <w:r w:rsidR="00EE7BDA" w:rsidRPr="007E16D2">
        <w:rPr>
          <w:sz w:val="20"/>
          <w:szCs w:val="20"/>
        </w:rPr>
        <w:t xml:space="preserve">recurso extraordinario de inaplicabilidad de ley ante la Suprema Corte de la </w:t>
      </w:r>
      <w:r w:rsidR="002B0C7A" w:rsidRPr="007E16D2">
        <w:rPr>
          <w:sz w:val="20"/>
          <w:szCs w:val="20"/>
        </w:rPr>
        <w:t>P</w:t>
      </w:r>
      <w:r w:rsidR="00EE7BDA" w:rsidRPr="007E16D2">
        <w:rPr>
          <w:sz w:val="20"/>
          <w:szCs w:val="20"/>
        </w:rPr>
        <w:t>rovincia de Buenos Aires</w:t>
      </w:r>
      <w:r w:rsidR="006A3793" w:rsidRPr="007E16D2">
        <w:rPr>
          <w:sz w:val="20"/>
          <w:szCs w:val="20"/>
        </w:rPr>
        <w:t xml:space="preserve"> (en adelante la “Suprema Corte</w:t>
      </w:r>
      <w:r w:rsidR="00B250EB" w:rsidRPr="007E16D2">
        <w:rPr>
          <w:sz w:val="20"/>
          <w:szCs w:val="20"/>
        </w:rPr>
        <w:t xml:space="preserve"> provincial</w:t>
      </w:r>
      <w:r w:rsidR="006A3793" w:rsidRPr="007E16D2">
        <w:rPr>
          <w:sz w:val="20"/>
          <w:szCs w:val="20"/>
        </w:rPr>
        <w:t>”)</w:t>
      </w:r>
      <w:r w:rsidR="00EE7BDA" w:rsidRPr="007E16D2">
        <w:rPr>
          <w:sz w:val="20"/>
          <w:szCs w:val="20"/>
        </w:rPr>
        <w:t xml:space="preserve">, que </w:t>
      </w:r>
      <w:r w:rsidR="002B0C7A" w:rsidRPr="007E16D2">
        <w:rPr>
          <w:sz w:val="20"/>
          <w:szCs w:val="20"/>
        </w:rPr>
        <w:t xml:space="preserve">seguía pendiente de resolución </w:t>
      </w:r>
      <w:r w:rsidR="00EE7BDA" w:rsidRPr="007E16D2">
        <w:rPr>
          <w:sz w:val="20"/>
          <w:szCs w:val="20"/>
        </w:rPr>
        <w:t xml:space="preserve">hasta la fecha de </w:t>
      </w:r>
      <w:r w:rsidR="00EE7BDA" w:rsidRPr="007E16D2">
        <w:rPr>
          <w:sz w:val="20"/>
          <w:szCs w:val="20"/>
        </w:rPr>
        <w:lastRenderedPageBreak/>
        <w:t>presentación de la petición ante la CIDH.</w:t>
      </w:r>
    </w:p>
    <w:p w14:paraId="5674FD9A" w14:textId="77777777" w:rsidR="00B40AED" w:rsidRPr="007E16D2" w:rsidRDefault="00B40AED" w:rsidP="007E16D2">
      <w:pPr>
        <w:pStyle w:val="ListParagraph"/>
        <w:spacing w:before="0"/>
        <w:ind w:left="1440" w:right="40" w:firstLine="0"/>
        <w:rPr>
          <w:sz w:val="20"/>
          <w:szCs w:val="20"/>
        </w:rPr>
      </w:pPr>
    </w:p>
    <w:p w14:paraId="66E22338" w14:textId="06F6CDA2" w:rsidR="003411B6" w:rsidRPr="007E16D2" w:rsidRDefault="002B0C7A" w:rsidP="007E16D2">
      <w:pPr>
        <w:pStyle w:val="ListParagraph"/>
        <w:numPr>
          <w:ilvl w:val="0"/>
          <w:numId w:val="2"/>
        </w:numPr>
        <w:spacing w:before="0"/>
        <w:ind w:left="720" w:right="40" w:firstLine="720"/>
        <w:rPr>
          <w:sz w:val="20"/>
          <w:szCs w:val="20"/>
        </w:rPr>
      </w:pPr>
      <w:r w:rsidRPr="007E16D2">
        <w:rPr>
          <w:sz w:val="20"/>
          <w:szCs w:val="20"/>
        </w:rPr>
        <w:t>La presunta víctima</w:t>
      </w:r>
      <w:r w:rsidR="00EE7BDA" w:rsidRPr="007E16D2">
        <w:rPr>
          <w:sz w:val="20"/>
          <w:szCs w:val="20"/>
        </w:rPr>
        <w:t xml:space="preserve"> se encontraba en calidad de procesado sujeto a prisión preventiva</w:t>
      </w:r>
      <w:r w:rsidRPr="007E16D2">
        <w:rPr>
          <w:sz w:val="20"/>
          <w:szCs w:val="20"/>
        </w:rPr>
        <w:t xml:space="preserve"> desde la fecha de su detención;</w:t>
      </w:r>
      <w:r w:rsidR="00EE7BDA" w:rsidRPr="007E16D2">
        <w:rPr>
          <w:sz w:val="20"/>
          <w:szCs w:val="20"/>
        </w:rPr>
        <w:t xml:space="preserve"> </w:t>
      </w:r>
      <w:r w:rsidRPr="007E16D2">
        <w:rPr>
          <w:sz w:val="20"/>
          <w:szCs w:val="20"/>
        </w:rPr>
        <w:t xml:space="preserve">su representación legal entendió </w:t>
      </w:r>
      <w:r w:rsidR="00EE7BDA" w:rsidRPr="007E16D2">
        <w:rPr>
          <w:sz w:val="20"/>
          <w:szCs w:val="20"/>
        </w:rPr>
        <w:t xml:space="preserve">que dicha medida cautelar había superado el límite que la ley impone y </w:t>
      </w:r>
      <w:r w:rsidRPr="007E16D2">
        <w:rPr>
          <w:sz w:val="20"/>
          <w:szCs w:val="20"/>
        </w:rPr>
        <w:t xml:space="preserve">que se había vuelto </w:t>
      </w:r>
      <w:r w:rsidR="00EE7BDA" w:rsidRPr="007E16D2">
        <w:rPr>
          <w:sz w:val="20"/>
          <w:szCs w:val="20"/>
        </w:rPr>
        <w:t xml:space="preserve">desproporcionada, </w:t>
      </w:r>
      <w:r w:rsidRPr="007E16D2">
        <w:rPr>
          <w:sz w:val="20"/>
          <w:szCs w:val="20"/>
        </w:rPr>
        <w:t xml:space="preserve">por lo que </w:t>
      </w:r>
      <w:r w:rsidR="00EE7BDA" w:rsidRPr="007E16D2">
        <w:rPr>
          <w:sz w:val="20"/>
          <w:szCs w:val="20"/>
        </w:rPr>
        <w:t xml:space="preserve">solicitó </w:t>
      </w:r>
      <w:r w:rsidR="00AD0BFF" w:rsidRPr="007E16D2">
        <w:rPr>
          <w:sz w:val="20"/>
          <w:szCs w:val="20"/>
        </w:rPr>
        <w:t xml:space="preserve">su libertad </w:t>
      </w:r>
      <w:r w:rsidR="00EE7BDA" w:rsidRPr="007E16D2">
        <w:rPr>
          <w:sz w:val="20"/>
          <w:szCs w:val="20"/>
        </w:rPr>
        <w:t>en reiteradas oportunidades</w:t>
      </w:r>
      <w:r w:rsidR="00AD0BFF" w:rsidRPr="007E16D2">
        <w:rPr>
          <w:sz w:val="20"/>
          <w:szCs w:val="20"/>
        </w:rPr>
        <w:t>.</w:t>
      </w:r>
      <w:r w:rsidR="00EE7BDA" w:rsidRPr="007E16D2">
        <w:rPr>
          <w:sz w:val="20"/>
          <w:szCs w:val="20"/>
        </w:rPr>
        <w:t xml:space="preserve"> </w:t>
      </w:r>
      <w:r w:rsidR="00AD0BFF" w:rsidRPr="007E16D2">
        <w:rPr>
          <w:sz w:val="20"/>
          <w:szCs w:val="20"/>
        </w:rPr>
        <w:t xml:space="preserve">El </w:t>
      </w:r>
      <w:r w:rsidR="00EE7BDA" w:rsidRPr="007E16D2">
        <w:rPr>
          <w:sz w:val="20"/>
          <w:szCs w:val="20"/>
        </w:rPr>
        <w:t xml:space="preserve">29 de abril de 2008 el </w:t>
      </w:r>
      <w:r w:rsidR="00AD0BFF" w:rsidRPr="007E16D2">
        <w:rPr>
          <w:sz w:val="20"/>
          <w:szCs w:val="20"/>
        </w:rPr>
        <w:t xml:space="preserve">TOC3 </w:t>
      </w:r>
      <w:r w:rsidR="00EE7BDA" w:rsidRPr="007E16D2">
        <w:rPr>
          <w:sz w:val="20"/>
          <w:szCs w:val="20"/>
        </w:rPr>
        <w:t xml:space="preserve">rechazó la solicitud de excarcelación; </w:t>
      </w:r>
      <w:r w:rsidR="00AD0BFF" w:rsidRPr="007E16D2">
        <w:rPr>
          <w:sz w:val="20"/>
          <w:szCs w:val="20"/>
        </w:rPr>
        <w:t xml:space="preserve">el </w:t>
      </w:r>
      <w:r w:rsidR="00EE7BDA" w:rsidRPr="007E16D2">
        <w:rPr>
          <w:sz w:val="20"/>
          <w:szCs w:val="20"/>
        </w:rPr>
        <w:t xml:space="preserve">17 de junio de 2008, la Sala I de la </w:t>
      </w:r>
      <w:r w:rsidR="006A3793" w:rsidRPr="007E16D2">
        <w:rPr>
          <w:sz w:val="20"/>
          <w:szCs w:val="20"/>
        </w:rPr>
        <w:t>Cámara de Apelación y Garantías en lo Penal de Lomas de Zamora</w:t>
      </w:r>
      <w:r w:rsidR="00EE7BDA" w:rsidRPr="007E16D2">
        <w:rPr>
          <w:sz w:val="20"/>
          <w:szCs w:val="20"/>
        </w:rPr>
        <w:t xml:space="preserve"> </w:t>
      </w:r>
      <w:r w:rsidR="006A3793" w:rsidRPr="007E16D2">
        <w:rPr>
          <w:sz w:val="20"/>
          <w:szCs w:val="20"/>
        </w:rPr>
        <w:t xml:space="preserve">(en adelante “Cámara Departamental”) </w:t>
      </w:r>
      <w:r w:rsidR="00EE7BDA" w:rsidRPr="007E16D2">
        <w:rPr>
          <w:sz w:val="20"/>
          <w:szCs w:val="20"/>
        </w:rPr>
        <w:t xml:space="preserve">confirmó la denegatoria de la excarcelación; </w:t>
      </w:r>
      <w:r w:rsidR="00AD0BFF" w:rsidRPr="007E16D2">
        <w:rPr>
          <w:sz w:val="20"/>
          <w:szCs w:val="20"/>
        </w:rPr>
        <w:t>y</w:t>
      </w:r>
      <w:r w:rsidR="00EE7BDA" w:rsidRPr="007E16D2">
        <w:rPr>
          <w:sz w:val="20"/>
          <w:szCs w:val="20"/>
        </w:rPr>
        <w:t xml:space="preserve"> el 2 de febrero de 2009, el </w:t>
      </w:r>
      <w:r w:rsidR="00AD0BFF" w:rsidRPr="007E16D2">
        <w:rPr>
          <w:sz w:val="20"/>
          <w:szCs w:val="20"/>
        </w:rPr>
        <w:t xml:space="preserve">TOC3 </w:t>
      </w:r>
      <w:r w:rsidR="00EE7BDA" w:rsidRPr="007E16D2">
        <w:rPr>
          <w:sz w:val="20"/>
          <w:szCs w:val="20"/>
        </w:rPr>
        <w:t xml:space="preserve">decidió que no hacía lugar a la excarcelación solicitada. </w:t>
      </w:r>
    </w:p>
    <w:p w14:paraId="0C6E133C" w14:textId="77777777" w:rsidR="003411B6" w:rsidRPr="007E16D2" w:rsidRDefault="003411B6" w:rsidP="007E16D2">
      <w:pPr>
        <w:pStyle w:val="ListParagraph"/>
        <w:spacing w:before="0"/>
        <w:ind w:left="1440" w:right="40" w:firstLine="0"/>
        <w:rPr>
          <w:sz w:val="20"/>
          <w:szCs w:val="20"/>
        </w:rPr>
      </w:pPr>
    </w:p>
    <w:p w14:paraId="32022696" w14:textId="59BDDA32" w:rsidR="003411B6" w:rsidRPr="007E16D2" w:rsidRDefault="00AD0BFF" w:rsidP="007E16D2">
      <w:pPr>
        <w:pStyle w:val="ListParagraph"/>
        <w:numPr>
          <w:ilvl w:val="0"/>
          <w:numId w:val="2"/>
        </w:numPr>
        <w:spacing w:before="0"/>
        <w:ind w:left="720" w:right="40" w:firstLine="720"/>
        <w:rPr>
          <w:sz w:val="20"/>
          <w:szCs w:val="20"/>
        </w:rPr>
      </w:pPr>
      <w:r w:rsidRPr="007E16D2">
        <w:rPr>
          <w:sz w:val="20"/>
          <w:szCs w:val="20"/>
        </w:rPr>
        <w:t>Los</w:t>
      </w:r>
      <w:r w:rsidR="00EE7BDA" w:rsidRPr="007E16D2">
        <w:rPr>
          <w:sz w:val="20"/>
          <w:szCs w:val="20"/>
        </w:rPr>
        <w:t xml:space="preserve"> peticionarios informan </w:t>
      </w:r>
      <w:r w:rsidRPr="007E16D2">
        <w:rPr>
          <w:sz w:val="20"/>
          <w:szCs w:val="20"/>
        </w:rPr>
        <w:t xml:space="preserve">igualmente </w:t>
      </w:r>
      <w:r w:rsidR="00EE7BDA" w:rsidRPr="007E16D2">
        <w:rPr>
          <w:sz w:val="20"/>
          <w:szCs w:val="20"/>
        </w:rPr>
        <w:t xml:space="preserve">sobre otras </w:t>
      </w:r>
      <w:r w:rsidR="006A3793" w:rsidRPr="007E16D2">
        <w:rPr>
          <w:sz w:val="20"/>
          <w:szCs w:val="20"/>
        </w:rPr>
        <w:t xml:space="preserve">acciones </w:t>
      </w:r>
      <w:r w:rsidR="00EE7BDA" w:rsidRPr="007E16D2">
        <w:rPr>
          <w:sz w:val="20"/>
          <w:szCs w:val="20"/>
        </w:rPr>
        <w:t xml:space="preserve">cuyos fallos fueron contrarios a lo que </w:t>
      </w:r>
      <w:r w:rsidRPr="007E16D2">
        <w:rPr>
          <w:sz w:val="20"/>
          <w:szCs w:val="20"/>
        </w:rPr>
        <w:t>reclamado por la presunta víctima. El</w:t>
      </w:r>
      <w:r w:rsidR="003411B6" w:rsidRPr="007E16D2">
        <w:rPr>
          <w:sz w:val="20"/>
          <w:szCs w:val="20"/>
        </w:rPr>
        <w:t xml:space="preserve"> 12 de febrero de 2009 la Sala II del Tribunal de Casación declaró inadmisible el habeas corpus presentado por el imputado (causa 36.548) y remitió copias al tribunal interviniente; </w:t>
      </w:r>
      <w:r w:rsidRPr="007E16D2">
        <w:rPr>
          <w:sz w:val="20"/>
          <w:szCs w:val="20"/>
        </w:rPr>
        <w:t>el</w:t>
      </w:r>
      <w:r w:rsidR="003411B6" w:rsidRPr="007E16D2">
        <w:rPr>
          <w:sz w:val="20"/>
          <w:szCs w:val="20"/>
        </w:rPr>
        <w:t xml:space="preserve"> 19 de febrero de 2009 el Tribunal de Casación declaró abstracto el habeas corpus interpuesto (causa 36.585); </w:t>
      </w:r>
      <w:r w:rsidRPr="007E16D2">
        <w:rPr>
          <w:sz w:val="20"/>
          <w:szCs w:val="20"/>
        </w:rPr>
        <w:t xml:space="preserve">el </w:t>
      </w:r>
      <w:r w:rsidR="003411B6" w:rsidRPr="007E16D2">
        <w:rPr>
          <w:sz w:val="20"/>
          <w:szCs w:val="20"/>
        </w:rPr>
        <w:t xml:space="preserve">2 de junio de 2009 el </w:t>
      </w:r>
      <w:r w:rsidRPr="007E16D2">
        <w:rPr>
          <w:sz w:val="20"/>
          <w:szCs w:val="20"/>
        </w:rPr>
        <w:t xml:space="preserve">TOC3 </w:t>
      </w:r>
      <w:r w:rsidR="003411B6" w:rsidRPr="007E16D2">
        <w:rPr>
          <w:sz w:val="20"/>
          <w:szCs w:val="20"/>
        </w:rPr>
        <w:t xml:space="preserve">resolvió no hacer lugar a la solicitud de excarcelación </w:t>
      </w:r>
      <w:r w:rsidRPr="007E16D2">
        <w:rPr>
          <w:sz w:val="20"/>
          <w:szCs w:val="20"/>
        </w:rPr>
        <w:t>planteada</w:t>
      </w:r>
      <w:r w:rsidR="003411B6" w:rsidRPr="007E16D2">
        <w:rPr>
          <w:sz w:val="20"/>
          <w:szCs w:val="20"/>
        </w:rPr>
        <w:t xml:space="preserve">; </w:t>
      </w:r>
      <w:r w:rsidRPr="007E16D2">
        <w:rPr>
          <w:sz w:val="20"/>
          <w:szCs w:val="20"/>
        </w:rPr>
        <w:t>el</w:t>
      </w:r>
      <w:r w:rsidR="003411B6" w:rsidRPr="007E16D2">
        <w:rPr>
          <w:sz w:val="20"/>
          <w:szCs w:val="20"/>
        </w:rPr>
        <w:t xml:space="preserve"> 4 de noviembre de 2009 el </w:t>
      </w:r>
      <w:r w:rsidRPr="007E16D2">
        <w:rPr>
          <w:sz w:val="20"/>
          <w:szCs w:val="20"/>
        </w:rPr>
        <w:t xml:space="preserve">TOC3 </w:t>
      </w:r>
      <w:r w:rsidR="003411B6" w:rsidRPr="007E16D2">
        <w:rPr>
          <w:sz w:val="20"/>
          <w:szCs w:val="20"/>
        </w:rPr>
        <w:t xml:space="preserve">rechazó in limine el habeas corpus interpuesto y no hizo lugar a la solicitud de excarcelación; el 9 de diciembre de 2009 el </w:t>
      </w:r>
      <w:r w:rsidRPr="007E16D2">
        <w:rPr>
          <w:sz w:val="20"/>
          <w:szCs w:val="20"/>
        </w:rPr>
        <w:t xml:space="preserve">TOC3 </w:t>
      </w:r>
      <w:r w:rsidR="003411B6" w:rsidRPr="007E16D2">
        <w:rPr>
          <w:sz w:val="20"/>
          <w:szCs w:val="20"/>
        </w:rPr>
        <w:t>re</w:t>
      </w:r>
      <w:r w:rsidRPr="007E16D2">
        <w:rPr>
          <w:sz w:val="20"/>
          <w:szCs w:val="20"/>
        </w:rPr>
        <w:t xml:space="preserve">chazó </w:t>
      </w:r>
      <w:r w:rsidR="003411B6" w:rsidRPr="007E16D2">
        <w:rPr>
          <w:sz w:val="20"/>
          <w:szCs w:val="20"/>
        </w:rPr>
        <w:t xml:space="preserve">la solicitud de excarcelación </w:t>
      </w:r>
      <w:r w:rsidRPr="007E16D2">
        <w:rPr>
          <w:sz w:val="20"/>
          <w:szCs w:val="20"/>
        </w:rPr>
        <w:t>por agotamiento de plazo razonable de la prisión preventiva</w:t>
      </w:r>
      <w:r w:rsidR="0079264E" w:rsidRPr="007E16D2">
        <w:rPr>
          <w:sz w:val="20"/>
          <w:szCs w:val="20"/>
        </w:rPr>
        <w:t>,</w:t>
      </w:r>
      <w:r w:rsidRPr="007E16D2">
        <w:rPr>
          <w:sz w:val="20"/>
          <w:szCs w:val="20"/>
        </w:rPr>
        <w:t xml:space="preserve"> por considerar que </w:t>
      </w:r>
      <w:r w:rsidR="003411B6" w:rsidRPr="007E16D2">
        <w:rPr>
          <w:sz w:val="20"/>
          <w:szCs w:val="20"/>
        </w:rPr>
        <w:t xml:space="preserve">no se encontraba prevista en los supuestos legales; </w:t>
      </w:r>
      <w:r w:rsidRPr="007E16D2">
        <w:rPr>
          <w:sz w:val="20"/>
          <w:szCs w:val="20"/>
        </w:rPr>
        <w:t>el</w:t>
      </w:r>
      <w:r w:rsidR="003411B6" w:rsidRPr="007E16D2">
        <w:rPr>
          <w:sz w:val="20"/>
          <w:szCs w:val="20"/>
        </w:rPr>
        <w:t xml:space="preserve"> fecha 29 de diciembre de 2009, la Sala I de la Cámara </w:t>
      </w:r>
      <w:r w:rsidRPr="007E16D2">
        <w:rPr>
          <w:sz w:val="20"/>
          <w:szCs w:val="20"/>
        </w:rPr>
        <w:t>D</w:t>
      </w:r>
      <w:r w:rsidR="003411B6" w:rsidRPr="007E16D2">
        <w:rPr>
          <w:sz w:val="20"/>
          <w:szCs w:val="20"/>
        </w:rPr>
        <w:t xml:space="preserve">epartamental confirmó el rechazo del pedido de libertad; </w:t>
      </w:r>
      <w:r w:rsidRPr="007E16D2">
        <w:rPr>
          <w:sz w:val="20"/>
          <w:szCs w:val="20"/>
        </w:rPr>
        <w:t>el</w:t>
      </w:r>
      <w:r w:rsidR="003411B6" w:rsidRPr="007E16D2">
        <w:rPr>
          <w:sz w:val="20"/>
          <w:szCs w:val="20"/>
        </w:rPr>
        <w:t xml:space="preserve"> 23 de abril de 2010 el </w:t>
      </w:r>
      <w:r w:rsidRPr="007E16D2">
        <w:rPr>
          <w:sz w:val="20"/>
          <w:szCs w:val="20"/>
        </w:rPr>
        <w:t xml:space="preserve">TOC3 nuevamente </w:t>
      </w:r>
      <w:r w:rsidR="003411B6" w:rsidRPr="007E16D2">
        <w:rPr>
          <w:sz w:val="20"/>
          <w:szCs w:val="20"/>
        </w:rPr>
        <w:t>declaró inadmisible el habeas corpus y rechaz</w:t>
      </w:r>
      <w:r w:rsidRPr="007E16D2">
        <w:rPr>
          <w:sz w:val="20"/>
          <w:szCs w:val="20"/>
        </w:rPr>
        <w:t>ó</w:t>
      </w:r>
      <w:r w:rsidR="003411B6" w:rsidRPr="007E16D2">
        <w:rPr>
          <w:sz w:val="20"/>
          <w:szCs w:val="20"/>
        </w:rPr>
        <w:t xml:space="preserve"> la solicitud de excarcelación; </w:t>
      </w:r>
      <w:r w:rsidRPr="007E16D2">
        <w:rPr>
          <w:sz w:val="20"/>
          <w:szCs w:val="20"/>
        </w:rPr>
        <w:t xml:space="preserve">el </w:t>
      </w:r>
      <w:r w:rsidR="003411B6" w:rsidRPr="007E16D2">
        <w:rPr>
          <w:sz w:val="20"/>
          <w:szCs w:val="20"/>
        </w:rPr>
        <w:t>1</w:t>
      </w:r>
      <w:r w:rsidRPr="007E16D2">
        <w:rPr>
          <w:sz w:val="20"/>
          <w:szCs w:val="20"/>
        </w:rPr>
        <w:t xml:space="preserve">º </w:t>
      </w:r>
      <w:r w:rsidR="003411B6" w:rsidRPr="007E16D2">
        <w:rPr>
          <w:sz w:val="20"/>
          <w:szCs w:val="20"/>
        </w:rPr>
        <w:t xml:space="preserve">de junio de 2010 la Cámara </w:t>
      </w:r>
      <w:r w:rsidRPr="007E16D2">
        <w:rPr>
          <w:sz w:val="20"/>
          <w:szCs w:val="20"/>
        </w:rPr>
        <w:t>D</w:t>
      </w:r>
      <w:r w:rsidR="003411B6" w:rsidRPr="007E16D2">
        <w:rPr>
          <w:sz w:val="20"/>
          <w:szCs w:val="20"/>
        </w:rPr>
        <w:t xml:space="preserve">epartamental rechazó la acción de habeas corpus y declaró improcedente el pedido de excarcelación y de medida </w:t>
      </w:r>
      <w:r w:rsidR="0079264E" w:rsidRPr="007E16D2">
        <w:rPr>
          <w:sz w:val="20"/>
          <w:szCs w:val="20"/>
        </w:rPr>
        <w:t>atenuadora</w:t>
      </w:r>
      <w:r w:rsidR="003411B6" w:rsidRPr="007E16D2">
        <w:rPr>
          <w:sz w:val="20"/>
          <w:szCs w:val="20"/>
        </w:rPr>
        <w:t xml:space="preserve">; el 23 de junio de 2010 la Defensoría de Casación de la </w:t>
      </w:r>
      <w:r w:rsidR="0079264E" w:rsidRPr="007E16D2">
        <w:rPr>
          <w:sz w:val="20"/>
          <w:szCs w:val="20"/>
        </w:rPr>
        <w:t>P</w:t>
      </w:r>
      <w:r w:rsidR="003411B6" w:rsidRPr="007E16D2">
        <w:rPr>
          <w:sz w:val="20"/>
          <w:szCs w:val="20"/>
        </w:rPr>
        <w:t>rovincia de Buenos Aires interpuso</w:t>
      </w:r>
      <w:r w:rsidR="0079264E" w:rsidRPr="007E16D2">
        <w:rPr>
          <w:sz w:val="20"/>
          <w:szCs w:val="20"/>
        </w:rPr>
        <w:t xml:space="preserve"> un</w:t>
      </w:r>
      <w:r w:rsidR="003411B6" w:rsidRPr="007E16D2">
        <w:rPr>
          <w:sz w:val="20"/>
          <w:szCs w:val="20"/>
        </w:rPr>
        <w:t xml:space="preserve"> habeas corpus ante la </w:t>
      </w:r>
      <w:r w:rsidR="0079264E" w:rsidRPr="007E16D2">
        <w:rPr>
          <w:sz w:val="20"/>
          <w:szCs w:val="20"/>
        </w:rPr>
        <w:t>S</w:t>
      </w:r>
      <w:r w:rsidR="003411B6" w:rsidRPr="007E16D2">
        <w:rPr>
          <w:sz w:val="20"/>
          <w:szCs w:val="20"/>
        </w:rPr>
        <w:t xml:space="preserve">ala II del Tribunal de Casación provincial, </w:t>
      </w:r>
      <w:r w:rsidR="006A3793" w:rsidRPr="007E16D2">
        <w:rPr>
          <w:sz w:val="20"/>
          <w:szCs w:val="20"/>
        </w:rPr>
        <w:t xml:space="preserve">que fue rechazado </w:t>
      </w:r>
      <w:r w:rsidR="003411B6" w:rsidRPr="007E16D2">
        <w:rPr>
          <w:sz w:val="20"/>
          <w:szCs w:val="20"/>
        </w:rPr>
        <w:t>el 29 de junio de 2010</w:t>
      </w:r>
      <w:r w:rsidR="006A3793" w:rsidRPr="007E16D2">
        <w:rPr>
          <w:sz w:val="20"/>
          <w:szCs w:val="20"/>
        </w:rPr>
        <w:t xml:space="preserve"> </w:t>
      </w:r>
      <w:r w:rsidR="003411B6" w:rsidRPr="007E16D2">
        <w:rPr>
          <w:sz w:val="20"/>
          <w:szCs w:val="20"/>
        </w:rPr>
        <w:t>por entender que no le correspond</w:t>
      </w:r>
      <w:r w:rsidR="006A3793" w:rsidRPr="007E16D2">
        <w:rPr>
          <w:sz w:val="20"/>
          <w:szCs w:val="20"/>
        </w:rPr>
        <w:t xml:space="preserve">ía </w:t>
      </w:r>
      <w:r w:rsidR="003411B6" w:rsidRPr="007E16D2">
        <w:rPr>
          <w:sz w:val="20"/>
          <w:szCs w:val="20"/>
        </w:rPr>
        <w:t xml:space="preserve"> atender </w:t>
      </w:r>
      <w:r w:rsidR="006A3793" w:rsidRPr="007E16D2">
        <w:rPr>
          <w:sz w:val="20"/>
          <w:szCs w:val="20"/>
        </w:rPr>
        <w:t xml:space="preserve">manera originaria </w:t>
      </w:r>
      <w:r w:rsidR="003411B6" w:rsidRPr="007E16D2">
        <w:rPr>
          <w:sz w:val="20"/>
          <w:szCs w:val="20"/>
        </w:rPr>
        <w:t>la petición interpuesta.</w:t>
      </w:r>
    </w:p>
    <w:p w14:paraId="697B2C18" w14:textId="77777777" w:rsidR="003411B6" w:rsidRPr="007E16D2" w:rsidRDefault="003411B6" w:rsidP="007E16D2">
      <w:pPr>
        <w:ind w:left="720" w:right="40"/>
        <w:rPr>
          <w:sz w:val="20"/>
          <w:szCs w:val="20"/>
        </w:rPr>
      </w:pPr>
    </w:p>
    <w:p w14:paraId="0FDF3049" w14:textId="7B9BD697" w:rsidR="00EE7BDA" w:rsidRPr="007E16D2" w:rsidRDefault="0079264E" w:rsidP="007E16D2">
      <w:pPr>
        <w:pStyle w:val="ListParagraph"/>
        <w:numPr>
          <w:ilvl w:val="0"/>
          <w:numId w:val="2"/>
        </w:numPr>
        <w:spacing w:before="0"/>
        <w:ind w:left="720" w:right="40" w:firstLine="720"/>
        <w:rPr>
          <w:sz w:val="20"/>
          <w:szCs w:val="20"/>
        </w:rPr>
      </w:pPr>
      <w:r w:rsidRPr="007E16D2">
        <w:rPr>
          <w:sz w:val="20"/>
          <w:szCs w:val="20"/>
        </w:rPr>
        <w:t xml:space="preserve">Asimismo, señalan que el 24 de agosto de 2004 se interpuso un recurso extraordinario de inaplicabilidad de ley ante la Suprema Corte </w:t>
      </w:r>
      <w:r w:rsidR="00B250EB" w:rsidRPr="007E16D2">
        <w:rPr>
          <w:sz w:val="20"/>
          <w:szCs w:val="20"/>
        </w:rPr>
        <w:t>provincial</w:t>
      </w:r>
      <w:r w:rsidR="003411B6" w:rsidRPr="007E16D2">
        <w:rPr>
          <w:sz w:val="20"/>
          <w:szCs w:val="20"/>
        </w:rPr>
        <w:t xml:space="preserve"> contra la sentencia condenatoria del </w:t>
      </w:r>
      <w:r w:rsidRPr="007E16D2">
        <w:rPr>
          <w:sz w:val="20"/>
          <w:szCs w:val="20"/>
        </w:rPr>
        <w:t>TOC3</w:t>
      </w:r>
      <w:r w:rsidR="003411B6" w:rsidRPr="007E16D2">
        <w:rPr>
          <w:sz w:val="20"/>
          <w:szCs w:val="20"/>
        </w:rPr>
        <w:t>, luego de</w:t>
      </w:r>
      <w:r w:rsidRPr="007E16D2">
        <w:rPr>
          <w:sz w:val="20"/>
          <w:szCs w:val="20"/>
        </w:rPr>
        <w:t>l</w:t>
      </w:r>
      <w:r w:rsidR="003411B6" w:rsidRPr="007E16D2">
        <w:rPr>
          <w:sz w:val="20"/>
          <w:szCs w:val="20"/>
        </w:rPr>
        <w:t xml:space="preserve"> ser rechazo </w:t>
      </w:r>
      <w:r w:rsidRPr="007E16D2">
        <w:rPr>
          <w:sz w:val="20"/>
          <w:szCs w:val="20"/>
        </w:rPr>
        <w:t>d</w:t>
      </w:r>
      <w:r w:rsidR="003411B6" w:rsidRPr="007E16D2">
        <w:rPr>
          <w:sz w:val="20"/>
          <w:szCs w:val="20"/>
        </w:rPr>
        <w:t>el recurso de casación</w:t>
      </w:r>
      <w:r w:rsidRPr="007E16D2">
        <w:rPr>
          <w:sz w:val="20"/>
          <w:szCs w:val="20"/>
        </w:rPr>
        <w:t>. D</w:t>
      </w:r>
      <w:r w:rsidR="003411B6" w:rsidRPr="007E16D2">
        <w:rPr>
          <w:sz w:val="20"/>
          <w:szCs w:val="20"/>
        </w:rPr>
        <w:t>icha causa no había sido resuelta a la fecha de presentación de la petición ante la CIDH.</w:t>
      </w:r>
    </w:p>
    <w:p w14:paraId="154885D7" w14:textId="77777777" w:rsidR="003411B6" w:rsidRPr="007E16D2" w:rsidRDefault="003411B6" w:rsidP="007E16D2">
      <w:pPr>
        <w:pStyle w:val="ListParagraph"/>
        <w:spacing w:before="0"/>
        <w:ind w:left="1440" w:right="40" w:firstLine="0"/>
        <w:rPr>
          <w:sz w:val="20"/>
          <w:szCs w:val="20"/>
        </w:rPr>
      </w:pPr>
    </w:p>
    <w:p w14:paraId="3BBAE8F7" w14:textId="4641BB5E" w:rsidR="002126CD" w:rsidRPr="007E16D2" w:rsidRDefault="003411B6" w:rsidP="007E16D2">
      <w:pPr>
        <w:pStyle w:val="ListParagraph"/>
        <w:numPr>
          <w:ilvl w:val="0"/>
          <w:numId w:val="2"/>
        </w:numPr>
        <w:spacing w:before="0"/>
        <w:ind w:left="720" w:right="40" w:firstLine="720"/>
        <w:rPr>
          <w:sz w:val="20"/>
          <w:szCs w:val="20"/>
        </w:rPr>
      </w:pPr>
      <w:r w:rsidRPr="007E16D2">
        <w:rPr>
          <w:sz w:val="20"/>
          <w:szCs w:val="20"/>
        </w:rPr>
        <w:t xml:space="preserve">Los peticionarios </w:t>
      </w:r>
      <w:r w:rsidR="0079264E" w:rsidRPr="007E16D2">
        <w:rPr>
          <w:sz w:val="20"/>
          <w:szCs w:val="20"/>
        </w:rPr>
        <w:t xml:space="preserve">destacan </w:t>
      </w:r>
      <w:r w:rsidRPr="007E16D2">
        <w:rPr>
          <w:sz w:val="20"/>
          <w:szCs w:val="20"/>
        </w:rPr>
        <w:t>que</w:t>
      </w:r>
      <w:r w:rsidR="0079264E" w:rsidRPr="007E16D2">
        <w:rPr>
          <w:sz w:val="20"/>
          <w:szCs w:val="20"/>
        </w:rPr>
        <w:t xml:space="preserve"> la presunta víctima llevaba en prisión preventiva más de nueve años</w:t>
      </w:r>
      <w:r w:rsidRPr="007E16D2">
        <w:rPr>
          <w:sz w:val="20"/>
          <w:szCs w:val="20"/>
        </w:rPr>
        <w:t xml:space="preserve"> a la fecha </w:t>
      </w:r>
      <w:r w:rsidR="0079264E" w:rsidRPr="007E16D2">
        <w:rPr>
          <w:sz w:val="20"/>
          <w:szCs w:val="20"/>
        </w:rPr>
        <w:t xml:space="preserve">en que presentaron </w:t>
      </w:r>
      <w:r w:rsidRPr="007E16D2">
        <w:rPr>
          <w:sz w:val="20"/>
          <w:szCs w:val="20"/>
        </w:rPr>
        <w:t xml:space="preserve">la petición ante la </w:t>
      </w:r>
      <w:r w:rsidR="0079264E" w:rsidRPr="007E16D2">
        <w:rPr>
          <w:sz w:val="20"/>
          <w:szCs w:val="20"/>
        </w:rPr>
        <w:t>Comisión Interamericana.</w:t>
      </w:r>
      <w:r w:rsidRPr="007E16D2">
        <w:rPr>
          <w:sz w:val="20"/>
          <w:szCs w:val="20"/>
        </w:rPr>
        <w:t xml:space="preserve"> </w:t>
      </w:r>
      <w:r w:rsidR="0079264E" w:rsidRPr="007E16D2">
        <w:rPr>
          <w:sz w:val="20"/>
          <w:szCs w:val="20"/>
        </w:rPr>
        <w:t>Al</w:t>
      </w:r>
      <w:r w:rsidRPr="007E16D2">
        <w:rPr>
          <w:sz w:val="20"/>
          <w:szCs w:val="20"/>
        </w:rPr>
        <w:t xml:space="preserve">egan que rige </w:t>
      </w:r>
      <w:r w:rsidR="0079264E" w:rsidRPr="007E16D2">
        <w:rPr>
          <w:sz w:val="20"/>
          <w:szCs w:val="20"/>
        </w:rPr>
        <w:t xml:space="preserve">por lo tanto </w:t>
      </w:r>
      <w:r w:rsidRPr="007E16D2">
        <w:rPr>
          <w:sz w:val="20"/>
          <w:szCs w:val="20"/>
        </w:rPr>
        <w:t xml:space="preserve">el cómputo de la prisión preventiva establecido </w:t>
      </w:r>
      <w:r w:rsidR="0079264E" w:rsidRPr="007E16D2">
        <w:rPr>
          <w:sz w:val="20"/>
          <w:szCs w:val="20"/>
        </w:rPr>
        <w:t>por la L</w:t>
      </w:r>
      <w:r w:rsidRPr="007E16D2">
        <w:rPr>
          <w:sz w:val="20"/>
          <w:szCs w:val="20"/>
        </w:rPr>
        <w:t xml:space="preserve">ey 24.390 </w:t>
      </w:r>
      <w:r w:rsidR="0079264E" w:rsidRPr="007E16D2">
        <w:rPr>
          <w:sz w:val="20"/>
          <w:szCs w:val="20"/>
        </w:rPr>
        <w:t xml:space="preserve">según el cual </w:t>
      </w:r>
      <w:r w:rsidRPr="007E16D2">
        <w:rPr>
          <w:sz w:val="20"/>
          <w:szCs w:val="20"/>
        </w:rPr>
        <w:t xml:space="preserve">después de los dos primeros años, por cada día de prisión preventiva se computarán dos de pena de prisión. En virtud de ello, </w:t>
      </w:r>
      <w:r w:rsidR="0079264E" w:rsidRPr="007E16D2">
        <w:rPr>
          <w:sz w:val="20"/>
          <w:szCs w:val="20"/>
        </w:rPr>
        <w:t xml:space="preserve">la presunta víctima habría acumulado </w:t>
      </w:r>
      <w:r w:rsidRPr="007E16D2">
        <w:rPr>
          <w:sz w:val="20"/>
          <w:szCs w:val="20"/>
        </w:rPr>
        <w:t xml:space="preserve">en prisión preventiva </w:t>
      </w:r>
      <w:r w:rsidR="0079264E" w:rsidRPr="007E16D2">
        <w:rPr>
          <w:sz w:val="20"/>
          <w:szCs w:val="20"/>
        </w:rPr>
        <w:t xml:space="preserve">el equivalente de </w:t>
      </w:r>
      <w:r w:rsidRPr="007E16D2">
        <w:rPr>
          <w:sz w:val="20"/>
          <w:szCs w:val="20"/>
        </w:rPr>
        <w:t>más de dieciséis años de prisión.</w:t>
      </w:r>
      <w:r w:rsidR="0079264E" w:rsidRPr="007E16D2">
        <w:rPr>
          <w:sz w:val="20"/>
          <w:szCs w:val="20"/>
        </w:rPr>
        <w:t xml:space="preserve"> </w:t>
      </w:r>
      <w:r w:rsidR="002126CD" w:rsidRPr="007E16D2">
        <w:rPr>
          <w:sz w:val="20"/>
          <w:szCs w:val="20"/>
        </w:rPr>
        <w:t>Asimismo, argumentan que dicho periodo de detención estuvo basado en disposiciones internas contrarias a la Convención Americana, como el artículo 169, inciso 11, del Código de Procedimiento Penal bonaerense, que subordinaría la libertad por agotamiento del plazo razonable de duración del encierro preventivo a circunstancias como la gravedad del delito y la pena probable.</w:t>
      </w:r>
    </w:p>
    <w:p w14:paraId="72A156F3" w14:textId="77777777" w:rsidR="002126CD" w:rsidRPr="007E16D2" w:rsidRDefault="002126CD" w:rsidP="007E16D2">
      <w:pPr>
        <w:ind w:left="720" w:right="40"/>
        <w:rPr>
          <w:sz w:val="20"/>
          <w:szCs w:val="20"/>
        </w:rPr>
      </w:pPr>
    </w:p>
    <w:p w14:paraId="70C9A0E6" w14:textId="61C141FF" w:rsidR="0052484F" w:rsidRDefault="00E86A6E" w:rsidP="007E16D2">
      <w:pPr>
        <w:pStyle w:val="ListParagraph"/>
        <w:numPr>
          <w:ilvl w:val="0"/>
          <w:numId w:val="2"/>
        </w:numPr>
        <w:spacing w:before="0"/>
        <w:ind w:left="720" w:right="40" w:firstLine="720"/>
        <w:rPr>
          <w:sz w:val="20"/>
          <w:szCs w:val="20"/>
        </w:rPr>
      </w:pPr>
      <w:r w:rsidRPr="007E16D2">
        <w:rPr>
          <w:sz w:val="20"/>
          <w:szCs w:val="20"/>
        </w:rPr>
        <w:t>Por su parte, el Estado inform</w:t>
      </w:r>
      <w:r w:rsidR="00AE217D" w:rsidRPr="007E16D2">
        <w:rPr>
          <w:sz w:val="20"/>
          <w:szCs w:val="20"/>
        </w:rPr>
        <w:t>a</w:t>
      </w:r>
      <w:r w:rsidRPr="007E16D2">
        <w:rPr>
          <w:sz w:val="20"/>
          <w:szCs w:val="20"/>
        </w:rPr>
        <w:t xml:space="preserve"> que el 11 de mayo del año 2001, la </w:t>
      </w:r>
      <w:r w:rsidR="00AE217D" w:rsidRPr="007E16D2">
        <w:rPr>
          <w:sz w:val="20"/>
          <w:szCs w:val="20"/>
        </w:rPr>
        <w:t>esposa de la presunta víctima</w:t>
      </w:r>
      <w:r w:rsidRPr="007E16D2">
        <w:rPr>
          <w:sz w:val="20"/>
          <w:szCs w:val="20"/>
        </w:rPr>
        <w:t xml:space="preserve"> fue gravemente herida </w:t>
      </w:r>
      <w:r w:rsidR="00AE217D" w:rsidRPr="007E16D2">
        <w:rPr>
          <w:sz w:val="20"/>
          <w:szCs w:val="20"/>
        </w:rPr>
        <w:t>de</w:t>
      </w:r>
      <w:r w:rsidRPr="007E16D2">
        <w:rPr>
          <w:sz w:val="20"/>
          <w:szCs w:val="20"/>
        </w:rPr>
        <w:t xml:space="preserve"> disparos </w:t>
      </w:r>
      <w:r w:rsidR="00AE217D" w:rsidRPr="007E16D2">
        <w:rPr>
          <w:sz w:val="20"/>
          <w:szCs w:val="20"/>
        </w:rPr>
        <w:t xml:space="preserve">a </w:t>
      </w:r>
      <w:r w:rsidRPr="007E16D2">
        <w:rPr>
          <w:sz w:val="20"/>
          <w:szCs w:val="20"/>
        </w:rPr>
        <w:t xml:space="preserve">su pulmón izquierdo; y </w:t>
      </w:r>
      <w:r w:rsidR="00AE217D" w:rsidRPr="007E16D2">
        <w:rPr>
          <w:sz w:val="20"/>
          <w:szCs w:val="20"/>
        </w:rPr>
        <w:t xml:space="preserve">que </w:t>
      </w:r>
      <w:r w:rsidRPr="007E16D2">
        <w:rPr>
          <w:sz w:val="20"/>
          <w:szCs w:val="20"/>
        </w:rPr>
        <w:t xml:space="preserve">fue llevada por </w:t>
      </w:r>
      <w:r w:rsidR="00AE217D" w:rsidRPr="007E16D2">
        <w:rPr>
          <w:sz w:val="20"/>
          <w:szCs w:val="20"/>
        </w:rPr>
        <w:t xml:space="preserve">aquel </w:t>
      </w:r>
      <w:r w:rsidR="006A3793" w:rsidRPr="007E16D2">
        <w:rPr>
          <w:sz w:val="20"/>
          <w:szCs w:val="20"/>
        </w:rPr>
        <w:t>a un h</w:t>
      </w:r>
      <w:r w:rsidRPr="007E16D2">
        <w:rPr>
          <w:sz w:val="20"/>
          <w:szCs w:val="20"/>
        </w:rPr>
        <w:t>ospital, donde falleció una semana más tarde como consecuencia de un paro cardiorrespiratorio traumático</w:t>
      </w:r>
      <w:r w:rsidR="00AE217D" w:rsidRPr="007E16D2">
        <w:rPr>
          <w:sz w:val="20"/>
          <w:szCs w:val="20"/>
        </w:rPr>
        <w:t>.</w:t>
      </w:r>
      <w:r w:rsidRPr="007E16D2">
        <w:rPr>
          <w:sz w:val="20"/>
          <w:szCs w:val="20"/>
        </w:rPr>
        <w:t xml:space="preserve"> </w:t>
      </w:r>
      <w:r w:rsidR="00AE217D" w:rsidRPr="007E16D2">
        <w:rPr>
          <w:sz w:val="20"/>
          <w:szCs w:val="20"/>
        </w:rPr>
        <w:t>Agrega que</w:t>
      </w:r>
      <w:r w:rsidRPr="007E16D2">
        <w:rPr>
          <w:sz w:val="20"/>
          <w:szCs w:val="20"/>
        </w:rPr>
        <w:t xml:space="preserve"> </w:t>
      </w:r>
      <w:r w:rsidR="00AE217D" w:rsidRPr="007E16D2">
        <w:rPr>
          <w:sz w:val="20"/>
          <w:szCs w:val="20"/>
        </w:rPr>
        <w:t xml:space="preserve">la presunta víctima fue </w:t>
      </w:r>
      <w:r w:rsidRPr="007E16D2">
        <w:rPr>
          <w:sz w:val="20"/>
          <w:szCs w:val="20"/>
        </w:rPr>
        <w:t>aprehendid</w:t>
      </w:r>
      <w:r w:rsidR="00AE217D" w:rsidRPr="007E16D2">
        <w:rPr>
          <w:sz w:val="20"/>
          <w:szCs w:val="20"/>
        </w:rPr>
        <w:t>a</w:t>
      </w:r>
      <w:r w:rsidRPr="007E16D2">
        <w:rPr>
          <w:sz w:val="20"/>
          <w:szCs w:val="20"/>
        </w:rPr>
        <w:t xml:space="preserve"> </w:t>
      </w:r>
      <w:r w:rsidR="00AE217D" w:rsidRPr="007E16D2">
        <w:rPr>
          <w:sz w:val="20"/>
          <w:szCs w:val="20"/>
        </w:rPr>
        <w:t xml:space="preserve">el mismo día de la agresión </w:t>
      </w:r>
      <w:r w:rsidRPr="007E16D2">
        <w:rPr>
          <w:sz w:val="20"/>
          <w:szCs w:val="20"/>
        </w:rPr>
        <w:t xml:space="preserve">por tentativa de homicidio, </w:t>
      </w:r>
      <w:r w:rsidR="00AE217D" w:rsidRPr="007E16D2">
        <w:rPr>
          <w:sz w:val="20"/>
          <w:szCs w:val="20"/>
        </w:rPr>
        <w:t xml:space="preserve">y que </w:t>
      </w:r>
      <w:r w:rsidRPr="007E16D2">
        <w:rPr>
          <w:sz w:val="20"/>
          <w:szCs w:val="20"/>
        </w:rPr>
        <w:t xml:space="preserve">la imputación </w:t>
      </w:r>
      <w:r w:rsidR="00AE217D" w:rsidRPr="007E16D2">
        <w:rPr>
          <w:sz w:val="20"/>
          <w:szCs w:val="20"/>
        </w:rPr>
        <w:t>se agravó</w:t>
      </w:r>
      <w:r w:rsidRPr="007E16D2">
        <w:rPr>
          <w:sz w:val="20"/>
          <w:szCs w:val="20"/>
        </w:rPr>
        <w:t xml:space="preserve"> el 18 de mayo de 2001 </w:t>
      </w:r>
      <w:r w:rsidR="00AE217D" w:rsidRPr="007E16D2">
        <w:rPr>
          <w:sz w:val="20"/>
          <w:szCs w:val="20"/>
        </w:rPr>
        <w:t xml:space="preserve">por </w:t>
      </w:r>
      <w:r w:rsidRPr="007E16D2">
        <w:rPr>
          <w:sz w:val="20"/>
          <w:szCs w:val="20"/>
        </w:rPr>
        <w:t xml:space="preserve">el fallecimiento de la </w:t>
      </w:r>
      <w:r w:rsidR="00AE217D" w:rsidRPr="007E16D2">
        <w:rPr>
          <w:sz w:val="20"/>
          <w:szCs w:val="20"/>
        </w:rPr>
        <w:t>esposa</w:t>
      </w:r>
      <w:r w:rsidRPr="007E16D2">
        <w:rPr>
          <w:sz w:val="20"/>
          <w:szCs w:val="20"/>
        </w:rPr>
        <w:t xml:space="preserve">, con quien </w:t>
      </w:r>
      <w:r w:rsidR="00AE217D" w:rsidRPr="007E16D2">
        <w:rPr>
          <w:sz w:val="20"/>
          <w:szCs w:val="20"/>
        </w:rPr>
        <w:t xml:space="preserve">aquel </w:t>
      </w:r>
      <w:r w:rsidRPr="007E16D2">
        <w:rPr>
          <w:sz w:val="20"/>
          <w:szCs w:val="20"/>
        </w:rPr>
        <w:t>había contraído matrimonio diez meses antes</w:t>
      </w:r>
      <w:r w:rsidR="00AE217D" w:rsidRPr="007E16D2">
        <w:rPr>
          <w:sz w:val="20"/>
          <w:szCs w:val="20"/>
        </w:rPr>
        <w:t>.</w:t>
      </w:r>
      <w:r w:rsidRPr="007E16D2">
        <w:rPr>
          <w:sz w:val="20"/>
          <w:szCs w:val="20"/>
        </w:rPr>
        <w:t xml:space="preserve"> </w:t>
      </w:r>
      <w:r w:rsidR="00AE217D" w:rsidRPr="007E16D2">
        <w:rPr>
          <w:sz w:val="20"/>
          <w:szCs w:val="20"/>
        </w:rPr>
        <w:t>El</w:t>
      </w:r>
      <w:r w:rsidRPr="007E16D2">
        <w:rPr>
          <w:sz w:val="20"/>
          <w:szCs w:val="20"/>
        </w:rPr>
        <w:t xml:space="preserve"> 10 de junio de 2001, la titular del Juzgado de Garantías Nº 3 </w:t>
      </w:r>
      <w:r w:rsidR="00AE217D" w:rsidRPr="007E16D2">
        <w:rPr>
          <w:sz w:val="20"/>
          <w:szCs w:val="20"/>
        </w:rPr>
        <w:t>d</w:t>
      </w:r>
      <w:r w:rsidRPr="007E16D2">
        <w:rPr>
          <w:sz w:val="20"/>
          <w:szCs w:val="20"/>
        </w:rPr>
        <w:t xml:space="preserve">epartamental dictó la prisión preventiva </w:t>
      </w:r>
      <w:r w:rsidR="00AE217D" w:rsidRPr="007E16D2">
        <w:rPr>
          <w:sz w:val="20"/>
          <w:szCs w:val="20"/>
        </w:rPr>
        <w:t>de la presunta víctima</w:t>
      </w:r>
      <w:r w:rsidRPr="007E16D2">
        <w:rPr>
          <w:sz w:val="20"/>
          <w:szCs w:val="20"/>
        </w:rPr>
        <w:t xml:space="preserve"> como presunto autor de homicidio agravado por el vínculo</w:t>
      </w:r>
      <w:r w:rsidR="00AE217D" w:rsidRPr="007E16D2">
        <w:rPr>
          <w:vertAlign w:val="superscript"/>
        </w:rPr>
        <w:footnoteReference w:id="1"/>
      </w:r>
      <w:r w:rsidR="0052484F" w:rsidRPr="007E16D2">
        <w:t>.</w:t>
      </w:r>
      <w:r w:rsidRPr="007E16D2">
        <w:rPr>
          <w:sz w:val="20"/>
          <w:szCs w:val="20"/>
        </w:rPr>
        <w:t xml:space="preserve"> </w:t>
      </w:r>
      <w:r w:rsidR="0052484F" w:rsidRPr="007E16D2">
        <w:rPr>
          <w:sz w:val="20"/>
          <w:szCs w:val="20"/>
        </w:rPr>
        <w:t>Con la asistencia de</w:t>
      </w:r>
      <w:r w:rsidRPr="007E16D2">
        <w:rPr>
          <w:sz w:val="20"/>
          <w:szCs w:val="20"/>
        </w:rPr>
        <w:t xml:space="preserve"> un defensor oficial, </w:t>
      </w:r>
      <w:r w:rsidR="0052484F" w:rsidRPr="007E16D2">
        <w:rPr>
          <w:sz w:val="20"/>
          <w:szCs w:val="20"/>
        </w:rPr>
        <w:t xml:space="preserve">la presunta víctima </w:t>
      </w:r>
      <w:r w:rsidRPr="007E16D2">
        <w:rPr>
          <w:sz w:val="20"/>
          <w:szCs w:val="20"/>
        </w:rPr>
        <w:t xml:space="preserve">presentó un recurso de apelación contra la </w:t>
      </w:r>
      <w:r w:rsidR="0052484F" w:rsidRPr="007E16D2">
        <w:rPr>
          <w:sz w:val="20"/>
          <w:szCs w:val="20"/>
        </w:rPr>
        <w:t xml:space="preserve">referida </w:t>
      </w:r>
      <w:r w:rsidRPr="007E16D2">
        <w:rPr>
          <w:sz w:val="20"/>
          <w:szCs w:val="20"/>
        </w:rPr>
        <w:t>resolución</w:t>
      </w:r>
      <w:r w:rsidR="0052484F" w:rsidRPr="007E16D2">
        <w:rPr>
          <w:sz w:val="20"/>
          <w:szCs w:val="20"/>
        </w:rPr>
        <w:t>;</w:t>
      </w:r>
      <w:r w:rsidRPr="007E16D2">
        <w:rPr>
          <w:sz w:val="20"/>
          <w:szCs w:val="20"/>
        </w:rPr>
        <w:t xml:space="preserve"> </w:t>
      </w:r>
      <w:r w:rsidR="0052484F" w:rsidRPr="007E16D2">
        <w:rPr>
          <w:sz w:val="20"/>
          <w:szCs w:val="20"/>
        </w:rPr>
        <w:t xml:space="preserve">sin embargo, </w:t>
      </w:r>
      <w:r w:rsidRPr="007E16D2">
        <w:rPr>
          <w:sz w:val="20"/>
          <w:szCs w:val="20"/>
        </w:rPr>
        <w:t xml:space="preserve">la </w:t>
      </w:r>
      <w:r w:rsidR="006A3793" w:rsidRPr="007E16D2">
        <w:rPr>
          <w:sz w:val="20"/>
          <w:szCs w:val="20"/>
        </w:rPr>
        <w:t>Cámara Departamental de Lomas de Zamora</w:t>
      </w:r>
      <w:r w:rsidRPr="007E16D2">
        <w:rPr>
          <w:sz w:val="20"/>
          <w:szCs w:val="20"/>
        </w:rPr>
        <w:t xml:space="preserve"> confirmó el 11 de julio de 2001 </w:t>
      </w:r>
      <w:r w:rsidR="0052484F" w:rsidRPr="007E16D2">
        <w:rPr>
          <w:sz w:val="20"/>
          <w:szCs w:val="20"/>
        </w:rPr>
        <w:t>la prisión preventiva</w:t>
      </w:r>
      <w:r w:rsidRPr="007E16D2">
        <w:rPr>
          <w:sz w:val="20"/>
          <w:szCs w:val="20"/>
        </w:rPr>
        <w:t xml:space="preserve"> </w:t>
      </w:r>
      <w:r w:rsidR="0052484F" w:rsidRPr="007E16D2">
        <w:rPr>
          <w:sz w:val="20"/>
          <w:szCs w:val="20"/>
        </w:rPr>
        <w:t xml:space="preserve">con el </w:t>
      </w:r>
      <w:r w:rsidRPr="007E16D2">
        <w:rPr>
          <w:sz w:val="20"/>
          <w:szCs w:val="20"/>
        </w:rPr>
        <w:t>argumento que “el peligro de fuga que se infiere de la pena en expectativa prevista para el delito imputado hace indispensable mantener la privación de libertad”</w:t>
      </w:r>
      <w:r w:rsidR="0052484F" w:rsidRPr="007E16D2">
        <w:rPr>
          <w:sz w:val="20"/>
          <w:szCs w:val="20"/>
        </w:rPr>
        <w:t>.</w:t>
      </w:r>
    </w:p>
    <w:p w14:paraId="4E0DCB12" w14:textId="77777777" w:rsidR="0065070E" w:rsidRPr="007E16D2" w:rsidRDefault="0065070E" w:rsidP="0065070E">
      <w:pPr>
        <w:pStyle w:val="ListParagraph"/>
        <w:spacing w:before="0"/>
        <w:ind w:left="1440" w:right="40" w:firstLine="0"/>
        <w:rPr>
          <w:sz w:val="20"/>
          <w:szCs w:val="20"/>
        </w:rPr>
      </w:pPr>
    </w:p>
    <w:p w14:paraId="0645D8B1" w14:textId="45EE67A3" w:rsidR="00E86A6E" w:rsidRPr="007E16D2" w:rsidRDefault="0052484F" w:rsidP="007E16D2">
      <w:pPr>
        <w:pStyle w:val="ListParagraph"/>
        <w:numPr>
          <w:ilvl w:val="0"/>
          <w:numId w:val="2"/>
        </w:numPr>
        <w:spacing w:before="0"/>
        <w:ind w:left="720" w:right="40" w:firstLine="720"/>
        <w:rPr>
          <w:sz w:val="20"/>
          <w:szCs w:val="20"/>
        </w:rPr>
      </w:pPr>
      <w:r w:rsidRPr="007E16D2">
        <w:rPr>
          <w:sz w:val="20"/>
          <w:szCs w:val="20"/>
        </w:rPr>
        <w:t xml:space="preserve">Agrega el Estado que </w:t>
      </w:r>
      <w:r w:rsidR="00E86A6E" w:rsidRPr="007E16D2">
        <w:rPr>
          <w:sz w:val="20"/>
          <w:szCs w:val="20"/>
        </w:rPr>
        <w:t xml:space="preserve">el 11 de septiembre </w:t>
      </w:r>
      <w:r w:rsidRPr="007E16D2">
        <w:rPr>
          <w:sz w:val="20"/>
          <w:szCs w:val="20"/>
        </w:rPr>
        <w:t xml:space="preserve">de 2001 </w:t>
      </w:r>
      <w:r w:rsidR="00E86A6E" w:rsidRPr="007E16D2">
        <w:rPr>
          <w:sz w:val="20"/>
          <w:szCs w:val="20"/>
        </w:rPr>
        <w:t xml:space="preserve">se constituyó el </w:t>
      </w:r>
      <w:r w:rsidRPr="007E16D2">
        <w:rPr>
          <w:sz w:val="20"/>
          <w:szCs w:val="20"/>
        </w:rPr>
        <w:t>TOC3</w:t>
      </w:r>
      <w:r w:rsidR="00E86A6E" w:rsidRPr="007E16D2">
        <w:rPr>
          <w:sz w:val="20"/>
          <w:szCs w:val="20"/>
        </w:rPr>
        <w:t xml:space="preserve"> para la sustanciación </w:t>
      </w:r>
      <w:r w:rsidR="00E86A6E" w:rsidRPr="007E16D2">
        <w:rPr>
          <w:sz w:val="20"/>
          <w:szCs w:val="20"/>
        </w:rPr>
        <w:lastRenderedPageBreak/>
        <w:t xml:space="preserve">de la etapa oral y pública, a la que no se opuso la defensa; </w:t>
      </w:r>
      <w:r w:rsidRPr="007E16D2">
        <w:rPr>
          <w:sz w:val="20"/>
          <w:szCs w:val="20"/>
        </w:rPr>
        <w:t xml:space="preserve">y </w:t>
      </w:r>
      <w:r w:rsidR="006A3793" w:rsidRPr="007E16D2">
        <w:rPr>
          <w:sz w:val="20"/>
          <w:szCs w:val="20"/>
        </w:rPr>
        <w:t>que</w:t>
      </w:r>
      <w:r w:rsidR="00E86A6E" w:rsidRPr="007E16D2">
        <w:rPr>
          <w:sz w:val="20"/>
          <w:szCs w:val="20"/>
        </w:rPr>
        <w:t xml:space="preserve"> durante el juicio oral la defensa no controvirtió los </w:t>
      </w:r>
      <w:r w:rsidR="00685E3C" w:rsidRPr="007E16D2">
        <w:rPr>
          <w:sz w:val="20"/>
          <w:szCs w:val="20"/>
        </w:rPr>
        <w:t>hechos,</w:t>
      </w:r>
      <w:r w:rsidR="00E86A6E" w:rsidRPr="007E16D2">
        <w:rPr>
          <w:sz w:val="20"/>
          <w:szCs w:val="20"/>
        </w:rPr>
        <w:t xml:space="preserve"> sino que solicitó que se valorara el consumo problemático de sustancias psicoactivas que presentaba el imputado, así como su bajo nivel cultural y una alegada patología psicológica y psiquiátrica sobre la que no se aportó evidencia</w:t>
      </w:r>
      <w:r w:rsidRPr="007E16D2">
        <w:rPr>
          <w:sz w:val="20"/>
          <w:szCs w:val="20"/>
        </w:rPr>
        <w:t xml:space="preserve">. El </w:t>
      </w:r>
      <w:r w:rsidR="00E86A6E" w:rsidRPr="007E16D2">
        <w:rPr>
          <w:sz w:val="20"/>
          <w:szCs w:val="20"/>
        </w:rPr>
        <w:t xml:space="preserve">24 de agosto de 2004 el TOC3 declaró </w:t>
      </w:r>
      <w:r w:rsidRPr="007E16D2">
        <w:rPr>
          <w:sz w:val="20"/>
          <w:szCs w:val="20"/>
        </w:rPr>
        <w:t>a la presunta víctima</w:t>
      </w:r>
      <w:r w:rsidR="00E86A6E" w:rsidRPr="007E16D2">
        <w:rPr>
          <w:sz w:val="20"/>
          <w:szCs w:val="20"/>
        </w:rPr>
        <w:t xml:space="preserve"> penalmente responsable del delito</w:t>
      </w:r>
      <w:r w:rsidRPr="007E16D2">
        <w:rPr>
          <w:sz w:val="20"/>
          <w:szCs w:val="20"/>
        </w:rPr>
        <w:t xml:space="preserve"> por el que había sido acusado;</w:t>
      </w:r>
      <w:r w:rsidR="00E86A6E" w:rsidRPr="007E16D2">
        <w:rPr>
          <w:sz w:val="20"/>
          <w:szCs w:val="20"/>
        </w:rPr>
        <w:t xml:space="preserve"> </w:t>
      </w:r>
      <w:r w:rsidRPr="007E16D2">
        <w:rPr>
          <w:sz w:val="20"/>
          <w:szCs w:val="20"/>
        </w:rPr>
        <w:t xml:space="preserve">el 31 de agosto de 2004 una defensora oficial </w:t>
      </w:r>
      <w:r w:rsidR="00E86A6E" w:rsidRPr="007E16D2">
        <w:rPr>
          <w:sz w:val="20"/>
          <w:szCs w:val="20"/>
        </w:rPr>
        <w:t xml:space="preserve">interpuso un recurso de </w:t>
      </w:r>
      <w:r w:rsidRPr="007E16D2">
        <w:rPr>
          <w:sz w:val="20"/>
          <w:szCs w:val="20"/>
        </w:rPr>
        <w:t>c</w:t>
      </w:r>
      <w:r w:rsidR="00E86A6E" w:rsidRPr="007E16D2">
        <w:rPr>
          <w:sz w:val="20"/>
          <w:szCs w:val="20"/>
        </w:rPr>
        <w:t>asación</w:t>
      </w:r>
      <w:r w:rsidRPr="007E16D2">
        <w:rPr>
          <w:sz w:val="20"/>
          <w:szCs w:val="20"/>
        </w:rPr>
        <w:t>.</w:t>
      </w:r>
      <w:r w:rsidR="00E86A6E" w:rsidRPr="007E16D2">
        <w:rPr>
          <w:sz w:val="20"/>
          <w:szCs w:val="20"/>
        </w:rPr>
        <w:t xml:space="preserve"> </w:t>
      </w:r>
      <w:r w:rsidRPr="007E16D2">
        <w:rPr>
          <w:sz w:val="20"/>
          <w:szCs w:val="20"/>
        </w:rPr>
        <w:t>La presunta víctima</w:t>
      </w:r>
      <w:r w:rsidR="00E86A6E" w:rsidRPr="007E16D2">
        <w:rPr>
          <w:sz w:val="20"/>
          <w:szCs w:val="20"/>
        </w:rPr>
        <w:t xml:space="preserve"> solicitó su excarcelación al TOC3, que la denegó con fecha 29 de abril de 2008</w:t>
      </w:r>
      <w:r w:rsidRPr="007E16D2">
        <w:rPr>
          <w:sz w:val="20"/>
          <w:szCs w:val="20"/>
        </w:rPr>
        <w:t>;</w:t>
      </w:r>
      <w:r w:rsidR="00E86A6E" w:rsidRPr="007E16D2">
        <w:rPr>
          <w:sz w:val="20"/>
          <w:szCs w:val="20"/>
        </w:rPr>
        <w:t xml:space="preserve"> </w:t>
      </w:r>
      <w:r w:rsidRPr="007E16D2">
        <w:rPr>
          <w:sz w:val="20"/>
          <w:szCs w:val="20"/>
        </w:rPr>
        <w:t>la</w:t>
      </w:r>
      <w:r w:rsidR="00E86A6E" w:rsidRPr="007E16D2">
        <w:rPr>
          <w:sz w:val="20"/>
          <w:szCs w:val="20"/>
        </w:rPr>
        <w:t xml:space="preserve"> resolución fue apelada ante la Sala I de la Cámara Departamental, que </w:t>
      </w:r>
      <w:r w:rsidRPr="007E16D2">
        <w:rPr>
          <w:sz w:val="20"/>
          <w:szCs w:val="20"/>
        </w:rPr>
        <w:t xml:space="preserve">confirmó </w:t>
      </w:r>
      <w:r w:rsidR="00E86A6E" w:rsidRPr="007E16D2">
        <w:rPr>
          <w:sz w:val="20"/>
          <w:szCs w:val="20"/>
        </w:rPr>
        <w:t>el 17 de junio del mismo año la decisión adoptada</w:t>
      </w:r>
      <w:r w:rsidR="003829C5" w:rsidRPr="007E16D2">
        <w:rPr>
          <w:sz w:val="20"/>
          <w:szCs w:val="20"/>
        </w:rPr>
        <w:t>. El</w:t>
      </w:r>
      <w:r w:rsidR="00E86A6E" w:rsidRPr="007E16D2">
        <w:rPr>
          <w:sz w:val="20"/>
          <w:szCs w:val="20"/>
        </w:rPr>
        <w:t xml:space="preserve"> 9 de diciembre de 2008, el Tribunal de Casación Penal </w:t>
      </w:r>
      <w:r w:rsidR="00685E3C" w:rsidRPr="007E16D2">
        <w:rPr>
          <w:sz w:val="20"/>
          <w:szCs w:val="20"/>
        </w:rPr>
        <w:t>de la Provincia de Buenos Aires (</w:t>
      </w:r>
      <w:r w:rsidR="00E86A6E" w:rsidRPr="007E16D2">
        <w:rPr>
          <w:sz w:val="20"/>
          <w:szCs w:val="20"/>
        </w:rPr>
        <w:t xml:space="preserve">en adelante “Tribunal de Casación”) rechazó por improcedente el recurso de </w:t>
      </w:r>
      <w:r w:rsidR="003829C5" w:rsidRPr="007E16D2">
        <w:rPr>
          <w:sz w:val="20"/>
          <w:szCs w:val="20"/>
        </w:rPr>
        <w:t>c</w:t>
      </w:r>
      <w:r w:rsidR="00E86A6E" w:rsidRPr="007E16D2">
        <w:rPr>
          <w:sz w:val="20"/>
          <w:szCs w:val="20"/>
        </w:rPr>
        <w:t xml:space="preserve">asación contra la sentencia condenatoria del TOC 3; dicha resolución fue impugnada por </w:t>
      </w:r>
      <w:r w:rsidR="003829C5" w:rsidRPr="007E16D2">
        <w:rPr>
          <w:sz w:val="20"/>
          <w:szCs w:val="20"/>
        </w:rPr>
        <w:t>la defensa d</w:t>
      </w:r>
      <w:r w:rsidR="00E86A6E" w:rsidRPr="007E16D2">
        <w:rPr>
          <w:sz w:val="20"/>
          <w:szCs w:val="20"/>
        </w:rPr>
        <w:t>e</w:t>
      </w:r>
      <w:r w:rsidR="003829C5" w:rsidRPr="007E16D2">
        <w:rPr>
          <w:sz w:val="20"/>
          <w:szCs w:val="20"/>
        </w:rPr>
        <w:t xml:space="preserve"> </w:t>
      </w:r>
      <w:r w:rsidR="00E86A6E" w:rsidRPr="007E16D2">
        <w:rPr>
          <w:sz w:val="20"/>
          <w:szCs w:val="20"/>
        </w:rPr>
        <w:t>l</w:t>
      </w:r>
      <w:r w:rsidR="003829C5" w:rsidRPr="007E16D2">
        <w:rPr>
          <w:sz w:val="20"/>
          <w:szCs w:val="20"/>
        </w:rPr>
        <w:t>a</w:t>
      </w:r>
      <w:r w:rsidR="00E86A6E" w:rsidRPr="007E16D2">
        <w:rPr>
          <w:sz w:val="20"/>
          <w:szCs w:val="20"/>
        </w:rPr>
        <w:t xml:space="preserve"> </w:t>
      </w:r>
      <w:r w:rsidR="003829C5" w:rsidRPr="007E16D2">
        <w:rPr>
          <w:sz w:val="20"/>
          <w:szCs w:val="20"/>
        </w:rPr>
        <w:t>presunta víctima mediante</w:t>
      </w:r>
      <w:r w:rsidR="00E86A6E" w:rsidRPr="007E16D2">
        <w:rPr>
          <w:sz w:val="20"/>
          <w:szCs w:val="20"/>
        </w:rPr>
        <w:t xml:space="preserve"> un recurso extraordinario de inaplicabilidad de la ley ante la Suprema Corte</w:t>
      </w:r>
      <w:r w:rsidR="00B250EB" w:rsidRPr="007E16D2">
        <w:rPr>
          <w:sz w:val="20"/>
          <w:szCs w:val="20"/>
        </w:rPr>
        <w:t xml:space="preserve"> prov</w:t>
      </w:r>
      <w:r w:rsidR="00F65C07" w:rsidRPr="007E16D2">
        <w:rPr>
          <w:sz w:val="20"/>
          <w:szCs w:val="20"/>
        </w:rPr>
        <w:t>i</w:t>
      </w:r>
      <w:r w:rsidR="00B250EB" w:rsidRPr="007E16D2">
        <w:rPr>
          <w:sz w:val="20"/>
          <w:szCs w:val="20"/>
        </w:rPr>
        <w:t>ncial</w:t>
      </w:r>
      <w:r w:rsidR="003829C5" w:rsidRPr="007E16D2">
        <w:rPr>
          <w:sz w:val="20"/>
          <w:szCs w:val="20"/>
        </w:rPr>
        <w:t>.</w:t>
      </w:r>
      <w:r w:rsidR="00E86A6E" w:rsidRPr="007E16D2">
        <w:rPr>
          <w:sz w:val="20"/>
          <w:szCs w:val="20"/>
        </w:rPr>
        <w:t xml:space="preserve"> </w:t>
      </w:r>
      <w:r w:rsidR="003829C5" w:rsidRPr="007E16D2">
        <w:rPr>
          <w:sz w:val="20"/>
          <w:szCs w:val="20"/>
        </w:rPr>
        <w:t>A</w:t>
      </w:r>
      <w:r w:rsidR="00E86A6E" w:rsidRPr="007E16D2">
        <w:rPr>
          <w:sz w:val="20"/>
          <w:szCs w:val="20"/>
        </w:rPr>
        <w:t xml:space="preserve">dicionalmente, </w:t>
      </w:r>
      <w:r w:rsidR="003829C5" w:rsidRPr="007E16D2">
        <w:rPr>
          <w:sz w:val="20"/>
          <w:szCs w:val="20"/>
        </w:rPr>
        <w:t>la defensa de la presunta víctima</w:t>
      </w:r>
      <w:r w:rsidR="00E86A6E" w:rsidRPr="007E16D2">
        <w:rPr>
          <w:sz w:val="20"/>
          <w:szCs w:val="20"/>
        </w:rPr>
        <w:t xml:space="preserve"> presentó una acción de hábeas corpus el 11 de febrero de 2009, </w:t>
      </w:r>
      <w:r w:rsidR="003829C5" w:rsidRPr="007E16D2">
        <w:rPr>
          <w:sz w:val="20"/>
          <w:szCs w:val="20"/>
        </w:rPr>
        <w:t xml:space="preserve">en la que </w:t>
      </w:r>
      <w:r w:rsidR="00E86A6E" w:rsidRPr="007E16D2">
        <w:rPr>
          <w:sz w:val="20"/>
          <w:szCs w:val="20"/>
        </w:rPr>
        <w:t>manifest</w:t>
      </w:r>
      <w:r w:rsidR="003829C5" w:rsidRPr="007E16D2">
        <w:rPr>
          <w:sz w:val="20"/>
          <w:szCs w:val="20"/>
        </w:rPr>
        <w:t>ó</w:t>
      </w:r>
      <w:r w:rsidR="00E86A6E" w:rsidRPr="007E16D2">
        <w:rPr>
          <w:sz w:val="20"/>
          <w:szCs w:val="20"/>
        </w:rPr>
        <w:t xml:space="preserve"> que se habían agotado los plazos razonables </w:t>
      </w:r>
      <w:r w:rsidR="003829C5" w:rsidRPr="007E16D2">
        <w:rPr>
          <w:sz w:val="20"/>
          <w:szCs w:val="20"/>
        </w:rPr>
        <w:t xml:space="preserve">de la </w:t>
      </w:r>
      <w:r w:rsidR="00E86A6E" w:rsidRPr="007E16D2">
        <w:rPr>
          <w:sz w:val="20"/>
          <w:szCs w:val="20"/>
        </w:rPr>
        <w:t>prisión preventiva y solicit</w:t>
      </w:r>
      <w:r w:rsidR="003829C5" w:rsidRPr="007E16D2">
        <w:rPr>
          <w:sz w:val="20"/>
          <w:szCs w:val="20"/>
        </w:rPr>
        <w:t>ó</w:t>
      </w:r>
      <w:r w:rsidR="00E86A6E" w:rsidRPr="007E16D2">
        <w:rPr>
          <w:sz w:val="20"/>
          <w:szCs w:val="20"/>
        </w:rPr>
        <w:t xml:space="preserve"> </w:t>
      </w:r>
      <w:r w:rsidR="003829C5" w:rsidRPr="007E16D2">
        <w:rPr>
          <w:sz w:val="20"/>
          <w:szCs w:val="20"/>
        </w:rPr>
        <w:t>la</w:t>
      </w:r>
      <w:r w:rsidR="00E86A6E" w:rsidRPr="007E16D2">
        <w:rPr>
          <w:sz w:val="20"/>
          <w:szCs w:val="20"/>
        </w:rPr>
        <w:t xml:space="preserve"> inmediata libertad</w:t>
      </w:r>
      <w:r w:rsidR="003829C5" w:rsidRPr="007E16D2">
        <w:rPr>
          <w:sz w:val="20"/>
          <w:szCs w:val="20"/>
        </w:rPr>
        <w:t xml:space="preserve"> de aquel. El</w:t>
      </w:r>
      <w:r w:rsidR="00E86A6E" w:rsidRPr="007E16D2">
        <w:rPr>
          <w:sz w:val="20"/>
          <w:szCs w:val="20"/>
        </w:rPr>
        <w:t xml:space="preserve"> 12 de febrero </w:t>
      </w:r>
      <w:r w:rsidR="003829C5" w:rsidRPr="007E16D2">
        <w:rPr>
          <w:sz w:val="20"/>
          <w:szCs w:val="20"/>
        </w:rPr>
        <w:t xml:space="preserve">siguiente </w:t>
      </w:r>
      <w:r w:rsidR="00E86A6E" w:rsidRPr="007E16D2">
        <w:rPr>
          <w:sz w:val="20"/>
          <w:szCs w:val="20"/>
        </w:rPr>
        <w:t>la citada acción fue declarada inadmisible porque había sido presentada incorrectamente ante el Tribunal de Casación.</w:t>
      </w:r>
    </w:p>
    <w:p w14:paraId="612F4991" w14:textId="77777777" w:rsidR="00E86A6E" w:rsidRPr="007E16D2" w:rsidRDefault="00E86A6E" w:rsidP="007E16D2">
      <w:pPr>
        <w:pStyle w:val="ListParagraph"/>
        <w:spacing w:before="0"/>
        <w:ind w:left="1440" w:right="40" w:firstLine="0"/>
        <w:rPr>
          <w:sz w:val="20"/>
          <w:szCs w:val="20"/>
        </w:rPr>
      </w:pPr>
    </w:p>
    <w:p w14:paraId="473991D5" w14:textId="11B1F937" w:rsidR="00F75FF5" w:rsidRPr="007E16D2" w:rsidRDefault="00E86A6E" w:rsidP="007E16D2">
      <w:pPr>
        <w:pStyle w:val="ListParagraph"/>
        <w:numPr>
          <w:ilvl w:val="0"/>
          <w:numId w:val="2"/>
        </w:numPr>
        <w:spacing w:before="0"/>
        <w:ind w:left="720" w:right="40" w:firstLine="720"/>
        <w:rPr>
          <w:sz w:val="20"/>
          <w:szCs w:val="20"/>
        </w:rPr>
      </w:pPr>
      <w:r w:rsidRPr="007E16D2">
        <w:rPr>
          <w:sz w:val="20"/>
          <w:szCs w:val="20"/>
        </w:rPr>
        <w:t xml:space="preserve">Adicionalmente, </w:t>
      </w:r>
      <w:r w:rsidR="00685E3C" w:rsidRPr="007E16D2">
        <w:rPr>
          <w:sz w:val="20"/>
          <w:szCs w:val="20"/>
        </w:rPr>
        <w:t xml:space="preserve">el </w:t>
      </w:r>
      <w:r w:rsidRPr="007E16D2">
        <w:rPr>
          <w:sz w:val="20"/>
          <w:szCs w:val="20"/>
        </w:rPr>
        <w:t>Estado</w:t>
      </w:r>
      <w:r w:rsidR="00685E3C" w:rsidRPr="007E16D2">
        <w:rPr>
          <w:sz w:val="20"/>
          <w:szCs w:val="20"/>
        </w:rPr>
        <w:t xml:space="preserve"> relata que</w:t>
      </w:r>
      <w:r w:rsidRPr="007E16D2">
        <w:rPr>
          <w:sz w:val="20"/>
          <w:szCs w:val="20"/>
        </w:rPr>
        <w:t xml:space="preserve"> la </w:t>
      </w:r>
      <w:r w:rsidR="00685E3C" w:rsidRPr="007E16D2">
        <w:rPr>
          <w:sz w:val="20"/>
          <w:szCs w:val="20"/>
        </w:rPr>
        <w:t xml:space="preserve">Defensoría </w:t>
      </w:r>
      <w:r w:rsidRPr="007E16D2">
        <w:rPr>
          <w:sz w:val="20"/>
          <w:szCs w:val="20"/>
        </w:rPr>
        <w:t xml:space="preserve">Oficial interpuso un recurso extraordinario de inaplicabilidad de ley mediante el cual impugnó la decisión de </w:t>
      </w:r>
      <w:r w:rsidR="00685E3C" w:rsidRPr="007E16D2">
        <w:rPr>
          <w:sz w:val="20"/>
          <w:szCs w:val="20"/>
        </w:rPr>
        <w:t>c</w:t>
      </w:r>
      <w:r w:rsidRPr="007E16D2">
        <w:rPr>
          <w:sz w:val="20"/>
          <w:szCs w:val="20"/>
        </w:rPr>
        <w:t>asación de rechazar la acción de hábeas corpus</w:t>
      </w:r>
      <w:r w:rsidR="00685E3C" w:rsidRPr="007E16D2">
        <w:rPr>
          <w:sz w:val="20"/>
          <w:szCs w:val="20"/>
        </w:rPr>
        <w:t>.</w:t>
      </w:r>
      <w:r w:rsidRPr="007E16D2">
        <w:rPr>
          <w:sz w:val="20"/>
          <w:szCs w:val="20"/>
        </w:rPr>
        <w:t xml:space="preserve"> </w:t>
      </w:r>
      <w:r w:rsidR="00685E3C" w:rsidRPr="007E16D2">
        <w:rPr>
          <w:sz w:val="20"/>
          <w:szCs w:val="20"/>
        </w:rPr>
        <w:t>D</w:t>
      </w:r>
      <w:r w:rsidRPr="007E16D2">
        <w:rPr>
          <w:sz w:val="20"/>
          <w:szCs w:val="20"/>
        </w:rPr>
        <w:t xml:space="preserve">icho recurso fue desestimado el 2 de diciembre de 2009 por la </w:t>
      </w:r>
      <w:r w:rsidR="00F65C07" w:rsidRPr="007E16D2">
        <w:rPr>
          <w:sz w:val="20"/>
          <w:szCs w:val="20"/>
        </w:rPr>
        <w:t>Suprema Corte provincial</w:t>
      </w:r>
      <w:r w:rsidRPr="007E16D2">
        <w:rPr>
          <w:sz w:val="20"/>
          <w:szCs w:val="20"/>
        </w:rPr>
        <w:t xml:space="preserve">, </w:t>
      </w:r>
      <w:r w:rsidR="00685E3C" w:rsidRPr="007E16D2">
        <w:rPr>
          <w:sz w:val="20"/>
          <w:szCs w:val="20"/>
        </w:rPr>
        <w:t xml:space="preserve">debido a </w:t>
      </w:r>
      <w:r w:rsidRPr="007E16D2">
        <w:rPr>
          <w:sz w:val="20"/>
          <w:szCs w:val="20"/>
        </w:rPr>
        <w:t xml:space="preserve">que no </w:t>
      </w:r>
      <w:r w:rsidR="00685E3C" w:rsidRPr="007E16D2">
        <w:rPr>
          <w:sz w:val="20"/>
          <w:szCs w:val="20"/>
        </w:rPr>
        <w:t xml:space="preserve">se dirigió </w:t>
      </w:r>
      <w:r w:rsidRPr="007E16D2">
        <w:rPr>
          <w:sz w:val="20"/>
          <w:szCs w:val="20"/>
        </w:rPr>
        <w:t xml:space="preserve">contra una sentencia definitiva o que provocara un agravio de dificultosa reparación ulterior. </w:t>
      </w:r>
    </w:p>
    <w:p w14:paraId="22DE6B0D" w14:textId="77777777" w:rsidR="00F75FF5" w:rsidRPr="007E16D2" w:rsidRDefault="00F75FF5" w:rsidP="007E16D2">
      <w:pPr>
        <w:pStyle w:val="ListParagraph"/>
        <w:spacing w:before="0"/>
        <w:ind w:left="1440" w:right="40" w:firstLine="0"/>
        <w:rPr>
          <w:sz w:val="20"/>
          <w:szCs w:val="20"/>
        </w:rPr>
      </w:pPr>
    </w:p>
    <w:p w14:paraId="0A4BE82F" w14:textId="7F6242CD" w:rsidR="00F75FF5" w:rsidRPr="007E16D2" w:rsidRDefault="00685E3C" w:rsidP="007E16D2">
      <w:pPr>
        <w:pStyle w:val="ListParagraph"/>
        <w:numPr>
          <w:ilvl w:val="0"/>
          <w:numId w:val="2"/>
        </w:numPr>
        <w:spacing w:before="0"/>
        <w:ind w:left="720" w:right="40" w:firstLine="720"/>
        <w:rPr>
          <w:sz w:val="20"/>
          <w:szCs w:val="20"/>
        </w:rPr>
      </w:pPr>
      <w:r w:rsidRPr="007E16D2">
        <w:rPr>
          <w:sz w:val="20"/>
          <w:szCs w:val="20"/>
        </w:rPr>
        <w:t>La</w:t>
      </w:r>
      <w:r w:rsidR="00E86A6E" w:rsidRPr="007E16D2">
        <w:rPr>
          <w:sz w:val="20"/>
          <w:szCs w:val="20"/>
        </w:rPr>
        <w:t xml:space="preserve"> </w:t>
      </w:r>
      <w:r w:rsidRPr="007E16D2">
        <w:rPr>
          <w:sz w:val="20"/>
          <w:szCs w:val="20"/>
        </w:rPr>
        <w:t>d</w:t>
      </w:r>
      <w:r w:rsidR="00E86A6E" w:rsidRPr="007E16D2">
        <w:rPr>
          <w:sz w:val="20"/>
          <w:szCs w:val="20"/>
        </w:rPr>
        <w:t xml:space="preserve">efensa </w:t>
      </w:r>
      <w:r w:rsidRPr="007E16D2">
        <w:rPr>
          <w:sz w:val="20"/>
          <w:szCs w:val="20"/>
        </w:rPr>
        <w:t xml:space="preserve">de la presunta víctima </w:t>
      </w:r>
      <w:r w:rsidR="00E86A6E" w:rsidRPr="007E16D2">
        <w:rPr>
          <w:sz w:val="20"/>
          <w:szCs w:val="20"/>
        </w:rPr>
        <w:t xml:space="preserve">dedujo un recurso extraordinario federal relativo </w:t>
      </w:r>
      <w:r w:rsidRPr="007E16D2">
        <w:rPr>
          <w:sz w:val="20"/>
          <w:szCs w:val="20"/>
        </w:rPr>
        <w:t>por e</w:t>
      </w:r>
      <w:r w:rsidR="00E86A6E" w:rsidRPr="007E16D2">
        <w:rPr>
          <w:sz w:val="20"/>
          <w:szCs w:val="20"/>
        </w:rPr>
        <w:t xml:space="preserve">l rechazo de la acción de hábeas corpus, </w:t>
      </w:r>
      <w:r w:rsidRPr="007E16D2">
        <w:rPr>
          <w:sz w:val="20"/>
          <w:szCs w:val="20"/>
        </w:rPr>
        <w:t xml:space="preserve">que </w:t>
      </w:r>
      <w:r w:rsidR="00E86A6E" w:rsidRPr="007E16D2">
        <w:rPr>
          <w:sz w:val="20"/>
          <w:szCs w:val="20"/>
        </w:rPr>
        <w:t xml:space="preserve">fue denegado por la </w:t>
      </w:r>
      <w:r w:rsidR="00F65C07" w:rsidRPr="007E16D2">
        <w:rPr>
          <w:sz w:val="20"/>
          <w:szCs w:val="20"/>
        </w:rPr>
        <w:t>Suprema Corte provincial</w:t>
      </w:r>
      <w:r w:rsidR="00E86A6E" w:rsidRPr="007E16D2">
        <w:rPr>
          <w:sz w:val="20"/>
          <w:szCs w:val="20"/>
        </w:rPr>
        <w:t xml:space="preserve"> por no cumplir los requisitos de admisibilidad formal;</w:t>
      </w:r>
      <w:r w:rsidR="00B610FB" w:rsidRPr="007E16D2">
        <w:rPr>
          <w:sz w:val="20"/>
          <w:szCs w:val="20"/>
        </w:rPr>
        <w:t xml:space="preserve"> el 27 de julio de 2011, la Sala de Feria del Tribunal de Casación </w:t>
      </w:r>
      <w:r w:rsidRPr="007E16D2">
        <w:rPr>
          <w:sz w:val="20"/>
          <w:szCs w:val="20"/>
        </w:rPr>
        <w:t xml:space="preserve">rechazó </w:t>
      </w:r>
      <w:r w:rsidR="00B610FB" w:rsidRPr="007E16D2">
        <w:rPr>
          <w:sz w:val="20"/>
          <w:szCs w:val="20"/>
        </w:rPr>
        <w:t xml:space="preserve">una nueva acción de hábeas corpus presentada por </w:t>
      </w:r>
      <w:r w:rsidRPr="007E16D2">
        <w:rPr>
          <w:sz w:val="20"/>
          <w:szCs w:val="20"/>
        </w:rPr>
        <w:t>la presunta víctima</w:t>
      </w:r>
      <w:r w:rsidR="00B610FB" w:rsidRPr="007E16D2">
        <w:rPr>
          <w:sz w:val="20"/>
          <w:szCs w:val="20"/>
        </w:rPr>
        <w:t xml:space="preserve"> por haber sido interpuesta en forma directa, pero remiti</w:t>
      </w:r>
      <w:r w:rsidRPr="007E16D2">
        <w:rPr>
          <w:sz w:val="20"/>
          <w:szCs w:val="20"/>
        </w:rPr>
        <w:t xml:space="preserve">ó las actuaciones </w:t>
      </w:r>
      <w:r w:rsidR="00B610FB" w:rsidRPr="007E16D2">
        <w:rPr>
          <w:sz w:val="20"/>
          <w:szCs w:val="20"/>
        </w:rPr>
        <w:t xml:space="preserve">a la Cámara </w:t>
      </w:r>
      <w:r w:rsidRPr="007E16D2">
        <w:rPr>
          <w:sz w:val="20"/>
          <w:szCs w:val="20"/>
        </w:rPr>
        <w:t>Departamental.</w:t>
      </w:r>
      <w:r w:rsidR="00B610FB" w:rsidRPr="007E16D2">
        <w:rPr>
          <w:sz w:val="20"/>
          <w:szCs w:val="20"/>
        </w:rPr>
        <w:t xml:space="preserve"> </w:t>
      </w:r>
      <w:r w:rsidRPr="007E16D2">
        <w:rPr>
          <w:sz w:val="20"/>
          <w:szCs w:val="20"/>
        </w:rPr>
        <w:t>E</w:t>
      </w:r>
      <w:r w:rsidR="00B610FB" w:rsidRPr="007E16D2">
        <w:rPr>
          <w:sz w:val="20"/>
          <w:szCs w:val="20"/>
        </w:rPr>
        <w:t xml:space="preserve">l 27 de enero de 2012 el Tribunal de Casación declaró inadmisible la acción de hábeas corpus, </w:t>
      </w:r>
      <w:r w:rsidRPr="007E16D2">
        <w:rPr>
          <w:sz w:val="20"/>
          <w:szCs w:val="20"/>
        </w:rPr>
        <w:t xml:space="preserve">por </w:t>
      </w:r>
      <w:r w:rsidR="00B610FB" w:rsidRPr="007E16D2">
        <w:rPr>
          <w:sz w:val="20"/>
          <w:szCs w:val="20"/>
        </w:rPr>
        <w:t>no advert</w:t>
      </w:r>
      <w:r w:rsidRPr="007E16D2">
        <w:rPr>
          <w:sz w:val="20"/>
          <w:szCs w:val="20"/>
        </w:rPr>
        <w:t>ir</w:t>
      </w:r>
      <w:r w:rsidR="00B610FB" w:rsidRPr="007E16D2">
        <w:rPr>
          <w:sz w:val="20"/>
          <w:szCs w:val="20"/>
        </w:rPr>
        <w:t xml:space="preserve"> situaciones de excepción o gravedad institucional que autorizaran su intervención originaria</w:t>
      </w:r>
      <w:r w:rsidRPr="007E16D2">
        <w:rPr>
          <w:sz w:val="20"/>
          <w:szCs w:val="20"/>
        </w:rPr>
        <w:t>.</w:t>
      </w:r>
      <w:r w:rsidR="00B610FB" w:rsidRPr="007E16D2">
        <w:rPr>
          <w:sz w:val="20"/>
          <w:szCs w:val="20"/>
        </w:rPr>
        <w:t xml:space="preserve"> </w:t>
      </w:r>
      <w:r w:rsidRPr="007E16D2">
        <w:rPr>
          <w:sz w:val="20"/>
          <w:szCs w:val="20"/>
        </w:rPr>
        <w:t>El</w:t>
      </w:r>
      <w:r w:rsidR="00B610FB" w:rsidRPr="007E16D2">
        <w:rPr>
          <w:sz w:val="20"/>
          <w:szCs w:val="20"/>
        </w:rPr>
        <w:t xml:space="preserve"> 26 de septiembre de 2012 la Cámara Departamental revocó la resolución mediante la cual el TOC3 había denegado la libertad</w:t>
      </w:r>
      <w:r w:rsidRPr="007E16D2">
        <w:rPr>
          <w:sz w:val="20"/>
          <w:szCs w:val="20"/>
        </w:rPr>
        <w:t xml:space="preserve"> de la presunta víctima</w:t>
      </w:r>
      <w:r w:rsidR="00B610FB" w:rsidRPr="007E16D2">
        <w:rPr>
          <w:sz w:val="20"/>
          <w:szCs w:val="20"/>
        </w:rPr>
        <w:t>, y</w:t>
      </w:r>
      <w:r w:rsidRPr="007E16D2">
        <w:rPr>
          <w:sz w:val="20"/>
          <w:szCs w:val="20"/>
        </w:rPr>
        <w:t xml:space="preserve"> le</w:t>
      </w:r>
      <w:r w:rsidR="00B610FB" w:rsidRPr="007E16D2">
        <w:rPr>
          <w:sz w:val="20"/>
          <w:szCs w:val="20"/>
        </w:rPr>
        <w:t xml:space="preserve"> concedió la excarcelación</w:t>
      </w:r>
      <w:r w:rsidR="002126CD" w:rsidRPr="007E16D2">
        <w:rPr>
          <w:sz w:val="20"/>
          <w:szCs w:val="20"/>
        </w:rPr>
        <w:t xml:space="preserve"> </w:t>
      </w:r>
      <w:r w:rsidR="00B610FB" w:rsidRPr="007E16D2">
        <w:rPr>
          <w:sz w:val="20"/>
          <w:szCs w:val="20"/>
        </w:rPr>
        <w:t xml:space="preserve">bajo caución juratoria y sujeta a </w:t>
      </w:r>
      <w:r w:rsidR="00E8510C" w:rsidRPr="007E16D2">
        <w:rPr>
          <w:sz w:val="20"/>
          <w:szCs w:val="20"/>
        </w:rPr>
        <w:t>varias</w:t>
      </w:r>
      <w:r w:rsidR="00B610FB" w:rsidRPr="007E16D2">
        <w:rPr>
          <w:sz w:val="20"/>
          <w:szCs w:val="20"/>
        </w:rPr>
        <w:t xml:space="preserve"> condiciones</w:t>
      </w:r>
      <w:r w:rsidR="00E8510C" w:rsidRPr="007E16D2">
        <w:rPr>
          <w:vertAlign w:val="superscript"/>
        </w:rPr>
        <w:footnoteReference w:id="2"/>
      </w:r>
      <w:r w:rsidR="00E8510C" w:rsidRPr="007E16D2">
        <w:rPr>
          <w:sz w:val="20"/>
          <w:szCs w:val="20"/>
        </w:rPr>
        <w:t>.</w:t>
      </w:r>
      <w:r w:rsidR="00F75FF5" w:rsidRPr="007E16D2">
        <w:rPr>
          <w:sz w:val="20"/>
          <w:szCs w:val="20"/>
        </w:rPr>
        <w:t xml:space="preserve"> </w:t>
      </w:r>
      <w:r w:rsidR="00E8510C" w:rsidRPr="007E16D2">
        <w:rPr>
          <w:sz w:val="20"/>
          <w:szCs w:val="20"/>
        </w:rPr>
        <w:t xml:space="preserve">Por su parte, </w:t>
      </w:r>
      <w:r w:rsidR="00F75FF5" w:rsidRPr="007E16D2">
        <w:rPr>
          <w:sz w:val="20"/>
          <w:szCs w:val="20"/>
        </w:rPr>
        <w:t xml:space="preserve">la Suprema Corte provincial rechazó </w:t>
      </w:r>
      <w:r w:rsidR="00E8510C" w:rsidRPr="007E16D2">
        <w:rPr>
          <w:sz w:val="20"/>
          <w:szCs w:val="20"/>
        </w:rPr>
        <w:t xml:space="preserve">el 26 de marzo de 2014 </w:t>
      </w:r>
      <w:r w:rsidR="00F75FF5" w:rsidRPr="007E16D2">
        <w:rPr>
          <w:sz w:val="20"/>
          <w:szCs w:val="20"/>
        </w:rPr>
        <w:t>el recurso de inaplicabilidad de ley interpuesto por la defensa contra la sentencia condenatoria.</w:t>
      </w:r>
    </w:p>
    <w:p w14:paraId="3C8FAB3F" w14:textId="77777777" w:rsidR="00F75FF5" w:rsidRPr="007E16D2" w:rsidRDefault="00F75FF5" w:rsidP="007E16D2">
      <w:pPr>
        <w:pStyle w:val="ListParagraph"/>
        <w:spacing w:before="0"/>
        <w:ind w:left="1440" w:right="40" w:firstLine="0"/>
        <w:rPr>
          <w:sz w:val="20"/>
          <w:szCs w:val="20"/>
        </w:rPr>
      </w:pPr>
    </w:p>
    <w:p w14:paraId="62F5ECF0" w14:textId="6811498C" w:rsidR="00E86A6E" w:rsidRDefault="00F75FF5" w:rsidP="007E16D2">
      <w:pPr>
        <w:pStyle w:val="ListParagraph"/>
        <w:numPr>
          <w:ilvl w:val="0"/>
          <w:numId w:val="2"/>
        </w:numPr>
        <w:spacing w:before="0"/>
        <w:ind w:left="720" w:right="40" w:firstLine="720"/>
        <w:rPr>
          <w:sz w:val="20"/>
          <w:szCs w:val="20"/>
        </w:rPr>
      </w:pPr>
      <w:r w:rsidRPr="007E16D2">
        <w:rPr>
          <w:sz w:val="20"/>
          <w:szCs w:val="20"/>
        </w:rPr>
        <w:t>El Estado inform</w:t>
      </w:r>
      <w:r w:rsidR="00E8510C" w:rsidRPr="007E16D2">
        <w:rPr>
          <w:sz w:val="20"/>
          <w:szCs w:val="20"/>
        </w:rPr>
        <w:t xml:space="preserve">a finalmente </w:t>
      </w:r>
      <w:r w:rsidRPr="007E16D2">
        <w:rPr>
          <w:sz w:val="20"/>
          <w:szCs w:val="20"/>
        </w:rPr>
        <w:t xml:space="preserve">que el 3 de febrero de 2016 </w:t>
      </w:r>
      <w:r w:rsidR="00E8510C" w:rsidRPr="007E16D2">
        <w:rPr>
          <w:sz w:val="20"/>
          <w:szCs w:val="20"/>
        </w:rPr>
        <w:t xml:space="preserve">la </w:t>
      </w:r>
      <w:r w:rsidR="00F65C07" w:rsidRPr="007E16D2">
        <w:rPr>
          <w:sz w:val="20"/>
          <w:szCs w:val="20"/>
        </w:rPr>
        <w:t>Suprema Corte provincial</w:t>
      </w:r>
      <w:r w:rsidR="00E8510C" w:rsidRPr="007E16D2">
        <w:rPr>
          <w:sz w:val="20"/>
          <w:szCs w:val="20"/>
        </w:rPr>
        <w:t xml:space="preserve"> </w:t>
      </w:r>
      <w:r w:rsidRPr="007E16D2">
        <w:rPr>
          <w:sz w:val="20"/>
          <w:szCs w:val="20"/>
        </w:rPr>
        <w:t>resolvió desestimar el recurso extraordinario federal presentado por la representación legal de</w:t>
      </w:r>
      <w:r w:rsidR="00E8510C" w:rsidRPr="007E16D2">
        <w:rPr>
          <w:sz w:val="20"/>
          <w:szCs w:val="20"/>
        </w:rPr>
        <w:t xml:space="preserve"> </w:t>
      </w:r>
      <w:r w:rsidRPr="007E16D2">
        <w:rPr>
          <w:sz w:val="20"/>
          <w:szCs w:val="20"/>
        </w:rPr>
        <w:t>l</w:t>
      </w:r>
      <w:r w:rsidR="00E8510C" w:rsidRPr="007E16D2">
        <w:rPr>
          <w:sz w:val="20"/>
          <w:szCs w:val="20"/>
        </w:rPr>
        <w:t>a presunta víctima</w:t>
      </w:r>
      <w:r w:rsidRPr="007E16D2">
        <w:rPr>
          <w:sz w:val="20"/>
          <w:szCs w:val="20"/>
        </w:rPr>
        <w:t xml:space="preserve"> contra la sentencia que había rechazado </w:t>
      </w:r>
      <w:r w:rsidR="00E8510C" w:rsidRPr="007E16D2">
        <w:rPr>
          <w:sz w:val="20"/>
          <w:szCs w:val="20"/>
        </w:rPr>
        <w:t xml:space="preserve">el recurso </w:t>
      </w:r>
      <w:r w:rsidRPr="007E16D2">
        <w:rPr>
          <w:sz w:val="20"/>
          <w:szCs w:val="20"/>
        </w:rPr>
        <w:t xml:space="preserve">de inaplicabilidad de la ley contra </w:t>
      </w:r>
      <w:r w:rsidR="00E8510C" w:rsidRPr="007E16D2">
        <w:rPr>
          <w:sz w:val="20"/>
          <w:szCs w:val="20"/>
        </w:rPr>
        <w:t xml:space="preserve">condena impuesta </w:t>
      </w:r>
      <w:r w:rsidRPr="007E16D2">
        <w:rPr>
          <w:sz w:val="20"/>
          <w:szCs w:val="20"/>
        </w:rPr>
        <w:t>por el Tribunal de Casación</w:t>
      </w:r>
      <w:r w:rsidR="00E8510C" w:rsidRPr="007E16D2">
        <w:rPr>
          <w:sz w:val="20"/>
          <w:szCs w:val="20"/>
        </w:rPr>
        <w:t>.</w:t>
      </w:r>
      <w:r w:rsidRPr="007E16D2">
        <w:rPr>
          <w:sz w:val="20"/>
          <w:szCs w:val="20"/>
        </w:rPr>
        <w:t xml:space="preserve"> </w:t>
      </w:r>
      <w:r w:rsidR="00E8510C" w:rsidRPr="007E16D2">
        <w:rPr>
          <w:sz w:val="20"/>
          <w:szCs w:val="20"/>
        </w:rPr>
        <w:t>Finalmente, la defensa de la presunta víctima</w:t>
      </w:r>
      <w:r w:rsidRPr="007E16D2">
        <w:rPr>
          <w:sz w:val="20"/>
          <w:szCs w:val="20"/>
        </w:rPr>
        <w:t xml:space="preserve"> presentó un recurso </w:t>
      </w:r>
      <w:r w:rsidR="00E8510C" w:rsidRPr="007E16D2">
        <w:rPr>
          <w:sz w:val="20"/>
          <w:szCs w:val="20"/>
        </w:rPr>
        <w:t xml:space="preserve">de </w:t>
      </w:r>
      <w:r w:rsidRPr="007E16D2">
        <w:rPr>
          <w:sz w:val="20"/>
          <w:szCs w:val="20"/>
        </w:rPr>
        <w:t>queja ante la Corte Suprema de Justicia</w:t>
      </w:r>
      <w:r w:rsidR="00E8510C" w:rsidRPr="007E16D2">
        <w:rPr>
          <w:sz w:val="20"/>
          <w:szCs w:val="20"/>
        </w:rPr>
        <w:t xml:space="preserve"> de la Nación</w:t>
      </w:r>
      <w:r w:rsidRPr="007E16D2">
        <w:rPr>
          <w:sz w:val="20"/>
          <w:szCs w:val="20"/>
        </w:rPr>
        <w:t xml:space="preserve">, </w:t>
      </w:r>
      <w:r w:rsidR="00B250EB" w:rsidRPr="007E16D2">
        <w:rPr>
          <w:sz w:val="20"/>
          <w:szCs w:val="20"/>
        </w:rPr>
        <w:t xml:space="preserve">que </w:t>
      </w:r>
      <w:r w:rsidRPr="007E16D2">
        <w:rPr>
          <w:sz w:val="20"/>
          <w:szCs w:val="20"/>
        </w:rPr>
        <w:t>fue desestimado</w:t>
      </w:r>
      <w:r w:rsidR="00B250EB" w:rsidRPr="007E16D2">
        <w:rPr>
          <w:sz w:val="20"/>
          <w:szCs w:val="20"/>
        </w:rPr>
        <w:t>;</w:t>
      </w:r>
      <w:r w:rsidRPr="007E16D2">
        <w:rPr>
          <w:sz w:val="20"/>
          <w:szCs w:val="20"/>
        </w:rPr>
        <w:t xml:space="preserve"> </w:t>
      </w:r>
      <w:r w:rsidR="00B250EB" w:rsidRPr="007E16D2">
        <w:rPr>
          <w:sz w:val="20"/>
          <w:szCs w:val="20"/>
        </w:rPr>
        <w:t xml:space="preserve">se interpuso luego </w:t>
      </w:r>
      <w:r w:rsidRPr="007E16D2">
        <w:rPr>
          <w:sz w:val="20"/>
          <w:szCs w:val="20"/>
        </w:rPr>
        <w:t>un recurso de reposición</w:t>
      </w:r>
      <w:r w:rsidR="00F65C07" w:rsidRPr="007E16D2">
        <w:rPr>
          <w:sz w:val="20"/>
          <w:szCs w:val="20"/>
        </w:rPr>
        <w:t>,</w:t>
      </w:r>
      <w:r w:rsidRPr="007E16D2">
        <w:rPr>
          <w:sz w:val="20"/>
          <w:szCs w:val="20"/>
        </w:rPr>
        <w:t xml:space="preserve"> que fue </w:t>
      </w:r>
      <w:r w:rsidR="00B250EB" w:rsidRPr="007E16D2">
        <w:rPr>
          <w:sz w:val="20"/>
          <w:szCs w:val="20"/>
        </w:rPr>
        <w:t xml:space="preserve">igualmente </w:t>
      </w:r>
      <w:r w:rsidRPr="007E16D2">
        <w:rPr>
          <w:sz w:val="20"/>
          <w:szCs w:val="20"/>
        </w:rPr>
        <w:t>rechazado el 7 de febrero de 2017.</w:t>
      </w:r>
    </w:p>
    <w:p w14:paraId="1F4D6055" w14:textId="77777777" w:rsidR="0091162B" w:rsidRPr="007E16D2" w:rsidRDefault="0091162B" w:rsidP="007E16D2">
      <w:pPr>
        <w:pStyle w:val="ListParagraph"/>
        <w:spacing w:before="0"/>
        <w:ind w:left="1440" w:right="40" w:firstLine="0"/>
        <w:rPr>
          <w:sz w:val="20"/>
          <w:szCs w:val="20"/>
        </w:rPr>
      </w:pPr>
    </w:p>
    <w:p w14:paraId="1EDFBEA1" w14:textId="77777777" w:rsidR="00C02C7F" w:rsidRPr="007E16D2" w:rsidRDefault="001223F2" w:rsidP="007E16D2">
      <w:pPr>
        <w:pStyle w:val="ListParagraph"/>
        <w:numPr>
          <w:ilvl w:val="0"/>
          <w:numId w:val="3"/>
        </w:numPr>
        <w:spacing w:before="0"/>
        <w:ind w:left="0" w:right="760" w:firstLine="1440"/>
        <w:rPr>
          <w:b/>
          <w:bCs/>
          <w:sz w:val="20"/>
          <w:szCs w:val="20"/>
        </w:rPr>
      </w:pPr>
      <w:r w:rsidRPr="007E16D2">
        <w:rPr>
          <w:b/>
          <w:bCs/>
          <w:sz w:val="20"/>
          <w:szCs w:val="20"/>
        </w:rPr>
        <w:t>AGOTAMIENTO DE LOS RECURSOS INTERNOS Y PLAZO DE PRESENTACIÓN</w:t>
      </w:r>
    </w:p>
    <w:p w14:paraId="66D0F5C3" w14:textId="77777777" w:rsidR="0091162B" w:rsidRPr="007E16D2" w:rsidRDefault="0091162B" w:rsidP="007E16D2">
      <w:pPr>
        <w:pStyle w:val="ListParagraph"/>
        <w:spacing w:before="0"/>
        <w:ind w:left="1440" w:right="40" w:firstLine="0"/>
        <w:rPr>
          <w:sz w:val="20"/>
          <w:szCs w:val="20"/>
        </w:rPr>
      </w:pPr>
    </w:p>
    <w:p w14:paraId="71D2AEDC" w14:textId="1C17E2EA" w:rsidR="002126CD" w:rsidRDefault="0075545F" w:rsidP="007E16D2">
      <w:pPr>
        <w:pStyle w:val="ListParagraph"/>
        <w:numPr>
          <w:ilvl w:val="0"/>
          <w:numId w:val="2"/>
        </w:numPr>
        <w:spacing w:before="0"/>
        <w:ind w:left="720" w:right="40" w:firstLine="720"/>
        <w:rPr>
          <w:sz w:val="20"/>
          <w:szCs w:val="20"/>
        </w:rPr>
      </w:pPr>
      <w:r w:rsidRPr="007E16D2">
        <w:rPr>
          <w:sz w:val="20"/>
          <w:szCs w:val="20"/>
        </w:rPr>
        <w:t xml:space="preserve">Los peticionarios argumentan que el retardo procesal </w:t>
      </w:r>
      <w:r w:rsidR="008D2D69" w:rsidRPr="007E16D2">
        <w:rPr>
          <w:sz w:val="20"/>
          <w:szCs w:val="20"/>
        </w:rPr>
        <w:t xml:space="preserve">de los tribunales internos </w:t>
      </w:r>
      <w:r w:rsidRPr="007E16D2">
        <w:rPr>
          <w:sz w:val="20"/>
          <w:szCs w:val="20"/>
        </w:rPr>
        <w:t xml:space="preserve">en </w:t>
      </w:r>
      <w:r w:rsidR="00F65C07" w:rsidRPr="007E16D2">
        <w:rPr>
          <w:sz w:val="20"/>
          <w:szCs w:val="20"/>
        </w:rPr>
        <w:t xml:space="preserve">la decisión </w:t>
      </w:r>
      <w:r w:rsidRPr="007E16D2">
        <w:rPr>
          <w:sz w:val="20"/>
          <w:szCs w:val="20"/>
        </w:rPr>
        <w:t xml:space="preserve">del presente </w:t>
      </w:r>
      <w:r w:rsidR="008D2D69" w:rsidRPr="007E16D2">
        <w:rPr>
          <w:sz w:val="20"/>
          <w:szCs w:val="20"/>
        </w:rPr>
        <w:t>asunto</w:t>
      </w:r>
      <w:r w:rsidRPr="007E16D2">
        <w:rPr>
          <w:sz w:val="20"/>
          <w:szCs w:val="20"/>
        </w:rPr>
        <w:t xml:space="preserve"> configura el supuesto del artículo 46.2(c) de la Convención Americana; y que el recurso extraordinario federal no resultaría una vía idónea y eficaz </w:t>
      </w:r>
      <w:r w:rsidR="008D2D69" w:rsidRPr="007E16D2">
        <w:rPr>
          <w:sz w:val="20"/>
          <w:szCs w:val="20"/>
        </w:rPr>
        <w:t>par</w:t>
      </w:r>
      <w:r w:rsidRPr="007E16D2">
        <w:rPr>
          <w:sz w:val="20"/>
          <w:szCs w:val="20"/>
        </w:rPr>
        <w:t xml:space="preserve">a denunciar la violación de derechos protegidos por </w:t>
      </w:r>
      <w:r w:rsidR="00F65C07" w:rsidRPr="007E16D2">
        <w:rPr>
          <w:sz w:val="20"/>
          <w:szCs w:val="20"/>
        </w:rPr>
        <w:t>dicho tratado</w:t>
      </w:r>
      <w:r w:rsidR="008D2D69" w:rsidRPr="007E16D2">
        <w:rPr>
          <w:sz w:val="20"/>
          <w:szCs w:val="20"/>
        </w:rPr>
        <w:t>;</w:t>
      </w:r>
      <w:r w:rsidRPr="007E16D2">
        <w:rPr>
          <w:sz w:val="20"/>
          <w:szCs w:val="20"/>
        </w:rPr>
        <w:t xml:space="preserve"> </w:t>
      </w:r>
      <w:r w:rsidR="008D2D69" w:rsidRPr="007E16D2">
        <w:rPr>
          <w:sz w:val="20"/>
          <w:szCs w:val="20"/>
        </w:rPr>
        <w:t>e</w:t>
      </w:r>
      <w:r w:rsidR="00F65C07" w:rsidRPr="007E16D2">
        <w:rPr>
          <w:sz w:val="20"/>
          <w:szCs w:val="20"/>
        </w:rPr>
        <w:t xml:space="preserve">n consecuencia, </w:t>
      </w:r>
      <w:r w:rsidRPr="007E16D2">
        <w:rPr>
          <w:sz w:val="20"/>
          <w:szCs w:val="20"/>
        </w:rPr>
        <w:t xml:space="preserve">no </w:t>
      </w:r>
      <w:r w:rsidR="00F65C07" w:rsidRPr="007E16D2">
        <w:rPr>
          <w:sz w:val="20"/>
          <w:szCs w:val="20"/>
        </w:rPr>
        <w:t xml:space="preserve">había </w:t>
      </w:r>
      <w:r w:rsidRPr="007E16D2">
        <w:rPr>
          <w:sz w:val="20"/>
          <w:szCs w:val="20"/>
        </w:rPr>
        <w:t>obligación de agotarlo.</w:t>
      </w:r>
    </w:p>
    <w:p w14:paraId="5B68F0EA" w14:textId="77777777" w:rsidR="0065070E" w:rsidRPr="007E16D2" w:rsidRDefault="0065070E" w:rsidP="0065070E">
      <w:pPr>
        <w:pStyle w:val="ListParagraph"/>
        <w:spacing w:before="0"/>
        <w:ind w:left="1440" w:right="40" w:firstLine="0"/>
        <w:rPr>
          <w:sz w:val="20"/>
          <w:szCs w:val="20"/>
        </w:rPr>
      </w:pPr>
    </w:p>
    <w:p w14:paraId="0532296A" w14:textId="7ED1F362" w:rsidR="00536852" w:rsidRPr="007E16D2" w:rsidRDefault="008D2D69" w:rsidP="007E16D2">
      <w:pPr>
        <w:pStyle w:val="ListParagraph"/>
        <w:numPr>
          <w:ilvl w:val="0"/>
          <w:numId w:val="2"/>
        </w:numPr>
        <w:spacing w:before="0"/>
        <w:ind w:left="720" w:right="40" w:firstLine="720"/>
        <w:rPr>
          <w:sz w:val="20"/>
          <w:szCs w:val="20"/>
        </w:rPr>
      </w:pPr>
      <w:r w:rsidRPr="007E16D2">
        <w:rPr>
          <w:sz w:val="20"/>
          <w:szCs w:val="20"/>
        </w:rPr>
        <w:t>Por</w:t>
      </w:r>
      <w:r w:rsidR="00925902" w:rsidRPr="007E16D2">
        <w:rPr>
          <w:sz w:val="20"/>
          <w:szCs w:val="20"/>
        </w:rPr>
        <w:t xml:space="preserve"> su parte, el Estado argumenta que el peticionario pretende que </w:t>
      </w:r>
      <w:r w:rsidR="00483404" w:rsidRPr="007E16D2">
        <w:rPr>
          <w:sz w:val="20"/>
          <w:szCs w:val="20"/>
        </w:rPr>
        <w:t>la CIDH</w:t>
      </w:r>
      <w:r w:rsidR="00925902" w:rsidRPr="007E16D2">
        <w:rPr>
          <w:sz w:val="20"/>
          <w:szCs w:val="20"/>
        </w:rPr>
        <w:t xml:space="preserve"> </w:t>
      </w:r>
      <w:r w:rsidR="00483404" w:rsidRPr="007E16D2">
        <w:rPr>
          <w:sz w:val="20"/>
          <w:szCs w:val="20"/>
        </w:rPr>
        <w:t>“</w:t>
      </w:r>
      <w:r w:rsidR="00925902" w:rsidRPr="007E16D2">
        <w:rPr>
          <w:sz w:val="20"/>
          <w:szCs w:val="20"/>
        </w:rPr>
        <w:t xml:space="preserve">actúe como cuarta instancia judicial y revise las valoraciones de hecho y de derecho efectuadas por las instancias internas” y que “no se exponen hechos que caractericen una violación de los derechos garantizados por la Convención”. El Estado afirma </w:t>
      </w:r>
      <w:r w:rsidR="00060129" w:rsidRPr="007E16D2">
        <w:rPr>
          <w:sz w:val="20"/>
          <w:szCs w:val="20"/>
        </w:rPr>
        <w:t>específicamente</w:t>
      </w:r>
      <w:r w:rsidR="00925902" w:rsidRPr="007E16D2">
        <w:rPr>
          <w:sz w:val="20"/>
          <w:szCs w:val="20"/>
        </w:rPr>
        <w:t xml:space="preserve"> que </w:t>
      </w:r>
      <w:r w:rsidR="00060129" w:rsidRPr="007E16D2">
        <w:rPr>
          <w:sz w:val="20"/>
          <w:szCs w:val="20"/>
        </w:rPr>
        <w:t>la presunta víctima</w:t>
      </w:r>
      <w:r w:rsidR="00925902" w:rsidRPr="007E16D2">
        <w:rPr>
          <w:sz w:val="20"/>
          <w:szCs w:val="20"/>
        </w:rPr>
        <w:t xml:space="preserve"> recuperó la libertad </w:t>
      </w:r>
      <w:r w:rsidR="00060129" w:rsidRPr="007E16D2">
        <w:rPr>
          <w:sz w:val="20"/>
          <w:szCs w:val="20"/>
        </w:rPr>
        <w:t>mediante</w:t>
      </w:r>
      <w:r w:rsidR="00925902" w:rsidRPr="007E16D2">
        <w:rPr>
          <w:sz w:val="20"/>
          <w:szCs w:val="20"/>
        </w:rPr>
        <w:t xml:space="preserve"> los recursos que </w:t>
      </w:r>
      <w:r w:rsidR="00925902" w:rsidRPr="007E16D2">
        <w:rPr>
          <w:sz w:val="20"/>
          <w:szCs w:val="20"/>
        </w:rPr>
        <w:lastRenderedPageBreak/>
        <w:t>interpuso ante las autoridades judiciales bonaerenses</w:t>
      </w:r>
      <w:r w:rsidR="00060129" w:rsidRPr="007E16D2">
        <w:rPr>
          <w:sz w:val="20"/>
          <w:szCs w:val="20"/>
        </w:rPr>
        <w:t>;</w:t>
      </w:r>
      <w:r w:rsidR="00925902" w:rsidRPr="007E16D2">
        <w:rPr>
          <w:sz w:val="20"/>
          <w:szCs w:val="20"/>
        </w:rPr>
        <w:t xml:space="preserve"> </w:t>
      </w:r>
      <w:r w:rsidR="00060129" w:rsidRPr="007E16D2">
        <w:rPr>
          <w:sz w:val="20"/>
          <w:szCs w:val="20"/>
        </w:rPr>
        <w:t xml:space="preserve">que </w:t>
      </w:r>
      <w:r w:rsidR="00925902" w:rsidRPr="007E16D2">
        <w:rPr>
          <w:sz w:val="20"/>
          <w:szCs w:val="20"/>
        </w:rPr>
        <w:t xml:space="preserve">la Cámara de Apelación y Garantías dispuso su excarcelación el 26 de septiembre de 2012, por lo que no necesitó </w:t>
      </w:r>
      <w:r w:rsidR="00060129" w:rsidRPr="007E16D2">
        <w:rPr>
          <w:sz w:val="20"/>
          <w:szCs w:val="20"/>
        </w:rPr>
        <w:t xml:space="preserve">acudir a </w:t>
      </w:r>
      <w:r w:rsidR="00925902" w:rsidRPr="007E16D2">
        <w:rPr>
          <w:sz w:val="20"/>
          <w:szCs w:val="20"/>
        </w:rPr>
        <w:t xml:space="preserve">la vía extraordinaria; y que su detención, aunque no </w:t>
      </w:r>
      <w:r w:rsidR="008818E3" w:rsidRPr="007E16D2">
        <w:rPr>
          <w:sz w:val="20"/>
          <w:szCs w:val="20"/>
        </w:rPr>
        <w:t xml:space="preserve">tuvo base en una sentencia firme, </w:t>
      </w:r>
      <w:r w:rsidR="00060129" w:rsidRPr="007E16D2">
        <w:rPr>
          <w:sz w:val="20"/>
          <w:szCs w:val="20"/>
        </w:rPr>
        <w:t xml:space="preserve">se ajustó a </w:t>
      </w:r>
      <w:r w:rsidR="008818E3" w:rsidRPr="007E16D2">
        <w:rPr>
          <w:sz w:val="20"/>
          <w:szCs w:val="20"/>
        </w:rPr>
        <w:t>todos los parámetros legales y los derechos de</w:t>
      </w:r>
      <w:r w:rsidR="00060129" w:rsidRPr="007E16D2">
        <w:rPr>
          <w:sz w:val="20"/>
          <w:szCs w:val="20"/>
        </w:rPr>
        <w:t xml:space="preserve"> </w:t>
      </w:r>
      <w:r w:rsidR="008818E3" w:rsidRPr="007E16D2">
        <w:rPr>
          <w:sz w:val="20"/>
          <w:szCs w:val="20"/>
        </w:rPr>
        <w:t>l</w:t>
      </w:r>
      <w:r w:rsidR="00060129" w:rsidRPr="007E16D2">
        <w:rPr>
          <w:sz w:val="20"/>
          <w:szCs w:val="20"/>
        </w:rPr>
        <w:t>a presunta víctima.</w:t>
      </w:r>
      <w:r w:rsidR="002126CD" w:rsidRPr="007E16D2">
        <w:rPr>
          <w:sz w:val="20"/>
          <w:szCs w:val="20"/>
        </w:rPr>
        <w:t xml:space="preserve"> </w:t>
      </w:r>
      <w:r w:rsidR="00060129" w:rsidRPr="007E16D2">
        <w:rPr>
          <w:sz w:val="20"/>
          <w:szCs w:val="20"/>
        </w:rPr>
        <w:t>Precisa que la</w:t>
      </w:r>
      <w:r w:rsidR="002126CD" w:rsidRPr="007E16D2">
        <w:rPr>
          <w:sz w:val="20"/>
          <w:szCs w:val="20"/>
        </w:rPr>
        <w:t xml:space="preserve"> detención </w:t>
      </w:r>
      <w:r w:rsidR="00060129" w:rsidRPr="007E16D2">
        <w:rPr>
          <w:sz w:val="20"/>
          <w:szCs w:val="20"/>
        </w:rPr>
        <w:t xml:space="preserve">se </w:t>
      </w:r>
      <w:r w:rsidR="002126CD" w:rsidRPr="007E16D2">
        <w:rPr>
          <w:sz w:val="20"/>
          <w:szCs w:val="20"/>
        </w:rPr>
        <w:t>extendió desde el 11 de mayo de 2001 hasta el 26 de septiembre de 2012</w:t>
      </w:r>
      <w:r w:rsidR="00060129" w:rsidRPr="007E16D2">
        <w:rPr>
          <w:sz w:val="20"/>
          <w:szCs w:val="20"/>
        </w:rPr>
        <w:t>,</w:t>
      </w:r>
      <w:r w:rsidR="002126CD" w:rsidRPr="007E16D2">
        <w:rPr>
          <w:sz w:val="20"/>
          <w:szCs w:val="20"/>
        </w:rPr>
        <w:t xml:space="preserve"> por lo que permaneció privado de libertad durante once años, cuatro meses y quince días. </w:t>
      </w:r>
      <w:r w:rsidR="00060129" w:rsidRPr="007E16D2">
        <w:rPr>
          <w:sz w:val="20"/>
          <w:szCs w:val="20"/>
        </w:rPr>
        <w:t xml:space="preserve">El Estado sostiene que la </w:t>
      </w:r>
      <w:r w:rsidR="002126CD" w:rsidRPr="007E16D2">
        <w:rPr>
          <w:sz w:val="20"/>
          <w:szCs w:val="20"/>
        </w:rPr>
        <w:t xml:space="preserve">privación de libertad tuvo base en la ley penal y fue dispuesta por las autoridades competentes y mediante resoluciones motivadas, </w:t>
      </w:r>
      <w:r w:rsidR="00060129" w:rsidRPr="007E16D2">
        <w:rPr>
          <w:sz w:val="20"/>
          <w:szCs w:val="20"/>
        </w:rPr>
        <w:t xml:space="preserve">con </w:t>
      </w:r>
      <w:r w:rsidR="002126CD" w:rsidRPr="007E16D2">
        <w:rPr>
          <w:sz w:val="20"/>
          <w:szCs w:val="20"/>
        </w:rPr>
        <w:t>respeto a las garantías judiciales</w:t>
      </w:r>
      <w:r w:rsidR="00060129" w:rsidRPr="007E16D2">
        <w:rPr>
          <w:sz w:val="20"/>
          <w:szCs w:val="20"/>
        </w:rPr>
        <w:t>;</w:t>
      </w:r>
      <w:r w:rsidR="002126CD" w:rsidRPr="007E16D2">
        <w:rPr>
          <w:sz w:val="20"/>
          <w:szCs w:val="20"/>
        </w:rPr>
        <w:t xml:space="preserve"> </w:t>
      </w:r>
      <w:r w:rsidR="00060129" w:rsidRPr="007E16D2">
        <w:rPr>
          <w:sz w:val="20"/>
          <w:szCs w:val="20"/>
        </w:rPr>
        <w:t xml:space="preserve">que </w:t>
      </w:r>
      <w:r w:rsidR="002126CD" w:rsidRPr="007E16D2">
        <w:rPr>
          <w:sz w:val="20"/>
          <w:szCs w:val="20"/>
        </w:rPr>
        <w:t xml:space="preserve">finalmente </w:t>
      </w:r>
      <w:r w:rsidR="00060129" w:rsidRPr="007E16D2">
        <w:rPr>
          <w:sz w:val="20"/>
          <w:szCs w:val="20"/>
        </w:rPr>
        <w:t>la presunta víctima fue excarcelada</w:t>
      </w:r>
      <w:r w:rsidR="002126CD" w:rsidRPr="007E16D2">
        <w:rPr>
          <w:sz w:val="20"/>
          <w:szCs w:val="20"/>
        </w:rPr>
        <w:t xml:space="preserve"> conforme </w:t>
      </w:r>
      <w:r w:rsidR="00060129" w:rsidRPr="007E16D2">
        <w:rPr>
          <w:sz w:val="20"/>
          <w:szCs w:val="20"/>
        </w:rPr>
        <w:t xml:space="preserve">a </w:t>
      </w:r>
      <w:r w:rsidR="002126CD" w:rsidRPr="007E16D2">
        <w:rPr>
          <w:sz w:val="20"/>
          <w:szCs w:val="20"/>
        </w:rPr>
        <w:t>lo solicitado por la Defensoría</w:t>
      </w:r>
      <w:r w:rsidR="00060129" w:rsidRPr="007E16D2">
        <w:rPr>
          <w:sz w:val="20"/>
          <w:szCs w:val="20"/>
        </w:rPr>
        <w:t>;</w:t>
      </w:r>
      <w:r w:rsidR="002126CD" w:rsidRPr="007E16D2">
        <w:rPr>
          <w:sz w:val="20"/>
          <w:szCs w:val="20"/>
        </w:rPr>
        <w:t xml:space="preserve"> </w:t>
      </w:r>
      <w:r w:rsidR="00060129" w:rsidRPr="007E16D2">
        <w:rPr>
          <w:sz w:val="20"/>
          <w:szCs w:val="20"/>
        </w:rPr>
        <w:t xml:space="preserve">y que a pesar de que dicho </w:t>
      </w:r>
      <w:r w:rsidR="002126CD" w:rsidRPr="007E16D2">
        <w:rPr>
          <w:sz w:val="20"/>
          <w:szCs w:val="20"/>
        </w:rPr>
        <w:t xml:space="preserve">pronunciamiento </w:t>
      </w:r>
      <w:r w:rsidR="00060129" w:rsidRPr="007E16D2">
        <w:rPr>
          <w:sz w:val="20"/>
          <w:szCs w:val="20"/>
        </w:rPr>
        <w:t xml:space="preserve">aún </w:t>
      </w:r>
      <w:r w:rsidR="002126CD" w:rsidRPr="007E16D2">
        <w:rPr>
          <w:sz w:val="20"/>
          <w:szCs w:val="20"/>
        </w:rPr>
        <w:t xml:space="preserve">no </w:t>
      </w:r>
      <w:r w:rsidR="00060129" w:rsidRPr="007E16D2">
        <w:rPr>
          <w:sz w:val="20"/>
          <w:szCs w:val="20"/>
        </w:rPr>
        <w:t xml:space="preserve">estaba </w:t>
      </w:r>
      <w:r w:rsidR="002126CD" w:rsidRPr="007E16D2">
        <w:rPr>
          <w:sz w:val="20"/>
          <w:szCs w:val="20"/>
        </w:rPr>
        <w:t>firme, su culpabilidad había sido declarada por los órganos judiciales</w:t>
      </w:r>
      <w:r w:rsidR="008818E3" w:rsidRPr="007E16D2">
        <w:rPr>
          <w:sz w:val="20"/>
          <w:szCs w:val="20"/>
        </w:rPr>
        <w:t>.</w:t>
      </w:r>
      <w:r w:rsidR="002126CD" w:rsidRPr="007E16D2">
        <w:rPr>
          <w:sz w:val="20"/>
          <w:szCs w:val="20"/>
        </w:rPr>
        <w:t xml:space="preserve"> En conclusión, el Estado solicita a la Comisión </w:t>
      </w:r>
      <w:r w:rsidR="00FE1DDB" w:rsidRPr="007E16D2">
        <w:rPr>
          <w:sz w:val="20"/>
          <w:szCs w:val="20"/>
        </w:rPr>
        <w:t xml:space="preserve">Interamericana </w:t>
      </w:r>
      <w:r w:rsidR="002126CD" w:rsidRPr="007E16D2">
        <w:rPr>
          <w:sz w:val="20"/>
          <w:szCs w:val="20"/>
        </w:rPr>
        <w:t>el archivo de la presente petición.</w:t>
      </w:r>
    </w:p>
    <w:p w14:paraId="672E9DA6" w14:textId="77777777" w:rsidR="00536852" w:rsidRPr="007E16D2" w:rsidRDefault="00536852" w:rsidP="007E16D2">
      <w:pPr>
        <w:ind w:left="720" w:right="40"/>
        <w:rPr>
          <w:sz w:val="20"/>
          <w:szCs w:val="20"/>
        </w:rPr>
      </w:pPr>
    </w:p>
    <w:p w14:paraId="35CCC781" w14:textId="1BD49DD9" w:rsidR="00652350" w:rsidRPr="007E16D2" w:rsidRDefault="00FE1DDB" w:rsidP="007E16D2">
      <w:pPr>
        <w:pStyle w:val="ListParagraph"/>
        <w:numPr>
          <w:ilvl w:val="0"/>
          <w:numId w:val="2"/>
        </w:numPr>
        <w:spacing w:before="0"/>
        <w:ind w:left="720" w:right="40" w:firstLine="720"/>
        <w:rPr>
          <w:sz w:val="20"/>
          <w:szCs w:val="20"/>
        </w:rPr>
      </w:pPr>
      <w:r w:rsidRPr="007E16D2">
        <w:rPr>
          <w:sz w:val="20"/>
          <w:szCs w:val="20"/>
        </w:rPr>
        <w:t>A</w:t>
      </w:r>
      <w:r w:rsidR="00536852" w:rsidRPr="007E16D2">
        <w:rPr>
          <w:sz w:val="20"/>
          <w:szCs w:val="20"/>
        </w:rPr>
        <w:t xml:space="preserve"> efectos de la admisibilidad, la Comisión </w:t>
      </w:r>
      <w:r w:rsidRPr="007E16D2">
        <w:rPr>
          <w:sz w:val="20"/>
          <w:szCs w:val="20"/>
        </w:rPr>
        <w:t xml:space="preserve">Interamericana </w:t>
      </w:r>
      <w:r w:rsidR="00536852" w:rsidRPr="007E16D2">
        <w:rPr>
          <w:sz w:val="20"/>
          <w:szCs w:val="20"/>
        </w:rPr>
        <w:t xml:space="preserve">debe decidir si los hechos alegados </w:t>
      </w:r>
      <w:r w:rsidRPr="007E16D2">
        <w:rPr>
          <w:sz w:val="20"/>
          <w:szCs w:val="20"/>
        </w:rPr>
        <w:t xml:space="preserve">caracterizan </w:t>
      </w:r>
      <w:r w:rsidR="00536852" w:rsidRPr="007E16D2">
        <w:rPr>
          <w:sz w:val="20"/>
          <w:szCs w:val="20"/>
        </w:rPr>
        <w:t xml:space="preserve">una </w:t>
      </w:r>
      <w:r w:rsidRPr="007E16D2">
        <w:rPr>
          <w:sz w:val="20"/>
          <w:szCs w:val="20"/>
        </w:rPr>
        <w:t xml:space="preserve">posible </w:t>
      </w:r>
      <w:r w:rsidR="00536852" w:rsidRPr="007E16D2">
        <w:rPr>
          <w:sz w:val="20"/>
          <w:szCs w:val="20"/>
        </w:rPr>
        <w:t>violación de derechos, según lo estipulado en el artículo 47(b) de la Convención Americana</w:t>
      </w:r>
      <w:r w:rsidRPr="007E16D2">
        <w:rPr>
          <w:sz w:val="20"/>
          <w:szCs w:val="20"/>
        </w:rPr>
        <w:t>;</w:t>
      </w:r>
      <w:r w:rsidR="00536852" w:rsidRPr="007E16D2">
        <w:rPr>
          <w:sz w:val="20"/>
          <w:szCs w:val="20"/>
        </w:rPr>
        <w:t xml:space="preserve"> o si la petición es manifiestamente infundada o es evidente su total improcedencia, conforme al inciso (c) de dicho artículo. El criterio de evaluación de </w:t>
      </w:r>
      <w:r w:rsidRPr="007E16D2">
        <w:rPr>
          <w:sz w:val="20"/>
          <w:szCs w:val="20"/>
        </w:rPr>
        <w:t>dichos</w:t>
      </w:r>
      <w:r w:rsidR="00536852" w:rsidRPr="007E16D2">
        <w:rPr>
          <w:sz w:val="20"/>
          <w:szCs w:val="20"/>
        </w:rPr>
        <w:t xml:space="preserve"> requisitos difiere del que se utiliza para pronunciarse sobre el fondo de una petición; la C</w:t>
      </w:r>
      <w:r w:rsidRPr="007E16D2">
        <w:rPr>
          <w:sz w:val="20"/>
          <w:szCs w:val="20"/>
        </w:rPr>
        <w:t>IDH</w:t>
      </w:r>
      <w:r w:rsidR="00536852" w:rsidRPr="007E16D2">
        <w:rPr>
          <w:sz w:val="20"/>
          <w:szCs w:val="20"/>
        </w:rPr>
        <w:t xml:space="preserve"> debe realizar una evaluación </w:t>
      </w:r>
      <w:r w:rsidR="00536852" w:rsidRPr="007E16D2">
        <w:rPr>
          <w:i/>
          <w:iCs/>
          <w:sz w:val="20"/>
          <w:szCs w:val="20"/>
        </w:rPr>
        <w:t>prima facie</w:t>
      </w:r>
      <w:r w:rsidR="00536852" w:rsidRPr="007E16D2">
        <w:rPr>
          <w:sz w:val="20"/>
          <w:szCs w:val="20"/>
        </w:rPr>
        <w:t xml:space="preserve"> para determinar si la petición establece el fundamento de la </w:t>
      </w:r>
      <w:r w:rsidRPr="007E16D2">
        <w:rPr>
          <w:sz w:val="20"/>
          <w:szCs w:val="20"/>
        </w:rPr>
        <w:t xml:space="preserve">posible o potencial </w:t>
      </w:r>
      <w:r w:rsidR="00536852" w:rsidRPr="007E16D2">
        <w:rPr>
          <w:sz w:val="20"/>
          <w:szCs w:val="20"/>
        </w:rPr>
        <w:t>violación de un derecho garantizado por la Convención</w:t>
      </w:r>
      <w:r w:rsidRPr="007E16D2">
        <w:rPr>
          <w:sz w:val="20"/>
          <w:szCs w:val="20"/>
        </w:rPr>
        <w:t xml:space="preserve"> Americana.</w:t>
      </w:r>
      <w:r w:rsidR="00536852" w:rsidRPr="007E16D2">
        <w:rPr>
          <w:sz w:val="20"/>
          <w:szCs w:val="20"/>
        </w:rPr>
        <w:t xml:space="preserve"> </w:t>
      </w:r>
      <w:r w:rsidRPr="007E16D2">
        <w:rPr>
          <w:sz w:val="20"/>
          <w:szCs w:val="20"/>
        </w:rPr>
        <w:t xml:space="preserve">Se trata de un </w:t>
      </w:r>
      <w:r w:rsidR="00536852" w:rsidRPr="007E16D2">
        <w:rPr>
          <w:sz w:val="20"/>
          <w:szCs w:val="20"/>
        </w:rPr>
        <w:t>análisis primario, que no implica prejuzgar sobre el fondo del asunto</w:t>
      </w:r>
      <w:r w:rsidR="00536852" w:rsidRPr="007E16D2">
        <w:rPr>
          <w:vertAlign w:val="superscript"/>
        </w:rPr>
        <w:footnoteReference w:id="3"/>
      </w:r>
      <w:r w:rsidR="00317E54" w:rsidRPr="007E16D2">
        <w:rPr>
          <w:sz w:val="20"/>
          <w:szCs w:val="20"/>
        </w:rPr>
        <w:t>.</w:t>
      </w:r>
      <w:r w:rsidR="00B40AED" w:rsidRPr="007E16D2">
        <w:rPr>
          <w:sz w:val="20"/>
          <w:szCs w:val="20"/>
        </w:rPr>
        <w:t xml:space="preserve"> </w:t>
      </w:r>
      <w:r w:rsidR="00904A45" w:rsidRPr="007E16D2">
        <w:rPr>
          <w:sz w:val="20"/>
          <w:szCs w:val="20"/>
        </w:rPr>
        <w:t xml:space="preserve">La Comisión </w:t>
      </w:r>
      <w:r w:rsidR="00317E54" w:rsidRPr="007E16D2">
        <w:rPr>
          <w:sz w:val="20"/>
          <w:szCs w:val="20"/>
        </w:rPr>
        <w:t xml:space="preserve">Interamericana </w:t>
      </w:r>
      <w:r w:rsidR="00904A45" w:rsidRPr="007E16D2">
        <w:rPr>
          <w:sz w:val="20"/>
          <w:szCs w:val="20"/>
        </w:rPr>
        <w:t>recuerda asimismo que es competente para declarar admisible una petición y fallar sobre su fundamento cuando ésta se refiere a una sentencia judicial nacional que ha sido dictada al margen del debido proceso o que aparentemente viola cualquier otro derecho garantizado por la Convención</w:t>
      </w:r>
      <w:r w:rsidRPr="007E16D2">
        <w:rPr>
          <w:sz w:val="20"/>
          <w:szCs w:val="20"/>
        </w:rPr>
        <w:t xml:space="preserve"> Americana</w:t>
      </w:r>
      <w:r w:rsidR="00904A45" w:rsidRPr="007E16D2">
        <w:rPr>
          <w:sz w:val="20"/>
          <w:szCs w:val="20"/>
        </w:rPr>
        <w:t>. La C</w:t>
      </w:r>
      <w:r w:rsidRPr="007E16D2">
        <w:rPr>
          <w:sz w:val="20"/>
          <w:szCs w:val="20"/>
        </w:rPr>
        <w:t>IDH</w:t>
      </w:r>
      <w:r w:rsidR="00904A45" w:rsidRPr="007E16D2">
        <w:rPr>
          <w:sz w:val="20"/>
          <w:szCs w:val="20"/>
        </w:rPr>
        <w:t xml:space="preserve"> ha admitido peticiones cuando de los alegatos de las partes se desprende </w:t>
      </w:r>
      <w:r w:rsidR="00904A45" w:rsidRPr="007E16D2">
        <w:rPr>
          <w:i/>
          <w:iCs/>
          <w:sz w:val="20"/>
          <w:szCs w:val="20"/>
        </w:rPr>
        <w:t>prima facie</w:t>
      </w:r>
      <w:r w:rsidR="00904A45" w:rsidRPr="007E16D2">
        <w:rPr>
          <w:sz w:val="20"/>
          <w:szCs w:val="20"/>
        </w:rPr>
        <w:t xml:space="preserve"> que las sentencias judiciales o los procedimientos seguidos pudieron </w:t>
      </w:r>
      <w:r w:rsidRPr="007E16D2">
        <w:rPr>
          <w:sz w:val="20"/>
          <w:szCs w:val="20"/>
        </w:rPr>
        <w:t>ser</w:t>
      </w:r>
      <w:r w:rsidR="00904A45" w:rsidRPr="007E16D2">
        <w:rPr>
          <w:sz w:val="20"/>
          <w:szCs w:val="20"/>
        </w:rPr>
        <w:t xml:space="preserve"> arbitrarios o implicar</w:t>
      </w:r>
      <w:r w:rsidRPr="007E16D2">
        <w:rPr>
          <w:sz w:val="20"/>
          <w:szCs w:val="20"/>
        </w:rPr>
        <w:t>an</w:t>
      </w:r>
      <w:r w:rsidR="00904A45" w:rsidRPr="007E16D2">
        <w:rPr>
          <w:sz w:val="20"/>
          <w:szCs w:val="20"/>
        </w:rPr>
        <w:t xml:space="preserve"> un posible trato desigual arbitrario o una posible discriminación.</w:t>
      </w:r>
      <w:r w:rsidR="00904A45" w:rsidRPr="007E16D2">
        <w:rPr>
          <w:vertAlign w:val="superscript"/>
        </w:rPr>
        <w:footnoteReference w:id="4"/>
      </w:r>
    </w:p>
    <w:p w14:paraId="3432BC66" w14:textId="77777777" w:rsidR="00904A45" w:rsidRPr="007E16D2" w:rsidRDefault="00904A45" w:rsidP="007E16D2">
      <w:pPr>
        <w:pStyle w:val="ListParagraph"/>
        <w:spacing w:before="0"/>
        <w:ind w:left="1440" w:right="40" w:firstLine="0"/>
        <w:rPr>
          <w:sz w:val="20"/>
          <w:szCs w:val="20"/>
        </w:rPr>
      </w:pPr>
    </w:p>
    <w:p w14:paraId="7296CE89" w14:textId="77777777" w:rsidR="00152C57" w:rsidRPr="007E16D2" w:rsidRDefault="00904A45" w:rsidP="007E16D2">
      <w:pPr>
        <w:pStyle w:val="ListParagraph"/>
        <w:numPr>
          <w:ilvl w:val="0"/>
          <w:numId w:val="2"/>
        </w:numPr>
        <w:spacing w:before="0"/>
        <w:ind w:left="720" w:right="40" w:firstLine="720"/>
        <w:rPr>
          <w:sz w:val="20"/>
          <w:szCs w:val="20"/>
        </w:rPr>
      </w:pPr>
      <w:r w:rsidRPr="007E16D2">
        <w:rPr>
          <w:sz w:val="20"/>
          <w:szCs w:val="20"/>
        </w:rPr>
        <w:t xml:space="preserve">Ante las citadas consideraciones preliminares, la CIDH nota que los hechos expuestos </w:t>
      </w:r>
      <w:r w:rsidR="00FE1DDB" w:rsidRPr="007E16D2">
        <w:rPr>
          <w:sz w:val="20"/>
          <w:szCs w:val="20"/>
        </w:rPr>
        <w:t xml:space="preserve">en la presente petición </w:t>
      </w:r>
      <w:r w:rsidRPr="007E16D2">
        <w:rPr>
          <w:sz w:val="20"/>
          <w:szCs w:val="20"/>
        </w:rPr>
        <w:t xml:space="preserve">pueden </w:t>
      </w:r>
      <w:r w:rsidR="00FE1DDB" w:rsidRPr="007E16D2">
        <w:rPr>
          <w:sz w:val="20"/>
          <w:szCs w:val="20"/>
        </w:rPr>
        <w:t xml:space="preserve">constituir </w:t>
      </w:r>
      <w:r w:rsidRPr="007E16D2">
        <w:rPr>
          <w:sz w:val="20"/>
          <w:szCs w:val="20"/>
        </w:rPr>
        <w:t xml:space="preserve">violaciones de derechos garantizados por la Convención </w:t>
      </w:r>
      <w:r w:rsidR="00FE1DDB" w:rsidRPr="007E16D2">
        <w:rPr>
          <w:sz w:val="20"/>
          <w:szCs w:val="20"/>
        </w:rPr>
        <w:t xml:space="preserve">Americana </w:t>
      </w:r>
      <w:r w:rsidRPr="007E16D2">
        <w:rPr>
          <w:sz w:val="20"/>
          <w:szCs w:val="20"/>
        </w:rPr>
        <w:t>y que, por lo tanto, no hay razones para archiv</w:t>
      </w:r>
      <w:r w:rsidR="00FE1DDB" w:rsidRPr="007E16D2">
        <w:rPr>
          <w:sz w:val="20"/>
          <w:szCs w:val="20"/>
        </w:rPr>
        <w:t>ar</w:t>
      </w:r>
      <w:r w:rsidRPr="007E16D2">
        <w:rPr>
          <w:sz w:val="20"/>
          <w:szCs w:val="20"/>
        </w:rPr>
        <w:t xml:space="preserve"> la presente petición. </w:t>
      </w:r>
    </w:p>
    <w:p w14:paraId="1E7E4938" w14:textId="77777777" w:rsidR="00152C57" w:rsidRPr="007E16D2" w:rsidRDefault="00152C57" w:rsidP="007E16D2">
      <w:pPr>
        <w:rPr>
          <w:sz w:val="20"/>
          <w:szCs w:val="20"/>
        </w:rPr>
      </w:pPr>
    </w:p>
    <w:p w14:paraId="5622CD5B" w14:textId="3D8A5FB4" w:rsidR="00A70099" w:rsidRPr="007E16D2" w:rsidRDefault="00152C57" w:rsidP="007E16D2">
      <w:pPr>
        <w:pStyle w:val="ListParagraph"/>
        <w:numPr>
          <w:ilvl w:val="0"/>
          <w:numId w:val="2"/>
        </w:numPr>
        <w:spacing w:before="0"/>
        <w:ind w:left="720" w:right="40" w:firstLine="720"/>
        <w:rPr>
          <w:sz w:val="20"/>
          <w:szCs w:val="20"/>
        </w:rPr>
      </w:pPr>
      <w:r w:rsidRPr="007E16D2">
        <w:rPr>
          <w:sz w:val="20"/>
          <w:szCs w:val="20"/>
        </w:rPr>
        <w:t xml:space="preserve">Adicionalmente, </w:t>
      </w:r>
      <w:r w:rsidR="00A70099" w:rsidRPr="007E16D2">
        <w:rPr>
          <w:sz w:val="20"/>
          <w:szCs w:val="20"/>
        </w:rPr>
        <w:t>la CIDH observa con preocupación que la extensa detención de la presunta víctima no estuvo basada en una sentencia firme, según los aportes de la parte peticionaria y del propio Estado</w:t>
      </w:r>
      <w:r w:rsidR="00A70099" w:rsidRPr="007E16D2">
        <w:rPr>
          <w:sz w:val="20"/>
          <w:szCs w:val="20"/>
          <w:vertAlign w:val="superscript"/>
        </w:rPr>
        <w:footnoteReference w:id="5"/>
      </w:r>
      <w:r w:rsidR="00A70099" w:rsidRPr="007E16D2">
        <w:rPr>
          <w:sz w:val="20"/>
          <w:szCs w:val="20"/>
        </w:rPr>
        <w:t>. Asimismo, los hechos indican que a lo largo de los años hubo múltiples intentos infructuosos de revertir dicha detención. Al respecto, la Comisión recuerda su jurisprudencia, en etapa de admisibilidad</w:t>
      </w:r>
      <w:r w:rsidR="00A70099" w:rsidRPr="007E16D2">
        <w:rPr>
          <w:sz w:val="20"/>
          <w:szCs w:val="20"/>
          <w:vertAlign w:val="superscript"/>
        </w:rPr>
        <w:footnoteReference w:id="6"/>
      </w:r>
      <w:r w:rsidR="00A70099" w:rsidRPr="007E16D2">
        <w:rPr>
          <w:sz w:val="20"/>
          <w:szCs w:val="20"/>
        </w:rPr>
        <w:t>, sobre como detenciones extensas no basadas en una sentencia firme pueden resultar en un retardo injustificado.</w:t>
      </w:r>
    </w:p>
    <w:p w14:paraId="21F88569" w14:textId="2F1375DD" w:rsidR="00A70099" w:rsidRPr="007E16D2" w:rsidRDefault="0065070E" w:rsidP="0065070E">
      <w:pPr>
        <w:pStyle w:val="ListParagraph"/>
        <w:tabs>
          <w:tab w:val="left" w:pos="6206"/>
        </w:tabs>
        <w:rPr>
          <w:sz w:val="20"/>
          <w:szCs w:val="20"/>
        </w:rPr>
      </w:pPr>
      <w:r>
        <w:rPr>
          <w:sz w:val="20"/>
          <w:szCs w:val="20"/>
        </w:rPr>
        <w:tab/>
      </w:r>
    </w:p>
    <w:p w14:paraId="60E9C457" w14:textId="09F30B69" w:rsidR="00B653C2" w:rsidRPr="007E16D2" w:rsidRDefault="00A70099" w:rsidP="007E16D2">
      <w:pPr>
        <w:pStyle w:val="ListParagraph"/>
        <w:numPr>
          <w:ilvl w:val="0"/>
          <w:numId w:val="2"/>
        </w:numPr>
        <w:spacing w:before="0"/>
        <w:ind w:left="720" w:right="40" w:firstLine="720"/>
        <w:rPr>
          <w:sz w:val="20"/>
          <w:szCs w:val="20"/>
        </w:rPr>
      </w:pPr>
      <w:r w:rsidRPr="007E16D2">
        <w:rPr>
          <w:sz w:val="20"/>
          <w:szCs w:val="20"/>
        </w:rPr>
        <w:t xml:space="preserve">Sin embargo, en el presente caso, </w:t>
      </w:r>
      <w:r w:rsidR="00152C57" w:rsidRPr="007E16D2">
        <w:rPr>
          <w:sz w:val="20"/>
          <w:szCs w:val="20"/>
        </w:rPr>
        <w:t xml:space="preserve">la Comisión Interamericana considera que se garantizó al Estado la oportunidad de resolver la situación en sede interna, y que el agotamiento de los recursos internos se produjo con la decisión de 7 de febrero de 2017. Dicho agotamiento es posterior a la presentación de la </w:t>
      </w:r>
      <w:r w:rsidR="00152C57" w:rsidRPr="007E16D2">
        <w:rPr>
          <w:sz w:val="20"/>
          <w:szCs w:val="20"/>
        </w:rPr>
        <w:lastRenderedPageBreak/>
        <w:t>petición ante la CIDH. Sobre este tema, la Comisión reitera su posición constante según la cual la situación que debe tenerse en cuenta para establecer si se han agotado los recursos de la jurisdicción interna es aquella existente al decidir sobre la admisibilidad</w:t>
      </w:r>
      <w:r w:rsidR="002869A4" w:rsidRPr="007E16D2">
        <w:rPr>
          <w:sz w:val="20"/>
          <w:szCs w:val="20"/>
        </w:rPr>
        <w:t>, puesto que el momento de la presentación de la denuncia y el del pronunciamiento sobre admisibilidad son distintos</w:t>
      </w:r>
      <w:r w:rsidR="00152C57" w:rsidRPr="007E16D2">
        <w:rPr>
          <w:sz w:val="20"/>
          <w:szCs w:val="20"/>
        </w:rPr>
        <w:t>.</w:t>
      </w:r>
      <w:r w:rsidR="00152C57" w:rsidRPr="007E16D2">
        <w:rPr>
          <w:rStyle w:val="FootnoteReference"/>
          <w:sz w:val="20"/>
          <w:szCs w:val="20"/>
        </w:rPr>
        <w:footnoteReference w:id="7"/>
      </w:r>
      <w:r w:rsidRPr="007E16D2">
        <w:rPr>
          <w:sz w:val="20"/>
          <w:szCs w:val="20"/>
        </w:rPr>
        <w:t xml:space="preserve"> </w:t>
      </w:r>
      <w:r w:rsidR="00B653C2" w:rsidRPr="007E16D2">
        <w:rPr>
          <w:sz w:val="20"/>
          <w:szCs w:val="20"/>
        </w:rPr>
        <w:t>Por lo tanto, en vista del contexto y las características de la presente petición, la Comisión considera que ésta fue presentada dentro de un plazo razonable y que debe darse por satisfecho el requisito de admisibilidad referente al plazo de presentación.</w:t>
      </w:r>
    </w:p>
    <w:p w14:paraId="4C09616F" w14:textId="77777777" w:rsidR="00B653C2" w:rsidRPr="007E16D2" w:rsidRDefault="00B653C2" w:rsidP="007E16D2">
      <w:pPr>
        <w:ind w:right="40"/>
        <w:rPr>
          <w:sz w:val="20"/>
          <w:szCs w:val="20"/>
        </w:rPr>
      </w:pPr>
    </w:p>
    <w:p w14:paraId="3D1E0045" w14:textId="77777777" w:rsidR="00C02C7F" w:rsidRPr="007E16D2" w:rsidRDefault="001223F2" w:rsidP="007E16D2">
      <w:pPr>
        <w:pStyle w:val="ListParagraph"/>
        <w:numPr>
          <w:ilvl w:val="0"/>
          <w:numId w:val="3"/>
        </w:numPr>
        <w:spacing w:before="0"/>
        <w:ind w:left="0" w:right="760" w:firstLine="1440"/>
        <w:rPr>
          <w:b/>
          <w:bCs/>
          <w:sz w:val="20"/>
          <w:szCs w:val="20"/>
        </w:rPr>
      </w:pPr>
      <w:r w:rsidRPr="007E16D2">
        <w:rPr>
          <w:b/>
          <w:bCs/>
          <w:sz w:val="20"/>
          <w:szCs w:val="20"/>
        </w:rPr>
        <w:t>CARACTERIZACIÓN</w:t>
      </w:r>
    </w:p>
    <w:p w14:paraId="270FC955" w14:textId="77777777" w:rsidR="0091162B" w:rsidRPr="007E16D2" w:rsidRDefault="0091162B" w:rsidP="007E16D2">
      <w:pPr>
        <w:pStyle w:val="ListParagraph"/>
        <w:spacing w:before="0"/>
        <w:ind w:left="1440" w:right="40" w:firstLine="0"/>
        <w:rPr>
          <w:sz w:val="20"/>
          <w:szCs w:val="20"/>
        </w:rPr>
      </w:pPr>
    </w:p>
    <w:p w14:paraId="7E2CFC08" w14:textId="2078A2E3" w:rsidR="00B40AED" w:rsidRPr="007E16D2" w:rsidRDefault="001223F2" w:rsidP="007E16D2">
      <w:pPr>
        <w:pStyle w:val="ListParagraph"/>
        <w:numPr>
          <w:ilvl w:val="0"/>
          <w:numId w:val="2"/>
        </w:numPr>
        <w:spacing w:before="0"/>
        <w:ind w:left="720" w:right="40" w:firstLine="720"/>
        <w:rPr>
          <w:sz w:val="20"/>
          <w:szCs w:val="20"/>
        </w:rPr>
      </w:pPr>
      <w:r w:rsidRPr="007E16D2">
        <w:rPr>
          <w:sz w:val="20"/>
          <w:szCs w:val="20"/>
        </w:rPr>
        <w:t xml:space="preserve">La Comisión </w:t>
      </w:r>
      <w:r w:rsidR="00443572" w:rsidRPr="007E16D2">
        <w:rPr>
          <w:sz w:val="20"/>
          <w:szCs w:val="20"/>
        </w:rPr>
        <w:t xml:space="preserve">Interamericana </w:t>
      </w:r>
      <w:r w:rsidRPr="007E16D2">
        <w:rPr>
          <w:sz w:val="20"/>
          <w:szCs w:val="20"/>
        </w:rPr>
        <w:t xml:space="preserve">observa que </w:t>
      </w:r>
      <w:r w:rsidR="00443572" w:rsidRPr="007E16D2">
        <w:rPr>
          <w:sz w:val="20"/>
          <w:szCs w:val="20"/>
        </w:rPr>
        <w:t xml:space="preserve">en </w:t>
      </w:r>
      <w:r w:rsidRPr="007E16D2">
        <w:rPr>
          <w:sz w:val="20"/>
          <w:szCs w:val="20"/>
        </w:rPr>
        <w:t xml:space="preserve">la presente petición </w:t>
      </w:r>
      <w:r w:rsidR="00443572" w:rsidRPr="007E16D2">
        <w:rPr>
          <w:sz w:val="20"/>
          <w:szCs w:val="20"/>
        </w:rPr>
        <w:t xml:space="preserve">se </w:t>
      </w:r>
      <w:r w:rsidRPr="007E16D2">
        <w:rPr>
          <w:sz w:val="20"/>
          <w:szCs w:val="20"/>
        </w:rPr>
        <w:t>alega</w:t>
      </w:r>
      <w:r w:rsidR="00B40AED" w:rsidRPr="007E16D2">
        <w:rPr>
          <w:sz w:val="20"/>
          <w:szCs w:val="20"/>
        </w:rPr>
        <w:t xml:space="preserve"> la prisión preventiva de</w:t>
      </w:r>
      <w:r w:rsidR="00443572" w:rsidRPr="007E16D2">
        <w:rPr>
          <w:sz w:val="20"/>
          <w:szCs w:val="20"/>
        </w:rPr>
        <w:t xml:space="preserve"> </w:t>
      </w:r>
      <w:r w:rsidR="00B40AED" w:rsidRPr="007E16D2">
        <w:rPr>
          <w:sz w:val="20"/>
          <w:szCs w:val="20"/>
        </w:rPr>
        <w:t>l</w:t>
      </w:r>
      <w:r w:rsidR="00443572" w:rsidRPr="007E16D2">
        <w:rPr>
          <w:sz w:val="20"/>
          <w:szCs w:val="20"/>
        </w:rPr>
        <w:t>a presunta víctima</w:t>
      </w:r>
      <w:r w:rsidR="00B40AED" w:rsidRPr="007E16D2">
        <w:rPr>
          <w:sz w:val="20"/>
          <w:szCs w:val="20"/>
        </w:rPr>
        <w:t xml:space="preserve"> por </w:t>
      </w:r>
      <w:r w:rsidR="00443572" w:rsidRPr="007E16D2">
        <w:rPr>
          <w:sz w:val="20"/>
          <w:szCs w:val="20"/>
        </w:rPr>
        <w:t xml:space="preserve">un </w:t>
      </w:r>
      <w:r w:rsidR="00B40AED" w:rsidRPr="007E16D2">
        <w:rPr>
          <w:sz w:val="20"/>
          <w:szCs w:val="20"/>
        </w:rPr>
        <w:t>plazo irrazonable, según disposiciones internas que serían incompatibles con la Convención Americana. En atención a estas consideraciones y tras examinar los elementos de hecho y de derecho expuestos por las partes</w:t>
      </w:r>
      <w:r w:rsidR="00443572" w:rsidRPr="007E16D2">
        <w:rPr>
          <w:sz w:val="20"/>
          <w:szCs w:val="20"/>
        </w:rPr>
        <w:t>,</w:t>
      </w:r>
      <w:r w:rsidR="00B40AED" w:rsidRPr="007E16D2">
        <w:rPr>
          <w:sz w:val="20"/>
          <w:szCs w:val="20"/>
        </w:rPr>
        <w:t xml:space="preserve"> la C</w:t>
      </w:r>
      <w:r w:rsidR="00443572" w:rsidRPr="007E16D2">
        <w:rPr>
          <w:sz w:val="20"/>
          <w:szCs w:val="20"/>
        </w:rPr>
        <w:t>IDH</w:t>
      </w:r>
      <w:r w:rsidR="00B40AED" w:rsidRPr="007E16D2">
        <w:rPr>
          <w:sz w:val="20"/>
          <w:szCs w:val="20"/>
        </w:rPr>
        <w:t xml:space="preserve"> estima que las </w:t>
      </w:r>
      <w:r w:rsidR="00443572" w:rsidRPr="007E16D2">
        <w:rPr>
          <w:sz w:val="20"/>
          <w:szCs w:val="20"/>
        </w:rPr>
        <w:t xml:space="preserve">los alegatos de los </w:t>
      </w:r>
      <w:r w:rsidR="00B40AED" w:rsidRPr="007E16D2">
        <w:rPr>
          <w:sz w:val="20"/>
          <w:szCs w:val="20"/>
        </w:rPr>
        <w:t>peticionari</w:t>
      </w:r>
      <w:r w:rsidR="00443572" w:rsidRPr="007E16D2">
        <w:rPr>
          <w:sz w:val="20"/>
          <w:szCs w:val="20"/>
        </w:rPr>
        <w:t>os</w:t>
      </w:r>
      <w:r w:rsidR="00B40AED" w:rsidRPr="007E16D2">
        <w:rPr>
          <w:sz w:val="20"/>
          <w:szCs w:val="20"/>
        </w:rPr>
        <w:t xml:space="preserve"> no resultan manifiestamente infundad</w:t>
      </w:r>
      <w:r w:rsidR="00443572" w:rsidRPr="007E16D2">
        <w:rPr>
          <w:sz w:val="20"/>
          <w:szCs w:val="20"/>
        </w:rPr>
        <w:t>o</w:t>
      </w:r>
      <w:r w:rsidR="00B40AED" w:rsidRPr="007E16D2">
        <w:rPr>
          <w:sz w:val="20"/>
          <w:szCs w:val="20"/>
        </w:rPr>
        <w:t>s y requieren un estudio de fondo pues los hechos alegados, de corroborarse como ciertos</w:t>
      </w:r>
      <w:r w:rsidR="00443572" w:rsidRPr="007E16D2">
        <w:rPr>
          <w:sz w:val="20"/>
          <w:szCs w:val="20"/>
        </w:rPr>
        <w:t>,</w:t>
      </w:r>
      <w:r w:rsidR="00B40AED" w:rsidRPr="007E16D2">
        <w:rPr>
          <w:sz w:val="20"/>
          <w:szCs w:val="20"/>
        </w:rPr>
        <w:t xml:space="preserve"> podrían </w:t>
      </w:r>
      <w:r w:rsidR="00443572" w:rsidRPr="007E16D2">
        <w:rPr>
          <w:sz w:val="20"/>
          <w:szCs w:val="20"/>
        </w:rPr>
        <w:t>constituir</w:t>
      </w:r>
      <w:r w:rsidR="00B40AED" w:rsidRPr="007E16D2">
        <w:rPr>
          <w:sz w:val="20"/>
          <w:szCs w:val="20"/>
        </w:rPr>
        <w:t xml:space="preserve"> violaciones </w:t>
      </w:r>
      <w:r w:rsidR="00443572" w:rsidRPr="007E16D2">
        <w:rPr>
          <w:sz w:val="20"/>
          <w:szCs w:val="20"/>
        </w:rPr>
        <w:t>de</w:t>
      </w:r>
      <w:r w:rsidR="00B40AED" w:rsidRPr="007E16D2">
        <w:rPr>
          <w:sz w:val="20"/>
          <w:szCs w:val="20"/>
        </w:rPr>
        <w:t xml:space="preserve"> los artículos 7 (libertad personal), 8 (garantías judiciales), y 25 (protección judicial) de la Convención Americana, en relación con sus artículos 1.1 (obligación de respetar los derechos) y 2 (deber de ad</w:t>
      </w:r>
      <w:hyperlink w:anchor="_bookmark10" w:history="1">
        <w:r w:rsidR="00B40AED" w:rsidRPr="007E16D2">
          <w:rPr>
            <w:sz w:val="20"/>
            <w:szCs w:val="20"/>
          </w:rPr>
          <w:t>o</w:t>
        </w:r>
      </w:hyperlink>
      <w:r w:rsidR="00B40AED" w:rsidRPr="007E16D2">
        <w:rPr>
          <w:sz w:val="20"/>
          <w:szCs w:val="20"/>
        </w:rPr>
        <w:t>ptar disposiciones de derecho interno), en concordancia con otros casos similares ya decididos por la CIDH.</w:t>
      </w:r>
    </w:p>
    <w:p w14:paraId="3DF88328" w14:textId="77777777" w:rsidR="0091162B" w:rsidRPr="007E16D2" w:rsidRDefault="0091162B" w:rsidP="007E16D2">
      <w:pPr>
        <w:ind w:left="720" w:right="40"/>
        <w:rPr>
          <w:sz w:val="20"/>
          <w:szCs w:val="20"/>
        </w:rPr>
      </w:pPr>
    </w:p>
    <w:p w14:paraId="58EE60C4" w14:textId="013B9D9A" w:rsidR="00C02C7F" w:rsidRPr="007E16D2" w:rsidRDefault="00B40AED" w:rsidP="007E16D2">
      <w:pPr>
        <w:pStyle w:val="ListParagraph"/>
        <w:numPr>
          <w:ilvl w:val="0"/>
          <w:numId w:val="2"/>
        </w:numPr>
        <w:spacing w:before="0"/>
        <w:ind w:left="720" w:right="40" w:firstLine="720"/>
        <w:rPr>
          <w:sz w:val="20"/>
          <w:szCs w:val="20"/>
        </w:rPr>
      </w:pPr>
      <w:r w:rsidRPr="007E16D2">
        <w:rPr>
          <w:sz w:val="20"/>
          <w:szCs w:val="20"/>
        </w:rPr>
        <w:t>E</w:t>
      </w:r>
      <w:r w:rsidR="001223F2" w:rsidRPr="007E16D2">
        <w:rPr>
          <w:sz w:val="20"/>
          <w:szCs w:val="20"/>
        </w:rPr>
        <w:t xml:space="preserve">n cuanto a los alegatos del Estado referidos a la </w:t>
      </w:r>
      <w:r w:rsidR="00443572" w:rsidRPr="007E16D2">
        <w:rPr>
          <w:sz w:val="20"/>
          <w:szCs w:val="20"/>
        </w:rPr>
        <w:t>llamada “</w:t>
      </w:r>
      <w:r w:rsidR="001223F2" w:rsidRPr="007E16D2">
        <w:rPr>
          <w:sz w:val="20"/>
          <w:szCs w:val="20"/>
        </w:rPr>
        <w:t xml:space="preserve">fórmula de </w:t>
      </w:r>
      <w:r w:rsidR="00443572" w:rsidRPr="007E16D2">
        <w:rPr>
          <w:sz w:val="20"/>
          <w:szCs w:val="20"/>
        </w:rPr>
        <w:t xml:space="preserve">la </w:t>
      </w:r>
      <w:r w:rsidR="001223F2" w:rsidRPr="007E16D2">
        <w:rPr>
          <w:sz w:val="20"/>
          <w:szCs w:val="20"/>
        </w:rPr>
        <w:t>cuarta instancia</w:t>
      </w:r>
      <w:r w:rsidR="00443572" w:rsidRPr="007E16D2">
        <w:rPr>
          <w:sz w:val="20"/>
          <w:szCs w:val="20"/>
        </w:rPr>
        <w:t>”</w:t>
      </w:r>
      <w:r w:rsidR="001223F2" w:rsidRPr="007E16D2">
        <w:rPr>
          <w:sz w:val="20"/>
          <w:szCs w:val="20"/>
        </w:rPr>
        <w:t xml:space="preserve">, </w:t>
      </w:r>
      <w:r w:rsidR="00443572" w:rsidRPr="007E16D2">
        <w:rPr>
          <w:sz w:val="20"/>
          <w:szCs w:val="20"/>
        </w:rPr>
        <w:t>cabe</w:t>
      </w:r>
      <w:r w:rsidR="001223F2" w:rsidRPr="007E16D2">
        <w:rPr>
          <w:sz w:val="20"/>
          <w:szCs w:val="20"/>
        </w:rPr>
        <w:t xml:space="preserve"> </w:t>
      </w:r>
      <w:r w:rsidRPr="007E16D2">
        <w:rPr>
          <w:sz w:val="20"/>
          <w:szCs w:val="20"/>
        </w:rPr>
        <w:t xml:space="preserve">reiterar </w:t>
      </w:r>
      <w:r w:rsidR="001223F2" w:rsidRPr="007E16D2">
        <w:rPr>
          <w:sz w:val="20"/>
          <w:szCs w:val="20"/>
        </w:rPr>
        <w:t xml:space="preserve">que </w:t>
      </w:r>
      <w:r w:rsidR="00443572" w:rsidRPr="007E16D2">
        <w:rPr>
          <w:sz w:val="20"/>
          <w:szCs w:val="20"/>
        </w:rPr>
        <w:t xml:space="preserve">la </w:t>
      </w:r>
      <w:r w:rsidR="001223F2" w:rsidRPr="007E16D2">
        <w:rPr>
          <w:sz w:val="20"/>
          <w:szCs w:val="20"/>
        </w:rPr>
        <w:t xml:space="preserve">Comisión </w:t>
      </w:r>
      <w:r w:rsidR="00443572" w:rsidRPr="007E16D2">
        <w:rPr>
          <w:sz w:val="20"/>
          <w:szCs w:val="20"/>
        </w:rPr>
        <w:t xml:space="preserve">Interamericana </w:t>
      </w:r>
      <w:r w:rsidR="001223F2" w:rsidRPr="007E16D2">
        <w:rPr>
          <w:sz w:val="20"/>
          <w:szCs w:val="20"/>
        </w:rPr>
        <w:t>no es competente para revisar decisiones adoptadas por las autoridades judiciales internas que actúen en el marco de su competencia, y apliquen las normas referentes al debido proceso tuteladas en la Convención Americana. Sin embargo, la C</w:t>
      </w:r>
      <w:r w:rsidR="00443572" w:rsidRPr="007E16D2">
        <w:rPr>
          <w:sz w:val="20"/>
          <w:szCs w:val="20"/>
        </w:rPr>
        <w:t>IDH</w:t>
      </w:r>
      <w:r w:rsidR="001223F2" w:rsidRPr="007E16D2">
        <w:rPr>
          <w:sz w:val="20"/>
          <w:szCs w:val="20"/>
        </w:rPr>
        <w:t xml:space="preserve"> ha establecido </w:t>
      </w:r>
      <w:r w:rsidR="00443572" w:rsidRPr="007E16D2">
        <w:rPr>
          <w:sz w:val="20"/>
          <w:szCs w:val="20"/>
        </w:rPr>
        <w:t xml:space="preserve">reiteradamente </w:t>
      </w:r>
      <w:r w:rsidR="001223F2" w:rsidRPr="007E16D2">
        <w:rPr>
          <w:sz w:val="20"/>
          <w:szCs w:val="20"/>
        </w:rPr>
        <w:t xml:space="preserve">que sí es competente para declarar admisible una petición, así como para referirse </w:t>
      </w:r>
      <w:r w:rsidR="00443572" w:rsidRPr="007E16D2">
        <w:rPr>
          <w:sz w:val="20"/>
          <w:szCs w:val="20"/>
        </w:rPr>
        <w:t xml:space="preserve">al </w:t>
      </w:r>
      <w:r w:rsidR="001223F2" w:rsidRPr="007E16D2">
        <w:rPr>
          <w:sz w:val="20"/>
          <w:szCs w:val="20"/>
        </w:rPr>
        <w:t>fondo de</w:t>
      </w:r>
      <w:r w:rsidR="00443572" w:rsidRPr="007E16D2">
        <w:rPr>
          <w:sz w:val="20"/>
          <w:szCs w:val="20"/>
        </w:rPr>
        <w:t>l asunto</w:t>
      </w:r>
      <w:r w:rsidR="001223F2" w:rsidRPr="007E16D2">
        <w:rPr>
          <w:sz w:val="20"/>
          <w:szCs w:val="20"/>
        </w:rPr>
        <w:t>, cuando se refiere a procesos internos que podrían ser violatorios de los derechos garantizados en la Convención</w:t>
      </w:r>
      <w:r w:rsidR="00443572" w:rsidRPr="007E16D2">
        <w:rPr>
          <w:sz w:val="20"/>
          <w:szCs w:val="20"/>
        </w:rPr>
        <w:t xml:space="preserve"> Americana</w:t>
      </w:r>
      <w:r w:rsidR="001223F2" w:rsidRPr="007E16D2">
        <w:rPr>
          <w:sz w:val="20"/>
          <w:szCs w:val="20"/>
        </w:rPr>
        <w:t>.</w:t>
      </w:r>
    </w:p>
    <w:p w14:paraId="01DA825B" w14:textId="77777777" w:rsidR="0091162B" w:rsidRPr="007E16D2" w:rsidRDefault="0091162B" w:rsidP="007E16D2">
      <w:pPr>
        <w:pStyle w:val="ListParagraph"/>
        <w:spacing w:before="0"/>
        <w:ind w:left="1440" w:right="40" w:firstLine="0"/>
        <w:rPr>
          <w:sz w:val="20"/>
          <w:szCs w:val="20"/>
        </w:rPr>
      </w:pPr>
    </w:p>
    <w:p w14:paraId="4C0322DB" w14:textId="77777777" w:rsidR="00C02C7F" w:rsidRPr="007E16D2" w:rsidRDefault="001223F2" w:rsidP="007E16D2">
      <w:pPr>
        <w:pStyle w:val="ListParagraph"/>
        <w:numPr>
          <w:ilvl w:val="0"/>
          <w:numId w:val="3"/>
        </w:numPr>
        <w:spacing w:before="0"/>
        <w:ind w:left="0" w:right="760" w:firstLine="1440"/>
        <w:rPr>
          <w:b/>
          <w:bCs/>
          <w:sz w:val="20"/>
          <w:szCs w:val="20"/>
        </w:rPr>
      </w:pPr>
      <w:r w:rsidRPr="007E16D2">
        <w:rPr>
          <w:b/>
          <w:bCs/>
          <w:sz w:val="20"/>
          <w:szCs w:val="20"/>
        </w:rPr>
        <w:t>DECISIÓN</w:t>
      </w:r>
    </w:p>
    <w:p w14:paraId="3D3A46FF" w14:textId="77777777" w:rsidR="0091162B" w:rsidRPr="007E16D2" w:rsidRDefault="0091162B" w:rsidP="007E16D2">
      <w:pPr>
        <w:pStyle w:val="ListParagraph"/>
        <w:spacing w:before="0"/>
        <w:ind w:left="1440" w:right="40" w:firstLine="0"/>
        <w:rPr>
          <w:sz w:val="20"/>
          <w:szCs w:val="20"/>
        </w:rPr>
      </w:pPr>
    </w:p>
    <w:p w14:paraId="2F5D1BBA" w14:textId="1BB68FBC" w:rsidR="00C02C7F" w:rsidRPr="007E16D2" w:rsidRDefault="001223F2" w:rsidP="007E16D2">
      <w:pPr>
        <w:pStyle w:val="ListParagraph"/>
        <w:numPr>
          <w:ilvl w:val="0"/>
          <w:numId w:val="2"/>
        </w:numPr>
        <w:spacing w:before="0"/>
        <w:ind w:left="720" w:right="40" w:firstLine="720"/>
        <w:rPr>
          <w:sz w:val="20"/>
          <w:szCs w:val="20"/>
        </w:rPr>
      </w:pPr>
      <w:r w:rsidRPr="007E16D2">
        <w:rPr>
          <w:sz w:val="20"/>
          <w:szCs w:val="20"/>
        </w:rPr>
        <w:t xml:space="preserve">Declarar admisible la presente petición en relación con los artículos </w:t>
      </w:r>
      <w:r w:rsidR="00B40AED" w:rsidRPr="007E16D2">
        <w:rPr>
          <w:sz w:val="20"/>
          <w:szCs w:val="20"/>
        </w:rPr>
        <w:t>7</w:t>
      </w:r>
      <w:r w:rsidRPr="007E16D2">
        <w:rPr>
          <w:sz w:val="20"/>
          <w:szCs w:val="20"/>
        </w:rPr>
        <w:t>, 8</w:t>
      </w:r>
      <w:r w:rsidR="00B40AED" w:rsidRPr="007E16D2">
        <w:rPr>
          <w:sz w:val="20"/>
          <w:szCs w:val="20"/>
        </w:rPr>
        <w:t xml:space="preserve"> </w:t>
      </w:r>
      <w:r w:rsidRPr="007E16D2">
        <w:rPr>
          <w:sz w:val="20"/>
          <w:szCs w:val="20"/>
        </w:rPr>
        <w:t>y 25 de la Convención Americana, en concordancia con los artículos 1.1 y 2 del mismo instrumento</w:t>
      </w:r>
      <w:r w:rsidR="00A934CD" w:rsidRPr="007E16D2">
        <w:rPr>
          <w:sz w:val="20"/>
          <w:szCs w:val="20"/>
        </w:rPr>
        <w:t>.</w:t>
      </w:r>
    </w:p>
    <w:p w14:paraId="1A3DAA4A" w14:textId="77777777" w:rsidR="0091162B" w:rsidRPr="007E16D2" w:rsidRDefault="0091162B" w:rsidP="007E16D2">
      <w:pPr>
        <w:pStyle w:val="ListParagraph"/>
        <w:spacing w:before="0"/>
        <w:ind w:left="1440" w:right="40" w:firstLine="0"/>
        <w:rPr>
          <w:sz w:val="20"/>
          <w:szCs w:val="20"/>
        </w:rPr>
      </w:pPr>
    </w:p>
    <w:p w14:paraId="15EB5B61" w14:textId="2D8D2127" w:rsidR="00C02C7F" w:rsidRPr="007E16D2" w:rsidRDefault="001223F2" w:rsidP="007E16D2">
      <w:pPr>
        <w:pStyle w:val="ListParagraph"/>
        <w:numPr>
          <w:ilvl w:val="0"/>
          <w:numId w:val="2"/>
        </w:numPr>
        <w:spacing w:before="0"/>
        <w:ind w:left="720" w:right="40" w:firstLine="720"/>
        <w:rPr>
          <w:sz w:val="20"/>
          <w:szCs w:val="20"/>
        </w:rPr>
      </w:pPr>
      <w:r w:rsidRPr="007E16D2">
        <w:rPr>
          <w:sz w:val="20"/>
          <w:szCs w:val="20"/>
        </w:rPr>
        <w:t>Notificar a las partes la presente decisión; continuar con el análisis del fondo de la cuestión; y publicar esta decisión e incluirla en su Informe Anual a la Asamblea General de la Organización de los Estados Americanos.</w:t>
      </w:r>
    </w:p>
    <w:p w14:paraId="12162F99" w14:textId="77777777" w:rsidR="0065070E" w:rsidRDefault="0065070E" w:rsidP="0065070E">
      <w:pPr>
        <w:ind w:firstLine="720"/>
        <w:jc w:val="both"/>
        <w:rPr>
          <w:rFonts w:asciiTheme="majorHAnsi" w:hAnsiTheme="majorHAnsi" w:cs="Arial"/>
          <w:noProof/>
          <w:spacing w:val="-2"/>
          <w:sz w:val="20"/>
          <w:szCs w:val="20"/>
          <w:lang w:val="es-CL"/>
        </w:rPr>
      </w:pPr>
    </w:p>
    <w:p w14:paraId="590C2D77" w14:textId="1BEB79F4" w:rsidR="00706790" w:rsidRDefault="0065070E" w:rsidP="00706790">
      <w:pPr>
        <w:ind w:left="720" w:firstLine="720"/>
        <w:jc w:val="both"/>
        <w:rPr>
          <w:rFonts w:asciiTheme="majorHAnsi" w:hAnsiTheme="majorHAnsi"/>
          <w:spacing w:val="-2"/>
          <w:sz w:val="20"/>
          <w:szCs w:val="20"/>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sidR="004125B5">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3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w:t>
      </w:r>
      <w:r w:rsidR="00706790">
        <w:rPr>
          <w:rFonts w:asciiTheme="majorHAnsi" w:hAnsiTheme="majorHAnsi" w:cs="Arial"/>
          <w:noProof/>
          <w:spacing w:val="-2"/>
          <w:sz w:val="20"/>
          <w:szCs w:val="20"/>
          <w:lang w:val="es-CL"/>
        </w:rPr>
        <w:t xml:space="preserve">(Firmado): </w:t>
      </w:r>
      <w:bookmarkStart w:id="2" w:name="_Hlk69909337"/>
      <w:bookmarkStart w:id="3" w:name="_Hlk69927006"/>
      <w:r w:rsidR="00706790">
        <w:rPr>
          <w:rFonts w:asciiTheme="majorHAnsi" w:hAnsiTheme="majorHAnsi"/>
          <w:sz w:val="20"/>
          <w:szCs w:val="20"/>
        </w:rPr>
        <w:t xml:space="preserve">Antonia Urrejola, </w:t>
      </w:r>
      <w:r w:rsidR="00706790">
        <w:rPr>
          <w:rFonts w:asciiTheme="majorHAnsi" w:hAnsiTheme="majorHAnsi"/>
          <w:spacing w:val="-2"/>
          <w:sz w:val="20"/>
          <w:szCs w:val="20"/>
          <w:lang w:val="fr-CA"/>
        </w:rPr>
        <w:t xml:space="preserve">Presidenta; </w:t>
      </w:r>
      <w:r w:rsidR="00706790">
        <w:rPr>
          <w:rFonts w:asciiTheme="majorHAnsi" w:hAnsiTheme="majorHAnsi"/>
          <w:spacing w:val="-2"/>
          <w:sz w:val="20"/>
          <w:szCs w:val="20"/>
        </w:rPr>
        <w:t>Julissa Mantilla Falcón, Primera Vicepresidenta; Flávia Piovesan, Segunda</w:t>
      </w:r>
      <w:r w:rsidR="00706790" w:rsidRPr="00A37B82">
        <w:rPr>
          <w:rFonts w:asciiTheme="majorHAnsi" w:hAnsiTheme="majorHAnsi"/>
          <w:spacing w:val="-2"/>
          <w:sz w:val="20"/>
          <w:szCs w:val="20"/>
        </w:rPr>
        <w:t xml:space="preserve"> Vicepresident</w:t>
      </w:r>
      <w:r w:rsidR="00706790">
        <w:rPr>
          <w:rFonts w:asciiTheme="majorHAnsi" w:hAnsiTheme="majorHAnsi"/>
          <w:spacing w:val="-2"/>
          <w:sz w:val="20"/>
          <w:szCs w:val="20"/>
        </w:rPr>
        <w:t xml:space="preserve">a; </w:t>
      </w:r>
      <w:r w:rsidR="00706790">
        <w:rPr>
          <w:rFonts w:asciiTheme="majorHAnsi" w:hAnsiTheme="majorHAnsi"/>
          <w:spacing w:val="-2"/>
          <w:sz w:val="20"/>
          <w:szCs w:val="20"/>
          <w:lang w:val="es-ES_tradnl"/>
        </w:rPr>
        <w:t xml:space="preserve">Margarette May Macaulay, Esmeralda E. Arosemena Bernal de Troitiño, </w:t>
      </w:r>
      <w:r w:rsidR="00706790">
        <w:rPr>
          <w:rFonts w:asciiTheme="majorHAnsi" w:hAnsiTheme="majorHAnsi"/>
          <w:spacing w:val="-2"/>
          <w:sz w:val="20"/>
          <w:szCs w:val="20"/>
        </w:rPr>
        <w:t>Joel Hernández, (en disidencia)tuardo Ralón Orellana,</w:t>
      </w:r>
    </w:p>
    <w:bookmarkEnd w:id="2"/>
    <w:bookmarkEnd w:id="3"/>
    <w:p w14:paraId="433913D5" w14:textId="77777777" w:rsidR="00706790" w:rsidRPr="00A37B82" w:rsidRDefault="00706790" w:rsidP="00AB22B7">
      <w:pPr>
        <w:suppressAutoHyphens/>
        <w:ind w:right="69"/>
        <w:jc w:val="center"/>
        <w:rPr>
          <w:rFonts w:asciiTheme="majorHAnsi" w:hAnsiTheme="majorHAnsi"/>
          <w:spacing w:val="-2"/>
          <w:sz w:val="20"/>
          <w:szCs w:val="20"/>
        </w:rPr>
      </w:pPr>
    </w:p>
    <w:sectPr w:rsidR="00706790" w:rsidRPr="00A37B82" w:rsidSect="00A934CD">
      <w:footerReference w:type="default" r:id="rId13"/>
      <w:pgSz w:w="12240" w:h="15840"/>
      <w:pgMar w:top="1200" w:right="1440" w:bottom="1180" w:left="680" w:header="82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DE38" w14:textId="77777777" w:rsidR="001A0595" w:rsidRDefault="001A0595">
      <w:r>
        <w:separator/>
      </w:r>
    </w:p>
  </w:endnote>
  <w:endnote w:type="continuationSeparator" w:id="0">
    <w:p w14:paraId="5EE107E1" w14:textId="77777777" w:rsidR="001A0595" w:rsidRDefault="001A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E212" w14:textId="53F9104C" w:rsidR="00C02C7F" w:rsidRDefault="00035FF1">
    <w:pPr>
      <w:pStyle w:val="BodyText"/>
      <w:spacing w:line="14" w:lineRule="auto"/>
    </w:pPr>
    <w:r>
      <w:rPr>
        <w:noProof/>
      </w:rPr>
      <mc:AlternateContent>
        <mc:Choice Requires="wps">
          <w:drawing>
            <wp:anchor distT="0" distB="0" distL="114300" distR="114300" simplePos="0" relativeHeight="251274240" behindDoc="1" locked="0" layoutInCell="1" allowOverlap="1" wp14:anchorId="22DEC8B2" wp14:editId="2DEC0E9B">
              <wp:simplePos x="0" y="0"/>
              <wp:positionH relativeFrom="page">
                <wp:posOffset>3831590</wp:posOffset>
              </wp:positionH>
              <wp:positionV relativeFrom="page">
                <wp:posOffset>9290050</wp:posOffset>
              </wp:positionV>
              <wp:extent cx="10795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00E4" w14:textId="77777777" w:rsidR="00C02C7F" w:rsidRDefault="001223F2">
                          <w:pPr>
                            <w:spacing w:before="20"/>
                            <w:ind w:left="4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C8B2" id="_x0000_t202" coordsize="21600,21600" o:spt="202" path="m,l,21600r21600,l21600,xe">
              <v:stroke joinstyle="miter"/>
              <v:path gradientshapeok="t" o:connecttype="rect"/>
            </v:shapetype>
            <v:shape id="Text Box 1" o:spid="_x0000_s1027" type="#_x0000_t202" style="position:absolute;margin-left:301.7pt;margin-top:731.5pt;width:8.5pt;height:11.45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" filled="f" stroked="f">
              <v:textbox inset="0,0,0,0">
                <w:txbxContent>
                  <w:p w14:paraId="020200E4" w14:textId="77777777" w:rsidR="00C02C7F" w:rsidRDefault="001223F2">
                    <w:pPr>
                      <w:spacing w:before="20"/>
                      <w:ind w:left="4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4C67" w14:textId="77777777" w:rsidR="001A0595" w:rsidRDefault="001A0595">
      <w:r>
        <w:separator/>
      </w:r>
    </w:p>
  </w:footnote>
  <w:footnote w:type="continuationSeparator" w:id="0">
    <w:p w14:paraId="14F9D722" w14:textId="77777777" w:rsidR="001A0595" w:rsidRDefault="001A0595">
      <w:r>
        <w:continuationSeparator/>
      </w:r>
    </w:p>
  </w:footnote>
  <w:footnote w:id="1">
    <w:p w14:paraId="0B7F5DA6" w14:textId="07C599AB" w:rsidR="00AE217D" w:rsidRPr="00152C57" w:rsidRDefault="00AE217D" w:rsidP="00152C57">
      <w:pPr>
        <w:pStyle w:val="FootnoteText"/>
        <w:ind w:left="811" w:right="40" w:firstLine="629"/>
        <w:jc w:val="both"/>
        <w:rPr>
          <w:sz w:val="16"/>
          <w:szCs w:val="16"/>
        </w:rPr>
      </w:pPr>
      <w:r w:rsidRPr="00152C57">
        <w:rPr>
          <w:rStyle w:val="FootnoteReference"/>
          <w:sz w:val="16"/>
          <w:szCs w:val="16"/>
        </w:rPr>
        <w:footnoteRef/>
      </w:r>
      <w:r w:rsidRPr="00152C57">
        <w:rPr>
          <w:sz w:val="16"/>
          <w:szCs w:val="16"/>
        </w:rPr>
        <w:t xml:space="preserve"> </w:t>
      </w:r>
      <w:r w:rsidR="0052484F" w:rsidRPr="00152C57">
        <w:rPr>
          <w:sz w:val="16"/>
          <w:szCs w:val="16"/>
        </w:rPr>
        <w:t xml:space="preserve">El </w:t>
      </w:r>
      <w:r w:rsidRPr="00152C57">
        <w:rPr>
          <w:sz w:val="16"/>
          <w:szCs w:val="16"/>
        </w:rPr>
        <w:t>artículo 80 inciso 1 del Código Penal Argentino sanciona con reclusión perpetua o prisión perpetua a quien provocase la muerte de su ascendiente, descendiente, o cónyuge</w:t>
      </w:r>
      <w:r w:rsidR="0052484F" w:rsidRPr="00152C57">
        <w:rPr>
          <w:sz w:val="16"/>
          <w:szCs w:val="16"/>
        </w:rPr>
        <w:t>.</w:t>
      </w:r>
    </w:p>
  </w:footnote>
  <w:footnote w:id="2">
    <w:p w14:paraId="1DEAF0CA" w14:textId="121F5B86" w:rsidR="00E8510C" w:rsidRPr="00152C57" w:rsidRDefault="00E8510C" w:rsidP="00152C57">
      <w:pPr>
        <w:pStyle w:val="FootnoteText"/>
        <w:ind w:left="811" w:right="40" w:firstLine="629"/>
        <w:jc w:val="both"/>
        <w:rPr>
          <w:sz w:val="16"/>
          <w:szCs w:val="16"/>
        </w:rPr>
      </w:pPr>
      <w:r w:rsidRPr="00152C57">
        <w:rPr>
          <w:rStyle w:val="FootnoteReference"/>
          <w:sz w:val="16"/>
          <w:szCs w:val="16"/>
        </w:rPr>
        <w:footnoteRef/>
      </w:r>
      <w:r w:rsidRPr="00152C57">
        <w:rPr>
          <w:sz w:val="16"/>
          <w:szCs w:val="16"/>
        </w:rPr>
        <w:t xml:space="preserve"> Las condiciones impuestas eran las siguientes: constituir domicilio en la provincia y no ausentarse por más de veinticuatro horas sin autorización judicial; someterse al cuidado del Patronato de Liberados; adoptar un trabajo u oficio e informar su lugar y horario en el plazo de un mes; abstenerse de la ingesta abusiva de alcohol y del consumo de estupefacientes; no cometer nuevos delitos ni frecuentar lugares o personas inconvenientes para su adecuada resocialización; y realizar un tratamiento psicoterapéutico para trabajar su impulsividad.</w:t>
      </w:r>
    </w:p>
  </w:footnote>
  <w:footnote w:id="3">
    <w:p w14:paraId="5B785416" w14:textId="36F54B72" w:rsidR="00536852" w:rsidRPr="00152C57" w:rsidRDefault="00536852" w:rsidP="00152C57">
      <w:pPr>
        <w:pStyle w:val="FootnoteText"/>
        <w:ind w:left="811" w:right="40" w:firstLine="629"/>
        <w:jc w:val="both"/>
        <w:rPr>
          <w:sz w:val="16"/>
          <w:szCs w:val="16"/>
        </w:rPr>
      </w:pPr>
      <w:r w:rsidRPr="00152C57">
        <w:rPr>
          <w:rStyle w:val="FootnoteReference"/>
          <w:sz w:val="16"/>
          <w:szCs w:val="16"/>
        </w:rPr>
        <w:footnoteRef/>
      </w:r>
      <w:r w:rsidRPr="00152C57">
        <w:rPr>
          <w:sz w:val="16"/>
          <w:szCs w:val="16"/>
        </w:rPr>
        <w:t xml:space="preserve"> Cf., </w:t>
      </w:r>
      <w:r w:rsidRPr="00152C57">
        <w:rPr>
          <w:i/>
          <w:iCs/>
          <w:sz w:val="16"/>
          <w:szCs w:val="16"/>
        </w:rPr>
        <w:t>v.g.</w:t>
      </w:r>
      <w:r w:rsidRPr="00152C57">
        <w:rPr>
          <w:sz w:val="16"/>
          <w:szCs w:val="16"/>
        </w:rPr>
        <w:t>, CIDH, Informe No. 69/08, Petición 681-00. Admisibilidad. Guillermo Patricio Lynn. Argentina. 16 de octubre de 2008, párr. 48.</w:t>
      </w:r>
    </w:p>
  </w:footnote>
  <w:footnote w:id="4">
    <w:p w14:paraId="28166491" w14:textId="5904FCC3" w:rsidR="00904A45" w:rsidRPr="00152C57" w:rsidRDefault="00904A45" w:rsidP="00152C57">
      <w:pPr>
        <w:pStyle w:val="FootnoteText"/>
        <w:ind w:left="811" w:right="40" w:firstLine="629"/>
        <w:jc w:val="both"/>
        <w:rPr>
          <w:sz w:val="16"/>
          <w:szCs w:val="16"/>
        </w:rPr>
      </w:pPr>
      <w:r w:rsidRPr="00152C57">
        <w:rPr>
          <w:rStyle w:val="FootnoteReference"/>
          <w:sz w:val="16"/>
          <w:szCs w:val="16"/>
        </w:rPr>
        <w:footnoteRef/>
      </w:r>
      <w:r w:rsidRPr="00152C57">
        <w:rPr>
          <w:sz w:val="16"/>
          <w:szCs w:val="16"/>
        </w:rPr>
        <w:t xml:space="preserve"> Cf., </w:t>
      </w:r>
      <w:r w:rsidRPr="00152C57">
        <w:rPr>
          <w:i/>
          <w:iCs/>
          <w:sz w:val="16"/>
          <w:szCs w:val="16"/>
        </w:rPr>
        <w:t>v.g.</w:t>
      </w:r>
      <w:r w:rsidRPr="00152C57">
        <w:rPr>
          <w:sz w:val="16"/>
          <w:szCs w:val="16"/>
        </w:rPr>
        <w:t>, CIDH, Informe No. 64/14, Petición 806-06. Admisibilidad. Laureano Brizuela Wilde. México. 25 de julio de 2014, párr. 43.</w:t>
      </w:r>
    </w:p>
  </w:footnote>
  <w:footnote w:id="5">
    <w:p w14:paraId="102D0F74" w14:textId="77777777" w:rsidR="00A70099" w:rsidRPr="00152C57" w:rsidRDefault="00A70099" w:rsidP="00A70099">
      <w:pPr>
        <w:pStyle w:val="FootnoteText"/>
        <w:ind w:left="811" w:right="40" w:firstLine="629"/>
        <w:jc w:val="both"/>
        <w:rPr>
          <w:sz w:val="16"/>
          <w:szCs w:val="16"/>
        </w:rPr>
      </w:pPr>
      <w:r w:rsidRPr="00152C57">
        <w:rPr>
          <w:rStyle w:val="FootnoteReference"/>
          <w:sz w:val="16"/>
          <w:szCs w:val="16"/>
        </w:rPr>
        <w:footnoteRef/>
      </w:r>
      <w:r w:rsidRPr="00152C57">
        <w:rPr>
          <w:sz w:val="16"/>
          <w:szCs w:val="16"/>
        </w:rPr>
        <w:t xml:space="preserve"> Según el propio Estado: “En el presente caso, el Sr. FERREYRA PEREYRA se enfrentaba ya no a una </w:t>
      </w:r>
      <w:r w:rsidRPr="00152C57">
        <w:rPr>
          <w:i/>
          <w:iCs/>
          <w:sz w:val="16"/>
          <w:szCs w:val="16"/>
        </w:rPr>
        <w:t xml:space="preserve">“futura sentencia” </w:t>
      </w:r>
      <w:r w:rsidRPr="00152C57">
        <w:rPr>
          <w:sz w:val="16"/>
          <w:szCs w:val="16"/>
        </w:rPr>
        <w:t>sino a una sentencia efectivamente dictada por el Tribunal Oral que lo juzgó; y si bien dicho pronunciamiento no había adquirido firmeza, su culpabilidad había sido declarada por los órganos judiciales del Estado, los cuales le concedieron la libertad por imperio de la Ley 24.390 y bajo caución juratoria, de conformidad con lo establecido por el artículo 169, inciso 10, del Código de Procedimiento Penal bonaerense, que prevé la excarcelación cuando “</w:t>
      </w:r>
      <w:r w:rsidRPr="00152C57">
        <w:rPr>
          <w:i/>
          <w:iCs/>
          <w:sz w:val="16"/>
          <w:szCs w:val="16"/>
        </w:rPr>
        <w:t>la sentencia no firme imponga pena que permita la obtención de la libertad condicional o libertad asistida y concurran las demás condiciones necesarias para acordarla”</w:t>
      </w:r>
      <w:r w:rsidRPr="00152C57">
        <w:rPr>
          <w:sz w:val="16"/>
          <w:szCs w:val="16"/>
        </w:rPr>
        <w:t>.” Cf. Escrito del Estado de 8 de diciembre de 2017, página 17.</w:t>
      </w:r>
    </w:p>
  </w:footnote>
  <w:footnote w:id="6">
    <w:p w14:paraId="2BB67E21" w14:textId="77777777" w:rsidR="00A70099" w:rsidRPr="00152C57" w:rsidRDefault="00A70099" w:rsidP="00A70099">
      <w:pPr>
        <w:pStyle w:val="FootnoteText"/>
        <w:ind w:left="811" w:right="40" w:firstLine="629"/>
        <w:jc w:val="both"/>
        <w:rPr>
          <w:i/>
          <w:iCs/>
          <w:sz w:val="16"/>
          <w:szCs w:val="16"/>
        </w:rPr>
      </w:pPr>
      <w:r w:rsidRPr="00152C57">
        <w:rPr>
          <w:rStyle w:val="FootnoteReference"/>
          <w:sz w:val="16"/>
          <w:szCs w:val="16"/>
        </w:rPr>
        <w:footnoteRef/>
      </w:r>
      <w:r w:rsidRPr="00152C57">
        <w:rPr>
          <w:sz w:val="16"/>
          <w:szCs w:val="16"/>
        </w:rPr>
        <w:t xml:space="preserve"> </w:t>
      </w:r>
      <w:r>
        <w:rPr>
          <w:sz w:val="16"/>
          <w:szCs w:val="16"/>
        </w:rPr>
        <w:t>C</w:t>
      </w:r>
      <w:r w:rsidRPr="00152C57">
        <w:rPr>
          <w:sz w:val="16"/>
          <w:szCs w:val="16"/>
        </w:rPr>
        <w:t xml:space="preserve">f. CIDH. </w:t>
      </w:r>
      <w:hyperlink r:id="rId1" w:history="1">
        <w:r w:rsidRPr="00152C57">
          <w:rPr>
            <w:rStyle w:val="Hyperlink"/>
            <w:sz w:val="16"/>
            <w:szCs w:val="16"/>
          </w:rPr>
          <w:t>Informe de Admisibilidad No. 02/01. Caso 11.280</w:t>
        </w:r>
      </w:hyperlink>
      <w:r w:rsidRPr="00152C57">
        <w:rPr>
          <w:sz w:val="16"/>
          <w:szCs w:val="16"/>
        </w:rPr>
        <w:t xml:space="preserve">. Juan Carlos Bayarri. Argentina. </w:t>
      </w:r>
      <w:r w:rsidRPr="00152C57">
        <w:rPr>
          <w:sz w:val="16"/>
          <w:szCs w:val="16"/>
          <w:lang w:val="es-AR"/>
        </w:rPr>
        <w:t>19 de enero de 2001, párrafos 2, 32 (“2. El peticionario denunció que fue detenido arbitrariamente el 18 de noviembre de 1991 sin orden judicial y fue sometido a torturas, bajo las cuales confesó ante la Policía haber participado en el secuestro de varias personas.  […]  Asimismo, el peticionario alega que se encuentra detenido preventivamente por más de 8 años, a pesar de haber solicitado en varias oportunidades la excarcelación, la cual ha sido rechazada arbitrariamente por los tribunales. […] 32. […] [C]</w:t>
      </w:r>
      <w:r w:rsidRPr="00152C57">
        <w:rPr>
          <w:sz w:val="16"/>
          <w:szCs w:val="16"/>
        </w:rPr>
        <w:t xml:space="preserve">on relación a las causas penales por los delitos de Apremios Ilegales y de Privación Ilegítima de la Libertad para obtener remedio por las presuntas violaciones de los artículos 5 y 7 de la Convención, el peticionario alegó que había un retraso injustificado y hasta el momento no había decisión definitiva.  Al respecto, el Estado señaló que no se habían agotado los recursos internos en virtud de que dichas causas aun se encontraban en trámite. </w:t>
      </w:r>
      <w:r w:rsidRPr="00152C57">
        <w:rPr>
          <w:sz w:val="16"/>
          <w:szCs w:val="16"/>
          <w:lang w:val="es-AR"/>
        </w:rPr>
        <w:t>La Comisión considera que el lapso de más de nueve años desde el inicio de las mismas en 1991 hasta la presente fecha, constituye prima facie un retardo injustificado en los mencionados procesos penales. En consecuencia, al configurarse la excepción prevista en el artículo 46(2)(c) de la Convención, no se aplica la regla de agotamiento de los recursos internos prevista en el artículo 46(1)(a) de la Convención.””).</w:t>
      </w:r>
    </w:p>
  </w:footnote>
  <w:footnote w:id="7">
    <w:p w14:paraId="144A0D84" w14:textId="18A9627F" w:rsidR="00152C57" w:rsidRPr="00152C57" w:rsidRDefault="00152C57" w:rsidP="00D360FB">
      <w:pPr>
        <w:pStyle w:val="FootnoteText"/>
        <w:ind w:left="720" w:firstLine="629"/>
        <w:jc w:val="both"/>
        <w:rPr>
          <w:sz w:val="16"/>
          <w:szCs w:val="16"/>
        </w:rPr>
      </w:pPr>
      <w:r w:rsidRPr="00152C57">
        <w:rPr>
          <w:rStyle w:val="FootnoteReference"/>
          <w:sz w:val="16"/>
          <w:szCs w:val="16"/>
        </w:rPr>
        <w:footnoteRef/>
      </w:r>
      <w:r w:rsidRPr="00152C57">
        <w:rPr>
          <w:sz w:val="16"/>
          <w:szCs w:val="16"/>
        </w:rPr>
        <w:t xml:space="preserve"> CIDH, Informe No. 4/15, Petición582-01. Admisibilidad. </w:t>
      </w:r>
      <w:r w:rsidRPr="00152C57">
        <w:rPr>
          <w:sz w:val="16"/>
          <w:szCs w:val="16"/>
          <w:lang w:val="pt-BR"/>
        </w:rPr>
        <w:t xml:space="preserve">Raúl Rolando Romero Feris. Argentina. </w:t>
      </w:r>
      <w:r w:rsidRPr="00152C57">
        <w:rPr>
          <w:sz w:val="16"/>
          <w:szCs w:val="16"/>
        </w:rPr>
        <w:t>29 de enero de 2015, párr.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A08F" w14:textId="63D7B9B4" w:rsidR="0065070E" w:rsidRDefault="0065070E" w:rsidP="0065070E">
    <w:pPr>
      <w:pStyle w:val="Header"/>
      <w:jc w:val="center"/>
    </w:pPr>
    <w:r>
      <w:rPr>
        <w:noProof/>
      </w:rPr>
      <w:drawing>
        <wp:inline distT="0" distB="0" distL="0" distR="0" wp14:anchorId="5CFAA2C9" wp14:editId="1643E30C">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5FC23CD" w14:textId="6C8E6C8A" w:rsidR="0065070E" w:rsidRDefault="001A0595" w:rsidP="00542CB9">
    <w:pPr>
      <w:pStyle w:val="Header"/>
      <w:ind w:left="630"/>
      <w:jc w:val="center"/>
    </w:pPr>
    <w:r>
      <w:pict w14:anchorId="45EF5756">
        <v:rect id="_x0000_i1025" style="width:463.9pt;height:.15pt" o:hrpct="987"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1" w15:restartNumberingAfterBreak="0">
    <w:nsid w:val="57021CDB"/>
    <w:multiLevelType w:val="hybridMultilevel"/>
    <w:tmpl w:val="7BA620FC"/>
    <w:lvl w:ilvl="0" w:tplc="C93C930E">
      <w:start w:val="1"/>
      <w:numFmt w:val="upperRoman"/>
      <w:lvlText w:val="%1."/>
      <w:lvlJc w:val="left"/>
      <w:pPr>
        <w:ind w:left="2199"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2" w15:restartNumberingAfterBreak="0">
    <w:nsid w:val="64486C16"/>
    <w:multiLevelType w:val="hybridMultilevel"/>
    <w:tmpl w:val="16FE85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7F"/>
    <w:rsid w:val="00001ECC"/>
    <w:rsid w:val="00035FF1"/>
    <w:rsid w:val="00060129"/>
    <w:rsid w:val="00113C4F"/>
    <w:rsid w:val="001223F2"/>
    <w:rsid w:val="00152C57"/>
    <w:rsid w:val="001A0595"/>
    <w:rsid w:val="001D4B05"/>
    <w:rsid w:val="002022F0"/>
    <w:rsid w:val="002126CD"/>
    <w:rsid w:val="00220FFB"/>
    <w:rsid w:val="0026469F"/>
    <w:rsid w:val="002869A4"/>
    <w:rsid w:val="002B0C7A"/>
    <w:rsid w:val="00317E54"/>
    <w:rsid w:val="003411B6"/>
    <w:rsid w:val="003829C5"/>
    <w:rsid w:val="00384195"/>
    <w:rsid w:val="004125B5"/>
    <w:rsid w:val="00437890"/>
    <w:rsid w:val="00443572"/>
    <w:rsid w:val="00483404"/>
    <w:rsid w:val="004C4B41"/>
    <w:rsid w:val="004D44BC"/>
    <w:rsid w:val="004F74A7"/>
    <w:rsid w:val="0052484F"/>
    <w:rsid w:val="00536852"/>
    <w:rsid w:val="00542CB9"/>
    <w:rsid w:val="00555821"/>
    <w:rsid w:val="00586D3D"/>
    <w:rsid w:val="0065070E"/>
    <w:rsid w:val="00652350"/>
    <w:rsid w:val="006856C3"/>
    <w:rsid w:val="00685E3C"/>
    <w:rsid w:val="006A3793"/>
    <w:rsid w:val="00706790"/>
    <w:rsid w:val="007367F9"/>
    <w:rsid w:val="0075545F"/>
    <w:rsid w:val="0079264E"/>
    <w:rsid w:val="007E16D2"/>
    <w:rsid w:val="00807BF6"/>
    <w:rsid w:val="00812B49"/>
    <w:rsid w:val="0081407D"/>
    <w:rsid w:val="00855DA2"/>
    <w:rsid w:val="008818E3"/>
    <w:rsid w:val="008B7A6E"/>
    <w:rsid w:val="008D2D69"/>
    <w:rsid w:val="00904A45"/>
    <w:rsid w:val="0091162B"/>
    <w:rsid w:val="00925902"/>
    <w:rsid w:val="00987AEF"/>
    <w:rsid w:val="009E2F6F"/>
    <w:rsid w:val="00A1206F"/>
    <w:rsid w:val="00A45FD1"/>
    <w:rsid w:val="00A70099"/>
    <w:rsid w:val="00A934CD"/>
    <w:rsid w:val="00AB16FB"/>
    <w:rsid w:val="00AD0BFF"/>
    <w:rsid w:val="00AE217D"/>
    <w:rsid w:val="00B22F5E"/>
    <w:rsid w:val="00B250EB"/>
    <w:rsid w:val="00B40AED"/>
    <w:rsid w:val="00B610FB"/>
    <w:rsid w:val="00B653C2"/>
    <w:rsid w:val="00BA111E"/>
    <w:rsid w:val="00BA6930"/>
    <w:rsid w:val="00C02C7F"/>
    <w:rsid w:val="00CE7CD2"/>
    <w:rsid w:val="00D1487D"/>
    <w:rsid w:val="00D360FB"/>
    <w:rsid w:val="00D805E4"/>
    <w:rsid w:val="00E16450"/>
    <w:rsid w:val="00E80E1F"/>
    <w:rsid w:val="00E8510C"/>
    <w:rsid w:val="00E86A6E"/>
    <w:rsid w:val="00EE7BDA"/>
    <w:rsid w:val="00F65C07"/>
    <w:rsid w:val="00F75FF5"/>
    <w:rsid w:val="00F94692"/>
    <w:rsid w:val="00FD220E"/>
    <w:rsid w:val="00FE1DDB"/>
    <w:rsid w:val="00FF4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eastAsia="es-ES" w:bidi="es-ES"/>
    </w:rPr>
  </w:style>
  <w:style w:type="paragraph" w:styleId="Heading1">
    <w:name w:val="heading 1"/>
    <w:basedOn w:val="Normal"/>
    <w:uiPriority w:val="9"/>
    <w:qFormat/>
    <w:pPr>
      <w:ind w:left="3040"/>
      <w:outlineLvl w:val="0"/>
    </w:pPr>
    <w:rPr>
      <w:sz w:val="24"/>
      <w:szCs w:val="24"/>
    </w:rPr>
  </w:style>
  <w:style w:type="paragraph" w:styleId="Heading2">
    <w:name w:val="heading 2"/>
    <w:basedOn w:val="Normal"/>
    <w:uiPriority w:val="9"/>
    <w:unhideWhenUsed/>
    <w:qFormat/>
    <w:pPr>
      <w:spacing w:before="122"/>
      <w:ind w:left="2199" w:hanging="7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758" w:hanging="721"/>
      <w:jc w:val="both"/>
    </w:pPr>
  </w:style>
  <w:style w:type="paragraph" w:customStyle="1" w:styleId="TableParagraph">
    <w:name w:val="Table Paragraph"/>
    <w:basedOn w:val="Normal"/>
    <w:uiPriority w:val="1"/>
    <w:qFormat/>
    <w:pPr>
      <w:spacing w:line="203" w:lineRule="exact"/>
      <w:ind w:left="105"/>
    </w:pPr>
  </w:style>
  <w:style w:type="paragraph" w:styleId="Header">
    <w:name w:val="header"/>
    <w:basedOn w:val="Normal"/>
    <w:link w:val="HeaderChar"/>
    <w:uiPriority w:val="99"/>
    <w:unhideWhenUsed/>
    <w:rsid w:val="00035FF1"/>
    <w:pPr>
      <w:tabs>
        <w:tab w:val="center" w:pos="4252"/>
        <w:tab w:val="right" w:pos="8504"/>
      </w:tabs>
    </w:pPr>
  </w:style>
  <w:style w:type="character" w:customStyle="1" w:styleId="HeaderChar">
    <w:name w:val="Header Char"/>
    <w:basedOn w:val="DefaultParagraphFont"/>
    <w:link w:val="Header"/>
    <w:uiPriority w:val="99"/>
    <w:rsid w:val="00035FF1"/>
    <w:rPr>
      <w:rFonts w:ascii="Cambria" w:eastAsia="Cambria" w:hAnsi="Cambria" w:cs="Cambria"/>
      <w:lang w:val="es-ES" w:eastAsia="es-ES" w:bidi="es-ES"/>
    </w:rPr>
  </w:style>
  <w:style w:type="paragraph" w:styleId="Footer">
    <w:name w:val="footer"/>
    <w:basedOn w:val="Normal"/>
    <w:link w:val="FooterChar"/>
    <w:uiPriority w:val="99"/>
    <w:unhideWhenUsed/>
    <w:rsid w:val="00035FF1"/>
    <w:pPr>
      <w:tabs>
        <w:tab w:val="center" w:pos="4252"/>
        <w:tab w:val="right" w:pos="8504"/>
      </w:tabs>
    </w:pPr>
  </w:style>
  <w:style w:type="character" w:customStyle="1" w:styleId="FooterChar">
    <w:name w:val="Footer Char"/>
    <w:basedOn w:val="DefaultParagraphFont"/>
    <w:link w:val="Footer"/>
    <w:uiPriority w:val="99"/>
    <w:rsid w:val="00035FF1"/>
    <w:rPr>
      <w:rFonts w:ascii="Cambria" w:eastAsia="Cambria" w:hAnsi="Cambria" w:cs="Cambria"/>
      <w:lang w:val="es-ES" w:eastAsia="es-ES" w:bidi="es-ES"/>
    </w:rPr>
  </w:style>
  <w:style w:type="paragraph" w:styleId="FootnoteText">
    <w:name w:val="footnote text"/>
    <w:basedOn w:val="Normal"/>
    <w:link w:val="FootnoteTextChar"/>
    <w:uiPriority w:val="99"/>
    <w:semiHidden/>
    <w:unhideWhenUsed/>
    <w:rsid w:val="00536852"/>
    <w:rPr>
      <w:sz w:val="20"/>
      <w:szCs w:val="20"/>
    </w:rPr>
  </w:style>
  <w:style w:type="character" w:customStyle="1" w:styleId="FootnoteTextChar">
    <w:name w:val="Footnote Text Char"/>
    <w:basedOn w:val="DefaultParagraphFont"/>
    <w:link w:val="FootnoteText"/>
    <w:uiPriority w:val="99"/>
    <w:semiHidden/>
    <w:rsid w:val="00536852"/>
    <w:rPr>
      <w:rFonts w:ascii="Cambria" w:eastAsia="Cambria" w:hAnsi="Cambria" w:cs="Cambria"/>
      <w:sz w:val="20"/>
      <w:szCs w:val="20"/>
      <w:lang w:val="es-ES" w:eastAsia="es-ES" w:bidi="es-ES"/>
    </w:rPr>
  </w:style>
  <w:style w:type="character" w:styleId="FootnoteReference">
    <w:name w:val="footnote reference"/>
    <w:basedOn w:val="DefaultParagraphFont"/>
    <w:uiPriority w:val="99"/>
    <w:semiHidden/>
    <w:unhideWhenUsed/>
    <w:rsid w:val="00536852"/>
    <w:rPr>
      <w:vertAlign w:val="superscript"/>
    </w:rPr>
  </w:style>
  <w:style w:type="character" w:styleId="CommentReference">
    <w:name w:val="annotation reference"/>
    <w:basedOn w:val="DefaultParagraphFont"/>
    <w:uiPriority w:val="99"/>
    <w:semiHidden/>
    <w:unhideWhenUsed/>
    <w:rsid w:val="007367F9"/>
    <w:rPr>
      <w:sz w:val="16"/>
      <w:szCs w:val="16"/>
    </w:rPr>
  </w:style>
  <w:style w:type="paragraph" w:styleId="CommentText">
    <w:name w:val="annotation text"/>
    <w:basedOn w:val="Normal"/>
    <w:link w:val="CommentTextChar"/>
    <w:uiPriority w:val="99"/>
    <w:semiHidden/>
    <w:unhideWhenUsed/>
    <w:rsid w:val="007367F9"/>
    <w:rPr>
      <w:sz w:val="20"/>
      <w:szCs w:val="20"/>
    </w:rPr>
  </w:style>
  <w:style w:type="character" w:customStyle="1" w:styleId="CommentTextChar">
    <w:name w:val="Comment Text Char"/>
    <w:basedOn w:val="DefaultParagraphFont"/>
    <w:link w:val="CommentText"/>
    <w:uiPriority w:val="99"/>
    <w:semiHidden/>
    <w:rsid w:val="007367F9"/>
    <w:rPr>
      <w:rFonts w:ascii="Cambria" w:eastAsia="Cambria" w:hAnsi="Cambria" w:cs="Cambria"/>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7367F9"/>
    <w:rPr>
      <w:b/>
      <w:bCs/>
    </w:rPr>
  </w:style>
  <w:style w:type="character" w:customStyle="1" w:styleId="CommentSubjectChar">
    <w:name w:val="Comment Subject Char"/>
    <w:basedOn w:val="CommentTextChar"/>
    <w:link w:val="CommentSubject"/>
    <w:uiPriority w:val="99"/>
    <w:semiHidden/>
    <w:rsid w:val="007367F9"/>
    <w:rPr>
      <w:rFonts w:ascii="Cambria" w:eastAsia="Cambria" w:hAnsi="Cambria" w:cs="Cambria"/>
      <w:b/>
      <w:bCs/>
      <w:sz w:val="20"/>
      <w:szCs w:val="20"/>
      <w:lang w:val="es-ES" w:eastAsia="es-ES" w:bidi="es-ES"/>
    </w:rPr>
  </w:style>
  <w:style w:type="character" w:styleId="Hyperlink">
    <w:name w:val="Hyperlink"/>
    <w:basedOn w:val="DefaultParagraphFont"/>
    <w:uiPriority w:val="99"/>
    <w:unhideWhenUsed/>
    <w:rsid w:val="00437890"/>
    <w:rPr>
      <w:color w:val="0000FF" w:themeColor="hyperlink"/>
      <w:u w:val="single"/>
    </w:rPr>
  </w:style>
  <w:style w:type="character" w:styleId="UnresolvedMention">
    <w:name w:val="Unresolved Mention"/>
    <w:basedOn w:val="DefaultParagraphFont"/>
    <w:uiPriority w:val="99"/>
    <w:semiHidden/>
    <w:unhideWhenUsed/>
    <w:rsid w:val="00437890"/>
    <w:rPr>
      <w:color w:val="605E5C"/>
      <w:shd w:val="clear" w:color="auto" w:fill="E1DFDD"/>
    </w:rPr>
  </w:style>
  <w:style w:type="character" w:styleId="FollowedHyperlink">
    <w:name w:val="FollowedHyperlink"/>
    <w:basedOn w:val="DefaultParagraphFont"/>
    <w:uiPriority w:val="99"/>
    <w:semiHidden/>
    <w:unhideWhenUsed/>
    <w:rsid w:val="004378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idh.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annualrep/2000sp/CapituloIII/admisible/Argentina11.28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690A-7610-4917-9EB2-70A97511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3030</Words>
  <Characters>15972</Characters>
  <Application>Microsoft Office Word</Application>
  <DocSecurity>0</DocSecurity>
  <Lines>301</Lines>
  <Paragraphs>68</Paragraphs>
  <ScaleCrop>false</ScaleCrop>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189/21</dc:title>
  <dc:creator/>
  <cp:lastModifiedBy/>
  <cp:revision>1</cp:revision>
  <dcterms:created xsi:type="dcterms:W3CDTF">2021-09-21T12:31:00Z</dcterms:created>
  <dcterms:modified xsi:type="dcterms:W3CDTF">2021-09-23T13:01:00Z</dcterms:modified>
</cp:coreProperties>
</file>