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1C4A9" w14:textId="77777777" w:rsidR="00040C3A" w:rsidRPr="008F5418" w:rsidRDefault="00D306D1" w:rsidP="00627C9F">
      <w:pPr>
        <w:jc w:val="both"/>
        <w:rPr>
          <w:rFonts w:ascii="Cambria" w:hAnsi="Cambria" w:cs="Univers"/>
          <w:b/>
          <w:bCs/>
          <w:sz w:val="22"/>
          <w:szCs w:val="22"/>
          <w:lang w:val="es-ES_tradnl"/>
        </w:rPr>
      </w:pPr>
      <w:r w:rsidRPr="008F5418">
        <w:rPr>
          <w:rFonts w:ascii="Cambria" w:hAnsi="Cambria"/>
          <w:noProof/>
          <w:sz w:val="22"/>
          <w:szCs w:val="22"/>
        </w:rPr>
        <mc:AlternateContent>
          <mc:Choice Requires="wps">
            <w:drawing>
              <wp:anchor distT="0" distB="0" distL="114300" distR="114300" simplePos="0" relativeHeight="251661311" behindDoc="0" locked="0" layoutInCell="1" allowOverlap="1" wp14:anchorId="29BDE135" wp14:editId="747567D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84F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8F5418">
        <w:rPr>
          <w:rFonts w:ascii="Cambria" w:hAnsi="Cambria"/>
          <w:noProof/>
          <w:sz w:val="22"/>
          <w:szCs w:val="22"/>
        </w:rPr>
        <mc:AlternateContent>
          <mc:Choice Requires="wps">
            <w:drawing>
              <wp:anchor distT="0" distB="0" distL="114300" distR="114300" simplePos="0" relativeHeight="251673600" behindDoc="0" locked="0" layoutInCell="1" allowOverlap="1" wp14:anchorId="571ECA00" wp14:editId="533842B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3F752" w14:textId="77777777" w:rsidR="008F5418" w:rsidRDefault="008F5418" w:rsidP="00AE5488">
                            <w:r>
                              <w:rPr>
                                <w:noProof/>
                              </w:rPr>
                              <w:drawing>
                                <wp:inline distT="0" distB="0" distL="0" distR="0" wp14:anchorId="0789BEE8" wp14:editId="4A6D731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rsidR="008F5418" w:rsidRDefault="008F541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8F5418">
        <w:rPr>
          <w:rFonts w:ascii="Cambria" w:hAnsi="Cambria" w:cs="Univers"/>
          <w:b/>
          <w:bCs/>
          <w:sz w:val="22"/>
          <w:szCs w:val="22"/>
          <w:lang w:val="es-ES_tradnl"/>
        </w:rPr>
        <w:t xml:space="preserve"> </w:t>
      </w:r>
    </w:p>
    <w:p w14:paraId="6DD27251" w14:textId="77777777" w:rsidR="00040C3A" w:rsidRPr="008F5418" w:rsidRDefault="00040C3A" w:rsidP="00040C3A">
      <w:pPr>
        <w:tabs>
          <w:tab w:val="center" w:pos="5400"/>
        </w:tabs>
        <w:suppressAutoHyphens/>
        <w:jc w:val="both"/>
        <w:rPr>
          <w:rFonts w:ascii="Cambria" w:hAnsi="Cambria"/>
          <w:sz w:val="22"/>
          <w:szCs w:val="22"/>
          <w:lang w:val="es-ES"/>
        </w:rPr>
      </w:pPr>
    </w:p>
    <w:p w14:paraId="3D786F0F" w14:textId="77777777" w:rsidR="00040C3A" w:rsidRPr="008F5418" w:rsidRDefault="00040C3A" w:rsidP="00040C3A">
      <w:pPr>
        <w:tabs>
          <w:tab w:val="center" w:pos="5400"/>
        </w:tabs>
        <w:suppressAutoHyphens/>
        <w:jc w:val="both"/>
        <w:rPr>
          <w:rFonts w:ascii="Cambria" w:hAnsi="Cambria"/>
          <w:sz w:val="22"/>
          <w:szCs w:val="22"/>
          <w:lang w:val="es-ES"/>
        </w:rPr>
      </w:pPr>
    </w:p>
    <w:p w14:paraId="50496000" w14:textId="77777777" w:rsidR="005128E4" w:rsidRPr="008F5418" w:rsidRDefault="005128E4" w:rsidP="00040C3A">
      <w:pPr>
        <w:tabs>
          <w:tab w:val="center" w:pos="5400"/>
        </w:tabs>
        <w:suppressAutoHyphens/>
        <w:rPr>
          <w:rFonts w:ascii="Cambria" w:hAnsi="Cambria"/>
          <w:sz w:val="22"/>
          <w:szCs w:val="22"/>
          <w:lang w:val="es-ES_tradnl"/>
        </w:rPr>
      </w:pPr>
    </w:p>
    <w:p w14:paraId="29F4B9C4" w14:textId="77777777" w:rsidR="005128E4" w:rsidRPr="008F5418" w:rsidRDefault="005128E4" w:rsidP="00040C3A">
      <w:pPr>
        <w:tabs>
          <w:tab w:val="center" w:pos="5400"/>
        </w:tabs>
        <w:suppressAutoHyphens/>
        <w:rPr>
          <w:rFonts w:ascii="Cambria" w:hAnsi="Cambria"/>
          <w:sz w:val="22"/>
          <w:szCs w:val="22"/>
          <w:lang w:val="es-ES_tradnl"/>
        </w:rPr>
      </w:pPr>
    </w:p>
    <w:p w14:paraId="2C875EE8" w14:textId="77777777" w:rsidR="005128E4" w:rsidRPr="008F5418" w:rsidRDefault="005128E4" w:rsidP="00040C3A">
      <w:pPr>
        <w:tabs>
          <w:tab w:val="center" w:pos="5400"/>
        </w:tabs>
        <w:suppressAutoHyphens/>
        <w:rPr>
          <w:rFonts w:ascii="Cambria" w:hAnsi="Cambria"/>
          <w:sz w:val="22"/>
          <w:szCs w:val="22"/>
          <w:lang w:val="es-ES_tradnl"/>
        </w:rPr>
      </w:pPr>
    </w:p>
    <w:p w14:paraId="6050C7CA" w14:textId="77777777" w:rsidR="00040C3A" w:rsidRPr="008F5418" w:rsidRDefault="00040C3A" w:rsidP="005128E4">
      <w:pPr>
        <w:tabs>
          <w:tab w:val="center" w:pos="5400"/>
        </w:tabs>
        <w:suppressAutoHyphens/>
        <w:jc w:val="center"/>
        <w:rPr>
          <w:rFonts w:ascii="Cambria" w:hAnsi="Cambria"/>
          <w:sz w:val="22"/>
          <w:szCs w:val="22"/>
          <w:lang w:val="es-ES_tradnl"/>
        </w:rPr>
      </w:pPr>
    </w:p>
    <w:p w14:paraId="160D8499" w14:textId="77777777" w:rsidR="00040C3A" w:rsidRPr="008F5418" w:rsidRDefault="00040C3A" w:rsidP="005128E4">
      <w:pPr>
        <w:tabs>
          <w:tab w:val="center" w:pos="5400"/>
        </w:tabs>
        <w:suppressAutoHyphens/>
        <w:jc w:val="center"/>
        <w:rPr>
          <w:rFonts w:ascii="Cambria" w:hAnsi="Cambria"/>
          <w:sz w:val="22"/>
          <w:szCs w:val="22"/>
          <w:lang w:val="es-ES_tradnl"/>
        </w:rPr>
      </w:pPr>
    </w:p>
    <w:p w14:paraId="1FA4B0DC" w14:textId="77777777" w:rsidR="005B52B0" w:rsidRPr="008F5418" w:rsidRDefault="005B52B0" w:rsidP="005128E4">
      <w:pPr>
        <w:tabs>
          <w:tab w:val="center" w:pos="5400"/>
        </w:tabs>
        <w:suppressAutoHyphens/>
        <w:jc w:val="center"/>
        <w:rPr>
          <w:rFonts w:ascii="Cambria" w:hAnsi="Cambria"/>
          <w:sz w:val="22"/>
          <w:szCs w:val="22"/>
          <w:lang w:val="es-ES_tradnl"/>
        </w:rPr>
      </w:pPr>
    </w:p>
    <w:p w14:paraId="0C21A225" w14:textId="77777777" w:rsidR="005B52B0" w:rsidRPr="008F5418" w:rsidRDefault="005B52B0" w:rsidP="005128E4">
      <w:pPr>
        <w:tabs>
          <w:tab w:val="center" w:pos="5400"/>
        </w:tabs>
        <w:suppressAutoHyphens/>
        <w:jc w:val="center"/>
        <w:rPr>
          <w:rFonts w:ascii="Cambria" w:hAnsi="Cambria"/>
          <w:sz w:val="22"/>
          <w:szCs w:val="22"/>
          <w:lang w:val="es-ES_tradnl"/>
        </w:rPr>
      </w:pPr>
    </w:p>
    <w:p w14:paraId="01561E17" w14:textId="77777777" w:rsidR="005B52B0" w:rsidRPr="008F5418" w:rsidRDefault="005B52B0" w:rsidP="005128E4">
      <w:pPr>
        <w:tabs>
          <w:tab w:val="center" w:pos="5400"/>
        </w:tabs>
        <w:suppressAutoHyphens/>
        <w:jc w:val="center"/>
        <w:rPr>
          <w:rFonts w:ascii="Cambria" w:hAnsi="Cambria"/>
          <w:sz w:val="22"/>
          <w:szCs w:val="22"/>
          <w:lang w:val="es-ES_tradnl"/>
        </w:rPr>
      </w:pPr>
    </w:p>
    <w:p w14:paraId="5FCD181E" w14:textId="77777777" w:rsidR="00040C3A" w:rsidRPr="008F5418" w:rsidRDefault="00040C3A" w:rsidP="00040C3A">
      <w:pPr>
        <w:tabs>
          <w:tab w:val="center" w:pos="5400"/>
        </w:tabs>
        <w:suppressAutoHyphens/>
        <w:jc w:val="center"/>
        <w:rPr>
          <w:rFonts w:ascii="Cambria" w:hAnsi="Cambria"/>
          <w:sz w:val="22"/>
          <w:szCs w:val="22"/>
          <w:lang w:val="es-ES_tradnl"/>
        </w:rPr>
      </w:pPr>
    </w:p>
    <w:p w14:paraId="5A2326D7" w14:textId="77777777" w:rsidR="00040C3A" w:rsidRPr="008F5418" w:rsidRDefault="00040C3A" w:rsidP="00040C3A">
      <w:pPr>
        <w:tabs>
          <w:tab w:val="center" w:pos="5400"/>
        </w:tabs>
        <w:suppressAutoHyphens/>
        <w:jc w:val="center"/>
        <w:rPr>
          <w:rFonts w:ascii="Cambria" w:hAnsi="Cambria"/>
          <w:sz w:val="22"/>
          <w:szCs w:val="22"/>
          <w:lang w:val="es-ES_tradnl"/>
        </w:rPr>
      </w:pPr>
    </w:p>
    <w:p w14:paraId="1195F9A6" w14:textId="77777777" w:rsidR="00040C3A" w:rsidRPr="008F5418" w:rsidRDefault="003D3BC2" w:rsidP="00040C3A">
      <w:pPr>
        <w:tabs>
          <w:tab w:val="center" w:pos="5400"/>
        </w:tabs>
        <w:suppressAutoHyphens/>
        <w:jc w:val="center"/>
        <w:rPr>
          <w:rFonts w:ascii="Cambria" w:hAnsi="Cambria"/>
          <w:sz w:val="22"/>
          <w:szCs w:val="22"/>
          <w:lang w:val="es-ES_tradnl"/>
        </w:rPr>
      </w:pPr>
      <w:r w:rsidRPr="008F5418">
        <w:rPr>
          <w:rFonts w:ascii="Cambria" w:hAnsi="Cambria"/>
          <w:noProof/>
          <w:sz w:val="22"/>
          <w:szCs w:val="22"/>
        </w:rPr>
        <mc:AlternateContent>
          <mc:Choice Requires="wps">
            <w:drawing>
              <wp:anchor distT="0" distB="0" distL="114300" distR="114300" simplePos="0" relativeHeight="251669504" behindDoc="0" locked="0" layoutInCell="1" allowOverlap="1" wp14:anchorId="3064ECE1" wp14:editId="2AE051A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D2F9C" w14:textId="440D6D39" w:rsidR="008F5418" w:rsidRPr="004E2649" w:rsidRDefault="008F541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87C29">
                              <w:rPr>
                                <w:rFonts w:asciiTheme="majorHAnsi" w:hAnsiTheme="majorHAnsi" w:cs="Arial"/>
                                <w:b/>
                                <w:bCs/>
                                <w:color w:val="0D0D0D" w:themeColor="text1" w:themeTint="F2"/>
                                <w:sz w:val="36"/>
                                <w:szCs w:val="22"/>
                                <w:lang w:val="es-ES_tradnl"/>
                              </w:rPr>
                              <w:t>58</w:t>
                            </w:r>
                            <w:r>
                              <w:rPr>
                                <w:rFonts w:asciiTheme="majorHAnsi" w:hAnsiTheme="majorHAnsi" w:cs="Arial"/>
                                <w:b/>
                                <w:bCs/>
                                <w:color w:val="0D0D0D" w:themeColor="text1" w:themeTint="F2"/>
                                <w:sz w:val="36"/>
                                <w:szCs w:val="22"/>
                                <w:lang w:val="es-ES_tradnl"/>
                              </w:rPr>
                              <w:t>/2</w:t>
                            </w:r>
                            <w:r w:rsidR="00C87C29">
                              <w:rPr>
                                <w:rFonts w:asciiTheme="majorHAnsi" w:hAnsiTheme="majorHAnsi" w:cs="Arial"/>
                                <w:b/>
                                <w:bCs/>
                                <w:color w:val="0D0D0D" w:themeColor="text1" w:themeTint="F2"/>
                                <w:sz w:val="36"/>
                                <w:szCs w:val="22"/>
                                <w:lang w:val="es-ES_tradnl"/>
                              </w:rPr>
                              <w:t>1</w:t>
                            </w:r>
                          </w:p>
                          <w:p w14:paraId="32F842F2" w14:textId="77777777" w:rsidR="008F5418" w:rsidRDefault="008F541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92D1E7E"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2F7CD25"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bookmarkStart w:id="0" w:name="_ftnref1"/>
                          </w:p>
                          <w:p w14:paraId="0785EA93"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HUGO MOLINA ZEQUEIRA</w:t>
                            </w:r>
                          </w:p>
                          <w:bookmarkEnd w:id="0"/>
                          <w:p w14:paraId="3784AC9F" w14:textId="77777777" w:rsidR="008F5418" w:rsidRPr="0010736F" w:rsidRDefault="008F541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7DF1179" w14:textId="77777777" w:rsidR="008F5418" w:rsidRPr="00AE5488" w:rsidRDefault="008F541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4ECE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55D2F9C" w14:textId="440D6D39" w:rsidR="008F5418" w:rsidRPr="004E2649" w:rsidRDefault="008F541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87C29">
                        <w:rPr>
                          <w:rFonts w:asciiTheme="majorHAnsi" w:hAnsiTheme="majorHAnsi" w:cs="Arial"/>
                          <w:b/>
                          <w:bCs/>
                          <w:color w:val="0D0D0D" w:themeColor="text1" w:themeTint="F2"/>
                          <w:sz w:val="36"/>
                          <w:szCs w:val="22"/>
                          <w:lang w:val="es-ES_tradnl"/>
                        </w:rPr>
                        <w:t>58</w:t>
                      </w:r>
                      <w:r>
                        <w:rPr>
                          <w:rFonts w:asciiTheme="majorHAnsi" w:hAnsiTheme="majorHAnsi" w:cs="Arial"/>
                          <w:b/>
                          <w:bCs/>
                          <w:color w:val="0D0D0D" w:themeColor="text1" w:themeTint="F2"/>
                          <w:sz w:val="36"/>
                          <w:szCs w:val="22"/>
                          <w:lang w:val="es-ES_tradnl"/>
                        </w:rPr>
                        <w:t>/2</w:t>
                      </w:r>
                      <w:r w:rsidR="00C87C29">
                        <w:rPr>
                          <w:rFonts w:asciiTheme="majorHAnsi" w:hAnsiTheme="majorHAnsi" w:cs="Arial"/>
                          <w:b/>
                          <w:bCs/>
                          <w:color w:val="0D0D0D" w:themeColor="text1" w:themeTint="F2"/>
                          <w:sz w:val="36"/>
                          <w:szCs w:val="22"/>
                          <w:lang w:val="es-ES_tradnl"/>
                        </w:rPr>
                        <w:t>1</w:t>
                      </w:r>
                    </w:p>
                    <w:p w14:paraId="32F842F2" w14:textId="77777777" w:rsidR="008F5418" w:rsidRDefault="008F541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92D1E7E"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2F7CD25"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bookmarkStart w:id="1" w:name="_ftnref1"/>
                    </w:p>
                    <w:p w14:paraId="0785EA93" w14:textId="77777777" w:rsidR="008F5418" w:rsidRPr="0010736F" w:rsidRDefault="008F541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HUGO MOLINA ZEQUEIRA</w:t>
                      </w:r>
                    </w:p>
                    <w:bookmarkEnd w:id="1"/>
                    <w:p w14:paraId="3784AC9F" w14:textId="77777777" w:rsidR="008F5418" w:rsidRPr="0010736F" w:rsidRDefault="008F541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7DF1179" w14:textId="77777777" w:rsidR="008F5418" w:rsidRPr="00AE5488" w:rsidRDefault="008F5418" w:rsidP="007A5817">
                      <w:pPr>
                        <w:rPr>
                          <w:color w:val="0D0D0D" w:themeColor="text1" w:themeTint="F2"/>
                          <w:lang w:val="es-ES_tradnl"/>
                        </w:rPr>
                      </w:pPr>
                    </w:p>
                  </w:txbxContent>
                </v:textbox>
              </v:shape>
            </w:pict>
          </mc:Fallback>
        </mc:AlternateContent>
      </w:r>
      <w:r w:rsidR="004E2649" w:rsidRPr="008F5418">
        <w:rPr>
          <w:rFonts w:ascii="Cambria" w:hAnsi="Cambria"/>
          <w:noProof/>
          <w:sz w:val="22"/>
          <w:szCs w:val="22"/>
        </w:rPr>
        <mc:AlternateContent>
          <mc:Choice Requires="wps">
            <w:drawing>
              <wp:anchor distT="0" distB="0" distL="114300" distR="114300" simplePos="0" relativeHeight="251671552" behindDoc="0" locked="0" layoutInCell="1" allowOverlap="1" wp14:anchorId="7AA83173" wp14:editId="217E102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7B7FF" w14:textId="21156D27" w:rsidR="008F5418" w:rsidRPr="00C87C29" w:rsidRDefault="008F5418" w:rsidP="007A5817">
                            <w:pPr>
                              <w:spacing w:line="276" w:lineRule="auto"/>
                              <w:jc w:val="right"/>
                              <w:rPr>
                                <w:rFonts w:asciiTheme="minorHAnsi" w:hAnsiTheme="minorHAnsi"/>
                                <w:color w:val="FFFFFF" w:themeColor="background1"/>
                                <w:sz w:val="22"/>
                                <w:lang w:val="es-419"/>
                              </w:rPr>
                            </w:pPr>
                            <w:r w:rsidRPr="00C87C29">
                              <w:rPr>
                                <w:rFonts w:asciiTheme="minorHAnsi" w:hAnsiTheme="minorHAnsi"/>
                                <w:color w:val="FFFFFF" w:themeColor="background1"/>
                                <w:sz w:val="22"/>
                                <w:lang w:val="es-419"/>
                              </w:rPr>
                              <w:t>OEA/Ser.L/V/I</w:t>
                            </w:r>
                            <w:r w:rsidR="00C87C29" w:rsidRPr="00C87C29">
                              <w:rPr>
                                <w:rFonts w:asciiTheme="minorHAnsi" w:hAnsiTheme="minorHAnsi"/>
                                <w:color w:val="FFFFFF" w:themeColor="background1"/>
                                <w:sz w:val="22"/>
                                <w:lang w:val="es-419"/>
                              </w:rPr>
                              <w:t>I</w:t>
                            </w:r>
                          </w:p>
                          <w:p w14:paraId="61FA7A51" w14:textId="1476DC7C" w:rsidR="008F5418" w:rsidRPr="00C87C29" w:rsidRDefault="008F5418" w:rsidP="007A5817">
                            <w:pPr>
                              <w:spacing w:line="276" w:lineRule="auto"/>
                              <w:jc w:val="right"/>
                              <w:rPr>
                                <w:rFonts w:asciiTheme="minorHAnsi" w:hAnsiTheme="minorHAnsi"/>
                                <w:color w:val="FFFFFF" w:themeColor="background1"/>
                                <w:sz w:val="22"/>
                                <w:lang w:val="es-419"/>
                              </w:rPr>
                            </w:pPr>
                            <w:r w:rsidRPr="00C87C29">
                              <w:rPr>
                                <w:rFonts w:asciiTheme="minorHAnsi" w:hAnsiTheme="minorHAnsi"/>
                                <w:color w:val="FFFFFF" w:themeColor="background1"/>
                                <w:sz w:val="22"/>
                                <w:lang w:val="es-419"/>
                              </w:rPr>
                              <w:t xml:space="preserve">Doc. </w:t>
                            </w:r>
                            <w:r w:rsidR="00C87C29" w:rsidRPr="00C87C29">
                              <w:rPr>
                                <w:rFonts w:asciiTheme="minorHAnsi" w:hAnsiTheme="minorHAnsi"/>
                                <w:color w:val="FFFFFF" w:themeColor="background1"/>
                                <w:sz w:val="22"/>
                                <w:lang w:val="es-419"/>
                              </w:rPr>
                              <w:t>63</w:t>
                            </w:r>
                          </w:p>
                          <w:p w14:paraId="6133569B" w14:textId="42717B17" w:rsidR="008F5418" w:rsidRPr="00C25ADB" w:rsidRDefault="00C87C2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8F5418"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98E68B4" w14:textId="77777777" w:rsidR="008F5418" w:rsidRPr="00C25ADB" w:rsidRDefault="008F541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8317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D17B7FF" w14:textId="21156D27" w:rsidR="008F5418" w:rsidRPr="00C87C29" w:rsidRDefault="008F5418" w:rsidP="007A5817">
                      <w:pPr>
                        <w:spacing w:line="276" w:lineRule="auto"/>
                        <w:jc w:val="right"/>
                        <w:rPr>
                          <w:rFonts w:asciiTheme="minorHAnsi" w:hAnsiTheme="minorHAnsi"/>
                          <w:color w:val="FFFFFF" w:themeColor="background1"/>
                          <w:sz w:val="22"/>
                          <w:lang w:val="es-419"/>
                        </w:rPr>
                      </w:pPr>
                      <w:r w:rsidRPr="00C87C29">
                        <w:rPr>
                          <w:rFonts w:asciiTheme="minorHAnsi" w:hAnsiTheme="minorHAnsi"/>
                          <w:color w:val="FFFFFF" w:themeColor="background1"/>
                          <w:sz w:val="22"/>
                          <w:lang w:val="es-419"/>
                        </w:rPr>
                        <w:t>OEA/</w:t>
                      </w:r>
                      <w:proofErr w:type="spellStart"/>
                      <w:r w:rsidRPr="00C87C29">
                        <w:rPr>
                          <w:rFonts w:asciiTheme="minorHAnsi" w:hAnsiTheme="minorHAnsi"/>
                          <w:color w:val="FFFFFF" w:themeColor="background1"/>
                          <w:sz w:val="22"/>
                          <w:lang w:val="es-419"/>
                        </w:rPr>
                        <w:t>Ser.L</w:t>
                      </w:r>
                      <w:proofErr w:type="spellEnd"/>
                      <w:r w:rsidRPr="00C87C29">
                        <w:rPr>
                          <w:rFonts w:asciiTheme="minorHAnsi" w:hAnsiTheme="minorHAnsi"/>
                          <w:color w:val="FFFFFF" w:themeColor="background1"/>
                          <w:sz w:val="22"/>
                          <w:lang w:val="es-419"/>
                        </w:rPr>
                        <w:t>/V/I</w:t>
                      </w:r>
                      <w:r w:rsidR="00C87C29" w:rsidRPr="00C87C29">
                        <w:rPr>
                          <w:rFonts w:asciiTheme="minorHAnsi" w:hAnsiTheme="minorHAnsi"/>
                          <w:color w:val="FFFFFF" w:themeColor="background1"/>
                          <w:sz w:val="22"/>
                          <w:lang w:val="es-419"/>
                        </w:rPr>
                        <w:t>I</w:t>
                      </w:r>
                    </w:p>
                    <w:p w14:paraId="61FA7A51" w14:textId="1476DC7C" w:rsidR="008F5418" w:rsidRPr="00C87C29" w:rsidRDefault="008F5418" w:rsidP="007A5817">
                      <w:pPr>
                        <w:spacing w:line="276" w:lineRule="auto"/>
                        <w:jc w:val="right"/>
                        <w:rPr>
                          <w:rFonts w:asciiTheme="minorHAnsi" w:hAnsiTheme="minorHAnsi"/>
                          <w:color w:val="FFFFFF" w:themeColor="background1"/>
                          <w:sz w:val="22"/>
                          <w:lang w:val="es-419"/>
                        </w:rPr>
                      </w:pPr>
                      <w:r w:rsidRPr="00C87C29">
                        <w:rPr>
                          <w:rFonts w:asciiTheme="minorHAnsi" w:hAnsiTheme="minorHAnsi"/>
                          <w:color w:val="FFFFFF" w:themeColor="background1"/>
                          <w:sz w:val="22"/>
                          <w:lang w:val="es-419"/>
                        </w:rPr>
                        <w:t xml:space="preserve">Doc. </w:t>
                      </w:r>
                      <w:r w:rsidR="00C87C29" w:rsidRPr="00C87C29">
                        <w:rPr>
                          <w:rFonts w:asciiTheme="minorHAnsi" w:hAnsiTheme="minorHAnsi"/>
                          <w:color w:val="FFFFFF" w:themeColor="background1"/>
                          <w:sz w:val="22"/>
                          <w:lang w:val="es-419"/>
                        </w:rPr>
                        <w:t>63</w:t>
                      </w:r>
                    </w:p>
                    <w:p w14:paraId="6133569B" w14:textId="42717B17" w:rsidR="008F5418" w:rsidRPr="00C25ADB" w:rsidRDefault="00C87C2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8F5418"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98E68B4" w14:textId="77777777" w:rsidR="008F5418" w:rsidRPr="00C25ADB" w:rsidRDefault="008F541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1970C3A" w14:textId="77777777" w:rsidR="00040C3A" w:rsidRPr="008F5418" w:rsidRDefault="00040C3A" w:rsidP="00040C3A">
      <w:pPr>
        <w:tabs>
          <w:tab w:val="center" w:pos="5400"/>
        </w:tabs>
        <w:suppressAutoHyphens/>
        <w:jc w:val="center"/>
        <w:rPr>
          <w:rFonts w:ascii="Cambria" w:hAnsi="Cambria"/>
          <w:sz w:val="22"/>
          <w:szCs w:val="22"/>
          <w:lang w:val="es-ES_tradnl"/>
        </w:rPr>
      </w:pPr>
    </w:p>
    <w:p w14:paraId="5ABCEC61" w14:textId="77777777" w:rsidR="00040C3A" w:rsidRPr="008F5418" w:rsidRDefault="00040C3A" w:rsidP="00040C3A">
      <w:pPr>
        <w:tabs>
          <w:tab w:val="center" w:pos="5400"/>
        </w:tabs>
        <w:suppressAutoHyphens/>
        <w:jc w:val="center"/>
        <w:rPr>
          <w:rFonts w:ascii="Cambria" w:hAnsi="Cambria"/>
          <w:sz w:val="22"/>
          <w:szCs w:val="22"/>
          <w:lang w:val="es-ES_tradnl"/>
        </w:rPr>
      </w:pPr>
    </w:p>
    <w:p w14:paraId="1CC520E1" w14:textId="77777777" w:rsidR="00040C3A" w:rsidRPr="008F5418" w:rsidRDefault="00040C3A" w:rsidP="00040C3A">
      <w:pPr>
        <w:tabs>
          <w:tab w:val="center" w:pos="5400"/>
        </w:tabs>
        <w:suppressAutoHyphens/>
        <w:jc w:val="center"/>
        <w:rPr>
          <w:rFonts w:ascii="Cambria" w:hAnsi="Cambria" w:cs="Arial"/>
          <w:sz w:val="22"/>
          <w:szCs w:val="22"/>
          <w:lang w:val="es-ES_tradnl"/>
        </w:rPr>
      </w:pPr>
    </w:p>
    <w:p w14:paraId="518B10D5" w14:textId="77777777" w:rsidR="00040C3A" w:rsidRPr="008F5418" w:rsidRDefault="00040C3A" w:rsidP="00040C3A">
      <w:pPr>
        <w:tabs>
          <w:tab w:val="center" w:pos="5400"/>
        </w:tabs>
        <w:suppressAutoHyphens/>
        <w:jc w:val="center"/>
        <w:rPr>
          <w:rFonts w:ascii="Cambria" w:hAnsi="Cambria"/>
          <w:sz w:val="22"/>
          <w:szCs w:val="22"/>
          <w:lang w:val="es-ES_tradnl"/>
        </w:rPr>
      </w:pPr>
    </w:p>
    <w:p w14:paraId="5F11A4F4" w14:textId="77777777" w:rsidR="00040C3A" w:rsidRPr="008F5418" w:rsidRDefault="00040C3A" w:rsidP="00040C3A">
      <w:pPr>
        <w:tabs>
          <w:tab w:val="center" w:pos="5400"/>
        </w:tabs>
        <w:suppressAutoHyphens/>
        <w:jc w:val="center"/>
        <w:rPr>
          <w:rFonts w:ascii="Cambria" w:hAnsi="Cambria"/>
          <w:sz w:val="22"/>
          <w:szCs w:val="22"/>
          <w:lang w:val="es-ES_tradnl"/>
        </w:rPr>
      </w:pPr>
    </w:p>
    <w:p w14:paraId="42F1FBDB" w14:textId="77777777" w:rsidR="00040C3A" w:rsidRPr="008F5418" w:rsidRDefault="00040C3A" w:rsidP="00040C3A">
      <w:pPr>
        <w:tabs>
          <w:tab w:val="center" w:pos="5400"/>
        </w:tabs>
        <w:suppressAutoHyphens/>
        <w:jc w:val="center"/>
        <w:rPr>
          <w:rFonts w:ascii="Cambria" w:hAnsi="Cambria"/>
          <w:sz w:val="22"/>
          <w:szCs w:val="22"/>
          <w:lang w:val="es-ES_tradnl"/>
        </w:rPr>
      </w:pPr>
    </w:p>
    <w:p w14:paraId="5857EAE1" w14:textId="77777777" w:rsidR="00040C3A" w:rsidRPr="008F5418" w:rsidRDefault="00040C3A" w:rsidP="00040C3A">
      <w:pPr>
        <w:tabs>
          <w:tab w:val="center" w:pos="5400"/>
        </w:tabs>
        <w:suppressAutoHyphens/>
        <w:jc w:val="center"/>
        <w:rPr>
          <w:rFonts w:ascii="Cambria" w:hAnsi="Cambria"/>
          <w:sz w:val="22"/>
          <w:szCs w:val="22"/>
          <w:lang w:val="es-ES_tradnl"/>
        </w:rPr>
      </w:pPr>
    </w:p>
    <w:p w14:paraId="3FDAB046" w14:textId="77777777" w:rsidR="005128E4" w:rsidRPr="008F5418" w:rsidRDefault="005128E4" w:rsidP="00040C3A">
      <w:pPr>
        <w:tabs>
          <w:tab w:val="center" w:pos="5400"/>
        </w:tabs>
        <w:suppressAutoHyphens/>
        <w:jc w:val="center"/>
        <w:rPr>
          <w:rFonts w:ascii="Cambria" w:hAnsi="Cambria"/>
          <w:sz w:val="22"/>
          <w:szCs w:val="22"/>
          <w:lang w:val="es-ES_tradnl"/>
        </w:rPr>
      </w:pPr>
    </w:p>
    <w:p w14:paraId="43A954E8" w14:textId="77777777" w:rsidR="00040C3A" w:rsidRPr="008F5418" w:rsidRDefault="00040C3A" w:rsidP="00040C3A">
      <w:pPr>
        <w:tabs>
          <w:tab w:val="center" w:pos="5400"/>
        </w:tabs>
        <w:suppressAutoHyphens/>
        <w:jc w:val="center"/>
        <w:rPr>
          <w:rFonts w:ascii="Cambria" w:hAnsi="Cambria"/>
          <w:sz w:val="22"/>
          <w:szCs w:val="22"/>
          <w:lang w:val="es-ES_tradnl"/>
        </w:rPr>
      </w:pPr>
    </w:p>
    <w:p w14:paraId="522B1C33" w14:textId="77777777" w:rsidR="005128E4" w:rsidRPr="008F5418" w:rsidRDefault="005128E4" w:rsidP="00040C3A">
      <w:pPr>
        <w:tabs>
          <w:tab w:val="center" w:pos="5400"/>
        </w:tabs>
        <w:suppressAutoHyphens/>
        <w:jc w:val="center"/>
        <w:rPr>
          <w:rFonts w:ascii="Cambria" w:hAnsi="Cambria"/>
          <w:sz w:val="22"/>
          <w:szCs w:val="22"/>
          <w:lang w:val="es-ES_tradnl"/>
        </w:rPr>
      </w:pPr>
    </w:p>
    <w:p w14:paraId="5AE5BB26" w14:textId="77777777" w:rsidR="005128E4" w:rsidRPr="008F5418" w:rsidRDefault="005128E4" w:rsidP="00040C3A">
      <w:pPr>
        <w:tabs>
          <w:tab w:val="center" w:pos="5400"/>
        </w:tabs>
        <w:suppressAutoHyphens/>
        <w:jc w:val="center"/>
        <w:rPr>
          <w:rFonts w:ascii="Cambria" w:hAnsi="Cambria"/>
          <w:sz w:val="22"/>
          <w:szCs w:val="22"/>
          <w:lang w:val="es-ES_tradnl"/>
        </w:rPr>
      </w:pPr>
    </w:p>
    <w:p w14:paraId="3A498CDA" w14:textId="77777777" w:rsidR="005128E4" w:rsidRPr="008F5418" w:rsidRDefault="005128E4" w:rsidP="00040C3A">
      <w:pPr>
        <w:tabs>
          <w:tab w:val="center" w:pos="5400"/>
        </w:tabs>
        <w:suppressAutoHyphens/>
        <w:jc w:val="center"/>
        <w:rPr>
          <w:rFonts w:ascii="Cambria" w:hAnsi="Cambria"/>
          <w:sz w:val="22"/>
          <w:szCs w:val="22"/>
          <w:lang w:val="es-ES_tradnl"/>
        </w:rPr>
      </w:pPr>
    </w:p>
    <w:p w14:paraId="32AD5E30" w14:textId="77777777" w:rsidR="00040C3A" w:rsidRPr="008F5418" w:rsidRDefault="00040C3A" w:rsidP="00040C3A">
      <w:pPr>
        <w:tabs>
          <w:tab w:val="center" w:pos="5400"/>
        </w:tabs>
        <w:suppressAutoHyphens/>
        <w:jc w:val="center"/>
        <w:rPr>
          <w:rFonts w:ascii="Cambria" w:hAnsi="Cambria"/>
          <w:sz w:val="22"/>
          <w:szCs w:val="22"/>
          <w:lang w:val="es-ES_tradnl"/>
        </w:rPr>
      </w:pPr>
    </w:p>
    <w:p w14:paraId="40032CDB" w14:textId="77777777" w:rsidR="00040C3A" w:rsidRPr="008F5418" w:rsidRDefault="00040C3A" w:rsidP="00040C3A">
      <w:pPr>
        <w:tabs>
          <w:tab w:val="center" w:pos="5400"/>
        </w:tabs>
        <w:suppressAutoHyphens/>
        <w:jc w:val="center"/>
        <w:rPr>
          <w:rFonts w:ascii="Cambria" w:hAnsi="Cambria"/>
          <w:sz w:val="22"/>
          <w:szCs w:val="22"/>
          <w:lang w:val="es-ES_tradnl"/>
        </w:rPr>
      </w:pPr>
    </w:p>
    <w:p w14:paraId="54DCAA18" w14:textId="77777777" w:rsidR="00A50FCF" w:rsidRPr="008F5418" w:rsidRDefault="00A50FCF" w:rsidP="00040C3A">
      <w:pPr>
        <w:tabs>
          <w:tab w:val="center" w:pos="5400"/>
        </w:tabs>
        <w:suppressAutoHyphens/>
        <w:jc w:val="center"/>
        <w:rPr>
          <w:rFonts w:ascii="Cambria" w:hAnsi="Cambria"/>
          <w:sz w:val="18"/>
          <w:szCs w:val="22"/>
          <w:lang w:val="es-ES_tradnl"/>
        </w:rPr>
      </w:pPr>
    </w:p>
    <w:p w14:paraId="30764112" w14:textId="77777777" w:rsidR="00A50FCF" w:rsidRPr="008F5418" w:rsidRDefault="00A50FCF" w:rsidP="00040C3A">
      <w:pPr>
        <w:tabs>
          <w:tab w:val="center" w:pos="5400"/>
        </w:tabs>
        <w:suppressAutoHyphens/>
        <w:jc w:val="center"/>
        <w:rPr>
          <w:rFonts w:ascii="Cambria" w:hAnsi="Cambria"/>
          <w:sz w:val="18"/>
          <w:szCs w:val="22"/>
          <w:lang w:val="es-ES_tradnl"/>
        </w:rPr>
      </w:pPr>
    </w:p>
    <w:p w14:paraId="43AB2E06" w14:textId="77777777" w:rsidR="00A50FCF" w:rsidRPr="008F5418" w:rsidRDefault="00A50FCF" w:rsidP="00040C3A">
      <w:pPr>
        <w:tabs>
          <w:tab w:val="center" w:pos="5400"/>
        </w:tabs>
        <w:suppressAutoHyphens/>
        <w:jc w:val="center"/>
        <w:rPr>
          <w:rFonts w:ascii="Cambria" w:hAnsi="Cambria"/>
          <w:sz w:val="18"/>
          <w:szCs w:val="22"/>
          <w:lang w:val="es-ES_tradnl"/>
        </w:rPr>
      </w:pPr>
    </w:p>
    <w:p w14:paraId="191177E5" w14:textId="77777777" w:rsidR="00A50FCF" w:rsidRPr="008F5418" w:rsidRDefault="00A50FCF" w:rsidP="00040C3A">
      <w:pPr>
        <w:tabs>
          <w:tab w:val="center" w:pos="5400"/>
        </w:tabs>
        <w:suppressAutoHyphens/>
        <w:jc w:val="center"/>
        <w:rPr>
          <w:rFonts w:ascii="Cambria" w:hAnsi="Cambria"/>
          <w:sz w:val="18"/>
          <w:szCs w:val="22"/>
          <w:lang w:val="es-ES_tradnl"/>
        </w:rPr>
      </w:pPr>
    </w:p>
    <w:p w14:paraId="4E314C41" w14:textId="77777777" w:rsidR="00A50FCF" w:rsidRPr="008F5418" w:rsidRDefault="00A50FCF" w:rsidP="00040C3A">
      <w:pPr>
        <w:tabs>
          <w:tab w:val="center" w:pos="5400"/>
        </w:tabs>
        <w:suppressAutoHyphens/>
        <w:jc w:val="center"/>
        <w:rPr>
          <w:rFonts w:ascii="Cambria" w:hAnsi="Cambria"/>
          <w:sz w:val="18"/>
          <w:szCs w:val="22"/>
          <w:lang w:val="es-ES_tradnl"/>
        </w:rPr>
      </w:pPr>
    </w:p>
    <w:p w14:paraId="54473F11" w14:textId="77777777" w:rsidR="00A50FCF" w:rsidRPr="008F5418" w:rsidRDefault="00A50FCF" w:rsidP="00040C3A">
      <w:pPr>
        <w:tabs>
          <w:tab w:val="center" w:pos="5400"/>
        </w:tabs>
        <w:suppressAutoHyphens/>
        <w:jc w:val="center"/>
        <w:rPr>
          <w:rFonts w:ascii="Cambria" w:hAnsi="Cambria"/>
          <w:sz w:val="18"/>
          <w:szCs w:val="22"/>
          <w:lang w:val="es-ES_tradnl"/>
        </w:rPr>
      </w:pPr>
    </w:p>
    <w:p w14:paraId="4C4B46C4" w14:textId="77777777" w:rsidR="00A50FCF" w:rsidRPr="008F5418" w:rsidRDefault="00A50FCF" w:rsidP="00040C3A">
      <w:pPr>
        <w:tabs>
          <w:tab w:val="center" w:pos="5400"/>
        </w:tabs>
        <w:suppressAutoHyphens/>
        <w:jc w:val="center"/>
        <w:rPr>
          <w:rFonts w:ascii="Cambria" w:hAnsi="Cambria"/>
          <w:sz w:val="18"/>
          <w:szCs w:val="22"/>
          <w:lang w:val="es-ES_tradnl"/>
        </w:rPr>
      </w:pPr>
    </w:p>
    <w:p w14:paraId="7EE6B400" w14:textId="77777777" w:rsidR="00A50FCF" w:rsidRPr="008F5418" w:rsidRDefault="00A50FCF" w:rsidP="00040C3A">
      <w:pPr>
        <w:tabs>
          <w:tab w:val="center" w:pos="5400"/>
        </w:tabs>
        <w:suppressAutoHyphens/>
        <w:jc w:val="center"/>
        <w:rPr>
          <w:rFonts w:ascii="Cambria" w:hAnsi="Cambria"/>
          <w:sz w:val="18"/>
          <w:szCs w:val="22"/>
          <w:lang w:val="es-ES_tradnl"/>
        </w:rPr>
      </w:pPr>
    </w:p>
    <w:p w14:paraId="73946C4B" w14:textId="77777777" w:rsidR="00A50FCF" w:rsidRPr="008F5418" w:rsidRDefault="00A50FCF" w:rsidP="00040C3A">
      <w:pPr>
        <w:tabs>
          <w:tab w:val="center" w:pos="5400"/>
        </w:tabs>
        <w:suppressAutoHyphens/>
        <w:jc w:val="center"/>
        <w:rPr>
          <w:rFonts w:ascii="Cambria" w:hAnsi="Cambria"/>
          <w:sz w:val="18"/>
          <w:szCs w:val="22"/>
          <w:lang w:val="es-ES_tradnl"/>
        </w:rPr>
      </w:pPr>
    </w:p>
    <w:p w14:paraId="200B62AC" w14:textId="77777777" w:rsidR="00A50FCF" w:rsidRPr="008F5418" w:rsidRDefault="00A50FCF" w:rsidP="00040C3A">
      <w:pPr>
        <w:tabs>
          <w:tab w:val="center" w:pos="5400"/>
        </w:tabs>
        <w:suppressAutoHyphens/>
        <w:jc w:val="center"/>
        <w:rPr>
          <w:rFonts w:ascii="Cambria" w:hAnsi="Cambria"/>
          <w:sz w:val="18"/>
          <w:szCs w:val="22"/>
          <w:lang w:val="es-ES_tradnl"/>
        </w:rPr>
      </w:pPr>
    </w:p>
    <w:p w14:paraId="6FD529D6" w14:textId="77777777" w:rsidR="00A50FCF" w:rsidRPr="008F5418" w:rsidRDefault="00A50FCF" w:rsidP="00040C3A">
      <w:pPr>
        <w:tabs>
          <w:tab w:val="center" w:pos="5400"/>
        </w:tabs>
        <w:suppressAutoHyphens/>
        <w:jc w:val="center"/>
        <w:rPr>
          <w:rFonts w:ascii="Cambria" w:hAnsi="Cambria"/>
          <w:sz w:val="18"/>
          <w:szCs w:val="22"/>
          <w:lang w:val="es-ES_tradnl"/>
        </w:rPr>
      </w:pPr>
    </w:p>
    <w:p w14:paraId="5FB2F046" w14:textId="77777777" w:rsidR="00A50FCF" w:rsidRPr="008F5418" w:rsidRDefault="00A50FCF" w:rsidP="00040C3A">
      <w:pPr>
        <w:tabs>
          <w:tab w:val="center" w:pos="5400"/>
        </w:tabs>
        <w:suppressAutoHyphens/>
        <w:jc w:val="center"/>
        <w:rPr>
          <w:rFonts w:ascii="Cambria" w:hAnsi="Cambria"/>
          <w:sz w:val="18"/>
          <w:szCs w:val="22"/>
          <w:lang w:val="es-ES_tradnl"/>
        </w:rPr>
      </w:pPr>
    </w:p>
    <w:p w14:paraId="6EB89F3E" w14:textId="77777777" w:rsidR="00A50FCF" w:rsidRPr="008F5418" w:rsidRDefault="00A50FCF" w:rsidP="00040C3A">
      <w:pPr>
        <w:tabs>
          <w:tab w:val="center" w:pos="5400"/>
        </w:tabs>
        <w:suppressAutoHyphens/>
        <w:jc w:val="center"/>
        <w:rPr>
          <w:rFonts w:ascii="Cambria" w:hAnsi="Cambria"/>
          <w:sz w:val="18"/>
          <w:szCs w:val="22"/>
          <w:lang w:val="es-ES_tradnl"/>
        </w:rPr>
      </w:pPr>
    </w:p>
    <w:p w14:paraId="3BC20A5B" w14:textId="77777777" w:rsidR="00A50FCF" w:rsidRPr="008F5418" w:rsidRDefault="00A50FCF" w:rsidP="00040C3A">
      <w:pPr>
        <w:tabs>
          <w:tab w:val="center" w:pos="5400"/>
        </w:tabs>
        <w:suppressAutoHyphens/>
        <w:jc w:val="center"/>
        <w:rPr>
          <w:rFonts w:ascii="Cambria" w:hAnsi="Cambria"/>
          <w:sz w:val="18"/>
          <w:szCs w:val="22"/>
          <w:lang w:val="es-ES_tradnl"/>
        </w:rPr>
      </w:pPr>
    </w:p>
    <w:p w14:paraId="1E141037" w14:textId="77777777" w:rsidR="00A50FCF" w:rsidRPr="008F5418" w:rsidRDefault="0090270B" w:rsidP="00040C3A">
      <w:pPr>
        <w:tabs>
          <w:tab w:val="center" w:pos="5400"/>
        </w:tabs>
        <w:suppressAutoHyphens/>
        <w:jc w:val="center"/>
        <w:rPr>
          <w:rFonts w:ascii="Cambria" w:hAnsi="Cambria"/>
          <w:sz w:val="18"/>
          <w:szCs w:val="22"/>
          <w:lang w:val="es-ES_tradnl"/>
        </w:rPr>
      </w:pPr>
      <w:r w:rsidRPr="008F5418">
        <w:rPr>
          <w:rFonts w:ascii="Cambria" w:hAnsi="Cambria"/>
          <w:noProof/>
          <w:sz w:val="22"/>
          <w:szCs w:val="22"/>
        </w:rPr>
        <mc:AlternateContent>
          <mc:Choice Requires="wps">
            <w:drawing>
              <wp:anchor distT="0" distB="0" distL="114300" distR="114300" simplePos="0" relativeHeight="251670528" behindDoc="0" locked="0" layoutInCell="1" allowOverlap="1" wp14:anchorId="7C3F4A83" wp14:editId="231A7E5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D361" w14:textId="1E5899F4" w:rsidR="008F5418" w:rsidRPr="00890650" w:rsidRDefault="008F541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87C2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87C2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87C29">
                              <w:rPr>
                                <w:rFonts w:asciiTheme="majorHAnsi" w:hAnsiTheme="majorHAnsi"/>
                                <w:color w:val="0D0D0D" w:themeColor="text1" w:themeTint="F2"/>
                                <w:sz w:val="18"/>
                                <w:szCs w:val="22"/>
                                <w:lang w:val="es-ES"/>
                              </w:rPr>
                              <w:t>1</w:t>
                            </w:r>
                            <w:r w:rsidR="00AF24B3">
                              <w:rPr>
                                <w:rFonts w:asciiTheme="majorHAnsi" w:hAnsiTheme="majorHAnsi"/>
                                <w:color w:val="0D0D0D" w:themeColor="text1" w:themeTint="F2"/>
                                <w:sz w:val="18"/>
                                <w:szCs w:val="22"/>
                                <w:lang w:val="es-ES"/>
                              </w:rPr>
                              <w:t>.</w:t>
                            </w:r>
                          </w:p>
                          <w:p w14:paraId="636FE3CA" w14:textId="77777777" w:rsidR="008F5418" w:rsidRPr="007A5817" w:rsidRDefault="008F541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6829506" w14:textId="77777777" w:rsidR="008F5418" w:rsidRPr="00167A34" w:rsidRDefault="008F541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F4A8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42ED361" w14:textId="1E5899F4" w:rsidR="008F5418" w:rsidRPr="00890650" w:rsidRDefault="008F541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87C2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87C2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87C29">
                        <w:rPr>
                          <w:rFonts w:asciiTheme="majorHAnsi" w:hAnsiTheme="majorHAnsi"/>
                          <w:color w:val="0D0D0D" w:themeColor="text1" w:themeTint="F2"/>
                          <w:sz w:val="18"/>
                          <w:szCs w:val="22"/>
                          <w:lang w:val="es-ES"/>
                        </w:rPr>
                        <w:t>1</w:t>
                      </w:r>
                      <w:r w:rsidR="00AF24B3">
                        <w:rPr>
                          <w:rFonts w:asciiTheme="majorHAnsi" w:hAnsiTheme="majorHAnsi"/>
                          <w:color w:val="0D0D0D" w:themeColor="text1" w:themeTint="F2"/>
                          <w:sz w:val="18"/>
                          <w:szCs w:val="22"/>
                          <w:lang w:val="es-ES"/>
                        </w:rPr>
                        <w:t>.</w:t>
                      </w:r>
                    </w:p>
                    <w:p w14:paraId="636FE3CA" w14:textId="77777777" w:rsidR="008F5418" w:rsidRPr="007A5817" w:rsidRDefault="008F541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6829506" w14:textId="77777777" w:rsidR="008F5418" w:rsidRPr="00167A34" w:rsidRDefault="008F541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2BEC894" w14:textId="77777777" w:rsidR="00A50FCF" w:rsidRPr="008F5418" w:rsidRDefault="00A50FCF" w:rsidP="00040C3A">
      <w:pPr>
        <w:tabs>
          <w:tab w:val="center" w:pos="5400"/>
        </w:tabs>
        <w:suppressAutoHyphens/>
        <w:jc w:val="center"/>
        <w:rPr>
          <w:rFonts w:ascii="Cambria" w:hAnsi="Cambria"/>
          <w:sz w:val="18"/>
          <w:szCs w:val="22"/>
          <w:lang w:val="es-ES_tradnl"/>
        </w:rPr>
      </w:pPr>
    </w:p>
    <w:p w14:paraId="6C218AE3" w14:textId="77777777" w:rsidR="00A50FCF" w:rsidRPr="008F5418" w:rsidRDefault="00A50FCF" w:rsidP="00040C3A">
      <w:pPr>
        <w:tabs>
          <w:tab w:val="center" w:pos="5400"/>
        </w:tabs>
        <w:suppressAutoHyphens/>
        <w:jc w:val="center"/>
        <w:rPr>
          <w:rFonts w:ascii="Cambria" w:hAnsi="Cambria"/>
          <w:sz w:val="18"/>
          <w:szCs w:val="22"/>
          <w:lang w:val="es-ES_tradnl"/>
        </w:rPr>
      </w:pPr>
    </w:p>
    <w:p w14:paraId="5DDA1E5A" w14:textId="77777777" w:rsidR="00A50FCF" w:rsidRPr="008F5418" w:rsidRDefault="00A50FCF" w:rsidP="00040C3A">
      <w:pPr>
        <w:tabs>
          <w:tab w:val="center" w:pos="5400"/>
        </w:tabs>
        <w:suppressAutoHyphens/>
        <w:jc w:val="center"/>
        <w:rPr>
          <w:rFonts w:ascii="Cambria" w:hAnsi="Cambria"/>
          <w:sz w:val="18"/>
          <w:szCs w:val="22"/>
          <w:lang w:val="es-ES_tradnl"/>
        </w:rPr>
      </w:pPr>
    </w:p>
    <w:p w14:paraId="13CB453B" w14:textId="77777777" w:rsidR="00A50FCF" w:rsidRPr="008F5418" w:rsidRDefault="00A50FCF" w:rsidP="00040C3A">
      <w:pPr>
        <w:tabs>
          <w:tab w:val="center" w:pos="5400"/>
        </w:tabs>
        <w:suppressAutoHyphens/>
        <w:jc w:val="center"/>
        <w:rPr>
          <w:rFonts w:ascii="Cambria" w:hAnsi="Cambria"/>
          <w:sz w:val="18"/>
          <w:szCs w:val="22"/>
          <w:lang w:val="es-ES_tradnl"/>
        </w:rPr>
      </w:pPr>
    </w:p>
    <w:p w14:paraId="782B9670" w14:textId="77777777" w:rsidR="00A50FCF" w:rsidRPr="008F5418" w:rsidRDefault="0090270B" w:rsidP="00040C3A">
      <w:pPr>
        <w:tabs>
          <w:tab w:val="center" w:pos="5400"/>
        </w:tabs>
        <w:suppressAutoHyphens/>
        <w:jc w:val="center"/>
        <w:rPr>
          <w:rFonts w:ascii="Cambria" w:hAnsi="Cambria"/>
          <w:sz w:val="18"/>
          <w:szCs w:val="22"/>
          <w:lang w:val="es-ES_tradnl"/>
        </w:rPr>
      </w:pPr>
      <w:r w:rsidRPr="008F5418">
        <w:rPr>
          <w:rFonts w:ascii="Cambria" w:hAnsi="Cambria"/>
          <w:noProof/>
          <w:sz w:val="18"/>
          <w:szCs w:val="22"/>
        </w:rPr>
        <mc:AlternateContent>
          <mc:Choice Requires="wps">
            <w:drawing>
              <wp:anchor distT="0" distB="0" distL="114300" distR="114300" simplePos="0" relativeHeight="251678720" behindDoc="0" locked="0" layoutInCell="1" allowOverlap="1" wp14:anchorId="4A6CFE02" wp14:editId="525973F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4F660" w14:textId="3B700F51" w:rsidR="008F5418" w:rsidRPr="007B05C4" w:rsidRDefault="008F541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C29" w:rsidRPr="00C87C29">
                              <w:rPr>
                                <w:rFonts w:asciiTheme="majorHAnsi" w:hAnsiTheme="majorHAnsi"/>
                                <w:color w:val="595959" w:themeColor="text1" w:themeTint="A6"/>
                                <w:sz w:val="18"/>
                                <w:szCs w:val="18"/>
                                <w:lang w:val="pt-BR"/>
                              </w:rPr>
                              <w:t>58</w:t>
                            </w:r>
                            <w:r w:rsidRPr="00C87C29">
                              <w:rPr>
                                <w:rFonts w:asciiTheme="majorHAnsi" w:hAnsiTheme="majorHAnsi"/>
                                <w:color w:val="595959" w:themeColor="text1" w:themeTint="A6"/>
                                <w:sz w:val="18"/>
                                <w:szCs w:val="18"/>
                                <w:lang w:val="pt-BR"/>
                              </w:rPr>
                              <w:t>/</w:t>
                            </w:r>
                            <w:r w:rsidR="00C87C29" w:rsidRPr="00C87C29">
                              <w:rPr>
                                <w:rFonts w:asciiTheme="majorHAnsi" w:hAnsiTheme="majorHAnsi"/>
                                <w:color w:val="595959" w:themeColor="text1" w:themeTint="A6"/>
                                <w:sz w:val="18"/>
                                <w:szCs w:val="18"/>
                                <w:lang w:val="pt-BR"/>
                              </w:rPr>
                              <w:t>21</w:t>
                            </w:r>
                            <w:r w:rsidRPr="00C87C2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C87C29">
                              <w:rPr>
                                <w:rFonts w:asciiTheme="majorHAnsi" w:hAnsiTheme="majorHAnsi"/>
                                <w:color w:val="595959" w:themeColor="text1" w:themeTint="A6"/>
                                <w:sz w:val="18"/>
                                <w:szCs w:val="18"/>
                                <w:lang w:val="es-ES"/>
                              </w:rPr>
                              <w:t>1548</w:t>
                            </w:r>
                            <w:r>
                              <w:rPr>
                                <w:rFonts w:asciiTheme="majorHAnsi" w:hAnsiTheme="majorHAnsi"/>
                                <w:color w:val="595959" w:themeColor="text1" w:themeTint="A6"/>
                                <w:sz w:val="18"/>
                                <w:szCs w:val="18"/>
                                <w:lang w:val="es-ES"/>
                              </w:rPr>
                              <w:t>-</w:t>
                            </w:r>
                            <w:r w:rsidR="00C87C29">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87C29">
                              <w:rPr>
                                <w:rFonts w:asciiTheme="majorHAnsi" w:hAnsiTheme="majorHAnsi"/>
                                <w:color w:val="595959" w:themeColor="text1" w:themeTint="A6"/>
                                <w:sz w:val="18"/>
                                <w:szCs w:val="18"/>
                                <w:lang w:val="es-ES_tradnl"/>
                              </w:rPr>
                              <w:t>Eduardo Hugo Molina Zequeira</w:t>
                            </w:r>
                            <w:r w:rsidRPr="00890650">
                              <w:rPr>
                                <w:rFonts w:asciiTheme="majorHAnsi" w:hAnsiTheme="majorHAnsi"/>
                                <w:color w:val="595959" w:themeColor="text1" w:themeTint="A6"/>
                                <w:sz w:val="18"/>
                                <w:szCs w:val="18"/>
                                <w:lang w:val="es-ES_tradnl"/>
                              </w:rPr>
                              <w:t xml:space="preserve">. </w:t>
                            </w:r>
                            <w:r w:rsidR="00C87C2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87C29">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CFE0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864F660" w14:textId="3B700F51" w:rsidR="008F5418" w:rsidRPr="007B05C4" w:rsidRDefault="008F541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C29" w:rsidRPr="00C87C29">
                        <w:rPr>
                          <w:rFonts w:asciiTheme="majorHAnsi" w:hAnsiTheme="majorHAnsi"/>
                          <w:color w:val="595959" w:themeColor="text1" w:themeTint="A6"/>
                          <w:sz w:val="18"/>
                          <w:szCs w:val="18"/>
                          <w:lang w:val="pt-BR"/>
                        </w:rPr>
                        <w:t>58</w:t>
                      </w:r>
                      <w:r w:rsidRPr="00C87C29">
                        <w:rPr>
                          <w:rFonts w:asciiTheme="majorHAnsi" w:hAnsiTheme="majorHAnsi"/>
                          <w:color w:val="595959" w:themeColor="text1" w:themeTint="A6"/>
                          <w:sz w:val="18"/>
                          <w:szCs w:val="18"/>
                          <w:lang w:val="pt-BR"/>
                        </w:rPr>
                        <w:t>/</w:t>
                      </w:r>
                      <w:r w:rsidR="00C87C29" w:rsidRPr="00C87C29">
                        <w:rPr>
                          <w:rFonts w:asciiTheme="majorHAnsi" w:hAnsiTheme="majorHAnsi"/>
                          <w:color w:val="595959" w:themeColor="text1" w:themeTint="A6"/>
                          <w:sz w:val="18"/>
                          <w:szCs w:val="18"/>
                          <w:lang w:val="pt-BR"/>
                        </w:rPr>
                        <w:t>21</w:t>
                      </w:r>
                      <w:r w:rsidRPr="00C87C2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C87C29">
                        <w:rPr>
                          <w:rFonts w:asciiTheme="majorHAnsi" w:hAnsiTheme="majorHAnsi"/>
                          <w:color w:val="595959" w:themeColor="text1" w:themeTint="A6"/>
                          <w:sz w:val="18"/>
                          <w:szCs w:val="18"/>
                          <w:lang w:val="es-ES"/>
                        </w:rPr>
                        <w:t>1548</w:t>
                      </w:r>
                      <w:r>
                        <w:rPr>
                          <w:rFonts w:asciiTheme="majorHAnsi" w:hAnsiTheme="majorHAnsi"/>
                          <w:color w:val="595959" w:themeColor="text1" w:themeTint="A6"/>
                          <w:sz w:val="18"/>
                          <w:szCs w:val="18"/>
                          <w:lang w:val="es-ES"/>
                        </w:rPr>
                        <w:t>-</w:t>
                      </w:r>
                      <w:r w:rsidR="00C87C29">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87C29">
                        <w:rPr>
                          <w:rFonts w:asciiTheme="majorHAnsi" w:hAnsiTheme="majorHAnsi"/>
                          <w:color w:val="595959" w:themeColor="text1" w:themeTint="A6"/>
                          <w:sz w:val="18"/>
                          <w:szCs w:val="18"/>
                          <w:lang w:val="es-ES_tradnl"/>
                        </w:rPr>
                        <w:t>Eduardo Hugo Molina Zequeira</w:t>
                      </w:r>
                      <w:r w:rsidRPr="00890650">
                        <w:rPr>
                          <w:rFonts w:asciiTheme="majorHAnsi" w:hAnsiTheme="majorHAnsi"/>
                          <w:color w:val="595959" w:themeColor="text1" w:themeTint="A6"/>
                          <w:sz w:val="18"/>
                          <w:szCs w:val="18"/>
                          <w:lang w:val="es-ES_tradnl"/>
                        </w:rPr>
                        <w:t xml:space="preserve">. </w:t>
                      </w:r>
                      <w:r w:rsidR="00C87C2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87C29">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3B3734C2" w14:textId="77777777" w:rsidR="00A50FCF" w:rsidRPr="008F5418" w:rsidRDefault="00A50FCF" w:rsidP="00040C3A">
      <w:pPr>
        <w:tabs>
          <w:tab w:val="center" w:pos="5400"/>
        </w:tabs>
        <w:suppressAutoHyphens/>
        <w:jc w:val="center"/>
        <w:rPr>
          <w:rFonts w:ascii="Cambria" w:hAnsi="Cambria"/>
          <w:sz w:val="18"/>
          <w:szCs w:val="22"/>
          <w:lang w:val="es-ES_tradnl"/>
        </w:rPr>
      </w:pPr>
    </w:p>
    <w:p w14:paraId="4FEFC9DF" w14:textId="77777777" w:rsidR="0090270B" w:rsidRPr="008F5418" w:rsidRDefault="00D306D1" w:rsidP="005516A1">
      <w:pPr>
        <w:tabs>
          <w:tab w:val="center" w:pos="5400"/>
        </w:tabs>
        <w:suppressAutoHyphens/>
        <w:jc w:val="center"/>
        <w:rPr>
          <w:rFonts w:ascii="Cambria" w:hAnsi="Cambria"/>
          <w:b/>
          <w:sz w:val="20"/>
          <w:lang w:val="es-ES_tradnl"/>
        </w:rPr>
      </w:pPr>
      <w:r w:rsidRPr="008F5418">
        <w:rPr>
          <w:rFonts w:ascii="Cambria" w:hAnsi="Cambria"/>
          <w:noProof/>
          <w:sz w:val="18"/>
          <w:szCs w:val="22"/>
        </w:rPr>
        <mc:AlternateContent>
          <mc:Choice Requires="wps">
            <w:drawing>
              <wp:anchor distT="0" distB="0" distL="114300" distR="114300" simplePos="0" relativeHeight="251680768" behindDoc="0" locked="0" layoutInCell="1" allowOverlap="1" wp14:anchorId="4CC35B8B" wp14:editId="7D9BCAE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46C55" w14:textId="77777777" w:rsidR="008F5418" w:rsidRPr="00D72DC6" w:rsidRDefault="008F5418" w:rsidP="00F02AD1">
                            <w:pPr>
                              <w:rPr>
                                <w:color w:val="FFFFFF" w:themeColor="background1"/>
                                <w14:textFill>
                                  <w14:noFill/>
                                </w14:textFill>
                              </w:rPr>
                            </w:pPr>
                            <w:r>
                              <w:rPr>
                                <w:noProof/>
                                <w:color w:val="FFFFFF" w:themeColor="background1"/>
                              </w:rPr>
                              <w:drawing>
                                <wp:inline distT="0" distB="0" distL="0" distR="0" wp14:anchorId="63E61F83" wp14:editId="0E53C7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rsidR="008F5418" w:rsidRPr="00D72DC6" w:rsidRDefault="008F5418"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F5418">
        <w:rPr>
          <w:rFonts w:ascii="Cambria" w:hAnsi="Cambria"/>
          <w:noProof/>
          <w:sz w:val="22"/>
          <w:szCs w:val="22"/>
        </w:rPr>
        <mc:AlternateContent>
          <mc:Choice Requires="wps">
            <w:drawing>
              <wp:anchor distT="0" distB="0" distL="114300" distR="114300" simplePos="0" relativeHeight="251682816" behindDoc="0" locked="0" layoutInCell="1" allowOverlap="1" wp14:anchorId="5CC3A681" wp14:editId="58D791A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30156" w14:textId="77777777" w:rsidR="008F5418" w:rsidRPr="004B7EB6" w:rsidRDefault="008F541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rsidR="008F5418" w:rsidRPr="004B7EB6" w:rsidRDefault="008F541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D205038" w14:textId="77777777" w:rsidR="0070697F" w:rsidRPr="008F5418" w:rsidRDefault="004A6A54" w:rsidP="005516A1">
      <w:pPr>
        <w:tabs>
          <w:tab w:val="center" w:pos="5400"/>
        </w:tabs>
        <w:suppressAutoHyphens/>
        <w:jc w:val="center"/>
        <w:rPr>
          <w:rFonts w:ascii="Cambria" w:hAnsi="Cambria"/>
          <w:b/>
          <w:sz w:val="20"/>
          <w:lang w:val="es-ES_tradnl"/>
        </w:rPr>
        <w:sectPr w:rsidR="0070697F" w:rsidRPr="008F5418"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8F5418">
        <w:rPr>
          <w:rFonts w:ascii="Cambria" w:hAnsi="Cambria"/>
          <w:b/>
          <w:sz w:val="20"/>
          <w:lang w:val="es-ES_tradnl"/>
        </w:rPr>
        <w:tab/>
      </w:r>
    </w:p>
    <w:p w14:paraId="1BB256E1" w14:textId="77777777" w:rsidR="003239B8" w:rsidRPr="008F5418" w:rsidRDefault="003239B8" w:rsidP="004A6A54">
      <w:pPr>
        <w:spacing w:after="240"/>
        <w:ind w:firstLine="720"/>
        <w:jc w:val="both"/>
        <w:rPr>
          <w:rFonts w:ascii="Cambria" w:hAnsi="Cambria"/>
          <w:b/>
          <w:bCs/>
          <w:sz w:val="20"/>
          <w:szCs w:val="20"/>
          <w:lang w:val="es-ES"/>
        </w:rPr>
      </w:pPr>
      <w:r w:rsidRPr="008F5418">
        <w:rPr>
          <w:rFonts w:ascii="Cambria" w:hAnsi="Cambria"/>
          <w:b/>
          <w:bCs/>
          <w:sz w:val="20"/>
          <w:szCs w:val="20"/>
          <w:lang w:val="es-ES"/>
        </w:rPr>
        <w:lastRenderedPageBreak/>
        <w:t>I.</w:t>
      </w:r>
      <w:r w:rsidRPr="008F5418">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F24B3" w14:paraId="510ED20A" w14:textId="77777777" w:rsidTr="004A6A54">
        <w:tc>
          <w:tcPr>
            <w:tcW w:w="3600" w:type="dxa"/>
            <w:tcBorders>
              <w:top w:val="single" w:sz="4" w:space="0" w:color="auto"/>
              <w:bottom w:val="single" w:sz="6" w:space="0" w:color="auto"/>
            </w:tcBorders>
            <w:shd w:val="clear" w:color="auto" w:fill="386294"/>
            <w:vAlign w:val="center"/>
          </w:tcPr>
          <w:p w14:paraId="23BBA3BF"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Parte peticionaria:</w:t>
            </w:r>
          </w:p>
        </w:tc>
        <w:tc>
          <w:tcPr>
            <w:tcW w:w="5760" w:type="dxa"/>
            <w:vAlign w:val="center"/>
          </w:tcPr>
          <w:p w14:paraId="70859E17" w14:textId="77777777" w:rsidR="003239B8" w:rsidRPr="00C87C29" w:rsidRDefault="00DD1F3A" w:rsidP="008F5418">
            <w:pPr>
              <w:jc w:val="both"/>
              <w:rPr>
                <w:rFonts w:ascii="Cambria" w:hAnsi="Cambria"/>
                <w:bCs/>
                <w:sz w:val="20"/>
                <w:szCs w:val="20"/>
                <w:lang w:val="es-419"/>
              </w:rPr>
            </w:pPr>
            <w:r w:rsidRPr="00C87C29">
              <w:rPr>
                <w:rFonts w:ascii="Cambria" w:hAnsi="Cambria"/>
                <w:bCs/>
                <w:sz w:val="20"/>
                <w:szCs w:val="20"/>
                <w:lang w:val="es-419"/>
              </w:rPr>
              <w:t>Elena Carmen Moreno y Myriam Carsen</w:t>
            </w:r>
          </w:p>
        </w:tc>
      </w:tr>
      <w:tr w:rsidR="003239B8" w:rsidRPr="008F5418" w14:paraId="1794ECC1" w14:textId="77777777" w:rsidTr="004A6A54">
        <w:tc>
          <w:tcPr>
            <w:tcW w:w="3600" w:type="dxa"/>
            <w:tcBorders>
              <w:top w:val="single" w:sz="6" w:space="0" w:color="auto"/>
              <w:bottom w:val="single" w:sz="6" w:space="0" w:color="auto"/>
            </w:tcBorders>
            <w:shd w:val="clear" w:color="auto" w:fill="386294"/>
            <w:vAlign w:val="center"/>
          </w:tcPr>
          <w:p w14:paraId="409CA2DF" w14:textId="77777777" w:rsidR="003239B8" w:rsidRPr="008F5418" w:rsidRDefault="00461A57" w:rsidP="008F541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5418">
                  <w:rPr>
                    <w:rFonts w:ascii="Cambria" w:hAnsi="Cambria"/>
                    <w:b/>
                    <w:bCs/>
                    <w:color w:val="FFFFFF" w:themeColor="background1"/>
                    <w:sz w:val="20"/>
                    <w:szCs w:val="20"/>
                  </w:rPr>
                  <w:t>Presunta víctima</w:t>
                </w:r>
              </w:sdtContent>
            </w:sdt>
            <w:r w:rsidR="003239B8" w:rsidRPr="008F5418">
              <w:rPr>
                <w:rFonts w:ascii="Cambria" w:hAnsi="Cambria"/>
                <w:b/>
                <w:bCs/>
                <w:color w:val="FFFFFF" w:themeColor="background1"/>
                <w:sz w:val="20"/>
                <w:szCs w:val="20"/>
              </w:rPr>
              <w:t>:</w:t>
            </w:r>
          </w:p>
        </w:tc>
        <w:tc>
          <w:tcPr>
            <w:tcW w:w="5760" w:type="dxa"/>
            <w:vAlign w:val="center"/>
          </w:tcPr>
          <w:p w14:paraId="54212BAA" w14:textId="77777777" w:rsidR="003239B8" w:rsidRPr="008F5418" w:rsidRDefault="00DD1F3A" w:rsidP="008F5418">
            <w:pPr>
              <w:jc w:val="both"/>
              <w:rPr>
                <w:rFonts w:ascii="Cambria" w:hAnsi="Cambria"/>
                <w:bCs/>
                <w:sz w:val="20"/>
                <w:szCs w:val="20"/>
                <w:lang w:val="es-ES"/>
              </w:rPr>
            </w:pPr>
            <w:r w:rsidRPr="008F5418">
              <w:rPr>
                <w:rFonts w:ascii="Cambria" w:hAnsi="Cambria"/>
                <w:bCs/>
                <w:sz w:val="20"/>
                <w:szCs w:val="20"/>
                <w:lang w:val="es-ES"/>
              </w:rPr>
              <w:t>Eduardo Hugo Molina Zequeira</w:t>
            </w:r>
          </w:p>
        </w:tc>
      </w:tr>
      <w:tr w:rsidR="003239B8" w:rsidRPr="008F5418" w14:paraId="487810C6" w14:textId="77777777" w:rsidTr="004A6A54">
        <w:tc>
          <w:tcPr>
            <w:tcW w:w="3600" w:type="dxa"/>
            <w:tcBorders>
              <w:top w:val="single" w:sz="6" w:space="0" w:color="auto"/>
              <w:bottom w:val="single" w:sz="6" w:space="0" w:color="auto"/>
            </w:tcBorders>
            <w:shd w:val="clear" w:color="auto" w:fill="386294"/>
            <w:vAlign w:val="center"/>
          </w:tcPr>
          <w:p w14:paraId="474B7357"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Estado denunciado:</w:t>
            </w:r>
          </w:p>
        </w:tc>
        <w:tc>
          <w:tcPr>
            <w:tcW w:w="5760" w:type="dxa"/>
            <w:vAlign w:val="center"/>
          </w:tcPr>
          <w:p w14:paraId="3494B888" w14:textId="77777777" w:rsidR="003239B8" w:rsidRPr="008F5418" w:rsidRDefault="00DD1F3A" w:rsidP="008F5418">
            <w:pPr>
              <w:jc w:val="both"/>
              <w:rPr>
                <w:rFonts w:ascii="Cambria" w:hAnsi="Cambria"/>
                <w:bCs/>
                <w:sz w:val="20"/>
                <w:szCs w:val="20"/>
              </w:rPr>
            </w:pPr>
            <w:r w:rsidRPr="008F5418">
              <w:rPr>
                <w:rFonts w:ascii="Cambria" w:hAnsi="Cambria"/>
                <w:bCs/>
                <w:sz w:val="20"/>
                <w:szCs w:val="20"/>
              </w:rPr>
              <w:t>Argentina</w:t>
            </w:r>
          </w:p>
        </w:tc>
      </w:tr>
      <w:tr w:rsidR="00223A29" w:rsidRPr="00AF24B3" w14:paraId="73A57D23" w14:textId="77777777" w:rsidTr="004A6A54">
        <w:tc>
          <w:tcPr>
            <w:tcW w:w="3600" w:type="dxa"/>
            <w:tcBorders>
              <w:top w:val="single" w:sz="6" w:space="0" w:color="auto"/>
              <w:bottom w:val="single" w:sz="6" w:space="0" w:color="auto"/>
            </w:tcBorders>
            <w:shd w:val="clear" w:color="auto" w:fill="386294"/>
            <w:vAlign w:val="center"/>
          </w:tcPr>
          <w:p w14:paraId="41284DD4" w14:textId="77777777" w:rsidR="00223A29" w:rsidRPr="008F5418" w:rsidRDefault="001B3A00" w:rsidP="00E4118C">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 xml:space="preserve">Derechos </w:t>
            </w:r>
            <w:r w:rsidR="00E4118C" w:rsidRPr="008F5418">
              <w:rPr>
                <w:rFonts w:ascii="Cambria" w:hAnsi="Cambria"/>
                <w:b/>
                <w:bCs/>
                <w:color w:val="FFFFFF" w:themeColor="background1"/>
                <w:sz w:val="20"/>
                <w:szCs w:val="20"/>
              </w:rPr>
              <w:t>invocados</w:t>
            </w:r>
            <w:r w:rsidRPr="008F5418">
              <w:rPr>
                <w:rFonts w:ascii="Cambria" w:hAnsi="Cambria"/>
                <w:b/>
                <w:bCs/>
                <w:color w:val="FFFFFF" w:themeColor="background1"/>
                <w:sz w:val="20"/>
                <w:szCs w:val="20"/>
              </w:rPr>
              <w:t>:</w:t>
            </w:r>
          </w:p>
        </w:tc>
        <w:tc>
          <w:tcPr>
            <w:tcW w:w="5760" w:type="dxa"/>
            <w:vAlign w:val="center"/>
          </w:tcPr>
          <w:p w14:paraId="423E85F2" w14:textId="77777777" w:rsidR="00223A29" w:rsidRPr="00C87C29" w:rsidRDefault="00D90620" w:rsidP="008F5418">
            <w:pPr>
              <w:jc w:val="both"/>
              <w:rPr>
                <w:rFonts w:ascii="Cambria" w:hAnsi="Cambria"/>
                <w:bCs/>
                <w:sz w:val="20"/>
                <w:szCs w:val="20"/>
                <w:lang w:val="es-419"/>
              </w:rPr>
            </w:pPr>
            <w:r w:rsidRPr="00C87C29">
              <w:rPr>
                <w:rFonts w:ascii="Cambria" w:hAnsi="Cambria"/>
                <w:bCs/>
                <w:sz w:val="20"/>
                <w:szCs w:val="20"/>
                <w:lang w:val="es-419"/>
              </w:rPr>
              <w:t>Artículo 8</w:t>
            </w:r>
            <w:r w:rsidR="00B765A6" w:rsidRPr="00C87C29">
              <w:rPr>
                <w:rFonts w:ascii="Cambria" w:hAnsi="Cambria"/>
                <w:bCs/>
                <w:sz w:val="20"/>
                <w:szCs w:val="20"/>
                <w:lang w:val="es-419"/>
              </w:rPr>
              <w:t xml:space="preserve"> (garantias judiciales)</w:t>
            </w:r>
            <w:r w:rsidRPr="00C87C29">
              <w:rPr>
                <w:rFonts w:ascii="Cambria" w:hAnsi="Cambria"/>
                <w:bCs/>
                <w:sz w:val="20"/>
                <w:szCs w:val="20"/>
                <w:lang w:val="es-419"/>
              </w:rPr>
              <w:t>, 24</w:t>
            </w:r>
            <w:r w:rsidR="00B765A6" w:rsidRPr="00C87C29">
              <w:rPr>
                <w:rFonts w:ascii="Cambria" w:hAnsi="Cambria"/>
                <w:bCs/>
                <w:sz w:val="20"/>
                <w:szCs w:val="20"/>
                <w:lang w:val="es-419"/>
              </w:rPr>
              <w:t xml:space="preserve"> (igualdad ante la ley) y</w:t>
            </w:r>
            <w:r w:rsidRPr="00C87C29">
              <w:rPr>
                <w:rFonts w:ascii="Cambria" w:hAnsi="Cambria"/>
                <w:bCs/>
                <w:sz w:val="20"/>
                <w:szCs w:val="20"/>
                <w:lang w:val="es-419"/>
              </w:rPr>
              <w:t xml:space="preserve"> 25</w:t>
            </w:r>
            <w:r w:rsidR="00B765A6" w:rsidRPr="00C87C29">
              <w:rPr>
                <w:rFonts w:ascii="Cambria" w:hAnsi="Cambria"/>
                <w:bCs/>
                <w:sz w:val="20"/>
                <w:szCs w:val="20"/>
                <w:lang w:val="es-419"/>
              </w:rPr>
              <w:t xml:space="preserve"> (protección judicial)</w:t>
            </w:r>
            <w:r w:rsidRPr="00C87C29">
              <w:rPr>
                <w:rFonts w:ascii="Cambria" w:hAnsi="Cambria"/>
                <w:bCs/>
                <w:sz w:val="20"/>
                <w:szCs w:val="20"/>
                <w:lang w:val="es-419"/>
              </w:rPr>
              <w:t xml:space="preserve"> de la Convención Americana sobre Drerechos Humanos</w:t>
            </w:r>
            <w:r w:rsidRPr="008F5418">
              <w:rPr>
                <w:rStyle w:val="FootnoteReference"/>
                <w:rFonts w:ascii="Cambria" w:hAnsi="Cambria"/>
                <w:bCs/>
                <w:sz w:val="20"/>
                <w:szCs w:val="20"/>
              </w:rPr>
              <w:footnoteReference w:id="2"/>
            </w:r>
            <w:r w:rsidRPr="00C87C29">
              <w:rPr>
                <w:rFonts w:ascii="Cambria" w:hAnsi="Cambria"/>
                <w:bCs/>
                <w:sz w:val="20"/>
                <w:szCs w:val="20"/>
                <w:lang w:val="es-419"/>
              </w:rPr>
              <w:t xml:space="preserve"> e</w:t>
            </w:r>
            <w:r w:rsidR="00B765A6" w:rsidRPr="00C87C29">
              <w:rPr>
                <w:rFonts w:ascii="Cambria" w:hAnsi="Cambria"/>
                <w:bCs/>
                <w:sz w:val="20"/>
                <w:szCs w:val="20"/>
                <w:lang w:val="es-419"/>
              </w:rPr>
              <w:t>n</w:t>
            </w:r>
            <w:r w:rsidRPr="00C87C29">
              <w:rPr>
                <w:rFonts w:ascii="Cambria" w:hAnsi="Cambria"/>
                <w:bCs/>
                <w:sz w:val="20"/>
                <w:szCs w:val="20"/>
                <w:lang w:val="es-419"/>
              </w:rPr>
              <w:t xml:space="preserve"> relacción con el artículo 1.1</w:t>
            </w:r>
            <w:r w:rsidR="00B765A6" w:rsidRPr="00C87C29">
              <w:rPr>
                <w:rFonts w:ascii="Cambria" w:hAnsi="Cambria"/>
                <w:bCs/>
                <w:sz w:val="20"/>
                <w:szCs w:val="20"/>
                <w:lang w:val="es-419"/>
              </w:rPr>
              <w:t xml:space="preserve"> (obligación de respetar los derechos) del mismo instrumento</w:t>
            </w:r>
          </w:p>
        </w:tc>
      </w:tr>
    </w:tbl>
    <w:p w14:paraId="2EBE9AF5" w14:textId="77777777" w:rsidR="003239B8" w:rsidRPr="008F5418" w:rsidRDefault="003239B8" w:rsidP="003239B8">
      <w:pPr>
        <w:spacing w:before="240" w:after="240"/>
        <w:ind w:firstLine="720"/>
        <w:jc w:val="both"/>
        <w:rPr>
          <w:rFonts w:ascii="Cambria" w:hAnsi="Cambria"/>
          <w:b/>
          <w:bCs/>
          <w:sz w:val="20"/>
          <w:szCs w:val="20"/>
          <w:lang w:val="es-ES"/>
        </w:rPr>
      </w:pPr>
      <w:r w:rsidRPr="008F5418">
        <w:rPr>
          <w:rFonts w:ascii="Cambria" w:hAnsi="Cambria"/>
          <w:b/>
          <w:bCs/>
          <w:sz w:val="20"/>
          <w:szCs w:val="20"/>
          <w:lang w:val="es-ES"/>
        </w:rPr>
        <w:t>II.</w:t>
      </w:r>
      <w:r w:rsidRPr="008F5418">
        <w:rPr>
          <w:rFonts w:ascii="Cambria" w:hAnsi="Cambria"/>
          <w:b/>
          <w:bCs/>
          <w:sz w:val="20"/>
          <w:szCs w:val="20"/>
          <w:lang w:val="es-ES"/>
        </w:rPr>
        <w:tab/>
        <w:t>TRÁMITE ANTE LA CIDH</w:t>
      </w:r>
      <w:r w:rsidR="008E3BFE" w:rsidRPr="008F5418">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5418" w14:paraId="3FC1BBE5" w14:textId="77777777" w:rsidTr="004A6A54">
        <w:tc>
          <w:tcPr>
            <w:tcW w:w="3600" w:type="dxa"/>
            <w:tcBorders>
              <w:top w:val="single" w:sz="6" w:space="0" w:color="auto"/>
              <w:bottom w:val="single" w:sz="6" w:space="0" w:color="auto"/>
            </w:tcBorders>
            <w:shd w:val="clear" w:color="auto" w:fill="386294"/>
            <w:vAlign w:val="center"/>
          </w:tcPr>
          <w:p w14:paraId="614B6A91"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P</w:t>
            </w:r>
            <w:r w:rsidR="004C2312" w:rsidRPr="008F5418">
              <w:rPr>
                <w:rFonts w:ascii="Cambria" w:hAnsi="Cambria"/>
                <w:b/>
                <w:bCs/>
                <w:color w:val="FFFFFF" w:themeColor="background1"/>
                <w:sz w:val="20"/>
                <w:szCs w:val="20"/>
                <w:lang w:val="es-ES"/>
              </w:rPr>
              <w:t>resentación de la petición:</w:t>
            </w:r>
          </w:p>
        </w:tc>
        <w:tc>
          <w:tcPr>
            <w:tcW w:w="5760" w:type="dxa"/>
            <w:vAlign w:val="center"/>
          </w:tcPr>
          <w:p w14:paraId="2544140B" w14:textId="77777777" w:rsidR="004C2312" w:rsidRPr="008F5418" w:rsidRDefault="00D90620" w:rsidP="008F5418">
            <w:pPr>
              <w:jc w:val="both"/>
              <w:rPr>
                <w:rFonts w:ascii="Cambria" w:hAnsi="Cambria"/>
                <w:bCs/>
                <w:sz w:val="20"/>
                <w:szCs w:val="20"/>
                <w:lang w:val="es-ES"/>
              </w:rPr>
            </w:pPr>
            <w:r w:rsidRPr="008F5418">
              <w:rPr>
                <w:rFonts w:ascii="Cambria" w:hAnsi="Cambria"/>
                <w:bCs/>
                <w:sz w:val="20"/>
                <w:szCs w:val="20"/>
                <w:lang w:val="es-ES"/>
              </w:rPr>
              <w:t>1 de noviembre de 2010</w:t>
            </w:r>
          </w:p>
        </w:tc>
      </w:tr>
      <w:tr w:rsidR="004C2312" w:rsidRPr="009D163F" w14:paraId="09BE094A" w14:textId="77777777" w:rsidTr="004A6A54">
        <w:tc>
          <w:tcPr>
            <w:tcW w:w="3600" w:type="dxa"/>
            <w:tcBorders>
              <w:top w:val="single" w:sz="6" w:space="0" w:color="auto"/>
              <w:bottom w:val="single" w:sz="6" w:space="0" w:color="auto"/>
            </w:tcBorders>
            <w:shd w:val="clear" w:color="auto" w:fill="386294"/>
            <w:vAlign w:val="center"/>
          </w:tcPr>
          <w:p w14:paraId="06520820"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color w:val="FFFFFF" w:themeColor="background1"/>
                <w:sz w:val="20"/>
                <w:szCs w:val="20"/>
                <w:lang w:val="es-ES"/>
              </w:rPr>
              <w:t>N</w:t>
            </w:r>
            <w:r w:rsidR="004C2312" w:rsidRPr="008F5418">
              <w:rPr>
                <w:rFonts w:ascii="Cambria" w:hAnsi="Cambria"/>
                <w:b/>
                <w:color w:val="FFFFFF" w:themeColor="background1"/>
                <w:sz w:val="20"/>
                <w:szCs w:val="20"/>
                <w:lang w:val="es-ES"/>
              </w:rPr>
              <w:t>otificación de la petición al Estado:</w:t>
            </w:r>
          </w:p>
        </w:tc>
        <w:tc>
          <w:tcPr>
            <w:tcW w:w="5760" w:type="dxa"/>
            <w:vAlign w:val="center"/>
          </w:tcPr>
          <w:p w14:paraId="140E757D" w14:textId="77777777" w:rsidR="004C2312" w:rsidRPr="008F5418" w:rsidRDefault="009D163F" w:rsidP="008F5418">
            <w:pPr>
              <w:jc w:val="both"/>
              <w:rPr>
                <w:rFonts w:ascii="Cambria" w:hAnsi="Cambria"/>
                <w:bCs/>
                <w:sz w:val="20"/>
                <w:szCs w:val="20"/>
                <w:lang w:val="es-ES"/>
              </w:rPr>
            </w:pPr>
            <w:r>
              <w:rPr>
                <w:rFonts w:ascii="Cambria" w:hAnsi="Cambria"/>
                <w:bCs/>
                <w:sz w:val="20"/>
                <w:szCs w:val="20"/>
                <w:lang w:val="es-ES"/>
              </w:rPr>
              <w:t>2 de octubre de 2017</w:t>
            </w:r>
          </w:p>
        </w:tc>
      </w:tr>
      <w:tr w:rsidR="004C2312" w:rsidRPr="008F5418" w14:paraId="247377C6" w14:textId="77777777" w:rsidTr="004A6A54">
        <w:tc>
          <w:tcPr>
            <w:tcW w:w="3600" w:type="dxa"/>
            <w:tcBorders>
              <w:top w:val="single" w:sz="6" w:space="0" w:color="auto"/>
              <w:bottom w:val="single" w:sz="6" w:space="0" w:color="auto"/>
            </w:tcBorders>
            <w:shd w:val="clear" w:color="auto" w:fill="386294"/>
            <w:vAlign w:val="center"/>
          </w:tcPr>
          <w:p w14:paraId="5A771D4B"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color w:val="FFFFFF" w:themeColor="background1"/>
                <w:sz w:val="20"/>
                <w:szCs w:val="20"/>
                <w:lang w:val="es-ES"/>
              </w:rPr>
              <w:t>P</w:t>
            </w:r>
            <w:r w:rsidR="004C2312" w:rsidRPr="008F5418">
              <w:rPr>
                <w:rFonts w:ascii="Cambria" w:hAnsi="Cambria"/>
                <w:b/>
                <w:color w:val="FFFFFF" w:themeColor="background1"/>
                <w:sz w:val="20"/>
                <w:szCs w:val="20"/>
                <w:lang w:val="es-ES"/>
              </w:rPr>
              <w:t>rimera respuesta del Estado:</w:t>
            </w:r>
          </w:p>
        </w:tc>
        <w:tc>
          <w:tcPr>
            <w:tcW w:w="5760" w:type="dxa"/>
            <w:vAlign w:val="center"/>
          </w:tcPr>
          <w:p w14:paraId="26ABB60A" w14:textId="77777777" w:rsidR="004C2312" w:rsidRPr="008F5418" w:rsidRDefault="009D163F" w:rsidP="008F5418">
            <w:pPr>
              <w:jc w:val="both"/>
              <w:rPr>
                <w:rFonts w:ascii="Cambria" w:hAnsi="Cambria"/>
                <w:bCs/>
                <w:sz w:val="20"/>
                <w:szCs w:val="20"/>
                <w:lang w:val="es-ES"/>
              </w:rPr>
            </w:pPr>
            <w:r>
              <w:rPr>
                <w:rFonts w:ascii="Cambria" w:hAnsi="Cambria"/>
                <w:bCs/>
                <w:sz w:val="20"/>
                <w:szCs w:val="20"/>
                <w:lang w:val="es-ES"/>
              </w:rPr>
              <w:t>6 de abril de 2018</w:t>
            </w:r>
          </w:p>
        </w:tc>
      </w:tr>
      <w:tr w:rsidR="004C2312" w:rsidRPr="009D163F" w14:paraId="73B159D9" w14:textId="77777777" w:rsidTr="004A6A54">
        <w:tc>
          <w:tcPr>
            <w:tcW w:w="3600" w:type="dxa"/>
            <w:tcBorders>
              <w:top w:val="single" w:sz="6" w:space="0" w:color="auto"/>
              <w:bottom w:val="single" w:sz="6" w:space="0" w:color="auto"/>
            </w:tcBorders>
            <w:shd w:val="clear" w:color="auto" w:fill="386294"/>
            <w:vAlign w:val="center"/>
          </w:tcPr>
          <w:p w14:paraId="7CC6AE1C" w14:textId="77777777" w:rsidR="004C2312" w:rsidRPr="008F5418" w:rsidRDefault="008E3BFE" w:rsidP="008E3BFE">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Observaciones adicionales de la parte peticionaria:</w:t>
            </w:r>
          </w:p>
        </w:tc>
        <w:tc>
          <w:tcPr>
            <w:tcW w:w="5760" w:type="dxa"/>
            <w:vAlign w:val="center"/>
          </w:tcPr>
          <w:p w14:paraId="6D125770" w14:textId="77777777" w:rsidR="004C2312" w:rsidRPr="008F5418" w:rsidRDefault="009D163F" w:rsidP="008F5418">
            <w:pPr>
              <w:jc w:val="both"/>
              <w:rPr>
                <w:rFonts w:ascii="Cambria" w:hAnsi="Cambria"/>
                <w:bCs/>
                <w:sz w:val="20"/>
                <w:szCs w:val="20"/>
                <w:lang w:val="es-ES"/>
              </w:rPr>
            </w:pPr>
            <w:r>
              <w:rPr>
                <w:rFonts w:ascii="Cambria" w:hAnsi="Cambria"/>
                <w:bCs/>
                <w:sz w:val="20"/>
                <w:szCs w:val="20"/>
                <w:lang w:val="es-ES"/>
              </w:rPr>
              <w:t>27 de agosto de 2018</w:t>
            </w:r>
          </w:p>
        </w:tc>
      </w:tr>
    </w:tbl>
    <w:p w14:paraId="75D0C4E7" w14:textId="77777777" w:rsidR="003239B8" w:rsidRPr="008F5418" w:rsidRDefault="003239B8" w:rsidP="003239B8">
      <w:pPr>
        <w:spacing w:before="240" w:after="240"/>
        <w:ind w:firstLine="720"/>
        <w:jc w:val="both"/>
        <w:rPr>
          <w:rFonts w:ascii="Cambria" w:hAnsi="Cambria"/>
          <w:b/>
          <w:bCs/>
          <w:sz w:val="20"/>
          <w:szCs w:val="20"/>
          <w:lang w:val="es-ES"/>
        </w:rPr>
      </w:pPr>
      <w:r w:rsidRPr="008F5418">
        <w:rPr>
          <w:rFonts w:ascii="Cambria" w:hAnsi="Cambria"/>
          <w:b/>
          <w:bCs/>
          <w:sz w:val="20"/>
          <w:szCs w:val="20"/>
          <w:lang w:val="es-ES"/>
        </w:rPr>
        <w:t xml:space="preserve">III. </w:t>
      </w:r>
      <w:r w:rsidRPr="008F5418">
        <w:rPr>
          <w:rFonts w:ascii="Cambria" w:hAnsi="Cambria"/>
          <w:b/>
          <w:bCs/>
          <w:sz w:val="20"/>
          <w:szCs w:val="20"/>
          <w:lang w:val="es-ES"/>
        </w:rPr>
        <w:tab/>
        <w:t>COMPETENCIA</w:t>
      </w:r>
      <w:r w:rsidR="00EE00E9" w:rsidRPr="008F5418">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F5418" w14:paraId="3B3C765C" w14:textId="77777777" w:rsidTr="004A6A54">
        <w:trPr>
          <w:cantSplit/>
        </w:trPr>
        <w:tc>
          <w:tcPr>
            <w:tcW w:w="3600" w:type="dxa"/>
            <w:tcBorders>
              <w:top w:val="single" w:sz="4" w:space="0" w:color="auto"/>
              <w:bottom w:val="single" w:sz="6" w:space="0" w:color="auto"/>
            </w:tcBorders>
            <w:shd w:val="clear" w:color="auto" w:fill="386294"/>
            <w:vAlign w:val="center"/>
          </w:tcPr>
          <w:p w14:paraId="651EC17C" w14:textId="77777777" w:rsidR="003239B8" w:rsidRPr="008F5418" w:rsidRDefault="003239B8" w:rsidP="008F5418">
            <w:pPr>
              <w:jc w:val="center"/>
              <w:rPr>
                <w:rFonts w:ascii="Cambria" w:hAnsi="Cambria"/>
                <w:b/>
                <w:bCs/>
                <w:i/>
                <w:color w:val="FFFFFF" w:themeColor="background1"/>
                <w:sz w:val="20"/>
                <w:szCs w:val="20"/>
              </w:rPr>
            </w:pPr>
            <w:r w:rsidRPr="008F5418">
              <w:rPr>
                <w:rFonts w:ascii="Cambria" w:hAnsi="Cambria"/>
                <w:b/>
                <w:bCs/>
                <w:color w:val="FFFFFF" w:themeColor="background1"/>
                <w:sz w:val="20"/>
                <w:szCs w:val="20"/>
              </w:rPr>
              <w:t>Competencia</w:t>
            </w:r>
            <w:r w:rsidRPr="008F5418">
              <w:rPr>
                <w:rFonts w:ascii="Cambria" w:hAnsi="Cambria"/>
                <w:b/>
                <w:bCs/>
                <w:i/>
                <w:color w:val="FFFFFF" w:themeColor="background1"/>
                <w:sz w:val="20"/>
                <w:szCs w:val="20"/>
              </w:rPr>
              <w:t xml:space="preserve"> Ratione personae:</w:t>
            </w:r>
          </w:p>
        </w:tc>
        <w:tc>
          <w:tcPr>
            <w:tcW w:w="5760" w:type="dxa"/>
            <w:vAlign w:val="center"/>
          </w:tcPr>
          <w:p w14:paraId="67F19DB7" w14:textId="77777777" w:rsidR="003239B8" w:rsidRPr="008F5418" w:rsidRDefault="00B765A6" w:rsidP="008F5418">
            <w:pPr>
              <w:rPr>
                <w:rFonts w:ascii="Cambria" w:hAnsi="Cambria"/>
                <w:bCs/>
                <w:sz w:val="20"/>
                <w:szCs w:val="20"/>
              </w:rPr>
            </w:pPr>
            <w:r w:rsidRPr="008F5418">
              <w:rPr>
                <w:rFonts w:ascii="Cambria" w:hAnsi="Cambria"/>
                <w:bCs/>
                <w:sz w:val="20"/>
                <w:szCs w:val="20"/>
              </w:rPr>
              <w:t>Sí</w:t>
            </w:r>
          </w:p>
        </w:tc>
      </w:tr>
      <w:tr w:rsidR="003239B8" w:rsidRPr="008F5418" w14:paraId="0B3811D9" w14:textId="77777777" w:rsidTr="004A6A54">
        <w:trPr>
          <w:cantSplit/>
        </w:trPr>
        <w:tc>
          <w:tcPr>
            <w:tcW w:w="3600" w:type="dxa"/>
            <w:tcBorders>
              <w:top w:val="single" w:sz="6" w:space="0" w:color="auto"/>
              <w:bottom w:val="single" w:sz="6" w:space="0" w:color="auto"/>
            </w:tcBorders>
            <w:shd w:val="clear" w:color="auto" w:fill="386294"/>
            <w:vAlign w:val="center"/>
          </w:tcPr>
          <w:p w14:paraId="19956B16"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Competencia</w:t>
            </w:r>
            <w:r w:rsidRPr="008F5418">
              <w:rPr>
                <w:rFonts w:ascii="Cambria" w:hAnsi="Cambria"/>
                <w:b/>
                <w:bCs/>
                <w:i/>
                <w:color w:val="FFFFFF" w:themeColor="background1"/>
                <w:sz w:val="20"/>
                <w:szCs w:val="20"/>
              </w:rPr>
              <w:t xml:space="preserve"> Ratione loci</w:t>
            </w:r>
            <w:r w:rsidRPr="008F5418">
              <w:rPr>
                <w:rFonts w:ascii="Cambria" w:hAnsi="Cambria"/>
                <w:b/>
                <w:bCs/>
                <w:color w:val="FFFFFF" w:themeColor="background1"/>
                <w:sz w:val="20"/>
                <w:szCs w:val="20"/>
              </w:rPr>
              <w:t>:</w:t>
            </w:r>
          </w:p>
        </w:tc>
        <w:tc>
          <w:tcPr>
            <w:tcW w:w="5760" w:type="dxa"/>
            <w:vAlign w:val="center"/>
          </w:tcPr>
          <w:p w14:paraId="1439DF4C" w14:textId="77777777" w:rsidR="003239B8" w:rsidRPr="008F5418" w:rsidRDefault="00B765A6" w:rsidP="008F5418">
            <w:pPr>
              <w:rPr>
                <w:rFonts w:ascii="Cambria" w:hAnsi="Cambria"/>
                <w:bCs/>
                <w:sz w:val="20"/>
                <w:szCs w:val="20"/>
              </w:rPr>
            </w:pPr>
            <w:r w:rsidRPr="008F5418">
              <w:rPr>
                <w:rFonts w:ascii="Cambria" w:hAnsi="Cambria"/>
                <w:bCs/>
                <w:sz w:val="20"/>
                <w:szCs w:val="20"/>
              </w:rPr>
              <w:t>Sí</w:t>
            </w:r>
          </w:p>
        </w:tc>
      </w:tr>
      <w:tr w:rsidR="003239B8" w:rsidRPr="008F5418" w14:paraId="7FFE77B9" w14:textId="77777777" w:rsidTr="004A6A54">
        <w:trPr>
          <w:cantSplit/>
        </w:trPr>
        <w:tc>
          <w:tcPr>
            <w:tcW w:w="3600" w:type="dxa"/>
            <w:tcBorders>
              <w:top w:val="single" w:sz="6" w:space="0" w:color="auto"/>
              <w:bottom w:val="single" w:sz="6" w:space="0" w:color="auto"/>
            </w:tcBorders>
            <w:shd w:val="clear" w:color="auto" w:fill="386294"/>
            <w:vAlign w:val="center"/>
          </w:tcPr>
          <w:p w14:paraId="01115DE5"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Competencia</w:t>
            </w:r>
            <w:r w:rsidRPr="008F5418">
              <w:rPr>
                <w:rFonts w:ascii="Cambria" w:hAnsi="Cambria"/>
                <w:b/>
                <w:bCs/>
                <w:i/>
                <w:color w:val="FFFFFF" w:themeColor="background1"/>
                <w:sz w:val="20"/>
                <w:szCs w:val="20"/>
              </w:rPr>
              <w:t xml:space="preserve"> Ratione temporis</w:t>
            </w:r>
            <w:r w:rsidRPr="008F5418">
              <w:rPr>
                <w:rFonts w:ascii="Cambria" w:hAnsi="Cambria"/>
                <w:b/>
                <w:bCs/>
                <w:color w:val="FFFFFF" w:themeColor="background1"/>
                <w:sz w:val="20"/>
                <w:szCs w:val="20"/>
              </w:rPr>
              <w:t>:</w:t>
            </w:r>
          </w:p>
        </w:tc>
        <w:tc>
          <w:tcPr>
            <w:tcW w:w="5760" w:type="dxa"/>
            <w:vAlign w:val="center"/>
          </w:tcPr>
          <w:p w14:paraId="124BC62D" w14:textId="77777777" w:rsidR="003239B8" w:rsidRPr="008F5418" w:rsidRDefault="00197CAF" w:rsidP="008F5418">
            <w:pPr>
              <w:rPr>
                <w:rFonts w:ascii="Cambria" w:hAnsi="Cambria"/>
                <w:bCs/>
                <w:sz w:val="20"/>
                <w:szCs w:val="20"/>
              </w:rPr>
            </w:pPr>
            <w:r>
              <w:rPr>
                <w:rFonts w:ascii="Cambria" w:hAnsi="Cambria"/>
                <w:bCs/>
                <w:sz w:val="20"/>
                <w:szCs w:val="20"/>
              </w:rPr>
              <w:t>Sí</w:t>
            </w:r>
          </w:p>
        </w:tc>
      </w:tr>
      <w:tr w:rsidR="003239B8" w:rsidRPr="00AF24B3" w14:paraId="2B3FB16E" w14:textId="77777777" w:rsidTr="004A6A54">
        <w:trPr>
          <w:cantSplit/>
        </w:trPr>
        <w:tc>
          <w:tcPr>
            <w:tcW w:w="3600" w:type="dxa"/>
            <w:tcBorders>
              <w:top w:val="single" w:sz="6" w:space="0" w:color="auto"/>
              <w:bottom w:val="single" w:sz="6" w:space="0" w:color="auto"/>
            </w:tcBorders>
            <w:shd w:val="clear" w:color="auto" w:fill="386294"/>
            <w:vAlign w:val="center"/>
          </w:tcPr>
          <w:p w14:paraId="6043F592"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Competencia</w:t>
            </w:r>
            <w:r w:rsidRPr="008F5418">
              <w:rPr>
                <w:rFonts w:ascii="Cambria" w:hAnsi="Cambria"/>
                <w:b/>
                <w:bCs/>
                <w:i/>
                <w:color w:val="FFFFFF" w:themeColor="background1"/>
                <w:sz w:val="20"/>
                <w:szCs w:val="20"/>
              </w:rPr>
              <w:t xml:space="preserve"> Ratione materia</w:t>
            </w:r>
            <w:r w:rsidR="00EE00E9" w:rsidRPr="008F5418">
              <w:rPr>
                <w:rFonts w:ascii="Cambria" w:hAnsi="Cambria"/>
                <w:b/>
                <w:bCs/>
                <w:i/>
                <w:color w:val="FFFFFF" w:themeColor="background1"/>
                <w:sz w:val="20"/>
                <w:szCs w:val="20"/>
              </w:rPr>
              <w:t>e</w:t>
            </w:r>
            <w:r w:rsidRPr="008F5418">
              <w:rPr>
                <w:rFonts w:ascii="Cambria" w:hAnsi="Cambria"/>
                <w:b/>
                <w:bCs/>
                <w:color w:val="FFFFFF" w:themeColor="background1"/>
                <w:sz w:val="20"/>
                <w:szCs w:val="20"/>
              </w:rPr>
              <w:t>:</w:t>
            </w:r>
          </w:p>
        </w:tc>
        <w:tc>
          <w:tcPr>
            <w:tcW w:w="5760" w:type="dxa"/>
            <w:vAlign w:val="center"/>
          </w:tcPr>
          <w:p w14:paraId="2A30BFED" w14:textId="77777777" w:rsidR="003239B8" w:rsidRPr="008F5418" w:rsidRDefault="00197CAF" w:rsidP="008F5418">
            <w:pPr>
              <w:jc w:val="both"/>
              <w:rPr>
                <w:rFonts w:ascii="Cambria" w:hAnsi="Cambria"/>
                <w:bCs/>
                <w:sz w:val="20"/>
                <w:szCs w:val="20"/>
                <w:lang w:val="es-ES"/>
              </w:rPr>
            </w:pPr>
            <w:r w:rsidRPr="00B467A2">
              <w:rPr>
                <w:rFonts w:asciiTheme="majorHAnsi" w:hAnsiTheme="majorHAnsi"/>
                <w:bCs/>
                <w:sz w:val="19"/>
                <w:szCs w:val="19"/>
                <w:lang w:val="es-ES"/>
              </w:rPr>
              <w:t>Sí, Convención Americana</w:t>
            </w:r>
            <w:r>
              <w:rPr>
                <w:rFonts w:asciiTheme="majorHAnsi" w:hAnsiTheme="majorHAnsi"/>
                <w:bCs/>
                <w:sz w:val="19"/>
                <w:szCs w:val="19"/>
                <w:lang w:val="es-ES"/>
              </w:rPr>
              <w:t xml:space="preserve"> sobre Derechos Humanos</w:t>
            </w:r>
            <w:r>
              <w:rPr>
                <w:rStyle w:val="FootnoteReference"/>
                <w:rFonts w:asciiTheme="majorHAnsi" w:hAnsiTheme="majorHAnsi"/>
                <w:bCs/>
                <w:sz w:val="19"/>
                <w:szCs w:val="19"/>
                <w:lang w:val="es-ES"/>
              </w:rPr>
              <w:footnoteReference w:id="4"/>
            </w:r>
            <w:r w:rsidRPr="00B467A2">
              <w:rPr>
                <w:rFonts w:asciiTheme="majorHAnsi" w:hAnsiTheme="majorHAnsi"/>
                <w:bCs/>
                <w:sz w:val="19"/>
                <w:szCs w:val="19"/>
                <w:lang w:val="es-ES"/>
              </w:rPr>
              <w:t xml:space="preserve"> (instrumento adoptado en el 5 de septiembre de 1984)</w:t>
            </w:r>
          </w:p>
        </w:tc>
      </w:tr>
    </w:tbl>
    <w:p w14:paraId="458683A1" w14:textId="77777777" w:rsidR="003239B8" w:rsidRPr="008F5418" w:rsidRDefault="003239B8" w:rsidP="003239B8">
      <w:pPr>
        <w:spacing w:before="240" w:after="240"/>
        <w:ind w:firstLine="720"/>
        <w:jc w:val="both"/>
        <w:rPr>
          <w:rFonts w:ascii="Cambria" w:hAnsi="Cambria"/>
          <w:b/>
          <w:bCs/>
          <w:sz w:val="20"/>
          <w:szCs w:val="20"/>
          <w:lang w:val="es-ES"/>
        </w:rPr>
      </w:pPr>
      <w:r w:rsidRPr="008F5418">
        <w:rPr>
          <w:rFonts w:ascii="Cambria" w:hAnsi="Cambria"/>
          <w:b/>
          <w:bCs/>
          <w:sz w:val="20"/>
          <w:szCs w:val="20"/>
          <w:lang w:val="es-ES"/>
        </w:rPr>
        <w:t xml:space="preserve">IV. </w:t>
      </w:r>
      <w:r w:rsidRPr="008F5418">
        <w:rPr>
          <w:rFonts w:ascii="Cambria" w:hAnsi="Cambria"/>
          <w:b/>
          <w:bCs/>
          <w:sz w:val="20"/>
          <w:szCs w:val="20"/>
          <w:lang w:val="es-ES"/>
        </w:rPr>
        <w:tab/>
      </w:r>
      <w:r w:rsidR="00EE00E9" w:rsidRPr="008F5418">
        <w:rPr>
          <w:rFonts w:ascii="Cambria" w:hAnsi="Cambria"/>
          <w:b/>
          <w:bCs/>
          <w:sz w:val="20"/>
          <w:szCs w:val="20"/>
          <w:lang w:val="es-ES"/>
        </w:rPr>
        <w:t>DUPLICACIÓN</w:t>
      </w:r>
      <w:r w:rsidR="00EE00E9" w:rsidRPr="008F5418">
        <w:rPr>
          <w:rFonts w:ascii="Cambria" w:hAnsi="Cambria"/>
          <w:b/>
          <w:bCs/>
          <w:color w:val="FFFFFF" w:themeColor="background1"/>
          <w:sz w:val="20"/>
          <w:szCs w:val="20"/>
          <w:lang w:val="es-ES"/>
        </w:rPr>
        <w:t xml:space="preserve"> </w:t>
      </w:r>
      <w:r w:rsidR="00EE00E9" w:rsidRPr="008F5418">
        <w:rPr>
          <w:rFonts w:ascii="Cambria" w:hAnsi="Cambria"/>
          <w:b/>
          <w:bCs/>
          <w:sz w:val="20"/>
          <w:szCs w:val="20"/>
          <w:lang w:val="es-ES"/>
        </w:rPr>
        <w:t>DE PROCEDIMIENTOS Y COSA JUZGADA</w:t>
      </w:r>
      <w:r w:rsidR="00EE00E9" w:rsidRPr="008F5418">
        <w:rPr>
          <w:rFonts w:ascii="Cambria" w:hAnsi="Cambria"/>
          <w:b/>
          <w:bCs/>
          <w:i/>
          <w:sz w:val="20"/>
          <w:szCs w:val="20"/>
          <w:lang w:val="es-ES"/>
        </w:rPr>
        <w:t xml:space="preserve"> </w:t>
      </w:r>
      <w:r w:rsidR="00EE00E9" w:rsidRPr="008F5418">
        <w:rPr>
          <w:rFonts w:ascii="Cambria" w:hAnsi="Cambria"/>
          <w:b/>
          <w:bCs/>
          <w:sz w:val="20"/>
          <w:szCs w:val="20"/>
          <w:lang w:val="es-ES"/>
        </w:rPr>
        <w:t xml:space="preserve">INTERNACIONAL, </w:t>
      </w:r>
      <w:r w:rsidRPr="008F5418">
        <w:rPr>
          <w:rFonts w:ascii="Cambria" w:hAnsi="Cambria"/>
          <w:b/>
          <w:bCs/>
          <w:sz w:val="20"/>
          <w:szCs w:val="20"/>
          <w:lang w:val="es-ES"/>
        </w:rPr>
        <w:t xml:space="preserve">CARACTERIZACIÓN, </w:t>
      </w:r>
      <w:r w:rsidRPr="008F5418">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F5418" w14:paraId="4FF33D41" w14:textId="77777777" w:rsidTr="004A6A54">
        <w:trPr>
          <w:cantSplit/>
        </w:trPr>
        <w:tc>
          <w:tcPr>
            <w:tcW w:w="3600" w:type="dxa"/>
            <w:tcBorders>
              <w:top w:val="single" w:sz="4" w:space="0" w:color="auto"/>
              <w:bottom w:val="single" w:sz="6" w:space="0" w:color="auto"/>
            </w:tcBorders>
            <w:shd w:val="clear" w:color="auto" w:fill="386294"/>
            <w:vAlign w:val="center"/>
          </w:tcPr>
          <w:p w14:paraId="547499F1" w14:textId="77777777" w:rsidR="00EE00E9" w:rsidRPr="008F5418" w:rsidRDefault="00EE00E9" w:rsidP="008F5418">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Duplicación de procedimientos y cosa juzgada internacional:</w:t>
            </w:r>
          </w:p>
        </w:tc>
        <w:tc>
          <w:tcPr>
            <w:tcW w:w="5760" w:type="dxa"/>
            <w:vAlign w:val="center"/>
          </w:tcPr>
          <w:p w14:paraId="1842A651" w14:textId="77777777" w:rsidR="00EE00E9" w:rsidRPr="008F5418" w:rsidRDefault="00197CAF" w:rsidP="008F5418">
            <w:pPr>
              <w:jc w:val="both"/>
              <w:rPr>
                <w:rFonts w:ascii="Cambria" w:hAnsi="Cambria"/>
                <w:bCs/>
                <w:sz w:val="20"/>
                <w:szCs w:val="20"/>
                <w:lang w:val="es-ES"/>
              </w:rPr>
            </w:pPr>
            <w:r>
              <w:rPr>
                <w:rFonts w:ascii="Cambria" w:hAnsi="Cambria"/>
                <w:bCs/>
                <w:sz w:val="20"/>
                <w:szCs w:val="20"/>
                <w:lang w:val="es-ES"/>
              </w:rPr>
              <w:t>No</w:t>
            </w:r>
          </w:p>
        </w:tc>
      </w:tr>
      <w:tr w:rsidR="003239B8" w:rsidRPr="00AF24B3" w14:paraId="49083E03" w14:textId="77777777" w:rsidTr="004A6A54">
        <w:trPr>
          <w:cantSplit/>
        </w:trPr>
        <w:tc>
          <w:tcPr>
            <w:tcW w:w="3600" w:type="dxa"/>
            <w:tcBorders>
              <w:top w:val="single" w:sz="4" w:space="0" w:color="auto"/>
              <w:bottom w:val="single" w:sz="6" w:space="0" w:color="auto"/>
            </w:tcBorders>
            <w:shd w:val="clear" w:color="auto" w:fill="386294"/>
            <w:vAlign w:val="center"/>
          </w:tcPr>
          <w:p w14:paraId="4181B98F" w14:textId="77777777" w:rsidR="003239B8" w:rsidRPr="008F5418" w:rsidRDefault="003239B8" w:rsidP="008F5418">
            <w:pPr>
              <w:jc w:val="center"/>
              <w:rPr>
                <w:rFonts w:ascii="Cambria" w:hAnsi="Cambria"/>
                <w:b/>
                <w:bCs/>
                <w:i/>
                <w:color w:val="FFFFFF" w:themeColor="background1"/>
                <w:sz w:val="20"/>
                <w:szCs w:val="20"/>
              </w:rPr>
            </w:pPr>
            <w:r w:rsidRPr="008F5418">
              <w:rPr>
                <w:rFonts w:ascii="Cambria" w:hAnsi="Cambria"/>
                <w:b/>
                <w:bCs/>
                <w:color w:val="FFFFFF" w:themeColor="background1"/>
                <w:sz w:val="20"/>
                <w:szCs w:val="20"/>
              </w:rPr>
              <w:t>Derechos declarados admisibles</w:t>
            </w:r>
            <w:r w:rsidRPr="008F5418">
              <w:rPr>
                <w:rFonts w:ascii="Cambria" w:hAnsi="Cambria"/>
                <w:b/>
                <w:bCs/>
                <w:i/>
                <w:color w:val="FFFFFF" w:themeColor="background1"/>
                <w:sz w:val="20"/>
                <w:szCs w:val="20"/>
              </w:rPr>
              <w:t>:</w:t>
            </w:r>
          </w:p>
        </w:tc>
        <w:tc>
          <w:tcPr>
            <w:tcW w:w="5760" w:type="dxa"/>
            <w:vAlign w:val="center"/>
          </w:tcPr>
          <w:p w14:paraId="28B87FB6" w14:textId="77777777" w:rsidR="003239B8" w:rsidRPr="00C87C29" w:rsidRDefault="00B765A6" w:rsidP="008F5418">
            <w:pPr>
              <w:jc w:val="both"/>
              <w:rPr>
                <w:rFonts w:ascii="Cambria" w:hAnsi="Cambria"/>
                <w:bCs/>
                <w:sz w:val="20"/>
                <w:szCs w:val="20"/>
                <w:lang w:val="es-419"/>
              </w:rPr>
            </w:pPr>
            <w:r w:rsidRPr="00C87C29">
              <w:rPr>
                <w:rFonts w:ascii="Cambria" w:hAnsi="Cambria"/>
                <w:bCs/>
                <w:sz w:val="20"/>
                <w:szCs w:val="20"/>
                <w:lang w:val="es-419"/>
              </w:rPr>
              <w:t>Artículo 8 (garantias judiciales), 24 (igualdad ante la ley) y 25 (protección judicial) de la Convención Americana en relacción con los artículos 1.1 (obligación de respetar los derechos) y 2(deber de adoptar disposiciones de derecho interno) del mismo instrumento</w:t>
            </w:r>
          </w:p>
        </w:tc>
      </w:tr>
      <w:tr w:rsidR="003239B8" w:rsidRPr="008F5418" w14:paraId="09E84502" w14:textId="77777777" w:rsidTr="004A6A54">
        <w:trPr>
          <w:cantSplit/>
        </w:trPr>
        <w:tc>
          <w:tcPr>
            <w:tcW w:w="3600" w:type="dxa"/>
            <w:tcBorders>
              <w:top w:val="single" w:sz="6" w:space="0" w:color="auto"/>
              <w:bottom w:val="single" w:sz="6" w:space="0" w:color="auto"/>
            </w:tcBorders>
            <w:shd w:val="clear" w:color="auto" w:fill="386294"/>
            <w:vAlign w:val="center"/>
          </w:tcPr>
          <w:p w14:paraId="5C3FCB36" w14:textId="77777777" w:rsidR="003239B8" w:rsidRPr="008F5418" w:rsidRDefault="003239B8" w:rsidP="008F5418">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Agotamiento de recursos internos</w:t>
            </w:r>
            <w:r w:rsidR="00EE00E9" w:rsidRPr="008F5418">
              <w:rPr>
                <w:rFonts w:ascii="Cambria" w:hAnsi="Cambria"/>
                <w:b/>
                <w:bCs/>
                <w:color w:val="FFFFFF" w:themeColor="background1"/>
                <w:sz w:val="20"/>
                <w:szCs w:val="20"/>
                <w:lang w:val="es-ES"/>
              </w:rPr>
              <w:t xml:space="preserve"> o procedencia de una excepción</w:t>
            </w:r>
            <w:r w:rsidRPr="008F5418">
              <w:rPr>
                <w:rFonts w:ascii="Cambria" w:hAnsi="Cambria"/>
                <w:b/>
                <w:bCs/>
                <w:color w:val="FFFFFF" w:themeColor="background1"/>
                <w:sz w:val="20"/>
                <w:szCs w:val="20"/>
                <w:lang w:val="es-ES"/>
              </w:rPr>
              <w:t>:</w:t>
            </w:r>
          </w:p>
        </w:tc>
        <w:tc>
          <w:tcPr>
            <w:tcW w:w="5760" w:type="dxa"/>
            <w:vAlign w:val="center"/>
          </w:tcPr>
          <w:p w14:paraId="1663B375" w14:textId="77777777" w:rsidR="003239B8" w:rsidRPr="008F5418" w:rsidRDefault="00B765A6" w:rsidP="008F5418">
            <w:pPr>
              <w:rPr>
                <w:rFonts w:ascii="Cambria" w:hAnsi="Cambria"/>
                <w:bCs/>
                <w:sz w:val="20"/>
                <w:szCs w:val="20"/>
                <w:lang w:val="es-ES"/>
              </w:rPr>
            </w:pPr>
            <w:r w:rsidRPr="008F5418">
              <w:rPr>
                <w:rFonts w:ascii="Cambria" w:hAnsi="Cambria"/>
                <w:bCs/>
                <w:sz w:val="20"/>
                <w:szCs w:val="20"/>
                <w:lang w:val="es-ES"/>
              </w:rPr>
              <w:t xml:space="preserve">Sí, </w:t>
            </w:r>
            <w:r w:rsidR="00B1184B" w:rsidRPr="008F5418">
              <w:rPr>
                <w:rFonts w:ascii="Cambria" w:hAnsi="Cambria"/>
                <w:bCs/>
                <w:sz w:val="20"/>
                <w:szCs w:val="20"/>
                <w:lang w:val="es-ES"/>
              </w:rPr>
              <w:t>4 de mayo de 2010</w:t>
            </w:r>
          </w:p>
        </w:tc>
      </w:tr>
      <w:tr w:rsidR="003239B8" w:rsidRPr="008F5418" w14:paraId="4DF817FA" w14:textId="77777777" w:rsidTr="004A6A54">
        <w:trPr>
          <w:cantSplit/>
        </w:trPr>
        <w:tc>
          <w:tcPr>
            <w:tcW w:w="3600" w:type="dxa"/>
            <w:tcBorders>
              <w:top w:val="single" w:sz="6" w:space="0" w:color="auto"/>
              <w:bottom w:val="single" w:sz="6" w:space="0" w:color="auto"/>
            </w:tcBorders>
            <w:shd w:val="clear" w:color="auto" w:fill="386294"/>
            <w:vAlign w:val="center"/>
          </w:tcPr>
          <w:p w14:paraId="2EAC055D"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Presentación dentro de plazo:</w:t>
            </w:r>
          </w:p>
        </w:tc>
        <w:tc>
          <w:tcPr>
            <w:tcW w:w="5760" w:type="dxa"/>
            <w:vAlign w:val="center"/>
          </w:tcPr>
          <w:p w14:paraId="18569E00" w14:textId="77777777" w:rsidR="003239B8" w:rsidRPr="008F5418" w:rsidRDefault="00B765A6" w:rsidP="008F5418">
            <w:pPr>
              <w:rPr>
                <w:rFonts w:ascii="Cambria" w:hAnsi="Cambria"/>
                <w:bCs/>
                <w:sz w:val="20"/>
                <w:szCs w:val="20"/>
              </w:rPr>
            </w:pPr>
            <w:r w:rsidRPr="008F5418">
              <w:rPr>
                <w:rFonts w:ascii="Cambria" w:hAnsi="Cambria"/>
                <w:bCs/>
                <w:sz w:val="20"/>
                <w:szCs w:val="20"/>
              </w:rPr>
              <w:t>Sí, 1 de noviembre de 2010</w:t>
            </w:r>
          </w:p>
        </w:tc>
      </w:tr>
    </w:tbl>
    <w:p w14:paraId="41BCB194" w14:textId="77777777" w:rsidR="003239B8" w:rsidRPr="008F5418" w:rsidRDefault="00223A29" w:rsidP="003239B8">
      <w:pPr>
        <w:spacing w:before="240" w:after="240"/>
        <w:ind w:firstLine="720"/>
        <w:jc w:val="both"/>
        <w:rPr>
          <w:rFonts w:ascii="Cambria" w:hAnsi="Cambria"/>
          <w:b/>
          <w:sz w:val="20"/>
          <w:szCs w:val="20"/>
          <w:lang w:val="es-UY"/>
        </w:rPr>
      </w:pPr>
      <w:r w:rsidRPr="008F5418">
        <w:rPr>
          <w:rFonts w:ascii="Cambria" w:hAnsi="Cambria"/>
          <w:b/>
          <w:sz w:val="20"/>
          <w:szCs w:val="20"/>
          <w:lang w:val="es-UY"/>
        </w:rPr>
        <w:t xml:space="preserve">V. </w:t>
      </w:r>
      <w:r w:rsidRPr="008F5418">
        <w:rPr>
          <w:rFonts w:ascii="Cambria" w:hAnsi="Cambria"/>
          <w:b/>
          <w:sz w:val="20"/>
          <w:szCs w:val="20"/>
          <w:lang w:val="es-UY"/>
        </w:rPr>
        <w:tab/>
      </w:r>
      <w:r w:rsidR="003239B8" w:rsidRPr="008F5418">
        <w:rPr>
          <w:rFonts w:ascii="Cambria" w:hAnsi="Cambria"/>
          <w:b/>
          <w:sz w:val="20"/>
          <w:szCs w:val="20"/>
          <w:lang w:val="es-UY"/>
        </w:rPr>
        <w:t xml:space="preserve">HECHOS ALEGADOS </w:t>
      </w:r>
    </w:p>
    <w:p w14:paraId="7EF559D9" w14:textId="77777777" w:rsidR="008A1040" w:rsidRPr="008F5418" w:rsidRDefault="008A1040" w:rsidP="00AF24B3">
      <w:pPr>
        <w:pStyle w:val="ListParagraph"/>
        <w:numPr>
          <w:ilvl w:val="0"/>
          <w:numId w:val="59"/>
        </w:numPr>
        <w:spacing w:after="240"/>
        <w:jc w:val="both"/>
        <w:rPr>
          <w:rFonts w:eastAsia="Arial Unicode MS" w:cs="Times New Roman"/>
          <w:color w:val="auto"/>
          <w:sz w:val="20"/>
          <w:szCs w:val="20"/>
          <w:lang w:val="es-ES" w:eastAsia="en-US"/>
        </w:rPr>
      </w:pPr>
      <w:r w:rsidRPr="008F5418">
        <w:rPr>
          <w:sz w:val="20"/>
          <w:szCs w:val="20"/>
          <w:lang w:val="es-ES"/>
        </w:rPr>
        <w:t>La parte peticionaria denuncia la falta de reparación a</w:t>
      </w:r>
      <w:r w:rsidR="00B765A6" w:rsidRPr="008F5418">
        <w:rPr>
          <w:sz w:val="20"/>
          <w:szCs w:val="20"/>
          <w:lang w:val="es-ES"/>
        </w:rPr>
        <w:t xml:space="preserve">l señor </w:t>
      </w:r>
      <w:r w:rsidR="00B765A6" w:rsidRPr="008F5418">
        <w:rPr>
          <w:bCs/>
          <w:sz w:val="20"/>
          <w:szCs w:val="20"/>
          <w:lang w:val="es-ES"/>
        </w:rPr>
        <w:t xml:space="preserve">Eduardo Hugo Molina Zequeira (en adelante “la presunta víctima”) </w:t>
      </w:r>
      <w:r w:rsidRPr="008F5418">
        <w:rPr>
          <w:sz w:val="20"/>
          <w:szCs w:val="20"/>
          <w:lang w:val="es-ES"/>
        </w:rPr>
        <w:t xml:space="preserve">por los daños causados </w:t>
      </w:r>
      <w:r w:rsidR="00434FD3">
        <w:rPr>
          <w:sz w:val="20"/>
          <w:szCs w:val="20"/>
          <w:lang w:val="es-ES"/>
        </w:rPr>
        <w:t>a su derecho a la</w:t>
      </w:r>
      <w:r w:rsidR="00B765A6" w:rsidRPr="008F5418">
        <w:rPr>
          <w:sz w:val="20"/>
          <w:szCs w:val="20"/>
          <w:lang w:val="es-ES"/>
        </w:rPr>
        <w:t xml:space="preserve"> libertad</w:t>
      </w:r>
      <w:r w:rsidR="00434FD3">
        <w:rPr>
          <w:sz w:val="20"/>
          <w:szCs w:val="20"/>
          <w:lang w:val="es-ES"/>
        </w:rPr>
        <w:t>,</w:t>
      </w:r>
      <w:r w:rsidR="00B765A6" w:rsidRPr="008F5418">
        <w:rPr>
          <w:sz w:val="20"/>
          <w:szCs w:val="20"/>
          <w:lang w:val="es-ES"/>
        </w:rPr>
        <w:t xml:space="preserve"> que lo obligar</w:t>
      </w:r>
      <w:r w:rsidR="00434FD3">
        <w:rPr>
          <w:sz w:val="20"/>
          <w:szCs w:val="20"/>
          <w:lang w:val="es-ES"/>
        </w:rPr>
        <w:t>o</w:t>
      </w:r>
      <w:r w:rsidR="00B765A6" w:rsidRPr="008F5418">
        <w:rPr>
          <w:sz w:val="20"/>
          <w:szCs w:val="20"/>
          <w:lang w:val="es-ES"/>
        </w:rPr>
        <w:t xml:space="preserve">n a </w:t>
      </w:r>
      <w:r w:rsidR="00ED5C52" w:rsidRPr="008F5418">
        <w:rPr>
          <w:sz w:val="20"/>
          <w:szCs w:val="20"/>
          <w:lang w:val="es-ES"/>
        </w:rPr>
        <w:t>exil</w:t>
      </w:r>
      <w:r w:rsidR="00434FD3">
        <w:rPr>
          <w:sz w:val="20"/>
          <w:szCs w:val="20"/>
          <w:lang w:val="es-ES"/>
        </w:rPr>
        <w:t>i</w:t>
      </w:r>
      <w:r w:rsidR="00ED5C52" w:rsidRPr="008F5418">
        <w:rPr>
          <w:sz w:val="20"/>
          <w:szCs w:val="20"/>
          <w:lang w:val="es-ES"/>
        </w:rPr>
        <w:t>ar</w:t>
      </w:r>
      <w:r w:rsidR="00B765A6" w:rsidRPr="008F5418">
        <w:rPr>
          <w:sz w:val="20"/>
          <w:szCs w:val="20"/>
          <w:lang w:val="es-ES"/>
        </w:rPr>
        <w:t xml:space="preserve">se en España durante la </w:t>
      </w:r>
      <w:r w:rsidR="00434FD3" w:rsidRPr="008F5418">
        <w:rPr>
          <w:sz w:val="20"/>
          <w:szCs w:val="20"/>
          <w:lang w:val="es-ES"/>
        </w:rPr>
        <w:t>última</w:t>
      </w:r>
      <w:r w:rsidR="00B765A6" w:rsidRPr="008F5418">
        <w:rPr>
          <w:sz w:val="20"/>
          <w:szCs w:val="20"/>
          <w:lang w:val="es-ES"/>
        </w:rPr>
        <w:t xml:space="preserve"> dictadura </w:t>
      </w:r>
      <w:r w:rsidR="00434FD3" w:rsidRPr="008F5418">
        <w:rPr>
          <w:sz w:val="20"/>
          <w:szCs w:val="20"/>
          <w:lang w:val="es-ES"/>
        </w:rPr>
        <w:t xml:space="preserve">cívico-militar </w:t>
      </w:r>
      <w:r w:rsidR="00B765A6" w:rsidRPr="008F5418">
        <w:rPr>
          <w:sz w:val="20"/>
          <w:szCs w:val="20"/>
          <w:lang w:val="es-ES"/>
        </w:rPr>
        <w:t>de Argentina</w:t>
      </w:r>
      <w:r w:rsidRPr="008F5418">
        <w:rPr>
          <w:sz w:val="20"/>
          <w:szCs w:val="20"/>
          <w:lang w:val="es-ES"/>
        </w:rPr>
        <w:t xml:space="preserve">, así como </w:t>
      </w:r>
      <w:r w:rsidR="00434FD3">
        <w:rPr>
          <w:sz w:val="20"/>
          <w:szCs w:val="20"/>
          <w:lang w:val="es-ES"/>
        </w:rPr>
        <w:t xml:space="preserve">la </w:t>
      </w:r>
      <w:r w:rsidR="00434FD3" w:rsidRPr="008F5418">
        <w:rPr>
          <w:sz w:val="20"/>
          <w:szCs w:val="20"/>
          <w:lang w:val="es-ES"/>
        </w:rPr>
        <w:t>denegación de justic</w:t>
      </w:r>
      <w:r w:rsidR="00434FD3">
        <w:rPr>
          <w:sz w:val="20"/>
          <w:szCs w:val="20"/>
          <w:lang w:val="es-ES"/>
        </w:rPr>
        <w:t xml:space="preserve">ia por </w:t>
      </w:r>
      <w:r w:rsidRPr="008F5418">
        <w:rPr>
          <w:sz w:val="20"/>
          <w:szCs w:val="20"/>
          <w:lang w:val="es-ES"/>
        </w:rPr>
        <w:t xml:space="preserve">violación </w:t>
      </w:r>
      <w:r w:rsidR="00434FD3">
        <w:rPr>
          <w:sz w:val="20"/>
          <w:szCs w:val="20"/>
          <w:lang w:val="es-ES"/>
        </w:rPr>
        <w:t>de</w:t>
      </w:r>
      <w:r w:rsidRPr="008F5418">
        <w:rPr>
          <w:sz w:val="20"/>
          <w:szCs w:val="20"/>
          <w:lang w:val="es-ES"/>
        </w:rPr>
        <w:t xml:space="preserve"> las garantías judiciales</w:t>
      </w:r>
      <w:r w:rsidR="00B765A6" w:rsidRPr="008F5418">
        <w:rPr>
          <w:sz w:val="20"/>
          <w:szCs w:val="20"/>
          <w:lang w:val="es-ES"/>
        </w:rPr>
        <w:t xml:space="preserve">, </w:t>
      </w:r>
      <w:r w:rsidRPr="008F5418">
        <w:rPr>
          <w:sz w:val="20"/>
          <w:szCs w:val="20"/>
          <w:lang w:val="es-ES"/>
        </w:rPr>
        <w:t>la protección judicial</w:t>
      </w:r>
      <w:r w:rsidR="00B765A6" w:rsidRPr="008F5418">
        <w:rPr>
          <w:sz w:val="20"/>
          <w:szCs w:val="20"/>
          <w:lang w:val="es-ES"/>
        </w:rPr>
        <w:t xml:space="preserve"> y la igualdad y no discriminación</w:t>
      </w:r>
      <w:r w:rsidRPr="008F5418">
        <w:rPr>
          <w:sz w:val="20"/>
          <w:szCs w:val="20"/>
          <w:lang w:val="es-ES"/>
        </w:rPr>
        <w:t xml:space="preserve"> en el marco de los procedimientos civiles</w:t>
      </w:r>
      <w:r w:rsidR="00B765A6" w:rsidRPr="008F5418">
        <w:rPr>
          <w:sz w:val="20"/>
          <w:szCs w:val="20"/>
          <w:lang w:val="es-ES"/>
        </w:rPr>
        <w:t xml:space="preserve"> basados en la Ley No. 24.043</w:t>
      </w:r>
      <w:r w:rsidRPr="008F5418">
        <w:rPr>
          <w:sz w:val="20"/>
          <w:szCs w:val="20"/>
          <w:lang w:val="es-ES"/>
        </w:rPr>
        <w:t xml:space="preserve">. </w:t>
      </w:r>
    </w:p>
    <w:p w14:paraId="2584C6EE" w14:textId="77777777" w:rsidR="00DD1F3A" w:rsidRPr="008F5418" w:rsidRDefault="00434FD3" w:rsidP="00AF2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Pr>
          <w:rFonts w:ascii="Cambria" w:hAnsi="Cambria"/>
          <w:sz w:val="20"/>
          <w:szCs w:val="20"/>
          <w:lang w:val="es-ES"/>
        </w:rPr>
        <w:lastRenderedPageBreak/>
        <w:t>A</w:t>
      </w:r>
      <w:r w:rsidR="00DD1F3A" w:rsidRPr="008F5418">
        <w:rPr>
          <w:rFonts w:ascii="Cambria" w:hAnsi="Cambria"/>
          <w:sz w:val="20"/>
          <w:szCs w:val="20"/>
          <w:lang w:val="es-ES"/>
        </w:rPr>
        <w:t xml:space="preserve">lega </w:t>
      </w:r>
      <w:r>
        <w:rPr>
          <w:rFonts w:ascii="Cambria" w:hAnsi="Cambria"/>
          <w:sz w:val="20"/>
          <w:szCs w:val="20"/>
          <w:lang w:val="es-ES"/>
        </w:rPr>
        <w:t xml:space="preserve">asimismo </w:t>
      </w:r>
      <w:r w:rsidR="00DD1F3A" w:rsidRPr="008F5418">
        <w:rPr>
          <w:rFonts w:ascii="Cambria" w:hAnsi="Cambria"/>
          <w:sz w:val="20"/>
          <w:szCs w:val="20"/>
          <w:lang w:val="es-ES"/>
        </w:rPr>
        <w:t>q</w:t>
      </w:r>
      <w:r w:rsidR="008A1040" w:rsidRPr="008F5418">
        <w:rPr>
          <w:rFonts w:ascii="Cambria" w:hAnsi="Cambria"/>
          <w:sz w:val="20"/>
          <w:szCs w:val="20"/>
          <w:lang w:val="es-ES"/>
        </w:rPr>
        <w:t xml:space="preserve">ue la presunta víctima, </w:t>
      </w:r>
      <w:r w:rsidR="00DD1F3A" w:rsidRPr="008F5418">
        <w:rPr>
          <w:rFonts w:ascii="Cambria" w:hAnsi="Cambria"/>
          <w:sz w:val="20"/>
          <w:szCs w:val="20"/>
          <w:lang w:val="es-ES"/>
        </w:rPr>
        <w:t>militante peronista</w:t>
      </w:r>
      <w:r w:rsidR="008A1040" w:rsidRPr="008F5418">
        <w:rPr>
          <w:rFonts w:ascii="Cambria" w:hAnsi="Cambria"/>
          <w:sz w:val="20"/>
          <w:szCs w:val="20"/>
          <w:lang w:val="es-ES"/>
        </w:rPr>
        <w:t xml:space="preserve">, </w:t>
      </w:r>
      <w:r w:rsidR="00DD1F3A" w:rsidRPr="008F5418">
        <w:rPr>
          <w:rFonts w:ascii="Cambria" w:hAnsi="Cambria"/>
          <w:sz w:val="20"/>
          <w:szCs w:val="20"/>
          <w:lang w:val="es-ES"/>
        </w:rPr>
        <w:t>y su compañera, la señora María Zaide</w:t>
      </w:r>
      <w:r w:rsidR="0022367C" w:rsidRPr="008F5418">
        <w:rPr>
          <w:rFonts w:ascii="Cambria" w:hAnsi="Cambria"/>
          <w:sz w:val="20"/>
          <w:szCs w:val="20"/>
          <w:lang w:val="es-ES"/>
        </w:rPr>
        <w:t xml:space="preserve"> El Gáname (en adelante “María Zaide”)</w:t>
      </w:r>
      <w:r w:rsidR="00DD1F3A" w:rsidRPr="008F5418">
        <w:rPr>
          <w:rFonts w:ascii="Cambria" w:hAnsi="Cambria"/>
          <w:sz w:val="20"/>
          <w:szCs w:val="20"/>
          <w:lang w:val="es-ES"/>
        </w:rPr>
        <w:t>, fuero</w:t>
      </w:r>
      <w:r w:rsidR="0022367C" w:rsidRPr="008F5418">
        <w:rPr>
          <w:rFonts w:ascii="Cambria" w:hAnsi="Cambria"/>
          <w:sz w:val="20"/>
          <w:szCs w:val="20"/>
          <w:lang w:val="es-ES"/>
        </w:rPr>
        <w:t>n</w:t>
      </w:r>
      <w:r w:rsidR="00DD1F3A" w:rsidRPr="008F5418">
        <w:rPr>
          <w:rFonts w:ascii="Cambria" w:hAnsi="Cambria"/>
          <w:sz w:val="20"/>
          <w:szCs w:val="20"/>
          <w:lang w:val="es-ES"/>
        </w:rPr>
        <w:t xml:space="preserve"> perseguidos</w:t>
      </w:r>
      <w:r w:rsidR="0022367C" w:rsidRPr="008F5418">
        <w:rPr>
          <w:rFonts w:ascii="Cambria" w:hAnsi="Cambria"/>
          <w:sz w:val="20"/>
          <w:szCs w:val="20"/>
          <w:lang w:val="es-ES"/>
        </w:rPr>
        <w:t xml:space="preserve"> durante la dictadura  y que </w:t>
      </w:r>
      <w:r w:rsidR="00DD1F3A" w:rsidRPr="008F5418">
        <w:rPr>
          <w:rFonts w:ascii="Cambria" w:hAnsi="Cambria"/>
          <w:sz w:val="20"/>
          <w:szCs w:val="20"/>
          <w:lang w:val="es-ES"/>
        </w:rPr>
        <w:t>tuvieron que refugiarse</w:t>
      </w:r>
      <w:r w:rsidR="00F5135D" w:rsidRPr="008F5418">
        <w:rPr>
          <w:rFonts w:ascii="Cambria" w:hAnsi="Cambria"/>
          <w:sz w:val="20"/>
          <w:szCs w:val="20"/>
          <w:lang w:val="es-ES"/>
        </w:rPr>
        <w:t xml:space="preserve"> en España</w:t>
      </w:r>
      <w:r w:rsidR="00DD1F3A" w:rsidRPr="008F5418">
        <w:rPr>
          <w:rFonts w:ascii="Cambria" w:hAnsi="Cambria"/>
          <w:sz w:val="20"/>
          <w:szCs w:val="20"/>
          <w:lang w:val="es-ES"/>
        </w:rPr>
        <w:t xml:space="preserve"> </w:t>
      </w:r>
      <w:r>
        <w:rPr>
          <w:rFonts w:ascii="Cambria" w:hAnsi="Cambria"/>
          <w:sz w:val="20"/>
          <w:szCs w:val="20"/>
          <w:lang w:val="es-ES"/>
        </w:rPr>
        <w:t>en</w:t>
      </w:r>
      <w:r w:rsidR="00DD1F3A" w:rsidRPr="008F5418">
        <w:rPr>
          <w:rFonts w:ascii="Cambria" w:hAnsi="Cambria"/>
          <w:sz w:val="20"/>
          <w:szCs w:val="20"/>
          <w:lang w:val="es-ES"/>
        </w:rPr>
        <w:t xml:space="preserve"> 1979</w:t>
      </w:r>
      <w:r w:rsidR="0022367C" w:rsidRPr="008F5418">
        <w:rPr>
          <w:rFonts w:ascii="Cambria" w:hAnsi="Cambria"/>
          <w:sz w:val="20"/>
          <w:szCs w:val="20"/>
          <w:lang w:val="es-ES"/>
        </w:rPr>
        <w:t>, pues María Zaide fue detenida juntamente con su hermana</w:t>
      </w:r>
      <w:r>
        <w:rPr>
          <w:rFonts w:ascii="Cambria" w:hAnsi="Cambria"/>
          <w:sz w:val="20"/>
          <w:szCs w:val="20"/>
          <w:lang w:val="es-ES"/>
        </w:rPr>
        <w:t xml:space="preserve"> </w:t>
      </w:r>
      <w:r w:rsidR="0022367C" w:rsidRPr="008F5418">
        <w:rPr>
          <w:rFonts w:ascii="Cambria" w:hAnsi="Cambria"/>
          <w:sz w:val="20"/>
          <w:szCs w:val="20"/>
          <w:lang w:val="es-ES"/>
        </w:rPr>
        <w:t xml:space="preserve">Zulema Josefina El Gáname (en adelante “Zulema Josefina”) a disposición del Poder Ejecutivo y procesada por hechos de índole política desde el 22 de junio de 1971 hasta el 25 de mayo de 1973. Afirma que </w:t>
      </w:r>
      <w:r w:rsidRPr="008F5418">
        <w:rPr>
          <w:rFonts w:ascii="Cambria" w:hAnsi="Cambria"/>
          <w:sz w:val="20"/>
          <w:szCs w:val="20"/>
          <w:lang w:val="es-ES"/>
        </w:rPr>
        <w:t>el 6 de septiembre de 1976 Zulema Josefina fue asesinada</w:t>
      </w:r>
      <w:r>
        <w:rPr>
          <w:rFonts w:ascii="Cambria" w:hAnsi="Cambria"/>
          <w:sz w:val="20"/>
          <w:szCs w:val="20"/>
          <w:lang w:val="es-ES"/>
        </w:rPr>
        <w:t>, luego de lo cual</w:t>
      </w:r>
      <w:r w:rsidRPr="008F5418">
        <w:rPr>
          <w:rFonts w:ascii="Cambria" w:hAnsi="Cambria"/>
          <w:sz w:val="20"/>
          <w:szCs w:val="20"/>
          <w:lang w:val="es-ES"/>
        </w:rPr>
        <w:t xml:space="preserve"> </w:t>
      </w:r>
      <w:r w:rsidR="0022367C" w:rsidRPr="008F5418">
        <w:rPr>
          <w:rFonts w:ascii="Cambria" w:hAnsi="Cambria"/>
          <w:sz w:val="20"/>
          <w:szCs w:val="20"/>
          <w:lang w:val="es-ES"/>
        </w:rPr>
        <w:t xml:space="preserve">la pareja </w:t>
      </w:r>
      <w:r w:rsidR="0090702F" w:rsidRPr="008F5418">
        <w:rPr>
          <w:rFonts w:ascii="Cambria" w:hAnsi="Cambria"/>
          <w:sz w:val="20"/>
          <w:szCs w:val="20"/>
          <w:lang w:val="es-ES"/>
        </w:rPr>
        <w:t>tuvo que vivir escondida por años en ostracismo social</w:t>
      </w:r>
      <w:r w:rsidR="0022367C" w:rsidRPr="008F5418">
        <w:rPr>
          <w:rFonts w:ascii="Cambria" w:hAnsi="Cambria"/>
          <w:sz w:val="20"/>
          <w:szCs w:val="20"/>
          <w:lang w:val="es-ES"/>
        </w:rPr>
        <w:t xml:space="preserve">. </w:t>
      </w:r>
      <w:r w:rsidR="0090702F" w:rsidRPr="008F5418">
        <w:rPr>
          <w:rFonts w:ascii="Cambria" w:hAnsi="Cambria"/>
          <w:sz w:val="20"/>
          <w:szCs w:val="20"/>
          <w:lang w:val="es-ES"/>
        </w:rPr>
        <w:t>Debido a lo anterior, la parte peticionaria sostiene que la pareja decidió refugiarse</w:t>
      </w:r>
      <w:r w:rsidR="0059490F" w:rsidRPr="008F5418">
        <w:rPr>
          <w:rFonts w:ascii="Cambria" w:hAnsi="Cambria"/>
          <w:sz w:val="20"/>
          <w:szCs w:val="20"/>
          <w:lang w:val="es-ES"/>
        </w:rPr>
        <w:t xml:space="preserve"> tras un procedimiento de búsqueda de ambos en casa de familiares y debido al embaraz</w:t>
      </w:r>
      <w:r>
        <w:rPr>
          <w:rFonts w:ascii="Cambria" w:hAnsi="Cambria"/>
          <w:sz w:val="20"/>
          <w:szCs w:val="20"/>
          <w:lang w:val="es-ES"/>
        </w:rPr>
        <w:t>o</w:t>
      </w:r>
      <w:r w:rsidR="0059490F" w:rsidRPr="008F5418">
        <w:rPr>
          <w:rFonts w:ascii="Cambria" w:hAnsi="Cambria"/>
          <w:sz w:val="20"/>
          <w:szCs w:val="20"/>
          <w:lang w:val="es-ES"/>
        </w:rPr>
        <w:t xml:space="preserve"> de María Zaide. Alega que</w:t>
      </w:r>
      <w:r w:rsidR="00F5135D" w:rsidRPr="008F5418">
        <w:rPr>
          <w:rFonts w:ascii="Cambria" w:hAnsi="Cambria"/>
          <w:sz w:val="20"/>
          <w:szCs w:val="20"/>
          <w:lang w:val="es-ES"/>
        </w:rPr>
        <w:t xml:space="preserve"> fueron</w:t>
      </w:r>
      <w:r w:rsidR="0059490F" w:rsidRPr="008F5418">
        <w:rPr>
          <w:rFonts w:ascii="Cambria" w:hAnsi="Cambria"/>
          <w:sz w:val="20"/>
          <w:szCs w:val="20"/>
          <w:lang w:val="es-ES"/>
        </w:rPr>
        <w:t xml:space="preserve"> </w:t>
      </w:r>
      <w:r w:rsidR="00F5135D" w:rsidRPr="008F5418">
        <w:rPr>
          <w:rFonts w:ascii="Cambria" w:hAnsi="Cambria"/>
          <w:sz w:val="20"/>
          <w:szCs w:val="20"/>
          <w:lang w:val="es-ES"/>
        </w:rPr>
        <w:t>reconocidos</w:t>
      </w:r>
      <w:r w:rsidR="0059490F" w:rsidRPr="008F5418">
        <w:rPr>
          <w:rFonts w:ascii="Cambria" w:hAnsi="Cambria"/>
          <w:sz w:val="20"/>
          <w:szCs w:val="20"/>
          <w:lang w:val="es-ES"/>
        </w:rPr>
        <w:t xml:space="preserve"> por ACNUR España como refugiados e</w:t>
      </w:r>
      <w:r w:rsidR="00F5135D" w:rsidRPr="008F5418">
        <w:rPr>
          <w:rFonts w:ascii="Cambria" w:hAnsi="Cambria"/>
          <w:sz w:val="20"/>
          <w:szCs w:val="20"/>
          <w:lang w:val="es-ES"/>
        </w:rPr>
        <w:t>l</w:t>
      </w:r>
      <w:r w:rsidR="0059490F" w:rsidRPr="008F5418">
        <w:rPr>
          <w:rFonts w:ascii="Cambria" w:hAnsi="Cambria"/>
          <w:sz w:val="20"/>
          <w:szCs w:val="20"/>
          <w:lang w:val="es-ES"/>
        </w:rPr>
        <w:t xml:space="preserve"> 10 de marzo de 1980</w:t>
      </w:r>
      <w:r w:rsidR="0090702F" w:rsidRPr="008F5418">
        <w:rPr>
          <w:rFonts w:ascii="Cambria" w:hAnsi="Cambria"/>
          <w:sz w:val="20"/>
          <w:szCs w:val="20"/>
          <w:lang w:val="es-ES"/>
        </w:rPr>
        <w:t xml:space="preserve">. Asimismo, afirma que el nombre de la señora María se encontraba en los “Archivos del Terror de Paraguay” dentro del “Operativo Cóndor”. </w:t>
      </w:r>
    </w:p>
    <w:p w14:paraId="71D05DEB" w14:textId="77777777" w:rsidR="00953B0F" w:rsidRPr="008F5418" w:rsidRDefault="008A1040" w:rsidP="00AF2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8F5418">
        <w:rPr>
          <w:rFonts w:ascii="Cambria" w:hAnsi="Cambria"/>
          <w:sz w:val="20"/>
          <w:szCs w:val="20"/>
          <w:lang w:val="es-ES"/>
        </w:rPr>
        <w:t xml:space="preserve">En </w:t>
      </w:r>
      <w:r w:rsidR="0090702F" w:rsidRPr="008F5418">
        <w:rPr>
          <w:rFonts w:ascii="Cambria" w:hAnsi="Cambria"/>
          <w:sz w:val="20"/>
          <w:szCs w:val="20"/>
          <w:lang w:val="es-ES"/>
        </w:rPr>
        <w:t xml:space="preserve">2004, </w:t>
      </w:r>
      <w:r w:rsidR="00434FD3">
        <w:rPr>
          <w:rFonts w:ascii="Cambria" w:hAnsi="Cambria"/>
          <w:sz w:val="20"/>
          <w:szCs w:val="20"/>
          <w:lang w:val="es-ES"/>
        </w:rPr>
        <w:t>la presunta víctima</w:t>
      </w:r>
      <w:r w:rsidR="0090702F" w:rsidRPr="008F5418">
        <w:rPr>
          <w:rFonts w:ascii="Cambria" w:hAnsi="Cambria"/>
          <w:bCs/>
          <w:sz w:val="20"/>
          <w:szCs w:val="20"/>
          <w:lang w:val="es-ES"/>
        </w:rPr>
        <w:t xml:space="preserve"> solicitó la reparación económica de la Ley No. 24.043</w:t>
      </w:r>
      <w:r w:rsidR="00953B0F" w:rsidRPr="008F5418">
        <w:rPr>
          <w:rFonts w:ascii="Cambria" w:hAnsi="Cambria"/>
          <w:bCs/>
          <w:sz w:val="20"/>
          <w:szCs w:val="20"/>
          <w:lang w:val="es-ES"/>
        </w:rPr>
        <w:t xml:space="preserve"> a la Secretaría de Derechos Humanos, que consideró que se encontraban reunidos los requisitos de dicha ley y dictó favorablemente el otorgamiento del beneficio. </w:t>
      </w:r>
      <w:r w:rsidR="00D90620" w:rsidRPr="008F5418">
        <w:rPr>
          <w:rFonts w:ascii="Cambria" w:hAnsi="Cambria"/>
          <w:bCs/>
          <w:sz w:val="20"/>
          <w:szCs w:val="20"/>
          <w:lang w:val="es-ES"/>
        </w:rPr>
        <w:t xml:space="preserve">Ante la Resolución Ministerial denegatoria </w:t>
      </w:r>
      <w:r w:rsidR="00434FD3">
        <w:rPr>
          <w:rFonts w:ascii="Cambria" w:hAnsi="Cambria"/>
          <w:bCs/>
          <w:sz w:val="20"/>
          <w:szCs w:val="20"/>
          <w:lang w:val="es-ES"/>
        </w:rPr>
        <w:t>se</w:t>
      </w:r>
      <w:r w:rsidR="00D90620" w:rsidRPr="008F5418">
        <w:rPr>
          <w:rFonts w:ascii="Cambria" w:hAnsi="Cambria"/>
          <w:bCs/>
          <w:sz w:val="20"/>
          <w:szCs w:val="20"/>
          <w:lang w:val="es-ES"/>
        </w:rPr>
        <w:t xml:space="preserve"> interpu</w:t>
      </w:r>
      <w:r w:rsidR="00434FD3">
        <w:rPr>
          <w:rFonts w:ascii="Cambria" w:hAnsi="Cambria"/>
          <w:bCs/>
          <w:sz w:val="20"/>
          <w:szCs w:val="20"/>
          <w:lang w:val="es-ES"/>
        </w:rPr>
        <w:t>so</w:t>
      </w:r>
      <w:r w:rsidR="005A559B" w:rsidRPr="008F5418">
        <w:rPr>
          <w:rFonts w:ascii="Cambria" w:hAnsi="Cambria"/>
          <w:bCs/>
          <w:sz w:val="20"/>
          <w:szCs w:val="20"/>
          <w:lang w:val="es-ES"/>
        </w:rPr>
        <w:t xml:space="preserve"> </w:t>
      </w:r>
      <w:r w:rsidR="00434FD3">
        <w:rPr>
          <w:rFonts w:ascii="Cambria" w:hAnsi="Cambria"/>
          <w:bCs/>
          <w:sz w:val="20"/>
          <w:szCs w:val="20"/>
          <w:lang w:val="es-ES"/>
        </w:rPr>
        <w:t xml:space="preserve">un </w:t>
      </w:r>
      <w:r w:rsidR="005A559B" w:rsidRPr="008F5418">
        <w:rPr>
          <w:rFonts w:ascii="Cambria" w:hAnsi="Cambria"/>
          <w:bCs/>
          <w:sz w:val="20"/>
          <w:szCs w:val="20"/>
          <w:lang w:val="es-ES"/>
        </w:rPr>
        <w:t>recurso directo ante la Cámara Nacional de Apelaciones en lo Contencioso Administrativo Federal de La Sala I</w:t>
      </w:r>
      <w:r w:rsidR="00D90620" w:rsidRPr="008F5418">
        <w:rPr>
          <w:rFonts w:ascii="Cambria" w:hAnsi="Cambria"/>
          <w:bCs/>
          <w:sz w:val="20"/>
          <w:szCs w:val="20"/>
          <w:lang w:val="es-ES"/>
        </w:rPr>
        <w:t xml:space="preserve"> el 30 de abril de 2007</w:t>
      </w:r>
      <w:r w:rsidR="009D254B">
        <w:rPr>
          <w:rFonts w:ascii="Cambria" w:hAnsi="Cambria"/>
          <w:bCs/>
          <w:sz w:val="20"/>
          <w:szCs w:val="20"/>
          <w:lang w:val="es-ES"/>
        </w:rPr>
        <w:t>. El recurso</w:t>
      </w:r>
      <w:r w:rsidR="0059490F" w:rsidRPr="008F5418">
        <w:rPr>
          <w:rFonts w:ascii="Cambria" w:hAnsi="Cambria"/>
          <w:bCs/>
          <w:sz w:val="20"/>
          <w:szCs w:val="20"/>
          <w:lang w:val="es-ES"/>
        </w:rPr>
        <w:t xml:space="preserve"> fue admitido con el reconocimiento de que la condición de la presunta víctima se encontraba </w:t>
      </w:r>
      <w:r w:rsidR="009D254B">
        <w:rPr>
          <w:rFonts w:ascii="Cambria" w:hAnsi="Cambria"/>
          <w:bCs/>
          <w:sz w:val="20"/>
          <w:szCs w:val="20"/>
          <w:lang w:val="es-ES"/>
        </w:rPr>
        <w:t xml:space="preserve">contemplada </w:t>
      </w:r>
      <w:r w:rsidR="0059490F" w:rsidRPr="008F5418">
        <w:rPr>
          <w:rFonts w:ascii="Cambria" w:hAnsi="Cambria"/>
          <w:bCs/>
          <w:sz w:val="20"/>
          <w:szCs w:val="20"/>
          <w:lang w:val="es-ES"/>
        </w:rPr>
        <w:t xml:space="preserve">en la Ley No. 24.043, pues fue la única alternativa para salvar a su vida, ya que la referida ley debería aplicarse a todos los casos en que se </w:t>
      </w:r>
      <w:r w:rsidR="009D254B">
        <w:rPr>
          <w:rFonts w:ascii="Cambria" w:hAnsi="Cambria"/>
          <w:bCs/>
          <w:sz w:val="20"/>
          <w:szCs w:val="20"/>
          <w:lang w:val="es-ES"/>
        </w:rPr>
        <w:t>hubiera violado</w:t>
      </w:r>
      <w:r w:rsidR="0059490F" w:rsidRPr="008F5418">
        <w:rPr>
          <w:rFonts w:ascii="Cambria" w:hAnsi="Cambria"/>
          <w:bCs/>
          <w:sz w:val="20"/>
          <w:szCs w:val="20"/>
          <w:lang w:val="es-ES"/>
        </w:rPr>
        <w:t xml:space="preserve"> la libertad ambulatoria. </w:t>
      </w:r>
      <w:r w:rsidR="00D90620" w:rsidRPr="008F5418">
        <w:rPr>
          <w:rFonts w:ascii="Cambria" w:hAnsi="Cambria"/>
          <w:bCs/>
          <w:sz w:val="20"/>
          <w:szCs w:val="20"/>
          <w:lang w:val="es-ES"/>
        </w:rPr>
        <w:t xml:space="preserve">El Ministerio de Justicia y Derechos Humanos presentó </w:t>
      </w:r>
      <w:r w:rsidR="009D254B">
        <w:rPr>
          <w:rFonts w:ascii="Cambria" w:hAnsi="Cambria"/>
          <w:bCs/>
          <w:sz w:val="20"/>
          <w:szCs w:val="20"/>
          <w:lang w:val="es-ES"/>
        </w:rPr>
        <w:t xml:space="preserve">un </w:t>
      </w:r>
      <w:r w:rsidR="00D90620" w:rsidRPr="008F5418">
        <w:rPr>
          <w:rFonts w:ascii="Cambria" w:hAnsi="Cambria"/>
          <w:bCs/>
          <w:sz w:val="20"/>
          <w:szCs w:val="20"/>
          <w:lang w:val="es-ES"/>
        </w:rPr>
        <w:t>recurso ante l</w:t>
      </w:r>
      <w:r w:rsidR="0059490F" w:rsidRPr="008F5418">
        <w:rPr>
          <w:rFonts w:ascii="Cambria" w:hAnsi="Cambria"/>
          <w:bCs/>
          <w:sz w:val="20"/>
          <w:szCs w:val="20"/>
          <w:lang w:val="es-ES"/>
        </w:rPr>
        <w:t>a Corte Suprema de Justicia de la Nación</w:t>
      </w:r>
      <w:r w:rsidR="00D90620" w:rsidRPr="008F5418">
        <w:rPr>
          <w:rFonts w:ascii="Cambria" w:hAnsi="Cambria"/>
          <w:bCs/>
          <w:sz w:val="20"/>
          <w:szCs w:val="20"/>
          <w:lang w:val="es-ES"/>
        </w:rPr>
        <w:t>, que el 22 de diciembre de 2008</w:t>
      </w:r>
      <w:r w:rsidR="0059490F" w:rsidRPr="008F5418">
        <w:rPr>
          <w:rFonts w:ascii="Cambria" w:hAnsi="Cambria"/>
          <w:bCs/>
          <w:sz w:val="20"/>
          <w:szCs w:val="20"/>
          <w:lang w:val="es-ES"/>
        </w:rPr>
        <w:t xml:space="preserve"> dejó sin efecto la decisión por falta de análisis de prueba. </w:t>
      </w:r>
      <w:r w:rsidR="00DB5793" w:rsidRPr="008F5418">
        <w:rPr>
          <w:rFonts w:ascii="Cambria" w:hAnsi="Cambria"/>
          <w:bCs/>
          <w:sz w:val="20"/>
          <w:szCs w:val="20"/>
          <w:lang w:val="es-ES"/>
        </w:rPr>
        <w:t xml:space="preserve">Remitidas las decisiones nuevamente a Cámara, la IV Sala rechazó </w:t>
      </w:r>
      <w:r w:rsidR="00D90620" w:rsidRPr="008F5418">
        <w:rPr>
          <w:rFonts w:ascii="Cambria" w:hAnsi="Cambria"/>
          <w:bCs/>
          <w:sz w:val="20"/>
          <w:szCs w:val="20"/>
          <w:lang w:val="es-ES"/>
        </w:rPr>
        <w:t xml:space="preserve">el 12 de agosto de 2009 </w:t>
      </w:r>
      <w:r w:rsidR="00DB5793" w:rsidRPr="008F5418">
        <w:rPr>
          <w:rFonts w:ascii="Cambria" w:hAnsi="Cambria"/>
          <w:bCs/>
          <w:sz w:val="20"/>
          <w:szCs w:val="20"/>
          <w:lang w:val="es-ES"/>
        </w:rPr>
        <w:t xml:space="preserve">la solicitud </w:t>
      </w:r>
      <w:r w:rsidR="009D254B">
        <w:rPr>
          <w:rFonts w:ascii="Cambria" w:hAnsi="Cambria"/>
          <w:bCs/>
          <w:sz w:val="20"/>
          <w:szCs w:val="20"/>
          <w:lang w:val="es-ES"/>
        </w:rPr>
        <w:t>por</w:t>
      </w:r>
      <w:r w:rsidR="00DB5793" w:rsidRPr="008F5418">
        <w:rPr>
          <w:rFonts w:ascii="Cambria" w:hAnsi="Cambria"/>
          <w:bCs/>
          <w:sz w:val="20"/>
          <w:szCs w:val="20"/>
          <w:lang w:val="es-ES"/>
        </w:rPr>
        <w:t xml:space="preserve"> </w:t>
      </w:r>
      <w:r w:rsidR="009D254B">
        <w:rPr>
          <w:rFonts w:ascii="Cambria" w:hAnsi="Cambria"/>
          <w:bCs/>
          <w:sz w:val="20"/>
          <w:szCs w:val="20"/>
          <w:lang w:val="es-ES"/>
        </w:rPr>
        <w:t xml:space="preserve">ausencia </w:t>
      </w:r>
      <w:r w:rsidR="00DB5793" w:rsidRPr="008F5418">
        <w:rPr>
          <w:rFonts w:ascii="Cambria" w:hAnsi="Cambria"/>
          <w:bCs/>
          <w:sz w:val="20"/>
          <w:szCs w:val="20"/>
          <w:lang w:val="es-ES"/>
        </w:rPr>
        <w:t xml:space="preserve">de pruebas sobre la persecución y la constancia expedida por ACNUR. </w:t>
      </w:r>
      <w:r w:rsidR="009D254B">
        <w:rPr>
          <w:rFonts w:ascii="Cambria" w:hAnsi="Cambria"/>
          <w:bCs/>
          <w:sz w:val="20"/>
          <w:szCs w:val="20"/>
          <w:lang w:val="es-ES"/>
        </w:rPr>
        <w:t>Se</w:t>
      </w:r>
      <w:r w:rsidR="00DB5793" w:rsidRPr="008F5418">
        <w:rPr>
          <w:rFonts w:ascii="Cambria" w:hAnsi="Cambria"/>
          <w:bCs/>
          <w:sz w:val="20"/>
          <w:szCs w:val="20"/>
          <w:lang w:val="es-ES"/>
        </w:rPr>
        <w:t xml:space="preserve"> interpu</w:t>
      </w:r>
      <w:r w:rsidR="009D254B">
        <w:rPr>
          <w:rFonts w:ascii="Cambria" w:hAnsi="Cambria"/>
          <w:bCs/>
          <w:sz w:val="20"/>
          <w:szCs w:val="20"/>
          <w:lang w:val="es-ES"/>
        </w:rPr>
        <w:t>so</w:t>
      </w:r>
      <w:r w:rsidR="00DB5793" w:rsidRPr="008F5418">
        <w:rPr>
          <w:rFonts w:ascii="Cambria" w:hAnsi="Cambria"/>
          <w:bCs/>
          <w:sz w:val="20"/>
          <w:szCs w:val="20"/>
          <w:lang w:val="es-ES"/>
        </w:rPr>
        <w:t xml:space="preserve"> </w:t>
      </w:r>
      <w:r w:rsidR="009D254B">
        <w:rPr>
          <w:rFonts w:ascii="Cambria" w:hAnsi="Cambria"/>
          <w:bCs/>
          <w:sz w:val="20"/>
          <w:szCs w:val="20"/>
          <w:lang w:val="es-ES"/>
        </w:rPr>
        <w:t xml:space="preserve">un </w:t>
      </w:r>
      <w:r w:rsidR="00DB5793" w:rsidRPr="008F5418">
        <w:rPr>
          <w:rFonts w:ascii="Cambria" w:hAnsi="Cambria"/>
          <w:bCs/>
          <w:sz w:val="20"/>
          <w:szCs w:val="20"/>
          <w:lang w:val="es-ES"/>
        </w:rPr>
        <w:t>recurso extraordinario ante la Corte Suprema de Justicia</w:t>
      </w:r>
      <w:r w:rsidR="00D90620" w:rsidRPr="008F5418">
        <w:rPr>
          <w:rFonts w:ascii="Cambria" w:hAnsi="Cambria"/>
          <w:bCs/>
          <w:sz w:val="20"/>
          <w:szCs w:val="20"/>
          <w:lang w:val="es-ES"/>
        </w:rPr>
        <w:t>, que fue rechazado por incumplimiento de</w:t>
      </w:r>
      <w:r w:rsidR="009D254B">
        <w:rPr>
          <w:rFonts w:ascii="Cambria" w:hAnsi="Cambria"/>
          <w:bCs/>
          <w:sz w:val="20"/>
          <w:szCs w:val="20"/>
          <w:lang w:val="es-ES"/>
        </w:rPr>
        <w:t>l</w:t>
      </w:r>
      <w:r w:rsidR="00D90620" w:rsidRPr="008F5418">
        <w:rPr>
          <w:rFonts w:ascii="Cambria" w:hAnsi="Cambria"/>
          <w:bCs/>
          <w:sz w:val="20"/>
          <w:szCs w:val="20"/>
          <w:lang w:val="es-ES"/>
        </w:rPr>
        <w:t xml:space="preserve"> requisito </w:t>
      </w:r>
      <w:r w:rsidR="009D254B">
        <w:rPr>
          <w:rFonts w:ascii="Cambria" w:hAnsi="Cambria"/>
          <w:bCs/>
          <w:sz w:val="20"/>
          <w:szCs w:val="20"/>
          <w:lang w:val="es-ES"/>
        </w:rPr>
        <w:t xml:space="preserve">de </w:t>
      </w:r>
      <w:r w:rsidR="00D90620" w:rsidRPr="008F5418">
        <w:rPr>
          <w:rFonts w:ascii="Cambria" w:hAnsi="Cambria"/>
          <w:bCs/>
          <w:sz w:val="20"/>
          <w:szCs w:val="20"/>
          <w:lang w:val="es-ES"/>
        </w:rPr>
        <w:t xml:space="preserve">cantidad de renglones por página. La presunta víctima fue notificada de la decisión el 4 de mayo de 2010. </w:t>
      </w:r>
      <w:r w:rsidR="009D254B">
        <w:rPr>
          <w:rFonts w:ascii="Cambria" w:hAnsi="Cambria"/>
          <w:bCs/>
          <w:sz w:val="20"/>
          <w:szCs w:val="20"/>
          <w:lang w:val="es-ES"/>
        </w:rPr>
        <w:t>La</w:t>
      </w:r>
      <w:r w:rsidR="00D90620" w:rsidRPr="008F5418">
        <w:rPr>
          <w:rFonts w:ascii="Cambria" w:hAnsi="Cambria"/>
          <w:bCs/>
          <w:sz w:val="20"/>
          <w:szCs w:val="20"/>
          <w:lang w:val="es-ES"/>
        </w:rPr>
        <w:t xml:space="preserve"> parte peticionaria afirma </w:t>
      </w:r>
      <w:r w:rsidR="009D254B">
        <w:rPr>
          <w:rFonts w:ascii="Cambria" w:hAnsi="Cambria"/>
          <w:bCs/>
          <w:sz w:val="20"/>
          <w:szCs w:val="20"/>
          <w:lang w:val="es-ES"/>
        </w:rPr>
        <w:t>se</w:t>
      </w:r>
      <w:r w:rsidR="00D90620" w:rsidRPr="008F5418">
        <w:rPr>
          <w:rFonts w:ascii="Cambria" w:hAnsi="Cambria"/>
          <w:bCs/>
          <w:sz w:val="20"/>
          <w:szCs w:val="20"/>
          <w:lang w:val="es-ES"/>
        </w:rPr>
        <w:t xml:space="preserve"> agota</w:t>
      </w:r>
      <w:r w:rsidR="009D254B">
        <w:rPr>
          <w:rFonts w:ascii="Cambria" w:hAnsi="Cambria"/>
          <w:bCs/>
          <w:sz w:val="20"/>
          <w:szCs w:val="20"/>
          <w:lang w:val="es-ES"/>
        </w:rPr>
        <w:t>ron</w:t>
      </w:r>
      <w:r w:rsidR="00D90620" w:rsidRPr="008F5418">
        <w:rPr>
          <w:rFonts w:ascii="Cambria" w:hAnsi="Cambria"/>
          <w:bCs/>
          <w:sz w:val="20"/>
          <w:szCs w:val="20"/>
          <w:lang w:val="es-ES"/>
        </w:rPr>
        <w:t xml:space="preserve"> los recursos internos</w:t>
      </w:r>
      <w:r w:rsidR="00895AC6" w:rsidRPr="008F5418">
        <w:rPr>
          <w:rFonts w:ascii="Cambria" w:hAnsi="Cambria"/>
          <w:bCs/>
          <w:sz w:val="20"/>
          <w:szCs w:val="20"/>
          <w:lang w:val="es-ES"/>
        </w:rPr>
        <w:t xml:space="preserve"> y que el rechazo del recurso extraordinario resulta violatorio de</w:t>
      </w:r>
      <w:r w:rsidR="009D254B">
        <w:rPr>
          <w:rFonts w:ascii="Cambria" w:hAnsi="Cambria"/>
          <w:bCs/>
          <w:sz w:val="20"/>
          <w:szCs w:val="20"/>
          <w:lang w:val="es-ES"/>
        </w:rPr>
        <w:t>l derecho de acceso a la justicia reconocido por</w:t>
      </w:r>
      <w:r w:rsidR="00895AC6" w:rsidRPr="008F5418">
        <w:rPr>
          <w:rFonts w:ascii="Cambria" w:hAnsi="Cambria"/>
          <w:bCs/>
          <w:sz w:val="20"/>
          <w:szCs w:val="20"/>
          <w:lang w:val="es-ES"/>
        </w:rPr>
        <w:t xml:space="preserve"> la Convención </w:t>
      </w:r>
      <w:r w:rsidR="009D254B">
        <w:rPr>
          <w:rFonts w:ascii="Cambria" w:hAnsi="Cambria"/>
          <w:bCs/>
          <w:sz w:val="20"/>
          <w:szCs w:val="20"/>
          <w:lang w:val="es-ES"/>
        </w:rPr>
        <w:t>Americana</w:t>
      </w:r>
      <w:r w:rsidR="00895AC6" w:rsidRPr="008F5418">
        <w:rPr>
          <w:rFonts w:ascii="Cambria" w:hAnsi="Cambria"/>
          <w:bCs/>
          <w:sz w:val="20"/>
          <w:szCs w:val="20"/>
          <w:lang w:val="es-ES"/>
        </w:rPr>
        <w:t>.</w:t>
      </w:r>
    </w:p>
    <w:p w14:paraId="61AFE8D2" w14:textId="77777777" w:rsidR="008A1040" w:rsidRPr="008F5418" w:rsidRDefault="008A1040" w:rsidP="00AF2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8F5418">
        <w:rPr>
          <w:rFonts w:ascii="Cambria" w:hAnsi="Cambria"/>
          <w:sz w:val="20"/>
          <w:szCs w:val="20"/>
          <w:lang w:val="es-ES"/>
        </w:rPr>
        <w:t xml:space="preserve">Por su parte, el Estado señala </w:t>
      </w:r>
      <w:r w:rsidR="00987B47" w:rsidRPr="008F5418">
        <w:rPr>
          <w:rFonts w:ascii="Cambria" w:hAnsi="Cambria"/>
          <w:sz w:val="20"/>
          <w:szCs w:val="20"/>
          <w:lang w:val="es-ES"/>
        </w:rPr>
        <w:t xml:space="preserve">que la presunta víctima agotó los recursos de manera indebida. </w:t>
      </w:r>
      <w:r w:rsidR="009D254B">
        <w:rPr>
          <w:rFonts w:ascii="Cambria" w:hAnsi="Cambria"/>
          <w:sz w:val="20"/>
          <w:szCs w:val="20"/>
          <w:lang w:val="es-ES"/>
        </w:rPr>
        <w:t>En particular, i</w:t>
      </w:r>
      <w:r w:rsidR="00987B47" w:rsidRPr="008F5418">
        <w:rPr>
          <w:rFonts w:ascii="Cambria" w:hAnsi="Cambria"/>
          <w:sz w:val="20"/>
          <w:szCs w:val="20"/>
          <w:lang w:val="es-ES"/>
        </w:rPr>
        <w:t xml:space="preserve">ndica que el recurso extraordinario no fue agotado, pues no fueron observados los requisitos </w:t>
      </w:r>
      <w:r w:rsidR="009D254B">
        <w:rPr>
          <w:rFonts w:ascii="Cambria" w:hAnsi="Cambria"/>
          <w:sz w:val="20"/>
          <w:szCs w:val="20"/>
          <w:lang w:val="es-ES"/>
        </w:rPr>
        <w:t>para su</w:t>
      </w:r>
      <w:r w:rsidR="00987B47" w:rsidRPr="008F5418">
        <w:rPr>
          <w:rFonts w:ascii="Cambria" w:hAnsi="Cambria"/>
          <w:sz w:val="20"/>
          <w:szCs w:val="20"/>
          <w:lang w:val="es-ES"/>
        </w:rPr>
        <w:t xml:space="preserve"> admisibilidad. </w:t>
      </w:r>
      <w:r w:rsidR="009D254B">
        <w:rPr>
          <w:rFonts w:ascii="Cambria" w:hAnsi="Cambria"/>
          <w:sz w:val="20"/>
          <w:szCs w:val="20"/>
          <w:lang w:val="es-ES"/>
        </w:rPr>
        <w:t>A</w:t>
      </w:r>
      <w:r w:rsidR="00987B47" w:rsidRPr="008F5418">
        <w:rPr>
          <w:rFonts w:ascii="Cambria" w:hAnsi="Cambria"/>
          <w:sz w:val="20"/>
          <w:szCs w:val="20"/>
          <w:lang w:val="es-ES"/>
        </w:rPr>
        <w:t xml:space="preserve">firma que la presunta víctima tuvo a su disposición el sistema ordinario de reparación en sede judicial, que podría haber accionado mediante </w:t>
      </w:r>
      <w:r w:rsidR="009D254B">
        <w:rPr>
          <w:rFonts w:ascii="Cambria" w:hAnsi="Cambria"/>
          <w:sz w:val="20"/>
          <w:szCs w:val="20"/>
          <w:lang w:val="es-ES"/>
        </w:rPr>
        <w:t xml:space="preserve">una </w:t>
      </w:r>
      <w:r w:rsidR="00987B47" w:rsidRPr="008F5418">
        <w:rPr>
          <w:rFonts w:ascii="Cambria" w:hAnsi="Cambria"/>
          <w:sz w:val="20"/>
          <w:szCs w:val="20"/>
          <w:lang w:val="es-ES"/>
        </w:rPr>
        <w:t xml:space="preserve">acción de daños y perjuicios. Además, alega que no se exponen hechos que caractericen violaciones a la Convención </w:t>
      </w:r>
      <w:r w:rsidR="00895AC6" w:rsidRPr="008F5418">
        <w:rPr>
          <w:rFonts w:ascii="Cambria" w:hAnsi="Cambria"/>
          <w:sz w:val="20"/>
          <w:szCs w:val="20"/>
          <w:lang w:val="es-ES"/>
        </w:rPr>
        <w:t>Americana.</w:t>
      </w:r>
    </w:p>
    <w:p w14:paraId="3483A239" w14:textId="77777777" w:rsidR="003239B8" w:rsidRPr="008F5418" w:rsidRDefault="003239B8" w:rsidP="003239B8">
      <w:pPr>
        <w:spacing w:before="240" w:after="240"/>
        <w:ind w:firstLine="720"/>
        <w:jc w:val="both"/>
        <w:rPr>
          <w:rFonts w:ascii="Cambria" w:hAnsi="Cambria"/>
          <w:sz w:val="20"/>
          <w:szCs w:val="20"/>
          <w:lang w:val="es-UY"/>
        </w:rPr>
      </w:pPr>
      <w:r w:rsidRPr="008F5418">
        <w:rPr>
          <w:rFonts w:ascii="Cambria" w:eastAsia="Cambria" w:hAnsi="Cambria" w:cs="Cambria"/>
          <w:b/>
          <w:bCs/>
          <w:color w:val="000000"/>
          <w:sz w:val="20"/>
          <w:szCs w:val="20"/>
          <w:u w:color="000000"/>
          <w:lang w:val="es-ES" w:eastAsia="es-ES"/>
        </w:rPr>
        <w:t>VI.</w:t>
      </w:r>
      <w:r w:rsidRPr="008F5418">
        <w:rPr>
          <w:rFonts w:ascii="Cambria" w:eastAsia="Cambria" w:hAnsi="Cambria" w:cs="Cambria"/>
          <w:b/>
          <w:bCs/>
          <w:color w:val="000000"/>
          <w:sz w:val="20"/>
          <w:szCs w:val="20"/>
          <w:u w:color="000000"/>
          <w:lang w:val="es-ES" w:eastAsia="es-ES"/>
        </w:rPr>
        <w:tab/>
      </w:r>
      <w:r w:rsidR="004A6A54" w:rsidRPr="008F5418">
        <w:rPr>
          <w:rFonts w:ascii="Cambria" w:hAnsi="Cambria"/>
          <w:b/>
          <w:bCs/>
          <w:sz w:val="20"/>
          <w:szCs w:val="20"/>
          <w:lang w:val="es-ES_tradnl"/>
        </w:rPr>
        <w:t xml:space="preserve">ANÁLISIS DE </w:t>
      </w:r>
      <w:r w:rsidR="00C21FEF" w:rsidRPr="008F5418">
        <w:rPr>
          <w:rFonts w:ascii="Cambria" w:hAnsi="Cambria"/>
          <w:b/>
          <w:sz w:val="20"/>
          <w:szCs w:val="20"/>
          <w:lang w:val="es-ES"/>
        </w:rPr>
        <w:t>AGOTAMIENTO DE LOS RECURSOS INTERNOS Y PLAZO DE PRESENTACIÓN</w:t>
      </w:r>
      <w:r w:rsidR="00C21FEF" w:rsidRPr="008F5418">
        <w:rPr>
          <w:rFonts w:ascii="Cambria" w:eastAsia="Cambria" w:hAnsi="Cambria" w:cs="Cambria"/>
          <w:b/>
          <w:bCs/>
          <w:color w:val="000000"/>
          <w:sz w:val="20"/>
          <w:szCs w:val="20"/>
          <w:u w:color="000000"/>
          <w:lang w:val="es-ES" w:eastAsia="es-ES"/>
        </w:rPr>
        <w:t xml:space="preserve"> </w:t>
      </w:r>
    </w:p>
    <w:p w14:paraId="38F327B2" w14:textId="77777777" w:rsidR="00C07AB7" w:rsidRPr="008F5418" w:rsidRDefault="00C07AB7" w:rsidP="00AF2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8F5418">
        <w:rPr>
          <w:rFonts w:ascii="Cambria" w:hAnsi="Cambria"/>
          <w:sz w:val="20"/>
          <w:szCs w:val="20"/>
          <w:lang w:val="es-ES"/>
        </w:rPr>
        <w:t>La parte peticionaria afirma que los recursos fueron agotados el 4 de mayo de 2010 con la decisión de la Corte Suprema de Justicia que rechazó el recurso extraordinario p</w:t>
      </w:r>
      <w:r w:rsidRPr="008F5418">
        <w:rPr>
          <w:rFonts w:ascii="Cambria" w:hAnsi="Cambria"/>
          <w:bCs/>
          <w:sz w:val="20"/>
          <w:szCs w:val="20"/>
          <w:lang w:val="es-ES"/>
        </w:rPr>
        <w:t>or incumplimiento de</w:t>
      </w:r>
      <w:r w:rsidR="009D254B">
        <w:rPr>
          <w:rFonts w:ascii="Cambria" w:hAnsi="Cambria"/>
          <w:bCs/>
          <w:sz w:val="20"/>
          <w:szCs w:val="20"/>
          <w:lang w:val="es-ES"/>
        </w:rPr>
        <w:t>l</w:t>
      </w:r>
      <w:r w:rsidRPr="008F5418">
        <w:rPr>
          <w:rFonts w:ascii="Cambria" w:hAnsi="Cambria"/>
          <w:bCs/>
          <w:sz w:val="20"/>
          <w:szCs w:val="20"/>
          <w:lang w:val="es-ES"/>
        </w:rPr>
        <w:t xml:space="preserve"> requisito </w:t>
      </w:r>
      <w:r w:rsidR="009D254B">
        <w:rPr>
          <w:rFonts w:ascii="Cambria" w:hAnsi="Cambria"/>
          <w:bCs/>
          <w:sz w:val="20"/>
          <w:szCs w:val="20"/>
          <w:lang w:val="es-ES"/>
        </w:rPr>
        <w:t xml:space="preserve">de </w:t>
      </w:r>
      <w:r w:rsidRPr="008F5418">
        <w:rPr>
          <w:rFonts w:ascii="Cambria" w:hAnsi="Cambria"/>
          <w:bCs/>
          <w:sz w:val="20"/>
          <w:szCs w:val="20"/>
          <w:lang w:val="es-ES"/>
        </w:rPr>
        <w:t xml:space="preserve">cantidad de renglones por página. El Estado alega que los recursos fueron agotados de manera indebida, pues el recurso extraordinario </w:t>
      </w:r>
      <w:r w:rsidR="009D254B">
        <w:rPr>
          <w:rFonts w:ascii="Cambria" w:hAnsi="Cambria"/>
          <w:bCs/>
          <w:sz w:val="20"/>
          <w:szCs w:val="20"/>
          <w:lang w:val="es-ES"/>
        </w:rPr>
        <w:t xml:space="preserve">presentado </w:t>
      </w:r>
      <w:r w:rsidRPr="008F5418">
        <w:rPr>
          <w:rFonts w:ascii="Cambria" w:hAnsi="Cambria"/>
          <w:bCs/>
          <w:sz w:val="20"/>
          <w:szCs w:val="20"/>
          <w:lang w:val="es-ES"/>
        </w:rPr>
        <w:t xml:space="preserve">no </w:t>
      </w:r>
      <w:r w:rsidR="009D254B">
        <w:rPr>
          <w:rFonts w:ascii="Cambria" w:hAnsi="Cambria"/>
          <w:bCs/>
          <w:sz w:val="20"/>
          <w:szCs w:val="20"/>
          <w:lang w:val="es-ES"/>
        </w:rPr>
        <w:t>cumplía</w:t>
      </w:r>
      <w:r w:rsidRPr="008F5418">
        <w:rPr>
          <w:rFonts w:ascii="Cambria" w:hAnsi="Cambria"/>
          <w:bCs/>
          <w:sz w:val="20"/>
          <w:szCs w:val="20"/>
          <w:lang w:val="es-ES"/>
        </w:rPr>
        <w:t xml:space="preserve"> los requisitos legales</w:t>
      </w:r>
      <w:r w:rsidR="009D254B">
        <w:rPr>
          <w:rFonts w:ascii="Cambria" w:hAnsi="Cambria"/>
          <w:bCs/>
          <w:sz w:val="20"/>
          <w:szCs w:val="20"/>
          <w:lang w:val="es-ES"/>
        </w:rPr>
        <w:t>;</w:t>
      </w:r>
      <w:r w:rsidRPr="008F5418">
        <w:rPr>
          <w:rFonts w:ascii="Cambria" w:hAnsi="Cambria"/>
          <w:bCs/>
          <w:sz w:val="20"/>
          <w:szCs w:val="20"/>
          <w:lang w:val="es-ES"/>
        </w:rPr>
        <w:t xml:space="preserve"> y que no fue presentada acción civil de daños y perjuicios. </w:t>
      </w:r>
    </w:p>
    <w:p w14:paraId="634699F9" w14:textId="77777777" w:rsidR="00FC7D8D" w:rsidRPr="00956824" w:rsidRDefault="00FC7D8D" w:rsidP="00AF24B3">
      <w:pPr>
        <w:pStyle w:val="ListParagraph"/>
        <w:numPr>
          <w:ilvl w:val="0"/>
          <w:numId w:val="59"/>
        </w:numPr>
        <w:spacing w:after="240"/>
        <w:jc w:val="both"/>
        <w:rPr>
          <w:rFonts w:cs="Calibri"/>
          <w:sz w:val="20"/>
          <w:szCs w:val="20"/>
          <w:lang w:val="es-ES_tradnl"/>
        </w:rPr>
      </w:pPr>
      <w:r w:rsidRPr="008F5418">
        <w:rPr>
          <w:bCs/>
          <w:sz w:val="20"/>
          <w:szCs w:val="20"/>
          <w:lang w:val="es-ES"/>
        </w:rPr>
        <w:t xml:space="preserve">La CIDH observa que el </w:t>
      </w:r>
      <w:r w:rsidRPr="008F5418">
        <w:rPr>
          <w:rFonts w:cs="Calibri"/>
          <w:sz w:val="20"/>
          <w:szCs w:val="20"/>
          <w:lang w:val="es-ES_tradnl"/>
        </w:rPr>
        <w:t xml:space="preserve">peticionario debe agotar los recursos internos de conformidad con la legislación procesal interna. La Comisión no puede considerar que el peticionario ha cumplido debidamente con el requisito del agotamiento previo de los recursos internos si los mismos han sido rechazados con fundamentos procesales razonables y no arbitrarios. Sin embargo, de la información proporcionada, surge que el recurso extraordinario fue rechazado por cuestiones meramente formales </w:t>
      </w:r>
      <w:r w:rsidR="009D254B">
        <w:rPr>
          <w:rFonts w:cs="Calibri"/>
          <w:sz w:val="20"/>
          <w:szCs w:val="20"/>
          <w:lang w:val="es-ES_tradnl"/>
        </w:rPr>
        <w:t>--</w:t>
      </w:r>
      <w:r w:rsidRPr="008F5418">
        <w:rPr>
          <w:rFonts w:cs="Calibri"/>
          <w:sz w:val="20"/>
          <w:szCs w:val="20"/>
          <w:lang w:val="es-ES_tradnl"/>
        </w:rPr>
        <w:t>“</w:t>
      </w:r>
      <w:r w:rsidRPr="008F5418">
        <w:rPr>
          <w:bCs/>
          <w:sz w:val="20"/>
          <w:szCs w:val="20"/>
          <w:lang w:val="es-ES"/>
        </w:rPr>
        <w:t>la cantidad de renglones por página”</w:t>
      </w:r>
      <w:r w:rsidR="009D254B">
        <w:rPr>
          <w:bCs/>
          <w:sz w:val="20"/>
          <w:szCs w:val="20"/>
          <w:lang w:val="es-ES"/>
        </w:rPr>
        <w:t>--</w:t>
      </w:r>
      <w:r w:rsidRPr="008F5418">
        <w:rPr>
          <w:bCs/>
          <w:sz w:val="20"/>
          <w:szCs w:val="20"/>
          <w:lang w:val="es-ES"/>
        </w:rPr>
        <w:t>, alega</w:t>
      </w:r>
      <w:r w:rsidR="009D254B">
        <w:rPr>
          <w:bCs/>
          <w:sz w:val="20"/>
          <w:szCs w:val="20"/>
          <w:lang w:val="es-ES"/>
        </w:rPr>
        <w:t>to</w:t>
      </w:r>
      <w:r w:rsidRPr="008F5418">
        <w:rPr>
          <w:bCs/>
          <w:sz w:val="20"/>
          <w:szCs w:val="20"/>
          <w:lang w:val="es-ES"/>
        </w:rPr>
        <w:t xml:space="preserve"> que no </w:t>
      </w:r>
      <w:r w:rsidR="009D254B">
        <w:rPr>
          <w:bCs/>
          <w:sz w:val="20"/>
          <w:szCs w:val="20"/>
          <w:lang w:val="es-ES"/>
        </w:rPr>
        <w:t>fue</w:t>
      </w:r>
      <w:r w:rsidRPr="008F5418">
        <w:rPr>
          <w:bCs/>
          <w:sz w:val="20"/>
          <w:szCs w:val="20"/>
          <w:lang w:val="es-ES"/>
        </w:rPr>
        <w:t xml:space="preserve"> </w:t>
      </w:r>
      <w:r w:rsidR="009D254B">
        <w:rPr>
          <w:bCs/>
          <w:sz w:val="20"/>
          <w:szCs w:val="20"/>
          <w:lang w:val="es-ES"/>
        </w:rPr>
        <w:t>controvertido</w:t>
      </w:r>
      <w:r w:rsidRPr="008F5418">
        <w:rPr>
          <w:bCs/>
          <w:sz w:val="20"/>
          <w:szCs w:val="20"/>
          <w:lang w:val="es-ES"/>
        </w:rPr>
        <w:t xml:space="preserve"> por el Estado.  </w:t>
      </w:r>
      <w:r w:rsidR="009D254B">
        <w:rPr>
          <w:bCs/>
          <w:sz w:val="20"/>
          <w:szCs w:val="20"/>
          <w:lang w:val="es-ES"/>
        </w:rPr>
        <w:t>La</w:t>
      </w:r>
      <w:r w:rsidRPr="008F5418">
        <w:rPr>
          <w:bCs/>
          <w:sz w:val="20"/>
          <w:szCs w:val="20"/>
          <w:lang w:val="es-ES"/>
        </w:rPr>
        <w:t xml:space="preserve"> Comisión </w:t>
      </w:r>
      <w:r w:rsidR="009D254B">
        <w:rPr>
          <w:bCs/>
          <w:sz w:val="20"/>
          <w:szCs w:val="20"/>
          <w:lang w:val="es-ES"/>
        </w:rPr>
        <w:t>observa</w:t>
      </w:r>
      <w:r w:rsidRPr="008F5418">
        <w:rPr>
          <w:bCs/>
          <w:sz w:val="20"/>
          <w:szCs w:val="20"/>
          <w:lang w:val="es-ES"/>
        </w:rPr>
        <w:t xml:space="preserve"> que </w:t>
      </w:r>
      <w:r w:rsidR="009D254B" w:rsidRPr="008F5418">
        <w:rPr>
          <w:bCs/>
          <w:sz w:val="20"/>
          <w:szCs w:val="20"/>
          <w:lang w:val="es-ES"/>
        </w:rPr>
        <w:t xml:space="preserve">la causa </w:t>
      </w:r>
      <w:r w:rsidRPr="008F5418">
        <w:rPr>
          <w:bCs/>
          <w:sz w:val="20"/>
          <w:szCs w:val="20"/>
          <w:lang w:val="es-ES"/>
        </w:rPr>
        <w:t xml:space="preserve">en la jurisdicción civil se inició  </w:t>
      </w:r>
      <w:r w:rsidR="009D254B">
        <w:rPr>
          <w:bCs/>
          <w:sz w:val="20"/>
          <w:szCs w:val="20"/>
          <w:lang w:val="es-ES"/>
        </w:rPr>
        <w:t xml:space="preserve">en </w:t>
      </w:r>
      <w:r w:rsidRPr="008F5418">
        <w:rPr>
          <w:bCs/>
          <w:sz w:val="20"/>
          <w:szCs w:val="20"/>
          <w:lang w:val="es-ES"/>
        </w:rPr>
        <w:t>2004 ante la Secretaría de Derechos Humanos</w:t>
      </w:r>
      <w:r w:rsidR="009D254B">
        <w:rPr>
          <w:bCs/>
          <w:sz w:val="20"/>
          <w:szCs w:val="20"/>
          <w:lang w:val="es-ES"/>
        </w:rPr>
        <w:t>,</w:t>
      </w:r>
      <w:r w:rsidRPr="008F5418">
        <w:rPr>
          <w:bCs/>
          <w:sz w:val="20"/>
          <w:szCs w:val="20"/>
          <w:lang w:val="es-ES"/>
        </w:rPr>
        <w:t xml:space="preserve"> y que el 4 de mayo de 2010 fue publicada la decisión de la Suprema Corte de Justicia que rechazó las pretensiones de la presunta víctima. </w:t>
      </w:r>
      <w:r w:rsidRPr="008F5418">
        <w:rPr>
          <w:sz w:val="20"/>
          <w:szCs w:val="20"/>
          <w:lang w:val="es-ES"/>
        </w:rPr>
        <w:t>Respe</w:t>
      </w:r>
      <w:r w:rsidR="009D254B">
        <w:rPr>
          <w:sz w:val="20"/>
          <w:szCs w:val="20"/>
          <w:lang w:val="es-ES"/>
        </w:rPr>
        <w:t>c</w:t>
      </w:r>
      <w:r w:rsidRPr="008F5418">
        <w:rPr>
          <w:sz w:val="20"/>
          <w:szCs w:val="20"/>
          <w:lang w:val="es-ES"/>
        </w:rPr>
        <w:t>to al alegato del Estado de que la presunta víctima debería haber agotado la acción civil de daños y perjuicios, la CIDH señala</w:t>
      </w:r>
      <w:r w:rsidR="00B1184B" w:rsidRPr="008F5418">
        <w:rPr>
          <w:sz w:val="20"/>
          <w:szCs w:val="20"/>
          <w:lang w:val="es-ES"/>
        </w:rPr>
        <w:t xml:space="preserve"> </w:t>
      </w:r>
      <w:r w:rsidRPr="008F5418">
        <w:rPr>
          <w:sz w:val="20"/>
          <w:szCs w:val="20"/>
          <w:lang w:val="es-ES"/>
        </w:rPr>
        <w:t xml:space="preserve">que en materia de solicitudes de </w:t>
      </w:r>
      <w:r w:rsidR="00B1184B" w:rsidRPr="008F5418">
        <w:rPr>
          <w:sz w:val="20"/>
          <w:szCs w:val="20"/>
          <w:lang w:val="es-ES"/>
        </w:rPr>
        <w:t>indemnización</w:t>
      </w:r>
      <w:r w:rsidRPr="008F5418">
        <w:rPr>
          <w:sz w:val="20"/>
          <w:szCs w:val="20"/>
          <w:lang w:val="es-ES"/>
        </w:rPr>
        <w:t xml:space="preserve"> basadas en la Ley </w:t>
      </w:r>
      <w:r w:rsidR="009D254B">
        <w:rPr>
          <w:sz w:val="20"/>
          <w:szCs w:val="20"/>
          <w:lang w:val="es-ES"/>
        </w:rPr>
        <w:t>N</w:t>
      </w:r>
      <w:r w:rsidRPr="008F5418">
        <w:rPr>
          <w:sz w:val="20"/>
          <w:szCs w:val="20"/>
          <w:lang w:val="es-ES"/>
        </w:rPr>
        <w:t xml:space="preserve">o. 24.043 </w:t>
      </w:r>
      <w:r w:rsidR="009D254B">
        <w:rPr>
          <w:sz w:val="20"/>
          <w:szCs w:val="20"/>
          <w:lang w:val="es-ES"/>
        </w:rPr>
        <w:t>resulta</w:t>
      </w:r>
      <w:r w:rsidRPr="008F5418">
        <w:rPr>
          <w:sz w:val="20"/>
          <w:szCs w:val="20"/>
          <w:lang w:val="es-ES"/>
        </w:rPr>
        <w:t xml:space="preserve"> adecuado el recurso extraordinario. </w:t>
      </w:r>
      <w:r w:rsidRPr="008F5418">
        <w:rPr>
          <w:bCs/>
          <w:sz w:val="20"/>
          <w:szCs w:val="20"/>
          <w:lang w:val="es-ES"/>
        </w:rPr>
        <w:t xml:space="preserve">Con base en ello, la Comisión concluye que se agotaron los recursos internos y que la presente petición cumple el requisito establecido en el artículo 46.1.a de la Convención. </w:t>
      </w:r>
    </w:p>
    <w:p w14:paraId="268DDC25" w14:textId="77777777" w:rsidR="009D254B" w:rsidRPr="00956824" w:rsidRDefault="009D254B" w:rsidP="00AF24B3">
      <w:pPr>
        <w:spacing w:after="240"/>
        <w:ind w:firstLine="720"/>
        <w:jc w:val="both"/>
        <w:rPr>
          <w:rFonts w:cs="Calibri"/>
          <w:sz w:val="20"/>
          <w:szCs w:val="20"/>
          <w:lang w:val="es-ES_tradnl"/>
        </w:rPr>
      </w:pPr>
    </w:p>
    <w:p w14:paraId="2B43467E" w14:textId="77777777" w:rsidR="00B765A6" w:rsidRPr="008F5418" w:rsidRDefault="00B765A6" w:rsidP="00AF24B3">
      <w:pPr>
        <w:pStyle w:val="ListParagraph"/>
        <w:numPr>
          <w:ilvl w:val="0"/>
          <w:numId w:val="59"/>
        </w:numPr>
        <w:spacing w:after="240"/>
        <w:jc w:val="both"/>
        <w:rPr>
          <w:rFonts w:cs="Calibri"/>
          <w:sz w:val="20"/>
          <w:szCs w:val="20"/>
          <w:lang w:val="es-ES_tradnl"/>
        </w:rPr>
      </w:pPr>
      <w:r w:rsidRPr="008F5418">
        <w:rPr>
          <w:sz w:val="20"/>
          <w:szCs w:val="20"/>
          <w:lang w:val="es-ES"/>
        </w:rPr>
        <w:lastRenderedPageBreak/>
        <w:t xml:space="preserve">Asimismo, la petición fue presentada el </w:t>
      </w:r>
      <w:r w:rsidR="00686C5D" w:rsidRPr="008F5418">
        <w:rPr>
          <w:bCs/>
          <w:sz w:val="20"/>
          <w:szCs w:val="20"/>
          <w:lang w:val="es-ES"/>
        </w:rPr>
        <w:t>1 de noviembre de 2010</w:t>
      </w:r>
      <w:r w:rsidRPr="008F5418">
        <w:rPr>
          <w:sz w:val="20"/>
          <w:szCs w:val="20"/>
          <w:lang w:val="es-ES"/>
        </w:rPr>
        <w:t xml:space="preserve">, </w:t>
      </w:r>
      <w:r w:rsidR="009D254B">
        <w:rPr>
          <w:sz w:val="20"/>
          <w:szCs w:val="20"/>
          <w:lang w:val="es-ES"/>
        </w:rPr>
        <w:t xml:space="preserve">por lo que </w:t>
      </w:r>
      <w:r w:rsidRPr="008F5418">
        <w:rPr>
          <w:sz w:val="20"/>
          <w:szCs w:val="20"/>
          <w:lang w:val="es-ES"/>
        </w:rPr>
        <w:t>cumpl</w:t>
      </w:r>
      <w:r w:rsidR="009D254B">
        <w:rPr>
          <w:sz w:val="20"/>
          <w:szCs w:val="20"/>
          <w:lang w:val="es-ES"/>
        </w:rPr>
        <w:t>e</w:t>
      </w:r>
      <w:r w:rsidRPr="008F5418">
        <w:rPr>
          <w:sz w:val="20"/>
          <w:szCs w:val="20"/>
          <w:lang w:val="es-ES"/>
        </w:rPr>
        <w:t xml:space="preserve"> con el requisito de presentación</w:t>
      </w:r>
      <w:r w:rsidR="009D254B">
        <w:rPr>
          <w:sz w:val="20"/>
          <w:szCs w:val="20"/>
          <w:lang w:val="es-ES"/>
        </w:rPr>
        <w:t xml:space="preserve"> dentro</w:t>
      </w:r>
      <w:r w:rsidRPr="008F5418">
        <w:rPr>
          <w:sz w:val="20"/>
          <w:szCs w:val="20"/>
          <w:lang w:val="es-ES"/>
        </w:rPr>
        <w:t xml:space="preserve"> </w:t>
      </w:r>
      <w:r w:rsidR="009D254B" w:rsidRPr="008F5418">
        <w:rPr>
          <w:sz w:val="20"/>
          <w:szCs w:val="20"/>
          <w:lang w:val="es-ES"/>
        </w:rPr>
        <w:t>de</w:t>
      </w:r>
      <w:r w:rsidR="009D254B">
        <w:rPr>
          <w:sz w:val="20"/>
          <w:szCs w:val="20"/>
          <w:lang w:val="es-ES"/>
        </w:rPr>
        <w:t>l</w:t>
      </w:r>
      <w:r w:rsidR="009D254B" w:rsidRPr="008F5418">
        <w:rPr>
          <w:sz w:val="20"/>
          <w:szCs w:val="20"/>
          <w:lang w:val="es-ES"/>
        </w:rPr>
        <w:t xml:space="preserve"> plazo </w:t>
      </w:r>
      <w:r w:rsidRPr="008F5418">
        <w:rPr>
          <w:sz w:val="20"/>
          <w:szCs w:val="20"/>
          <w:lang w:val="es-ES"/>
        </w:rPr>
        <w:t xml:space="preserve">establecido en los artículos 46.1.b de la Convención </w:t>
      </w:r>
      <w:r w:rsidR="009D254B">
        <w:rPr>
          <w:sz w:val="20"/>
          <w:szCs w:val="20"/>
          <w:lang w:val="es-ES"/>
        </w:rPr>
        <w:t xml:space="preserve">Americana </w:t>
      </w:r>
      <w:r w:rsidRPr="008F5418">
        <w:rPr>
          <w:sz w:val="20"/>
          <w:szCs w:val="20"/>
          <w:lang w:val="es-ES"/>
        </w:rPr>
        <w:t>y 32.1 del Reglamento de la CIDH.</w:t>
      </w:r>
    </w:p>
    <w:p w14:paraId="05CDF627" w14:textId="77777777" w:rsidR="003239B8" w:rsidRPr="008F5418" w:rsidRDefault="003239B8" w:rsidP="003239B8">
      <w:pPr>
        <w:pStyle w:val="ListParagraph"/>
        <w:spacing w:before="240" w:after="240"/>
        <w:jc w:val="both"/>
        <w:rPr>
          <w:b/>
          <w:sz w:val="20"/>
          <w:szCs w:val="20"/>
          <w:lang w:val="es-ES"/>
        </w:rPr>
      </w:pPr>
      <w:r w:rsidRPr="008F5418">
        <w:rPr>
          <w:b/>
          <w:bCs/>
          <w:sz w:val="20"/>
          <w:szCs w:val="20"/>
          <w:lang w:val="es-ES"/>
        </w:rPr>
        <w:t>VII.</w:t>
      </w:r>
      <w:r w:rsidRPr="008F5418">
        <w:rPr>
          <w:b/>
          <w:bCs/>
          <w:sz w:val="20"/>
          <w:szCs w:val="20"/>
          <w:lang w:val="es-ES"/>
        </w:rPr>
        <w:tab/>
      </w:r>
      <w:r w:rsidR="004A6A54" w:rsidRPr="008F5418">
        <w:rPr>
          <w:b/>
          <w:bCs/>
          <w:sz w:val="20"/>
          <w:szCs w:val="20"/>
          <w:lang w:val="es-ES_tradnl"/>
        </w:rPr>
        <w:t xml:space="preserve">ANÁLISIS DE </w:t>
      </w:r>
      <w:r w:rsidR="00C21FEF" w:rsidRPr="008F5418">
        <w:rPr>
          <w:b/>
          <w:bCs/>
          <w:sz w:val="20"/>
          <w:szCs w:val="20"/>
          <w:lang w:val="es-ES"/>
        </w:rPr>
        <w:t xml:space="preserve">CARACTERIZACIÓN </w:t>
      </w:r>
      <w:r w:rsidR="00C21FEF" w:rsidRPr="008F5418">
        <w:rPr>
          <w:b/>
          <w:bCs/>
          <w:sz w:val="20"/>
          <w:szCs w:val="20"/>
          <w:lang w:val="es-UY"/>
        </w:rPr>
        <w:t>DE LOS HECHOS ALEGADOS</w:t>
      </w:r>
    </w:p>
    <w:p w14:paraId="4968F4CF" w14:textId="77777777" w:rsidR="00B1184B" w:rsidRPr="008F5418" w:rsidRDefault="00B765A6" w:rsidP="00AF24B3">
      <w:pPr>
        <w:pStyle w:val="ListParagraph"/>
        <w:numPr>
          <w:ilvl w:val="0"/>
          <w:numId w:val="59"/>
        </w:numPr>
        <w:spacing w:after="240"/>
        <w:jc w:val="both"/>
        <w:rPr>
          <w:color w:val="auto"/>
          <w:sz w:val="20"/>
          <w:szCs w:val="20"/>
          <w:lang w:val="es-ES"/>
        </w:rPr>
      </w:pPr>
      <w:r w:rsidRPr="008F5418">
        <w:rPr>
          <w:color w:val="auto"/>
          <w:sz w:val="20"/>
          <w:szCs w:val="20"/>
          <w:lang w:val="es-ES"/>
        </w:rPr>
        <w:t>La Comisión observa que la presente petición incluye alega</w:t>
      </w:r>
      <w:r w:rsidR="00A06656">
        <w:rPr>
          <w:color w:val="auto"/>
          <w:sz w:val="20"/>
          <w:szCs w:val="20"/>
          <w:lang w:val="es-ES"/>
        </w:rPr>
        <w:t>tos sobre</w:t>
      </w:r>
      <w:r w:rsidRPr="008F5418">
        <w:rPr>
          <w:color w:val="auto"/>
          <w:sz w:val="20"/>
          <w:szCs w:val="20"/>
          <w:lang w:val="es-ES"/>
        </w:rPr>
        <w:t xml:space="preserve"> falta de indemnización</w:t>
      </w:r>
      <w:r w:rsidR="00B1184B" w:rsidRPr="008F5418">
        <w:rPr>
          <w:color w:val="auto"/>
          <w:sz w:val="20"/>
          <w:szCs w:val="20"/>
          <w:lang w:val="es-ES"/>
        </w:rPr>
        <w:t>, acceso a la justicia y a los recursos internos</w:t>
      </w:r>
      <w:r w:rsidRPr="008F5418">
        <w:rPr>
          <w:color w:val="auto"/>
          <w:sz w:val="20"/>
          <w:szCs w:val="20"/>
          <w:lang w:val="es-ES"/>
        </w:rPr>
        <w:t xml:space="preserve"> a la presunta víctima por</w:t>
      </w:r>
      <w:r w:rsidR="00B1184B" w:rsidRPr="008F5418">
        <w:rPr>
          <w:color w:val="auto"/>
          <w:sz w:val="20"/>
          <w:szCs w:val="20"/>
          <w:lang w:val="es-ES"/>
        </w:rPr>
        <w:t xml:space="preserve"> la persecución que él y su pareja sufrieron durante la ultima dictadura cívico-militar de Argentina</w:t>
      </w:r>
      <w:r w:rsidR="00A06656">
        <w:rPr>
          <w:color w:val="auto"/>
          <w:sz w:val="20"/>
          <w:szCs w:val="20"/>
          <w:lang w:val="es-ES"/>
        </w:rPr>
        <w:t>,</w:t>
      </w:r>
      <w:r w:rsidR="00B1184B" w:rsidRPr="008F5418">
        <w:rPr>
          <w:color w:val="auto"/>
          <w:sz w:val="20"/>
          <w:szCs w:val="20"/>
          <w:lang w:val="es-ES"/>
        </w:rPr>
        <w:t xml:space="preserve"> y que </w:t>
      </w:r>
      <w:r w:rsidR="00A06656">
        <w:rPr>
          <w:color w:val="auto"/>
          <w:sz w:val="20"/>
          <w:szCs w:val="20"/>
          <w:lang w:val="es-ES"/>
        </w:rPr>
        <w:t xml:space="preserve">les </w:t>
      </w:r>
      <w:r w:rsidR="00B1184B" w:rsidRPr="008F5418">
        <w:rPr>
          <w:color w:val="auto"/>
          <w:sz w:val="20"/>
          <w:szCs w:val="20"/>
          <w:lang w:val="es-ES"/>
        </w:rPr>
        <w:t xml:space="preserve">impuso </w:t>
      </w:r>
      <w:r w:rsidR="00A06656">
        <w:rPr>
          <w:color w:val="auto"/>
          <w:sz w:val="20"/>
          <w:szCs w:val="20"/>
          <w:lang w:val="es-ES"/>
        </w:rPr>
        <w:t>el exilio</w:t>
      </w:r>
      <w:r w:rsidR="00B1184B" w:rsidRPr="008F5418">
        <w:rPr>
          <w:color w:val="auto"/>
          <w:sz w:val="20"/>
          <w:szCs w:val="20"/>
          <w:lang w:val="es-ES"/>
        </w:rPr>
        <w:t xml:space="preserve"> en España. </w:t>
      </w:r>
      <w:r w:rsidR="00A06656">
        <w:rPr>
          <w:color w:val="auto"/>
          <w:sz w:val="20"/>
          <w:szCs w:val="20"/>
          <w:lang w:val="es-ES"/>
        </w:rPr>
        <w:t xml:space="preserve">Asimismo, </w:t>
      </w:r>
      <w:r w:rsidR="00B1184B" w:rsidRPr="008F5418">
        <w:rPr>
          <w:color w:val="auto"/>
          <w:sz w:val="20"/>
          <w:szCs w:val="20"/>
          <w:lang w:val="es-ES"/>
        </w:rPr>
        <w:t>la presunta víctima no obtuvo dicha indemnización pues la Corte Suprema de Justicia de la Nación</w:t>
      </w:r>
      <w:r w:rsidR="00A06656">
        <w:rPr>
          <w:color w:val="auto"/>
          <w:sz w:val="20"/>
          <w:szCs w:val="20"/>
          <w:lang w:val="es-ES"/>
        </w:rPr>
        <w:t xml:space="preserve"> consideró que</w:t>
      </w:r>
      <w:r w:rsidR="00B1184B" w:rsidRPr="008F5418">
        <w:rPr>
          <w:color w:val="auto"/>
          <w:sz w:val="20"/>
          <w:szCs w:val="20"/>
          <w:lang w:val="es-ES"/>
        </w:rPr>
        <w:t xml:space="preserve"> la situación de “exilio” no estaría prevista en la Ley </w:t>
      </w:r>
      <w:r w:rsidR="00D06749" w:rsidRPr="008F5418">
        <w:rPr>
          <w:color w:val="auto"/>
          <w:sz w:val="20"/>
          <w:szCs w:val="20"/>
          <w:lang w:val="es-ES"/>
        </w:rPr>
        <w:t>N</w:t>
      </w:r>
      <w:r w:rsidR="00B1184B" w:rsidRPr="008F5418">
        <w:rPr>
          <w:color w:val="auto"/>
          <w:sz w:val="20"/>
          <w:szCs w:val="20"/>
          <w:lang w:val="es-ES"/>
        </w:rPr>
        <w:t xml:space="preserve">o. 24.043. </w:t>
      </w:r>
    </w:p>
    <w:p w14:paraId="27C97223" w14:textId="77777777" w:rsidR="008F5418" w:rsidRPr="008F5418" w:rsidRDefault="00B765A6" w:rsidP="00AF24B3">
      <w:pPr>
        <w:pStyle w:val="ListParagraph"/>
        <w:numPr>
          <w:ilvl w:val="0"/>
          <w:numId w:val="59"/>
        </w:numPr>
        <w:spacing w:after="240"/>
        <w:jc w:val="both"/>
        <w:rPr>
          <w:color w:val="auto"/>
          <w:sz w:val="20"/>
          <w:szCs w:val="20"/>
          <w:lang w:val="es-ES"/>
        </w:rPr>
      </w:pPr>
      <w:r w:rsidRPr="008F5418">
        <w:rPr>
          <w:color w:val="auto"/>
          <w:sz w:val="20"/>
          <w:szCs w:val="20"/>
          <w:lang w:val="es-ES"/>
        </w:rPr>
        <w:t xml:space="preserve">Respecto a las acciones civiles de reparación por crímenes </w:t>
      </w:r>
      <w:r w:rsidR="00B1184B" w:rsidRPr="008F5418">
        <w:rPr>
          <w:color w:val="auto"/>
          <w:sz w:val="20"/>
          <w:szCs w:val="20"/>
          <w:lang w:val="es-ES"/>
        </w:rPr>
        <w:t xml:space="preserve">ocurridos en la ultima dictadura cívico-militar </w:t>
      </w:r>
      <w:r w:rsidR="00A06656">
        <w:rPr>
          <w:color w:val="auto"/>
          <w:sz w:val="20"/>
          <w:szCs w:val="20"/>
          <w:lang w:val="es-ES"/>
        </w:rPr>
        <w:t>--</w:t>
      </w:r>
      <w:r w:rsidRPr="008F5418">
        <w:rPr>
          <w:color w:val="auto"/>
          <w:sz w:val="20"/>
          <w:szCs w:val="20"/>
          <w:lang w:val="es-ES"/>
        </w:rPr>
        <w:t xml:space="preserve">como </w:t>
      </w:r>
      <w:r w:rsidR="00A06656">
        <w:rPr>
          <w:color w:val="auto"/>
          <w:sz w:val="20"/>
          <w:szCs w:val="20"/>
          <w:lang w:val="es-ES"/>
        </w:rPr>
        <w:t>la planteada en los hechos d</w:t>
      </w:r>
      <w:r w:rsidRPr="008F5418">
        <w:rPr>
          <w:color w:val="auto"/>
          <w:sz w:val="20"/>
          <w:szCs w:val="20"/>
          <w:lang w:val="es-ES"/>
        </w:rPr>
        <w:t>e la presente petición</w:t>
      </w:r>
      <w:r w:rsidR="00A06656">
        <w:rPr>
          <w:color w:val="auto"/>
          <w:sz w:val="20"/>
          <w:szCs w:val="20"/>
          <w:lang w:val="es-ES"/>
        </w:rPr>
        <w:t>--</w:t>
      </w:r>
      <w:r w:rsidRPr="008F5418">
        <w:rPr>
          <w:color w:val="auto"/>
          <w:sz w:val="20"/>
          <w:szCs w:val="20"/>
          <w:lang w:val="es-ES"/>
        </w:rPr>
        <w:t xml:space="preserve"> la Comisión </w:t>
      </w:r>
      <w:r w:rsidR="00B1184B" w:rsidRPr="008F5418">
        <w:rPr>
          <w:color w:val="auto"/>
          <w:sz w:val="20"/>
          <w:szCs w:val="20"/>
          <w:lang w:val="es-ES"/>
        </w:rPr>
        <w:t xml:space="preserve">ha establecido que </w:t>
      </w:r>
      <w:r w:rsidR="00D06749" w:rsidRPr="008F5418">
        <w:rPr>
          <w:color w:val="auto"/>
          <w:sz w:val="20"/>
          <w:szCs w:val="20"/>
          <w:lang w:val="es-ES"/>
        </w:rPr>
        <w:t xml:space="preserve">la Ley No. 24.043 no tiene por efecto establecer un derecho sustantivo a indemnización, sino que regula un procedimiento especial que se aplica </w:t>
      </w:r>
      <w:r w:rsidR="00A06656">
        <w:rPr>
          <w:color w:val="auto"/>
          <w:sz w:val="20"/>
          <w:szCs w:val="20"/>
          <w:lang w:val="es-ES"/>
        </w:rPr>
        <w:t>par</w:t>
      </w:r>
      <w:r w:rsidR="00D06749" w:rsidRPr="008F5418">
        <w:rPr>
          <w:color w:val="auto"/>
          <w:sz w:val="20"/>
          <w:szCs w:val="20"/>
          <w:lang w:val="es-ES"/>
        </w:rPr>
        <w:t>a determina</w:t>
      </w:r>
      <w:r w:rsidR="00A06656">
        <w:rPr>
          <w:color w:val="auto"/>
          <w:sz w:val="20"/>
          <w:szCs w:val="20"/>
          <w:lang w:val="es-ES"/>
        </w:rPr>
        <w:t>r</w:t>
      </w:r>
      <w:r w:rsidR="00D06749" w:rsidRPr="008F5418">
        <w:rPr>
          <w:color w:val="auto"/>
          <w:sz w:val="20"/>
          <w:szCs w:val="20"/>
          <w:lang w:val="es-ES"/>
        </w:rPr>
        <w:t xml:space="preserve"> la indemnización, su monto y forma de pago</w:t>
      </w:r>
      <w:r w:rsidR="00A06656">
        <w:rPr>
          <w:color w:val="auto"/>
          <w:sz w:val="20"/>
          <w:szCs w:val="20"/>
          <w:lang w:val="es-ES"/>
        </w:rPr>
        <w:t>;</w:t>
      </w:r>
      <w:r w:rsidR="00D06749" w:rsidRPr="008F5418">
        <w:rPr>
          <w:color w:val="auto"/>
          <w:sz w:val="20"/>
          <w:szCs w:val="20"/>
          <w:lang w:val="es-ES"/>
        </w:rPr>
        <w:t xml:space="preserve"> </w:t>
      </w:r>
      <w:r w:rsidR="00A06656">
        <w:rPr>
          <w:color w:val="auto"/>
          <w:sz w:val="20"/>
          <w:szCs w:val="20"/>
          <w:lang w:val="es-ES"/>
        </w:rPr>
        <w:t xml:space="preserve">sin embargo, ha </w:t>
      </w:r>
      <w:r w:rsidR="00D06749" w:rsidRPr="008F5418">
        <w:rPr>
          <w:color w:val="auto"/>
          <w:sz w:val="20"/>
          <w:szCs w:val="20"/>
          <w:lang w:val="es-ES"/>
        </w:rPr>
        <w:t>reconoci</w:t>
      </w:r>
      <w:r w:rsidR="00A06656">
        <w:rPr>
          <w:color w:val="auto"/>
          <w:sz w:val="20"/>
          <w:szCs w:val="20"/>
          <w:lang w:val="es-ES"/>
        </w:rPr>
        <w:t>do</w:t>
      </w:r>
      <w:r w:rsidR="00D06749" w:rsidRPr="008F5418">
        <w:rPr>
          <w:color w:val="auto"/>
          <w:sz w:val="20"/>
          <w:szCs w:val="20"/>
          <w:lang w:val="es-ES"/>
        </w:rPr>
        <w:t xml:space="preserve"> que algunos casos escapan al esquema de previsión de supuestos reparables </w:t>
      </w:r>
      <w:r w:rsidR="008F5418" w:rsidRPr="008F5418">
        <w:rPr>
          <w:color w:val="auto"/>
          <w:sz w:val="20"/>
          <w:szCs w:val="20"/>
          <w:lang w:val="es-ES"/>
        </w:rPr>
        <w:t xml:space="preserve">por vía de la </w:t>
      </w:r>
      <w:r w:rsidR="00A06656">
        <w:rPr>
          <w:color w:val="auto"/>
          <w:sz w:val="20"/>
          <w:szCs w:val="20"/>
          <w:lang w:val="es-ES"/>
        </w:rPr>
        <w:t>referida ley</w:t>
      </w:r>
      <w:r w:rsidR="008F5418" w:rsidRPr="008F5418">
        <w:rPr>
          <w:color w:val="auto"/>
          <w:sz w:val="20"/>
          <w:szCs w:val="20"/>
          <w:lang w:val="es-ES"/>
        </w:rPr>
        <w:t>.</w:t>
      </w:r>
      <w:r w:rsidRPr="008F5418">
        <w:rPr>
          <w:rStyle w:val="FootnoteReference"/>
          <w:color w:val="auto"/>
          <w:sz w:val="20"/>
          <w:szCs w:val="20"/>
          <w:lang w:val="es-ES"/>
        </w:rPr>
        <w:footnoteReference w:id="5"/>
      </w:r>
      <w:r w:rsidRPr="008F5418">
        <w:rPr>
          <w:sz w:val="20"/>
          <w:szCs w:val="20"/>
          <w:lang w:val="es-ES"/>
        </w:rPr>
        <w:t xml:space="preserve"> </w:t>
      </w:r>
      <w:r w:rsidR="008F5418" w:rsidRPr="008F5418">
        <w:rPr>
          <w:color w:val="auto"/>
          <w:sz w:val="20"/>
          <w:szCs w:val="20"/>
          <w:lang w:val="es-ES"/>
        </w:rPr>
        <w:t xml:space="preserve">Respeto a los casos de exilio, la CIDH toma nota que la Corte Suprema de Justicia </w:t>
      </w:r>
      <w:r w:rsidR="00A06656">
        <w:rPr>
          <w:color w:val="auto"/>
          <w:sz w:val="20"/>
          <w:szCs w:val="20"/>
          <w:lang w:val="es-ES"/>
        </w:rPr>
        <w:t xml:space="preserve">de Argentina </w:t>
      </w:r>
      <w:r w:rsidR="008F5418" w:rsidRPr="008F5418">
        <w:rPr>
          <w:color w:val="auto"/>
          <w:sz w:val="20"/>
          <w:szCs w:val="20"/>
          <w:lang w:val="es-ES"/>
        </w:rPr>
        <w:t xml:space="preserve">reconoció el 8 de octubre de 2019 en el fallo </w:t>
      </w:r>
      <w:r w:rsidR="00A06656">
        <w:rPr>
          <w:color w:val="auto"/>
          <w:sz w:val="20"/>
          <w:szCs w:val="20"/>
          <w:lang w:val="es-ES"/>
        </w:rPr>
        <w:t>“</w:t>
      </w:r>
      <w:r w:rsidR="008F5418" w:rsidRPr="008F5418">
        <w:rPr>
          <w:color w:val="auto"/>
          <w:sz w:val="20"/>
          <w:szCs w:val="20"/>
          <w:lang w:val="es-ES"/>
        </w:rPr>
        <w:t>Fernández, María Cristina c/ EN</w:t>
      </w:r>
      <w:r w:rsidR="00A06656">
        <w:rPr>
          <w:color w:val="auto"/>
          <w:sz w:val="20"/>
          <w:szCs w:val="20"/>
          <w:lang w:val="es-ES"/>
        </w:rPr>
        <w:t>”</w:t>
      </w:r>
      <w:r w:rsidR="008F5418" w:rsidRPr="008F5418">
        <w:rPr>
          <w:color w:val="auto"/>
          <w:sz w:val="20"/>
          <w:szCs w:val="20"/>
          <w:lang w:val="es-ES"/>
        </w:rPr>
        <w:t xml:space="preserve">, que los exilados durante la pasada dictadura </w:t>
      </w:r>
      <w:r w:rsidR="00A06656">
        <w:rPr>
          <w:color w:val="auto"/>
          <w:sz w:val="20"/>
          <w:szCs w:val="20"/>
          <w:lang w:val="es-ES"/>
        </w:rPr>
        <w:t xml:space="preserve">deben obtener </w:t>
      </w:r>
      <w:r w:rsidR="008F5418" w:rsidRPr="008F5418">
        <w:rPr>
          <w:color w:val="auto"/>
          <w:sz w:val="20"/>
          <w:szCs w:val="20"/>
          <w:lang w:val="es-ES"/>
        </w:rPr>
        <w:t xml:space="preserve">igual indemnización que los detenidos en los términos de la Ley No 24.043. </w:t>
      </w:r>
      <w:r w:rsidRPr="008F5418">
        <w:rPr>
          <w:sz w:val="20"/>
          <w:szCs w:val="20"/>
          <w:lang w:val="es-ES"/>
        </w:rPr>
        <w:t>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w:t>
      </w:r>
      <w:r w:rsidR="00A06656">
        <w:rPr>
          <w:sz w:val="20"/>
          <w:szCs w:val="20"/>
          <w:lang w:val="es-ES"/>
        </w:rPr>
        <w:t>;</w:t>
      </w:r>
      <w:r w:rsidR="008F5418" w:rsidRPr="008F5418">
        <w:rPr>
          <w:sz w:val="20"/>
          <w:szCs w:val="20"/>
          <w:lang w:val="es-ES"/>
        </w:rPr>
        <w:t xml:space="preserve"> y si </w:t>
      </w:r>
      <w:r w:rsidR="00A06656">
        <w:rPr>
          <w:sz w:val="20"/>
          <w:szCs w:val="20"/>
          <w:lang w:val="es-ES"/>
        </w:rPr>
        <w:t>se cometió</w:t>
      </w:r>
      <w:r w:rsidR="008F5418" w:rsidRPr="008F5418">
        <w:rPr>
          <w:sz w:val="20"/>
          <w:szCs w:val="20"/>
          <w:lang w:val="es-ES"/>
        </w:rPr>
        <w:t xml:space="preserve"> una violación </w:t>
      </w:r>
      <w:r w:rsidR="00A06656">
        <w:rPr>
          <w:sz w:val="20"/>
          <w:szCs w:val="20"/>
          <w:lang w:val="es-ES"/>
        </w:rPr>
        <w:t>de</w:t>
      </w:r>
      <w:r w:rsidR="008F5418" w:rsidRPr="008F5418">
        <w:rPr>
          <w:sz w:val="20"/>
          <w:szCs w:val="20"/>
          <w:lang w:val="es-ES"/>
        </w:rPr>
        <w:t xml:space="preserve">l derecho a la igualdad y no discriminación en los casos </w:t>
      </w:r>
      <w:r w:rsidR="008F5418" w:rsidRPr="008F5418">
        <w:rPr>
          <w:color w:val="auto"/>
          <w:sz w:val="20"/>
          <w:szCs w:val="20"/>
          <w:lang w:val="es-ES"/>
        </w:rPr>
        <w:t xml:space="preserve">que escapan al esquema de previsión de supuestos reparables por vía de la Ley No. 24.043. </w:t>
      </w:r>
    </w:p>
    <w:p w14:paraId="1FB9CB63" w14:textId="77777777" w:rsidR="00B765A6" w:rsidRPr="008F5418" w:rsidRDefault="00B765A6" w:rsidP="00AF24B3">
      <w:pPr>
        <w:pStyle w:val="ListParagraph"/>
        <w:numPr>
          <w:ilvl w:val="0"/>
          <w:numId w:val="59"/>
        </w:numPr>
        <w:spacing w:after="240"/>
        <w:jc w:val="both"/>
        <w:rPr>
          <w:color w:val="auto"/>
          <w:sz w:val="20"/>
          <w:szCs w:val="20"/>
          <w:lang w:val="es-ES"/>
        </w:rPr>
      </w:pPr>
      <w:r w:rsidRPr="008F5418">
        <w:rPr>
          <w:color w:val="auto"/>
          <w:sz w:val="20"/>
          <w:szCs w:val="20"/>
          <w:lang w:val="es-ES"/>
        </w:rPr>
        <w:t>Teniendo en cuenta lo anterior, la CIDH considera que los alegatos de la parte peticionaria no resultan manifiestamente infundad</w:t>
      </w:r>
      <w:r w:rsidR="00A06656">
        <w:rPr>
          <w:color w:val="auto"/>
          <w:sz w:val="20"/>
          <w:szCs w:val="20"/>
          <w:lang w:val="es-ES"/>
        </w:rPr>
        <w:t>os</w:t>
      </w:r>
      <w:r w:rsidRPr="008F5418">
        <w:rPr>
          <w:color w:val="auto"/>
          <w:sz w:val="20"/>
          <w:szCs w:val="20"/>
          <w:lang w:val="es-ES"/>
        </w:rPr>
        <w:t xml:space="preserve"> y requieren </w:t>
      </w:r>
      <w:r w:rsidR="00A06656">
        <w:rPr>
          <w:color w:val="auto"/>
          <w:sz w:val="20"/>
          <w:szCs w:val="20"/>
          <w:lang w:val="es-ES"/>
        </w:rPr>
        <w:t xml:space="preserve">de </w:t>
      </w:r>
      <w:r w:rsidRPr="008F5418">
        <w:rPr>
          <w:color w:val="auto"/>
          <w:sz w:val="20"/>
          <w:szCs w:val="20"/>
          <w:lang w:val="es-ES"/>
        </w:rPr>
        <w:t>un estudio de fondo pues los hechos alegados, de corroborarse como ciertos podrían caracterizar violaciones a los artículos 8 (garantías judiciales)</w:t>
      </w:r>
      <w:r w:rsidR="008F5418" w:rsidRPr="008F5418">
        <w:rPr>
          <w:color w:val="auto"/>
          <w:sz w:val="20"/>
          <w:szCs w:val="20"/>
          <w:lang w:val="es-ES"/>
        </w:rPr>
        <w:t>, 24 (igualdad ante la ley</w:t>
      </w:r>
      <w:r w:rsidR="00A06656">
        <w:rPr>
          <w:color w:val="auto"/>
          <w:sz w:val="20"/>
          <w:szCs w:val="20"/>
          <w:lang w:val="es-ES"/>
        </w:rPr>
        <w:t>)</w:t>
      </w:r>
      <w:r w:rsidRPr="008F5418">
        <w:rPr>
          <w:color w:val="auto"/>
          <w:sz w:val="20"/>
          <w:szCs w:val="20"/>
          <w:lang w:val="es-ES"/>
        </w:rPr>
        <w:t xml:space="preserve"> y 25 (protección judicial) de la Convención Americana, en relación con sus artículos 1.1 (obligación de respetar los derechos) y 2 (deber de adoptar disposiciones de derecho interno), en concordancia con otros casos similares ya decididos por la CIDH</w:t>
      </w:r>
      <w:r w:rsidR="008F5418" w:rsidRPr="008F5418">
        <w:rPr>
          <w:color w:val="auto"/>
          <w:sz w:val="20"/>
          <w:szCs w:val="20"/>
          <w:lang w:val="es-ES"/>
        </w:rPr>
        <w:t>.</w:t>
      </w:r>
      <w:r w:rsidR="008F5418" w:rsidRPr="008F5418">
        <w:rPr>
          <w:rStyle w:val="FootnoteReference"/>
          <w:color w:val="auto"/>
          <w:sz w:val="20"/>
          <w:szCs w:val="20"/>
          <w:lang w:val="es-ES"/>
        </w:rPr>
        <w:footnoteReference w:id="6"/>
      </w:r>
      <w:r w:rsidRPr="008F5418">
        <w:rPr>
          <w:color w:val="auto"/>
          <w:sz w:val="20"/>
          <w:szCs w:val="20"/>
          <w:lang w:val="es-ES"/>
        </w:rPr>
        <w:t xml:space="preserve"> </w:t>
      </w:r>
      <w:r w:rsidR="00A06656">
        <w:rPr>
          <w:color w:val="auto"/>
          <w:sz w:val="20"/>
          <w:szCs w:val="20"/>
          <w:lang w:val="es-ES"/>
        </w:rPr>
        <w:t>Lo anterior surge</w:t>
      </w:r>
      <w:r w:rsidR="009D163F" w:rsidRPr="00A74F50">
        <w:rPr>
          <w:sz w:val="20"/>
          <w:szCs w:val="20"/>
          <w:lang w:val="es-ES"/>
        </w:rPr>
        <w:t xml:space="preserve"> de hechos previos presuntamente cometidos entre finales de </w:t>
      </w:r>
      <w:r w:rsidR="00A06656">
        <w:rPr>
          <w:sz w:val="20"/>
          <w:szCs w:val="20"/>
          <w:lang w:val="es-ES"/>
        </w:rPr>
        <w:t>la década de</w:t>
      </w:r>
      <w:r w:rsidR="009D163F" w:rsidRPr="00A74F50">
        <w:rPr>
          <w:sz w:val="20"/>
          <w:szCs w:val="20"/>
          <w:lang w:val="es-ES"/>
        </w:rPr>
        <w:t xml:space="preserve">l </w:t>
      </w:r>
      <w:r w:rsidR="00A06656">
        <w:rPr>
          <w:sz w:val="20"/>
          <w:szCs w:val="20"/>
          <w:lang w:val="es-ES"/>
        </w:rPr>
        <w:t>´</w:t>
      </w:r>
      <w:r w:rsidR="009D163F" w:rsidRPr="00A74F50">
        <w:rPr>
          <w:sz w:val="20"/>
          <w:szCs w:val="20"/>
          <w:lang w:val="es-ES"/>
        </w:rPr>
        <w:t xml:space="preserve">70 y principios de los </w:t>
      </w:r>
      <w:r w:rsidR="00A06656">
        <w:rPr>
          <w:sz w:val="20"/>
          <w:szCs w:val="20"/>
          <w:lang w:val="es-ES"/>
        </w:rPr>
        <w:t>´</w:t>
      </w:r>
      <w:r w:rsidR="009D163F" w:rsidRPr="00A74F50">
        <w:rPr>
          <w:sz w:val="20"/>
          <w:szCs w:val="20"/>
          <w:lang w:val="es-ES"/>
        </w:rPr>
        <w:t xml:space="preserve">80, que la </w:t>
      </w:r>
      <w:r w:rsidR="00A06656">
        <w:rPr>
          <w:sz w:val="20"/>
          <w:szCs w:val="20"/>
          <w:lang w:val="es-ES"/>
        </w:rPr>
        <w:t xml:space="preserve">parte </w:t>
      </w:r>
      <w:r w:rsidR="009D163F" w:rsidRPr="00A74F50">
        <w:rPr>
          <w:sz w:val="20"/>
          <w:szCs w:val="20"/>
          <w:lang w:val="es-ES"/>
        </w:rPr>
        <w:t xml:space="preserve">peticionaria presenta como información de contexto </w:t>
      </w:r>
      <w:r w:rsidR="00A06656">
        <w:rPr>
          <w:sz w:val="20"/>
          <w:szCs w:val="20"/>
          <w:lang w:val="es-ES"/>
        </w:rPr>
        <w:t>de</w:t>
      </w:r>
      <w:r w:rsidR="009D163F" w:rsidRPr="00A74F50">
        <w:rPr>
          <w:sz w:val="20"/>
          <w:szCs w:val="20"/>
          <w:lang w:val="es-ES"/>
        </w:rPr>
        <w:t xml:space="preserve"> sus reclamos principales. Estos hechos serán valorados, en la medida de lo conducente, en la etapa de fondo de la presente petición.</w:t>
      </w:r>
    </w:p>
    <w:p w14:paraId="16B4C060" w14:textId="77777777" w:rsidR="00B765A6" w:rsidRPr="008F5418" w:rsidRDefault="00B765A6" w:rsidP="00AF2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419"/>
        </w:rPr>
      </w:pPr>
      <w:r w:rsidRPr="008F5418">
        <w:rPr>
          <w:rFonts w:ascii="Cambria" w:hAnsi="Cambria"/>
          <w:sz w:val="20"/>
          <w:szCs w:val="20"/>
          <w:lang w:val="es-419"/>
        </w:rPr>
        <w:t>Por otro lado, la Comisión toma nota del reclamo del Estado sobre la extemporaneidad en el traslado de la petición y señala al respecto que ni la Convención Americana ni el Reglamento de la C</w:t>
      </w:r>
      <w:r w:rsidR="00A06656">
        <w:rPr>
          <w:rFonts w:ascii="Cambria" w:hAnsi="Cambria"/>
          <w:sz w:val="20"/>
          <w:szCs w:val="20"/>
          <w:lang w:val="es-419"/>
        </w:rPr>
        <w:t>IDH</w:t>
      </w:r>
      <w:r w:rsidRPr="008F5418">
        <w:rPr>
          <w:rFonts w:ascii="Cambria" w:hAnsi="Cambria"/>
          <w:sz w:val="20"/>
          <w:szCs w:val="20"/>
          <w:lang w:val="es-419"/>
        </w:rPr>
        <w:t xml:space="preserve"> establecen un plazo para el traslado de una petición al Estado a partir de su recepción</w:t>
      </w:r>
      <w:r w:rsidR="00A06656">
        <w:rPr>
          <w:rFonts w:ascii="Cambria" w:hAnsi="Cambria"/>
          <w:sz w:val="20"/>
          <w:szCs w:val="20"/>
          <w:lang w:val="es-419"/>
        </w:rPr>
        <w:t>;</w:t>
      </w:r>
      <w:r w:rsidRPr="008F5418">
        <w:rPr>
          <w:rFonts w:ascii="Cambria" w:hAnsi="Cambria"/>
          <w:sz w:val="20"/>
          <w:szCs w:val="20"/>
          <w:lang w:val="es-419"/>
        </w:rPr>
        <w:t xml:space="preserve"> y que los plazos establecidos en </w:t>
      </w:r>
      <w:r w:rsidR="00A06656">
        <w:rPr>
          <w:rFonts w:ascii="Cambria" w:hAnsi="Cambria"/>
          <w:sz w:val="20"/>
          <w:szCs w:val="20"/>
          <w:lang w:val="es-419"/>
        </w:rPr>
        <w:t>ambos instrumentos</w:t>
      </w:r>
      <w:r w:rsidRPr="008F5418">
        <w:rPr>
          <w:rFonts w:ascii="Cambria" w:hAnsi="Cambria"/>
          <w:sz w:val="20"/>
          <w:szCs w:val="20"/>
          <w:lang w:val="es-419"/>
        </w:rPr>
        <w:t xml:space="preserve"> para otras etapas del trámite no son aplicables por analogía.</w:t>
      </w:r>
      <w:r w:rsidRPr="008F5418">
        <w:rPr>
          <w:rStyle w:val="FootnoteReference"/>
          <w:rFonts w:ascii="Cambria" w:hAnsi="Cambria"/>
          <w:sz w:val="20"/>
          <w:szCs w:val="20"/>
          <w:lang w:val="es-419"/>
        </w:rPr>
        <w:footnoteReference w:id="7"/>
      </w:r>
    </w:p>
    <w:p w14:paraId="0197AD13" w14:textId="77777777" w:rsidR="003239B8" w:rsidRPr="008F5418" w:rsidRDefault="003239B8" w:rsidP="003239B8">
      <w:pPr>
        <w:pStyle w:val="ListParagraph"/>
        <w:spacing w:before="240" w:after="240"/>
        <w:jc w:val="both"/>
        <w:rPr>
          <w:b/>
          <w:bCs/>
          <w:sz w:val="20"/>
          <w:szCs w:val="20"/>
          <w:lang w:val="es-ES"/>
        </w:rPr>
      </w:pPr>
      <w:r w:rsidRPr="008F5418">
        <w:rPr>
          <w:b/>
          <w:bCs/>
          <w:sz w:val="20"/>
          <w:szCs w:val="20"/>
          <w:lang w:val="es-ES"/>
        </w:rPr>
        <w:t xml:space="preserve">VIII. </w:t>
      </w:r>
      <w:r w:rsidRPr="008F5418">
        <w:rPr>
          <w:b/>
          <w:bCs/>
          <w:sz w:val="20"/>
          <w:szCs w:val="20"/>
          <w:lang w:val="es-ES"/>
        </w:rPr>
        <w:tab/>
        <w:t>DECISIÓN</w:t>
      </w:r>
    </w:p>
    <w:p w14:paraId="32D76514" w14:textId="77777777" w:rsidR="003239B8" w:rsidRPr="008F5418" w:rsidRDefault="003239B8" w:rsidP="00AF24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8F5418">
        <w:rPr>
          <w:rFonts w:ascii="Cambria" w:hAnsi="Cambria"/>
          <w:sz w:val="20"/>
          <w:szCs w:val="20"/>
          <w:lang w:val="es-ES"/>
        </w:rPr>
        <w:t xml:space="preserve">Declarar admisible la presente petición en relación con </w:t>
      </w:r>
      <w:r w:rsidR="008F5418" w:rsidRPr="008F5418">
        <w:rPr>
          <w:rFonts w:ascii="Cambria" w:hAnsi="Cambria"/>
          <w:sz w:val="20"/>
          <w:szCs w:val="20"/>
          <w:lang w:val="es-ES"/>
        </w:rPr>
        <w:t>los artículos 8 (garantías judiciales), 24 (igualdad ante la ley</w:t>
      </w:r>
      <w:r w:rsidR="005C2104">
        <w:rPr>
          <w:rFonts w:ascii="Cambria" w:hAnsi="Cambria"/>
          <w:sz w:val="20"/>
          <w:szCs w:val="20"/>
          <w:lang w:val="es-ES"/>
        </w:rPr>
        <w:t>)</w:t>
      </w:r>
      <w:r w:rsidR="008F5418" w:rsidRPr="008F5418">
        <w:rPr>
          <w:rFonts w:ascii="Cambria" w:hAnsi="Cambria"/>
          <w:sz w:val="20"/>
          <w:szCs w:val="20"/>
          <w:lang w:val="es-ES"/>
        </w:rPr>
        <w:t xml:space="preserve"> y 25 (protección judicial) de la Convención Americana, en relación con sus artículos </w:t>
      </w:r>
      <w:r w:rsidR="008F5418" w:rsidRPr="008F5418">
        <w:rPr>
          <w:rFonts w:ascii="Cambria" w:hAnsi="Cambria"/>
          <w:sz w:val="20"/>
          <w:szCs w:val="20"/>
          <w:lang w:val="es-ES"/>
        </w:rPr>
        <w:lastRenderedPageBreak/>
        <w:t>1.1 (obligación de respetar los derechos) y 2 (deber de adoptar disposiciones de derecho interno) del mismo instrumento</w:t>
      </w:r>
      <w:r w:rsidR="00A758AA" w:rsidRPr="008F5418">
        <w:rPr>
          <w:rFonts w:ascii="Cambria" w:hAnsi="Cambria"/>
          <w:sz w:val="20"/>
          <w:szCs w:val="20"/>
          <w:lang w:val="es-ES"/>
        </w:rPr>
        <w:t>;</w:t>
      </w:r>
      <w:r w:rsidR="007B76D3" w:rsidRPr="008F5418">
        <w:rPr>
          <w:rFonts w:ascii="Cambria" w:hAnsi="Cambria"/>
          <w:sz w:val="20"/>
          <w:szCs w:val="20"/>
          <w:lang w:val="es-ES"/>
        </w:rPr>
        <w:t xml:space="preserve"> y</w:t>
      </w:r>
    </w:p>
    <w:p w14:paraId="161126FA" w14:textId="77777777" w:rsidR="008D768D" w:rsidRPr="008F5418" w:rsidRDefault="004A6A54" w:rsidP="00AF24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8F5418">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44D5B5F" w14:textId="50A5BD02" w:rsidR="00C87C29" w:rsidRPr="00A37B82" w:rsidRDefault="00C87C29" w:rsidP="00AF24B3">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p>
    <w:p w14:paraId="12BC506C" w14:textId="77777777" w:rsidR="00C87C29" w:rsidRDefault="00C87C29" w:rsidP="00C87C29">
      <w:pPr>
        <w:ind w:firstLine="720"/>
        <w:jc w:val="both"/>
        <w:rPr>
          <w:rFonts w:ascii="Cambria" w:hAnsi="Cambria" w:cs="Arial"/>
          <w:noProof/>
          <w:sz w:val="20"/>
          <w:szCs w:val="20"/>
          <w:lang w:val="es-CL"/>
        </w:rPr>
      </w:pPr>
    </w:p>
    <w:sectPr w:rsidR="00C87C2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58313" w14:textId="77777777" w:rsidR="00461A57" w:rsidRDefault="00461A57">
      <w:r>
        <w:separator/>
      </w:r>
    </w:p>
  </w:endnote>
  <w:endnote w:type="continuationSeparator" w:id="0">
    <w:p w14:paraId="2B4A11F8" w14:textId="77777777" w:rsidR="00461A57" w:rsidRDefault="0046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C9CB" w14:textId="77777777" w:rsidR="009742AE" w:rsidRDefault="00974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7E53933" w14:textId="77777777" w:rsidR="008F5418" w:rsidRPr="00934A2C" w:rsidRDefault="008F541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742AE">
          <w:rPr>
            <w:noProof/>
            <w:sz w:val="16"/>
            <w:szCs w:val="22"/>
          </w:rPr>
          <w:t>4</w:t>
        </w:r>
        <w:r w:rsidRPr="00934A2C">
          <w:rPr>
            <w:noProof/>
            <w:sz w:val="16"/>
            <w:szCs w:val="22"/>
          </w:rPr>
          <w:fldChar w:fldCharType="end"/>
        </w:r>
      </w:p>
    </w:sdtContent>
  </w:sdt>
  <w:p w14:paraId="6FD02308" w14:textId="77777777" w:rsidR="008F5418" w:rsidRDefault="008F5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1B84" w14:textId="77777777" w:rsidR="008F5418" w:rsidRPr="00934A2C" w:rsidRDefault="008F5418">
    <w:pPr>
      <w:pStyle w:val="Footer"/>
      <w:jc w:val="center"/>
      <w:rPr>
        <w:sz w:val="16"/>
        <w:szCs w:val="22"/>
      </w:rPr>
    </w:pPr>
  </w:p>
  <w:p w14:paraId="1CDD603C" w14:textId="77777777" w:rsidR="008F5418" w:rsidRDefault="008F5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6AA0" w14:textId="77777777" w:rsidR="00461A57" w:rsidRPr="000F35ED" w:rsidRDefault="00461A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93FA51" w14:textId="77777777" w:rsidR="00461A57" w:rsidRPr="000F35ED" w:rsidRDefault="00461A57" w:rsidP="000F35ED">
      <w:pPr>
        <w:rPr>
          <w:rFonts w:asciiTheme="majorHAnsi" w:hAnsiTheme="majorHAnsi"/>
          <w:sz w:val="16"/>
          <w:szCs w:val="16"/>
        </w:rPr>
      </w:pPr>
      <w:r w:rsidRPr="000F35ED">
        <w:rPr>
          <w:rFonts w:asciiTheme="majorHAnsi" w:hAnsiTheme="majorHAnsi"/>
          <w:sz w:val="16"/>
          <w:szCs w:val="16"/>
        </w:rPr>
        <w:separator/>
      </w:r>
    </w:p>
    <w:p w14:paraId="65F6C0CD" w14:textId="77777777" w:rsidR="00461A57" w:rsidRPr="000F35ED" w:rsidRDefault="00461A5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48A85D" w14:textId="77777777" w:rsidR="00461A57" w:rsidRPr="000F35ED" w:rsidRDefault="00461A5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A519F0" w14:textId="55087044" w:rsidR="008F5418" w:rsidRPr="00C87C29" w:rsidRDefault="00C87C29" w:rsidP="00AF24B3">
      <w:pPr>
        <w:pStyle w:val="FootnoteText"/>
        <w:spacing w:after="120"/>
        <w:rPr>
          <w:rFonts w:ascii="Cambria" w:hAnsi="Cambria"/>
          <w:sz w:val="16"/>
          <w:szCs w:val="16"/>
          <w:lang w:val="es-419"/>
        </w:rPr>
      </w:pPr>
      <w:r>
        <w:rPr>
          <w:rFonts w:ascii="Cambria" w:hAnsi="Cambria"/>
          <w:sz w:val="16"/>
          <w:szCs w:val="16"/>
          <w:lang w:val="es-419"/>
        </w:rPr>
        <w:tab/>
      </w:r>
      <w:r w:rsidR="008F5418" w:rsidRPr="00B765A6">
        <w:rPr>
          <w:rStyle w:val="FootnoteReference"/>
          <w:rFonts w:ascii="Cambria" w:hAnsi="Cambria"/>
          <w:sz w:val="16"/>
          <w:szCs w:val="16"/>
        </w:rPr>
        <w:footnoteRef/>
      </w:r>
      <w:r w:rsidR="008F5418" w:rsidRPr="00C87C29">
        <w:rPr>
          <w:rFonts w:ascii="Cambria" w:hAnsi="Cambria"/>
          <w:sz w:val="16"/>
          <w:szCs w:val="16"/>
          <w:lang w:val="es-419"/>
        </w:rPr>
        <w:t xml:space="preserve"> Em adelante “Convención Americana”</w:t>
      </w:r>
    </w:p>
  </w:footnote>
  <w:footnote w:id="3">
    <w:p w14:paraId="29E0CB0E" w14:textId="3FC7B260" w:rsidR="008F5418" w:rsidRPr="00B765A6" w:rsidRDefault="00C87C29" w:rsidP="00AF24B3">
      <w:pPr>
        <w:pStyle w:val="FootnoteText"/>
        <w:spacing w:after="120"/>
        <w:jc w:val="both"/>
        <w:rPr>
          <w:rFonts w:ascii="Cambria" w:hAnsi="Cambria"/>
          <w:sz w:val="16"/>
          <w:szCs w:val="16"/>
          <w:lang w:val="es-ES"/>
        </w:rPr>
      </w:pPr>
      <w:r>
        <w:rPr>
          <w:rFonts w:ascii="Cambria" w:hAnsi="Cambria"/>
          <w:sz w:val="16"/>
          <w:szCs w:val="16"/>
          <w:lang w:val="es-ES"/>
        </w:rPr>
        <w:tab/>
      </w:r>
      <w:r w:rsidR="008F5418" w:rsidRPr="00B765A6">
        <w:rPr>
          <w:rStyle w:val="FootnoteReference"/>
          <w:rFonts w:ascii="Cambria" w:hAnsi="Cambria"/>
          <w:sz w:val="16"/>
          <w:szCs w:val="16"/>
        </w:rPr>
        <w:footnoteRef/>
      </w:r>
      <w:r w:rsidR="008F5418" w:rsidRPr="00B765A6">
        <w:rPr>
          <w:rFonts w:ascii="Cambria" w:hAnsi="Cambria"/>
          <w:sz w:val="16"/>
          <w:szCs w:val="16"/>
          <w:lang w:val="es-ES"/>
        </w:rPr>
        <w:t xml:space="preserve"> Las observaciones de cada parte fueron debidamente trasladadas a la parte contraria.</w:t>
      </w:r>
    </w:p>
  </w:footnote>
  <w:footnote w:id="4">
    <w:p w14:paraId="2FDA9AC6" w14:textId="6B12E643" w:rsidR="00197CAF" w:rsidRPr="00387341" w:rsidRDefault="00C87C29" w:rsidP="00AF24B3">
      <w:pPr>
        <w:pStyle w:val="FootnoteText"/>
        <w:spacing w:after="120"/>
        <w:jc w:val="both"/>
        <w:rPr>
          <w:rFonts w:ascii="Cambria" w:hAnsi="Cambria"/>
          <w:sz w:val="16"/>
          <w:szCs w:val="16"/>
          <w:lang w:val="es-419"/>
        </w:rPr>
      </w:pPr>
      <w:r>
        <w:rPr>
          <w:rFonts w:ascii="Cambria" w:hAnsi="Cambria"/>
          <w:sz w:val="16"/>
          <w:szCs w:val="16"/>
          <w:lang w:val="es-419"/>
        </w:rPr>
        <w:tab/>
      </w:r>
      <w:r w:rsidR="00197CAF" w:rsidRPr="00387341">
        <w:rPr>
          <w:rStyle w:val="FootnoteReference"/>
          <w:rFonts w:ascii="Cambria" w:hAnsi="Cambria"/>
          <w:sz w:val="16"/>
          <w:szCs w:val="16"/>
        </w:rPr>
        <w:footnoteRef/>
      </w:r>
      <w:r w:rsidR="00197CAF" w:rsidRPr="00387341">
        <w:rPr>
          <w:rFonts w:ascii="Cambria" w:hAnsi="Cambria"/>
          <w:sz w:val="16"/>
          <w:szCs w:val="16"/>
          <w:lang w:val="es-419"/>
        </w:rPr>
        <w:t xml:space="preserve"> En adelante “Convención Americana”</w:t>
      </w:r>
    </w:p>
  </w:footnote>
  <w:footnote w:id="5">
    <w:p w14:paraId="70706ABB" w14:textId="5D65F927" w:rsidR="008F5418" w:rsidRPr="008F5418" w:rsidRDefault="00C87C29" w:rsidP="00AF24B3">
      <w:pPr>
        <w:pBdr>
          <w:top w:val="none" w:sz="0" w:space="0" w:color="auto"/>
          <w:left w:val="none" w:sz="0" w:space="0" w:color="auto"/>
          <w:bottom w:val="none" w:sz="0" w:space="0" w:color="auto"/>
          <w:right w:val="none" w:sz="0" w:space="0" w:color="auto"/>
        </w:pBdr>
        <w:spacing w:after="120"/>
        <w:jc w:val="both"/>
        <w:rPr>
          <w:rFonts w:ascii="Cambria" w:hAnsi="Cambria"/>
          <w:color w:val="000000"/>
          <w:sz w:val="16"/>
          <w:szCs w:val="16"/>
          <w:highlight w:val="yellow"/>
          <w:lang w:val="es-US" w:eastAsia="fr-FR"/>
        </w:rPr>
      </w:pPr>
      <w:r>
        <w:rPr>
          <w:rFonts w:ascii="Cambria" w:hAnsi="Cambria"/>
          <w:sz w:val="16"/>
          <w:szCs w:val="16"/>
          <w:lang w:val="es-ES"/>
        </w:rPr>
        <w:tab/>
      </w:r>
      <w:r w:rsidR="008F5418" w:rsidRPr="008F5418">
        <w:rPr>
          <w:rStyle w:val="FootnoteReference"/>
          <w:rFonts w:ascii="Cambria" w:hAnsi="Cambria"/>
          <w:sz w:val="16"/>
          <w:szCs w:val="16"/>
        </w:rPr>
        <w:footnoteRef/>
      </w:r>
      <w:r w:rsidR="008F5418" w:rsidRPr="008F5418">
        <w:rPr>
          <w:rFonts w:ascii="Cambria" w:hAnsi="Cambria"/>
          <w:sz w:val="16"/>
          <w:szCs w:val="16"/>
          <w:lang w:val="es-ES"/>
        </w:rPr>
        <w:t xml:space="preserve"> </w:t>
      </w:r>
      <w:r w:rsidR="008F5418" w:rsidRPr="008F5418">
        <w:rPr>
          <w:rFonts w:ascii="Cambria" w:hAnsi="Cambria"/>
          <w:color w:val="000000"/>
          <w:sz w:val="16"/>
          <w:szCs w:val="16"/>
          <w:lang w:val="es-US" w:eastAsia="fr-FR"/>
        </w:rPr>
        <w:t>CIDH, Informe No. 73/00, Caso 11.784. Fondo. Marcelino Hanríquez y Otros. </w:t>
      </w:r>
      <w:r w:rsidR="008F5418" w:rsidRPr="00C87C29">
        <w:rPr>
          <w:rFonts w:ascii="Cambria" w:hAnsi="Cambria"/>
          <w:color w:val="000000"/>
          <w:sz w:val="16"/>
          <w:szCs w:val="16"/>
          <w:lang w:val="pt-BR" w:eastAsia="fr-FR"/>
        </w:rPr>
        <w:t>Argentina. 3 de octubre de 2000; CIDH, Informe No. 147/18 Caso 12.950. Fondo. Rufino Jorge Almeida. </w:t>
      </w:r>
      <w:r w:rsidR="008F5418" w:rsidRPr="008F5418">
        <w:rPr>
          <w:rFonts w:ascii="Cambria" w:hAnsi="Cambria"/>
          <w:color w:val="000000"/>
          <w:sz w:val="16"/>
          <w:szCs w:val="16"/>
          <w:lang w:val="es-US" w:eastAsia="fr-FR"/>
        </w:rPr>
        <w:t>Argentina. 7 de deciembre de 2018</w:t>
      </w:r>
    </w:p>
  </w:footnote>
  <w:footnote w:id="6">
    <w:p w14:paraId="23BB68BE" w14:textId="2C14422C" w:rsidR="008F5418" w:rsidRPr="008F5418" w:rsidRDefault="00C87C29" w:rsidP="00AF24B3">
      <w:pPr>
        <w:pBdr>
          <w:top w:val="none" w:sz="0" w:space="0" w:color="auto"/>
          <w:left w:val="none" w:sz="0" w:space="0" w:color="auto"/>
          <w:bottom w:val="none" w:sz="0" w:space="0" w:color="auto"/>
          <w:right w:val="none" w:sz="0" w:space="0" w:color="auto"/>
        </w:pBdr>
        <w:spacing w:after="120"/>
        <w:jc w:val="both"/>
        <w:rPr>
          <w:rFonts w:ascii="Cambria" w:hAnsi="Cambria"/>
          <w:color w:val="000000"/>
          <w:sz w:val="16"/>
          <w:szCs w:val="16"/>
          <w:highlight w:val="yellow"/>
          <w:lang w:val="es-US" w:eastAsia="fr-FR"/>
        </w:rPr>
      </w:pPr>
      <w:r>
        <w:rPr>
          <w:rFonts w:ascii="Cambria" w:hAnsi="Cambria"/>
          <w:sz w:val="16"/>
          <w:szCs w:val="16"/>
          <w:lang w:val="es-ES"/>
        </w:rPr>
        <w:tab/>
      </w:r>
      <w:r w:rsidR="008F5418" w:rsidRPr="008F5418">
        <w:rPr>
          <w:rStyle w:val="FootnoteReference"/>
          <w:rFonts w:ascii="Cambria" w:hAnsi="Cambria"/>
          <w:sz w:val="16"/>
          <w:szCs w:val="16"/>
        </w:rPr>
        <w:footnoteRef/>
      </w:r>
      <w:r w:rsidR="008F5418" w:rsidRPr="008F5418">
        <w:rPr>
          <w:rFonts w:ascii="Cambria" w:hAnsi="Cambria"/>
          <w:sz w:val="16"/>
          <w:szCs w:val="16"/>
          <w:lang w:val="es-ES"/>
        </w:rPr>
        <w:t xml:space="preserve"> </w:t>
      </w:r>
      <w:r w:rsidR="008F5418" w:rsidRPr="008F5418">
        <w:rPr>
          <w:rFonts w:ascii="Cambria" w:hAnsi="Cambria"/>
          <w:color w:val="000000"/>
          <w:sz w:val="16"/>
          <w:szCs w:val="16"/>
          <w:lang w:val="es-US" w:eastAsia="fr-FR"/>
        </w:rPr>
        <w:t>CIDH, Informe No. 73/00, Caso 11.784. Fondo. Marcelino Hanríquez y Otros. </w:t>
      </w:r>
      <w:r w:rsidR="008F5418" w:rsidRPr="00C87C29">
        <w:rPr>
          <w:rFonts w:ascii="Cambria" w:hAnsi="Cambria"/>
          <w:color w:val="000000"/>
          <w:sz w:val="16"/>
          <w:szCs w:val="16"/>
          <w:lang w:val="pt-BR" w:eastAsia="fr-FR"/>
        </w:rPr>
        <w:t>Argentina. 3 de octubre de 2000; CIDH, Informe No. 147/18 Caso 12.950. Fondo. Rufino Jorge Almeida. </w:t>
      </w:r>
      <w:r w:rsidR="008F5418" w:rsidRPr="008F5418">
        <w:rPr>
          <w:rFonts w:ascii="Cambria" w:hAnsi="Cambria"/>
          <w:color w:val="000000"/>
          <w:sz w:val="16"/>
          <w:szCs w:val="16"/>
          <w:lang w:val="es-US" w:eastAsia="fr-FR"/>
        </w:rPr>
        <w:t>Argentina. 7 de deciembre de 2018</w:t>
      </w:r>
    </w:p>
  </w:footnote>
  <w:footnote w:id="7">
    <w:p w14:paraId="67AE0E92" w14:textId="203B4A7C" w:rsidR="008F5418" w:rsidRPr="00B765A6" w:rsidRDefault="00C87C29" w:rsidP="00AF24B3">
      <w:pPr>
        <w:pStyle w:val="FootnoteText"/>
        <w:spacing w:after="120"/>
        <w:jc w:val="both"/>
        <w:rPr>
          <w:rFonts w:ascii="Cambria" w:hAnsi="Cambria"/>
          <w:sz w:val="16"/>
          <w:szCs w:val="16"/>
          <w:lang w:val="es-419"/>
        </w:rPr>
      </w:pPr>
      <w:r>
        <w:rPr>
          <w:rFonts w:ascii="Cambria" w:hAnsi="Cambria"/>
          <w:sz w:val="16"/>
          <w:szCs w:val="16"/>
          <w:lang w:val="es-419"/>
        </w:rPr>
        <w:tab/>
      </w:r>
      <w:r w:rsidR="008F5418" w:rsidRPr="00B765A6">
        <w:rPr>
          <w:rStyle w:val="FootnoteReference"/>
          <w:rFonts w:ascii="Cambria" w:hAnsi="Cambria"/>
          <w:sz w:val="16"/>
          <w:szCs w:val="16"/>
        </w:rPr>
        <w:footnoteRef/>
      </w:r>
      <w:r w:rsidR="008F5418" w:rsidRPr="00B765A6">
        <w:rPr>
          <w:rFonts w:ascii="Cambria" w:hAnsi="Cambria"/>
          <w:sz w:val="16"/>
          <w:szCs w:val="16"/>
          <w:lang w:val="es-419"/>
        </w:rPr>
        <w:t xml:space="preserve"> Véase CIDH, Informe No. 56/16. Petición 666-03. Admisibilidad. Luis Alberto Leiva. Argentina. 6 de diciembre de 2016. También véase Corte IDH, Caso Mémoli vs. Argentina. Excepciones Preliminares, Fondo, Reparaciones y Costas. Sentencia de 22 de agosto de 2013. Serie C No. 295, párrs. 30-33</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8D6" w14:textId="77777777" w:rsidR="008F5418" w:rsidRDefault="008F5418" w:rsidP="008F54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100342F" w14:textId="77777777" w:rsidR="008F5418" w:rsidRDefault="008F5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5CFD" w14:textId="77777777" w:rsidR="008F5418" w:rsidRDefault="008F5418" w:rsidP="00A50FCF">
    <w:pPr>
      <w:pStyle w:val="Header"/>
      <w:tabs>
        <w:tab w:val="clear" w:pos="4320"/>
        <w:tab w:val="clear" w:pos="8640"/>
      </w:tabs>
      <w:jc w:val="center"/>
      <w:rPr>
        <w:sz w:val="22"/>
        <w:szCs w:val="22"/>
      </w:rPr>
    </w:pPr>
    <w:r>
      <w:rPr>
        <w:noProof/>
        <w:sz w:val="22"/>
        <w:szCs w:val="22"/>
      </w:rPr>
      <w:drawing>
        <wp:inline distT="0" distB="0" distL="0" distR="0" wp14:anchorId="090ECAC2" wp14:editId="178524E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DAC2722" w14:textId="77777777" w:rsidR="008F5418" w:rsidRPr="00EC7D62" w:rsidRDefault="00461A57" w:rsidP="00A50FCF">
    <w:pPr>
      <w:pStyle w:val="Header"/>
      <w:tabs>
        <w:tab w:val="clear" w:pos="4320"/>
        <w:tab w:val="clear" w:pos="8640"/>
      </w:tabs>
      <w:jc w:val="center"/>
      <w:rPr>
        <w:sz w:val="22"/>
        <w:szCs w:val="22"/>
      </w:rPr>
    </w:pPr>
    <w:r>
      <w:rPr>
        <w:noProof/>
        <w:sz w:val="22"/>
        <w:szCs w:val="22"/>
        <w:bdr w:val="nil"/>
      </w:rPr>
      <w:pict w14:anchorId="69E4B29D">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B1C8" w14:textId="77777777" w:rsidR="009742AE" w:rsidRDefault="00974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5F88"/>
    <w:rsid w:val="00040C3A"/>
    <w:rsid w:val="000419AD"/>
    <w:rsid w:val="000433C9"/>
    <w:rsid w:val="00071174"/>
    <w:rsid w:val="000716C5"/>
    <w:rsid w:val="00075E23"/>
    <w:rsid w:val="000802BB"/>
    <w:rsid w:val="0009344A"/>
    <w:rsid w:val="000A392E"/>
    <w:rsid w:val="000A575F"/>
    <w:rsid w:val="000D05CB"/>
    <w:rsid w:val="000D10DB"/>
    <w:rsid w:val="000E5EB5"/>
    <w:rsid w:val="000F35ED"/>
    <w:rsid w:val="00107131"/>
    <w:rsid w:val="0010736F"/>
    <w:rsid w:val="00113F73"/>
    <w:rsid w:val="00121CC2"/>
    <w:rsid w:val="00131425"/>
    <w:rsid w:val="00133EE5"/>
    <w:rsid w:val="00167A34"/>
    <w:rsid w:val="00197CAF"/>
    <w:rsid w:val="001A520D"/>
    <w:rsid w:val="001A5974"/>
    <w:rsid w:val="001A7870"/>
    <w:rsid w:val="001B3A00"/>
    <w:rsid w:val="001C1B41"/>
    <w:rsid w:val="001D65EF"/>
    <w:rsid w:val="001E49E7"/>
    <w:rsid w:val="001F7201"/>
    <w:rsid w:val="0022367C"/>
    <w:rsid w:val="00223A29"/>
    <w:rsid w:val="002250A3"/>
    <w:rsid w:val="00235217"/>
    <w:rsid w:val="00246D1F"/>
    <w:rsid w:val="00247403"/>
    <w:rsid w:val="00247542"/>
    <w:rsid w:val="00255D9A"/>
    <w:rsid w:val="00266B61"/>
    <w:rsid w:val="0026712A"/>
    <w:rsid w:val="002704DB"/>
    <w:rsid w:val="002A0AAE"/>
    <w:rsid w:val="002A5820"/>
    <w:rsid w:val="002D2B26"/>
    <w:rsid w:val="002D7EA2"/>
    <w:rsid w:val="002E187C"/>
    <w:rsid w:val="00302733"/>
    <w:rsid w:val="00305835"/>
    <w:rsid w:val="00306F33"/>
    <w:rsid w:val="00311630"/>
    <w:rsid w:val="00314078"/>
    <w:rsid w:val="0031535D"/>
    <w:rsid w:val="003239B8"/>
    <w:rsid w:val="0033169F"/>
    <w:rsid w:val="00344977"/>
    <w:rsid w:val="00346C95"/>
    <w:rsid w:val="00356185"/>
    <w:rsid w:val="00360380"/>
    <w:rsid w:val="0037519E"/>
    <w:rsid w:val="00386CF0"/>
    <w:rsid w:val="003B70FB"/>
    <w:rsid w:val="003C676B"/>
    <w:rsid w:val="003D3BC2"/>
    <w:rsid w:val="003E6CA1"/>
    <w:rsid w:val="003F5154"/>
    <w:rsid w:val="00405F9C"/>
    <w:rsid w:val="004065A8"/>
    <w:rsid w:val="004165C2"/>
    <w:rsid w:val="00434FD3"/>
    <w:rsid w:val="00441ECB"/>
    <w:rsid w:val="00445193"/>
    <w:rsid w:val="00461A57"/>
    <w:rsid w:val="00462C1B"/>
    <w:rsid w:val="00467B7E"/>
    <w:rsid w:val="00473BB4"/>
    <w:rsid w:val="00477592"/>
    <w:rsid w:val="00483C10"/>
    <w:rsid w:val="00486F1C"/>
    <w:rsid w:val="0049419D"/>
    <w:rsid w:val="004A6A54"/>
    <w:rsid w:val="004B421C"/>
    <w:rsid w:val="004C20D2"/>
    <w:rsid w:val="004C2312"/>
    <w:rsid w:val="004C4B62"/>
    <w:rsid w:val="004C54C9"/>
    <w:rsid w:val="004D4ABA"/>
    <w:rsid w:val="004D6025"/>
    <w:rsid w:val="004E2649"/>
    <w:rsid w:val="004F626F"/>
    <w:rsid w:val="00501399"/>
    <w:rsid w:val="00504487"/>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490F"/>
    <w:rsid w:val="005A24ED"/>
    <w:rsid w:val="005A559B"/>
    <w:rsid w:val="005A6D0E"/>
    <w:rsid w:val="005B52B0"/>
    <w:rsid w:val="005B6806"/>
    <w:rsid w:val="005C2104"/>
    <w:rsid w:val="005C4225"/>
    <w:rsid w:val="005F0DAD"/>
    <w:rsid w:val="005F0F33"/>
    <w:rsid w:val="00600DEB"/>
    <w:rsid w:val="00627C9F"/>
    <w:rsid w:val="006311E9"/>
    <w:rsid w:val="00632354"/>
    <w:rsid w:val="00635421"/>
    <w:rsid w:val="00642810"/>
    <w:rsid w:val="00652333"/>
    <w:rsid w:val="0068009E"/>
    <w:rsid w:val="00686C5D"/>
    <w:rsid w:val="00692219"/>
    <w:rsid w:val="006A17D2"/>
    <w:rsid w:val="006A73E6"/>
    <w:rsid w:val="006B1327"/>
    <w:rsid w:val="006B2D5C"/>
    <w:rsid w:val="006C0ECF"/>
    <w:rsid w:val="006C4EB1"/>
    <w:rsid w:val="006E0166"/>
    <w:rsid w:val="006E2FFB"/>
    <w:rsid w:val="006E36CC"/>
    <w:rsid w:val="006E7B34"/>
    <w:rsid w:val="0070697F"/>
    <w:rsid w:val="007103C4"/>
    <w:rsid w:val="0072199C"/>
    <w:rsid w:val="00722C9F"/>
    <w:rsid w:val="007253B8"/>
    <w:rsid w:val="0073741F"/>
    <w:rsid w:val="0076643F"/>
    <w:rsid w:val="00777F63"/>
    <w:rsid w:val="0078582D"/>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5AC6"/>
    <w:rsid w:val="00897E12"/>
    <w:rsid w:val="008A1040"/>
    <w:rsid w:val="008A7E0F"/>
    <w:rsid w:val="008B12F5"/>
    <w:rsid w:val="008C5E2D"/>
    <w:rsid w:val="008D768D"/>
    <w:rsid w:val="008E3759"/>
    <w:rsid w:val="008E3BFE"/>
    <w:rsid w:val="008F1912"/>
    <w:rsid w:val="008F5418"/>
    <w:rsid w:val="0090270B"/>
    <w:rsid w:val="009041DC"/>
    <w:rsid w:val="0090702F"/>
    <w:rsid w:val="00917B5A"/>
    <w:rsid w:val="00920A58"/>
    <w:rsid w:val="00920A8C"/>
    <w:rsid w:val="00934A2C"/>
    <w:rsid w:val="00953B0F"/>
    <w:rsid w:val="00956824"/>
    <w:rsid w:val="0096706E"/>
    <w:rsid w:val="00971783"/>
    <w:rsid w:val="009742AE"/>
    <w:rsid w:val="00974491"/>
    <w:rsid w:val="00975C4E"/>
    <w:rsid w:val="00981FBA"/>
    <w:rsid w:val="00987B47"/>
    <w:rsid w:val="00997BC5"/>
    <w:rsid w:val="009A4F41"/>
    <w:rsid w:val="009A5022"/>
    <w:rsid w:val="009B381B"/>
    <w:rsid w:val="009D163F"/>
    <w:rsid w:val="009D1753"/>
    <w:rsid w:val="009D254B"/>
    <w:rsid w:val="009D7611"/>
    <w:rsid w:val="009E0B61"/>
    <w:rsid w:val="009E53DE"/>
    <w:rsid w:val="00A06656"/>
    <w:rsid w:val="00A11212"/>
    <w:rsid w:val="00A11E44"/>
    <w:rsid w:val="00A30100"/>
    <w:rsid w:val="00A328B3"/>
    <w:rsid w:val="00A50FCF"/>
    <w:rsid w:val="00A528D1"/>
    <w:rsid w:val="00A610CD"/>
    <w:rsid w:val="00A758AA"/>
    <w:rsid w:val="00AA09A2"/>
    <w:rsid w:val="00AA7996"/>
    <w:rsid w:val="00AC19CB"/>
    <w:rsid w:val="00AE5488"/>
    <w:rsid w:val="00AE6F91"/>
    <w:rsid w:val="00AF24B3"/>
    <w:rsid w:val="00AF5571"/>
    <w:rsid w:val="00B07341"/>
    <w:rsid w:val="00B1184B"/>
    <w:rsid w:val="00B30539"/>
    <w:rsid w:val="00B314DB"/>
    <w:rsid w:val="00B361F2"/>
    <w:rsid w:val="00B3718B"/>
    <w:rsid w:val="00B3745F"/>
    <w:rsid w:val="00B4632A"/>
    <w:rsid w:val="00B530F1"/>
    <w:rsid w:val="00B765A6"/>
    <w:rsid w:val="00B93D7F"/>
    <w:rsid w:val="00BA276C"/>
    <w:rsid w:val="00BB019D"/>
    <w:rsid w:val="00BB306F"/>
    <w:rsid w:val="00BD0FF5"/>
    <w:rsid w:val="00BD4B89"/>
    <w:rsid w:val="00BD5922"/>
    <w:rsid w:val="00BF02CB"/>
    <w:rsid w:val="00BF6FD8"/>
    <w:rsid w:val="00C03680"/>
    <w:rsid w:val="00C054DF"/>
    <w:rsid w:val="00C07AB7"/>
    <w:rsid w:val="00C21762"/>
    <w:rsid w:val="00C21FEF"/>
    <w:rsid w:val="00C23BA4"/>
    <w:rsid w:val="00C24543"/>
    <w:rsid w:val="00C256A2"/>
    <w:rsid w:val="00C25ADB"/>
    <w:rsid w:val="00C51515"/>
    <w:rsid w:val="00C5660B"/>
    <w:rsid w:val="00C66B72"/>
    <w:rsid w:val="00C87AC4"/>
    <w:rsid w:val="00C87C29"/>
    <w:rsid w:val="00C9567A"/>
    <w:rsid w:val="00CB212D"/>
    <w:rsid w:val="00CB2660"/>
    <w:rsid w:val="00CC21EC"/>
    <w:rsid w:val="00CC5E90"/>
    <w:rsid w:val="00CD046C"/>
    <w:rsid w:val="00CE076C"/>
    <w:rsid w:val="00CE5199"/>
    <w:rsid w:val="00CE66D5"/>
    <w:rsid w:val="00CF637A"/>
    <w:rsid w:val="00D059DE"/>
    <w:rsid w:val="00D05ABD"/>
    <w:rsid w:val="00D06749"/>
    <w:rsid w:val="00D13FCE"/>
    <w:rsid w:val="00D306D1"/>
    <w:rsid w:val="00D30800"/>
    <w:rsid w:val="00D34786"/>
    <w:rsid w:val="00D3647E"/>
    <w:rsid w:val="00D37BFC"/>
    <w:rsid w:val="00D47A8E"/>
    <w:rsid w:val="00D52D14"/>
    <w:rsid w:val="00D712D3"/>
    <w:rsid w:val="00D71422"/>
    <w:rsid w:val="00D72DC6"/>
    <w:rsid w:val="00D7558D"/>
    <w:rsid w:val="00D81D92"/>
    <w:rsid w:val="00D876F9"/>
    <w:rsid w:val="00D90620"/>
    <w:rsid w:val="00DA7B5F"/>
    <w:rsid w:val="00DB5793"/>
    <w:rsid w:val="00DC11E7"/>
    <w:rsid w:val="00DC24E3"/>
    <w:rsid w:val="00DC7023"/>
    <w:rsid w:val="00DC769A"/>
    <w:rsid w:val="00DD1F3A"/>
    <w:rsid w:val="00DD3D86"/>
    <w:rsid w:val="00DD45E1"/>
    <w:rsid w:val="00DD4AD2"/>
    <w:rsid w:val="00DE2862"/>
    <w:rsid w:val="00DF1EC4"/>
    <w:rsid w:val="00DF605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B727D"/>
    <w:rsid w:val="00ED549D"/>
    <w:rsid w:val="00ED5C52"/>
    <w:rsid w:val="00ED5E10"/>
    <w:rsid w:val="00ED76BE"/>
    <w:rsid w:val="00EE00E9"/>
    <w:rsid w:val="00EF1AAA"/>
    <w:rsid w:val="00EF619B"/>
    <w:rsid w:val="00F00B55"/>
    <w:rsid w:val="00F02AD1"/>
    <w:rsid w:val="00F253CC"/>
    <w:rsid w:val="00F37106"/>
    <w:rsid w:val="00F44E25"/>
    <w:rsid w:val="00F5135D"/>
    <w:rsid w:val="00F519CF"/>
    <w:rsid w:val="00F56BA5"/>
    <w:rsid w:val="00F60E22"/>
    <w:rsid w:val="00F81395"/>
    <w:rsid w:val="00F81BB8"/>
    <w:rsid w:val="00F90C64"/>
    <w:rsid w:val="00F917D1"/>
    <w:rsid w:val="00F9653B"/>
    <w:rsid w:val="00FB62CF"/>
    <w:rsid w:val="00FC7D8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59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F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91755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106614">
      <w:bodyDiv w:val="1"/>
      <w:marLeft w:val="0"/>
      <w:marRight w:val="0"/>
      <w:marTop w:val="0"/>
      <w:marBottom w:val="0"/>
      <w:divBdr>
        <w:top w:val="none" w:sz="0" w:space="0" w:color="auto"/>
        <w:left w:val="none" w:sz="0" w:space="0" w:color="auto"/>
        <w:bottom w:val="none" w:sz="0" w:space="0" w:color="auto"/>
        <w:right w:val="none" w:sz="0" w:space="0" w:color="auto"/>
      </w:divBdr>
    </w:div>
    <w:div w:id="199721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C22"/>
    <w:rsid w:val="00200821"/>
    <w:rsid w:val="0025245B"/>
    <w:rsid w:val="002A3923"/>
    <w:rsid w:val="002D6473"/>
    <w:rsid w:val="003804DF"/>
    <w:rsid w:val="00394049"/>
    <w:rsid w:val="003B0C71"/>
    <w:rsid w:val="004B5BBB"/>
    <w:rsid w:val="004E0F5A"/>
    <w:rsid w:val="004F2DF8"/>
    <w:rsid w:val="00517E2A"/>
    <w:rsid w:val="005F6C00"/>
    <w:rsid w:val="006F24A1"/>
    <w:rsid w:val="009A261B"/>
    <w:rsid w:val="00A34050"/>
    <w:rsid w:val="00AA2E17"/>
    <w:rsid w:val="00AC15A4"/>
    <w:rsid w:val="00B0336C"/>
    <w:rsid w:val="00B71F7D"/>
    <w:rsid w:val="00BA3E27"/>
    <w:rsid w:val="00D241E9"/>
    <w:rsid w:val="00D7750D"/>
    <w:rsid w:val="00E5158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CEDC-9691-407C-AB1C-40554319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9551</Characters>
  <Application>Microsoft Office Word</Application>
  <DocSecurity>0</DocSecurity>
  <Lines>187</Lines>
  <Paragraphs>50</Paragraphs>
  <ScaleCrop>false</ScaleCrop>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58/21</dc:title>
  <dc:creator/>
  <cp:lastModifiedBy/>
  <cp:revision>1</cp:revision>
  <dcterms:created xsi:type="dcterms:W3CDTF">2021-05-06T14:30:00Z</dcterms:created>
  <dcterms:modified xsi:type="dcterms:W3CDTF">2021-05-06T14:31:00Z</dcterms:modified>
</cp:coreProperties>
</file>