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6167748"/>
    <w:p w14:paraId="11289B20" w14:textId="57F7A499" w:rsidR="00C02C7F" w:rsidRDefault="00035FF1" w:rsidP="00DD4610">
      <w:pPr>
        <w:pStyle w:val="BodyText"/>
        <w:rPr>
          <w:rFonts w:ascii="Times New Roman"/>
          <w:sz w:val="9"/>
        </w:rPr>
      </w:pPr>
      <w:r>
        <w:rPr>
          <w:noProof/>
        </w:rPr>
        <mc:AlternateContent>
          <mc:Choice Requires="wps">
            <w:drawing>
              <wp:anchor distT="0" distB="0" distL="114300" distR="114300" simplePos="0" relativeHeight="251657216" behindDoc="0" locked="0" layoutInCell="1" allowOverlap="1" wp14:anchorId="5F6C74EE" wp14:editId="25E4DCCE">
                <wp:simplePos x="0" y="0"/>
                <wp:positionH relativeFrom="page">
                  <wp:posOffset>498475</wp:posOffset>
                </wp:positionH>
                <wp:positionV relativeFrom="page">
                  <wp:posOffset>474980</wp:posOffset>
                </wp:positionV>
                <wp:extent cx="1543050" cy="9096375"/>
                <wp:effectExtent l="0" t="0" r="0"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9096375"/>
                        </a:xfrm>
                        <a:prstGeom prst="rect">
                          <a:avLst/>
                        </a:prstGeom>
                        <a:solidFill>
                          <a:srgbClr val="4A71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C6298F" w14:textId="77777777" w:rsidR="0054336E" w:rsidRDefault="0054336E">
                            <w:pPr>
                              <w:pStyle w:val="BodyText"/>
                              <w:rPr>
                                <w:sz w:val="22"/>
                              </w:rPr>
                            </w:pPr>
                          </w:p>
                          <w:p w14:paraId="68352512" w14:textId="77777777" w:rsidR="0054336E" w:rsidRDefault="0054336E">
                            <w:pPr>
                              <w:pStyle w:val="BodyText"/>
                              <w:rPr>
                                <w:sz w:val="22"/>
                              </w:rPr>
                            </w:pPr>
                          </w:p>
                          <w:p w14:paraId="59DC0060" w14:textId="77777777" w:rsidR="0054336E" w:rsidRDefault="0054336E">
                            <w:pPr>
                              <w:pStyle w:val="BodyText"/>
                              <w:rPr>
                                <w:sz w:val="22"/>
                              </w:rPr>
                            </w:pPr>
                          </w:p>
                          <w:p w14:paraId="68073EBC" w14:textId="77777777" w:rsidR="0054336E" w:rsidRDefault="0054336E">
                            <w:pPr>
                              <w:pStyle w:val="BodyText"/>
                              <w:rPr>
                                <w:sz w:val="22"/>
                              </w:rPr>
                            </w:pPr>
                          </w:p>
                          <w:p w14:paraId="78FEA6A8" w14:textId="77777777" w:rsidR="0054336E" w:rsidRDefault="0054336E">
                            <w:pPr>
                              <w:pStyle w:val="BodyText"/>
                              <w:rPr>
                                <w:sz w:val="22"/>
                              </w:rPr>
                            </w:pPr>
                          </w:p>
                          <w:p w14:paraId="5C4C7E9B" w14:textId="77777777" w:rsidR="0054336E" w:rsidRDefault="0054336E">
                            <w:pPr>
                              <w:pStyle w:val="BodyText"/>
                              <w:rPr>
                                <w:sz w:val="22"/>
                              </w:rPr>
                            </w:pPr>
                          </w:p>
                          <w:p w14:paraId="7DA1D8A5" w14:textId="77777777" w:rsidR="0054336E" w:rsidRDefault="0054336E">
                            <w:pPr>
                              <w:pStyle w:val="BodyText"/>
                              <w:rPr>
                                <w:sz w:val="22"/>
                              </w:rPr>
                            </w:pPr>
                          </w:p>
                          <w:p w14:paraId="45013810" w14:textId="77777777" w:rsidR="0054336E" w:rsidRDefault="0054336E">
                            <w:pPr>
                              <w:pStyle w:val="BodyText"/>
                              <w:rPr>
                                <w:sz w:val="22"/>
                              </w:rPr>
                            </w:pPr>
                          </w:p>
                          <w:p w14:paraId="5AD09D0C" w14:textId="77777777" w:rsidR="0054336E" w:rsidRDefault="0054336E">
                            <w:pPr>
                              <w:pStyle w:val="BodyText"/>
                              <w:rPr>
                                <w:sz w:val="22"/>
                              </w:rPr>
                            </w:pPr>
                          </w:p>
                          <w:p w14:paraId="1025AA08" w14:textId="77777777" w:rsidR="0054336E" w:rsidRDefault="0054336E">
                            <w:pPr>
                              <w:pStyle w:val="BodyText"/>
                              <w:rPr>
                                <w:sz w:val="22"/>
                              </w:rPr>
                            </w:pPr>
                          </w:p>
                          <w:p w14:paraId="0FF8B220" w14:textId="77777777" w:rsidR="0054336E" w:rsidRDefault="0054336E">
                            <w:pPr>
                              <w:pStyle w:val="BodyText"/>
                              <w:rPr>
                                <w:sz w:val="22"/>
                              </w:rPr>
                            </w:pPr>
                          </w:p>
                          <w:p w14:paraId="52D63876" w14:textId="77777777" w:rsidR="0054336E" w:rsidRDefault="0054336E">
                            <w:pPr>
                              <w:pStyle w:val="BodyText"/>
                              <w:rPr>
                                <w:sz w:val="22"/>
                              </w:rPr>
                            </w:pPr>
                          </w:p>
                          <w:p w14:paraId="7F40E19A" w14:textId="77777777" w:rsidR="0054336E" w:rsidRDefault="0054336E">
                            <w:pPr>
                              <w:pStyle w:val="BodyText"/>
                              <w:rPr>
                                <w:sz w:val="22"/>
                              </w:rPr>
                            </w:pPr>
                          </w:p>
                          <w:p w14:paraId="771BCFDF" w14:textId="77777777" w:rsidR="0054336E" w:rsidRDefault="0054336E">
                            <w:pPr>
                              <w:pStyle w:val="BodyText"/>
                              <w:rPr>
                                <w:sz w:val="22"/>
                              </w:rPr>
                            </w:pPr>
                          </w:p>
                          <w:p w14:paraId="010292D4" w14:textId="77777777" w:rsidR="0054336E" w:rsidRDefault="0054336E">
                            <w:pPr>
                              <w:pStyle w:val="BodyText"/>
                              <w:rPr>
                                <w:sz w:val="22"/>
                              </w:rPr>
                            </w:pPr>
                          </w:p>
                          <w:p w14:paraId="5AC78962" w14:textId="77777777" w:rsidR="0054336E" w:rsidRDefault="0054336E">
                            <w:pPr>
                              <w:pStyle w:val="BodyText"/>
                              <w:rPr>
                                <w:sz w:val="22"/>
                              </w:rPr>
                            </w:pPr>
                          </w:p>
                          <w:p w14:paraId="33EE618D" w14:textId="77777777" w:rsidR="0054336E" w:rsidRDefault="0054336E">
                            <w:pPr>
                              <w:pStyle w:val="BodyText"/>
                              <w:spacing w:before="4"/>
                              <w:rPr>
                                <w:sz w:val="21"/>
                              </w:rPr>
                            </w:pPr>
                          </w:p>
                          <w:p w14:paraId="5B212135" w14:textId="597EC914" w:rsidR="0054336E" w:rsidRPr="00CF6B26" w:rsidRDefault="0054336E">
                            <w:pPr>
                              <w:spacing w:before="1"/>
                              <w:ind w:left="794"/>
                              <w:rPr>
                                <w:rFonts w:ascii="Calibri"/>
                                <w:lang w:val="es-419"/>
                              </w:rPr>
                            </w:pPr>
                            <w:r w:rsidRPr="00CF6B26">
                              <w:rPr>
                                <w:rFonts w:ascii="Calibri"/>
                                <w:color w:val="FFFFFF"/>
                                <w:lang w:val="es-419"/>
                              </w:rPr>
                              <w:t>OEA/</w:t>
                            </w:r>
                            <w:proofErr w:type="spellStart"/>
                            <w:r w:rsidRPr="00CF6B26">
                              <w:rPr>
                                <w:rFonts w:ascii="Calibri"/>
                                <w:color w:val="FFFFFF"/>
                                <w:lang w:val="es-419"/>
                              </w:rPr>
                              <w:t>Ser.L</w:t>
                            </w:r>
                            <w:proofErr w:type="spellEnd"/>
                            <w:r w:rsidRPr="00CF6B26">
                              <w:rPr>
                                <w:rFonts w:ascii="Calibri"/>
                                <w:color w:val="FFFFFF"/>
                                <w:lang w:val="es-419"/>
                              </w:rPr>
                              <w:t>/V/II</w:t>
                            </w:r>
                          </w:p>
                          <w:p w14:paraId="2103D6EE" w14:textId="4C4249FE" w:rsidR="0054336E" w:rsidRPr="00AF0C87" w:rsidRDefault="0054336E">
                            <w:pPr>
                              <w:spacing w:before="41"/>
                              <w:ind w:right="271"/>
                              <w:jc w:val="right"/>
                              <w:rPr>
                                <w:rFonts w:ascii="Calibri"/>
                                <w:lang w:val="es-419"/>
                              </w:rPr>
                            </w:pPr>
                            <w:r w:rsidRPr="00AF0C87">
                              <w:rPr>
                                <w:rFonts w:ascii="Calibri"/>
                                <w:color w:val="FFFFFF"/>
                                <w:lang w:val="es-419"/>
                              </w:rPr>
                              <w:t>Doc.</w:t>
                            </w:r>
                            <w:r w:rsidRPr="00AF0C87">
                              <w:rPr>
                                <w:rFonts w:ascii="Calibri"/>
                                <w:color w:val="FFFFFF"/>
                                <w:spacing w:val="-2"/>
                                <w:lang w:val="es-419"/>
                              </w:rPr>
                              <w:t xml:space="preserve"> </w:t>
                            </w:r>
                            <w:r w:rsidR="00AF0C87" w:rsidRPr="00AF0C87">
                              <w:rPr>
                                <w:rFonts w:ascii="Calibri"/>
                                <w:color w:val="FFFFFF"/>
                                <w:spacing w:val="-2"/>
                                <w:lang w:val="es-419"/>
                              </w:rPr>
                              <w:t>4</w:t>
                            </w:r>
                            <w:r w:rsidR="00635B7A">
                              <w:rPr>
                                <w:rFonts w:ascii="Calibri"/>
                                <w:color w:val="FFFFFF"/>
                                <w:spacing w:val="-2"/>
                                <w:lang w:val="es-419"/>
                              </w:rPr>
                              <w:t>23</w:t>
                            </w:r>
                          </w:p>
                          <w:p w14:paraId="2B5938C9" w14:textId="3582AA10" w:rsidR="0054336E" w:rsidRPr="00AF0C87" w:rsidRDefault="00E43487">
                            <w:pPr>
                              <w:spacing w:before="38" w:line="278" w:lineRule="auto"/>
                              <w:ind w:left="650" w:right="270" w:hanging="286"/>
                              <w:jc w:val="right"/>
                              <w:rPr>
                                <w:rFonts w:ascii="Calibri" w:hAnsi="Calibri"/>
                                <w:lang w:val="es-419"/>
                              </w:rPr>
                            </w:pPr>
                            <w:r>
                              <w:rPr>
                                <w:rFonts w:ascii="Calibri" w:hAnsi="Calibri"/>
                                <w:color w:val="FFFFFF"/>
                                <w:lang w:val="es-419"/>
                              </w:rPr>
                              <w:t>3</w:t>
                            </w:r>
                            <w:r w:rsidR="007A187C">
                              <w:rPr>
                                <w:rFonts w:ascii="Calibri" w:hAnsi="Calibri"/>
                                <w:color w:val="FFFFFF"/>
                                <w:lang w:val="es-419"/>
                              </w:rPr>
                              <w:t>1</w:t>
                            </w:r>
                            <w:r>
                              <w:rPr>
                                <w:rFonts w:ascii="Calibri" w:hAnsi="Calibri"/>
                                <w:color w:val="FFFFFF"/>
                                <w:lang w:val="es-419"/>
                              </w:rPr>
                              <w:t xml:space="preserve"> diciembre</w:t>
                            </w:r>
                            <w:r w:rsidR="0054336E" w:rsidRPr="00AF0C87">
                              <w:rPr>
                                <w:rFonts w:ascii="Calibri" w:hAnsi="Calibri"/>
                                <w:color w:val="FFFFFF"/>
                                <w:spacing w:val="-5"/>
                                <w:lang w:val="es-419"/>
                              </w:rPr>
                              <w:t xml:space="preserve"> </w:t>
                            </w:r>
                            <w:r w:rsidR="0054336E" w:rsidRPr="00AF0C87">
                              <w:rPr>
                                <w:rFonts w:ascii="Calibri" w:hAnsi="Calibri"/>
                                <w:color w:val="FFFFFF"/>
                                <w:lang w:val="es-419"/>
                              </w:rPr>
                              <w:t>2021</w:t>
                            </w:r>
                            <w:r w:rsidR="0054336E" w:rsidRPr="00AF0C87">
                              <w:rPr>
                                <w:rFonts w:ascii="Calibri" w:hAnsi="Calibri"/>
                                <w:color w:val="FFFFFF"/>
                                <w:spacing w:val="-2"/>
                                <w:lang w:val="es-419"/>
                              </w:rPr>
                              <w:t xml:space="preserve"> </w:t>
                            </w:r>
                            <w:r w:rsidR="0054336E" w:rsidRPr="00AF0C87">
                              <w:rPr>
                                <w:rFonts w:ascii="Calibri" w:hAnsi="Calibri"/>
                                <w:color w:val="FFFFFF"/>
                                <w:lang w:val="es-419"/>
                              </w:rPr>
                              <w:t>Original:</w:t>
                            </w:r>
                            <w:r w:rsidR="0054336E" w:rsidRPr="00AF0C87">
                              <w:rPr>
                                <w:rFonts w:ascii="Calibri" w:hAnsi="Calibri"/>
                                <w:color w:val="FFFFFF"/>
                                <w:spacing w:val="-6"/>
                                <w:lang w:val="es-419"/>
                              </w:rPr>
                              <w:t xml:space="preserve"> </w:t>
                            </w:r>
                            <w:r w:rsidR="0054336E" w:rsidRPr="00AF0C87">
                              <w:rPr>
                                <w:rFonts w:ascii="Calibri" w:hAnsi="Calibri"/>
                                <w:color w:val="FFFFFF"/>
                                <w:lang w:val="es-419"/>
                              </w:rPr>
                              <w:t>español</w:t>
                            </w:r>
                          </w:p>
                          <w:p w14:paraId="18E44612" w14:textId="77777777" w:rsidR="0054336E" w:rsidRPr="00AF0C87" w:rsidRDefault="0054336E">
                            <w:pPr>
                              <w:pStyle w:val="BodyText"/>
                              <w:rPr>
                                <w:sz w:val="22"/>
                                <w:lang w:val="es-419"/>
                              </w:rPr>
                            </w:pPr>
                          </w:p>
                          <w:p w14:paraId="0860EC38" w14:textId="77777777" w:rsidR="0054336E" w:rsidRPr="00AF0C87" w:rsidRDefault="0054336E">
                            <w:pPr>
                              <w:pStyle w:val="BodyText"/>
                              <w:rPr>
                                <w:sz w:val="22"/>
                                <w:lang w:val="es-419"/>
                              </w:rPr>
                            </w:pPr>
                          </w:p>
                          <w:p w14:paraId="0952E55B" w14:textId="77777777" w:rsidR="0054336E" w:rsidRPr="00AF0C87" w:rsidRDefault="0054336E">
                            <w:pPr>
                              <w:pStyle w:val="BodyText"/>
                              <w:rPr>
                                <w:sz w:val="22"/>
                                <w:lang w:val="es-419"/>
                              </w:rPr>
                            </w:pPr>
                          </w:p>
                          <w:p w14:paraId="4C3592B3" w14:textId="77777777" w:rsidR="0054336E" w:rsidRPr="00AF0C87" w:rsidRDefault="0054336E">
                            <w:pPr>
                              <w:pStyle w:val="BodyText"/>
                              <w:rPr>
                                <w:sz w:val="22"/>
                                <w:lang w:val="es-419"/>
                              </w:rPr>
                            </w:pPr>
                          </w:p>
                          <w:p w14:paraId="3E49B12C" w14:textId="77777777" w:rsidR="0054336E" w:rsidRPr="00AF0C87" w:rsidRDefault="0054336E">
                            <w:pPr>
                              <w:pStyle w:val="BodyText"/>
                              <w:rPr>
                                <w:sz w:val="22"/>
                                <w:lang w:val="es-419"/>
                              </w:rPr>
                            </w:pPr>
                          </w:p>
                          <w:p w14:paraId="2C1EBE27" w14:textId="77777777" w:rsidR="0054336E" w:rsidRPr="00AF0C87" w:rsidRDefault="0054336E">
                            <w:pPr>
                              <w:pStyle w:val="BodyText"/>
                              <w:rPr>
                                <w:sz w:val="22"/>
                                <w:lang w:val="es-419"/>
                              </w:rPr>
                            </w:pPr>
                          </w:p>
                          <w:p w14:paraId="3271977D" w14:textId="77777777" w:rsidR="0054336E" w:rsidRPr="00AF0C87" w:rsidRDefault="0054336E">
                            <w:pPr>
                              <w:pStyle w:val="BodyText"/>
                              <w:rPr>
                                <w:sz w:val="22"/>
                                <w:lang w:val="es-419"/>
                              </w:rPr>
                            </w:pPr>
                          </w:p>
                          <w:p w14:paraId="4ACD6E87" w14:textId="77777777" w:rsidR="0054336E" w:rsidRPr="00AF0C87" w:rsidRDefault="0054336E">
                            <w:pPr>
                              <w:pStyle w:val="BodyText"/>
                              <w:rPr>
                                <w:sz w:val="22"/>
                                <w:lang w:val="es-419"/>
                              </w:rPr>
                            </w:pPr>
                          </w:p>
                          <w:p w14:paraId="4615FBE5" w14:textId="77777777" w:rsidR="0054336E" w:rsidRPr="00AF0C87" w:rsidRDefault="0054336E">
                            <w:pPr>
                              <w:pStyle w:val="BodyText"/>
                              <w:rPr>
                                <w:sz w:val="22"/>
                                <w:lang w:val="es-419"/>
                              </w:rPr>
                            </w:pPr>
                          </w:p>
                          <w:p w14:paraId="546D6BA3" w14:textId="77777777" w:rsidR="0054336E" w:rsidRPr="00AF0C87" w:rsidRDefault="0054336E">
                            <w:pPr>
                              <w:pStyle w:val="BodyText"/>
                              <w:rPr>
                                <w:sz w:val="22"/>
                                <w:lang w:val="es-419"/>
                              </w:rPr>
                            </w:pPr>
                          </w:p>
                          <w:p w14:paraId="04C73831" w14:textId="77777777" w:rsidR="0054336E" w:rsidRPr="00AF0C87" w:rsidRDefault="0054336E">
                            <w:pPr>
                              <w:pStyle w:val="BodyText"/>
                              <w:rPr>
                                <w:sz w:val="22"/>
                                <w:lang w:val="es-419"/>
                              </w:rPr>
                            </w:pPr>
                          </w:p>
                          <w:p w14:paraId="69C35975" w14:textId="77777777" w:rsidR="0054336E" w:rsidRPr="00AF0C87" w:rsidRDefault="0054336E">
                            <w:pPr>
                              <w:pStyle w:val="BodyText"/>
                              <w:rPr>
                                <w:sz w:val="22"/>
                                <w:lang w:val="es-419"/>
                              </w:rPr>
                            </w:pPr>
                          </w:p>
                          <w:p w14:paraId="064BDD69" w14:textId="77777777" w:rsidR="0054336E" w:rsidRPr="00AF0C87" w:rsidRDefault="0054336E">
                            <w:pPr>
                              <w:pStyle w:val="BodyText"/>
                              <w:rPr>
                                <w:sz w:val="22"/>
                                <w:lang w:val="es-419"/>
                              </w:rPr>
                            </w:pPr>
                          </w:p>
                          <w:p w14:paraId="2779BAF2" w14:textId="77777777" w:rsidR="0054336E" w:rsidRPr="00AF0C87" w:rsidRDefault="0054336E">
                            <w:pPr>
                              <w:pStyle w:val="BodyText"/>
                              <w:rPr>
                                <w:sz w:val="22"/>
                                <w:lang w:val="es-419"/>
                              </w:rPr>
                            </w:pPr>
                          </w:p>
                          <w:p w14:paraId="0405996E" w14:textId="77777777" w:rsidR="0054336E" w:rsidRPr="00AF0C87" w:rsidRDefault="0054336E">
                            <w:pPr>
                              <w:pStyle w:val="BodyText"/>
                              <w:rPr>
                                <w:sz w:val="22"/>
                                <w:lang w:val="es-419"/>
                              </w:rPr>
                            </w:pPr>
                          </w:p>
                          <w:p w14:paraId="65DBB752" w14:textId="77777777" w:rsidR="0054336E" w:rsidRPr="00AF0C87" w:rsidRDefault="0054336E">
                            <w:pPr>
                              <w:pStyle w:val="BodyText"/>
                              <w:rPr>
                                <w:sz w:val="22"/>
                                <w:lang w:val="es-419"/>
                              </w:rPr>
                            </w:pPr>
                          </w:p>
                          <w:p w14:paraId="3914C4FE" w14:textId="77777777" w:rsidR="0054336E" w:rsidRPr="00AF0C87" w:rsidRDefault="0054336E">
                            <w:pPr>
                              <w:pStyle w:val="BodyText"/>
                              <w:rPr>
                                <w:sz w:val="22"/>
                                <w:lang w:val="es-419"/>
                              </w:rPr>
                            </w:pPr>
                          </w:p>
                          <w:p w14:paraId="6CD615F1" w14:textId="77777777" w:rsidR="0054336E" w:rsidRPr="00AF0C87" w:rsidRDefault="0054336E">
                            <w:pPr>
                              <w:pStyle w:val="BodyText"/>
                              <w:rPr>
                                <w:sz w:val="22"/>
                                <w:lang w:val="es-419"/>
                              </w:rPr>
                            </w:pPr>
                          </w:p>
                          <w:p w14:paraId="6C14BE4D" w14:textId="77777777" w:rsidR="0054336E" w:rsidRPr="00AF0C87" w:rsidRDefault="0054336E">
                            <w:pPr>
                              <w:pStyle w:val="BodyText"/>
                              <w:rPr>
                                <w:sz w:val="22"/>
                                <w:lang w:val="es-419"/>
                              </w:rPr>
                            </w:pPr>
                          </w:p>
                          <w:p w14:paraId="72D584A2" w14:textId="77777777" w:rsidR="0054336E" w:rsidRPr="00AF0C87" w:rsidRDefault="0054336E">
                            <w:pPr>
                              <w:pStyle w:val="BodyText"/>
                              <w:rPr>
                                <w:sz w:val="22"/>
                                <w:lang w:val="es-419"/>
                              </w:rPr>
                            </w:pPr>
                          </w:p>
                          <w:p w14:paraId="044E3404" w14:textId="77777777" w:rsidR="0054336E" w:rsidRPr="00AF0C87" w:rsidRDefault="0054336E">
                            <w:pPr>
                              <w:pStyle w:val="BodyText"/>
                              <w:rPr>
                                <w:sz w:val="22"/>
                                <w:lang w:val="es-419"/>
                              </w:rPr>
                            </w:pPr>
                          </w:p>
                          <w:p w14:paraId="472E25FD" w14:textId="77777777" w:rsidR="0054336E" w:rsidRPr="00AF0C87" w:rsidRDefault="0054336E">
                            <w:pPr>
                              <w:pStyle w:val="BodyText"/>
                              <w:rPr>
                                <w:sz w:val="22"/>
                                <w:lang w:val="es-419"/>
                              </w:rPr>
                            </w:pPr>
                          </w:p>
                          <w:p w14:paraId="50743F04" w14:textId="77777777" w:rsidR="0054336E" w:rsidRPr="00AF0C87" w:rsidRDefault="0054336E">
                            <w:pPr>
                              <w:pStyle w:val="BodyText"/>
                              <w:rPr>
                                <w:sz w:val="22"/>
                                <w:lang w:val="es-419"/>
                              </w:rPr>
                            </w:pPr>
                          </w:p>
                          <w:p w14:paraId="16A249B5" w14:textId="77777777" w:rsidR="0054336E" w:rsidRPr="00AF0C87" w:rsidRDefault="0054336E">
                            <w:pPr>
                              <w:pStyle w:val="BodyText"/>
                              <w:rPr>
                                <w:sz w:val="22"/>
                                <w:lang w:val="es-419"/>
                              </w:rPr>
                            </w:pPr>
                          </w:p>
                          <w:p w14:paraId="6AF262A4" w14:textId="77777777" w:rsidR="0054336E" w:rsidRPr="00AF0C87" w:rsidRDefault="0054336E">
                            <w:pPr>
                              <w:pStyle w:val="BodyText"/>
                              <w:rPr>
                                <w:sz w:val="22"/>
                                <w:lang w:val="es-419"/>
                              </w:rPr>
                            </w:pPr>
                          </w:p>
                          <w:p w14:paraId="6FBF2F20" w14:textId="77777777" w:rsidR="0054336E" w:rsidRPr="00AF0C87" w:rsidRDefault="0054336E">
                            <w:pPr>
                              <w:pStyle w:val="BodyText"/>
                              <w:rPr>
                                <w:sz w:val="22"/>
                                <w:lang w:val="es-419"/>
                              </w:rPr>
                            </w:pPr>
                          </w:p>
                          <w:p w14:paraId="147FE114" w14:textId="77777777" w:rsidR="0054336E" w:rsidRPr="00AF0C87" w:rsidRDefault="0054336E">
                            <w:pPr>
                              <w:pStyle w:val="BodyText"/>
                              <w:rPr>
                                <w:sz w:val="22"/>
                                <w:lang w:val="es-419"/>
                              </w:rPr>
                            </w:pPr>
                          </w:p>
                          <w:p w14:paraId="08EA78E3" w14:textId="77777777" w:rsidR="0054336E" w:rsidRPr="00AF0C87" w:rsidRDefault="0054336E">
                            <w:pPr>
                              <w:pStyle w:val="BodyText"/>
                              <w:rPr>
                                <w:sz w:val="22"/>
                                <w:lang w:val="es-419"/>
                              </w:rPr>
                            </w:pPr>
                          </w:p>
                          <w:p w14:paraId="262C4DEB" w14:textId="77777777" w:rsidR="0054336E" w:rsidRPr="00AF0C87" w:rsidRDefault="0054336E">
                            <w:pPr>
                              <w:pStyle w:val="BodyText"/>
                              <w:rPr>
                                <w:sz w:val="22"/>
                                <w:lang w:val="es-419"/>
                              </w:rPr>
                            </w:pPr>
                          </w:p>
                          <w:p w14:paraId="0CB605B8" w14:textId="77777777" w:rsidR="0054336E" w:rsidRPr="00AF0C87" w:rsidRDefault="0054336E">
                            <w:pPr>
                              <w:pStyle w:val="BodyText"/>
                              <w:rPr>
                                <w:sz w:val="22"/>
                                <w:lang w:val="es-419"/>
                              </w:rPr>
                            </w:pPr>
                          </w:p>
                          <w:p w14:paraId="3E06130D" w14:textId="77777777" w:rsidR="0054336E" w:rsidRPr="00AF0C87" w:rsidRDefault="0054336E">
                            <w:pPr>
                              <w:pStyle w:val="BodyText"/>
                              <w:rPr>
                                <w:sz w:val="22"/>
                                <w:lang w:val="es-419"/>
                              </w:rPr>
                            </w:pPr>
                          </w:p>
                          <w:p w14:paraId="0A159DD6" w14:textId="77777777" w:rsidR="0054336E" w:rsidRPr="00AF0C87" w:rsidRDefault="0054336E">
                            <w:pPr>
                              <w:pStyle w:val="BodyText"/>
                              <w:spacing w:before="3"/>
                              <w:rPr>
                                <w:sz w:val="21"/>
                                <w:lang w:val="es-419"/>
                              </w:rPr>
                            </w:pPr>
                          </w:p>
                          <w:p w14:paraId="7A54D27C" w14:textId="77777777" w:rsidR="0054336E" w:rsidRPr="00EE7BDA" w:rsidRDefault="00562ABF">
                            <w:pPr>
                              <w:spacing w:before="1"/>
                              <w:ind w:left="453"/>
                              <w:rPr>
                                <w:rFonts w:ascii="Calibri"/>
                                <w:b/>
                                <w:sz w:val="24"/>
                                <w:lang w:val="pt-BR"/>
                              </w:rPr>
                            </w:pPr>
                            <w:hyperlink r:id="rId8">
                              <w:r w:rsidR="0054336E" w:rsidRPr="00EE7BDA">
                                <w:rPr>
                                  <w:rFonts w:ascii="Calibri"/>
                                  <w:b/>
                                  <w:color w:val="FFFFFF"/>
                                  <w:sz w:val="24"/>
                                  <w:lang w:val="pt-BR"/>
                                </w:rPr>
                                <w:t>www.cidh.org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C74EE" id="_x0000_t202" coordsize="21600,21600" o:spt="202" path="m,l,21600r21600,l21600,xe">
                <v:stroke joinstyle="miter"/>
                <v:path gradientshapeok="t" o:connecttype="rect"/>
              </v:shapetype>
              <v:shape id="Text Box 4" o:spid="_x0000_s1026" type="#_x0000_t202" style="position:absolute;margin-left:39.25pt;margin-top:37.4pt;width:121.5pt;height:716.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" fillcolor="#4a7194" stroked="f">
                <v:textbox inset="0,0,0,0">
                  <w:txbxContent>
                    <w:p w14:paraId="57C6298F" w14:textId="77777777" w:rsidR="0054336E" w:rsidRDefault="0054336E">
                      <w:pPr>
                        <w:pStyle w:val="BodyText"/>
                        <w:rPr>
                          <w:sz w:val="22"/>
                        </w:rPr>
                      </w:pPr>
                    </w:p>
                    <w:p w14:paraId="68352512" w14:textId="77777777" w:rsidR="0054336E" w:rsidRDefault="0054336E">
                      <w:pPr>
                        <w:pStyle w:val="BodyText"/>
                        <w:rPr>
                          <w:sz w:val="22"/>
                        </w:rPr>
                      </w:pPr>
                    </w:p>
                    <w:p w14:paraId="59DC0060" w14:textId="77777777" w:rsidR="0054336E" w:rsidRDefault="0054336E">
                      <w:pPr>
                        <w:pStyle w:val="BodyText"/>
                        <w:rPr>
                          <w:sz w:val="22"/>
                        </w:rPr>
                      </w:pPr>
                    </w:p>
                    <w:p w14:paraId="68073EBC" w14:textId="77777777" w:rsidR="0054336E" w:rsidRDefault="0054336E">
                      <w:pPr>
                        <w:pStyle w:val="BodyText"/>
                        <w:rPr>
                          <w:sz w:val="22"/>
                        </w:rPr>
                      </w:pPr>
                    </w:p>
                    <w:p w14:paraId="78FEA6A8" w14:textId="77777777" w:rsidR="0054336E" w:rsidRDefault="0054336E">
                      <w:pPr>
                        <w:pStyle w:val="BodyText"/>
                        <w:rPr>
                          <w:sz w:val="22"/>
                        </w:rPr>
                      </w:pPr>
                    </w:p>
                    <w:p w14:paraId="5C4C7E9B" w14:textId="77777777" w:rsidR="0054336E" w:rsidRDefault="0054336E">
                      <w:pPr>
                        <w:pStyle w:val="BodyText"/>
                        <w:rPr>
                          <w:sz w:val="22"/>
                        </w:rPr>
                      </w:pPr>
                    </w:p>
                    <w:p w14:paraId="7DA1D8A5" w14:textId="77777777" w:rsidR="0054336E" w:rsidRDefault="0054336E">
                      <w:pPr>
                        <w:pStyle w:val="BodyText"/>
                        <w:rPr>
                          <w:sz w:val="22"/>
                        </w:rPr>
                      </w:pPr>
                    </w:p>
                    <w:p w14:paraId="45013810" w14:textId="77777777" w:rsidR="0054336E" w:rsidRDefault="0054336E">
                      <w:pPr>
                        <w:pStyle w:val="BodyText"/>
                        <w:rPr>
                          <w:sz w:val="22"/>
                        </w:rPr>
                      </w:pPr>
                    </w:p>
                    <w:p w14:paraId="5AD09D0C" w14:textId="77777777" w:rsidR="0054336E" w:rsidRDefault="0054336E">
                      <w:pPr>
                        <w:pStyle w:val="BodyText"/>
                        <w:rPr>
                          <w:sz w:val="22"/>
                        </w:rPr>
                      </w:pPr>
                    </w:p>
                    <w:p w14:paraId="1025AA08" w14:textId="77777777" w:rsidR="0054336E" w:rsidRDefault="0054336E">
                      <w:pPr>
                        <w:pStyle w:val="BodyText"/>
                        <w:rPr>
                          <w:sz w:val="22"/>
                        </w:rPr>
                      </w:pPr>
                    </w:p>
                    <w:p w14:paraId="0FF8B220" w14:textId="77777777" w:rsidR="0054336E" w:rsidRDefault="0054336E">
                      <w:pPr>
                        <w:pStyle w:val="BodyText"/>
                        <w:rPr>
                          <w:sz w:val="22"/>
                        </w:rPr>
                      </w:pPr>
                    </w:p>
                    <w:p w14:paraId="52D63876" w14:textId="77777777" w:rsidR="0054336E" w:rsidRDefault="0054336E">
                      <w:pPr>
                        <w:pStyle w:val="BodyText"/>
                        <w:rPr>
                          <w:sz w:val="22"/>
                        </w:rPr>
                      </w:pPr>
                    </w:p>
                    <w:p w14:paraId="7F40E19A" w14:textId="77777777" w:rsidR="0054336E" w:rsidRDefault="0054336E">
                      <w:pPr>
                        <w:pStyle w:val="BodyText"/>
                        <w:rPr>
                          <w:sz w:val="22"/>
                        </w:rPr>
                      </w:pPr>
                    </w:p>
                    <w:p w14:paraId="771BCFDF" w14:textId="77777777" w:rsidR="0054336E" w:rsidRDefault="0054336E">
                      <w:pPr>
                        <w:pStyle w:val="BodyText"/>
                        <w:rPr>
                          <w:sz w:val="22"/>
                        </w:rPr>
                      </w:pPr>
                    </w:p>
                    <w:p w14:paraId="010292D4" w14:textId="77777777" w:rsidR="0054336E" w:rsidRDefault="0054336E">
                      <w:pPr>
                        <w:pStyle w:val="BodyText"/>
                        <w:rPr>
                          <w:sz w:val="22"/>
                        </w:rPr>
                      </w:pPr>
                    </w:p>
                    <w:p w14:paraId="5AC78962" w14:textId="77777777" w:rsidR="0054336E" w:rsidRDefault="0054336E">
                      <w:pPr>
                        <w:pStyle w:val="BodyText"/>
                        <w:rPr>
                          <w:sz w:val="22"/>
                        </w:rPr>
                      </w:pPr>
                    </w:p>
                    <w:p w14:paraId="33EE618D" w14:textId="77777777" w:rsidR="0054336E" w:rsidRDefault="0054336E">
                      <w:pPr>
                        <w:pStyle w:val="BodyText"/>
                        <w:spacing w:before="4"/>
                        <w:rPr>
                          <w:sz w:val="21"/>
                        </w:rPr>
                      </w:pPr>
                    </w:p>
                    <w:p w14:paraId="5B212135" w14:textId="597EC914" w:rsidR="0054336E" w:rsidRPr="00CF6B26" w:rsidRDefault="0054336E">
                      <w:pPr>
                        <w:spacing w:before="1"/>
                        <w:ind w:left="794"/>
                        <w:rPr>
                          <w:rFonts w:ascii="Calibri"/>
                          <w:lang w:val="es-419"/>
                        </w:rPr>
                      </w:pPr>
                      <w:r w:rsidRPr="00CF6B26">
                        <w:rPr>
                          <w:rFonts w:ascii="Calibri"/>
                          <w:color w:val="FFFFFF"/>
                          <w:lang w:val="es-419"/>
                        </w:rPr>
                        <w:t>OEA/Ser.L/V/II</w:t>
                      </w:r>
                    </w:p>
                    <w:p w14:paraId="2103D6EE" w14:textId="4C4249FE" w:rsidR="0054336E" w:rsidRPr="00AF0C87" w:rsidRDefault="0054336E">
                      <w:pPr>
                        <w:spacing w:before="41"/>
                        <w:ind w:right="271"/>
                        <w:jc w:val="right"/>
                        <w:rPr>
                          <w:rFonts w:ascii="Calibri"/>
                          <w:lang w:val="es-419"/>
                        </w:rPr>
                      </w:pPr>
                      <w:r w:rsidRPr="00AF0C87">
                        <w:rPr>
                          <w:rFonts w:ascii="Calibri"/>
                          <w:color w:val="FFFFFF"/>
                          <w:lang w:val="es-419"/>
                        </w:rPr>
                        <w:t>Doc.</w:t>
                      </w:r>
                      <w:r w:rsidRPr="00AF0C87">
                        <w:rPr>
                          <w:rFonts w:ascii="Calibri"/>
                          <w:color w:val="FFFFFF"/>
                          <w:spacing w:val="-2"/>
                          <w:lang w:val="es-419"/>
                        </w:rPr>
                        <w:t xml:space="preserve"> </w:t>
                      </w:r>
                      <w:r w:rsidR="00AF0C87" w:rsidRPr="00AF0C87">
                        <w:rPr>
                          <w:rFonts w:ascii="Calibri"/>
                          <w:color w:val="FFFFFF"/>
                          <w:spacing w:val="-2"/>
                          <w:lang w:val="es-419"/>
                        </w:rPr>
                        <w:t>4</w:t>
                      </w:r>
                      <w:r w:rsidR="00635B7A">
                        <w:rPr>
                          <w:rFonts w:ascii="Calibri"/>
                          <w:color w:val="FFFFFF"/>
                          <w:spacing w:val="-2"/>
                          <w:lang w:val="es-419"/>
                        </w:rPr>
                        <w:t>23</w:t>
                      </w:r>
                    </w:p>
                    <w:p w14:paraId="2B5938C9" w14:textId="3582AA10" w:rsidR="0054336E" w:rsidRPr="00AF0C87" w:rsidRDefault="00E43487">
                      <w:pPr>
                        <w:spacing w:before="38" w:line="278" w:lineRule="auto"/>
                        <w:ind w:left="650" w:right="270" w:hanging="286"/>
                        <w:jc w:val="right"/>
                        <w:rPr>
                          <w:rFonts w:ascii="Calibri" w:hAnsi="Calibri"/>
                          <w:lang w:val="es-419"/>
                        </w:rPr>
                      </w:pPr>
                      <w:r>
                        <w:rPr>
                          <w:rFonts w:ascii="Calibri" w:hAnsi="Calibri"/>
                          <w:color w:val="FFFFFF"/>
                          <w:lang w:val="es-419"/>
                        </w:rPr>
                        <w:t>3</w:t>
                      </w:r>
                      <w:r w:rsidR="007A187C">
                        <w:rPr>
                          <w:rFonts w:ascii="Calibri" w:hAnsi="Calibri"/>
                          <w:color w:val="FFFFFF"/>
                          <w:lang w:val="es-419"/>
                        </w:rPr>
                        <w:t>1</w:t>
                      </w:r>
                      <w:r>
                        <w:rPr>
                          <w:rFonts w:ascii="Calibri" w:hAnsi="Calibri"/>
                          <w:color w:val="FFFFFF"/>
                          <w:lang w:val="es-419"/>
                        </w:rPr>
                        <w:t xml:space="preserve"> diciembre</w:t>
                      </w:r>
                      <w:r w:rsidR="0054336E" w:rsidRPr="00AF0C87">
                        <w:rPr>
                          <w:rFonts w:ascii="Calibri" w:hAnsi="Calibri"/>
                          <w:color w:val="FFFFFF"/>
                          <w:spacing w:val="-5"/>
                          <w:lang w:val="es-419"/>
                        </w:rPr>
                        <w:t xml:space="preserve"> </w:t>
                      </w:r>
                      <w:r w:rsidR="0054336E" w:rsidRPr="00AF0C87">
                        <w:rPr>
                          <w:rFonts w:ascii="Calibri" w:hAnsi="Calibri"/>
                          <w:color w:val="FFFFFF"/>
                          <w:lang w:val="es-419"/>
                        </w:rPr>
                        <w:t>2021</w:t>
                      </w:r>
                      <w:r w:rsidR="0054336E" w:rsidRPr="00AF0C87">
                        <w:rPr>
                          <w:rFonts w:ascii="Calibri" w:hAnsi="Calibri"/>
                          <w:color w:val="FFFFFF"/>
                          <w:spacing w:val="-2"/>
                          <w:lang w:val="es-419"/>
                        </w:rPr>
                        <w:t xml:space="preserve"> </w:t>
                      </w:r>
                      <w:r w:rsidR="0054336E" w:rsidRPr="00AF0C87">
                        <w:rPr>
                          <w:rFonts w:ascii="Calibri" w:hAnsi="Calibri"/>
                          <w:color w:val="FFFFFF"/>
                          <w:lang w:val="es-419"/>
                        </w:rPr>
                        <w:t>Original:</w:t>
                      </w:r>
                      <w:r w:rsidR="0054336E" w:rsidRPr="00AF0C87">
                        <w:rPr>
                          <w:rFonts w:ascii="Calibri" w:hAnsi="Calibri"/>
                          <w:color w:val="FFFFFF"/>
                          <w:spacing w:val="-6"/>
                          <w:lang w:val="es-419"/>
                        </w:rPr>
                        <w:t xml:space="preserve"> </w:t>
                      </w:r>
                      <w:r w:rsidR="0054336E" w:rsidRPr="00AF0C87">
                        <w:rPr>
                          <w:rFonts w:ascii="Calibri" w:hAnsi="Calibri"/>
                          <w:color w:val="FFFFFF"/>
                          <w:lang w:val="es-419"/>
                        </w:rPr>
                        <w:t>español</w:t>
                      </w:r>
                    </w:p>
                    <w:p w14:paraId="18E44612" w14:textId="77777777" w:rsidR="0054336E" w:rsidRPr="00AF0C87" w:rsidRDefault="0054336E">
                      <w:pPr>
                        <w:pStyle w:val="BodyText"/>
                        <w:rPr>
                          <w:sz w:val="22"/>
                          <w:lang w:val="es-419"/>
                        </w:rPr>
                      </w:pPr>
                    </w:p>
                    <w:p w14:paraId="0860EC38" w14:textId="77777777" w:rsidR="0054336E" w:rsidRPr="00AF0C87" w:rsidRDefault="0054336E">
                      <w:pPr>
                        <w:pStyle w:val="BodyText"/>
                        <w:rPr>
                          <w:sz w:val="22"/>
                          <w:lang w:val="es-419"/>
                        </w:rPr>
                      </w:pPr>
                    </w:p>
                    <w:p w14:paraId="0952E55B" w14:textId="77777777" w:rsidR="0054336E" w:rsidRPr="00AF0C87" w:rsidRDefault="0054336E">
                      <w:pPr>
                        <w:pStyle w:val="BodyText"/>
                        <w:rPr>
                          <w:sz w:val="22"/>
                          <w:lang w:val="es-419"/>
                        </w:rPr>
                      </w:pPr>
                    </w:p>
                    <w:p w14:paraId="4C3592B3" w14:textId="77777777" w:rsidR="0054336E" w:rsidRPr="00AF0C87" w:rsidRDefault="0054336E">
                      <w:pPr>
                        <w:pStyle w:val="BodyText"/>
                        <w:rPr>
                          <w:sz w:val="22"/>
                          <w:lang w:val="es-419"/>
                        </w:rPr>
                      </w:pPr>
                    </w:p>
                    <w:p w14:paraId="3E49B12C" w14:textId="77777777" w:rsidR="0054336E" w:rsidRPr="00AF0C87" w:rsidRDefault="0054336E">
                      <w:pPr>
                        <w:pStyle w:val="BodyText"/>
                        <w:rPr>
                          <w:sz w:val="22"/>
                          <w:lang w:val="es-419"/>
                        </w:rPr>
                      </w:pPr>
                    </w:p>
                    <w:p w14:paraId="2C1EBE27" w14:textId="77777777" w:rsidR="0054336E" w:rsidRPr="00AF0C87" w:rsidRDefault="0054336E">
                      <w:pPr>
                        <w:pStyle w:val="BodyText"/>
                        <w:rPr>
                          <w:sz w:val="22"/>
                          <w:lang w:val="es-419"/>
                        </w:rPr>
                      </w:pPr>
                    </w:p>
                    <w:p w14:paraId="3271977D" w14:textId="77777777" w:rsidR="0054336E" w:rsidRPr="00AF0C87" w:rsidRDefault="0054336E">
                      <w:pPr>
                        <w:pStyle w:val="BodyText"/>
                        <w:rPr>
                          <w:sz w:val="22"/>
                          <w:lang w:val="es-419"/>
                        </w:rPr>
                      </w:pPr>
                    </w:p>
                    <w:p w14:paraId="4ACD6E87" w14:textId="77777777" w:rsidR="0054336E" w:rsidRPr="00AF0C87" w:rsidRDefault="0054336E">
                      <w:pPr>
                        <w:pStyle w:val="BodyText"/>
                        <w:rPr>
                          <w:sz w:val="22"/>
                          <w:lang w:val="es-419"/>
                        </w:rPr>
                      </w:pPr>
                    </w:p>
                    <w:p w14:paraId="4615FBE5" w14:textId="77777777" w:rsidR="0054336E" w:rsidRPr="00AF0C87" w:rsidRDefault="0054336E">
                      <w:pPr>
                        <w:pStyle w:val="BodyText"/>
                        <w:rPr>
                          <w:sz w:val="22"/>
                          <w:lang w:val="es-419"/>
                        </w:rPr>
                      </w:pPr>
                    </w:p>
                    <w:p w14:paraId="546D6BA3" w14:textId="77777777" w:rsidR="0054336E" w:rsidRPr="00AF0C87" w:rsidRDefault="0054336E">
                      <w:pPr>
                        <w:pStyle w:val="BodyText"/>
                        <w:rPr>
                          <w:sz w:val="22"/>
                          <w:lang w:val="es-419"/>
                        </w:rPr>
                      </w:pPr>
                    </w:p>
                    <w:p w14:paraId="04C73831" w14:textId="77777777" w:rsidR="0054336E" w:rsidRPr="00AF0C87" w:rsidRDefault="0054336E">
                      <w:pPr>
                        <w:pStyle w:val="BodyText"/>
                        <w:rPr>
                          <w:sz w:val="22"/>
                          <w:lang w:val="es-419"/>
                        </w:rPr>
                      </w:pPr>
                    </w:p>
                    <w:p w14:paraId="69C35975" w14:textId="77777777" w:rsidR="0054336E" w:rsidRPr="00AF0C87" w:rsidRDefault="0054336E">
                      <w:pPr>
                        <w:pStyle w:val="BodyText"/>
                        <w:rPr>
                          <w:sz w:val="22"/>
                          <w:lang w:val="es-419"/>
                        </w:rPr>
                      </w:pPr>
                    </w:p>
                    <w:p w14:paraId="064BDD69" w14:textId="77777777" w:rsidR="0054336E" w:rsidRPr="00AF0C87" w:rsidRDefault="0054336E">
                      <w:pPr>
                        <w:pStyle w:val="BodyText"/>
                        <w:rPr>
                          <w:sz w:val="22"/>
                          <w:lang w:val="es-419"/>
                        </w:rPr>
                      </w:pPr>
                    </w:p>
                    <w:p w14:paraId="2779BAF2" w14:textId="77777777" w:rsidR="0054336E" w:rsidRPr="00AF0C87" w:rsidRDefault="0054336E">
                      <w:pPr>
                        <w:pStyle w:val="BodyText"/>
                        <w:rPr>
                          <w:sz w:val="22"/>
                          <w:lang w:val="es-419"/>
                        </w:rPr>
                      </w:pPr>
                    </w:p>
                    <w:p w14:paraId="0405996E" w14:textId="77777777" w:rsidR="0054336E" w:rsidRPr="00AF0C87" w:rsidRDefault="0054336E">
                      <w:pPr>
                        <w:pStyle w:val="BodyText"/>
                        <w:rPr>
                          <w:sz w:val="22"/>
                          <w:lang w:val="es-419"/>
                        </w:rPr>
                      </w:pPr>
                    </w:p>
                    <w:p w14:paraId="65DBB752" w14:textId="77777777" w:rsidR="0054336E" w:rsidRPr="00AF0C87" w:rsidRDefault="0054336E">
                      <w:pPr>
                        <w:pStyle w:val="BodyText"/>
                        <w:rPr>
                          <w:sz w:val="22"/>
                          <w:lang w:val="es-419"/>
                        </w:rPr>
                      </w:pPr>
                    </w:p>
                    <w:p w14:paraId="3914C4FE" w14:textId="77777777" w:rsidR="0054336E" w:rsidRPr="00AF0C87" w:rsidRDefault="0054336E">
                      <w:pPr>
                        <w:pStyle w:val="BodyText"/>
                        <w:rPr>
                          <w:sz w:val="22"/>
                          <w:lang w:val="es-419"/>
                        </w:rPr>
                      </w:pPr>
                    </w:p>
                    <w:p w14:paraId="6CD615F1" w14:textId="77777777" w:rsidR="0054336E" w:rsidRPr="00AF0C87" w:rsidRDefault="0054336E">
                      <w:pPr>
                        <w:pStyle w:val="BodyText"/>
                        <w:rPr>
                          <w:sz w:val="22"/>
                          <w:lang w:val="es-419"/>
                        </w:rPr>
                      </w:pPr>
                    </w:p>
                    <w:p w14:paraId="6C14BE4D" w14:textId="77777777" w:rsidR="0054336E" w:rsidRPr="00AF0C87" w:rsidRDefault="0054336E">
                      <w:pPr>
                        <w:pStyle w:val="BodyText"/>
                        <w:rPr>
                          <w:sz w:val="22"/>
                          <w:lang w:val="es-419"/>
                        </w:rPr>
                      </w:pPr>
                    </w:p>
                    <w:p w14:paraId="72D584A2" w14:textId="77777777" w:rsidR="0054336E" w:rsidRPr="00AF0C87" w:rsidRDefault="0054336E">
                      <w:pPr>
                        <w:pStyle w:val="BodyText"/>
                        <w:rPr>
                          <w:sz w:val="22"/>
                          <w:lang w:val="es-419"/>
                        </w:rPr>
                      </w:pPr>
                    </w:p>
                    <w:p w14:paraId="044E3404" w14:textId="77777777" w:rsidR="0054336E" w:rsidRPr="00AF0C87" w:rsidRDefault="0054336E">
                      <w:pPr>
                        <w:pStyle w:val="BodyText"/>
                        <w:rPr>
                          <w:sz w:val="22"/>
                          <w:lang w:val="es-419"/>
                        </w:rPr>
                      </w:pPr>
                    </w:p>
                    <w:p w14:paraId="472E25FD" w14:textId="77777777" w:rsidR="0054336E" w:rsidRPr="00AF0C87" w:rsidRDefault="0054336E">
                      <w:pPr>
                        <w:pStyle w:val="BodyText"/>
                        <w:rPr>
                          <w:sz w:val="22"/>
                          <w:lang w:val="es-419"/>
                        </w:rPr>
                      </w:pPr>
                    </w:p>
                    <w:p w14:paraId="50743F04" w14:textId="77777777" w:rsidR="0054336E" w:rsidRPr="00AF0C87" w:rsidRDefault="0054336E">
                      <w:pPr>
                        <w:pStyle w:val="BodyText"/>
                        <w:rPr>
                          <w:sz w:val="22"/>
                          <w:lang w:val="es-419"/>
                        </w:rPr>
                      </w:pPr>
                    </w:p>
                    <w:p w14:paraId="16A249B5" w14:textId="77777777" w:rsidR="0054336E" w:rsidRPr="00AF0C87" w:rsidRDefault="0054336E">
                      <w:pPr>
                        <w:pStyle w:val="BodyText"/>
                        <w:rPr>
                          <w:sz w:val="22"/>
                          <w:lang w:val="es-419"/>
                        </w:rPr>
                      </w:pPr>
                    </w:p>
                    <w:p w14:paraId="6AF262A4" w14:textId="77777777" w:rsidR="0054336E" w:rsidRPr="00AF0C87" w:rsidRDefault="0054336E">
                      <w:pPr>
                        <w:pStyle w:val="BodyText"/>
                        <w:rPr>
                          <w:sz w:val="22"/>
                          <w:lang w:val="es-419"/>
                        </w:rPr>
                      </w:pPr>
                    </w:p>
                    <w:p w14:paraId="6FBF2F20" w14:textId="77777777" w:rsidR="0054336E" w:rsidRPr="00AF0C87" w:rsidRDefault="0054336E">
                      <w:pPr>
                        <w:pStyle w:val="BodyText"/>
                        <w:rPr>
                          <w:sz w:val="22"/>
                          <w:lang w:val="es-419"/>
                        </w:rPr>
                      </w:pPr>
                    </w:p>
                    <w:p w14:paraId="147FE114" w14:textId="77777777" w:rsidR="0054336E" w:rsidRPr="00AF0C87" w:rsidRDefault="0054336E">
                      <w:pPr>
                        <w:pStyle w:val="BodyText"/>
                        <w:rPr>
                          <w:sz w:val="22"/>
                          <w:lang w:val="es-419"/>
                        </w:rPr>
                      </w:pPr>
                    </w:p>
                    <w:p w14:paraId="08EA78E3" w14:textId="77777777" w:rsidR="0054336E" w:rsidRPr="00AF0C87" w:rsidRDefault="0054336E">
                      <w:pPr>
                        <w:pStyle w:val="BodyText"/>
                        <w:rPr>
                          <w:sz w:val="22"/>
                          <w:lang w:val="es-419"/>
                        </w:rPr>
                      </w:pPr>
                    </w:p>
                    <w:p w14:paraId="262C4DEB" w14:textId="77777777" w:rsidR="0054336E" w:rsidRPr="00AF0C87" w:rsidRDefault="0054336E">
                      <w:pPr>
                        <w:pStyle w:val="BodyText"/>
                        <w:rPr>
                          <w:sz w:val="22"/>
                          <w:lang w:val="es-419"/>
                        </w:rPr>
                      </w:pPr>
                    </w:p>
                    <w:p w14:paraId="0CB605B8" w14:textId="77777777" w:rsidR="0054336E" w:rsidRPr="00AF0C87" w:rsidRDefault="0054336E">
                      <w:pPr>
                        <w:pStyle w:val="BodyText"/>
                        <w:rPr>
                          <w:sz w:val="22"/>
                          <w:lang w:val="es-419"/>
                        </w:rPr>
                      </w:pPr>
                    </w:p>
                    <w:p w14:paraId="3E06130D" w14:textId="77777777" w:rsidR="0054336E" w:rsidRPr="00AF0C87" w:rsidRDefault="0054336E">
                      <w:pPr>
                        <w:pStyle w:val="BodyText"/>
                        <w:rPr>
                          <w:sz w:val="22"/>
                          <w:lang w:val="es-419"/>
                        </w:rPr>
                      </w:pPr>
                    </w:p>
                    <w:p w14:paraId="0A159DD6" w14:textId="77777777" w:rsidR="0054336E" w:rsidRPr="00AF0C87" w:rsidRDefault="0054336E">
                      <w:pPr>
                        <w:pStyle w:val="BodyText"/>
                        <w:spacing w:before="3"/>
                        <w:rPr>
                          <w:sz w:val="21"/>
                          <w:lang w:val="es-419"/>
                        </w:rPr>
                      </w:pPr>
                    </w:p>
                    <w:p w14:paraId="7A54D27C" w14:textId="77777777" w:rsidR="0054336E" w:rsidRPr="00EE7BDA" w:rsidRDefault="00BB36A3">
                      <w:pPr>
                        <w:spacing w:before="1"/>
                        <w:ind w:left="453"/>
                        <w:rPr>
                          <w:rFonts w:ascii="Calibri"/>
                          <w:b/>
                          <w:sz w:val="24"/>
                          <w:lang w:val="pt-BR"/>
                        </w:rPr>
                      </w:pPr>
                      <w:hyperlink r:id="rId12">
                        <w:r w:rsidR="0054336E" w:rsidRPr="00EE7BDA">
                          <w:rPr>
                            <w:rFonts w:ascii="Calibri"/>
                            <w:b/>
                            <w:color w:val="FFFFFF"/>
                            <w:sz w:val="24"/>
                            <w:lang w:val="pt-BR"/>
                          </w:rPr>
                          <w:t>www.cidh.org</w:t>
                        </w:r>
                      </w:hyperlink>
                    </w:p>
                  </w:txbxContent>
                </v:textbox>
                <w10:wrap anchorx="page" anchory="page"/>
              </v:shape>
            </w:pict>
          </mc:Fallback>
        </mc:AlternateContent>
      </w:r>
    </w:p>
    <w:p w14:paraId="5DD3CB1A" w14:textId="77777777" w:rsidR="00C02C7F" w:rsidRDefault="001223F2" w:rsidP="00DD4610">
      <w:pPr>
        <w:pStyle w:val="BodyText"/>
        <w:ind w:left="3011"/>
        <w:rPr>
          <w:rFonts w:ascii="Times New Roman"/>
        </w:rPr>
      </w:pPr>
      <w:r>
        <w:rPr>
          <w:rFonts w:ascii="Times New Roman"/>
          <w:noProof/>
        </w:rPr>
        <w:drawing>
          <wp:inline distT="0" distB="0" distL="0" distR="0" wp14:anchorId="5ECEBE8E" wp14:editId="3C7128B3">
            <wp:extent cx="2525632" cy="473201"/>
            <wp:effectExtent l="0" t="0" r="0" b="0"/>
            <wp:docPr id="1" name="image1.jpeg"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2525632" cy="473201"/>
                    </a:xfrm>
                    <a:prstGeom prst="rect">
                      <a:avLst/>
                    </a:prstGeom>
                  </pic:spPr>
                </pic:pic>
              </a:graphicData>
            </a:graphic>
          </wp:inline>
        </w:drawing>
      </w:r>
    </w:p>
    <w:p w14:paraId="2123924B" w14:textId="77777777" w:rsidR="00C02C7F" w:rsidRDefault="00C02C7F" w:rsidP="00DD4610">
      <w:pPr>
        <w:pStyle w:val="BodyText"/>
        <w:rPr>
          <w:rFonts w:ascii="Times New Roman"/>
        </w:rPr>
      </w:pPr>
    </w:p>
    <w:p w14:paraId="6CB005A9" w14:textId="77777777" w:rsidR="00C02C7F" w:rsidRDefault="00C02C7F" w:rsidP="00DD4610">
      <w:pPr>
        <w:pStyle w:val="BodyText"/>
        <w:rPr>
          <w:rFonts w:ascii="Times New Roman"/>
        </w:rPr>
      </w:pPr>
    </w:p>
    <w:p w14:paraId="37D60A00" w14:textId="77777777" w:rsidR="00C02C7F" w:rsidRDefault="00C02C7F" w:rsidP="00DD4610">
      <w:pPr>
        <w:pStyle w:val="BodyText"/>
        <w:rPr>
          <w:rFonts w:ascii="Times New Roman"/>
        </w:rPr>
      </w:pPr>
    </w:p>
    <w:p w14:paraId="294A612B" w14:textId="77777777" w:rsidR="00C02C7F" w:rsidRDefault="00C02C7F" w:rsidP="00DD4610">
      <w:pPr>
        <w:pStyle w:val="BodyText"/>
        <w:rPr>
          <w:rFonts w:ascii="Times New Roman"/>
        </w:rPr>
      </w:pPr>
    </w:p>
    <w:p w14:paraId="257E66D2" w14:textId="77777777" w:rsidR="00C02C7F" w:rsidRDefault="00C02C7F" w:rsidP="00DD4610">
      <w:pPr>
        <w:pStyle w:val="BodyText"/>
        <w:rPr>
          <w:rFonts w:ascii="Times New Roman"/>
        </w:rPr>
      </w:pPr>
    </w:p>
    <w:p w14:paraId="7D3B429A" w14:textId="77777777" w:rsidR="00C02C7F" w:rsidRDefault="00C02C7F" w:rsidP="00DD4610">
      <w:pPr>
        <w:pStyle w:val="BodyText"/>
        <w:rPr>
          <w:rFonts w:ascii="Times New Roman"/>
        </w:rPr>
      </w:pPr>
    </w:p>
    <w:p w14:paraId="6577169D" w14:textId="77777777" w:rsidR="00C02C7F" w:rsidRDefault="00C02C7F" w:rsidP="00DD4610">
      <w:pPr>
        <w:pStyle w:val="BodyText"/>
        <w:rPr>
          <w:rFonts w:ascii="Times New Roman"/>
        </w:rPr>
      </w:pPr>
    </w:p>
    <w:p w14:paraId="24AB6ADD" w14:textId="77777777" w:rsidR="00C02C7F" w:rsidRDefault="00C02C7F" w:rsidP="00DD4610">
      <w:pPr>
        <w:pStyle w:val="BodyText"/>
        <w:rPr>
          <w:rFonts w:ascii="Times New Roman"/>
        </w:rPr>
      </w:pPr>
    </w:p>
    <w:p w14:paraId="5F2F745A" w14:textId="77777777" w:rsidR="00C02C7F" w:rsidRDefault="00C02C7F" w:rsidP="00DD4610">
      <w:pPr>
        <w:pStyle w:val="BodyText"/>
        <w:rPr>
          <w:rFonts w:ascii="Times New Roman"/>
        </w:rPr>
      </w:pPr>
    </w:p>
    <w:p w14:paraId="3A8F9941" w14:textId="77777777" w:rsidR="00C02C7F" w:rsidRDefault="00C02C7F" w:rsidP="00DD4610">
      <w:pPr>
        <w:pStyle w:val="BodyText"/>
        <w:rPr>
          <w:rFonts w:ascii="Times New Roman"/>
        </w:rPr>
      </w:pPr>
    </w:p>
    <w:p w14:paraId="31F7366B" w14:textId="77777777" w:rsidR="00C02C7F" w:rsidRDefault="00C02C7F" w:rsidP="00DD4610">
      <w:pPr>
        <w:pStyle w:val="BodyText"/>
        <w:rPr>
          <w:rFonts w:ascii="Times New Roman"/>
        </w:rPr>
      </w:pPr>
    </w:p>
    <w:p w14:paraId="73EF7E9C" w14:textId="77777777" w:rsidR="00C02C7F" w:rsidRDefault="00C02C7F" w:rsidP="00DD4610">
      <w:pPr>
        <w:pStyle w:val="BodyText"/>
        <w:rPr>
          <w:rFonts w:ascii="Times New Roman"/>
        </w:rPr>
      </w:pPr>
    </w:p>
    <w:p w14:paraId="45D91B69" w14:textId="77777777" w:rsidR="00C02C7F" w:rsidRDefault="00C02C7F" w:rsidP="00DD4610">
      <w:pPr>
        <w:pStyle w:val="BodyText"/>
        <w:rPr>
          <w:rFonts w:ascii="Times New Roman"/>
        </w:rPr>
      </w:pPr>
    </w:p>
    <w:p w14:paraId="34FD64FC" w14:textId="77777777" w:rsidR="00C02C7F" w:rsidRDefault="00C02C7F" w:rsidP="00DD4610">
      <w:pPr>
        <w:pStyle w:val="BodyText"/>
        <w:rPr>
          <w:rFonts w:ascii="Times New Roman"/>
        </w:rPr>
      </w:pPr>
    </w:p>
    <w:p w14:paraId="7817E937" w14:textId="4282DC12" w:rsidR="00C02C7F" w:rsidRDefault="001223F2" w:rsidP="00DD4610">
      <w:pPr>
        <w:ind w:left="3040" w:right="2236"/>
        <w:rPr>
          <w:b/>
          <w:sz w:val="36"/>
        </w:rPr>
      </w:pPr>
      <w:r>
        <w:rPr>
          <w:b/>
          <w:color w:val="050505"/>
          <w:sz w:val="36"/>
        </w:rPr>
        <w:t xml:space="preserve">INFORME No. </w:t>
      </w:r>
      <w:r w:rsidR="00E43487">
        <w:rPr>
          <w:b/>
          <w:color w:val="050505"/>
          <w:spacing w:val="-3"/>
          <w:sz w:val="36"/>
        </w:rPr>
        <w:t>411</w:t>
      </w:r>
      <w:r>
        <w:rPr>
          <w:b/>
          <w:color w:val="050505"/>
          <w:spacing w:val="-3"/>
          <w:sz w:val="36"/>
        </w:rPr>
        <w:t>/2</w:t>
      </w:r>
      <w:r w:rsidR="00CF6E5B">
        <w:rPr>
          <w:b/>
          <w:color w:val="050505"/>
          <w:spacing w:val="-3"/>
          <w:sz w:val="36"/>
        </w:rPr>
        <w:t>1</w:t>
      </w:r>
      <w:r>
        <w:rPr>
          <w:b/>
          <w:color w:val="050505"/>
          <w:spacing w:val="-3"/>
          <w:sz w:val="36"/>
        </w:rPr>
        <w:t xml:space="preserve"> </w:t>
      </w:r>
      <w:r>
        <w:rPr>
          <w:b/>
          <w:color w:val="050505"/>
          <w:sz w:val="36"/>
        </w:rPr>
        <w:t>PETICIÓN</w:t>
      </w:r>
      <w:r>
        <w:rPr>
          <w:b/>
          <w:color w:val="050505"/>
          <w:spacing w:val="-2"/>
          <w:sz w:val="36"/>
        </w:rPr>
        <w:t xml:space="preserve"> </w:t>
      </w:r>
      <w:r w:rsidR="00834B56">
        <w:rPr>
          <w:b/>
          <w:color w:val="050505"/>
          <w:sz w:val="36"/>
        </w:rPr>
        <w:t>1565-09</w:t>
      </w:r>
    </w:p>
    <w:p w14:paraId="485AE2BC" w14:textId="77777777" w:rsidR="00C02C7F" w:rsidRDefault="001223F2" w:rsidP="00DD4610">
      <w:pPr>
        <w:pStyle w:val="Heading1"/>
      </w:pPr>
      <w:r>
        <w:rPr>
          <w:color w:val="050505"/>
        </w:rPr>
        <w:t>INFORME DE</w:t>
      </w:r>
      <w:r>
        <w:rPr>
          <w:color w:val="050505"/>
          <w:spacing w:val="-15"/>
        </w:rPr>
        <w:t xml:space="preserve"> </w:t>
      </w:r>
      <w:r>
        <w:rPr>
          <w:color w:val="050505"/>
        </w:rPr>
        <w:t>ADMISIBILIDAD</w:t>
      </w:r>
    </w:p>
    <w:p w14:paraId="61B91498" w14:textId="77777777" w:rsidR="00C02C7F" w:rsidRDefault="00C02C7F" w:rsidP="00DD4610">
      <w:pPr>
        <w:pStyle w:val="BodyText"/>
        <w:rPr>
          <w:sz w:val="31"/>
        </w:rPr>
      </w:pPr>
    </w:p>
    <w:p w14:paraId="597FBE5E" w14:textId="3CC8B8B8" w:rsidR="0026469F" w:rsidRDefault="00834B56" w:rsidP="00DD4610">
      <w:pPr>
        <w:ind w:left="3040" w:right="1146"/>
        <w:rPr>
          <w:color w:val="050505"/>
          <w:sz w:val="24"/>
        </w:rPr>
      </w:pPr>
      <w:r>
        <w:rPr>
          <w:color w:val="050505"/>
          <w:sz w:val="24"/>
        </w:rPr>
        <w:t>MARIO ALBERTO FLEISMAN</w:t>
      </w:r>
    </w:p>
    <w:p w14:paraId="1458044E" w14:textId="612B699E" w:rsidR="00C02C7F" w:rsidRDefault="001223F2" w:rsidP="00DD4610">
      <w:pPr>
        <w:ind w:left="3040" w:right="4155"/>
        <w:rPr>
          <w:sz w:val="24"/>
        </w:rPr>
      </w:pPr>
      <w:r>
        <w:rPr>
          <w:color w:val="050505"/>
          <w:sz w:val="24"/>
        </w:rPr>
        <w:t>ARGENTINA</w:t>
      </w:r>
    </w:p>
    <w:p w14:paraId="0FA9EC32" w14:textId="77777777" w:rsidR="00C02C7F" w:rsidRDefault="00C02C7F" w:rsidP="00DD4610">
      <w:pPr>
        <w:pStyle w:val="BodyText"/>
        <w:rPr>
          <w:sz w:val="28"/>
        </w:rPr>
      </w:pPr>
    </w:p>
    <w:p w14:paraId="04D6F510" w14:textId="77777777" w:rsidR="00C02C7F" w:rsidRDefault="00C02C7F" w:rsidP="00DD4610">
      <w:pPr>
        <w:pStyle w:val="BodyText"/>
        <w:rPr>
          <w:sz w:val="28"/>
        </w:rPr>
      </w:pPr>
    </w:p>
    <w:p w14:paraId="45841172" w14:textId="77777777" w:rsidR="00C02C7F" w:rsidRDefault="00C02C7F" w:rsidP="00DD4610">
      <w:pPr>
        <w:pStyle w:val="BodyText"/>
        <w:rPr>
          <w:sz w:val="28"/>
        </w:rPr>
      </w:pPr>
    </w:p>
    <w:p w14:paraId="769E29D0" w14:textId="77777777" w:rsidR="00C02C7F" w:rsidRDefault="00C02C7F" w:rsidP="00DD4610">
      <w:pPr>
        <w:pStyle w:val="BodyText"/>
        <w:rPr>
          <w:sz w:val="28"/>
        </w:rPr>
      </w:pPr>
    </w:p>
    <w:p w14:paraId="2CB703E1" w14:textId="77777777" w:rsidR="00C02C7F" w:rsidRDefault="00C02C7F" w:rsidP="00DD4610">
      <w:pPr>
        <w:pStyle w:val="BodyText"/>
        <w:rPr>
          <w:sz w:val="28"/>
        </w:rPr>
      </w:pPr>
    </w:p>
    <w:p w14:paraId="041C9733" w14:textId="77777777" w:rsidR="00C02C7F" w:rsidRDefault="00C02C7F" w:rsidP="00DD4610">
      <w:pPr>
        <w:pStyle w:val="BodyText"/>
        <w:rPr>
          <w:sz w:val="28"/>
        </w:rPr>
      </w:pPr>
    </w:p>
    <w:p w14:paraId="57E12571" w14:textId="77777777" w:rsidR="00C02C7F" w:rsidRDefault="00C02C7F" w:rsidP="00DD4610">
      <w:pPr>
        <w:pStyle w:val="BodyText"/>
        <w:rPr>
          <w:sz w:val="28"/>
        </w:rPr>
      </w:pPr>
    </w:p>
    <w:p w14:paraId="73663671" w14:textId="77777777" w:rsidR="00C02C7F" w:rsidRDefault="00C02C7F" w:rsidP="00DD4610">
      <w:pPr>
        <w:pStyle w:val="BodyText"/>
        <w:rPr>
          <w:sz w:val="28"/>
        </w:rPr>
      </w:pPr>
    </w:p>
    <w:p w14:paraId="33437773" w14:textId="77777777" w:rsidR="00C02C7F" w:rsidRDefault="00C02C7F" w:rsidP="00DD4610">
      <w:pPr>
        <w:pStyle w:val="BodyText"/>
        <w:rPr>
          <w:sz w:val="28"/>
        </w:rPr>
      </w:pPr>
    </w:p>
    <w:p w14:paraId="3E4A4DEB" w14:textId="77777777" w:rsidR="00C02C7F" w:rsidRDefault="00C02C7F" w:rsidP="00DD4610">
      <w:pPr>
        <w:pStyle w:val="BodyText"/>
        <w:rPr>
          <w:sz w:val="28"/>
        </w:rPr>
      </w:pPr>
    </w:p>
    <w:p w14:paraId="439C13BA" w14:textId="77777777" w:rsidR="00C02C7F" w:rsidRDefault="00C02C7F" w:rsidP="00DD4610">
      <w:pPr>
        <w:pStyle w:val="BodyText"/>
        <w:rPr>
          <w:sz w:val="28"/>
        </w:rPr>
      </w:pPr>
    </w:p>
    <w:p w14:paraId="55AD9ADD" w14:textId="77777777" w:rsidR="00C02C7F" w:rsidRDefault="00C02C7F" w:rsidP="00DD4610">
      <w:pPr>
        <w:pStyle w:val="BodyText"/>
        <w:rPr>
          <w:sz w:val="28"/>
        </w:rPr>
      </w:pPr>
    </w:p>
    <w:p w14:paraId="001AF764" w14:textId="77777777" w:rsidR="00C02C7F" w:rsidRDefault="00C02C7F" w:rsidP="00DD4610">
      <w:pPr>
        <w:pStyle w:val="BodyText"/>
        <w:rPr>
          <w:sz w:val="28"/>
        </w:rPr>
      </w:pPr>
    </w:p>
    <w:p w14:paraId="25916868" w14:textId="76C2EDF9" w:rsidR="00C02C7F" w:rsidRDefault="001223F2" w:rsidP="00DD4610">
      <w:pPr>
        <w:ind w:left="3023"/>
        <w:rPr>
          <w:sz w:val="18"/>
        </w:rPr>
      </w:pPr>
      <w:r>
        <w:rPr>
          <w:color w:val="050505"/>
          <w:sz w:val="18"/>
        </w:rPr>
        <w:t xml:space="preserve">Aprobado electrónicamente por la </w:t>
      </w:r>
      <w:r w:rsidRPr="00635B7A">
        <w:rPr>
          <w:color w:val="050505"/>
          <w:sz w:val="18"/>
        </w:rPr>
        <w:t xml:space="preserve">Comisión el </w:t>
      </w:r>
      <w:r w:rsidR="00635B7A">
        <w:rPr>
          <w:color w:val="050505"/>
          <w:sz w:val="18"/>
        </w:rPr>
        <w:t>3</w:t>
      </w:r>
      <w:r w:rsidR="007A187C">
        <w:rPr>
          <w:color w:val="050505"/>
          <w:sz w:val="18"/>
        </w:rPr>
        <w:t>1</w:t>
      </w:r>
      <w:r w:rsidRPr="00635B7A">
        <w:rPr>
          <w:color w:val="050505"/>
          <w:sz w:val="18"/>
        </w:rPr>
        <w:t xml:space="preserve"> de </w:t>
      </w:r>
      <w:r w:rsidR="00635B7A">
        <w:rPr>
          <w:color w:val="050505"/>
          <w:sz w:val="18"/>
        </w:rPr>
        <w:t>diciembre</w:t>
      </w:r>
      <w:r w:rsidRPr="00635B7A">
        <w:rPr>
          <w:color w:val="050505"/>
          <w:sz w:val="18"/>
        </w:rPr>
        <w:t xml:space="preserve"> de 202</w:t>
      </w:r>
      <w:r w:rsidR="00CF6E5B" w:rsidRPr="00635B7A">
        <w:rPr>
          <w:color w:val="050505"/>
          <w:sz w:val="18"/>
        </w:rPr>
        <w:t>1</w:t>
      </w:r>
      <w:r w:rsidR="00815C11">
        <w:rPr>
          <w:color w:val="050505"/>
          <w:sz w:val="18"/>
        </w:rPr>
        <w:t>.</w:t>
      </w:r>
    </w:p>
    <w:p w14:paraId="565F36A6" w14:textId="77777777" w:rsidR="00C02C7F" w:rsidRDefault="00C02C7F" w:rsidP="00DD4610">
      <w:pPr>
        <w:pStyle w:val="BodyText"/>
      </w:pPr>
    </w:p>
    <w:p w14:paraId="1DC05081" w14:textId="77777777" w:rsidR="00C02C7F" w:rsidRDefault="00C02C7F" w:rsidP="00DD4610">
      <w:pPr>
        <w:pStyle w:val="BodyText"/>
      </w:pPr>
    </w:p>
    <w:p w14:paraId="75DD224D" w14:textId="77777777" w:rsidR="00C02C7F" w:rsidRDefault="00C02C7F" w:rsidP="00DD4610">
      <w:pPr>
        <w:pStyle w:val="BodyText"/>
        <w:rPr>
          <w:sz w:val="16"/>
        </w:rPr>
      </w:pPr>
    </w:p>
    <w:p w14:paraId="3F79E214" w14:textId="1F50B881" w:rsidR="00C02C7F" w:rsidRDefault="001223F2" w:rsidP="00DD4610">
      <w:pPr>
        <w:ind w:left="3008" w:right="328"/>
        <w:rPr>
          <w:sz w:val="18"/>
        </w:rPr>
      </w:pPr>
      <w:r w:rsidRPr="00035FF1">
        <w:rPr>
          <w:b/>
          <w:color w:val="595958"/>
          <w:sz w:val="18"/>
          <w:lang w:val="pt-BR"/>
        </w:rPr>
        <w:t xml:space="preserve">Citar como: </w:t>
      </w:r>
      <w:r w:rsidRPr="00035FF1">
        <w:rPr>
          <w:color w:val="595958"/>
          <w:sz w:val="18"/>
          <w:lang w:val="pt-BR"/>
        </w:rPr>
        <w:t xml:space="preserve">CIDH, Informe </w:t>
      </w:r>
      <w:r w:rsidRPr="00635B7A">
        <w:rPr>
          <w:color w:val="595958"/>
          <w:sz w:val="18"/>
          <w:lang w:val="pt-BR"/>
        </w:rPr>
        <w:t xml:space="preserve">No. </w:t>
      </w:r>
      <w:r w:rsidR="00635B7A" w:rsidRPr="00635B7A">
        <w:rPr>
          <w:color w:val="595958"/>
          <w:sz w:val="18"/>
          <w:lang w:val="pt-BR"/>
        </w:rPr>
        <w:t>411</w:t>
      </w:r>
      <w:r w:rsidRPr="00635B7A">
        <w:rPr>
          <w:color w:val="595958"/>
          <w:sz w:val="18"/>
          <w:lang w:val="pt-BR"/>
        </w:rPr>
        <w:t>/2</w:t>
      </w:r>
      <w:r w:rsidR="00CF6E5B" w:rsidRPr="00635B7A">
        <w:rPr>
          <w:color w:val="595958"/>
          <w:sz w:val="18"/>
          <w:lang w:val="pt-BR"/>
        </w:rPr>
        <w:t>1</w:t>
      </w:r>
      <w:r w:rsidRPr="00635B7A">
        <w:rPr>
          <w:color w:val="595958"/>
          <w:sz w:val="18"/>
          <w:lang w:val="pt-BR"/>
        </w:rPr>
        <w:t xml:space="preserve">. </w:t>
      </w:r>
      <w:r w:rsidRPr="00635B7A">
        <w:rPr>
          <w:color w:val="595958"/>
          <w:sz w:val="18"/>
        </w:rPr>
        <w:t>Petición P-</w:t>
      </w:r>
      <w:r w:rsidR="00834B56" w:rsidRPr="00635B7A">
        <w:rPr>
          <w:color w:val="595958"/>
          <w:sz w:val="18"/>
        </w:rPr>
        <w:t>1565-09</w:t>
      </w:r>
      <w:r w:rsidRPr="00635B7A">
        <w:rPr>
          <w:color w:val="595958"/>
          <w:sz w:val="18"/>
        </w:rPr>
        <w:t xml:space="preserve">. Admisibilidad. </w:t>
      </w:r>
      <w:r w:rsidR="00834B56" w:rsidRPr="00635B7A">
        <w:rPr>
          <w:color w:val="595958"/>
          <w:sz w:val="18"/>
        </w:rPr>
        <w:t xml:space="preserve">Mario Alberto </w:t>
      </w:r>
      <w:proofErr w:type="spellStart"/>
      <w:r w:rsidR="00834B56" w:rsidRPr="00635B7A">
        <w:rPr>
          <w:color w:val="595958"/>
          <w:sz w:val="18"/>
        </w:rPr>
        <w:t>Fleisman</w:t>
      </w:r>
      <w:proofErr w:type="spellEnd"/>
      <w:r w:rsidRPr="00635B7A">
        <w:rPr>
          <w:color w:val="595958"/>
          <w:sz w:val="18"/>
        </w:rPr>
        <w:t xml:space="preserve">. Argentina. </w:t>
      </w:r>
      <w:r w:rsidR="00635B7A">
        <w:rPr>
          <w:color w:val="595958"/>
          <w:sz w:val="18"/>
        </w:rPr>
        <w:t>3</w:t>
      </w:r>
      <w:r w:rsidR="007A187C">
        <w:rPr>
          <w:color w:val="595958"/>
          <w:sz w:val="18"/>
        </w:rPr>
        <w:t>1</w:t>
      </w:r>
      <w:r w:rsidRPr="00635B7A">
        <w:rPr>
          <w:color w:val="595958"/>
          <w:sz w:val="18"/>
        </w:rPr>
        <w:t xml:space="preserve"> de </w:t>
      </w:r>
      <w:r w:rsidR="00635B7A">
        <w:rPr>
          <w:color w:val="595958"/>
          <w:sz w:val="18"/>
        </w:rPr>
        <w:t>diciembre</w:t>
      </w:r>
      <w:r w:rsidRPr="00635B7A">
        <w:rPr>
          <w:color w:val="595958"/>
          <w:sz w:val="18"/>
        </w:rPr>
        <w:t xml:space="preserve"> de 202</w:t>
      </w:r>
      <w:r w:rsidR="00CF6E5B" w:rsidRPr="00635B7A">
        <w:rPr>
          <w:color w:val="595958"/>
          <w:sz w:val="18"/>
        </w:rPr>
        <w:t>1</w:t>
      </w:r>
      <w:r w:rsidR="00635B7A">
        <w:rPr>
          <w:color w:val="595958"/>
          <w:sz w:val="18"/>
        </w:rPr>
        <w:t>.</w:t>
      </w:r>
    </w:p>
    <w:p w14:paraId="41E2E7B7" w14:textId="77777777" w:rsidR="00C02C7F" w:rsidRDefault="00C02C7F" w:rsidP="00DD4610">
      <w:pPr>
        <w:pStyle w:val="BodyText"/>
      </w:pPr>
    </w:p>
    <w:p w14:paraId="38E03824" w14:textId="77777777" w:rsidR="00C02C7F" w:rsidRDefault="00C02C7F" w:rsidP="00DD4610">
      <w:pPr>
        <w:pStyle w:val="BodyText"/>
      </w:pPr>
    </w:p>
    <w:p w14:paraId="0CD67CB2" w14:textId="77777777" w:rsidR="00C02C7F" w:rsidRDefault="00C02C7F" w:rsidP="00DD4610">
      <w:pPr>
        <w:pStyle w:val="BodyText"/>
      </w:pPr>
    </w:p>
    <w:p w14:paraId="1B7A744F" w14:textId="77777777" w:rsidR="00C02C7F" w:rsidRDefault="001223F2" w:rsidP="00DD4610">
      <w:pPr>
        <w:pStyle w:val="BodyText"/>
        <w:rPr>
          <w:sz w:val="16"/>
        </w:rPr>
      </w:pPr>
      <w:r>
        <w:rPr>
          <w:noProof/>
        </w:rPr>
        <w:drawing>
          <wp:anchor distT="0" distB="0" distL="0" distR="0" simplePos="0" relativeHeight="251656192" behindDoc="0" locked="0" layoutInCell="1" allowOverlap="1" wp14:anchorId="5C333012" wp14:editId="1D8E2C0D">
            <wp:simplePos x="0" y="0"/>
            <wp:positionH relativeFrom="page">
              <wp:posOffset>2338705</wp:posOffset>
            </wp:positionH>
            <wp:positionV relativeFrom="paragraph">
              <wp:posOffset>797923</wp:posOffset>
            </wp:positionV>
            <wp:extent cx="1772183" cy="456056"/>
            <wp:effectExtent l="0" t="0" r="0" b="127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1772183" cy="456056"/>
                    </a:xfrm>
                    <a:prstGeom prst="rect">
                      <a:avLst/>
                    </a:prstGeom>
                  </pic:spPr>
                </pic:pic>
              </a:graphicData>
            </a:graphic>
          </wp:anchor>
        </w:drawing>
      </w:r>
    </w:p>
    <w:p w14:paraId="43CCC4A7" w14:textId="77777777" w:rsidR="00C02C7F" w:rsidRDefault="00C02C7F" w:rsidP="00DD4610">
      <w:pPr>
        <w:rPr>
          <w:sz w:val="16"/>
        </w:rPr>
        <w:sectPr w:rsidR="00C02C7F" w:rsidSect="00E00744">
          <w:type w:val="continuous"/>
          <w:pgSz w:w="12240" w:h="15840"/>
          <w:pgMar w:top="734" w:right="1260" w:bottom="173" w:left="677" w:header="720" w:footer="720" w:gutter="0"/>
          <w:cols w:space="720"/>
        </w:sectPr>
      </w:pPr>
    </w:p>
    <w:p w14:paraId="71AF7F8F" w14:textId="77777777" w:rsidR="00E00744" w:rsidRPr="000673D0" w:rsidRDefault="00E00744" w:rsidP="00E00744">
      <w:pPr>
        <w:spacing w:after="240"/>
        <w:ind w:firstLine="720"/>
        <w:jc w:val="both"/>
        <w:rPr>
          <w:rFonts w:asciiTheme="majorHAnsi" w:hAnsiTheme="majorHAnsi"/>
          <w:b/>
          <w:bCs/>
          <w:sz w:val="20"/>
          <w:szCs w:val="20"/>
        </w:rPr>
      </w:pPr>
      <w:r w:rsidRPr="000673D0">
        <w:rPr>
          <w:rFonts w:asciiTheme="majorHAnsi" w:hAnsiTheme="majorHAnsi"/>
          <w:b/>
          <w:bCs/>
          <w:sz w:val="20"/>
          <w:szCs w:val="20"/>
        </w:rPr>
        <w:lastRenderedPageBreak/>
        <w:t>I.</w:t>
      </w:r>
      <w:r w:rsidRPr="000673D0">
        <w:rPr>
          <w:rFonts w:asciiTheme="majorHAnsi" w:hAnsiTheme="majorHAnsi"/>
          <w:b/>
          <w:bCs/>
          <w:sz w:val="20"/>
          <w:szCs w:val="20"/>
        </w:rPr>
        <w:tab/>
        <w:t xml:space="preserve">DATOS DE LA PETICIÓN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600"/>
        <w:gridCol w:w="5737"/>
      </w:tblGrid>
      <w:tr w:rsidR="00E00744" w:rsidRPr="0024546E" w14:paraId="6C88EE4F" w14:textId="77777777" w:rsidTr="00E00744">
        <w:tc>
          <w:tcPr>
            <w:tcW w:w="3600" w:type="dxa"/>
            <w:tcBorders>
              <w:top w:val="single" w:sz="4" w:space="0" w:color="auto"/>
              <w:bottom w:val="single" w:sz="6" w:space="0" w:color="auto"/>
            </w:tcBorders>
            <w:shd w:val="clear" w:color="auto" w:fill="386294"/>
            <w:vAlign w:val="center"/>
          </w:tcPr>
          <w:p w14:paraId="74BD86F5" w14:textId="77777777" w:rsidR="00E00744" w:rsidRPr="009C6CB7" w:rsidRDefault="00E00744" w:rsidP="00E00744">
            <w:pPr>
              <w:jc w:val="center"/>
              <w:rPr>
                <w:rFonts w:asciiTheme="majorHAnsi" w:hAnsiTheme="majorHAnsi"/>
                <w:b/>
                <w:bCs/>
                <w:color w:val="FFFFFF" w:themeColor="background1"/>
                <w:sz w:val="19"/>
                <w:szCs w:val="19"/>
              </w:rPr>
            </w:pPr>
            <w:r w:rsidRPr="009C6CB7">
              <w:rPr>
                <w:rFonts w:asciiTheme="majorHAnsi" w:hAnsiTheme="majorHAnsi"/>
                <w:b/>
                <w:bCs/>
                <w:color w:val="FFFFFF" w:themeColor="background1"/>
                <w:sz w:val="19"/>
                <w:szCs w:val="19"/>
              </w:rPr>
              <w:t>Parte peticionaria:</w:t>
            </w:r>
          </w:p>
        </w:tc>
        <w:tc>
          <w:tcPr>
            <w:tcW w:w="5737" w:type="dxa"/>
          </w:tcPr>
          <w:p w14:paraId="3445F44D" w14:textId="32BFA56F" w:rsidR="00E00744" w:rsidRDefault="00E00744" w:rsidP="00E00744">
            <w:pPr>
              <w:jc w:val="both"/>
              <w:rPr>
                <w:bCs/>
                <w:sz w:val="19"/>
                <w:szCs w:val="19"/>
              </w:rPr>
            </w:pPr>
            <w:r>
              <w:rPr>
                <w:sz w:val="19"/>
                <w:lang w:val="pt-BR"/>
              </w:rPr>
              <w:t>Mario Alberto Fleisman</w:t>
            </w:r>
          </w:p>
        </w:tc>
      </w:tr>
      <w:tr w:rsidR="00E00744" w:rsidRPr="00584F7A" w14:paraId="4A955626" w14:textId="77777777" w:rsidTr="00E00744">
        <w:tc>
          <w:tcPr>
            <w:tcW w:w="3600" w:type="dxa"/>
            <w:tcBorders>
              <w:top w:val="single" w:sz="6" w:space="0" w:color="auto"/>
              <w:bottom w:val="single" w:sz="6" w:space="0" w:color="auto"/>
            </w:tcBorders>
            <w:shd w:val="clear" w:color="auto" w:fill="386294"/>
            <w:vAlign w:val="center"/>
          </w:tcPr>
          <w:p w14:paraId="5C2B378C" w14:textId="13092385" w:rsidR="00E00744" w:rsidRPr="009C6CB7" w:rsidRDefault="00562ABF" w:rsidP="00E00744">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Elegir una opción"/>
                <w:tag w:val="Elegir una opción"/>
                <w:id w:val="931095713"/>
                <w:placeholder>
                  <w:docPart w:val="7DA9FC3CDFAD4C36B9FA10B873F9A181"/>
                </w:placeholder>
                <w:dropDownList>
                  <w:listItem w:value="Choose an item."/>
                  <w:listItem w:displayText="Presunta víctima" w:value="Presunta víctima"/>
                  <w:listItem w:displayText="Presuntas víctimas" w:value="Presuntas víctimas"/>
                </w:dropDownList>
              </w:sdtPr>
              <w:sdtEndPr/>
              <w:sdtContent>
                <w:r w:rsidR="00E00744" w:rsidRPr="009C6CB7">
                  <w:rPr>
                    <w:rFonts w:asciiTheme="majorHAnsi" w:hAnsiTheme="majorHAnsi"/>
                    <w:b/>
                    <w:bCs/>
                    <w:color w:val="FFFFFF" w:themeColor="background1"/>
                    <w:sz w:val="19"/>
                    <w:szCs w:val="19"/>
                  </w:rPr>
                  <w:t>Presunta víctima</w:t>
                </w:r>
              </w:sdtContent>
            </w:sdt>
            <w:r w:rsidR="00E00744" w:rsidRPr="009C6CB7">
              <w:rPr>
                <w:rFonts w:asciiTheme="majorHAnsi" w:hAnsiTheme="majorHAnsi"/>
                <w:b/>
                <w:bCs/>
                <w:color w:val="FFFFFF" w:themeColor="background1"/>
                <w:sz w:val="19"/>
                <w:szCs w:val="19"/>
              </w:rPr>
              <w:t>:</w:t>
            </w:r>
          </w:p>
        </w:tc>
        <w:tc>
          <w:tcPr>
            <w:tcW w:w="5737" w:type="dxa"/>
          </w:tcPr>
          <w:p w14:paraId="4DBC28E1" w14:textId="7D3A569B" w:rsidR="00E00744" w:rsidRDefault="00E00744" w:rsidP="00E00744">
            <w:pPr>
              <w:jc w:val="both"/>
              <w:rPr>
                <w:rFonts w:asciiTheme="majorHAnsi" w:hAnsiTheme="majorHAnsi"/>
                <w:bCs/>
                <w:sz w:val="19"/>
                <w:szCs w:val="19"/>
              </w:rPr>
            </w:pPr>
            <w:r>
              <w:rPr>
                <w:sz w:val="19"/>
                <w:lang w:val="pt-BR"/>
              </w:rPr>
              <w:t>Mario Alberto Fleisman</w:t>
            </w:r>
          </w:p>
        </w:tc>
      </w:tr>
      <w:tr w:rsidR="00E00744" w:rsidRPr="009C6CB7" w14:paraId="5F0EC979" w14:textId="77777777" w:rsidTr="00E00744">
        <w:tc>
          <w:tcPr>
            <w:tcW w:w="3600" w:type="dxa"/>
            <w:tcBorders>
              <w:top w:val="single" w:sz="6" w:space="0" w:color="auto"/>
              <w:bottom w:val="single" w:sz="6" w:space="0" w:color="auto"/>
            </w:tcBorders>
            <w:shd w:val="clear" w:color="auto" w:fill="386294"/>
            <w:vAlign w:val="center"/>
          </w:tcPr>
          <w:p w14:paraId="5E16BE1B" w14:textId="77777777" w:rsidR="00E00744" w:rsidRPr="009C6CB7" w:rsidRDefault="00E00744" w:rsidP="00E00744">
            <w:pPr>
              <w:jc w:val="center"/>
              <w:rPr>
                <w:rFonts w:asciiTheme="majorHAnsi" w:hAnsiTheme="majorHAnsi"/>
                <w:b/>
                <w:bCs/>
                <w:color w:val="FFFFFF" w:themeColor="background1"/>
                <w:sz w:val="19"/>
                <w:szCs w:val="19"/>
              </w:rPr>
            </w:pPr>
            <w:r w:rsidRPr="009C6CB7">
              <w:rPr>
                <w:rFonts w:asciiTheme="majorHAnsi" w:hAnsiTheme="majorHAnsi"/>
                <w:b/>
                <w:bCs/>
                <w:color w:val="FFFFFF" w:themeColor="background1"/>
                <w:sz w:val="19"/>
                <w:szCs w:val="19"/>
              </w:rPr>
              <w:t>Estado denunciado:</w:t>
            </w:r>
          </w:p>
        </w:tc>
        <w:tc>
          <w:tcPr>
            <w:tcW w:w="5737" w:type="dxa"/>
          </w:tcPr>
          <w:p w14:paraId="31DF3185" w14:textId="42197CDB" w:rsidR="00E00744" w:rsidRDefault="00E00744" w:rsidP="00E00744">
            <w:pPr>
              <w:jc w:val="both"/>
              <w:rPr>
                <w:rFonts w:asciiTheme="majorHAnsi" w:hAnsiTheme="majorHAnsi"/>
                <w:bCs/>
                <w:sz w:val="19"/>
                <w:szCs w:val="19"/>
              </w:rPr>
            </w:pPr>
            <w:r>
              <w:rPr>
                <w:sz w:val="19"/>
              </w:rPr>
              <w:t>Argentina</w:t>
            </w:r>
          </w:p>
        </w:tc>
      </w:tr>
      <w:tr w:rsidR="00E00744" w:rsidRPr="0089680D" w14:paraId="104C46A0" w14:textId="77777777" w:rsidTr="00E00744">
        <w:tc>
          <w:tcPr>
            <w:tcW w:w="3600" w:type="dxa"/>
            <w:tcBorders>
              <w:top w:val="single" w:sz="6" w:space="0" w:color="auto"/>
              <w:bottom w:val="single" w:sz="6" w:space="0" w:color="auto"/>
            </w:tcBorders>
            <w:shd w:val="clear" w:color="auto" w:fill="386294"/>
            <w:vAlign w:val="center"/>
          </w:tcPr>
          <w:p w14:paraId="55541DDE" w14:textId="77777777" w:rsidR="00E00744" w:rsidRPr="009C6CB7" w:rsidRDefault="00E00744" w:rsidP="00E00744">
            <w:pPr>
              <w:jc w:val="center"/>
              <w:rPr>
                <w:rFonts w:asciiTheme="majorHAnsi" w:hAnsiTheme="majorHAnsi"/>
                <w:b/>
                <w:bCs/>
                <w:color w:val="FFFFFF" w:themeColor="background1"/>
                <w:sz w:val="19"/>
                <w:szCs w:val="19"/>
              </w:rPr>
            </w:pPr>
            <w:r w:rsidRPr="009C6CB7">
              <w:rPr>
                <w:rFonts w:asciiTheme="majorHAnsi" w:hAnsiTheme="majorHAnsi"/>
                <w:b/>
                <w:bCs/>
                <w:color w:val="FFFFFF" w:themeColor="background1"/>
                <w:sz w:val="19"/>
                <w:szCs w:val="19"/>
              </w:rPr>
              <w:t>Derechos invocados:</w:t>
            </w:r>
          </w:p>
        </w:tc>
        <w:tc>
          <w:tcPr>
            <w:tcW w:w="5737" w:type="dxa"/>
            <w:vAlign w:val="center"/>
          </w:tcPr>
          <w:p w14:paraId="51FEF23D" w14:textId="66D7C3D5" w:rsidR="00E00744" w:rsidRDefault="00E00744" w:rsidP="00E00744">
            <w:pPr>
              <w:jc w:val="both"/>
              <w:rPr>
                <w:rFonts w:asciiTheme="majorHAnsi" w:hAnsiTheme="majorHAnsi"/>
                <w:bCs/>
                <w:sz w:val="19"/>
                <w:szCs w:val="19"/>
                <w:lang w:val="es-PA"/>
              </w:rPr>
            </w:pPr>
            <w:r>
              <w:rPr>
                <w:sz w:val="19"/>
              </w:rPr>
              <w:t>Artículos 8 (garantías judiciales), 25 (protección judicial) de la Convención Americana de Derechos Humanos</w:t>
            </w:r>
            <w:r>
              <w:rPr>
                <w:rStyle w:val="FootnoteReference"/>
                <w:sz w:val="19"/>
              </w:rPr>
              <w:footnoteReference w:id="1"/>
            </w:r>
          </w:p>
        </w:tc>
      </w:tr>
    </w:tbl>
    <w:p w14:paraId="593E2E42" w14:textId="77777777" w:rsidR="00E00744" w:rsidRPr="009C6CB7" w:rsidRDefault="00E00744" w:rsidP="00E00744">
      <w:pPr>
        <w:spacing w:before="240" w:after="240"/>
        <w:ind w:firstLine="720"/>
        <w:jc w:val="both"/>
        <w:rPr>
          <w:rFonts w:asciiTheme="majorHAnsi" w:hAnsiTheme="majorHAnsi"/>
          <w:b/>
          <w:bCs/>
          <w:sz w:val="19"/>
          <w:szCs w:val="19"/>
        </w:rPr>
      </w:pPr>
      <w:r w:rsidRPr="009C6CB7">
        <w:rPr>
          <w:rFonts w:asciiTheme="majorHAnsi" w:hAnsiTheme="majorHAnsi"/>
          <w:b/>
          <w:bCs/>
          <w:sz w:val="19"/>
          <w:szCs w:val="19"/>
        </w:rPr>
        <w:t>II.</w:t>
      </w:r>
      <w:r w:rsidRPr="009C6CB7">
        <w:rPr>
          <w:rFonts w:asciiTheme="majorHAnsi" w:hAnsiTheme="majorHAnsi"/>
          <w:b/>
          <w:bCs/>
          <w:sz w:val="19"/>
          <w:szCs w:val="19"/>
        </w:rPr>
        <w:tab/>
        <w:t>TRÁMITE ANTE LA CIDH</w:t>
      </w:r>
      <w:r w:rsidRPr="009C6CB7">
        <w:rPr>
          <w:rStyle w:val="FootnoteReference"/>
          <w:rFonts w:asciiTheme="majorHAnsi" w:hAnsiTheme="majorHAnsi"/>
          <w:b/>
          <w:sz w:val="19"/>
          <w:szCs w:val="19"/>
        </w:rPr>
        <w:footnoteReference w:id="2"/>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00744" w:rsidRPr="009C6CB7" w14:paraId="471C1819" w14:textId="77777777" w:rsidTr="00E00744">
        <w:tc>
          <w:tcPr>
            <w:tcW w:w="3600" w:type="dxa"/>
            <w:tcBorders>
              <w:top w:val="single" w:sz="6" w:space="0" w:color="auto"/>
              <w:bottom w:val="single" w:sz="6" w:space="0" w:color="auto"/>
            </w:tcBorders>
            <w:shd w:val="clear" w:color="auto" w:fill="386294"/>
            <w:vAlign w:val="center"/>
          </w:tcPr>
          <w:p w14:paraId="4181746A" w14:textId="77777777" w:rsidR="00E00744" w:rsidRPr="009C6CB7" w:rsidRDefault="00E00744" w:rsidP="00E00744">
            <w:pPr>
              <w:jc w:val="center"/>
              <w:rPr>
                <w:rFonts w:asciiTheme="majorHAnsi" w:hAnsiTheme="majorHAnsi"/>
                <w:b/>
                <w:bCs/>
                <w:color w:val="FFFFFF" w:themeColor="background1"/>
                <w:sz w:val="19"/>
                <w:szCs w:val="19"/>
              </w:rPr>
            </w:pPr>
            <w:r w:rsidRPr="009C6CB7">
              <w:rPr>
                <w:rFonts w:asciiTheme="majorHAnsi" w:hAnsiTheme="majorHAnsi"/>
                <w:b/>
                <w:bCs/>
                <w:color w:val="FFFFFF" w:themeColor="background1"/>
                <w:sz w:val="19"/>
                <w:szCs w:val="19"/>
              </w:rPr>
              <w:t>Presentación de la petición:</w:t>
            </w:r>
          </w:p>
        </w:tc>
        <w:tc>
          <w:tcPr>
            <w:tcW w:w="5760" w:type="dxa"/>
          </w:tcPr>
          <w:p w14:paraId="3AB1A56F" w14:textId="6AEEC7EB" w:rsidR="00E00744" w:rsidRDefault="00E00744" w:rsidP="00E00744">
            <w:pPr>
              <w:jc w:val="both"/>
              <w:rPr>
                <w:rFonts w:asciiTheme="majorHAnsi" w:hAnsiTheme="majorHAnsi"/>
                <w:bCs/>
                <w:sz w:val="19"/>
                <w:szCs w:val="19"/>
              </w:rPr>
            </w:pPr>
            <w:r w:rsidRPr="00993A0E">
              <w:rPr>
                <w:sz w:val="19"/>
              </w:rPr>
              <w:t>4 de diciembre de 2009</w:t>
            </w:r>
          </w:p>
        </w:tc>
      </w:tr>
      <w:tr w:rsidR="00E00744" w:rsidRPr="0089680D" w14:paraId="1F81C0BF" w14:textId="77777777" w:rsidTr="00E00744">
        <w:tc>
          <w:tcPr>
            <w:tcW w:w="3600" w:type="dxa"/>
            <w:tcBorders>
              <w:top w:val="single" w:sz="6" w:space="0" w:color="auto"/>
              <w:bottom w:val="single" w:sz="6" w:space="0" w:color="auto"/>
            </w:tcBorders>
            <w:shd w:val="clear" w:color="auto" w:fill="386294"/>
            <w:vAlign w:val="center"/>
          </w:tcPr>
          <w:p w14:paraId="1BD5484F" w14:textId="77777777" w:rsidR="00E00744" w:rsidRPr="009C6CB7" w:rsidRDefault="00E00744" w:rsidP="00E00744">
            <w:pPr>
              <w:jc w:val="center"/>
              <w:rPr>
                <w:rFonts w:asciiTheme="majorHAnsi" w:hAnsiTheme="majorHAnsi"/>
                <w:b/>
                <w:bCs/>
                <w:color w:val="FFFFFF" w:themeColor="background1"/>
                <w:sz w:val="19"/>
                <w:szCs w:val="19"/>
              </w:rPr>
            </w:pPr>
            <w:r>
              <w:rPr>
                <w:rFonts w:asciiTheme="majorHAnsi" w:hAnsiTheme="majorHAnsi"/>
                <w:b/>
                <w:bCs/>
                <w:color w:val="FFFFFF" w:themeColor="background1"/>
                <w:sz w:val="19"/>
                <w:szCs w:val="19"/>
              </w:rPr>
              <w:t>Información adicional recibida durante la etapa de estudio:</w:t>
            </w:r>
          </w:p>
        </w:tc>
        <w:tc>
          <w:tcPr>
            <w:tcW w:w="5760" w:type="dxa"/>
          </w:tcPr>
          <w:p w14:paraId="2B5D4E54" w14:textId="657867E6" w:rsidR="00E00744" w:rsidRDefault="00E00744" w:rsidP="00E00744">
            <w:pPr>
              <w:jc w:val="both"/>
              <w:rPr>
                <w:rFonts w:asciiTheme="majorHAnsi" w:hAnsiTheme="majorHAnsi"/>
                <w:bCs/>
                <w:sz w:val="19"/>
                <w:szCs w:val="19"/>
              </w:rPr>
            </w:pPr>
            <w:r>
              <w:rPr>
                <w:sz w:val="19"/>
              </w:rPr>
              <w:t>20 de septiembre de 2016</w:t>
            </w:r>
          </w:p>
        </w:tc>
      </w:tr>
      <w:tr w:rsidR="00E00744" w:rsidRPr="009C6CB7" w14:paraId="2FBD2140" w14:textId="77777777" w:rsidTr="00E00744">
        <w:tc>
          <w:tcPr>
            <w:tcW w:w="3600" w:type="dxa"/>
            <w:tcBorders>
              <w:top w:val="single" w:sz="6" w:space="0" w:color="auto"/>
              <w:bottom w:val="single" w:sz="6" w:space="0" w:color="auto"/>
            </w:tcBorders>
            <w:shd w:val="clear" w:color="auto" w:fill="386294"/>
            <w:vAlign w:val="center"/>
          </w:tcPr>
          <w:p w14:paraId="4FCC28E4" w14:textId="77777777" w:rsidR="00E00744" w:rsidRPr="009C6CB7" w:rsidRDefault="00E00744" w:rsidP="00E00744">
            <w:pPr>
              <w:jc w:val="center"/>
              <w:rPr>
                <w:rFonts w:asciiTheme="majorHAnsi" w:hAnsiTheme="majorHAnsi"/>
                <w:b/>
                <w:bCs/>
                <w:color w:val="FFFFFF" w:themeColor="background1"/>
                <w:sz w:val="19"/>
                <w:szCs w:val="19"/>
              </w:rPr>
            </w:pPr>
            <w:r w:rsidRPr="009C6CB7">
              <w:rPr>
                <w:rFonts w:asciiTheme="majorHAnsi" w:hAnsiTheme="majorHAnsi"/>
                <w:b/>
                <w:color w:val="FFFFFF" w:themeColor="background1"/>
                <w:sz w:val="19"/>
                <w:szCs w:val="19"/>
              </w:rPr>
              <w:t>Notificación de la petición al Estado:</w:t>
            </w:r>
          </w:p>
        </w:tc>
        <w:tc>
          <w:tcPr>
            <w:tcW w:w="5760" w:type="dxa"/>
          </w:tcPr>
          <w:p w14:paraId="5810226A" w14:textId="5736C130" w:rsidR="00E00744" w:rsidRDefault="00E00744" w:rsidP="00E00744">
            <w:pPr>
              <w:jc w:val="both"/>
              <w:rPr>
                <w:rFonts w:asciiTheme="majorHAnsi" w:hAnsiTheme="majorHAnsi"/>
                <w:bCs/>
                <w:sz w:val="19"/>
                <w:szCs w:val="19"/>
              </w:rPr>
            </w:pPr>
            <w:r>
              <w:rPr>
                <w:sz w:val="19"/>
              </w:rPr>
              <w:t>30 de diciembre de 2016</w:t>
            </w:r>
          </w:p>
        </w:tc>
      </w:tr>
      <w:tr w:rsidR="00E00744" w:rsidRPr="009C6CB7" w14:paraId="2FCA8E19" w14:textId="77777777" w:rsidTr="00E00744">
        <w:tc>
          <w:tcPr>
            <w:tcW w:w="3600" w:type="dxa"/>
            <w:tcBorders>
              <w:top w:val="single" w:sz="6" w:space="0" w:color="auto"/>
              <w:bottom w:val="single" w:sz="6" w:space="0" w:color="auto"/>
            </w:tcBorders>
            <w:shd w:val="clear" w:color="auto" w:fill="386294"/>
            <w:vAlign w:val="center"/>
          </w:tcPr>
          <w:p w14:paraId="05B15D89" w14:textId="77777777" w:rsidR="00E00744" w:rsidRPr="009C6CB7" w:rsidRDefault="00E00744" w:rsidP="00E00744">
            <w:pPr>
              <w:jc w:val="center"/>
              <w:rPr>
                <w:rFonts w:asciiTheme="majorHAnsi" w:hAnsiTheme="majorHAnsi"/>
                <w:b/>
                <w:bCs/>
                <w:color w:val="FFFFFF" w:themeColor="background1"/>
                <w:sz w:val="19"/>
                <w:szCs w:val="19"/>
              </w:rPr>
            </w:pPr>
            <w:r w:rsidRPr="009C6CB7">
              <w:rPr>
                <w:rFonts w:asciiTheme="majorHAnsi" w:hAnsiTheme="majorHAnsi"/>
                <w:b/>
                <w:color w:val="FFFFFF" w:themeColor="background1"/>
                <w:sz w:val="19"/>
                <w:szCs w:val="19"/>
              </w:rPr>
              <w:t>Primera respuesta del Estado:</w:t>
            </w:r>
          </w:p>
        </w:tc>
        <w:tc>
          <w:tcPr>
            <w:tcW w:w="5760" w:type="dxa"/>
          </w:tcPr>
          <w:p w14:paraId="25FA71B4" w14:textId="6A9E3816" w:rsidR="00E00744" w:rsidRDefault="00E00744" w:rsidP="00E00744">
            <w:pPr>
              <w:jc w:val="both"/>
              <w:rPr>
                <w:rFonts w:asciiTheme="majorHAnsi" w:hAnsiTheme="majorHAnsi"/>
                <w:bCs/>
                <w:sz w:val="19"/>
                <w:szCs w:val="19"/>
              </w:rPr>
            </w:pPr>
            <w:r>
              <w:rPr>
                <w:sz w:val="19"/>
              </w:rPr>
              <w:t>27 de diciembre de 2017</w:t>
            </w:r>
          </w:p>
        </w:tc>
      </w:tr>
      <w:tr w:rsidR="00E00744" w:rsidRPr="0089680D" w14:paraId="1BF9E925" w14:textId="77777777" w:rsidTr="00E00744">
        <w:tc>
          <w:tcPr>
            <w:tcW w:w="3600" w:type="dxa"/>
            <w:tcBorders>
              <w:top w:val="single" w:sz="6" w:space="0" w:color="auto"/>
              <w:bottom w:val="single" w:sz="6" w:space="0" w:color="auto"/>
            </w:tcBorders>
            <w:shd w:val="clear" w:color="auto" w:fill="386294"/>
            <w:vAlign w:val="center"/>
          </w:tcPr>
          <w:p w14:paraId="08BA1D3E" w14:textId="77777777" w:rsidR="00E00744" w:rsidRPr="009C6CB7" w:rsidRDefault="00E00744" w:rsidP="00E00744">
            <w:pPr>
              <w:jc w:val="center"/>
              <w:rPr>
                <w:rFonts w:asciiTheme="majorHAnsi" w:hAnsiTheme="majorHAnsi"/>
                <w:b/>
                <w:color w:val="FFFFFF" w:themeColor="background1"/>
                <w:sz w:val="19"/>
                <w:szCs w:val="19"/>
              </w:rPr>
            </w:pPr>
            <w:r w:rsidRPr="009C6CB7">
              <w:rPr>
                <w:rFonts w:asciiTheme="majorHAnsi" w:hAnsiTheme="majorHAnsi"/>
                <w:b/>
                <w:bCs/>
                <w:color w:val="FFFFFF" w:themeColor="background1"/>
                <w:sz w:val="19"/>
                <w:szCs w:val="19"/>
              </w:rPr>
              <w:t>Observaciones adicionales de la parte peticionaria:</w:t>
            </w:r>
          </w:p>
        </w:tc>
        <w:tc>
          <w:tcPr>
            <w:tcW w:w="5760" w:type="dxa"/>
          </w:tcPr>
          <w:p w14:paraId="62E7430B" w14:textId="52DA822D" w:rsidR="00E00744" w:rsidRDefault="00E00744" w:rsidP="00E00744">
            <w:pPr>
              <w:jc w:val="both"/>
              <w:rPr>
                <w:rFonts w:asciiTheme="majorHAnsi" w:hAnsiTheme="majorHAnsi"/>
                <w:bCs/>
                <w:sz w:val="19"/>
                <w:szCs w:val="19"/>
              </w:rPr>
            </w:pPr>
            <w:r>
              <w:rPr>
                <w:sz w:val="19"/>
              </w:rPr>
              <w:t>19 de junio, 5 y 7 de septiembre de 2012; 2 de enero y de septiembre de 2015; 16 de abril, 6 de julio y 1º de octubre de 2018</w:t>
            </w:r>
          </w:p>
        </w:tc>
      </w:tr>
    </w:tbl>
    <w:p w14:paraId="124E6708" w14:textId="77777777" w:rsidR="00E00744" w:rsidRPr="009C6CB7" w:rsidRDefault="00E00744" w:rsidP="00E00744">
      <w:pPr>
        <w:spacing w:before="240" w:after="240"/>
        <w:ind w:firstLine="720"/>
        <w:jc w:val="both"/>
        <w:rPr>
          <w:rFonts w:asciiTheme="majorHAnsi" w:hAnsiTheme="majorHAnsi"/>
          <w:b/>
          <w:bCs/>
          <w:sz w:val="19"/>
          <w:szCs w:val="19"/>
        </w:rPr>
      </w:pPr>
      <w:r w:rsidRPr="009C6CB7">
        <w:rPr>
          <w:rFonts w:asciiTheme="majorHAnsi" w:hAnsiTheme="majorHAnsi"/>
          <w:b/>
          <w:bCs/>
          <w:sz w:val="19"/>
          <w:szCs w:val="19"/>
        </w:rPr>
        <w:t xml:space="preserve">III. </w:t>
      </w:r>
      <w:r w:rsidRPr="009C6CB7">
        <w:rPr>
          <w:rFonts w:asciiTheme="majorHAnsi" w:hAnsiTheme="majorHAnsi"/>
          <w:b/>
          <w:bCs/>
          <w:sz w:val="19"/>
          <w:szCs w:val="19"/>
        </w:rPr>
        <w:tab/>
        <w:t xml:space="preserve">COMPETENCIA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00744" w:rsidRPr="009C6CB7" w14:paraId="7BABD74C" w14:textId="77777777" w:rsidTr="00E00744">
        <w:trPr>
          <w:cantSplit/>
        </w:trPr>
        <w:tc>
          <w:tcPr>
            <w:tcW w:w="3600" w:type="dxa"/>
            <w:tcBorders>
              <w:top w:val="single" w:sz="4" w:space="0" w:color="auto"/>
              <w:bottom w:val="single" w:sz="6" w:space="0" w:color="auto"/>
            </w:tcBorders>
            <w:shd w:val="clear" w:color="auto" w:fill="386294"/>
            <w:vAlign w:val="center"/>
          </w:tcPr>
          <w:p w14:paraId="64D34E4F" w14:textId="77777777" w:rsidR="00E00744" w:rsidRPr="009C6CB7" w:rsidRDefault="00E00744" w:rsidP="00E00744">
            <w:pPr>
              <w:jc w:val="center"/>
              <w:rPr>
                <w:rFonts w:asciiTheme="majorHAnsi" w:hAnsiTheme="majorHAnsi"/>
                <w:b/>
                <w:bCs/>
                <w:i/>
                <w:color w:val="FFFFFF" w:themeColor="background1"/>
                <w:sz w:val="19"/>
                <w:szCs w:val="19"/>
              </w:rPr>
            </w:pPr>
            <w:r w:rsidRPr="009C6CB7">
              <w:rPr>
                <w:rFonts w:asciiTheme="majorHAnsi" w:hAnsiTheme="majorHAnsi"/>
                <w:b/>
                <w:bCs/>
                <w:color w:val="FFFFFF" w:themeColor="background1"/>
                <w:sz w:val="19"/>
                <w:szCs w:val="19"/>
              </w:rPr>
              <w:t>Competencia</w:t>
            </w:r>
            <w:r w:rsidRPr="009C6CB7">
              <w:rPr>
                <w:rFonts w:asciiTheme="majorHAnsi" w:hAnsiTheme="majorHAnsi"/>
                <w:b/>
                <w:bCs/>
                <w:i/>
                <w:color w:val="FFFFFF" w:themeColor="background1"/>
                <w:sz w:val="19"/>
                <w:szCs w:val="19"/>
              </w:rPr>
              <w:t xml:space="preserve"> </w:t>
            </w:r>
            <w:proofErr w:type="spellStart"/>
            <w:r w:rsidRPr="009C6CB7">
              <w:rPr>
                <w:rFonts w:asciiTheme="majorHAnsi" w:hAnsiTheme="majorHAnsi"/>
                <w:b/>
                <w:bCs/>
                <w:i/>
                <w:color w:val="FFFFFF" w:themeColor="background1"/>
                <w:sz w:val="19"/>
                <w:szCs w:val="19"/>
              </w:rPr>
              <w:t>Ratione</w:t>
            </w:r>
            <w:proofErr w:type="spellEnd"/>
            <w:r w:rsidRPr="009C6CB7">
              <w:rPr>
                <w:rFonts w:asciiTheme="majorHAnsi" w:hAnsiTheme="majorHAnsi"/>
                <w:b/>
                <w:bCs/>
                <w:i/>
                <w:color w:val="FFFFFF" w:themeColor="background1"/>
                <w:sz w:val="19"/>
                <w:szCs w:val="19"/>
              </w:rPr>
              <w:t xml:space="preserve"> </w:t>
            </w:r>
            <w:proofErr w:type="spellStart"/>
            <w:r w:rsidRPr="009C6CB7">
              <w:rPr>
                <w:rFonts w:asciiTheme="majorHAnsi" w:hAnsiTheme="majorHAnsi"/>
                <w:b/>
                <w:bCs/>
                <w:i/>
                <w:color w:val="FFFFFF" w:themeColor="background1"/>
                <w:sz w:val="19"/>
                <w:szCs w:val="19"/>
              </w:rPr>
              <w:t>personae</w:t>
            </w:r>
            <w:proofErr w:type="spellEnd"/>
            <w:r w:rsidRPr="009C6CB7">
              <w:rPr>
                <w:rFonts w:asciiTheme="majorHAnsi" w:hAnsiTheme="majorHAnsi"/>
                <w:b/>
                <w:bCs/>
                <w:i/>
                <w:color w:val="FFFFFF" w:themeColor="background1"/>
                <w:sz w:val="19"/>
                <w:szCs w:val="19"/>
              </w:rPr>
              <w:t>:</w:t>
            </w:r>
          </w:p>
        </w:tc>
        <w:tc>
          <w:tcPr>
            <w:tcW w:w="5760" w:type="dxa"/>
          </w:tcPr>
          <w:p w14:paraId="79C1900E" w14:textId="6B209195" w:rsidR="00E00744" w:rsidRPr="009C6CB7" w:rsidRDefault="00E00744" w:rsidP="00E00744">
            <w:pPr>
              <w:rPr>
                <w:rFonts w:asciiTheme="majorHAnsi" w:hAnsiTheme="majorHAnsi"/>
                <w:bCs/>
                <w:sz w:val="19"/>
                <w:szCs w:val="19"/>
              </w:rPr>
            </w:pPr>
            <w:r>
              <w:rPr>
                <w:sz w:val="19"/>
              </w:rPr>
              <w:t>Sí</w:t>
            </w:r>
          </w:p>
        </w:tc>
      </w:tr>
      <w:tr w:rsidR="00E00744" w:rsidRPr="009C6CB7" w14:paraId="7F006D6F" w14:textId="77777777" w:rsidTr="00E00744">
        <w:trPr>
          <w:cantSplit/>
        </w:trPr>
        <w:tc>
          <w:tcPr>
            <w:tcW w:w="3600" w:type="dxa"/>
            <w:tcBorders>
              <w:top w:val="single" w:sz="6" w:space="0" w:color="auto"/>
              <w:bottom w:val="single" w:sz="6" w:space="0" w:color="auto"/>
            </w:tcBorders>
            <w:shd w:val="clear" w:color="auto" w:fill="386294"/>
            <w:vAlign w:val="center"/>
          </w:tcPr>
          <w:p w14:paraId="0A6F8A34" w14:textId="77777777" w:rsidR="00E00744" w:rsidRPr="009C6CB7" w:rsidRDefault="00E00744" w:rsidP="00E00744">
            <w:pPr>
              <w:jc w:val="center"/>
              <w:rPr>
                <w:rFonts w:asciiTheme="majorHAnsi" w:hAnsiTheme="majorHAnsi"/>
                <w:b/>
                <w:bCs/>
                <w:color w:val="FFFFFF" w:themeColor="background1"/>
                <w:sz w:val="19"/>
                <w:szCs w:val="19"/>
              </w:rPr>
            </w:pPr>
            <w:r w:rsidRPr="009C6CB7">
              <w:rPr>
                <w:rFonts w:asciiTheme="majorHAnsi" w:hAnsiTheme="majorHAnsi"/>
                <w:b/>
                <w:bCs/>
                <w:color w:val="FFFFFF" w:themeColor="background1"/>
                <w:sz w:val="19"/>
                <w:szCs w:val="19"/>
              </w:rPr>
              <w:t>Competencia</w:t>
            </w:r>
            <w:r w:rsidRPr="009C6CB7">
              <w:rPr>
                <w:rFonts w:asciiTheme="majorHAnsi" w:hAnsiTheme="majorHAnsi"/>
                <w:b/>
                <w:bCs/>
                <w:i/>
                <w:color w:val="FFFFFF" w:themeColor="background1"/>
                <w:sz w:val="19"/>
                <w:szCs w:val="19"/>
              </w:rPr>
              <w:t xml:space="preserve"> </w:t>
            </w:r>
            <w:proofErr w:type="spellStart"/>
            <w:r w:rsidRPr="009C6CB7">
              <w:rPr>
                <w:rFonts w:asciiTheme="majorHAnsi" w:hAnsiTheme="majorHAnsi"/>
                <w:b/>
                <w:bCs/>
                <w:i/>
                <w:color w:val="FFFFFF" w:themeColor="background1"/>
                <w:sz w:val="19"/>
                <w:szCs w:val="19"/>
              </w:rPr>
              <w:t>Ratione</w:t>
            </w:r>
            <w:proofErr w:type="spellEnd"/>
            <w:r w:rsidRPr="009C6CB7">
              <w:rPr>
                <w:rFonts w:asciiTheme="majorHAnsi" w:hAnsiTheme="majorHAnsi"/>
                <w:b/>
                <w:bCs/>
                <w:i/>
                <w:color w:val="FFFFFF" w:themeColor="background1"/>
                <w:sz w:val="19"/>
                <w:szCs w:val="19"/>
              </w:rPr>
              <w:t xml:space="preserve"> loci</w:t>
            </w:r>
            <w:r w:rsidRPr="009C6CB7">
              <w:rPr>
                <w:rFonts w:asciiTheme="majorHAnsi" w:hAnsiTheme="majorHAnsi"/>
                <w:b/>
                <w:bCs/>
                <w:color w:val="FFFFFF" w:themeColor="background1"/>
                <w:sz w:val="19"/>
                <w:szCs w:val="19"/>
              </w:rPr>
              <w:t>:</w:t>
            </w:r>
          </w:p>
        </w:tc>
        <w:tc>
          <w:tcPr>
            <w:tcW w:w="5760" w:type="dxa"/>
          </w:tcPr>
          <w:p w14:paraId="1E9C81BC" w14:textId="5B7DFF88" w:rsidR="00E00744" w:rsidRPr="009C6CB7" w:rsidRDefault="00E00744" w:rsidP="00E00744">
            <w:pPr>
              <w:rPr>
                <w:rFonts w:asciiTheme="majorHAnsi" w:hAnsiTheme="majorHAnsi"/>
                <w:bCs/>
                <w:sz w:val="19"/>
                <w:szCs w:val="19"/>
              </w:rPr>
            </w:pPr>
            <w:r>
              <w:rPr>
                <w:sz w:val="19"/>
              </w:rPr>
              <w:t>Sí</w:t>
            </w:r>
          </w:p>
        </w:tc>
      </w:tr>
      <w:tr w:rsidR="00E00744" w:rsidRPr="00F36805" w14:paraId="48FD605E" w14:textId="77777777" w:rsidTr="00E00744">
        <w:trPr>
          <w:cantSplit/>
        </w:trPr>
        <w:tc>
          <w:tcPr>
            <w:tcW w:w="3600" w:type="dxa"/>
            <w:tcBorders>
              <w:top w:val="single" w:sz="6" w:space="0" w:color="auto"/>
              <w:bottom w:val="single" w:sz="6" w:space="0" w:color="auto"/>
            </w:tcBorders>
            <w:shd w:val="clear" w:color="auto" w:fill="386294"/>
            <w:vAlign w:val="center"/>
          </w:tcPr>
          <w:p w14:paraId="4E733E86" w14:textId="77777777" w:rsidR="00E00744" w:rsidRPr="009C6CB7" w:rsidRDefault="00E00744" w:rsidP="00E00744">
            <w:pPr>
              <w:jc w:val="center"/>
              <w:rPr>
                <w:rFonts w:asciiTheme="majorHAnsi" w:hAnsiTheme="majorHAnsi"/>
                <w:b/>
                <w:bCs/>
                <w:color w:val="FFFFFF" w:themeColor="background1"/>
                <w:sz w:val="19"/>
                <w:szCs w:val="19"/>
              </w:rPr>
            </w:pPr>
            <w:r w:rsidRPr="009C6CB7">
              <w:rPr>
                <w:rFonts w:asciiTheme="majorHAnsi" w:hAnsiTheme="majorHAnsi"/>
                <w:b/>
                <w:bCs/>
                <w:color w:val="FFFFFF" w:themeColor="background1"/>
                <w:sz w:val="19"/>
                <w:szCs w:val="19"/>
              </w:rPr>
              <w:t>Competencia</w:t>
            </w:r>
            <w:r w:rsidRPr="009C6CB7">
              <w:rPr>
                <w:rFonts w:asciiTheme="majorHAnsi" w:hAnsiTheme="majorHAnsi"/>
                <w:b/>
                <w:bCs/>
                <w:i/>
                <w:color w:val="FFFFFF" w:themeColor="background1"/>
                <w:sz w:val="19"/>
                <w:szCs w:val="19"/>
              </w:rPr>
              <w:t xml:space="preserve"> </w:t>
            </w:r>
            <w:proofErr w:type="spellStart"/>
            <w:r w:rsidRPr="009C6CB7">
              <w:rPr>
                <w:rFonts w:asciiTheme="majorHAnsi" w:hAnsiTheme="majorHAnsi"/>
                <w:b/>
                <w:bCs/>
                <w:i/>
                <w:color w:val="FFFFFF" w:themeColor="background1"/>
                <w:sz w:val="19"/>
                <w:szCs w:val="19"/>
              </w:rPr>
              <w:t>Ratione</w:t>
            </w:r>
            <w:proofErr w:type="spellEnd"/>
            <w:r w:rsidRPr="009C6CB7">
              <w:rPr>
                <w:rFonts w:asciiTheme="majorHAnsi" w:hAnsiTheme="majorHAnsi"/>
                <w:b/>
                <w:bCs/>
                <w:i/>
                <w:color w:val="FFFFFF" w:themeColor="background1"/>
                <w:sz w:val="19"/>
                <w:szCs w:val="19"/>
              </w:rPr>
              <w:t xml:space="preserve"> </w:t>
            </w:r>
            <w:proofErr w:type="spellStart"/>
            <w:r w:rsidRPr="009C6CB7">
              <w:rPr>
                <w:rFonts w:asciiTheme="majorHAnsi" w:hAnsiTheme="majorHAnsi"/>
                <w:b/>
                <w:bCs/>
                <w:i/>
                <w:color w:val="FFFFFF" w:themeColor="background1"/>
                <w:sz w:val="19"/>
                <w:szCs w:val="19"/>
              </w:rPr>
              <w:t>temporis</w:t>
            </w:r>
            <w:proofErr w:type="spellEnd"/>
            <w:r w:rsidRPr="009C6CB7">
              <w:rPr>
                <w:rFonts w:asciiTheme="majorHAnsi" w:hAnsiTheme="majorHAnsi"/>
                <w:b/>
                <w:bCs/>
                <w:color w:val="FFFFFF" w:themeColor="background1"/>
                <w:sz w:val="19"/>
                <w:szCs w:val="19"/>
              </w:rPr>
              <w:t>:</w:t>
            </w:r>
          </w:p>
        </w:tc>
        <w:tc>
          <w:tcPr>
            <w:tcW w:w="5760" w:type="dxa"/>
          </w:tcPr>
          <w:p w14:paraId="5EE25697" w14:textId="0BC0EEBC" w:rsidR="00E00744" w:rsidRPr="009C6CB7" w:rsidRDefault="00E00744" w:rsidP="00E00744">
            <w:pPr>
              <w:rPr>
                <w:rFonts w:asciiTheme="majorHAnsi" w:hAnsiTheme="majorHAnsi"/>
                <w:bCs/>
                <w:sz w:val="19"/>
                <w:szCs w:val="19"/>
                <w:lang w:val="es-PA"/>
              </w:rPr>
            </w:pPr>
            <w:r>
              <w:rPr>
                <w:sz w:val="19"/>
              </w:rPr>
              <w:t>Sí</w:t>
            </w:r>
          </w:p>
        </w:tc>
      </w:tr>
      <w:tr w:rsidR="00E00744" w:rsidRPr="0024546E" w14:paraId="7A38D196" w14:textId="77777777" w:rsidTr="00E00744">
        <w:trPr>
          <w:cantSplit/>
        </w:trPr>
        <w:tc>
          <w:tcPr>
            <w:tcW w:w="3600" w:type="dxa"/>
            <w:tcBorders>
              <w:top w:val="single" w:sz="6" w:space="0" w:color="auto"/>
              <w:bottom w:val="single" w:sz="6" w:space="0" w:color="auto"/>
            </w:tcBorders>
            <w:shd w:val="clear" w:color="auto" w:fill="386294"/>
            <w:vAlign w:val="center"/>
          </w:tcPr>
          <w:p w14:paraId="3B66CF3D" w14:textId="77777777" w:rsidR="00E00744" w:rsidRPr="009C6CB7" w:rsidRDefault="00E00744" w:rsidP="00E00744">
            <w:pPr>
              <w:jc w:val="center"/>
              <w:rPr>
                <w:rFonts w:asciiTheme="majorHAnsi" w:hAnsiTheme="majorHAnsi"/>
                <w:b/>
                <w:bCs/>
                <w:color w:val="FFFFFF" w:themeColor="background1"/>
                <w:sz w:val="19"/>
                <w:szCs w:val="19"/>
              </w:rPr>
            </w:pPr>
            <w:r w:rsidRPr="009C6CB7">
              <w:rPr>
                <w:rFonts w:asciiTheme="majorHAnsi" w:hAnsiTheme="majorHAnsi"/>
                <w:b/>
                <w:bCs/>
                <w:color w:val="FFFFFF" w:themeColor="background1"/>
                <w:sz w:val="19"/>
                <w:szCs w:val="19"/>
              </w:rPr>
              <w:t>Competencia</w:t>
            </w:r>
            <w:r w:rsidRPr="009C6CB7">
              <w:rPr>
                <w:rFonts w:asciiTheme="majorHAnsi" w:hAnsiTheme="majorHAnsi"/>
                <w:b/>
                <w:bCs/>
                <w:i/>
                <w:color w:val="FFFFFF" w:themeColor="background1"/>
                <w:sz w:val="19"/>
                <w:szCs w:val="19"/>
              </w:rPr>
              <w:t xml:space="preserve"> </w:t>
            </w:r>
            <w:proofErr w:type="spellStart"/>
            <w:r w:rsidRPr="009C6CB7">
              <w:rPr>
                <w:rFonts w:asciiTheme="majorHAnsi" w:hAnsiTheme="majorHAnsi"/>
                <w:b/>
                <w:bCs/>
                <w:i/>
                <w:color w:val="FFFFFF" w:themeColor="background1"/>
                <w:sz w:val="19"/>
                <w:szCs w:val="19"/>
              </w:rPr>
              <w:t>Ratione</w:t>
            </w:r>
            <w:proofErr w:type="spellEnd"/>
            <w:r w:rsidRPr="009C6CB7">
              <w:rPr>
                <w:rFonts w:asciiTheme="majorHAnsi" w:hAnsiTheme="majorHAnsi"/>
                <w:b/>
                <w:bCs/>
                <w:i/>
                <w:color w:val="FFFFFF" w:themeColor="background1"/>
                <w:sz w:val="19"/>
                <w:szCs w:val="19"/>
              </w:rPr>
              <w:t xml:space="preserve"> </w:t>
            </w:r>
            <w:proofErr w:type="spellStart"/>
            <w:r w:rsidRPr="009C6CB7">
              <w:rPr>
                <w:rFonts w:asciiTheme="majorHAnsi" w:hAnsiTheme="majorHAnsi"/>
                <w:b/>
                <w:bCs/>
                <w:i/>
                <w:color w:val="FFFFFF" w:themeColor="background1"/>
                <w:sz w:val="19"/>
                <w:szCs w:val="19"/>
              </w:rPr>
              <w:t>materiae</w:t>
            </w:r>
            <w:proofErr w:type="spellEnd"/>
            <w:r w:rsidRPr="009C6CB7">
              <w:rPr>
                <w:rFonts w:asciiTheme="majorHAnsi" w:hAnsiTheme="majorHAnsi"/>
                <w:b/>
                <w:bCs/>
                <w:color w:val="FFFFFF" w:themeColor="background1"/>
                <w:sz w:val="19"/>
                <w:szCs w:val="19"/>
              </w:rPr>
              <w:t>:</w:t>
            </w:r>
          </w:p>
        </w:tc>
        <w:tc>
          <w:tcPr>
            <w:tcW w:w="5760" w:type="dxa"/>
          </w:tcPr>
          <w:p w14:paraId="7F7F8924" w14:textId="03934C1C" w:rsidR="00E00744" w:rsidRPr="009C6CB7" w:rsidRDefault="00E00744" w:rsidP="00E00744">
            <w:pPr>
              <w:jc w:val="both"/>
              <w:rPr>
                <w:rFonts w:asciiTheme="majorHAnsi" w:hAnsiTheme="majorHAnsi"/>
                <w:bCs/>
                <w:sz w:val="19"/>
                <w:szCs w:val="19"/>
              </w:rPr>
            </w:pPr>
            <w:r>
              <w:rPr>
                <w:sz w:val="19"/>
              </w:rPr>
              <w:t>Sí, Convención Americana (depósito del instrumento de ratificación el 5 de setiembre de 1984)</w:t>
            </w:r>
          </w:p>
        </w:tc>
      </w:tr>
    </w:tbl>
    <w:p w14:paraId="70CD5D6D" w14:textId="77777777" w:rsidR="00E00744" w:rsidRPr="009C6CB7" w:rsidRDefault="00E00744" w:rsidP="00E00744">
      <w:pPr>
        <w:spacing w:before="240" w:after="240"/>
        <w:ind w:left="1440" w:right="716" w:hanging="720"/>
        <w:jc w:val="both"/>
        <w:rPr>
          <w:rFonts w:asciiTheme="majorHAnsi" w:hAnsiTheme="majorHAnsi"/>
          <w:b/>
          <w:bCs/>
          <w:sz w:val="19"/>
          <w:szCs w:val="19"/>
        </w:rPr>
      </w:pPr>
      <w:r w:rsidRPr="009C6CB7">
        <w:rPr>
          <w:rFonts w:asciiTheme="majorHAnsi" w:hAnsiTheme="majorHAnsi"/>
          <w:b/>
          <w:bCs/>
          <w:sz w:val="19"/>
          <w:szCs w:val="19"/>
        </w:rPr>
        <w:t xml:space="preserve">IV. </w:t>
      </w:r>
      <w:r w:rsidRPr="009C6CB7">
        <w:rPr>
          <w:rFonts w:asciiTheme="majorHAnsi" w:hAnsiTheme="majorHAnsi"/>
          <w:b/>
          <w:bCs/>
          <w:sz w:val="19"/>
          <w:szCs w:val="19"/>
        </w:rPr>
        <w:tab/>
        <w:t>DUPLICACIÓN</w:t>
      </w:r>
      <w:r w:rsidRPr="009C6CB7">
        <w:rPr>
          <w:rFonts w:asciiTheme="majorHAnsi" w:hAnsiTheme="majorHAnsi"/>
          <w:b/>
          <w:bCs/>
          <w:color w:val="FFFFFF" w:themeColor="background1"/>
          <w:sz w:val="19"/>
          <w:szCs w:val="19"/>
        </w:rPr>
        <w:t xml:space="preserve"> </w:t>
      </w:r>
      <w:r w:rsidRPr="009C6CB7">
        <w:rPr>
          <w:rFonts w:asciiTheme="majorHAnsi" w:hAnsiTheme="majorHAnsi"/>
          <w:b/>
          <w:bCs/>
          <w:sz w:val="19"/>
          <w:szCs w:val="19"/>
        </w:rPr>
        <w:t>DE PROCEDIMIENTOS Y COSA JUZGADA</w:t>
      </w:r>
      <w:r w:rsidRPr="009C6CB7">
        <w:rPr>
          <w:rFonts w:asciiTheme="majorHAnsi" w:hAnsiTheme="majorHAnsi"/>
          <w:b/>
          <w:bCs/>
          <w:i/>
          <w:sz w:val="19"/>
          <w:szCs w:val="19"/>
        </w:rPr>
        <w:t xml:space="preserve"> </w:t>
      </w:r>
      <w:r>
        <w:rPr>
          <w:rFonts w:asciiTheme="majorHAnsi" w:hAnsiTheme="majorHAnsi"/>
          <w:b/>
          <w:bCs/>
          <w:sz w:val="19"/>
          <w:szCs w:val="19"/>
        </w:rPr>
        <w:t xml:space="preserve">INTERNACIONAL, </w:t>
      </w:r>
      <w:r w:rsidRPr="009C6CB7">
        <w:rPr>
          <w:rFonts w:asciiTheme="majorHAnsi" w:hAnsiTheme="majorHAnsi"/>
          <w:b/>
          <w:bCs/>
          <w:sz w:val="19"/>
          <w:szCs w:val="19"/>
        </w:rPr>
        <w:t xml:space="preserve">CARACTERIZACIÓN, </w:t>
      </w:r>
      <w:r w:rsidRPr="009C6CB7">
        <w:rPr>
          <w:rFonts w:asciiTheme="majorHAnsi" w:hAnsiTheme="majorHAnsi"/>
          <w:b/>
          <w:sz w:val="19"/>
          <w:szCs w:val="19"/>
        </w:rPr>
        <w:t>AGOTAMIENTO DE LOS RECURSOS INTERNOS Y PLAZO DE PRESENTACIÓN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00744" w:rsidRPr="009C6CB7" w14:paraId="6BA219F3" w14:textId="77777777" w:rsidTr="00E00744">
        <w:trPr>
          <w:cantSplit/>
        </w:trPr>
        <w:tc>
          <w:tcPr>
            <w:tcW w:w="3600" w:type="dxa"/>
            <w:tcBorders>
              <w:top w:val="single" w:sz="4" w:space="0" w:color="auto"/>
              <w:bottom w:val="single" w:sz="6" w:space="0" w:color="auto"/>
            </w:tcBorders>
            <w:shd w:val="clear" w:color="auto" w:fill="386294"/>
            <w:vAlign w:val="center"/>
          </w:tcPr>
          <w:p w14:paraId="11861B35" w14:textId="77777777" w:rsidR="00E00744" w:rsidRPr="009C6CB7" w:rsidRDefault="00E00744" w:rsidP="00E00744">
            <w:pPr>
              <w:jc w:val="center"/>
              <w:rPr>
                <w:rFonts w:asciiTheme="majorHAnsi" w:hAnsiTheme="majorHAnsi"/>
                <w:b/>
                <w:bCs/>
                <w:color w:val="FFFFFF" w:themeColor="background1"/>
                <w:sz w:val="19"/>
                <w:szCs w:val="19"/>
              </w:rPr>
            </w:pPr>
            <w:r w:rsidRPr="009C6CB7">
              <w:rPr>
                <w:rFonts w:asciiTheme="majorHAnsi" w:hAnsiTheme="majorHAnsi"/>
                <w:b/>
                <w:bCs/>
                <w:color w:val="FFFFFF" w:themeColor="background1"/>
                <w:sz w:val="19"/>
                <w:szCs w:val="19"/>
              </w:rPr>
              <w:t>Duplicación de procedimientos y cosa juzgada internacional:</w:t>
            </w:r>
          </w:p>
        </w:tc>
        <w:tc>
          <w:tcPr>
            <w:tcW w:w="5760" w:type="dxa"/>
          </w:tcPr>
          <w:p w14:paraId="6E540455" w14:textId="6A4A47FD" w:rsidR="00E00744" w:rsidRPr="009C6CB7" w:rsidRDefault="00E00744" w:rsidP="00E00744">
            <w:pPr>
              <w:jc w:val="both"/>
              <w:rPr>
                <w:rFonts w:asciiTheme="majorHAnsi" w:hAnsiTheme="majorHAnsi"/>
                <w:bCs/>
                <w:sz w:val="19"/>
                <w:szCs w:val="19"/>
              </w:rPr>
            </w:pPr>
            <w:r>
              <w:rPr>
                <w:sz w:val="19"/>
              </w:rPr>
              <w:t>No</w:t>
            </w:r>
          </w:p>
        </w:tc>
      </w:tr>
      <w:tr w:rsidR="00E00744" w:rsidRPr="0089680D" w14:paraId="04F23086" w14:textId="77777777" w:rsidTr="00E00744">
        <w:trPr>
          <w:cantSplit/>
        </w:trPr>
        <w:tc>
          <w:tcPr>
            <w:tcW w:w="3600" w:type="dxa"/>
            <w:tcBorders>
              <w:top w:val="single" w:sz="4" w:space="0" w:color="auto"/>
              <w:bottom w:val="single" w:sz="6" w:space="0" w:color="auto"/>
            </w:tcBorders>
            <w:shd w:val="clear" w:color="auto" w:fill="386294"/>
            <w:vAlign w:val="center"/>
          </w:tcPr>
          <w:p w14:paraId="44CA5DC3" w14:textId="77777777" w:rsidR="00E00744" w:rsidRPr="009C6CB7" w:rsidRDefault="00E00744" w:rsidP="00E00744">
            <w:pPr>
              <w:jc w:val="center"/>
              <w:rPr>
                <w:rFonts w:asciiTheme="majorHAnsi" w:hAnsiTheme="majorHAnsi"/>
                <w:b/>
                <w:bCs/>
                <w:i/>
                <w:color w:val="FFFFFF" w:themeColor="background1"/>
                <w:sz w:val="19"/>
                <w:szCs w:val="19"/>
              </w:rPr>
            </w:pPr>
            <w:r w:rsidRPr="009C6CB7">
              <w:rPr>
                <w:rFonts w:asciiTheme="majorHAnsi" w:hAnsiTheme="majorHAnsi"/>
                <w:b/>
                <w:bCs/>
                <w:color w:val="FFFFFF" w:themeColor="background1"/>
                <w:sz w:val="19"/>
                <w:szCs w:val="19"/>
              </w:rPr>
              <w:t>Derechos declarados admisibles</w:t>
            </w:r>
            <w:r w:rsidRPr="009C6CB7">
              <w:rPr>
                <w:rFonts w:asciiTheme="majorHAnsi" w:hAnsiTheme="majorHAnsi"/>
                <w:b/>
                <w:bCs/>
                <w:i/>
                <w:color w:val="FFFFFF" w:themeColor="background1"/>
                <w:sz w:val="19"/>
                <w:szCs w:val="19"/>
              </w:rPr>
              <w:t>:</w:t>
            </w:r>
          </w:p>
        </w:tc>
        <w:tc>
          <w:tcPr>
            <w:tcW w:w="5760" w:type="dxa"/>
          </w:tcPr>
          <w:p w14:paraId="678B2E00" w14:textId="3EB89797" w:rsidR="00E00744" w:rsidRDefault="00E00744" w:rsidP="00E00744">
            <w:pPr>
              <w:jc w:val="both"/>
              <w:rPr>
                <w:rFonts w:asciiTheme="majorHAnsi" w:hAnsiTheme="majorHAnsi"/>
                <w:bCs/>
                <w:sz w:val="19"/>
                <w:szCs w:val="19"/>
              </w:rPr>
            </w:pPr>
            <w:r>
              <w:rPr>
                <w:sz w:val="19"/>
              </w:rPr>
              <w:t xml:space="preserve">Artículos 8 (garantías judiciales), 25 (protección judicial) de la Convención Americana de Derechos Humanos, en conexión </w:t>
            </w:r>
            <w:r w:rsidRPr="00807BF6">
              <w:rPr>
                <w:sz w:val="19"/>
              </w:rPr>
              <w:t xml:space="preserve">con </w:t>
            </w:r>
            <w:r>
              <w:rPr>
                <w:sz w:val="19"/>
              </w:rPr>
              <w:t>el</w:t>
            </w:r>
            <w:r w:rsidRPr="00807BF6">
              <w:rPr>
                <w:sz w:val="19"/>
              </w:rPr>
              <w:t xml:space="preserve"> artículo 1.1 (obligación de respetar los derechos)</w:t>
            </w:r>
            <w:r>
              <w:rPr>
                <w:sz w:val="19"/>
              </w:rPr>
              <w:t>.</w:t>
            </w:r>
          </w:p>
        </w:tc>
      </w:tr>
      <w:tr w:rsidR="00E00744" w:rsidRPr="0089680D" w14:paraId="65EB8958" w14:textId="77777777" w:rsidTr="00E00744">
        <w:trPr>
          <w:cantSplit/>
        </w:trPr>
        <w:tc>
          <w:tcPr>
            <w:tcW w:w="3600" w:type="dxa"/>
            <w:tcBorders>
              <w:top w:val="single" w:sz="6" w:space="0" w:color="auto"/>
              <w:bottom w:val="single" w:sz="6" w:space="0" w:color="auto"/>
            </w:tcBorders>
            <w:shd w:val="clear" w:color="auto" w:fill="386294"/>
            <w:vAlign w:val="center"/>
          </w:tcPr>
          <w:p w14:paraId="5A3C3FA6" w14:textId="77777777" w:rsidR="00E00744" w:rsidRPr="009C6CB7" w:rsidRDefault="00E00744" w:rsidP="00E00744">
            <w:pPr>
              <w:jc w:val="center"/>
              <w:rPr>
                <w:rFonts w:asciiTheme="majorHAnsi" w:hAnsiTheme="majorHAnsi"/>
                <w:b/>
                <w:bCs/>
                <w:color w:val="FFFFFF" w:themeColor="background1"/>
                <w:sz w:val="19"/>
                <w:szCs w:val="19"/>
              </w:rPr>
            </w:pPr>
            <w:r w:rsidRPr="009C6CB7">
              <w:rPr>
                <w:rFonts w:asciiTheme="majorHAnsi" w:hAnsiTheme="majorHAnsi"/>
                <w:b/>
                <w:bCs/>
                <w:color w:val="FFFFFF" w:themeColor="background1"/>
                <w:sz w:val="19"/>
                <w:szCs w:val="19"/>
              </w:rPr>
              <w:t>Agotamiento de recursos internos o procedencia de una excepción:</w:t>
            </w:r>
          </w:p>
        </w:tc>
        <w:tc>
          <w:tcPr>
            <w:tcW w:w="5760" w:type="dxa"/>
            <w:vAlign w:val="center"/>
          </w:tcPr>
          <w:p w14:paraId="368D19CE" w14:textId="31B3DB16" w:rsidR="00E00744" w:rsidRDefault="00E00744" w:rsidP="00E00744">
            <w:pPr>
              <w:rPr>
                <w:rFonts w:asciiTheme="majorHAnsi" w:hAnsiTheme="majorHAnsi"/>
                <w:bCs/>
                <w:sz w:val="19"/>
                <w:szCs w:val="19"/>
              </w:rPr>
            </w:pPr>
            <w:r>
              <w:rPr>
                <w:sz w:val="19"/>
              </w:rPr>
              <w:t>Sí, el 5 de junio de 2009</w:t>
            </w:r>
          </w:p>
        </w:tc>
      </w:tr>
      <w:tr w:rsidR="00E00744" w:rsidRPr="0089680D" w14:paraId="3B7B74AE" w14:textId="77777777" w:rsidTr="00E00744">
        <w:trPr>
          <w:cantSplit/>
        </w:trPr>
        <w:tc>
          <w:tcPr>
            <w:tcW w:w="3600" w:type="dxa"/>
            <w:tcBorders>
              <w:top w:val="single" w:sz="6" w:space="0" w:color="auto"/>
              <w:bottom w:val="single" w:sz="6" w:space="0" w:color="auto"/>
            </w:tcBorders>
            <w:shd w:val="clear" w:color="auto" w:fill="386294"/>
            <w:vAlign w:val="center"/>
          </w:tcPr>
          <w:p w14:paraId="1800E8A9" w14:textId="77777777" w:rsidR="00E00744" w:rsidRPr="009C6CB7" w:rsidRDefault="00E00744" w:rsidP="00E00744">
            <w:pPr>
              <w:jc w:val="center"/>
              <w:rPr>
                <w:rFonts w:asciiTheme="majorHAnsi" w:hAnsiTheme="majorHAnsi"/>
                <w:b/>
                <w:bCs/>
                <w:color w:val="FFFFFF" w:themeColor="background1"/>
                <w:sz w:val="19"/>
                <w:szCs w:val="19"/>
              </w:rPr>
            </w:pPr>
            <w:r w:rsidRPr="009C6CB7">
              <w:rPr>
                <w:rFonts w:asciiTheme="majorHAnsi" w:hAnsiTheme="majorHAnsi"/>
                <w:b/>
                <w:bCs/>
                <w:color w:val="FFFFFF" w:themeColor="background1"/>
                <w:sz w:val="19"/>
                <w:szCs w:val="19"/>
                <w:lang w:val="es-PA"/>
              </w:rPr>
              <w:t xml:space="preserve">Presentación dentro de </w:t>
            </w:r>
            <w:proofErr w:type="spellStart"/>
            <w:r w:rsidRPr="009C6CB7">
              <w:rPr>
                <w:rFonts w:asciiTheme="majorHAnsi" w:hAnsiTheme="majorHAnsi"/>
                <w:b/>
                <w:bCs/>
                <w:color w:val="FFFFFF" w:themeColor="background1"/>
                <w:sz w:val="19"/>
                <w:szCs w:val="19"/>
                <w:lang w:val="es-PA"/>
              </w:rPr>
              <w:t>plaz</w:t>
            </w:r>
            <w:proofErr w:type="spellEnd"/>
            <w:r w:rsidRPr="009C6CB7">
              <w:rPr>
                <w:rFonts w:asciiTheme="majorHAnsi" w:hAnsiTheme="majorHAnsi"/>
                <w:b/>
                <w:bCs/>
                <w:color w:val="FFFFFF" w:themeColor="background1"/>
                <w:sz w:val="19"/>
                <w:szCs w:val="19"/>
              </w:rPr>
              <w:t>o:</w:t>
            </w:r>
          </w:p>
        </w:tc>
        <w:tc>
          <w:tcPr>
            <w:tcW w:w="5760" w:type="dxa"/>
          </w:tcPr>
          <w:p w14:paraId="1BD03777" w14:textId="6BD530B8" w:rsidR="00E00744" w:rsidRDefault="00E00744" w:rsidP="00E00744">
            <w:pPr>
              <w:jc w:val="both"/>
              <w:rPr>
                <w:rFonts w:asciiTheme="majorHAnsi" w:hAnsiTheme="majorHAnsi"/>
                <w:bCs/>
                <w:sz w:val="19"/>
                <w:szCs w:val="19"/>
              </w:rPr>
            </w:pPr>
            <w:r>
              <w:rPr>
                <w:sz w:val="19"/>
              </w:rPr>
              <w:t>Sí.</w:t>
            </w:r>
          </w:p>
        </w:tc>
      </w:tr>
    </w:tbl>
    <w:p w14:paraId="799203FA" w14:textId="77777777" w:rsidR="00E00744" w:rsidRPr="00113C4F" w:rsidRDefault="00E00744" w:rsidP="00E00744">
      <w:pPr>
        <w:pStyle w:val="ListParagraph"/>
        <w:spacing w:before="0"/>
        <w:ind w:left="0" w:right="716" w:firstLine="0"/>
        <w:rPr>
          <w:b/>
          <w:sz w:val="20"/>
          <w:szCs w:val="20"/>
        </w:rPr>
      </w:pPr>
    </w:p>
    <w:p w14:paraId="058A2370" w14:textId="29E8F9EA" w:rsidR="00C02C7F" w:rsidRPr="00113C4F" w:rsidRDefault="001223F2" w:rsidP="00DD4610">
      <w:pPr>
        <w:pStyle w:val="ListParagraph"/>
        <w:numPr>
          <w:ilvl w:val="0"/>
          <w:numId w:val="3"/>
        </w:numPr>
        <w:spacing w:before="0"/>
        <w:ind w:left="0" w:right="716" w:firstLine="720"/>
        <w:rPr>
          <w:b/>
          <w:sz w:val="20"/>
          <w:szCs w:val="20"/>
        </w:rPr>
      </w:pPr>
      <w:r w:rsidRPr="00113C4F">
        <w:rPr>
          <w:b/>
          <w:sz w:val="20"/>
          <w:szCs w:val="20"/>
        </w:rPr>
        <w:t>RESUMEN DE LOS HECHOS ALEGADOS</w:t>
      </w:r>
    </w:p>
    <w:bookmarkEnd w:id="0"/>
    <w:p w14:paraId="5856EB25" w14:textId="77777777" w:rsidR="00373BFD" w:rsidRDefault="00373BFD" w:rsidP="00DD4610">
      <w:pPr>
        <w:pStyle w:val="ListParagraph"/>
        <w:spacing w:before="0"/>
        <w:ind w:left="0" w:right="716" w:firstLine="720"/>
        <w:rPr>
          <w:sz w:val="20"/>
          <w:szCs w:val="20"/>
        </w:rPr>
      </w:pPr>
    </w:p>
    <w:p w14:paraId="1987CCAD" w14:textId="33DE07D1" w:rsidR="00373BFD" w:rsidRDefault="0083013E" w:rsidP="00DD4610">
      <w:pPr>
        <w:pStyle w:val="ListParagraph"/>
        <w:numPr>
          <w:ilvl w:val="0"/>
          <w:numId w:val="2"/>
        </w:numPr>
        <w:spacing w:before="0"/>
        <w:ind w:left="0" w:right="716" w:firstLine="720"/>
        <w:rPr>
          <w:sz w:val="20"/>
          <w:szCs w:val="20"/>
        </w:rPr>
      </w:pPr>
      <w:r>
        <w:rPr>
          <w:sz w:val="20"/>
          <w:szCs w:val="20"/>
        </w:rPr>
        <w:t xml:space="preserve">El peticionario </w:t>
      </w:r>
      <w:r w:rsidR="00E00744">
        <w:rPr>
          <w:sz w:val="20"/>
          <w:szCs w:val="20"/>
        </w:rPr>
        <w:t xml:space="preserve">Mario Alberto </w:t>
      </w:r>
      <w:proofErr w:type="spellStart"/>
      <w:r w:rsidR="00E00744">
        <w:rPr>
          <w:sz w:val="20"/>
          <w:szCs w:val="20"/>
        </w:rPr>
        <w:t>Fleisman</w:t>
      </w:r>
      <w:proofErr w:type="spellEnd"/>
      <w:r w:rsidR="00E00744">
        <w:rPr>
          <w:sz w:val="20"/>
          <w:szCs w:val="20"/>
        </w:rPr>
        <w:t xml:space="preserve"> denuncia la </w:t>
      </w:r>
      <w:r w:rsidR="00373BFD" w:rsidRPr="00E80E1F">
        <w:rPr>
          <w:sz w:val="20"/>
          <w:szCs w:val="20"/>
        </w:rPr>
        <w:t xml:space="preserve">violación </w:t>
      </w:r>
      <w:r w:rsidR="00373BFD">
        <w:rPr>
          <w:sz w:val="20"/>
          <w:szCs w:val="20"/>
        </w:rPr>
        <w:t xml:space="preserve">de </w:t>
      </w:r>
      <w:r w:rsidR="00E00744">
        <w:rPr>
          <w:sz w:val="20"/>
          <w:szCs w:val="20"/>
        </w:rPr>
        <w:t>sus</w:t>
      </w:r>
      <w:r w:rsidR="00373BFD">
        <w:rPr>
          <w:sz w:val="20"/>
          <w:szCs w:val="20"/>
        </w:rPr>
        <w:t xml:space="preserve"> derechos </w:t>
      </w:r>
      <w:r w:rsidR="00E00744">
        <w:rPr>
          <w:sz w:val="20"/>
          <w:szCs w:val="20"/>
        </w:rPr>
        <w:t xml:space="preserve">a las </w:t>
      </w:r>
      <w:r w:rsidR="00373BFD">
        <w:rPr>
          <w:sz w:val="20"/>
          <w:szCs w:val="20"/>
        </w:rPr>
        <w:t>garantías judiciales</w:t>
      </w:r>
      <w:r w:rsidR="00834B56">
        <w:rPr>
          <w:sz w:val="20"/>
          <w:szCs w:val="20"/>
        </w:rPr>
        <w:t xml:space="preserve"> </w:t>
      </w:r>
      <w:r w:rsidR="00373BFD">
        <w:rPr>
          <w:sz w:val="20"/>
          <w:szCs w:val="20"/>
        </w:rPr>
        <w:t xml:space="preserve">y </w:t>
      </w:r>
      <w:r w:rsidR="00E00744">
        <w:rPr>
          <w:sz w:val="20"/>
          <w:szCs w:val="20"/>
        </w:rPr>
        <w:t xml:space="preserve">a la </w:t>
      </w:r>
      <w:r w:rsidR="00373BFD">
        <w:rPr>
          <w:sz w:val="20"/>
          <w:szCs w:val="20"/>
        </w:rPr>
        <w:t>protección judicial como consecuencia de hechos relacionados a</w:t>
      </w:r>
      <w:r w:rsidR="00834B56">
        <w:rPr>
          <w:sz w:val="20"/>
          <w:szCs w:val="20"/>
        </w:rPr>
        <w:t xml:space="preserve">l proceso penal </w:t>
      </w:r>
      <w:proofErr w:type="spellStart"/>
      <w:r w:rsidR="00E00744">
        <w:rPr>
          <w:sz w:val="20"/>
          <w:szCs w:val="20"/>
        </w:rPr>
        <w:t>Nº</w:t>
      </w:r>
      <w:proofErr w:type="spellEnd"/>
      <w:r w:rsidR="00834B56">
        <w:rPr>
          <w:sz w:val="20"/>
          <w:szCs w:val="20"/>
        </w:rPr>
        <w:t xml:space="preserve"> 1801/2002, en </w:t>
      </w:r>
      <w:r w:rsidR="00E00744">
        <w:rPr>
          <w:sz w:val="20"/>
          <w:szCs w:val="20"/>
        </w:rPr>
        <w:t>que fue condenado</w:t>
      </w:r>
      <w:r w:rsidR="00834B56">
        <w:rPr>
          <w:sz w:val="20"/>
          <w:szCs w:val="20"/>
        </w:rPr>
        <w:t xml:space="preserve"> a dos años de prisión en suspenso y costas.</w:t>
      </w:r>
    </w:p>
    <w:p w14:paraId="3D114431" w14:textId="77777777" w:rsidR="0084641E" w:rsidRDefault="0084641E" w:rsidP="00DD4610">
      <w:pPr>
        <w:pStyle w:val="ListParagraph"/>
        <w:spacing w:before="0"/>
        <w:ind w:left="0" w:right="716" w:firstLine="720"/>
        <w:rPr>
          <w:sz w:val="20"/>
          <w:szCs w:val="20"/>
        </w:rPr>
      </w:pPr>
    </w:p>
    <w:p w14:paraId="4B16E986" w14:textId="3DC55186" w:rsidR="00834B56" w:rsidRDefault="00DB3453" w:rsidP="00DD4610">
      <w:pPr>
        <w:pStyle w:val="ListParagraph"/>
        <w:numPr>
          <w:ilvl w:val="0"/>
          <w:numId w:val="2"/>
        </w:numPr>
        <w:spacing w:before="0"/>
        <w:ind w:left="0" w:right="716" w:firstLine="720"/>
        <w:rPr>
          <w:sz w:val="20"/>
          <w:szCs w:val="20"/>
        </w:rPr>
      </w:pPr>
      <w:r>
        <w:rPr>
          <w:sz w:val="20"/>
          <w:szCs w:val="20"/>
        </w:rPr>
        <w:t>S</w:t>
      </w:r>
      <w:r w:rsidR="00834B56">
        <w:rPr>
          <w:sz w:val="20"/>
          <w:szCs w:val="20"/>
        </w:rPr>
        <w:t>ostiene que</w:t>
      </w:r>
      <w:r w:rsidR="00E00744">
        <w:rPr>
          <w:sz w:val="20"/>
          <w:szCs w:val="20"/>
        </w:rPr>
        <w:t xml:space="preserve"> </w:t>
      </w:r>
      <w:r w:rsidR="00834B56">
        <w:rPr>
          <w:sz w:val="20"/>
          <w:szCs w:val="20"/>
        </w:rPr>
        <w:t xml:space="preserve">en la citada causa se produjo una violación del principio de congruencia </w:t>
      </w:r>
      <w:r w:rsidR="00E709F7">
        <w:rPr>
          <w:sz w:val="20"/>
          <w:szCs w:val="20"/>
        </w:rPr>
        <w:t xml:space="preserve">por </w:t>
      </w:r>
      <w:r w:rsidR="00834B56">
        <w:rPr>
          <w:sz w:val="20"/>
          <w:szCs w:val="20"/>
        </w:rPr>
        <w:t>una modificación de la calificación jurídica de los hechos por el tribunal de juicio</w:t>
      </w:r>
      <w:r w:rsidR="00E00744">
        <w:rPr>
          <w:sz w:val="20"/>
          <w:szCs w:val="20"/>
        </w:rPr>
        <w:t>.</w:t>
      </w:r>
      <w:r w:rsidR="009C3EB5">
        <w:rPr>
          <w:sz w:val="20"/>
          <w:szCs w:val="20"/>
        </w:rPr>
        <w:t xml:space="preserve"> Según el peticionario, l</w:t>
      </w:r>
      <w:r w:rsidR="009C3EB5" w:rsidRPr="009C3EB5">
        <w:rPr>
          <w:sz w:val="20"/>
          <w:szCs w:val="20"/>
        </w:rPr>
        <w:t>a querella y el Fiscal de Juicio no le imputaron el delito de estafa</w:t>
      </w:r>
      <w:r>
        <w:rPr>
          <w:sz w:val="20"/>
          <w:szCs w:val="20"/>
        </w:rPr>
        <w:t>;</w:t>
      </w:r>
      <w:r w:rsidR="009C3EB5" w:rsidRPr="009C3EB5">
        <w:rPr>
          <w:sz w:val="20"/>
          <w:szCs w:val="20"/>
        </w:rPr>
        <w:t xml:space="preserve"> </w:t>
      </w:r>
      <w:r>
        <w:rPr>
          <w:sz w:val="20"/>
          <w:szCs w:val="20"/>
        </w:rPr>
        <w:t>s</w:t>
      </w:r>
      <w:r w:rsidR="009C3EB5" w:rsidRPr="009C3EB5">
        <w:rPr>
          <w:sz w:val="20"/>
          <w:szCs w:val="20"/>
        </w:rPr>
        <w:t>in embargo, fue condenad</w:t>
      </w:r>
      <w:r>
        <w:rPr>
          <w:sz w:val="20"/>
          <w:szCs w:val="20"/>
        </w:rPr>
        <w:t>o</w:t>
      </w:r>
      <w:r w:rsidR="009C3EB5" w:rsidRPr="009C3EB5">
        <w:rPr>
          <w:sz w:val="20"/>
          <w:szCs w:val="20"/>
        </w:rPr>
        <w:t xml:space="preserve"> por el delito de estafa </w:t>
      </w:r>
      <w:r>
        <w:rPr>
          <w:sz w:val="20"/>
          <w:szCs w:val="20"/>
        </w:rPr>
        <w:t>en virtud de</w:t>
      </w:r>
      <w:r w:rsidR="009C3EB5" w:rsidRPr="009C3EB5">
        <w:rPr>
          <w:sz w:val="20"/>
          <w:szCs w:val="20"/>
        </w:rPr>
        <w:t xml:space="preserve"> la sentencia de 18 de octubre de 2007 del </w:t>
      </w:r>
      <w:r w:rsidR="0083013E" w:rsidRPr="007A3490">
        <w:rPr>
          <w:sz w:val="20"/>
          <w:szCs w:val="20"/>
        </w:rPr>
        <w:t xml:space="preserve">Tribunal Oral en lo Criminal </w:t>
      </w:r>
      <w:proofErr w:type="spellStart"/>
      <w:r w:rsidR="0083013E" w:rsidRPr="007A3490">
        <w:rPr>
          <w:sz w:val="20"/>
          <w:szCs w:val="20"/>
        </w:rPr>
        <w:t>Nº</w:t>
      </w:r>
      <w:proofErr w:type="spellEnd"/>
      <w:r w:rsidR="0083013E" w:rsidRPr="007A3490">
        <w:rPr>
          <w:sz w:val="20"/>
          <w:szCs w:val="20"/>
        </w:rPr>
        <w:t xml:space="preserve"> 18 de la Ciudad de Buenos Aires</w:t>
      </w:r>
      <w:r w:rsidR="009C3EB5" w:rsidRPr="009C3EB5">
        <w:rPr>
          <w:sz w:val="20"/>
          <w:szCs w:val="20"/>
        </w:rPr>
        <w:t>.</w:t>
      </w:r>
      <w:r w:rsidR="00E00744">
        <w:rPr>
          <w:sz w:val="20"/>
          <w:szCs w:val="20"/>
        </w:rPr>
        <w:t xml:space="preserve"> Alega igualmente</w:t>
      </w:r>
      <w:r w:rsidR="00834B56">
        <w:rPr>
          <w:sz w:val="20"/>
          <w:szCs w:val="20"/>
        </w:rPr>
        <w:t xml:space="preserve"> </w:t>
      </w:r>
      <w:r w:rsidR="00E00744">
        <w:rPr>
          <w:sz w:val="20"/>
          <w:szCs w:val="20"/>
        </w:rPr>
        <w:t>que</w:t>
      </w:r>
      <w:r w:rsidR="00834B56">
        <w:rPr>
          <w:sz w:val="20"/>
          <w:szCs w:val="20"/>
        </w:rPr>
        <w:t xml:space="preserve"> se </w:t>
      </w:r>
      <w:r w:rsidR="00E00744">
        <w:rPr>
          <w:sz w:val="20"/>
          <w:szCs w:val="20"/>
        </w:rPr>
        <w:t xml:space="preserve">le </w:t>
      </w:r>
      <w:r w:rsidR="00834B56">
        <w:rPr>
          <w:sz w:val="20"/>
          <w:szCs w:val="20"/>
        </w:rPr>
        <w:t>negó la posibilidad de recurrir la sentencia condenatoria a través del recurso extraordinario federal, en p</w:t>
      </w:r>
      <w:r w:rsidR="00E00744">
        <w:rPr>
          <w:sz w:val="20"/>
          <w:szCs w:val="20"/>
        </w:rPr>
        <w:t>e</w:t>
      </w:r>
      <w:r w:rsidR="00834B56">
        <w:rPr>
          <w:sz w:val="20"/>
          <w:szCs w:val="20"/>
        </w:rPr>
        <w:t>rjuicio de las garantías de independencia e imparcialidad, luego de que la Cámara de Casación decidió inadmitir el recurso dirigido contra su propia sentencia</w:t>
      </w:r>
      <w:r w:rsidR="008F2664">
        <w:rPr>
          <w:sz w:val="20"/>
          <w:szCs w:val="20"/>
        </w:rPr>
        <w:t>. A</w:t>
      </w:r>
      <w:r w:rsidR="00834B56">
        <w:rPr>
          <w:sz w:val="20"/>
          <w:szCs w:val="20"/>
        </w:rPr>
        <w:t xml:space="preserve">simismo, </w:t>
      </w:r>
      <w:r w:rsidR="008F2664">
        <w:rPr>
          <w:sz w:val="20"/>
          <w:szCs w:val="20"/>
        </w:rPr>
        <w:t>afirma que</w:t>
      </w:r>
      <w:r w:rsidR="000F6FB1">
        <w:rPr>
          <w:sz w:val="20"/>
          <w:szCs w:val="20"/>
        </w:rPr>
        <w:t xml:space="preserve"> fue condenado a pagar montos desproporcionados y arbitrarios</w:t>
      </w:r>
      <w:r w:rsidRPr="00DB3453">
        <w:rPr>
          <w:sz w:val="20"/>
          <w:szCs w:val="20"/>
        </w:rPr>
        <w:t xml:space="preserve"> </w:t>
      </w:r>
      <w:r>
        <w:rPr>
          <w:sz w:val="20"/>
          <w:szCs w:val="20"/>
        </w:rPr>
        <w:t>en el marco de una causa de daños y perjuicios en el ámbito civil</w:t>
      </w:r>
      <w:r w:rsidR="0084641E">
        <w:rPr>
          <w:sz w:val="20"/>
          <w:szCs w:val="20"/>
        </w:rPr>
        <w:t xml:space="preserve">. </w:t>
      </w:r>
    </w:p>
    <w:p w14:paraId="75AD496E" w14:textId="6AD9021E" w:rsidR="00F322E8" w:rsidRDefault="00F322E8">
      <w:pPr>
        <w:rPr>
          <w:sz w:val="20"/>
          <w:szCs w:val="20"/>
        </w:rPr>
      </w:pPr>
      <w:r>
        <w:rPr>
          <w:sz w:val="20"/>
          <w:szCs w:val="20"/>
        </w:rPr>
        <w:br w:type="page"/>
      </w:r>
    </w:p>
    <w:p w14:paraId="2AD640D7" w14:textId="1133C51E" w:rsidR="007A3490" w:rsidRPr="00DB3453" w:rsidRDefault="008F2664" w:rsidP="00DD4610">
      <w:pPr>
        <w:pStyle w:val="ListParagraph"/>
        <w:numPr>
          <w:ilvl w:val="0"/>
          <w:numId w:val="2"/>
        </w:numPr>
        <w:spacing w:before="0"/>
        <w:ind w:left="0" w:right="716" w:firstLine="720"/>
        <w:rPr>
          <w:sz w:val="20"/>
          <w:szCs w:val="20"/>
        </w:rPr>
      </w:pPr>
      <w:r w:rsidRPr="00DB3453">
        <w:rPr>
          <w:sz w:val="20"/>
          <w:szCs w:val="20"/>
        </w:rPr>
        <w:lastRenderedPageBreak/>
        <w:t xml:space="preserve">Por </w:t>
      </w:r>
      <w:r w:rsidR="007A3490" w:rsidRPr="00DB3453">
        <w:rPr>
          <w:sz w:val="20"/>
          <w:szCs w:val="20"/>
        </w:rPr>
        <w:t xml:space="preserve">su parte, el Estado informa que la denuncia se refiere a </w:t>
      </w:r>
      <w:r w:rsidRPr="00DB3453">
        <w:rPr>
          <w:sz w:val="20"/>
          <w:szCs w:val="20"/>
        </w:rPr>
        <w:t>los siguientes procesos judiciales</w:t>
      </w:r>
      <w:r w:rsidR="007A3490" w:rsidRPr="00DB3453">
        <w:rPr>
          <w:sz w:val="20"/>
          <w:szCs w:val="20"/>
        </w:rPr>
        <w:t xml:space="preserve">: </w:t>
      </w:r>
      <w:r w:rsidRPr="00DB3453">
        <w:rPr>
          <w:sz w:val="20"/>
          <w:szCs w:val="20"/>
        </w:rPr>
        <w:t>C</w:t>
      </w:r>
      <w:r w:rsidR="007A3490" w:rsidRPr="00DB3453">
        <w:rPr>
          <w:sz w:val="20"/>
          <w:szCs w:val="20"/>
        </w:rPr>
        <w:t xml:space="preserve">ausa </w:t>
      </w:r>
      <w:proofErr w:type="spellStart"/>
      <w:r w:rsidRPr="00DB3453">
        <w:rPr>
          <w:sz w:val="20"/>
          <w:szCs w:val="20"/>
        </w:rPr>
        <w:t>Nº</w:t>
      </w:r>
      <w:proofErr w:type="spellEnd"/>
      <w:r w:rsidRPr="00DB3453">
        <w:rPr>
          <w:sz w:val="20"/>
          <w:szCs w:val="20"/>
        </w:rPr>
        <w:t xml:space="preserve"> </w:t>
      </w:r>
      <w:r w:rsidR="007A3490" w:rsidRPr="00DB3453">
        <w:rPr>
          <w:sz w:val="20"/>
          <w:szCs w:val="20"/>
        </w:rPr>
        <w:t xml:space="preserve">1801/2002, </w:t>
      </w:r>
      <w:proofErr w:type="spellStart"/>
      <w:r w:rsidR="007A3490" w:rsidRPr="00DB3453">
        <w:rPr>
          <w:sz w:val="20"/>
          <w:szCs w:val="20"/>
        </w:rPr>
        <w:t>Fleisman</w:t>
      </w:r>
      <w:proofErr w:type="spellEnd"/>
      <w:r w:rsidR="007A3490" w:rsidRPr="00DB3453">
        <w:rPr>
          <w:sz w:val="20"/>
          <w:szCs w:val="20"/>
        </w:rPr>
        <w:t>, Mario Alberto s./ estafa</w:t>
      </w:r>
      <w:r w:rsidRPr="00DB3453">
        <w:rPr>
          <w:sz w:val="20"/>
          <w:szCs w:val="20"/>
        </w:rPr>
        <w:t>,</w:t>
      </w:r>
      <w:r w:rsidR="007A3490" w:rsidRPr="00DB3453">
        <w:rPr>
          <w:sz w:val="20"/>
          <w:szCs w:val="20"/>
        </w:rPr>
        <w:t xml:space="preserve"> </w:t>
      </w:r>
      <w:r w:rsidRPr="00DB3453">
        <w:rPr>
          <w:sz w:val="20"/>
          <w:szCs w:val="20"/>
        </w:rPr>
        <w:t xml:space="preserve">Tribunal Oral en lo Criminal </w:t>
      </w:r>
      <w:proofErr w:type="spellStart"/>
      <w:r w:rsidRPr="00DB3453">
        <w:rPr>
          <w:sz w:val="20"/>
          <w:szCs w:val="20"/>
        </w:rPr>
        <w:t>Nº</w:t>
      </w:r>
      <w:proofErr w:type="spellEnd"/>
      <w:r w:rsidRPr="00DB3453">
        <w:rPr>
          <w:sz w:val="20"/>
          <w:szCs w:val="20"/>
        </w:rPr>
        <w:t xml:space="preserve"> 18 de la Ciudad de Buenos Aires; Causa </w:t>
      </w:r>
      <w:proofErr w:type="spellStart"/>
      <w:r w:rsidRPr="00DB3453">
        <w:rPr>
          <w:sz w:val="20"/>
          <w:szCs w:val="20"/>
        </w:rPr>
        <w:t>N°</w:t>
      </w:r>
      <w:proofErr w:type="spellEnd"/>
      <w:r w:rsidRPr="00DB3453">
        <w:rPr>
          <w:sz w:val="20"/>
          <w:szCs w:val="20"/>
        </w:rPr>
        <w:t xml:space="preserve"> 8899, </w:t>
      </w:r>
      <w:r w:rsidR="007A3490" w:rsidRPr="00DB3453">
        <w:rPr>
          <w:sz w:val="20"/>
          <w:szCs w:val="20"/>
        </w:rPr>
        <w:t xml:space="preserve">recurso ante la </w:t>
      </w:r>
      <w:r w:rsidRPr="00DB3453">
        <w:rPr>
          <w:sz w:val="20"/>
          <w:szCs w:val="20"/>
        </w:rPr>
        <w:t xml:space="preserve">Sala III de la </w:t>
      </w:r>
      <w:r w:rsidR="007A3490" w:rsidRPr="00DB3453">
        <w:rPr>
          <w:sz w:val="20"/>
          <w:szCs w:val="20"/>
        </w:rPr>
        <w:t xml:space="preserve">Cámara Federal de Casación Penal; </w:t>
      </w:r>
      <w:r w:rsidRPr="00DB3453">
        <w:rPr>
          <w:sz w:val="20"/>
          <w:szCs w:val="20"/>
        </w:rPr>
        <w:t xml:space="preserve">y Causa </w:t>
      </w:r>
      <w:proofErr w:type="spellStart"/>
      <w:r w:rsidRPr="00DB3453">
        <w:rPr>
          <w:sz w:val="20"/>
          <w:szCs w:val="20"/>
        </w:rPr>
        <w:t>N°</w:t>
      </w:r>
      <w:proofErr w:type="spellEnd"/>
      <w:r w:rsidRPr="00DB3453">
        <w:rPr>
          <w:sz w:val="20"/>
          <w:szCs w:val="20"/>
        </w:rPr>
        <w:t xml:space="preserve"> 8311/2009, </w:t>
      </w:r>
      <w:proofErr w:type="spellStart"/>
      <w:r w:rsidRPr="00DB3453">
        <w:rPr>
          <w:sz w:val="20"/>
          <w:szCs w:val="20"/>
        </w:rPr>
        <w:t>Kofman</w:t>
      </w:r>
      <w:proofErr w:type="spellEnd"/>
      <w:r w:rsidRPr="00DB3453">
        <w:rPr>
          <w:sz w:val="20"/>
          <w:szCs w:val="20"/>
        </w:rPr>
        <w:t xml:space="preserve">, Luis y o. c./ </w:t>
      </w:r>
      <w:proofErr w:type="spellStart"/>
      <w:r w:rsidRPr="00DB3453">
        <w:rPr>
          <w:sz w:val="20"/>
          <w:szCs w:val="20"/>
        </w:rPr>
        <w:t>Fleisman</w:t>
      </w:r>
      <w:proofErr w:type="spellEnd"/>
      <w:r w:rsidRPr="00DB3453">
        <w:rPr>
          <w:sz w:val="20"/>
          <w:szCs w:val="20"/>
        </w:rPr>
        <w:t>, Mario Alberto y o. s./ daños y perjuicios,</w:t>
      </w:r>
      <w:r w:rsidR="007A3490" w:rsidRPr="00DB3453">
        <w:rPr>
          <w:sz w:val="20"/>
          <w:szCs w:val="20"/>
        </w:rPr>
        <w:t xml:space="preserve"> Juzgado Nacional de Primera Instancia en lo Civil </w:t>
      </w:r>
      <w:proofErr w:type="spellStart"/>
      <w:r w:rsidR="007A3490" w:rsidRPr="00DB3453">
        <w:rPr>
          <w:sz w:val="20"/>
          <w:szCs w:val="20"/>
        </w:rPr>
        <w:t>N°</w:t>
      </w:r>
      <w:proofErr w:type="spellEnd"/>
      <w:r w:rsidR="007A3490" w:rsidRPr="00DB3453">
        <w:rPr>
          <w:sz w:val="20"/>
          <w:szCs w:val="20"/>
        </w:rPr>
        <w:t xml:space="preserve"> 103. </w:t>
      </w:r>
    </w:p>
    <w:p w14:paraId="3B5D1EE9" w14:textId="77777777" w:rsidR="00591E54" w:rsidRPr="00591E54" w:rsidRDefault="00591E54" w:rsidP="00DD4610">
      <w:pPr>
        <w:ind w:right="716" w:firstLine="720"/>
        <w:rPr>
          <w:sz w:val="20"/>
          <w:szCs w:val="20"/>
        </w:rPr>
      </w:pPr>
    </w:p>
    <w:p w14:paraId="7FE465B9" w14:textId="4549FE03" w:rsidR="00BD5498" w:rsidRDefault="00BF73BD" w:rsidP="00DD4610">
      <w:pPr>
        <w:pStyle w:val="ListParagraph"/>
        <w:numPr>
          <w:ilvl w:val="0"/>
          <w:numId w:val="2"/>
        </w:numPr>
        <w:spacing w:before="0"/>
        <w:ind w:left="0" w:right="716" w:firstLine="720"/>
        <w:rPr>
          <w:sz w:val="20"/>
          <w:szCs w:val="20"/>
        </w:rPr>
      </w:pPr>
      <w:r>
        <w:rPr>
          <w:sz w:val="20"/>
          <w:szCs w:val="20"/>
        </w:rPr>
        <w:t xml:space="preserve">Respecto de </w:t>
      </w:r>
      <w:r w:rsidR="00591E54" w:rsidRPr="00BD5498">
        <w:rPr>
          <w:sz w:val="20"/>
          <w:szCs w:val="20"/>
        </w:rPr>
        <w:t>la causa</w:t>
      </w:r>
      <w:r>
        <w:rPr>
          <w:sz w:val="20"/>
          <w:szCs w:val="20"/>
        </w:rPr>
        <w:t xml:space="preserve"> penal</w:t>
      </w:r>
      <w:r w:rsidR="00591E54" w:rsidRPr="00BD5498">
        <w:rPr>
          <w:sz w:val="20"/>
          <w:szCs w:val="20"/>
        </w:rPr>
        <w:t xml:space="preserve">, el Estado </w:t>
      </w:r>
      <w:r w:rsidR="008F2664">
        <w:rPr>
          <w:sz w:val="20"/>
          <w:szCs w:val="20"/>
        </w:rPr>
        <w:t xml:space="preserve">relata </w:t>
      </w:r>
      <w:r w:rsidR="00591E54" w:rsidRPr="00BD5498">
        <w:rPr>
          <w:sz w:val="20"/>
          <w:szCs w:val="20"/>
        </w:rPr>
        <w:t>que el 25 de enero de 2002</w:t>
      </w:r>
      <w:r w:rsidR="008F2664">
        <w:rPr>
          <w:sz w:val="20"/>
          <w:szCs w:val="20"/>
        </w:rPr>
        <w:t xml:space="preserve"> se presentó </w:t>
      </w:r>
      <w:r w:rsidR="008F2664" w:rsidRPr="00BD5498">
        <w:rPr>
          <w:sz w:val="20"/>
          <w:szCs w:val="20"/>
        </w:rPr>
        <w:t>ante la Policía Federal Argentina</w:t>
      </w:r>
      <w:r w:rsidR="008F2664">
        <w:rPr>
          <w:sz w:val="20"/>
          <w:szCs w:val="20"/>
        </w:rPr>
        <w:t xml:space="preserve"> una</w:t>
      </w:r>
      <w:r w:rsidR="00591E54" w:rsidRPr="00BD5498">
        <w:rPr>
          <w:sz w:val="20"/>
          <w:szCs w:val="20"/>
        </w:rPr>
        <w:t xml:space="preserve"> denuncia contra </w:t>
      </w:r>
      <w:r w:rsidR="008F2664">
        <w:rPr>
          <w:sz w:val="20"/>
          <w:szCs w:val="20"/>
        </w:rPr>
        <w:t>el peticionario y otras personas</w:t>
      </w:r>
      <w:r w:rsidR="00591E54" w:rsidRPr="00BD5498">
        <w:rPr>
          <w:sz w:val="20"/>
          <w:szCs w:val="20"/>
        </w:rPr>
        <w:t xml:space="preserve"> </w:t>
      </w:r>
      <w:r w:rsidR="008F2664">
        <w:rPr>
          <w:sz w:val="20"/>
          <w:szCs w:val="20"/>
        </w:rPr>
        <w:t>en la que una mujer alega</w:t>
      </w:r>
      <w:r w:rsidR="00E709F7">
        <w:rPr>
          <w:sz w:val="20"/>
          <w:szCs w:val="20"/>
        </w:rPr>
        <w:t>ba</w:t>
      </w:r>
      <w:r w:rsidR="008F2664">
        <w:rPr>
          <w:sz w:val="20"/>
          <w:szCs w:val="20"/>
        </w:rPr>
        <w:t xml:space="preserve"> que </w:t>
      </w:r>
      <w:r w:rsidR="00591E54" w:rsidRPr="00BD5498">
        <w:rPr>
          <w:sz w:val="20"/>
          <w:szCs w:val="20"/>
        </w:rPr>
        <w:t xml:space="preserve">ella, su marido </w:t>
      </w:r>
      <w:r w:rsidR="008F2664">
        <w:rPr>
          <w:sz w:val="20"/>
          <w:szCs w:val="20"/>
        </w:rPr>
        <w:t xml:space="preserve">e </w:t>
      </w:r>
      <w:r w:rsidR="00591E54" w:rsidRPr="00BD5498">
        <w:rPr>
          <w:sz w:val="20"/>
          <w:szCs w:val="20"/>
        </w:rPr>
        <w:t xml:space="preserve">hijo </w:t>
      </w:r>
      <w:r w:rsidR="008F2664">
        <w:rPr>
          <w:sz w:val="20"/>
          <w:szCs w:val="20"/>
        </w:rPr>
        <w:t xml:space="preserve">fueron inducidos </w:t>
      </w:r>
      <w:r w:rsidR="00591E54" w:rsidRPr="00BD5498">
        <w:rPr>
          <w:sz w:val="20"/>
          <w:szCs w:val="20"/>
        </w:rPr>
        <w:t>a aportar capital para formar una entidad dedicada al patrocinio en demandas por accidentes de tránsito.</w:t>
      </w:r>
      <w:r w:rsidR="00BD5498" w:rsidRPr="00BD5498">
        <w:rPr>
          <w:sz w:val="20"/>
          <w:szCs w:val="20"/>
        </w:rPr>
        <w:t xml:space="preserve"> </w:t>
      </w:r>
      <w:r w:rsidR="008F2664">
        <w:rPr>
          <w:sz w:val="20"/>
          <w:szCs w:val="20"/>
        </w:rPr>
        <w:t xml:space="preserve">Las personas denunciantes </w:t>
      </w:r>
      <w:r w:rsidR="00E709F7">
        <w:rPr>
          <w:sz w:val="20"/>
          <w:szCs w:val="20"/>
        </w:rPr>
        <w:t>habrían suscrito</w:t>
      </w:r>
      <w:r w:rsidR="00FE4961">
        <w:rPr>
          <w:sz w:val="20"/>
          <w:szCs w:val="20"/>
        </w:rPr>
        <w:t xml:space="preserve"> </w:t>
      </w:r>
      <w:r w:rsidR="00591E54" w:rsidRPr="00BD5498">
        <w:rPr>
          <w:sz w:val="20"/>
          <w:szCs w:val="20"/>
        </w:rPr>
        <w:t xml:space="preserve">un contrato con el </w:t>
      </w:r>
      <w:r w:rsidR="008F2664">
        <w:rPr>
          <w:sz w:val="20"/>
          <w:szCs w:val="20"/>
        </w:rPr>
        <w:t>peticionario</w:t>
      </w:r>
      <w:r w:rsidR="00591E54" w:rsidRPr="00BD5498">
        <w:rPr>
          <w:sz w:val="20"/>
          <w:szCs w:val="20"/>
        </w:rPr>
        <w:t xml:space="preserve"> el 10 de diciembre de 2000</w:t>
      </w:r>
      <w:r w:rsidR="008F2664">
        <w:rPr>
          <w:sz w:val="20"/>
          <w:szCs w:val="20"/>
        </w:rPr>
        <w:t xml:space="preserve"> en el que</w:t>
      </w:r>
      <w:r w:rsidR="00591E54" w:rsidRPr="00BD5498">
        <w:rPr>
          <w:sz w:val="20"/>
          <w:szCs w:val="20"/>
        </w:rPr>
        <w:t xml:space="preserve"> asumieron la obligación de aportar trece cuotas mensuales de </w:t>
      </w:r>
      <w:r w:rsidR="009D594A">
        <w:rPr>
          <w:sz w:val="20"/>
          <w:szCs w:val="20"/>
        </w:rPr>
        <w:t>U.S.$ 30.000 (</w:t>
      </w:r>
      <w:r w:rsidR="00591E54" w:rsidRPr="00BD5498">
        <w:rPr>
          <w:sz w:val="20"/>
          <w:szCs w:val="20"/>
        </w:rPr>
        <w:t>treinta mil dólares estadounidenses</w:t>
      </w:r>
      <w:r w:rsidR="009D594A">
        <w:rPr>
          <w:sz w:val="20"/>
          <w:szCs w:val="20"/>
        </w:rPr>
        <w:t>)</w:t>
      </w:r>
      <w:r w:rsidR="008F2664">
        <w:rPr>
          <w:sz w:val="20"/>
          <w:szCs w:val="20"/>
        </w:rPr>
        <w:t xml:space="preserve"> cada una</w:t>
      </w:r>
      <w:r w:rsidR="00591E54" w:rsidRPr="00BD5498">
        <w:rPr>
          <w:sz w:val="20"/>
          <w:szCs w:val="20"/>
        </w:rPr>
        <w:t>, que serían reintegrad</w:t>
      </w:r>
      <w:r w:rsidR="008F2664">
        <w:rPr>
          <w:sz w:val="20"/>
          <w:szCs w:val="20"/>
        </w:rPr>
        <w:t>a</w:t>
      </w:r>
      <w:r w:rsidR="00591E54" w:rsidRPr="00BD5498">
        <w:rPr>
          <w:sz w:val="20"/>
          <w:szCs w:val="20"/>
        </w:rPr>
        <w:t xml:space="preserve">s con intereses por </w:t>
      </w:r>
      <w:r w:rsidR="008F2664">
        <w:rPr>
          <w:sz w:val="20"/>
          <w:szCs w:val="20"/>
        </w:rPr>
        <w:t xml:space="preserve">aquel </w:t>
      </w:r>
      <w:r w:rsidR="00591E54" w:rsidRPr="00BD5498">
        <w:rPr>
          <w:sz w:val="20"/>
          <w:szCs w:val="20"/>
        </w:rPr>
        <w:t xml:space="preserve">a medida que se fueran cobrando las indemnizaciones obtenidas en los eventuales juicios. La </w:t>
      </w:r>
      <w:r w:rsidR="008F2664">
        <w:rPr>
          <w:sz w:val="20"/>
          <w:szCs w:val="20"/>
        </w:rPr>
        <w:t>mujer</w:t>
      </w:r>
      <w:r w:rsidR="00591E54" w:rsidRPr="00BD5498">
        <w:rPr>
          <w:sz w:val="20"/>
          <w:szCs w:val="20"/>
        </w:rPr>
        <w:t xml:space="preserve"> manifestó que el negocio auguraba importantes ventajas económicas para los inversores</w:t>
      </w:r>
      <w:r w:rsidR="009D594A" w:rsidRPr="009D594A">
        <w:rPr>
          <w:sz w:val="20"/>
          <w:szCs w:val="20"/>
        </w:rPr>
        <w:t xml:space="preserve"> </w:t>
      </w:r>
      <w:r w:rsidR="009D594A" w:rsidRPr="00BD5498">
        <w:rPr>
          <w:sz w:val="20"/>
          <w:szCs w:val="20"/>
        </w:rPr>
        <w:t>con arreglo a las proyecciones prov</w:t>
      </w:r>
      <w:r w:rsidR="00E709F7">
        <w:rPr>
          <w:sz w:val="20"/>
          <w:szCs w:val="20"/>
        </w:rPr>
        <w:t>istas</w:t>
      </w:r>
      <w:r w:rsidR="009D594A" w:rsidRPr="00BD5498">
        <w:rPr>
          <w:sz w:val="20"/>
          <w:szCs w:val="20"/>
        </w:rPr>
        <w:t xml:space="preserve"> por los denunciados</w:t>
      </w:r>
      <w:r w:rsidR="00591E54" w:rsidRPr="00BD5498">
        <w:rPr>
          <w:sz w:val="20"/>
          <w:szCs w:val="20"/>
        </w:rPr>
        <w:t>.</w:t>
      </w:r>
      <w:r w:rsidR="00BD5498" w:rsidRPr="00BD5498">
        <w:rPr>
          <w:sz w:val="20"/>
          <w:szCs w:val="20"/>
        </w:rPr>
        <w:t xml:space="preserve"> </w:t>
      </w:r>
      <w:r w:rsidR="00591E54" w:rsidRPr="00BD5498">
        <w:rPr>
          <w:sz w:val="20"/>
          <w:szCs w:val="20"/>
        </w:rPr>
        <w:t xml:space="preserve">Durante 2001, los inversores comenzaron a observar que no </w:t>
      </w:r>
      <w:r w:rsidR="009D594A">
        <w:rPr>
          <w:sz w:val="20"/>
          <w:szCs w:val="20"/>
        </w:rPr>
        <w:t xml:space="preserve">había </w:t>
      </w:r>
      <w:r w:rsidR="00591E54" w:rsidRPr="00BD5498">
        <w:rPr>
          <w:sz w:val="20"/>
          <w:szCs w:val="20"/>
        </w:rPr>
        <w:t>muchos litigios</w:t>
      </w:r>
      <w:r w:rsidR="009D594A">
        <w:rPr>
          <w:sz w:val="20"/>
          <w:szCs w:val="20"/>
        </w:rPr>
        <w:t>,</w:t>
      </w:r>
      <w:r w:rsidR="00591E54" w:rsidRPr="00BD5498">
        <w:rPr>
          <w:sz w:val="20"/>
          <w:szCs w:val="20"/>
        </w:rPr>
        <w:t xml:space="preserve"> y que los pocos que </w:t>
      </w:r>
      <w:r w:rsidR="009D594A">
        <w:rPr>
          <w:sz w:val="20"/>
          <w:szCs w:val="20"/>
        </w:rPr>
        <w:t xml:space="preserve">se hallaban </w:t>
      </w:r>
      <w:r w:rsidR="00591E54" w:rsidRPr="00BD5498">
        <w:rPr>
          <w:sz w:val="20"/>
          <w:szCs w:val="20"/>
        </w:rPr>
        <w:t>en trámite tenían escaso contenido económico.</w:t>
      </w:r>
      <w:r w:rsidR="00BD5498" w:rsidRPr="00BD5498">
        <w:rPr>
          <w:sz w:val="20"/>
          <w:szCs w:val="20"/>
        </w:rPr>
        <w:t xml:space="preserve"> </w:t>
      </w:r>
      <w:r w:rsidR="009D594A">
        <w:rPr>
          <w:sz w:val="20"/>
          <w:szCs w:val="20"/>
        </w:rPr>
        <w:t xml:space="preserve">Al mismo tiempo, </w:t>
      </w:r>
      <w:r w:rsidR="00591E54" w:rsidRPr="00BD5498">
        <w:rPr>
          <w:sz w:val="20"/>
          <w:szCs w:val="20"/>
        </w:rPr>
        <w:t xml:space="preserve">advirtieron que el </w:t>
      </w:r>
      <w:r w:rsidR="009D594A">
        <w:rPr>
          <w:sz w:val="20"/>
          <w:szCs w:val="20"/>
        </w:rPr>
        <w:t>uno de los denunciados</w:t>
      </w:r>
      <w:r w:rsidR="00591E54" w:rsidRPr="00BD5498">
        <w:rPr>
          <w:sz w:val="20"/>
          <w:szCs w:val="20"/>
        </w:rPr>
        <w:t xml:space="preserve"> se apropió de </w:t>
      </w:r>
      <w:r w:rsidR="009D594A">
        <w:rPr>
          <w:sz w:val="20"/>
          <w:szCs w:val="20"/>
        </w:rPr>
        <w:t xml:space="preserve">U.S.$ </w:t>
      </w:r>
      <w:r w:rsidR="00591E54" w:rsidRPr="00BD5498">
        <w:rPr>
          <w:sz w:val="20"/>
          <w:szCs w:val="20"/>
        </w:rPr>
        <w:t xml:space="preserve">130.000 </w:t>
      </w:r>
      <w:r w:rsidR="009D594A">
        <w:rPr>
          <w:sz w:val="20"/>
          <w:szCs w:val="20"/>
        </w:rPr>
        <w:t xml:space="preserve">(ciento treinta mil </w:t>
      </w:r>
      <w:r w:rsidR="00591E54" w:rsidRPr="00BD5498">
        <w:rPr>
          <w:sz w:val="20"/>
          <w:szCs w:val="20"/>
        </w:rPr>
        <w:t xml:space="preserve">dólares </w:t>
      </w:r>
      <w:r w:rsidR="009D594A">
        <w:rPr>
          <w:sz w:val="20"/>
          <w:szCs w:val="20"/>
        </w:rPr>
        <w:t xml:space="preserve">estadounidenses) </w:t>
      </w:r>
      <w:r w:rsidR="00591E54" w:rsidRPr="00BD5498">
        <w:rPr>
          <w:sz w:val="20"/>
          <w:szCs w:val="20"/>
        </w:rPr>
        <w:t>del capital y los depositó a su nombre en el Banco Nacional de París</w:t>
      </w:r>
      <w:r w:rsidR="009D594A">
        <w:rPr>
          <w:sz w:val="20"/>
          <w:szCs w:val="20"/>
        </w:rPr>
        <w:t>;</w:t>
      </w:r>
      <w:r w:rsidR="00591E54" w:rsidRPr="00BD5498">
        <w:rPr>
          <w:sz w:val="20"/>
          <w:szCs w:val="20"/>
        </w:rPr>
        <w:t xml:space="preserve"> </w:t>
      </w:r>
      <w:r w:rsidR="009D594A">
        <w:rPr>
          <w:sz w:val="20"/>
          <w:szCs w:val="20"/>
        </w:rPr>
        <w:t>la inversora denunció asimismo que aquel</w:t>
      </w:r>
      <w:r w:rsidR="00591E54" w:rsidRPr="00BD5498">
        <w:rPr>
          <w:sz w:val="20"/>
          <w:szCs w:val="20"/>
        </w:rPr>
        <w:t xml:space="preserve"> había retenido ciertos registros vinculados con otros negocios en que la asesoraba como contador público.</w:t>
      </w:r>
    </w:p>
    <w:p w14:paraId="6595EEAB" w14:textId="77777777" w:rsidR="00BD5498" w:rsidRPr="009D594A" w:rsidRDefault="00BD5498" w:rsidP="009D594A">
      <w:pPr>
        <w:ind w:right="716"/>
        <w:rPr>
          <w:sz w:val="20"/>
          <w:szCs w:val="20"/>
        </w:rPr>
      </w:pPr>
    </w:p>
    <w:p w14:paraId="137B6C9B" w14:textId="5FF6DC70" w:rsidR="00BF73BD" w:rsidRDefault="009D594A" w:rsidP="00DD4610">
      <w:pPr>
        <w:pStyle w:val="ListParagraph"/>
        <w:numPr>
          <w:ilvl w:val="0"/>
          <w:numId w:val="2"/>
        </w:numPr>
        <w:spacing w:before="0"/>
        <w:ind w:left="0" w:right="716" w:firstLine="720"/>
        <w:rPr>
          <w:sz w:val="20"/>
          <w:szCs w:val="20"/>
        </w:rPr>
      </w:pPr>
      <w:r>
        <w:rPr>
          <w:sz w:val="20"/>
          <w:szCs w:val="20"/>
        </w:rPr>
        <w:t>El</w:t>
      </w:r>
      <w:r w:rsidR="00591E54" w:rsidRPr="00BF73BD">
        <w:rPr>
          <w:sz w:val="20"/>
          <w:szCs w:val="20"/>
        </w:rPr>
        <w:t xml:space="preserve"> 24 de junio de 2003, el titular del Juzgado Nacional en lo Criminal de Instrucción </w:t>
      </w:r>
      <w:proofErr w:type="spellStart"/>
      <w:r w:rsidR="00591E54" w:rsidRPr="00BF73BD">
        <w:rPr>
          <w:sz w:val="20"/>
          <w:szCs w:val="20"/>
        </w:rPr>
        <w:t>N°</w:t>
      </w:r>
      <w:proofErr w:type="spellEnd"/>
      <w:r w:rsidR="00591E54" w:rsidRPr="00BF73BD">
        <w:rPr>
          <w:sz w:val="20"/>
          <w:szCs w:val="20"/>
        </w:rPr>
        <w:t xml:space="preserve"> 30 ordenó el procesamiento sin prisión preventiva del peticionario y su primo, por considerarlos </w:t>
      </w:r>
      <w:r w:rsidR="00591E54" w:rsidRPr="00BF73BD">
        <w:rPr>
          <w:i/>
          <w:iCs/>
          <w:sz w:val="20"/>
          <w:szCs w:val="20"/>
        </w:rPr>
        <w:t>prima facie</w:t>
      </w:r>
      <w:r w:rsidR="00591E54" w:rsidRPr="00BF73BD">
        <w:rPr>
          <w:sz w:val="20"/>
          <w:szCs w:val="20"/>
        </w:rPr>
        <w:t xml:space="preserve"> autores penalmente responsables del delito de administración fraudulenta.</w:t>
      </w:r>
      <w:r w:rsidR="00BD5498" w:rsidRPr="00BF73BD">
        <w:rPr>
          <w:sz w:val="20"/>
          <w:szCs w:val="20"/>
        </w:rPr>
        <w:t xml:space="preserve"> </w:t>
      </w:r>
      <w:r w:rsidR="00591E54" w:rsidRPr="00BF73BD">
        <w:rPr>
          <w:sz w:val="20"/>
          <w:szCs w:val="20"/>
        </w:rPr>
        <w:t>El procesamiento, en estos términos, quedó firme según sentencia de la Cámara en lo Criminal y Correccional de 17</w:t>
      </w:r>
      <w:r>
        <w:rPr>
          <w:sz w:val="20"/>
          <w:szCs w:val="20"/>
        </w:rPr>
        <w:t xml:space="preserve"> de marzo de </w:t>
      </w:r>
      <w:r w:rsidR="00591E54" w:rsidRPr="00BF73BD">
        <w:rPr>
          <w:sz w:val="20"/>
          <w:szCs w:val="20"/>
        </w:rPr>
        <w:t>2004.</w:t>
      </w:r>
      <w:r w:rsidR="00BD5498" w:rsidRPr="00BF73BD">
        <w:rPr>
          <w:sz w:val="20"/>
          <w:szCs w:val="20"/>
        </w:rPr>
        <w:t xml:space="preserve"> </w:t>
      </w:r>
      <w:bookmarkStart w:id="1" w:name="_Hlk82014266"/>
      <w:r w:rsidR="00BD5498" w:rsidRPr="00BF73BD">
        <w:rPr>
          <w:sz w:val="20"/>
          <w:szCs w:val="20"/>
        </w:rPr>
        <w:t>Asimismo, e</w:t>
      </w:r>
      <w:r w:rsidR="00591E54" w:rsidRPr="00BF73BD">
        <w:rPr>
          <w:sz w:val="20"/>
          <w:szCs w:val="20"/>
        </w:rPr>
        <w:t xml:space="preserve">l 10 de octubre de 2007, el Tribunal Oral en lo Criminal </w:t>
      </w:r>
      <w:proofErr w:type="spellStart"/>
      <w:r w:rsidR="00591E54" w:rsidRPr="00BF73BD">
        <w:rPr>
          <w:sz w:val="20"/>
          <w:szCs w:val="20"/>
        </w:rPr>
        <w:t>N°</w:t>
      </w:r>
      <w:proofErr w:type="spellEnd"/>
      <w:r w:rsidR="00591E54" w:rsidRPr="00BF73BD">
        <w:rPr>
          <w:sz w:val="20"/>
          <w:szCs w:val="20"/>
        </w:rPr>
        <w:t xml:space="preserve"> 18 de la Ciudad de Buenos Aires resolvió condenar a</w:t>
      </w:r>
      <w:r w:rsidR="00BA55D4">
        <w:rPr>
          <w:sz w:val="20"/>
          <w:szCs w:val="20"/>
        </w:rPr>
        <w:t>l peticionario y a su primo</w:t>
      </w:r>
      <w:r w:rsidR="00591E54" w:rsidRPr="00BF73BD">
        <w:rPr>
          <w:sz w:val="20"/>
          <w:szCs w:val="20"/>
        </w:rPr>
        <w:t xml:space="preserve"> como coautores del delito de estafa</w:t>
      </w:r>
      <w:r w:rsidR="00BA55D4">
        <w:rPr>
          <w:sz w:val="20"/>
          <w:szCs w:val="20"/>
        </w:rPr>
        <w:t>.</w:t>
      </w:r>
      <w:r w:rsidR="00BD5498" w:rsidRPr="00BF73BD">
        <w:rPr>
          <w:sz w:val="20"/>
          <w:szCs w:val="20"/>
        </w:rPr>
        <w:t xml:space="preserve"> </w:t>
      </w:r>
      <w:r w:rsidR="00BA55D4">
        <w:rPr>
          <w:sz w:val="20"/>
          <w:szCs w:val="20"/>
        </w:rPr>
        <w:t>El peticionario interpuso un r</w:t>
      </w:r>
      <w:r w:rsidR="00BA55D4" w:rsidRPr="00591E54">
        <w:rPr>
          <w:sz w:val="20"/>
          <w:szCs w:val="20"/>
        </w:rPr>
        <w:t xml:space="preserve">ecurso de </w:t>
      </w:r>
      <w:r w:rsidR="00BA55D4">
        <w:rPr>
          <w:sz w:val="20"/>
          <w:szCs w:val="20"/>
        </w:rPr>
        <w:t>c</w:t>
      </w:r>
      <w:r w:rsidR="00BA55D4" w:rsidRPr="00591E54">
        <w:rPr>
          <w:sz w:val="20"/>
          <w:szCs w:val="20"/>
        </w:rPr>
        <w:t>asación</w:t>
      </w:r>
      <w:r w:rsidR="00BA55D4">
        <w:rPr>
          <w:sz w:val="20"/>
          <w:szCs w:val="20"/>
        </w:rPr>
        <w:t xml:space="preserve"> c</w:t>
      </w:r>
      <w:r w:rsidR="00591E54" w:rsidRPr="00591E54">
        <w:rPr>
          <w:sz w:val="20"/>
          <w:szCs w:val="20"/>
        </w:rPr>
        <w:t xml:space="preserve">ontra </w:t>
      </w:r>
      <w:r w:rsidR="00BA55D4">
        <w:rPr>
          <w:sz w:val="20"/>
          <w:szCs w:val="20"/>
        </w:rPr>
        <w:t>dicha</w:t>
      </w:r>
      <w:r w:rsidR="00591E54" w:rsidRPr="00591E54">
        <w:rPr>
          <w:sz w:val="20"/>
          <w:szCs w:val="20"/>
        </w:rPr>
        <w:t xml:space="preserve"> decisión</w:t>
      </w:r>
      <w:r w:rsidR="00BA55D4">
        <w:rPr>
          <w:sz w:val="20"/>
          <w:szCs w:val="20"/>
        </w:rPr>
        <w:t xml:space="preserve"> por</w:t>
      </w:r>
      <w:r w:rsidR="00591E54" w:rsidRPr="00591E54">
        <w:rPr>
          <w:sz w:val="20"/>
          <w:szCs w:val="20"/>
        </w:rPr>
        <w:t xml:space="preserve"> considera</w:t>
      </w:r>
      <w:r w:rsidR="00BA55D4">
        <w:rPr>
          <w:sz w:val="20"/>
          <w:szCs w:val="20"/>
        </w:rPr>
        <w:t>r</w:t>
      </w:r>
      <w:r w:rsidR="00BD5498" w:rsidRPr="00BF73BD">
        <w:rPr>
          <w:sz w:val="20"/>
          <w:szCs w:val="20"/>
        </w:rPr>
        <w:t xml:space="preserve">, </w:t>
      </w:r>
      <w:r w:rsidR="00BD5498" w:rsidRPr="00BF73BD">
        <w:rPr>
          <w:i/>
          <w:sz w:val="20"/>
          <w:szCs w:val="20"/>
        </w:rPr>
        <w:t xml:space="preserve">inter </w:t>
      </w:r>
      <w:proofErr w:type="spellStart"/>
      <w:r w:rsidR="00BD5498" w:rsidRPr="00BF73BD">
        <w:rPr>
          <w:i/>
          <w:sz w:val="20"/>
          <w:szCs w:val="20"/>
        </w:rPr>
        <w:t>alia</w:t>
      </w:r>
      <w:proofErr w:type="spellEnd"/>
      <w:r w:rsidR="00BD5498" w:rsidRPr="00BF73BD">
        <w:rPr>
          <w:iCs/>
          <w:sz w:val="20"/>
          <w:szCs w:val="20"/>
        </w:rPr>
        <w:t>,</w:t>
      </w:r>
      <w:r w:rsidR="00591E54" w:rsidRPr="00591E54">
        <w:rPr>
          <w:sz w:val="20"/>
          <w:szCs w:val="20"/>
        </w:rPr>
        <w:t xml:space="preserve"> que el </w:t>
      </w:r>
      <w:r w:rsidR="00BA55D4">
        <w:rPr>
          <w:sz w:val="20"/>
          <w:szCs w:val="20"/>
        </w:rPr>
        <w:t>t</w:t>
      </w:r>
      <w:r w:rsidR="00591E54" w:rsidRPr="00591E54">
        <w:rPr>
          <w:sz w:val="20"/>
          <w:szCs w:val="20"/>
        </w:rPr>
        <w:t>ribunal</w:t>
      </w:r>
      <w:r w:rsidR="00BD5498" w:rsidRPr="00BF73BD">
        <w:rPr>
          <w:sz w:val="20"/>
          <w:szCs w:val="20"/>
        </w:rPr>
        <w:t xml:space="preserve"> </w:t>
      </w:r>
      <w:r w:rsidR="00591E54" w:rsidRPr="00591E54">
        <w:rPr>
          <w:sz w:val="20"/>
          <w:szCs w:val="20"/>
        </w:rPr>
        <w:t>vulneró el principio de congruencia</w:t>
      </w:r>
      <w:r w:rsidR="00BA55D4">
        <w:rPr>
          <w:sz w:val="20"/>
          <w:szCs w:val="20"/>
        </w:rPr>
        <w:t>; e</w:t>
      </w:r>
      <w:r w:rsidR="00591E54" w:rsidRPr="00591E54">
        <w:rPr>
          <w:sz w:val="20"/>
          <w:szCs w:val="20"/>
        </w:rPr>
        <w:t xml:space="preserve">l 5 de mayo de 2008, la </w:t>
      </w:r>
      <w:r w:rsidR="00BA55D4" w:rsidRPr="00591E54">
        <w:rPr>
          <w:sz w:val="20"/>
          <w:szCs w:val="20"/>
        </w:rPr>
        <w:t xml:space="preserve">Sala III </w:t>
      </w:r>
      <w:r w:rsidR="00BA55D4">
        <w:rPr>
          <w:sz w:val="20"/>
          <w:szCs w:val="20"/>
        </w:rPr>
        <w:t xml:space="preserve">de la </w:t>
      </w:r>
      <w:r w:rsidR="00591E54" w:rsidRPr="00591E54">
        <w:rPr>
          <w:sz w:val="20"/>
          <w:szCs w:val="20"/>
        </w:rPr>
        <w:t xml:space="preserve">Cámara Federal de Casación Penal rechazó </w:t>
      </w:r>
      <w:r w:rsidR="00BA55D4">
        <w:rPr>
          <w:sz w:val="20"/>
          <w:szCs w:val="20"/>
        </w:rPr>
        <w:t>dicho</w:t>
      </w:r>
      <w:r w:rsidR="00591E54" w:rsidRPr="00591E54">
        <w:rPr>
          <w:sz w:val="20"/>
          <w:szCs w:val="20"/>
        </w:rPr>
        <w:t xml:space="preserve"> </w:t>
      </w:r>
      <w:r w:rsidR="00BA55D4">
        <w:rPr>
          <w:sz w:val="20"/>
          <w:szCs w:val="20"/>
        </w:rPr>
        <w:t>r</w:t>
      </w:r>
      <w:r w:rsidR="00591E54" w:rsidRPr="00591E54">
        <w:rPr>
          <w:sz w:val="20"/>
          <w:szCs w:val="20"/>
        </w:rPr>
        <w:t>ecurso.</w:t>
      </w:r>
      <w:r w:rsidR="00BD5498" w:rsidRPr="00BF73BD">
        <w:rPr>
          <w:sz w:val="20"/>
          <w:szCs w:val="20"/>
        </w:rPr>
        <w:t xml:space="preserve"> </w:t>
      </w:r>
      <w:bookmarkEnd w:id="1"/>
      <w:r w:rsidR="008F26C6" w:rsidRPr="008F26C6">
        <w:rPr>
          <w:sz w:val="20"/>
          <w:szCs w:val="20"/>
        </w:rPr>
        <w:t xml:space="preserve">Con relación a la supuesta falta de congruencia, el Estado informa que “el Tribunal tomó nota de que tanto la querella como el Ministerio Público “…esbozaron una tipicidad de estafa”, pero ambos la desecharon”. No obstante, el tribunal sostuvo que “tiene plena libertad para ‘elegir la norma’ que considera aplicable al caso, y ello en virtud del principio </w:t>
      </w:r>
      <w:proofErr w:type="spellStart"/>
      <w:r w:rsidR="008F26C6" w:rsidRPr="008F26C6">
        <w:rPr>
          <w:sz w:val="20"/>
          <w:szCs w:val="20"/>
        </w:rPr>
        <w:t>iura</w:t>
      </w:r>
      <w:proofErr w:type="spellEnd"/>
      <w:r w:rsidR="008F26C6" w:rsidRPr="008F26C6">
        <w:rPr>
          <w:sz w:val="20"/>
          <w:szCs w:val="20"/>
        </w:rPr>
        <w:t xml:space="preserve"> </w:t>
      </w:r>
      <w:proofErr w:type="spellStart"/>
      <w:r w:rsidR="008F26C6" w:rsidRPr="008F26C6">
        <w:rPr>
          <w:sz w:val="20"/>
          <w:szCs w:val="20"/>
        </w:rPr>
        <w:t>novit</w:t>
      </w:r>
      <w:proofErr w:type="spellEnd"/>
      <w:r w:rsidR="008F26C6" w:rsidRPr="008F26C6">
        <w:rPr>
          <w:sz w:val="20"/>
          <w:szCs w:val="20"/>
        </w:rPr>
        <w:t xml:space="preserve"> curia…”, y que el artículo 401 del Código Procesal Penal de la Nación dispone que “en la sentencia el tribunal podrá dar al hecho una calificación jurídica distinta a la contenida en el auto de remisión a juicio o en el requerimiento fiscal, aunque deba aplicar penas más graves o medidas de seguridad”. Según el tribunal, no hubo violación a la congruencia – dicha violación ocurriría si hubiera habido “falta de identidad fáctica entre el hecho por el que resultara condenado el encausado y el enunciado en la acusación intimada”. </w:t>
      </w:r>
      <w:r w:rsidR="00BA55D4">
        <w:rPr>
          <w:sz w:val="20"/>
          <w:szCs w:val="20"/>
        </w:rPr>
        <w:t>El peticionario</w:t>
      </w:r>
      <w:r w:rsidR="00591E54" w:rsidRPr="00591E54">
        <w:rPr>
          <w:sz w:val="20"/>
          <w:szCs w:val="20"/>
        </w:rPr>
        <w:t xml:space="preserve"> y su </w:t>
      </w:r>
      <w:r w:rsidR="00BA55D4">
        <w:rPr>
          <w:sz w:val="20"/>
          <w:szCs w:val="20"/>
        </w:rPr>
        <w:t>coencausado</w:t>
      </w:r>
      <w:r w:rsidR="00591E54" w:rsidRPr="00591E54">
        <w:rPr>
          <w:sz w:val="20"/>
          <w:szCs w:val="20"/>
        </w:rPr>
        <w:t xml:space="preserve"> interpusieron</w:t>
      </w:r>
      <w:r w:rsidR="00BD5498" w:rsidRPr="00BF73BD">
        <w:rPr>
          <w:sz w:val="20"/>
          <w:szCs w:val="20"/>
        </w:rPr>
        <w:t xml:space="preserve"> </w:t>
      </w:r>
      <w:r w:rsidR="00591E54" w:rsidRPr="00591E54">
        <w:rPr>
          <w:sz w:val="20"/>
          <w:szCs w:val="20"/>
        </w:rPr>
        <w:t xml:space="preserve">sendos recursos extraordinarios, que fueron rechazados </w:t>
      </w:r>
      <w:r w:rsidR="00BA55D4">
        <w:rPr>
          <w:sz w:val="20"/>
          <w:szCs w:val="20"/>
        </w:rPr>
        <w:t>el</w:t>
      </w:r>
      <w:r w:rsidR="00591E54" w:rsidRPr="00591E54">
        <w:rPr>
          <w:sz w:val="20"/>
          <w:szCs w:val="20"/>
        </w:rPr>
        <w:t xml:space="preserve"> 26 de junio de 2008.</w:t>
      </w:r>
      <w:r w:rsidR="00BD5498" w:rsidRPr="00BF73BD">
        <w:rPr>
          <w:sz w:val="20"/>
          <w:szCs w:val="20"/>
        </w:rPr>
        <w:t xml:space="preserve"> </w:t>
      </w:r>
      <w:r w:rsidR="00591E54" w:rsidRPr="00591E54">
        <w:rPr>
          <w:sz w:val="20"/>
          <w:szCs w:val="20"/>
        </w:rPr>
        <w:t>La</w:t>
      </w:r>
      <w:r w:rsidR="00BD5498" w:rsidRPr="00BF73BD">
        <w:rPr>
          <w:sz w:val="20"/>
          <w:szCs w:val="20"/>
        </w:rPr>
        <w:t xml:space="preserve"> </w:t>
      </w:r>
      <w:r w:rsidR="00591E54" w:rsidRPr="00591E54">
        <w:rPr>
          <w:sz w:val="20"/>
          <w:szCs w:val="20"/>
        </w:rPr>
        <w:t>queja por recurso extraordinario denegado oportunamente promovida por el peticionario ante la Corte</w:t>
      </w:r>
      <w:r w:rsidR="00BD5498" w:rsidRPr="00BF73BD">
        <w:rPr>
          <w:sz w:val="20"/>
          <w:szCs w:val="20"/>
        </w:rPr>
        <w:t xml:space="preserve"> </w:t>
      </w:r>
      <w:r w:rsidR="00591E54" w:rsidRPr="00591E54">
        <w:rPr>
          <w:sz w:val="20"/>
          <w:szCs w:val="20"/>
        </w:rPr>
        <w:t xml:space="preserve">Suprema de Justicia de la Nación, también fue rechazada </w:t>
      </w:r>
      <w:r w:rsidR="00BA55D4">
        <w:rPr>
          <w:sz w:val="20"/>
          <w:szCs w:val="20"/>
        </w:rPr>
        <w:t>el</w:t>
      </w:r>
      <w:r w:rsidR="00591E54" w:rsidRPr="00591E54">
        <w:rPr>
          <w:sz w:val="20"/>
          <w:szCs w:val="20"/>
        </w:rPr>
        <w:t xml:space="preserve"> 2 de junio de 2009</w:t>
      </w:r>
      <w:r w:rsidR="00BA55D4">
        <w:rPr>
          <w:sz w:val="20"/>
          <w:szCs w:val="20"/>
        </w:rPr>
        <w:t>, con lo que</w:t>
      </w:r>
      <w:r w:rsidR="00BD5498" w:rsidRPr="00BF73BD">
        <w:rPr>
          <w:sz w:val="20"/>
          <w:szCs w:val="20"/>
        </w:rPr>
        <w:t xml:space="preserve"> la condena adquirió firmeza.</w:t>
      </w:r>
    </w:p>
    <w:p w14:paraId="4D4BB2B3" w14:textId="77777777" w:rsidR="00BF73BD" w:rsidRPr="00BA55D4" w:rsidRDefault="00BF73BD" w:rsidP="00BA55D4">
      <w:pPr>
        <w:ind w:right="716"/>
        <w:rPr>
          <w:sz w:val="20"/>
          <w:szCs w:val="20"/>
        </w:rPr>
      </w:pPr>
    </w:p>
    <w:p w14:paraId="196DBFD4" w14:textId="7D9ED30A" w:rsidR="00BF73BD" w:rsidRPr="00BF73BD" w:rsidRDefault="00BF73BD" w:rsidP="00DD4610">
      <w:pPr>
        <w:pStyle w:val="ListParagraph"/>
        <w:numPr>
          <w:ilvl w:val="0"/>
          <w:numId w:val="2"/>
        </w:numPr>
        <w:spacing w:before="0"/>
        <w:ind w:left="0" w:right="716" w:firstLine="720"/>
        <w:rPr>
          <w:sz w:val="20"/>
          <w:szCs w:val="20"/>
        </w:rPr>
      </w:pPr>
      <w:r w:rsidRPr="00BF73BD">
        <w:rPr>
          <w:sz w:val="20"/>
          <w:szCs w:val="20"/>
        </w:rPr>
        <w:t xml:space="preserve">Respecto de la causa civil, el Estado informa </w:t>
      </w:r>
      <w:r w:rsidR="005434D9" w:rsidRPr="00BF73BD">
        <w:rPr>
          <w:sz w:val="20"/>
          <w:szCs w:val="20"/>
        </w:rPr>
        <w:t>que</w:t>
      </w:r>
      <w:r w:rsidRPr="00BF73BD">
        <w:rPr>
          <w:sz w:val="20"/>
          <w:szCs w:val="20"/>
        </w:rPr>
        <w:t xml:space="preserve"> </w:t>
      </w:r>
      <w:r w:rsidR="005434D9">
        <w:rPr>
          <w:sz w:val="20"/>
          <w:szCs w:val="20"/>
        </w:rPr>
        <w:t xml:space="preserve">las personas inversoras mencionadas </w:t>
      </w:r>
      <w:r w:rsidRPr="00BF73BD">
        <w:rPr>
          <w:sz w:val="20"/>
          <w:szCs w:val="20"/>
        </w:rPr>
        <w:t>promovi</w:t>
      </w:r>
      <w:r w:rsidR="005434D9">
        <w:rPr>
          <w:sz w:val="20"/>
          <w:szCs w:val="20"/>
        </w:rPr>
        <w:t xml:space="preserve">eron </w:t>
      </w:r>
      <w:r w:rsidR="00F322E8" w:rsidRPr="00BF73BD">
        <w:rPr>
          <w:sz w:val="20"/>
          <w:szCs w:val="20"/>
        </w:rPr>
        <w:t>durante 2009</w:t>
      </w:r>
      <w:r w:rsidR="00F322E8">
        <w:rPr>
          <w:sz w:val="20"/>
          <w:szCs w:val="20"/>
        </w:rPr>
        <w:t xml:space="preserve"> </w:t>
      </w:r>
      <w:r w:rsidRPr="00BF73BD">
        <w:rPr>
          <w:sz w:val="20"/>
          <w:szCs w:val="20"/>
        </w:rPr>
        <w:t xml:space="preserve">una demanda contra </w:t>
      </w:r>
      <w:r w:rsidR="005434D9">
        <w:rPr>
          <w:sz w:val="20"/>
          <w:szCs w:val="20"/>
        </w:rPr>
        <w:t>el peticionario y su primo</w:t>
      </w:r>
      <w:r w:rsidRPr="00BF73BD">
        <w:rPr>
          <w:sz w:val="20"/>
          <w:szCs w:val="20"/>
        </w:rPr>
        <w:t xml:space="preserve"> sobre la base del hecho ilícito narrado </w:t>
      </w:r>
      <w:r w:rsidRPr="00BF73BD">
        <w:rPr>
          <w:i/>
          <w:iCs/>
          <w:sz w:val="20"/>
          <w:szCs w:val="20"/>
        </w:rPr>
        <w:t>supra</w:t>
      </w:r>
      <w:r w:rsidRPr="00BF73BD">
        <w:rPr>
          <w:sz w:val="20"/>
          <w:szCs w:val="20"/>
        </w:rPr>
        <w:t xml:space="preserve"> </w:t>
      </w:r>
      <w:r w:rsidR="005434D9">
        <w:rPr>
          <w:sz w:val="20"/>
          <w:szCs w:val="20"/>
        </w:rPr>
        <w:t xml:space="preserve">con base </w:t>
      </w:r>
      <w:r w:rsidRPr="00BF73BD">
        <w:rPr>
          <w:sz w:val="20"/>
          <w:szCs w:val="20"/>
        </w:rPr>
        <w:t xml:space="preserve">en el Código Civil entonces vigente, que disponía que la sentencia penal condenatoria causaba estado sobre la culpa alegada en la demanda civil, y los hechos que </w:t>
      </w:r>
      <w:r w:rsidR="005434D9">
        <w:rPr>
          <w:sz w:val="20"/>
          <w:szCs w:val="20"/>
        </w:rPr>
        <w:t>la fundaran</w:t>
      </w:r>
      <w:r w:rsidRPr="00BF73BD">
        <w:rPr>
          <w:sz w:val="20"/>
          <w:szCs w:val="20"/>
        </w:rPr>
        <w:t xml:space="preserve">. Por su parte, los demandados opusieron sus defensas en la contestación de demanda, </w:t>
      </w:r>
      <w:r w:rsidR="005434D9">
        <w:rPr>
          <w:sz w:val="20"/>
          <w:szCs w:val="20"/>
        </w:rPr>
        <w:t xml:space="preserve">que consistió </w:t>
      </w:r>
      <w:r w:rsidRPr="00BF73BD">
        <w:rPr>
          <w:sz w:val="20"/>
          <w:szCs w:val="20"/>
        </w:rPr>
        <w:t>básicamente</w:t>
      </w:r>
      <w:r w:rsidR="005434D9">
        <w:rPr>
          <w:sz w:val="20"/>
          <w:szCs w:val="20"/>
        </w:rPr>
        <w:t xml:space="preserve"> en negar </w:t>
      </w:r>
      <w:r w:rsidRPr="00BF73BD">
        <w:rPr>
          <w:sz w:val="20"/>
          <w:szCs w:val="20"/>
        </w:rPr>
        <w:t xml:space="preserve">la </w:t>
      </w:r>
      <w:r w:rsidR="005434D9">
        <w:rPr>
          <w:sz w:val="20"/>
          <w:szCs w:val="20"/>
        </w:rPr>
        <w:t xml:space="preserve">comisión </w:t>
      </w:r>
      <w:r w:rsidRPr="00BF73BD">
        <w:rPr>
          <w:sz w:val="20"/>
          <w:szCs w:val="20"/>
        </w:rPr>
        <w:t xml:space="preserve">de delito. En agosto de 2010, el Juez Nacional de Primera Instancia en lo Civil </w:t>
      </w:r>
      <w:proofErr w:type="spellStart"/>
      <w:r w:rsidRPr="00BF73BD">
        <w:rPr>
          <w:sz w:val="20"/>
          <w:szCs w:val="20"/>
        </w:rPr>
        <w:t>N°</w:t>
      </w:r>
      <w:proofErr w:type="spellEnd"/>
      <w:r w:rsidRPr="00BF73BD">
        <w:rPr>
          <w:sz w:val="20"/>
          <w:szCs w:val="20"/>
        </w:rPr>
        <w:t xml:space="preserve"> 103 de la Capital Federal hizo lugar a la demanda, </w:t>
      </w:r>
      <w:r w:rsidR="00F322E8">
        <w:rPr>
          <w:sz w:val="20"/>
          <w:szCs w:val="20"/>
        </w:rPr>
        <w:t>toda</w:t>
      </w:r>
      <w:r w:rsidRPr="00BF73BD">
        <w:rPr>
          <w:sz w:val="20"/>
          <w:szCs w:val="20"/>
        </w:rPr>
        <w:t xml:space="preserve"> vez que </w:t>
      </w:r>
      <w:r w:rsidR="00F322E8">
        <w:rPr>
          <w:sz w:val="20"/>
          <w:szCs w:val="20"/>
        </w:rPr>
        <w:t xml:space="preserve">la condena por </w:t>
      </w:r>
      <w:r w:rsidRPr="00BF73BD">
        <w:rPr>
          <w:sz w:val="20"/>
          <w:szCs w:val="20"/>
        </w:rPr>
        <w:t xml:space="preserve">estafa se hallaba firme. Con relación a la suma pretendida, el </w:t>
      </w:r>
      <w:r w:rsidR="00F322E8">
        <w:rPr>
          <w:sz w:val="20"/>
          <w:szCs w:val="20"/>
        </w:rPr>
        <w:t>j</w:t>
      </w:r>
      <w:r w:rsidRPr="00BF73BD">
        <w:rPr>
          <w:sz w:val="20"/>
          <w:szCs w:val="20"/>
        </w:rPr>
        <w:t xml:space="preserve">uez tuvo en cuenta que surgía de los aportes efectuados por los </w:t>
      </w:r>
      <w:r w:rsidR="00F322E8">
        <w:rPr>
          <w:sz w:val="20"/>
          <w:szCs w:val="20"/>
        </w:rPr>
        <w:t>denunciantes al peticionario y su primo</w:t>
      </w:r>
      <w:r w:rsidRPr="00BF73BD">
        <w:rPr>
          <w:sz w:val="20"/>
          <w:szCs w:val="20"/>
        </w:rPr>
        <w:t xml:space="preserve">, y que </w:t>
      </w:r>
      <w:r w:rsidR="00F322E8">
        <w:rPr>
          <w:sz w:val="20"/>
          <w:szCs w:val="20"/>
        </w:rPr>
        <w:t xml:space="preserve">estos </w:t>
      </w:r>
      <w:r w:rsidRPr="00BF73BD">
        <w:rPr>
          <w:sz w:val="20"/>
          <w:szCs w:val="20"/>
        </w:rPr>
        <w:t>no nega</w:t>
      </w:r>
      <w:r w:rsidR="00F322E8">
        <w:rPr>
          <w:sz w:val="20"/>
          <w:szCs w:val="20"/>
        </w:rPr>
        <w:t>ron</w:t>
      </w:r>
      <w:r w:rsidRPr="00BF73BD">
        <w:rPr>
          <w:sz w:val="20"/>
          <w:szCs w:val="20"/>
        </w:rPr>
        <w:t xml:space="preserve"> haber recibido esa suma. Por lo tanto, dispuso que los </w:t>
      </w:r>
      <w:r w:rsidR="00F322E8">
        <w:rPr>
          <w:sz w:val="20"/>
          <w:szCs w:val="20"/>
        </w:rPr>
        <w:t xml:space="preserve">demandados debían pagar dicho monto, </w:t>
      </w:r>
      <w:r w:rsidRPr="00BF73BD">
        <w:rPr>
          <w:sz w:val="20"/>
          <w:szCs w:val="20"/>
        </w:rPr>
        <w:t>más los intereses fijados a tasa activa, y las costas del proceso.</w:t>
      </w:r>
      <w:r>
        <w:rPr>
          <w:sz w:val="20"/>
          <w:szCs w:val="20"/>
        </w:rPr>
        <w:t xml:space="preserve"> </w:t>
      </w:r>
      <w:r w:rsidR="00F322E8">
        <w:rPr>
          <w:sz w:val="20"/>
          <w:szCs w:val="20"/>
        </w:rPr>
        <w:t>El peticionario planteó un recurso contra la</w:t>
      </w:r>
      <w:r w:rsidRPr="00BF73BD">
        <w:rPr>
          <w:sz w:val="20"/>
          <w:szCs w:val="20"/>
        </w:rPr>
        <w:t xml:space="preserve"> </w:t>
      </w:r>
      <w:r w:rsidR="00F322E8">
        <w:rPr>
          <w:sz w:val="20"/>
          <w:szCs w:val="20"/>
        </w:rPr>
        <w:t xml:space="preserve">decisión, que </w:t>
      </w:r>
      <w:r w:rsidRPr="00BF73BD">
        <w:rPr>
          <w:sz w:val="20"/>
          <w:szCs w:val="20"/>
        </w:rPr>
        <w:t xml:space="preserve">fue rechazado por la Cámara Nacional de Apelaciones en lo Civil. Tras quedar firme la sentencia, el </w:t>
      </w:r>
      <w:r w:rsidR="00F322E8">
        <w:rPr>
          <w:sz w:val="20"/>
          <w:szCs w:val="20"/>
        </w:rPr>
        <w:t>j</w:t>
      </w:r>
      <w:r w:rsidRPr="00BF73BD">
        <w:rPr>
          <w:sz w:val="20"/>
          <w:szCs w:val="20"/>
        </w:rPr>
        <w:t xml:space="preserve">uez de grado dio inicio al trámite de ejecución de sentencia, </w:t>
      </w:r>
      <w:r w:rsidR="00F322E8">
        <w:rPr>
          <w:sz w:val="20"/>
          <w:szCs w:val="20"/>
        </w:rPr>
        <w:t xml:space="preserve">a cuyo efecto dispuso </w:t>
      </w:r>
      <w:r w:rsidRPr="00BF73BD">
        <w:rPr>
          <w:sz w:val="20"/>
          <w:szCs w:val="20"/>
        </w:rPr>
        <w:t>la subasta de los bienes de</w:t>
      </w:r>
      <w:r w:rsidR="0084641E">
        <w:rPr>
          <w:sz w:val="20"/>
          <w:szCs w:val="20"/>
        </w:rPr>
        <w:t xml:space="preserve">l </w:t>
      </w:r>
      <w:r w:rsidR="00F322E8">
        <w:rPr>
          <w:sz w:val="20"/>
          <w:szCs w:val="20"/>
        </w:rPr>
        <w:t>peticionario,</w:t>
      </w:r>
      <w:r w:rsidRPr="00BF73BD">
        <w:rPr>
          <w:sz w:val="20"/>
          <w:szCs w:val="20"/>
        </w:rPr>
        <w:t xml:space="preserve"> que se hallaban embargados preventivamente en el marco del proceso. En el transcurso de esas actuaciones, la ex cónyuge del peticionario </w:t>
      </w:r>
      <w:r w:rsidR="00F322E8">
        <w:rPr>
          <w:sz w:val="20"/>
          <w:szCs w:val="20"/>
        </w:rPr>
        <w:t>pag</w:t>
      </w:r>
      <w:r w:rsidRPr="00BF73BD">
        <w:rPr>
          <w:sz w:val="20"/>
          <w:szCs w:val="20"/>
        </w:rPr>
        <w:t xml:space="preserve">ó las sumas adeudadas </w:t>
      </w:r>
      <w:r w:rsidR="00F322E8">
        <w:rPr>
          <w:sz w:val="20"/>
          <w:szCs w:val="20"/>
        </w:rPr>
        <w:t xml:space="preserve">--junto con los </w:t>
      </w:r>
      <w:r w:rsidRPr="00BF73BD">
        <w:rPr>
          <w:sz w:val="20"/>
          <w:szCs w:val="20"/>
        </w:rPr>
        <w:t>intereses, costas y gastos del proceso</w:t>
      </w:r>
      <w:r w:rsidR="00F322E8">
        <w:rPr>
          <w:sz w:val="20"/>
          <w:szCs w:val="20"/>
        </w:rPr>
        <w:t>--</w:t>
      </w:r>
      <w:r w:rsidRPr="00BF73BD">
        <w:rPr>
          <w:sz w:val="20"/>
          <w:szCs w:val="20"/>
        </w:rPr>
        <w:t xml:space="preserve"> en su carácter de tercera interesada respecto del inmueble embargado, </w:t>
      </w:r>
      <w:r w:rsidR="00F322E8">
        <w:rPr>
          <w:sz w:val="20"/>
          <w:szCs w:val="20"/>
        </w:rPr>
        <w:t xml:space="preserve">y como </w:t>
      </w:r>
      <w:r w:rsidRPr="00BF73BD">
        <w:rPr>
          <w:sz w:val="20"/>
          <w:szCs w:val="20"/>
        </w:rPr>
        <w:t>subrog</w:t>
      </w:r>
      <w:r w:rsidR="00F322E8">
        <w:rPr>
          <w:sz w:val="20"/>
          <w:szCs w:val="20"/>
        </w:rPr>
        <w:t>ante</w:t>
      </w:r>
      <w:r w:rsidRPr="00BF73BD">
        <w:rPr>
          <w:sz w:val="20"/>
          <w:szCs w:val="20"/>
        </w:rPr>
        <w:t xml:space="preserve"> en los derechos emergentes de la sentencia contra los demandados. Los actores prestaron </w:t>
      </w:r>
      <w:r w:rsidRPr="00BF73BD">
        <w:rPr>
          <w:sz w:val="20"/>
          <w:szCs w:val="20"/>
        </w:rPr>
        <w:lastRenderedPageBreak/>
        <w:t xml:space="preserve">su conformidad, </w:t>
      </w:r>
      <w:r w:rsidR="00F322E8">
        <w:rPr>
          <w:sz w:val="20"/>
          <w:szCs w:val="20"/>
        </w:rPr>
        <w:t xml:space="preserve">con lo que se dio </w:t>
      </w:r>
      <w:r w:rsidRPr="00BF73BD">
        <w:rPr>
          <w:sz w:val="20"/>
          <w:szCs w:val="20"/>
        </w:rPr>
        <w:t>fin al litigio.</w:t>
      </w:r>
    </w:p>
    <w:p w14:paraId="1972CA23" w14:textId="46EFFB97" w:rsidR="00DD1A15" w:rsidRDefault="00DD1A15" w:rsidP="00DD4610">
      <w:pPr>
        <w:pStyle w:val="ListParagraph"/>
        <w:spacing w:before="0"/>
        <w:ind w:left="0" w:right="716" w:firstLine="720"/>
        <w:rPr>
          <w:sz w:val="20"/>
          <w:szCs w:val="20"/>
        </w:rPr>
      </w:pPr>
    </w:p>
    <w:p w14:paraId="1EDFBEA1" w14:textId="77777777" w:rsidR="00C02C7F" w:rsidRPr="00113C4F" w:rsidRDefault="001223F2" w:rsidP="00DD4610">
      <w:pPr>
        <w:pStyle w:val="Heading2"/>
        <w:numPr>
          <w:ilvl w:val="0"/>
          <w:numId w:val="3"/>
        </w:numPr>
        <w:spacing w:before="0"/>
        <w:ind w:left="0" w:right="716" w:firstLine="720"/>
        <w:jc w:val="both"/>
      </w:pPr>
      <w:r w:rsidRPr="00113C4F">
        <w:t>AGOTAMIENTO DE LOS RECURSOS INTERNOS Y PLAZO DE</w:t>
      </w:r>
      <w:r w:rsidRPr="00113C4F">
        <w:rPr>
          <w:spacing w:val="-7"/>
        </w:rPr>
        <w:t xml:space="preserve"> </w:t>
      </w:r>
      <w:r w:rsidRPr="00113C4F">
        <w:t>PRESENTACIÓN</w:t>
      </w:r>
    </w:p>
    <w:p w14:paraId="66D0F5C3" w14:textId="77777777" w:rsidR="0091162B" w:rsidRPr="00B00B2C" w:rsidRDefault="0091162B" w:rsidP="00B00B2C">
      <w:pPr>
        <w:ind w:right="716"/>
        <w:rPr>
          <w:sz w:val="20"/>
          <w:szCs w:val="20"/>
        </w:rPr>
      </w:pPr>
    </w:p>
    <w:p w14:paraId="37AAFC0E" w14:textId="1E0B809C" w:rsidR="00B55A3C" w:rsidRPr="00B00B2C" w:rsidRDefault="00F322E8" w:rsidP="00DD4610">
      <w:pPr>
        <w:pStyle w:val="ListParagraph"/>
        <w:numPr>
          <w:ilvl w:val="0"/>
          <w:numId w:val="2"/>
        </w:numPr>
        <w:spacing w:before="0"/>
        <w:ind w:left="0" w:right="716" w:firstLine="720"/>
        <w:rPr>
          <w:sz w:val="20"/>
          <w:szCs w:val="20"/>
        </w:rPr>
      </w:pPr>
      <w:r w:rsidRPr="00B00B2C">
        <w:rPr>
          <w:sz w:val="20"/>
          <w:szCs w:val="20"/>
        </w:rPr>
        <w:t xml:space="preserve">El peticionario </w:t>
      </w:r>
      <w:r w:rsidR="00544411" w:rsidRPr="00B00B2C">
        <w:rPr>
          <w:sz w:val="20"/>
          <w:szCs w:val="20"/>
        </w:rPr>
        <w:t>sost</w:t>
      </w:r>
      <w:r w:rsidR="00DC3146" w:rsidRPr="00B00B2C">
        <w:rPr>
          <w:sz w:val="20"/>
          <w:szCs w:val="20"/>
        </w:rPr>
        <w:t>iene</w:t>
      </w:r>
      <w:r w:rsidR="00544411" w:rsidRPr="00B00B2C">
        <w:rPr>
          <w:sz w:val="20"/>
          <w:szCs w:val="20"/>
        </w:rPr>
        <w:t xml:space="preserve"> que </w:t>
      </w:r>
      <w:r w:rsidRPr="00B00B2C">
        <w:rPr>
          <w:sz w:val="20"/>
          <w:szCs w:val="20"/>
        </w:rPr>
        <w:t xml:space="preserve">el recurso de queja fue desestimado el 2 de junio de 2009, y notificado el 5 de junio del mismo año, con lo que se </w:t>
      </w:r>
      <w:r w:rsidR="00544411" w:rsidRPr="00B00B2C">
        <w:rPr>
          <w:sz w:val="20"/>
          <w:szCs w:val="20"/>
        </w:rPr>
        <w:t>agota</w:t>
      </w:r>
      <w:r w:rsidRPr="00B00B2C">
        <w:rPr>
          <w:sz w:val="20"/>
          <w:szCs w:val="20"/>
        </w:rPr>
        <w:t xml:space="preserve">ron </w:t>
      </w:r>
      <w:r w:rsidR="00B00B2C" w:rsidRPr="00B00B2C">
        <w:rPr>
          <w:sz w:val="20"/>
          <w:szCs w:val="20"/>
        </w:rPr>
        <w:t>“</w:t>
      </w:r>
      <w:r w:rsidR="00544411" w:rsidRPr="00B00B2C">
        <w:rPr>
          <w:sz w:val="20"/>
          <w:szCs w:val="20"/>
        </w:rPr>
        <w:t>todos los medios pacíficos y legales ante el Estado argentino</w:t>
      </w:r>
      <w:r w:rsidR="00B00B2C" w:rsidRPr="00B00B2C">
        <w:rPr>
          <w:sz w:val="20"/>
          <w:szCs w:val="20"/>
        </w:rPr>
        <w:t>”</w:t>
      </w:r>
      <w:r w:rsidR="00DC3146" w:rsidRPr="00B00B2C">
        <w:rPr>
          <w:sz w:val="20"/>
          <w:szCs w:val="20"/>
        </w:rPr>
        <w:t>.</w:t>
      </w:r>
      <w:r w:rsidR="00B00B2C" w:rsidRPr="00B00B2C">
        <w:rPr>
          <w:sz w:val="20"/>
          <w:szCs w:val="20"/>
        </w:rPr>
        <w:t xml:space="preserve"> </w:t>
      </w:r>
      <w:r w:rsidR="00B00B2C">
        <w:rPr>
          <w:sz w:val="20"/>
          <w:szCs w:val="20"/>
        </w:rPr>
        <w:t>Por su parte, e</w:t>
      </w:r>
      <w:r w:rsidR="00B00B2C" w:rsidRPr="00B00B2C">
        <w:rPr>
          <w:sz w:val="20"/>
          <w:szCs w:val="20"/>
        </w:rPr>
        <w:t xml:space="preserve">l Estado advierte que la petición inicial fue puesta en </w:t>
      </w:r>
      <w:r w:rsidR="00B00B2C">
        <w:rPr>
          <w:sz w:val="20"/>
          <w:szCs w:val="20"/>
        </w:rPr>
        <w:t xml:space="preserve">su </w:t>
      </w:r>
      <w:r w:rsidR="00B00B2C" w:rsidRPr="00B00B2C">
        <w:rPr>
          <w:sz w:val="20"/>
          <w:szCs w:val="20"/>
        </w:rPr>
        <w:t>conocimiento muchos años después</w:t>
      </w:r>
      <w:r w:rsidR="00B00B2C">
        <w:rPr>
          <w:sz w:val="20"/>
          <w:szCs w:val="20"/>
        </w:rPr>
        <w:t xml:space="preserve"> de ser presentada</w:t>
      </w:r>
      <w:r w:rsidR="00B00B2C" w:rsidRPr="00B00B2C">
        <w:rPr>
          <w:sz w:val="20"/>
          <w:szCs w:val="20"/>
        </w:rPr>
        <w:t>.</w:t>
      </w:r>
    </w:p>
    <w:p w14:paraId="658FAB30" w14:textId="77777777" w:rsidR="00B55A3C" w:rsidRPr="00B00B2C" w:rsidRDefault="00B55A3C" w:rsidP="00B00B2C">
      <w:pPr>
        <w:ind w:right="716"/>
        <w:rPr>
          <w:sz w:val="20"/>
          <w:szCs w:val="20"/>
        </w:rPr>
      </w:pPr>
    </w:p>
    <w:p w14:paraId="49A1E229" w14:textId="0AF44FD4" w:rsidR="00A65F54" w:rsidRPr="00B00B2C" w:rsidRDefault="00B00B2C" w:rsidP="00F322E8">
      <w:pPr>
        <w:pStyle w:val="ListParagraph"/>
        <w:numPr>
          <w:ilvl w:val="0"/>
          <w:numId w:val="2"/>
        </w:numPr>
        <w:spacing w:before="0"/>
        <w:ind w:left="0" w:right="716" w:firstLine="720"/>
        <w:rPr>
          <w:sz w:val="20"/>
          <w:szCs w:val="20"/>
        </w:rPr>
      </w:pPr>
      <w:r w:rsidRPr="00B00B2C">
        <w:rPr>
          <w:sz w:val="20"/>
          <w:szCs w:val="20"/>
        </w:rPr>
        <w:t>La</w:t>
      </w:r>
      <w:r w:rsidR="007C701B" w:rsidRPr="00B00B2C">
        <w:rPr>
          <w:sz w:val="20"/>
          <w:szCs w:val="20"/>
        </w:rPr>
        <w:t xml:space="preserve"> Comisión Interamericana considera que el recurso de queja </w:t>
      </w:r>
      <w:r w:rsidR="00280576">
        <w:rPr>
          <w:sz w:val="20"/>
          <w:szCs w:val="20"/>
        </w:rPr>
        <w:t xml:space="preserve">fue </w:t>
      </w:r>
      <w:r w:rsidRPr="00B00B2C">
        <w:rPr>
          <w:sz w:val="20"/>
          <w:szCs w:val="20"/>
        </w:rPr>
        <w:t xml:space="preserve">el último </w:t>
      </w:r>
      <w:r w:rsidR="007C701B" w:rsidRPr="00B00B2C">
        <w:rPr>
          <w:sz w:val="20"/>
          <w:szCs w:val="20"/>
        </w:rPr>
        <w:t>intento</w:t>
      </w:r>
      <w:r w:rsidRPr="00B00B2C">
        <w:rPr>
          <w:sz w:val="20"/>
          <w:szCs w:val="20"/>
        </w:rPr>
        <w:t xml:space="preserve"> del peticionario de</w:t>
      </w:r>
      <w:r w:rsidR="007C701B" w:rsidRPr="00B00B2C">
        <w:rPr>
          <w:sz w:val="20"/>
          <w:szCs w:val="20"/>
        </w:rPr>
        <w:t xml:space="preserve"> resolver la situación en </w:t>
      </w:r>
      <w:r w:rsidRPr="00B00B2C">
        <w:rPr>
          <w:sz w:val="20"/>
          <w:szCs w:val="20"/>
        </w:rPr>
        <w:t>el ámbito interno. La</w:t>
      </w:r>
      <w:r w:rsidR="009176FC" w:rsidRPr="00B00B2C">
        <w:rPr>
          <w:sz w:val="20"/>
          <w:szCs w:val="20"/>
        </w:rPr>
        <w:t xml:space="preserve"> secuencia procesal de los recursos interpuestos </w:t>
      </w:r>
      <w:r w:rsidRPr="00B00B2C">
        <w:rPr>
          <w:sz w:val="20"/>
          <w:szCs w:val="20"/>
        </w:rPr>
        <w:t xml:space="preserve">en la jurisdicción argentina </w:t>
      </w:r>
      <w:r w:rsidR="00280576">
        <w:rPr>
          <w:sz w:val="20"/>
          <w:szCs w:val="20"/>
        </w:rPr>
        <w:t xml:space="preserve">concluyó con la </w:t>
      </w:r>
      <w:r w:rsidR="009176FC" w:rsidRPr="00B00B2C">
        <w:rPr>
          <w:sz w:val="20"/>
          <w:szCs w:val="20"/>
        </w:rPr>
        <w:t>decisión notificad</w:t>
      </w:r>
      <w:r w:rsidR="00280576">
        <w:rPr>
          <w:sz w:val="20"/>
          <w:szCs w:val="20"/>
        </w:rPr>
        <w:t>a</w:t>
      </w:r>
      <w:r w:rsidR="009176FC" w:rsidRPr="00B00B2C">
        <w:rPr>
          <w:sz w:val="20"/>
          <w:szCs w:val="20"/>
        </w:rPr>
        <w:t xml:space="preserve"> al peticionari</w:t>
      </w:r>
      <w:r w:rsidRPr="00B00B2C">
        <w:rPr>
          <w:sz w:val="20"/>
          <w:szCs w:val="20"/>
        </w:rPr>
        <w:t>o</w:t>
      </w:r>
      <w:r w:rsidR="009176FC" w:rsidRPr="00B00B2C">
        <w:rPr>
          <w:sz w:val="20"/>
          <w:szCs w:val="20"/>
        </w:rPr>
        <w:t xml:space="preserve"> el </w:t>
      </w:r>
      <w:r w:rsidR="000B0EA8" w:rsidRPr="00B00B2C">
        <w:rPr>
          <w:sz w:val="20"/>
          <w:szCs w:val="20"/>
        </w:rPr>
        <w:t xml:space="preserve">5 de </w:t>
      </w:r>
      <w:r w:rsidR="00DC3146" w:rsidRPr="00B00B2C">
        <w:rPr>
          <w:sz w:val="20"/>
          <w:szCs w:val="20"/>
        </w:rPr>
        <w:t>junio de 2009</w:t>
      </w:r>
      <w:r w:rsidR="009176FC" w:rsidRPr="00B00B2C">
        <w:rPr>
          <w:sz w:val="20"/>
          <w:szCs w:val="20"/>
        </w:rPr>
        <w:t>. Por lo tanto, la petición cumple con el requisito establecido en el artículo 46.1</w:t>
      </w:r>
      <w:r w:rsidRPr="00B00B2C">
        <w:rPr>
          <w:sz w:val="20"/>
          <w:szCs w:val="20"/>
        </w:rPr>
        <w:t>(</w:t>
      </w:r>
      <w:r w:rsidR="009176FC" w:rsidRPr="00B00B2C">
        <w:rPr>
          <w:sz w:val="20"/>
          <w:szCs w:val="20"/>
        </w:rPr>
        <w:t>a</w:t>
      </w:r>
      <w:r w:rsidRPr="00B00B2C">
        <w:rPr>
          <w:sz w:val="20"/>
          <w:szCs w:val="20"/>
        </w:rPr>
        <w:t>)</w:t>
      </w:r>
      <w:r w:rsidR="009176FC" w:rsidRPr="00B00B2C">
        <w:rPr>
          <w:sz w:val="20"/>
          <w:szCs w:val="20"/>
        </w:rPr>
        <w:t xml:space="preserve"> de la Convención Americana.</w:t>
      </w:r>
      <w:r w:rsidR="00A65F54" w:rsidRPr="00B00B2C">
        <w:rPr>
          <w:sz w:val="20"/>
          <w:szCs w:val="20"/>
        </w:rPr>
        <w:t xml:space="preserve"> </w:t>
      </w:r>
      <w:r w:rsidRPr="00B00B2C">
        <w:rPr>
          <w:sz w:val="20"/>
          <w:szCs w:val="20"/>
        </w:rPr>
        <w:t>La</w:t>
      </w:r>
      <w:r w:rsidR="00A65F54" w:rsidRPr="00B00B2C">
        <w:rPr>
          <w:sz w:val="20"/>
          <w:szCs w:val="20"/>
        </w:rPr>
        <w:t xml:space="preserve"> petición fue presentada el </w:t>
      </w:r>
      <w:r w:rsidR="00DC3146" w:rsidRPr="00B00B2C">
        <w:rPr>
          <w:sz w:val="20"/>
          <w:szCs w:val="20"/>
        </w:rPr>
        <w:t>4 de diciembre de 2009</w:t>
      </w:r>
      <w:r w:rsidR="00A65F54" w:rsidRPr="00B00B2C">
        <w:rPr>
          <w:sz w:val="20"/>
          <w:szCs w:val="20"/>
        </w:rPr>
        <w:t xml:space="preserve">, </w:t>
      </w:r>
      <w:r>
        <w:rPr>
          <w:sz w:val="20"/>
          <w:szCs w:val="20"/>
        </w:rPr>
        <w:t xml:space="preserve">por lo que </w:t>
      </w:r>
      <w:r w:rsidR="00A65F54" w:rsidRPr="00B00B2C">
        <w:rPr>
          <w:sz w:val="20"/>
          <w:szCs w:val="20"/>
        </w:rPr>
        <w:t xml:space="preserve">la CIDH concluye </w:t>
      </w:r>
      <w:r>
        <w:rPr>
          <w:sz w:val="20"/>
          <w:szCs w:val="20"/>
        </w:rPr>
        <w:t xml:space="preserve">igualmente que cumple con </w:t>
      </w:r>
      <w:r w:rsidR="00A65F54" w:rsidRPr="00B00B2C">
        <w:rPr>
          <w:sz w:val="20"/>
          <w:szCs w:val="20"/>
        </w:rPr>
        <w:t>el plazo de seis meses establecido en el artículo 46.1</w:t>
      </w:r>
      <w:r>
        <w:rPr>
          <w:sz w:val="20"/>
          <w:szCs w:val="20"/>
        </w:rPr>
        <w:t>(</w:t>
      </w:r>
      <w:r w:rsidR="00A65F54" w:rsidRPr="00B00B2C">
        <w:rPr>
          <w:sz w:val="20"/>
          <w:szCs w:val="20"/>
        </w:rPr>
        <w:t>b</w:t>
      </w:r>
      <w:r>
        <w:rPr>
          <w:sz w:val="20"/>
          <w:szCs w:val="20"/>
        </w:rPr>
        <w:t>)</w:t>
      </w:r>
      <w:r w:rsidR="00A65F54" w:rsidRPr="00B00B2C">
        <w:rPr>
          <w:sz w:val="20"/>
          <w:szCs w:val="20"/>
        </w:rPr>
        <w:t xml:space="preserve"> de la Convención Americana.</w:t>
      </w:r>
    </w:p>
    <w:p w14:paraId="626E1A15" w14:textId="77777777" w:rsidR="00A65F54" w:rsidRPr="00B00B2C" w:rsidRDefault="00A65F54" w:rsidP="00B00B2C">
      <w:pPr>
        <w:ind w:right="716"/>
        <w:rPr>
          <w:sz w:val="20"/>
          <w:szCs w:val="20"/>
        </w:rPr>
      </w:pPr>
    </w:p>
    <w:p w14:paraId="72882124" w14:textId="69F7253C" w:rsidR="00C342B9" w:rsidRDefault="00A65F54" w:rsidP="00F322E8">
      <w:pPr>
        <w:pStyle w:val="ListParagraph"/>
        <w:numPr>
          <w:ilvl w:val="0"/>
          <w:numId w:val="2"/>
        </w:numPr>
        <w:spacing w:before="0"/>
        <w:ind w:left="0" w:right="716" w:firstLine="720"/>
        <w:rPr>
          <w:sz w:val="20"/>
          <w:szCs w:val="20"/>
        </w:rPr>
      </w:pPr>
      <w:r w:rsidRPr="00280576">
        <w:rPr>
          <w:sz w:val="20"/>
          <w:szCs w:val="20"/>
        </w:rPr>
        <w:t>Finalmente, la C</w:t>
      </w:r>
      <w:r w:rsidR="00280576" w:rsidRPr="00280576">
        <w:rPr>
          <w:sz w:val="20"/>
          <w:szCs w:val="20"/>
        </w:rPr>
        <w:t>IDH</w:t>
      </w:r>
      <w:r w:rsidRPr="00280576">
        <w:rPr>
          <w:sz w:val="20"/>
          <w:szCs w:val="20"/>
        </w:rPr>
        <w:t xml:space="preserve"> toma nota del reclamo del Estado sobre la supuesta extemporaneidad en el traslado de la petición. </w:t>
      </w:r>
      <w:r w:rsidR="00280576" w:rsidRPr="00280576">
        <w:rPr>
          <w:sz w:val="20"/>
          <w:szCs w:val="20"/>
        </w:rPr>
        <w:t xml:space="preserve">Al </w:t>
      </w:r>
      <w:r w:rsidRPr="00280576">
        <w:rPr>
          <w:sz w:val="20"/>
          <w:szCs w:val="20"/>
        </w:rPr>
        <w:t>respecto</w:t>
      </w:r>
      <w:r w:rsidR="00280576" w:rsidRPr="00280576">
        <w:rPr>
          <w:sz w:val="20"/>
          <w:szCs w:val="20"/>
        </w:rPr>
        <w:t>,</w:t>
      </w:r>
      <w:r w:rsidRPr="00280576">
        <w:rPr>
          <w:sz w:val="20"/>
          <w:szCs w:val="20"/>
        </w:rPr>
        <w:t xml:space="preserve"> </w:t>
      </w:r>
      <w:r w:rsidR="00280576" w:rsidRPr="00280576">
        <w:rPr>
          <w:sz w:val="20"/>
          <w:szCs w:val="20"/>
        </w:rPr>
        <w:t xml:space="preserve">cabe destacar que </w:t>
      </w:r>
      <w:r w:rsidRPr="00280576">
        <w:rPr>
          <w:sz w:val="20"/>
          <w:szCs w:val="20"/>
        </w:rPr>
        <w:t xml:space="preserve">ni la Convención Americana ni </w:t>
      </w:r>
      <w:r w:rsidR="00280576" w:rsidRPr="00280576">
        <w:rPr>
          <w:sz w:val="20"/>
          <w:szCs w:val="20"/>
        </w:rPr>
        <w:t>su</w:t>
      </w:r>
      <w:r w:rsidRPr="00280576">
        <w:rPr>
          <w:sz w:val="20"/>
          <w:szCs w:val="20"/>
        </w:rPr>
        <w:t xml:space="preserve"> Reglamento establecen un plazo para el traslado de una petición al Estado a partir de su recepción</w:t>
      </w:r>
      <w:r w:rsidR="00280576" w:rsidRPr="00280576">
        <w:rPr>
          <w:sz w:val="20"/>
          <w:szCs w:val="20"/>
        </w:rPr>
        <w:t>;</w:t>
      </w:r>
      <w:r w:rsidRPr="00280576">
        <w:rPr>
          <w:sz w:val="20"/>
          <w:szCs w:val="20"/>
        </w:rPr>
        <w:t xml:space="preserve"> y que los plazos establecidos en </w:t>
      </w:r>
      <w:r w:rsidR="00280576" w:rsidRPr="00280576">
        <w:rPr>
          <w:sz w:val="20"/>
          <w:szCs w:val="20"/>
        </w:rPr>
        <w:t xml:space="preserve">dichos instrumentos </w:t>
      </w:r>
      <w:r w:rsidRPr="00280576">
        <w:rPr>
          <w:sz w:val="20"/>
          <w:szCs w:val="20"/>
        </w:rPr>
        <w:t xml:space="preserve">para otras etapas del trámite no son aplicables por analogía. </w:t>
      </w:r>
    </w:p>
    <w:p w14:paraId="495C6782" w14:textId="77777777" w:rsidR="00280576" w:rsidRPr="00280576" w:rsidRDefault="00280576" w:rsidP="00280576">
      <w:pPr>
        <w:ind w:right="716"/>
        <w:rPr>
          <w:sz w:val="20"/>
          <w:szCs w:val="20"/>
        </w:rPr>
      </w:pPr>
    </w:p>
    <w:p w14:paraId="38F502FD" w14:textId="77777777" w:rsidR="00BD238C" w:rsidRPr="00113C4F" w:rsidRDefault="00BD238C" w:rsidP="00DD4610">
      <w:pPr>
        <w:pStyle w:val="Heading2"/>
        <w:numPr>
          <w:ilvl w:val="0"/>
          <w:numId w:val="3"/>
        </w:numPr>
        <w:spacing w:before="0"/>
        <w:ind w:left="0" w:right="716" w:firstLine="720"/>
        <w:jc w:val="both"/>
      </w:pPr>
      <w:r w:rsidRPr="00113C4F">
        <w:t>CARACTERIZACIÓN</w:t>
      </w:r>
    </w:p>
    <w:p w14:paraId="6627DC9E" w14:textId="77777777" w:rsidR="00544411" w:rsidRPr="00F322E8" w:rsidRDefault="00544411" w:rsidP="00F322E8">
      <w:pPr>
        <w:ind w:right="716"/>
        <w:rPr>
          <w:sz w:val="20"/>
          <w:szCs w:val="20"/>
        </w:rPr>
      </w:pPr>
    </w:p>
    <w:p w14:paraId="26F578A1" w14:textId="3221831E" w:rsidR="00793712" w:rsidRDefault="00B00B2C" w:rsidP="00BA4618">
      <w:pPr>
        <w:pStyle w:val="ListParagraph"/>
        <w:numPr>
          <w:ilvl w:val="0"/>
          <w:numId w:val="2"/>
        </w:numPr>
        <w:spacing w:before="0"/>
        <w:ind w:left="0" w:right="716" w:firstLine="720"/>
        <w:rPr>
          <w:sz w:val="20"/>
          <w:szCs w:val="20"/>
        </w:rPr>
      </w:pPr>
      <w:r w:rsidRPr="00793712">
        <w:rPr>
          <w:sz w:val="20"/>
          <w:szCs w:val="20"/>
        </w:rPr>
        <w:t>El Estado afirma que la petición no expone hechos que tiendan a caracterizar una violación de derechos garantizados por la Convención Americana. Respecto de los alegatos sobre falta de independencia e imparcialidad</w:t>
      </w:r>
      <w:r w:rsidR="00280576" w:rsidRPr="00793712">
        <w:rPr>
          <w:sz w:val="20"/>
          <w:szCs w:val="20"/>
        </w:rPr>
        <w:t>,</w:t>
      </w:r>
      <w:r w:rsidRPr="00793712">
        <w:rPr>
          <w:sz w:val="20"/>
          <w:szCs w:val="20"/>
        </w:rPr>
        <w:t xml:space="preserve"> y sobre la desproporcionalidad y arbitrariedad de los montos en el ámbito civil, sostiene que </w:t>
      </w:r>
      <w:r w:rsidR="00280576" w:rsidRPr="00793712">
        <w:rPr>
          <w:sz w:val="20"/>
          <w:szCs w:val="20"/>
        </w:rPr>
        <w:t xml:space="preserve">el </w:t>
      </w:r>
      <w:r w:rsidRPr="00793712">
        <w:rPr>
          <w:sz w:val="20"/>
          <w:szCs w:val="20"/>
        </w:rPr>
        <w:t>peticionari</w:t>
      </w:r>
      <w:r w:rsidR="00280576" w:rsidRPr="00793712">
        <w:rPr>
          <w:sz w:val="20"/>
          <w:szCs w:val="20"/>
        </w:rPr>
        <w:t>o</w:t>
      </w:r>
      <w:r w:rsidRPr="00793712">
        <w:rPr>
          <w:sz w:val="20"/>
          <w:szCs w:val="20"/>
        </w:rPr>
        <w:t xml:space="preserve"> no </w:t>
      </w:r>
      <w:r w:rsidR="00280576" w:rsidRPr="00793712">
        <w:rPr>
          <w:sz w:val="20"/>
          <w:szCs w:val="20"/>
        </w:rPr>
        <w:t xml:space="preserve">presenta </w:t>
      </w:r>
      <w:r w:rsidRPr="00793712">
        <w:rPr>
          <w:sz w:val="20"/>
          <w:szCs w:val="20"/>
        </w:rPr>
        <w:t>argumentos que permitan identificar el hecho internacionalmente ilícito que se imputa al Estado</w:t>
      </w:r>
      <w:r w:rsidR="00280576" w:rsidRPr="00793712">
        <w:rPr>
          <w:sz w:val="20"/>
          <w:szCs w:val="20"/>
        </w:rPr>
        <w:t>;</w:t>
      </w:r>
      <w:r w:rsidRPr="00793712">
        <w:rPr>
          <w:sz w:val="20"/>
          <w:szCs w:val="20"/>
        </w:rPr>
        <w:t xml:space="preserve"> y</w:t>
      </w:r>
      <w:r w:rsidR="00280576" w:rsidRPr="00793712">
        <w:rPr>
          <w:sz w:val="20"/>
          <w:szCs w:val="20"/>
        </w:rPr>
        <w:t xml:space="preserve"> que por lo tanto</w:t>
      </w:r>
      <w:r w:rsidRPr="00793712">
        <w:rPr>
          <w:sz w:val="20"/>
          <w:szCs w:val="20"/>
        </w:rPr>
        <w:t xml:space="preserve"> resultan inadmisibles en los términos del artículo 47</w:t>
      </w:r>
      <w:r w:rsidR="00280576" w:rsidRPr="00793712">
        <w:rPr>
          <w:sz w:val="20"/>
          <w:szCs w:val="20"/>
        </w:rPr>
        <w:t>(</w:t>
      </w:r>
      <w:r w:rsidRPr="00793712">
        <w:rPr>
          <w:sz w:val="20"/>
          <w:szCs w:val="20"/>
        </w:rPr>
        <w:t>c</w:t>
      </w:r>
      <w:r w:rsidR="00280576" w:rsidRPr="00793712">
        <w:rPr>
          <w:sz w:val="20"/>
          <w:szCs w:val="20"/>
        </w:rPr>
        <w:t>)</w:t>
      </w:r>
      <w:r w:rsidRPr="00793712">
        <w:rPr>
          <w:sz w:val="20"/>
          <w:szCs w:val="20"/>
        </w:rPr>
        <w:t xml:space="preserve"> de la Convención Americana. Asimismo, </w:t>
      </w:r>
      <w:r w:rsidR="00280576" w:rsidRPr="00793712">
        <w:rPr>
          <w:sz w:val="20"/>
          <w:szCs w:val="20"/>
        </w:rPr>
        <w:t xml:space="preserve">el Estado </w:t>
      </w:r>
      <w:r w:rsidRPr="00793712">
        <w:rPr>
          <w:sz w:val="20"/>
          <w:szCs w:val="20"/>
        </w:rPr>
        <w:t xml:space="preserve">argumenta </w:t>
      </w:r>
      <w:r w:rsidR="00280576" w:rsidRPr="00793712">
        <w:rPr>
          <w:sz w:val="20"/>
          <w:szCs w:val="20"/>
        </w:rPr>
        <w:t xml:space="preserve">que </w:t>
      </w:r>
      <w:r w:rsidRPr="00793712">
        <w:rPr>
          <w:sz w:val="20"/>
          <w:szCs w:val="20"/>
        </w:rPr>
        <w:t xml:space="preserve">la posición del </w:t>
      </w:r>
      <w:r w:rsidR="00280576" w:rsidRPr="00793712">
        <w:rPr>
          <w:sz w:val="20"/>
          <w:szCs w:val="20"/>
        </w:rPr>
        <w:t>peticionario</w:t>
      </w:r>
      <w:r w:rsidRPr="00793712">
        <w:rPr>
          <w:sz w:val="20"/>
          <w:szCs w:val="20"/>
        </w:rPr>
        <w:t xml:space="preserve"> respecto de una presunta violación del principio de congruencia gira en torno a </w:t>
      </w:r>
      <w:r w:rsidR="00280576" w:rsidRPr="00793712">
        <w:rPr>
          <w:sz w:val="20"/>
          <w:szCs w:val="20"/>
        </w:rPr>
        <w:t>su</w:t>
      </w:r>
      <w:r w:rsidRPr="00793712">
        <w:rPr>
          <w:sz w:val="20"/>
          <w:szCs w:val="20"/>
        </w:rPr>
        <w:t xml:space="preserve"> discrepancia con las decisiones del Tribunal Oral y la Cámara de Casación, respecto del modo en que aplicaron los tipos penales de estafa y administración fraudulenta. </w:t>
      </w:r>
      <w:r w:rsidR="00280576" w:rsidRPr="00793712">
        <w:rPr>
          <w:sz w:val="20"/>
          <w:szCs w:val="20"/>
        </w:rPr>
        <w:t xml:space="preserve">El </w:t>
      </w:r>
      <w:r w:rsidRPr="00793712">
        <w:rPr>
          <w:sz w:val="20"/>
          <w:szCs w:val="20"/>
        </w:rPr>
        <w:t>Estado</w:t>
      </w:r>
      <w:r w:rsidR="00280576" w:rsidRPr="00793712">
        <w:rPr>
          <w:sz w:val="20"/>
          <w:szCs w:val="20"/>
        </w:rPr>
        <w:t xml:space="preserve"> afirma que tales</w:t>
      </w:r>
      <w:r w:rsidRPr="00793712">
        <w:rPr>
          <w:sz w:val="20"/>
          <w:szCs w:val="20"/>
        </w:rPr>
        <w:t xml:space="preserve"> alegatos son inadmisibles con</w:t>
      </w:r>
      <w:r w:rsidR="00280576" w:rsidRPr="00793712">
        <w:rPr>
          <w:sz w:val="20"/>
          <w:szCs w:val="20"/>
        </w:rPr>
        <w:t>forme a la llamada “</w:t>
      </w:r>
      <w:r w:rsidRPr="00793712">
        <w:rPr>
          <w:sz w:val="20"/>
          <w:szCs w:val="20"/>
        </w:rPr>
        <w:t>fórmula de la cuarta instancia</w:t>
      </w:r>
      <w:r w:rsidR="00280576" w:rsidRPr="00793712">
        <w:rPr>
          <w:sz w:val="20"/>
          <w:szCs w:val="20"/>
        </w:rPr>
        <w:t>”</w:t>
      </w:r>
      <w:r w:rsidRPr="00793712">
        <w:rPr>
          <w:sz w:val="20"/>
          <w:szCs w:val="20"/>
        </w:rPr>
        <w:t>.</w:t>
      </w:r>
    </w:p>
    <w:p w14:paraId="4AAFEC71" w14:textId="77777777" w:rsidR="00793712" w:rsidRDefault="00793712" w:rsidP="00BA4618">
      <w:pPr>
        <w:pStyle w:val="ListParagraph"/>
        <w:spacing w:before="0"/>
        <w:ind w:left="0" w:right="716" w:firstLine="720"/>
        <w:rPr>
          <w:sz w:val="20"/>
          <w:szCs w:val="20"/>
        </w:rPr>
      </w:pPr>
    </w:p>
    <w:p w14:paraId="0E2F45F5" w14:textId="6F348192" w:rsidR="00BF5221" w:rsidRPr="00DD4610" w:rsidRDefault="00BF5221" w:rsidP="00BA4618">
      <w:pPr>
        <w:widowControl/>
        <w:numPr>
          <w:ilvl w:val="0"/>
          <w:numId w:val="2"/>
        </w:numPr>
        <w:suppressAutoHyphens/>
        <w:autoSpaceDE/>
        <w:autoSpaceDN/>
        <w:ind w:left="0" w:right="720" w:firstLine="720"/>
        <w:jc w:val="both"/>
        <w:rPr>
          <w:rFonts w:asciiTheme="majorHAnsi" w:eastAsia="Arial Unicode MS" w:hAnsiTheme="majorHAnsi" w:cs="Times New Roman"/>
          <w:sz w:val="20"/>
          <w:szCs w:val="20"/>
          <w:bdr w:val="nil"/>
          <w:lang w:eastAsia="en-US" w:bidi="ar-SA"/>
        </w:rPr>
      </w:pPr>
      <w:r>
        <w:rPr>
          <w:sz w:val="20"/>
          <w:szCs w:val="20"/>
        </w:rPr>
        <w:t xml:space="preserve"> La </w:t>
      </w:r>
      <w:r w:rsidR="00793712" w:rsidRPr="00793712">
        <w:rPr>
          <w:sz w:val="20"/>
          <w:szCs w:val="20"/>
        </w:rPr>
        <w:t xml:space="preserve">Comisión debe realizar </w:t>
      </w:r>
      <w:r>
        <w:rPr>
          <w:sz w:val="20"/>
          <w:szCs w:val="20"/>
        </w:rPr>
        <w:t xml:space="preserve">en esta etapa </w:t>
      </w:r>
      <w:r w:rsidR="00793712" w:rsidRPr="00793712">
        <w:rPr>
          <w:sz w:val="20"/>
          <w:szCs w:val="20"/>
        </w:rPr>
        <w:t xml:space="preserve">una evaluación prima facie para determinar si en la denuncia se demuestra una aparente o posible violación de un derecho protegido por la Convención.  </w:t>
      </w:r>
      <w:r w:rsidRPr="00BF5221">
        <w:rPr>
          <w:rFonts w:asciiTheme="majorHAnsi" w:eastAsia="Arial Unicode MS" w:hAnsiTheme="majorHAnsi" w:cs="Times New Roman"/>
          <w:sz w:val="20"/>
          <w:szCs w:val="20"/>
          <w:bdr w:val="nil"/>
          <w:lang w:eastAsia="en-US" w:bidi="ar-SA"/>
        </w:rPr>
        <w:t xml:space="preserve"> </w:t>
      </w:r>
      <w:r w:rsidRPr="00DD4610">
        <w:rPr>
          <w:rFonts w:asciiTheme="majorHAnsi" w:eastAsia="Arial Unicode MS" w:hAnsiTheme="majorHAnsi" w:cs="Times New Roman"/>
          <w:sz w:val="20"/>
          <w:szCs w:val="20"/>
          <w:bdr w:val="nil"/>
          <w:lang w:eastAsia="en-US" w:bidi="ar-SA"/>
        </w:rPr>
        <w:t xml:space="preserve">Respecto del alegato del Estado </w:t>
      </w:r>
      <w:r>
        <w:rPr>
          <w:rFonts w:asciiTheme="majorHAnsi" w:eastAsia="Arial Unicode MS" w:hAnsiTheme="majorHAnsi" w:cs="Times New Roman"/>
          <w:sz w:val="20"/>
          <w:szCs w:val="20"/>
          <w:bdr w:val="nil"/>
          <w:lang w:eastAsia="en-US" w:bidi="ar-SA"/>
        </w:rPr>
        <w:t>acerca de la llamada “fórmula de</w:t>
      </w:r>
      <w:r w:rsidRPr="00DD4610">
        <w:rPr>
          <w:rFonts w:asciiTheme="majorHAnsi" w:eastAsia="Arial Unicode MS" w:hAnsiTheme="majorHAnsi" w:cs="Times New Roman"/>
          <w:sz w:val="20"/>
          <w:szCs w:val="20"/>
          <w:bdr w:val="nil"/>
          <w:lang w:eastAsia="en-US" w:bidi="ar-SA"/>
        </w:rPr>
        <w:t xml:space="preserve"> cuarta instancia</w:t>
      </w:r>
      <w:r>
        <w:rPr>
          <w:rFonts w:asciiTheme="majorHAnsi" w:eastAsia="Arial Unicode MS" w:hAnsiTheme="majorHAnsi" w:cs="Times New Roman"/>
          <w:sz w:val="20"/>
          <w:szCs w:val="20"/>
          <w:bdr w:val="nil"/>
          <w:lang w:eastAsia="en-US" w:bidi="ar-SA"/>
        </w:rPr>
        <w:t>”</w:t>
      </w:r>
      <w:r w:rsidRPr="00DD4610">
        <w:rPr>
          <w:rFonts w:asciiTheme="majorHAnsi" w:eastAsia="Arial Unicode MS" w:hAnsiTheme="majorHAnsi" w:cs="Times New Roman"/>
          <w:sz w:val="20"/>
          <w:szCs w:val="20"/>
          <w:bdr w:val="nil"/>
          <w:lang w:eastAsia="en-US" w:bidi="ar-SA"/>
        </w:rPr>
        <w:t xml:space="preserve">, la Comisión </w:t>
      </w:r>
      <w:r>
        <w:rPr>
          <w:rFonts w:asciiTheme="majorHAnsi" w:eastAsia="Arial Unicode MS" w:hAnsiTheme="majorHAnsi" w:cs="Times New Roman"/>
          <w:sz w:val="20"/>
          <w:szCs w:val="20"/>
          <w:bdr w:val="nil"/>
          <w:lang w:eastAsia="en-US" w:bidi="ar-SA"/>
        </w:rPr>
        <w:t xml:space="preserve">Interamericana </w:t>
      </w:r>
      <w:r w:rsidRPr="00DD4610">
        <w:rPr>
          <w:rFonts w:asciiTheme="majorHAnsi" w:eastAsia="Arial Unicode MS" w:hAnsiTheme="majorHAnsi" w:cs="Times New Roman"/>
          <w:sz w:val="20"/>
          <w:szCs w:val="20"/>
          <w:bdr w:val="nil"/>
          <w:lang w:eastAsia="en-US" w:bidi="ar-SA"/>
        </w:rPr>
        <w:t xml:space="preserve">observa que al admitir esta petición no pretende suplantar la competencia de las autoridades judiciales </w:t>
      </w:r>
      <w:r>
        <w:rPr>
          <w:rFonts w:asciiTheme="majorHAnsi" w:eastAsia="Arial Unicode MS" w:hAnsiTheme="majorHAnsi" w:cs="Times New Roman"/>
          <w:sz w:val="20"/>
          <w:szCs w:val="20"/>
          <w:bdr w:val="nil"/>
          <w:lang w:eastAsia="en-US" w:bidi="ar-SA"/>
        </w:rPr>
        <w:t>nacionales</w:t>
      </w:r>
      <w:r w:rsidRPr="00DD4610">
        <w:rPr>
          <w:rFonts w:asciiTheme="majorHAnsi" w:eastAsia="Arial Unicode MS" w:hAnsiTheme="majorHAnsi" w:cs="Times New Roman"/>
          <w:sz w:val="20"/>
          <w:szCs w:val="20"/>
          <w:bdr w:val="nil"/>
          <w:lang w:eastAsia="en-US" w:bidi="ar-SA"/>
        </w:rPr>
        <w:t xml:space="preserve">. </w:t>
      </w:r>
      <w:r>
        <w:rPr>
          <w:rFonts w:asciiTheme="majorHAnsi" w:eastAsia="Arial Unicode MS" w:hAnsiTheme="majorHAnsi" w:cs="Times New Roman"/>
          <w:sz w:val="20"/>
          <w:szCs w:val="20"/>
          <w:bdr w:val="nil"/>
          <w:lang w:eastAsia="en-US" w:bidi="ar-SA"/>
        </w:rPr>
        <w:t xml:space="preserve">Lo que sí hará la CIDH en el marco de su mandato es </w:t>
      </w:r>
      <w:r w:rsidRPr="00DD4610">
        <w:rPr>
          <w:rFonts w:asciiTheme="majorHAnsi" w:eastAsia="Arial Unicode MS" w:hAnsiTheme="majorHAnsi" w:cs="Times New Roman"/>
          <w:sz w:val="20"/>
          <w:szCs w:val="20"/>
          <w:bdr w:val="nil"/>
          <w:lang w:eastAsia="en-US" w:bidi="ar-SA"/>
        </w:rPr>
        <w:t xml:space="preserve">analizar en la etapa de fondo si </w:t>
      </w:r>
      <w:r>
        <w:rPr>
          <w:rFonts w:asciiTheme="majorHAnsi" w:eastAsia="Arial Unicode MS" w:hAnsiTheme="majorHAnsi" w:cs="Times New Roman"/>
          <w:sz w:val="20"/>
          <w:szCs w:val="20"/>
          <w:bdr w:val="nil"/>
          <w:lang w:eastAsia="en-US" w:bidi="ar-SA"/>
        </w:rPr>
        <w:t xml:space="preserve">en </w:t>
      </w:r>
      <w:r w:rsidRPr="00DD4610">
        <w:rPr>
          <w:rFonts w:asciiTheme="majorHAnsi" w:eastAsia="Arial Unicode MS" w:hAnsiTheme="majorHAnsi" w:cs="Times New Roman"/>
          <w:sz w:val="20"/>
          <w:szCs w:val="20"/>
          <w:bdr w:val="nil"/>
          <w:lang w:eastAsia="en-US" w:bidi="ar-SA"/>
        </w:rPr>
        <w:t xml:space="preserve">los procesos judiciales internos </w:t>
      </w:r>
      <w:r>
        <w:rPr>
          <w:rFonts w:asciiTheme="majorHAnsi" w:eastAsia="Arial Unicode MS" w:hAnsiTheme="majorHAnsi" w:cs="Times New Roman"/>
          <w:sz w:val="20"/>
          <w:szCs w:val="20"/>
          <w:bdr w:val="nil"/>
          <w:lang w:eastAsia="en-US" w:bidi="ar-SA"/>
        </w:rPr>
        <w:t xml:space="preserve">se respetaron </w:t>
      </w:r>
      <w:r w:rsidRPr="00DD4610">
        <w:rPr>
          <w:rFonts w:asciiTheme="majorHAnsi" w:eastAsia="Arial Unicode MS" w:hAnsiTheme="majorHAnsi" w:cs="Times New Roman"/>
          <w:sz w:val="20"/>
          <w:szCs w:val="20"/>
          <w:bdr w:val="nil"/>
          <w:lang w:eastAsia="en-US" w:bidi="ar-SA"/>
        </w:rPr>
        <w:t>las garantías del debido proceso</w:t>
      </w:r>
      <w:r>
        <w:rPr>
          <w:rFonts w:asciiTheme="majorHAnsi" w:eastAsia="Arial Unicode MS" w:hAnsiTheme="majorHAnsi" w:cs="Times New Roman"/>
          <w:sz w:val="20"/>
          <w:szCs w:val="20"/>
          <w:bdr w:val="nil"/>
          <w:lang w:eastAsia="en-US" w:bidi="ar-SA"/>
        </w:rPr>
        <w:t>,</w:t>
      </w:r>
      <w:r w:rsidRPr="00DD4610">
        <w:rPr>
          <w:rFonts w:asciiTheme="majorHAnsi" w:eastAsia="Arial Unicode MS" w:hAnsiTheme="majorHAnsi" w:cs="Times New Roman"/>
          <w:sz w:val="20"/>
          <w:szCs w:val="20"/>
          <w:bdr w:val="nil"/>
          <w:lang w:eastAsia="en-US" w:bidi="ar-SA"/>
        </w:rPr>
        <w:t xml:space="preserve"> protección judicial</w:t>
      </w:r>
      <w:r>
        <w:rPr>
          <w:rFonts w:asciiTheme="majorHAnsi" w:eastAsia="Arial Unicode MS" w:hAnsiTheme="majorHAnsi" w:cs="Times New Roman"/>
          <w:sz w:val="20"/>
          <w:szCs w:val="20"/>
          <w:bdr w:val="nil"/>
          <w:lang w:eastAsia="en-US" w:bidi="ar-SA"/>
        </w:rPr>
        <w:t xml:space="preserve"> y </w:t>
      </w:r>
      <w:r w:rsidRPr="00DD4610">
        <w:rPr>
          <w:rFonts w:asciiTheme="majorHAnsi" w:eastAsia="Arial Unicode MS" w:hAnsiTheme="majorHAnsi" w:cs="Times New Roman"/>
          <w:sz w:val="20"/>
          <w:szCs w:val="20"/>
          <w:bdr w:val="nil"/>
          <w:lang w:eastAsia="en-US" w:bidi="ar-SA"/>
        </w:rPr>
        <w:t xml:space="preserve">acceso a la justicia para </w:t>
      </w:r>
      <w:r>
        <w:rPr>
          <w:rFonts w:asciiTheme="majorHAnsi" w:eastAsia="Arial Unicode MS" w:hAnsiTheme="majorHAnsi" w:cs="Times New Roman"/>
          <w:sz w:val="20"/>
          <w:szCs w:val="20"/>
          <w:bdr w:val="nil"/>
          <w:lang w:eastAsia="en-US" w:bidi="ar-SA"/>
        </w:rPr>
        <w:t xml:space="preserve">el peticionario </w:t>
      </w:r>
      <w:r w:rsidRPr="00DD4610">
        <w:rPr>
          <w:rFonts w:asciiTheme="majorHAnsi" w:eastAsia="Arial Unicode MS" w:hAnsiTheme="majorHAnsi" w:cs="Times New Roman"/>
          <w:sz w:val="20"/>
          <w:szCs w:val="20"/>
          <w:bdr w:val="nil"/>
          <w:lang w:eastAsia="en-US" w:bidi="ar-SA"/>
        </w:rPr>
        <w:t>en los términos de la Convención Americana.</w:t>
      </w:r>
    </w:p>
    <w:p w14:paraId="21A90194" w14:textId="77777777" w:rsidR="0085413A" w:rsidRPr="00280576" w:rsidRDefault="0085413A" w:rsidP="00280576">
      <w:pPr>
        <w:ind w:right="716"/>
        <w:rPr>
          <w:sz w:val="20"/>
          <w:szCs w:val="20"/>
        </w:rPr>
      </w:pPr>
    </w:p>
    <w:p w14:paraId="0F1A63E3" w14:textId="1457432F" w:rsidR="007D51B0" w:rsidRPr="00341580" w:rsidRDefault="00BF5221" w:rsidP="007D51B0">
      <w:pPr>
        <w:widowControl/>
        <w:numPr>
          <w:ilvl w:val="0"/>
          <w:numId w:val="2"/>
        </w:numPr>
        <w:suppressAutoHyphens/>
        <w:autoSpaceDE/>
        <w:autoSpaceDN/>
        <w:ind w:left="0" w:right="716" w:firstLine="720"/>
        <w:jc w:val="both"/>
        <w:rPr>
          <w:rFonts w:asciiTheme="majorHAnsi" w:eastAsia="Arial Unicode MS" w:hAnsiTheme="majorHAnsi" w:cs="Times New Roman"/>
          <w:sz w:val="20"/>
          <w:szCs w:val="20"/>
          <w:bdr w:val="nil"/>
          <w:lang w:eastAsia="en-US" w:bidi="ar-SA"/>
        </w:rPr>
      </w:pPr>
      <w:r>
        <w:rPr>
          <w:rFonts w:asciiTheme="majorHAnsi" w:eastAsia="Arial Unicode MS" w:hAnsiTheme="majorHAnsi" w:cs="Times New Roman"/>
          <w:sz w:val="20"/>
          <w:szCs w:val="20"/>
          <w:bdr w:val="nil"/>
          <w:lang w:eastAsia="en-US" w:bidi="ar-SA"/>
        </w:rPr>
        <w:t xml:space="preserve">En este sentido, la </w:t>
      </w:r>
      <w:r w:rsidR="00CC0852" w:rsidRPr="00341580">
        <w:rPr>
          <w:rFonts w:asciiTheme="majorHAnsi" w:eastAsia="Arial Unicode MS" w:hAnsiTheme="majorHAnsi" w:cs="Times New Roman"/>
          <w:sz w:val="20"/>
          <w:szCs w:val="20"/>
          <w:bdr w:val="nil"/>
          <w:lang w:eastAsia="en-US" w:bidi="ar-SA"/>
        </w:rPr>
        <w:t>Comisión nota</w:t>
      </w:r>
      <w:r w:rsidR="0085413A" w:rsidRPr="00341580">
        <w:rPr>
          <w:rFonts w:asciiTheme="majorHAnsi" w:eastAsia="Arial Unicode MS" w:hAnsiTheme="majorHAnsi" w:cs="Times New Roman"/>
          <w:sz w:val="20"/>
          <w:szCs w:val="20"/>
          <w:bdr w:val="nil"/>
          <w:lang w:eastAsia="en-US" w:bidi="ar-SA"/>
        </w:rPr>
        <w:t>, en especial,</w:t>
      </w:r>
      <w:r w:rsidR="00CC0852" w:rsidRPr="00341580">
        <w:rPr>
          <w:rFonts w:asciiTheme="majorHAnsi" w:eastAsia="Arial Unicode MS" w:hAnsiTheme="majorHAnsi" w:cs="Times New Roman"/>
          <w:sz w:val="20"/>
          <w:szCs w:val="20"/>
          <w:bdr w:val="nil"/>
          <w:lang w:eastAsia="en-US" w:bidi="ar-SA"/>
        </w:rPr>
        <w:t xml:space="preserve"> que violaciones al principio de congruencia pueden resultar en vulneraciones de la Convención Americana. En ese sentido, </w:t>
      </w:r>
      <w:r w:rsidR="00591226" w:rsidRPr="00341580">
        <w:rPr>
          <w:rFonts w:asciiTheme="majorHAnsi" w:eastAsia="Arial Unicode MS" w:hAnsiTheme="majorHAnsi" w:cs="Times New Roman"/>
          <w:i/>
          <w:iCs/>
          <w:sz w:val="20"/>
          <w:szCs w:val="20"/>
          <w:bdr w:val="nil"/>
          <w:lang w:eastAsia="en-US" w:bidi="ar-SA"/>
        </w:rPr>
        <w:t>v.g.</w:t>
      </w:r>
      <w:r w:rsidR="00591226" w:rsidRPr="00341580">
        <w:rPr>
          <w:rFonts w:asciiTheme="majorHAnsi" w:eastAsia="Arial Unicode MS" w:hAnsiTheme="majorHAnsi" w:cs="Times New Roman"/>
          <w:sz w:val="20"/>
          <w:szCs w:val="20"/>
          <w:bdr w:val="nil"/>
          <w:lang w:eastAsia="en-US" w:bidi="ar-SA"/>
        </w:rPr>
        <w:t xml:space="preserve">, </w:t>
      </w:r>
      <w:r w:rsidR="00CC0852" w:rsidRPr="00341580">
        <w:rPr>
          <w:rFonts w:asciiTheme="majorHAnsi" w:eastAsia="Arial Unicode MS" w:hAnsiTheme="majorHAnsi" w:cs="Times New Roman"/>
          <w:sz w:val="20"/>
          <w:szCs w:val="20"/>
          <w:bdr w:val="nil"/>
          <w:lang w:eastAsia="en-US" w:bidi="ar-SA"/>
        </w:rPr>
        <w:t>la Corte IDH considera que el artículo 8.2 de la Convención Americana protege la coherencia o correlación entre acusación y decisión judicial condenatoria</w:t>
      </w:r>
      <w:r w:rsidR="0085413A" w:rsidRPr="00341580">
        <w:rPr>
          <w:rFonts w:asciiTheme="majorHAnsi" w:eastAsia="Arial Unicode MS" w:hAnsiTheme="majorHAnsi" w:cs="Times New Roman"/>
          <w:sz w:val="20"/>
          <w:szCs w:val="20"/>
          <w:bdr w:val="nil"/>
          <w:lang w:eastAsia="en-US" w:bidi="ar-SA"/>
        </w:rPr>
        <w:t>, y que cambios en la calificación jurídica de los hechos durante el proceso pueden resultar en vulneración del derecho de defensa cuando no se mantienen los mismos hechos y no se observan las garantías procesales.</w:t>
      </w:r>
      <w:r w:rsidR="00343D65">
        <w:rPr>
          <w:rStyle w:val="FootnoteReference"/>
          <w:rFonts w:asciiTheme="majorHAnsi" w:eastAsia="Arial Unicode MS" w:hAnsiTheme="majorHAnsi" w:cs="Times New Roman"/>
          <w:sz w:val="20"/>
          <w:szCs w:val="20"/>
          <w:bdr w:val="nil"/>
          <w:lang w:eastAsia="en-US"/>
        </w:rPr>
        <w:footnoteReference w:id="3"/>
      </w:r>
      <w:r w:rsidR="00341580">
        <w:rPr>
          <w:rFonts w:asciiTheme="majorHAnsi" w:eastAsia="Arial Unicode MS" w:hAnsiTheme="majorHAnsi" w:cs="Times New Roman"/>
          <w:sz w:val="20"/>
          <w:szCs w:val="20"/>
          <w:bdr w:val="nil"/>
          <w:lang w:eastAsia="en-US" w:bidi="ar-SA"/>
        </w:rPr>
        <w:t xml:space="preserve"> </w:t>
      </w:r>
    </w:p>
    <w:p w14:paraId="43C775AB" w14:textId="77777777" w:rsidR="004023AB" w:rsidRDefault="004023AB" w:rsidP="0085413A">
      <w:pPr>
        <w:widowControl/>
        <w:suppressAutoHyphens/>
        <w:autoSpaceDE/>
        <w:autoSpaceDN/>
        <w:ind w:right="716"/>
        <w:jc w:val="both"/>
        <w:rPr>
          <w:rFonts w:asciiTheme="majorHAnsi" w:eastAsia="Arial Unicode MS" w:hAnsiTheme="majorHAnsi" w:cs="Times New Roman"/>
          <w:sz w:val="20"/>
          <w:szCs w:val="20"/>
          <w:bdr w:val="nil"/>
          <w:lang w:eastAsia="en-US" w:bidi="ar-SA"/>
        </w:rPr>
      </w:pPr>
    </w:p>
    <w:p w14:paraId="284DF17E" w14:textId="7625C0B3" w:rsidR="00C4781B" w:rsidRPr="0085413A" w:rsidRDefault="00C4781B" w:rsidP="00B00B2C">
      <w:pPr>
        <w:widowControl/>
        <w:numPr>
          <w:ilvl w:val="0"/>
          <w:numId w:val="2"/>
        </w:numPr>
        <w:suppressAutoHyphens/>
        <w:autoSpaceDE/>
        <w:autoSpaceDN/>
        <w:ind w:left="0" w:right="716" w:firstLine="720"/>
        <w:jc w:val="both"/>
        <w:rPr>
          <w:rFonts w:asciiTheme="majorHAnsi" w:eastAsia="Arial Unicode MS" w:hAnsiTheme="majorHAnsi" w:cs="Times New Roman"/>
          <w:sz w:val="20"/>
          <w:szCs w:val="20"/>
          <w:bdr w:val="nil"/>
          <w:lang w:eastAsia="en-US" w:bidi="ar-SA"/>
        </w:rPr>
      </w:pPr>
      <w:r w:rsidRPr="0085413A">
        <w:rPr>
          <w:rFonts w:asciiTheme="majorHAnsi" w:eastAsia="Arial Unicode MS" w:hAnsiTheme="majorHAnsi" w:cs="Times New Roman"/>
          <w:sz w:val="20"/>
          <w:szCs w:val="20"/>
          <w:bdr w:val="nil"/>
          <w:lang w:eastAsia="en-US" w:bidi="ar-SA"/>
        </w:rPr>
        <w:t xml:space="preserve">En el presente </w:t>
      </w:r>
      <w:r w:rsidR="004023AB">
        <w:rPr>
          <w:rFonts w:asciiTheme="majorHAnsi" w:eastAsia="Arial Unicode MS" w:hAnsiTheme="majorHAnsi" w:cs="Times New Roman"/>
          <w:sz w:val="20"/>
          <w:szCs w:val="20"/>
          <w:bdr w:val="nil"/>
          <w:lang w:eastAsia="en-US" w:bidi="ar-SA"/>
        </w:rPr>
        <w:t>asunto</w:t>
      </w:r>
      <w:r w:rsidRPr="0085413A">
        <w:rPr>
          <w:rFonts w:asciiTheme="majorHAnsi" w:eastAsia="Arial Unicode MS" w:hAnsiTheme="majorHAnsi" w:cs="Times New Roman"/>
          <w:sz w:val="20"/>
          <w:szCs w:val="20"/>
          <w:bdr w:val="nil"/>
          <w:lang w:eastAsia="en-US" w:bidi="ar-SA"/>
        </w:rPr>
        <w:t xml:space="preserve">, las partes coinciden que hubo cambio en la calificación jurídica referente a la acusación penal contra el Sr. </w:t>
      </w:r>
      <w:proofErr w:type="spellStart"/>
      <w:r w:rsidRPr="0085413A">
        <w:rPr>
          <w:rFonts w:asciiTheme="majorHAnsi" w:eastAsia="Arial Unicode MS" w:hAnsiTheme="majorHAnsi" w:cs="Times New Roman"/>
          <w:sz w:val="20"/>
          <w:szCs w:val="20"/>
          <w:bdr w:val="nil"/>
          <w:lang w:eastAsia="en-US" w:bidi="ar-SA"/>
        </w:rPr>
        <w:t>Fleisman</w:t>
      </w:r>
      <w:proofErr w:type="spellEnd"/>
      <w:r w:rsidR="00343D65">
        <w:rPr>
          <w:rFonts w:asciiTheme="majorHAnsi" w:eastAsia="Arial Unicode MS" w:hAnsiTheme="majorHAnsi" w:cs="Times New Roman"/>
          <w:sz w:val="20"/>
          <w:szCs w:val="20"/>
          <w:bdr w:val="nil"/>
          <w:lang w:eastAsia="en-US" w:bidi="ar-SA"/>
        </w:rPr>
        <w:t xml:space="preserve"> </w:t>
      </w:r>
      <w:r w:rsidR="00F23EE6">
        <w:rPr>
          <w:rFonts w:asciiTheme="majorHAnsi" w:eastAsia="Arial Unicode MS" w:hAnsiTheme="majorHAnsi" w:cs="Times New Roman"/>
          <w:sz w:val="20"/>
          <w:szCs w:val="20"/>
          <w:bdr w:val="nil"/>
          <w:lang w:eastAsia="en-US" w:bidi="ar-SA"/>
        </w:rPr>
        <w:t>en la decisión judicial del Tribunal Oral en el Penal No. 18 de la Ciudad de Buenos Aires</w:t>
      </w:r>
      <w:r w:rsidRPr="0085413A">
        <w:rPr>
          <w:rFonts w:asciiTheme="majorHAnsi" w:eastAsia="Arial Unicode MS" w:hAnsiTheme="majorHAnsi" w:cs="Times New Roman"/>
          <w:sz w:val="20"/>
          <w:szCs w:val="20"/>
          <w:bdr w:val="nil"/>
          <w:lang w:eastAsia="en-US" w:bidi="ar-SA"/>
        </w:rPr>
        <w:t>.</w:t>
      </w:r>
      <w:r w:rsidR="00F23EE6">
        <w:rPr>
          <w:rFonts w:asciiTheme="majorHAnsi" w:eastAsia="Arial Unicode MS" w:hAnsiTheme="majorHAnsi" w:cs="Times New Roman"/>
          <w:sz w:val="20"/>
          <w:szCs w:val="20"/>
          <w:bdr w:val="nil"/>
          <w:lang w:eastAsia="en-US" w:bidi="ar-SA"/>
        </w:rPr>
        <w:t xml:space="preserve"> El Estado sostiene que este cambio sería legítimo, </w:t>
      </w:r>
      <w:r w:rsidR="00B502D7">
        <w:rPr>
          <w:rFonts w:asciiTheme="majorHAnsi" w:eastAsia="Arial Unicode MS" w:hAnsiTheme="majorHAnsi" w:cs="Times New Roman"/>
          <w:sz w:val="20"/>
          <w:szCs w:val="20"/>
          <w:bdr w:val="nil"/>
          <w:lang w:eastAsia="en-US" w:bidi="ar-SA"/>
        </w:rPr>
        <w:t xml:space="preserve">toda </w:t>
      </w:r>
      <w:r w:rsidR="00F23EE6">
        <w:rPr>
          <w:rFonts w:asciiTheme="majorHAnsi" w:eastAsia="Arial Unicode MS" w:hAnsiTheme="majorHAnsi" w:cs="Times New Roman"/>
          <w:sz w:val="20"/>
          <w:szCs w:val="20"/>
          <w:bdr w:val="nil"/>
          <w:lang w:eastAsia="en-US" w:bidi="ar-SA"/>
        </w:rPr>
        <w:t xml:space="preserve">vez que resulta de una </w:t>
      </w:r>
      <w:r w:rsidR="00F23EE6">
        <w:rPr>
          <w:rFonts w:asciiTheme="majorHAnsi" w:eastAsia="Arial Unicode MS" w:hAnsiTheme="majorHAnsi" w:cs="Times New Roman"/>
          <w:sz w:val="20"/>
          <w:szCs w:val="20"/>
          <w:bdr w:val="nil"/>
          <w:lang w:eastAsia="en-US" w:bidi="ar-SA"/>
        </w:rPr>
        <w:lastRenderedPageBreak/>
        <w:t>interpretación de la misma base fáctica.</w:t>
      </w:r>
      <w:r w:rsidRPr="0085413A">
        <w:rPr>
          <w:rFonts w:asciiTheme="majorHAnsi" w:eastAsia="Arial Unicode MS" w:hAnsiTheme="majorHAnsi" w:cs="Times New Roman"/>
          <w:sz w:val="20"/>
          <w:szCs w:val="20"/>
          <w:bdr w:val="nil"/>
          <w:lang w:eastAsia="en-US" w:bidi="ar-SA"/>
        </w:rPr>
        <w:t xml:space="preserve"> La información presentada no permite advertir con certeza si los hechos se mantuvieron inalterados y si se observaron las garantías procesales; un examen sobre el tema, sin embargo, corresponderá a la etapa de fondo – momento procesal adecuado para evaluar si se produjo o no afectación al derecho de defensa del Sr. </w:t>
      </w:r>
      <w:proofErr w:type="spellStart"/>
      <w:r w:rsidRPr="0085413A">
        <w:rPr>
          <w:rFonts w:asciiTheme="majorHAnsi" w:eastAsia="Arial Unicode MS" w:hAnsiTheme="majorHAnsi" w:cs="Times New Roman"/>
          <w:sz w:val="20"/>
          <w:szCs w:val="20"/>
          <w:bdr w:val="nil"/>
          <w:lang w:eastAsia="en-US" w:bidi="ar-SA"/>
        </w:rPr>
        <w:t>Fleisman</w:t>
      </w:r>
      <w:proofErr w:type="spellEnd"/>
      <w:r w:rsidRPr="0085413A">
        <w:rPr>
          <w:rFonts w:asciiTheme="majorHAnsi" w:eastAsia="Arial Unicode MS" w:hAnsiTheme="majorHAnsi" w:cs="Times New Roman"/>
          <w:sz w:val="20"/>
          <w:szCs w:val="20"/>
          <w:bdr w:val="nil"/>
          <w:lang w:eastAsia="en-US" w:bidi="ar-SA"/>
        </w:rPr>
        <w:t>.</w:t>
      </w:r>
      <w:r w:rsidR="00343D65">
        <w:rPr>
          <w:rFonts w:asciiTheme="majorHAnsi" w:eastAsia="Arial Unicode MS" w:hAnsiTheme="majorHAnsi" w:cs="Times New Roman"/>
          <w:sz w:val="20"/>
          <w:szCs w:val="20"/>
          <w:bdr w:val="nil"/>
          <w:lang w:eastAsia="en-US" w:bidi="ar-SA"/>
        </w:rPr>
        <w:t xml:space="preserve"> La compatibilidad entre un cambio de calificación jurídica en segunda instancia y los derechos protegidos por la Convención es un punto que </w:t>
      </w:r>
      <w:r w:rsidR="00B502D7">
        <w:rPr>
          <w:rFonts w:asciiTheme="majorHAnsi" w:eastAsia="Arial Unicode MS" w:hAnsiTheme="majorHAnsi" w:cs="Times New Roman"/>
          <w:sz w:val="20"/>
          <w:szCs w:val="20"/>
          <w:bdr w:val="nil"/>
          <w:lang w:eastAsia="en-US" w:bidi="ar-SA"/>
        </w:rPr>
        <w:t>a</w:t>
      </w:r>
      <w:r w:rsidR="00343D65">
        <w:rPr>
          <w:rFonts w:asciiTheme="majorHAnsi" w:eastAsia="Arial Unicode MS" w:hAnsiTheme="majorHAnsi" w:cs="Times New Roman"/>
          <w:sz w:val="20"/>
          <w:szCs w:val="20"/>
          <w:bdr w:val="nil"/>
          <w:lang w:eastAsia="en-US" w:bidi="ar-SA"/>
        </w:rPr>
        <w:t>merita un examen en la etapa siguiente, según los hechos probados.</w:t>
      </w:r>
    </w:p>
    <w:p w14:paraId="5EA54686" w14:textId="77777777" w:rsidR="00C4781B" w:rsidRPr="00C4781B" w:rsidRDefault="00C4781B" w:rsidP="00C4781B">
      <w:pPr>
        <w:rPr>
          <w:rFonts w:asciiTheme="majorHAnsi" w:eastAsia="Arial Unicode MS" w:hAnsiTheme="majorHAnsi" w:cs="Times New Roman"/>
          <w:sz w:val="20"/>
          <w:szCs w:val="20"/>
          <w:bdr w:val="nil"/>
          <w:lang w:eastAsia="en-US" w:bidi="ar-SA"/>
        </w:rPr>
      </w:pPr>
    </w:p>
    <w:p w14:paraId="1BBEEBF9" w14:textId="0474A432" w:rsidR="00C4781B" w:rsidRPr="00C4781B" w:rsidRDefault="00C4781B" w:rsidP="00B00B2C">
      <w:pPr>
        <w:widowControl/>
        <w:numPr>
          <w:ilvl w:val="0"/>
          <w:numId w:val="2"/>
        </w:numPr>
        <w:suppressAutoHyphens/>
        <w:autoSpaceDE/>
        <w:autoSpaceDN/>
        <w:ind w:left="0" w:right="716" w:firstLine="720"/>
        <w:jc w:val="both"/>
        <w:rPr>
          <w:rFonts w:asciiTheme="majorHAnsi" w:eastAsia="Arial Unicode MS" w:hAnsiTheme="majorHAnsi" w:cs="Times New Roman"/>
          <w:sz w:val="20"/>
          <w:szCs w:val="20"/>
          <w:bdr w:val="nil"/>
          <w:lang w:eastAsia="en-US" w:bidi="ar-SA"/>
        </w:rPr>
      </w:pPr>
      <w:r w:rsidRPr="00C4781B">
        <w:rPr>
          <w:rFonts w:asciiTheme="majorHAnsi" w:eastAsia="Arial Unicode MS" w:hAnsiTheme="majorHAnsi" w:cs="Times New Roman"/>
          <w:sz w:val="20"/>
          <w:szCs w:val="20"/>
          <w:bdr w:val="nil"/>
          <w:lang w:eastAsia="en-US" w:bidi="ar-SA"/>
        </w:rPr>
        <w:t xml:space="preserve">Ante las anteriores consideraciones </w:t>
      </w:r>
      <w:r w:rsidR="00BD238C" w:rsidRPr="00C4781B">
        <w:rPr>
          <w:rFonts w:asciiTheme="majorHAnsi" w:eastAsia="Arial Unicode MS" w:hAnsiTheme="majorHAnsi" w:cs="Times New Roman"/>
          <w:sz w:val="20"/>
          <w:szCs w:val="20"/>
          <w:bdr w:val="nil"/>
          <w:lang w:eastAsia="en-US" w:bidi="ar-SA"/>
        </w:rPr>
        <w:t>y tras examinar los elementos de hecho y de derecho expuestos por las partes</w:t>
      </w:r>
      <w:r w:rsidR="0035706C" w:rsidRPr="00C4781B">
        <w:rPr>
          <w:rFonts w:asciiTheme="majorHAnsi" w:eastAsia="Arial Unicode MS" w:hAnsiTheme="majorHAnsi" w:cs="Times New Roman"/>
          <w:sz w:val="20"/>
          <w:szCs w:val="20"/>
          <w:bdr w:val="nil"/>
          <w:lang w:eastAsia="en-US" w:bidi="ar-SA"/>
        </w:rPr>
        <w:t>,</w:t>
      </w:r>
      <w:r w:rsidR="00BD238C" w:rsidRPr="00C4781B">
        <w:rPr>
          <w:rFonts w:asciiTheme="majorHAnsi" w:eastAsia="Arial Unicode MS" w:hAnsiTheme="majorHAnsi" w:cs="Times New Roman"/>
          <w:sz w:val="20"/>
          <w:szCs w:val="20"/>
          <w:bdr w:val="nil"/>
          <w:lang w:eastAsia="en-US" w:bidi="ar-SA"/>
        </w:rPr>
        <w:t xml:space="preserve"> la Comisión </w:t>
      </w:r>
      <w:r w:rsidR="0035706C" w:rsidRPr="00C4781B">
        <w:rPr>
          <w:rFonts w:asciiTheme="majorHAnsi" w:eastAsia="Arial Unicode MS" w:hAnsiTheme="majorHAnsi" w:cs="Times New Roman"/>
          <w:sz w:val="20"/>
          <w:szCs w:val="20"/>
          <w:bdr w:val="nil"/>
          <w:lang w:eastAsia="en-US" w:bidi="ar-SA"/>
        </w:rPr>
        <w:t xml:space="preserve">Interamericana </w:t>
      </w:r>
      <w:r w:rsidR="00BD238C" w:rsidRPr="00C4781B">
        <w:rPr>
          <w:rFonts w:asciiTheme="majorHAnsi" w:eastAsia="Arial Unicode MS" w:hAnsiTheme="majorHAnsi" w:cs="Times New Roman"/>
          <w:sz w:val="20"/>
          <w:szCs w:val="20"/>
          <w:bdr w:val="nil"/>
          <w:lang w:eastAsia="en-US" w:bidi="ar-SA"/>
        </w:rPr>
        <w:t xml:space="preserve">considera que los alegatos relativos a la violación de los derechos a las </w:t>
      </w:r>
      <w:r w:rsidR="003E6C97" w:rsidRPr="00C4781B">
        <w:rPr>
          <w:rFonts w:asciiTheme="majorHAnsi" w:eastAsia="Arial Unicode MS" w:hAnsiTheme="majorHAnsi" w:cs="Times New Roman"/>
          <w:sz w:val="20"/>
          <w:szCs w:val="20"/>
          <w:bdr w:val="nil"/>
          <w:lang w:eastAsia="en-US" w:bidi="ar-SA"/>
        </w:rPr>
        <w:t>garantías</w:t>
      </w:r>
      <w:r w:rsidR="00BD238C" w:rsidRPr="00C4781B">
        <w:rPr>
          <w:rFonts w:asciiTheme="majorHAnsi" w:eastAsia="Arial Unicode MS" w:hAnsiTheme="majorHAnsi" w:cs="Times New Roman"/>
          <w:sz w:val="20"/>
          <w:szCs w:val="20"/>
          <w:bdr w:val="nil"/>
          <w:lang w:eastAsia="en-US" w:bidi="ar-SA"/>
        </w:rPr>
        <w:t xml:space="preserve"> judiciales y a la </w:t>
      </w:r>
      <w:r w:rsidR="003E6C97" w:rsidRPr="00C4781B">
        <w:rPr>
          <w:rFonts w:asciiTheme="majorHAnsi" w:eastAsia="Arial Unicode MS" w:hAnsiTheme="majorHAnsi" w:cs="Times New Roman"/>
          <w:sz w:val="20"/>
          <w:szCs w:val="20"/>
          <w:bdr w:val="nil"/>
          <w:lang w:eastAsia="en-US" w:bidi="ar-SA"/>
        </w:rPr>
        <w:t>protección</w:t>
      </w:r>
      <w:r w:rsidR="00BD238C" w:rsidRPr="00C4781B">
        <w:rPr>
          <w:rFonts w:asciiTheme="majorHAnsi" w:eastAsia="Arial Unicode MS" w:hAnsiTheme="majorHAnsi" w:cs="Times New Roman"/>
          <w:sz w:val="20"/>
          <w:szCs w:val="20"/>
          <w:bdr w:val="nil"/>
          <w:lang w:eastAsia="en-US" w:bidi="ar-SA"/>
        </w:rPr>
        <w:t xml:space="preserve"> judicial en los procesos internos no resultan manifiestamente infundad</w:t>
      </w:r>
      <w:r w:rsidR="003E6C97" w:rsidRPr="00C4781B">
        <w:rPr>
          <w:rFonts w:asciiTheme="majorHAnsi" w:eastAsia="Arial Unicode MS" w:hAnsiTheme="majorHAnsi" w:cs="Times New Roman"/>
          <w:sz w:val="20"/>
          <w:szCs w:val="20"/>
          <w:bdr w:val="nil"/>
          <w:lang w:eastAsia="en-US" w:bidi="ar-SA"/>
        </w:rPr>
        <w:t>o</w:t>
      </w:r>
      <w:r w:rsidR="00BD238C" w:rsidRPr="00C4781B">
        <w:rPr>
          <w:rFonts w:asciiTheme="majorHAnsi" w:eastAsia="Arial Unicode MS" w:hAnsiTheme="majorHAnsi" w:cs="Times New Roman"/>
          <w:sz w:val="20"/>
          <w:szCs w:val="20"/>
          <w:bdr w:val="nil"/>
          <w:lang w:eastAsia="en-US" w:bidi="ar-SA"/>
        </w:rPr>
        <w:t xml:space="preserve">s y requieren un estudio de fondo. </w:t>
      </w:r>
    </w:p>
    <w:p w14:paraId="7EB9A860" w14:textId="77777777" w:rsidR="00C4781B" w:rsidRDefault="00C4781B" w:rsidP="00C4781B">
      <w:pPr>
        <w:widowControl/>
        <w:suppressAutoHyphens/>
        <w:autoSpaceDE/>
        <w:autoSpaceDN/>
        <w:ind w:right="716"/>
        <w:jc w:val="both"/>
        <w:rPr>
          <w:rFonts w:asciiTheme="majorHAnsi" w:eastAsia="Arial Unicode MS" w:hAnsiTheme="majorHAnsi" w:cs="Times New Roman"/>
          <w:sz w:val="20"/>
          <w:szCs w:val="20"/>
          <w:bdr w:val="nil"/>
          <w:lang w:eastAsia="en-US" w:bidi="ar-SA"/>
        </w:rPr>
      </w:pPr>
    </w:p>
    <w:p w14:paraId="2F299B29" w14:textId="55E3B5B6" w:rsidR="00BD238C" w:rsidRPr="00DD4610" w:rsidRDefault="00C4781B" w:rsidP="00B00B2C">
      <w:pPr>
        <w:widowControl/>
        <w:numPr>
          <w:ilvl w:val="0"/>
          <w:numId w:val="2"/>
        </w:numPr>
        <w:suppressAutoHyphens/>
        <w:autoSpaceDE/>
        <w:autoSpaceDN/>
        <w:ind w:left="0" w:right="716" w:firstLine="720"/>
        <w:jc w:val="both"/>
        <w:rPr>
          <w:rFonts w:asciiTheme="majorHAnsi" w:eastAsia="Arial Unicode MS" w:hAnsiTheme="majorHAnsi" w:cs="Times New Roman"/>
          <w:sz w:val="20"/>
          <w:szCs w:val="20"/>
          <w:bdr w:val="nil"/>
          <w:lang w:eastAsia="en-US" w:bidi="ar-SA"/>
        </w:rPr>
      </w:pPr>
      <w:r>
        <w:rPr>
          <w:rFonts w:asciiTheme="majorHAnsi" w:eastAsia="Arial Unicode MS" w:hAnsiTheme="majorHAnsi" w:cs="Times New Roman"/>
          <w:sz w:val="20"/>
          <w:szCs w:val="20"/>
          <w:bdr w:val="nil"/>
          <w:lang w:eastAsia="en-US" w:bidi="ar-SA"/>
        </w:rPr>
        <w:t>Así, la Comisión concluye que l</w:t>
      </w:r>
      <w:r w:rsidR="00BD238C" w:rsidRPr="00DD4610">
        <w:rPr>
          <w:rFonts w:asciiTheme="majorHAnsi" w:eastAsia="Arial Unicode MS" w:hAnsiTheme="majorHAnsi" w:cs="Times New Roman"/>
          <w:sz w:val="20"/>
          <w:szCs w:val="20"/>
          <w:bdr w:val="nil"/>
          <w:lang w:eastAsia="en-US" w:bidi="ar-SA"/>
        </w:rPr>
        <w:t>os hechos denunciados caracteriza</w:t>
      </w:r>
      <w:r w:rsidR="0035706C">
        <w:rPr>
          <w:rFonts w:asciiTheme="majorHAnsi" w:eastAsia="Arial Unicode MS" w:hAnsiTheme="majorHAnsi" w:cs="Times New Roman"/>
          <w:sz w:val="20"/>
          <w:szCs w:val="20"/>
          <w:bdr w:val="nil"/>
          <w:lang w:eastAsia="en-US" w:bidi="ar-SA"/>
        </w:rPr>
        <w:t>n</w:t>
      </w:r>
      <w:r w:rsidR="00BD238C" w:rsidRPr="00DD4610">
        <w:rPr>
          <w:rFonts w:asciiTheme="majorHAnsi" w:eastAsia="Arial Unicode MS" w:hAnsiTheme="majorHAnsi" w:cs="Times New Roman"/>
          <w:sz w:val="20"/>
          <w:szCs w:val="20"/>
          <w:bdr w:val="nil"/>
          <w:lang w:eastAsia="en-US" w:bidi="ar-SA"/>
        </w:rPr>
        <w:t xml:space="preserve"> </w:t>
      </w:r>
      <w:r w:rsidR="0035706C">
        <w:rPr>
          <w:rFonts w:asciiTheme="majorHAnsi" w:eastAsia="Arial Unicode MS" w:hAnsiTheme="majorHAnsi" w:cs="Times New Roman"/>
          <w:sz w:val="20"/>
          <w:szCs w:val="20"/>
          <w:bdr w:val="nil"/>
          <w:lang w:eastAsia="en-US" w:bidi="ar-SA"/>
        </w:rPr>
        <w:t xml:space="preserve">posibles </w:t>
      </w:r>
      <w:r w:rsidR="00BD238C" w:rsidRPr="00DD4610">
        <w:rPr>
          <w:rFonts w:asciiTheme="majorHAnsi" w:eastAsia="Arial Unicode MS" w:hAnsiTheme="majorHAnsi" w:cs="Times New Roman"/>
          <w:sz w:val="20"/>
          <w:szCs w:val="20"/>
          <w:bdr w:val="nil"/>
          <w:lang w:eastAsia="en-US" w:bidi="ar-SA"/>
        </w:rPr>
        <w:t xml:space="preserve">violaciones </w:t>
      </w:r>
      <w:r w:rsidR="0035706C">
        <w:rPr>
          <w:rFonts w:asciiTheme="majorHAnsi" w:eastAsia="Arial Unicode MS" w:hAnsiTheme="majorHAnsi" w:cs="Times New Roman"/>
          <w:sz w:val="20"/>
          <w:szCs w:val="20"/>
          <w:bdr w:val="nil"/>
          <w:lang w:eastAsia="en-US" w:bidi="ar-SA"/>
        </w:rPr>
        <w:t>de</w:t>
      </w:r>
      <w:r w:rsidR="00BD238C" w:rsidRPr="00DD4610">
        <w:rPr>
          <w:rFonts w:asciiTheme="majorHAnsi" w:eastAsia="Arial Unicode MS" w:hAnsiTheme="majorHAnsi" w:cs="Times New Roman"/>
          <w:sz w:val="20"/>
          <w:szCs w:val="20"/>
          <w:bdr w:val="nil"/>
          <w:lang w:eastAsia="en-US" w:bidi="ar-SA"/>
        </w:rPr>
        <w:t xml:space="preserve"> los derechos protegidos en los artículos 8 (garantías judiciales)</w:t>
      </w:r>
      <w:r w:rsidR="003E6C97" w:rsidRPr="00DD4610">
        <w:rPr>
          <w:rFonts w:asciiTheme="majorHAnsi" w:eastAsia="Arial Unicode MS" w:hAnsiTheme="majorHAnsi" w:cs="Times New Roman"/>
          <w:sz w:val="20"/>
          <w:szCs w:val="20"/>
          <w:bdr w:val="nil"/>
          <w:lang w:eastAsia="en-US" w:bidi="ar-SA"/>
        </w:rPr>
        <w:t xml:space="preserve"> </w:t>
      </w:r>
      <w:r w:rsidR="00BD238C" w:rsidRPr="00DD4610">
        <w:rPr>
          <w:rFonts w:asciiTheme="majorHAnsi" w:eastAsia="Arial Unicode MS" w:hAnsiTheme="majorHAnsi" w:cs="Times New Roman"/>
          <w:sz w:val="20"/>
          <w:szCs w:val="20"/>
          <w:bdr w:val="nil"/>
          <w:lang w:eastAsia="en-US" w:bidi="ar-SA"/>
        </w:rPr>
        <w:t xml:space="preserve">y 25 (protección judicial) de la Convención Americana, en relación con </w:t>
      </w:r>
      <w:r w:rsidR="003E6C97" w:rsidRPr="00DD4610">
        <w:rPr>
          <w:rFonts w:asciiTheme="majorHAnsi" w:eastAsia="Arial Unicode MS" w:hAnsiTheme="majorHAnsi" w:cs="Times New Roman"/>
          <w:sz w:val="20"/>
          <w:szCs w:val="20"/>
          <w:bdr w:val="nil"/>
          <w:lang w:eastAsia="en-US" w:bidi="ar-SA"/>
        </w:rPr>
        <w:t>el</w:t>
      </w:r>
      <w:r w:rsidR="00BD238C" w:rsidRPr="00DD4610">
        <w:rPr>
          <w:rFonts w:asciiTheme="majorHAnsi" w:eastAsia="Arial Unicode MS" w:hAnsiTheme="majorHAnsi" w:cs="Times New Roman"/>
          <w:sz w:val="20"/>
          <w:szCs w:val="20"/>
          <w:bdr w:val="nil"/>
          <w:lang w:eastAsia="en-US" w:bidi="ar-SA"/>
        </w:rPr>
        <w:t xml:space="preserve"> artículo 1.1 (obligación de respetar los derechos) del mismo instrumento. </w:t>
      </w:r>
      <w:r w:rsidR="003E6C97" w:rsidRPr="00DD4610">
        <w:rPr>
          <w:rFonts w:asciiTheme="majorHAnsi" w:eastAsia="Arial Unicode MS" w:hAnsiTheme="majorHAnsi" w:cs="Times New Roman"/>
          <w:sz w:val="20"/>
          <w:szCs w:val="20"/>
          <w:bdr w:val="nil"/>
          <w:lang w:eastAsia="en-US" w:bidi="ar-SA"/>
        </w:rPr>
        <w:t>Los argumentos jurídicos del Estado contra las vulneraciones alega</w:t>
      </w:r>
      <w:r w:rsidR="0035706C">
        <w:rPr>
          <w:rFonts w:asciiTheme="majorHAnsi" w:eastAsia="Arial Unicode MS" w:hAnsiTheme="majorHAnsi" w:cs="Times New Roman"/>
          <w:sz w:val="20"/>
          <w:szCs w:val="20"/>
          <w:bdr w:val="nil"/>
          <w:lang w:eastAsia="en-US" w:bidi="ar-SA"/>
        </w:rPr>
        <w:t>d</w:t>
      </w:r>
      <w:r w:rsidR="003E6C97" w:rsidRPr="00DD4610">
        <w:rPr>
          <w:rFonts w:asciiTheme="majorHAnsi" w:eastAsia="Arial Unicode MS" w:hAnsiTheme="majorHAnsi" w:cs="Times New Roman"/>
          <w:sz w:val="20"/>
          <w:szCs w:val="20"/>
          <w:bdr w:val="nil"/>
          <w:lang w:eastAsia="en-US" w:bidi="ar-SA"/>
        </w:rPr>
        <w:t>as</w:t>
      </w:r>
      <w:r w:rsidR="00BD238C" w:rsidRPr="00DD4610">
        <w:rPr>
          <w:rFonts w:asciiTheme="majorHAnsi" w:eastAsia="Arial Unicode MS" w:hAnsiTheme="majorHAnsi" w:cs="Times New Roman"/>
          <w:sz w:val="20"/>
          <w:szCs w:val="20"/>
          <w:bdr w:val="nil"/>
          <w:lang w:eastAsia="en-US" w:bidi="ar-SA"/>
        </w:rPr>
        <w:t xml:space="preserve"> serán valorados, en la medida de lo conducente, en la etapa de fondo de la presente petición.</w:t>
      </w:r>
    </w:p>
    <w:p w14:paraId="6FD3D767" w14:textId="77777777" w:rsidR="00CA4FB9" w:rsidRPr="0035706C" w:rsidRDefault="00CA4FB9" w:rsidP="0035706C">
      <w:pPr>
        <w:ind w:right="716"/>
        <w:rPr>
          <w:sz w:val="20"/>
        </w:rPr>
      </w:pPr>
    </w:p>
    <w:p w14:paraId="4C0322DB" w14:textId="77777777" w:rsidR="00C02C7F" w:rsidRDefault="001223F2" w:rsidP="00DD4610">
      <w:pPr>
        <w:pStyle w:val="Heading2"/>
        <w:numPr>
          <w:ilvl w:val="0"/>
          <w:numId w:val="3"/>
        </w:numPr>
        <w:spacing w:before="0"/>
        <w:ind w:left="0" w:right="716" w:firstLine="720"/>
      </w:pPr>
      <w:r>
        <w:t>DECISIÓN</w:t>
      </w:r>
    </w:p>
    <w:p w14:paraId="3D3A46FF" w14:textId="77777777" w:rsidR="0091162B" w:rsidRDefault="0091162B" w:rsidP="00DD4610">
      <w:pPr>
        <w:pStyle w:val="ListParagraph"/>
        <w:spacing w:before="0"/>
        <w:ind w:left="0" w:right="716" w:firstLine="720"/>
        <w:jc w:val="left"/>
        <w:rPr>
          <w:sz w:val="20"/>
        </w:rPr>
      </w:pPr>
    </w:p>
    <w:p w14:paraId="2F5D1BBA" w14:textId="47356185" w:rsidR="00C02C7F" w:rsidRDefault="001223F2" w:rsidP="00DD4610">
      <w:pPr>
        <w:pStyle w:val="ListParagraph"/>
        <w:numPr>
          <w:ilvl w:val="0"/>
          <w:numId w:val="1"/>
        </w:numPr>
        <w:spacing w:before="0"/>
        <w:ind w:left="0" w:right="716" w:firstLine="720"/>
        <w:rPr>
          <w:sz w:val="20"/>
        </w:rPr>
      </w:pPr>
      <w:r>
        <w:rPr>
          <w:sz w:val="20"/>
        </w:rPr>
        <w:t>Declarar admisible la presente petición en relación con los artículos 8</w:t>
      </w:r>
      <w:r w:rsidR="00B40AED">
        <w:rPr>
          <w:sz w:val="20"/>
        </w:rPr>
        <w:t xml:space="preserve"> </w:t>
      </w:r>
      <w:r>
        <w:rPr>
          <w:sz w:val="20"/>
        </w:rPr>
        <w:t xml:space="preserve">y 25 de la Convención Americana, en concordancia con </w:t>
      </w:r>
      <w:r w:rsidR="003E6C97">
        <w:rPr>
          <w:sz w:val="20"/>
        </w:rPr>
        <w:t>el</w:t>
      </w:r>
      <w:r>
        <w:rPr>
          <w:sz w:val="20"/>
        </w:rPr>
        <w:t xml:space="preserve"> artículo 1.1 del mismo</w:t>
      </w:r>
      <w:r>
        <w:rPr>
          <w:spacing w:val="-11"/>
          <w:sz w:val="20"/>
        </w:rPr>
        <w:t xml:space="preserve"> </w:t>
      </w:r>
      <w:r>
        <w:rPr>
          <w:sz w:val="20"/>
        </w:rPr>
        <w:t>instrumento</w:t>
      </w:r>
      <w:r w:rsidR="00F23263">
        <w:rPr>
          <w:sz w:val="20"/>
        </w:rPr>
        <w:t>, y;</w:t>
      </w:r>
    </w:p>
    <w:p w14:paraId="1A3DAA4A" w14:textId="77777777" w:rsidR="0091162B" w:rsidRDefault="0091162B" w:rsidP="00DD4610">
      <w:pPr>
        <w:pStyle w:val="ListParagraph"/>
        <w:spacing w:before="0"/>
        <w:ind w:left="0" w:right="716" w:firstLine="720"/>
        <w:jc w:val="left"/>
        <w:rPr>
          <w:sz w:val="20"/>
        </w:rPr>
      </w:pPr>
    </w:p>
    <w:p w14:paraId="29848FBA" w14:textId="30FAE5A9" w:rsidR="00B40AED" w:rsidRDefault="001223F2" w:rsidP="00DD4610">
      <w:pPr>
        <w:pStyle w:val="ListParagraph"/>
        <w:numPr>
          <w:ilvl w:val="0"/>
          <w:numId w:val="1"/>
        </w:numPr>
        <w:spacing w:before="0"/>
        <w:ind w:left="0" w:right="716" w:firstLine="720"/>
        <w:rPr>
          <w:sz w:val="20"/>
        </w:rPr>
      </w:pPr>
      <w:r>
        <w:rPr>
          <w:sz w:val="20"/>
        </w:rPr>
        <w:t>Notificar</w:t>
      </w:r>
      <w:r>
        <w:rPr>
          <w:spacing w:val="-5"/>
          <w:sz w:val="20"/>
        </w:rPr>
        <w:t xml:space="preserve"> </w:t>
      </w:r>
      <w:r>
        <w:rPr>
          <w:sz w:val="20"/>
        </w:rPr>
        <w:t>a</w:t>
      </w:r>
      <w:r>
        <w:rPr>
          <w:spacing w:val="-2"/>
          <w:sz w:val="20"/>
        </w:rPr>
        <w:t xml:space="preserve"> </w:t>
      </w:r>
      <w:r>
        <w:rPr>
          <w:sz w:val="20"/>
        </w:rPr>
        <w:t>las</w:t>
      </w:r>
      <w:r>
        <w:rPr>
          <w:spacing w:val="-2"/>
          <w:sz w:val="20"/>
        </w:rPr>
        <w:t xml:space="preserve"> </w:t>
      </w:r>
      <w:r>
        <w:rPr>
          <w:sz w:val="20"/>
        </w:rPr>
        <w:t>partes</w:t>
      </w:r>
      <w:r>
        <w:rPr>
          <w:spacing w:val="-3"/>
          <w:sz w:val="20"/>
        </w:rPr>
        <w:t xml:space="preserve"> </w:t>
      </w:r>
      <w:r>
        <w:rPr>
          <w:sz w:val="20"/>
        </w:rPr>
        <w:t>la</w:t>
      </w:r>
      <w:r>
        <w:rPr>
          <w:spacing w:val="-2"/>
          <w:sz w:val="20"/>
        </w:rPr>
        <w:t xml:space="preserve"> </w:t>
      </w:r>
      <w:r>
        <w:rPr>
          <w:sz w:val="20"/>
        </w:rPr>
        <w:t>presente</w:t>
      </w:r>
      <w:r>
        <w:rPr>
          <w:spacing w:val="-5"/>
          <w:sz w:val="20"/>
        </w:rPr>
        <w:t xml:space="preserve"> </w:t>
      </w:r>
      <w:r>
        <w:rPr>
          <w:sz w:val="20"/>
        </w:rPr>
        <w:t>decisión;</w:t>
      </w:r>
      <w:r>
        <w:rPr>
          <w:spacing w:val="-3"/>
          <w:sz w:val="20"/>
        </w:rPr>
        <w:t xml:space="preserve"> </w:t>
      </w:r>
      <w:r>
        <w:rPr>
          <w:sz w:val="20"/>
        </w:rPr>
        <w:t>continuar</w:t>
      </w:r>
      <w:r>
        <w:rPr>
          <w:spacing w:val="-5"/>
          <w:sz w:val="20"/>
        </w:rPr>
        <w:t xml:space="preserve"> </w:t>
      </w:r>
      <w:r>
        <w:rPr>
          <w:sz w:val="20"/>
        </w:rPr>
        <w:t>con</w:t>
      </w:r>
      <w:r>
        <w:rPr>
          <w:spacing w:val="-2"/>
          <w:sz w:val="20"/>
        </w:rPr>
        <w:t xml:space="preserve"> </w:t>
      </w:r>
      <w:r>
        <w:rPr>
          <w:sz w:val="20"/>
        </w:rPr>
        <w:t>el</w:t>
      </w:r>
      <w:r>
        <w:rPr>
          <w:spacing w:val="-2"/>
          <w:sz w:val="20"/>
        </w:rPr>
        <w:t xml:space="preserve"> </w:t>
      </w:r>
      <w:r>
        <w:rPr>
          <w:sz w:val="20"/>
        </w:rPr>
        <w:t>análisis</w:t>
      </w:r>
      <w:r>
        <w:rPr>
          <w:spacing w:val="-3"/>
          <w:sz w:val="20"/>
        </w:rPr>
        <w:t xml:space="preserve"> </w:t>
      </w:r>
      <w:r>
        <w:rPr>
          <w:sz w:val="20"/>
        </w:rPr>
        <w:t>del</w:t>
      </w:r>
      <w:r>
        <w:rPr>
          <w:spacing w:val="-2"/>
          <w:sz w:val="20"/>
        </w:rPr>
        <w:t xml:space="preserve"> </w:t>
      </w:r>
      <w:r>
        <w:rPr>
          <w:sz w:val="20"/>
        </w:rPr>
        <w:t>fondo</w:t>
      </w:r>
      <w:r>
        <w:rPr>
          <w:spacing w:val="-3"/>
          <w:sz w:val="20"/>
        </w:rPr>
        <w:t xml:space="preserve"> </w:t>
      </w:r>
      <w:r>
        <w:rPr>
          <w:sz w:val="20"/>
        </w:rPr>
        <w:t>de</w:t>
      </w:r>
      <w:r>
        <w:rPr>
          <w:spacing w:val="-5"/>
          <w:sz w:val="20"/>
        </w:rPr>
        <w:t xml:space="preserve"> </w:t>
      </w:r>
      <w:r>
        <w:rPr>
          <w:sz w:val="20"/>
        </w:rPr>
        <w:t>la</w:t>
      </w:r>
      <w:r>
        <w:rPr>
          <w:spacing w:val="-3"/>
          <w:sz w:val="20"/>
        </w:rPr>
        <w:t xml:space="preserve"> </w:t>
      </w:r>
      <w:r>
        <w:rPr>
          <w:sz w:val="20"/>
        </w:rPr>
        <w:t>cuestión;</w:t>
      </w:r>
      <w:r>
        <w:rPr>
          <w:spacing w:val="-3"/>
          <w:sz w:val="20"/>
        </w:rPr>
        <w:t xml:space="preserve"> </w:t>
      </w:r>
      <w:r>
        <w:rPr>
          <w:sz w:val="20"/>
        </w:rPr>
        <w:t>y publicar esta decisión e incluirla en su Informe Anual a la Asamblea General de la Organización de los Estados Americanos.</w:t>
      </w:r>
    </w:p>
    <w:p w14:paraId="532A48D0" w14:textId="77777777" w:rsidR="00C66477" w:rsidRDefault="00C66477" w:rsidP="00C66477">
      <w:pPr>
        <w:pStyle w:val="ListParagraph"/>
        <w:spacing w:before="0"/>
        <w:ind w:left="720" w:right="716" w:firstLine="0"/>
        <w:rPr>
          <w:sz w:val="20"/>
        </w:rPr>
      </w:pPr>
    </w:p>
    <w:p w14:paraId="1A386792" w14:textId="256A1C3B" w:rsidR="00C66477" w:rsidRPr="00CF6B26" w:rsidRDefault="00C66477" w:rsidP="00CF6B26">
      <w:pPr>
        <w:ind w:right="716" w:firstLine="720"/>
        <w:jc w:val="both"/>
        <w:rPr>
          <w:sz w:val="20"/>
        </w:rPr>
      </w:pPr>
      <w:bookmarkStart w:id="2" w:name="_Hlk89320357"/>
      <w:r w:rsidRPr="00CF6B26">
        <w:rPr>
          <w:sz w:val="20"/>
        </w:rPr>
        <w:t xml:space="preserve">Aprobado por la Comisión Interamericana de Derechos </w:t>
      </w:r>
      <w:r w:rsidR="00CF6B26" w:rsidRPr="00CF6B26">
        <w:rPr>
          <w:sz w:val="20"/>
        </w:rPr>
        <w:t>Humanos a</w:t>
      </w:r>
      <w:r w:rsidRPr="00CF6B26">
        <w:rPr>
          <w:sz w:val="20"/>
        </w:rPr>
        <w:t xml:space="preserve"> los 31 días del mes de </w:t>
      </w:r>
      <w:r w:rsidR="001D01EF" w:rsidRPr="00CF6B26">
        <w:rPr>
          <w:sz w:val="20"/>
        </w:rPr>
        <w:t>diciembre</w:t>
      </w:r>
      <w:r w:rsidRPr="00CF6B26">
        <w:rPr>
          <w:sz w:val="20"/>
        </w:rPr>
        <w:t xml:space="preserve"> de 2021.  (Firmado): Antonia Urrejola, </w:t>
      </w:r>
      <w:proofErr w:type="gramStart"/>
      <w:r w:rsidRPr="00CF6B26">
        <w:rPr>
          <w:sz w:val="20"/>
        </w:rPr>
        <w:t>Presidenta</w:t>
      </w:r>
      <w:proofErr w:type="gramEnd"/>
      <w:r w:rsidRPr="00CF6B26">
        <w:rPr>
          <w:sz w:val="20"/>
        </w:rPr>
        <w:t xml:space="preserve">; Julissa Mantilla Falcón, Primera Vicepresidenta; Esmeralda E. Arosemena Bernal de </w:t>
      </w:r>
      <w:proofErr w:type="spellStart"/>
      <w:r w:rsidRPr="00CF6B26">
        <w:rPr>
          <w:sz w:val="20"/>
        </w:rPr>
        <w:t>Troitiño</w:t>
      </w:r>
      <w:proofErr w:type="spellEnd"/>
      <w:r w:rsidRPr="00CF6B26">
        <w:rPr>
          <w:sz w:val="20"/>
        </w:rPr>
        <w:t>, Joel Hernández</w:t>
      </w:r>
      <w:r w:rsidR="001D01EF" w:rsidRPr="00CF6B26">
        <w:rPr>
          <w:sz w:val="20"/>
        </w:rPr>
        <w:t xml:space="preserve"> (en </w:t>
      </w:r>
      <w:r w:rsidR="00CF6B26" w:rsidRPr="00CF6B26">
        <w:rPr>
          <w:sz w:val="20"/>
        </w:rPr>
        <w:t>disidencia) y</w:t>
      </w:r>
      <w:r w:rsidRPr="00CF6B26">
        <w:rPr>
          <w:sz w:val="20"/>
        </w:rPr>
        <w:t xml:space="preserve"> Stuardo </w:t>
      </w:r>
      <w:proofErr w:type="spellStart"/>
      <w:r w:rsidRPr="00CF6B26">
        <w:rPr>
          <w:sz w:val="20"/>
        </w:rPr>
        <w:t>Ralón</w:t>
      </w:r>
      <w:proofErr w:type="spellEnd"/>
      <w:r w:rsidRPr="00CF6B26">
        <w:rPr>
          <w:sz w:val="20"/>
        </w:rPr>
        <w:t xml:space="preserve"> Orellana, Miembros de la Comisión. </w:t>
      </w:r>
    </w:p>
    <w:bookmarkEnd w:id="2"/>
    <w:p w14:paraId="414BF665" w14:textId="77777777" w:rsidR="00C66477" w:rsidRPr="0035706C" w:rsidRDefault="00C66477" w:rsidP="00C66477">
      <w:pPr>
        <w:pStyle w:val="ListParagraph"/>
        <w:spacing w:before="0"/>
        <w:ind w:left="720" w:right="716" w:firstLine="0"/>
        <w:rPr>
          <w:sz w:val="20"/>
        </w:rPr>
      </w:pPr>
    </w:p>
    <w:sectPr w:rsidR="00C66477" w:rsidRPr="0035706C" w:rsidSect="00DD4610">
      <w:footerReference w:type="default" r:id="rId15"/>
      <w:pgSz w:w="12240" w:h="15840"/>
      <w:pgMar w:top="1195" w:right="810" w:bottom="720" w:left="1354" w:header="821" w:footer="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8719D" w14:textId="77777777" w:rsidR="00562ABF" w:rsidRDefault="00562ABF">
      <w:r>
        <w:separator/>
      </w:r>
    </w:p>
  </w:endnote>
  <w:endnote w:type="continuationSeparator" w:id="0">
    <w:p w14:paraId="14E4F7F8" w14:textId="77777777" w:rsidR="00562ABF" w:rsidRDefault="00562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AE212" w14:textId="53F9104C" w:rsidR="0054336E" w:rsidRDefault="0054336E">
    <w:pPr>
      <w:pStyle w:val="BodyText"/>
      <w:spacing w:line="14" w:lineRule="auto"/>
    </w:pPr>
    <w:r>
      <w:rPr>
        <w:noProof/>
      </w:rPr>
      <mc:AlternateContent>
        <mc:Choice Requires="wps">
          <w:drawing>
            <wp:anchor distT="0" distB="0" distL="114300" distR="114300" simplePos="0" relativeHeight="251274240" behindDoc="1" locked="0" layoutInCell="1" allowOverlap="1" wp14:anchorId="22DEC8B2" wp14:editId="2DEC0E9B">
              <wp:simplePos x="0" y="0"/>
              <wp:positionH relativeFrom="page">
                <wp:posOffset>3831590</wp:posOffset>
              </wp:positionH>
              <wp:positionV relativeFrom="page">
                <wp:posOffset>9290050</wp:posOffset>
              </wp:positionV>
              <wp:extent cx="107950" cy="1454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200E4" w14:textId="77777777" w:rsidR="0054336E" w:rsidRDefault="0054336E">
                          <w:pPr>
                            <w:spacing w:before="20"/>
                            <w:ind w:left="40"/>
                            <w:rPr>
                              <w:sz w:val="16"/>
                            </w:rPr>
                          </w:pPr>
                          <w:r>
                            <w:fldChar w:fldCharType="begin"/>
                          </w:r>
                          <w:r>
                            <w:rPr>
                              <w:sz w:val="16"/>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EC8B2" id="_x0000_t202" coordsize="21600,21600" o:spt="202" path="m,l,21600r21600,l21600,xe">
              <v:stroke joinstyle="miter"/>
              <v:path gradientshapeok="t" o:connecttype="rect"/>
            </v:shapetype>
            <v:shape id="Text Box 1" o:spid="_x0000_s1027" type="#_x0000_t202" style="position:absolute;margin-left:301.7pt;margin-top:731.5pt;width:8.5pt;height:11.45pt;z-index:-25204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" filled="f" stroked="f">
              <v:textbox inset="0,0,0,0">
                <w:txbxContent>
                  <w:p w14:paraId="020200E4" w14:textId="77777777" w:rsidR="0054336E" w:rsidRDefault="0054336E">
                    <w:pPr>
                      <w:spacing w:before="20"/>
                      <w:ind w:left="40"/>
                      <w:rPr>
                        <w:sz w:val="16"/>
                      </w:rPr>
                    </w:pPr>
                    <w:r>
                      <w:fldChar w:fldCharType="begin"/>
                    </w:r>
                    <w:r>
                      <w:rPr>
                        <w:sz w:val="16"/>
                      </w:rP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FBA5F" w14:textId="77777777" w:rsidR="00562ABF" w:rsidRDefault="00562ABF">
      <w:r>
        <w:separator/>
      </w:r>
    </w:p>
  </w:footnote>
  <w:footnote w:type="continuationSeparator" w:id="0">
    <w:p w14:paraId="0E6D2BC8" w14:textId="77777777" w:rsidR="00562ABF" w:rsidRDefault="00562ABF">
      <w:r>
        <w:continuationSeparator/>
      </w:r>
    </w:p>
  </w:footnote>
  <w:footnote w:id="1">
    <w:p w14:paraId="7E80C041" w14:textId="77777777" w:rsidR="00E00744" w:rsidRPr="00CC0852" w:rsidRDefault="00E00744" w:rsidP="00F23263">
      <w:pPr>
        <w:pStyle w:val="FootnoteText"/>
        <w:ind w:right="720" w:firstLine="720"/>
        <w:jc w:val="both"/>
        <w:rPr>
          <w:sz w:val="16"/>
          <w:szCs w:val="16"/>
        </w:rPr>
      </w:pPr>
      <w:r w:rsidRPr="00CC0852">
        <w:rPr>
          <w:rStyle w:val="FootnoteReference"/>
          <w:sz w:val="16"/>
          <w:szCs w:val="16"/>
        </w:rPr>
        <w:footnoteRef/>
      </w:r>
      <w:r w:rsidRPr="00CC0852">
        <w:rPr>
          <w:sz w:val="16"/>
          <w:szCs w:val="16"/>
        </w:rPr>
        <w:t xml:space="preserve"> En adelante “la Convención Americana”.</w:t>
      </w:r>
    </w:p>
  </w:footnote>
  <w:footnote w:id="2">
    <w:p w14:paraId="245A6CBE" w14:textId="77777777" w:rsidR="00E00744" w:rsidRPr="00CC0852" w:rsidRDefault="00E00744" w:rsidP="00F23263">
      <w:pPr>
        <w:pStyle w:val="FootnoteText"/>
        <w:ind w:right="720" w:firstLine="720"/>
        <w:jc w:val="both"/>
        <w:rPr>
          <w:rFonts w:asciiTheme="majorHAnsi" w:hAnsiTheme="majorHAnsi"/>
          <w:sz w:val="16"/>
          <w:szCs w:val="16"/>
        </w:rPr>
      </w:pPr>
      <w:r w:rsidRPr="00CC0852">
        <w:rPr>
          <w:rStyle w:val="FootnoteReference"/>
          <w:rFonts w:asciiTheme="majorHAnsi" w:hAnsiTheme="majorHAnsi"/>
          <w:sz w:val="16"/>
          <w:szCs w:val="16"/>
        </w:rPr>
        <w:footnoteRef/>
      </w:r>
      <w:r w:rsidRPr="00CC0852">
        <w:rPr>
          <w:rFonts w:asciiTheme="majorHAnsi" w:hAnsiTheme="majorHAnsi"/>
          <w:sz w:val="16"/>
          <w:szCs w:val="16"/>
        </w:rPr>
        <w:t xml:space="preserve"> Las observaciones de cada parte fueron debidamente trasladadas a la parte contraria.</w:t>
      </w:r>
    </w:p>
  </w:footnote>
  <w:footnote w:id="3">
    <w:p w14:paraId="55DC5FFC" w14:textId="77777777" w:rsidR="00343D65" w:rsidRPr="004023AB" w:rsidRDefault="00343D65" w:rsidP="00F23263">
      <w:pPr>
        <w:pStyle w:val="FootnoteText"/>
        <w:ind w:right="720" w:firstLine="720"/>
        <w:jc w:val="both"/>
        <w:rPr>
          <w:sz w:val="16"/>
          <w:szCs w:val="16"/>
          <w:lang w:val="pt-BR"/>
        </w:rPr>
      </w:pPr>
      <w:r w:rsidRPr="004023AB">
        <w:rPr>
          <w:rStyle w:val="FootnoteReference"/>
          <w:sz w:val="16"/>
          <w:szCs w:val="16"/>
        </w:rPr>
        <w:footnoteRef/>
      </w:r>
      <w:r w:rsidRPr="004023AB">
        <w:rPr>
          <w:sz w:val="16"/>
          <w:szCs w:val="16"/>
        </w:rPr>
        <w:t xml:space="preserve"> Según la Corte, la descripción material de la conducta imputada por la acusación debe contener los datos fácticos recogidos, “que constituyen la referencia indispensable para el ejercicio de la defensa del imputado y la consecuente consideración del juzgador en la sentencia. De ahí que el imputado tenga derecho a conocer, a través de una descripción clara, detallada y precisa, los hechos que se le imputan.” La Corte admitió la posibilidad de cambio en la calificación jurídica de los hechos durante el proceso por el órgano acusador o por la autoridad judicial, desde que “se mantengan sin variación los hechos mismos y se observen las garantías procesales previstas en la ley para llevar a cabo la nueva calificación”. Corte IDH. </w:t>
      </w:r>
      <w:r w:rsidRPr="004023AB">
        <w:rPr>
          <w:sz w:val="16"/>
          <w:szCs w:val="16"/>
          <w:lang w:val="pt-BR"/>
        </w:rPr>
        <w:t xml:space="preserve">Caso Fermín Ramírez Vs. </w:t>
      </w:r>
      <w:r w:rsidRPr="004023AB">
        <w:rPr>
          <w:sz w:val="16"/>
          <w:szCs w:val="16"/>
        </w:rPr>
        <w:t>Guatemala. Sentencia de 20 de junio de 2005. Serie C No. 126, párr. 67.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B5D"/>
    <w:multiLevelType w:val="hybridMultilevel"/>
    <w:tmpl w:val="90081536"/>
    <w:lvl w:ilvl="0" w:tplc="4DFE5B50">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1B38CB"/>
    <w:multiLevelType w:val="hybridMultilevel"/>
    <w:tmpl w:val="08F89648"/>
    <w:lvl w:ilvl="0" w:tplc="D0FCE410">
      <w:start w:val="1"/>
      <w:numFmt w:val="decimal"/>
      <w:lvlText w:val="%1."/>
      <w:lvlJc w:val="left"/>
      <w:pPr>
        <w:ind w:left="760" w:hanging="720"/>
      </w:pPr>
      <w:rPr>
        <w:rFonts w:ascii="Cambria" w:eastAsia="Cambria" w:hAnsi="Cambria" w:cs="Cambria" w:hint="default"/>
        <w:w w:val="99"/>
        <w:sz w:val="20"/>
        <w:szCs w:val="20"/>
        <w:lang w:val="es-ES" w:eastAsia="es-ES" w:bidi="es-ES"/>
      </w:rPr>
    </w:lvl>
    <w:lvl w:ilvl="1" w:tplc="DA801E7C">
      <w:numFmt w:val="bullet"/>
      <w:lvlText w:val="•"/>
      <w:lvlJc w:val="left"/>
      <w:pPr>
        <w:ind w:left="1720" w:hanging="720"/>
      </w:pPr>
      <w:rPr>
        <w:rFonts w:hint="default"/>
        <w:lang w:val="es-ES" w:eastAsia="es-ES" w:bidi="es-ES"/>
      </w:rPr>
    </w:lvl>
    <w:lvl w:ilvl="2" w:tplc="F84C39F6">
      <w:numFmt w:val="bullet"/>
      <w:lvlText w:val="•"/>
      <w:lvlJc w:val="left"/>
      <w:pPr>
        <w:ind w:left="2680" w:hanging="720"/>
      </w:pPr>
      <w:rPr>
        <w:rFonts w:hint="default"/>
        <w:lang w:val="es-ES" w:eastAsia="es-ES" w:bidi="es-ES"/>
      </w:rPr>
    </w:lvl>
    <w:lvl w:ilvl="3" w:tplc="E7CC33BC">
      <w:numFmt w:val="bullet"/>
      <w:lvlText w:val="•"/>
      <w:lvlJc w:val="left"/>
      <w:pPr>
        <w:ind w:left="3640" w:hanging="720"/>
      </w:pPr>
      <w:rPr>
        <w:rFonts w:hint="default"/>
        <w:lang w:val="es-ES" w:eastAsia="es-ES" w:bidi="es-ES"/>
      </w:rPr>
    </w:lvl>
    <w:lvl w:ilvl="4" w:tplc="0E4234B4">
      <w:numFmt w:val="bullet"/>
      <w:lvlText w:val="•"/>
      <w:lvlJc w:val="left"/>
      <w:pPr>
        <w:ind w:left="4600" w:hanging="720"/>
      </w:pPr>
      <w:rPr>
        <w:rFonts w:hint="default"/>
        <w:lang w:val="es-ES" w:eastAsia="es-ES" w:bidi="es-ES"/>
      </w:rPr>
    </w:lvl>
    <w:lvl w:ilvl="5" w:tplc="4E04560C">
      <w:numFmt w:val="bullet"/>
      <w:lvlText w:val="•"/>
      <w:lvlJc w:val="left"/>
      <w:pPr>
        <w:ind w:left="5560" w:hanging="720"/>
      </w:pPr>
      <w:rPr>
        <w:rFonts w:hint="default"/>
        <w:lang w:val="es-ES" w:eastAsia="es-ES" w:bidi="es-ES"/>
      </w:rPr>
    </w:lvl>
    <w:lvl w:ilvl="6" w:tplc="5AA013D0">
      <w:numFmt w:val="bullet"/>
      <w:lvlText w:val="•"/>
      <w:lvlJc w:val="left"/>
      <w:pPr>
        <w:ind w:left="6520" w:hanging="720"/>
      </w:pPr>
      <w:rPr>
        <w:rFonts w:hint="default"/>
        <w:lang w:val="es-ES" w:eastAsia="es-ES" w:bidi="es-ES"/>
      </w:rPr>
    </w:lvl>
    <w:lvl w:ilvl="7" w:tplc="53544870">
      <w:numFmt w:val="bullet"/>
      <w:lvlText w:val="•"/>
      <w:lvlJc w:val="left"/>
      <w:pPr>
        <w:ind w:left="7480" w:hanging="720"/>
      </w:pPr>
      <w:rPr>
        <w:rFonts w:hint="default"/>
        <w:lang w:val="es-ES" w:eastAsia="es-ES" w:bidi="es-ES"/>
      </w:rPr>
    </w:lvl>
    <w:lvl w:ilvl="8" w:tplc="4AEE12A0">
      <w:numFmt w:val="bullet"/>
      <w:lvlText w:val="•"/>
      <w:lvlJc w:val="left"/>
      <w:pPr>
        <w:ind w:left="8440" w:hanging="720"/>
      </w:pPr>
      <w:rPr>
        <w:rFonts w:hint="default"/>
        <w:lang w:val="es-ES" w:eastAsia="es-ES" w:bidi="es-ES"/>
      </w:rPr>
    </w:lvl>
  </w:abstractNum>
  <w:abstractNum w:abstractNumId="2" w15:restartNumberingAfterBreak="0">
    <w:nsid w:val="1AA60F95"/>
    <w:multiLevelType w:val="hybridMultilevel"/>
    <w:tmpl w:val="0C6E3040"/>
    <w:lvl w:ilvl="0" w:tplc="535E9C72">
      <w:start w:val="1"/>
      <w:numFmt w:val="decimal"/>
      <w:lvlText w:val="%1."/>
      <w:lvlJc w:val="left"/>
      <w:pPr>
        <w:ind w:left="759" w:hanging="720"/>
      </w:pPr>
      <w:rPr>
        <w:rFonts w:hint="default"/>
        <w:w w:val="99"/>
        <w:lang w:val="es-ES" w:eastAsia="es-ES" w:bidi="es-ES"/>
      </w:rPr>
    </w:lvl>
    <w:lvl w:ilvl="1" w:tplc="5DA4F3E2">
      <w:numFmt w:val="bullet"/>
      <w:lvlText w:val="•"/>
      <w:lvlJc w:val="left"/>
      <w:pPr>
        <w:ind w:left="1726" w:hanging="720"/>
      </w:pPr>
      <w:rPr>
        <w:rFonts w:hint="default"/>
        <w:lang w:val="es-ES" w:eastAsia="es-ES" w:bidi="es-ES"/>
      </w:rPr>
    </w:lvl>
    <w:lvl w:ilvl="2" w:tplc="CB9EF8D2">
      <w:numFmt w:val="bullet"/>
      <w:lvlText w:val="•"/>
      <w:lvlJc w:val="left"/>
      <w:pPr>
        <w:ind w:left="2692" w:hanging="720"/>
      </w:pPr>
      <w:rPr>
        <w:rFonts w:hint="default"/>
        <w:lang w:val="es-ES" w:eastAsia="es-ES" w:bidi="es-ES"/>
      </w:rPr>
    </w:lvl>
    <w:lvl w:ilvl="3" w:tplc="2C04E2E8">
      <w:numFmt w:val="bullet"/>
      <w:lvlText w:val="•"/>
      <w:lvlJc w:val="left"/>
      <w:pPr>
        <w:ind w:left="3658" w:hanging="720"/>
      </w:pPr>
      <w:rPr>
        <w:rFonts w:hint="default"/>
        <w:lang w:val="es-ES" w:eastAsia="es-ES" w:bidi="es-ES"/>
      </w:rPr>
    </w:lvl>
    <w:lvl w:ilvl="4" w:tplc="84D8DBA4">
      <w:numFmt w:val="bullet"/>
      <w:lvlText w:val="•"/>
      <w:lvlJc w:val="left"/>
      <w:pPr>
        <w:ind w:left="4624" w:hanging="720"/>
      </w:pPr>
      <w:rPr>
        <w:rFonts w:hint="default"/>
        <w:lang w:val="es-ES" w:eastAsia="es-ES" w:bidi="es-ES"/>
      </w:rPr>
    </w:lvl>
    <w:lvl w:ilvl="5" w:tplc="D890C6F6">
      <w:numFmt w:val="bullet"/>
      <w:lvlText w:val="•"/>
      <w:lvlJc w:val="left"/>
      <w:pPr>
        <w:ind w:left="5590" w:hanging="720"/>
      </w:pPr>
      <w:rPr>
        <w:rFonts w:hint="default"/>
        <w:lang w:val="es-ES" w:eastAsia="es-ES" w:bidi="es-ES"/>
      </w:rPr>
    </w:lvl>
    <w:lvl w:ilvl="6" w:tplc="49885676">
      <w:numFmt w:val="bullet"/>
      <w:lvlText w:val="•"/>
      <w:lvlJc w:val="left"/>
      <w:pPr>
        <w:ind w:left="6556" w:hanging="720"/>
      </w:pPr>
      <w:rPr>
        <w:rFonts w:hint="default"/>
        <w:lang w:val="es-ES" w:eastAsia="es-ES" w:bidi="es-ES"/>
      </w:rPr>
    </w:lvl>
    <w:lvl w:ilvl="7" w:tplc="8132EC28">
      <w:numFmt w:val="bullet"/>
      <w:lvlText w:val="•"/>
      <w:lvlJc w:val="left"/>
      <w:pPr>
        <w:ind w:left="7522" w:hanging="720"/>
      </w:pPr>
      <w:rPr>
        <w:rFonts w:hint="default"/>
        <w:lang w:val="es-ES" w:eastAsia="es-ES" w:bidi="es-ES"/>
      </w:rPr>
    </w:lvl>
    <w:lvl w:ilvl="8" w:tplc="6A825AF6">
      <w:numFmt w:val="bullet"/>
      <w:lvlText w:val="•"/>
      <w:lvlJc w:val="left"/>
      <w:pPr>
        <w:ind w:left="8488" w:hanging="720"/>
      </w:pPr>
      <w:rPr>
        <w:rFonts w:hint="default"/>
        <w:lang w:val="es-ES" w:eastAsia="es-ES" w:bidi="es-ES"/>
      </w:rPr>
    </w:lvl>
  </w:abstractNum>
  <w:abstractNum w:abstractNumId="3" w15:restartNumberingAfterBreak="0">
    <w:nsid w:val="1BEF6253"/>
    <w:multiLevelType w:val="hybridMultilevel"/>
    <w:tmpl w:val="92F40C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7021CDB"/>
    <w:multiLevelType w:val="hybridMultilevel"/>
    <w:tmpl w:val="7BA620FC"/>
    <w:lvl w:ilvl="0" w:tplc="C93C930E">
      <w:start w:val="1"/>
      <w:numFmt w:val="upperRoman"/>
      <w:lvlText w:val="%1."/>
      <w:lvlJc w:val="left"/>
      <w:pPr>
        <w:ind w:left="2199"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5" w15:restartNumberingAfterBreak="0">
    <w:nsid w:val="64486C16"/>
    <w:multiLevelType w:val="hybridMultilevel"/>
    <w:tmpl w:val="16FE85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EDF3891"/>
    <w:multiLevelType w:val="hybridMultilevel"/>
    <w:tmpl w:val="B36A63D2"/>
    <w:lvl w:ilvl="0" w:tplc="D5CC9B08">
      <w:start w:val="1"/>
      <w:numFmt w:val="decimal"/>
      <w:lvlText w:val="%1."/>
      <w:lvlJc w:val="left"/>
      <w:pPr>
        <w:ind w:left="758" w:hanging="720"/>
      </w:pPr>
      <w:rPr>
        <w:rFonts w:ascii="Cambria" w:eastAsia="Cambria" w:hAnsi="Cambria" w:cs="Cambria" w:hint="default"/>
        <w:w w:val="99"/>
        <w:sz w:val="20"/>
        <w:szCs w:val="20"/>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7" w15:restartNumberingAfterBreak="0">
    <w:nsid w:val="7E001150"/>
    <w:multiLevelType w:val="hybridMultilevel"/>
    <w:tmpl w:val="C3A6472E"/>
    <w:lvl w:ilvl="0" w:tplc="D5CC9B08">
      <w:start w:val="1"/>
      <w:numFmt w:val="decimal"/>
      <w:lvlText w:val="%1."/>
      <w:lvlJc w:val="left"/>
      <w:pPr>
        <w:ind w:left="758" w:hanging="720"/>
      </w:pPr>
      <w:rPr>
        <w:rFonts w:ascii="Cambria" w:eastAsia="Cambria" w:hAnsi="Cambria" w:cs="Cambria" w:hint="default"/>
        <w:w w:val="99"/>
        <w:sz w:val="20"/>
        <w:szCs w:val="20"/>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num w:numId="1">
    <w:abstractNumId w:val="1"/>
  </w:num>
  <w:num w:numId="2">
    <w:abstractNumId w:val="7"/>
  </w:num>
  <w:num w:numId="3">
    <w:abstractNumId w:val="4"/>
  </w:num>
  <w:num w:numId="4">
    <w:abstractNumId w:val="5"/>
  </w:num>
  <w:num w:numId="5">
    <w:abstractNumId w:val="2"/>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C7F"/>
    <w:rsid w:val="00001ECC"/>
    <w:rsid w:val="00022A0F"/>
    <w:rsid w:val="00035FF1"/>
    <w:rsid w:val="000B0EA8"/>
    <w:rsid w:val="000D7C43"/>
    <w:rsid w:val="000E5323"/>
    <w:rsid w:val="000F1EF6"/>
    <w:rsid w:val="000F61B8"/>
    <w:rsid w:val="000F6FB1"/>
    <w:rsid w:val="00113C4F"/>
    <w:rsid w:val="00116B0C"/>
    <w:rsid w:val="001223F2"/>
    <w:rsid w:val="001365D7"/>
    <w:rsid w:val="00157B88"/>
    <w:rsid w:val="001732A9"/>
    <w:rsid w:val="00182D26"/>
    <w:rsid w:val="001D01EF"/>
    <w:rsid w:val="00207F3D"/>
    <w:rsid w:val="002126CD"/>
    <w:rsid w:val="00220FFB"/>
    <w:rsid w:val="00261267"/>
    <w:rsid w:val="0026469F"/>
    <w:rsid w:val="002656BF"/>
    <w:rsid w:val="00267EE0"/>
    <w:rsid w:val="002750C4"/>
    <w:rsid w:val="00280576"/>
    <w:rsid w:val="002B20F1"/>
    <w:rsid w:val="002C24BE"/>
    <w:rsid w:val="002E3ABF"/>
    <w:rsid w:val="00333914"/>
    <w:rsid w:val="003411B6"/>
    <w:rsid w:val="00341580"/>
    <w:rsid w:val="00343D65"/>
    <w:rsid w:val="00344681"/>
    <w:rsid w:val="00350045"/>
    <w:rsid w:val="00356753"/>
    <w:rsid w:val="0035706C"/>
    <w:rsid w:val="00362ADC"/>
    <w:rsid w:val="00373BFD"/>
    <w:rsid w:val="00384195"/>
    <w:rsid w:val="003E6C97"/>
    <w:rsid w:val="004023AB"/>
    <w:rsid w:val="00486513"/>
    <w:rsid w:val="004A4F3A"/>
    <w:rsid w:val="004A6D26"/>
    <w:rsid w:val="004E22EB"/>
    <w:rsid w:val="004E61BD"/>
    <w:rsid w:val="00511548"/>
    <w:rsid w:val="0053334E"/>
    <w:rsid w:val="00536852"/>
    <w:rsid w:val="0054336E"/>
    <w:rsid w:val="005434D9"/>
    <w:rsid w:val="00544411"/>
    <w:rsid w:val="00562ABF"/>
    <w:rsid w:val="00591226"/>
    <w:rsid w:val="00591E54"/>
    <w:rsid w:val="005A23E7"/>
    <w:rsid w:val="005E4037"/>
    <w:rsid w:val="006247E8"/>
    <w:rsid w:val="00635B7A"/>
    <w:rsid w:val="00652350"/>
    <w:rsid w:val="006832C4"/>
    <w:rsid w:val="006856C3"/>
    <w:rsid w:val="006A6429"/>
    <w:rsid w:val="006C59E1"/>
    <w:rsid w:val="006E034A"/>
    <w:rsid w:val="007206F8"/>
    <w:rsid w:val="0073451E"/>
    <w:rsid w:val="0075545F"/>
    <w:rsid w:val="00773F90"/>
    <w:rsid w:val="00793712"/>
    <w:rsid w:val="007A187C"/>
    <w:rsid w:val="007A336B"/>
    <w:rsid w:val="007A3490"/>
    <w:rsid w:val="007C701B"/>
    <w:rsid w:val="007D4CB4"/>
    <w:rsid w:val="007D51B0"/>
    <w:rsid w:val="00807BF6"/>
    <w:rsid w:val="00812B49"/>
    <w:rsid w:val="00815C11"/>
    <w:rsid w:val="0083013E"/>
    <w:rsid w:val="00834B56"/>
    <w:rsid w:val="0084641E"/>
    <w:rsid w:val="0085413A"/>
    <w:rsid w:val="008818E3"/>
    <w:rsid w:val="008C45A3"/>
    <w:rsid w:val="008D0910"/>
    <w:rsid w:val="008F2664"/>
    <w:rsid w:val="008F26C6"/>
    <w:rsid w:val="00904A45"/>
    <w:rsid w:val="0091162B"/>
    <w:rsid w:val="0091742D"/>
    <w:rsid w:val="009176FC"/>
    <w:rsid w:val="00920309"/>
    <w:rsid w:val="00925902"/>
    <w:rsid w:val="00987AEF"/>
    <w:rsid w:val="00993A0E"/>
    <w:rsid w:val="009C3EB5"/>
    <w:rsid w:val="009C7503"/>
    <w:rsid w:val="009D594A"/>
    <w:rsid w:val="009E39F2"/>
    <w:rsid w:val="00A11353"/>
    <w:rsid w:val="00A30CFC"/>
    <w:rsid w:val="00A65F54"/>
    <w:rsid w:val="00A917ED"/>
    <w:rsid w:val="00AE33A2"/>
    <w:rsid w:val="00AE6BA9"/>
    <w:rsid w:val="00AF0C87"/>
    <w:rsid w:val="00B00B2C"/>
    <w:rsid w:val="00B238EC"/>
    <w:rsid w:val="00B26D9D"/>
    <w:rsid w:val="00B40AED"/>
    <w:rsid w:val="00B502D7"/>
    <w:rsid w:val="00B55A3C"/>
    <w:rsid w:val="00B610FB"/>
    <w:rsid w:val="00BA4618"/>
    <w:rsid w:val="00BA55D4"/>
    <w:rsid w:val="00BA6930"/>
    <w:rsid w:val="00BB36A3"/>
    <w:rsid w:val="00BB62A8"/>
    <w:rsid w:val="00BD238C"/>
    <w:rsid w:val="00BD5498"/>
    <w:rsid w:val="00BE5630"/>
    <w:rsid w:val="00BF5221"/>
    <w:rsid w:val="00BF73BD"/>
    <w:rsid w:val="00C02C7F"/>
    <w:rsid w:val="00C1021D"/>
    <w:rsid w:val="00C31514"/>
    <w:rsid w:val="00C342B9"/>
    <w:rsid w:val="00C42F6F"/>
    <w:rsid w:val="00C4781B"/>
    <w:rsid w:val="00C66477"/>
    <w:rsid w:val="00C9552C"/>
    <w:rsid w:val="00CA4FB9"/>
    <w:rsid w:val="00CC0852"/>
    <w:rsid w:val="00CD00E9"/>
    <w:rsid w:val="00CD3302"/>
    <w:rsid w:val="00CE19C2"/>
    <w:rsid w:val="00CE2971"/>
    <w:rsid w:val="00CF138C"/>
    <w:rsid w:val="00CF6B26"/>
    <w:rsid w:val="00CF6E5B"/>
    <w:rsid w:val="00D07F20"/>
    <w:rsid w:val="00D36EB2"/>
    <w:rsid w:val="00D406D7"/>
    <w:rsid w:val="00D805E4"/>
    <w:rsid w:val="00D93AFE"/>
    <w:rsid w:val="00DB3453"/>
    <w:rsid w:val="00DC3146"/>
    <w:rsid w:val="00DD1A15"/>
    <w:rsid w:val="00DD4610"/>
    <w:rsid w:val="00E00744"/>
    <w:rsid w:val="00E05DC5"/>
    <w:rsid w:val="00E43487"/>
    <w:rsid w:val="00E54756"/>
    <w:rsid w:val="00E709F7"/>
    <w:rsid w:val="00E7546C"/>
    <w:rsid w:val="00E80E1F"/>
    <w:rsid w:val="00E818F9"/>
    <w:rsid w:val="00E8638A"/>
    <w:rsid w:val="00E86A6E"/>
    <w:rsid w:val="00EE7BDA"/>
    <w:rsid w:val="00F14654"/>
    <w:rsid w:val="00F23263"/>
    <w:rsid w:val="00F23EE6"/>
    <w:rsid w:val="00F322E8"/>
    <w:rsid w:val="00F46EF7"/>
    <w:rsid w:val="00F75FF5"/>
    <w:rsid w:val="00FE49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06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es-ES" w:eastAsia="es-ES" w:bidi="es-ES"/>
    </w:rPr>
  </w:style>
  <w:style w:type="paragraph" w:styleId="Heading1">
    <w:name w:val="heading 1"/>
    <w:basedOn w:val="Normal"/>
    <w:uiPriority w:val="9"/>
    <w:qFormat/>
    <w:pPr>
      <w:ind w:left="3040"/>
      <w:outlineLvl w:val="0"/>
    </w:pPr>
    <w:rPr>
      <w:sz w:val="24"/>
      <w:szCs w:val="24"/>
    </w:rPr>
  </w:style>
  <w:style w:type="paragraph" w:styleId="Heading2">
    <w:name w:val="heading 2"/>
    <w:basedOn w:val="Normal"/>
    <w:uiPriority w:val="9"/>
    <w:unhideWhenUsed/>
    <w:qFormat/>
    <w:pPr>
      <w:spacing w:before="122"/>
      <w:ind w:left="2199" w:hanging="72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21"/>
      <w:ind w:left="758" w:hanging="721"/>
      <w:jc w:val="both"/>
    </w:pPr>
  </w:style>
  <w:style w:type="paragraph" w:customStyle="1" w:styleId="TableParagraph">
    <w:name w:val="Table Paragraph"/>
    <w:basedOn w:val="Normal"/>
    <w:uiPriority w:val="1"/>
    <w:qFormat/>
    <w:pPr>
      <w:spacing w:line="203" w:lineRule="exact"/>
      <w:ind w:left="105"/>
    </w:pPr>
  </w:style>
  <w:style w:type="paragraph" w:styleId="Header">
    <w:name w:val="header"/>
    <w:basedOn w:val="Normal"/>
    <w:link w:val="HeaderChar"/>
    <w:uiPriority w:val="99"/>
    <w:unhideWhenUsed/>
    <w:rsid w:val="00035FF1"/>
    <w:pPr>
      <w:tabs>
        <w:tab w:val="center" w:pos="4252"/>
        <w:tab w:val="right" w:pos="8504"/>
      </w:tabs>
    </w:pPr>
  </w:style>
  <w:style w:type="character" w:customStyle="1" w:styleId="HeaderChar">
    <w:name w:val="Header Char"/>
    <w:basedOn w:val="DefaultParagraphFont"/>
    <w:link w:val="Header"/>
    <w:uiPriority w:val="99"/>
    <w:rsid w:val="00035FF1"/>
    <w:rPr>
      <w:rFonts w:ascii="Cambria" w:eastAsia="Cambria" w:hAnsi="Cambria" w:cs="Cambria"/>
      <w:lang w:val="es-ES" w:eastAsia="es-ES" w:bidi="es-ES"/>
    </w:rPr>
  </w:style>
  <w:style w:type="paragraph" w:styleId="Footer">
    <w:name w:val="footer"/>
    <w:basedOn w:val="Normal"/>
    <w:link w:val="FooterChar"/>
    <w:uiPriority w:val="99"/>
    <w:unhideWhenUsed/>
    <w:rsid w:val="00035FF1"/>
    <w:pPr>
      <w:tabs>
        <w:tab w:val="center" w:pos="4252"/>
        <w:tab w:val="right" w:pos="8504"/>
      </w:tabs>
    </w:pPr>
  </w:style>
  <w:style w:type="character" w:customStyle="1" w:styleId="FooterChar">
    <w:name w:val="Footer Char"/>
    <w:basedOn w:val="DefaultParagraphFont"/>
    <w:link w:val="Footer"/>
    <w:uiPriority w:val="99"/>
    <w:rsid w:val="00035FF1"/>
    <w:rPr>
      <w:rFonts w:ascii="Cambria" w:eastAsia="Cambria" w:hAnsi="Cambria" w:cs="Cambria"/>
      <w:lang w:val="es-ES" w:eastAsia="es-ES" w:bidi="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basedOn w:val="Normal"/>
    <w:link w:val="FootnoteTextChar"/>
    <w:uiPriority w:val="99"/>
    <w:unhideWhenUsed/>
    <w:qFormat/>
    <w:rsid w:val="00536852"/>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uiPriority w:val="99"/>
    <w:qFormat/>
    <w:rsid w:val="00536852"/>
    <w:rPr>
      <w:rFonts w:ascii="Cambria" w:eastAsia="Cambria" w:hAnsi="Cambria" w:cs="Cambria"/>
      <w:sz w:val="20"/>
      <w:szCs w:val="20"/>
      <w:lang w:val="es-ES" w:eastAsia="es-ES" w:bidi="es-E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4GChar"/>
    <w:uiPriority w:val="99"/>
    <w:unhideWhenUsed/>
    <w:qFormat/>
    <w:rsid w:val="00536852"/>
    <w:rPr>
      <w:vertAlign w:val="superscript"/>
    </w:rPr>
  </w:style>
  <w:style w:type="table" w:styleId="TableGrid">
    <w:name w:val="Table Grid"/>
    <w:basedOn w:val="TableNormal"/>
    <w:uiPriority w:val="59"/>
    <w:rsid w:val="007A3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E00744"/>
    <w:pPr>
      <w:widowControl/>
      <w:autoSpaceDE/>
      <w:autoSpaceDN/>
      <w:jc w:val="both"/>
    </w:pPr>
    <w:rPr>
      <w:rFonts w:asciiTheme="minorHAnsi" w:eastAsiaTheme="minorHAnsi" w:hAnsiTheme="minorHAnsi" w:cstheme="minorBidi"/>
      <w:vertAlign w:val="superscript"/>
      <w:lang w:val="en-US" w:eastAsia="en-US" w:bidi="ar-SA"/>
    </w:rPr>
  </w:style>
  <w:style w:type="character" w:styleId="CommentReference">
    <w:name w:val="annotation reference"/>
    <w:basedOn w:val="DefaultParagraphFont"/>
    <w:uiPriority w:val="99"/>
    <w:semiHidden/>
    <w:unhideWhenUsed/>
    <w:rsid w:val="00E709F7"/>
    <w:rPr>
      <w:sz w:val="16"/>
      <w:szCs w:val="16"/>
    </w:rPr>
  </w:style>
  <w:style w:type="paragraph" w:styleId="CommentText">
    <w:name w:val="annotation text"/>
    <w:basedOn w:val="Normal"/>
    <w:link w:val="CommentTextChar"/>
    <w:uiPriority w:val="99"/>
    <w:semiHidden/>
    <w:unhideWhenUsed/>
    <w:rsid w:val="00E709F7"/>
    <w:rPr>
      <w:sz w:val="20"/>
      <w:szCs w:val="20"/>
    </w:rPr>
  </w:style>
  <w:style w:type="character" w:customStyle="1" w:styleId="CommentTextChar">
    <w:name w:val="Comment Text Char"/>
    <w:basedOn w:val="DefaultParagraphFont"/>
    <w:link w:val="CommentText"/>
    <w:uiPriority w:val="99"/>
    <w:semiHidden/>
    <w:rsid w:val="00E709F7"/>
    <w:rPr>
      <w:rFonts w:ascii="Cambria" w:eastAsia="Cambria" w:hAnsi="Cambria" w:cs="Cambria"/>
      <w:sz w:val="20"/>
      <w:szCs w:val="20"/>
      <w:lang w:val="es-ES" w:eastAsia="es-ES" w:bidi="es-ES"/>
    </w:rPr>
  </w:style>
  <w:style w:type="paragraph" w:styleId="CommentSubject">
    <w:name w:val="annotation subject"/>
    <w:basedOn w:val="CommentText"/>
    <w:next w:val="CommentText"/>
    <w:link w:val="CommentSubjectChar"/>
    <w:uiPriority w:val="99"/>
    <w:semiHidden/>
    <w:unhideWhenUsed/>
    <w:rsid w:val="00E709F7"/>
    <w:rPr>
      <w:b/>
      <w:bCs/>
    </w:rPr>
  </w:style>
  <w:style w:type="character" w:customStyle="1" w:styleId="CommentSubjectChar">
    <w:name w:val="Comment Subject Char"/>
    <w:basedOn w:val="CommentTextChar"/>
    <w:link w:val="CommentSubject"/>
    <w:uiPriority w:val="99"/>
    <w:semiHidden/>
    <w:rsid w:val="00E709F7"/>
    <w:rPr>
      <w:rFonts w:ascii="Cambria" w:eastAsia="Cambria" w:hAnsi="Cambria" w:cs="Cambria"/>
      <w:b/>
      <w:bCs/>
      <w:sz w:val="20"/>
      <w:szCs w:val="20"/>
      <w:lang w:val="es-ES" w:eastAsia="es-ES" w:bidi="es-ES"/>
    </w:rPr>
  </w:style>
  <w:style w:type="character" w:styleId="Hyperlink">
    <w:name w:val="Hyperlink"/>
    <w:basedOn w:val="DefaultParagraphFont"/>
    <w:uiPriority w:val="99"/>
    <w:unhideWhenUsed/>
    <w:rsid w:val="00793712"/>
    <w:rPr>
      <w:color w:val="0000FF" w:themeColor="hyperlink"/>
      <w:u w:val="single"/>
    </w:rPr>
  </w:style>
  <w:style w:type="character" w:styleId="UnresolvedMention">
    <w:name w:val="Unresolved Mention"/>
    <w:basedOn w:val="DefaultParagraphFont"/>
    <w:uiPriority w:val="99"/>
    <w:semiHidden/>
    <w:unhideWhenUsed/>
    <w:rsid w:val="00793712"/>
    <w:rPr>
      <w:color w:val="605E5C"/>
      <w:shd w:val="clear" w:color="auto" w:fill="E1DFDD"/>
    </w:rPr>
  </w:style>
  <w:style w:type="paragraph" w:styleId="Revision">
    <w:name w:val="Revision"/>
    <w:hidden/>
    <w:uiPriority w:val="99"/>
    <w:semiHidden/>
    <w:rsid w:val="00B502D7"/>
    <w:pPr>
      <w:widowControl/>
      <w:autoSpaceDE/>
      <w:autoSpaceDN/>
    </w:pPr>
    <w:rPr>
      <w:rFonts w:ascii="Cambria" w:eastAsia="Cambria" w:hAnsi="Cambria" w:cs="Cambria"/>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13184">
      <w:bodyDiv w:val="1"/>
      <w:marLeft w:val="0"/>
      <w:marRight w:val="0"/>
      <w:marTop w:val="0"/>
      <w:marBottom w:val="0"/>
      <w:divBdr>
        <w:top w:val="none" w:sz="0" w:space="0" w:color="auto"/>
        <w:left w:val="none" w:sz="0" w:space="0" w:color="auto"/>
        <w:bottom w:val="none" w:sz="0" w:space="0" w:color="auto"/>
        <w:right w:val="none" w:sz="0" w:space="0" w:color="auto"/>
      </w:divBdr>
    </w:div>
    <w:div w:id="329720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idh.org/"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dh.org/"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4" Type="http://schemas.openxmlformats.org/officeDocument/2006/relationships/settings" Target="setting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A9FC3CDFAD4C36B9FA10B873F9A181"/>
        <w:category>
          <w:name w:val="General"/>
          <w:gallery w:val="placeholder"/>
        </w:category>
        <w:types>
          <w:type w:val="bbPlcHdr"/>
        </w:types>
        <w:behaviors>
          <w:behavior w:val="content"/>
        </w:behaviors>
        <w:guid w:val="{21C096FE-21B6-4A2B-BF8F-6C063357356A}"/>
      </w:docPartPr>
      <w:docPartBody>
        <w:p w:rsidR="00BB43C1" w:rsidRDefault="00C71A91" w:rsidP="00C71A91">
          <w:pPr>
            <w:pStyle w:val="7DA9FC3CDFAD4C36B9FA10B873F9A18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A91"/>
    <w:rsid w:val="00294865"/>
    <w:rsid w:val="003D46C7"/>
    <w:rsid w:val="00492010"/>
    <w:rsid w:val="007B4FCA"/>
    <w:rsid w:val="007C6141"/>
    <w:rsid w:val="0081167A"/>
    <w:rsid w:val="008F7F46"/>
    <w:rsid w:val="00932A73"/>
    <w:rsid w:val="00A25898"/>
    <w:rsid w:val="00B91AE7"/>
    <w:rsid w:val="00BB43C1"/>
    <w:rsid w:val="00C71A91"/>
    <w:rsid w:val="00CE2FD8"/>
    <w:rsid w:val="00FD0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1A91"/>
    <w:rPr>
      <w:color w:val="808080"/>
    </w:rPr>
  </w:style>
  <w:style w:type="paragraph" w:customStyle="1" w:styleId="7DA9FC3CDFAD4C36B9FA10B873F9A181">
    <w:name w:val="7DA9FC3CDFAD4C36B9FA10B873F9A181"/>
    <w:rsid w:val="00C71A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F9E17-1A86-4BA0-9BF7-8C944D9AD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2376</Words>
  <Characters>12453</Characters>
  <Application>Microsoft Office Word</Application>
  <DocSecurity>0</DocSecurity>
  <Lines>249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411/21</dc:title>
  <dc:creator/>
  <cp:lastModifiedBy/>
  <cp:revision>1</cp:revision>
  <dcterms:created xsi:type="dcterms:W3CDTF">2022-02-14T20:38:00Z</dcterms:created>
  <dcterms:modified xsi:type="dcterms:W3CDTF">2022-02-14T20:39:00Z</dcterms:modified>
</cp:coreProperties>
</file>