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EA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BD056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49F8">
                              <w:rPr>
                                <w:rFonts w:asciiTheme="majorHAnsi" w:hAnsiTheme="majorHAnsi" w:cs="Arial"/>
                                <w:b/>
                                <w:bCs/>
                                <w:color w:val="0D0D0D" w:themeColor="text1" w:themeTint="F2"/>
                                <w:sz w:val="36"/>
                                <w:szCs w:val="22"/>
                                <w:lang w:val="es-ES_tradnl"/>
                              </w:rPr>
                              <w:t>306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3487AF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4DAA">
                              <w:rPr>
                                <w:rFonts w:asciiTheme="majorHAnsi" w:hAnsiTheme="majorHAnsi" w:cs="Arial"/>
                                <w:b/>
                                <w:color w:val="0D0D0D" w:themeColor="text1" w:themeTint="F2"/>
                                <w:sz w:val="36"/>
                                <w:szCs w:val="22"/>
                                <w:lang w:val="es-ES_tradnl"/>
                              </w:rPr>
                              <w:t>688</w:t>
                            </w:r>
                            <w:r w:rsidR="00246D1F" w:rsidRPr="004E2649">
                              <w:rPr>
                                <w:rFonts w:asciiTheme="majorHAnsi" w:hAnsiTheme="majorHAnsi" w:cs="Arial"/>
                                <w:b/>
                                <w:color w:val="0D0D0D" w:themeColor="text1" w:themeTint="F2"/>
                                <w:sz w:val="36"/>
                                <w:szCs w:val="22"/>
                                <w:lang w:val="es-ES_tradnl"/>
                              </w:rPr>
                              <w:t>-</w:t>
                            </w:r>
                            <w:r w:rsidR="005E4DA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10E648DA" w14:textId="7F57426A" w:rsidR="002253F2" w:rsidRDefault="005E4DA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CARMEN SÁNCHEZ </w:t>
                            </w:r>
                            <w:proofErr w:type="spellStart"/>
                            <w:r>
                              <w:rPr>
                                <w:rFonts w:asciiTheme="majorHAnsi" w:hAnsiTheme="majorHAnsi" w:cs="Arial"/>
                                <w:color w:val="0D0D0D" w:themeColor="text1" w:themeTint="F2"/>
                                <w:szCs w:val="22"/>
                                <w:lang w:val="es-ES_tradnl"/>
                              </w:rPr>
                              <w:t>SÁNCHEZ</w:t>
                            </w:r>
                            <w:proofErr w:type="spellEnd"/>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D7328D9" w14:textId="5BD0568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9949F8">
                        <w:rPr>
                          <w:rFonts w:asciiTheme="majorHAnsi" w:hAnsiTheme="majorHAnsi" w:cs="Arial"/>
                          <w:b/>
                          <w:bCs/>
                          <w:color w:val="0D0D0D" w:themeColor="text1" w:themeTint="F2"/>
                          <w:sz w:val="36"/>
                          <w:szCs w:val="22"/>
                          <w:lang w:val="es-ES_tradnl"/>
                        </w:rPr>
                        <w:t>306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2253F2">
                        <w:rPr>
                          <w:rFonts w:asciiTheme="majorHAnsi" w:hAnsiTheme="majorHAnsi" w:cs="Arial"/>
                          <w:b/>
                          <w:bCs/>
                          <w:color w:val="0D0D0D" w:themeColor="text1" w:themeTint="F2"/>
                          <w:sz w:val="36"/>
                          <w:szCs w:val="22"/>
                          <w:lang w:val="es-ES_tradnl"/>
                        </w:rPr>
                        <w:t>1</w:t>
                      </w:r>
                    </w:p>
                    <w:p w14:paraId="45F30ECA" w14:textId="3487AF9C"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E4DAA">
                        <w:rPr>
                          <w:rFonts w:asciiTheme="majorHAnsi" w:hAnsiTheme="majorHAnsi" w:cs="Arial"/>
                          <w:b/>
                          <w:color w:val="0D0D0D" w:themeColor="text1" w:themeTint="F2"/>
                          <w:sz w:val="36"/>
                          <w:szCs w:val="22"/>
                          <w:lang w:val="es-ES_tradnl"/>
                        </w:rPr>
                        <w:t>688</w:t>
                      </w:r>
                      <w:r w:rsidR="00246D1F" w:rsidRPr="004E2649">
                        <w:rPr>
                          <w:rFonts w:asciiTheme="majorHAnsi" w:hAnsiTheme="majorHAnsi" w:cs="Arial"/>
                          <w:b/>
                          <w:color w:val="0D0D0D" w:themeColor="text1" w:themeTint="F2"/>
                          <w:sz w:val="36"/>
                          <w:szCs w:val="22"/>
                          <w:lang w:val="es-ES_tradnl"/>
                        </w:rPr>
                        <w:t>-</w:t>
                      </w:r>
                      <w:r w:rsidR="005E4DAA">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188B4303" w14:textId="0115AE8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10E648DA" w14:textId="7F57426A" w:rsidR="002253F2" w:rsidRDefault="005E4DAA" w:rsidP="007A5817">
                      <w:pPr>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CARMEN SÁNCHEZ </w:t>
                      </w:r>
                      <w:proofErr w:type="spellStart"/>
                      <w:r>
                        <w:rPr>
                          <w:rFonts w:asciiTheme="majorHAnsi" w:hAnsiTheme="majorHAnsi" w:cs="Arial"/>
                          <w:color w:val="0D0D0D" w:themeColor="text1" w:themeTint="F2"/>
                          <w:szCs w:val="22"/>
                          <w:lang w:val="es-ES_tradnl"/>
                        </w:rPr>
                        <w:t>SÁNCHEZ</w:t>
                      </w:r>
                      <w:proofErr w:type="spellEnd"/>
                    </w:p>
                    <w:p w14:paraId="0B9F7D22" w14:textId="1F6F6E46" w:rsidR="005B52B0" w:rsidRPr="00AE5488" w:rsidRDefault="002253F2" w:rsidP="007A5817">
                      <w:pPr>
                        <w:rPr>
                          <w:color w:val="0D0D0D" w:themeColor="text1" w:themeTint="F2"/>
                          <w:lang w:val="es-ES_tradnl"/>
                        </w:rPr>
                      </w:pPr>
                      <w:r>
                        <w:rPr>
                          <w:rFonts w:asciiTheme="majorHAnsi" w:hAnsiTheme="majorHAnsi" w:cs="Arial"/>
                          <w:color w:val="0D0D0D" w:themeColor="text1" w:themeTint="F2"/>
                          <w:szCs w:val="22"/>
                          <w:lang w:val="es-ES_tradnl"/>
                        </w:rPr>
                        <w:t>ARGENTINA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FAF7499" w:rsidR="00627C9F" w:rsidRPr="00A85069" w:rsidRDefault="00834D49" w:rsidP="007A5817">
                            <w:pPr>
                              <w:spacing w:line="276" w:lineRule="auto"/>
                              <w:jc w:val="right"/>
                              <w:rPr>
                                <w:rFonts w:asciiTheme="minorHAnsi" w:hAnsiTheme="minorHAnsi"/>
                                <w:color w:val="FFFFFF" w:themeColor="background1"/>
                                <w:sz w:val="22"/>
                                <w:lang w:val="es-419"/>
                              </w:rPr>
                            </w:pPr>
                            <w:r w:rsidRPr="00A85069">
                              <w:rPr>
                                <w:rFonts w:asciiTheme="minorHAnsi" w:hAnsiTheme="minorHAnsi"/>
                                <w:color w:val="FFFFFF" w:themeColor="background1"/>
                                <w:sz w:val="22"/>
                                <w:lang w:val="es-419"/>
                              </w:rPr>
                              <w:t>OEA/Ser.L/V/II</w:t>
                            </w:r>
                          </w:p>
                          <w:p w14:paraId="71D2D5D2" w14:textId="359B16B3" w:rsidR="00627C9F" w:rsidRPr="00A85069" w:rsidRDefault="00627C9F" w:rsidP="007A5817">
                            <w:pPr>
                              <w:spacing w:line="276" w:lineRule="auto"/>
                              <w:jc w:val="right"/>
                              <w:rPr>
                                <w:rFonts w:asciiTheme="minorHAnsi" w:hAnsiTheme="minorHAnsi"/>
                                <w:color w:val="FFFFFF" w:themeColor="background1"/>
                                <w:sz w:val="22"/>
                                <w:lang w:val="es-419"/>
                              </w:rPr>
                            </w:pPr>
                            <w:r w:rsidRPr="00A85069">
                              <w:rPr>
                                <w:rFonts w:asciiTheme="minorHAnsi" w:hAnsiTheme="minorHAnsi"/>
                                <w:color w:val="FFFFFF" w:themeColor="background1"/>
                                <w:sz w:val="22"/>
                                <w:lang w:val="es-419"/>
                              </w:rPr>
                              <w:t xml:space="preserve">Doc. </w:t>
                            </w:r>
                            <w:r w:rsidR="009949F8" w:rsidRPr="00A85069">
                              <w:rPr>
                                <w:rFonts w:asciiTheme="minorHAnsi" w:hAnsiTheme="minorHAnsi"/>
                                <w:color w:val="FFFFFF" w:themeColor="background1"/>
                                <w:sz w:val="22"/>
                                <w:lang w:val="es-419"/>
                              </w:rPr>
                              <w:t>316</w:t>
                            </w:r>
                          </w:p>
                          <w:p w14:paraId="4061DBBD" w14:textId="4F7B210A" w:rsidR="00627C9F" w:rsidRPr="00C25ADB" w:rsidRDefault="009949F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3633871B" w14:textId="6FAF7499" w:rsidR="00627C9F" w:rsidRPr="00A85069" w:rsidRDefault="00834D49" w:rsidP="007A5817">
                      <w:pPr>
                        <w:spacing w:line="276" w:lineRule="auto"/>
                        <w:jc w:val="right"/>
                        <w:rPr>
                          <w:rFonts w:asciiTheme="minorHAnsi" w:hAnsiTheme="minorHAnsi"/>
                          <w:color w:val="FFFFFF" w:themeColor="background1"/>
                          <w:sz w:val="22"/>
                          <w:lang w:val="es-419"/>
                        </w:rPr>
                      </w:pPr>
                      <w:r w:rsidRPr="00A85069">
                        <w:rPr>
                          <w:rFonts w:asciiTheme="minorHAnsi" w:hAnsiTheme="minorHAnsi"/>
                          <w:color w:val="FFFFFF" w:themeColor="background1"/>
                          <w:sz w:val="22"/>
                          <w:lang w:val="es-419"/>
                        </w:rPr>
                        <w:t>OEA/Ser.L/V/II</w:t>
                      </w:r>
                    </w:p>
                    <w:p w14:paraId="71D2D5D2" w14:textId="359B16B3" w:rsidR="00627C9F" w:rsidRPr="00A85069" w:rsidRDefault="00627C9F" w:rsidP="007A5817">
                      <w:pPr>
                        <w:spacing w:line="276" w:lineRule="auto"/>
                        <w:jc w:val="right"/>
                        <w:rPr>
                          <w:rFonts w:asciiTheme="minorHAnsi" w:hAnsiTheme="minorHAnsi"/>
                          <w:color w:val="FFFFFF" w:themeColor="background1"/>
                          <w:sz w:val="22"/>
                          <w:lang w:val="es-419"/>
                        </w:rPr>
                      </w:pPr>
                      <w:r w:rsidRPr="00A85069">
                        <w:rPr>
                          <w:rFonts w:asciiTheme="minorHAnsi" w:hAnsiTheme="minorHAnsi"/>
                          <w:color w:val="FFFFFF" w:themeColor="background1"/>
                          <w:sz w:val="22"/>
                          <w:lang w:val="es-419"/>
                        </w:rPr>
                        <w:t xml:space="preserve">Doc. </w:t>
                      </w:r>
                      <w:r w:rsidR="009949F8" w:rsidRPr="00A85069">
                        <w:rPr>
                          <w:rFonts w:asciiTheme="minorHAnsi" w:hAnsiTheme="minorHAnsi"/>
                          <w:color w:val="FFFFFF" w:themeColor="background1"/>
                          <w:sz w:val="22"/>
                          <w:lang w:val="es-419"/>
                        </w:rPr>
                        <w:t>316</w:t>
                      </w:r>
                    </w:p>
                    <w:p w14:paraId="4061DBBD" w14:textId="4F7B210A" w:rsidR="00627C9F" w:rsidRPr="00C25ADB" w:rsidRDefault="009949F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4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2253F2">
                        <w:rPr>
                          <w:rFonts w:asciiTheme="minorHAnsi" w:hAnsiTheme="minorHAnsi"/>
                          <w:color w:val="FFFFFF" w:themeColor="background1"/>
                          <w:sz w:val="22"/>
                          <w:lang w:val="es-PA"/>
                        </w:rPr>
                        <w:t>1</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55C1F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949F8">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9949F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791E0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90F2"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55C1FC9"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9949F8">
                        <w:rPr>
                          <w:rFonts w:asciiTheme="majorHAnsi" w:hAnsiTheme="majorHAnsi"/>
                          <w:color w:val="0D0D0D" w:themeColor="text1" w:themeTint="F2"/>
                          <w:sz w:val="18"/>
                          <w:szCs w:val="22"/>
                          <w:lang w:val="es-ES"/>
                        </w:rPr>
                        <w:t>4</w:t>
                      </w:r>
                      <w:r w:rsidRPr="00890650">
                        <w:rPr>
                          <w:rFonts w:asciiTheme="majorHAnsi" w:hAnsiTheme="majorHAnsi"/>
                          <w:color w:val="0D0D0D" w:themeColor="text1" w:themeTint="F2"/>
                          <w:sz w:val="18"/>
                          <w:szCs w:val="22"/>
                          <w:lang w:val="es-ES"/>
                        </w:rPr>
                        <w:t xml:space="preserve"> de </w:t>
                      </w:r>
                      <w:r w:rsidR="009949F8">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6715BD">
                        <w:rPr>
                          <w:rFonts w:asciiTheme="majorHAnsi" w:hAnsiTheme="majorHAnsi"/>
                          <w:color w:val="0D0D0D" w:themeColor="text1" w:themeTint="F2"/>
                          <w:sz w:val="18"/>
                          <w:szCs w:val="22"/>
                          <w:lang w:val="es-ES"/>
                        </w:rPr>
                        <w:t>1</w:t>
                      </w:r>
                      <w:r w:rsidR="00791E07">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3A3C1D1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949F8" w:rsidRPr="009949F8">
                              <w:rPr>
                                <w:rFonts w:asciiTheme="majorHAnsi" w:hAnsiTheme="majorHAnsi"/>
                                <w:color w:val="595959" w:themeColor="text1" w:themeTint="A6"/>
                                <w:sz w:val="18"/>
                                <w:szCs w:val="18"/>
                                <w:lang w:val="pt-BR" w:bidi="es-ES"/>
                              </w:rPr>
                              <w:t>306</w:t>
                            </w:r>
                            <w:r w:rsidR="002253F2" w:rsidRPr="009949F8">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5E4DAA">
                              <w:rPr>
                                <w:rFonts w:asciiTheme="majorHAnsi" w:hAnsiTheme="majorHAnsi"/>
                                <w:color w:val="595959" w:themeColor="text1" w:themeTint="A6"/>
                                <w:sz w:val="18"/>
                                <w:szCs w:val="18"/>
                                <w:lang w:val="es-ES" w:bidi="es-ES"/>
                              </w:rPr>
                              <w:t>688-12</w:t>
                            </w:r>
                            <w:r w:rsidR="002253F2" w:rsidRPr="002253F2">
                              <w:rPr>
                                <w:rFonts w:asciiTheme="majorHAnsi" w:hAnsiTheme="majorHAnsi"/>
                                <w:color w:val="595959" w:themeColor="text1" w:themeTint="A6"/>
                                <w:sz w:val="18"/>
                                <w:szCs w:val="18"/>
                                <w:lang w:val="es-ES" w:bidi="es-ES"/>
                              </w:rPr>
                              <w:t xml:space="preserve">. Admisibilidad. </w:t>
                            </w:r>
                            <w:r w:rsidR="005E4DAA">
                              <w:rPr>
                                <w:rFonts w:asciiTheme="majorHAnsi" w:hAnsiTheme="majorHAnsi"/>
                                <w:color w:val="595959" w:themeColor="text1" w:themeTint="A6"/>
                                <w:sz w:val="18"/>
                                <w:szCs w:val="18"/>
                                <w:lang w:val="es-ES" w:bidi="es-ES"/>
                              </w:rPr>
                              <w:t xml:space="preserve">Carmen Sánchez </w:t>
                            </w:r>
                            <w:proofErr w:type="spellStart"/>
                            <w:r w:rsidR="005E4DAA">
                              <w:rPr>
                                <w:rFonts w:asciiTheme="majorHAnsi" w:hAnsiTheme="majorHAnsi"/>
                                <w:color w:val="595959" w:themeColor="text1" w:themeTint="A6"/>
                                <w:sz w:val="18"/>
                                <w:szCs w:val="18"/>
                                <w:lang w:val="es-ES" w:bidi="es-ES"/>
                              </w:rPr>
                              <w:t>Sánchez</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 xml:space="preserve">Argentina. </w:t>
                            </w:r>
                            <w:r w:rsidR="009949F8">
                              <w:rPr>
                                <w:rFonts w:asciiTheme="majorHAnsi" w:hAnsiTheme="majorHAnsi"/>
                                <w:color w:val="595959" w:themeColor="text1" w:themeTint="A6"/>
                                <w:sz w:val="18"/>
                                <w:szCs w:val="18"/>
                                <w:lang w:val="pt-BR" w:bidi="es-ES"/>
                              </w:rPr>
                              <w:t>4</w:t>
                            </w:r>
                            <w:r w:rsidR="002253F2" w:rsidRPr="002253F2">
                              <w:rPr>
                                <w:rFonts w:asciiTheme="majorHAnsi" w:hAnsiTheme="majorHAnsi"/>
                                <w:color w:val="595959" w:themeColor="text1" w:themeTint="A6"/>
                                <w:sz w:val="18"/>
                                <w:szCs w:val="18"/>
                                <w:lang w:val="pt-BR" w:bidi="es-ES"/>
                              </w:rPr>
                              <w:t xml:space="preserve"> de </w:t>
                            </w:r>
                            <w:r w:rsidR="009949F8">
                              <w:rPr>
                                <w:rFonts w:asciiTheme="majorHAnsi" w:hAnsiTheme="majorHAnsi"/>
                                <w:color w:val="595959" w:themeColor="text1" w:themeTint="A6"/>
                                <w:sz w:val="18"/>
                                <w:szCs w:val="18"/>
                                <w:lang w:val="pt-BR" w:bidi="es-ES"/>
                              </w:rPr>
                              <w:t>noviembre</w:t>
                            </w:r>
                            <w:r w:rsidR="002253F2" w:rsidRPr="002253F2">
                              <w:rPr>
                                <w:rFonts w:asciiTheme="majorHAnsi" w:hAnsiTheme="majorHAnsi"/>
                                <w:color w:val="595959" w:themeColor="text1" w:themeTint="A6"/>
                                <w:sz w:val="18"/>
                                <w:szCs w:val="18"/>
                                <w:lang w:val="pt-BR" w:bidi="es-ES"/>
                              </w:rPr>
                              <w:t xml:space="preserv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3A3C1D10"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2253F2" w:rsidRPr="002253F2">
                        <w:rPr>
                          <w:rFonts w:asciiTheme="majorHAnsi" w:hAnsiTheme="majorHAnsi"/>
                          <w:color w:val="595959" w:themeColor="text1" w:themeTint="A6"/>
                          <w:sz w:val="18"/>
                          <w:szCs w:val="18"/>
                          <w:lang w:val="pt-BR"/>
                        </w:rPr>
                        <w:t xml:space="preserve">CIDH, Informe No. </w:t>
                      </w:r>
                      <w:r w:rsidR="009949F8" w:rsidRPr="009949F8">
                        <w:rPr>
                          <w:rFonts w:asciiTheme="majorHAnsi" w:hAnsiTheme="majorHAnsi"/>
                          <w:color w:val="595959" w:themeColor="text1" w:themeTint="A6"/>
                          <w:sz w:val="18"/>
                          <w:szCs w:val="18"/>
                          <w:lang w:val="pt-BR" w:bidi="es-ES"/>
                        </w:rPr>
                        <w:t>306</w:t>
                      </w:r>
                      <w:r w:rsidR="002253F2" w:rsidRPr="009949F8">
                        <w:rPr>
                          <w:rFonts w:asciiTheme="majorHAnsi" w:hAnsiTheme="majorHAnsi"/>
                          <w:color w:val="595959" w:themeColor="text1" w:themeTint="A6"/>
                          <w:sz w:val="18"/>
                          <w:szCs w:val="18"/>
                          <w:lang w:val="pt-BR" w:bidi="es-ES"/>
                        </w:rPr>
                        <w:t xml:space="preserve">/21. </w:t>
                      </w:r>
                      <w:r w:rsidR="002253F2" w:rsidRPr="002253F2">
                        <w:rPr>
                          <w:rFonts w:asciiTheme="majorHAnsi" w:hAnsiTheme="majorHAnsi"/>
                          <w:color w:val="595959" w:themeColor="text1" w:themeTint="A6"/>
                          <w:sz w:val="18"/>
                          <w:szCs w:val="18"/>
                          <w:lang w:val="es-ES" w:bidi="es-ES"/>
                        </w:rPr>
                        <w:t>Petición P-</w:t>
                      </w:r>
                      <w:r w:rsidR="005E4DAA">
                        <w:rPr>
                          <w:rFonts w:asciiTheme="majorHAnsi" w:hAnsiTheme="majorHAnsi"/>
                          <w:color w:val="595959" w:themeColor="text1" w:themeTint="A6"/>
                          <w:sz w:val="18"/>
                          <w:szCs w:val="18"/>
                          <w:lang w:val="es-ES" w:bidi="es-ES"/>
                        </w:rPr>
                        <w:t>688-12</w:t>
                      </w:r>
                      <w:r w:rsidR="002253F2" w:rsidRPr="002253F2">
                        <w:rPr>
                          <w:rFonts w:asciiTheme="majorHAnsi" w:hAnsiTheme="majorHAnsi"/>
                          <w:color w:val="595959" w:themeColor="text1" w:themeTint="A6"/>
                          <w:sz w:val="18"/>
                          <w:szCs w:val="18"/>
                          <w:lang w:val="es-ES" w:bidi="es-ES"/>
                        </w:rPr>
                        <w:t xml:space="preserve">. Admisibilidad. </w:t>
                      </w:r>
                      <w:r w:rsidR="005E4DAA">
                        <w:rPr>
                          <w:rFonts w:asciiTheme="majorHAnsi" w:hAnsiTheme="majorHAnsi"/>
                          <w:color w:val="595959" w:themeColor="text1" w:themeTint="A6"/>
                          <w:sz w:val="18"/>
                          <w:szCs w:val="18"/>
                          <w:lang w:val="es-ES" w:bidi="es-ES"/>
                        </w:rPr>
                        <w:t xml:space="preserve">Carmen Sánchez </w:t>
                      </w:r>
                      <w:proofErr w:type="spellStart"/>
                      <w:r w:rsidR="005E4DAA">
                        <w:rPr>
                          <w:rFonts w:asciiTheme="majorHAnsi" w:hAnsiTheme="majorHAnsi"/>
                          <w:color w:val="595959" w:themeColor="text1" w:themeTint="A6"/>
                          <w:sz w:val="18"/>
                          <w:szCs w:val="18"/>
                          <w:lang w:val="es-ES" w:bidi="es-ES"/>
                        </w:rPr>
                        <w:t>Sánchez</w:t>
                      </w:r>
                      <w:proofErr w:type="spellEnd"/>
                      <w:r w:rsidR="002253F2" w:rsidRPr="002253F2">
                        <w:rPr>
                          <w:rFonts w:asciiTheme="majorHAnsi" w:hAnsiTheme="majorHAnsi"/>
                          <w:color w:val="595959" w:themeColor="text1" w:themeTint="A6"/>
                          <w:sz w:val="18"/>
                          <w:szCs w:val="18"/>
                          <w:lang w:val="es-ES" w:bidi="es-ES"/>
                        </w:rPr>
                        <w:t xml:space="preserve">. </w:t>
                      </w:r>
                      <w:r w:rsidR="002253F2" w:rsidRPr="002253F2">
                        <w:rPr>
                          <w:rFonts w:asciiTheme="majorHAnsi" w:hAnsiTheme="majorHAnsi"/>
                          <w:color w:val="595959" w:themeColor="text1" w:themeTint="A6"/>
                          <w:sz w:val="18"/>
                          <w:szCs w:val="18"/>
                          <w:lang w:val="pt-BR" w:bidi="es-ES"/>
                        </w:rPr>
                        <w:t xml:space="preserve">Argentina. </w:t>
                      </w:r>
                      <w:r w:rsidR="009949F8">
                        <w:rPr>
                          <w:rFonts w:asciiTheme="majorHAnsi" w:hAnsiTheme="majorHAnsi"/>
                          <w:color w:val="595959" w:themeColor="text1" w:themeTint="A6"/>
                          <w:sz w:val="18"/>
                          <w:szCs w:val="18"/>
                          <w:lang w:val="pt-BR" w:bidi="es-ES"/>
                        </w:rPr>
                        <w:t>4</w:t>
                      </w:r>
                      <w:r w:rsidR="002253F2" w:rsidRPr="002253F2">
                        <w:rPr>
                          <w:rFonts w:asciiTheme="majorHAnsi" w:hAnsiTheme="majorHAnsi"/>
                          <w:color w:val="595959" w:themeColor="text1" w:themeTint="A6"/>
                          <w:sz w:val="18"/>
                          <w:szCs w:val="18"/>
                          <w:lang w:val="pt-BR" w:bidi="es-ES"/>
                        </w:rPr>
                        <w:t xml:space="preserve"> de </w:t>
                      </w:r>
                      <w:r w:rsidR="009949F8">
                        <w:rPr>
                          <w:rFonts w:asciiTheme="majorHAnsi" w:hAnsiTheme="majorHAnsi"/>
                          <w:color w:val="595959" w:themeColor="text1" w:themeTint="A6"/>
                          <w:sz w:val="18"/>
                          <w:szCs w:val="18"/>
                          <w:lang w:val="pt-BR" w:bidi="es-ES"/>
                        </w:rPr>
                        <w:t>noviembre</w:t>
                      </w:r>
                      <w:r w:rsidR="002253F2" w:rsidRPr="002253F2">
                        <w:rPr>
                          <w:rFonts w:asciiTheme="majorHAnsi" w:hAnsiTheme="majorHAnsi"/>
                          <w:color w:val="595959" w:themeColor="text1" w:themeTint="A6"/>
                          <w:sz w:val="18"/>
                          <w:szCs w:val="18"/>
                          <w:lang w:val="pt-BR" w:bidi="es-ES"/>
                        </w:rPr>
                        <w:t xml:space="preserve"> de 2021.</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F89E01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6CA6503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7679AB1" w:rsidR="0070697F" w:rsidRDefault="009949F8"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43C9C185">
                <wp:simplePos x="0" y="0"/>
                <wp:positionH relativeFrom="column">
                  <wp:posOffset>1329690</wp:posOffset>
                </wp:positionH>
                <wp:positionV relativeFrom="paragraph">
                  <wp:posOffset>551543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1C466765" w:rsidR="00D72DC6" w:rsidRPr="00D72DC6" w:rsidRDefault="009949F8" w:rsidP="00F02AD1">
                            <w:pPr>
                              <w:rPr>
                                <w:color w:val="FFFFFF" w:themeColor="background1"/>
                                <w14:textFill>
                                  <w14:noFill/>
                                </w14:textFill>
                              </w:rPr>
                            </w:pPr>
                            <w:r>
                              <w:rPr>
                                <w:noProof/>
                                <w:color w:val="FFFFFF" w:themeColor="background1"/>
                              </w:rPr>
                              <w:drawing>
                                <wp:inline distT="0" distB="0" distL="0" distR="0" wp14:anchorId="53F94BBB" wp14:editId="1DDB2E0F">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7pt;margin-top:43.4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" fillcolor="white [3201]" stroked="f" strokeweight=".5pt">
                <v:textbox>
                  <w:txbxContent>
                    <w:p w14:paraId="16E85441" w14:textId="1C466765" w:rsidR="00D72DC6" w:rsidRPr="00D72DC6" w:rsidRDefault="009949F8" w:rsidP="00F02AD1">
                      <w:pPr>
                        <w:rPr>
                          <w:color w:val="FFFFFF" w:themeColor="background1"/>
                          <w14:textFill>
                            <w14:noFill/>
                          </w14:textFill>
                        </w:rPr>
                      </w:pPr>
                      <w:r>
                        <w:rPr>
                          <w:noProof/>
                          <w:color w:val="FFFFFF" w:themeColor="background1"/>
                        </w:rPr>
                        <w:drawing>
                          <wp:inline distT="0" distB="0" distL="0" distR="0" wp14:anchorId="53F94BBB" wp14:editId="1DDB2E0F">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E4DAA"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proofErr w:type="spellStart"/>
            <w:r w:rsidRPr="000D05CB">
              <w:rPr>
                <w:rFonts w:ascii="Cambria" w:hAnsi="Cambria"/>
                <w:b/>
                <w:bCs/>
                <w:color w:val="FFFFFF" w:themeColor="background1"/>
                <w:sz w:val="20"/>
                <w:szCs w:val="20"/>
              </w:rPr>
              <w:t>Parte</w:t>
            </w:r>
            <w:proofErr w:type="spellEnd"/>
            <w:r w:rsidRPr="000D05CB">
              <w:rPr>
                <w:rFonts w:ascii="Cambria" w:hAnsi="Cambria"/>
                <w:b/>
                <w:bCs/>
                <w:color w:val="FFFFFF" w:themeColor="background1"/>
                <w:sz w:val="20"/>
                <w:szCs w:val="20"/>
              </w:rPr>
              <w:t xml:space="preserv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14:paraId="07DAAE2E" w14:textId="60304A6C"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US"/>
              </w:rPr>
              <w:t xml:space="preserve">Myriam </w:t>
            </w:r>
            <w:proofErr w:type="spellStart"/>
            <w:r w:rsidRPr="002253F2">
              <w:rPr>
                <w:rFonts w:ascii="Cambria" w:hAnsi="Cambria"/>
                <w:bCs/>
                <w:sz w:val="20"/>
                <w:szCs w:val="20"/>
                <w:lang w:val="es-US"/>
              </w:rPr>
              <w:t>Carsen</w:t>
            </w:r>
            <w:proofErr w:type="spellEnd"/>
          </w:p>
        </w:tc>
      </w:tr>
      <w:tr w:rsidR="003239B8" w:rsidRPr="001E49E7"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D7623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143D44A8" w14:textId="685BA925" w:rsidR="003239B8" w:rsidRPr="002253F2" w:rsidRDefault="005E4DAA" w:rsidP="008D2290">
            <w:pPr>
              <w:jc w:val="both"/>
              <w:rPr>
                <w:rFonts w:ascii="Cambria" w:hAnsi="Cambria"/>
                <w:bCs/>
                <w:sz w:val="20"/>
                <w:szCs w:val="20"/>
                <w:lang w:val="en-ZA"/>
              </w:rPr>
            </w:pPr>
            <w:r w:rsidRPr="005E4DAA">
              <w:rPr>
                <w:rFonts w:ascii="Cambria" w:hAnsi="Cambria"/>
                <w:bCs/>
                <w:sz w:val="20"/>
                <w:szCs w:val="20"/>
                <w:lang w:val="pt-BR"/>
              </w:rPr>
              <w:t>Carmen Sánchez Sánchez</w:t>
            </w:r>
          </w:p>
        </w:tc>
      </w:tr>
      <w:tr w:rsidR="003239B8"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5D0EC05D" w14:textId="4D787848" w:rsidR="003239B8" w:rsidRPr="000D05CB" w:rsidRDefault="002253F2" w:rsidP="008D2290">
            <w:pPr>
              <w:jc w:val="both"/>
              <w:rPr>
                <w:rFonts w:ascii="Cambria" w:hAnsi="Cambria"/>
                <w:bCs/>
                <w:sz w:val="20"/>
                <w:szCs w:val="20"/>
              </w:rPr>
            </w:pPr>
            <w:r w:rsidRPr="002253F2">
              <w:rPr>
                <w:rFonts w:ascii="Cambria" w:hAnsi="Cambria"/>
                <w:bCs/>
                <w:sz w:val="20"/>
                <w:szCs w:val="20"/>
                <w:lang w:bidi="es-ES"/>
              </w:rPr>
              <w:t>Argentina</w:t>
            </w:r>
          </w:p>
        </w:tc>
      </w:tr>
      <w:tr w:rsidR="00223A29" w:rsidRPr="00791E07"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14:paraId="52B28392" w14:textId="1BDEB3A2" w:rsidR="00223A29"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 xml:space="preserve">Artículos 8 (garantías judiciales), 24 (igualdad ante la ley) y 25 (protección judicial) de la Convención Americana </w:t>
            </w:r>
            <w:r w:rsidR="00F87712">
              <w:rPr>
                <w:rFonts w:ascii="Cambria" w:hAnsi="Cambria"/>
                <w:bCs/>
                <w:sz w:val="20"/>
                <w:szCs w:val="20"/>
                <w:lang w:val="es-ES" w:bidi="es-ES"/>
              </w:rPr>
              <w:t>sobr</w:t>
            </w:r>
            <w:r w:rsidRPr="002253F2">
              <w:rPr>
                <w:rFonts w:ascii="Cambria" w:hAnsi="Cambria"/>
                <w:bCs/>
                <w:sz w:val="20"/>
                <w:szCs w:val="20"/>
                <w:lang w:val="es-ES" w:bidi="es-ES"/>
              </w:rPr>
              <w:t>e Derechos Humanos</w:t>
            </w:r>
            <w:r w:rsidRPr="002253F2">
              <w:rPr>
                <w:rFonts w:ascii="Cambria" w:hAnsi="Cambria"/>
                <w:bCs/>
                <w:sz w:val="20"/>
                <w:szCs w:val="20"/>
                <w:vertAlign w:val="superscript"/>
                <w:lang w:val="es-ES" w:bidi="es-ES"/>
              </w:rPr>
              <w:footnoteReference w:id="2"/>
            </w:r>
            <w:r w:rsidRPr="002253F2">
              <w:rPr>
                <w:rFonts w:ascii="Cambria" w:hAnsi="Cambria"/>
                <w:bCs/>
                <w:sz w:val="20"/>
                <w:szCs w:val="20"/>
                <w:lang w:val="es-ES" w:bidi="es-ES"/>
              </w:rPr>
              <w:t>, en relación con su artículo 1.1 (obligación de respetar los derechos)</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883A5F8" w14:textId="561E8C2F" w:rsidR="004C2312" w:rsidRPr="003239B8" w:rsidRDefault="005E4DAA" w:rsidP="002625EA">
            <w:pPr>
              <w:jc w:val="both"/>
              <w:rPr>
                <w:rFonts w:ascii="Cambria" w:hAnsi="Cambria"/>
                <w:bCs/>
                <w:sz w:val="20"/>
                <w:szCs w:val="20"/>
                <w:lang w:val="es-ES"/>
              </w:rPr>
            </w:pPr>
            <w:r w:rsidRPr="005E4DAA">
              <w:rPr>
                <w:rFonts w:ascii="Cambria" w:hAnsi="Cambria"/>
                <w:bCs/>
                <w:sz w:val="20"/>
                <w:szCs w:val="20"/>
                <w:lang w:val="es-ES" w:bidi="es-ES"/>
              </w:rPr>
              <w:t>19 de abril de 2012</w:t>
            </w:r>
          </w:p>
        </w:tc>
      </w:tr>
      <w:tr w:rsidR="005E4DAA" w:rsidRPr="005E4DAA" w14:paraId="5C5473C8" w14:textId="77777777" w:rsidTr="004A6A54">
        <w:tc>
          <w:tcPr>
            <w:tcW w:w="3600" w:type="dxa"/>
            <w:tcBorders>
              <w:top w:val="single" w:sz="6" w:space="0" w:color="auto"/>
              <w:bottom w:val="single" w:sz="6" w:space="0" w:color="auto"/>
            </w:tcBorders>
            <w:shd w:val="clear" w:color="auto" w:fill="386294"/>
            <w:vAlign w:val="center"/>
          </w:tcPr>
          <w:p w14:paraId="4B0B1F22" w14:textId="2EEAB538" w:rsidR="005E4DAA" w:rsidRDefault="005E4DAA"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04B62FCD" w14:textId="3AAA70DA" w:rsidR="005E4DAA" w:rsidRPr="005E4DAA" w:rsidRDefault="005E4DAA" w:rsidP="002625EA">
            <w:pPr>
              <w:jc w:val="both"/>
              <w:rPr>
                <w:rFonts w:ascii="Cambria" w:hAnsi="Cambria"/>
                <w:bCs/>
                <w:sz w:val="20"/>
                <w:szCs w:val="20"/>
                <w:lang w:val="es-ES" w:bidi="es-ES"/>
              </w:rPr>
            </w:pPr>
            <w:r w:rsidRPr="005E4DAA">
              <w:rPr>
                <w:rFonts w:ascii="Cambria" w:hAnsi="Cambria"/>
                <w:bCs/>
                <w:sz w:val="20"/>
                <w:szCs w:val="20"/>
                <w:lang w:val="es-ES" w:bidi="es-ES"/>
              </w:rPr>
              <w:t>22 de mayo de 2017</w:t>
            </w:r>
          </w:p>
        </w:tc>
      </w:tr>
      <w:tr w:rsidR="004C2312" w:rsidRPr="002253F2"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58485921" w14:textId="5004B05C" w:rsidR="004C2312" w:rsidRPr="003239B8" w:rsidRDefault="005E4DAA" w:rsidP="008D2290">
            <w:pPr>
              <w:jc w:val="both"/>
              <w:rPr>
                <w:rFonts w:ascii="Cambria" w:hAnsi="Cambria"/>
                <w:bCs/>
                <w:sz w:val="20"/>
                <w:szCs w:val="20"/>
                <w:lang w:val="es-ES"/>
              </w:rPr>
            </w:pPr>
            <w:r w:rsidRPr="005E4DAA">
              <w:rPr>
                <w:rFonts w:ascii="Cambria" w:hAnsi="Cambria"/>
                <w:bCs/>
                <w:sz w:val="20"/>
                <w:szCs w:val="20"/>
                <w:lang w:val="es-ES" w:bidi="es-ES"/>
              </w:rPr>
              <w:t>14 de julio de 2017</w:t>
            </w:r>
          </w:p>
        </w:tc>
      </w:tr>
      <w:tr w:rsidR="005E4DAA" w:rsidRPr="002253F2" w14:paraId="13321228" w14:textId="77777777" w:rsidTr="004A6A54">
        <w:tc>
          <w:tcPr>
            <w:tcW w:w="3600" w:type="dxa"/>
            <w:tcBorders>
              <w:top w:val="single" w:sz="6" w:space="0" w:color="auto"/>
              <w:bottom w:val="single" w:sz="6" w:space="0" w:color="auto"/>
            </w:tcBorders>
            <w:shd w:val="clear" w:color="auto" w:fill="386294"/>
            <w:vAlign w:val="center"/>
          </w:tcPr>
          <w:p w14:paraId="29F1CFAB" w14:textId="507EE182" w:rsidR="005E4DAA" w:rsidRDefault="005E4DAA" w:rsidP="004A6A54">
            <w:pPr>
              <w:jc w:val="center"/>
              <w:rPr>
                <w:rFonts w:ascii="Cambria" w:hAnsi="Cambria"/>
                <w:b/>
                <w:color w:val="FFFFFF" w:themeColor="background1"/>
                <w:sz w:val="20"/>
                <w:szCs w:val="20"/>
                <w:lang w:val="es-ES"/>
              </w:rPr>
            </w:pPr>
            <w:r w:rsidRPr="005E4DAA">
              <w:rPr>
                <w:rFonts w:ascii="Cambria" w:hAnsi="Cambria"/>
                <w:b/>
                <w:color w:val="FFFFFF" w:themeColor="background1"/>
                <w:sz w:val="20"/>
                <w:szCs w:val="20"/>
                <w:lang w:val="es-ES" w:bidi="es-ES"/>
              </w:rPr>
              <w:t>Solicitación de prórroga</w:t>
            </w:r>
            <w:r>
              <w:rPr>
                <w:rFonts w:ascii="Cambria" w:hAnsi="Cambria"/>
                <w:b/>
                <w:color w:val="FFFFFF" w:themeColor="background1"/>
                <w:sz w:val="20"/>
                <w:szCs w:val="20"/>
                <w:lang w:val="es-ES" w:bidi="es-ES"/>
              </w:rPr>
              <w:t>:</w:t>
            </w:r>
          </w:p>
        </w:tc>
        <w:tc>
          <w:tcPr>
            <w:tcW w:w="5760" w:type="dxa"/>
            <w:vAlign w:val="center"/>
          </w:tcPr>
          <w:p w14:paraId="3CB8A8D7" w14:textId="2A201AA0" w:rsidR="005E4DAA" w:rsidRPr="005E4DAA" w:rsidRDefault="005E4DAA" w:rsidP="008D2290">
            <w:pPr>
              <w:jc w:val="both"/>
              <w:rPr>
                <w:rFonts w:ascii="Cambria" w:hAnsi="Cambria"/>
                <w:bCs/>
                <w:sz w:val="20"/>
                <w:szCs w:val="20"/>
                <w:lang w:val="es-ES" w:bidi="es-ES"/>
              </w:rPr>
            </w:pPr>
            <w:r w:rsidRPr="005E4DAA">
              <w:rPr>
                <w:rFonts w:ascii="Cambria" w:hAnsi="Cambria"/>
                <w:bCs/>
                <w:sz w:val="20"/>
                <w:szCs w:val="20"/>
                <w:lang w:val="es-ES" w:bidi="es-ES"/>
              </w:rPr>
              <w:t>24 de octubre de 2017</w:t>
            </w:r>
          </w:p>
        </w:tc>
      </w:tr>
      <w:tr w:rsidR="005E4DAA" w:rsidRPr="005E4DAA" w14:paraId="1C2EFC13" w14:textId="77777777" w:rsidTr="004A6A54">
        <w:tc>
          <w:tcPr>
            <w:tcW w:w="3600" w:type="dxa"/>
            <w:tcBorders>
              <w:top w:val="single" w:sz="6" w:space="0" w:color="auto"/>
              <w:bottom w:val="single" w:sz="6" w:space="0" w:color="auto"/>
            </w:tcBorders>
            <w:shd w:val="clear" w:color="auto" w:fill="386294"/>
            <w:vAlign w:val="center"/>
          </w:tcPr>
          <w:p w14:paraId="3DE2383E" w14:textId="7C99DED8" w:rsidR="005E4DAA" w:rsidRPr="005E4DAA" w:rsidRDefault="005E4DAA" w:rsidP="004A6A54">
            <w:pPr>
              <w:jc w:val="center"/>
              <w:rPr>
                <w:rFonts w:ascii="Cambria" w:hAnsi="Cambria"/>
                <w:b/>
                <w:color w:val="FFFFFF" w:themeColor="background1"/>
                <w:sz w:val="20"/>
                <w:szCs w:val="20"/>
                <w:lang w:val="es-ES"/>
              </w:rPr>
            </w:pPr>
            <w:r w:rsidRPr="005E4DAA">
              <w:rPr>
                <w:rFonts w:ascii="Cambria" w:hAnsi="Cambria"/>
                <w:b/>
                <w:color w:val="FFFFFF" w:themeColor="background1"/>
                <w:sz w:val="20"/>
                <w:szCs w:val="20"/>
                <w:lang w:val="es-ES" w:bidi="es-ES"/>
              </w:rPr>
              <w:t>Concesión de la prórroga</w:t>
            </w:r>
            <w:r>
              <w:rPr>
                <w:rFonts w:ascii="Cambria" w:hAnsi="Cambria"/>
                <w:b/>
                <w:color w:val="FFFFFF" w:themeColor="background1"/>
                <w:sz w:val="20"/>
                <w:szCs w:val="20"/>
                <w:lang w:val="es-ES" w:bidi="es-ES"/>
              </w:rPr>
              <w:t>:</w:t>
            </w:r>
          </w:p>
        </w:tc>
        <w:tc>
          <w:tcPr>
            <w:tcW w:w="5760" w:type="dxa"/>
            <w:vAlign w:val="center"/>
          </w:tcPr>
          <w:p w14:paraId="2A9473E6" w14:textId="3EBFE084" w:rsidR="005E4DAA" w:rsidRPr="005E4DAA" w:rsidRDefault="005E4DAA" w:rsidP="008D2290">
            <w:pPr>
              <w:jc w:val="both"/>
              <w:rPr>
                <w:rFonts w:ascii="Cambria" w:hAnsi="Cambria"/>
                <w:bCs/>
                <w:sz w:val="20"/>
                <w:szCs w:val="20"/>
                <w:lang w:val="es-ES" w:bidi="es-ES"/>
              </w:rPr>
            </w:pPr>
            <w:r w:rsidRPr="005E4DAA">
              <w:rPr>
                <w:rFonts w:ascii="Cambria" w:hAnsi="Cambria"/>
                <w:bCs/>
                <w:sz w:val="20"/>
                <w:szCs w:val="20"/>
                <w:lang w:val="es-ES" w:bidi="es-ES"/>
              </w:rPr>
              <w:t>30 de octubre de 2017</w:t>
            </w:r>
          </w:p>
        </w:tc>
      </w:tr>
      <w:tr w:rsidR="004C2312" w:rsidRPr="004A6A54"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6B47064C" w14:textId="3F0355C5" w:rsidR="004C2312" w:rsidRPr="003239B8" w:rsidRDefault="005E4DAA" w:rsidP="008D2290">
            <w:pPr>
              <w:jc w:val="both"/>
              <w:rPr>
                <w:rFonts w:ascii="Cambria" w:hAnsi="Cambria"/>
                <w:bCs/>
                <w:sz w:val="20"/>
                <w:szCs w:val="20"/>
                <w:lang w:val="es-ES"/>
              </w:rPr>
            </w:pPr>
            <w:r w:rsidRPr="005E4DAA">
              <w:rPr>
                <w:rFonts w:ascii="Cambria" w:hAnsi="Cambria"/>
                <w:bCs/>
                <w:sz w:val="20"/>
                <w:szCs w:val="20"/>
                <w:lang w:val="es-ES" w:bidi="es-ES"/>
              </w:rPr>
              <w:t>27 de noviembre de 2018</w:t>
            </w:r>
          </w:p>
        </w:tc>
      </w:tr>
      <w:tr w:rsidR="004C2312" w:rsidRPr="005E4DAA" w14:paraId="1253D75C" w14:textId="77777777" w:rsidTr="004A6A54">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66A99206" w14:textId="37B83F00" w:rsidR="004C2312" w:rsidRPr="005E4DAA" w:rsidRDefault="005E4DAA" w:rsidP="008D2290">
            <w:pPr>
              <w:jc w:val="both"/>
              <w:rPr>
                <w:rFonts w:ascii="Cambria" w:hAnsi="Cambria"/>
                <w:bCs/>
                <w:sz w:val="20"/>
                <w:szCs w:val="20"/>
                <w:lang w:val="es-ES"/>
              </w:rPr>
            </w:pPr>
            <w:r w:rsidRPr="005E4DAA">
              <w:rPr>
                <w:rFonts w:ascii="Cambria" w:hAnsi="Cambria"/>
                <w:bCs/>
                <w:sz w:val="20"/>
                <w:szCs w:val="20"/>
                <w:lang w:val="es-ES" w:bidi="es-ES"/>
              </w:rPr>
              <w:t>15 de abril de 2019</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14:paraId="1E494D5D" w14:textId="0A722FC4"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14:paraId="77C8256A" w14:textId="3F8F8053"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14:paraId="523F6BD6" w14:textId="2FA2DEF9" w:rsidR="003239B8" w:rsidRPr="00B3745F" w:rsidRDefault="002253F2" w:rsidP="008D2290">
            <w:pPr>
              <w:rPr>
                <w:rFonts w:ascii="Cambria" w:hAnsi="Cambria"/>
                <w:bCs/>
                <w:sz w:val="20"/>
                <w:szCs w:val="20"/>
              </w:rPr>
            </w:pPr>
            <w:proofErr w:type="spellStart"/>
            <w:r w:rsidRPr="002253F2">
              <w:rPr>
                <w:rFonts w:ascii="Cambria" w:hAnsi="Cambria"/>
                <w:bCs/>
                <w:sz w:val="20"/>
                <w:szCs w:val="20"/>
                <w:lang w:bidi="es-ES"/>
              </w:rPr>
              <w:t>Sí</w:t>
            </w:r>
            <w:proofErr w:type="spellEnd"/>
          </w:p>
        </w:tc>
      </w:tr>
      <w:tr w:rsidR="003239B8" w:rsidRPr="00791E07"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14:paraId="257C8337" w14:textId="2E83BF03" w:rsidR="003239B8" w:rsidRPr="00B3745F" w:rsidRDefault="002253F2" w:rsidP="002253F2">
            <w:pPr>
              <w:jc w:val="both"/>
              <w:rPr>
                <w:rFonts w:ascii="Cambria" w:hAnsi="Cambria"/>
                <w:bCs/>
                <w:sz w:val="20"/>
                <w:szCs w:val="20"/>
                <w:lang w:val="es-ES"/>
              </w:rPr>
            </w:pPr>
            <w:r w:rsidRPr="002253F2">
              <w:rPr>
                <w:rFonts w:ascii="Cambria" w:hAnsi="Cambria"/>
                <w:bCs/>
                <w:sz w:val="20"/>
                <w:szCs w:val="20"/>
                <w:lang w:val="es-ES" w:bidi="es-ES"/>
              </w:rPr>
              <w:t>Sí,</w:t>
            </w:r>
            <w:r>
              <w:rPr>
                <w:rFonts w:ascii="Cambria" w:hAnsi="Cambria"/>
                <w:bCs/>
                <w:sz w:val="20"/>
                <w:szCs w:val="20"/>
                <w:lang w:val="es-ES" w:bidi="es-ES"/>
              </w:rPr>
              <w:t xml:space="preserve"> </w:t>
            </w:r>
            <w:r w:rsidRPr="002253F2">
              <w:rPr>
                <w:rFonts w:ascii="Cambria" w:hAnsi="Cambria"/>
                <w:bCs/>
                <w:sz w:val="20"/>
                <w:szCs w:val="20"/>
                <w:lang w:val="es-ES" w:bidi="es-ES"/>
              </w:rPr>
              <w:t>Convención Americana (depósito del instrumento de ratificación realizado</w:t>
            </w:r>
            <w:r>
              <w:rPr>
                <w:rFonts w:ascii="Cambria" w:hAnsi="Cambria"/>
                <w:bCs/>
                <w:sz w:val="20"/>
                <w:szCs w:val="20"/>
                <w:lang w:val="es-ES" w:bidi="es-ES"/>
              </w:rPr>
              <w:t xml:space="preserve"> </w:t>
            </w:r>
            <w:r w:rsidRPr="002253F2">
              <w:rPr>
                <w:rFonts w:ascii="Cambria" w:hAnsi="Cambria"/>
                <w:bCs/>
                <w:sz w:val="20"/>
                <w:szCs w:val="20"/>
                <w:lang w:val="es-ES" w:bidi="es-ES"/>
              </w:rPr>
              <w:t>el 5 de setiembre de 1984)</w:t>
            </w:r>
          </w:p>
        </w:tc>
      </w:tr>
    </w:tbl>
    <w:p w14:paraId="299A3868" w14:textId="3D4E306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00DB653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2253F2"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58A06F62" w:rsidR="00EE00E9" w:rsidRPr="00DC24E3" w:rsidRDefault="002253F2" w:rsidP="008D2290">
            <w:pPr>
              <w:jc w:val="both"/>
              <w:rPr>
                <w:rFonts w:ascii="Cambria" w:hAnsi="Cambria"/>
                <w:bCs/>
                <w:sz w:val="20"/>
                <w:szCs w:val="20"/>
                <w:lang w:val="es-ES"/>
              </w:rPr>
            </w:pPr>
            <w:r w:rsidRPr="002253F2">
              <w:rPr>
                <w:rFonts w:ascii="Cambria" w:hAnsi="Cambria"/>
                <w:bCs/>
                <w:sz w:val="20"/>
                <w:szCs w:val="20"/>
                <w:lang w:val="es-ES" w:bidi="es-ES"/>
              </w:rPr>
              <w:t>No</w:t>
            </w:r>
          </w:p>
        </w:tc>
      </w:tr>
      <w:tr w:rsidR="003239B8" w:rsidRPr="00791E07"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14:paraId="4DAE9D4D" w14:textId="39D48C9F" w:rsidR="003239B8" w:rsidRPr="002253F2" w:rsidRDefault="002253F2" w:rsidP="008D2290">
            <w:pPr>
              <w:jc w:val="both"/>
              <w:rPr>
                <w:rFonts w:ascii="Cambria" w:hAnsi="Cambria"/>
                <w:bCs/>
                <w:sz w:val="20"/>
                <w:szCs w:val="20"/>
                <w:lang w:val="es-ES"/>
              </w:rPr>
            </w:pPr>
            <w:r w:rsidRPr="002253F2">
              <w:rPr>
                <w:rFonts w:ascii="Cambria" w:hAnsi="Cambria"/>
                <w:bCs/>
                <w:sz w:val="20"/>
                <w:szCs w:val="20"/>
                <w:lang w:val="es-ES" w:bidi="es-ES"/>
              </w:rPr>
              <w:t>Artículos 8 (garantías judiciales), 24 (igualdad ante la ley), 25 (protección judicial) de la Convención Americana de Derechos Humanos, en conexión con sus artículos 1.1 (obligación de respetar los derechos) y 2 (deber de adoptar disposiciones de derecho interno)</w:t>
            </w:r>
          </w:p>
        </w:tc>
      </w:tr>
      <w:tr w:rsidR="003239B8" w:rsidRPr="00791E07"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0478476C"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r w:rsidR="003239B8" w:rsidRPr="00791E07"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dentro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2AF0FC69" w14:textId="5E71786F" w:rsidR="003239B8" w:rsidRPr="002253F2" w:rsidRDefault="002253F2" w:rsidP="008D2290">
            <w:pPr>
              <w:rPr>
                <w:rFonts w:ascii="Cambria" w:hAnsi="Cambria"/>
                <w:bCs/>
                <w:sz w:val="20"/>
                <w:szCs w:val="20"/>
                <w:lang w:val="es-ES"/>
              </w:rPr>
            </w:pPr>
            <w:r w:rsidRPr="002253F2">
              <w:rPr>
                <w:rFonts w:ascii="Cambria" w:hAnsi="Cambria"/>
                <w:bCs/>
                <w:sz w:val="20"/>
                <w:szCs w:val="20"/>
                <w:lang w:val="es-ES" w:bidi="es-ES"/>
              </w:rPr>
              <w:t>Sí, en los términos de la sección VI</w:t>
            </w:r>
          </w:p>
        </w:tc>
      </w:tr>
    </w:tbl>
    <w:p w14:paraId="26E3C0E4" w14:textId="66E5D3CD" w:rsidR="00722C9F" w:rsidRDefault="00722C9F" w:rsidP="00BD0FF5">
      <w:pPr>
        <w:jc w:val="both"/>
        <w:rPr>
          <w:rFonts w:ascii="Cambria" w:hAnsi="Cambria" w:cs="Calibri"/>
          <w:sz w:val="20"/>
          <w:szCs w:val="20"/>
          <w:lang w:val="es-ES_tradnl"/>
        </w:rPr>
      </w:pPr>
    </w:p>
    <w:p w14:paraId="277DEF15" w14:textId="77777777" w:rsidR="005D330F" w:rsidRPr="00A43B77" w:rsidRDefault="005D330F" w:rsidP="005D330F">
      <w:pPr>
        <w:pStyle w:val="ListParagraph"/>
        <w:ind w:left="0" w:firstLine="720"/>
        <w:rPr>
          <w:rFonts w:asciiTheme="majorHAnsi" w:hAnsiTheme="majorHAnsi"/>
          <w:b/>
          <w:sz w:val="20"/>
          <w:szCs w:val="20"/>
          <w:lang w:val="es-ES_tradnl"/>
        </w:rPr>
      </w:pPr>
      <w:r w:rsidRPr="00A43B77">
        <w:rPr>
          <w:rFonts w:asciiTheme="majorHAnsi" w:hAnsiTheme="majorHAnsi"/>
          <w:b/>
          <w:sz w:val="20"/>
          <w:szCs w:val="20"/>
          <w:lang w:val="es-ES_tradnl"/>
        </w:rPr>
        <w:t xml:space="preserve">V. </w:t>
      </w:r>
      <w:r w:rsidRPr="00A43B77">
        <w:rPr>
          <w:rFonts w:asciiTheme="majorHAnsi" w:hAnsiTheme="majorHAnsi"/>
          <w:b/>
          <w:sz w:val="20"/>
          <w:szCs w:val="20"/>
          <w:lang w:val="es-ES_tradnl"/>
        </w:rPr>
        <w:tab/>
        <w:t>RESUMEN DE LOS HECHOS ALEGADOS</w:t>
      </w:r>
    </w:p>
    <w:p w14:paraId="2549B0AD" w14:textId="6554FD25" w:rsidR="005D330F" w:rsidRPr="00A43B77" w:rsidRDefault="00EE0636"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La peticionaria denuncia la falta de reparación a la </w:t>
      </w:r>
      <w:r w:rsidR="00024967" w:rsidRPr="00A43B77">
        <w:rPr>
          <w:rFonts w:asciiTheme="majorHAnsi" w:hAnsiTheme="majorHAnsi"/>
          <w:sz w:val="20"/>
          <w:szCs w:val="20"/>
          <w:lang w:val="es-ES_tradnl"/>
        </w:rPr>
        <w:t xml:space="preserve">Carmen Sánchez </w:t>
      </w:r>
      <w:proofErr w:type="spellStart"/>
      <w:r w:rsidR="00024967" w:rsidRPr="00A43B77">
        <w:rPr>
          <w:rFonts w:asciiTheme="majorHAnsi" w:hAnsiTheme="majorHAnsi"/>
          <w:sz w:val="20"/>
          <w:szCs w:val="20"/>
          <w:lang w:val="es-ES_tradnl"/>
        </w:rPr>
        <w:t>Sánchez</w:t>
      </w:r>
      <w:proofErr w:type="spellEnd"/>
      <w:r w:rsidR="00024967" w:rsidRPr="00A43B77">
        <w:rPr>
          <w:rFonts w:asciiTheme="majorHAnsi" w:hAnsiTheme="majorHAnsi"/>
          <w:sz w:val="20"/>
          <w:szCs w:val="20"/>
          <w:lang w:val="es-ES_tradnl"/>
        </w:rPr>
        <w:t xml:space="preserve"> </w:t>
      </w:r>
      <w:r w:rsidRPr="00A43B77">
        <w:rPr>
          <w:rFonts w:asciiTheme="majorHAnsi" w:hAnsiTheme="majorHAnsi"/>
          <w:sz w:val="20"/>
          <w:szCs w:val="20"/>
          <w:lang w:val="es-ES_tradnl"/>
        </w:rPr>
        <w:t>por los daños causados a ella y su familia por la persecución que afirma haber sufrido durante los años 1970</w:t>
      </w:r>
      <w:r w:rsidR="00B2241D" w:rsidRPr="00A43B77">
        <w:rPr>
          <w:rFonts w:asciiTheme="majorHAnsi" w:hAnsiTheme="majorHAnsi"/>
          <w:sz w:val="20"/>
          <w:szCs w:val="20"/>
          <w:lang w:val="es-ES_tradnl"/>
        </w:rPr>
        <w:t>,</w:t>
      </w:r>
      <w:r w:rsidRPr="00A43B77">
        <w:rPr>
          <w:rFonts w:asciiTheme="majorHAnsi" w:hAnsiTheme="majorHAnsi"/>
          <w:sz w:val="20"/>
          <w:szCs w:val="20"/>
          <w:lang w:val="es-ES_tradnl"/>
        </w:rPr>
        <w:t xml:space="preserve"> y el consecuente exilio forzoso</w:t>
      </w:r>
      <w:r w:rsidR="00B2241D" w:rsidRPr="00A43B77">
        <w:rPr>
          <w:rFonts w:asciiTheme="majorHAnsi" w:hAnsiTheme="majorHAnsi"/>
          <w:sz w:val="20"/>
          <w:szCs w:val="20"/>
          <w:lang w:val="es-ES_tradnl"/>
        </w:rPr>
        <w:t>;</w:t>
      </w:r>
      <w:r w:rsidRPr="00A43B77">
        <w:rPr>
          <w:rFonts w:asciiTheme="majorHAnsi" w:hAnsiTheme="majorHAnsi"/>
          <w:sz w:val="20"/>
          <w:szCs w:val="20"/>
          <w:lang w:val="es-ES_tradnl"/>
        </w:rPr>
        <w:t xml:space="preserve"> así como la denegación de justicia por violación de las garantías judiciales, la protección judicial y la igualdad y no discriminación en el marco de los procedimientos civiles basados en la Ley No. 24.043.</w:t>
      </w:r>
    </w:p>
    <w:p w14:paraId="170BB198" w14:textId="33B24FCF" w:rsidR="005D330F" w:rsidRPr="00A43B77"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lastRenderedPageBreak/>
        <w:t xml:space="preserve">La parte peticionaria </w:t>
      </w:r>
      <w:r w:rsidR="00024967" w:rsidRPr="00A43B77">
        <w:rPr>
          <w:rFonts w:asciiTheme="majorHAnsi" w:hAnsiTheme="majorHAnsi"/>
          <w:sz w:val="20"/>
          <w:szCs w:val="20"/>
          <w:lang w:val="es-ES_tradnl" w:bidi="es-ES"/>
        </w:rPr>
        <w:t xml:space="preserve">expone, que: i) la Sra. Carmen Sánchez </w:t>
      </w:r>
      <w:proofErr w:type="spellStart"/>
      <w:r w:rsidR="00024967" w:rsidRPr="00A43B77">
        <w:rPr>
          <w:rFonts w:asciiTheme="majorHAnsi" w:hAnsiTheme="majorHAnsi"/>
          <w:sz w:val="20"/>
          <w:szCs w:val="20"/>
          <w:lang w:val="es-ES_tradnl" w:bidi="es-ES"/>
        </w:rPr>
        <w:t>Sánchez</w:t>
      </w:r>
      <w:proofErr w:type="spellEnd"/>
      <w:r w:rsidR="00024967" w:rsidRPr="00A43B77">
        <w:rPr>
          <w:rFonts w:asciiTheme="majorHAnsi" w:hAnsiTheme="majorHAnsi"/>
          <w:sz w:val="20"/>
          <w:szCs w:val="20"/>
          <w:lang w:val="es-ES_tradnl" w:bidi="es-ES"/>
        </w:rPr>
        <w:t xml:space="preserve">, nacional de España, vivía en Francia hasta 1968 cuando decidió migrar </w:t>
      </w:r>
      <w:r w:rsidR="002613D7" w:rsidRPr="00A43B77">
        <w:rPr>
          <w:rFonts w:asciiTheme="majorHAnsi" w:hAnsiTheme="majorHAnsi"/>
          <w:sz w:val="20"/>
          <w:szCs w:val="20"/>
          <w:lang w:val="es-ES_tradnl" w:bidi="es-ES"/>
        </w:rPr>
        <w:t>a</w:t>
      </w:r>
      <w:r w:rsidR="00024967" w:rsidRPr="00A43B77">
        <w:rPr>
          <w:rFonts w:asciiTheme="majorHAnsi" w:hAnsiTheme="majorHAnsi"/>
          <w:sz w:val="20"/>
          <w:szCs w:val="20"/>
          <w:lang w:val="es-ES_tradnl" w:bidi="es-ES"/>
        </w:rPr>
        <w:t xml:space="preserve"> Buenos Aires</w:t>
      </w:r>
      <w:r w:rsidR="002613D7" w:rsidRPr="00A43B77">
        <w:rPr>
          <w:rFonts w:asciiTheme="majorHAnsi" w:hAnsiTheme="majorHAnsi"/>
          <w:sz w:val="20"/>
          <w:szCs w:val="20"/>
          <w:lang w:val="es-ES_tradnl" w:bidi="es-ES"/>
        </w:rPr>
        <w:t xml:space="preserve"> </w:t>
      </w:r>
      <w:r w:rsidR="00024967" w:rsidRPr="00A43B77">
        <w:rPr>
          <w:rFonts w:asciiTheme="majorHAnsi" w:hAnsiTheme="majorHAnsi"/>
          <w:sz w:val="20"/>
          <w:szCs w:val="20"/>
          <w:lang w:val="es-ES_tradnl" w:bidi="es-ES"/>
        </w:rPr>
        <w:t>con su esposo</w:t>
      </w:r>
      <w:r w:rsidR="002613D7" w:rsidRPr="00A43B77">
        <w:rPr>
          <w:rFonts w:asciiTheme="majorHAnsi" w:hAnsiTheme="majorHAnsi"/>
          <w:sz w:val="20"/>
          <w:szCs w:val="20"/>
          <w:lang w:val="es-ES_tradnl" w:bidi="es-ES"/>
        </w:rPr>
        <w:t>,</w:t>
      </w:r>
      <w:r w:rsidR="00024967" w:rsidRPr="00A43B77">
        <w:rPr>
          <w:rFonts w:asciiTheme="majorHAnsi" w:hAnsiTheme="majorHAnsi"/>
          <w:sz w:val="20"/>
          <w:szCs w:val="20"/>
          <w:lang w:val="es-ES_tradnl" w:bidi="es-ES"/>
        </w:rPr>
        <w:t xml:space="preserve"> argentino</w:t>
      </w:r>
      <w:r w:rsidR="002613D7" w:rsidRPr="00A43B77">
        <w:rPr>
          <w:rFonts w:asciiTheme="majorHAnsi" w:hAnsiTheme="majorHAnsi"/>
          <w:sz w:val="20"/>
          <w:szCs w:val="20"/>
          <w:lang w:val="es-ES_tradnl" w:bidi="es-ES"/>
        </w:rPr>
        <w:t>,</w:t>
      </w:r>
      <w:r w:rsidR="00024967" w:rsidRPr="00A43B77">
        <w:rPr>
          <w:rFonts w:asciiTheme="majorHAnsi" w:hAnsiTheme="majorHAnsi"/>
          <w:sz w:val="20"/>
          <w:szCs w:val="20"/>
          <w:lang w:val="es-ES_tradnl" w:bidi="es-ES"/>
        </w:rPr>
        <w:t xml:space="preserve"> Emilio Rivas; </w:t>
      </w:r>
      <w:proofErr w:type="spellStart"/>
      <w:r w:rsidR="00024967" w:rsidRPr="00A43B77">
        <w:rPr>
          <w:rFonts w:asciiTheme="majorHAnsi" w:hAnsiTheme="majorHAnsi"/>
          <w:sz w:val="20"/>
          <w:szCs w:val="20"/>
          <w:lang w:val="es-ES_tradnl" w:bidi="es-ES"/>
        </w:rPr>
        <w:t>ii</w:t>
      </w:r>
      <w:proofErr w:type="spellEnd"/>
      <w:r w:rsidR="00024967" w:rsidRPr="00A43B77">
        <w:rPr>
          <w:rFonts w:asciiTheme="majorHAnsi" w:hAnsiTheme="majorHAnsi"/>
          <w:sz w:val="20"/>
          <w:szCs w:val="20"/>
          <w:lang w:val="es-ES_tradnl" w:bidi="es-ES"/>
        </w:rPr>
        <w:t xml:space="preserve">) la Sra. Sánchez </w:t>
      </w:r>
      <w:proofErr w:type="spellStart"/>
      <w:r w:rsidR="00024967" w:rsidRPr="00A43B77">
        <w:rPr>
          <w:rFonts w:asciiTheme="majorHAnsi" w:hAnsiTheme="majorHAnsi"/>
          <w:sz w:val="20"/>
          <w:szCs w:val="20"/>
          <w:lang w:val="es-ES_tradnl" w:bidi="es-ES"/>
        </w:rPr>
        <w:t>Sánchez</w:t>
      </w:r>
      <w:proofErr w:type="spellEnd"/>
      <w:r w:rsidR="00024967" w:rsidRPr="00A43B77">
        <w:rPr>
          <w:rFonts w:asciiTheme="majorHAnsi" w:hAnsiTheme="majorHAnsi"/>
          <w:sz w:val="20"/>
          <w:szCs w:val="20"/>
          <w:lang w:val="es-ES_tradnl" w:bidi="es-ES"/>
        </w:rPr>
        <w:t xml:space="preserve"> y su marido se dedicaban a la carrera docente y de investigación en Argentina cuando, en los años 1973-1974, percibieron que estaban bajo vigilancia en virtud de diferentes indicios – en las palabras de la Sra. Sánchez </w:t>
      </w:r>
      <w:proofErr w:type="spellStart"/>
      <w:r w:rsidR="00024967" w:rsidRPr="00A43B77">
        <w:rPr>
          <w:rFonts w:asciiTheme="majorHAnsi" w:hAnsiTheme="majorHAnsi"/>
          <w:sz w:val="20"/>
          <w:szCs w:val="20"/>
          <w:lang w:val="es-ES_tradnl" w:bidi="es-ES"/>
        </w:rPr>
        <w:t>Sánchez</w:t>
      </w:r>
      <w:proofErr w:type="spellEnd"/>
      <w:r w:rsidR="00024967" w:rsidRPr="00A43B77">
        <w:rPr>
          <w:rFonts w:asciiTheme="majorHAnsi" w:hAnsiTheme="majorHAnsi"/>
          <w:sz w:val="20"/>
          <w:szCs w:val="20"/>
          <w:lang w:val="es-ES_tradnl" w:bidi="es-ES"/>
        </w:rPr>
        <w:t>, “</w:t>
      </w:r>
      <w:r w:rsidR="00024967" w:rsidRPr="00A43B77">
        <w:rPr>
          <w:rFonts w:asciiTheme="majorHAnsi" w:hAnsiTheme="majorHAnsi"/>
          <w:sz w:val="20"/>
          <w:szCs w:val="20"/>
          <w:lang w:val="es-ES_tradnl"/>
        </w:rPr>
        <w:t xml:space="preserve">relatos ‘casuales’ sobre nuestra vida y familia por policías durante ‘visitas’ por la aparición en alguna libreta de direcciones de amigos; pedidos de información en portería”; </w:t>
      </w:r>
      <w:proofErr w:type="spellStart"/>
      <w:r w:rsidR="00024967" w:rsidRPr="00A43B77">
        <w:rPr>
          <w:rFonts w:asciiTheme="majorHAnsi" w:hAnsiTheme="majorHAnsi"/>
          <w:sz w:val="20"/>
          <w:szCs w:val="20"/>
          <w:lang w:val="es-ES_tradnl"/>
        </w:rPr>
        <w:t>iii</w:t>
      </w:r>
      <w:proofErr w:type="spellEnd"/>
      <w:r w:rsidR="00024967" w:rsidRPr="00A43B77">
        <w:rPr>
          <w:rFonts w:asciiTheme="majorHAnsi" w:hAnsiTheme="majorHAnsi"/>
          <w:sz w:val="20"/>
          <w:szCs w:val="20"/>
          <w:lang w:val="es-ES_tradnl"/>
        </w:rPr>
        <w:t xml:space="preserve">) en septiembre de 1974, la presunta víctima y su marido, así como muchos otros de la Universidad de Buenos Aires, fueron cesanteados de sus cargos de profesores; </w:t>
      </w:r>
      <w:proofErr w:type="spellStart"/>
      <w:r w:rsidR="00024967" w:rsidRPr="00A43B77">
        <w:rPr>
          <w:rFonts w:asciiTheme="majorHAnsi" w:hAnsiTheme="majorHAnsi"/>
          <w:sz w:val="20"/>
          <w:szCs w:val="20"/>
          <w:lang w:val="es-ES_tradnl"/>
        </w:rPr>
        <w:t>iv</w:t>
      </w:r>
      <w:proofErr w:type="spellEnd"/>
      <w:r w:rsidR="00024967" w:rsidRPr="00A43B77">
        <w:rPr>
          <w:rFonts w:asciiTheme="majorHAnsi" w:hAnsiTheme="majorHAnsi"/>
          <w:sz w:val="20"/>
          <w:szCs w:val="20"/>
          <w:lang w:val="es-ES_tradnl"/>
        </w:rPr>
        <w:t xml:space="preserve">) en algunas oportunidades, ingresaron a sus lugares de trabajo en la universidad para recuperar efectos personales bajo el control e identificación por policías, hasta que a su esposo no le permitió el ingreso por su nombre constar de una lista especial de “indeseables” que incluía, entre otros, el Sr. Antonio </w:t>
      </w:r>
      <w:proofErr w:type="spellStart"/>
      <w:r w:rsidR="00024967" w:rsidRPr="00A43B77">
        <w:rPr>
          <w:rFonts w:asciiTheme="majorHAnsi" w:hAnsiTheme="majorHAnsi"/>
          <w:sz w:val="20"/>
          <w:szCs w:val="20"/>
          <w:lang w:val="es-ES_tradnl"/>
        </w:rPr>
        <w:t>Misetich</w:t>
      </w:r>
      <w:proofErr w:type="spellEnd"/>
      <w:r w:rsidR="00024967" w:rsidRPr="00A43B77">
        <w:rPr>
          <w:rFonts w:asciiTheme="majorHAnsi" w:hAnsiTheme="majorHAnsi"/>
          <w:sz w:val="20"/>
          <w:szCs w:val="20"/>
          <w:lang w:val="es-ES_tradnl"/>
        </w:rPr>
        <w:t xml:space="preserve">, posteriormente desaparecido; v) en los meses siguientes, buscaron empleo en otras instituciones académicas hasta que el Sr. Rivas obtuvo una beca de profesor visitante en Francia; vi) a fines de enero de 1975, la pareja partió rumbo a Francia y, en 1976, estando ambos en Francia, supieron que a ellos les fue aplicada la ley de </w:t>
      </w:r>
      <w:proofErr w:type="spellStart"/>
      <w:r w:rsidR="00024967" w:rsidRPr="00A43B77">
        <w:rPr>
          <w:rFonts w:asciiTheme="majorHAnsi" w:hAnsiTheme="majorHAnsi"/>
          <w:sz w:val="20"/>
          <w:szCs w:val="20"/>
          <w:lang w:val="es-ES_tradnl"/>
        </w:rPr>
        <w:t>prescindibilidad</w:t>
      </w:r>
      <w:proofErr w:type="spellEnd"/>
      <w:r w:rsidR="00A43B77">
        <w:rPr>
          <w:rFonts w:asciiTheme="majorHAnsi" w:hAnsiTheme="majorHAnsi"/>
          <w:sz w:val="20"/>
          <w:szCs w:val="20"/>
          <w:lang w:val="es-ES_tradnl"/>
        </w:rPr>
        <w:t xml:space="preserve"> (sic)</w:t>
      </w:r>
      <w:r w:rsidR="00024967" w:rsidRPr="00A43B77">
        <w:rPr>
          <w:rFonts w:asciiTheme="majorHAnsi" w:hAnsiTheme="majorHAnsi"/>
          <w:sz w:val="20"/>
          <w:szCs w:val="20"/>
          <w:lang w:val="es-ES_tradnl"/>
        </w:rPr>
        <w:t xml:space="preserve">, lo que cerró las puertas para su regreso a Argentina; </w:t>
      </w:r>
      <w:proofErr w:type="spellStart"/>
      <w:r w:rsidR="00024967" w:rsidRPr="00A43B77">
        <w:rPr>
          <w:rFonts w:asciiTheme="majorHAnsi" w:hAnsiTheme="majorHAnsi"/>
          <w:sz w:val="20"/>
          <w:szCs w:val="20"/>
          <w:lang w:val="es-ES_tradnl"/>
        </w:rPr>
        <w:t>vii</w:t>
      </w:r>
      <w:proofErr w:type="spellEnd"/>
      <w:r w:rsidR="00024967" w:rsidRPr="00A43B77">
        <w:rPr>
          <w:rFonts w:asciiTheme="majorHAnsi" w:hAnsiTheme="majorHAnsi"/>
          <w:sz w:val="20"/>
          <w:szCs w:val="20"/>
          <w:lang w:val="es-ES_tradnl"/>
        </w:rPr>
        <w:t>) la presunta víctima y su familia sólo regresaron a Argentina en agosto de 1983, con licencia de sus cargos de investigación de Francia</w:t>
      </w:r>
      <w:r w:rsidR="002510F1" w:rsidRPr="00A43B77">
        <w:rPr>
          <w:rFonts w:asciiTheme="majorHAnsi" w:hAnsiTheme="majorHAnsi"/>
          <w:sz w:val="20"/>
          <w:szCs w:val="20"/>
          <w:lang w:val="es-ES_tradnl"/>
        </w:rPr>
        <w:t>;</w:t>
      </w:r>
      <w:r w:rsidR="00024967" w:rsidRPr="00A43B77">
        <w:rPr>
          <w:rFonts w:asciiTheme="majorHAnsi" w:hAnsiTheme="majorHAnsi"/>
          <w:sz w:val="20"/>
          <w:szCs w:val="20"/>
          <w:lang w:val="es-ES_tradnl"/>
        </w:rPr>
        <w:t xml:space="preserve"> y luego de las elecciones y el regreso de la democracia, se les reconoció el exilio y se les </w:t>
      </w:r>
      <w:r w:rsidR="002510F1" w:rsidRPr="00A43B77">
        <w:rPr>
          <w:rFonts w:asciiTheme="majorHAnsi" w:hAnsiTheme="majorHAnsi"/>
          <w:sz w:val="20"/>
          <w:szCs w:val="20"/>
          <w:lang w:val="es-ES_tradnl"/>
        </w:rPr>
        <w:t>reintegró a sus posiciones como docentes</w:t>
      </w:r>
      <w:r w:rsidR="00024967" w:rsidRPr="00A43B77">
        <w:rPr>
          <w:rFonts w:asciiTheme="majorHAnsi" w:hAnsiTheme="majorHAnsi"/>
          <w:sz w:val="20"/>
          <w:szCs w:val="20"/>
          <w:lang w:val="es-ES_tradnl"/>
        </w:rPr>
        <w:t>.</w:t>
      </w:r>
    </w:p>
    <w:p w14:paraId="7888DF92" w14:textId="3F35F91B" w:rsidR="00B40809" w:rsidRPr="00A43B77" w:rsidRDefault="00B40809"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Ante </w:t>
      </w:r>
      <w:r w:rsidRPr="00A43B77">
        <w:rPr>
          <w:sz w:val="20"/>
          <w:szCs w:val="20"/>
          <w:lang w:val="es-ES_tradnl"/>
        </w:rPr>
        <w:t xml:space="preserve">el expuesto, la Sra. Sánchez </w:t>
      </w:r>
      <w:proofErr w:type="spellStart"/>
      <w:r w:rsidRPr="00A43B77">
        <w:rPr>
          <w:sz w:val="20"/>
          <w:szCs w:val="20"/>
          <w:lang w:val="es-ES_tradnl"/>
        </w:rPr>
        <w:t>Sánchez</w:t>
      </w:r>
      <w:proofErr w:type="spellEnd"/>
      <w:r w:rsidRPr="00A43B77">
        <w:rPr>
          <w:sz w:val="20"/>
          <w:szCs w:val="20"/>
          <w:lang w:val="es-ES_tradnl"/>
        </w:rPr>
        <w:t xml:space="preserve"> solicitó, en 2007, ser incluida </w:t>
      </w:r>
      <w:r w:rsidR="00351A90" w:rsidRPr="00A43B77">
        <w:rPr>
          <w:sz w:val="20"/>
          <w:szCs w:val="20"/>
          <w:lang w:val="es-ES_tradnl"/>
        </w:rPr>
        <w:t>en</w:t>
      </w:r>
      <w:r w:rsidRPr="00A43B77">
        <w:rPr>
          <w:sz w:val="20"/>
          <w:szCs w:val="20"/>
          <w:lang w:val="es-ES_tradnl"/>
        </w:rPr>
        <w:t xml:space="preserve"> las políticas reparatorias que lleva adelante Argentina en el marco de la Ley 24.043. Dicha petición fue rechazada; se consideró que el exilio no era uno de los supuestos indemnizables bajo la citada ley, bajo una interpretación restrictiva derivada de un dictamen de la Procuración del Tesoro de la Nación. Contra el rechazo se interpuso el recurso directo previsto por el art. 3 de la Ley 24.043</w:t>
      </w:r>
      <w:r w:rsidR="00351A90" w:rsidRPr="00A43B77">
        <w:rPr>
          <w:sz w:val="20"/>
          <w:szCs w:val="20"/>
          <w:lang w:val="es-ES_tradnl"/>
        </w:rPr>
        <w:t>;</w:t>
      </w:r>
      <w:r w:rsidRPr="00A43B77">
        <w:rPr>
          <w:sz w:val="20"/>
          <w:szCs w:val="20"/>
          <w:lang w:val="es-ES_tradnl"/>
        </w:rPr>
        <w:t xml:space="preserve"> rechazado por la Sala II de la Cámara Nacional de Apelaciones en lo Contencioso Administrativo Federal. Ante dicha decisión se interpuso recurso extraordinario federal, también denegado </w:t>
      </w:r>
      <w:r w:rsidRPr="00A43B77">
        <w:rPr>
          <w:rFonts w:asciiTheme="majorHAnsi" w:eastAsiaTheme="minorHAnsi" w:hAnsiTheme="majorHAnsi" w:cs="Times New Roman"/>
          <w:sz w:val="20"/>
          <w:szCs w:val="20"/>
          <w:lang w:val="es-ES_tradnl" w:eastAsia="en-US"/>
        </w:rPr>
        <w:t xml:space="preserve">por considerar que no se hallaba en juego la interpretación de una ley de alcance federal, sino cuestiones de hecho y prueba y que no hubo arbitrariedad. </w:t>
      </w:r>
      <w:r w:rsidRPr="00A43B77">
        <w:rPr>
          <w:sz w:val="20"/>
          <w:szCs w:val="20"/>
          <w:lang w:val="es-ES_tradnl"/>
        </w:rPr>
        <w:t xml:space="preserve">En conclusión, se presentó un </w:t>
      </w:r>
      <w:r w:rsidRPr="00A43B77">
        <w:rPr>
          <w:rFonts w:cs="Times New Roman"/>
          <w:sz w:val="20"/>
          <w:szCs w:val="20"/>
          <w:lang w:val="es-ES_tradnl"/>
        </w:rPr>
        <w:t xml:space="preserve">Recurso de Queja Extraordinario, similarmente denegado ante la Corte Suprema de Justicia de la Nación </w:t>
      </w:r>
      <w:r w:rsidRPr="00A43B77">
        <w:rPr>
          <w:sz w:val="20"/>
          <w:szCs w:val="20"/>
          <w:lang w:val="es-ES_tradnl"/>
        </w:rPr>
        <w:t>(CSJN)</w:t>
      </w:r>
      <w:r w:rsidRPr="00A43B77">
        <w:rPr>
          <w:rFonts w:cs="Times New Roman"/>
          <w:sz w:val="20"/>
          <w:szCs w:val="20"/>
          <w:lang w:val="es-ES_tradnl"/>
        </w:rPr>
        <w:t xml:space="preserve">. </w:t>
      </w:r>
      <w:r w:rsidRPr="00A43B77">
        <w:rPr>
          <w:sz w:val="20"/>
          <w:szCs w:val="20"/>
          <w:lang w:val="es-ES_tradnl"/>
        </w:rPr>
        <w:t xml:space="preserve">La peticionaria argumenta que lo resuelto por el </w:t>
      </w:r>
      <w:r w:rsidR="007C0F62" w:rsidRPr="00A43B77">
        <w:rPr>
          <w:sz w:val="20"/>
          <w:szCs w:val="20"/>
          <w:lang w:val="es-ES_tradnl"/>
        </w:rPr>
        <w:t>t</w:t>
      </w:r>
      <w:r w:rsidRPr="00A43B77">
        <w:rPr>
          <w:sz w:val="20"/>
          <w:szCs w:val="20"/>
          <w:lang w:val="es-ES_tradnl"/>
        </w:rPr>
        <w:t xml:space="preserve">ribunal genera una situación de manifiesta desigualdad permitiendo que se deniegue a la Sra. Sánchez </w:t>
      </w:r>
      <w:proofErr w:type="spellStart"/>
      <w:r w:rsidRPr="00A43B77">
        <w:rPr>
          <w:sz w:val="20"/>
          <w:szCs w:val="20"/>
          <w:lang w:val="es-ES_tradnl"/>
        </w:rPr>
        <w:t>Sánchez</w:t>
      </w:r>
      <w:proofErr w:type="spellEnd"/>
      <w:r w:rsidRPr="00A43B77">
        <w:rPr>
          <w:sz w:val="20"/>
          <w:szCs w:val="20"/>
          <w:lang w:val="es-ES_tradnl"/>
        </w:rPr>
        <w:t xml:space="preserve"> lo que se reconoció a otros perseguidos políticos que debieron exiliarse. En este sentido, la parte peticionaria cita, </w:t>
      </w:r>
      <w:r w:rsidRPr="00A43B77">
        <w:rPr>
          <w:i/>
          <w:iCs/>
          <w:sz w:val="20"/>
          <w:szCs w:val="20"/>
          <w:lang w:val="es-ES_tradnl"/>
        </w:rPr>
        <w:t xml:space="preserve">inter </w:t>
      </w:r>
      <w:proofErr w:type="spellStart"/>
      <w:r w:rsidRPr="00A43B77">
        <w:rPr>
          <w:i/>
          <w:iCs/>
          <w:sz w:val="20"/>
          <w:szCs w:val="20"/>
          <w:lang w:val="es-ES_tradnl"/>
        </w:rPr>
        <w:t>alia</w:t>
      </w:r>
      <w:proofErr w:type="spellEnd"/>
      <w:r w:rsidRPr="00A43B77">
        <w:rPr>
          <w:sz w:val="20"/>
          <w:szCs w:val="20"/>
          <w:lang w:val="es-ES_tradnl"/>
        </w:rPr>
        <w:t>, al fallo Yofre de Vaca Narvaja.</w:t>
      </w:r>
    </w:p>
    <w:p w14:paraId="7249EB84" w14:textId="2F149F4C" w:rsidR="00B40809" w:rsidRPr="00A43B77" w:rsidRDefault="00B40809" w:rsidP="00B40809">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_tradnl" w:bidi="es-ES"/>
        </w:rPr>
      </w:pPr>
      <w:r w:rsidRPr="00A43B77">
        <w:rPr>
          <w:sz w:val="20"/>
          <w:szCs w:val="20"/>
          <w:lang w:val="es-ES_tradnl" w:bidi="es-ES"/>
        </w:rPr>
        <w:t xml:space="preserve">De su parte, el Estado señala, en resumen, que: i) la Sra. Sánchez </w:t>
      </w:r>
      <w:proofErr w:type="spellStart"/>
      <w:r w:rsidRPr="00A43B77">
        <w:rPr>
          <w:sz w:val="20"/>
          <w:szCs w:val="20"/>
          <w:lang w:val="es-ES_tradnl" w:bidi="es-ES"/>
        </w:rPr>
        <w:t>Sánchez</w:t>
      </w:r>
      <w:proofErr w:type="spellEnd"/>
      <w:r w:rsidRPr="00A43B77">
        <w:rPr>
          <w:sz w:val="20"/>
          <w:szCs w:val="20"/>
          <w:lang w:val="es-ES_tradnl" w:bidi="es-ES"/>
        </w:rPr>
        <w:t xml:space="preserve"> accedió al beneficio previsto en la ley </w:t>
      </w:r>
      <w:proofErr w:type="spellStart"/>
      <w:r w:rsidRPr="00A43B77">
        <w:rPr>
          <w:sz w:val="20"/>
          <w:szCs w:val="20"/>
          <w:lang w:val="es-ES_tradnl" w:bidi="es-ES"/>
        </w:rPr>
        <w:t>nº</w:t>
      </w:r>
      <w:proofErr w:type="spellEnd"/>
      <w:r w:rsidRPr="00A43B77">
        <w:rPr>
          <w:sz w:val="20"/>
          <w:szCs w:val="20"/>
          <w:lang w:val="es-ES_tradnl" w:bidi="es-ES"/>
        </w:rPr>
        <w:t xml:space="preserve">. 24.043; </w:t>
      </w:r>
      <w:proofErr w:type="spellStart"/>
      <w:r w:rsidRPr="00A43B77">
        <w:rPr>
          <w:sz w:val="20"/>
          <w:szCs w:val="20"/>
          <w:lang w:val="es-ES_tradnl" w:bidi="es-ES"/>
        </w:rPr>
        <w:t>ii</w:t>
      </w:r>
      <w:proofErr w:type="spellEnd"/>
      <w:r w:rsidRPr="00A43B77">
        <w:rPr>
          <w:sz w:val="20"/>
          <w:szCs w:val="20"/>
          <w:lang w:val="es-ES_tradnl" w:bidi="es-ES"/>
        </w:rPr>
        <w:t xml:space="preserve">) su pretensión no prosperó por considerarse que su situación “no se encuadraba en ninguna de las contempladas en dicha norma y sus modificatorias”; </w:t>
      </w:r>
      <w:proofErr w:type="spellStart"/>
      <w:r w:rsidRPr="00A43B77">
        <w:rPr>
          <w:sz w:val="20"/>
          <w:szCs w:val="20"/>
          <w:lang w:val="es-ES_tradnl" w:bidi="es-ES"/>
        </w:rPr>
        <w:t>iii</w:t>
      </w:r>
      <w:proofErr w:type="spellEnd"/>
      <w:r w:rsidRPr="00A43B77">
        <w:rPr>
          <w:sz w:val="20"/>
          <w:szCs w:val="20"/>
          <w:lang w:val="es-ES_tradnl" w:bidi="es-ES"/>
        </w:rPr>
        <w:t xml:space="preserve">) por ello, el 5 de julio de 2010 se interpuso un recurso ante la Sala II de la Cámara Nacional de Apelaciones en lo Contencioso Administrativo Federal; </w:t>
      </w:r>
      <w:proofErr w:type="spellStart"/>
      <w:r w:rsidRPr="00A43B77">
        <w:rPr>
          <w:sz w:val="20"/>
          <w:szCs w:val="20"/>
          <w:lang w:val="es-ES_tradnl" w:bidi="es-ES"/>
        </w:rPr>
        <w:t>iv</w:t>
      </w:r>
      <w:proofErr w:type="spellEnd"/>
      <w:r w:rsidRPr="00A43B77">
        <w:rPr>
          <w:sz w:val="20"/>
          <w:szCs w:val="20"/>
          <w:lang w:val="es-ES_tradnl" w:bidi="es-ES"/>
        </w:rPr>
        <w:t>) mediante sentencia de fecha 2 de diciembre de 2010, la judicatura confirmó la resolución denegatoria, por considerar que la solicitante no había probado que su exilio haya sido forzoso y, por tanto, su situación no se encontraba comprendida en la ley; v) posteriormente, el 1 de febrero de 2011 se interpuso un recurso extraordinario federal, el cual fue rechazado por la Sala II el 13 de abril de 2011; vi) seguidamente, se interpuso recurso de queja el 2 de mayo de 2011, denegado por la CSJN el 11 de octubre de 2011. La CIDH nota que, según las copias de los procesos internos presentadas por el Estado, la última decisión referente al recurso de queja fue notificada el 19 de octubre de 2011 (cf. página 163 del expediente 292/2011).</w:t>
      </w:r>
    </w:p>
    <w:p w14:paraId="2912FEBB" w14:textId="77777777" w:rsidR="005D330F" w:rsidRPr="00A43B77" w:rsidRDefault="005D330F" w:rsidP="005D330F">
      <w:pPr>
        <w:pStyle w:val="Heading2"/>
        <w:suppressAutoHyphens/>
        <w:spacing w:before="120" w:after="120"/>
        <w:ind w:right="12" w:firstLine="720"/>
        <w:jc w:val="both"/>
        <w:rPr>
          <w:rFonts w:asciiTheme="majorHAnsi" w:hAnsiTheme="majorHAnsi"/>
          <w:i w:val="0"/>
          <w:iCs w:val="0"/>
          <w:sz w:val="20"/>
          <w:szCs w:val="20"/>
          <w:lang w:val="es-ES_tradnl"/>
        </w:rPr>
      </w:pPr>
      <w:r w:rsidRPr="00A43B77">
        <w:rPr>
          <w:rFonts w:asciiTheme="majorHAnsi" w:hAnsiTheme="majorHAnsi"/>
          <w:i w:val="0"/>
          <w:iCs w:val="0"/>
          <w:sz w:val="20"/>
          <w:szCs w:val="20"/>
          <w:lang w:val="es-ES_tradnl"/>
        </w:rPr>
        <w:t>VI.</w:t>
      </w:r>
      <w:r w:rsidRPr="00A43B77">
        <w:rPr>
          <w:rFonts w:asciiTheme="majorHAnsi" w:hAnsiTheme="majorHAnsi"/>
          <w:i w:val="0"/>
          <w:iCs w:val="0"/>
          <w:sz w:val="20"/>
          <w:szCs w:val="20"/>
          <w:lang w:val="es-ES_tradnl"/>
        </w:rPr>
        <w:tab/>
        <w:t>AGOTAMIENTO DE LOS RECURSOS INTERNOS Y PLAZO DE PRESENTACIÓN</w:t>
      </w:r>
    </w:p>
    <w:p w14:paraId="144059C4" w14:textId="05EB4D4E" w:rsidR="00812310" w:rsidRPr="00A43B77" w:rsidRDefault="00812310" w:rsidP="002225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El Estado advierte a la CIDH que la petición inicial </w:t>
      </w:r>
      <w:r w:rsidR="006C6D70" w:rsidRPr="00A43B77">
        <w:rPr>
          <w:rFonts w:asciiTheme="majorHAnsi" w:hAnsiTheme="majorHAnsi"/>
          <w:sz w:val="20"/>
          <w:szCs w:val="20"/>
          <w:lang w:val="es-ES_tradnl"/>
        </w:rPr>
        <w:t>le</w:t>
      </w:r>
      <w:r w:rsidRPr="00A43B77">
        <w:rPr>
          <w:rFonts w:asciiTheme="majorHAnsi" w:hAnsiTheme="majorHAnsi"/>
          <w:sz w:val="20"/>
          <w:szCs w:val="20"/>
          <w:lang w:val="es-ES_tradnl"/>
        </w:rPr>
        <w:t xml:space="preserve"> fue puesta en conocimiento m</w:t>
      </w:r>
      <w:r w:rsidR="006C6D70" w:rsidRPr="00A43B77">
        <w:rPr>
          <w:rFonts w:asciiTheme="majorHAnsi" w:hAnsiTheme="majorHAnsi"/>
          <w:sz w:val="20"/>
          <w:szCs w:val="20"/>
          <w:lang w:val="es-ES_tradnl"/>
        </w:rPr>
        <w:t>u</w:t>
      </w:r>
      <w:r w:rsidRPr="00A43B77">
        <w:rPr>
          <w:rFonts w:asciiTheme="majorHAnsi" w:hAnsiTheme="majorHAnsi"/>
          <w:sz w:val="20"/>
          <w:szCs w:val="20"/>
          <w:lang w:val="es-ES_tradnl"/>
        </w:rPr>
        <w:t xml:space="preserve">chos años después. Asimismo, solicita que la petición sea declarada inadmisible </w:t>
      </w:r>
      <w:proofErr w:type="spellStart"/>
      <w:r w:rsidRPr="00A43B77">
        <w:rPr>
          <w:rFonts w:asciiTheme="majorHAnsi" w:hAnsiTheme="majorHAnsi"/>
          <w:i/>
          <w:iCs/>
          <w:sz w:val="20"/>
          <w:szCs w:val="20"/>
          <w:lang w:val="es-ES_tradnl"/>
        </w:rPr>
        <w:t>ratione</w:t>
      </w:r>
      <w:proofErr w:type="spellEnd"/>
      <w:r w:rsidRPr="00A43B77">
        <w:rPr>
          <w:rFonts w:asciiTheme="majorHAnsi" w:hAnsiTheme="majorHAnsi"/>
          <w:i/>
          <w:iCs/>
          <w:sz w:val="20"/>
          <w:szCs w:val="20"/>
          <w:lang w:val="es-ES_tradnl"/>
        </w:rPr>
        <w:t xml:space="preserve"> </w:t>
      </w:r>
      <w:proofErr w:type="spellStart"/>
      <w:r w:rsidRPr="00A43B77">
        <w:rPr>
          <w:rFonts w:asciiTheme="majorHAnsi" w:hAnsiTheme="majorHAnsi"/>
          <w:i/>
          <w:iCs/>
          <w:sz w:val="20"/>
          <w:szCs w:val="20"/>
          <w:lang w:val="es-ES_tradnl"/>
        </w:rPr>
        <w:t>temporis</w:t>
      </w:r>
      <w:proofErr w:type="spellEnd"/>
      <w:r w:rsidRPr="00A43B77">
        <w:rPr>
          <w:rFonts w:asciiTheme="majorHAnsi" w:hAnsiTheme="majorHAnsi"/>
          <w:sz w:val="20"/>
          <w:szCs w:val="20"/>
          <w:lang w:val="es-ES_tradnl"/>
        </w:rPr>
        <w:t xml:space="preserve"> respecto de todo hecho ocurrido con anterioridad a la ratificación de la Convención por parte de la República Argentina. Afirma que la parte peticionaria tuvo a su disposición el sistema ordinario de reparación en sede judicial, en cuyo marco podría haber intentado una acción de daños y perjuicios con el propósito de obtener una indemnización fundada en el alegado exilio forzoso, pero no hay indicios que dicha acción hubiera sido siquiera intentada; en consecuencia, no se agotaron a los recursos internos disponibles. Sostiene que </w:t>
      </w:r>
      <w:r w:rsidR="00BA5B80">
        <w:rPr>
          <w:rFonts w:asciiTheme="majorHAnsi" w:hAnsiTheme="majorHAnsi"/>
          <w:sz w:val="20"/>
          <w:szCs w:val="20"/>
          <w:lang w:val="es-ES_tradnl"/>
        </w:rPr>
        <w:t xml:space="preserve">no </w:t>
      </w:r>
      <w:r w:rsidRPr="00A43B77">
        <w:rPr>
          <w:rFonts w:asciiTheme="majorHAnsi" w:hAnsiTheme="majorHAnsi"/>
          <w:sz w:val="20"/>
          <w:szCs w:val="20"/>
          <w:lang w:val="es-ES_tradnl"/>
        </w:rPr>
        <w:t>existen hechos que caractericen violación de los derechos protegidos por la Convención Americana, y que la petición no observa el carácter subsidiario del sistema interamericano y la doctrina de la cuarta instancia. En conclusión, solicita el archivo de la denuncia o, subsidiariamente, la declaración de inadmisibilidad.</w:t>
      </w:r>
    </w:p>
    <w:p w14:paraId="1B6B448E" w14:textId="712074FA" w:rsidR="00812310" w:rsidRPr="00A43B77" w:rsidRDefault="00812310" w:rsidP="0022251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lastRenderedPageBreak/>
        <w:t>Sobre el agotamiento de recursos internos, la parte peticionaria afirma que los agotó por medio de la solicitud administrativa de reparación y los recursos judiciales, incluidos un recurso extraordinario federal y un recurso de queja. Asimismo</w:t>
      </w:r>
      <w:r w:rsidR="008207FC" w:rsidRPr="00A43B77">
        <w:rPr>
          <w:rFonts w:asciiTheme="majorHAnsi" w:hAnsiTheme="majorHAnsi"/>
          <w:sz w:val="20"/>
          <w:szCs w:val="20"/>
          <w:lang w:val="es-ES_tradnl"/>
        </w:rPr>
        <w:t>,</w:t>
      </w:r>
      <w:r w:rsidRPr="00A43B77">
        <w:rPr>
          <w:rFonts w:asciiTheme="majorHAnsi" w:hAnsiTheme="majorHAnsi"/>
          <w:sz w:val="20"/>
          <w:szCs w:val="20"/>
          <w:lang w:val="es-ES_tradnl"/>
        </w:rPr>
        <w:t xml:space="preserve"> reafirma que los hechos denunciados </w:t>
      </w:r>
      <w:r w:rsidR="00E12956" w:rsidRPr="00A43B77">
        <w:rPr>
          <w:rFonts w:asciiTheme="majorHAnsi" w:hAnsiTheme="majorHAnsi"/>
          <w:sz w:val="20"/>
          <w:szCs w:val="20"/>
          <w:lang w:val="es-ES_tradnl"/>
        </w:rPr>
        <w:t>configuran</w:t>
      </w:r>
      <w:r w:rsidRPr="00A43B77">
        <w:rPr>
          <w:rFonts w:asciiTheme="majorHAnsi" w:hAnsiTheme="majorHAnsi"/>
          <w:sz w:val="20"/>
          <w:szCs w:val="20"/>
          <w:lang w:val="es-ES_tradnl"/>
        </w:rPr>
        <w:t xml:space="preserve"> diferentes vulneraciones de los derechos humanos de la Sra. Sánchez </w:t>
      </w:r>
      <w:proofErr w:type="spellStart"/>
      <w:r w:rsidRPr="00A43B77">
        <w:rPr>
          <w:rFonts w:asciiTheme="majorHAnsi" w:hAnsiTheme="majorHAnsi"/>
          <w:sz w:val="20"/>
          <w:szCs w:val="20"/>
          <w:lang w:val="es-ES_tradnl"/>
        </w:rPr>
        <w:t>Sánchez</w:t>
      </w:r>
      <w:proofErr w:type="spellEnd"/>
      <w:r w:rsidR="00E12956" w:rsidRPr="00A43B77">
        <w:rPr>
          <w:rFonts w:asciiTheme="majorHAnsi" w:hAnsiTheme="majorHAnsi"/>
          <w:sz w:val="20"/>
          <w:szCs w:val="20"/>
          <w:lang w:val="es-ES_tradnl"/>
        </w:rPr>
        <w:t>,</w:t>
      </w:r>
      <w:r w:rsidRPr="00A43B77">
        <w:rPr>
          <w:rFonts w:asciiTheme="majorHAnsi" w:hAnsiTheme="majorHAnsi"/>
          <w:sz w:val="20"/>
          <w:szCs w:val="20"/>
          <w:lang w:val="es-ES_tradnl"/>
        </w:rPr>
        <w:t xml:space="preserve"> y solicita la admisibilidad y la procedencia de la denuncia ante la CIDH.</w:t>
      </w:r>
    </w:p>
    <w:p w14:paraId="64A16CD1" w14:textId="4DA20D22" w:rsidR="00070874" w:rsidRPr="00A43B77" w:rsidRDefault="00070874" w:rsidP="000708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lang w:val="es-ES_tradnl" w:bidi="es-ES"/>
        </w:rPr>
      </w:pPr>
      <w:r w:rsidRPr="00A43B77">
        <w:rPr>
          <w:rFonts w:asciiTheme="majorHAnsi" w:hAnsiTheme="majorHAnsi" w:cs="Calibri"/>
          <w:sz w:val="20"/>
          <w:szCs w:val="20"/>
          <w:lang w:val="es-ES_tradnl"/>
        </w:rPr>
        <w:t xml:space="preserve">La Comisión </w:t>
      </w:r>
      <w:r w:rsidRPr="00A43B77">
        <w:rPr>
          <w:sz w:val="20"/>
          <w:lang w:val="es-ES_tradnl"/>
        </w:rPr>
        <w:t>observa que el recurso extraordinario federal es, en principio un medio procesal</w:t>
      </w:r>
      <w:r w:rsidRPr="00A43B77">
        <w:rPr>
          <w:spacing w:val="-3"/>
          <w:sz w:val="20"/>
          <w:lang w:val="es-ES_tradnl"/>
        </w:rPr>
        <w:t xml:space="preserve"> </w:t>
      </w:r>
      <w:r w:rsidRPr="00A43B77">
        <w:rPr>
          <w:sz w:val="20"/>
          <w:lang w:val="es-ES_tradnl"/>
        </w:rPr>
        <w:t>idóneo</w:t>
      </w:r>
      <w:r w:rsidRPr="00A43B77">
        <w:rPr>
          <w:spacing w:val="-3"/>
          <w:sz w:val="20"/>
          <w:lang w:val="es-ES_tradnl"/>
        </w:rPr>
        <w:t xml:space="preserve"> </w:t>
      </w:r>
      <w:r w:rsidRPr="00A43B77">
        <w:rPr>
          <w:sz w:val="20"/>
          <w:lang w:val="es-ES_tradnl"/>
        </w:rPr>
        <w:t>para</w:t>
      </w:r>
      <w:r w:rsidRPr="00A43B77">
        <w:rPr>
          <w:spacing w:val="-3"/>
          <w:sz w:val="20"/>
          <w:lang w:val="es-ES_tradnl"/>
        </w:rPr>
        <w:t xml:space="preserve"> </w:t>
      </w:r>
      <w:r w:rsidRPr="00A43B77">
        <w:rPr>
          <w:sz w:val="20"/>
          <w:lang w:val="es-ES_tradnl"/>
        </w:rPr>
        <w:t>la</w:t>
      </w:r>
      <w:r w:rsidRPr="00A43B77">
        <w:rPr>
          <w:spacing w:val="-2"/>
          <w:sz w:val="20"/>
          <w:lang w:val="es-ES_tradnl"/>
        </w:rPr>
        <w:t xml:space="preserve"> </w:t>
      </w:r>
      <w:r w:rsidRPr="00A43B77">
        <w:rPr>
          <w:sz w:val="20"/>
          <w:lang w:val="es-ES_tradnl"/>
        </w:rPr>
        <w:t>atención</w:t>
      </w:r>
      <w:r w:rsidRPr="00A43B77">
        <w:rPr>
          <w:spacing w:val="-5"/>
          <w:sz w:val="20"/>
          <w:lang w:val="es-ES_tradnl"/>
        </w:rPr>
        <w:t xml:space="preserve"> </w:t>
      </w:r>
      <w:r w:rsidRPr="00A43B77">
        <w:rPr>
          <w:sz w:val="20"/>
          <w:lang w:val="es-ES_tradnl"/>
        </w:rPr>
        <w:t>a</w:t>
      </w:r>
      <w:r w:rsidRPr="00A43B77">
        <w:rPr>
          <w:spacing w:val="-2"/>
          <w:sz w:val="20"/>
          <w:lang w:val="es-ES_tradnl"/>
        </w:rPr>
        <w:t xml:space="preserve"> </w:t>
      </w:r>
      <w:r w:rsidRPr="00A43B77">
        <w:rPr>
          <w:sz w:val="20"/>
          <w:lang w:val="es-ES_tradnl"/>
        </w:rPr>
        <w:t>un</w:t>
      </w:r>
      <w:r w:rsidRPr="00A43B77">
        <w:rPr>
          <w:spacing w:val="-3"/>
          <w:sz w:val="20"/>
          <w:lang w:val="es-ES_tradnl"/>
        </w:rPr>
        <w:t xml:space="preserve"> </w:t>
      </w:r>
      <w:r w:rsidRPr="00A43B77">
        <w:rPr>
          <w:sz w:val="20"/>
          <w:lang w:val="es-ES_tradnl"/>
        </w:rPr>
        <w:t>reclamo</w:t>
      </w:r>
      <w:r w:rsidRPr="00A43B77">
        <w:rPr>
          <w:spacing w:val="-1"/>
          <w:sz w:val="20"/>
          <w:lang w:val="es-ES_tradnl"/>
        </w:rPr>
        <w:t xml:space="preserve"> </w:t>
      </w:r>
      <w:r w:rsidRPr="00A43B77">
        <w:rPr>
          <w:sz w:val="20"/>
          <w:lang w:val="es-ES_tradnl"/>
        </w:rPr>
        <w:t>que</w:t>
      </w:r>
      <w:r w:rsidRPr="00A43B77">
        <w:rPr>
          <w:spacing w:val="-3"/>
          <w:sz w:val="20"/>
          <w:lang w:val="es-ES_tradnl"/>
        </w:rPr>
        <w:t xml:space="preserve"> </w:t>
      </w:r>
      <w:r w:rsidRPr="00A43B77">
        <w:rPr>
          <w:sz w:val="20"/>
          <w:lang w:val="es-ES_tradnl"/>
        </w:rPr>
        <w:t>tuvo</w:t>
      </w:r>
      <w:r w:rsidRPr="00A43B77">
        <w:rPr>
          <w:spacing w:val="-3"/>
          <w:sz w:val="20"/>
          <w:lang w:val="es-ES_tradnl"/>
        </w:rPr>
        <w:t xml:space="preserve"> </w:t>
      </w:r>
      <w:r w:rsidRPr="00A43B77">
        <w:rPr>
          <w:sz w:val="20"/>
          <w:lang w:val="es-ES_tradnl"/>
        </w:rPr>
        <w:t>su</w:t>
      </w:r>
      <w:r w:rsidRPr="00A43B77">
        <w:rPr>
          <w:spacing w:val="-4"/>
          <w:sz w:val="20"/>
          <w:lang w:val="es-ES_tradnl"/>
        </w:rPr>
        <w:t xml:space="preserve"> </w:t>
      </w:r>
      <w:r w:rsidRPr="00A43B77">
        <w:rPr>
          <w:sz w:val="20"/>
          <w:lang w:val="es-ES_tradnl"/>
        </w:rPr>
        <w:t>origen</w:t>
      </w:r>
      <w:r w:rsidRPr="00A43B77">
        <w:rPr>
          <w:spacing w:val="-2"/>
          <w:sz w:val="20"/>
          <w:lang w:val="es-ES_tradnl"/>
        </w:rPr>
        <w:t xml:space="preserve"> </w:t>
      </w:r>
      <w:r w:rsidRPr="00A43B77">
        <w:rPr>
          <w:sz w:val="20"/>
          <w:lang w:val="es-ES_tradnl"/>
        </w:rPr>
        <w:t>en</w:t>
      </w:r>
      <w:r w:rsidRPr="00A43B77">
        <w:rPr>
          <w:spacing w:val="-4"/>
          <w:sz w:val="20"/>
          <w:lang w:val="es-ES_tradnl"/>
        </w:rPr>
        <w:t xml:space="preserve"> </w:t>
      </w:r>
      <w:r w:rsidRPr="00A43B77">
        <w:rPr>
          <w:sz w:val="20"/>
          <w:lang w:val="es-ES_tradnl"/>
        </w:rPr>
        <w:t>alegatos</w:t>
      </w:r>
      <w:r w:rsidRPr="00A43B77">
        <w:rPr>
          <w:spacing w:val="-3"/>
          <w:sz w:val="20"/>
          <w:lang w:val="es-ES_tradnl"/>
        </w:rPr>
        <w:t xml:space="preserve"> </w:t>
      </w:r>
      <w:r w:rsidRPr="00A43B77">
        <w:rPr>
          <w:sz w:val="20"/>
          <w:lang w:val="es-ES_tradnl"/>
        </w:rPr>
        <w:t>de</w:t>
      </w:r>
      <w:r w:rsidRPr="00A43B77">
        <w:rPr>
          <w:spacing w:val="-5"/>
          <w:sz w:val="20"/>
          <w:lang w:val="es-ES_tradnl"/>
        </w:rPr>
        <w:t xml:space="preserve"> </w:t>
      </w:r>
      <w:r w:rsidRPr="00A43B77">
        <w:rPr>
          <w:sz w:val="20"/>
          <w:lang w:val="es-ES_tradnl"/>
        </w:rPr>
        <w:t>graves</w:t>
      </w:r>
      <w:r w:rsidRPr="00A43B77">
        <w:rPr>
          <w:spacing w:val="-4"/>
          <w:sz w:val="20"/>
          <w:lang w:val="es-ES_tradnl"/>
        </w:rPr>
        <w:t xml:space="preserve"> </w:t>
      </w:r>
      <w:r w:rsidRPr="00A43B77">
        <w:rPr>
          <w:sz w:val="20"/>
          <w:lang w:val="es-ES_tradnl"/>
        </w:rPr>
        <w:t>violaciones</w:t>
      </w:r>
      <w:r w:rsidRPr="00A43B77">
        <w:rPr>
          <w:spacing w:val="-3"/>
          <w:sz w:val="20"/>
          <w:lang w:val="es-ES_tradnl"/>
        </w:rPr>
        <w:t xml:space="preserve"> </w:t>
      </w:r>
      <w:r w:rsidRPr="00A43B77">
        <w:rPr>
          <w:sz w:val="20"/>
          <w:lang w:val="es-ES_tradnl"/>
        </w:rPr>
        <w:t>a</w:t>
      </w:r>
      <w:r w:rsidRPr="00A43B77">
        <w:rPr>
          <w:spacing w:val="-3"/>
          <w:sz w:val="20"/>
          <w:lang w:val="es-ES_tradnl"/>
        </w:rPr>
        <w:t xml:space="preserve"> </w:t>
      </w:r>
      <w:r w:rsidRPr="00A43B77">
        <w:rPr>
          <w:sz w:val="20"/>
          <w:lang w:val="es-ES_tradnl"/>
        </w:rPr>
        <w:t xml:space="preserve">derechos humanos; sin embargo, hay indicios de que su rechazo se dio por un formalismo irrazonable y contrario a la </w:t>
      </w:r>
      <w:r w:rsidRPr="00A43B77">
        <w:rPr>
          <w:i/>
          <w:iCs/>
          <w:sz w:val="20"/>
          <w:lang w:val="es-ES_tradnl"/>
        </w:rPr>
        <w:t>ratio</w:t>
      </w:r>
      <w:r w:rsidRPr="00A43B77">
        <w:rPr>
          <w:sz w:val="20"/>
          <w:lang w:val="es-ES_tradnl"/>
        </w:rPr>
        <w:t xml:space="preserve"> adoptada por la jurisprudencia en otros casos. </w:t>
      </w:r>
      <w:r w:rsidRPr="00A43B77">
        <w:rPr>
          <w:sz w:val="20"/>
          <w:lang w:val="es-ES_tradnl" w:bidi="es-ES"/>
        </w:rPr>
        <w:t>Asimismo, la Comisión considera que el recurso de queja consistió en un intento último, por parte de la presunta víctima, de resolver la situación en nivel interno, y que la relación entre dicho recurso y los requisitos formales y de depósito previo exigidos podrá ser evaluada en la etapa de fondo como coherente o no con las normas de la Convención Americana</w:t>
      </w:r>
      <w:r w:rsidR="00293F17" w:rsidRPr="00A43B77">
        <w:rPr>
          <w:sz w:val="20"/>
          <w:vertAlign w:val="superscript"/>
          <w:lang w:val="es-ES_tradnl" w:bidi="es-ES"/>
        </w:rPr>
        <w:footnoteReference w:id="4"/>
      </w:r>
      <w:r w:rsidR="00E12956" w:rsidRPr="00A43B77">
        <w:rPr>
          <w:sz w:val="20"/>
          <w:lang w:val="es-ES_tradnl" w:bidi="es-ES"/>
        </w:rPr>
        <w:t>.</w:t>
      </w:r>
    </w:p>
    <w:p w14:paraId="1FD87927" w14:textId="77777777" w:rsidR="00070874" w:rsidRPr="00A43B77" w:rsidRDefault="00070874" w:rsidP="000708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cs="Calibri"/>
          <w:sz w:val="20"/>
          <w:szCs w:val="20"/>
          <w:lang w:val="es-ES_tradnl"/>
        </w:rPr>
        <w:t>La Comisión recuerda que ya ha establecido que “no puede considerar que el peticionario ha cumplido debidamente con el requisito del agotamiento previo de los recursos internos si los mismos han sido rechazados con fundamentos procesales razonables y no arbitrarios”</w:t>
      </w:r>
      <w:r w:rsidRPr="00A43B77">
        <w:rPr>
          <w:rStyle w:val="FootnoteReference"/>
          <w:rFonts w:asciiTheme="majorHAnsi" w:hAnsiTheme="majorHAnsi" w:cs="Calibri"/>
          <w:sz w:val="20"/>
          <w:szCs w:val="20"/>
          <w:lang w:val="es-ES_tradnl"/>
        </w:rPr>
        <w:footnoteReference w:id="5"/>
      </w:r>
      <w:r w:rsidRPr="00A43B77">
        <w:rPr>
          <w:rFonts w:asciiTheme="majorHAnsi" w:hAnsiTheme="majorHAnsi" w:cs="Calibri"/>
          <w:sz w:val="20"/>
          <w:szCs w:val="20"/>
          <w:lang w:val="es-ES_tradnl"/>
        </w:rPr>
        <w:t>. En el presente caso, la Comisión valora que la información disponible sobre el rechazo de los últimos recursos</w:t>
      </w:r>
      <w:r w:rsidRPr="00A43B77">
        <w:rPr>
          <w:rFonts w:asciiTheme="majorHAnsi" w:hAnsiTheme="majorHAnsi"/>
          <w:sz w:val="20"/>
          <w:szCs w:val="20"/>
          <w:lang w:val="es-ES_tradnl"/>
        </w:rPr>
        <w:t xml:space="preserve"> no resulta suficiente para desacreditar su interposición del recurso extraordinario federal y del recurso de queja como recursos válidamente agotados. </w:t>
      </w:r>
    </w:p>
    <w:p w14:paraId="4EAC7DDF" w14:textId="56303572" w:rsidR="00070874" w:rsidRPr="00A43B77" w:rsidRDefault="00070874" w:rsidP="000708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sz w:val="20"/>
          <w:szCs w:val="20"/>
          <w:lang w:val="es-ES_tradnl"/>
        </w:rPr>
        <w:t>En atención a estas consideraciones la Comisión Interamericana estima que la secuencia procesal de los recursos internos interpuestos tuvo como última decisión de 11 de octubre de 2011, notificada el 19 de octubre de 2011. Por lo tanto, la presente petición cumple con el requisito establecido en el artículo 46.1.a</w:t>
      </w:r>
      <w:r w:rsidR="001F7038" w:rsidRPr="00A43B77">
        <w:rPr>
          <w:sz w:val="20"/>
          <w:szCs w:val="20"/>
          <w:lang w:val="es-ES_tradnl"/>
        </w:rPr>
        <w:t>)</w:t>
      </w:r>
      <w:r w:rsidRPr="00A43B77">
        <w:rPr>
          <w:sz w:val="20"/>
          <w:szCs w:val="20"/>
          <w:lang w:val="es-ES_tradnl"/>
        </w:rPr>
        <w:t xml:space="preserve"> de la Convención Americana. </w:t>
      </w:r>
      <w:r w:rsidRPr="00A43B77">
        <w:rPr>
          <w:sz w:val="20"/>
          <w:lang w:val="es-ES_tradnl"/>
        </w:rPr>
        <w:t>Asimismo, al observarse que la presente petición fue presentada el 19 de abril de 2012, la CIDH concluye que la misma fue presentada dentro del plazo de seis meses establecido en el artículo 46.1.b</w:t>
      </w:r>
      <w:r w:rsidR="001F7038" w:rsidRPr="00A43B77">
        <w:rPr>
          <w:sz w:val="20"/>
          <w:lang w:val="es-ES_tradnl"/>
        </w:rPr>
        <w:t>)</w:t>
      </w:r>
      <w:r w:rsidRPr="00A43B77">
        <w:rPr>
          <w:sz w:val="20"/>
          <w:lang w:val="es-ES_tradnl"/>
        </w:rPr>
        <w:t xml:space="preserve"> de la Convención</w:t>
      </w:r>
      <w:r w:rsidRPr="00A43B77">
        <w:rPr>
          <w:spacing w:val="-3"/>
          <w:sz w:val="20"/>
          <w:lang w:val="es-ES_tradnl"/>
        </w:rPr>
        <w:t xml:space="preserve"> </w:t>
      </w:r>
      <w:r w:rsidRPr="00A43B77">
        <w:rPr>
          <w:sz w:val="20"/>
          <w:lang w:val="es-ES_tradnl"/>
        </w:rPr>
        <w:t>Americana.</w:t>
      </w:r>
    </w:p>
    <w:p w14:paraId="4A65B066" w14:textId="77777777" w:rsidR="00070874" w:rsidRPr="00A43B77" w:rsidRDefault="00070874" w:rsidP="00070874">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cs="Calibri"/>
          <w:sz w:val="20"/>
          <w:szCs w:val="20"/>
          <w:lang w:val="es-ES_tradnl"/>
        </w:rPr>
        <w:t>La Comisión Interamericana también toma nota del reclamo del Estado sobre lo que describe o califica como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43B77">
        <w:rPr>
          <w:rFonts w:asciiTheme="majorHAnsi" w:hAnsiTheme="majorHAnsi"/>
          <w:sz w:val="20"/>
          <w:szCs w:val="20"/>
          <w:vertAlign w:val="superscript"/>
          <w:lang w:val="es-ES_tradnl"/>
        </w:rPr>
        <w:footnoteReference w:id="6"/>
      </w:r>
      <w:r w:rsidRPr="00A43B77">
        <w:rPr>
          <w:rFonts w:asciiTheme="majorHAnsi" w:hAnsiTheme="majorHAnsi" w:cs="Calibri"/>
          <w:sz w:val="20"/>
          <w:szCs w:val="20"/>
          <w:lang w:val="es-ES_tradnl"/>
        </w:rPr>
        <w:t>.</w:t>
      </w:r>
    </w:p>
    <w:p w14:paraId="392AC9CD" w14:textId="5D2E65C6" w:rsidR="005D330F" w:rsidRPr="00A43B77" w:rsidRDefault="005D330F" w:rsidP="005D330F">
      <w:pPr>
        <w:pStyle w:val="Heading2"/>
        <w:spacing w:before="0"/>
        <w:ind w:right="12" w:firstLine="720"/>
        <w:jc w:val="both"/>
        <w:rPr>
          <w:rFonts w:asciiTheme="majorHAnsi" w:hAnsiTheme="majorHAnsi"/>
          <w:i w:val="0"/>
          <w:iCs w:val="0"/>
          <w:sz w:val="20"/>
          <w:szCs w:val="20"/>
          <w:lang w:val="es-ES_tradnl"/>
        </w:rPr>
      </w:pPr>
      <w:r w:rsidRPr="00A43B77">
        <w:rPr>
          <w:rFonts w:asciiTheme="majorHAnsi" w:hAnsiTheme="majorHAnsi"/>
          <w:i w:val="0"/>
          <w:iCs w:val="0"/>
          <w:sz w:val="20"/>
          <w:szCs w:val="20"/>
          <w:lang w:val="es-ES_tradnl"/>
        </w:rPr>
        <w:t>VI</w:t>
      </w:r>
      <w:r w:rsidR="009949F8">
        <w:rPr>
          <w:rFonts w:asciiTheme="majorHAnsi" w:hAnsiTheme="majorHAnsi"/>
          <w:i w:val="0"/>
          <w:iCs w:val="0"/>
          <w:sz w:val="20"/>
          <w:szCs w:val="20"/>
          <w:lang w:val="es-ES_tradnl"/>
        </w:rPr>
        <w:t>I</w:t>
      </w:r>
      <w:r w:rsidRPr="00A43B77">
        <w:rPr>
          <w:rFonts w:asciiTheme="majorHAnsi" w:hAnsiTheme="majorHAnsi"/>
          <w:i w:val="0"/>
          <w:iCs w:val="0"/>
          <w:sz w:val="20"/>
          <w:szCs w:val="20"/>
          <w:lang w:val="es-ES_tradnl"/>
        </w:rPr>
        <w:t xml:space="preserve">. </w:t>
      </w:r>
      <w:r w:rsidRPr="00A43B77">
        <w:rPr>
          <w:rFonts w:asciiTheme="majorHAnsi" w:hAnsiTheme="majorHAnsi"/>
          <w:i w:val="0"/>
          <w:iCs w:val="0"/>
          <w:sz w:val="20"/>
          <w:szCs w:val="20"/>
          <w:lang w:val="es-ES_tradnl"/>
        </w:rPr>
        <w:tab/>
        <w:t>CARACTERIZACIÓN</w:t>
      </w:r>
    </w:p>
    <w:p w14:paraId="398C912B" w14:textId="63EE8DBB" w:rsidR="005D330F" w:rsidRPr="00A43B77" w:rsidRDefault="005D330F" w:rsidP="005D330F">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La presente </w:t>
      </w:r>
      <w:r w:rsidR="00F54DB6" w:rsidRPr="00A43B77">
        <w:rPr>
          <w:sz w:val="20"/>
          <w:szCs w:val="20"/>
          <w:lang w:val="es-ES_tradnl"/>
        </w:rPr>
        <w:t xml:space="preserve">denuncia se refiere a la alegata violación, por parte del Estado argentino, de los derechos humanos de la Sra. Sánchez </w:t>
      </w:r>
      <w:proofErr w:type="spellStart"/>
      <w:r w:rsidR="00F54DB6" w:rsidRPr="00A43B77">
        <w:rPr>
          <w:sz w:val="20"/>
          <w:szCs w:val="20"/>
          <w:lang w:val="es-ES_tradnl"/>
        </w:rPr>
        <w:t>Sánchez</w:t>
      </w:r>
      <w:proofErr w:type="spellEnd"/>
      <w:r w:rsidR="00F54DB6" w:rsidRPr="00A43B77">
        <w:rPr>
          <w:sz w:val="20"/>
          <w:szCs w:val="20"/>
          <w:lang w:val="es-ES_tradnl"/>
        </w:rPr>
        <w:t xml:space="preserve"> en el marco de su solicitud interna por reparaciones bajo la Ley (nacional) No. 24.043. Los alegatos y hechos presentados ante la CIDH incluyeron consideraciones sobre trato diferenciado del caso de la Sra. Sánchez </w:t>
      </w:r>
      <w:proofErr w:type="spellStart"/>
      <w:r w:rsidR="00F54DB6" w:rsidRPr="00A43B77">
        <w:rPr>
          <w:sz w:val="20"/>
          <w:szCs w:val="20"/>
          <w:lang w:val="es-ES_tradnl"/>
        </w:rPr>
        <w:t>Sánchez</w:t>
      </w:r>
      <w:proofErr w:type="spellEnd"/>
      <w:r w:rsidR="00F54DB6" w:rsidRPr="00A43B77">
        <w:rPr>
          <w:sz w:val="20"/>
          <w:szCs w:val="20"/>
          <w:lang w:val="es-ES_tradnl"/>
        </w:rPr>
        <w:t xml:space="preserve"> y de otras solicitudes de reparación comparables.</w:t>
      </w:r>
    </w:p>
    <w:p w14:paraId="60A9F456" w14:textId="3A1F2DEE" w:rsidR="005D330F" w:rsidRPr="00A43B77" w:rsidRDefault="005D330F" w:rsidP="00A85069">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Respeto a los casos de exilio, la CIDH toma nota de que la Corte Suprema de Justicia reconoció el 8 de octubre de 2019, en el fallo Fernández, María Cristina c/ EN, que los exilados durante la pasada dictadura tenderán igual indemnización que los detenidos en los términos de la Ley No 24.043. 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y si hay una violación al derecho a la igualdad y no discriminación en los casos que escapan al esquema de previsión de supuestos reparables por vía de la Ley No. 24.043.  </w:t>
      </w:r>
    </w:p>
    <w:p w14:paraId="730F7FA6" w14:textId="77777777" w:rsidR="005D330F" w:rsidRPr="00A43B77" w:rsidRDefault="005D330F" w:rsidP="00A85069">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 xml:space="preserve">Con respecto al alegato del Estado de lo que considera una “cuarta instancia”, la Comisión observa que al admitir esta petición no pretende suplantar la competencia de las autoridades judiciales domésticas. Sino que analizará en la etapa de fondo de la presente petición, si los procesos judiciales internos </w:t>
      </w:r>
      <w:r w:rsidRPr="00A43B77">
        <w:rPr>
          <w:rFonts w:asciiTheme="majorHAnsi" w:hAnsiTheme="majorHAnsi"/>
          <w:sz w:val="20"/>
          <w:szCs w:val="20"/>
          <w:lang w:val="es-ES_tradnl"/>
        </w:rPr>
        <w:lastRenderedPageBreak/>
        <w:t xml:space="preserve">cumplieron con las garantías del debido proceso y protección judicial, y ofreció las debidas garantías de acceso a la justicia para las presuntas víctimas en los términos de la Convención Americana. Asimismo, dentro del marco de su mandato es competente para declarar admisible una petición cuando ésta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A43B77">
        <w:rPr>
          <w:rFonts w:asciiTheme="majorHAnsi" w:hAnsiTheme="majorHAnsi"/>
          <w:i/>
          <w:iCs/>
          <w:sz w:val="20"/>
          <w:szCs w:val="20"/>
          <w:lang w:val="es-ES_tradnl"/>
        </w:rPr>
        <w:t>prima facie</w:t>
      </w:r>
      <w:r w:rsidRPr="00A43B77">
        <w:rPr>
          <w:rFonts w:asciiTheme="majorHAnsi" w:hAnsiTheme="majorHAnsi"/>
          <w:sz w:val="20"/>
          <w:szCs w:val="20"/>
          <w:lang w:val="es-ES_tradnl"/>
        </w:rPr>
        <w:t xml:space="preserve"> violaciones a la Convención Americana”</w:t>
      </w:r>
      <w:r w:rsidRPr="00A43B77">
        <w:rPr>
          <w:rFonts w:asciiTheme="majorHAnsi" w:hAnsiTheme="majorHAnsi"/>
          <w:sz w:val="20"/>
          <w:szCs w:val="20"/>
          <w:vertAlign w:val="superscript"/>
          <w:lang w:val="es-ES_tradnl"/>
        </w:rPr>
        <w:footnoteReference w:id="7"/>
      </w:r>
      <w:r w:rsidRPr="00A43B77">
        <w:rPr>
          <w:rFonts w:asciiTheme="majorHAnsi" w:hAnsiTheme="majorHAnsi"/>
          <w:sz w:val="20"/>
          <w:szCs w:val="20"/>
          <w:lang w:val="es-ES_tradnl"/>
        </w:rPr>
        <w:t>.</w:t>
      </w:r>
    </w:p>
    <w:p w14:paraId="34A0FF89" w14:textId="7B9B0637" w:rsidR="005D330F" w:rsidRPr="00A43B77" w:rsidRDefault="005D330F" w:rsidP="00A85069">
      <w:pPr>
        <w:pStyle w:val="ListParagraph"/>
        <w:widowControl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Teniendo en cuenta lo anterior, y sus precedentes en esta materia</w:t>
      </w:r>
      <w:r w:rsidRPr="00A43B77">
        <w:rPr>
          <w:rFonts w:asciiTheme="majorHAnsi" w:hAnsiTheme="majorHAnsi"/>
          <w:sz w:val="20"/>
          <w:szCs w:val="20"/>
          <w:vertAlign w:val="superscript"/>
          <w:lang w:val="es-ES_tradnl"/>
        </w:rPr>
        <w:footnoteReference w:id="8"/>
      </w:r>
      <w:r w:rsidRPr="00A43B77">
        <w:rPr>
          <w:rFonts w:asciiTheme="majorHAnsi" w:hAnsiTheme="majorHAnsi"/>
          <w:sz w:val="20"/>
          <w:szCs w:val="20"/>
          <w:lang w:val="es-ES_tradnl"/>
        </w:rPr>
        <w:t xml:space="preserve">, la CIDH considera que los alegatos de la parte peticionaria no resultan manifiestamente infundadas y requieren un estudio de fondo, pues los hechos alegados, de corroborarse como ciertos podrían caracterizar violaciones a los derechos establecidos en los artículos 8 (garantías judiciales), 24 (igualdad ante la ley) y 25 (protección judicial) de la Convención Americana, en relación con sus artículos 1.1 (obligación de respetar los derechos) y 2 (deber de adoptar disposiciones de derecho interno). Los hechos iniciales ocurridos a partir de los </w:t>
      </w:r>
      <w:r w:rsidR="00F54DB6" w:rsidRPr="00A43B77">
        <w:rPr>
          <w:rFonts w:asciiTheme="majorHAnsi" w:hAnsiTheme="majorHAnsi"/>
          <w:sz w:val="20"/>
          <w:szCs w:val="20"/>
          <w:lang w:val="es-ES_tradnl"/>
        </w:rPr>
        <w:t>19</w:t>
      </w:r>
      <w:r w:rsidRPr="00A43B77">
        <w:rPr>
          <w:rFonts w:asciiTheme="majorHAnsi" w:hAnsiTheme="majorHAnsi"/>
          <w:sz w:val="20"/>
          <w:szCs w:val="20"/>
          <w:lang w:val="es-ES_tradnl"/>
        </w:rPr>
        <w:t>70s serán valorados a modo de contexto y antecedentes, en la etapa de fondo de la presente petición.</w:t>
      </w:r>
    </w:p>
    <w:p w14:paraId="1F780AE8" w14:textId="23004A48" w:rsidR="005D330F" w:rsidRPr="00A43B77" w:rsidRDefault="005D330F" w:rsidP="005D330F">
      <w:pPr>
        <w:pStyle w:val="Heading2"/>
        <w:spacing w:before="0"/>
        <w:ind w:right="12" w:firstLine="851"/>
        <w:rPr>
          <w:rFonts w:asciiTheme="majorHAnsi" w:hAnsiTheme="majorHAnsi"/>
          <w:i w:val="0"/>
          <w:iCs w:val="0"/>
          <w:sz w:val="20"/>
          <w:szCs w:val="20"/>
          <w:lang w:val="es-ES_tradnl"/>
        </w:rPr>
      </w:pPr>
      <w:r w:rsidRPr="00A43B77">
        <w:rPr>
          <w:rFonts w:asciiTheme="majorHAnsi" w:hAnsiTheme="majorHAnsi"/>
          <w:i w:val="0"/>
          <w:iCs w:val="0"/>
          <w:sz w:val="20"/>
          <w:szCs w:val="20"/>
          <w:lang w:val="es-ES_tradnl"/>
        </w:rPr>
        <w:t>V</w:t>
      </w:r>
      <w:r w:rsidR="009949F8">
        <w:rPr>
          <w:rFonts w:asciiTheme="majorHAnsi" w:hAnsiTheme="majorHAnsi"/>
          <w:i w:val="0"/>
          <w:iCs w:val="0"/>
          <w:sz w:val="20"/>
          <w:szCs w:val="20"/>
          <w:lang w:val="es-ES_tradnl"/>
        </w:rPr>
        <w:t>II</w:t>
      </w:r>
      <w:r w:rsidRPr="00A43B77">
        <w:rPr>
          <w:rFonts w:asciiTheme="majorHAnsi" w:hAnsiTheme="majorHAnsi"/>
          <w:i w:val="0"/>
          <w:iCs w:val="0"/>
          <w:sz w:val="20"/>
          <w:szCs w:val="20"/>
          <w:lang w:val="es-ES_tradnl"/>
        </w:rPr>
        <w:t xml:space="preserve">I. </w:t>
      </w:r>
      <w:r w:rsidRPr="00A43B77">
        <w:rPr>
          <w:rFonts w:asciiTheme="majorHAnsi" w:hAnsiTheme="majorHAnsi"/>
          <w:i w:val="0"/>
          <w:iCs w:val="0"/>
          <w:sz w:val="20"/>
          <w:szCs w:val="20"/>
          <w:lang w:val="es-ES_tradnl"/>
        </w:rPr>
        <w:tab/>
        <w:t>DECISIÓN</w:t>
      </w:r>
    </w:p>
    <w:p w14:paraId="5B471B7B" w14:textId="4C1929D7" w:rsidR="005D330F" w:rsidRPr="00A43B77" w:rsidRDefault="005D330F" w:rsidP="00A8506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sz w:val="20"/>
          <w:szCs w:val="20"/>
          <w:lang w:val="es-ES_tradnl"/>
        </w:rPr>
      </w:pPr>
      <w:r w:rsidRPr="00A43B77">
        <w:rPr>
          <w:rFonts w:asciiTheme="majorHAnsi" w:hAnsiTheme="majorHAnsi"/>
          <w:sz w:val="20"/>
          <w:szCs w:val="20"/>
          <w:lang w:val="es-ES_tradnl"/>
        </w:rPr>
        <w:t>Declarar admisible la presente petición en relación con los artículos 8, 24 y 25 de la Convención Americana, en concordancia con los artículos 1.1 y 2 del mismo</w:t>
      </w:r>
      <w:r w:rsidRPr="00A43B77">
        <w:rPr>
          <w:rFonts w:asciiTheme="majorHAnsi" w:hAnsiTheme="majorHAnsi"/>
          <w:spacing w:val="-11"/>
          <w:sz w:val="20"/>
          <w:szCs w:val="20"/>
          <w:lang w:val="es-ES_tradnl"/>
        </w:rPr>
        <w:t xml:space="preserve"> </w:t>
      </w:r>
      <w:r w:rsidRPr="00A43B77">
        <w:rPr>
          <w:rFonts w:asciiTheme="majorHAnsi" w:hAnsiTheme="majorHAnsi"/>
          <w:sz w:val="20"/>
          <w:szCs w:val="20"/>
          <w:lang w:val="es-ES_tradnl"/>
        </w:rPr>
        <w:t>instrumento</w:t>
      </w:r>
      <w:r w:rsidR="00A04902">
        <w:rPr>
          <w:rFonts w:asciiTheme="majorHAnsi" w:hAnsiTheme="majorHAnsi"/>
          <w:sz w:val="20"/>
          <w:szCs w:val="20"/>
          <w:lang w:val="es-ES_tradnl"/>
        </w:rPr>
        <w:t>, y;</w:t>
      </w:r>
    </w:p>
    <w:p w14:paraId="19FB5F14" w14:textId="01545276" w:rsidR="005D330F" w:rsidRPr="009949F8" w:rsidRDefault="005D330F" w:rsidP="00A85069">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rFonts w:asciiTheme="majorHAnsi" w:hAnsiTheme="majorHAnsi" w:cs="Calibri"/>
          <w:sz w:val="20"/>
          <w:szCs w:val="20"/>
          <w:lang w:val="es-ES_tradnl"/>
        </w:rPr>
      </w:pPr>
      <w:r w:rsidRPr="00A43B77">
        <w:rPr>
          <w:rFonts w:asciiTheme="majorHAnsi" w:hAnsiTheme="majorHAnsi"/>
          <w:sz w:val="20"/>
          <w:szCs w:val="20"/>
          <w:lang w:val="es-ES_tradnl"/>
        </w:rPr>
        <w:t>Notificar</w:t>
      </w:r>
      <w:r w:rsidRPr="00A43B77">
        <w:rPr>
          <w:rFonts w:asciiTheme="majorHAnsi" w:hAnsiTheme="majorHAnsi"/>
          <w:spacing w:val="-5"/>
          <w:sz w:val="20"/>
          <w:szCs w:val="20"/>
          <w:lang w:val="es-ES_tradnl"/>
        </w:rPr>
        <w:t xml:space="preserve"> </w:t>
      </w:r>
      <w:r w:rsidRPr="00A43B77">
        <w:rPr>
          <w:rFonts w:asciiTheme="majorHAnsi" w:hAnsiTheme="majorHAnsi"/>
          <w:sz w:val="20"/>
          <w:szCs w:val="20"/>
          <w:lang w:val="es-ES_tradnl"/>
        </w:rPr>
        <w:t>a</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las</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partes</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la</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presente</w:t>
      </w:r>
      <w:r w:rsidRPr="00A43B77">
        <w:rPr>
          <w:rFonts w:asciiTheme="majorHAnsi" w:hAnsiTheme="majorHAnsi"/>
          <w:spacing w:val="-5"/>
          <w:sz w:val="20"/>
          <w:szCs w:val="20"/>
          <w:lang w:val="es-ES_tradnl"/>
        </w:rPr>
        <w:t xml:space="preserve"> </w:t>
      </w:r>
      <w:r w:rsidRPr="00A43B77">
        <w:rPr>
          <w:rFonts w:asciiTheme="majorHAnsi" w:hAnsiTheme="majorHAnsi"/>
          <w:sz w:val="20"/>
          <w:szCs w:val="20"/>
          <w:lang w:val="es-ES_tradnl"/>
        </w:rPr>
        <w:t>decisión;</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continuar</w:t>
      </w:r>
      <w:r w:rsidRPr="00A43B77">
        <w:rPr>
          <w:rFonts w:asciiTheme="majorHAnsi" w:hAnsiTheme="majorHAnsi"/>
          <w:spacing w:val="-5"/>
          <w:sz w:val="20"/>
          <w:szCs w:val="20"/>
          <w:lang w:val="es-ES_tradnl"/>
        </w:rPr>
        <w:t xml:space="preserve"> </w:t>
      </w:r>
      <w:r w:rsidRPr="00A43B77">
        <w:rPr>
          <w:rFonts w:asciiTheme="majorHAnsi" w:hAnsiTheme="majorHAnsi"/>
          <w:sz w:val="20"/>
          <w:szCs w:val="20"/>
          <w:lang w:val="es-ES_tradnl"/>
        </w:rPr>
        <w:t>con</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el</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análisis</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del</w:t>
      </w:r>
      <w:r w:rsidRPr="00A43B77">
        <w:rPr>
          <w:rFonts w:asciiTheme="majorHAnsi" w:hAnsiTheme="majorHAnsi"/>
          <w:spacing w:val="-2"/>
          <w:sz w:val="20"/>
          <w:szCs w:val="20"/>
          <w:lang w:val="es-ES_tradnl"/>
        </w:rPr>
        <w:t xml:space="preserve"> </w:t>
      </w:r>
      <w:r w:rsidRPr="00A43B77">
        <w:rPr>
          <w:rFonts w:asciiTheme="majorHAnsi" w:hAnsiTheme="majorHAnsi"/>
          <w:sz w:val="20"/>
          <w:szCs w:val="20"/>
          <w:lang w:val="es-ES_tradnl"/>
        </w:rPr>
        <w:t>fondo</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de</w:t>
      </w:r>
      <w:r w:rsidRPr="00A43B77">
        <w:rPr>
          <w:rFonts w:asciiTheme="majorHAnsi" w:hAnsiTheme="majorHAnsi"/>
          <w:spacing w:val="-5"/>
          <w:sz w:val="20"/>
          <w:szCs w:val="20"/>
          <w:lang w:val="es-ES_tradnl"/>
        </w:rPr>
        <w:t xml:space="preserve"> </w:t>
      </w:r>
      <w:r w:rsidRPr="00A43B77">
        <w:rPr>
          <w:rFonts w:asciiTheme="majorHAnsi" w:hAnsiTheme="majorHAnsi"/>
          <w:sz w:val="20"/>
          <w:szCs w:val="20"/>
          <w:lang w:val="es-ES_tradnl"/>
        </w:rPr>
        <w:t>la</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cuestión;</w:t>
      </w:r>
      <w:r w:rsidRPr="00A43B77">
        <w:rPr>
          <w:rFonts w:asciiTheme="majorHAnsi" w:hAnsiTheme="majorHAnsi"/>
          <w:spacing w:val="-3"/>
          <w:sz w:val="20"/>
          <w:szCs w:val="20"/>
          <w:lang w:val="es-ES_tradnl"/>
        </w:rPr>
        <w:t xml:space="preserve"> </w:t>
      </w:r>
      <w:r w:rsidRPr="00A43B77">
        <w:rPr>
          <w:rFonts w:asciiTheme="majorHAnsi" w:hAnsiTheme="majorHAnsi"/>
          <w:sz w:val="20"/>
          <w:szCs w:val="20"/>
          <w:lang w:val="es-ES_tradnl"/>
        </w:rPr>
        <w:t>y publicar esta decisión e incluirla en su Informe Anual a la Asamblea General de la Organización de los Estados Americanos.</w:t>
      </w:r>
    </w:p>
    <w:p w14:paraId="277BD15C" w14:textId="77777777" w:rsidR="009949F8" w:rsidRPr="00A37B82" w:rsidRDefault="009949F8" w:rsidP="009949F8">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Julissa Mantilla Falcón, Primera Vicepresidenta;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41B7AD5" w14:textId="77777777" w:rsidR="009949F8" w:rsidRPr="00A37B82" w:rsidRDefault="009949F8" w:rsidP="009949F8">
      <w:pPr>
        <w:suppressAutoHyphens/>
        <w:ind w:firstLine="720"/>
        <w:jc w:val="both"/>
        <w:rPr>
          <w:rFonts w:asciiTheme="majorHAnsi" w:hAnsiTheme="majorHAnsi" w:cs="Arial"/>
          <w:noProof/>
          <w:spacing w:val="-2"/>
          <w:sz w:val="20"/>
          <w:szCs w:val="20"/>
          <w:lang w:val="es-CL"/>
        </w:rPr>
      </w:pPr>
    </w:p>
    <w:sectPr w:rsidR="009949F8"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C868" w14:textId="77777777" w:rsidR="00D7623E" w:rsidRDefault="00D7623E">
      <w:r>
        <w:separator/>
      </w:r>
    </w:p>
  </w:endnote>
  <w:endnote w:type="continuationSeparator" w:id="0">
    <w:p w14:paraId="71500ECE" w14:textId="77777777" w:rsidR="00D7623E" w:rsidRDefault="00D7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0726" w14:textId="77777777" w:rsidR="00D7623E" w:rsidRPr="000F35ED" w:rsidRDefault="00D7623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259F553" w14:textId="77777777" w:rsidR="00D7623E" w:rsidRPr="000F35ED" w:rsidRDefault="00D7623E" w:rsidP="000F35ED">
      <w:pPr>
        <w:rPr>
          <w:rFonts w:asciiTheme="majorHAnsi" w:hAnsiTheme="majorHAnsi"/>
          <w:sz w:val="16"/>
          <w:szCs w:val="16"/>
        </w:rPr>
      </w:pPr>
      <w:r w:rsidRPr="000F35ED">
        <w:rPr>
          <w:rFonts w:asciiTheme="majorHAnsi" w:hAnsiTheme="majorHAnsi"/>
          <w:sz w:val="16"/>
          <w:szCs w:val="16"/>
        </w:rPr>
        <w:separator/>
      </w:r>
    </w:p>
    <w:p w14:paraId="30255662" w14:textId="77777777" w:rsidR="00D7623E" w:rsidRPr="000F35ED" w:rsidRDefault="00D7623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23D4BFC" w14:textId="77777777" w:rsidR="00D7623E" w:rsidRPr="000F35ED" w:rsidRDefault="00D7623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5C8140B" w14:textId="77777777" w:rsidR="002253F2" w:rsidRPr="005E5A6A" w:rsidRDefault="002253F2" w:rsidP="008C1355">
      <w:pPr>
        <w:pStyle w:val="FootnoteText"/>
        <w:ind w:firstLine="720"/>
        <w:jc w:val="both"/>
        <w:rPr>
          <w:rFonts w:asciiTheme="majorHAnsi" w:hAnsiTheme="majorHAnsi"/>
          <w:sz w:val="16"/>
          <w:szCs w:val="16"/>
          <w:lang w:val="es-MX"/>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En adelante, “la Convención Americana” o “la Convención”.</w:t>
      </w:r>
    </w:p>
  </w:footnote>
  <w:footnote w:id="3">
    <w:p w14:paraId="1AFEF3B0" w14:textId="77777777" w:rsidR="008E3BFE" w:rsidRPr="005E5A6A" w:rsidRDefault="008E3BFE" w:rsidP="008C1355">
      <w:pPr>
        <w:pStyle w:val="FootnoteText"/>
        <w:ind w:firstLine="720"/>
        <w:jc w:val="both"/>
        <w:rPr>
          <w:rFonts w:asciiTheme="majorHAnsi" w:hAnsiTheme="majorHAnsi"/>
          <w:sz w:val="16"/>
          <w:szCs w:val="16"/>
          <w:lang w:val="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Las observaciones de cada parte fueron debidamente trasladadas a la parte contraria.</w:t>
      </w:r>
    </w:p>
  </w:footnote>
  <w:footnote w:id="4">
    <w:p w14:paraId="675D17A7" w14:textId="77777777" w:rsidR="00293F17" w:rsidRPr="005E5A6A" w:rsidRDefault="00293F17" w:rsidP="00293F17">
      <w:pPr>
        <w:pStyle w:val="FootnoteText"/>
        <w:spacing w:after="120"/>
        <w:ind w:firstLine="720"/>
        <w:jc w:val="both"/>
        <w:rPr>
          <w:rFonts w:asciiTheme="majorHAnsi" w:hAnsiTheme="majorHAnsi"/>
          <w:sz w:val="16"/>
          <w:szCs w:val="16"/>
          <w:lang w:val="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Similarmente: CIDH, Informe No. 180/20, Petición 270-11. Admisibilidad. Mateo Amelia Griselda. Argentina. 6 de julio de 2020, párrafos 6, 10, 13.</w:t>
      </w:r>
    </w:p>
  </w:footnote>
  <w:footnote w:id="5">
    <w:p w14:paraId="3A2D1179" w14:textId="77777777" w:rsidR="00070874" w:rsidRPr="005E5A6A" w:rsidRDefault="00070874" w:rsidP="00070874">
      <w:pPr>
        <w:pStyle w:val="FootnoteText"/>
        <w:ind w:firstLine="720"/>
        <w:jc w:val="both"/>
        <w:rPr>
          <w:rFonts w:asciiTheme="majorHAnsi" w:hAnsiTheme="majorHAnsi"/>
          <w:sz w:val="16"/>
          <w:szCs w:val="16"/>
          <w:lang w:val="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w:t>
      </w:r>
      <w:r w:rsidRPr="005E5A6A">
        <w:rPr>
          <w:rFonts w:asciiTheme="majorHAnsi" w:hAnsiTheme="majorHAnsi"/>
          <w:sz w:val="16"/>
          <w:szCs w:val="16"/>
          <w:lang w:val="es-ES_tradnl"/>
        </w:rPr>
        <w:t>CIDH, Informe No. 90/03, Petición 0581/1999. Inadmisibilidad. Gustavo Trujillo González. Perú. 22 de octubre de 2003, párr. 32.</w:t>
      </w:r>
    </w:p>
  </w:footnote>
  <w:footnote w:id="6">
    <w:p w14:paraId="6E040F51" w14:textId="77777777" w:rsidR="00070874" w:rsidRPr="005E5A6A" w:rsidRDefault="00070874" w:rsidP="00070874">
      <w:pPr>
        <w:ind w:firstLine="720"/>
        <w:jc w:val="both"/>
        <w:rPr>
          <w:rFonts w:asciiTheme="majorHAnsi" w:hAnsiTheme="majorHAnsi"/>
          <w:sz w:val="16"/>
          <w:szCs w:val="16"/>
          <w:lang w:val="es-US" w:eastAsia="fr-FR" w:bidi="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w:t>
      </w:r>
      <w:r w:rsidRPr="005E5A6A">
        <w:rPr>
          <w:rFonts w:asciiTheme="majorHAnsi" w:hAnsiTheme="majorHAnsi"/>
          <w:sz w:val="16"/>
          <w:szCs w:val="16"/>
          <w:lang w:val="es-ES" w:eastAsia="fr-FR" w:bidi="es-ES"/>
        </w:rPr>
        <w:t xml:space="preserve">Véase CIDH, Informe No. 56/16. Petición 666-03. Admisibilidad. Luis Alberto Leiva. Argentina. 6 de diciembre de 2016. También véase Corte IDH, Caso </w:t>
      </w:r>
      <w:proofErr w:type="spellStart"/>
      <w:r w:rsidRPr="005E5A6A">
        <w:rPr>
          <w:rFonts w:asciiTheme="majorHAnsi" w:hAnsiTheme="majorHAnsi"/>
          <w:sz w:val="16"/>
          <w:szCs w:val="16"/>
          <w:lang w:val="es-ES" w:eastAsia="fr-FR" w:bidi="es-ES"/>
        </w:rPr>
        <w:t>Mémoli</w:t>
      </w:r>
      <w:proofErr w:type="spellEnd"/>
      <w:r w:rsidRPr="005E5A6A">
        <w:rPr>
          <w:rFonts w:asciiTheme="majorHAnsi" w:hAnsiTheme="majorHAnsi"/>
          <w:sz w:val="16"/>
          <w:szCs w:val="16"/>
          <w:lang w:val="es-ES" w:eastAsia="fr-FR" w:bidi="es-ES"/>
        </w:rPr>
        <w:t xml:space="preserve"> vs. Argentina. Excepciones Preliminares, Fondo, Reparaciones y Costas. Sentencia de 22 de agosto de 2013. Serie C No. 295, </w:t>
      </w:r>
      <w:proofErr w:type="spellStart"/>
      <w:r w:rsidRPr="005E5A6A">
        <w:rPr>
          <w:rFonts w:asciiTheme="majorHAnsi" w:hAnsiTheme="majorHAnsi"/>
          <w:sz w:val="16"/>
          <w:szCs w:val="16"/>
          <w:lang w:val="es-ES" w:eastAsia="fr-FR" w:bidi="es-ES"/>
        </w:rPr>
        <w:t>párrs</w:t>
      </w:r>
      <w:proofErr w:type="spellEnd"/>
      <w:r w:rsidRPr="005E5A6A">
        <w:rPr>
          <w:rFonts w:asciiTheme="majorHAnsi" w:hAnsiTheme="majorHAnsi"/>
          <w:sz w:val="16"/>
          <w:szCs w:val="16"/>
          <w:lang w:val="es-ES" w:eastAsia="fr-FR" w:bidi="es-ES"/>
        </w:rPr>
        <w:t>. 30-33.</w:t>
      </w:r>
    </w:p>
  </w:footnote>
  <w:footnote w:id="7">
    <w:p w14:paraId="2270BD92" w14:textId="77777777" w:rsidR="005D330F" w:rsidRPr="005E5A6A" w:rsidRDefault="005D330F" w:rsidP="008C1355">
      <w:pPr>
        <w:pStyle w:val="FootnoteText"/>
        <w:ind w:firstLine="720"/>
        <w:jc w:val="both"/>
        <w:rPr>
          <w:rFonts w:asciiTheme="majorHAnsi" w:hAnsiTheme="majorHAnsi"/>
          <w:sz w:val="16"/>
          <w:szCs w:val="16"/>
          <w:lang w:val="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PA"/>
        </w:rPr>
        <w:t xml:space="preserve"> CIDH, Informe No. 143/18, Petición 940-08. </w:t>
      </w:r>
      <w:r w:rsidRPr="005E5A6A">
        <w:rPr>
          <w:rFonts w:asciiTheme="majorHAnsi" w:hAnsiTheme="majorHAnsi"/>
          <w:sz w:val="16"/>
          <w:szCs w:val="16"/>
          <w:lang w:val="es-ES"/>
        </w:rPr>
        <w:t>Admisibilidad. Luis Américo Ayala Gonzales. Perú. 4 de diciembre de 2018, párr. 12.</w:t>
      </w:r>
    </w:p>
  </w:footnote>
  <w:footnote w:id="8">
    <w:p w14:paraId="5A254874" w14:textId="25B3E61D" w:rsidR="005D330F" w:rsidRPr="005E5A6A" w:rsidRDefault="005D330F" w:rsidP="008C1355">
      <w:pPr>
        <w:ind w:firstLine="720"/>
        <w:jc w:val="both"/>
        <w:rPr>
          <w:rFonts w:asciiTheme="majorHAnsi" w:hAnsiTheme="majorHAnsi"/>
          <w:sz w:val="16"/>
          <w:szCs w:val="16"/>
          <w:lang w:val="es-US" w:eastAsia="fr-FR" w:bidi="es-ES"/>
        </w:rPr>
      </w:pPr>
      <w:r w:rsidRPr="005E5A6A">
        <w:rPr>
          <w:rStyle w:val="FootnoteReference"/>
          <w:rFonts w:asciiTheme="majorHAnsi" w:hAnsiTheme="majorHAnsi"/>
          <w:sz w:val="16"/>
          <w:szCs w:val="16"/>
        </w:rPr>
        <w:footnoteRef/>
      </w:r>
      <w:r w:rsidRPr="005E5A6A">
        <w:rPr>
          <w:rFonts w:asciiTheme="majorHAnsi" w:hAnsiTheme="majorHAnsi"/>
          <w:sz w:val="16"/>
          <w:szCs w:val="16"/>
          <w:lang w:val="es-ES"/>
        </w:rPr>
        <w:t xml:space="preserve"> </w:t>
      </w:r>
      <w:r w:rsidR="008C1355" w:rsidRPr="005E5A6A">
        <w:rPr>
          <w:rFonts w:asciiTheme="majorHAnsi" w:hAnsiTheme="majorHAnsi"/>
          <w:sz w:val="16"/>
          <w:szCs w:val="16"/>
          <w:lang w:val="es-US" w:eastAsia="fr-FR" w:bidi="es-ES"/>
        </w:rPr>
        <w:t xml:space="preserve">CIDH. </w:t>
      </w:r>
      <w:hyperlink r:id="rId1" w:history="1">
        <w:r w:rsidR="008C1355" w:rsidRPr="005E5A6A">
          <w:rPr>
            <w:rStyle w:val="Hyperlink"/>
            <w:rFonts w:asciiTheme="majorHAnsi" w:hAnsiTheme="majorHAnsi"/>
            <w:sz w:val="16"/>
            <w:szCs w:val="16"/>
            <w:u w:val="none"/>
            <w:lang w:val="es-US" w:eastAsia="fr-FR" w:bidi="es-ES"/>
          </w:rPr>
          <w:t>Informe 45/14</w:t>
        </w:r>
      </w:hyperlink>
      <w:r w:rsidR="008C1355" w:rsidRPr="005E5A6A">
        <w:rPr>
          <w:rFonts w:asciiTheme="majorHAnsi" w:hAnsiTheme="majorHAnsi"/>
          <w:sz w:val="16"/>
          <w:szCs w:val="16"/>
          <w:lang w:val="es-US" w:eastAsia="fr-FR" w:bidi="es-ES"/>
        </w:rPr>
        <w:t xml:space="preserve">. Admisibilidad. Petición 325-00. Rufino Jorge Almeida. Argentina. 18 de julio de 2014; CIDH. </w:t>
      </w:r>
      <w:hyperlink r:id="rId2" w:history="1">
        <w:r w:rsidR="008C1355" w:rsidRPr="005E5A6A">
          <w:rPr>
            <w:rStyle w:val="Hyperlink"/>
            <w:rFonts w:asciiTheme="majorHAnsi" w:hAnsiTheme="majorHAnsi"/>
            <w:sz w:val="16"/>
            <w:szCs w:val="16"/>
            <w:u w:val="none"/>
            <w:lang w:val="es-US" w:eastAsia="fr-FR" w:bidi="es-ES"/>
          </w:rPr>
          <w:t>Informe No. 57/16</w:t>
        </w:r>
      </w:hyperlink>
      <w:r w:rsidR="008C1355" w:rsidRPr="005E5A6A">
        <w:rPr>
          <w:rFonts w:asciiTheme="majorHAnsi" w:hAnsiTheme="majorHAnsi"/>
          <w:sz w:val="16"/>
          <w:szCs w:val="16"/>
          <w:lang w:val="es-US" w:eastAsia="fr-FR" w:bidi="es-ES"/>
        </w:rPr>
        <w:t>. Admisibilidad. Peticiones 589-07, 590-07 y 591-07. Julio Cesar Rito de los Santos y otros. Argentina. 6 de diciembre de 2016</w:t>
      </w:r>
      <w:r w:rsidR="008155B2" w:rsidRPr="005E5A6A">
        <w:rPr>
          <w:rFonts w:asciiTheme="majorHAnsi" w:hAnsiTheme="majorHAnsi"/>
          <w:sz w:val="16"/>
          <w:szCs w:val="16"/>
          <w:lang w:val="es-US" w:eastAsia="fr-FR" w:bidi="es-ES"/>
        </w:rPr>
        <w:t xml:space="preserve">; </w:t>
      </w:r>
      <w:r w:rsidR="00A43B77">
        <w:rPr>
          <w:rFonts w:asciiTheme="majorHAnsi" w:hAnsiTheme="majorHAnsi"/>
          <w:sz w:val="16"/>
          <w:szCs w:val="16"/>
          <w:lang w:val="es-US" w:eastAsia="fr-FR" w:bidi="es-ES"/>
        </w:rPr>
        <w:t xml:space="preserve">y </w:t>
      </w:r>
      <w:r w:rsidR="008155B2" w:rsidRPr="005E5A6A">
        <w:rPr>
          <w:rFonts w:asciiTheme="majorHAnsi" w:hAnsiTheme="majorHAnsi"/>
          <w:sz w:val="16"/>
          <w:szCs w:val="16"/>
          <w:lang w:val="es-US" w:eastAsia="fr-FR" w:bidi="es-ES"/>
        </w:rPr>
        <w:t>CIDH</w:t>
      </w:r>
      <w:hyperlink r:id="rId3" w:history="1">
        <w:r w:rsidR="008155B2" w:rsidRPr="005E5A6A">
          <w:rPr>
            <w:rStyle w:val="Hyperlink"/>
            <w:rFonts w:asciiTheme="majorHAnsi" w:hAnsiTheme="majorHAnsi"/>
            <w:sz w:val="16"/>
            <w:szCs w:val="16"/>
            <w:u w:val="none"/>
            <w:lang w:val="es-US" w:eastAsia="fr-FR" w:bidi="es-ES"/>
          </w:rPr>
          <w:t>. Informe No. 58/21</w:t>
        </w:r>
      </w:hyperlink>
      <w:r w:rsidR="008155B2" w:rsidRPr="005E5A6A">
        <w:rPr>
          <w:rFonts w:asciiTheme="majorHAnsi" w:hAnsiTheme="majorHAnsi"/>
          <w:sz w:val="16"/>
          <w:szCs w:val="16"/>
          <w:lang w:val="es-US" w:eastAsia="fr-FR" w:bidi="es-ES"/>
        </w:rPr>
        <w:t>. Admisibilidad. Petición 1548-10. Eduardo Hugo Molina Zequeira. Argentina. 9 de marzo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7623E"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1B38CB"/>
    <w:multiLevelType w:val="hybridMultilevel"/>
    <w:tmpl w:val="08F89648"/>
    <w:lvl w:ilvl="0" w:tplc="D0FCE410">
      <w:start w:val="1"/>
      <w:numFmt w:val="decimal"/>
      <w:lvlText w:val="%1."/>
      <w:lvlJc w:val="left"/>
      <w:pPr>
        <w:ind w:left="760" w:hanging="720"/>
      </w:pPr>
      <w:rPr>
        <w:rFonts w:ascii="Cambria" w:eastAsia="Cambria" w:hAnsi="Cambria" w:cs="Cambria" w:hint="default"/>
        <w:w w:val="99"/>
        <w:sz w:val="20"/>
        <w:szCs w:val="20"/>
        <w:lang w:val="es-ES" w:eastAsia="es-ES" w:bidi="es-ES"/>
      </w:rPr>
    </w:lvl>
    <w:lvl w:ilvl="1" w:tplc="DA801E7C">
      <w:numFmt w:val="bullet"/>
      <w:lvlText w:val="•"/>
      <w:lvlJc w:val="left"/>
      <w:pPr>
        <w:ind w:left="1720" w:hanging="720"/>
      </w:pPr>
      <w:rPr>
        <w:rFonts w:hint="default"/>
        <w:lang w:val="es-ES" w:eastAsia="es-ES" w:bidi="es-ES"/>
      </w:rPr>
    </w:lvl>
    <w:lvl w:ilvl="2" w:tplc="F84C39F6">
      <w:numFmt w:val="bullet"/>
      <w:lvlText w:val="•"/>
      <w:lvlJc w:val="left"/>
      <w:pPr>
        <w:ind w:left="2680" w:hanging="720"/>
      </w:pPr>
      <w:rPr>
        <w:rFonts w:hint="default"/>
        <w:lang w:val="es-ES" w:eastAsia="es-ES" w:bidi="es-ES"/>
      </w:rPr>
    </w:lvl>
    <w:lvl w:ilvl="3" w:tplc="E7CC33BC">
      <w:numFmt w:val="bullet"/>
      <w:lvlText w:val="•"/>
      <w:lvlJc w:val="left"/>
      <w:pPr>
        <w:ind w:left="3640" w:hanging="720"/>
      </w:pPr>
      <w:rPr>
        <w:rFonts w:hint="default"/>
        <w:lang w:val="es-ES" w:eastAsia="es-ES" w:bidi="es-ES"/>
      </w:rPr>
    </w:lvl>
    <w:lvl w:ilvl="4" w:tplc="0E4234B4">
      <w:numFmt w:val="bullet"/>
      <w:lvlText w:val="•"/>
      <w:lvlJc w:val="left"/>
      <w:pPr>
        <w:ind w:left="4600" w:hanging="720"/>
      </w:pPr>
      <w:rPr>
        <w:rFonts w:hint="default"/>
        <w:lang w:val="es-ES" w:eastAsia="es-ES" w:bidi="es-ES"/>
      </w:rPr>
    </w:lvl>
    <w:lvl w:ilvl="5" w:tplc="4E04560C">
      <w:numFmt w:val="bullet"/>
      <w:lvlText w:val="•"/>
      <w:lvlJc w:val="left"/>
      <w:pPr>
        <w:ind w:left="5560" w:hanging="720"/>
      </w:pPr>
      <w:rPr>
        <w:rFonts w:hint="default"/>
        <w:lang w:val="es-ES" w:eastAsia="es-ES" w:bidi="es-ES"/>
      </w:rPr>
    </w:lvl>
    <w:lvl w:ilvl="6" w:tplc="5AA013D0">
      <w:numFmt w:val="bullet"/>
      <w:lvlText w:val="•"/>
      <w:lvlJc w:val="left"/>
      <w:pPr>
        <w:ind w:left="6520" w:hanging="720"/>
      </w:pPr>
      <w:rPr>
        <w:rFonts w:hint="default"/>
        <w:lang w:val="es-ES" w:eastAsia="es-ES" w:bidi="es-ES"/>
      </w:rPr>
    </w:lvl>
    <w:lvl w:ilvl="7" w:tplc="53544870">
      <w:numFmt w:val="bullet"/>
      <w:lvlText w:val="•"/>
      <w:lvlJc w:val="left"/>
      <w:pPr>
        <w:ind w:left="7480" w:hanging="720"/>
      </w:pPr>
      <w:rPr>
        <w:rFonts w:hint="default"/>
        <w:lang w:val="es-ES" w:eastAsia="es-ES" w:bidi="es-ES"/>
      </w:rPr>
    </w:lvl>
    <w:lvl w:ilvl="8" w:tplc="4AEE12A0">
      <w:numFmt w:val="bullet"/>
      <w:lvlText w:val="•"/>
      <w:lvlJc w:val="left"/>
      <w:pPr>
        <w:ind w:left="8440" w:hanging="720"/>
      </w:pPr>
      <w:rPr>
        <w:rFonts w:hint="default"/>
        <w:lang w:val="es-ES" w:eastAsia="es-ES" w:bidi="es-ES"/>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F785C96"/>
    <w:multiLevelType w:val="hybridMultilevel"/>
    <w:tmpl w:val="112C4270"/>
    <w:lvl w:ilvl="0" w:tplc="21D8E59C">
      <w:start w:val="1"/>
      <w:numFmt w:val="decimal"/>
      <w:lvlText w:val="%1."/>
      <w:lvlJc w:val="left"/>
      <w:pPr>
        <w:ind w:left="990"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AD47811"/>
    <w:multiLevelType w:val="hybridMultilevel"/>
    <w:tmpl w:val="96ACC8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001150"/>
    <w:multiLevelType w:val="hybridMultilevel"/>
    <w:tmpl w:val="B36A63D2"/>
    <w:lvl w:ilvl="0" w:tplc="D5CC9B08">
      <w:start w:val="1"/>
      <w:numFmt w:val="decimal"/>
      <w:lvlText w:val="%1."/>
      <w:lvlJc w:val="left"/>
      <w:pPr>
        <w:ind w:left="758" w:hanging="720"/>
      </w:pPr>
      <w:rPr>
        <w:rFonts w:ascii="Cambria" w:eastAsia="Cambria" w:hAnsi="Cambria" w:cs="Cambria" w:hint="default"/>
        <w:w w:val="99"/>
        <w:sz w:val="20"/>
        <w:szCs w:val="20"/>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4"/>
  </w:num>
  <w:num w:numId="4">
    <w:abstractNumId w:val="21"/>
  </w:num>
  <w:num w:numId="5">
    <w:abstractNumId w:val="48"/>
  </w:num>
  <w:num w:numId="6">
    <w:abstractNumId w:val="28"/>
  </w:num>
  <w:num w:numId="7">
    <w:abstractNumId w:val="6"/>
  </w:num>
  <w:num w:numId="8">
    <w:abstractNumId w:val="16"/>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7"/>
  </w:num>
  <w:num w:numId="48">
    <w:abstractNumId w:val="58"/>
  </w:num>
  <w:num w:numId="49">
    <w:abstractNumId w:val="60"/>
  </w:num>
  <w:num w:numId="50">
    <w:abstractNumId w:val="61"/>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3"/>
  </w:num>
  <w:num w:numId="60">
    <w:abstractNumId w:val="56"/>
  </w:num>
  <w:num w:numId="61">
    <w:abstractNumId w:val="19"/>
  </w:num>
  <w:num w:numId="62">
    <w:abstractNumId w:val="5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4967"/>
    <w:rsid w:val="000337EF"/>
    <w:rsid w:val="00040C3A"/>
    <w:rsid w:val="000419AD"/>
    <w:rsid w:val="000433C9"/>
    <w:rsid w:val="00070874"/>
    <w:rsid w:val="00071174"/>
    <w:rsid w:val="000716C5"/>
    <w:rsid w:val="00075E23"/>
    <w:rsid w:val="0009344A"/>
    <w:rsid w:val="000A1848"/>
    <w:rsid w:val="000A392E"/>
    <w:rsid w:val="000A575F"/>
    <w:rsid w:val="000D05CB"/>
    <w:rsid w:val="000D10DB"/>
    <w:rsid w:val="000E5EB5"/>
    <w:rsid w:val="000F35ED"/>
    <w:rsid w:val="00107131"/>
    <w:rsid w:val="0010736F"/>
    <w:rsid w:val="00113F73"/>
    <w:rsid w:val="00121CC2"/>
    <w:rsid w:val="00131425"/>
    <w:rsid w:val="00133EE5"/>
    <w:rsid w:val="00167A34"/>
    <w:rsid w:val="00175F7E"/>
    <w:rsid w:val="001A520D"/>
    <w:rsid w:val="001A7870"/>
    <w:rsid w:val="001B3A00"/>
    <w:rsid w:val="001C1B41"/>
    <w:rsid w:val="001D65EF"/>
    <w:rsid w:val="001E49E7"/>
    <w:rsid w:val="001F7038"/>
    <w:rsid w:val="001F7201"/>
    <w:rsid w:val="00200804"/>
    <w:rsid w:val="00201574"/>
    <w:rsid w:val="0022378E"/>
    <w:rsid w:val="00223A29"/>
    <w:rsid w:val="002250A3"/>
    <w:rsid w:val="002253F2"/>
    <w:rsid w:val="00235217"/>
    <w:rsid w:val="00243048"/>
    <w:rsid w:val="00246D1F"/>
    <w:rsid w:val="00247403"/>
    <w:rsid w:val="00247542"/>
    <w:rsid w:val="002510F1"/>
    <w:rsid w:val="002613D7"/>
    <w:rsid w:val="00266B61"/>
    <w:rsid w:val="0026712A"/>
    <w:rsid w:val="002704DB"/>
    <w:rsid w:val="00293F17"/>
    <w:rsid w:val="002A0AAE"/>
    <w:rsid w:val="002A5820"/>
    <w:rsid w:val="002D2B26"/>
    <w:rsid w:val="002D7EA2"/>
    <w:rsid w:val="002E187C"/>
    <w:rsid w:val="00302733"/>
    <w:rsid w:val="00305835"/>
    <w:rsid w:val="00306F33"/>
    <w:rsid w:val="00314078"/>
    <w:rsid w:val="0031535D"/>
    <w:rsid w:val="003239B8"/>
    <w:rsid w:val="0033169F"/>
    <w:rsid w:val="00344977"/>
    <w:rsid w:val="00346C95"/>
    <w:rsid w:val="00351A90"/>
    <w:rsid w:val="00356185"/>
    <w:rsid w:val="00360380"/>
    <w:rsid w:val="0037519E"/>
    <w:rsid w:val="00386CF0"/>
    <w:rsid w:val="00390FE5"/>
    <w:rsid w:val="003A7D5D"/>
    <w:rsid w:val="003B70FB"/>
    <w:rsid w:val="003C676B"/>
    <w:rsid w:val="003D3BC2"/>
    <w:rsid w:val="003D4581"/>
    <w:rsid w:val="003E6CA1"/>
    <w:rsid w:val="003F5154"/>
    <w:rsid w:val="00405F9C"/>
    <w:rsid w:val="004065A8"/>
    <w:rsid w:val="004165C2"/>
    <w:rsid w:val="00422A96"/>
    <w:rsid w:val="004241A0"/>
    <w:rsid w:val="004273B8"/>
    <w:rsid w:val="00441ECB"/>
    <w:rsid w:val="00445193"/>
    <w:rsid w:val="00462C1B"/>
    <w:rsid w:val="0046712F"/>
    <w:rsid w:val="00467B7E"/>
    <w:rsid w:val="00473085"/>
    <w:rsid w:val="00473BB4"/>
    <w:rsid w:val="00477592"/>
    <w:rsid w:val="00486F1C"/>
    <w:rsid w:val="0049419D"/>
    <w:rsid w:val="004A057B"/>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44F91"/>
    <w:rsid w:val="005516A1"/>
    <w:rsid w:val="005559EF"/>
    <w:rsid w:val="00563557"/>
    <w:rsid w:val="0057402A"/>
    <w:rsid w:val="005771D0"/>
    <w:rsid w:val="0059191A"/>
    <w:rsid w:val="005921FF"/>
    <w:rsid w:val="005A24ED"/>
    <w:rsid w:val="005A6D0E"/>
    <w:rsid w:val="005B04DD"/>
    <w:rsid w:val="005B52B0"/>
    <w:rsid w:val="005B6806"/>
    <w:rsid w:val="005C4225"/>
    <w:rsid w:val="005D330F"/>
    <w:rsid w:val="005E4DAA"/>
    <w:rsid w:val="005E5A6A"/>
    <w:rsid w:val="005F0DAD"/>
    <w:rsid w:val="005F0F33"/>
    <w:rsid w:val="005F6987"/>
    <w:rsid w:val="00600DEB"/>
    <w:rsid w:val="00627C9F"/>
    <w:rsid w:val="006311E9"/>
    <w:rsid w:val="00632354"/>
    <w:rsid w:val="00635421"/>
    <w:rsid w:val="00642810"/>
    <w:rsid w:val="00643DC6"/>
    <w:rsid w:val="00652333"/>
    <w:rsid w:val="00665757"/>
    <w:rsid w:val="006715BD"/>
    <w:rsid w:val="0068009E"/>
    <w:rsid w:val="00692219"/>
    <w:rsid w:val="006A17D2"/>
    <w:rsid w:val="006A73E6"/>
    <w:rsid w:val="006B2D5C"/>
    <w:rsid w:val="006B3918"/>
    <w:rsid w:val="006C0ECF"/>
    <w:rsid w:val="006C4EB1"/>
    <w:rsid w:val="006C6D70"/>
    <w:rsid w:val="006E0166"/>
    <w:rsid w:val="006E2FFB"/>
    <w:rsid w:val="006E7B34"/>
    <w:rsid w:val="0070697F"/>
    <w:rsid w:val="007103C4"/>
    <w:rsid w:val="0072199C"/>
    <w:rsid w:val="00722C9F"/>
    <w:rsid w:val="007253B8"/>
    <w:rsid w:val="0073741F"/>
    <w:rsid w:val="0076643F"/>
    <w:rsid w:val="00777F63"/>
    <w:rsid w:val="00781577"/>
    <w:rsid w:val="00781787"/>
    <w:rsid w:val="00787C76"/>
    <w:rsid w:val="00790D7A"/>
    <w:rsid w:val="00791E07"/>
    <w:rsid w:val="007A5817"/>
    <w:rsid w:val="007B05C4"/>
    <w:rsid w:val="007B60E9"/>
    <w:rsid w:val="007B6CC3"/>
    <w:rsid w:val="007B76D3"/>
    <w:rsid w:val="007C0986"/>
    <w:rsid w:val="007C0F62"/>
    <w:rsid w:val="007C3334"/>
    <w:rsid w:val="007D2B98"/>
    <w:rsid w:val="007E21BC"/>
    <w:rsid w:val="007E7C82"/>
    <w:rsid w:val="007F2AA1"/>
    <w:rsid w:val="007F588D"/>
    <w:rsid w:val="00803F1C"/>
    <w:rsid w:val="0080600E"/>
    <w:rsid w:val="00812310"/>
    <w:rsid w:val="00814688"/>
    <w:rsid w:val="008155B2"/>
    <w:rsid w:val="00817612"/>
    <w:rsid w:val="008207FC"/>
    <w:rsid w:val="008338A4"/>
    <w:rsid w:val="00834D49"/>
    <w:rsid w:val="00837C45"/>
    <w:rsid w:val="00844730"/>
    <w:rsid w:val="008457C2"/>
    <w:rsid w:val="00857A82"/>
    <w:rsid w:val="00873836"/>
    <w:rsid w:val="00885737"/>
    <w:rsid w:val="00890650"/>
    <w:rsid w:val="008944DC"/>
    <w:rsid w:val="00897E12"/>
    <w:rsid w:val="008A7E0F"/>
    <w:rsid w:val="008B12F5"/>
    <w:rsid w:val="008C1355"/>
    <w:rsid w:val="008C5E2D"/>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49F8"/>
    <w:rsid w:val="009977D4"/>
    <w:rsid w:val="00997BC5"/>
    <w:rsid w:val="009A4F41"/>
    <w:rsid w:val="009B381B"/>
    <w:rsid w:val="009D1753"/>
    <w:rsid w:val="009D7611"/>
    <w:rsid w:val="009E0B61"/>
    <w:rsid w:val="009E53DE"/>
    <w:rsid w:val="00A04902"/>
    <w:rsid w:val="00A11212"/>
    <w:rsid w:val="00A11E44"/>
    <w:rsid w:val="00A2246D"/>
    <w:rsid w:val="00A30100"/>
    <w:rsid w:val="00A328B3"/>
    <w:rsid w:val="00A43B77"/>
    <w:rsid w:val="00A50FCF"/>
    <w:rsid w:val="00A528D1"/>
    <w:rsid w:val="00A57C15"/>
    <w:rsid w:val="00A610CD"/>
    <w:rsid w:val="00A758AA"/>
    <w:rsid w:val="00A85069"/>
    <w:rsid w:val="00A95AC7"/>
    <w:rsid w:val="00AA09A2"/>
    <w:rsid w:val="00AA7996"/>
    <w:rsid w:val="00AC19CB"/>
    <w:rsid w:val="00AE5488"/>
    <w:rsid w:val="00AE6F91"/>
    <w:rsid w:val="00AE7408"/>
    <w:rsid w:val="00AF5571"/>
    <w:rsid w:val="00B07341"/>
    <w:rsid w:val="00B2241D"/>
    <w:rsid w:val="00B30539"/>
    <w:rsid w:val="00B314DB"/>
    <w:rsid w:val="00B361F2"/>
    <w:rsid w:val="00B3718B"/>
    <w:rsid w:val="00B3745F"/>
    <w:rsid w:val="00B40809"/>
    <w:rsid w:val="00B4632A"/>
    <w:rsid w:val="00B530F1"/>
    <w:rsid w:val="00B93D7F"/>
    <w:rsid w:val="00B94EBE"/>
    <w:rsid w:val="00B955B1"/>
    <w:rsid w:val="00BA276C"/>
    <w:rsid w:val="00BA5B80"/>
    <w:rsid w:val="00BB019D"/>
    <w:rsid w:val="00BB306F"/>
    <w:rsid w:val="00BD0FF5"/>
    <w:rsid w:val="00BD4B89"/>
    <w:rsid w:val="00BD5922"/>
    <w:rsid w:val="00BF02CB"/>
    <w:rsid w:val="00BF6FD8"/>
    <w:rsid w:val="00C03680"/>
    <w:rsid w:val="00C054DF"/>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6E21"/>
    <w:rsid w:val="00D47A8E"/>
    <w:rsid w:val="00D52D14"/>
    <w:rsid w:val="00D6036E"/>
    <w:rsid w:val="00D712D3"/>
    <w:rsid w:val="00D71422"/>
    <w:rsid w:val="00D72DC6"/>
    <w:rsid w:val="00D7558D"/>
    <w:rsid w:val="00D7623E"/>
    <w:rsid w:val="00D81D92"/>
    <w:rsid w:val="00D876F9"/>
    <w:rsid w:val="00DA7B5F"/>
    <w:rsid w:val="00DB6539"/>
    <w:rsid w:val="00DC11E7"/>
    <w:rsid w:val="00DC24E3"/>
    <w:rsid w:val="00DC7023"/>
    <w:rsid w:val="00DC769A"/>
    <w:rsid w:val="00DD3D86"/>
    <w:rsid w:val="00DD4AD2"/>
    <w:rsid w:val="00DE2862"/>
    <w:rsid w:val="00DF1EC4"/>
    <w:rsid w:val="00E0340B"/>
    <w:rsid w:val="00E04A90"/>
    <w:rsid w:val="00E0551F"/>
    <w:rsid w:val="00E12956"/>
    <w:rsid w:val="00E219C7"/>
    <w:rsid w:val="00E4118C"/>
    <w:rsid w:val="00E43157"/>
    <w:rsid w:val="00E461CE"/>
    <w:rsid w:val="00E573E4"/>
    <w:rsid w:val="00E64C3D"/>
    <w:rsid w:val="00E720CA"/>
    <w:rsid w:val="00E84EB5"/>
    <w:rsid w:val="00E85662"/>
    <w:rsid w:val="00E8789F"/>
    <w:rsid w:val="00E93C88"/>
    <w:rsid w:val="00E97B71"/>
    <w:rsid w:val="00EA3D34"/>
    <w:rsid w:val="00EB454D"/>
    <w:rsid w:val="00ED549D"/>
    <w:rsid w:val="00ED5E10"/>
    <w:rsid w:val="00ED76BE"/>
    <w:rsid w:val="00EE00E9"/>
    <w:rsid w:val="00EE0636"/>
    <w:rsid w:val="00EF1AAA"/>
    <w:rsid w:val="00EF619B"/>
    <w:rsid w:val="00F00B55"/>
    <w:rsid w:val="00F02AD1"/>
    <w:rsid w:val="00F253CC"/>
    <w:rsid w:val="00F37106"/>
    <w:rsid w:val="00F44E25"/>
    <w:rsid w:val="00F519CF"/>
    <w:rsid w:val="00F54DB6"/>
    <w:rsid w:val="00F56BA5"/>
    <w:rsid w:val="00F60E22"/>
    <w:rsid w:val="00F81395"/>
    <w:rsid w:val="00F81BB8"/>
    <w:rsid w:val="00F87712"/>
    <w:rsid w:val="00F90C64"/>
    <w:rsid w:val="00F917D1"/>
    <w:rsid w:val="00F9653B"/>
    <w:rsid w:val="00FB56C9"/>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5D330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UnresolvedMention">
    <w:name w:val="Unresolved Mention"/>
    <w:basedOn w:val="DefaultParagraphFont"/>
    <w:uiPriority w:val="99"/>
    <w:semiHidden/>
    <w:unhideWhenUsed/>
    <w:rsid w:val="00D46E21"/>
    <w:rPr>
      <w:color w:val="605E5C"/>
      <w:shd w:val="clear" w:color="auto" w:fill="E1DFDD"/>
    </w:rPr>
  </w:style>
  <w:style w:type="character" w:styleId="CommentReference">
    <w:name w:val="annotation reference"/>
    <w:basedOn w:val="DefaultParagraphFont"/>
    <w:uiPriority w:val="99"/>
    <w:semiHidden/>
    <w:unhideWhenUsed/>
    <w:rsid w:val="00AE7408"/>
    <w:rPr>
      <w:sz w:val="16"/>
      <w:szCs w:val="16"/>
    </w:rPr>
  </w:style>
  <w:style w:type="paragraph" w:styleId="CommentText">
    <w:name w:val="annotation text"/>
    <w:basedOn w:val="Normal"/>
    <w:link w:val="CommentTextChar"/>
    <w:uiPriority w:val="99"/>
    <w:semiHidden/>
    <w:unhideWhenUsed/>
    <w:rsid w:val="00AE7408"/>
    <w:rPr>
      <w:sz w:val="20"/>
      <w:szCs w:val="20"/>
    </w:rPr>
  </w:style>
  <w:style w:type="character" w:customStyle="1" w:styleId="CommentTextChar">
    <w:name w:val="Comment Text Char"/>
    <w:basedOn w:val="DefaultParagraphFont"/>
    <w:link w:val="CommentText"/>
    <w:uiPriority w:val="99"/>
    <w:semiHidden/>
    <w:rsid w:val="00AE7408"/>
    <w:rPr>
      <w:lang w:val="en-US" w:eastAsia="en-US"/>
    </w:rPr>
  </w:style>
  <w:style w:type="paragraph" w:styleId="CommentSubject">
    <w:name w:val="annotation subject"/>
    <w:basedOn w:val="CommentText"/>
    <w:next w:val="CommentText"/>
    <w:link w:val="CommentSubjectChar"/>
    <w:uiPriority w:val="99"/>
    <w:semiHidden/>
    <w:unhideWhenUsed/>
    <w:rsid w:val="00AE7408"/>
    <w:rPr>
      <w:b/>
      <w:bCs/>
    </w:rPr>
  </w:style>
  <w:style w:type="character" w:customStyle="1" w:styleId="CommentSubjectChar">
    <w:name w:val="Comment Subject Char"/>
    <w:basedOn w:val="CommentTextChar"/>
    <w:link w:val="CommentSubject"/>
    <w:uiPriority w:val="99"/>
    <w:semiHidden/>
    <w:rsid w:val="00AE74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ecisiones/2021/ARAD1548-10ES.pdf" TargetMode="External"/><Relationship Id="rId2" Type="http://schemas.openxmlformats.org/officeDocument/2006/relationships/hyperlink" Target="http://www.oas.org/es/cidh/decisiones/2016/ARAD589-07ES.pdf" TargetMode="External"/><Relationship Id="rId1" Type="http://schemas.openxmlformats.org/officeDocument/2006/relationships/hyperlink" Target="http://www.oas.org/es/cidh/decisiones/2014/ARAD325-00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71E2C"/>
    <w:rsid w:val="00394049"/>
    <w:rsid w:val="003B0C71"/>
    <w:rsid w:val="00416E9A"/>
    <w:rsid w:val="0046526A"/>
    <w:rsid w:val="004B5BBB"/>
    <w:rsid w:val="004F2DF8"/>
    <w:rsid w:val="00517E2A"/>
    <w:rsid w:val="005D5D5C"/>
    <w:rsid w:val="006F24A1"/>
    <w:rsid w:val="00875B8A"/>
    <w:rsid w:val="008963FA"/>
    <w:rsid w:val="008A6C98"/>
    <w:rsid w:val="008E05EB"/>
    <w:rsid w:val="009A261B"/>
    <w:rsid w:val="00A43311"/>
    <w:rsid w:val="00AA2E17"/>
    <w:rsid w:val="00AC15A4"/>
    <w:rsid w:val="00AC245B"/>
    <w:rsid w:val="00B0336C"/>
    <w:rsid w:val="00D241E9"/>
    <w:rsid w:val="00D37FE4"/>
    <w:rsid w:val="00D7750D"/>
    <w:rsid w:val="00E76DD0"/>
    <w:rsid w:val="00F00D2F"/>
    <w:rsid w:val="00F128DF"/>
    <w:rsid w:val="00FC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31F2-3F15-48AE-89C2-C0CF2D7C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11834</Characters>
  <Application>Microsoft Office Word</Application>
  <DocSecurity>0</DocSecurity>
  <Lines>246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306/21</dc:title>
  <dc:creator/>
  <cp:lastModifiedBy/>
  <cp:revision>1</cp:revision>
  <dcterms:created xsi:type="dcterms:W3CDTF">2022-02-09T21:46:00Z</dcterms:created>
  <dcterms:modified xsi:type="dcterms:W3CDTF">2022-02-09T21:46:00Z</dcterms:modified>
</cp:coreProperties>
</file>