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0663" w14:textId="77777777" w:rsidR="00040C3A" w:rsidRPr="0090270B" w:rsidRDefault="00D306D1" w:rsidP="00DB4D24">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153495F" wp14:editId="333288F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E965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4BE5D0E" wp14:editId="0604A15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A417E" w14:textId="77777777" w:rsidR="00491D4E" w:rsidRDefault="00491D4E" w:rsidP="00AE5488">
                            <w:r>
                              <w:rPr>
                                <w:noProof/>
                              </w:rPr>
                              <w:drawing>
                                <wp:inline distT="0" distB="0" distL="0" distR="0" wp14:anchorId="33038FE1" wp14:editId="2AB37B8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5D0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82A417E" w14:textId="77777777" w:rsidR="00491D4E" w:rsidRDefault="00491D4E" w:rsidP="00AE5488">
                      <w:r>
                        <w:rPr>
                          <w:noProof/>
                        </w:rPr>
                        <w:drawing>
                          <wp:inline distT="0" distB="0" distL="0" distR="0" wp14:anchorId="33038FE1" wp14:editId="2AB37B8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C10C36F" w14:textId="77777777" w:rsidR="00040C3A" w:rsidRPr="0090270B" w:rsidRDefault="00040C3A" w:rsidP="00DB4D24">
      <w:pPr>
        <w:tabs>
          <w:tab w:val="center" w:pos="5400"/>
        </w:tabs>
        <w:suppressAutoHyphens/>
        <w:jc w:val="both"/>
        <w:rPr>
          <w:rFonts w:asciiTheme="majorHAnsi" w:hAnsiTheme="majorHAnsi"/>
          <w:sz w:val="22"/>
          <w:szCs w:val="22"/>
          <w:lang w:val="es-ES"/>
        </w:rPr>
      </w:pPr>
    </w:p>
    <w:p w14:paraId="7A262707" w14:textId="77777777" w:rsidR="00040C3A" w:rsidRPr="0090270B" w:rsidRDefault="00040C3A" w:rsidP="00DB4D24">
      <w:pPr>
        <w:tabs>
          <w:tab w:val="center" w:pos="5400"/>
        </w:tabs>
        <w:suppressAutoHyphens/>
        <w:jc w:val="both"/>
        <w:rPr>
          <w:rFonts w:asciiTheme="majorHAnsi" w:hAnsiTheme="majorHAnsi"/>
          <w:sz w:val="22"/>
          <w:szCs w:val="22"/>
          <w:lang w:val="es-ES"/>
        </w:rPr>
      </w:pPr>
    </w:p>
    <w:p w14:paraId="24B4301B" w14:textId="77777777" w:rsidR="005128E4" w:rsidRPr="0090270B" w:rsidRDefault="005128E4" w:rsidP="00DB4D24">
      <w:pPr>
        <w:tabs>
          <w:tab w:val="center" w:pos="5400"/>
        </w:tabs>
        <w:suppressAutoHyphens/>
        <w:rPr>
          <w:rFonts w:asciiTheme="majorHAnsi" w:hAnsiTheme="majorHAnsi"/>
          <w:sz w:val="22"/>
          <w:szCs w:val="22"/>
          <w:lang w:val="es-ES_tradnl"/>
        </w:rPr>
      </w:pPr>
    </w:p>
    <w:p w14:paraId="2FA63953" w14:textId="77777777" w:rsidR="005128E4" w:rsidRPr="0090270B" w:rsidRDefault="005128E4" w:rsidP="00DB4D24">
      <w:pPr>
        <w:tabs>
          <w:tab w:val="center" w:pos="5400"/>
        </w:tabs>
        <w:suppressAutoHyphens/>
        <w:rPr>
          <w:rFonts w:asciiTheme="majorHAnsi" w:hAnsiTheme="majorHAnsi"/>
          <w:sz w:val="22"/>
          <w:szCs w:val="22"/>
          <w:lang w:val="es-ES_tradnl"/>
        </w:rPr>
      </w:pPr>
    </w:p>
    <w:p w14:paraId="16F203DD" w14:textId="77777777" w:rsidR="005128E4" w:rsidRPr="0090270B" w:rsidRDefault="005128E4" w:rsidP="00DB4D24">
      <w:pPr>
        <w:tabs>
          <w:tab w:val="center" w:pos="5400"/>
        </w:tabs>
        <w:suppressAutoHyphens/>
        <w:rPr>
          <w:rFonts w:asciiTheme="majorHAnsi" w:hAnsiTheme="majorHAnsi"/>
          <w:sz w:val="22"/>
          <w:szCs w:val="22"/>
          <w:lang w:val="es-ES_tradnl"/>
        </w:rPr>
      </w:pPr>
    </w:p>
    <w:p w14:paraId="5D8AFF8A"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387A2B33"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41D803BE" w14:textId="77777777" w:rsidR="005B52B0" w:rsidRPr="0090270B" w:rsidRDefault="005B52B0" w:rsidP="00DB4D24">
      <w:pPr>
        <w:tabs>
          <w:tab w:val="center" w:pos="5400"/>
        </w:tabs>
        <w:suppressAutoHyphens/>
        <w:jc w:val="center"/>
        <w:rPr>
          <w:rFonts w:asciiTheme="majorHAnsi" w:hAnsiTheme="majorHAnsi"/>
          <w:sz w:val="22"/>
          <w:szCs w:val="22"/>
          <w:lang w:val="es-ES_tradnl"/>
        </w:rPr>
      </w:pPr>
    </w:p>
    <w:p w14:paraId="17145D0D" w14:textId="77777777" w:rsidR="005B52B0" w:rsidRPr="0090270B" w:rsidRDefault="005B52B0" w:rsidP="00DB4D24">
      <w:pPr>
        <w:tabs>
          <w:tab w:val="center" w:pos="5400"/>
        </w:tabs>
        <w:suppressAutoHyphens/>
        <w:jc w:val="center"/>
        <w:rPr>
          <w:rFonts w:asciiTheme="majorHAnsi" w:hAnsiTheme="majorHAnsi"/>
          <w:sz w:val="22"/>
          <w:szCs w:val="22"/>
          <w:lang w:val="es-ES_tradnl"/>
        </w:rPr>
      </w:pPr>
    </w:p>
    <w:p w14:paraId="03428B13" w14:textId="77777777" w:rsidR="005B52B0" w:rsidRPr="0090270B" w:rsidRDefault="005B52B0" w:rsidP="00DB4D24">
      <w:pPr>
        <w:tabs>
          <w:tab w:val="center" w:pos="5400"/>
        </w:tabs>
        <w:suppressAutoHyphens/>
        <w:jc w:val="center"/>
        <w:rPr>
          <w:rFonts w:asciiTheme="majorHAnsi" w:hAnsiTheme="majorHAnsi"/>
          <w:sz w:val="22"/>
          <w:szCs w:val="22"/>
          <w:lang w:val="es-ES_tradnl"/>
        </w:rPr>
      </w:pPr>
    </w:p>
    <w:p w14:paraId="2ADE1917"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2575623F"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2346E208" w14:textId="77777777" w:rsidR="00040C3A" w:rsidRPr="0090270B" w:rsidRDefault="003D3BC2" w:rsidP="00DB4D24">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AADD2AD" wp14:editId="79783BC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FE5EA" w14:textId="7149F775" w:rsidR="00491D4E" w:rsidRPr="00723A1F" w:rsidRDefault="00491D4E" w:rsidP="004450C3">
                            <w:pPr>
                              <w:spacing w:line="276" w:lineRule="auto"/>
                              <w:rPr>
                                <w:rFonts w:asciiTheme="majorHAnsi" w:hAnsiTheme="majorHAnsi" w:cs="Arial"/>
                                <w:b/>
                                <w:color w:val="0D0D0D" w:themeColor="text1" w:themeTint="F2"/>
                                <w:sz w:val="36"/>
                                <w:szCs w:val="22"/>
                                <w:lang w:val="es-VE"/>
                              </w:rPr>
                            </w:pPr>
                            <w:r w:rsidRPr="00723A1F">
                              <w:rPr>
                                <w:rFonts w:asciiTheme="majorHAnsi" w:hAnsiTheme="majorHAnsi" w:cs="Arial"/>
                                <w:b/>
                                <w:bCs/>
                                <w:color w:val="0D0D0D" w:themeColor="text1" w:themeTint="F2"/>
                                <w:sz w:val="36"/>
                                <w:szCs w:val="22"/>
                                <w:lang w:val="es-VE"/>
                              </w:rPr>
                              <w:t xml:space="preserve">INFORME </w:t>
                            </w:r>
                            <w:r w:rsidRPr="00723A1F">
                              <w:rPr>
                                <w:rFonts w:asciiTheme="majorHAnsi" w:hAnsiTheme="majorHAnsi" w:cs="Arial"/>
                                <w:b/>
                                <w:bCs/>
                                <w:color w:val="0D0D0D" w:themeColor="text1" w:themeTint="F2"/>
                                <w:sz w:val="36"/>
                                <w:szCs w:val="40"/>
                                <w:lang w:val="es-VE"/>
                              </w:rPr>
                              <w:t>No.</w:t>
                            </w:r>
                            <w:r>
                              <w:rPr>
                                <w:rFonts w:asciiTheme="majorHAnsi" w:hAnsiTheme="majorHAnsi" w:cs="Arial"/>
                                <w:b/>
                                <w:bCs/>
                                <w:color w:val="0D0D0D" w:themeColor="text1" w:themeTint="F2"/>
                                <w:sz w:val="36"/>
                                <w:szCs w:val="22"/>
                                <w:lang w:val="es-VE"/>
                              </w:rPr>
                              <w:t xml:space="preserve"> </w:t>
                            </w:r>
                            <w:r w:rsidR="00C168A9">
                              <w:rPr>
                                <w:rFonts w:asciiTheme="majorHAnsi" w:hAnsiTheme="majorHAnsi" w:cs="Arial"/>
                                <w:b/>
                                <w:bCs/>
                                <w:color w:val="0D0D0D" w:themeColor="text1" w:themeTint="F2"/>
                                <w:sz w:val="36"/>
                                <w:szCs w:val="22"/>
                                <w:lang w:val="es-VE"/>
                              </w:rPr>
                              <w:t>460</w:t>
                            </w:r>
                            <w:r>
                              <w:rPr>
                                <w:rFonts w:asciiTheme="majorHAnsi" w:hAnsiTheme="majorHAnsi" w:cs="Arial"/>
                                <w:b/>
                                <w:bCs/>
                                <w:color w:val="0D0D0D" w:themeColor="text1" w:themeTint="F2"/>
                                <w:sz w:val="36"/>
                                <w:szCs w:val="22"/>
                                <w:lang w:val="es-VE"/>
                              </w:rPr>
                              <w:t>/21</w:t>
                            </w:r>
                          </w:p>
                          <w:p w14:paraId="53E43339" w14:textId="77777777" w:rsidR="00491D4E" w:rsidRPr="004450C3" w:rsidRDefault="00491D4E" w:rsidP="004450C3">
                            <w:pPr>
                              <w:spacing w:line="276" w:lineRule="auto"/>
                              <w:rPr>
                                <w:rFonts w:asciiTheme="majorHAnsi" w:hAnsiTheme="majorHAnsi" w:cs="Arial"/>
                                <w:b/>
                                <w:color w:val="0D0D0D" w:themeColor="text1" w:themeTint="F2"/>
                                <w:sz w:val="36"/>
                                <w:szCs w:val="22"/>
                                <w:lang w:val="es-VE"/>
                              </w:rPr>
                            </w:pPr>
                            <w:r w:rsidRPr="004450C3">
                              <w:rPr>
                                <w:rFonts w:asciiTheme="majorHAnsi" w:hAnsiTheme="majorHAnsi" w:cs="Arial"/>
                                <w:b/>
                                <w:color w:val="0D0D0D" w:themeColor="text1" w:themeTint="F2"/>
                                <w:sz w:val="36"/>
                                <w:szCs w:val="22"/>
                                <w:lang w:val="es-VE"/>
                              </w:rPr>
                              <w:t xml:space="preserve"> CASO </w:t>
                            </w:r>
                            <w:r>
                              <w:rPr>
                                <w:rFonts w:asciiTheme="majorHAnsi" w:hAnsiTheme="majorHAnsi" w:cs="Arial"/>
                                <w:b/>
                                <w:color w:val="0D0D0D" w:themeColor="text1" w:themeTint="F2"/>
                                <w:sz w:val="36"/>
                                <w:szCs w:val="22"/>
                                <w:lang w:val="es-VE"/>
                              </w:rPr>
                              <w:t>12.721</w:t>
                            </w:r>
                          </w:p>
                          <w:p w14:paraId="748DFD27" w14:textId="0656338D" w:rsidR="00491D4E" w:rsidRPr="0010736F" w:rsidRDefault="00491D4E" w:rsidP="004450C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FONDO </w:t>
                            </w:r>
                            <w:r w:rsidRPr="00C168A9">
                              <w:rPr>
                                <w:rFonts w:asciiTheme="majorHAnsi" w:hAnsiTheme="majorHAnsi" w:cs="Arial"/>
                                <w:color w:val="0D0D0D" w:themeColor="text1" w:themeTint="F2"/>
                                <w:szCs w:val="22"/>
                                <w:lang w:val="es-ES_tradnl"/>
                              </w:rPr>
                              <w:t>(</w:t>
                            </w:r>
                            <w:r w:rsidR="00152F9D" w:rsidRPr="00C168A9">
                              <w:rPr>
                                <w:rFonts w:asciiTheme="majorHAnsi" w:hAnsiTheme="majorHAnsi" w:cs="Arial"/>
                                <w:color w:val="0D0D0D" w:themeColor="text1" w:themeTint="F2"/>
                                <w:szCs w:val="22"/>
                                <w:lang w:val="es-ES_tradnl"/>
                              </w:rPr>
                              <w:t>PUBLICACIÓN</w:t>
                            </w:r>
                            <w:r w:rsidRPr="00C168A9">
                              <w:rPr>
                                <w:rFonts w:asciiTheme="majorHAnsi" w:hAnsiTheme="majorHAnsi" w:cs="Arial"/>
                                <w:color w:val="0D0D0D" w:themeColor="text1" w:themeTint="F2"/>
                                <w:szCs w:val="22"/>
                                <w:lang w:val="es-ES_tradnl"/>
                              </w:rPr>
                              <w:t>)</w:t>
                            </w:r>
                          </w:p>
                          <w:p w14:paraId="0635AD25" w14:textId="77777777" w:rsidR="00491D4E" w:rsidRDefault="00491D4E" w:rsidP="00997BC5">
                            <w:pPr>
                              <w:spacing w:line="276" w:lineRule="auto"/>
                              <w:rPr>
                                <w:rFonts w:asciiTheme="majorHAnsi" w:hAnsiTheme="majorHAnsi" w:cs="Arial"/>
                                <w:color w:val="0D0D0D" w:themeColor="text1" w:themeTint="F2"/>
                                <w:szCs w:val="22"/>
                                <w:lang w:val="es-ES_tradnl"/>
                              </w:rPr>
                            </w:pPr>
                            <w:bookmarkStart w:id="0" w:name="_ftnref1"/>
                          </w:p>
                          <w:p w14:paraId="54400E2D" w14:textId="77777777" w:rsidR="00491D4E" w:rsidRPr="0010736F" w:rsidRDefault="00491D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PEDRO FALANGA</w:t>
                            </w:r>
                          </w:p>
                          <w:bookmarkEnd w:id="0"/>
                          <w:p w14:paraId="386CB4DB" w14:textId="77777777" w:rsidR="00491D4E" w:rsidRPr="0010736F" w:rsidRDefault="00491D4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3D630D9A" w14:textId="77777777" w:rsidR="00491D4E" w:rsidRPr="00AE5488" w:rsidRDefault="00491D4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DD2A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3BFE5EA" w14:textId="7149F775" w:rsidR="00491D4E" w:rsidRPr="00723A1F" w:rsidRDefault="00491D4E" w:rsidP="004450C3">
                      <w:pPr>
                        <w:spacing w:line="276" w:lineRule="auto"/>
                        <w:rPr>
                          <w:rFonts w:asciiTheme="majorHAnsi" w:hAnsiTheme="majorHAnsi" w:cs="Arial"/>
                          <w:b/>
                          <w:color w:val="0D0D0D" w:themeColor="text1" w:themeTint="F2"/>
                          <w:sz w:val="36"/>
                          <w:szCs w:val="22"/>
                          <w:lang w:val="es-VE"/>
                        </w:rPr>
                      </w:pPr>
                      <w:r w:rsidRPr="00723A1F">
                        <w:rPr>
                          <w:rFonts w:asciiTheme="majorHAnsi" w:hAnsiTheme="majorHAnsi" w:cs="Arial"/>
                          <w:b/>
                          <w:bCs/>
                          <w:color w:val="0D0D0D" w:themeColor="text1" w:themeTint="F2"/>
                          <w:sz w:val="36"/>
                          <w:szCs w:val="22"/>
                          <w:lang w:val="es-VE"/>
                        </w:rPr>
                        <w:t xml:space="preserve">INFORME </w:t>
                      </w:r>
                      <w:r w:rsidRPr="00723A1F">
                        <w:rPr>
                          <w:rFonts w:asciiTheme="majorHAnsi" w:hAnsiTheme="majorHAnsi" w:cs="Arial"/>
                          <w:b/>
                          <w:bCs/>
                          <w:color w:val="0D0D0D" w:themeColor="text1" w:themeTint="F2"/>
                          <w:sz w:val="36"/>
                          <w:szCs w:val="40"/>
                          <w:lang w:val="es-VE"/>
                        </w:rPr>
                        <w:t>No.</w:t>
                      </w:r>
                      <w:r>
                        <w:rPr>
                          <w:rFonts w:asciiTheme="majorHAnsi" w:hAnsiTheme="majorHAnsi" w:cs="Arial"/>
                          <w:b/>
                          <w:bCs/>
                          <w:color w:val="0D0D0D" w:themeColor="text1" w:themeTint="F2"/>
                          <w:sz w:val="36"/>
                          <w:szCs w:val="22"/>
                          <w:lang w:val="es-VE"/>
                        </w:rPr>
                        <w:t xml:space="preserve"> </w:t>
                      </w:r>
                      <w:r w:rsidR="00C168A9">
                        <w:rPr>
                          <w:rFonts w:asciiTheme="majorHAnsi" w:hAnsiTheme="majorHAnsi" w:cs="Arial"/>
                          <w:b/>
                          <w:bCs/>
                          <w:color w:val="0D0D0D" w:themeColor="text1" w:themeTint="F2"/>
                          <w:sz w:val="36"/>
                          <w:szCs w:val="22"/>
                          <w:lang w:val="es-VE"/>
                        </w:rPr>
                        <w:t>460</w:t>
                      </w:r>
                      <w:r>
                        <w:rPr>
                          <w:rFonts w:asciiTheme="majorHAnsi" w:hAnsiTheme="majorHAnsi" w:cs="Arial"/>
                          <w:b/>
                          <w:bCs/>
                          <w:color w:val="0D0D0D" w:themeColor="text1" w:themeTint="F2"/>
                          <w:sz w:val="36"/>
                          <w:szCs w:val="22"/>
                          <w:lang w:val="es-VE"/>
                        </w:rPr>
                        <w:t>/21</w:t>
                      </w:r>
                    </w:p>
                    <w:p w14:paraId="53E43339" w14:textId="77777777" w:rsidR="00491D4E" w:rsidRPr="004450C3" w:rsidRDefault="00491D4E" w:rsidP="004450C3">
                      <w:pPr>
                        <w:spacing w:line="276" w:lineRule="auto"/>
                        <w:rPr>
                          <w:rFonts w:asciiTheme="majorHAnsi" w:hAnsiTheme="majorHAnsi" w:cs="Arial"/>
                          <w:b/>
                          <w:color w:val="0D0D0D" w:themeColor="text1" w:themeTint="F2"/>
                          <w:sz w:val="36"/>
                          <w:szCs w:val="22"/>
                          <w:lang w:val="es-VE"/>
                        </w:rPr>
                      </w:pPr>
                      <w:r w:rsidRPr="004450C3">
                        <w:rPr>
                          <w:rFonts w:asciiTheme="majorHAnsi" w:hAnsiTheme="majorHAnsi" w:cs="Arial"/>
                          <w:b/>
                          <w:color w:val="0D0D0D" w:themeColor="text1" w:themeTint="F2"/>
                          <w:sz w:val="36"/>
                          <w:szCs w:val="22"/>
                          <w:lang w:val="es-VE"/>
                        </w:rPr>
                        <w:t xml:space="preserve"> CASO </w:t>
                      </w:r>
                      <w:r>
                        <w:rPr>
                          <w:rFonts w:asciiTheme="majorHAnsi" w:hAnsiTheme="majorHAnsi" w:cs="Arial"/>
                          <w:b/>
                          <w:color w:val="0D0D0D" w:themeColor="text1" w:themeTint="F2"/>
                          <w:sz w:val="36"/>
                          <w:szCs w:val="22"/>
                          <w:lang w:val="es-VE"/>
                        </w:rPr>
                        <w:t>12.721</w:t>
                      </w:r>
                    </w:p>
                    <w:p w14:paraId="748DFD27" w14:textId="0656338D" w:rsidR="00491D4E" w:rsidRPr="0010736F" w:rsidRDefault="00491D4E" w:rsidP="004450C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FONDO </w:t>
                      </w:r>
                      <w:r w:rsidRPr="00C168A9">
                        <w:rPr>
                          <w:rFonts w:asciiTheme="majorHAnsi" w:hAnsiTheme="majorHAnsi" w:cs="Arial"/>
                          <w:color w:val="0D0D0D" w:themeColor="text1" w:themeTint="F2"/>
                          <w:szCs w:val="22"/>
                          <w:lang w:val="es-ES_tradnl"/>
                        </w:rPr>
                        <w:t>(</w:t>
                      </w:r>
                      <w:r w:rsidR="00152F9D" w:rsidRPr="00C168A9">
                        <w:rPr>
                          <w:rFonts w:asciiTheme="majorHAnsi" w:hAnsiTheme="majorHAnsi" w:cs="Arial"/>
                          <w:color w:val="0D0D0D" w:themeColor="text1" w:themeTint="F2"/>
                          <w:szCs w:val="22"/>
                          <w:lang w:val="es-ES_tradnl"/>
                        </w:rPr>
                        <w:t>PUBLICACIÓN</w:t>
                      </w:r>
                      <w:r w:rsidRPr="00C168A9">
                        <w:rPr>
                          <w:rFonts w:asciiTheme="majorHAnsi" w:hAnsiTheme="majorHAnsi" w:cs="Arial"/>
                          <w:color w:val="0D0D0D" w:themeColor="text1" w:themeTint="F2"/>
                          <w:szCs w:val="22"/>
                          <w:lang w:val="es-ES_tradnl"/>
                        </w:rPr>
                        <w:t>)</w:t>
                      </w:r>
                    </w:p>
                    <w:p w14:paraId="0635AD25" w14:textId="77777777" w:rsidR="00491D4E" w:rsidRDefault="00491D4E" w:rsidP="00997BC5">
                      <w:pPr>
                        <w:spacing w:line="276" w:lineRule="auto"/>
                        <w:rPr>
                          <w:rFonts w:asciiTheme="majorHAnsi" w:hAnsiTheme="majorHAnsi" w:cs="Arial"/>
                          <w:color w:val="0D0D0D" w:themeColor="text1" w:themeTint="F2"/>
                          <w:szCs w:val="22"/>
                          <w:lang w:val="es-ES_tradnl"/>
                        </w:rPr>
                      </w:pPr>
                      <w:bookmarkStart w:id="1" w:name="_ftnref1"/>
                    </w:p>
                    <w:p w14:paraId="54400E2D" w14:textId="77777777" w:rsidR="00491D4E" w:rsidRPr="0010736F" w:rsidRDefault="00491D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PEDRO FALANGA</w:t>
                      </w:r>
                    </w:p>
                    <w:bookmarkEnd w:id="1"/>
                    <w:p w14:paraId="386CB4DB" w14:textId="77777777" w:rsidR="00491D4E" w:rsidRPr="0010736F" w:rsidRDefault="00491D4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3D630D9A" w14:textId="77777777" w:rsidR="00491D4E" w:rsidRPr="00AE5488" w:rsidRDefault="00491D4E"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499D766" wp14:editId="6CE92E0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0495" w14:textId="6D54399D" w:rsidR="00491D4E" w:rsidRPr="00721C9F" w:rsidRDefault="00491D4E" w:rsidP="007A5817">
                            <w:pPr>
                              <w:spacing w:line="276" w:lineRule="auto"/>
                              <w:jc w:val="right"/>
                              <w:rPr>
                                <w:rFonts w:asciiTheme="minorHAnsi" w:hAnsiTheme="minorHAnsi"/>
                                <w:color w:val="FFFFFF" w:themeColor="background1"/>
                                <w:sz w:val="22"/>
                                <w:lang w:val="pt-BR"/>
                              </w:rPr>
                            </w:pPr>
                            <w:r w:rsidRPr="00721C9F">
                              <w:rPr>
                                <w:rFonts w:asciiTheme="minorHAnsi" w:hAnsiTheme="minorHAnsi"/>
                                <w:color w:val="FFFFFF" w:themeColor="background1"/>
                                <w:sz w:val="22"/>
                                <w:lang w:val="pt-BR"/>
                              </w:rPr>
                              <w:t>OEA/Ser.L/V/II</w:t>
                            </w:r>
                          </w:p>
                          <w:p w14:paraId="170EB3BB" w14:textId="642B2F53" w:rsidR="00491D4E" w:rsidRPr="00721C9F" w:rsidRDefault="00491D4E" w:rsidP="007A5817">
                            <w:pPr>
                              <w:spacing w:line="276" w:lineRule="auto"/>
                              <w:jc w:val="right"/>
                              <w:rPr>
                                <w:rFonts w:asciiTheme="minorHAnsi" w:hAnsiTheme="minorHAnsi"/>
                                <w:color w:val="FFFFFF" w:themeColor="background1"/>
                                <w:sz w:val="22"/>
                                <w:lang w:val="pt-BR"/>
                              </w:rPr>
                            </w:pPr>
                            <w:r w:rsidRPr="00721C9F">
                              <w:rPr>
                                <w:rFonts w:asciiTheme="minorHAnsi" w:hAnsiTheme="minorHAnsi"/>
                                <w:color w:val="FFFFFF" w:themeColor="background1"/>
                                <w:sz w:val="22"/>
                                <w:lang w:val="pt-BR"/>
                              </w:rPr>
                              <w:t xml:space="preserve">Doc. </w:t>
                            </w:r>
                            <w:r w:rsidR="00C168A9">
                              <w:rPr>
                                <w:rFonts w:asciiTheme="minorHAnsi" w:hAnsiTheme="minorHAnsi"/>
                                <w:color w:val="FFFFFF" w:themeColor="background1"/>
                                <w:sz w:val="22"/>
                                <w:lang w:val="pt-BR"/>
                              </w:rPr>
                              <w:t>474</w:t>
                            </w:r>
                          </w:p>
                          <w:p w14:paraId="2A11BA1E" w14:textId="7528BAF4" w:rsidR="00491D4E" w:rsidRPr="00D717C5" w:rsidRDefault="00C168A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31</w:t>
                            </w:r>
                            <w:r w:rsidR="00491D4E">
                              <w:rPr>
                                <w:rFonts w:asciiTheme="minorHAnsi" w:hAnsiTheme="minorHAnsi"/>
                                <w:color w:val="FFFFFF" w:themeColor="background1"/>
                                <w:sz w:val="22"/>
                                <w:lang w:val="es-CO"/>
                              </w:rPr>
                              <w:t xml:space="preserve"> </w:t>
                            </w:r>
                            <w:r w:rsidR="001F4F5D">
                              <w:rPr>
                                <w:rFonts w:asciiTheme="minorHAnsi" w:hAnsiTheme="minorHAnsi"/>
                                <w:color w:val="FFFFFF" w:themeColor="background1"/>
                                <w:sz w:val="22"/>
                                <w:lang w:val="es-CO"/>
                              </w:rPr>
                              <w:t>diciembre</w:t>
                            </w:r>
                            <w:r w:rsidR="00491D4E">
                              <w:rPr>
                                <w:rFonts w:asciiTheme="minorHAnsi" w:hAnsiTheme="minorHAnsi"/>
                                <w:color w:val="FFFFFF" w:themeColor="background1"/>
                                <w:sz w:val="22"/>
                                <w:lang w:val="es-CO"/>
                              </w:rPr>
                              <w:t xml:space="preserve"> 2021</w:t>
                            </w:r>
                          </w:p>
                          <w:p w14:paraId="051DD8AF" w14:textId="77777777" w:rsidR="00491D4E" w:rsidRPr="000E6C35" w:rsidRDefault="00491D4E" w:rsidP="007A5817">
                            <w:pPr>
                              <w:spacing w:line="276" w:lineRule="auto"/>
                              <w:jc w:val="right"/>
                              <w:rPr>
                                <w:rFonts w:asciiTheme="minorHAnsi" w:hAnsiTheme="minorHAnsi"/>
                                <w:color w:val="FFFFFF" w:themeColor="background1"/>
                                <w:sz w:val="22"/>
                                <w:lang w:val="es-ES"/>
                              </w:rPr>
                            </w:pPr>
                            <w:r w:rsidRPr="000E6C35">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D76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F7A0495" w14:textId="6D54399D" w:rsidR="00491D4E" w:rsidRPr="00721C9F" w:rsidRDefault="00491D4E" w:rsidP="007A5817">
                      <w:pPr>
                        <w:spacing w:line="276" w:lineRule="auto"/>
                        <w:jc w:val="right"/>
                        <w:rPr>
                          <w:rFonts w:asciiTheme="minorHAnsi" w:hAnsiTheme="minorHAnsi"/>
                          <w:color w:val="FFFFFF" w:themeColor="background1"/>
                          <w:sz w:val="22"/>
                          <w:lang w:val="pt-BR"/>
                        </w:rPr>
                      </w:pPr>
                      <w:r w:rsidRPr="00721C9F">
                        <w:rPr>
                          <w:rFonts w:asciiTheme="minorHAnsi" w:hAnsiTheme="minorHAnsi"/>
                          <w:color w:val="FFFFFF" w:themeColor="background1"/>
                          <w:sz w:val="22"/>
                          <w:lang w:val="pt-BR"/>
                        </w:rPr>
                        <w:t>OEA/Ser.L/V/II</w:t>
                      </w:r>
                    </w:p>
                    <w:p w14:paraId="170EB3BB" w14:textId="642B2F53" w:rsidR="00491D4E" w:rsidRPr="00721C9F" w:rsidRDefault="00491D4E" w:rsidP="007A5817">
                      <w:pPr>
                        <w:spacing w:line="276" w:lineRule="auto"/>
                        <w:jc w:val="right"/>
                        <w:rPr>
                          <w:rFonts w:asciiTheme="minorHAnsi" w:hAnsiTheme="minorHAnsi"/>
                          <w:color w:val="FFFFFF" w:themeColor="background1"/>
                          <w:sz w:val="22"/>
                          <w:lang w:val="pt-BR"/>
                        </w:rPr>
                      </w:pPr>
                      <w:r w:rsidRPr="00721C9F">
                        <w:rPr>
                          <w:rFonts w:asciiTheme="minorHAnsi" w:hAnsiTheme="minorHAnsi"/>
                          <w:color w:val="FFFFFF" w:themeColor="background1"/>
                          <w:sz w:val="22"/>
                          <w:lang w:val="pt-BR"/>
                        </w:rPr>
                        <w:t xml:space="preserve">Doc. </w:t>
                      </w:r>
                      <w:r w:rsidR="00C168A9">
                        <w:rPr>
                          <w:rFonts w:asciiTheme="minorHAnsi" w:hAnsiTheme="minorHAnsi"/>
                          <w:color w:val="FFFFFF" w:themeColor="background1"/>
                          <w:sz w:val="22"/>
                          <w:lang w:val="pt-BR"/>
                        </w:rPr>
                        <w:t>474</w:t>
                      </w:r>
                    </w:p>
                    <w:p w14:paraId="2A11BA1E" w14:textId="7528BAF4" w:rsidR="00491D4E" w:rsidRPr="00D717C5" w:rsidRDefault="00C168A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31</w:t>
                      </w:r>
                      <w:r w:rsidR="00491D4E">
                        <w:rPr>
                          <w:rFonts w:asciiTheme="minorHAnsi" w:hAnsiTheme="minorHAnsi"/>
                          <w:color w:val="FFFFFF" w:themeColor="background1"/>
                          <w:sz w:val="22"/>
                          <w:lang w:val="es-CO"/>
                        </w:rPr>
                        <w:t xml:space="preserve"> </w:t>
                      </w:r>
                      <w:r w:rsidR="001F4F5D">
                        <w:rPr>
                          <w:rFonts w:asciiTheme="minorHAnsi" w:hAnsiTheme="minorHAnsi"/>
                          <w:color w:val="FFFFFF" w:themeColor="background1"/>
                          <w:sz w:val="22"/>
                          <w:lang w:val="es-CO"/>
                        </w:rPr>
                        <w:t>diciembre</w:t>
                      </w:r>
                      <w:r w:rsidR="00491D4E">
                        <w:rPr>
                          <w:rFonts w:asciiTheme="minorHAnsi" w:hAnsiTheme="minorHAnsi"/>
                          <w:color w:val="FFFFFF" w:themeColor="background1"/>
                          <w:sz w:val="22"/>
                          <w:lang w:val="es-CO"/>
                        </w:rPr>
                        <w:t xml:space="preserve"> 2021</w:t>
                      </w:r>
                    </w:p>
                    <w:p w14:paraId="051DD8AF" w14:textId="77777777" w:rsidR="00491D4E" w:rsidRPr="000E6C35" w:rsidRDefault="00491D4E" w:rsidP="007A5817">
                      <w:pPr>
                        <w:spacing w:line="276" w:lineRule="auto"/>
                        <w:jc w:val="right"/>
                        <w:rPr>
                          <w:rFonts w:asciiTheme="minorHAnsi" w:hAnsiTheme="minorHAnsi"/>
                          <w:color w:val="FFFFFF" w:themeColor="background1"/>
                          <w:sz w:val="22"/>
                          <w:lang w:val="es-ES"/>
                        </w:rPr>
                      </w:pPr>
                      <w:r w:rsidRPr="000E6C35">
                        <w:rPr>
                          <w:rFonts w:asciiTheme="minorHAnsi" w:hAnsiTheme="minorHAnsi"/>
                          <w:color w:val="FFFFFF" w:themeColor="background1"/>
                          <w:sz w:val="22"/>
                          <w:lang w:val="es-ES"/>
                        </w:rPr>
                        <w:t>Original: español</w:t>
                      </w:r>
                    </w:p>
                  </w:txbxContent>
                </v:textbox>
              </v:shape>
            </w:pict>
          </mc:Fallback>
        </mc:AlternateContent>
      </w:r>
    </w:p>
    <w:p w14:paraId="715A09E5"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263A90DA"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2FD3BC02" w14:textId="77777777" w:rsidR="00040C3A" w:rsidRPr="0090270B" w:rsidRDefault="00040C3A" w:rsidP="00DB4D24">
      <w:pPr>
        <w:tabs>
          <w:tab w:val="center" w:pos="5400"/>
        </w:tabs>
        <w:suppressAutoHyphens/>
        <w:jc w:val="center"/>
        <w:rPr>
          <w:rFonts w:asciiTheme="majorHAnsi" w:hAnsiTheme="majorHAnsi" w:cs="Arial"/>
          <w:sz w:val="22"/>
          <w:szCs w:val="22"/>
          <w:lang w:val="es-ES_tradnl"/>
        </w:rPr>
      </w:pPr>
    </w:p>
    <w:p w14:paraId="68E07722"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06474E76"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7899C90C"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3EC2DCCD"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549D7FA9" w14:textId="77777777" w:rsidR="005128E4" w:rsidRPr="0090270B" w:rsidRDefault="005128E4" w:rsidP="00DB4D24">
      <w:pPr>
        <w:tabs>
          <w:tab w:val="center" w:pos="5400"/>
        </w:tabs>
        <w:suppressAutoHyphens/>
        <w:jc w:val="center"/>
        <w:rPr>
          <w:rFonts w:asciiTheme="majorHAnsi" w:hAnsiTheme="majorHAnsi"/>
          <w:sz w:val="22"/>
          <w:szCs w:val="22"/>
          <w:lang w:val="es-ES_tradnl"/>
        </w:rPr>
      </w:pPr>
    </w:p>
    <w:p w14:paraId="39375268"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1A613BB9" w14:textId="77777777" w:rsidR="005128E4" w:rsidRPr="0090270B" w:rsidRDefault="005128E4" w:rsidP="00DB4D24">
      <w:pPr>
        <w:tabs>
          <w:tab w:val="center" w:pos="5400"/>
        </w:tabs>
        <w:suppressAutoHyphens/>
        <w:jc w:val="center"/>
        <w:rPr>
          <w:rFonts w:asciiTheme="majorHAnsi" w:hAnsiTheme="majorHAnsi"/>
          <w:sz w:val="22"/>
          <w:szCs w:val="22"/>
          <w:lang w:val="es-ES_tradnl"/>
        </w:rPr>
      </w:pPr>
    </w:p>
    <w:p w14:paraId="1F3CD6D1" w14:textId="77777777" w:rsidR="005128E4" w:rsidRPr="0090270B" w:rsidRDefault="005128E4" w:rsidP="00DB4D24">
      <w:pPr>
        <w:tabs>
          <w:tab w:val="center" w:pos="5400"/>
        </w:tabs>
        <w:suppressAutoHyphens/>
        <w:jc w:val="center"/>
        <w:rPr>
          <w:rFonts w:asciiTheme="majorHAnsi" w:hAnsiTheme="majorHAnsi"/>
          <w:sz w:val="22"/>
          <w:szCs w:val="22"/>
          <w:lang w:val="es-ES_tradnl"/>
        </w:rPr>
      </w:pPr>
    </w:p>
    <w:p w14:paraId="7C09C2A6" w14:textId="77777777" w:rsidR="005128E4" w:rsidRPr="0090270B" w:rsidRDefault="005128E4" w:rsidP="00DB4D24">
      <w:pPr>
        <w:tabs>
          <w:tab w:val="center" w:pos="5400"/>
        </w:tabs>
        <w:suppressAutoHyphens/>
        <w:jc w:val="center"/>
        <w:rPr>
          <w:rFonts w:asciiTheme="majorHAnsi" w:hAnsiTheme="majorHAnsi"/>
          <w:sz w:val="22"/>
          <w:szCs w:val="22"/>
          <w:lang w:val="es-ES_tradnl"/>
        </w:rPr>
      </w:pPr>
    </w:p>
    <w:p w14:paraId="1D7D5963"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6CDAE0D6" w14:textId="77777777" w:rsidR="00040C3A" w:rsidRPr="0090270B" w:rsidRDefault="00040C3A" w:rsidP="00DB4D24">
      <w:pPr>
        <w:tabs>
          <w:tab w:val="center" w:pos="5400"/>
        </w:tabs>
        <w:suppressAutoHyphens/>
        <w:jc w:val="center"/>
        <w:rPr>
          <w:rFonts w:asciiTheme="majorHAnsi" w:hAnsiTheme="majorHAnsi"/>
          <w:sz w:val="22"/>
          <w:szCs w:val="22"/>
          <w:lang w:val="es-ES_tradnl"/>
        </w:rPr>
      </w:pPr>
    </w:p>
    <w:p w14:paraId="23F06296"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5802DD3F"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00EEA20B"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5DCB1F8A"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5485DD08"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2E7D506D"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18833B3E"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7D848499"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5FDFE1EF"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2AEB6D82"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24D4EC58"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177BB6D3"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002181BE"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207AF545"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28202818" w14:textId="77777777" w:rsidR="00A50FCF" w:rsidRPr="0090270B" w:rsidRDefault="0090270B" w:rsidP="00DB4D24">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96E748" wp14:editId="6033860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8B49E" w14:textId="3FAD7710" w:rsidR="00491D4E" w:rsidRPr="00832288" w:rsidRDefault="00491D4E"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 xml:space="preserve">Aprobado electrónicamente por la Comisión el </w:t>
                            </w:r>
                            <w:r w:rsidR="00C168A9">
                              <w:rPr>
                                <w:rFonts w:asciiTheme="majorHAnsi" w:hAnsiTheme="majorHAnsi"/>
                                <w:color w:val="0D0D0D" w:themeColor="text1" w:themeTint="F2"/>
                                <w:sz w:val="18"/>
                                <w:szCs w:val="20"/>
                                <w:lang w:val="es-ES"/>
                              </w:rPr>
                              <w:t>31</w:t>
                            </w:r>
                            <w:r>
                              <w:rPr>
                                <w:rFonts w:asciiTheme="majorHAnsi" w:hAnsiTheme="majorHAnsi"/>
                                <w:color w:val="0D0D0D" w:themeColor="text1" w:themeTint="F2"/>
                                <w:sz w:val="18"/>
                                <w:szCs w:val="20"/>
                                <w:lang w:val="es-ES"/>
                              </w:rPr>
                              <w:t xml:space="preserve"> de </w:t>
                            </w:r>
                            <w:r w:rsidR="00152F9D">
                              <w:rPr>
                                <w:rFonts w:asciiTheme="majorHAnsi" w:hAnsiTheme="majorHAnsi"/>
                                <w:color w:val="0D0D0D" w:themeColor="text1" w:themeTint="F2"/>
                                <w:sz w:val="18"/>
                                <w:szCs w:val="20"/>
                                <w:lang w:val="es-ES"/>
                              </w:rPr>
                              <w:t>dic</w:t>
                            </w:r>
                            <w:r>
                              <w:rPr>
                                <w:rFonts w:asciiTheme="majorHAnsi" w:hAnsiTheme="majorHAnsi"/>
                                <w:color w:val="0D0D0D" w:themeColor="text1" w:themeTint="F2"/>
                                <w:sz w:val="18"/>
                                <w:szCs w:val="20"/>
                                <w:lang w:val="es-ES"/>
                              </w:rPr>
                              <w:t xml:space="preserve">iembre </w:t>
                            </w:r>
                            <w:r w:rsidRPr="00890650">
                              <w:rPr>
                                <w:rFonts w:asciiTheme="majorHAnsi" w:hAnsiTheme="majorHAnsi"/>
                                <w:color w:val="0D0D0D" w:themeColor="text1" w:themeTint="F2"/>
                                <w:sz w:val="18"/>
                                <w:szCs w:val="20"/>
                                <w:lang w:val="es-ES"/>
                              </w:rPr>
                              <w:t>de 20</w:t>
                            </w:r>
                            <w:r>
                              <w:rPr>
                                <w:rFonts w:asciiTheme="majorHAnsi" w:hAnsiTheme="majorHAnsi"/>
                                <w:color w:val="0D0D0D" w:themeColor="text1" w:themeTint="F2"/>
                                <w:sz w:val="18"/>
                                <w:szCs w:val="20"/>
                                <w:lang w:val="es-ES"/>
                              </w:rPr>
                              <w:t>21</w:t>
                            </w:r>
                            <w:r>
                              <w:rPr>
                                <w:rFonts w:asciiTheme="majorHAnsi" w:hAnsiTheme="majorHAnsi" w:cs="Univers"/>
                                <w:color w:val="0D0D0D" w:themeColor="text1" w:themeTint="F2"/>
                                <w:sz w:val="18"/>
                                <w:szCs w:val="20"/>
                                <w:lang w:val="es-ES_tradnl"/>
                              </w:rPr>
                              <w:t>.</w:t>
                            </w:r>
                          </w:p>
                          <w:p w14:paraId="0A15F86E" w14:textId="77777777" w:rsidR="00491D4E" w:rsidRPr="00167A34" w:rsidRDefault="00491D4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E74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458B49E" w14:textId="3FAD7710" w:rsidR="00491D4E" w:rsidRPr="00832288" w:rsidRDefault="00491D4E"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 xml:space="preserve">Aprobado electrónicamente por la Comisión el </w:t>
                      </w:r>
                      <w:r w:rsidR="00C168A9">
                        <w:rPr>
                          <w:rFonts w:asciiTheme="majorHAnsi" w:hAnsiTheme="majorHAnsi"/>
                          <w:color w:val="0D0D0D" w:themeColor="text1" w:themeTint="F2"/>
                          <w:sz w:val="18"/>
                          <w:szCs w:val="20"/>
                          <w:lang w:val="es-ES"/>
                        </w:rPr>
                        <w:t>31</w:t>
                      </w:r>
                      <w:r>
                        <w:rPr>
                          <w:rFonts w:asciiTheme="majorHAnsi" w:hAnsiTheme="majorHAnsi"/>
                          <w:color w:val="0D0D0D" w:themeColor="text1" w:themeTint="F2"/>
                          <w:sz w:val="18"/>
                          <w:szCs w:val="20"/>
                          <w:lang w:val="es-ES"/>
                        </w:rPr>
                        <w:t xml:space="preserve"> de </w:t>
                      </w:r>
                      <w:r w:rsidR="00152F9D">
                        <w:rPr>
                          <w:rFonts w:asciiTheme="majorHAnsi" w:hAnsiTheme="majorHAnsi"/>
                          <w:color w:val="0D0D0D" w:themeColor="text1" w:themeTint="F2"/>
                          <w:sz w:val="18"/>
                          <w:szCs w:val="20"/>
                          <w:lang w:val="es-ES"/>
                        </w:rPr>
                        <w:t>dic</w:t>
                      </w:r>
                      <w:r>
                        <w:rPr>
                          <w:rFonts w:asciiTheme="majorHAnsi" w:hAnsiTheme="majorHAnsi"/>
                          <w:color w:val="0D0D0D" w:themeColor="text1" w:themeTint="F2"/>
                          <w:sz w:val="18"/>
                          <w:szCs w:val="20"/>
                          <w:lang w:val="es-ES"/>
                        </w:rPr>
                        <w:t xml:space="preserve">iembre </w:t>
                      </w:r>
                      <w:r w:rsidRPr="00890650">
                        <w:rPr>
                          <w:rFonts w:asciiTheme="majorHAnsi" w:hAnsiTheme="majorHAnsi"/>
                          <w:color w:val="0D0D0D" w:themeColor="text1" w:themeTint="F2"/>
                          <w:sz w:val="18"/>
                          <w:szCs w:val="20"/>
                          <w:lang w:val="es-ES"/>
                        </w:rPr>
                        <w:t>de 20</w:t>
                      </w:r>
                      <w:r>
                        <w:rPr>
                          <w:rFonts w:asciiTheme="majorHAnsi" w:hAnsiTheme="majorHAnsi"/>
                          <w:color w:val="0D0D0D" w:themeColor="text1" w:themeTint="F2"/>
                          <w:sz w:val="18"/>
                          <w:szCs w:val="20"/>
                          <w:lang w:val="es-ES"/>
                        </w:rPr>
                        <w:t>21</w:t>
                      </w:r>
                      <w:r>
                        <w:rPr>
                          <w:rFonts w:asciiTheme="majorHAnsi" w:hAnsiTheme="majorHAnsi" w:cs="Univers"/>
                          <w:color w:val="0D0D0D" w:themeColor="text1" w:themeTint="F2"/>
                          <w:sz w:val="18"/>
                          <w:szCs w:val="20"/>
                          <w:lang w:val="es-ES_tradnl"/>
                        </w:rPr>
                        <w:t>.</w:t>
                      </w:r>
                    </w:p>
                    <w:p w14:paraId="0A15F86E" w14:textId="77777777" w:rsidR="00491D4E" w:rsidRPr="00167A34" w:rsidRDefault="00491D4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4AEE247"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742BBB85"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4CC5D5BA"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5CA51683"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445D868B" w14:textId="77777777" w:rsidR="00A50FCF" w:rsidRPr="0090270B" w:rsidRDefault="0090270B" w:rsidP="00DB4D24">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3A8ADD4" wp14:editId="6921733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4F565" w14:textId="08D4BBA3" w:rsidR="00491D4E" w:rsidRPr="00152F9D" w:rsidRDefault="00491D4E" w:rsidP="00113F73">
                            <w:pPr>
                              <w:spacing w:line="276" w:lineRule="auto"/>
                              <w:rPr>
                                <w:rFonts w:asciiTheme="majorHAnsi" w:hAnsiTheme="majorHAnsi"/>
                                <w:color w:val="595959" w:themeColor="text1" w:themeTint="A6"/>
                                <w:sz w:val="18"/>
                                <w:szCs w:val="18"/>
                                <w:lang w:val="es-ES_tradnl"/>
                              </w:rPr>
                            </w:pPr>
                            <w:r w:rsidRPr="00C168A9">
                              <w:rPr>
                                <w:rFonts w:asciiTheme="majorHAnsi" w:hAnsiTheme="majorHAnsi"/>
                                <w:b/>
                                <w:color w:val="595959" w:themeColor="text1" w:themeTint="A6"/>
                                <w:sz w:val="18"/>
                                <w:szCs w:val="18"/>
                                <w:lang w:val="es-ES_tradnl"/>
                              </w:rPr>
                              <w:t>Citar como:</w:t>
                            </w:r>
                            <w:r w:rsidRPr="00C168A9">
                              <w:rPr>
                                <w:rFonts w:asciiTheme="majorHAnsi" w:hAnsiTheme="majorHAnsi"/>
                                <w:color w:val="595959" w:themeColor="text1" w:themeTint="A6"/>
                                <w:sz w:val="18"/>
                                <w:szCs w:val="18"/>
                                <w:lang w:val="es-ES_tradnl"/>
                              </w:rPr>
                              <w:t xml:space="preserve"> CIDH, Informe No. </w:t>
                            </w:r>
                            <w:r w:rsidR="00C168A9" w:rsidRPr="00C168A9">
                              <w:rPr>
                                <w:rFonts w:asciiTheme="majorHAnsi" w:hAnsiTheme="majorHAnsi"/>
                                <w:color w:val="595959" w:themeColor="text1" w:themeTint="A6"/>
                                <w:sz w:val="18"/>
                                <w:szCs w:val="18"/>
                                <w:lang w:val="es-ES_tradnl"/>
                              </w:rPr>
                              <w:t>460</w:t>
                            </w:r>
                            <w:r w:rsidRPr="00C168A9">
                              <w:rPr>
                                <w:rFonts w:asciiTheme="majorHAnsi" w:hAnsiTheme="majorHAnsi"/>
                                <w:color w:val="595959" w:themeColor="text1" w:themeTint="A6"/>
                                <w:sz w:val="18"/>
                                <w:szCs w:val="18"/>
                                <w:lang w:val="es-ES_tradnl"/>
                              </w:rPr>
                              <w:t>/21, Caso 12.721. Fondo (</w:t>
                            </w:r>
                            <w:r w:rsidR="001F4F5D" w:rsidRPr="00C168A9">
                              <w:rPr>
                                <w:rFonts w:asciiTheme="majorHAnsi" w:hAnsiTheme="majorHAnsi"/>
                                <w:color w:val="595959" w:themeColor="text1" w:themeTint="A6"/>
                                <w:sz w:val="18"/>
                                <w:szCs w:val="18"/>
                                <w:lang w:val="es-ES_tradnl"/>
                              </w:rPr>
                              <w:t>Publicación</w:t>
                            </w:r>
                            <w:r w:rsidRPr="00C168A9">
                              <w:rPr>
                                <w:rFonts w:asciiTheme="majorHAnsi" w:hAnsiTheme="majorHAnsi"/>
                                <w:color w:val="595959" w:themeColor="text1" w:themeTint="A6"/>
                                <w:sz w:val="18"/>
                                <w:szCs w:val="18"/>
                                <w:lang w:val="es-ES_tradnl"/>
                              </w:rPr>
                              <w:t xml:space="preserve">). Ángel Pedro Falanga. Argentina. </w:t>
                            </w:r>
                            <w:r w:rsidR="00C168A9" w:rsidRPr="00C168A9">
                              <w:rPr>
                                <w:rFonts w:asciiTheme="majorHAnsi" w:hAnsiTheme="majorHAnsi"/>
                                <w:color w:val="595959" w:themeColor="text1" w:themeTint="A6"/>
                                <w:sz w:val="18"/>
                                <w:szCs w:val="18"/>
                                <w:lang w:val="es-ES_tradnl"/>
                              </w:rPr>
                              <w:t>31</w:t>
                            </w:r>
                            <w:r w:rsidRPr="00C168A9">
                              <w:rPr>
                                <w:rFonts w:asciiTheme="majorHAnsi" w:hAnsiTheme="majorHAnsi"/>
                                <w:color w:val="595959" w:themeColor="text1" w:themeTint="A6"/>
                                <w:sz w:val="18"/>
                                <w:szCs w:val="18"/>
                                <w:lang w:val="es-ES_tradnl"/>
                              </w:rPr>
                              <w:t xml:space="preserve"> de </w:t>
                            </w:r>
                            <w:r w:rsidR="00152F9D" w:rsidRPr="00C168A9">
                              <w:rPr>
                                <w:rFonts w:asciiTheme="majorHAnsi" w:hAnsiTheme="majorHAnsi"/>
                                <w:color w:val="595959" w:themeColor="text1" w:themeTint="A6"/>
                                <w:sz w:val="18"/>
                                <w:szCs w:val="18"/>
                                <w:lang w:val="es-ES_tradnl"/>
                              </w:rPr>
                              <w:t>dic</w:t>
                            </w:r>
                            <w:r w:rsidRPr="00C168A9">
                              <w:rPr>
                                <w:rFonts w:asciiTheme="majorHAnsi" w:hAnsiTheme="majorHAnsi"/>
                                <w:color w:val="595959" w:themeColor="text1" w:themeTint="A6"/>
                                <w:sz w:val="18"/>
                                <w:szCs w:val="18"/>
                                <w:lang w:val="es-ES_tradnl"/>
                              </w:rPr>
                              <w:t>iembre de 2021.</w:t>
                            </w:r>
                          </w:p>
                          <w:p w14:paraId="436ED221" w14:textId="77777777" w:rsidR="00491D4E" w:rsidRPr="001F0532" w:rsidRDefault="00491D4E" w:rsidP="00113F73">
                            <w:pPr>
                              <w:spacing w:line="276" w:lineRule="auto"/>
                              <w:rPr>
                                <w:rFonts w:asciiTheme="majorHAnsi" w:hAnsiTheme="majorHAnsi"/>
                                <w:color w:val="595959" w:themeColor="text1" w:themeTint="A6"/>
                                <w:sz w:val="18"/>
                                <w:szCs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8ADD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3A4F565" w14:textId="08D4BBA3" w:rsidR="00491D4E" w:rsidRPr="00152F9D" w:rsidRDefault="00491D4E" w:rsidP="00113F73">
                      <w:pPr>
                        <w:spacing w:line="276" w:lineRule="auto"/>
                        <w:rPr>
                          <w:rFonts w:asciiTheme="majorHAnsi" w:hAnsiTheme="majorHAnsi"/>
                          <w:color w:val="595959" w:themeColor="text1" w:themeTint="A6"/>
                          <w:sz w:val="18"/>
                          <w:szCs w:val="18"/>
                          <w:lang w:val="es-ES_tradnl"/>
                        </w:rPr>
                      </w:pPr>
                      <w:r w:rsidRPr="00C168A9">
                        <w:rPr>
                          <w:rFonts w:asciiTheme="majorHAnsi" w:hAnsiTheme="majorHAnsi"/>
                          <w:b/>
                          <w:color w:val="595959" w:themeColor="text1" w:themeTint="A6"/>
                          <w:sz w:val="18"/>
                          <w:szCs w:val="18"/>
                          <w:lang w:val="es-ES_tradnl"/>
                        </w:rPr>
                        <w:t>Citar como:</w:t>
                      </w:r>
                      <w:r w:rsidRPr="00C168A9">
                        <w:rPr>
                          <w:rFonts w:asciiTheme="majorHAnsi" w:hAnsiTheme="majorHAnsi"/>
                          <w:color w:val="595959" w:themeColor="text1" w:themeTint="A6"/>
                          <w:sz w:val="18"/>
                          <w:szCs w:val="18"/>
                          <w:lang w:val="es-ES_tradnl"/>
                        </w:rPr>
                        <w:t xml:space="preserve"> CIDH, Informe No. </w:t>
                      </w:r>
                      <w:r w:rsidR="00C168A9" w:rsidRPr="00C168A9">
                        <w:rPr>
                          <w:rFonts w:asciiTheme="majorHAnsi" w:hAnsiTheme="majorHAnsi"/>
                          <w:color w:val="595959" w:themeColor="text1" w:themeTint="A6"/>
                          <w:sz w:val="18"/>
                          <w:szCs w:val="18"/>
                          <w:lang w:val="es-ES_tradnl"/>
                        </w:rPr>
                        <w:t>460</w:t>
                      </w:r>
                      <w:r w:rsidRPr="00C168A9">
                        <w:rPr>
                          <w:rFonts w:asciiTheme="majorHAnsi" w:hAnsiTheme="majorHAnsi"/>
                          <w:color w:val="595959" w:themeColor="text1" w:themeTint="A6"/>
                          <w:sz w:val="18"/>
                          <w:szCs w:val="18"/>
                          <w:lang w:val="es-ES_tradnl"/>
                        </w:rPr>
                        <w:t>/21, Caso 12.721. Fondo (</w:t>
                      </w:r>
                      <w:r w:rsidR="001F4F5D" w:rsidRPr="00C168A9">
                        <w:rPr>
                          <w:rFonts w:asciiTheme="majorHAnsi" w:hAnsiTheme="majorHAnsi"/>
                          <w:color w:val="595959" w:themeColor="text1" w:themeTint="A6"/>
                          <w:sz w:val="18"/>
                          <w:szCs w:val="18"/>
                          <w:lang w:val="es-ES_tradnl"/>
                        </w:rPr>
                        <w:t>Publicación</w:t>
                      </w:r>
                      <w:r w:rsidRPr="00C168A9">
                        <w:rPr>
                          <w:rFonts w:asciiTheme="majorHAnsi" w:hAnsiTheme="majorHAnsi"/>
                          <w:color w:val="595959" w:themeColor="text1" w:themeTint="A6"/>
                          <w:sz w:val="18"/>
                          <w:szCs w:val="18"/>
                          <w:lang w:val="es-ES_tradnl"/>
                        </w:rPr>
                        <w:t xml:space="preserve">). Ángel Pedro Falanga. Argentina. </w:t>
                      </w:r>
                      <w:r w:rsidR="00C168A9" w:rsidRPr="00C168A9">
                        <w:rPr>
                          <w:rFonts w:asciiTheme="majorHAnsi" w:hAnsiTheme="majorHAnsi"/>
                          <w:color w:val="595959" w:themeColor="text1" w:themeTint="A6"/>
                          <w:sz w:val="18"/>
                          <w:szCs w:val="18"/>
                          <w:lang w:val="es-ES_tradnl"/>
                        </w:rPr>
                        <w:t>31</w:t>
                      </w:r>
                      <w:r w:rsidRPr="00C168A9">
                        <w:rPr>
                          <w:rFonts w:asciiTheme="majorHAnsi" w:hAnsiTheme="majorHAnsi"/>
                          <w:color w:val="595959" w:themeColor="text1" w:themeTint="A6"/>
                          <w:sz w:val="18"/>
                          <w:szCs w:val="18"/>
                          <w:lang w:val="es-ES_tradnl"/>
                        </w:rPr>
                        <w:t xml:space="preserve"> de </w:t>
                      </w:r>
                      <w:r w:rsidR="00152F9D" w:rsidRPr="00C168A9">
                        <w:rPr>
                          <w:rFonts w:asciiTheme="majorHAnsi" w:hAnsiTheme="majorHAnsi"/>
                          <w:color w:val="595959" w:themeColor="text1" w:themeTint="A6"/>
                          <w:sz w:val="18"/>
                          <w:szCs w:val="18"/>
                          <w:lang w:val="es-ES_tradnl"/>
                        </w:rPr>
                        <w:t>dic</w:t>
                      </w:r>
                      <w:r w:rsidRPr="00C168A9">
                        <w:rPr>
                          <w:rFonts w:asciiTheme="majorHAnsi" w:hAnsiTheme="majorHAnsi"/>
                          <w:color w:val="595959" w:themeColor="text1" w:themeTint="A6"/>
                          <w:sz w:val="18"/>
                          <w:szCs w:val="18"/>
                          <w:lang w:val="es-ES_tradnl"/>
                        </w:rPr>
                        <w:t>iembre de 2021.</w:t>
                      </w:r>
                    </w:p>
                    <w:p w14:paraId="436ED221" w14:textId="77777777" w:rsidR="00491D4E" w:rsidRPr="001F0532" w:rsidRDefault="00491D4E" w:rsidP="00113F73">
                      <w:pPr>
                        <w:spacing w:line="276" w:lineRule="auto"/>
                        <w:rPr>
                          <w:rFonts w:asciiTheme="majorHAnsi" w:hAnsiTheme="majorHAnsi"/>
                          <w:color w:val="595959" w:themeColor="text1" w:themeTint="A6"/>
                          <w:sz w:val="18"/>
                          <w:szCs w:val="18"/>
                          <w:lang w:val="pt-BR"/>
                        </w:rPr>
                      </w:pPr>
                    </w:p>
                  </w:txbxContent>
                </v:textbox>
              </v:shape>
            </w:pict>
          </mc:Fallback>
        </mc:AlternateContent>
      </w:r>
    </w:p>
    <w:p w14:paraId="52FF4C00" w14:textId="77777777" w:rsidR="00A50FCF" w:rsidRPr="0090270B" w:rsidRDefault="00A50FCF" w:rsidP="00DB4D24">
      <w:pPr>
        <w:tabs>
          <w:tab w:val="center" w:pos="5400"/>
        </w:tabs>
        <w:suppressAutoHyphens/>
        <w:jc w:val="center"/>
        <w:rPr>
          <w:rFonts w:asciiTheme="majorHAnsi" w:hAnsiTheme="majorHAnsi"/>
          <w:sz w:val="18"/>
          <w:szCs w:val="22"/>
          <w:lang w:val="es-ES_tradnl"/>
        </w:rPr>
      </w:pPr>
    </w:p>
    <w:p w14:paraId="27137D1C" w14:textId="77777777" w:rsidR="0090270B" w:rsidRDefault="00D306D1" w:rsidP="00DB4D24">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34DA640" wp14:editId="7A5BFC3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F47B7" w14:textId="06D3BCE1" w:rsidR="00491D4E" w:rsidRPr="00D72DC6" w:rsidRDefault="00EA5249" w:rsidP="00F02AD1">
                            <w:pPr>
                              <w:rPr>
                                <w:color w:val="FFFFFF" w:themeColor="background1"/>
                                <w14:textFill>
                                  <w14:noFill/>
                                </w14:textFill>
                              </w:rPr>
                            </w:pPr>
                            <w:r>
                              <w:rPr>
                                <w:noProof/>
                                <w:color w:val="FFFFFF" w:themeColor="background1"/>
                              </w:rPr>
                              <w:drawing>
                                <wp:inline distT="0" distB="0" distL="0" distR="0" wp14:anchorId="0401C215" wp14:editId="274B86FA">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A64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7DDF47B7" w14:textId="06D3BCE1" w:rsidR="00491D4E" w:rsidRPr="00D72DC6" w:rsidRDefault="00EA5249" w:rsidP="00F02AD1">
                      <w:pPr>
                        <w:rPr>
                          <w:color w:val="FFFFFF" w:themeColor="background1"/>
                          <w14:textFill>
                            <w14:noFill/>
                          </w14:textFill>
                        </w:rPr>
                      </w:pPr>
                      <w:r>
                        <w:rPr>
                          <w:noProof/>
                          <w:color w:val="FFFFFF" w:themeColor="background1"/>
                        </w:rPr>
                        <w:drawing>
                          <wp:inline distT="0" distB="0" distL="0" distR="0" wp14:anchorId="0401C215" wp14:editId="274B86FA">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A7D3E4E" wp14:editId="41CC1C9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A5930" w14:textId="77777777" w:rsidR="00491D4E" w:rsidRPr="004B7EB6" w:rsidRDefault="00491D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3E4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EBA5930" w14:textId="77777777" w:rsidR="00491D4E" w:rsidRPr="004B7EB6" w:rsidRDefault="00491D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B35E3C" w14:textId="77777777" w:rsidR="0070697F" w:rsidRDefault="0070697F" w:rsidP="00DB4D24">
      <w:pPr>
        <w:tabs>
          <w:tab w:val="center" w:pos="5400"/>
        </w:tabs>
        <w:suppressAutoHyphens/>
        <w:rPr>
          <w:rFonts w:asciiTheme="majorHAnsi" w:hAnsiTheme="majorHAnsi"/>
          <w:b/>
          <w:sz w:val="20"/>
          <w:lang w:val="es-ES_tradnl"/>
        </w:rPr>
        <w:sectPr w:rsidR="0070697F" w:rsidSect="00B047C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8AD1AD9" w14:textId="77777777" w:rsidR="00910698" w:rsidRDefault="00910698" w:rsidP="00DB4D24">
      <w:pPr>
        <w:rPr>
          <w:rFonts w:ascii="Cambria" w:hAnsi="Cambria" w:cs="Calibri"/>
          <w:sz w:val="20"/>
          <w:szCs w:val="20"/>
          <w:lang w:val="es-ES"/>
        </w:rPr>
      </w:pPr>
    </w:p>
    <w:p w14:paraId="13EBB46D" w14:textId="77777777" w:rsidR="00910698" w:rsidRPr="00910698" w:rsidRDefault="00910698" w:rsidP="00910698">
      <w:pPr>
        <w:jc w:val="center"/>
        <w:rPr>
          <w:rFonts w:ascii="Cambria" w:hAnsi="Cambria" w:cs="Calibri"/>
          <w:b/>
          <w:szCs w:val="20"/>
          <w:lang w:val="es-ES"/>
        </w:rPr>
      </w:pPr>
      <w:r w:rsidRPr="00910698">
        <w:rPr>
          <w:rFonts w:ascii="Cambria" w:hAnsi="Cambria" w:cs="Calibri"/>
          <w:b/>
          <w:szCs w:val="20"/>
          <w:lang w:val="es-ES"/>
        </w:rPr>
        <w:t>INDICE</w:t>
      </w:r>
    </w:p>
    <w:p w14:paraId="547578E9" w14:textId="77777777" w:rsidR="00910698" w:rsidRDefault="00910698" w:rsidP="00910698">
      <w:pPr>
        <w:jc w:val="center"/>
        <w:rPr>
          <w:rFonts w:ascii="Cambria" w:hAnsi="Cambria" w:cs="Calibri"/>
          <w:sz w:val="20"/>
          <w:szCs w:val="20"/>
          <w:lang w:val="es-ES"/>
        </w:rPr>
      </w:pPr>
    </w:p>
    <w:p w14:paraId="39AC6F24" w14:textId="77777777" w:rsidR="00910698" w:rsidRDefault="00910698" w:rsidP="00910698">
      <w:pPr>
        <w:jc w:val="center"/>
        <w:rPr>
          <w:rFonts w:ascii="Cambria" w:hAnsi="Cambria" w:cs="Calibri"/>
          <w:sz w:val="20"/>
          <w:szCs w:val="20"/>
          <w:lang w:val="es-ES"/>
        </w:rPr>
      </w:pPr>
    </w:p>
    <w:p w14:paraId="711CD527" w14:textId="66644A16" w:rsidR="00EA5249" w:rsidRDefault="00910698" w:rsidP="00EA5249">
      <w:pPr>
        <w:pStyle w:val="TOC1"/>
        <w:rPr>
          <w:rFonts w:asciiTheme="minorHAnsi" w:eastAsiaTheme="minorEastAsia" w:hAnsiTheme="minorHAnsi" w:cstheme="minorBidi"/>
          <w:sz w:val="22"/>
          <w:szCs w:val="22"/>
          <w:bdr w:val="none" w:sz="0" w:space="0" w:color="auto"/>
          <w:lang w:val="en-US"/>
        </w:rPr>
      </w:pPr>
      <w:r w:rsidRPr="00C168A9">
        <w:rPr>
          <w:rFonts w:ascii="Cambria" w:hAnsi="Cambria" w:cs="Calibri"/>
          <w:lang w:val="es-ES"/>
        </w:rPr>
        <w:fldChar w:fldCharType="begin"/>
      </w:r>
      <w:r w:rsidRPr="00C168A9">
        <w:rPr>
          <w:rFonts w:ascii="Cambria" w:hAnsi="Cambria" w:cs="Calibri"/>
          <w:lang w:val="es-ES"/>
        </w:rPr>
        <w:instrText xml:space="preserve"> TOC \o "1-3" \h \z \u </w:instrText>
      </w:r>
      <w:r w:rsidRPr="00C168A9">
        <w:rPr>
          <w:rFonts w:ascii="Cambria" w:hAnsi="Cambria" w:cs="Calibri"/>
          <w:lang w:val="es-ES"/>
        </w:rPr>
        <w:fldChar w:fldCharType="separate"/>
      </w:r>
      <w:hyperlink w:anchor="_Toc99959072" w:history="1">
        <w:r w:rsidR="00EA5249" w:rsidRPr="003C180D">
          <w:rPr>
            <w:rStyle w:val="Hyperlink"/>
            <w:rFonts w:eastAsia="Times New Roman"/>
            <w:bdr w:val="none" w:sz="0" w:space="0" w:color="auto" w:frame="1"/>
            <w:lang w:val="es-AR"/>
          </w:rPr>
          <w:t>I.</w:t>
        </w:r>
        <w:r w:rsidR="00EA5249">
          <w:rPr>
            <w:rFonts w:asciiTheme="minorHAnsi" w:eastAsiaTheme="minorEastAsia" w:hAnsiTheme="minorHAnsi" w:cstheme="minorBidi"/>
            <w:sz w:val="22"/>
            <w:szCs w:val="22"/>
            <w:bdr w:val="none" w:sz="0" w:space="0" w:color="auto"/>
            <w:lang w:val="en-US"/>
          </w:rPr>
          <w:tab/>
        </w:r>
        <w:r w:rsidR="00EA5249" w:rsidRPr="003C180D">
          <w:rPr>
            <w:rStyle w:val="Hyperlink"/>
            <w:rFonts w:eastAsia="Times New Roman"/>
            <w:bdr w:val="none" w:sz="0" w:space="0" w:color="auto" w:frame="1"/>
            <w:lang w:val="es-ES_tradnl"/>
          </w:rPr>
          <w:t>INTRODUCCIÓN</w:t>
        </w:r>
        <w:r w:rsidR="00EA5249">
          <w:rPr>
            <w:webHidden/>
          </w:rPr>
          <w:tab/>
        </w:r>
        <w:r w:rsidR="00EA5249">
          <w:rPr>
            <w:webHidden/>
          </w:rPr>
          <w:fldChar w:fldCharType="begin"/>
        </w:r>
        <w:r w:rsidR="00EA5249">
          <w:rPr>
            <w:webHidden/>
          </w:rPr>
          <w:instrText xml:space="preserve"> PAGEREF _Toc99959072 \h </w:instrText>
        </w:r>
        <w:r w:rsidR="00EA5249">
          <w:rPr>
            <w:webHidden/>
          </w:rPr>
        </w:r>
        <w:r w:rsidR="00EA5249">
          <w:rPr>
            <w:webHidden/>
          </w:rPr>
          <w:fldChar w:fldCharType="separate"/>
        </w:r>
        <w:r w:rsidR="00EA5249">
          <w:rPr>
            <w:webHidden/>
          </w:rPr>
          <w:t>2</w:t>
        </w:r>
        <w:r w:rsidR="00EA5249">
          <w:rPr>
            <w:webHidden/>
          </w:rPr>
          <w:fldChar w:fldCharType="end"/>
        </w:r>
      </w:hyperlink>
    </w:p>
    <w:p w14:paraId="7A2A2CDB" w14:textId="6830D093"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73" w:history="1">
        <w:r w:rsidRPr="003C180D">
          <w:rPr>
            <w:rStyle w:val="Hyperlink"/>
            <w:rFonts w:eastAsia="Times New Roman"/>
            <w:bdr w:val="none" w:sz="0" w:space="0" w:color="auto" w:frame="1"/>
            <w:lang w:val="es-AR"/>
          </w:rPr>
          <w:t>II.</w:t>
        </w:r>
        <w:r>
          <w:rPr>
            <w:rFonts w:asciiTheme="minorHAnsi" w:eastAsiaTheme="minorEastAsia" w:hAnsiTheme="minorHAnsi" w:cstheme="minorBidi"/>
            <w:sz w:val="22"/>
            <w:szCs w:val="22"/>
            <w:bdr w:val="none" w:sz="0" w:space="0" w:color="auto"/>
            <w:lang w:val="en-US"/>
          </w:rPr>
          <w:tab/>
        </w:r>
        <w:r w:rsidRPr="003C180D">
          <w:rPr>
            <w:rStyle w:val="Hyperlink"/>
            <w:rFonts w:eastAsia="Times New Roman"/>
            <w:bdr w:val="none" w:sz="0" w:space="0" w:color="auto" w:frame="1"/>
            <w:lang w:val="es-ES_tradnl"/>
          </w:rPr>
          <w:t>POSICIONES DE LAS PARTES</w:t>
        </w:r>
        <w:r>
          <w:rPr>
            <w:webHidden/>
          </w:rPr>
          <w:tab/>
        </w:r>
        <w:r>
          <w:rPr>
            <w:webHidden/>
          </w:rPr>
          <w:fldChar w:fldCharType="begin"/>
        </w:r>
        <w:r>
          <w:rPr>
            <w:webHidden/>
          </w:rPr>
          <w:instrText xml:space="preserve"> PAGEREF _Toc99959073 \h </w:instrText>
        </w:r>
        <w:r>
          <w:rPr>
            <w:webHidden/>
          </w:rPr>
        </w:r>
        <w:r>
          <w:rPr>
            <w:webHidden/>
          </w:rPr>
          <w:fldChar w:fldCharType="separate"/>
        </w:r>
        <w:r>
          <w:rPr>
            <w:webHidden/>
          </w:rPr>
          <w:t>2</w:t>
        </w:r>
        <w:r>
          <w:rPr>
            <w:webHidden/>
          </w:rPr>
          <w:fldChar w:fldCharType="end"/>
        </w:r>
      </w:hyperlink>
    </w:p>
    <w:p w14:paraId="3F07B8C8" w14:textId="1E405B14"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74" w:history="1">
        <w:r w:rsidRPr="00EA5249">
          <w:rPr>
            <w:rStyle w:val="Hyperlink"/>
            <w:b w:val="0"/>
            <w:bCs/>
          </w:rPr>
          <w:t>A.</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Parte peticionaria</w:t>
        </w:r>
        <w:r w:rsidRPr="00EA5249">
          <w:rPr>
            <w:b w:val="0"/>
            <w:bCs/>
            <w:webHidden/>
          </w:rPr>
          <w:tab/>
        </w:r>
        <w:r w:rsidRPr="00EA5249">
          <w:rPr>
            <w:b w:val="0"/>
            <w:bCs/>
            <w:webHidden/>
          </w:rPr>
          <w:fldChar w:fldCharType="begin"/>
        </w:r>
        <w:r w:rsidRPr="00EA5249">
          <w:rPr>
            <w:b w:val="0"/>
            <w:bCs/>
            <w:webHidden/>
          </w:rPr>
          <w:instrText xml:space="preserve"> PAGEREF _Toc99959074 \h </w:instrText>
        </w:r>
        <w:r w:rsidRPr="00EA5249">
          <w:rPr>
            <w:b w:val="0"/>
            <w:bCs/>
            <w:webHidden/>
          </w:rPr>
        </w:r>
        <w:r w:rsidRPr="00EA5249">
          <w:rPr>
            <w:b w:val="0"/>
            <w:bCs/>
            <w:webHidden/>
          </w:rPr>
          <w:fldChar w:fldCharType="separate"/>
        </w:r>
        <w:r w:rsidRPr="00EA5249">
          <w:rPr>
            <w:b w:val="0"/>
            <w:bCs/>
            <w:webHidden/>
          </w:rPr>
          <w:t>2</w:t>
        </w:r>
        <w:r w:rsidRPr="00EA5249">
          <w:rPr>
            <w:b w:val="0"/>
            <w:bCs/>
            <w:webHidden/>
          </w:rPr>
          <w:fldChar w:fldCharType="end"/>
        </w:r>
      </w:hyperlink>
    </w:p>
    <w:p w14:paraId="2648A7CD" w14:textId="39DA62F7"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75" w:history="1">
        <w:r w:rsidRPr="00EA5249">
          <w:rPr>
            <w:rStyle w:val="Hyperlink"/>
            <w:b w:val="0"/>
            <w:bCs/>
          </w:rPr>
          <w:t>B.</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Posición del Estado</w:t>
        </w:r>
        <w:r w:rsidRPr="00EA5249">
          <w:rPr>
            <w:b w:val="0"/>
            <w:bCs/>
            <w:webHidden/>
          </w:rPr>
          <w:tab/>
        </w:r>
        <w:r w:rsidRPr="00EA5249">
          <w:rPr>
            <w:b w:val="0"/>
            <w:bCs/>
            <w:webHidden/>
          </w:rPr>
          <w:fldChar w:fldCharType="begin"/>
        </w:r>
        <w:r w:rsidRPr="00EA5249">
          <w:rPr>
            <w:b w:val="0"/>
            <w:bCs/>
            <w:webHidden/>
          </w:rPr>
          <w:instrText xml:space="preserve"> PAGEREF _Toc99959075 \h </w:instrText>
        </w:r>
        <w:r w:rsidRPr="00EA5249">
          <w:rPr>
            <w:b w:val="0"/>
            <w:bCs/>
            <w:webHidden/>
          </w:rPr>
        </w:r>
        <w:r w:rsidRPr="00EA5249">
          <w:rPr>
            <w:b w:val="0"/>
            <w:bCs/>
            <w:webHidden/>
          </w:rPr>
          <w:fldChar w:fldCharType="separate"/>
        </w:r>
        <w:r w:rsidRPr="00EA5249">
          <w:rPr>
            <w:b w:val="0"/>
            <w:bCs/>
            <w:webHidden/>
          </w:rPr>
          <w:t>3</w:t>
        </w:r>
        <w:r w:rsidRPr="00EA5249">
          <w:rPr>
            <w:b w:val="0"/>
            <w:bCs/>
            <w:webHidden/>
          </w:rPr>
          <w:fldChar w:fldCharType="end"/>
        </w:r>
      </w:hyperlink>
    </w:p>
    <w:p w14:paraId="4C5A2077" w14:textId="592DD801"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76" w:history="1">
        <w:r w:rsidRPr="003C180D">
          <w:rPr>
            <w:rStyle w:val="Hyperlink"/>
            <w:rFonts w:eastAsia="Times New Roman"/>
            <w:bdr w:val="none" w:sz="0" w:space="0" w:color="auto" w:frame="1"/>
            <w:lang w:val="es-AR"/>
          </w:rPr>
          <w:t>III.</w:t>
        </w:r>
        <w:r>
          <w:rPr>
            <w:rFonts w:asciiTheme="minorHAnsi" w:eastAsiaTheme="minorEastAsia" w:hAnsiTheme="minorHAnsi" w:cstheme="minorBidi"/>
            <w:sz w:val="22"/>
            <w:szCs w:val="22"/>
            <w:bdr w:val="none" w:sz="0" w:space="0" w:color="auto"/>
            <w:lang w:val="en-US"/>
          </w:rPr>
          <w:tab/>
        </w:r>
        <w:r w:rsidRPr="003C180D">
          <w:rPr>
            <w:rStyle w:val="Hyperlink"/>
            <w:rFonts w:eastAsia="Times New Roman"/>
            <w:bdr w:val="none" w:sz="0" w:space="0" w:color="auto" w:frame="1"/>
            <w:lang w:val="es-ES_tradnl"/>
          </w:rPr>
          <w:t>DETERMINACIONES DE HECHO</w:t>
        </w:r>
        <w:r>
          <w:rPr>
            <w:webHidden/>
          </w:rPr>
          <w:tab/>
        </w:r>
        <w:r>
          <w:rPr>
            <w:webHidden/>
          </w:rPr>
          <w:fldChar w:fldCharType="begin"/>
        </w:r>
        <w:r>
          <w:rPr>
            <w:webHidden/>
          </w:rPr>
          <w:instrText xml:space="preserve"> PAGEREF _Toc99959076 \h </w:instrText>
        </w:r>
        <w:r>
          <w:rPr>
            <w:webHidden/>
          </w:rPr>
        </w:r>
        <w:r>
          <w:rPr>
            <w:webHidden/>
          </w:rPr>
          <w:fldChar w:fldCharType="separate"/>
        </w:r>
        <w:r>
          <w:rPr>
            <w:webHidden/>
          </w:rPr>
          <w:t>5</w:t>
        </w:r>
        <w:r>
          <w:rPr>
            <w:webHidden/>
          </w:rPr>
          <w:fldChar w:fldCharType="end"/>
        </w:r>
      </w:hyperlink>
    </w:p>
    <w:p w14:paraId="389C4987" w14:textId="4D030088"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77" w:history="1">
        <w:r w:rsidRPr="00EA5249">
          <w:rPr>
            <w:rStyle w:val="Hyperlink"/>
            <w:b w:val="0"/>
            <w:bCs/>
          </w:rPr>
          <w:t>A.</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Marco Normativo Relevante</w:t>
        </w:r>
        <w:r w:rsidRPr="00EA5249">
          <w:rPr>
            <w:b w:val="0"/>
            <w:bCs/>
            <w:webHidden/>
          </w:rPr>
          <w:tab/>
        </w:r>
        <w:r w:rsidRPr="00EA5249">
          <w:rPr>
            <w:b w:val="0"/>
            <w:bCs/>
            <w:webHidden/>
          </w:rPr>
          <w:fldChar w:fldCharType="begin"/>
        </w:r>
        <w:r w:rsidRPr="00EA5249">
          <w:rPr>
            <w:b w:val="0"/>
            <w:bCs/>
            <w:webHidden/>
          </w:rPr>
          <w:instrText xml:space="preserve"> PAGEREF _Toc99959077 \h </w:instrText>
        </w:r>
        <w:r w:rsidRPr="00EA5249">
          <w:rPr>
            <w:b w:val="0"/>
            <w:bCs/>
            <w:webHidden/>
          </w:rPr>
        </w:r>
        <w:r w:rsidRPr="00EA5249">
          <w:rPr>
            <w:b w:val="0"/>
            <w:bCs/>
            <w:webHidden/>
          </w:rPr>
          <w:fldChar w:fldCharType="separate"/>
        </w:r>
        <w:r w:rsidRPr="00EA5249">
          <w:rPr>
            <w:b w:val="0"/>
            <w:bCs/>
            <w:webHidden/>
          </w:rPr>
          <w:t>5</w:t>
        </w:r>
        <w:r w:rsidRPr="00EA5249">
          <w:rPr>
            <w:b w:val="0"/>
            <w:bCs/>
            <w:webHidden/>
          </w:rPr>
          <w:fldChar w:fldCharType="end"/>
        </w:r>
      </w:hyperlink>
    </w:p>
    <w:p w14:paraId="5EBD80C8" w14:textId="688DF1F0"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78" w:history="1">
        <w:r w:rsidRPr="00EA5249">
          <w:rPr>
            <w:rStyle w:val="Hyperlink"/>
            <w:b w:val="0"/>
            <w:bCs/>
          </w:rPr>
          <w:t>B.</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Proceso penal por el delito de monopolio</w:t>
        </w:r>
        <w:r w:rsidRPr="00EA5249">
          <w:rPr>
            <w:b w:val="0"/>
            <w:bCs/>
            <w:webHidden/>
          </w:rPr>
          <w:tab/>
        </w:r>
        <w:r w:rsidRPr="00EA5249">
          <w:rPr>
            <w:b w:val="0"/>
            <w:bCs/>
            <w:webHidden/>
          </w:rPr>
          <w:fldChar w:fldCharType="begin"/>
        </w:r>
        <w:r w:rsidRPr="00EA5249">
          <w:rPr>
            <w:b w:val="0"/>
            <w:bCs/>
            <w:webHidden/>
          </w:rPr>
          <w:instrText xml:space="preserve"> PAGEREF _Toc99959078 \h </w:instrText>
        </w:r>
        <w:r w:rsidRPr="00EA5249">
          <w:rPr>
            <w:b w:val="0"/>
            <w:bCs/>
            <w:webHidden/>
          </w:rPr>
        </w:r>
        <w:r w:rsidRPr="00EA5249">
          <w:rPr>
            <w:b w:val="0"/>
            <w:bCs/>
            <w:webHidden/>
          </w:rPr>
          <w:fldChar w:fldCharType="separate"/>
        </w:r>
        <w:r w:rsidRPr="00EA5249">
          <w:rPr>
            <w:b w:val="0"/>
            <w:bCs/>
            <w:webHidden/>
          </w:rPr>
          <w:t>6</w:t>
        </w:r>
        <w:r w:rsidRPr="00EA5249">
          <w:rPr>
            <w:b w:val="0"/>
            <w:bCs/>
            <w:webHidden/>
          </w:rPr>
          <w:fldChar w:fldCharType="end"/>
        </w:r>
      </w:hyperlink>
    </w:p>
    <w:p w14:paraId="27025019" w14:textId="152F39A7"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79" w:history="1">
        <w:r w:rsidRPr="00EA5249">
          <w:rPr>
            <w:rStyle w:val="Hyperlink"/>
            <w:b w:val="0"/>
            <w:bCs/>
          </w:rPr>
          <w:t>C.</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Proceso penal por el delito de subversión económica</w:t>
        </w:r>
        <w:r w:rsidRPr="00EA5249">
          <w:rPr>
            <w:b w:val="0"/>
            <w:bCs/>
            <w:webHidden/>
          </w:rPr>
          <w:tab/>
        </w:r>
        <w:r w:rsidRPr="00EA5249">
          <w:rPr>
            <w:b w:val="0"/>
            <w:bCs/>
            <w:webHidden/>
          </w:rPr>
          <w:fldChar w:fldCharType="begin"/>
        </w:r>
        <w:r w:rsidRPr="00EA5249">
          <w:rPr>
            <w:b w:val="0"/>
            <w:bCs/>
            <w:webHidden/>
          </w:rPr>
          <w:instrText xml:space="preserve"> PAGEREF _Toc99959079 \h </w:instrText>
        </w:r>
        <w:r w:rsidRPr="00EA5249">
          <w:rPr>
            <w:b w:val="0"/>
            <w:bCs/>
            <w:webHidden/>
          </w:rPr>
        </w:r>
        <w:r w:rsidRPr="00EA5249">
          <w:rPr>
            <w:b w:val="0"/>
            <w:bCs/>
            <w:webHidden/>
          </w:rPr>
          <w:fldChar w:fldCharType="separate"/>
        </w:r>
        <w:r w:rsidRPr="00EA5249">
          <w:rPr>
            <w:b w:val="0"/>
            <w:bCs/>
            <w:webHidden/>
          </w:rPr>
          <w:t>8</w:t>
        </w:r>
        <w:r w:rsidRPr="00EA5249">
          <w:rPr>
            <w:b w:val="0"/>
            <w:bCs/>
            <w:webHidden/>
          </w:rPr>
          <w:fldChar w:fldCharType="end"/>
        </w:r>
      </w:hyperlink>
    </w:p>
    <w:p w14:paraId="1EC7A7F3" w14:textId="51EDE7EA"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80" w:history="1">
        <w:r w:rsidRPr="00EA5249">
          <w:rPr>
            <w:rStyle w:val="Hyperlink"/>
            <w:b w:val="0"/>
            <w:bCs/>
          </w:rPr>
          <w:t>D.</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Acción de hábeas corpus</w:t>
        </w:r>
        <w:r w:rsidRPr="00EA5249">
          <w:rPr>
            <w:b w:val="0"/>
            <w:bCs/>
            <w:webHidden/>
          </w:rPr>
          <w:tab/>
        </w:r>
        <w:r w:rsidRPr="00EA5249">
          <w:rPr>
            <w:b w:val="0"/>
            <w:bCs/>
            <w:webHidden/>
          </w:rPr>
          <w:fldChar w:fldCharType="begin"/>
        </w:r>
        <w:r w:rsidRPr="00EA5249">
          <w:rPr>
            <w:b w:val="0"/>
            <w:bCs/>
            <w:webHidden/>
          </w:rPr>
          <w:instrText xml:space="preserve"> PAGEREF _Toc99959080 \h </w:instrText>
        </w:r>
        <w:r w:rsidRPr="00EA5249">
          <w:rPr>
            <w:b w:val="0"/>
            <w:bCs/>
            <w:webHidden/>
          </w:rPr>
        </w:r>
        <w:r w:rsidRPr="00EA5249">
          <w:rPr>
            <w:b w:val="0"/>
            <w:bCs/>
            <w:webHidden/>
          </w:rPr>
          <w:fldChar w:fldCharType="separate"/>
        </w:r>
        <w:r w:rsidRPr="00EA5249">
          <w:rPr>
            <w:b w:val="0"/>
            <w:bCs/>
            <w:webHidden/>
          </w:rPr>
          <w:t>9</w:t>
        </w:r>
        <w:r w:rsidRPr="00EA5249">
          <w:rPr>
            <w:b w:val="0"/>
            <w:bCs/>
            <w:webHidden/>
          </w:rPr>
          <w:fldChar w:fldCharType="end"/>
        </w:r>
      </w:hyperlink>
    </w:p>
    <w:p w14:paraId="6C82D916" w14:textId="28DE339D"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81" w:history="1">
        <w:r w:rsidRPr="00EA5249">
          <w:rPr>
            <w:rStyle w:val="Hyperlink"/>
            <w:b w:val="0"/>
            <w:bCs/>
          </w:rPr>
          <w:t>E.</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Restricciones a la libertad en el marco de los procesos penales</w:t>
        </w:r>
        <w:r w:rsidRPr="00EA5249">
          <w:rPr>
            <w:b w:val="0"/>
            <w:bCs/>
            <w:webHidden/>
          </w:rPr>
          <w:tab/>
        </w:r>
        <w:r w:rsidRPr="00EA5249">
          <w:rPr>
            <w:b w:val="0"/>
            <w:bCs/>
            <w:webHidden/>
          </w:rPr>
          <w:fldChar w:fldCharType="begin"/>
        </w:r>
        <w:r w:rsidRPr="00EA5249">
          <w:rPr>
            <w:b w:val="0"/>
            <w:bCs/>
            <w:webHidden/>
          </w:rPr>
          <w:instrText xml:space="preserve"> PAGEREF _Toc99959081 \h </w:instrText>
        </w:r>
        <w:r w:rsidRPr="00EA5249">
          <w:rPr>
            <w:b w:val="0"/>
            <w:bCs/>
            <w:webHidden/>
          </w:rPr>
        </w:r>
        <w:r w:rsidRPr="00EA5249">
          <w:rPr>
            <w:b w:val="0"/>
            <w:bCs/>
            <w:webHidden/>
          </w:rPr>
          <w:fldChar w:fldCharType="separate"/>
        </w:r>
        <w:r w:rsidRPr="00EA5249">
          <w:rPr>
            <w:b w:val="0"/>
            <w:bCs/>
            <w:webHidden/>
          </w:rPr>
          <w:t>10</w:t>
        </w:r>
        <w:r w:rsidRPr="00EA5249">
          <w:rPr>
            <w:b w:val="0"/>
            <w:bCs/>
            <w:webHidden/>
          </w:rPr>
          <w:fldChar w:fldCharType="end"/>
        </w:r>
      </w:hyperlink>
    </w:p>
    <w:p w14:paraId="72CF0997" w14:textId="11561977"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82" w:history="1">
        <w:r w:rsidRPr="003C180D">
          <w:rPr>
            <w:rStyle w:val="Hyperlink"/>
            <w:lang w:val="es-AR"/>
          </w:rPr>
          <w:t>IV.</w:t>
        </w:r>
        <w:r>
          <w:rPr>
            <w:rFonts w:asciiTheme="minorHAnsi" w:eastAsiaTheme="minorEastAsia" w:hAnsiTheme="minorHAnsi" w:cstheme="minorBidi"/>
            <w:sz w:val="22"/>
            <w:szCs w:val="22"/>
            <w:bdr w:val="none" w:sz="0" w:space="0" w:color="auto"/>
            <w:lang w:val="en-US"/>
          </w:rPr>
          <w:tab/>
        </w:r>
        <w:r w:rsidRPr="003C180D">
          <w:rPr>
            <w:rStyle w:val="Hyperlink"/>
            <w:rFonts w:eastAsia="Times New Roman"/>
            <w:bdr w:val="none" w:sz="0" w:space="0" w:color="auto" w:frame="1"/>
            <w:lang w:val="es-ES_tradnl"/>
          </w:rPr>
          <w:t>DETERMINACIONES DE DERECHO</w:t>
        </w:r>
        <w:r>
          <w:rPr>
            <w:webHidden/>
          </w:rPr>
          <w:tab/>
        </w:r>
        <w:r>
          <w:rPr>
            <w:webHidden/>
          </w:rPr>
          <w:fldChar w:fldCharType="begin"/>
        </w:r>
        <w:r>
          <w:rPr>
            <w:webHidden/>
          </w:rPr>
          <w:instrText xml:space="preserve"> PAGEREF _Toc99959082 \h </w:instrText>
        </w:r>
        <w:r>
          <w:rPr>
            <w:webHidden/>
          </w:rPr>
        </w:r>
        <w:r>
          <w:rPr>
            <w:webHidden/>
          </w:rPr>
          <w:fldChar w:fldCharType="separate"/>
        </w:r>
        <w:r>
          <w:rPr>
            <w:webHidden/>
          </w:rPr>
          <w:t>11</w:t>
        </w:r>
        <w:r>
          <w:rPr>
            <w:webHidden/>
          </w:rPr>
          <w:fldChar w:fldCharType="end"/>
        </w:r>
      </w:hyperlink>
    </w:p>
    <w:p w14:paraId="0BAFD594" w14:textId="3B97D77D"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83" w:history="1">
        <w:r w:rsidRPr="00EA5249">
          <w:rPr>
            <w:rStyle w:val="Hyperlink"/>
            <w:b w:val="0"/>
            <w:bCs/>
          </w:rPr>
          <w:t>A.</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El derecho al plazo razonable</w:t>
        </w:r>
        <w:r w:rsidRPr="00EA5249">
          <w:rPr>
            <w:b w:val="0"/>
            <w:bCs/>
            <w:webHidden/>
          </w:rPr>
          <w:tab/>
        </w:r>
        <w:r w:rsidRPr="00EA5249">
          <w:rPr>
            <w:b w:val="0"/>
            <w:bCs/>
            <w:webHidden/>
          </w:rPr>
          <w:fldChar w:fldCharType="begin"/>
        </w:r>
        <w:r w:rsidRPr="00EA5249">
          <w:rPr>
            <w:b w:val="0"/>
            <w:bCs/>
            <w:webHidden/>
          </w:rPr>
          <w:instrText xml:space="preserve"> PAGEREF _Toc99959083 \h </w:instrText>
        </w:r>
        <w:r w:rsidRPr="00EA5249">
          <w:rPr>
            <w:b w:val="0"/>
            <w:bCs/>
            <w:webHidden/>
          </w:rPr>
        </w:r>
        <w:r w:rsidRPr="00EA5249">
          <w:rPr>
            <w:b w:val="0"/>
            <w:bCs/>
            <w:webHidden/>
          </w:rPr>
          <w:fldChar w:fldCharType="separate"/>
        </w:r>
        <w:r w:rsidRPr="00EA5249">
          <w:rPr>
            <w:b w:val="0"/>
            <w:bCs/>
            <w:webHidden/>
          </w:rPr>
          <w:t>11</w:t>
        </w:r>
        <w:r w:rsidRPr="00EA5249">
          <w:rPr>
            <w:b w:val="0"/>
            <w:bCs/>
            <w:webHidden/>
          </w:rPr>
          <w:fldChar w:fldCharType="end"/>
        </w:r>
      </w:hyperlink>
    </w:p>
    <w:p w14:paraId="73A13BA5" w14:textId="38157CD4"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84" w:history="1">
        <w:r w:rsidRPr="00EA5249">
          <w:rPr>
            <w:rStyle w:val="Hyperlink"/>
            <w:b w:val="0"/>
            <w:bCs/>
          </w:rPr>
          <w:t>B.</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El derecho a la libertad personal, la libertad de circulación y residencia y el principio de presunción de inocencia</w:t>
        </w:r>
        <w:r w:rsidRPr="00EA5249">
          <w:rPr>
            <w:b w:val="0"/>
            <w:bCs/>
            <w:webHidden/>
          </w:rPr>
          <w:tab/>
        </w:r>
        <w:r w:rsidRPr="00EA5249">
          <w:rPr>
            <w:b w:val="0"/>
            <w:bCs/>
            <w:webHidden/>
          </w:rPr>
          <w:fldChar w:fldCharType="begin"/>
        </w:r>
        <w:r w:rsidRPr="00EA5249">
          <w:rPr>
            <w:b w:val="0"/>
            <w:bCs/>
            <w:webHidden/>
          </w:rPr>
          <w:instrText xml:space="preserve"> PAGEREF _Toc99959084 \h </w:instrText>
        </w:r>
        <w:r w:rsidRPr="00EA5249">
          <w:rPr>
            <w:b w:val="0"/>
            <w:bCs/>
            <w:webHidden/>
          </w:rPr>
        </w:r>
        <w:r w:rsidRPr="00EA5249">
          <w:rPr>
            <w:b w:val="0"/>
            <w:bCs/>
            <w:webHidden/>
          </w:rPr>
          <w:fldChar w:fldCharType="separate"/>
        </w:r>
        <w:r w:rsidRPr="00EA5249">
          <w:rPr>
            <w:b w:val="0"/>
            <w:bCs/>
            <w:webHidden/>
          </w:rPr>
          <w:t>12</w:t>
        </w:r>
        <w:r w:rsidRPr="00EA5249">
          <w:rPr>
            <w:b w:val="0"/>
            <w:bCs/>
            <w:webHidden/>
          </w:rPr>
          <w:fldChar w:fldCharType="end"/>
        </w:r>
      </w:hyperlink>
    </w:p>
    <w:p w14:paraId="0B7A2194" w14:textId="689F3976" w:rsidR="00EA5249" w:rsidRPr="00EA5249" w:rsidRDefault="00EA5249">
      <w:pPr>
        <w:pStyle w:val="TOC2"/>
        <w:rPr>
          <w:rFonts w:asciiTheme="minorHAnsi" w:eastAsiaTheme="minorEastAsia" w:hAnsiTheme="minorHAnsi" w:cstheme="minorBidi"/>
          <w:b w:val="0"/>
          <w:bCs/>
          <w:sz w:val="22"/>
          <w:szCs w:val="22"/>
          <w:bdr w:val="none" w:sz="0" w:space="0" w:color="auto"/>
          <w:lang w:val="en-US"/>
        </w:rPr>
      </w:pPr>
      <w:hyperlink w:anchor="_Toc99959085" w:history="1">
        <w:r w:rsidRPr="00EA5249">
          <w:rPr>
            <w:rStyle w:val="Hyperlink"/>
            <w:b w:val="0"/>
            <w:bCs/>
          </w:rPr>
          <w:t>C.</w:t>
        </w:r>
        <w:r w:rsidRPr="00EA5249">
          <w:rPr>
            <w:rFonts w:asciiTheme="minorHAnsi" w:eastAsiaTheme="minorEastAsia" w:hAnsiTheme="minorHAnsi" w:cstheme="minorBidi"/>
            <w:b w:val="0"/>
            <w:bCs/>
            <w:sz w:val="22"/>
            <w:szCs w:val="22"/>
            <w:bdr w:val="none" w:sz="0" w:space="0" w:color="auto"/>
            <w:lang w:val="en-US"/>
          </w:rPr>
          <w:tab/>
        </w:r>
        <w:r w:rsidRPr="00EA5249">
          <w:rPr>
            <w:rStyle w:val="Hyperlink"/>
            <w:b w:val="0"/>
            <w:bCs/>
          </w:rPr>
          <w:t>Los principios de legalidad y favorabilidad</w:t>
        </w:r>
        <w:r w:rsidRPr="00EA5249">
          <w:rPr>
            <w:b w:val="0"/>
            <w:bCs/>
            <w:webHidden/>
          </w:rPr>
          <w:tab/>
        </w:r>
        <w:r w:rsidRPr="00EA5249">
          <w:rPr>
            <w:b w:val="0"/>
            <w:bCs/>
            <w:webHidden/>
          </w:rPr>
          <w:fldChar w:fldCharType="begin"/>
        </w:r>
        <w:r w:rsidRPr="00EA5249">
          <w:rPr>
            <w:b w:val="0"/>
            <w:bCs/>
            <w:webHidden/>
          </w:rPr>
          <w:instrText xml:space="preserve"> PAGEREF _Toc99959085 \h </w:instrText>
        </w:r>
        <w:r w:rsidRPr="00EA5249">
          <w:rPr>
            <w:b w:val="0"/>
            <w:bCs/>
            <w:webHidden/>
          </w:rPr>
        </w:r>
        <w:r w:rsidRPr="00EA5249">
          <w:rPr>
            <w:b w:val="0"/>
            <w:bCs/>
            <w:webHidden/>
          </w:rPr>
          <w:fldChar w:fldCharType="separate"/>
        </w:r>
        <w:r w:rsidRPr="00EA5249">
          <w:rPr>
            <w:b w:val="0"/>
            <w:bCs/>
            <w:webHidden/>
          </w:rPr>
          <w:t>13</w:t>
        </w:r>
        <w:r w:rsidRPr="00EA5249">
          <w:rPr>
            <w:b w:val="0"/>
            <w:bCs/>
            <w:webHidden/>
          </w:rPr>
          <w:fldChar w:fldCharType="end"/>
        </w:r>
      </w:hyperlink>
    </w:p>
    <w:p w14:paraId="6766EF53" w14:textId="6C68C0C5"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86" w:history="1">
        <w:r w:rsidRPr="003C180D">
          <w:rPr>
            <w:rStyle w:val="Hyperlink"/>
            <w:lang w:val="es-AR"/>
          </w:rPr>
          <w:t>V.</w:t>
        </w:r>
        <w:r>
          <w:rPr>
            <w:rFonts w:asciiTheme="minorHAnsi" w:eastAsiaTheme="minorEastAsia" w:hAnsiTheme="minorHAnsi" w:cstheme="minorBidi"/>
            <w:sz w:val="22"/>
            <w:szCs w:val="22"/>
            <w:bdr w:val="none" w:sz="0" w:space="0" w:color="auto"/>
            <w:lang w:val="en-US"/>
          </w:rPr>
          <w:tab/>
        </w:r>
        <w:r w:rsidRPr="003C180D">
          <w:rPr>
            <w:rStyle w:val="Hyperlink"/>
            <w:lang w:val="es-VE"/>
          </w:rPr>
          <w:t>ACTUACIONES POSTERIORES AL INFORME No. 53/19</w:t>
        </w:r>
        <w:r>
          <w:rPr>
            <w:webHidden/>
          </w:rPr>
          <w:tab/>
        </w:r>
        <w:r>
          <w:rPr>
            <w:webHidden/>
          </w:rPr>
          <w:fldChar w:fldCharType="begin"/>
        </w:r>
        <w:r>
          <w:rPr>
            <w:webHidden/>
          </w:rPr>
          <w:instrText xml:space="preserve"> PAGEREF _Toc99959086 \h </w:instrText>
        </w:r>
        <w:r>
          <w:rPr>
            <w:webHidden/>
          </w:rPr>
        </w:r>
        <w:r>
          <w:rPr>
            <w:webHidden/>
          </w:rPr>
          <w:fldChar w:fldCharType="separate"/>
        </w:r>
        <w:r>
          <w:rPr>
            <w:webHidden/>
          </w:rPr>
          <w:t>14</w:t>
        </w:r>
        <w:r>
          <w:rPr>
            <w:webHidden/>
          </w:rPr>
          <w:fldChar w:fldCharType="end"/>
        </w:r>
      </w:hyperlink>
    </w:p>
    <w:p w14:paraId="72F824B5" w14:textId="7CAB8E16"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87" w:history="1">
        <w:r w:rsidRPr="003C180D">
          <w:rPr>
            <w:rStyle w:val="Hyperlink"/>
            <w:lang w:val="es-AR"/>
          </w:rPr>
          <w:t>VI.</w:t>
        </w:r>
        <w:r>
          <w:rPr>
            <w:rFonts w:asciiTheme="minorHAnsi" w:eastAsiaTheme="minorEastAsia" w:hAnsiTheme="minorHAnsi" w:cstheme="minorBidi"/>
            <w:sz w:val="22"/>
            <w:szCs w:val="22"/>
            <w:bdr w:val="none" w:sz="0" w:space="0" w:color="auto"/>
            <w:lang w:val="en-US"/>
          </w:rPr>
          <w:tab/>
        </w:r>
        <w:r w:rsidRPr="003C180D">
          <w:rPr>
            <w:rStyle w:val="Hyperlink"/>
            <w:lang w:val="es-VE"/>
          </w:rPr>
          <w:t>ANÁLISIS DEL CUMPLIMIENTO DE RECOMENDACIONES</w:t>
        </w:r>
        <w:r>
          <w:rPr>
            <w:webHidden/>
          </w:rPr>
          <w:tab/>
        </w:r>
        <w:r>
          <w:rPr>
            <w:webHidden/>
          </w:rPr>
          <w:fldChar w:fldCharType="begin"/>
        </w:r>
        <w:r>
          <w:rPr>
            <w:webHidden/>
          </w:rPr>
          <w:instrText xml:space="preserve"> PAGEREF _Toc99959087 \h </w:instrText>
        </w:r>
        <w:r>
          <w:rPr>
            <w:webHidden/>
          </w:rPr>
        </w:r>
        <w:r>
          <w:rPr>
            <w:webHidden/>
          </w:rPr>
          <w:fldChar w:fldCharType="separate"/>
        </w:r>
        <w:r>
          <w:rPr>
            <w:webHidden/>
          </w:rPr>
          <w:t>14</w:t>
        </w:r>
        <w:r>
          <w:rPr>
            <w:webHidden/>
          </w:rPr>
          <w:fldChar w:fldCharType="end"/>
        </w:r>
      </w:hyperlink>
    </w:p>
    <w:p w14:paraId="34A520A0" w14:textId="445615A5"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88" w:history="1">
        <w:r w:rsidRPr="003C180D">
          <w:rPr>
            <w:rStyle w:val="Hyperlink"/>
            <w:lang w:val="es-AR"/>
          </w:rPr>
          <w:t>VII.</w:t>
        </w:r>
        <w:r>
          <w:rPr>
            <w:rFonts w:asciiTheme="minorHAnsi" w:eastAsiaTheme="minorEastAsia" w:hAnsiTheme="minorHAnsi" w:cstheme="minorBidi"/>
            <w:sz w:val="22"/>
            <w:szCs w:val="22"/>
            <w:bdr w:val="none" w:sz="0" w:space="0" w:color="auto"/>
            <w:lang w:val="en-US"/>
          </w:rPr>
          <w:tab/>
        </w:r>
        <w:r w:rsidRPr="003C180D">
          <w:rPr>
            <w:rStyle w:val="Hyperlink"/>
            <w:lang w:val="es-VE"/>
          </w:rPr>
          <w:t>ACTUACIONES POSTERIORES AL INFORME No. 326/21 E INFORMACIÓN SOBRE CUMPLIMIENTO</w:t>
        </w:r>
        <w:r>
          <w:rPr>
            <w:webHidden/>
          </w:rPr>
          <w:tab/>
        </w:r>
        <w:r>
          <w:rPr>
            <w:webHidden/>
          </w:rPr>
          <w:fldChar w:fldCharType="begin"/>
        </w:r>
        <w:r>
          <w:rPr>
            <w:webHidden/>
          </w:rPr>
          <w:instrText xml:space="preserve"> PAGEREF _Toc99959088 \h </w:instrText>
        </w:r>
        <w:r>
          <w:rPr>
            <w:webHidden/>
          </w:rPr>
        </w:r>
        <w:r>
          <w:rPr>
            <w:webHidden/>
          </w:rPr>
          <w:fldChar w:fldCharType="separate"/>
        </w:r>
        <w:r>
          <w:rPr>
            <w:webHidden/>
          </w:rPr>
          <w:t>15</w:t>
        </w:r>
        <w:r>
          <w:rPr>
            <w:webHidden/>
          </w:rPr>
          <w:fldChar w:fldCharType="end"/>
        </w:r>
      </w:hyperlink>
    </w:p>
    <w:p w14:paraId="3DE1711E" w14:textId="7D61A668"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89" w:history="1">
        <w:r w:rsidRPr="003C180D">
          <w:rPr>
            <w:rStyle w:val="Hyperlink"/>
            <w:lang w:val="es-AR"/>
          </w:rPr>
          <w:t>VIII.</w:t>
        </w:r>
        <w:r>
          <w:rPr>
            <w:rFonts w:asciiTheme="minorHAnsi" w:eastAsiaTheme="minorEastAsia" w:hAnsiTheme="minorHAnsi" w:cstheme="minorBidi"/>
            <w:sz w:val="22"/>
            <w:szCs w:val="22"/>
            <w:bdr w:val="none" w:sz="0" w:space="0" w:color="auto"/>
            <w:lang w:val="en-US"/>
          </w:rPr>
          <w:tab/>
        </w:r>
        <w:r w:rsidRPr="003C180D">
          <w:rPr>
            <w:rStyle w:val="Hyperlink"/>
            <w:lang w:val="es-VE"/>
          </w:rPr>
          <w:t>CONCLUSIONES Y RECOMENDACIONES FINALES</w:t>
        </w:r>
        <w:r>
          <w:rPr>
            <w:webHidden/>
          </w:rPr>
          <w:tab/>
        </w:r>
        <w:r>
          <w:rPr>
            <w:webHidden/>
          </w:rPr>
          <w:fldChar w:fldCharType="begin"/>
        </w:r>
        <w:r>
          <w:rPr>
            <w:webHidden/>
          </w:rPr>
          <w:instrText xml:space="preserve"> PAGEREF _Toc99959089 \h </w:instrText>
        </w:r>
        <w:r>
          <w:rPr>
            <w:webHidden/>
          </w:rPr>
        </w:r>
        <w:r>
          <w:rPr>
            <w:webHidden/>
          </w:rPr>
          <w:fldChar w:fldCharType="separate"/>
        </w:r>
        <w:r>
          <w:rPr>
            <w:webHidden/>
          </w:rPr>
          <w:t>15</w:t>
        </w:r>
        <w:r>
          <w:rPr>
            <w:webHidden/>
          </w:rPr>
          <w:fldChar w:fldCharType="end"/>
        </w:r>
      </w:hyperlink>
    </w:p>
    <w:p w14:paraId="0CBD6152" w14:textId="487C9CCA" w:rsidR="00EA5249" w:rsidRDefault="00EA5249" w:rsidP="00EA5249">
      <w:pPr>
        <w:pStyle w:val="TOC1"/>
        <w:rPr>
          <w:rFonts w:asciiTheme="minorHAnsi" w:eastAsiaTheme="minorEastAsia" w:hAnsiTheme="minorHAnsi" w:cstheme="minorBidi"/>
          <w:sz w:val="22"/>
          <w:szCs w:val="22"/>
          <w:bdr w:val="none" w:sz="0" w:space="0" w:color="auto"/>
          <w:lang w:val="en-US"/>
        </w:rPr>
      </w:pPr>
      <w:hyperlink w:anchor="_Toc99959090" w:history="1">
        <w:r w:rsidRPr="003C180D">
          <w:rPr>
            <w:rStyle w:val="Hyperlink"/>
            <w:lang w:val="es-AR"/>
          </w:rPr>
          <w:t>IX.</w:t>
        </w:r>
        <w:r>
          <w:rPr>
            <w:rFonts w:asciiTheme="minorHAnsi" w:eastAsiaTheme="minorEastAsia" w:hAnsiTheme="minorHAnsi" w:cstheme="minorBidi"/>
            <w:sz w:val="22"/>
            <w:szCs w:val="22"/>
            <w:bdr w:val="none" w:sz="0" w:space="0" w:color="auto"/>
            <w:lang w:val="en-US"/>
          </w:rPr>
          <w:tab/>
        </w:r>
        <w:r w:rsidRPr="003C180D">
          <w:rPr>
            <w:rStyle w:val="Hyperlink"/>
            <w:lang w:val="es-VE"/>
          </w:rPr>
          <w:t>PUBLICACIÓN</w:t>
        </w:r>
        <w:r>
          <w:rPr>
            <w:webHidden/>
          </w:rPr>
          <w:tab/>
        </w:r>
        <w:r>
          <w:rPr>
            <w:webHidden/>
          </w:rPr>
          <w:fldChar w:fldCharType="begin"/>
        </w:r>
        <w:r>
          <w:rPr>
            <w:webHidden/>
          </w:rPr>
          <w:instrText xml:space="preserve"> PAGEREF _Toc99959090 \h </w:instrText>
        </w:r>
        <w:r>
          <w:rPr>
            <w:webHidden/>
          </w:rPr>
        </w:r>
        <w:r>
          <w:rPr>
            <w:webHidden/>
          </w:rPr>
          <w:fldChar w:fldCharType="separate"/>
        </w:r>
        <w:r>
          <w:rPr>
            <w:webHidden/>
          </w:rPr>
          <w:t>16</w:t>
        </w:r>
        <w:r>
          <w:rPr>
            <w:webHidden/>
          </w:rPr>
          <w:fldChar w:fldCharType="end"/>
        </w:r>
      </w:hyperlink>
    </w:p>
    <w:p w14:paraId="424E3EA6" w14:textId="584B3CF6" w:rsidR="00722C9F" w:rsidRDefault="00910698" w:rsidP="00EA5249">
      <w:pPr>
        <w:tabs>
          <w:tab w:val="left" w:pos="720"/>
        </w:tabs>
        <w:rPr>
          <w:rFonts w:ascii="Cambria" w:hAnsi="Cambria" w:cs="Calibri"/>
          <w:sz w:val="20"/>
          <w:szCs w:val="20"/>
          <w:lang w:val="es-ES"/>
        </w:rPr>
      </w:pPr>
      <w:r w:rsidRPr="00C168A9">
        <w:rPr>
          <w:rFonts w:ascii="Cambria" w:hAnsi="Cambria" w:cs="Calibri"/>
          <w:sz w:val="20"/>
          <w:szCs w:val="20"/>
          <w:lang w:val="es-ES"/>
        </w:rPr>
        <w:fldChar w:fldCharType="end"/>
      </w:r>
      <w:r w:rsidR="00722C9F">
        <w:rPr>
          <w:rFonts w:ascii="Cambria" w:hAnsi="Cambria" w:cs="Calibri"/>
          <w:sz w:val="20"/>
          <w:szCs w:val="20"/>
          <w:lang w:val="es-ES"/>
        </w:rPr>
        <w:br w:type="page"/>
      </w:r>
    </w:p>
    <w:p w14:paraId="705B6335" w14:textId="77777777" w:rsidR="001A2F12" w:rsidRPr="00A57214" w:rsidRDefault="00C518FA" w:rsidP="00DB4D24">
      <w:pPr>
        <w:pStyle w:val="Heading1"/>
        <w:spacing w:before="0"/>
        <w:ind w:left="540" w:hanging="540"/>
        <w:rPr>
          <w:rFonts w:eastAsia="Times New Roman"/>
          <w:color w:val="auto"/>
          <w:sz w:val="20"/>
          <w:szCs w:val="20"/>
          <w:bdr w:val="none" w:sz="0" w:space="0" w:color="auto" w:frame="1"/>
          <w:lang w:val="es-ES_tradnl"/>
        </w:rPr>
      </w:pPr>
      <w:bookmarkStart w:id="2" w:name="_Toc5369465"/>
      <w:bookmarkStart w:id="3" w:name="_Toc99959072"/>
      <w:r w:rsidRPr="00A57214">
        <w:rPr>
          <w:rFonts w:eastAsia="Times New Roman"/>
          <w:color w:val="auto"/>
          <w:sz w:val="20"/>
          <w:szCs w:val="20"/>
          <w:bdr w:val="none" w:sz="0" w:space="0" w:color="auto" w:frame="1"/>
          <w:lang w:val="es-ES_tradnl"/>
        </w:rPr>
        <w:lastRenderedPageBreak/>
        <w:t>INTRODUCCIÓN</w:t>
      </w:r>
      <w:bookmarkEnd w:id="2"/>
      <w:bookmarkEnd w:id="3"/>
    </w:p>
    <w:p w14:paraId="7CF9CE14" w14:textId="77777777" w:rsidR="0080029E" w:rsidRPr="00A57214" w:rsidRDefault="0080029E"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sz w:val="20"/>
          <w:szCs w:val="20"/>
          <w:lang w:val="es-VE"/>
        </w:rPr>
      </w:pPr>
    </w:p>
    <w:p w14:paraId="1663CFC7" w14:textId="77777777" w:rsidR="00A57214" w:rsidRDefault="00416630"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sz w:val="20"/>
          <w:szCs w:val="20"/>
          <w:lang w:val="es-VE"/>
        </w:rPr>
      </w:pPr>
      <w:r w:rsidRPr="00A57214">
        <w:rPr>
          <w:rFonts w:ascii="Cambria" w:eastAsia="Calibri" w:hAnsi="Cambria"/>
          <w:sz w:val="20"/>
          <w:szCs w:val="20"/>
          <w:lang w:val="es-VE"/>
        </w:rPr>
        <w:t>El 2 de abril de 2001 la Comisión Interamericana de Derechos Humanos (en adelante “la CIDH”, “la Comisión o “la Comisión Interamericana”), recibió una petición presentada por Diego Jorge Lavado, Carlos Eduardo Varela Álvarez y Alejandr</w:t>
      </w:r>
      <w:r w:rsidR="00C518FA" w:rsidRPr="00A57214">
        <w:rPr>
          <w:rFonts w:ascii="Cambria" w:eastAsia="Calibri" w:hAnsi="Cambria"/>
          <w:sz w:val="20"/>
          <w:szCs w:val="20"/>
          <w:lang w:val="es-VE"/>
        </w:rPr>
        <w:t>o Giménez Puga (en adelante “la parte peticionaria</w:t>
      </w:r>
      <w:r w:rsidRPr="00A57214">
        <w:rPr>
          <w:rFonts w:ascii="Cambria" w:eastAsia="Calibri" w:hAnsi="Cambria"/>
          <w:sz w:val="20"/>
          <w:szCs w:val="20"/>
          <w:lang w:val="es-VE"/>
        </w:rPr>
        <w:t>”),</w:t>
      </w:r>
      <w:r w:rsidR="009D0BA0" w:rsidRPr="00A57214">
        <w:rPr>
          <w:rFonts w:ascii="Cambria" w:eastAsia="Calibri" w:hAnsi="Cambria"/>
          <w:sz w:val="20"/>
          <w:szCs w:val="20"/>
          <w:lang w:val="es-VE"/>
        </w:rPr>
        <w:t xml:space="preserve"> en la cual se alega la responsabilidad de</w:t>
      </w:r>
      <w:r w:rsidR="0051111B">
        <w:rPr>
          <w:rFonts w:ascii="Cambria" w:eastAsia="Calibri" w:hAnsi="Cambria"/>
          <w:sz w:val="20"/>
          <w:szCs w:val="20"/>
          <w:lang w:val="es-VE"/>
        </w:rPr>
        <w:t xml:space="preserve"> la República Argentina</w:t>
      </w:r>
      <w:r w:rsidR="009D0BA0" w:rsidRPr="00A57214">
        <w:rPr>
          <w:rFonts w:ascii="Cambria" w:eastAsia="Calibri" w:hAnsi="Cambria"/>
          <w:sz w:val="20"/>
          <w:szCs w:val="20"/>
          <w:lang w:val="es-VE"/>
        </w:rPr>
        <w:t xml:space="preserve"> (en adelante también “Argentina”, “el Estado” o “el Estado argentino”) por la violación de varios derechos consagrados en la Convención Americana sobre Derechos Humanos (en adelante también “la Convención Americana” o “</w:t>
      </w:r>
      <w:r w:rsidR="001C5952">
        <w:rPr>
          <w:rFonts w:ascii="Cambria" w:eastAsia="Calibri" w:hAnsi="Cambria"/>
          <w:sz w:val="20"/>
          <w:szCs w:val="20"/>
          <w:lang w:val="es-VE"/>
        </w:rPr>
        <w:t>l</w:t>
      </w:r>
      <w:r w:rsidR="009D0BA0" w:rsidRPr="00A57214">
        <w:rPr>
          <w:rFonts w:ascii="Cambria" w:eastAsia="Calibri" w:hAnsi="Cambria"/>
          <w:sz w:val="20"/>
          <w:szCs w:val="20"/>
          <w:lang w:val="es-VE"/>
        </w:rPr>
        <w:t>a Convención”) en perjuicio de Ángel Ped</w:t>
      </w:r>
      <w:r w:rsidR="00EC76D5">
        <w:rPr>
          <w:rFonts w:ascii="Cambria" w:eastAsia="Calibri" w:hAnsi="Cambria"/>
          <w:sz w:val="20"/>
          <w:szCs w:val="20"/>
          <w:lang w:val="es-VE"/>
        </w:rPr>
        <w:t xml:space="preserve">ro Falanga </w:t>
      </w:r>
      <w:r w:rsidR="00B70C39">
        <w:rPr>
          <w:rFonts w:ascii="Cambria" w:eastAsia="Calibri" w:hAnsi="Cambria"/>
          <w:sz w:val="20"/>
          <w:szCs w:val="20"/>
          <w:lang w:val="es-VE"/>
        </w:rPr>
        <w:t xml:space="preserve">en el marco </w:t>
      </w:r>
      <w:r w:rsidR="00EC76D5">
        <w:rPr>
          <w:rFonts w:ascii="Cambria" w:eastAsia="Calibri" w:hAnsi="Cambria"/>
          <w:sz w:val="20"/>
          <w:szCs w:val="20"/>
          <w:lang w:val="es-VE"/>
        </w:rPr>
        <w:t>de los</w:t>
      </w:r>
      <w:r w:rsidR="009D0BA0" w:rsidRPr="00A57214">
        <w:rPr>
          <w:rFonts w:ascii="Cambria" w:eastAsia="Calibri" w:hAnsi="Cambria"/>
          <w:sz w:val="20"/>
          <w:szCs w:val="20"/>
          <w:lang w:val="es-VE"/>
        </w:rPr>
        <w:t xml:space="preserve"> proceso</w:t>
      </w:r>
      <w:r w:rsidR="00EC76D5">
        <w:rPr>
          <w:rFonts w:ascii="Cambria" w:eastAsia="Calibri" w:hAnsi="Cambria"/>
          <w:sz w:val="20"/>
          <w:szCs w:val="20"/>
          <w:lang w:val="es-VE"/>
        </w:rPr>
        <w:t>s</w:t>
      </w:r>
      <w:r w:rsidR="009D0BA0" w:rsidRPr="00A57214">
        <w:rPr>
          <w:rFonts w:ascii="Cambria" w:eastAsia="Calibri" w:hAnsi="Cambria"/>
          <w:sz w:val="20"/>
          <w:szCs w:val="20"/>
          <w:lang w:val="es-VE"/>
        </w:rPr>
        <w:t xml:space="preserve"> penal</w:t>
      </w:r>
      <w:r w:rsidR="00EC76D5">
        <w:rPr>
          <w:rFonts w:ascii="Cambria" w:eastAsia="Calibri" w:hAnsi="Cambria"/>
          <w:sz w:val="20"/>
          <w:szCs w:val="20"/>
          <w:lang w:val="es-VE"/>
        </w:rPr>
        <w:t>es</w:t>
      </w:r>
      <w:r w:rsidR="009D0BA0" w:rsidRPr="00A57214">
        <w:rPr>
          <w:rFonts w:ascii="Cambria" w:eastAsia="Calibri" w:hAnsi="Cambria"/>
          <w:sz w:val="20"/>
          <w:szCs w:val="20"/>
          <w:lang w:val="es-VE"/>
        </w:rPr>
        <w:t xml:space="preserve"> llevado</w:t>
      </w:r>
      <w:r w:rsidR="00EC76D5">
        <w:rPr>
          <w:rFonts w:ascii="Cambria" w:eastAsia="Calibri" w:hAnsi="Cambria"/>
          <w:sz w:val="20"/>
          <w:szCs w:val="20"/>
          <w:lang w:val="es-VE"/>
        </w:rPr>
        <w:t>s</w:t>
      </w:r>
      <w:r w:rsidR="009D0BA0" w:rsidRPr="00A57214">
        <w:rPr>
          <w:rFonts w:ascii="Cambria" w:eastAsia="Calibri" w:hAnsi="Cambria"/>
          <w:sz w:val="20"/>
          <w:szCs w:val="20"/>
          <w:lang w:val="es-VE"/>
        </w:rPr>
        <w:t xml:space="preserve"> a cabo en su contra por los delitos de monopolio y subversión económica. </w:t>
      </w:r>
    </w:p>
    <w:p w14:paraId="0E26B82C" w14:textId="77777777" w:rsidR="00EC76D5" w:rsidRPr="00EC76D5" w:rsidRDefault="00EC76D5"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sz w:val="20"/>
          <w:szCs w:val="20"/>
          <w:lang w:val="es-VE"/>
        </w:rPr>
      </w:pPr>
    </w:p>
    <w:p w14:paraId="7E743045" w14:textId="77777777" w:rsidR="00DB4D24" w:rsidRPr="00DB4D24" w:rsidRDefault="00A37597"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eastAsia="Calibri" w:hAnsiTheme="majorHAnsi"/>
          <w:sz w:val="20"/>
          <w:szCs w:val="20"/>
          <w:lang w:val="es-VE"/>
        </w:rPr>
      </w:pPr>
      <w:r w:rsidRPr="00A57214">
        <w:rPr>
          <w:rFonts w:asciiTheme="majorHAnsi" w:hAnsiTheme="majorHAnsi"/>
          <w:sz w:val="20"/>
          <w:szCs w:val="20"/>
          <w:lang w:val="es-MX"/>
        </w:rPr>
        <w:t>La Comisión aprobó el Informe de Admisibilidad No. 87/09 el 7 de agosto de 2009</w:t>
      </w:r>
      <w:r w:rsidRPr="00A57214">
        <w:rPr>
          <w:rStyle w:val="FootnoteReference"/>
          <w:rFonts w:asciiTheme="majorHAnsi" w:hAnsiTheme="majorHAnsi"/>
          <w:sz w:val="20"/>
          <w:szCs w:val="20"/>
          <w:lang w:val="es-MX"/>
        </w:rPr>
        <w:footnoteReference w:id="2"/>
      </w:r>
      <w:r w:rsidRPr="00A57214">
        <w:rPr>
          <w:rFonts w:asciiTheme="majorHAnsi" w:hAnsiTheme="majorHAnsi"/>
          <w:sz w:val="20"/>
          <w:szCs w:val="20"/>
          <w:lang w:val="es-MX"/>
        </w:rPr>
        <w:t xml:space="preserve">. </w:t>
      </w:r>
      <w:r w:rsidR="00877C23" w:rsidRPr="00A57214">
        <w:rPr>
          <w:rFonts w:asciiTheme="majorHAnsi" w:hAnsiTheme="majorHAnsi"/>
          <w:sz w:val="20"/>
          <w:szCs w:val="20"/>
          <w:lang w:val="es-VE"/>
        </w:rPr>
        <w:t>El 1</w:t>
      </w:r>
      <w:r w:rsidR="00A57214" w:rsidRPr="00A57214">
        <w:rPr>
          <w:rFonts w:asciiTheme="majorHAnsi" w:hAnsiTheme="majorHAnsi"/>
          <w:sz w:val="20"/>
          <w:szCs w:val="20"/>
          <w:lang w:val="es-VE"/>
        </w:rPr>
        <w:t>4</w:t>
      </w:r>
      <w:r w:rsidR="00877C23" w:rsidRPr="00A57214">
        <w:rPr>
          <w:rFonts w:asciiTheme="majorHAnsi" w:hAnsiTheme="majorHAnsi"/>
          <w:sz w:val="20"/>
          <w:szCs w:val="20"/>
          <w:lang w:val="es-VE"/>
        </w:rPr>
        <w:t xml:space="preserve"> de </w:t>
      </w:r>
      <w:r w:rsidR="00A57214" w:rsidRPr="00A57214">
        <w:rPr>
          <w:rFonts w:asciiTheme="majorHAnsi" w:hAnsiTheme="majorHAnsi"/>
          <w:sz w:val="20"/>
          <w:szCs w:val="20"/>
          <w:lang w:val="es-VE"/>
        </w:rPr>
        <w:t>agosto de 2009</w:t>
      </w:r>
      <w:r w:rsidR="00877C23" w:rsidRPr="00A57214">
        <w:rPr>
          <w:rFonts w:asciiTheme="majorHAnsi" w:hAnsiTheme="majorHAnsi"/>
          <w:sz w:val="20"/>
          <w:szCs w:val="20"/>
          <w:lang w:val="es-VE"/>
        </w:rPr>
        <w:t xml:space="preserve"> la Comisión notificó dicho informe a las partes y se puso a su disposición a fin de llegar a una solución amistosa, sin que se dieran las cond</w:t>
      </w:r>
      <w:r w:rsidR="00EC76D5">
        <w:rPr>
          <w:rFonts w:asciiTheme="majorHAnsi" w:hAnsiTheme="majorHAnsi"/>
          <w:sz w:val="20"/>
          <w:szCs w:val="20"/>
          <w:lang w:val="es-VE"/>
        </w:rPr>
        <w:t>iciones para solucionar el caso</w:t>
      </w:r>
      <w:r w:rsidR="00877C23" w:rsidRPr="00A57214">
        <w:rPr>
          <w:rFonts w:asciiTheme="majorHAnsi" w:hAnsiTheme="majorHAnsi"/>
          <w:sz w:val="20"/>
          <w:szCs w:val="20"/>
          <w:lang w:val="es-VE"/>
        </w:rPr>
        <w:t xml:space="preserve"> a</w:t>
      </w:r>
      <w:r w:rsidR="00EC76D5">
        <w:rPr>
          <w:rFonts w:asciiTheme="majorHAnsi" w:hAnsiTheme="majorHAnsi"/>
          <w:sz w:val="20"/>
          <w:szCs w:val="20"/>
          <w:lang w:val="es-VE"/>
        </w:rPr>
        <w:t xml:space="preserve"> través de dicho procedimiento. </w:t>
      </w:r>
      <w:r w:rsidR="00877C23" w:rsidRPr="00A57214">
        <w:rPr>
          <w:rFonts w:asciiTheme="majorHAnsi" w:hAnsiTheme="majorHAnsi"/>
          <w:sz w:val="20"/>
          <w:szCs w:val="20"/>
          <w:lang w:val="es-VE"/>
        </w:rPr>
        <w:t>Las partes contaron con los plazos reglamentarios para presentar sus observaciones adicionales sobre el fondo. Toda la información recibida fue debidamente trasladada entre las partes.</w:t>
      </w:r>
    </w:p>
    <w:p w14:paraId="4A6CC16D" w14:textId="77777777" w:rsidR="007C245B" w:rsidRPr="00A57214" w:rsidRDefault="00877C2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eastAsia="Calibri" w:hAnsiTheme="majorHAnsi"/>
          <w:sz w:val="20"/>
          <w:szCs w:val="20"/>
          <w:lang w:val="es-VE"/>
        </w:rPr>
      </w:pPr>
      <w:r w:rsidRPr="00A57214">
        <w:rPr>
          <w:rFonts w:asciiTheme="majorHAnsi" w:hAnsiTheme="majorHAnsi"/>
          <w:sz w:val="20"/>
          <w:szCs w:val="20"/>
          <w:lang w:val="es-VE"/>
        </w:rPr>
        <w:t xml:space="preserve"> </w:t>
      </w:r>
    </w:p>
    <w:p w14:paraId="49453DE6" w14:textId="77777777" w:rsidR="004450C3" w:rsidRPr="00A57214" w:rsidRDefault="004450C3" w:rsidP="00DB4D24">
      <w:pPr>
        <w:pStyle w:val="Heading1"/>
        <w:spacing w:before="0"/>
        <w:ind w:left="540" w:hanging="540"/>
        <w:rPr>
          <w:rFonts w:eastAsia="Times New Roman"/>
          <w:color w:val="auto"/>
          <w:sz w:val="20"/>
          <w:szCs w:val="20"/>
          <w:bdr w:val="none" w:sz="0" w:space="0" w:color="auto" w:frame="1"/>
          <w:lang w:val="es-ES_tradnl"/>
        </w:rPr>
      </w:pPr>
      <w:bookmarkStart w:id="4" w:name="_Toc476142709"/>
      <w:bookmarkStart w:id="5" w:name="_Toc5369466"/>
      <w:bookmarkStart w:id="6" w:name="_Toc99959073"/>
      <w:r w:rsidRPr="00A57214">
        <w:rPr>
          <w:rFonts w:eastAsia="Times New Roman"/>
          <w:color w:val="auto"/>
          <w:sz w:val="20"/>
          <w:szCs w:val="20"/>
          <w:bdr w:val="none" w:sz="0" w:space="0" w:color="auto" w:frame="1"/>
          <w:lang w:val="es-ES_tradnl"/>
        </w:rPr>
        <w:t>POSICIONES DE LAS PARTES</w:t>
      </w:r>
      <w:bookmarkEnd w:id="4"/>
      <w:bookmarkEnd w:id="5"/>
      <w:bookmarkEnd w:id="6"/>
    </w:p>
    <w:p w14:paraId="00648F74" w14:textId="77777777" w:rsidR="00BF4044" w:rsidRPr="000D2953" w:rsidRDefault="00BF4044" w:rsidP="00DB4D24">
      <w:pPr>
        <w:tabs>
          <w:tab w:val="left" w:pos="1440"/>
        </w:tabs>
        <w:jc w:val="both"/>
        <w:rPr>
          <w:sz w:val="20"/>
          <w:szCs w:val="20"/>
          <w:lang w:val="es-VE"/>
        </w:rPr>
      </w:pPr>
    </w:p>
    <w:p w14:paraId="2CE00206" w14:textId="77777777" w:rsidR="000D2953" w:rsidRPr="00397B14" w:rsidRDefault="000D2953" w:rsidP="00397B14">
      <w:pPr>
        <w:pStyle w:val="Heading2"/>
      </w:pPr>
      <w:bookmarkStart w:id="7" w:name="_Toc423514408"/>
      <w:bookmarkStart w:id="8" w:name="_Toc441166728"/>
      <w:bookmarkStart w:id="9" w:name="_Toc476142710"/>
      <w:bookmarkStart w:id="10" w:name="_Toc5369467"/>
      <w:bookmarkStart w:id="11" w:name="_Toc99959074"/>
      <w:r w:rsidRPr="00397B14">
        <w:t>P</w:t>
      </w:r>
      <w:bookmarkEnd w:id="7"/>
      <w:bookmarkEnd w:id="8"/>
      <w:bookmarkEnd w:id="9"/>
      <w:r w:rsidR="00A57214" w:rsidRPr="00397B14">
        <w:t>arte peticionaria</w:t>
      </w:r>
      <w:bookmarkEnd w:id="10"/>
      <w:bookmarkEnd w:id="11"/>
      <w:r w:rsidR="00A57214" w:rsidRPr="00397B14">
        <w:t xml:space="preserve"> </w:t>
      </w:r>
    </w:p>
    <w:p w14:paraId="28BA7274" w14:textId="77777777" w:rsidR="000D2953" w:rsidRPr="000D2953" w:rsidRDefault="000D2953" w:rsidP="00DB4D24">
      <w:pPr>
        <w:tabs>
          <w:tab w:val="left" w:pos="1440"/>
        </w:tabs>
        <w:jc w:val="both"/>
        <w:rPr>
          <w:sz w:val="20"/>
          <w:szCs w:val="20"/>
          <w:lang w:val="es-VE"/>
        </w:rPr>
      </w:pPr>
    </w:p>
    <w:p w14:paraId="13C59EF0" w14:textId="77777777" w:rsidR="00183051" w:rsidRDefault="00A57214"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La parte peticionaria indicó que </w:t>
      </w:r>
      <w:r w:rsidR="00183051">
        <w:rPr>
          <w:rFonts w:asciiTheme="majorHAnsi" w:hAnsiTheme="majorHAnsi"/>
          <w:sz w:val="20"/>
          <w:szCs w:val="20"/>
          <w:lang w:val="es-MX"/>
        </w:rPr>
        <w:t>en junio de 1980, el</w:t>
      </w:r>
      <w:r w:rsidR="00F64796" w:rsidRPr="002E0CB3">
        <w:rPr>
          <w:rFonts w:asciiTheme="majorHAnsi" w:hAnsiTheme="majorHAnsi"/>
          <w:sz w:val="20"/>
          <w:szCs w:val="20"/>
          <w:lang w:val="es-MX"/>
        </w:rPr>
        <w:t xml:space="preserve"> </w:t>
      </w:r>
      <w:r w:rsidR="00FB2E7A">
        <w:rPr>
          <w:rFonts w:asciiTheme="majorHAnsi" w:hAnsiTheme="majorHAnsi"/>
          <w:sz w:val="20"/>
          <w:szCs w:val="20"/>
          <w:lang w:val="es-MX"/>
        </w:rPr>
        <w:t xml:space="preserve">Gobierno </w:t>
      </w:r>
      <w:r w:rsidR="00920BE7">
        <w:rPr>
          <w:rFonts w:asciiTheme="majorHAnsi" w:hAnsiTheme="majorHAnsi"/>
          <w:sz w:val="20"/>
          <w:szCs w:val="20"/>
          <w:lang w:val="es-MX"/>
        </w:rPr>
        <w:t>m</w:t>
      </w:r>
      <w:r w:rsidR="00FB2E7A">
        <w:rPr>
          <w:rFonts w:asciiTheme="majorHAnsi" w:hAnsiTheme="majorHAnsi"/>
          <w:sz w:val="20"/>
          <w:szCs w:val="20"/>
          <w:lang w:val="es-MX"/>
        </w:rPr>
        <w:t xml:space="preserve">ilitar presidido por </w:t>
      </w:r>
      <w:r w:rsidR="00F64796" w:rsidRPr="002E0CB3">
        <w:rPr>
          <w:rFonts w:asciiTheme="majorHAnsi" w:hAnsiTheme="majorHAnsi"/>
          <w:sz w:val="20"/>
          <w:szCs w:val="20"/>
          <w:lang w:val="es-MX"/>
        </w:rPr>
        <w:t xml:space="preserve">Jorge Rafael Videla, sancionó las </w:t>
      </w:r>
      <w:r w:rsidR="00183051">
        <w:rPr>
          <w:rFonts w:asciiTheme="majorHAnsi" w:hAnsiTheme="majorHAnsi"/>
          <w:sz w:val="20"/>
          <w:szCs w:val="20"/>
          <w:lang w:val="es-MX"/>
        </w:rPr>
        <w:t>leyes de facto 22.229 y 23.334 mediante las cuales les impedía</w:t>
      </w:r>
      <w:r w:rsidR="00A5778D">
        <w:rPr>
          <w:rFonts w:asciiTheme="majorHAnsi" w:hAnsiTheme="majorHAnsi"/>
          <w:sz w:val="20"/>
          <w:szCs w:val="20"/>
          <w:lang w:val="es-MX"/>
        </w:rPr>
        <w:t xml:space="preserve"> a</w:t>
      </w:r>
      <w:r w:rsidR="00183051">
        <w:rPr>
          <w:rFonts w:asciiTheme="majorHAnsi" w:hAnsiTheme="majorHAnsi"/>
          <w:sz w:val="20"/>
          <w:szCs w:val="20"/>
          <w:lang w:val="es-MX"/>
        </w:rPr>
        <w:t xml:space="preserve"> los propietarios del denominado “Grupo Empresarial Greco” el manejo sobre sus corporaciones. </w:t>
      </w:r>
    </w:p>
    <w:p w14:paraId="1F6F2C04" w14:textId="77777777" w:rsidR="00D71BB6" w:rsidRPr="00EC76D5" w:rsidRDefault="00D71BB6" w:rsidP="00DB4D24">
      <w:pPr>
        <w:rPr>
          <w:rFonts w:asciiTheme="majorHAnsi" w:hAnsiTheme="majorHAnsi"/>
          <w:sz w:val="20"/>
          <w:szCs w:val="20"/>
          <w:lang w:val="es-MX"/>
        </w:rPr>
      </w:pPr>
    </w:p>
    <w:p w14:paraId="06F84C3B" w14:textId="77777777" w:rsidR="00F64796" w:rsidRDefault="00F64796"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D71BB6">
        <w:rPr>
          <w:rFonts w:asciiTheme="majorHAnsi" w:hAnsiTheme="majorHAnsi"/>
          <w:sz w:val="20"/>
          <w:szCs w:val="20"/>
          <w:lang w:val="es-MX"/>
        </w:rPr>
        <w:t>Señaló que en abril de 1980, por denuncia del Fiscal de la Cámara Federal de Apelaciones de Mendoza, se inició una investigación en contra de los miembros del Grupo Empresarial Greco y se dispuso la detención de todos los directivos, entre ellos el señor Ángel Pedro Falanga por los delitos de m</w:t>
      </w:r>
      <w:r w:rsidR="00183051">
        <w:rPr>
          <w:rFonts w:asciiTheme="majorHAnsi" w:hAnsiTheme="majorHAnsi"/>
          <w:sz w:val="20"/>
          <w:szCs w:val="20"/>
          <w:lang w:val="es-MX"/>
        </w:rPr>
        <w:t>onopolio y subversión económica previstos respectivamente en las leyes 12.906 y 20.840.</w:t>
      </w:r>
    </w:p>
    <w:p w14:paraId="7E911E70" w14:textId="77777777" w:rsidR="00D71BB6" w:rsidRDefault="00D71BB6" w:rsidP="00DB4D24">
      <w:pPr>
        <w:pStyle w:val="ListParagraph"/>
        <w:rPr>
          <w:rFonts w:asciiTheme="majorHAnsi" w:hAnsiTheme="majorHAnsi"/>
          <w:sz w:val="20"/>
          <w:szCs w:val="20"/>
          <w:lang w:val="es-MX"/>
        </w:rPr>
      </w:pPr>
    </w:p>
    <w:p w14:paraId="2049B8EF" w14:textId="77777777" w:rsidR="00114CBE" w:rsidRDefault="00D71BB6"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Afirmó que el señor Falanga </w:t>
      </w:r>
      <w:r w:rsidR="00F64796" w:rsidRPr="00D71BB6">
        <w:rPr>
          <w:rFonts w:asciiTheme="majorHAnsi" w:hAnsiTheme="majorHAnsi"/>
          <w:sz w:val="20"/>
          <w:szCs w:val="20"/>
          <w:lang w:val="es-MX"/>
        </w:rPr>
        <w:t xml:space="preserve">permaneció durante </w:t>
      </w:r>
      <w:r w:rsidR="00E82FD8">
        <w:rPr>
          <w:rFonts w:asciiTheme="majorHAnsi" w:hAnsiTheme="majorHAnsi"/>
          <w:sz w:val="20"/>
          <w:szCs w:val="20"/>
          <w:lang w:val="es-MX"/>
        </w:rPr>
        <w:t>cinco</w:t>
      </w:r>
      <w:r w:rsidR="00F64796" w:rsidRPr="00D71BB6">
        <w:rPr>
          <w:rFonts w:asciiTheme="majorHAnsi" w:hAnsiTheme="majorHAnsi"/>
          <w:sz w:val="20"/>
          <w:szCs w:val="20"/>
          <w:lang w:val="es-MX"/>
        </w:rPr>
        <w:t xml:space="preserve"> años fuera del país,</w:t>
      </w:r>
      <w:r>
        <w:rPr>
          <w:rFonts w:asciiTheme="majorHAnsi" w:hAnsiTheme="majorHAnsi"/>
          <w:sz w:val="20"/>
          <w:szCs w:val="20"/>
          <w:lang w:val="es-MX"/>
        </w:rPr>
        <w:t xml:space="preserve"> sin embargo el 11 de diciembre de 1985 se </w:t>
      </w:r>
      <w:r w:rsidR="00F64796" w:rsidRPr="00D71BB6">
        <w:rPr>
          <w:rFonts w:asciiTheme="majorHAnsi" w:hAnsiTheme="majorHAnsi"/>
          <w:sz w:val="20"/>
          <w:szCs w:val="20"/>
          <w:lang w:val="es-MX"/>
        </w:rPr>
        <w:t>presentó espontáneamente ante el Juez Federal de Mendoza, quedando detenido preventivamente hasta el 7 de abril de 1986, fecha en la que se le otorgó la excarcelación bajo fianza, mientras continuaron los p</w:t>
      </w:r>
      <w:r w:rsidR="004B62D0">
        <w:rPr>
          <w:rFonts w:asciiTheme="majorHAnsi" w:hAnsiTheme="majorHAnsi"/>
          <w:sz w:val="20"/>
          <w:szCs w:val="20"/>
          <w:lang w:val="es-MX"/>
        </w:rPr>
        <w:t xml:space="preserve">rocesos judiciales en su contra. </w:t>
      </w:r>
    </w:p>
    <w:p w14:paraId="4748613F" w14:textId="77777777" w:rsidR="00114CBE" w:rsidRDefault="00114CBE" w:rsidP="00DB4D24">
      <w:pPr>
        <w:pStyle w:val="ListParagraph"/>
        <w:rPr>
          <w:rFonts w:asciiTheme="majorHAnsi" w:hAnsiTheme="majorHAnsi"/>
          <w:sz w:val="20"/>
          <w:szCs w:val="20"/>
          <w:lang w:val="es-MX"/>
        </w:rPr>
      </w:pPr>
    </w:p>
    <w:p w14:paraId="3EC77F1C" w14:textId="77777777" w:rsidR="00F64796" w:rsidRDefault="004B62D0"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114CBE">
        <w:rPr>
          <w:rFonts w:asciiTheme="majorHAnsi" w:hAnsiTheme="majorHAnsi"/>
          <w:sz w:val="20"/>
          <w:szCs w:val="20"/>
          <w:lang w:val="es-MX"/>
        </w:rPr>
        <w:t xml:space="preserve">Indicó que el 17 de mayo de 1993 el </w:t>
      </w:r>
      <w:r w:rsidR="00F64796" w:rsidRPr="00114CBE">
        <w:rPr>
          <w:rFonts w:asciiTheme="majorHAnsi" w:hAnsiTheme="majorHAnsi"/>
          <w:sz w:val="20"/>
          <w:szCs w:val="20"/>
          <w:lang w:val="es-MX"/>
        </w:rPr>
        <w:t xml:space="preserve">Juzgado Federal de Primera Instancia, condenó al señor Falanga a la pena de </w:t>
      </w:r>
      <w:r w:rsidR="00AE7BE0">
        <w:rPr>
          <w:rFonts w:asciiTheme="majorHAnsi" w:hAnsiTheme="majorHAnsi"/>
          <w:sz w:val="20"/>
          <w:szCs w:val="20"/>
          <w:lang w:val="es-MX"/>
        </w:rPr>
        <w:t>tres</w:t>
      </w:r>
      <w:r w:rsidR="00F64796" w:rsidRPr="00114CBE">
        <w:rPr>
          <w:rFonts w:asciiTheme="majorHAnsi" w:hAnsiTheme="majorHAnsi"/>
          <w:sz w:val="20"/>
          <w:szCs w:val="20"/>
          <w:lang w:val="es-MX"/>
        </w:rPr>
        <w:t xml:space="preserve"> años de prisión suspendida, inhabilitación y multa por el delito de monopolio. </w:t>
      </w:r>
      <w:r w:rsidR="005A01B0">
        <w:rPr>
          <w:rFonts w:asciiTheme="majorHAnsi" w:hAnsiTheme="majorHAnsi"/>
          <w:sz w:val="20"/>
          <w:szCs w:val="20"/>
          <w:lang w:val="es-MX"/>
        </w:rPr>
        <w:t xml:space="preserve">Refirió que tras ser apelada, el 7 de noviembre de 1995 </w:t>
      </w:r>
      <w:r w:rsidR="00F64796" w:rsidRPr="005A01B0">
        <w:rPr>
          <w:rFonts w:asciiTheme="majorHAnsi" w:hAnsiTheme="majorHAnsi"/>
          <w:sz w:val="20"/>
          <w:szCs w:val="20"/>
          <w:lang w:val="es-MX"/>
        </w:rPr>
        <w:t>la Cámara Federal de Ape</w:t>
      </w:r>
      <w:r w:rsidR="005A01B0">
        <w:rPr>
          <w:rFonts w:asciiTheme="majorHAnsi" w:hAnsiTheme="majorHAnsi"/>
          <w:sz w:val="20"/>
          <w:szCs w:val="20"/>
          <w:lang w:val="es-MX"/>
        </w:rPr>
        <w:t>laciones de Mendoza modificó</w:t>
      </w:r>
      <w:r w:rsidR="00F64796" w:rsidRPr="005A01B0">
        <w:rPr>
          <w:rFonts w:asciiTheme="majorHAnsi" w:hAnsiTheme="majorHAnsi"/>
          <w:sz w:val="20"/>
          <w:szCs w:val="20"/>
          <w:lang w:val="es-MX"/>
        </w:rPr>
        <w:t xml:space="preserve"> la pena a </w:t>
      </w:r>
      <w:r w:rsidR="00A22BB0">
        <w:rPr>
          <w:rFonts w:asciiTheme="majorHAnsi" w:hAnsiTheme="majorHAnsi"/>
          <w:sz w:val="20"/>
          <w:szCs w:val="20"/>
          <w:lang w:val="es-MX"/>
        </w:rPr>
        <w:t>un</w:t>
      </w:r>
      <w:r w:rsidR="00F64796" w:rsidRPr="005A01B0">
        <w:rPr>
          <w:rFonts w:asciiTheme="majorHAnsi" w:hAnsiTheme="majorHAnsi"/>
          <w:sz w:val="20"/>
          <w:szCs w:val="20"/>
          <w:lang w:val="es-MX"/>
        </w:rPr>
        <w:t xml:space="preserve"> año y </w:t>
      </w:r>
      <w:r w:rsidR="00A22BB0">
        <w:rPr>
          <w:rFonts w:asciiTheme="majorHAnsi" w:hAnsiTheme="majorHAnsi"/>
          <w:sz w:val="20"/>
          <w:szCs w:val="20"/>
          <w:lang w:val="es-MX"/>
        </w:rPr>
        <w:t>seis</w:t>
      </w:r>
      <w:r w:rsidR="00F64796" w:rsidRPr="005A01B0">
        <w:rPr>
          <w:rFonts w:asciiTheme="majorHAnsi" w:hAnsiTheme="majorHAnsi"/>
          <w:sz w:val="20"/>
          <w:szCs w:val="20"/>
          <w:lang w:val="es-MX"/>
        </w:rPr>
        <w:t xml:space="preserve"> meses de prisión, inhabilitación y multa.</w:t>
      </w:r>
    </w:p>
    <w:p w14:paraId="06642B1E" w14:textId="77777777" w:rsidR="005A01B0" w:rsidRDefault="005A01B0" w:rsidP="00DB4D24">
      <w:pPr>
        <w:pStyle w:val="ListParagraph"/>
        <w:rPr>
          <w:rFonts w:asciiTheme="majorHAnsi" w:hAnsiTheme="majorHAnsi"/>
          <w:sz w:val="20"/>
          <w:szCs w:val="20"/>
          <w:lang w:val="es-MX"/>
        </w:rPr>
      </w:pPr>
    </w:p>
    <w:p w14:paraId="4BD6DE7C" w14:textId="77777777" w:rsidR="00B15ADC" w:rsidRDefault="005A01B0"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Adicionalmente, refirió que el 17 de febrero de 1997 </w:t>
      </w:r>
      <w:r w:rsidR="00B15ADC">
        <w:rPr>
          <w:rFonts w:asciiTheme="majorHAnsi" w:hAnsiTheme="majorHAnsi"/>
          <w:sz w:val="20"/>
          <w:szCs w:val="20"/>
          <w:lang w:val="es-MX"/>
        </w:rPr>
        <w:t xml:space="preserve">el Juez Federal de Sentencia condenó a la presunta víctima a la </w:t>
      </w:r>
      <w:r w:rsidR="00F64796" w:rsidRPr="00B15ADC">
        <w:rPr>
          <w:rFonts w:asciiTheme="majorHAnsi" w:hAnsiTheme="majorHAnsi"/>
          <w:sz w:val="20"/>
          <w:szCs w:val="20"/>
          <w:lang w:val="es-MX"/>
        </w:rPr>
        <w:t xml:space="preserve">pena de </w:t>
      </w:r>
      <w:r w:rsidR="00E777A7">
        <w:rPr>
          <w:rFonts w:asciiTheme="majorHAnsi" w:hAnsiTheme="majorHAnsi"/>
          <w:sz w:val="20"/>
          <w:szCs w:val="20"/>
          <w:lang w:val="es-MX"/>
        </w:rPr>
        <w:t>tres</w:t>
      </w:r>
      <w:r w:rsidR="00F64796" w:rsidRPr="00B15ADC">
        <w:rPr>
          <w:rFonts w:asciiTheme="majorHAnsi" w:hAnsiTheme="majorHAnsi"/>
          <w:sz w:val="20"/>
          <w:szCs w:val="20"/>
          <w:lang w:val="es-MX"/>
        </w:rPr>
        <w:t xml:space="preserve"> años de prisión</w:t>
      </w:r>
      <w:r w:rsidR="00EC76D5">
        <w:rPr>
          <w:rFonts w:asciiTheme="majorHAnsi" w:hAnsiTheme="majorHAnsi"/>
          <w:sz w:val="20"/>
          <w:szCs w:val="20"/>
          <w:lang w:val="es-MX"/>
        </w:rPr>
        <w:t xml:space="preserve"> e</w:t>
      </w:r>
      <w:r w:rsidR="00F64796" w:rsidRPr="00B15ADC">
        <w:rPr>
          <w:rFonts w:asciiTheme="majorHAnsi" w:hAnsiTheme="majorHAnsi"/>
          <w:sz w:val="20"/>
          <w:szCs w:val="20"/>
          <w:lang w:val="es-MX"/>
        </w:rPr>
        <w:t xml:space="preserve"> inhabilitación y multa, por el delito de subversión económica. </w:t>
      </w:r>
      <w:r w:rsidR="00B15ADC">
        <w:rPr>
          <w:rFonts w:asciiTheme="majorHAnsi" w:hAnsiTheme="majorHAnsi"/>
          <w:sz w:val="20"/>
          <w:szCs w:val="20"/>
          <w:lang w:val="es-MX"/>
        </w:rPr>
        <w:t xml:space="preserve">Refirió que el Ministerio Público impugnó dicha decisión y en respuesta el 17 de marzo de 1999 la Cámara Federal de Apelaciones elevó la pena privativa de libertad a </w:t>
      </w:r>
      <w:r w:rsidR="0006751B">
        <w:rPr>
          <w:rFonts w:asciiTheme="majorHAnsi" w:hAnsiTheme="majorHAnsi"/>
          <w:sz w:val="20"/>
          <w:szCs w:val="20"/>
          <w:lang w:val="es-MX"/>
        </w:rPr>
        <w:t>cuatro</w:t>
      </w:r>
      <w:r w:rsidR="00B15ADC">
        <w:rPr>
          <w:rFonts w:asciiTheme="majorHAnsi" w:hAnsiTheme="majorHAnsi"/>
          <w:sz w:val="20"/>
          <w:szCs w:val="20"/>
          <w:lang w:val="es-MX"/>
        </w:rPr>
        <w:t xml:space="preserve"> años. </w:t>
      </w:r>
    </w:p>
    <w:p w14:paraId="0D222AEB" w14:textId="77777777" w:rsidR="00B15ADC" w:rsidRPr="00B15ADC" w:rsidRDefault="00B15ADC"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72D5341D" w14:textId="77777777" w:rsidR="00F64796" w:rsidRDefault="00B15ADC"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Indicó que </w:t>
      </w:r>
      <w:r w:rsidR="00EC76D5">
        <w:rPr>
          <w:rFonts w:asciiTheme="majorHAnsi" w:hAnsiTheme="majorHAnsi"/>
          <w:sz w:val="20"/>
          <w:szCs w:val="20"/>
          <w:lang w:val="es-MX"/>
        </w:rPr>
        <w:t xml:space="preserve">en la misma decisión, </w:t>
      </w:r>
      <w:r>
        <w:rPr>
          <w:rFonts w:asciiTheme="majorHAnsi" w:hAnsiTheme="majorHAnsi"/>
          <w:sz w:val="20"/>
          <w:szCs w:val="20"/>
          <w:lang w:val="es-MX"/>
        </w:rPr>
        <w:t xml:space="preserve">la Cámara Federal de Apelaciones </w:t>
      </w:r>
      <w:r w:rsidR="00F64796" w:rsidRPr="00B15ADC">
        <w:rPr>
          <w:rFonts w:asciiTheme="majorHAnsi" w:hAnsiTheme="majorHAnsi"/>
          <w:sz w:val="20"/>
          <w:szCs w:val="20"/>
          <w:lang w:val="es-MX"/>
        </w:rPr>
        <w:t xml:space="preserve">unificó ambas sentencias impuestas, resultando la pena única de </w:t>
      </w:r>
      <w:r w:rsidR="00D973F0">
        <w:rPr>
          <w:rFonts w:asciiTheme="majorHAnsi" w:hAnsiTheme="majorHAnsi"/>
          <w:sz w:val="20"/>
          <w:szCs w:val="20"/>
          <w:lang w:val="es-MX"/>
        </w:rPr>
        <w:t>cuatro</w:t>
      </w:r>
      <w:r w:rsidR="00F64796" w:rsidRPr="00B15ADC">
        <w:rPr>
          <w:rFonts w:asciiTheme="majorHAnsi" w:hAnsiTheme="majorHAnsi"/>
          <w:sz w:val="20"/>
          <w:szCs w:val="20"/>
          <w:lang w:val="es-MX"/>
        </w:rPr>
        <w:t xml:space="preserve"> años y </w:t>
      </w:r>
      <w:r w:rsidR="00D973F0">
        <w:rPr>
          <w:rFonts w:asciiTheme="majorHAnsi" w:hAnsiTheme="majorHAnsi"/>
          <w:sz w:val="20"/>
          <w:szCs w:val="20"/>
          <w:lang w:val="es-MX"/>
        </w:rPr>
        <w:t>seis</w:t>
      </w:r>
      <w:r w:rsidR="00F64796" w:rsidRPr="00B15ADC">
        <w:rPr>
          <w:rFonts w:asciiTheme="majorHAnsi" w:hAnsiTheme="majorHAnsi"/>
          <w:sz w:val="20"/>
          <w:szCs w:val="20"/>
          <w:lang w:val="es-MX"/>
        </w:rPr>
        <w:t xml:space="preserve"> meses de prisión, </w:t>
      </w:r>
      <w:r w:rsidR="00D973F0">
        <w:rPr>
          <w:rFonts w:asciiTheme="majorHAnsi" w:hAnsiTheme="majorHAnsi"/>
          <w:sz w:val="20"/>
          <w:szCs w:val="20"/>
          <w:lang w:val="es-MX"/>
        </w:rPr>
        <w:t>cinco</w:t>
      </w:r>
      <w:r w:rsidR="00F64796" w:rsidRPr="00B15ADC">
        <w:rPr>
          <w:rFonts w:asciiTheme="majorHAnsi" w:hAnsiTheme="majorHAnsi"/>
          <w:sz w:val="20"/>
          <w:szCs w:val="20"/>
          <w:lang w:val="es-MX"/>
        </w:rPr>
        <w:t xml:space="preserve"> años de inhabilitación especial para ejercer el comercio y el pago de $ 160.000 dólares americanos. </w:t>
      </w:r>
      <w:r>
        <w:rPr>
          <w:rFonts w:asciiTheme="majorHAnsi" w:hAnsiTheme="majorHAnsi"/>
          <w:sz w:val="20"/>
          <w:szCs w:val="20"/>
          <w:lang w:val="es-MX"/>
        </w:rPr>
        <w:t xml:space="preserve">Precisó que luego de dicha sentencia, la presunta víctima </w:t>
      </w:r>
      <w:r w:rsidR="00F64796" w:rsidRPr="00B15ADC">
        <w:rPr>
          <w:rFonts w:asciiTheme="majorHAnsi" w:hAnsiTheme="majorHAnsi"/>
          <w:sz w:val="20"/>
          <w:szCs w:val="20"/>
          <w:lang w:val="es-MX"/>
        </w:rPr>
        <w:t xml:space="preserve">presentó una acción de habeas corpus, a fin de evitar </w:t>
      </w:r>
      <w:r>
        <w:rPr>
          <w:rFonts w:asciiTheme="majorHAnsi" w:hAnsiTheme="majorHAnsi"/>
          <w:sz w:val="20"/>
          <w:szCs w:val="20"/>
          <w:lang w:val="es-MX"/>
        </w:rPr>
        <w:t xml:space="preserve">la ejecución de la misma. </w:t>
      </w:r>
    </w:p>
    <w:p w14:paraId="783D25F5" w14:textId="77777777" w:rsidR="00B15ADC" w:rsidRDefault="00B15ADC" w:rsidP="00DB4D24">
      <w:pPr>
        <w:pStyle w:val="ListParagraph"/>
        <w:rPr>
          <w:rFonts w:asciiTheme="majorHAnsi" w:hAnsiTheme="majorHAnsi"/>
          <w:sz w:val="20"/>
          <w:szCs w:val="20"/>
          <w:lang w:val="es-MX"/>
        </w:rPr>
      </w:pPr>
    </w:p>
    <w:p w14:paraId="5CE617B8" w14:textId="77777777" w:rsidR="00F64796" w:rsidRDefault="00B15ADC"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lastRenderedPageBreak/>
        <w:t>Expresó que</w:t>
      </w:r>
      <w:r w:rsidR="00435A68">
        <w:rPr>
          <w:rFonts w:asciiTheme="majorHAnsi" w:hAnsiTheme="majorHAnsi"/>
          <w:sz w:val="20"/>
          <w:szCs w:val="20"/>
          <w:lang w:val="es-MX"/>
        </w:rPr>
        <w:t xml:space="preserve"> la decisión de la Cámara Federal de Apelaci</w:t>
      </w:r>
      <w:r w:rsidR="0011192D">
        <w:rPr>
          <w:rFonts w:asciiTheme="majorHAnsi" w:hAnsiTheme="majorHAnsi"/>
          <w:sz w:val="20"/>
          <w:szCs w:val="20"/>
          <w:lang w:val="es-MX"/>
        </w:rPr>
        <w:t>o</w:t>
      </w:r>
      <w:r w:rsidR="00435A68">
        <w:rPr>
          <w:rFonts w:asciiTheme="majorHAnsi" w:hAnsiTheme="majorHAnsi"/>
          <w:sz w:val="20"/>
          <w:szCs w:val="20"/>
          <w:lang w:val="es-MX"/>
        </w:rPr>
        <w:t>nes</w:t>
      </w:r>
      <w:r>
        <w:rPr>
          <w:rFonts w:asciiTheme="majorHAnsi" w:hAnsiTheme="majorHAnsi"/>
          <w:sz w:val="20"/>
          <w:szCs w:val="20"/>
          <w:lang w:val="es-MX"/>
        </w:rPr>
        <w:t xml:space="preserve"> originó la detención de la presunta víctima desde el 17 de marzo </w:t>
      </w:r>
      <w:r w:rsidR="004D3689">
        <w:rPr>
          <w:rFonts w:asciiTheme="majorHAnsi" w:hAnsiTheme="majorHAnsi"/>
          <w:sz w:val="20"/>
          <w:szCs w:val="20"/>
          <w:lang w:val="es-MX"/>
        </w:rPr>
        <w:t>hasta</w:t>
      </w:r>
      <w:r>
        <w:rPr>
          <w:rFonts w:asciiTheme="majorHAnsi" w:hAnsiTheme="majorHAnsi"/>
          <w:sz w:val="20"/>
          <w:szCs w:val="20"/>
          <w:lang w:val="es-MX"/>
        </w:rPr>
        <w:t xml:space="preserve"> el 5 de noviembre de 1999 cuando se</w:t>
      </w:r>
      <w:r w:rsidR="00EC76D5">
        <w:rPr>
          <w:rFonts w:asciiTheme="majorHAnsi" w:hAnsiTheme="majorHAnsi"/>
          <w:sz w:val="20"/>
          <w:szCs w:val="20"/>
          <w:lang w:val="es-MX"/>
        </w:rPr>
        <w:t xml:space="preserve"> le</w:t>
      </w:r>
      <w:r>
        <w:rPr>
          <w:rFonts w:asciiTheme="majorHAnsi" w:hAnsiTheme="majorHAnsi"/>
          <w:sz w:val="20"/>
          <w:szCs w:val="20"/>
          <w:lang w:val="es-MX"/>
        </w:rPr>
        <w:t xml:space="preserve"> concedió una nueva excarcelación, al aceptarse por la Corte</w:t>
      </w:r>
      <w:r w:rsidR="008908D3">
        <w:rPr>
          <w:rFonts w:asciiTheme="majorHAnsi" w:hAnsiTheme="majorHAnsi"/>
          <w:sz w:val="20"/>
          <w:szCs w:val="20"/>
          <w:lang w:val="es-MX"/>
        </w:rPr>
        <w:t xml:space="preserve"> Suprema</w:t>
      </w:r>
      <w:r>
        <w:rPr>
          <w:rFonts w:asciiTheme="majorHAnsi" w:hAnsiTheme="majorHAnsi"/>
          <w:sz w:val="20"/>
          <w:szCs w:val="20"/>
          <w:lang w:val="es-MX"/>
        </w:rPr>
        <w:t xml:space="preserve"> de Justicia</w:t>
      </w:r>
      <w:r w:rsidR="00EC76D5">
        <w:rPr>
          <w:rFonts w:asciiTheme="majorHAnsi" w:hAnsiTheme="majorHAnsi"/>
          <w:sz w:val="20"/>
          <w:szCs w:val="20"/>
          <w:lang w:val="es-MX"/>
        </w:rPr>
        <w:t xml:space="preserve"> un recurso extraordinario</w:t>
      </w:r>
      <w:r>
        <w:rPr>
          <w:rFonts w:asciiTheme="majorHAnsi" w:hAnsiTheme="majorHAnsi"/>
          <w:sz w:val="20"/>
          <w:szCs w:val="20"/>
          <w:lang w:val="es-MX"/>
        </w:rPr>
        <w:t xml:space="preserve"> presentado </w:t>
      </w:r>
      <w:r w:rsidR="00F64796" w:rsidRPr="00B15ADC">
        <w:rPr>
          <w:rFonts w:asciiTheme="majorHAnsi" w:hAnsiTheme="majorHAnsi"/>
          <w:sz w:val="20"/>
          <w:szCs w:val="20"/>
          <w:lang w:val="es-MX"/>
        </w:rPr>
        <w:t>por el defensor</w:t>
      </w:r>
      <w:r w:rsidR="008038B8">
        <w:rPr>
          <w:rFonts w:asciiTheme="majorHAnsi" w:hAnsiTheme="majorHAnsi"/>
          <w:sz w:val="20"/>
          <w:szCs w:val="20"/>
          <w:lang w:val="es-MX"/>
        </w:rPr>
        <w:t>.</w:t>
      </w:r>
      <w:r w:rsidR="00F64796" w:rsidRPr="00B15ADC">
        <w:rPr>
          <w:rFonts w:asciiTheme="majorHAnsi" w:hAnsiTheme="majorHAnsi"/>
          <w:sz w:val="20"/>
          <w:szCs w:val="20"/>
          <w:lang w:val="es-MX"/>
        </w:rPr>
        <w:t xml:space="preserve"> </w:t>
      </w:r>
    </w:p>
    <w:p w14:paraId="0228E775" w14:textId="77777777" w:rsidR="00B15ADC" w:rsidRDefault="00B15ADC" w:rsidP="00DB4D24">
      <w:pPr>
        <w:pStyle w:val="ListParagraph"/>
        <w:rPr>
          <w:rFonts w:asciiTheme="majorHAnsi" w:hAnsiTheme="majorHAnsi"/>
          <w:sz w:val="20"/>
          <w:szCs w:val="20"/>
          <w:lang w:val="es-MX"/>
        </w:rPr>
      </w:pPr>
    </w:p>
    <w:p w14:paraId="76441F69" w14:textId="77777777" w:rsidR="00F64796" w:rsidRDefault="00B15ADC"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Argumentó que esta s</w:t>
      </w:r>
      <w:r w:rsidR="003A292A">
        <w:rPr>
          <w:rFonts w:asciiTheme="majorHAnsi" w:hAnsiTheme="majorHAnsi"/>
          <w:sz w:val="20"/>
          <w:szCs w:val="20"/>
          <w:lang w:val="es-MX"/>
        </w:rPr>
        <w:t xml:space="preserve">egunda excarcelación le fue otorgada bajo medidas restrictivas de su libertad ambulatoria que consistían en </w:t>
      </w:r>
      <w:r w:rsidR="00F64796" w:rsidRPr="003A292A">
        <w:rPr>
          <w:rFonts w:asciiTheme="majorHAnsi" w:hAnsiTheme="majorHAnsi"/>
          <w:sz w:val="20"/>
          <w:szCs w:val="20"/>
          <w:lang w:val="es-MX"/>
        </w:rPr>
        <w:t>presentarse todos los miércoles ante los estrados de la Cámara Fe</w:t>
      </w:r>
      <w:r w:rsidR="003A292A">
        <w:rPr>
          <w:rFonts w:asciiTheme="majorHAnsi" w:hAnsiTheme="majorHAnsi"/>
          <w:sz w:val="20"/>
          <w:szCs w:val="20"/>
          <w:lang w:val="es-MX"/>
        </w:rPr>
        <w:t>deral de Apelaciones de Mendoza y</w:t>
      </w:r>
      <w:r w:rsidR="00F64796" w:rsidRPr="003A292A">
        <w:rPr>
          <w:rFonts w:asciiTheme="majorHAnsi" w:hAnsiTheme="majorHAnsi"/>
          <w:sz w:val="20"/>
          <w:szCs w:val="20"/>
          <w:lang w:val="es-MX"/>
        </w:rPr>
        <w:t xml:space="preserve"> no poder ausentarse de su domicilio por más de veinticuatro horas, sin conocimie</w:t>
      </w:r>
      <w:r w:rsidR="003A292A">
        <w:rPr>
          <w:rFonts w:asciiTheme="majorHAnsi" w:hAnsiTheme="majorHAnsi"/>
          <w:sz w:val="20"/>
          <w:szCs w:val="20"/>
          <w:lang w:val="es-MX"/>
        </w:rPr>
        <w:t>nto de la autoridad competente.</w:t>
      </w:r>
    </w:p>
    <w:p w14:paraId="2E75E9EC" w14:textId="77777777" w:rsidR="003A292A" w:rsidRDefault="003A292A" w:rsidP="00DB4D24">
      <w:pPr>
        <w:pStyle w:val="ListParagraph"/>
        <w:rPr>
          <w:rFonts w:asciiTheme="majorHAnsi" w:hAnsiTheme="majorHAnsi"/>
          <w:sz w:val="20"/>
          <w:szCs w:val="20"/>
          <w:lang w:val="es-MX"/>
        </w:rPr>
      </w:pPr>
    </w:p>
    <w:p w14:paraId="7C9BC6FE" w14:textId="77777777" w:rsidR="00F64796" w:rsidRDefault="003F5DE7"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Indicó que la presunta víctima estuvo detenida dos veces, preventivamente</w:t>
      </w:r>
      <w:r w:rsidR="004127F8">
        <w:rPr>
          <w:rFonts w:asciiTheme="majorHAnsi" w:hAnsiTheme="majorHAnsi"/>
          <w:sz w:val="20"/>
          <w:szCs w:val="20"/>
          <w:lang w:val="es-MX"/>
        </w:rPr>
        <w:t>,</w:t>
      </w:r>
      <w:r>
        <w:rPr>
          <w:rFonts w:asciiTheme="majorHAnsi" w:hAnsiTheme="majorHAnsi"/>
          <w:sz w:val="20"/>
          <w:szCs w:val="20"/>
          <w:lang w:val="es-MX"/>
        </w:rPr>
        <w:t xml:space="preserve"> el 11 de diciembre de</w:t>
      </w:r>
      <w:r w:rsidR="004D3689">
        <w:rPr>
          <w:rFonts w:asciiTheme="majorHAnsi" w:hAnsiTheme="majorHAnsi"/>
          <w:sz w:val="20"/>
          <w:szCs w:val="20"/>
          <w:lang w:val="es-MX"/>
        </w:rPr>
        <w:t xml:space="preserve"> 1985 </w:t>
      </w:r>
      <w:r>
        <w:rPr>
          <w:rFonts w:asciiTheme="majorHAnsi" w:hAnsiTheme="majorHAnsi"/>
          <w:sz w:val="20"/>
          <w:szCs w:val="20"/>
          <w:lang w:val="es-MX"/>
        </w:rPr>
        <w:t xml:space="preserve">por </w:t>
      </w:r>
      <w:r w:rsidR="00682BF4">
        <w:rPr>
          <w:rFonts w:asciiTheme="majorHAnsi" w:hAnsiTheme="majorHAnsi"/>
          <w:sz w:val="20"/>
          <w:szCs w:val="20"/>
          <w:lang w:val="es-MX"/>
        </w:rPr>
        <w:t>cuatro</w:t>
      </w:r>
      <w:r>
        <w:rPr>
          <w:rFonts w:asciiTheme="majorHAnsi" w:hAnsiTheme="majorHAnsi"/>
          <w:sz w:val="20"/>
          <w:szCs w:val="20"/>
          <w:lang w:val="es-MX"/>
        </w:rPr>
        <w:t xml:space="preserve"> meses, y </w:t>
      </w:r>
      <w:r w:rsidR="00682BF4">
        <w:rPr>
          <w:rFonts w:asciiTheme="majorHAnsi" w:hAnsiTheme="majorHAnsi"/>
          <w:sz w:val="20"/>
          <w:szCs w:val="20"/>
          <w:lang w:val="es-MX"/>
        </w:rPr>
        <w:t>posteriormente por ocho</w:t>
      </w:r>
      <w:r>
        <w:rPr>
          <w:rFonts w:asciiTheme="majorHAnsi" w:hAnsiTheme="majorHAnsi"/>
          <w:sz w:val="20"/>
          <w:szCs w:val="20"/>
          <w:lang w:val="es-MX"/>
        </w:rPr>
        <w:t xml:space="preserve"> meses como consecuencia de la </w:t>
      </w:r>
      <w:r w:rsidR="00F64796" w:rsidRPr="003F5DE7">
        <w:rPr>
          <w:rFonts w:asciiTheme="majorHAnsi" w:hAnsiTheme="majorHAnsi"/>
          <w:sz w:val="20"/>
          <w:szCs w:val="20"/>
          <w:lang w:val="es-MX"/>
        </w:rPr>
        <w:t xml:space="preserve">sentencia condenatoria dictada por la Cámara Federal de Mendoza, </w:t>
      </w:r>
      <w:r>
        <w:rPr>
          <w:rFonts w:asciiTheme="majorHAnsi" w:hAnsiTheme="majorHAnsi"/>
          <w:sz w:val="20"/>
          <w:szCs w:val="20"/>
          <w:lang w:val="es-MX"/>
        </w:rPr>
        <w:t xml:space="preserve">el </w:t>
      </w:r>
      <w:r w:rsidR="00F64796" w:rsidRPr="003F5DE7">
        <w:rPr>
          <w:rFonts w:asciiTheme="majorHAnsi" w:hAnsiTheme="majorHAnsi"/>
          <w:sz w:val="20"/>
          <w:szCs w:val="20"/>
          <w:lang w:val="es-MX"/>
        </w:rPr>
        <w:t>17 de abril de 1999</w:t>
      </w:r>
      <w:r>
        <w:rPr>
          <w:rFonts w:asciiTheme="majorHAnsi" w:hAnsiTheme="majorHAnsi"/>
          <w:sz w:val="20"/>
          <w:szCs w:val="20"/>
          <w:lang w:val="es-MX"/>
        </w:rPr>
        <w:t>.</w:t>
      </w:r>
    </w:p>
    <w:p w14:paraId="7F2DEA51" w14:textId="77777777" w:rsidR="003F5DE7" w:rsidRDefault="003F5DE7" w:rsidP="00DB4D24">
      <w:pPr>
        <w:pStyle w:val="ListParagraph"/>
        <w:rPr>
          <w:rFonts w:asciiTheme="majorHAnsi" w:hAnsiTheme="majorHAnsi"/>
          <w:sz w:val="20"/>
          <w:szCs w:val="20"/>
          <w:lang w:val="es-MX"/>
        </w:rPr>
      </w:pPr>
    </w:p>
    <w:p w14:paraId="1F8322EF" w14:textId="77777777" w:rsidR="003F5DE7" w:rsidRDefault="003F5DE7"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Alegó que el primer proceso relacionado con el delito de monopolio tuvo una duración de más de </w:t>
      </w:r>
      <w:r w:rsidR="005C4252">
        <w:rPr>
          <w:rFonts w:asciiTheme="majorHAnsi" w:hAnsiTheme="majorHAnsi"/>
          <w:sz w:val="20"/>
          <w:szCs w:val="20"/>
          <w:lang w:val="es-MX"/>
        </w:rPr>
        <w:t>nueve</w:t>
      </w:r>
      <w:r>
        <w:rPr>
          <w:rFonts w:asciiTheme="majorHAnsi" w:hAnsiTheme="majorHAnsi"/>
          <w:sz w:val="20"/>
          <w:szCs w:val="20"/>
          <w:lang w:val="es-MX"/>
        </w:rPr>
        <w:t xml:space="preserve"> años y medio, desde la comparecencia hasta la decisión del recurso de apelación, y el segundo por el delito de subversión económica demoró más de 13 años, desde la presentación espontánea hasta la decisión de segunda instancia. </w:t>
      </w:r>
    </w:p>
    <w:p w14:paraId="04DFE7E5" w14:textId="77777777" w:rsidR="0057065F" w:rsidRDefault="0057065F" w:rsidP="00DB4D24">
      <w:pPr>
        <w:pStyle w:val="ListParagraph"/>
        <w:rPr>
          <w:rFonts w:asciiTheme="majorHAnsi" w:hAnsiTheme="majorHAnsi"/>
          <w:sz w:val="20"/>
          <w:szCs w:val="20"/>
          <w:lang w:val="es-MX"/>
        </w:rPr>
      </w:pPr>
    </w:p>
    <w:p w14:paraId="1CCFF118" w14:textId="77777777" w:rsidR="00F64796" w:rsidRDefault="0057065F"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Refirió que la ley que preveía el</w:t>
      </w:r>
      <w:r w:rsidR="00F64796" w:rsidRPr="0057065F">
        <w:rPr>
          <w:rFonts w:asciiTheme="majorHAnsi" w:hAnsiTheme="majorHAnsi"/>
          <w:sz w:val="20"/>
          <w:szCs w:val="20"/>
          <w:lang w:val="es-MX"/>
        </w:rPr>
        <w:t xml:space="preserve"> delito de monopolio y por la cual se condenó al señor Falanga, fue derogada por parte del mismo gobierno militar que la dictó, siendo reemplazada por otra ley más benigna, </w:t>
      </w:r>
      <w:r>
        <w:rPr>
          <w:rFonts w:asciiTheme="majorHAnsi" w:hAnsiTheme="majorHAnsi"/>
          <w:sz w:val="20"/>
          <w:szCs w:val="20"/>
          <w:lang w:val="es-MX"/>
        </w:rPr>
        <w:t>sin embargo</w:t>
      </w:r>
      <w:r w:rsidR="00154F14">
        <w:rPr>
          <w:rFonts w:asciiTheme="majorHAnsi" w:hAnsiTheme="majorHAnsi"/>
          <w:sz w:val="20"/>
          <w:szCs w:val="20"/>
          <w:lang w:val="es-MX"/>
        </w:rPr>
        <w:t>,</w:t>
      </w:r>
      <w:r w:rsidR="00AF0D15">
        <w:rPr>
          <w:rFonts w:asciiTheme="majorHAnsi" w:hAnsiTheme="majorHAnsi"/>
          <w:sz w:val="20"/>
          <w:szCs w:val="20"/>
          <w:lang w:val="es-MX"/>
        </w:rPr>
        <w:t xml:space="preserve"> ésta</w:t>
      </w:r>
      <w:r w:rsidR="00F64796" w:rsidRPr="0057065F">
        <w:rPr>
          <w:rFonts w:asciiTheme="majorHAnsi" w:hAnsiTheme="majorHAnsi"/>
          <w:sz w:val="20"/>
          <w:szCs w:val="20"/>
          <w:lang w:val="es-MX"/>
        </w:rPr>
        <w:t xml:space="preserve"> no se aplicó a favor de la </w:t>
      </w:r>
      <w:r>
        <w:rPr>
          <w:rFonts w:asciiTheme="majorHAnsi" w:hAnsiTheme="majorHAnsi"/>
          <w:sz w:val="20"/>
          <w:szCs w:val="20"/>
          <w:lang w:val="es-MX"/>
        </w:rPr>
        <w:t xml:space="preserve">presunta </w:t>
      </w:r>
      <w:r w:rsidR="00F64796" w:rsidRPr="0057065F">
        <w:rPr>
          <w:rFonts w:asciiTheme="majorHAnsi" w:hAnsiTheme="majorHAnsi"/>
          <w:sz w:val="20"/>
          <w:szCs w:val="20"/>
          <w:lang w:val="es-MX"/>
        </w:rPr>
        <w:t>víctima. Asimismo</w:t>
      </w:r>
      <w:r>
        <w:rPr>
          <w:rFonts w:asciiTheme="majorHAnsi" w:hAnsiTheme="majorHAnsi"/>
          <w:sz w:val="20"/>
          <w:szCs w:val="20"/>
          <w:lang w:val="es-MX"/>
        </w:rPr>
        <w:t>,</w:t>
      </w:r>
      <w:r w:rsidR="00F64796" w:rsidRPr="0057065F">
        <w:rPr>
          <w:rFonts w:asciiTheme="majorHAnsi" w:hAnsiTheme="majorHAnsi"/>
          <w:sz w:val="20"/>
          <w:szCs w:val="20"/>
          <w:lang w:val="es-MX"/>
        </w:rPr>
        <w:t xml:space="preserve"> </w:t>
      </w:r>
      <w:r>
        <w:rPr>
          <w:rFonts w:asciiTheme="majorHAnsi" w:hAnsiTheme="majorHAnsi"/>
          <w:sz w:val="20"/>
          <w:szCs w:val="20"/>
          <w:lang w:val="es-MX"/>
        </w:rPr>
        <w:t>refirió</w:t>
      </w:r>
      <w:r w:rsidR="00F64796" w:rsidRPr="0057065F">
        <w:rPr>
          <w:rFonts w:asciiTheme="majorHAnsi" w:hAnsiTheme="majorHAnsi"/>
          <w:sz w:val="20"/>
          <w:szCs w:val="20"/>
          <w:lang w:val="es-MX"/>
        </w:rPr>
        <w:t xml:space="preserve"> que en el año 2002, se despenalizó la conducta que configuraba el delito de subversión económica </w:t>
      </w:r>
      <w:r w:rsidR="008914E8">
        <w:rPr>
          <w:rFonts w:asciiTheme="majorHAnsi" w:hAnsiTheme="majorHAnsi"/>
          <w:sz w:val="20"/>
          <w:szCs w:val="20"/>
          <w:lang w:val="es-MX"/>
        </w:rPr>
        <w:t>por el cual se condenó a la presunta víctima.</w:t>
      </w:r>
    </w:p>
    <w:p w14:paraId="7060E255" w14:textId="77777777" w:rsidR="0057065F" w:rsidRDefault="0057065F" w:rsidP="00DB4D24">
      <w:pPr>
        <w:pStyle w:val="ListParagraph"/>
        <w:rPr>
          <w:rFonts w:asciiTheme="majorHAnsi" w:hAnsiTheme="majorHAnsi"/>
          <w:sz w:val="20"/>
          <w:szCs w:val="20"/>
          <w:lang w:val="es-MX"/>
        </w:rPr>
      </w:pPr>
    </w:p>
    <w:p w14:paraId="4FD7D50F" w14:textId="77777777" w:rsidR="0069764A" w:rsidRPr="00435547" w:rsidRDefault="0057065F"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En cuanto al derecho, argumentó la violaci</w:t>
      </w:r>
      <w:r w:rsidR="00435547">
        <w:rPr>
          <w:rFonts w:asciiTheme="majorHAnsi" w:hAnsiTheme="majorHAnsi"/>
          <w:sz w:val="20"/>
          <w:szCs w:val="20"/>
          <w:lang w:val="es-MX"/>
        </w:rPr>
        <w:t xml:space="preserve">ón de las </w:t>
      </w:r>
      <w:r w:rsidRPr="00623C68">
        <w:rPr>
          <w:rFonts w:asciiTheme="majorHAnsi" w:hAnsiTheme="majorHAnsi"/>
          <w:b/>
          <w:sz w:val="20"/>
          <w:szCs w:val="20"/>
          <w:lang w:val="es-MX"/>
        </w:rPr>
        <w:t>garant</w:t>
      </w:r>
      <w:r w:rsidR="00623C68" w:rsidRPr="00623C68">
        <w:rPr>
          <w:rFonts w:asciiTheme="majorHAnsi" w:hAnsiTheme="majorHAnsi"/>
          <w:b/>
          <w:sz w:val="20"/>
          <w:szCs w:val="20"/>
          <w:lang w:val="es-MX"/>
        </w:rPr>
        <w:t>ías judiciales</w:t>
      </w:r>
      <w:r w:rsidR="00FE1F48">
        <w:rPr>
          <w:rFonts w:asciiTheme="majorHAnsi" w:hAnsiTheme="majorHAnsi"/>
          <w:sz w:val="20"/>
          <w:szCs w:val="20"/>
          <w:lang w:val="es-MX"/>
        </w:rPr>
        <w:t xml:space="preserve">, </w:t>
      </w:r>
      <w:r w:rsidR="00FE1F48" w:rsidRPr="00FE1F48">
        <w:rPr>
          <w:rFonts w:asciiTheme="majorHAnsi" w:hAnsiTheme="majorHAnsi"/>
          <w:b/>
          <w:sz w:val="20"/>
          <w:szCs w:val="20"/>
          <w:lang w:val="es-MX"/>
        </w:rPr>
        <w:t>protección judicial</w:t>
      </w:r>
      <w:r w:rsidR="00FE1F48">
        <w:rPr>
          <w:rFonts w:asciiTheme="majorHAnsi" w:hAnsiTheme="majorHAnsi"/>
          <w:sz w:val="20"/>
          <w:szCs w:val="20"/>
          <w:lang w:val="es-MX"/>
        </w:rPr>
        <w:t xml:space="preserve"> </w:t>
      </w:r>
      <w:r w:rsidR="00623C68">
        <w:rPr>
          <w:rFonts w:asciiTheme="majorHAnsi" w:hAnsiTheme="majorHAnsi"/>
          <w:sz w:val="20"/>
          <w:szCs w:val="20"/>
          <w:lang w:val="es-MX"/>
        </w:rPr>
        <w:t xml:space="preserve">y </w:t>
      </w:r>
      <w:r w:rsidR="00623C68" w:rsidRPr="00623C68">
        <w:rPr>
          <w:rFonts w:asciiTheme="majorHAnsi" w:hAnsiTheme="majorHAnsi"/>
          <w:b/>
          <w:sz w:val="20"/>
          <w:szCs w:val="20"/>
          <w:lang w:val="es-MX"/>
        </w:rPr>
        <w:t>libertad personal</w:t>
      </w:r>
      <w:r w:rsidR="00623C68">
        <w:rPr>
          <w:rFonts w:asciiTheme="majorHAnsi" w:hAnsiTheme="majorHAnsi"/>
          <w:sz w:val="20"/>
          <w:szCs w:val="20"/>
          <w:lang w:val="es-MX"/>
        </w:rPr>
        <w:t xml:space="preserve">. </w:t>
      </w:r>
      <w:r w:rsidR="00623C68" w:rsidRPr="003D1C5C">
        <w:rPr>
          <w:rFonts w:asciiTheme="majorHAnsi" w:hAnsiTheme="majorHAnsi"/>
          <w:sz w:val="20"/>
          <w:szCs w:val="20"/>
          <w:lang w:val="es-MX"/>
        </w:rPr>
        <w:t>Con respecto a las garantías judiciales</w:t>
      </w:r>
      <w:r w:rsidR="0069764A">
        <w:rPr>
          <w:rFonts w:asciiTheme="majorHAnsi" w:hAnsiTheme="majorHAnsi"/>
          <w:sz w:val="20"/>
          <w:szCs w:val="20"/>
          <w:lang w:val="es-MX"/>
        </w:rPr>
        <w:t xml:space="preserve"> y protección judicial</w:t>
      </w:r>
      <w:r w:rsidR="00623C68" w:rsidRPr="003D1C5C">
        <w:rPr>
          <w:rFonts w:asciiTheme="majorHAnsi" w:hAnsiTheme="majorHAnsi"/>
          <w:sz w:val="20"/>
          <w:szCs w:val="20"/>
          <w:lang w:val="es-MX"/>
        </w:rPr>
        <w:t>, indic</w:t>
      </w:r>
      <w:r w:rsidR="003D1C5C">
        <w:rPr>
          <w:rFonts w:asciiTheme="majorHAnsi" w:hAnsiTheme="majorHAnsi"/>
          <w:sz w:val="20"/>
          <w:szCs w:val="20"/>
          <w:lang w:val="es-MX"/>
        </w:rPr>
        <w:t xml:space="preserve">ó </w:t>
      </w:r>
      <w:r w:rsidR="00F64796" w:rsidRPr="003D1C5C">
        <w:rPr>
          <w:rFonts w:asciiTheme="majorHAnsi" w:hAnsiTheme="majorHAnsi"/>
          <w:sz w:val="20"/>
          <w:szCs w:val="20"/>
          <w:lang w:val="es-MX"/>
        </w:rPr>
        <w:t xml:space="preserve">que las autoridades competentes no fueron diligentes en la tramitación del proceso seguido en contra del señor Falanga, habiéndose vulnerado el plazo razonable contenido en el artículo 8.1 de la Convención Americana, </w:t>
      </w:r>
      <w:r w:rsidR="003D1C5C">
        <w:rPr>
          <w:rFonts w:asciiTheme="majorHAnsi" w:hAnsiTheme="majorHAnsi"/>
          <w:sz w:val="20"/>
          <w:szCs w:val="20"/>
          <w:lang w:val="es-MX"/>
        </w:rPr>
        <w:t>debido su excesiva duración, la</w:t>
      </w:r>
      <w:r w:rsidR="00F64796" w:rsidRPr="003D1C5C">
        <w:rPr>
          <w:rFonts w:asciiTheme="majorHAnsi" w:hAnsiTheme="majorHAnsi"/>
          <w:sz w:val="20"/>
          <w:szCs w:val="20"/>
          <w:lang w:val="es-MX"/>
        </w:rPr>
        <w:t xml:space="preserve"> </w:t>
      </w:r>
      <w:r w:rsidR="003D1C5C">
        <w:rPr>
          <w:rFonts w:asciiTheme="majorHAnsi" w:hAnsiTheme="majorHAnsi"/>
          <w:sz w:val="20"/>
          <w:szCs w:val="20"/>
          <w:lang w:val="es-MX"/>
        </w:rPr>
        <w:t>cual, en su opinión</w:t>
      </w:r>
      <w:r w:rsidR="00FA22BE">
        <w:rPr>
          <w:rFonts w:asciiTheme="majorHAnsi" w:hAnsiTheme="majorHAnsi"/>
          <w:sz w:val="20"/>
          <w:szCs w:val="20"/>
          <w:lang w:val="es-MX"/>
        </w:rPr>
        <w:t>,</w:t>
      </w:r>
      <w:r w:rsidR="003D1C5C">
        <w:rPr>
          <w:rFonts w:asciiTheme="majorHAnsi" w:hAnsiTheme="majorHAnsi"/>
          <w:sz w:val="20"/>
          <w:szCs w:val="20"/>
          <w:lang w:val="es-MX"/>
        </w:rPr>
        <w:t xml:space="preserve"> no se encuentra justificada</w:t>
      </w:r>
      <w:r w:rsidR="00F64796" w:rsidRPr="003D1C5C">
        <w:rPr>
          <w:rFonts w:asciiTheme="majorHAnsi" w:hAnsiTheme="majorHAnsi"/>
          <w:sz w:val="20"/>
          <w:szCs w:val="20"/>
          <w:lang w:val="es-MX"/>
        </w:rPr>
        <w:t xml:space="preserve"> bajo l</w:t>
      </w:r>
      <w:r w:rsidR="00FA22BE">
        <w:rPr>
          <w:rFonts w:asciiTheme="majorHAnsi" w:hAnsiTheme="majorHAnsi"/>
          <w:sz w:val="20"/>
          <w:szCs w:val="20"/>
          <w:lang w:val="es-MX"/>
        </w:rPr>
        <w:t xml:space="preserve">os estándares </w:t>
      </w:r>
      <w:r w:rsidR="003D1C5C">
        <w:rPr>
          <w:rFonts w:asciiTheme="majorHAnsi" w:hAnsiTheme="majorHAnsi"/>
          <w:sz w:val="20"/>
          <w:szCs w:val="20"/>
          <w:lang w:val="es-MX"/>
        </w:rPr>
        <w:t>interamerican</w:t>
      </w:r>
      <w:r w:rsidR="00FA22BE">
        <w:rPr>
          <w:rFonts w:asciiTheme="majorHAnsi" w:hAnsiTheme="majorHAnsi"/>
          <w:sz w:val="20"/>
          <w:szCs w:val="20"/>
          <w:lang w:val="es-MX"/>
        </w:rPr>
        <w:t>os</w:t>
      </w:r>
      <w:r w:rsidR="003D1C5C">
        <w:rPr>
          <w:rFonts w:asciiTheme="majorHAnsi" w:hAnsiTheme="majorHAnsi"/>
          <w:sz w:val="20"/>
          <w:szCs w:val="20"/>
          <w:lang w:val="es-MX"/>
        </w:rPr>
        <w:t xml:space="preserve">. Refirió que </w:t>
      </w:r>
      <w:r w:rsidR="00F64796" w:rsidRPr="003D1C5C">
        <w:rPr>
          <w:rFonts w:asciiTheme="majorHAnsi" w:hAnsiTheme="majorHAnsi"/>
          <w:sz w:val="20"/>
          <w:szCs w:val="20"/>
          <w:lang w:val="es-MX"/>
        </w:rPr>
        <w:t xml:space="preserve">la Cámara Federal de Apelaciones de Mendoza indicó que </w:t>
      </w:r>
      <w:r w:rsidR="00F64796" w:rsidRPr="003D1C5C">
        <w:rPr>
          <w:rFonts w:asciiTheme="majorHAnsi" w:hAnsiTheme="majorHAnsi"/>
          <w:i/>
          <w:sz w:val="20"/>
          <w:szCs w:val="20"/>
          <w:lang w:val="es-MX"/>
        </w:rPr>
        <w:t>“</w:t>
      </w:r>
      <w:r w:rsidR="00F64796" w:rsidRPr="003D1C5C">
        <w:rPr>
          <w:rFonts w:asciiTheme="majorHAnsi" w:hAnsiTheme="majorHAnsi"/>
          <w:sz w:val="20"/>
          <w:szCs w:val="20"/>
          <w:lang w:val="es-MX"/>
        </w:rPr>
        <w:t xml:space="preserve">se estima como un reproche formalmente aceptable la hipótesis de violación del Pacto de San José de Costa Rica, con relación a la inusual duración del proceso judicial, desde su inicio hasta la condena”. </w:t>
      </w:r>
      <w:r w:rsidR="00396D9A">
        <w:rPr>
          <w:rFonts w:asciiTheme="majorHAnsi" w:hAnsiTheme="majorHAnsi"/>
          <w:sz w:val="20"/>
          <w:szCs w:val="20"/>
          <w:lang w:val="es-MX"/>
        </w:rPr>
        <w:t xml:space="preserve">Agregó </w:t>
      </w:r>
      <w:r w:rsidR="00B34E91">
        <w:rPr>
          <w:rFonts w:asciiTheme="majorHAnsi" w:hAnsiTheme="majorHAnsi"/>
          <w:sz w:val="20"/>
          <w:szCs w:val="20"/>
          <w:lang w:val="es-MX"/>
        </w:rPr>
        <w:t xml:space="preserve">que el sometimiento a un proceso penal por un plazo irrazonable también ocasionó una violación al principio de presunción de inocencia. </w:t>
      </w:r>
    </w:p>
    <w:p w14:paraId="261575CB" w14:textId="77777777" w:rsidR="003D1C5C" w:rsidRDefault="003D1C5C" w:rsidP="00DB4D24">
      <w:pPr>
        <w:pStyle w:val="ListParagraph"/>
        <w:rPr>
          <w:rFonts w:asciiTheme="majorHAnsi" w:hAnsiTheme="majorHAnsi"/>
          <w:sz w:val="20"/>
          <w:szCs w:val="20"/>
          <w:lang w:val="es-MX"/>
        </w:rPr>
      </w:pPr>
    </w:p>
    <w:p w14:paraId="2054C251" w14:textId="77777777" w:rsidR="008038B8" w:rsidRDefault="003D1C5C" w:rsidP="00397B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Con respecto a la </w:t>
      </w:r>
      <w:r w:rsidRPr="003D1C5C">
        <w:rPr>
          <w:rFonts w:asciiTheme="majorHAnsi" w:hAnsiTheme="majorHAnsi"/>
          <w:b/>
          <w:sz w:val="20"/>
          <w:szCs w:val="20"/>
          <w:lang w:val="es-MX"/>
        </w:rPr>
        <w:t>libertad personal</w:t>
      </w:r>
      <w:r>
        <w:rPr>
          <w:rFonts w:asciiTheme="majorHAnsi" w:hAnsiTheme="majorHAnsi"/>
          <w:sz w:val="20"/>
          <w:szCs w:val="20"/>
          <w:lang w:val="es-MX"/>
        </w:rPr>
        <w:t xml:space="preserve">, indicó que se vulneró dicho derecho por </w:t>
      </w:r>
      <w:r w:rsidR="0069764A">
        <w:rPr>
          <w:rFonts w:asciiTheme="majorHAnsi" w:hAnsiTheme="majorHAnsi"/>
          <w:sz w:val="20"/>
          <w:szCs w:val="20"/>
          <w:lang w:val="es-MX"/>
        </w:rPr>
        <w:t xml:space="preserve">las medidas restrictivas a la libertad ambulatoria de la presunta víctima, durante un lapso prolongado, las cuales afectaron su posibilidad de desplazarse en el interior y exterior del país. </w:t>
      </w:r>
      <w:r w:rsidR="001178E2">
        <w:rPr>
          <w:rFonts w:asciiTheme="majorHAnsi" w:hAnsiTheme="majorHAnsi"/>
          <w:sz w:val="20"/>
          <w:szCs w:val="20"/>
          <w:lang w:val="es-MX"/>
        </w:rPr>
        <w:t xml:space="preserve"> Expresó a este respecto que una restricción a la libertad, incluso estando excarcelado, que se prolonga injustificadamente, es equiparable a una verdadera pena anticipada. </w:t>
      </w:r>
    </w:p>
    <w:p w14:paraId="6EAF6188" w14:textId="77777777" w:rsidR="00BD4AB4" w:rsidRPr="00BA6AD9" w:rsidRDefault="00BD4AB4" w:rsidP="00DB4D24">
      <w:pPr>
        <w:jc w:val="both"/>
        <w:rPr>
          <w:rFonts w:asciiTheme="majorHAnsi" w:hAnsiTheme="majorHAnsi"/>
          <w:sz w:val="20"/>
          <w:szCs w:val="20"/>
          <w:lang w:val="es-MX"/>
        </w:rPr>
      </w:pPr>
    </w:p>
    <w:p w14:paraId="593DA2E1" w14:textId="77777777" w:rsidR="004623B3" w:rsidRPr="00397B14" w:rsidRDefault="004450C3" w:rsidP="00397B14">
      <w:pPr>
        <w:pStyle w:val="Heading2"/>
      </w:pPr>
      <w:bookmarkStart w:id="12" w:name="_Toc476142711"/>
      <w:bookmarkStart w:id="13" w:name="_Toc5369468"/>
      <w:bookmarkStart w:id="14" w:name="_Toc99959075"/>
      <w:r w:rsidRPr="00397B14">
        <w:t>Posición del Estado</w:t>
      </w:r>
      <w:bookmarkEnd w:id="12"/>
      <w:bookmarkEnd w:id="13"/>
      <w:bookmarkEnd w:id="14"/>
    </w:p>
    <w:p w14:paraId="2C9E70F9" w14:textId="77777777" w:rsidR="004623B3" w:rsidRPr="00BA6AD9" w:rsidRDefault="004623B3" w:rsidP="00DB4D24">
      <w:pPr>
        <w:rPr>
          <w:rFonts w:asciiTheme="majorHAnsi" w:hAnsiTheme="majorHAnsi"/>
          <w:sz w:val="20"/>
          <w:szCs w:val="20"/>
        </w:rPr>
      </w:pPr>
    </w:p>
    <w:p w14:paraId="5560D520" w14:textId="77777777" w:rsidR="00F64796" w:rsidRDefault="00F64796"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BA6AD9">
        <w:rPr>
          <w:rFonts w:asciiTheme="majorHAnsi" w:hAnsiTheme="majorHAnsi"/>
          <w:sz w:val="20"/>
          <w:szCs w:val="20"/>
          <w:lang w:val="es-MX"/>
        </w:rPr>
        <w:t xml:space="preserve">El Estado </w:t>
      </w:r>
      <w:r w:rsidR="00D43F25">
        <w:rPr>
          <w:rFonts w:asciiTheme="majorHAnsi" w:hAnsiTheme="majorHAnsi"/>
          <w:sz w:val="20"/>
          <w:szCs w:val="20"/>
          <w:lang w:val="es-MX"/>
        </w:rPr>
        <w:t xml:space="preserve">indicó que </w:t>
      </w:r>
      <w:r w:rsidR="00196D06">
        <w:rPr>
          <w:rFonts w:asciiTheme="majorHAnsi" w:hAnsiTheme="majorHAnsi"/>
          <w:sz w:val="20"/>
          <w:szCs w:val="20"/>
          <w:lang w:val="es-MX"/>
        </w:rPr>
        <w:t>el 31 de marzo de 1980 el Fiscal Federal de Apelaciones de Mendoza presentó una denuncia contra los directivos del grupo económico “Greco” por los delitos de monopolio y actividades de subversión económica.  Refirió que en el marco de dicha investigación se dispuso la detención de la presunta víctima y otras personas. Asimismo, el gobierno militar de facto mediante las leyes 22.229 y 22.334 dispuso la intervención de varias de las empresas del grupo económico “Greco”.</w:t>
      </w:r>
    </w:p>
    <w:p w14:paraId="7EDD1034" w14:textId="77777777" w:rsidR="008576A3" w:rsidRDefault="008576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01C38418" w14:textId="77777777" w:rsidR="00196D06" w:rsidRDefault="0086141F"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Los procesos penales fueron descritos por el Estado en términos similares a la parte peticionaria, con algunos detalles que se indican a continuación. </w:t>
      </w:r>
      <w:r w:rsidR="008576A3">
        <w:rPr>
          <w:rFonts w:asciiTheme="majorHAnsi" w:hAnsiTheme="majorHAnsi"/>
          <w:sz w:val="20"/>
          <w:szCs w:val="20"/>
          <w:lang w:val="es-MX"/>
        </w:rPr>
        <w:t>Refirió que en atención a dicho proceso, el señor Falanga se fugó del país, por lo que se dictó orden de captu</w:t>
      </w:r>
      <w:r w:rsidR="008038B8">
        <w:rPr>
          <w:rFonts w:asciiTheme="majorHAnsi" w:hAnsiTheme="majorHAnsi"/>
          <w:sz w:val="20"/>
          <w:szCs w:val="20"/>
          <w:lang w:val="es-MX"/>
        </w:rPr>
        <w:t xml:space="preserve">ra internacional en su contra. </w:t>
      </w:r>
      <w:r w:rsidR="008576A3">
        <w:rPr>
          <w:rFonts w:asciiTheme="majorHAnsi" w:hAnsiTheme="majorHAnsi"/>
          <w:sz w:val="20"/>
          <w:szCs w:val="20"/>
          <w:lang w:val="es-MX"/>
        </w:rPr>
        <w:t>Indicó que dicha situación se mantuvo por cinco años, hasta que el 11 de diciembre de 1985 la presunta víctima se presentó espontáneamente ante el Juez Federa</w:t>
      </w:r>
      <w:r w:rsidR="00E417E8">
        <w:rPr>
          <w:rFonts w:asciiTheme="majorHAnsi" w:hAnsiTheme="majorHAnsi"/>
          <w:sz w:val="20"/>
          <w:szCs w:val="20"/>
          <w:lang w:val="es-MX"/>
        </w:rPr>
        <w:t>l</w:t>
      </w:r>
      <w:r w:rsidR="008576A3">
        <w:rPr>
          <w:rFonts w:asciiTheme="majorHAnsi" w:hAnsiTheme="majorHAnsi"/>
          <w:sz w:val="20"/>
          <w:szCs w:val="20"/>
          <w:lang w:val="es-MX"/>
        </w:rPr>
        <w:t xml:space="preserve"> de Mendoza, el cual dictó prisión preventiva en su contra, que se mantuvo vigente hasta el 7 de abril de 1986, cuando le fue concedida la excarcelación.</w:t>
      </w:r>
    </w:p>
    <w:p w14:paraId="44AF4118" w14:textId="77777777" w:rsidR="008576A3" w:rsidRDefault="008576A3" w:rsidP="00DB4D24">
      <w:pPr>
        <w:pStyle w:val="ListParagraph"/>
        <w:rPr>
          <w:rFonts w:asciiTheme="majorHAnsi" w:hAnsiTheme="majorHAnsi"/>
          <w:sz w:val="20"/>
          <w:szCs w:val="20"/>
          <w:lang w:val="es-MX"/>
        </w:rPr>
      </w:pPr>
    </w:p>
    <w:p w14:paraId="12610E4A" w14:textId="77777777" w:rsidR="008576A3" w:rsidRDefault="008576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lastRenderedPageBreak/>
        <w:t>Indic</w:t>
      </w:r>
      <w:r w:rsidR="00CF31DF">
        <w:rPr>
          <w:rFonts w:asciiTheme="majorHAnsi" w:hAnsiTheme="majorHAnsi"/>
          <w:sz w:val="20"/>
          <w:szCs w:val="20"/>
          <w:lang w:val="es-MX"/>
        </w:rPr>
        <w:t>ó que el 19 de julio de 1988 el Fiscal formuló acusación formal contra el señor Falanga por el delito de monopolio, tomando en cuenta que e</w:t>
      </w:r>
      <w:r w:rsidR="008038B8">
        <w:rPr>
          <w:rFonts w:asciiTheme="majorHAnsi" w:hAnsiTheme="majorHAnsi"/>
          <w:sz w:val="20"/>
          <w:szCs w:val="20"/>
          <w:lang w:val="es-MX"/>
        </w:rPr>
        <w:t xml:space="preserve">ste en su calidad de contador, </w:t>
      </w:r>
      <w:r w:rsidR="00CF31DF">
        <w:rPr>
          <w:rFonts w:asciiTheme="majorHAnsi" w:hAnsiTheme="majorHAnsi"/>
          <w:sz w:val="20"/>
          <w:szCs w:val="20"/>
          <w:lang w:val="es-MX"/>
        </w:rPr>
        <w:t>manejaba las finanz</w:t>
      </w:r>
      <w:r w:rsidR="008038B8">
        <w:rPr>
          <w:rFonts w:asciiTheme="majorHAnsi" w:hAnsiTheme="majorHAnsi"/>
          <w:sz w:val="20"/>
          <w:szCs w:val="20"/>
          <w:lang w:val="es-MX"/>
        </w:rPr>
        <w:t xml:space="preserve">as del grupo Greco en Mendoza. </w:t>
      </w:r>
      <w:r w:rsidR="00CF31DF">
        <w:rPr>
          <w:rFonts w:asciiTheme="majorHAnsi" w:hAnsiTheme="majorHAnsi"/>
          <w:sz w:val="20"/>
          <w:szCs w:val="20"/>
          <w:lang w:val="es-MX"/>
        </w:rPr>
        <w:t xml:space="preserve">Expresó que según el Fiscal, la presunta víctima, desde el lugar que ocupaba, buscaba mediantes operaciones financieras con distintas empresas del </w:t>
      </w:r>
      <w:r w:rsidR="00555963">
        <w:rPr>
          <w:rFonts w:asciiTheme="majorHAnsi" w:hAnsiTheme="majorHAnsi"/>
          <w:sz w:val="20"/>
          <w:szCs w:val="20"/>
          <w:lang w:val="es-MX"/>
        </w:rPr>
        <w:t>g</w:t>
      </w:r>
      <w:r w:rsidR="00CF31DF">
        <w:rPr>
          <w:rFonts w:asciiTheme="majorHAnsi" w:hAnsiTheme="majorHAnsi"/>
          <w:sz w:val="20"/>
          <w:szCs w:val="20"/>
          <w:lang w:val="es-MX"/>
        </w:rPr>
        <w:t>rupo Greco, la distorsión de precios en el mercado interno del vino, y de ese modo anular la competencia de otras empresas.</w:t>
      </w:r>
    </w:p>
    <w:p w14:paraId="306DEBD3" w14:textId="77777777" w:rsidR="00CF31DF" w:rsidRDefault="00CF31DF" w:rsidP="00DB4D24">
      <w:pPr>
        <w:pStyle w:val="ListParagraph"/>
        <w:rPr>
          <w:rFonts w:asciiTheme="majorHAnsi" w:hAnsiTheme="majorHAnsi"/>
          <w:sz w:val="20"/>
          <w:szCs w:val="20"/>
          <w:lang w:val="es-MX"/>
        </w:rPr>
      </w:pPr>
    </w:p>
    <w:p w14:paraId="03FCC750" w14:textId="77777777" w:rsidR="00CF31DF" w:rsidRDefault="00B12A05"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Señaló </w:t>
      </w:r>
      <w:r w:rsidR="00CF31DF">
        <w:rPr>
          <w:rFonts w:asciiTheme="majorHAnsi" w:hAnsiTheme="majorHAnsi"/>
          <w:sz w:val="20"/>
          <w:szCs w:val="20"/>
          <w:lang w:val="es-MX"/>
        </w:rPr>
        <w:t xml:space="preserve">que el 17 de mayo de 1993 </w:t>
      </w:r>
      <w:r w:rsidR="002A0BF1">
        <w:rPr>
          <w:rFonts w:asciiTheme="majorHAnsi" w:hAnsiTheme="majorHAnsi"/>
          <w:sz w:val="20"/>
          <w:szCs w:val="20"/>
          <w:lang w:val="es-MX"/>
        </w:rPr>
        <w:t xml:space="preserve">el Juzgado Federal de Primera Instancia condenó a la presunta víctima a </w:t>
      </w:r>
      <w:r w:rsidR="00425AE1">
        <w:rPr>
          <w:rFonts w:asciiTheme="majorHAnsi" w:hAnsiTheme="majorHAnsi"/>
          <w:sz w:val="20"/>
          <w:szCs w:val="20"/>
          <w:lang w:val="es-MX"/>
        </w:rPr>
        <w:t>tres</w:t>
      </w:r>
      <w:r w:rsidR="002A0BF1">
        <w:rPr>
          <w:rFonts w:asciiTheme="majorHAnsi" w:hAnsiTheme="majorHAnsi"/>
          <w:sz w:val="20"/>
          <w:szCs w:val="20"/>
          <w:lang w:val="es-MX"/>
        </w:rPr>
        <w:t xml:space="preserve"> años de pena privativa de libertad en suspensión, inhabilitación especial para ejercer el comercio por tres años, y al pago de una multa, por encontrarlo culpab</w:t>
      </w:r>
      <w:r w:rsidR="00B23A21">
        <w:rPr>
          <w:rFonts w:asciiTheme="majorHAnsi" w:hAnsiTheme="majorHAnsi"/>
          <w:sz w:val="20"/>
          <w:szCs w:val="20"/>
          <w:lang w:val="es-MX"/>
        </w:rPr>
        <w:t xml:space="preserve">le por el delito de monopolio. </w:t>
      </w:r>
      <w:r w:rsidR="002A0BF1">
        <w:rPr>
          <w:rFonts w:asciiTheme="majorHAnsi" w:hAnsiTheme="majorHAnsi"/>
          <w:sz w:val="20"/>
          <w:szCs w:val="20"/>
          <w:lang w:val="es-MX"/>
        </w:rPr>
        <w:t xml:space="preserve">Refirió que dicha sentencia fue modificada el 7 de noviembre de 1995 </w:t>
      </w:r>
      <w:r w:rsidR="00C512C1">
        <w:rPr>
          <w:rFonts w:asciiTheme="majorHAnsi" w:hAnsiTheme="majorHAnsi"/>
          <w:sz w:val="20"/>
          <w:szCs w:val="20"/>
          <w:lang w:val="es-MX"/>
        </w:rPr>
        <w:t>por la Cámara Federal de Apelaciones de Mendoza, la cual atenuó la pena privativa de libertad a un año y seis meses, pero confirmó las penas de inhabilitación especial y multa.</w:t>
      </w:r>
    </w:p>
    <w:p w14:paraId="1376EA62" w14:textId="77777777" w:rsidR="00C512C1" w:rsidRDefault="00C512C1" w:rsidP="00DB4D24">
      <w:pPr>
        <w:pStyle w:val="ListParagraph"/>
        <w:rPr>
          <w:rFonts w:asciiTheme="majorHAnsi" w:hAnsiTheme="majorHAnsi"/>
          <w:sz w:val="20"/>
          <w:szCs w:val="20"/>
          <w:lang w:val="es-MX"/>
        </w:rPr>
      </w:pPr>
    </w:p>
    <w:p w14:paraId="540A6C6B" w14:textId="77777777" w:rsidR="00C512C1" w:rsidRDefault="00C512C1"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Expresó que paralelamente al proceso anterior, se llevó a cabo otro proceso contra la presunta víctima por el delito de subversión económica. Indicó que el 17 de febrero de 1997 el señor Falanga fue condenado a la pena privativa de libertad de tres años, inhabilitación y multa. Refirió que el Ministerio Público apeló tal decisión y el 17 de marzo de 1999 la Cámara Federal de Apelaciones aumentó la pena a cuatro años de prisión. </w:t>
      </w:r>
    </w:p>
    <w:p w14:paraId="2EEE3544" w14:textId="77777777" w:rsidR="00C512C1" w:rsidRDefault="00C512C1" w:rsidP="00DB4D24">
      <w:pPr>
        <w:pStyle w:val="ListParagraph"/>
        <w:rPr>
          <w:rFonts w:asciiTheme="majorHAnsi" w:hAnsiTheme="majorHAnsi"/>
          <w:sz w:val="20"/>
          <w:szCs w:val="20"/>
          <w:lang w:val="es-MX"/>
        </w:rPr>
      </w:pPr>
    </w:p>
    <w:p w14:paraId="037E36DE" w14:textId="77777777" w:rsidR="00C512C1" w:rsidRDefault="00C512C1"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Alegó que en el marco de este último proceso, la Cámara Federal procedió a unificar las dos condenas contra el señor Falanga </w:t>
      </w:r>
      <w:r w:rsidR="00015DD8">
        <w:rPr>
          <w:rFonts w:asciiTheme="majorHAnsi" w:hAnsiTheme="majorHAnsi"/>
          <w:sz w:val="20"/>
          <w:szCs w:val="20"/>
          <w:lang w:val="es-MX"/>
        </w:rPr>
        <w:t xml:space="preserve">y le impuso la pena de </w:t>
      </w:r>
      <w:r w:rsidR="00873753">
        <w:rPr>
          <w:rFonts w:asciiTheme="majorHAnsi" w:hAnsiTheme="majorHAnsi"/>
          <w:sz w:val="20"/>
          <w:szCs w:val="20"/>
          <w:lang w:val="es-MX"/>
        </w:rPr>
        <w:t>cuatro</w:t>
      </w:r>
      <w:r w:rsidR="00015DD8">
        <w:rPr>
          <w:rFonts w:asciiTheme="majorHAnsi" w:hAnsiTheme="majorHAnsi"/>
          <w:sz w:val="20"/>
          <w:szCs w:val="20"/>
          <w:lang w:val="es-MX"/>
        </w:rPr>
        <w:t xml:space="preserve"> años y </w:t>
      </w:r>
      <w:r w:rsidR="00873753">
        <w:rPr>
          <w:rFonts w:asciiTheme="majorHAnsi" w:hAnsiTheme="majorHAnsi"/>
          <w:sz w:val="20"/>
          <w:szCs w:val="20"/>
          <w:lang w:val="es-MX"/>
        </w:rPr>
        <w:t>seis</w:t>
      </w:r>
      <w:r w:rsidR="00015DD8">
        <w:rPr>
          <w:rFonts w:asciiTheme="majorHAnsi" w:hAnsiTheme="majorHAnsi"/>
          <w:sz w:val="20"/>
          <w:szCs w:val="20"/>
          <w:lang w:val="es-MX"/>
        </w:rPr>
        <w:t xml:space="preserve"> meses de prisión, cinco años de inhabilitación especial para el ejercicio del co</w:t>
      </w:r>
      <w:r w:rsidR="00B23A21">
        <w:rPr>
          <w:rFonts w:asciiTheme="majorHAnsi" w:hAnsiTheme="majorHAnsi"/>
          <w:sz w:val="20"/>
          <w:szCs w:val="20"/>
          <w:lang w:val="es-MX"/>
        </w:rPr>
        <w:t xml:space="preserve">mercio y el pago de una multa. </w:t>
      </w:r>
      <w:r w:rsidR="00015DD8">
        <w:rPr>
          <w:rFonts w:asciiTheme="majorHAnsi" w:hAnsiTheme="majorHAnsi"/>
          <w:sz w:val="20"/>
          <w:szCs w:val="20"/>
          <w:lang w:val="es-MX"/>
        </w:rPr>
        <w:t>Refirió que dicho órgano sentenció que la pena impuesta debía ser de efectivo cumplimiento, como consecuencia de la condición de prófugo de la presunta víctima durante un largo periodo de tiempo. En virtud de ello, dejó sin efecto la excarcelación de la presunta víctima y ordenó su inmediata detención.</w:t>
      </w:r>
    </w:p>
    <w:p w14:paraId="1C0B88DD" w14:textId="77777777" w:rsidR="00015DD8" w:rsidRDefault="00015DD8" w:rsidP="00DB4D24">
      <w:pPr>
        <w:pStyle w:val="ListParagraph"/>
        <w:rPr>
          <w:rFonts w:asciiTheme="majorHAnsi" w:hAnsiTheme="majorHAnsi"/>
          <w:sz w:val="20"/>
          <w:szCs w:val="20"/>
          <w:lang w:val="es-MX"/>
        </w:rPr>
      </w:pPr>
    </w:p>
    <w:p w14:paraId="018E5231" w14:textId="77777777" w:rsidR="00015DD8" w:rsidRDefault="00015DD8"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Refirió que la presunta víctima estuvo detenida hasta el 5 de noviembre de 1999 cuando la Cámara Federal de Mendoza concedió la excarcelación</w:t>
      </w:r>
      <w:r w:rsidR="00112D05">
        <w:rPr>
          <w:rFonts w:asciiTheme="majorHAnsi" w:hAnsiTheme="majorHAnsi"/>
          <w:sz w:val="20"/>
          <w:szCs w:val="20"/>
          <w:lang w:val="es-MX"/>
        </w:rPr>
        <w:t xml:space="preserve">, </w:t>
      </w:r>
      <w:r>
        <w:rPr>
          <w:rFonts w:asciiTheme="majorHAnsi" w:hAnsiTheme="majorHAnsi"/>
          <w:sz w:val="20"/>
          <w:szCs w:val="20"/>
          <w:lang w:val="es-MX"/>
        </w:rPr>
        <w:t>al entender el efe</w:t>
      </w:r>
      <w:r w:rsidR="00112D05">
        <w:rPr>
          <w:rFonts w:asciiTheme="majorHAnsi" w:hAnsiTheme="majorHAnsi"/>
          <w:sz w:val="20"/>
          <w:szCs w:val="20"/>
          <w:lang w:val="es-MX"/>
        </w:rPr>
        <w:t>ct</w:t>
      </w:r>
      <w:r>
        <w:rPr>
          <w:rFonts w:asciiTheme="majorHAnsi" w:hAnsiTheme="majorHAnsi"/>
          <w:sz w:val="20"/>
          <w:szCs w:val="20"/>
          <w:lang w:val="es-MX"/>
        </w:rPr>
        <w:t>o suspensivo de la ejecución de la pena privativa de libertad en virtud de la concesión de un recurso extraordinario pendiente de resolución por parte de la Corte Sup</w:t>
      </w:r>
      <w:r w:rsidR="00B23A21">
        <w:rPr>
          <w:rFonts w:asciiTheme="majorHAnsi" w:hAnsiTheme="majorHAnsi"/>
          <w:sz w:val="20"/>
          <w:szCs w:val="20"/>
          <w:lang w:val="es-MX"/>
        </w:rPr>
        <w:t xml:space="preserve">rema de Justicia de la Nación. </w:t>
      </w:r>
      <w:r w:rsidR="00C95ABA">
        <w:rPr>
          <w:rFonts w:asciiTheme="majorHAnsi" w:hAnsiTheme="majorHAnsi"/>
          <w:sz w:val="20"/>
          <w:szCs w:val="20"/>
          <w:lang w:val="es-MX"/>
        </w:rPr>
        <w:t>Indicó</w:t>
      </w:r>
      <w:r>
        <w:rPr>
          <w:rFonts w:asciiTheme="majorHAnsi" w:hAnsiTheme="majorHAnsi"/>
          <w:sz w:val="20"/>
          <w:szCs w:val="20"/>
          <w:lang w:val="es-MX"/>
        </w:rPr>
        <w:t xml:space="preserve"> que dicho recurso fue </w:t>
      </w:r>
      <w:r w:rsidR="00C95ABA">
        <w:rPr>
          <w:rFonts w:asciiTheme="majorHAnsi" w:hAnsiTheme="majorHAnsi"/>
          <w:sz w:val="20"/>
          <w:szCs w:val="20"/>
          <w:lang w:val="es-MX"/>
        </w:rPr>
        <w:t>rechazado por la Corte Suprema el 20 de febrero de 2001, por lo cual la condena quedó en firme.</w:t>
      </w:r>
    </w:p>
    <w:p w14:paraId="4BF3D55A" w14:textId="77777777" w:rsidR="00C95ABA" w:rsidRDefault="00C95ABA" w:rsidP="00DB4D24">
      <w:pPr>
        <w:pStyle w:val="ListParagraph"/>
        <w:rPr>
          <w:rFonts w:asciiTheme="majorHAnsi" w:hAnsiTheme="majorHAnsi"/>
          <w:sz w:val="20"/>
          <w:szCs w:val="20"/>
          <w:lang w:val="es-MX"/>
        </w:rPr>
      </w:pPr>
    </w:p>
    <w:p w14:paraId="644CB656" w14:textId="77777777" w:rsidR="00C95ABA" w:rsidRDefault="00B23A21"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Expres</w:t>
      </w:r>
      <w:r w:rsidR="00C95ABA">
        <w:rPr>
          <w:rFonts w:asciiTheme="majorHAnsi" w:hAnsiTheme="majorHAnsi"/>
          <w:sz w:val="20"/>
          <w:szCs w:val="20"/>
          <w:lang w:val="es-MX"/>
        </w:rPr>
        <w:t xml:space="preserve">ó que </w:t>
      </w:r>
      <w:r w:rsidR="00316357">
        <w:rPr>
          <w:rFonts w:asciiTheme="majorHAnsi" w:hAnsiTheme="majorHAnsi"/>
          <w:sz w:val="20"/>
          <w:szCs w:val="20"/>
          <w:lang w:val="es-MX"/>
        </w:rPr>
        <w:t xml:space="preserve">tras el rechazo del recurso, el 27 de marzo de 2001 la presunta víctima interpuso una acción de habeas corpus ante el Juzgado Federal de Mendoza, con el objeto de impedir la ejecución de la pena en su contra, y solicitó la declaración de inconstitucionalidad de cualquier disposición futura que ordenara la ejecución de la sentencia. </w:t>
      </w:r>
    </w:p>
    <w:p w14:paraId="6DFBE1F9" w14:textId="77777777" w:rsidR="00316357" w:rsidRDefault="00316357" w:rsidP="00DB4D24">
      <w:pPr>
        <w:pStyle w:val="ListParagraph"/>
        <w:rPr>
          <w:rFonts w:asciiTheme="majorHAnsi" w:hAnsiTheme="majorHAnsi"/>
          <w:sz w:val="20"/>
          <w:szCs w:val="20"/>
          <w:lang w:val="es-MX"/>
        </w:rPr>
      </w:pPr>
    </w:p>
    <w:p w14:paraId="7318FA66" w14:textId="77777777" w:rsidR="00316357" w:rsidRDefault="00F42C59"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Agregó que e</w:t>
      </w:r>
      <w:r w:rsidR="00316357">
        <w:rPr>
          <w:rFonts w:asciiTheme="majorHAnsi" w:hAnsiTheme="majorHAnsi"/>
          <w:sz w:val="20"/>
          <w:szCs w:val="20"/>
          <w:lang w:val="es-MX"/>
        </w:rPr>
        <w:t xml:space="preserve">l 24 de abril de 2001 el Juzgado Federal declaró con lugar la inconstitucionalidad de la detención y encarcelamiento de la presunta víctima, por considerar que resultaba contraria a la Constitución </w:t>
      </w:r>
      <w:r w:rsidR="00CE2470">
        <w:rPr>
          <w:rFonts w:asciiTheme="majorHAnsi" w:hAnsiTheme="majorHAnsi"/>
          <w:sz w:val="20"/>
          <w:szCs w:val="20"/>
          <w:lang w:val="es-MX"/>
        </w:rPr>
        <w:t>e instrumentos internacionales</w:t>
      </w:r>
      <w:r w:rsidR="00316357">
        <w:rPr>
          <w:rFonts w:asciiTheme="majorHAnsi" w:hAnsiTheme="majorHAnsi"/>
          <w:sz w:val="20"/>
          <w:szCs w:val="20"/>
          <w:lang w:val="es-MX"/>
        </w:rPr>
        <w:t xml:space="preserve">. </w:t>
      </w:r>
      <w:r w:rsidR="00287347">
        <w:rPr>
          <w:rFonts w:asciiTheme="majorHAnsi" w:hAnsiTheme="majorHAnsi"/>
          <w:sz w:val="20"/>
          <w:szCs w:val="20"/>
          <w:lang w:val="es-MX"/>
        </w:rPr>
        <w:t xml:space="preserve">Refirió que el Ministerio Público presentó un recurso de apelación el cual fue denegado por la Cámara Federal. Igualmente, interpuso un recurso extraordinario federal, el cual fue rechazado por la Corte Suprema de Justicia de la Nación el 5 de septiembre de 2006. </w:t>
      </w:r>
    </w:p>
    <w:p w14:paraId="204B1F75" w14:textId="77777777" w:rsidR="00B34E91" w:rsidRDefault="00B34E91" w:rsidP="00DB4D24">
      <w:pPr>
        <w:pStyle w:val="ListParagraph"/>
        <w:rPr>
          <w:rFonts w:asciiTheme="majorHAnsi" w:hAnsiTheme="majorHAnsi"/>
          <w:sz w:val="20"/>
          <w:szCs w:val="20"/>
          <w:lang w:val="es-MX"/>
        </w:rPr>
      </w:pPr>
    </w:p>
    <w:p w14:paraId="7D027D7A" w14:textId="77777777" w:rsidR="00B34E91" w:rsidRPr="00FE1F48" w:rsidRDefault="00B34E91"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b/>
          <w:sz w:val="20"/>
          <w:szCs w:val="20"/>
          <w:lang w:val="es-MX"/>
        </w:rPr>
      </w:pPr>
      <w:r>
        <w:rPr>
          <w:rFonts w:asciiTheme="majorHAnsi" w:hAnsiTheme="majorHAnsi"/>
          <w:sz w:val="20"/>
          <w:szCs w:val="20"/>
          <w:lang w:val="es-MX"/>
        </w:rPr>
        <w:t xml:space="preserve">En cuanto al derecho, argumentó que no es responsable por la violación de los derechos a las </w:t>
      </w:r>
      <w:r w:rsidRPr="00B23A21">
        <w:rPr>
          <w:rFonts w:asciiTheme="majorHAnsi" w:hAnsiTheme="majorHAnsi"/>
          <w:b/>
          <w:sz w:val="20"/>
          <w:szCs w:val="20"/>
          <w:lang w:val="es-MX"/>
        </w:rPr>
        <w:t>garantías</w:t>
      </w:r>
      <w:r w:rsidRPr="003C08FB">
        <w:rPr>
          <w:rFonts w:asciiTheme="majorHAnsi" w:hAnsiTheme="majorHAnsi"/>
          <w:b/>
          <w:sz w:val="20"/>
          <w:szCs w:val="20"/>
          <w:lang w:val="es-MX"/>
        </w:rPr>
        <w:t xml:space="preserve"> judiciales y libertad personal. </w:t>
      </w:r>
      <w:r w:rsidR="003C08FB">
        <w:rPr>
          <w:rFonts w:asciiTheme="majorHAnsi" w:hAnsiTheme="majorHAnsi"/>
          <w:b/>
          <w:sz w:val="20"/>
          <w:szCs w:val="20"/>
          <w:lang w:val="es-MX"/>
        </w:rPr>
        <w:t xml:space="preserve"> </w:t>
      </w:r>
      <w:r w:rsidR="003C08FB">
        <w:rPr>
          <w:rFonts w:asciiTheme="majorHAnsi" w:hAnsiTheme="majorHAnsi"/>
          <w:sz w:val="20"/>
          <w:szCs w:val="20"/>
          <w:lang w:val="es-MX"/>
        </w:rPr>
        <w:t>Al respecto</w:t>
      </w:r>
      <w:r w:rsidR="00B23A21">
        <w:rPr>
          <w:rFonts w:asciiTheme="majorHAnsi" w:hAnsiTheme="majorHAnsi"/>
          <w:sz w:val="20"/>
          <w:szCs w:val="20"/>
          <w:lang w:val="es-MX"/>
        </w:rPr>
        <w:t>,</w:t>
      </w:r>
      <w:r w:rsidR="003C08FB">
        <w:rPr>
          <w:rFonts w:asciiTheme="majorHAnsi" w:hAnsiTheme="majorHAnsi"/>
          <w:sz w:val="20"/>
          <w:szCs w:val="20"/>
          <w:lang w:val="es-MX"/>
        </w:rPr>
        <w:t xml:space="preserve"> argumentó que los alegatos de la presunta víctima han devenido abstractos tomando en cuenta que obtuvo su excarcelación en noviembre de 1999 luego que la Cámara Federal de Mendoza determinó que se violó la Convención Americana por la duración del proceso. Además le fue concedida la acción de habeas corpus, en</w:t>
      </w:r>
      <w:r w:rsidR="00464E09">
        <w:rPr>
          <w:rFonts w:asciiTheme="majorHAnsi" w:hAnsiTheme="majorHAnsi"/>
          <w:sz w:val="20"/>
          <w:szCs w:val="20"/>
          <w:lang w:val="es-MX"/>
        </w:rPr>
        <w:t xml:space="preserve"> cuya decisión se </w:t>
      </w:r>
      <w:r w:rsidR="003C08FB">
        <w:rPr>
          <w:rFonts w:asciiTheme="majorHAnsi" w:hAnsiTheme="majorHAnsi"/>
          <w:sz w:val="20"/>
          <w:szCs w:val="20"/>
          <w:lang w:val="es-MX"/>
        </w:rPr>
        <w:t>declaró la inconstitucionalidad de su detenció</w:t>
      </w:r>
      <w:r w:rsidR="00FE1F48">
        <w:rPr>
          <w:rFonts w:asciiTheme="majorHAnsi" w:hAnsiTheme="majorHAnsi"/>
          <w:sz w:val="20"/>
          <w:szCs w:val="20"/>
          <w:lang w:val="es-MX"/>
        </w:rPr>
        <w:t>n, por l</w:t>
      </w:r>
      <w:r w:rsidR="003C08FB">
        <w:rPr>
          <w:rFonts w:asciiTheme="majorHAnsi" w:hAnsiTheme="majorHAnsi"/>
          <w:sz w:val="20"/>
          <w:szCs w:val="20"/>
          <w:lang w:val="es-MX"/>
        </w:rPr>
        <w:t>o</w:t>
      </w:r>
      <w:r w:rsidR="00FE1F48">
        <w:rPr>
          <w:rFonts w:asciiTheme="majorHAnsi" w:hAnsiTheme="majorHAnsi"/>
          <w:sz w:val="20"/>
          <w:szCs w:val="20"/>
          <w:lang w:val="es-MX"/>
        </w:rPr>
        <w:t xml:space="preserve"> </w:t>
      </w:r>
      <w:r w:rsidR="003C08FB">
        <w:rPr>
          <w:rFonts w:asciiTheme="majorHAnsi" w:hAnsiTheme="majorHAnsi"/>
          <w:sz w:val="20"/>
          <w:szCs w:val="20"/>
          <w:lang w:val="es-MX"/>
        </w:rPr>
        <w:t>que la pena privativa</w:t>
      </w:r>
      <w:r w:rsidR="00B23A21">
        <w:rPr>
          <w:rFonts w:asciiTheme="majorHAnsi" w:hAnsiTheme="majorHAnsi"/>
          <w:sz w:val="20"/>
          <w:szCs w:val="20"/>
          <w:lang w:val="es-MX"/>
        </w:rPr>
        <w:t xml:space="preserve"> de libertad no fue ejecutada. </w:t>
      </w:r>
      <w:r w:rsidR="00FE1F48">
        <w:rPr>
          <w:rFonts w:asciiTheme="majorHAnsi" w:hAnsiTheme="majorHAnsi"/>
          <w:sz w:val="20"/>
          <w:szCs w:val="20"/>
          <w:lang w:val="es-MX"/>
        </w:rPr>
        <w:t xml:space="preserve">Por otra parte, argumentó que la presunta víctima tuvo un acceso efectivo a la justicia y un defensor oficial de calidad, el cual promovió las apelaciones correspondientes. </w:t>
      </w:r>
      <w:r w:rsidR="003C08FB">
        <w:rPr>
          <w:rFonts w:asciiTheme="majorHAnsi" w:hAnsiTheme="majorHAnsi"/>
          <w:sz w:val="20"/>
          <w:szCs w:val="20"/>
          <w:lang w:val="es-MX"/>
        </w:rPr>
        <w:t xml:space="preserve"> </w:t>
      </w:r>
    </w:p>
    <w:p w14:paraId="6394B771" w14:textId="77777777" w:rsidR="00FE1F48" w:rsidRDefault="00FE1F48" w:rsidP="00DB4D24">
      <w:pPr>
        <w:pStyle w:val="ListParagraph"/>
        <w:rPr>
          <w:rFonts w:asciiTheme="majorHAnsi" w:hAnsiTheme="majorHAnsi"/>
          <w:b/>
          <w:sz w:val="20"/>
          <w:szCs w:val="20"/>
          <w:lang w:val="es-MX"/>
        </w:rPr>
      </w:pPr>
    </w:p>
    <w:p w14:paraId="5B4E4949" w14:textId="77777777" w:rsidR="00AA635F" w:rsidRPr="00AA635F" w:rsidRDefault="00FE1F48"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b/>
          <w:sz w:val="20"/>
          <w:szCs w:val="20"/>
          <w:lang w:val="es-MX"/>
        </w:rPr>
      </w:pPr>
      <w:r w:rsidRPr="00FE1F48">
        <w:rPr>
          <w:rFonts w:asciiTheme="majorHAnsi" w:hAnsiTheme="majorHAnsi"/>
          <w:sz w:val="20"/>
          <w:szCs w:val="20"/>
          <w:lang w:val="es-MX"/>
        </w:rPr>
        <w:t>Con respecto</w:t>
      </w:r>
      <w:r>
        <w:rPr>
          <w:rFonts w:asciiTheme="majorHAnsi" w:hAnsiTheme="majorHAnsi"/>
          <w:b/>
          <w:sz w:val="20"/>
          <w:szCs w:val="20"/>
          <w:lang w:val="es-MX"/>
        </w:rPr>
        <w:t xml:space="preserve"> </w:t>
      </w:r>
      <w:r w:rsidRPr="00FE1F48">
        <w:rPr>
          <w:rFonts w:asciiTheme="majorHAnsi" w:hAnsiTheme="majorHAnsi"/>
          <w:sz w:val="20"/>
          <w:szCs w:val="20"/>
          <w:lang w:val="es-MX"/>
        </w:rPr>
        <w:t>a la</w:t>
      </w:r>
      <w:r>
        <w:rPr>
          <w:rFonts w:asciiTheme="majorHAnsi" w:hAnsiTheme="majorHAnsi"/>
          <w:b/>
          <w:sz w:val="20"/>
          <w:szCs w:val="20"/>
          <w:lang w:val="es-MX"/>
        </w:rPr>
        <w:t xml:space="preserve"> protección judicial</w:t>
      </w:r>
      <w:r w:rsidRPr="00FE1F48">
        <w:rPr>
          <w:rFonts w:asciiTheme="majorHAnsi" w:hAnsiTheme="majorHAnsi"/>
          <w:sz w:val="20"/>
          <w:szCs w:val="20"/>
          <w:lang w:val="es-MX"/>
        </w:rPr>
        <w:t xml:space="preserve">, indicó </w:t>
      </w:r>
      <w:r w:rsidRPr="004D3689">
        <w:rPr>
          <w:rFonts w:asciiTheme="majorHAnsi" w:hAnsiTheme="majorHAnsi"/>
          <w:sz w:val="20"/>
          <w:szCs w:val="20"/>
          <w:lang w:val="es-MX"/>
        </w:rPr>
        <w:t xml:space="preserve">que </w:t>
      </w:r>
      <w:r w:rsidR="00CC6F7F" w:rsidRPr="004D3689">
        <w:rPr>
          <w:rFonts w:asciiTheme="majorHAnsi" w:hAnsiTheme="majorHAnsi"/>
          <w:sz w:val="20"/>
          <w:szCs w:val="20"/>
          <w:lang w:val="es-MX"/>
        </w:rPr>
        <w:t>no se configuró una violación a tal derecho</w:t>
      </w:r>
      <w:r w:rsidR="00CC6F7F">
        <w:rPr>
          <w:rFonts w:asciiTheme="majorHAnsi" w:hAnsiTheme="majorHAnsi"/>
          <w:b/>
          <w:sz w:val="20"/>
          <w:szCs w:val="20"/>
          <w:lang w:val="es-MX"/>
        </w:rPr>
        <w:t xml:space="preserve"> </w:t>
      </w:r>
      <w:r w:rsidR="00CC6F7F" w:rsidRPr="00CC6F7F">
        <w:rPr>
          <w:rFonts w:asciiTheme="majorHAnsi" w:hAnsiTheme="majorHAnsi"/>
          <w:sz w:val="20"/>
          <w:szCs w:val="20"/>
          <w:lang w:val="es-MX"/>
        </w:rPr>
        <w:t>tomando en cuenta que la presunta víctima tuvo acceso a los recursos de la jurisdicción interna, como el habe</w:t>
      </w:r>
      <w:r w:rsidR="00CC6F7F">
        <w:rPr>
          <w:rFonts w:asciiTheme="majorHAnsi" w:hAnsiTheme="majorHAnsi"/>
          <w:sz w:val="20"/>
          <w:szCs w:val="20"/>
          <w:lang w:val="es-MX"/>
        </w:rPr>
        <w:t>a</w:t>
      </w:r>
      <w:r w:rsidR="00CC6F7F" w:rsidRPr="00CC6F7F">
        <w:rPr>
          <w:rFonts w:asciiTheme="majorHAnsi" w:hAnsiTheme="majorHAnsi"/>
          <w:sz w:val="20"/>
          <w:szCs w:val="20"/>
          <w:lang w:val="es-MX"/>
        </w:rPr>
        <w:t>s corpus, el cual produjo el efecto de declarar inconstitucional la pena que le fue impuesta.</w:t>
      </w:r>
      <w:r w:rsidR="00CC6F7F">
        <w:rPr>
          <w:rFonts w:asciiTheme="majorHAnsi" w:hAnsiTheme="majorHAnsi"/>
          <w:b/>
          <w:sz w:val="20"/>
          <w:szCs w:val="20"/>
          <w:lang w:val="es-MX"/>
        </w:rPr>
        <w:t xml:space="preserve">  </w:t>
      </w:r>
      <w:r w:rsidR="00CC6F7F" w:rsidRPr="004D3689">
        <w:rPr>
          <w:rFonts w:asciiTheme="majorHAnsi" w:hAnsiTheme="majorHAnsi"/>
          <w:sz w:val="20"/>
          <w:szCs w:val="20"/>
          <w:lang w:val="es-MX"/>
        </w:rPr>
        <w:t>Además, la presunta víctima ten</w:t>
      </w:r>
      <w:r w:rsidR="004D3689" w:rsidRPr="004D3689">
        <w:rPr>
          <w:rFonts w:asciiTheme="majorHAnsi" w:hAnsiTheme="majorHAnsi"/>
          <w:sz w:val="20"/>
          <w:szCs w:val="20"/>
          <w:lang w:val="es-MX"/>
        </w:rPr>
        <w:t>ía a su disposición en sede interna, la acción civil de daños y perjuicios</w:t>
      </w:r>
      <w:r w:rsidR="004D3689">
        <w:rPr>
          <w:rFonts w:asciiTheme="majorHAnsi" w:hAnsiTheme="majorHAnsi"/>
          <w:b/>
          <w:sz w:val="20"/>
          <w:szCs w:val="20"/>
          <w:lang w:val="es-MX"/>
        </w:rPr>
        <w:t xml:space="preserve"> </w:t>
      </w:r>
      <w:r w:rsidR="004D3689" w:rsidRPr="004D3689">
        <w:rPr>
          <w:rFonts w:asciiTheme="majorHAnsi" w:hAnsiTheme="majorHAnsi"/>
          <w:sz w:val="20"/>
          <w:szCs w:val="20"/>
          <w:lang w:val="es-MX"/>
        </w:rPr>
        <w:t xml:space="preserve">para obtener una reparación </w:t>
      </w:r>
      <w:r w:rsidR="004D3689" w:rsidRPr="004D3689">
        <w:rPr>
          <w:rFonts w:asciiTheme="majorHAnsi" w:hAnsiTheme="majorHAnsi"/>
          <w:sz w:val="20"/>
          <w:szCs w:val="20"/>
          <w:lang w:val="es-MX"/>
        </w:rPr>
        <w:lastRenderedPageBreak/>
        <w:t>económica por los perjuicios que le hubiera ocasionado la extensión irrazonable del proceso penal seguido en su contra.</w:t>
      </w:r>
    </w:p>
    <w:p w14:paraId="655E4A30" w14:textId="77777777" w:rsidR="00435547" w:rsidRPr="008914E8" w:rsidRDefault="004D3689" w:rsidP="00AA63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b/>
          <w:sz w:val="20"/>
          <w:szCs w:val="20"/>
          <w:lang w:val="es-MX"/>
        </w:rPr>
      </w:pPr>
      <w:r>
        <w:rPr>
          <w:rFonts w:asciiTheme="majorHAnsi" w:hAnsiTheme="majorHAnsi"/>
          <w:b/>
          <w:sz w:val="20"/>
          <w:szCs w:val="20"/>
          <w:lang w:val="es-MX"/>
        </w:rPr>
        <w:t xml:space="preserve"> </w:t>
      </w:r>
    </w:p>
    <w:p w14:paraId="6D50F704" w14:textId="77777777" w:rsidR="00BA6AD9" w:rsidRDefault="008914E8" w:rsidP="00DB4D24">
      <w:pPr>
        <w:pStyle w:val="Heading1"/>
        <w:spacing w:before="0"/>
        <w:ind w:left="540" w:hanging="540"/>
        <w:rPr>
          <w:rFonts w:eastAsia="Times New Roman"/>
          <w:color w:val="auto"/>
          <w:sz w:val="20"/>
          <w:szCs w:val="20"/>
          <w:bdr w:val="none" w:sz="0" w:space="0" w:color="auto" w:frame="1"/>
          <w:lang w:val="es-ES_tradnl"/>
        </w:rPr>
      </w:pPr>
      <w:bookmarkStart w:id="15" w:name="_Toc5369469"/>
      <w:bookmarkStart w:id="16" w:name="_Toc99959076"/>
      <w:r w:rsidRPr="008914E8">
        <w:rPr>
          <w:rFonts w:eastAsia="Times New Roman"/>
          <w:color w:val="auto"/>
          <w:sz w:val="20"/>
          <w:szCs w:val="20"/>
          <w:bdr w:val="none" w:sz="0" w:space="0" w:color="auto" w:frame="1"/>
          <w:lang w:val="es-ES_tradnl"/>
        </w:rPr>
        <w:t>DETER</w:t>
      </w:r>
      <w:r>
        <w:rPr>
          <w:rFonts w:eastAsia="Times New Roman"/>
          <w:color w:val="auto"/>
          <w:sz w:val="20"/>
          <w:szCs w:val="20"/>
          <w:bdr w:val="none" w:sz="0" w:space="0" w:color="auto" w:frame="1"/>
          <w:lang w:val="es-ES_tradnl"/>
        </w:rPr>
        <w:t>MINACIONES DE HECHO</w:t>
      </w:r>
      <w:bookmarkStart w:id="17" w:name="_Toc423514424"/>
      <w:bookmarkStart w:id="18" w:name="_Toc441166736"/>
      <w:bookmarkStart w:id="19" w:name="_Toc476142728"/>
      <w:bookmarkEnd w:id="15"/>
      <w:bookmarkEnd w:id="16"/>
    </w:p>
    <w:p w14:paraId="56213DA7" w14:textId="77777777" w:rsidR="00AA635F" w:rsidRPr="00AA635F" w:rsidRDefault="00AA635F" w:rsidP="00AA635F">
      <w:pPr>
        <w:rPr>
          <w:lang w:val="es-ES_tradnl"/>
        </w:rPr>
      </w:pPr>
    </w:p>
    <w:p w14:paraId="54470A68" w14:textId="77777777" w:rsidR="002603E4" w:rsidRPr="00397B14" w:rsidRDefault="009B4396" w:rsidP="008C1E87">
      <w:pPr>
        <w:pStyle w:val="Heading2"/>
        <w:numPr>
          <w:ilvl w:val="0"/>
          <w:numId w:val="59"/>
        </w:numPr>
        <w:ind w:left="720"/>
      </w:pPr>
      <w:bookmarkStart w:id="20" w:name="_Toc5369470"/>
      <w:bookmarkStart w:id="21" w:name="_Toc99959077"/>
      <w:r w:rsidRPr="00397B14">
        <w:t>Marco Normativo Relevante</w:t>
      </w:r>
      <w:bookmarkEnd w:id="20"/>
      <w:bookmarkEnd w:id="21"/>
    </w:p>
    <w:p w14:paraId="44671059" w14:textId="77777777" w:rsidR="00B23A21" w:rsidRDefault="00B23A21" w:rsidP="00DB4D24">
      <w:pPr>
        <w:rPr>
          <w:lang w:val="es-MX"/>
        </w:rPr>
      </w:pPr>
    </w:p>
    <w:p w14:paraId="40EAF4A2" w14:textId="77777777" w:rsidR="00864217" w:rsidRDefault="00864217"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La presunta víctima fue procesada por los delitos de monopolio y subversión económica previstos respectivamente en las Leyes 12.906 y 20.840.</w:t>
      </w:r>
    </w:p>
    <w:p w14:paraId="10B7BD93" w14:textId="77777777" w:rsidR="00864217" w:rsidRDefault="00864217"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73F07841" w14:textId="77777777" w:rsidR="00752F1E" w:rsidRDefault="00864217"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La Ley 12.906 establec</w:t>
      </w:r>
      <w:r w:rsidR="00752F1E">
        <w:rPr>
          <w:rFonts w:asciiTheme="majorHAnsi" w:hAnsiTheme="majorHAnsi"/>
          <w:sz w:val="20"/>
          <w:szCs w:val="20"/>
          <w:lang w:val="es-MX"/>
        </w:rPr>
        <w:t xml:space="preserve">ía </w:t>
      </w:r>
      <w:r w:rsidR="00BB4DDD">
        <w:rPr>
          <w:rFonts w:asciiTheme="majorHAnsi" w:hAnsiTheme="majorHAnsi"/>
          <w:sz w:val="20"/>
          <w:szCs w:val="20"/>
          <w:lang w:val="es-MX"/>
        </w:rPr>
        <w:t>en lo pertinente:</w:t>
      </w:r>
    </w:p>
    <w:p w14:paraId="6B425D3B" w14:textId="77777777" w:rsidR="00BD4AB4" w:rsidRDefault="00BD4AB4" w:rsidP="00BD4AB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right="702"/>
        <w:jc w:val="both"/>
        <w:rPr>
          <w:rFonts w:asciiTheme="majorHAnsi" w:eastAsia="Cambria" w:hAnsiTheme="majorHAnsi" w:cs="Cambria"/>
          <w:color w:val="000000"/>
          <w:sz w:val="20"/>
          <w:szCs w:val="20"/>
          <w:u w:color="000000"/>
          <w:lang w:val="es-MX" w:eastAsia="es-ES"/>
        </w:rPr>
      </w:pPr>
    </w:p>
    <w:p w14:paraId="6BFF97F1" w14:textId="77777777" w:rsidR="00864217" w:rsidRPr="00EA5249" w:rsidRDefault="00BB4DDD"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MX"/>
        </w:rPr>
      </w:pPr>
      <w:r w:rsidRPr="00EA5249">
        <w:rPr>
          <w:rFonts w:asciiTheme="majorHAnsi" w:hAnsiTheme="majorHAnsi"/>
          <w:sz w:val="18"/>
          <w:szCs w:val="18"/>
          <w:lang w:val="es-ES"/>
        </w:rPr>
        <w:t xml:space="preserve">Artículo 1. </w:t>
      </w:r>
      <w:r w:rsidR="00752F1E" w:rsidRPr="00EA5249">
        <w:rPr>
          <w:rFonts w:asciiTheme="majorHAnsi" w:hAnsiTheme="majorHAnsi"/>
          <w:sz w:val="18"/>
          <w:szCs w:val="18"/>
          <w:lang w:val="es-ES"/>
        </w:rPr>
        <w:t>El que participare por sí o por interpósita persona en consorcio, pacto, coalición, combinación, amalgama o fusión de capitales tendientes a establecer o sostener el monopolio y lucrar con él, en una o más ramas de la industria, del transporte terrestre, aéreo, fluvial o marítimo, o del comercio interior o exterior, en todo el territorio nacional o en uno o más lugares del mismo, incurrirá en las sanciones de la presente ley por el sólo hecho de la participación.</w:t>
      </w:r>
      <w:r w:rsidR="00864217" w:rsidRPr="00EA5249">
        <w:rPr>
          <w:rFonts w:asciiTheme="majorHAnsi" w:hAnsiTheme="majorHAnsi"/>
          <w:sz w:val="18"/>
          <w:szCs w:val="18"/>
          <w:lang w:val="es-MX"/>
        </w:rPr>
        <w:t xml:space="preserve"> </w:t>
      </w:r>
    </w:p>
    <w:p w14:paraId="4774EDF7" w14:textId="77777777" w:rsidR="00BD4AB4" w:rsidRPr="00EA5249" w:rsidRDefault="00BD4AB4"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MX"/>
        </w:rPr>
      </w:pPr>
    </w:p>
    <w:p w14:paraId="6BD9E87B" w14:textId="77777777" w:rsidR="00BB4DDD" w:rsidRPr="00EA5249" w:rsidRDefault="00BB4DDD"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MX"/>
        </w:rPr>
      </w:pPr>
      <w:r w:rsidRPr="00EA5249">
        <w:rPr>
          <w:rFonts w:asciiTheme="majorHAnsi" w:hAnsiTheme="majorHAnsi"/>
          <w:sz w:val="18"/>
          <w:szCs w:val="18"/>
          <w:lang w:val="es-MX"/>
        </w:rPr>
        <w:t>Artículo 2. Considéranse especialmente actos de monopolio o tendientes a él, a los fines de las sanciones de esta ley:</w:t>
      </w:r>
    </w:p>
    <w:p w14:paraId="21B8A907" w14:textId="77777777" w:rsidR="00BD4AB4" w:rsidRPr="00EA5249" w:rsidRDefault="00BD4AB4"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MX"/>
        </w:rPr>
      </w:pPr>
    </w:p>
    <w:p w14:paraId="44392C36" w14:textId="77777777" w:rsidR="00BB4DDD" w:rsidRPr="00EA5249" w:rsidRDefault="00BB4DDD"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MX"/>
        </w:rPr>
      </w:pPr>
      <w:r w:rsidRPr="00EA5249">
        <w:rPr>
          <w:rFonts w:asciiTheme="majorHAnsi" w:hAnsiTheme="majorHAnsi"/>
          <w:sz w:val="18"/>
          <w:szCs w:val="18"/>
          <w:lang w:val="es-MX"/>
        </w:rPr>
        <w:t>(…) l) la intervenci</w:t>
      </w:r>
      <w:r w:rsidR="00792FDA" w:rsidRPr="00EA5249">
        <w:rPr>
          <w:rFonts w:asciiTheme="majorHAnsi" w:hAnsiTheme="majorHAnsi"/>
          <w:sz w:val="18"/>
          <w:szCs w:val="18"/>
          <w:lang w:val="es-MX"/>
        </w:rPr>
        <w:t xml:space="preserve">ón de la misma persona </w:t>
      </w:r>
      <w:r w:rsidRPr="00EA5249">
        <w:rPr>
          <w:rFonts w:asciiTheme="majorHAnsi" w:hAnsiTheme="majorHAnsi"/>
          <w:sz w:val="18"/>
          <w:szCs w:val="18"/>
          <w:lang w:val="es-MX"/>
        </w:rPr>
        <w:t xml:space="preserve">física o ideal, en funciones de dirección, gerencia o administración de diferentes compañías o sociedades, o administración o gerencia de una y dirección de otro u otras, cuando esta vinculación pueda conducir al monopolio, </w:t>
      </w:r>
      <w:r w:rsidR="00792FDA" w:rsidRPr="00EA5249">
        <w:rPr>
          <w:rFonts w:asciiTheme="majorHAnsi" w:hAnsiTheme="majorHAnsi"/>
          <w:sz w:val="18"/>
          <w:szCs w:val="18"/>
          <w:lang w:val="es-MX"/>
        </w:rPr>
        <w:t>a la restricción o supresión de la competencia o a la eliminación de precios de competencia leal para los consumidores o usuarios</w:t>
      </w:r>
      <w:r w:rsidR="00176A5B" w:rsidRPr="00EA5249">
        <w:rPr>
          <w:rFonts w:asciiTheme="majorHAnsi" w:hAnsiTheme="majorHAnsi"/>
          <w:sz w:val="18"/>
          <w:szCs w:val="18"/>
          <w:lang w:val="es-MX"/>
        </w:rPr>
        <w:t>.</w:t>
      </w:r>
    </w:p>
    <w:p w14:paraId="6061F612" w14:textId="77777777" w:rsidR="00792FDA" w:rsidRPr="00EA5249" w:rsidRDefault="00792FDA"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MX"/>
        </w:rPr>
      </w:pPr>
      <w:r w:rsidRPr="00EA5249">
        <w:rPr>
          <w:rFonts w:asciiTheme="majorHAnsi" w:hAnsiTheme="majorHAnsi"/>
          <w:sz w:val="18"/>
          <w:szCs w:val="18"/>
          <w:lang w:val="es-MX"/>
        </w:rPr>
        <w:t xml:space="preserve"> </w:t>
      </w:r>
    </w:p>
    <w:p w14:paraId="292A044E" w14:textId="77777777" w:rsidR="00792FDA" w:rsidRPr="00EA5249" w:rsidRDefault="00792FDA"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MX"/>
        </w:rPr>
      </w:pPr>
      <w:r w:rsidRPr="00EA5249">
        <w:rPr>
          <w:rFonts w:asciiTheme="majorHAnsi" w:hAnsiTheme="majorHAnsi"/>
          <w:sz w:val="18"/>
          <w:szCs w:val="18"/>
          <w:lang w:val="es-MX"/>
        </w:rPr>
        <w:t>m) la adquisición directa o indirecta que una persona física o ideal realice de todo o parte de las acciones o cuotas de capital de otra persona ideal, cuando esa adquisición tenga por objeto construir un monopolio, restringir o suprimir la competencia o eliminar los precios de competencia leal para los consumidores o usuarios</w:t>
      </w:r>
      <w:r w:rsidR="00B63BBB" w:rsidRPr="00EA5249">
        <w:rPr>
          <w:rStyle w:val="FootnoteReference"/>
          <w:rFonts w:asciiTheme="majorHAnsi" w:hAnsiTheme="majorHAnsi"/>
          <w:sz w:val="18"/>
          <w:szCs w:val="18"/>
          <w:lang w:val="es-MX"/>
        </w:rPr>
        <w:footnoteReference w:id="3"/>
      </w:r>
      <w:r w:rsidRPr="00EA5249">
        <w:rPr>
          <w:rFonts w:asciiTheme="majorHAnsi" w:hAnsiTheme="majorHAnsi"/>
          <w:sz w:val="18"/>
          <w:szCs w:val="18"/>
          <w:lang w:val="es-MX"/>
        </w:rPr>
        <w:t xml:space="preserve">. </w:t>
      </w:r>
    </w:p>
    <w:p w14:paraId="4BF3F02A" w14:textId="77777777" w:rsidR="00864217" w:rsidRPr="00176A5B" w:rsidRDefault="00864217" w:rsidP="00DB4D24">
      <w:pPr>
        <w:rPr>
          <w:rFonts w:asciiTheme="majorHAnsi" w:hAnsiTheme="majorHAnsi"/>
          <w:sz w:val="20"/>
          <w:szCs w:val="20"/>
          <w:lang w:val="es-MX"/>
        </w:rPr>
      </w:pPr>
    </w:p>
    <w:p w14:paraId="68514E34" w14:textId="77777777" w:rsidR="009901FF" w:rsidRDefault="00864217"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Dicha Ley fue derogada por la Ley 22.262 de 1 de agosto de 1980.</w:t>
      </w:r>
      <w:r w:rsidR="004A69D5">
        <w:rPr>
          <w:rFonts w:asciiTheme="majorHAnsi" w:hAnsiTheme="majorHAnsi"/>
          <w:sz w:val="20"/>
          <w:szCs w:val="20"/>
          <w:lang w:val="es-MX"/>
        </w:rPr>
        <w:t xml:space="preserve"> </w:t>
      </w:r>
      <w:r w:rsidR="009901FF">
        <w:rPr>
          <w:rFonts w:asciiTheme="majorHAnsi" w:hAnsiTheme="majorHAnsi"/>
          <w:sz w:val="20"/>
          <w:szCs w:val="20"/>
          <w:lang w:val="es-MX"/>
        </w:rPr>
        <w:t xml:space="preserve"> La </w:t>
      </w:r>
      <w:r w:rsidR="00F72C33">
        <w:rPr>
          <w:rFonts w:asciiTheme="majorHAnsi" w:hAnsiTheme="majorHAnsi"/>
          <w:sz w:val="20"/>
          <w:szCs w:val="20"/>
          <w:lang w:val="es-MX"/>
        </w:rPr>
        <w:t>L</w:t>
      </w:r>
      <w:r w:rsidR="009901FF">
        <w:rPr>
          <w:rFonts w:asciiTheme="majorHAnsi" w:hAnsiTheme="majorHAnsi"/>
          <w:sz w:val="20"/>
          <w:szCs w:val="20"/>
          <w:lang w:val="es-MX"/>
        </w:rPr>
        <w:t>ey 22.262 establecía en lo relevante para el presente caso:</w:t>
      </w:r>
    </w:p>
    <w:p w14:paraId="1231FDA8" w14:textId="77777777" w:rsidR="009901FF" w:rsidRDefault="009901FF"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22DCC490" w14:textId="77777777" w:rsidR="009901FF" w:rsidRPr="00EA5249" w:rsidRDefault="009901FF"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Artículo 1. Están prohibidos y serán sancionados de conformidad con las normas de la presente ley, los actos o conductas relacionados con la producción e intercambio de bienes o servicios, que limiten, restrinjan o distorsionen la competencia o que constituyan abuso de una posición dominante en un mercado, de modo que pueda resultar perjuicio para el interés económico general.</w:t>
      </w:r>
    </w:p>
    <w:p w14:paraId="0A6D9A70" w14:textId="77777777" w:rsidR="009901FF" w:rsidRPr="00EA5249" w:rsidRDefault="009901FF"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29CA7129" w14:textId="77777777" w:rsidR="009901FF" w:rsidRPr="00EA5249" w:rsidRDefault="009901FF"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Artículo 2. A los efectos de esta ley se entiende:</w:t>
      </w:r>
    </w:p>
    <w:p w14:paraId="56640DC1" w14:textId="77777777" w:rsidR="009901FF" w:rsidRPr="00EA5249" w:rsidRDefault="009901FF"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5770997A" w14:textId="77777777" w:rsidR="009901FF" w:rsidRPr="00EA5249" w:rsidRDefault="009901FF"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a) Que una persona goza de una posición dominante en un mercado cuando para un determinado tipo de producto o servicio es la única oferente o demandante dentro del mercado nacional, o cuando sin ser la única, no está expuesta a una competencia sustancial.</w:t>
      </w:r>
    </w:p>
    <w:p w14:paraId="15BCBA89" w14:textId="77777777" w:rsidR="009901FF" w:rsidRPr="00EA5249" w:rsidRDefault="009901FF"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044CCBC0" w14:textId="77777777" w:rsidR="009901FF" w:rsidRPr="00EA5249" w:rsidRDefault="009901FF"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b) Que dos o más personas gozan de posición dominante en un mercado cuando para un determinado tipo de producto o servicio no existe competencia efectiva entre ellas, o sustancial por parte de terceros, en todo el mercado nacional o en una parte de él</w:t>
      </w:r>
      <w:r w:rsidR="00176A5B" w:rsidRPr="00EA5249">
        <w:rPr>
          <w:sz w:val="18"/>
          <w:szCs w:val="18"/>
          <w:lang w:val="es-ES"/>
        </w:rPr>
        <w:footnoteReference w:id="4"/>
      </w:r>
      <w:r w:rsidRPr="00EA5249">
        <w:rPr>
          <w:rFonts w:asciiTheme="majorHAnsi" w:hAnsiTheme="majorHAnsi"/>
          <w:sz w:val="18"/>
          <w:szCs w:val="18"/>
          <w:lang w:val="es-ES"/>
        </w:rPr>
        <w:t>.</w:t>
      </w:r>
    </w:p>
    <w:p w14:paraId="11313E26" w14:textId="77777777" w:rsidR="00176A5B" w:rsidRPr="00EA5249" w:rsidRDefault="00176A5B"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2929F087" w14:textId="77777777" w:rsidR="00176A5B" w:rsidRPr="00EA5249" w:rsidRDefault="00176A5B"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xml:space="preserve">Artículo 46. Derógase la Ley 12.906. Las causas en trámite, en sede administrativa o judicial, a la fecha de entrada en vigencia de la presente ley, continuarán sujetas a la Ley 12.906. </w:t>
      </w:r>
    </w:p>
    <w:p w14:paraId="48FD31C6" w14:textId="77777777" w:rsidR="00176A5B" w:rsidRPr="009901FF" w:rsidRDefault="00176A5B"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VE"/>
        </w:rPr>
      </w:pPr>
    </w:p>
    <w:p w14:paraId="346B64C1" w14:textId="77777777" w:rsidR="00864217" w:rsidRDefault="00864217"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864217">
        <w:rPr>
          <w:rFonts w:asciiTheme="majorHAnsi" w:hAnsiTheme="majorHAnsi"/>
          <w:sz w:val="20"/>
          <w:szCs w:val="20"/>
          <w:lang w:val="es-MX"/>
        </w:rPr>
        <w:t xml:space="preserve">Por su parte, la Ley 20.840 establecía en su artículo 6 </w:t>
      </w:r>
      <w:r w:rsidR="00105CFE">
        <w:rPr>
          <w:rFonts w:asciiTheme="majorHAnsi" w:hAnsiTheme="majorHAnsi"/>
          <w:sz w:val="20"/>
          <w:szCs w:val="20"/>
          <w:lang w:val="es-MX"/>
        </w:rPr>
        <w:t xml:space="preserve">el delito de subversión económica en los siguientes términos: </w:t>
      </w:r>
    </w:p>
    <w:p w14:paraId="17050234" w14:textId="77777777" w:rsidR="00864217" w:rsidRDefault="00864217"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3632404F" w14:textId="77777777" w:rsidR="006535EF" w:rsidRPr="00EA5249" w:rsidRDefault="00792FDA"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xml:space="preserve">Artículo 6. </w:t>
      </w:r>
      <w:r w:rsidR="00864217" w:rsidRPr="00EA5249">
        <w:rPr>
          <w:rFonts w:asciiTheme="majorHAnsi" w:hAnsiTheme="majorHAnsi"/>
          <w:sz w:val="18"/>
          <w:szCs w:val="18"/>
          <w:lang w:val="es-ES"/>
        </w:rPr>
        <w:t xml:space="preserve">Será reprimido con prisión de dos a seis años y multa de setenta y cinco mil a cinco millones de pesos, si no resultare un delito más severamente penado, el que, con ánimo de lucro o maliciosamente, con riesgo para </w:t>
      </w:r>
      <w:r w:rsidR="00864217" w:rsidRPr="00EA5249">
        <w:rPr>
          <w:rFonts w:asciiTheme="majorHAnsi" w:hAnsiTheme="majorHAnsi"/>
          <w:sz w:val="18"/>
          <w:szCs w:val="18"/>
          <w:lang w:val="es-ES"/>
        </w:rPr>
        <w:lastRenderedPageBreak/>
        <w:t>el normal desenvolvimiento de un establecimiento o explotación comercial, industrial, agropecuaria, minero o destinado a la prestación de servicios, enajenare indebidamente, destruyere, dañare, hiciere desaparecer, ocultare o fraudulentamente disminuyere el valor de materias primas, productos de cualquier naturaleza, máquinas, equipos u otros bienes de capital, o comprometiere injustificadamente su patri</w:t>
      </w:r>
      <w:r w:rsidR="006535EF" w:rsidRPr="00EA5249">
        <w:rPr>
          <w:rFonts w:asciiTheme="majorHAnsi" w:hAnsiTheme="majorHAnsi"/>
          <w:sz w:val="18"/>
          <w:szCs w:val="18"/>
          <w:lang w:val="es-ES"/>
        </w:rPr>
        <w:t>monio</w:t>
      </w:r>
      <w:r w:rsidR="004B7596" w:rsidRPr="00EA5249">
        <w:rPr>
          <w:rFonts w:asciiTheme="majorHAnsi" w:hAnsiTheme="majorHAnsi"/>
          <w:sz w:val="18"/>
          <w:szCs w:val="18"/>
          <w:lang w:val="es-ES"/>
        </w:rPr>
        <w:t xml:space="preserve"> </w:t>
      </w:r>
      <w:r w:rsidR="006535EF" w:rsidRPr="00EA5249">
        <w:rPr>
          <w:rFonts w:asciiTheme="majorHAnsi" w:hAnsiTheme="majorHAnsi"/>
          <w:sz w:val="18"/>
          <w:szCs w:val="18"/>
          <w:lang w:val="es-ES"/>
        </w:rPr>
        <w:t>(…)</w:t>
      </w:r>
      <w:r w:rsidR="006535EF" w:rsidRPr="00EA5249">
        <w:rPr>
          <w:sz w:val="18"/>
          <w:szCs w:val="18"/>
          <w:lang w:val="es-ES"/>
        </w:rPr>
        <w:footnoteReference w:id="5"/>
      </w:r>
      <w:r w:rsidR="006535EF" w:rsidRPr="00EA5249">
        <w:rPr>
          <w:rFonts w:asciiTheme="majorHAnsi" w:hAnsiTheme="majorHAnsi"/>
          <w:sz w:val="18"/>
          <w:szCs w:val="18"/>
          <w:lang w:val="es-ES"/>
        </w:rPr>
        <w:t>.</w:t>
      </w:r>
    </w:p>
    <w:p w14:paraId="40D9F21D" w14:textId="77777777" w:rsidR="00A45AA5" w:rsidRPr="00B23895" w:rsidRDefault="00A45AA5"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olor w:val="000000"/>
          <w:sz w:val="20"/>
          <w:szCs w:val="20"/>
          <w:lang w:val="es-ES"/>
        </w:rPr>
      </w:pPr>
    </w:p>
    <w:p w14:paraId="042A0D18" w14:textId="77777777" w:rsidR="00BA6AD9" w:rsidRPr="00397B14" w:rsidRDefault="00000A19" w:rsidP="00397B14">
      <w:pPr>
        <w:pStyle w:val="Heading2"/>
      </w:pPr>
      <w:bookmarkStart w:id="22" w:name="_Toc5369471"/>
      <w:bookmarkStart w:id="23" w:name="_Toc99959078"/>
      <w:r w:rsidRPr="00397B14">
        <w:t>Proceso penal por el delito de monopolio</w:t>
      </w:r>
      <w:bookmarkEnd w:id="22"/>
      <w:bookmarkEnd w:id="23"/>
    </w:p>
    <w:p w14:paraId="5C44FAEE" w14:textId="77777777" w:rsidR="002603E4" w:rsidRDefault="002603E4"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5D5B528D" w14:textId="77777777" w:rsidR="002603E4" w:rsidRDefault="006D19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2603E4">
        <w:rPr>
          <w:rFonts w:asciiTheme="majorHAnsi" w:hAnsiTheme="majorHAnsi"/>
          <w:sz w:val="20"/>
          <w:szCs w:val="20"/>
          <w:lang w:val="es-MX"/>
        </w:rPr>
        <w:t>El 5 de octubre de 1987 el Banco Central de la República Argentina presentó querella en contra de la presunta víctima, argumentando que “el imputado desplegaba un papel protagónico esencial en la conducción del grupo económico con el necesario y suficiente poder de decisión, y con el consecuente conocimiento de las acciones desplegadas (…) la calificación del hecho imputado a Falanga encuadra claramente en el art. 6 de la ley 20.840, figura dolosa de subversión económica  (…)</w:t>
      </w:r>
      <w:r w:rsidR="00E41D93" w:rsidRPr="00884EAC">
        <w:rPr>
          <w:rFonts w:asciiTheme="majorHAnsi" w:hAnsiTheme="majorHAnsi"/>
          <w:sz w:val="20"/>
          <w:szCs w:val="20"/>
          <w:lang w:val="es-CO"/>
        </w:rPr>
        <w:t>”</w:t>
      </w:r>
      <w:r>
        <w:rPr>
          <w:rStyle w:val="FootnoteReference"/>
          <w:rFonts w:asciiTheme="majorHAnsi" w:hAnsiTheme="majorHAnsi"/>
          <w:sz w:val="20"/>
          <w:szCs w:val="20"/>
          <w:lang w:val="es-MX"/>
        </w:rPr>
        <w:footnoteReference w:id="6"/>
      </w:r>
      <w:r w:rsidRPr="002603E4">
        <w:rPr>
          <w:rFonts w:asciiTheme="majorHAnsi" w:hAnsiTheme="majorHAnsi"/>
          <w:sz w:val="20"/>
          <w:szCs w:val="20"/>
          <w:lang w:val="es-MX"/>
        </w:rPr>
        <w:t>.</w:t>
      </w:r>
      <w:r w:rsidR="00820C3B">
        <w:rPr>
          <w:rFonts w:asciiTheme="majorHAnsi" w:hAnsiTheme="majorHAnsi"/>
          <w:sz w:val="20"/>
          <w:szCs w:val="20"/>
          <w:lang w:val="es-MX"/>
        </w:rPr>
        <w:t xml:space="preserve"> De la información descrita por las partes surge que ya desde abril de 1980 se había dado inicio a la investigación tanto por el delito de subversión económica – que se describirá más adelante en el presente informe – como por el delito de monopolio, que se describe en esta sección.  </w:t>
      </w:r>
    </w:p>
    <w:p w14:paraId="137AE01D" w14:textId="77777777" w:rsidR="002603E4" w:rsidRDefault="002603E4"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6BF479CC" w14:textId="77777777" w:rsidR="006D19A3" w:rsidRDefault="006D19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2603E4">
        <w:rPr>
          <w:rFonts w:asciiTheme="majorHAnsi" w:hAnsiTheme="majorHAnsi"/>
          <w:sz w:val="20"/>
          <w:szCs w:val="20"/>
          <w:lang w:val="es-MX"/>
        </w:rPr>
        <w:t>El 19 de julio de 1988 el Procurador Fiscal Federal formuló acusación contra la presunta víctima por el delito de monopolio previsto en el artículo 2, incisos l y m de la Ley 12.906 que “reprime la intervención de la misma persona –física o ideal</w:t>
      </w:r>
      <w:r w:rsidR="00673BB3" w:rsidRPr="002603E4">
        <w:rPr>
          <w:rFonts w:asciiTheme="majorHAnsi" w:hAnsiTheme="majorHAnsi"/>
          <w:sz w:val="20"/>
          <w:szCs w:val="20"/>
          <w:lang w:val="es-MX"/>
        </w:rPr>
        <w:t>–</w:t>
      </w:r>
      <w:r w:rsidRPr="002603E4">
        <w:rPr>
          <w:rFonts w:asciiTheme="majorHAnsi" w:hAnsiTheme="majorHAnsi"/>
          <w:sz w:val="20"/>
          <w:szCs w:val="20"/>
          <w:lang w:val="es-MX"/>
        </w:rPr>
        <w:t xml:space="preserve"> en funciones de dirección, gerencia o administración o gerencia de una y dirección de otra u otras siempre que dicha vinculación pueda conducir al monopolio o a la restricción o supresión de la competencia o a la eliminación de precios de competencia leal para los competidores o usuarios”</w:t>
      </w:r>
      <w:r>
        <w:rPr>
          <w:rStyle w:val="FootnoteReference"/>
          <w:rFonts w:asciiTheme="majorHAnsi" w:hAnsiTheme="majorHAnsi"/>
          <w:sz w:val="20"/>
          <w:szCs w:val="20"/>
          <w:lang w:val="es-MX"/>
        </w:rPr>
        <w:footnoteReference w:id="7"/>
      </w:r>
      <w:r w:rsidRPr="002603E4">
        <w:rPr>
          <w:rFonts w:asciiTheme="majorHAnsi" w:hAnsiTheme="majorHAnsi"/>
          <w:sz w:val="20"/>
          <w:szCs w:val="20"/>
          <w:lang w:val="es-MX"/>
        </w:rPr>
        <w:t xml:space="preserve">. </w:t>
      </w:r>
    </w:p>
    <w:p w14:paraId="1CF168F8" w14:textId="77777777" w:rsidR="00183051" w:rsidRPr="002603E4" w:rsidRDefault="00183051"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7454AE42" w14:textId="77777777" w:rsidR="006D19A3" w:rsidRDefault="002603E4"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En 1988 el Juez de la causa</w:t>
      </w:r>
      <w:r w:rsidR="006D19A3">
        <w:rPr>
          <w:rFonts w:asciiTheme="majorHAnsi" w:hAnsiTheme="majorHAnsi"/>
          <w:sz w:val="20"/>
          <w:szCs w:val="20"/>
          <w:lang w:val="es-MX"/>
        </w:rPr>
        <w:t xml:space="preserve"> resolvió sobreseer parcial y provisoriamente el proceso penal contra la presunta víctima por el delito de monopolio, tomando en cuenta que “no existen elementos probatorios suficientes, al menos por semi plena prueba, que el causante (Ángel Pedro Falanga) haya tenido poder de decisión o conocimiento directo en relación a las prácticas monopólicas investigadas”</w:t>
      </w:r>
      <w:r w:rsidR="00752C04">
        <w:rPr>
          <w:rFonts w:asciiTheme="majorHAnsi" w:hAnsiTheme="majorHAnsi"/>
          <w:sz w:val="20"/>
          <w:szCs w:val="20"/>
          <w:lang w:val="es-MX"/>
        </w:rPr>
        <w:t>i</w:t>
      </w:r>
      <w:r w:rsidR="006D19A3">
        <w:rPr>
          <w:rStyle w:val="FootnoteReference"/>
          <w:rFonts w:asciiTheme="majorHAnsi" w:hAnsiTheme="majorHAnsi"/>
          <w:sz w:val="20"/>
          <w:szCs w:val="20"/>
          <w:lang w:val="es-MX"/>
        </w:rPr>
        <w:footnoteReference w:id="8"/>
      </w:r>
      <w:r w:rsidR="006D19A3">
        <w:rPr>
          <w:rFonts w:asciiTheme="majorHAnsi" w:hAnsiTheme="majorHAnsi"/>
          <w:sz w:val="20"/>
          <w:szCs w:val="20"/>
          <w:lang w:val="es-MX"/>
        </w:rPr>
        <w:t xml:space="preserve">. </w:t>
      </w:r>
    </w:p>
    <w:p w14:paraId="6FAE14B5" w14:textId="77777777" w:rsidR="006D19A3" w:rsidRDefault="006D19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045D51FA" w14:textId="77777777" w:rsidR="006D19A3" w:rsidRPr="00512B8E" w:rsidRDefault="006D19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Dicha decisión fue apelada por el Fiscal. El 10 de mayo de 1988 la Sala Federal de Apelaciones  revocó la decisión de sobreseim</w:t>
      </w:r>
      <w:r w:rsidRPr="00512B8E">
        <w:rPr>
          <w:rFonts w:asciiTheme="majorHAnsi" w:hAnsiTheme="majorHAnsi"/>
          <w:sz w:val="20"/>
          <w:szCs w:val="20"/>
          <w:lang w:val="es-MX"/>
        </w:rPr>
        <w:t>iento y decretó la prisión preventiva de la presunta víctima. En su decisión indicó que:</w:t>
      </w:r>
    </w:p>
    <w:p w14:paraId="0B1E9ECB" w14:textId="77777777" w:rsidR="006D19A3" w:rsidRDefault="006D19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30BE835A" w14:textId="77777777" w:rsidR="006D19A3"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que todos estos elementos, permiten colegir que el citado Falanga, no podía ignorar las operaciones, metodología, objetivos, etc. De Héctor Greco y demás procesados en esta causa en los aspectos que hacen al tema del “monopolio”.</w:t>
      </w:r>
    </w:p>
    <w:p w14:paraId="17C1D09D" w14:textId="77777777" w:rsidR="006D19A3"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016CE45E" w14:textId="77777777" w:rsidR="006D19A3"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siendo que la interpretación de la Ley 12.906, debe ser extensiva o sea que cabe ampliar el concepto de las palabras legales para que corresponda al espíritu y voluntad de la Ley (…) la propia ley quiere que a situaciones analógicas se aplique la misma represión que a las previstas y que los tipos penales no constituyen un catálogo exhaustivo o cerrado, sino un elenco ejemplificador, que cabe al juez completar conforme la característica singular del caso  (…) esta consideración, de orden general, es vertida con provisoriedad, para señalar, que conforme el estado procesal de estos autos, no resulta pertinente excluir a aquéllos que han tenido activa participación en la administración de las empresas que habrían incurrido en violación de la ley</w:t>
      </w:r>
      <w:r w:rsidRPr="00EA5249">
        <w:rPr>
          <w:sz w:val="18"/>
          <w:szCs w:val="18"/>
          <w:lang w:val="es-ES"/>
        </w:rPr>
        <w:footnoteReference w:id="9"/>
      </w:r>
      <w:r w:rsidRPr="00EA5249">
        <w:rPr>
          <w:rFonts w:asciiTheme="majorHAnsi" w:hAnsiTheme="majorHAnsi"/>
          <w:sz w:val="18"/>
          <w:szCs w:val="18"/>
          <w:lang w:val="es-ES"/>
        </w:rPr>
        <w:t xml:space="preserve">. </w:t>
      </w:r>
    </w:p>
    <w:p w14:paraId="498188A5" w14:textId="77777777" w:rsidR="006D19A3" w:rsidRDefault="006D19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0963F903" w14:textId="77777777" w:rsidR="006D19A3" w:rsidRDefault="002603E4"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6761D1">
        <w:rPr>
          <w:rFonts w:asciiTheme="majorHAnsi" w:hAnsiTheme="majorHAnsi"/>
          <w:sz w:val="20"/>
          <w:szCs w:val="20"/>
          <w:lang w:val="es-MX"/>
        </w:rPr>
        <w:t>La Comisión</w:t>
      </w:r>
      <w:r w:rsidRPr="000638E9">
        <w:rPr>
          <w:rFonts w:asciiTheme="majorHAnsi" w:hAnsiTheme="majorHAnsi"/>
          <w:sz w:val="20"/>
          <w:szCs w:val="20"/>
          <w:lang w:val="es-MX"/>
        </w:rPr>
        <w:t xml:space="preserve"> nota que en 1991 uno de los propietarios del </w:t>
      </w:r>
      <w:r w:rsidR="00204433">
        <w:rPr>
          <w:rFonts w:asciiTheme="majorHAnsi" w:hAnsiTheme="majorHAnsi"/>
          <w:sz w:val="20"/>
          <w:szCs w:val="20"/>
          <w:lang w:val="es-MX"/>
        </w:rPr>
        <w:t>g</w:t>
      </w:r>
      <w:r w:rsidRPr="000638E9">
        <w:rPr>
          <w:rFonts w:asciiTheme="majorHAnsi" w:hAnsiTheme="majorHAnsi"/>
          <w:sz w:val="20"/>
          <w:szCs w:val="20"/>
          <w:lang w:val="es-MX"/>
        </w:rPr>
        <w:t>rupo Greco co-procesado con la presunta víctima fue indultado por el Presidente de la República por lo que se sobreseyó definitivamente el proceso en su contra</w:t>
      </w:r>
      <w:r>
        <w:rPr>
          <w:rStyle w:val="FootnoteReference"/>
          <w:rFonts w:asciiTheme="majorHAnsi" w:hAnsiTheme="majorHAnsi"/>
          <w:sz w:val="20"/>
          <w:szCs w:val="20"/>
          <w:lang w:val="es-MX"/>
        </w:rPr>
        <w:footnoteReference w:id="10"/>
      </w:r>
      <w:r w:rsidRPr="000638E9">
        <w:rPr>
          <w:rFonts w:asciiTheme="majorHAnsi" w:hAnsiTheme="majorHAnsi"/>
          <w:sz w:val="20"/>
          <w:szCs w:val="20"/>
          <w:lang w:val="es-MX"/>
        </w:rPr>
        <w:t xml:space="preserve">. En virtud de lo anterior, el 16 de febrero de 1991 el señor Falanga solicitó indulto al Poder Ejecutivo Nacional, argumentando que “es justificable el indulto en los casos que los principales lo hayan sido, </w:t>
      </w:r>
      <w:r w:rsidRPr="000638E9">
        <w:rPr>
          <w:rFonts w:asciiTheme="majorHAnsi" w:hAnsiTheme="majorHAnsi"/>
          <w:sz w:val="20"/>
          <w:szCs w:val="20"/>
          <w:lang w:val="es-MX"/>
        </w:rPr>
        <w:lastRenderedPageBreak/>
        <w:t>correspondiéndole el mismo tratamiento a los dependientes”</w:t>
      </w:r>
      <w:r>
        <w:rPr>
          <w:rStyle w:val="FootnoteReference"/>
          <w:rFonts w:asciiTheme="majorHAnsi" w:hAnsiTheme="majorHAnsi"/>
          <w:sz w:val="20"/>
          <w:szCs w:val="20"/>
          <w:lang w:val="es-MX"/>
        </w:rPr>
        <w:footnoteReference w:id="11"/>
      </w:r>
      <w:r>
        <w:rPr>
          <w:rFonts w:asciiTheme="majorHAnsi" w:hAnsiTheme="majorHAnsi"/>
          <w:sz w:val="20"/>
          <w:szCs w:val="20"/>
          <w:lang w:val="es-MX"/>
        </w:rPr>
        <w:t xml:space="preserve"> y solicitó audiencia con el Presidente de la República. La Comisión no cuenta con respuesta a la solicitud de indulto, pero obran una serie de respuestas indicando la imposibilidad de concederle audiencia</w:t>
      </w:r>
      <w:r>
        <w:rPr>
          <w:rStyle w:val="FootnoteReference"/>
          <w:rFonts w:asciiTheme="majorHAnsi" w:hAnsiTheme="majorHAnsi"/>
          <w:sz w:val="20"/>
          <w:szCs w:val="20"/>
          <w:lang w:val="es-MX"/>
        </w:rPr>
        <w:footnoteReference w:id="12"/>
      </w:r>
      <w:r>
        <w:rPr>
          <w:rFonts w:asciiTheme="majorHAnsi" w:hAnsiTheme="majorHAnsi"/>
          <w:sz w:val="20"/>
          <w:szCs w:val="20"/>
          <w:lang w:val="es-MX"/>
        </w:rPr>
        <w:t xml:space="preserve">. </w:t>
      </w:r>
    </w:p>
    <w:p w14:paraId="5B54A993" w14:textId="77777777" w:rsidR="00F66C86" w:rsidRPr="0099102C" w:rsidRDefault="00F66C86"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59FA632A" w14:textId="77777777" w:rsidR="006D19A3" w:rsidRDefault="006D19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El 17 de mayo de 1993 el Juzgado Federal de Primera Instancia condenó a la presunta víctima  a tres años de prisión por el delito de monopolio</w:t>
      </w:r>
      <w:r w:rsidR="00183051">
        <w:rPr>
          <w:rFonts w:asciiTheme="majorHAnsi" w:hAnsiTheme="majorHAnsi"/>
          <w:sz w:val="20"/>
          <w:szCs w:val="20"/>
          <w:lang w:val="es-MX"/>
        </w:rPr>
        <w:t xml:space="preserve"> previsto en el artículo 2, </w:t>
      </w:r>
      <w:r w:rsidR="0099102C">
        <w:rPr>
          <w:rFonts w:asciiTheme="majorHAnsi" w:hAnsiTheme="majorHAnsi"/>
          <w:sz w:val="20"/>
          <w:szCs w:val="20"/>
          <w:lang w:val="es-MX"/>
        </w:rPr>
        <w:t>incisos l) y m) de la Ley 12.</w:t>
      </w:r>
      <w:r>
        <w:rPr>
          <w:rFonts w:asciiTheme="majorHAnsi" w:hAnsiTheme="majorHAnsi"/>
          <w:sz w:val="20"/>
          <w:szCs w:val="20"/>
          <w:lang w:val="es-MX"/>
        </w:rPr>
        <w:t>906, así como tres años de inhabilitación especial para el ejercicio del comercio de conformidad con el artículo 7 inciso d) de dicha ley.   En dicha decisión consideró que:</w:t>
      </w:r>
    </w:p>
    <w:p w14:paraId="75BB1846" w14:textId="77777777" w:rsidR="006D19A3" w:rsidRDefault="006D19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259F235A" w14:textId="77777777" w:rsidR="006D19A3"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en relación a Ángel Pedro Falanga por su profesión de contador público nacional, antecedentes y actividad concreta dentro del banco, no pudieron desconocer desde ningún punto de vista, que a través de la maniobra llevada a cabo por los propios directivos y funcionarios del Banco de los Andes, mediante la utilización de dicha entidad crediticia como órgano de captación del ahorro público y canalización de recursos hacia las mismas empresas del grupo dominante, que permitió una concentración de empresas, -</w:t>
      </w:r>
      <w:r w:rsidR="00534FEC" w:rsidRPr="00EA5249">
        <w:rPr>
          <w:rFonts w:asciiTheme="majorHAnsi" w:hAnsiTheme="majorHAnsi"/>
          <w:sz w:val="18"/>
          <w:szCs w:val="18"/>
          <w:lang w:val="es-ES"/>
        </w:rPr>
        <w:t xml:space="preserve"> </w:t>
      </w:r>
      <w:r w:rsidRPr="00EA5249">
        <w:rPr>
          <w:rFonts w:asciiTheme="majorHAnsi" w:hAnsiTheme="majorHAnsi"/>
          <w:sz w:val="18"/>
          <w:szCs w:val="18"/>
          <w:lang w:val="es-ES"/>
        </w:rPr>
        <w:t>controladas desde el grupo dominante -, y vinculadas a las fases principales del proceso vitivinícola, lo que se desprende sin esfuerzo, que el ente bancario antes referido, actuó como financista en el proceso de aquella concentración, con las consecuencias ya analizadas</w:t>
      </w:r>
      <w:r w:rsidRPr="00EA5249">
        <w:rPr>
          <w:sz w:val="18"/>
          <w:szCs w:val="18"/>
          <w:lang w:val="es-ES"/>
        </w:rPr>
        <w:footnoteReference w:id="13"/>
      </w:r>
      <w:r w:rsidRPr="00EA5249">
        <w:rPr>
          <w:rFonts w:asciiTheme="majorHAnsi" w:hAnsiTheme="majorHAnsi"/>
          <w:sz w:val="18"/>
          <w:szCs w:val="18"/>
          <w:lang w:val="es-ES"/>
        </w:rPr>
        <w:t xml:space="preserve">. </w:t>
      </w:r>
    </w:p>
    <w:p w14:paraId="651BF927" w14:textId="77777777" w:rsidR="006D19A3" w:rsidRPr="00FB21AF" w:rsidRDefault="006D19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r>
        <w:rPr>
          <w:rFonts w:asciiTheme="majorHAnsi" w:hAnsiTheme="majorHAnsi"/>
          <w:sz w:val="20"/>
          <w:szCs w:val="20"/>
          <w:lang w:val="es-MX"/>
        </w:rPr>
        <w:t xml:space="preserve"> </w:t>
      </w:r>
    </w:p>
    <w:p w14:paraId="7D32359D" w14:textId="77777777" w:rsidR="00512B8E" w:rsidRDefault="00512B8E"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En </w:t>
      </w:r>
      <w:r w:rsidR="0099102C">
        <w:rPr>
          <w:rFonts w:asciiTheme="majorHAnsi" w:hAnsiTheme="majorHAnsi"/>
          <w:sz w:val="20"/>
          <w:szCs w:val="20"/>
          <w:lang w:val="es-MX"/>
        </w:rPr>
        <w:t>tal</w:t>
      </w:r>
      <w:r>
        <w:rPr>
          <w:rFonts w:asciiTheme="majorHAnsi" w:hAnsiTheme="majorHAnsi"/>
          <w:sz w:val="20"/>
          <w:szCs w:val="20"/>
          <w:lang w:val="es-MX"/>
        </w:rPr>
        <w:t xml:space="preserve"> decisión se hizo constar que la presunta víctima y los co-procesados solicitaron la aplicación de la ley más benigna en los siguientes términos </w:t>
      </w:r>
      <w:r w:rsidR="009D5709">
        <w:rPr>
          <w:rFonts w:asciiTheme="majorHAnsi" w:hAnsiTheme="majorHAnsi"/>
          <w:sz w:val="20"/>
          <w:szCs w:val="20"/>
          <w:lang w:val="es-MX"/>
        </w:rPr>
        <w:t>“</w:t>
      </w:r>
      <w:r>
        <w:rPr>
          <w:rFonts w:asciiTheme="majorHAnsi" w:hAnsiTheme="majorHAnsi"/>
          <w:sz w:val="20"/>
          <w:szCs w:val="20"/>
          <w:lang w:val="es-MX"/>
        </w:rPr>
        <w:t>(…) en lo pertinente a la ley 22.262 señalan que esta es más benigna que la ley 12.906, en razón</w:t>
      </w:r>
      <w:r w:rsidR="009901FF">
        <w:rPr>
          <w:rFonts w:asciiTheme="majorHAnsi" w:hAnsiTheme="majorHAnsi"/>
          <w:sz w:val="20"/>
          <w:szCs w:val="20"/>
          <w:lang w:val="es-MX"/>
        </w:rPr>
        <w:t xml:space="preserve"> de que aquella </w:t>
      </w:r>
      <w:r>
        <w:rPr>
          <w:rFonts w:asciiTheme="majorHAnsi" w:hAnsiTheme="majorHAnsi"/>
          <w:sz w:val="20"/>
          <w:szCs w:val="20"/>
          <w:lang w:val="es-MX"/>
        </w:rPr>
        <w:t xml:space="preserve"> figura básica, art. 1, exige un daño potencial, como así también, una concertación, circunstancias estas que, dicen, no se ha probado (…) pues no estuvieron expuestos a una competencia sustancial, ni tampoco, se ha probado, que desde una posición dominante, hubieran practicado alianzas con dos o más personas</w:t>
      </w:r>
      <w:r w:rsidR="009D5709">
        <w:rPr>
          <w:rFonts w:asciiTheme="majorHAnsi" w:hAnsiTheme="majorHAnsi"/>
          <w:sz w:val="20"/>
          <w:szCs w:val="20"/>
          <w:lang w:val="es-MX"/>
        </w:rPr>
        <w:t>, de donde surge que con la aplicación de los elementos sustantivos de la ley actual, su defendido no podrá ser condenado”</w:t>
      </w:r>
      <w:r w:rsidR="009D5709">
        <w:rPr>
          <w:rStyle w:val="FootnoteReference"/>
          <w:rFonts w:asciiTheme="majorHAnsi" w:hAnsiTheme="majorHAnsi"/>
          <w:sz w:val="20"/>
          <w:szCs w:val="20"/>
          <w:lang w:val="es-MX"/>
        </w:rPr>
        <w:footnoteReference w:id="14"/>
      </w:r>
      <w:r w:rsidR="009D5709">
        <w:rPr>
          <w:rFonts w:asciiTheme="majorHAnsi" w:hAnsiTheme="majorHAnsi"/>
          <w:sz w:val="20"/>
          <w:szCs w:val="20"/>
          <w:lang w:val="es-MX"/>
        </w:rPr>
        <w:t xml:space="preserve">. </w:t>
      </w:r>
    </w:p>
    <w:p w14:paraId="0A3FD02F" w14:textId="77777777" w:rsidR="00973070" w:rsidRDefault="00973070"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4D225033" w14:textId="77777777" w:rsidR="00973070" w:rsidRDefault="00973070"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Sobre dicho alegat</w:t>
      </w:r>
      <w:r w:rsidR="001F66E6">
        <w:rPr>
          <w:rFonts w:asciiTheme="majorHAnsi" w:hAnsiTheme="majorHAnsi"/>
          <w:sz w:val="20"/>
          <w:szCs w:val="20"/>
          <w:lang w:val="es-MX"/>
        </w:rPr>
        <w:t>o</w:t>
      </w:r>
      <w:r>
        <w:rPr>
          <w:rFonts w:asciiTheme="majorHAnsi" w:hAnsiTheme="majorHAnsi"/>
          <w:sz w:val="20"/>
          <w:szCs w:val="20"/>
          <w:lang w:val="es-MX"/>
        </w:rPr>
        <w:t xml:space="preserve"> el tribunal indicó que:</w:t>
      </w:r>
    </w:p>
    <w:p w14:paraId="386B860D" w14:textId="77777777" w:rsidR="00973070" w:rsidRDefault="00973070" w:rsidP="00DB4D24">
      <w:pPr>
        <w:pStyle w:val="ListParagraph"/>
        <w:rPr>
          <w:rFonts w:asciiTheme="majorHAnsi" w:hAnsiTheme="majorHAnsi"/>
          <w:sz w:val="20"/>
          <w:szCs w:val="20"/>
          <w:lang w:val="es-MX"/>
        </w:rPr>
      </w:pPr>
    </w:p>
    <w:p w14:paraId="10026C2E" w14:textId="77777777" w:rsidR="00973070" w:rsidRPr="00EA5249" w:rsidRDefault="00973070"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xml:space="preserve">(…) no obstante encontrarse en vigencia la ley no 22.262, ha de estarse a lo expresamente determinado por el art. 46 de la citada ley, que reza “derogase la ley </w:t>
      </w:r>
      <w:r w:rsidR="00A17282" w:rsidRPr="00EA5249">
        <w:rPr>
          <w:rFonts w:asciiTheme="majorHAnsi" w:hAnsiTheme="majorHAnsi"/>
          <w:sz w:val="18"/>
          <w:szCs w:val="18"/>
          <w:lang w:val="es-ES"/>
        </w:rPr>
        <w:t>12.906.- Las causas en trámite, en sede administrativa o judicial, a la fecha de entrada en vigencia de la presente ley, continuaran sujetas a la ley 12.906.- Es así que, como veremos más adelante, la conducta delictiva de los procesados, aparece sancionada por la nueva ley vigente, en su redacción más amplia del art. 1 y 41, por lo que habiendo esta ley dispuesto la ultractividad de la ley anterior, 12.906 (…)</w:t>
      </w:r>
      <w:r w:rsidR="00A17282" w:rsidRPr="00EA5249">
        <w:rPr>
          <w:sz w:val="18"/>
          <w:szCs w:val="18"/>
          <w:lang w:val="es-ES"/>
        </w:rPr>
        <w:footnoteReference w:id="15"/>
      </w:r>
      <w:r w:rsidR="00A17282" w:rsidRPr="00EA5249">
        <w:rPr>
          <w:rFonts w:asciiTheme="majorHAnsi" w:hAnsiTheme="majorHAnsi"/>
          <w:sz w:val="18"/>
          <w:szCs w:val="18"/>
          <w:lang w:val="es-ES"/>
        </w:rPr>
        <w:t>.</w:t>
      </w:r>
    </w:p>
    <w:p w14:paraId="47FCD0D1" w14:textId="77777777" w:rsidR="00512B8E" w:rsidRDefault="00512B8E"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48E3ACEE" w14:textId="77777777" w:rsidR="006D19A3" w:rsidRDefault="006D19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Con posterioridad tanto el Fiscal como la presunta víctima y los otros condenados presentaron recursos de apelación y nulidad.  </w:t>
      </w:r>
      <w:r w:rsidR="00CE0CCB">
        <w:rPr>
          <w:rFonts w:asciiTheme="majorHAnsi" w:hAnsiTheme="majorHAnsi"/>
          <w:sz w:val="20"/>
          <w:szCs w:val="20"/>
          <w:lang w:val="es-MX"/>
        </w:rPr>
        <w:t>El Fiscal argumentó</w:t>
      </w:r>
      <w:r>
        <w:rPr>
          <w:rFonts w:asciiTheme="majorHAnsi" w:hAnsiTheme="majorHAnsi"/>
          <w:sz w:val="20"/>
          <w:szCs w:val="20"/>
          <w:lang w:val="es-MX"/>
        </w:rPr>
        <w:t>, entre otras cuestiones, que la pena establecida “no se compadecería con la mag</w:t>
      </w:r>
      <w:r w:rsidR="00CE0CCB">
        <w:rPr>
          <w:rFonts w:asciiTheme="majorHAnsi" w:hAnsiTheme="majorHAnsi"/>
          <w:sz w:val="20"/>
          <w:szCs w:val="20"/>
          <w:lang w:val="es-MX"/>
        </w:rPr>
        <w:t>nitud del perjuicio ocasionado.</w:t>
      </w:r>
      <w:r>
        <w:rPr>
          <w:rFonts w:asciiTheme="majorHAnsi" w:hAnsiTheme="majorHAnsi"/>
          <w:sz w:val="20"/>
          <w:szCs w:val="20"/>
          <w:lang w:val="es-MX"/>
        </w:rPr>
        <w:t xml:space="preserve">  La presunta víctima a</w:t>
      </w:r>
      <w:r w:rsidR="00CE0CCB">
        <w:rPr>
          <w:rFonts w:asciiTheme="majorHAnsi" w:hAnsiTheme="majorHAnsi"/>
          <w:sz w:val="20"/>
          <w:szCs w:val="20"/>
          <w:lang w:val="es-MX"/>
        </w:rPr>
        <w:t>legó</w:t>
      </w:r>
      <w:r>
        <w:rPr>
          <w:rFonts w:asciiTheme="majorHAnsi" w:hAnsiTheme="majorHAnsi"/>
          <w:sz w:val="20"/>
          <w:szCs w:val="20"/>
          <w:lang w:val="es-MX"/>
        </w:rPr>
        <w:t xml:space="preserve"> una serie de violaciones al debido proceso y subrayó que por resultar más benigna la Ley 22</w:t>
      </w:r>
      <w:r w:rsidR="00B23A21">
        <w:rPr>
          <w:rFonts w:asciiTheme="majorHAnsi" w:hAnsiTheme="majorHAnsi"/>
          <w:sz w:val="20"/>
          <w:szCs w:val="20"/>
          <w:lang w:val="es-MX"/>
        </w:rPr>
        <w:t>.</w:t>
      </w:r>
      <w:r>
        <w:rPr>
          <w:rFonts w:asciiTheme="majorHAnsi" w:hAnsiTheme="majorHAnsi"/>
          <w:sz w:val="20"/>
          <w:szCs w:val="20"/>
          <w:lang w:val="es-MX"/>
        </w:rPr>
        <w:t>262 y “tomando como base lo dispuesto al respecto por el Pacto de San José de Costa Rica (art.9), entiende que debe aplicarse el mencionado texto legal (ley 22262); en su defecto debería considerarse que el art. 46 de dicha ley se refiere al procedimiento que deberá observarse en la tramitación de las causas ya iniciadas de acuerdo a la ley 12</w:t>
      </w:r>
      <w:r w:rsidR="00B23A21">
        <w:rPr>
          <w:rFonts w:asciiTheme="majorHAnsi" w:hAnsiTheme="majorHAnsi"/>
          <w:sz w:val="20"/>
          <w:szCs w:val="20"/>
          <w:lang w:val="es-MX"/>
        </w:rPr>
        <w:t>.</w:t>
      </w:r>
      <w:r>
        <w:rPr>
          <w:rFonts w:asciiTheme="majorHAnsi" w:hAnsiTheme="majorHAnsi"/>
          <w:sz w:val="20"/>
          <w:szCs w:val="20"/>
          <w:lang w:val="es-MX"/>
        </w:rPr>
        <w:t>906 (…)”</w:t>
      </w:r>
      <w:r w:rsidR="00CE0CCB">
        <w:rPr>
          <w:rStyle w:val="FootnoteReference"/>
          <w:rFonts w:asciiTheme="majorHAnsi" w:hAnsiTheme="majorHAnsi"/>
          <w:sz w:val="20"/>
          <w:szCs w:val="20"/>
          <w:lang w:val="es-VE"/>
        </w:rPr>
        <w:footnoteReference w:id="16"/>
      </w:r>
      <w:r>
        <w:rPr>
          <w:rFonts w:asciiTheme="majorHAnsi" w:hAnsiTheme="majorHAnsi"/>
          <w:sz w:val="20"/>
          <w:szCs w:val="20"/>
          <w:lang w:val="es-MX"/>
        </w:rPr>
        <w:t xml:space="preserve">. </w:t>
      </w:r>
    </w:p>
    <w:p w14:paraId="616DF97B" w14:textId="77777777" w:rsidR="006D19A3" w:rsidRPr="00F84177" w:rsidRDefault="006D19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5308C76A" w14:textId="77777777" w:rsidR="006D19A3" w:rsidRDefault="006D19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615251">
        <w:rPr>
          <w:rFonts w:asciiTheme="majorHAnsi" w:hAnsiTheme="majorHAnsi"/>
          <w:sz w:val="20"/>
          <w:szCs w:val="20"/>
          <w:lang w:val="es-MX"/>
        </w:rPr>
        <w:t>El 7 de noviembre de 1995 la Sala B de la Cámara Federal de Apelaciones de Mendoza declar</w:t>
      </w:r>
      <w:r w:rsidRPr="00615251">
        <w:rPr>
          <w:rFonts w:asciiTheme="majorHAnsi" w:hAnsiTheme="majorHAnsi"/>
          <w:sz w:val="20"/>
          <w:szCs w:val="20"/>
          <w:lang w:val="es-VE"/>
        </w:rPr>
        <w:t>ó sin lugar los recursos de nulidad y apelación,  sin embargo redujo la condena de la presunta víctima a un año y seis meses de prisión en suspenso</w:t>
      </w:r>
      <w:r>
        <w:rPr>
          <w:rStyle w:val="FootnoteReference"/>
          <w:rFonts w:asciiTheme="majorHAnsi" w:hAnsiTheme="majorHAnsi"/>
          <w:sz w:val="20"/>
          <w:szCs w:val="20"/>
          <w:lang w:val="es-VE"/>
        </w:rPr>
        <w:footnoteReference w:id="17"/>
      </w:r>
      <w:r w:rsidRPr="00615251">
        <w:rPr>
          <w:rFonts w:asciiTheme="majorHAnsi" w:hAnsiTheme="majorHAnsi"/>
          <w:sz w:val="20"/>
          <w:szCs w:val="20"/>
          <w:lang w:val="es-VE"/>
        </w:rPr>
        <w:t xml:space="preserve">. </w:t>
      </w:r>
      <w:r>
        <w:rPr>
          <w:rFonts w:asciiTheme="majorHAnsi" w:hAnsiTheme="majorHAnsi"/>
          <w:sz w:val="20"/>
          <w:szCs w:val="20"/>
          <w:lang w:val="es-MX"/>
        </w:rPr>
        <w:t xml:space="preserve"> Dicho Tribunal indicó</w:t>
      </w:r>
      <w:r w:rsidR="004A37E9">
        <w:rPr>
          <w:rFonts w:asciiTheme="majorHAnsi" w:hAnsiTheme="majorHAnsi"/>
          <w:sz w:val="20"/>
          <w:szCs w:val="20"/>
          <w:lang w:val="es-MX"/>
        </w:rPr>
        <w:t>:</w:t>
      </w:r>
    </w:p>
    <w:p w14:paraId="12D6FE49" w14:textId="77777777" w:rsidR="004A37E9" w:rsidRPr="0099102C" w:rsidRDefault="004A37E9" w:rsidP="004A37E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5CE5E2A7" w14:textId="77777777" w:rsidR="006D19A3"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la ley 22.262 no contiene un tratamiento calificable en el caso –y  atendiendo a las circunstancias del mismo</w:t>
      </w:r>
      <w:r w:rsidR="00C958B6" w:rsidRPr="00EA5249">
        <w:rPr>
          <w:rFonts w:asciiTheme="majorHAnsi" w:hAnsiTheme="majorHAnsi"/>
          <w:sz w:val="18"/>
          <w:szCs w:val="18"/>
          <w:lang w:val="es-ES"/>
        </w:rPr>
        <w:t>–</w:t>
      </w:r>
      <w:r w:rsidRPr="00EA5249">
        <w:rPr>
          <w:rFonts w:asciiTheme="majorHAnsi" w:hAnsiTheme="majorHAnsi"/>
          <w:sz w:val="18"/>
          <w:szCs w:val="18"/>
          <w:lang w:val="es-ES"/>
        </w:rPr>
        <w:t xml:space="preserve"> como más benévolo para la situación investigada (…) no se advierte que las figuras descriptas en los arts. 1 y 2 de la ley 22</w:t>
      </w:r>
      <w:r w:rsidR="00B23A21" w:rsidRPr="00EA5249">
        <w:rPr>
          <w:rFonts w:asciiTheme="majorHAnsi" w:hAnsiTheme="majorHAnsi"/>
          <w:sz w:val="18"/>
          <w:szCs w:val="18"/>
          <w:lang w:val="es-ES"/>
        </w:rPr>
        <w:t>.</w:t>
      </w:r>
      <w:r w:rsidRPr="00EA5249">
        <w:rPr>
          <w:rFonts w:asciiTheme="majorHAnsi" w:hAnsiTheme="majorHAnsi"/>
          <w:sz w:val="18"/>
          <w:szCs w:val="18"/>
          <w:lang w:val="es-ES"/>
        </w:rPr>
        <w:t>262 sean sustancialmente más benignas que las descriptas en la ley 12</w:t>
      </w:r>
      <w:r w:rsidR="00B23A21" w:rsidRPr="00EA5249">
        <w:rPr>
          <w:rFonts w:asciiTheme="majorHAnsi" w:hAnsiTheme="majorHAnsi"/>
          <w:sz w:val="18"/>
          <w:szCs w:val="18"/>
          <w:lang w:val="es-ES"/>
        </w:rPr>
        <w:t>.</w:t>
      </w:r>
      <w:r w:rsidRPr="00EA5249">
        <w:rPr>
          <w:rFonts w:asciiTheme="majorHAnsi" w:hAnsiTheme="majorHAnsi"/>
          <w:sz w:val="18"/>
          <w:szCs w:val="18"/>
          <w:lang w:val="es-ES"/>
        </w:rPr>
        <w:t>906, por cuanto el elemento “concertación” que según el recurrente debe darse en el caso de la nueva ley, ello lo es sólo en el supuesto del inc. b) del art.</w:t>
      </w:r>
      <w:r w:rsidR="00C958B6" w:rsidRPr="00EA5249">
        <w:rPr>
          <w:rFonts w:asciiTheme="majorHAnsi" w:hAnsiTheme="majorHAnsi"/>
          <w:sz w:val="18"/>
          <w:szCs w:val="18"/>
          <w:lang w:val="es-ES"/>
        </w:rPr>
        <w:t xml:space="preserve"> </w:t>
      </w:r>
      <w:r w:rsidRPr="00EA5249">
        <w:rPr>
          <w:rFonts w:asciiTheme="majorHAnsi" w:hAnsiTheme="majorHAnsi"/>
          <w:sz w:val="18"/>
          <w:szCs w:val="18"/>
          <w:lang w:val="es-ES"/>
        </w:rPr>
        <w:t xml:space="preserve">2 toda vez que en el supuesto del inc. a) es posible la configuración de la conducta delictiva por una sola persona sin que medie concertación alguna. </w:t>
      </w:r>
    </w:p>
    <w:p w14:paraId="7A34F9FB" w14:textId="77777777" w:rsidR="006D19A3"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5D66FFCD" w14:textId="77777777" w:rsidR="004A37E9"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resulta casi ingenuo aceptar que Falanga haya prestado sólo una colaboración técnica propia de su profesión (…) el referido aporte técnico contable lo era más bien para salvaguardar o darle viso de legalidad a las maniobras financieras diagramadas por la conducción del Grupo</w:t>
      </w:r>
      <w:r w:rsidRPr="00EA5249">
        <w:rPr>
          <w:sz w:val="18"/>
          <w:szCs w:val="18"/>
          <w:lang w:val="es-ES"/>
        </w:rPr>
        <w:footnoteReference w:id="18"/>
      </w:r>
      <w:r w:rsidRPr="00EA5249">
        <w:rPr>
          <w:rFonts w:asciiTheme="majorHAnsi" w:hAnsiTheme="majorHAnsi"/>
          <w:sz w:val="18"/>
          <w:szCs w:val="18"/>
          <w:lang w:val="es-ES"/>
        </w:rPr>
        <w:t>.</w:t>
      </w:r>
    </w:p>
    <w:p w14:paraId="537051C9" w14:textId="77777777" w:rsidR="006D19A3" w:rsidRDefault="006D19A3" w:rsidP="004A37E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567" w:right="560"/>
        <w:jc w:val="both"/>
        <w:rPr>
          <w:rFonts w:asciiTheme="majorHAnsi" w:hAnsiTheme="majorHAnsi"/>
          <w:sz w:val="20"/>
          <w:szCs w:val="20"/>
          <w:lang w:val="es-MX"/>
        </w:rPr>
      </w:pPr>
      <w:r>
        <w:rPr>
          <w:rFonts w:asciiTheme="majorHAnsi" w:hAnsiTheme="majorHAnsi"/>
          <w:sz w:val="20"/>
          <w:szCs w:val="20"/>
          <w:lang w:val="es-MX"/>
        </w:rPr>
        <w:t xml:space="preserve"> </w:t>
      </w:r>
    </w:p>
    <w:p w14:paraId="16FE5E98" w14:textId="77777777" w:rsidR="006D19A3" w:rsidRDefault="006D19A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Con respecto a las penas refirió que:</w:t>
      </w:r>
    </w:p>
    <w:p w14:paraId="377FA724" w14:textId="77777777" w:rsidR="006D19A3" w:rsidRDefault="006D19A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373BD337" w14:textId="77777777" w:rsidR="006D19A3" w:rsidRPr="00EA5249" w:rsidRDefault="006D19A3"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en mérito a una ponderación global del caso no solo debe desestimarse el planteo fiscal sino que es dable propiciar una disminución de la pena aplicada a ambos coprocesados. (…) con relación al encartado Falanga considero justo que la condena sea disminuida a un año y seis meses de prisión en suspenso (art. 26 C.P.). Ello porque no se puede dejar de tener presente que el mismo, si bien actuó y colaboró activamente en la ejecución y diagramación de las maniobras realizadas, no ha ostentado la titularidad de los abultados capitales, en juego, como así tampoco puede ser calificado como ideólogo o autor básico del fenómeno económico producido por el Grupo</w:t>
      </w:r>
      <w:r w:rsidRPr="00EA5249">
        <w:rPr>
          <w:sz w:val="18"/>
          <w:szCs w:val="18"/>
          <w:lang w:val="es-ES"/>
        </w:rPr>
        <w:footnoteReference w:id="19"/>
      </w:r>
      <w:r w:rsidRPr="00EA5249">
        <w:rPr>
          <w:rFonts w:asciiTheme="majorHAnsi" w:hAnsiTheme="majorHAnsi"/>
          <w:sz w:val="18"/>
          <w:szCs w:val="18"/>
          <w:lang w:val="es-ES"/>
        </w:rPr>
        <w:t>.</w:t>
      </w:r>
    </w:p>
    <w:p w14:paraId="0D22B53B" w14:textId="77777777" w:rsidR="004A37E9" w:rsidRPr="005B50DE" w:rsidRDefault="004A37E9"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078F6085" w14:textId="77777777" w:rsidR="00CE0CCB" w:rsidRPr="00397B14" w:rsidRDefault="00BA6AD9" w:rsidP="00397B14">
      <w:pPr>
        <w:pStyle w:val="Heading2"/>
      </w:pPr>
      <w:bookmarkStart w:id="24" w:name="_Toc5369472"/>
      <w:bookmarkStart w:id="25" w:name="_Toc99959079"/>
      <w:r w:rsidRPr="00397B14">
        <w:t>Proceso penal por el</w:t>
      </w:r>
      <w:r w:rsidR="002C6AC8" w:rsidRPr="00397B14">
        <w:t xml:space="preserve"> delito de subversión económica</w:t>
      </w:r>
      <w:bookmarkEnd w:id="24"/>
      <w:bookmarkEnd w:id="25"/>
    </w:p>
    <w:p w14:paraId="227677C1" w14:textId="77777777" w:rsidR="00CE0CCB" w:rsidRPr="00CE0CCB" w:rsidRDefault="00CE0CCB" w:rsidP="00DB4D24">
      <w:pPr>
        <w:rPr>
          <w:lang w:val="es-MX"/>
        </w:rPr>
      </w:pPr>
    </w:p>
    <w:p w14:paraId="35DCEBC0" w14:textId="77777777" w:rsidR="002C6AC8" w:rsidRDefault="00BA6AD9"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2C6AC8">
        <w:rPr>
          <w:rFonts w:asciiTheme="majorHAnsi" w:hAnsiTheme="majorHAnsi"/>
          <w:sz w:val="20"/>
          <w:szCs w:val="20"/>
          <w:lang w:val="es-MX"/>
        </w:rPr>
        <w:t>En abril de 1980, por denuncia del Fiscal de la Cámara Federal de Apelaciones de Mendoza, se inició una investigación en contra de los miembros del “Grupo Empresarial Greco” por la comisión del delito de subversión económica, disponiéndose la detención de todos los directivos, entre ellos el señor Ángel Pedro Falanga</w:t>
      </w:r>
      <w:r w:rsidRPr="00BA6AD9">
        <w:rPr>
          <w:rStyle w:val="FootnoteReference"/>
          <w:rFonts w:asciiTheme="majorHAnsi" w:hAnsiTheme="majorHAnsi"/>
          <w:sz w:val="20"/>
          <w:szCs w:val="20"/>
          <w:lang w:val="es-MX"/>
        </w:rPr>
        <w:footnoteReference w:id="20"/>
      </w:r>
      <w:r w:rsidRPr="002C6AC8">
        <w:rPr>
          <w:rFonts w:asciiTheme="majorHAnsi" w:hAnsiTheme="majorHAnsi"/>
          <w:sz w:val="20"/>
          <w:szCs w:val="20"/>
          <w:lang w:val="es-MX"/>
        </w:rPr>
        <w:t>.</w:t>
      </w:r>
    </w:p>
    <w:p w14:paraId="774CE6E9" w14:textId="77777777" w:rsidR="002C6AC8" w:rsidRDefault="002C6AC8" w:rsidP="00DB4D24">
      <w:pPr>
        <w:pStyle w:val="ListParagraph"/>
        <w:rPr>
          <w:rFonts w:asciiTheme="majorHAnsi" w:hAnsiTheme="majorHAnsi"/>
          <w:sz w:val="20"/>
          <w:szCs w:val="20"/>
          <w:lang w:val="es-MX"/>
        </w:rPr>
      </w:pPr>
    </w:p>
    <w:p w14:paraId="5C436165" w14:textId="77777777" w:rsidR="00CC2404" w:rsidRDefault="00BA6AD9"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2C6AC8">
        <w:rPr>
          <w:rFonts w:asciiTheme="majorHAnsi" w:hAnsiTheme="majorHAnsi"/>
          <w:sz w:val="20"/>
          <w:szCs w:val="20"/>
          <w:lang w:val="es-MX"/>
        </w:rPr>
        <w:t xml:space="preserve">El 17 de febrero de 1997, el Juzgado Federal de Primera Instancia condenó al señor Falanga a la pena de </w:t>
      </w:r>
      <w:r w:rsidR="00C958B6">
        <w:rPr>
          <w:rFonts w:asciiTheme="majorHAnsi" w:hAnsiTheme="majorHAnsi"/>
          <w:sz w:val="20"/>
          <w:szCs w:val="20"/>
          <w:lang w:val="es-MX"/>
        </w:rPr>
        <w:t>tres</w:t>
      </w:r>
      <w:r w:rsidRPr="002C6AC8">
        <w:rPr>
          <w:rFonts w:asciiTheme="majorHAnsi" w:hAnsiTheme="majorHAnsi"/>
          <w:sz w:val="20"/>
          <w:szCs w:val="20"/>
          <w:lang w:val="es-MX"/>
        </w:rPr>
        <w:t xml:space="preserve"> años de prisión suspendida, inhabilitación y multa por el delito subversión económica</w:t>
      </w:r>
      <w:r w:rsidR="00CC2404">
        <w:rPr>
          <w:rFonts w:asciiTheme="majorHAnsi" w:hAnsiTheme="majorHAnsi"/>
          <w:sz w:val="20"/>
          <w:szCs w:val="20"/>
          <w:lang w:val="es-MX"/>
        </w:rPr>
        <w:t xml:space="preserve"> contemplado en el artículo 6 de la Ley 20.840</w:t>
      </w:r>
      <w:r w:rsidRPr="00BA6AD9">
        <w:rPr>
          <w:rStyle w:val="FootnoteReference"/>
          <w:rFonts w:asciiTheme="majorHAnsi" w:hAnsiTheme="majorHAnsi"/>
          <w:sz w:val="20"/>
          <w:szCs w:val="20"/>
          <w:lang w:val="es-MX"/>
        </w:rPr>
        <w:footnoteReference w:id="21"/>
      </w:r>
      <w:r w:rsidR="00CC2404">
        <w:rPr>
          <w:rFonts w:asciiTheme="majorHAnsi" w:hAnsiTheme="majorHAnsi"/>
          <w:sz w:val="20"/>
          <w:szCs w:val="20"/>
          <w:lang w:val="es-MX"/>
        </w:rPr>
        <w:t xml:space="preserve">. Dicha decisión fue apelada por las partes. </w:t>
      </w:r>
    </w:p>
    <w:p w14:paraId="1FFC3723" w14:textId="77777777" w:rsidR="00BA6AD9" w:rsidRPr="00BA6AD9" w:rsidRDefault="00BA6AD9" w:rsidP="00DB4D24">
      <w:pPr>
        <w:jc w:val="both"/>
        <w:rPr>
          <w:rFonts w:asciiTheme="majorHAnsi" w:hAnsiTheme="majorHAnsi"/>
          <w:b/>
          <w:sz w:val="20"/>
          <w:szCs w:val="20"/>
          <w:lang w:val="es-MX"/>
        </w:rPr>
      </w:pPr>
    </w:p>
    <w:p w14:paraId="29DBEC38" w14:textId="77777777" w:rsidR="007F6483" w:rsidRDefault="008A4EDA"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El 17 de marzo de 1999 los miembros de la Sala B de la Cámara Federal de Ap</w:t>
      </w:r>
      <w:r w:rsidR="008C1CAC">
        <w:rPr>
          <w:rFonts w:asciiTheme="majorHAnsi" w:hAnsiTheme="majorHAnsi"/>
          <w:sz w:val="20"/>
          <w:szCs w:val="20"/>
          <w:lang w:val="es-MX"/>
        </w:rPr>
        <w:t xml:space="preserve">elaciones de Mendoza confirmaron la </w:t>
      </w:r>
      <w:r w:rsidR="00183051">
        <w:rPr>
          <w:rFonts w:asciiTheme="majorHAnsi" w:hAnsiTheme="majorHAnsi"/>
          <w:sz w:val="20"/>
          <w:szCs w:val="20"/>
          <w:lang w:val="es-MX"/>
        </w:rPr>
        <w:t>condena</w:t>
      </w:r>
      <w:r w:rsidR="008C1CAC">
        <w:rPr>
          <w:rFonts w:asciiTheme="majorHAnsi" w:hAnsiTheme="majorHAnsi"/>
          <w:sz w:val="20"/>
          <w:szCs w:val="20"/>
          <w:lang w:val="es-MX"/>
        </w:rPr>
        <w:t xml:space="preserve"> a la presunta víctima por el </w:t>
      </w:r>
      <w:r w:rsidR="008C1CAC" w:rsidRPr="00AF63E7">
        <w:rPr>
          <w:rFonts w:asciiTheme="majorHAnsi" w:hAnsiTheme="majorHAnsi"/>
          <w:sz w:val="20"/>
          <w:szCs w:val="20"/>
          <w:lang w:val="es-MX"/>
        </w:rPr>
        <w:t>delito de subversión económica</w:t>
      </w:r>
      <w:r w:rsidR="00CC2404" w:rsidRPr="00AF63E7">
        <w:rPr>
          <w:rFonts w:asciiTheme="majorHAnsi" w:hAnsiTheme="majorHAnsi"/>
          <w:sz w:val="20"/>
          <w:szCs w:val="20"/>
          <w:lang w:val="es-MX"/>
        </w:rPr>
        <w:t xml:space="preserve"> pero</w:t>
      </w:r>
      <w:r w:rsidR="00CC2404">
        <w:rPr>
          <w:rFonts w:asciiTheme="majorHAnsi" w:hAnsiTheme="majorHAnsi"/>
          <w:sz w:val="20"/>
          <w:szCs w:val="20"/>
          <w:lang w:val="es-MX"/>
        </w:rPr>
        <w:t xml:space="preserve"> procedieron a modificar y unificar la pena con la impuesta en la condena </w:t>
      </w:r>
      <w:r w:rsidR="008C1CAC">
        <w:rPr>
          <w:rFonts w:asciiTheme="majorHAnsi" w:hAnsiTheme="majorHAnsi"/>
          <w:sz w:val="20"/>
          <w:szCs w:val="20"/>
          <w:lang w:val="es-MX"/>
        </w:rPr>
        <w:t>por el delito de monopolio, a la pena de</w:t>
      </w:r>
      <w:r w:rsidR="00BA6AD9" w:rsidRPr="008C1CAC">
        <w:rPr>
          <w:rFonts w:asciiTheme="majorHAnsi" w:hAnsiTheme="majorHAnsi"/>
          <w:sz w:val="20"/>
          <w:szCs w:val="20"/>
          <w:lang w:val="es-MX"/>
        </w:rPr>
        <w:t xml:space="preserve"> </w:t>
      </w:r>
      <w:r w:rsidR="006857F3">
        <w:rPr>
          <w:rFonts w:asciiTheme="majorHAnsi" w:hAnsiTheme="majorHAnsi"/>
          <w:sz w:val="20"/>
          <w:szCs w:val="20"/>
          <w:lang w:val="es-MX"/>
        </w:rPr>
        <w:t>cuatro</w:t>
      </w:r>
      <w:r w:rsidR="00BA6AD9" w:rsidRPr="008C1CAC">
        <w:rPr>
          <w:rFonts w:asciiTheme="majorHAnsi" w:hAnsiTheme="majorHAnsi"/>
          <w:sz w:val="20"/>
          <w:szCs w:val="20"/>
          <w:lang w:val="es-MX"/>
        </w:rPr>
        <w:t xml:space="preserve"> años y </w:t>
      </w:r>
      <w:r w:rsidR="006857F3">
        <w:rPr>
          <w:rFonts w:asciiTheme="majorHAnsi" w:hAnsiTheme="majorHAnsi"/>
          <w:sz w:val="20"/>
          <w:szCs w:val="20"/>
          <w:lang w:val="es-MX"/>
        </w:rPr>
        <w:t>seis</w:t>
      </w:r>
      <w:r w:rsidR="00BA6AD9" w:rsidRPr="008C1CAC">
        <w:rPr>
          <w:rFonts w:asciiTheme="majorHAnsi" w:hAnsiTheme="majorHAnsi"/>
          <w:sz w:val="20"/>
          <w:szCs w:val="20"/>
          <w:lang w:val="es-MX"/>
        </w:rPr>
        <w:t xml:space="preserve"> meses de pena privativa de liber</w:t>
      </w:r>
      <w:r w:rsidR="00CC2404">
        <w:rPr>
          <w:rFonts w:asciiTheme="majorHAnsi" w:hAnsiTheme="majorHAnsi"/>
          <w:sz w:val="20"/>
          <w:szCs w:val="20"/>
          <w:lang w:val="es-MX"/>
        </w:rPr>
        <w:t xml:space="preserve">tad, </w:t>
      </w:r>
      <w:r w:rsidR="006857F3">
        <w:rPr>
          <w:rFonts w:asciiTheme="majorHAnsi" w:hAnsiTheme="majorHAnsi"/>
          <w:sz w:val="20"/>
          <w:szCs w:val="20"/>
          <w:lang w:val="es-MX"/>
        </w:rPr>
        <w:t>cinco</w:t>
      </w:r>
      <w:r w:rsidR="00CC2404">
        <w:rPr>
          <w:rFonts w:asciiTheme="majorHAnsi" w:hAnsiTheme="majorHAnsi"/>
          <w:sz w:val="20"/>
          <w:szCs w:val="20"/>
          <w:lang w:val="es-MX"/>
        </w:rPr>
        <w:t xml:space="preserve"> años de inhabilitación y </w:t>
      </w:r>
      <w:r w:rsidR="00BA6AD9" w:rsidRPr="008C1CAC">
        <w:rPr>
          <w:rFonts w:asciiTheme="majorHAnsi" w:hAnsiTheme="majorHAnsi"/>
          <w:sz w:val="20"/>
          <w:szCs w:val="20"/>
          <w:lang w:val="es-MX"/>
        </w:rPr>
        <w:t>el pago de una reparación económica</w:t>
      </w:r>
      <w:r w:rsidR="00BA6AD9" w:rsidRPr="00BA6AD9">
        <w:rPr>
          <w:rStyle w:val="FootnoteReference"/>
          <w:rFonts w:asciiTheme="majorHAnsi" w:hAnsiTheme="majorHAnsi"/>
          <w:sz w:val="20"/>
          <w:szCs w:val="20"/>
          <w:lang w:val="es-MX"/>
        </w:rPr>
        <w:footnoteReference w:id="22"/>
      </w:r>
      <w:r w:rsidR="00BA6AD9" w:rsidRPr="008C1CAC">
        <w:rPr>
          <w:rFonts w:asciiTheme="majorHAnsi" w:hAnsiTheme="majorHAnsi"/>
          <w:sz w:val="20"/>
          <w:szCs w:val="20"/>
          <w:lang w:val="es-MX"/>
        </w:rPr>
        <w:t>.</w:t>
      </w:r>
      <w:r w:rsidR="00CE0CCB">
        <w:rPr>
          <w:rFonts w:asciiTheme="majorHAnsi" w:hAnsiTheme="majorHAnsi"/>
          <w:sz w:val="20"/>
          <w:szCs w:val="20"/>
          <w:lang w:val="es-MX"/>
        </w:rPr>
        <w:t xml:space="preserve"> </w:t>
      </w:r>
      <w:r w:rsidR="00CE0CCB" w:rsidRPr="00821958">
        <w:rPr>
          <w:rFonts w:asciiTheme="majorHAnsi" w:hAnsiTheme="majorHAnsi"/>
          <w:sz w:val="20"/>
          <w:szCs w:val="20"/>
          <w:lang w:val="es-MX"/>
        </w:rPr>
        <w:t>En dicha decisión</w:t>
      </w:r>
      <w:r w:rsidR="00CC2404" w:rsidRPr="00821958">
        <w:rPr>
          <w:rFonts w:asciiTheme="majorHAnsi" w:hAnsiTheme="majorHAnsi"/>
          <w:sz w:val="20"/>
          <w:szCs w:val="20"/>
          <w:lang w:val="es-MX"/>
        </w:rPr>
        <w:t>,</w:t>
      </w:r>
      <w:r w:rsidR="00CE0CCB" w:rsidRPr="00821958">
        <w:rPr>
          <w:rFonts w:asciiTheme="majorHAnsi" w:hAnsiTheme="majorHAnsi"/>
          <w:sz w:val="20"/>
          <w:szCs w:val="20"/>
          <w:lang w:val="es-MX"/>
        </w:rPr>
        <w:t xml:space="preserve"> </w:t>
      </w:r>
      <w:r w:rsidR="00CC2404" w:rsidRPr="00821958">
        <w:rPr>
          <w:rFonts w:asciiTheme="majorHAnsi" w:hAnsiTheme="majorHAnsi"/>
          <w:sz w:val="20"/>
          <w:szCs w:val="20"/>
          <w:lang w:val="es-MX"/>
        </w:rPr>
        <w:t>se</w:t>
      </w:r>
      <w:r w:rsidR="00CE0CCB" w:rsidRPr="00821958">
        <w:rPr>
          <w:rFonts w:asciiTheme="majorHAnsi" w:hAnsiTheme="majorHAnsi"/>
          <w:sz w:val="20"/>
          <w:szCs w:val="20"/>
          <w:lang w:val="es-MX"/>
        </w:rPr>
        <w:t xml:space="preserve"> </w:t>
      </w:r>
      <w:r w:rsidR="00CC2404" w:rsidRPr="00821958">
        <w:rPr>
          <w:rFonts w:asciiTheme="majorHAnsi" w:hAnsiTheme="majorHAnsi"/>
          <w:sz w:val="20"/>
          <w:szCs w:val="20"/>
          <w:lang w:val="es-MX"/>
        </w:rPr>
        <w:t>determinó</w:t>
      </w:r>
      <w:r w:rsidR="00CE0CCB" w:rsidRPr="00821958">
        <w:rPr>
          <w:rFonts w:asciiTheme="majorHAnsi" w:hAnsiTheme="majorHAnsi"/>
          <w:sz w:val="20"/>
          <w:szCs w:val="20"/>
          <w:lang w:val="es-MX"/>
        </w:rPr>
        <w:t xml:space="preserve"> </w:t>
      </w:r>
      <w:r w:rsidR="00CC2404" w:rsidRPr="00821958">
        <w:rPr>
          <w:rFonts w:asciiTheme="majorHAnsi" w:hAnsiTheme="majorHAnsi"/>
          <w:sz w:val="20"/>
          <w:szCs w:val="20"/>
          <w:lang w:val="es-MX"/>
        </w:rPr>
        <w:t>“dejar sin efecto la excarcelación concedida a Ángel Pedro Falanga (…) ordenando, en consecuencia, su inmediata detención</w:t>
      </w:r>
      <w:r w:rsidR="007446C7">
        <w:rPr>
          <w:rFonts w:asciiTheme="majorHAnsi" w:hAnsiTheme="majorHAnsi"/>
          <w:sz w:val="20"/>
          <w:szCs w:val="20"/>
          <w:lang w:val="es-MX"/>
        </w:rPr>
        <w:t>”</w:t>
      </w:r>
      <w:r w:rsidR="007446C7" w:rsidRPr="00BA6AD9">
        <w:rPr>
          <w:rStyle w:val="FootnoteReference"/>
          <w:rFonts w:asciiTheme="majorHAnsi" w:hAnsiTheme="majorHAnsi"/>
          <w:sz w:val="20"/>
          <w:szCs w:val="20"/>
          <w:lang w:val="es-MX"/>
        </w:rPr>
        <w:footnoteReference w:id="23"/>
      </w:r>
      <w:r w:rsidR="00CC2404" w:rsidRPr="00821958">
        <w:rPr>
          <w:rFonts w:asciiTheme="majorHAnsi" w:hAnsiTheme="majorHAnsi"/>
          <w:sz w:val="20"/>
          <w:szCs w:val="20"/>
          <w:lang w:val="es-MX"/>
        </w:rPr>
        <w:t>.</w:t>
      </w:r>
      <w:r w:rsidR="007F6483">
        <w:rPr>
          <w:rFonts w:asciiTheme="majorHAnsi" w:hAnsiTheme="majorHAnsi"/>
          <w:sz w:val="20"/>
          <w:szCs w:val="20"/>
          <w:lang w:val="es-MX"/>
        </w:rPr>
        <w:t xml:space="preserve"> </w:t>
      </w:r>
    </w:p>
    <w:p w14:paraId="7501E427" w14:textId="77777777" w:rsidR="007F6483" w:rsidRDefault="007F6483" w:rsidP="00DB4D24">
      <w:pPr>
        <w:pStyle w:val="ListParagraph"/>
        <w:rPr>
          <w:rFonts w:asciiTheme="majorHAnsi" w:hAnsiTheme="majorHAnsi"/>
          <w:sz w:val="20"/>
          <w:szCs w:val="20"/>
          <w:lang w:val="es-MX"/>
        </w:rPr>
      </w:pPr>
    </w:p>
    <w:p w14:paraId="649A94C4" w14:textId="77777777" w:rsidR="005C0DB6" w:rsidRDefault="007F648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Dicha decisión fue apelada por la presunta víctima.  Finalmente, el 20 de febrero de 2001 </w:t>
      </w:r>
      <w:r w:rsidRPr="007F6483">
        <w:rPr>
          <w:rFonts w:asciiTheme="majorHAnsi" w:hAnsiTheme="majorHAnsi"/>
          <w:sz w:val="20"/>
          <w:szCs w:val="20"/>
          <w:lang w:val="es-MX"/>
        </w:rPr>
        <w:t>la Corte Suprema de Justicia de la Nación denegó el recurso extraordinario interpuesto</w:t>
      </w:r>
      <w:r w:rsidR="0079396D">
        <w:rPr>
          <w:rFonts w:asciiTheme="majorHAnsi" w:hAnsiTheme="majorHAnsi"/>
          <w:sz w:val="20"/>
          <w:szCs w:val="20"/>
          <w:lang w:val="es-MX"/>
        </w:rPr>
        <w:t xml:space="preserve"> por lo que quedó en firme la decisión indicada en el párrafo anterior</w:t>
      </w:r>
      <w:r w:rsidRPr="007F6483">
        <w:rPr>
          <w:rFonts w:asciiTheme="majorHAnsi" w:hAnsiTheme="majorHAnsi"/>
          <w:sz w:val="20"/>
          <w:szCs w:val="20"/>
          <w:lang w:val="es-MX"/>
        </w:rPr>
        <w:t xml:space="preserve">.  En dicha decisión </w:t>
      </w:r>
      <w:r w:rsidR="0079396D">
        <w:rPr>
          <w:rFonts w:asciiTheme="majorHAnsi" w:hAnsiTheme="majorHAnsi"/>
          <w:sz w:val="20"/>
          <w:szCs w:val="20"/>
          <w:lang w:val="es-MX"/>
        </w:rPr>
        <w:t>la Corte Suprema indicó que “</w:t>
      </w:r>
      <w:r w:rsidRPr="0079396D">
        <w:rPr>
          <w:rFonts w:asciiTheme="majorHAnsi" w:hAnsiTheme="majorHAnsi"/>
          <w:sz w:val="20"/>
          <w:szCs w:val="20"/>
          <w:lang w:val="es-MX"/>
        </w:rPr>
        <w:t xml:space="preserve">los recursos extraordinarios concedidos a fs. 6984/6989 son inadmisibles (art. 280 del Código Procesal Civil y Comercial de </w:t>
      </w:r>
      <w:r w:rsidRPr="0079396D">
        <w:rPr>
          <w:rFonts w:asciiTheme="majorHAnsi" w:hAnsiTheme="majorHAnsi"/>
          <w:sz w:val="20"/>
          <w:szCs w:val="20"/>
          <w:lang w:val="es-MX"/>
        </w:rPr>
        <w:lastRenderedPageBreak/>
        <w:t>la Nación). Por ello se declaran improcedentes los recursos extraordinarios interpuestos. Hágase saber y devuélvase</w:t>
      </w:r>
      <w:r w:rsidR="0079396D">
        <w:rPr>
          <w:rFonts w:asciiTheme="majorHAnsi" w:hAnsiTheme="majorHAnsi"/>
          <w:sz w:val="20"/>
          <w:szCs w:val="20"/>
          <w:lang w:val="es-MX"/>
        </w:rPr>
        <w:t>”</w:t>
      </w:r>
      <w:r>
        <w:rPr>
          <w:rStyle w:val="FootnoteReference"/>
          <w:rFonts w:asciiTheme="majorHAnsi" w:hAnsiTheme="majorHAnsi"/>
          <w:sz w:val="20"/>
          <w:szCs w:val="20"/>
          <w:lang w:val="es-MX"/>
        </w:rPr>
        <w:footnoteReference w:id="24"/>
      </w:r>
      <w:r w:rsidRPr="0079396D">
        <w:rPr>
          <w:rFonts w:asciiTheme="majorHAnsi" w:hAnsiTheme="majorHAnsi"/>
          <w:sz w:val="20"/>
          <w:szCs w:val="20"/>
          <w:lang w:val="es-MX"/>
        </w:rPr>
        <w:t>.</w:t>
      </w:r>
    </w:p>
    <w:p w14:paraId="194A12ED" w14:textId="77777777" w:rsidR="007F6483" w:rsidRPr="0079396D" w:rsidRDefault="007F6483" w:rsidP="005C0DB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r w:rsidRPr="0079396D">
        <w:rPr>
          <w:rFonts w:asciiTheme="majorHAnsi" w:hAnsiTheme="majorHAnsi"/>
          <w:sz w:val="20"/>
          <w:szCs w:val="20"/>
          <w:lang w:val="es-MX"/>
        </w:rPr>
        <w:t xml:space="preserve"> </w:t>
      </w:r>
    </w:p>
    <w:p w14:paraId="49C4BAE8" w14:textId="77777777" w:rsidR="00CE0CCB" w:rsidRPr="00397B14" w:rsidRDefault="00821958" w:rsidP="00397B14">
      <w:pPr>
        <w:pStyle w:val="Heading2"/>
      </w:pPr>
      <w:bookmarkStart w:id="26" w:name="_Toc5369473"/>
      <w:bookmarkStart w:id="27" w:name="_Toc99959080"/>
      <w:r w:rsidRPr="00397B14">
        <w:t>Acción de hábeas corpus</w:t>
      </w:r>
      <w:bookmarkEnd w:id="26"/>
      <w:bookmarkEnd w:id="27"/>
    </w:p>
    <w:p w14:paraId="1B432196" w14:textId="77777777" w:rsidR="008C1CAC" w:rsidRPr="008C1CAC" w:rsidRDefault="008C1CAC"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796C4005" w14:textId="77777777" w:rsidR="00C06B32" w:rsidRDefault="00C06B32"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El 27 de marzo de 2001 la presunta víctima interpuso un recurso de habeas corpus, “solicitando la declaración de inconstitucionalidad de las futuras disposiciones que ordenen la ejecución de la sentencia privándome de mi libertad personal”. Al respecto, argumentó que “a pesar del tiempo transcurrido, de haber sufrido cárcel y otros vejámenes y no haber podido obtener la restitución de mis bienes, mi situación continúa siendo incierta, pues después de 21 años de proceso se pretende hacer efectiva una sentencia en mi contra que contraría en forma flagrante las garantías amparadas por el texto constitucional y en los pactos internacionales que comparte su jerarquía”</w:t>
      </w:r>
      <w:r>
        <w:rPr>
          <w:rStyle w:val="FootnoteReference"/>
          <w:rFonts w:asciiTheme="majorHAnsi" w:hAnsiTheme="majorHAnsi"/>
          <w:sz w:val="20"/>
          <w:szCs w:val="20"/>
          <w:lang w:val="es-VE"/>
        </w:rPr>
        <w:footnoteReference w:id="25"/>
      </w:r>
      <w:r>
        <w:rPr>
          <w:rFonts w:asciiTheme="majorHAnsi" w:hAnsiTheme="majorHAnsi"/>
          <w:sz w:val="20"/>
          <w:szCs w:val="20"/>
          <w:lang w:val="es-MX"/>
        </w:rPr>
        <w:t xml:space="preserve">. </w:t>
      </w:r>
    </w:p>
    <w:p w14:paraId="48E0F96D" w14:textId="77777777" w:rsidR="00C06B32" w:rsidRDefault="00C06B32"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79CD9CF1" w14:textId="77777777" w:rsidR="00C06B32" w:rsidRPr="00686530" w:rsidRDefault="00C06B32"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El 24 de abril de 2001 el Juez Federal a cargo declaró con lugar la acción de habeas corpus y determinó la inconstitucionalidad del cumplimiento efectivo de la pena impuesta a la presunta víctima por lo que ordenó al Juez Subrogante del Primer Juzgado Federal de Mendoza en la causa Nro. 40.07-B que suspenda la ejecución de sentencia contra el señor Falanga.  </w:t>
      </w:r>
      <w:r w:rsidRPr="00686530">
        <w:rPr>
          <w:rFonts w:asciiTheme="majorHAnsi" w:hAnsiTheme="majorHAnsi"/>
          <w:sz w:val="20"/>
          <w:szCs w:val="20"/>
          <w:lang w:val="es-MX"/>
        </w:rPr>
        <w:t>Dicho Juez razonó que:</w:t>
      </w:r>
    </w:p>
    <w:p w14:paraId="600ABB4A" w14:textId="77777777" w:rsidR="00C06B32" w:rsidRDefault="00C06B32" w:rsidP="00DB4D24">
      <w:pPr>
        <w:rPr>
          <w:rFonts w:asciiTheme="majorHAnsi" w:hAnsiTheme="majorHAnsi"/>
          <w:sz w:val="20"/>
          <w:szCs w:val="20"/>
          <w:lang w:val="es-MX"/>
        </w:rPr>
      </w:pPr>
    </w:p>
    <w:p w14:paraId="16BFFBE6" w14:textId="77777777" w:rsidR="00C06B32" w:rsidRPr="00EA5249" w:rsidRDefault="00C06B32"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xml:space="preserve">(…) tengo la íntima convicción y surge de datos objetivos que Falanga es una persona que se ha reinsertado en la sociedad. En tal situación el encierro en la Penitenciaría carece de sentido; es más, no tengo dudas que sería contraproducente. </w:t>
      </w:r>
    </w:p>
    <w:p w14:paraId="5E2F5D40" w14:textId="77777777" w:rsidR="00C06B32" w:rsidRPr="00EA5249" w:rsidRDefault="00C06B32"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5A195104" w14:textId="77777777" w:rsidR="00C06B32" w:rsidRPr="00EA5249" w:rsidRDefault="00C06B32"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 el extenso período que duró este proceso (más de veinte años) es la causa directa por la</w:t>
      </w:r>
      <w:r w:rsidR="0079396D" w:rsidRPr="00EA5249">
        <w:rPr>
          <w:rFonts w:asciiTheme="majorHAnsi" w:hAnsiTheme="majorHAnsi"/>
          <w:sz w:val="18"/>
          <w:szCs w:val="18"/>
          <w:lang w:val="es-ES"/>
        </w:rPr>
        <w:t xml:space="preserve"> que la</w:t>
      </w:r>
      <w:r w:rsidRPr="00EA5249">
        <w:rPr>
          <w:rFonts w:asciiTheme="majorHAnsi" w:hAnsiTheme="majorHAnsi"/>
          <w:sz w:val="18"/>
          <w:szCs w:val="18"/>
          <w:lang w:val="es-ES"/>
        </w:rPr>
        <w:t xml:space="preserve"> pena de cumplimiento efectivo estaría vacía de contenido. La prevención general y especial, se efectivizaron precisamente, por el transcurso de los años.  </w:t>
      </w:r>
    </w:p>
    <w:p w14:paraId="1845EE75" w14:textId="77777777" w:rsidR="00C06B32" w:rsidRPr="00EA5249" w:rsidRDefault="00C06B32"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p>
    <w:p w14:paraId="4DD9B67A" w14:textId="77777777" w:rsidR="00C06B32" w:rsidRPr="00EA5249" w:rsidRDefault="00C06B32" w:rsidP="00EA524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360" w:right="360"/>
        <w:jc w:val="both"/>
        <w:rPr>
          <w:rFonts w:asciiTheme="majorHAnsi" w:hAnsiTheme="majorHAnsi"/>
          <w:sz w:val="18"/>
          <w:szCs w:val="18"/>
          <w:lang w:val="es-ES"/>
        </w:rPr>
      </w:pPr>
      <w:r w:rsidRPr="00EA5249">
        <w:rPr>
          <w:rFonts w:asciiTheme="majorHAnsi" w:hAnsiTheme="majorHAnsi"/>
          <w:sz w:val="18"/>
          <w:szCs w:val="18"/>
          <w:lang w:val="es-ES"/>
        </w:rPr>
        <w:t>Por todo lo expuesto, entiendo que la detención de Ángel Pedro Falanga, en cumplimiento de la sentencia firme de fs. 6770/6806 de los autos Nro. 40107-B, carece de finalidad en tanto y en cuanto no cumple con los fines de prevención general y especial de la pena, lo que constituye la esencia de la misma.  (…)</w:t>
      </w:r>
      <w:r w:rsidRPr="00EA5249">
        <w:rPr>
          <w:sz w:val="18"/>
          <w:szCs w:val="18"/>
          <w:lang w:val="es-ES"/>
        </w:rPr>
        <w:footnoteReference w:id="26"/>
      </w:r>
      <w:r w:rsidRPr="00EA5249">
        <w:rPr>
          <w:rFonts w:asciiTheme="majorHAnsi" w:hAnsiTheme="majorHAnsi"/>
          <w:sz w:val="18"/>
          <w:szCs w:val="18"/>
          <w:lang w:val="es-ES"/>
        </w:rPr>
        <w:t xml:space="preserve">. </w:t>
      </w:r>
    </w:p>
    <w:p w14:paraId="343A3419" w14:textId="77777777" w:rsidR="00C06B32" w:rsidRDefault="00C06B32"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37ED6B63" w14:textId="77777777" w:rsidR="00C06B32" w:rsidRDefault="00C06B32"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El 25 de abril de 2001 el Ministerio Público de la Nación presentó un recurso de apelación contra dicha decisión, argumentando que “de modo alguno un juez de primera instancia puede cuestionar por vía del recurso de hábeas corpus la ejecutoriedad de una sentencia firme con autoridad de cosa juzgada todo lo cual amerita desestimar el recurso que se ha intentado”</w:t>
      </w:r>
      <w:r>
        <w:rPr>
          <w:rStyle w:val="FootnoteReference"/>
          <w:rFonts w:asciiTheme="majorHAnsi" w:hAnsiTheme="majorHAnsi"/>
          <w:sz w:val="20"/>
          <w:szCs w:val="20"/>
          <w:lang w:val="es-MX"/>
        </w:rPr>
        <w:footnoteReference w:id="27"/>
      </w:r>
      <w:r>
        <w:rPr>
          <w:rFonts w:asciiTheme="majorHAnsi" w:hAnsiTheme="majorHAnsi"/>
          <w:sz w:val="20"/>
          <w:szCs w:val="20"/>
          <w:lang w:val="es-MX"/>
        </w:rPr>
        <w:t>.  En virtud de lo anterior las actuaciones fueron elevadas a la Cámara Federal de Apelaciones de Mendoza</w:t>
      </w:r>
      <w:r>
        <w:rPr>
          <w:rStyle w:val="FootnoteReference"/>
          <w:rFonts w:asciiTheme="majorHAnsi" w:hAnsiTheme="majorHAnsi"/>
          <w:sz w:val="20"/>
          <w:szCs w:val="20"/>
          <w:lang w:val="es-MX"/>
        </w:rPr>
        <w:footnoteReference w:id="28"/>
      </w:r>
      <w:r>
        <w:rPr>
          <w:rFonts w:asciiTheme="majorHAnsi" w:hAnsiTheme="majorHAnsi"/>
          <w:sz w:val="20"/>
          <w:szCs w:val="20"/>
          <w:lang w:val="es-MX"/>
        </w:rPr>
        <w:t xml:space="preserve">. </w:t>
      </w:r>
    </w:p>
    <w:p w14:paraId="2A3D99AC" w14:textId="77777777" w:rsidR="00C06B32" w:rsidRDefault="00C06B32"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183D13C2" w14:textId="77777777" w:rsidR="00C82ABB" w:rsidRDefault="00C06B32"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La </w:t>
      </w:r>
      <w:r w:rsidRPr="000E6C35">
        <w:rPr>
          <w:rFonts w:asciiTheme="majorHAnsi" w:hAnsiTheme="majorHAnsi"/>
          <w:sz w:val="20"/>
          <w:szCs w:val="20"/>
          <w:lang w:val="es-MX"/>
        </w:rPr>
        <w:t>Cámara Federal de Apelaciones de Mendoza confirmó</w:t>
      </w:r>
      <w:r>
        <w:rPr>
          <w:rFonts w:asciiTheme="majorHAnsi" w:hAnsiTheme="majorHAnsi"/>
          <w:sz w:val="20"/>
          <w:szCs w:val="20"/>
          <w:lang w:val="es-MX"/>
        </w:rPr>
        <w:t xml:space="preserve"> la decisión de otorgar el hábeas corpus por lo que el 11 de septiembre de 2002 el Ministerio Público presentó un recurso extraordinario. En el mismo indicó que “en la sentencia recurrida, se omite el examen de las cuestiones sustanciales de derechos invocadas oportunamente por éste Ministerio y no implica una conclusión razonada del derecho vigente, sino que, por el contrario, se aparta del ordenamiento constitucional y legal para aportar una solución únicamente fundada en la voluntad de los jueces, incluyendo</w:t>
      </w:r>
      <w:r w:rsidR="009A36D4">
        <w:rPr>
          <w:rFonts w:asciiTheme="majorHAnsi" w:hAnsiTheme="majorHAnsi"/>
          <w:sz w:val="20"/>
          <w:szCs w:val="20"/>
          <w:lang w:val="es-MX"/>
        </w:rPr>
        <w:t xml:space="preserve"> </w:t>
      </w:r>
      <w:r>
        <w:rPr>
          <w:rFonts w:asciiTheme="majorHAnsi" w:hAnsiTheme="majorHAnsi"/>
          <w:sz w:val="20"/>
          <w:szCs w:val="20"/>
          <w:lang w:val="es-MX"/>
        </w:rPr>
        <w:t>-tal como se ha demostrado- omisiones y desaciertos de extrema gravedad”</w:t>
      </w:r>
      <w:r w:rsidRPr="0051116D">
        <w:rPr>
          <w:rStyle w:val="FootnoteReference"/>
          <w:rFonts w:asciiTheme="majorHAnsi" w:hAnsiTheme="majorHAnsi"/>
          <w:sz w:val="20"/>
          <w:szCs w:val="20"/>
          <w:lang w:val="es-MX"/>
        </w:rPr>
        <w:t xml:space="preserve"> </w:t>
      </w:r>
      <w:r>
        <w:rPr>
          <w:rStyle w:val="FootnoteReference"/>
          <w:rFonts w:asciiTheme="majorHAnsi" w:hAnsiTheme="majorHAnsi"/>
          <w:sz w:val="20"/>
          <w:szCs w:val="20"/>
          <w:lang w:val="es-MX"/>
        </w:rPr>
        <w:footnoteReference w:id="29"/>
      </w:r>
      <w:r>
        <w:rPr>
          <w:rFonts w:asciiTheme="majorHAnsi" w:hAnsiTheme="majorHAnsi"/>
          <w:sz w:val="20"/>
          <w:szCs w:val="20"/>
          <w:lang w:val="es-MX"/>
        </w:rPr>
        <w:t>.</w:t>
      </w:r>
      <w:r w:rsidR="006717A7">
        <w:rPr>
          <w:rFonts w:asciiTheme="majorHAnsi" w:hAnsiTheme="majorHAnsi"/>
          <w:sz w:val="20"/>
          <w:szCs w:val="20"/>
          <w:lang w:val="es-MX"/>
        </w:rPr>
        <w:t xml:space="preserve"> Según informó el Estado,</w:t>
      </w:r>
      <w:r w:rsidR="000817B2">
        <w:rPr>
          <w:rFonts w:asciiTheme="majorHAnsi" w:hAnsiTheme="majorHAnsi"/>
          <w:sz w:val="20"/>
          <w:szCs w:val="20"/>
          <w:lang w:val="es-MX"/>
        </w:rPr>
        <w:t xml:space="preserve"> este recurso </w:t>
      </w:r>
      <w:r w:rsidR="006717A7">
        <w:rPr>
          <w:rFonts w:asciiTheme="majorHAnsi" w:hAnsiTheme="majorHAnsi"/>
          <w:sz w:val="20"/>
          <w:szCs w:val="20"/>
          <w:lang w:val="es-MX"/>
        </w:rPr>
        <w:t>fue rechazado por la Corte Suprema de Justicia el 5 de septiembre de 2006.</w:t>
      </w:r>
    </w:p>
    <w:p w14:paraId="7A2BBCC2" w14:textId="77777777" w:rsidR="00F66C86" w:rsidRPr="00FA4183" w:rsidRDefault="00F66C86"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32E4C375" w14:textId="77777777" w:rsidR="00BA6AD9" w:rsidRPr="00397B14" w:rsidRDefault="002C6AC8" w:rsidP="00397B14">
      <w:pPr>
        <w:pStyle w:val="Heading2"/>
      </w:pPr>
      <w:bookmarkStart w:id="28" w:name="_Toc5369474"/>
      <w:bookmarkStart w:id="29" w:name="_Toc99959081"/>
      <w:r w:rsidRPr="00397B14">
        <w:lastRenderedPageBreak/>
        <w:t>Restricciones a la libertad en el marco de los procesos penales</w:t>
      </w:r>
      <w:bookmarkEnd w:id="28"/>
      <w:bookmarkEnd w:id="29"/>
      <w:r w:rsidRPr="00397B14">
        <w:t xml:space="preserve"> </w:t>
      </w:r>
    </w:p>
    <w:p w14:paraId="0D2B3719" w14:textId="77777777" w:rsidR="00BA6AD9" w:rsidRPr="00BA6AD9" w:rsidRDefault="00BA6AD9" w:rsidP="00DB4D24">
      <w:pPr>
        <w:jc w:val="both"/>
        <w:rPr>
          <w:rFonts w:asciiTheme="majorHAnsi" w:hAnsiTheme="majorHAnsi"/>
          <w:b/>
          <w:sz w:val="20"/>
          <w:szCs w:val="20"/>
          <w:lang w:val="es-MX"/>
        </w:rPr>
      </w:pPr>
    </w:p>
    <w:p w14:paraId="4DED7A85" w14:textId="77777777" w:rsidR="00DB60E8" w:rsidRDefault="00FA418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La Comisión subraya que durante la tramitación de los procesos penales en contra de la presunta víctima, que tuvieron una duración de más de </w:t>
      </w:r>
      <w:r w:rsidR="007446C7">
        <w:rPr>
          <w:rFonts w:asciiTheme="majorHAnsi" w:hAnsiTheme="majorHAnsi"/>
          <w:sz w:val="20"/>
          <w:szCs w:val="20"/>
          <w:lang w:val="es-MX"/>
        </w:rPr>
        <w:t>20</w:t>
      </w:r>
      <w:r w:rsidR="00DB60E8">
        <w:rPr>
          <w:rFonts w:asciiTheme="majorHAnsi" w:hAnsiTheme="majorHAnsi"/>
          <w:sz w:val="20"/>
          <w:szCs w:val="20"/>
          <w:lang w:val="es-MX"/>
        </w:rPr>
        <w:t xml:space="preserve"> años, esta fue sometida a diversos regímenes de restricción a su libertad personal</w:t>
      </w:r>
      <w:r w:rsidR="004C4AA3">
        <w:rPr>
          <w:rFonts w:asciiTheme="majorHAnsi" w:hAnsiTheme="majorHAnsi"/>
          <w:sz w:val="20"/>
          <w:szCs w:val="20"/>
          <w:lang w:val="es-MX"/>
        </w:rPr>
        <w:t xml:space="preserve"> y de circulación.</w:t>
      </w:r>
      <w:r w:rsidR="00DB60E8">
        <w:rPr>
          <w:rFonts w:asciiTheme="majorHAnsi" w:hAnsiTheme="majorHAnsi"/>
          <w:sz w:val="20"/>
          <w:szCs w:val="20"/>
          <w:lang w:val="es-MX"/>
        </w:rPr>
        <w:t xml:space="preserve"> </w:t>
      </w:r>
    </w:p>
    <w:p w14:paraId="2A822240" w14:textId="77777777" w:rsidR="00DB60E8" w:rsidRDefault="00DB60E8"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5D68B43C" w14:textId="77777777" w:rsidR="002C6AC8" w:rsidRDefault="00DB60E8"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En particular,</w:t>
      </w:r>
      <w:r w:rsidR="0018006E">
        <w:rPr>
          <w:rFonts w:asciiTheme="majorHAnsi" w:hAnsiTheme="majorHAnsi"/>
          <w:sz w:val="20"/>
          <w:szCs w:val="20"/>
          <w:lang w:val="es-MX"/>
        </w:rPr>
        <w:t xml:space="preserve"> el señor Falanga </w:t>
      </w:r>
      <w:r>
        <w:rPr>
          <w:rFonts w:asciiTheme="majorHAnsi" w:hAnsiTheme="majorHAnsi"/>
          <w:sz w:val="20"/>
          <w:szCs w:val="20"/>
          <w:lang w:val="es-MX"/>
        </w:rPr>
        <w:t>estuvo privad</w:t>
      </w:r>
      <w:r w:rsidR="0018006E">
        <w:rPr>
          <w:rFonts w:asciiTheme="majorHAnsi" w:hAnsiTheme="majorHAnsi"/>
          <w:sz w:val="20"/>
          <w:szCs w:val="20"/>
          <w:lang w:val="es-MX"/>
        </w:rPr>
        <w:t>o</w:t>
      </w:r>
      <w:r>
        <w:rPr>
          <w:rFonts w:asciiTheme="majorHAnsi" w:hAnsiTheme="majorHAnsi"/>
          <w:sz w:val="20"/>
          <w:szCs w:val="20"/>
          <w:lang w:val="es-MX"/>
        </w:rPr>
        <w:t xml:space="preserve"> de su libertad a partir del 11 de diciembre de 1985 y hasta el 7 de abril de 1986, luego de presentarse espontáneamente ante el Juez Federal de Mendoza</w:t>
      </w:r>
      <w:r w:rsidRPr="00BA6AD9">
        <w:rPr>
          <w:rStyle w:val="FootnoteReference"/>
          <w:rFonts w:asciiTheme="majorHAnsi" w:hAnsiTheme="majorHAnsi"/>
          <w:sz w:val="20"/>
          <w:szCs w:val="20"/>
          <w:lang w:val="es-MX"/>
        </w:rPr>
        <w:footnoteReference w:id="30"/>
      </w:r>
      <w:r>
        <w:rPr>
          <w:rFonts w:asciiTheme="majorHAnsi" w:hAnsiTheme="majorHAnsi"/>
          <w:sz w:val="20"/>
          <w:szCs w:val="20"/>
          <w:lang w:val="es-MX"/>
        </w:rPr>
        <w:t>. Por otra parte estuvo privado de libertad nuevamente desde el 17 de marzo de 1999 cuando se confirmó su sentencia condenatoria por el delito de subversión económica, y hasta el 5 de noviembre de 1999</w:t>
      </w:r>
      <w:r w:rsidR="00BA6AD9" w:rsidRPr="00BA6AD9">
        <w:rPr>
          <w:rStyle w:val="FootnoteReference"/>
          <w:rFonts w:asciiTheme="majorHAnsi" w:hAnsiTheme="majorHAnsi"/>
          <w:sz w:val="20"/>
          <w:szCs w:val="20"/>
          <w:lang w:val="es-MX"/>
        </w:rPr>
        <w:footnoteReference w:id="31"/>
      </w:r>
      <w:r w:rsidR="00BA6AD9" w:rsidRPr="002C6AC8">
        <w:rPr>
          <w:rFonts w:asciiTheme="majorHAnsi" w:hAnsiTheme="majorHAnsi"/>
          <w:sz w:val="20"/>
          <w:szCs w:val="20"/>
          <w:lang w:val="es-MX"/>
        </w:rPr>
        <w:t>.</w:t>
      </w:r>
    </w:p>
    <w:p w14:paraId="14D74A7A" w14:textId="77777777" w:rsidR="00481F8D" w:rsidRDefault="00481F8D" w:rsidP="00DB4D24">
      <w:pPr>
        <w:pStyle w:val="ListParagraph"/>
        <w:rPr>
          <w:rFonts w:asciiTheme="majorHAnsi" w:hAnsiTheme="majorHAnsi"/>
          <w:sz w:val="20"/>
          <w:szCs w:val="20"/>
          <w:lang w:val="es-MX"/>
        </w:rPr>
      </w:pPr>
    </w:p>
    <w:p w14:paraId="2250D448" w14:textId="77777777" w:rsidR="00481F8D" w:rsidRDefault="00481F8D"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El 5 de noviembre de 1999 se le concedió su excarcelación pero se decretaron las medidas de prohibición de salida del país y comparecencia mensual, consistente </w:t>
      </w:r>
      <w:r w:rsidRPr="00DB60E8">
        <w:rPr>
          <w:rFonts w:asciiTheme="majorHAnsi" w:hAnsiTheme="majorHAnsi"/>
          <w:sz w:val="20"/>
          <w:szCs w:val="20"/>
          <w:lang w:val="es-MX"/>
        </w:rPr>
        <w:t>en presentarse todos los días miércoles ante los estrados de la Cámara Federal de Apelaciones de Mendoza y la medida de no poder ausentarse de su domicilio por más de veinticuatro horas sin conocimiento de la autoridad competente.</w:t>
      </w:r>
    </w:p>
    <w:p w14:paraId="11EC9D35" w14:textId="77777777" w:rsidR="002F17C1" w:rsidRPr="002F17C1" w:rsidRDefault="002F17C1" w:rsidP="00DB4D24">
      <w:pPr>
        <w:rPr>
          <w:rFonts w:asciiTheme="majorHAnsi" w:hAnsiTheme="majorHAnsi"/>
          <w:sz w:val="20"/>
          <w:szCs w:val="20"/>
          <w:lang w:val="es-MX"/>
        </w:rPr>
      </w:pPr>
    </w:p>
    <w:p w14:paraId="3D57C5EF" w14:textId="77777777" w:rsidR="00A2669E" w:rsidRDefault="00481F8D"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 xml:space="preserve">Por otra parte, durante la tramitación de los procesos se impuso a la víctima la prohibición de salir del país, por lo que para abandonarlo debía solicitar autorización bajo cauciones económicas o fianzas. </w:t>
      </w:r>
      <w:r w:rsidRPr="00481F8D">
        <w:rPr>
          <w:rFonts w:asciiTheme="majorHAnsi" w:hAnsiTheme="majorHAnsi"/>
          <w:sz w:val="20"/>
          <w:szCs w:val="20"/>
          <w:lang w:val="es-MX"/>
        </w:rPr>
        <w:t>S</w:t>
      </w:r>
      <w:r w:rsidR="00A2669E" w:rsidRPr="00481F8D">
        <w:rPr>
          <w:rFonts w:asciiTheme="majorHAnsi" w:hAnsiTheme="majorHAnsi"/>
          <w:sz w:val="20"/>
          <w:szCs w:val="20"/>
          <w:lang w:val="es-MX"/>
        </w:rPr>
        <w:t xml:space="preserve">egún </w:t>
      </w:r>
      <w:r w:rsidR="006561D3" w:rsidRPr="00481F8D">
        <w:rPr>
          <w:rFonts w:asciiTheme="majorHAnsi" w:hAnsiTheme="majorHAnsi"/>
          <w:sz w:val="20"/>
          <w:szCs w:val="20"/>
          <w:lang w:val="es-MX"/>
        </w:rPr>
        <w:t>consta en el expediente</w:t>
      </w:r>
      <w:r w:rsidR="00A2669E" w:rsidRPr="00481F8D">
        <w:rPr>
          <w:rFonts w:asciiTheme="majorHAnsi" w:hAnsiTheme="majorHAnsi"/>
          <w:sz w:val="20"/>
          <w:szCs w:val="20"/>
          <w:lang w:val="es-MX"/>
        </w:rPr>
        <w:t xml:space="preserve"> la presunta víctima </w:t>
      </w:r>
      <w:r w:rsidR="00BA1539" w:rsidRPr="00481F8D">
        <w:rPr>
          <w:rFonts w:asciiTheme="majorHAnsi" w:hAnsiTheme="majorHAnsi"/>
          <w:sz w:val="20"/>
          <w:szCs w:val="20"/>
          <w:lang w:val="es-MX"/>
        </w:rPr>
        <w:t xml:space="preserve">solicitó y obtuvo </w:t>
      </w:r>
      <w:r w:rsidR="00A2669E" w:rsidRPr="00481F8D">
        <w:rPr>
          <w:rFonts w:asciiTheme="majorHAnsi" w:hAnsiTheme="majorHAnsi"/>
          <w:sz w:val="20"/>
          <w:szCs w:val="20"/>
          <w:lang w:val="es-MX"/>
        </w:rPr>
        <w:t xml:space="preserve">autorizaciones para salir del país bajo </w:t>
      </w:r>
      <w:r w:rsidR="00B7717F" w:rsidRPr="00481F8D">
        <w:rPr>
          <w:rFonts w:asciiTheme="majorHAnsi" w:hAnsiTheme="majorHAnsi"/>
          <w:sz w:val="20"/>
          <w:szCs w:val="20"/>
          <w:lang w:val="es-MX"/>
        </w:rPr>
        <w:t>cauciones económicas</w:t>
      </w:r>
      <w:r w:rsidR="00BA1539" w:rsidRPr="00481F8D">
        <w:rPr>
          <w:rFonts w:asciiTheme="majorHAnsi" w:hAnsiTheme="majorHAnsi"/>
          <w:sz w:val="20"/>
          <w:szCs w:val="20"/>
          <w:lang w:val="es-MX"/>
        </w:rPr>
        <w:t xml:space="preserve"> al menos 15 veces</w:t>
      </w:r>
      <w:r w:rsidR="00B922D0" w:rsidRPr="00481F8D">
        <w:rPr>
          <w:rFonts w:asciiTheme="majorHAnsi" w:hAnsiTheme="majorHAnsi"/>
          <w:sz w:val="20"/>
          <w:szCs w:val="20"/>
          <w:lang w:val="es-MX"/>
        </w:rPr>
        <w:t xml:space="preserve"> </w:t>
      </w:r>
      <w:r w:rsidR="00BA1539" w:rsidRPr="00481F8D">
        <w:rPr>
          <w:rFonts w:asciiTheme="majorHAnsi" w:hAnsiTheme="majorHAnsi"/>
          <w:sz w:val="20"/>
          <w:szCs w:val="20"/>
          <w:lang w:val="es-MX"/>
        </w:rPr>
        <w:t xml:space="preserve"> en las siguientes fechas:</w:t>
      </w:r>
      <w:r w:rsidR="00A2669E" w:rsidRPr="00481F8D">
        <w:rPr>
          <w:rFonts w:asciiTheme="majorHAnsi" w:hAnsiTheme="majorHAnsi"/>
          <w:sz w:val="20"/>
          <w:szCs w:val="20"/>
          <w:lang w:val="es-MX"/>
        </w:rPr>
        <w:t xml:space="preserve"> 22 de marzo de 1989, 4 de diciembre de 1989, 12 de febrero de 1991,</w:t>
      </w:r>
      <w:r w:rsidR="00E260DB" w:rsidRPr="00481F8D">
        <w:rPr>
          <w:rFonts w:asciiTheme="majorHAnsi" w:hAnsiTheme="majorHAnsi"/>
          <w:sz w:val="20"/>
          <w:szCs w:val="20"/>
          <w:lang w:val="es-MX"/>
        </w:rPr>
        <w:t xml:space="preserve"> 12 de julio de 1994, 1 de marzo de 1995, 1 de mayo de 1995, </w:t>
      </w:r>
      <w:r w:rsidR="00AF0E51" w:rsidRPr="00481F8D">
        <w:rPr>
          <w:rFonts w:asciiTheme="majorHAnsi" w:hAnsiTheme="majorHAnsi"/>
          <w:sz w:val="20"/>
          <w:szCs w:val="20"/>
          <w:lang w:val="es-MX"/>
        </w:rPr>
        <w:t>6 de julio de 1995,</w:t>
      </w:r>
      <w:r w:rsidR="00A2669E" w:rsidRPr="00481F8D">
        <w:rPr>
          <w:rFonts w:asciiTheme="majorHAnsi" w:hAnsiTheme="majorHAnsi"/>
          <w:sz w:val="20"/>
          <w:szCs w:val="20"/>
          <w:lang w:val="es-MX"/>
        </w:rPr>
        <w:t xml:space="preserve"> </w:t>
      </w:r>
      <w:r w:rsidR="00AF0E51" w:rsidRPr="00481F8D">
        <w:rPr>
          <w:rFonts w:asciiTheme="majorHAnsi" w:hAnsiTheme="majorHAnsi"/>
          <w:sz w:val="20"/>
          <w:szCs w:val="20"/>
          <w:lang w:val="es-MX"/>
        </w:rPr>
        <w:t xml:space="preserve">14 de octubre de 1995, </w:t>
      </w:r>
      <w:r w:rsidR="00A2669E" w:rsidRPr="00481F8D">
        <w:rPr>
          <w:rFonts w:asciiTheme="majorHAnsi" w:hAnsiTheme="majorHAnsi"/>
          <w:sz w:val="20"/>
          <w:szCs w:val="20"/>
          <w:lang w:val="es-MX"/>
        </w:rPr>
        <w:t xml:space="preserve">13 de agosto de 1996, </w:t>
      </w:r>
      <w:r w:rsidR="006561D3" w:rsidRPr="00481F8D">
        <w:rPr>
          <w:rFonts w:asciiTheme="majorHAnsi" w:hAnsiTheme="majorHAnsi"/>
          <w:sz w:val="20"/>
          <w:szCs w:val="20"/>
          <w:lang w:val="es-MX"/>
        </w:rPr>
        <w:t xml:space="preserve"> 25 de abril de 1997, 20 de diciembre </w:t>
      </w:r>
      <w:r w:rsidR="00B7717F" w:rsidRPr="00481F8D">
        <w:rPr>
          <w:rFonts w:asciiTheme="majorHAnsi" w:hAnsiTheme="majorHAnsi"/>
          <w:sz w:val="20"/>
          <w:szCs w:val="20"/>
          <w:lang w:val="es-MX"/>
        </w:rPr>
        <w:t>de 1997, 18 de marzo de 1998, 19 de noviembre de 1998, 14 de diciembre de 1999</w:t>
      </w:r>
      <w:r w:rsidR="001F7881">
        <w:rPr>
          <w:rFonts w:asciiTheme="majorHAnsi" w:hAnsiTheme="majorHAnsi"/>
          <w:sz w:val="20"/>
          <w:szCs w:val="20"/>
          <w:lang w:val="es-MX"/>
        </w:rPr>
        <w:t xml:space="preserve"> y</w:t>
      </w:r>
      <w:r w:rsidR="00B7717F" w:rsidRPr="00481F8D">
        <w:rPr>
          <w:rFonts w:asciiTheme="majorHAnsi" w:hAnsiTheme="majorHAnsi"/>
          <w:sz w:val="20"/>
          <w:szCs w:val="20"/>
          <w:lang w:val="es-MX"/>
        </w:rPr>
        <w:t xml:space="preserve"> </w:t>
      </w:r>
      <w:r w:rsidR="00BA1539" w:rsidRPr="00481F8D">
        <w:rPr>
          <w:rFonts w:asciiTheme="majorHAnsi" w:hAnsiTheme="majorHAnsi"/>
          <w:sz w:val="20"/>
          <w:szCs w:val="20"/>
          <w:lang w:val="es-MX"/>
        </w:rPr>
        <w:t>22 de diciembre de 2000</w:t>
      </w:r>
      <w:r w:rsidR="00BA1539">
        <w:rPr>
          <w:rStyle w:val="FootnoteReference"/>
          <w:rFonts w:asciiTheme="majorHAnsi" w:hAnsiTheme="majorHAnsi"/>
          <w:sz w:val="20"/>
          <w:szCs w:val="20"/>
          <w:lang w:val="es-MX"/>
        </w:rPr>
        <w:footnoteReference w:id="32"/>
      </w:r>
      <w:r w:rsidR="00BA1539" w:rsidRPr="00481F8D">
        <w:rPr>
          <w:rFonts w:asciiTheme="majorHAnsi" w:hAnsiTheme="majorHAnsi"/>
          <w:sz w:val="20"/>
          <w:szCs w:val="20"/>
          <w:lang w:val="es-MX"/>
        </w:rPr>
        <w:t xml:space="preserve">. </w:t>
      </w:r>
    </w:p>
    <w:p w14:paraId="6B5126D5" w14:textId="77777777" w:rsidR="00481F8D" w:rsidRPr="00B922D0" w:rsidRDefault="00481F8D"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234B9E62" w14:textId="77777777" w:rsidR="00510905" w:rsidRDefault="00510905"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El 6 de julio de 2001 el Juez Federal ad-hoc ante una solicitud de la presunta víctima de un certificado donde se acredite que no tiene restricciones para salir transitoriamente del país, indicó que el hábeas corpus preventivo a favor de este, se encuentra apelado y elevado a la Excma. Cámara Federal de Apelaciones por lo que “resulta inconveniente autorizar al nombrado para salir del país, ya que ahora la situación procesal es diferente a la que tenía cuando se otorgaba las anteriores autorizaciones</w:t>
      </w:r>
      <w:r w:rsidR="00E30242">
        <w:rPr>
          <w:rFonts w:asciiTheme="majorHAnsi" w:hAnsiTheme="majorHAnsi"/>
          <w:sz w:val="20"/>
          <w:szCs w:val="20"/>
          <w:lang w:val="es-MX"/>
        </w:rPr>
        <w:t xml:space="preserve"> (...)”</w:t>
      </w:r>
      <w:r w:rsidR="00E30242">
        <w:rPr>
          <w:rStyle w:val="FootnoteReference"/>
          <w:rFonts w:asciiTheme="majorHAnsi" w:hAnsiTheme="majorHAnsi"/>
          <w:sz w:val="20"/>
          <w:szCs w:val="20"/>
          <w:lang w:val="es-MX"/>
        </w:rPr>
        <w:footnoteReference w:id="33"/>
      </w:r>
      <w:r>
        <w:rPr>
          <w:rFonts w:asciiTheme="majorHAnsi" w:hAnsiTheme="majorHAnsi"/>
          <w:sz w:val="20"/>
          <w:szCs w:val="20"/>
          <w:lang w:val="es-MX"/>
        </w:rPr>
        <w:t xml:space="preserve">. </w:t>
      </w:r>
    </w:p>
    <w:p w14:paraId="2707E9BF" w14:textId="77777777" w:rsidR="00DB60E8" w:rsidRDefault="00DB60E8" w:rsidP="00DB4D24">
      <w:pPr>
        <w:rPr>
          <w:rFonts w:asciiTheme="majorHAnsi" w:hAnsiTheme="majorHAnsi"/>
          <w:sz w:val="20"/>
          <w:szCs w:val="20"/>
          <w:lang w:val="es-MX"/>
        </w:rPr>
      </w:pPr>
    </w:p>
    <w:p w14:paraId="759F1D8C" w14:textId="77777777" w:rsidR="00481F8D" w:rsidRPr="00AE61B6" w:rsidRDefault="00481F8D"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Pr>
          <w:rFonts w:asciiTheme="majorHAnsi" w:hAnsiTheme="majorHAnsi"/>
          <w:sz w:val="20"/>
          <w:szCs w:val="20"/>
          <w:lang w:val="es-MX"/>
        </w:rPr>
        <w:t>Según información disponible el 29 de enero de 2012 la presunta víctima intentó salir del país, sin embargo la Dirección General del Movimiento Migratorio denegó su salida tomando en cuenta que pesa sobre su persona una prohibición de salida y “no surge el levantamiento de la interdicción (prohibición de salida) que pesa sobre su persona</w:t>
      </w:r>
      <w:r>
        <w:rPr>
          <w:rStyle w:val="FootnoteReference"/>
          <w:rFonts w:asciiTheme="majorHAnsi" w:hAnsiTheme="majorHAnsi"/>
          <w:sz w:val="20"/>
          <w:szCs w:val="20"/>
          <w:lang w:val="es-MX"/>
        </w:rPr>
        <w:footnoteReference w:id="34"/>
      </w:r>
      <w:r>
        <w:rPr>
          <w:rFonts w:asciiTheme="majorHAnsi" w:hAnsiTheme="majorHAnsi"/>
          <w:sz w:val="20"/>
          <w:szCs w:val="20"/>
          <w:lang w:val="es-MX"/>
        </w:rPr>
        <w:t>”. Dicha entidad indicó que la prohibición se relaciona con la sentencia del Juzgado Federal de Mendoza del 20 de junio de 2001</w:t>
      </w:r>
      <w:r>
        <w:rPr>
          <w:rStyle w:val="FootnoteReference"/>
          <w:rFonts w:asciiTheme="majorHAnsi" w:hAnsiTheme="majorHAnsi"/>
          <w:sz w:val="20"/>
          <w:szCs w:val="20"/>
          <w:lang w:val="es-MX"/>
        </w:rPr>
        <w:footnoteReference w:id="35"/>
      </w:r>
      <w:r>
        <w:rPr>
          <w:rFonts w:asciiTheme="majorHAnsi" w:hAnsiTheme="majorHAnsi"/>
          <w:sz w:val="20"/>
          <w:szCs w:val="20"/>
          <w:lang w:val="es-MX"/>
        </w:rPr>
        <w:t>.</w:t>
      </w:r>
    </w:p>
    <w:p w14:paraId="743D89E7" w14:textId="77777777" w:rsidR="00884EAC" w:rsidRDefault="00884EAC"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77E06178" w14:textId="77777777" w:rsidR="00884EAC" w:rsidRPr="00BD4AB4" w:rsidRDefault="00884EAC"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sz w:val="20"/>
          <w:szCs w:val="20"/>
          <w:lang w:val="es-MX"/>
        </w:rPr>
      </w:pPr>
      <w:r w:rsidRPr="004F1E9D">
        <w:rPr>
          <w:rFonts w:asciiTheme="majorHAnsi" w:hAnsiTheme="majorHAnsi"/>
          <w:sz w:val="20"/>
          <w:szCs w:val="20"/>
          <w:lang w:val="es-MX"/>
        </w:rPr>
        <w:t>Además</w:t>
      </w:r>
      <w:r w:rsidRPr="004F1E9D">
        <w:rPr>
          <w:rFonts w:asciiTheme="majorHAnsi" w:hAnsiTheme="majorHAnsi"/>
          <w:sz w:val="20"/>
          <w:szCs w:val="20"/>
          <w:lang w:val="es-CO"/>
        </w:rPr>
        <w:t xml:space="preserve"> de las limitaciones descritas en los párrafos anteriores, la CIDH nota que el señor Falanga también estuvo sometido a de</w:t>
      </w:r>
      <w:r>
        <w:rPr>
          <w:rFonts w:asciiTheme="majorHAnsi" w:hAnsiTheme="majorHAnsi"/>
          <w:sz w:val="20"/>
          <w:szCs w:val="20"/>
          <w:lang w:val="es-CO"/>
        </w:rPr>
        <w:t>b</w:t>
      </w:r>
      <w:r w:rsidRPr="004F1E9D">
        <w:rPr>
          <w:rFonts w:asciiTheme="majorHAnsi" w:hAnsiTheme="majorHAnsi"/>
          <w:sz w:val="20"/>
          <w:szCs w:val="20"/>
          <w:lang w:val="es-CO"/>
        </w:rPr>
        <w:t>eres de comparecencia en distintos momentos a lo largo de los procesos y durante el cumplimiento de la pena”</w:t>
      </w:r>
      <w:r>
        <w:rPr>
          <w:rStyle w:val="FootnoteReference"/>
          <w:rFonts w:asciiTheme="majorHAnsi" w:hAnsiTheme="majorHAnsi"/>
          <w:sz w:val="20"/>
          <w:szCs w:val="20"/>
          <w:lang w:val="es-CO"/>
        </w:rPr>
        <w:footnoteReference w:id="36"/>
      </w:r>
      <w:r w:rsidRPr="004F1E9D">
        <w:rPr>
          <w:rFonts w:asciiTheme="majorHAnsi" w:hAnsiTheme="majorHAnsi"/>
          <w:sz w:val="20"/>
          <w:szCs w:val="20"/>
          <w:lang w:val="es-CO"/>
        </w:rPr>
        <w:t>.</w:t>
      </w:r>
    </w:p>
    <w:p w14:paraId="760830DA" w14:textId="77777777" w:rsidR="00884EAC" w:rsidRPr="00481F8D" w:rsidRDefault="00884EAC"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sz w:val="20"/>
          <w:szCs w:val="20"/>
          <w:lang w:val="es-MX"/>
        </w:rPr>
      </w:pPr>
    </w:p>
    <w:p w14:paraId="7736AE9E" w14:textId="77777777" w:rsidR="00EA5249" w:rsidRDefault="00EA5249">
      <w:pPr>
        <w:rPr>
          <w:rFonts w:asciiTheme="majorHAnsi" w:eastAsia="Times New Roman" w:hAnsiTheme="majorHAnsi" w:cstheme="majorBidi"/>
          <w:b/>
          <w:bCs/>
          <w:sz w:val="20"/>
          <w:szCs w:val="20"/>
          <w:bdr w:val="none" w:sz="0" w:space="0" w:color="auto" w:frame="1"/>
          <w:lang w:val="es-ES_tradnl"/>
        </w:rPr>
      </w:pPr>
      <w:bookmarkStart w:id="30" w:name="_Toc5369475"/>
      <w:bookmarkEnd w:id="17"/>
      <w:bookmarkEnd w:id="18"/>
      <w:bookmarkEnd w:id="19"/>
      <w:r>
        <w:rPr>
          <w:rFonts w:eastAsia="Times New Roman"/>
          <w:sz w:val="20"/>
          <w:szCs w:val="20"/>
          <w:bdr w:val="none" w:sz="0" w:space="0" w:color="auto" w:frame="1"/>
          <w:lang w:val="es-ES_tradnl"/>
        </w:rPr>
        <w:br w:type="page"/>
      </w:r>
    </w:p>
    <w:p w14:paraId="33470991" w14:textId="42D4C281" w:rsidR="00AE61B6" w:rsidRPr="00000A19" w:rsidRDefault="00AE61B6" w:rsidP="00DB4D24">
      <w:pPr>
        <w:pStyle w:val="Heading1"/>
        <w:spacing w:before="0"/>
        <w:ind w:left="540" w:hanging="540"/>
        <w:rPr>
          <w:color w:val="auto"/>
          <w:sz w:val="20"/>
          <w:szCs w:val="20"/>
          <w:lang w:val="es-VE"/>
        </w:rPr>
      </w:pPr>
      <w:bookmarkStart w:id="31" w:name="_Toc99959082"/>
      <w:r w:rsidRPr="008914E8">
        <w:rPr>
          <w:rFonts w:eastAsia="Times New Roman"/>
          <w:color w:val="auto"/>
          <w:sz w:val="20"/>
          <w:szCs w:val="20"/>
          <w:bdr w:val="none" w:sz="0" w:space="0" w:color="auto" w:frame="1"/>
          <w:lang w:val="es-ES_tradnl"/>
        </w:rPr>
        <w:lastRenderedPageBreak/>
        <w:t>DETER</w:t>
      </w:r>
      <w:r>
        <w:rPr>
          <w:rFonts w:eastAsia="Times New Roman"/>
          <w:color w:val="auto"/>
          <w:sz w:val="20"/>
          <w:szCs w:val="20"/>
          <w:bdr w:val="none" w:sz="0" w:space="0" w:color="auto" w:frame="1"/>
          <w:lang w:val="es-ES_tradnl"/>
        </w:rPr>
        <w:t>MINACIONES DE DERECHO</w:t>
      </w:r>
      <w:bookmarkEnd w:id="30"/>
      <w:bookmarkEnd w:id="31"/>
    </w:p>
    <w:p w14:paraId="4746C895" w14:textId="77777777" w:rsidR="00373FB7" w:rsidRDefault="00373FB7" w:rsidP="00DB4D24">
      <w:pPr>
        <w:jc w:val="both"/>
        <w:rPr>
          <w:rFonts w:asciiTheme="majorHAnsi" w:hAnsiTheme="majorHAnsi" w:cs="Arial"/>
          <w:sz w:val="20"/>
          <w:szCs w:val="20"/>
          <w:lang w:val="es-ES"/>
        </w:rPr>
      </w:pPr>
    </w:p>
    <w:p w14:paraId="0189CBDB" w14:textId="77777777" w:rsidR="0010749B" w:rsidRPr="00397B14" w:rsidRDefault="0010749B" w:rsidP="008C1E87">
      <w:pPr>
        <w:pStyle w:val="Heading2"/>
        <w:numPr>
          <w:ilvl w:val="0"/>
          <w:numId w:val="58"/>
        </w:numPr>
        <w:ind w:left="720"/>
      </w:pPr>
      <w:bookmarkStart w:id="32" w:name="_Toc3453786"/>
      <w:bookmarkStart w:id="33" w:name="_Toc4595242"/>
      <w:bookmarkStart w:id="34" w:name="_Toc5369476"/>
      <w:bookmarkStart w:id="35" w:name="_Toc99959083"/>
      <w:r w:rsidRPr="00397B14">
        <w:t>El derecho</w:t>
      </w:r>
      <w:r w:rsidR="000328DE" w:rsidRPr="00397B14">
        <w:t xml:space="preserve"> al plazo razonable</w:t>
      </w:r>
      <w:r w:rsidRPr="00ED1CFF">
        <w:rPr>
          <w:vertAlign w:val="superscript"/>
        </w:rPr>
        <w:footnoteReference w:id="37"/>
      </w:r>
      <w:bookmarkEnd w:id="32"/>
      <w:bookmarkEnd w:id="33"/>
      <w:bookmarkEnd w:id="34"/>
      <w:bookmarkEnd w:id="35"/>
    </w:p>
    <w:p w14:paraId="1E5E4E3A" w14:textId="77777777" w:rsidR="00A66309" w:rsidRDefault="00A66309" w:rsidP="00DB4D24">
      <w:pPr>
        <w:jc w:val="both"/>
        <w:rPr>
          <w:rFonts w:asciiTheme="majorHAnsi" w:hAnsiTheme="majorHAnsi" w:cs="Arial"/>
          <w:sz w:val="20"/>
          <w:szCs w:val="20"/>
          <w:lang w:val="es-ES"/>
        </w:rPr>
      </w:pPr>
    </w:p>
    <w:p w14:paraId="22EBCD5B" w14:textId="77777777" w:rsidR="005B746E" w:rsidRDefault="00A66309"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0328DE">
        <w:rPr>
          <w:rFonts w:ascii="Cambria" w:hAnsi="Cambria"/>
          <w:sz w:val="20"/>
          <w:szCs w:val="20"/>
          <w:lang w:val="es-ES"/>
        </w:rPr>
        <w:t>La</w:t>
      </w:r>
      <w:r w:rsidRPr="000328DE">
        <w:rPr>
          <w:rFonts w:ascii="Cambria" w:hAnsi="Cambria"/>
          <w:sz w:val="20"/>
          <w:szCs w:val="20"/>
          <w:lang w:val="es-ES" w:eastAsia="es-ES"/>
        </w:rPr>
        <w:t xml:space="preserve"> </w:t>
      </w:r>
      <w:r w:rsidRPr="000328DE">
        <w:rPr>
          <w:rFonts w:ascii="Cambria" w:hAnsi="Cambria"/>
          <w:sz w:val="20"/>
          <w:szCs w:val="20"/>
          <w:lang w:val="es-ES"/>
        </w:rPr>
        <w:t xml:space="preserve">CIDH </w:t>
      </w:r>
      <w:r w:rsidR="000328DE">
        <w:rPr>
          <w:rFonts w:ascii="Cambria" w:hAnsi="Cambria"/>
          <w:sz w:val="20"/>
          <w:szCs w:val="20"/>
          <w:lang w:val="es-ES"/>
        </w:rPr>
        <w:t xml:space="preserve">recuerda que el artículo 8.1 de la Convención Americana </w:t>
      </w:r>
      <w:r w:rsidR="005B746E">
        <w:rPr>
          <w:rFonts w:ascii="Cambria" w:hAnsi="Cambria"/>
          <w:sz w:val="20"/>
          <w:szCs w:val="20"/>
          <w:lang w:val="es-ES"/>
        </w:rPr>
        <w:t xml:space="preserve">estipula la garantía de ser oído, con las debidas garantías, dentro de un plazo razonable. </w:t>
      </w:r>
      <w:r w:rsidR="005B746E">
        <w:rPr>
          <w:rFonts w:ascii="Cambria" w:hAnsi="Cambria"/>
          <w:sz w:val="20"/>
          <w:szCs w:val="20"/>
          <w:lang w:val="es-AR"/>
        </w:rPr>
        <w:t xml:space="preserve"> La Corte Interamericana ha indicado que la evaluación del plazo razonable se debe analizar en cada caso concreto, en relación con la duración total del proceso, desde el primer acto procesal hasta que se dicta sentencia definitiva</w:t>
      </w:r>
      <w:r w:rsidR="00502F59" w:rsidRPr="009B3BD2">
        <w:rPr>
          <w:rStyle w:val="FootnoteReference"/>
          <w:rFonts w:ascii="Cambria" w:hAnsi="Cambria"/>
          <w:bCs/>
          <w:sz w:val="20"/>
          <w:szCs w:val="20"/>
          <w:lang w:val="es-EC"/>
        </w:rPr>
        <w:footnoteReference w:id="38"/>
      </w:r>
      <w:r w:rsidR="005B746E">
        <w:rPr>
          <w:rFonts w:ascii="Cambria" w:hAnsi="Cambria"/>
          <w:sz w:val="20"/>
          <w:szCs w:val="20"/>
          <w:lang w:val="es-AR"/>
        </w:rPr>
        <w:t xml:space="preserve">. </w:t>
      </w:r>
    </w:p>
    <w:p w14:paraId="4B31E992" w14:textId="77777777" w:rsidR="005B746E" w:rsidRDefault="005B746E"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54DA6F80" w14:textId="77777777" w:rsidR="00A66309" w:rsidRPr="00F6435A" w:rsidRDefault="00A66309"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5B746E">
        <w:rPr>
          <w:rFonts w:ascii="Cambria" w:hAnsi="Cambria"/>
          <w:sz w:val="20"/>
          <w:szCs w:val="20"/>
          <w:lang w:val="es-ES"/>
        </w:rPr>
        <w:t xml:space="preserve">La Comisión recuerda que para efectos de determinar la razonabilidad del plazo, la jurisprudencia interamericana ha desarrollado cuatros elementos: </w:t>
      </w:r>
      <w:r w:rsidRPr="005B746E">
        <w:rPr>
          <w:rFonts w:ascii="Cambria" w:hAnsi="Cambria"/>
          <w:bCs/>
          <w:sz w:val="20"/>
          <w:szCs w:val="20"/>
          <w:lang w:val="es-EC"/>
        </w:rPr>
        <w:t>a) la complejidad del asunto; b) la acti</w:t>
      </w:r>
      <w:r w:rsidR="00F6435A">
        <w:rPr>
          <w:rFonts w:ascii="Cambria" w:hAnsi="Cambria"/>
          <w:bCs/>
          <w:sz w:val="20"/>
          <w:szCs w:val="20"/>
          <w:lang w:val="es-EC"/>
        </w:rPr>
        <w:t xml:space="preserve">vidad procesal del interesado; </w:t>
      </w:r>
      <w:r w:rsidRPr="005B746E">
        <w:rPr>
          <w:rFonts w:ascii="Cambria" w:hAnsi="Cambria"/>
          <w:bCs/>
          <w:sz w:val="20"/>
          <w:szCs w:val="20"/>
          <w:lang w:val="es-EC"/>
        </w:rPr>
        <w:t>c) la conducta de las autoridades judiciales; y d) la afectación generada en la situación jurídica de la persona involucrada en el proceso</w:t>
      </w:r>
      <w:r w:rsidRPr="009B3BD2">
        <w:rPr>
          <w:rStyle w:val="FootnoteReference"/>
          <w:rFonts w:ascii="Cambria" w:hAnsi="Cambria"/>
          <w:bCs/>
          <w:sz w:val="20"/>
          <w:szCs w:val="20"/>
          <w:lang w:val="es-EC"/>
        </w:rPr>
        <w:footnoteReference w:id="39"/>
      </w:r>
      <w:r w:rsidRPr="005B746E">
        <w:rPr>
          <w:rFonts w:ascii="Cambria" w:hAnsi="Cambria"/>
          <w:bCs/>
          <w:sz w:val="20"/>
          <w:szCs w:val="20"/>
          <w:lang w:val="es-EC"/>
        </w:rPr>
        <w:t>.</w:t>
      </w:r>
      <w:r w:rsidR="000328DE" w:rsidRPr="005B746E">
        <w:rPr>
          <w:rFonts w:ascii="Cambria" w:hAnsi="Cambria"/>
          <w:bCs/>
          <w:sz w:val="20"/>
          <w:szCs w:val="20"/>
          <w:lang w:val="es-EC"/>
        </w:rPr>
        <w:t xml:space="preserve"> La Corte Interamericana ha indicado que corresponde al Estado justificar, con fundamento en los criterios señalados, la razón por la cual ha requerido del tiempo transcurrido para tratar los casos, y, en la eventualidad de que éste no lo demuestre, la Corte tiene amplias atribuciones para hacer su propia estimación al respecto</w:t>
      </w:r>
      <w:r w:rsidR="005B746E" w:rsidRPr="009B3BD2">
        <w:rPr>
          <w:rStyle w:val="FootnoteReference"/>
          <w:rFonts w:ascii="Cambria" w:hAnsi="Cambria"/>
          <w:bCs/>
          <w:sz w:val="20"/>
          <w:szCs w:val="20"/>
          <w:lang w:val="es-EC"/>
        </w:rPr>
        <w:footnoteReference w:id="40"/>
      </w:r>
      <w:r w:rsidR="000328DE" w:rsidRPr="005B746E">
        <w:rPr>
          <w:rFonts w:ascii="Cambria" w:hAnsi="Cambria"/>
          <w:bCs/>
          <w:sz w:val="20"/>
          <w:szCs w:val="20"/>
          <w:lang w:val="es-EC"/>
        </w:rPr>
        <w:t xml:space="preserve">. </w:t>
      </w:r>
    </w:p>
    <w:p w14:paraId="5AF46168" w14:textId="77777777" w:rsidR="00F6435A" w:rsidRDefault="00F6435A" w:rsidP="00DB4D24">
      <w:pPr>
        <w:pStyle w:val="ListParagraph"/>
        <w:rPr>
          <w:sz w:val="20"/>
          <w:szCs w:val="20"/>
          <w:lang w:val="es-AR"/>
        </w:rPr>
      </w:pPr>
    </w:p>
    <w:p w14:paraId="6C49BFCD" w14:textId="77777777" w:rsidR="00F91218" w:rsidRPr="004F7D1C" w:rsidRDefault="00F6435A"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 xml:space="preserve">En el presente caso, </w:t>
      </w:r>
      <w:r w:rsidR="00EA627D">
        <w:rPr>
          <w:rFonts w:ascii="Cambria" w:hAnsi="Cambria"/>
          <w:sz w:val="20"/>
          <w:szCs w:val="20"/>
          <w:lang w:val="es-AR"/>
        </w:rPr>
        <w:t xml:space="preserve">a partir de 1980 </w:t>
      </w:r>
      <w:r>
        <w:rPr>
          <w:rFonts w:ascii="Cambria" w:hAnsi="Cambria"/>
          <w:sz w:val="20"/>
          <w:szCs w:val="20"/>
          <w:lang w:val="es-AR"/>
        </w:rPr>
        <w:t>la presunta víctima fue sometida a dos procesos penales por los</w:t>
      </w:r>
      <w:r w:rsidR="00EA627D">
        <w:rPr>
          <w:rFonts w:ascii="Cambria" w:hAnsi="Cambria"/>
          <w:sz w:val="20"/>
          <w:szCs w:val="20"/>
          <w:lang w:val="es-AR"/>
        </w:rPr>
        <w:t xml:space="preserve"> delitos </w:t>
      </w:r>
      <w:r>
        <w:rPr>
          <w:rFonts w:ascii="Cambria" w:hAnsi="Cambria"/>
          <w:sz w:val="20"/>
          <w:szCs w:val="20"/>
          <w:lang w:val="es-AR"/>
        </w:rPr>
        <w:t xml:space="preserve">de monopolio y </w:t>
      </w:r>
      <w:r w:rsidR="00EA627D">
        <w:rPr>
          <w:rFonts w:ascii="Cambria" w:hAnsi="Cambria"/>
          <w:sz w:val="20"/>
          <w:szCs w:val="20"/>
          <w:lang w:val="es-AR"/>
        </w:rPr>
        <w:t xml:space="preserve">subversión económica. En el primer proceso fue </w:t>
      </w:r>
      <w:r w:rsidR="00EF7393">
        <w:rPr>
          <w:rFonts w:ascii="Cambria" w:hAnsi="Cambria"/>
          <w:sz w:val="20"/>
          <w:szCs w:val="20"/>
          <w:lang w:val="es-AR"/>
        </w:rPr>
        <w:t>condenado en primera in</w:t>
      </w:r>
      <w:r w:rsidR="00F91218">
        <w:rPr>
          <w:rFonts w:ascii="Cambria" w:hAnsi="Cambria"/>
          <w:sz w:val="20"/>
          <w:szCs w:val="20"/>
          <w:lang w:val="es-AR"/>
        </w:rPr>
        <w:t>stancia el 17 de mayo de 1993 y en segunda instancia el 7 de noviembre de 1995</w:t>
      </w:r>
      <w:r w:rsidR="004F7D1C">
        <w:rPr>
          <w:rFonts w:ascii="Cambria" w:hAnsi="Cambria"/>
          <w:sz w:val="20"/>
          <w:szCs w:val="20"/>
          <w:lang w:val="es-AR"/>
        </w:rPr>
        <w:t>,</w:t>
      </w:r>
      <w:r w:rsidR="00F91218">
        <w:rPr>
          <w:rFonts w:ascii="Cambria" w:hAnsi="Cambria"/>
          <w:sz w:val="20"/>
          <w:szCs w:val="20"/>
          <w:lang w:val="es-AR"/>
        </w:rPr>
        <w:t xml:space="preserve"> por lo que el proceso duró alrededor de 15 años.  En el proceso por el delito de subversión económica fue condenado en primera instancia el 17 de febrero de 1997 y en segunda instancia el 17 de marzo de 1999</w:t>
      </w:r>
      <w:r w:rsidR="004F7D1C">
        <w:rPr>
          <w:rFonts w:ascii="Cambria" w:hAnsi="Cambria"/>
          <w:sz w:val="20"/>
          <w:szCs w:val="20"/>
          <w:lang w:val="es-AR"/>
        </w:rPr>
        <w:t>, asimismo se rechazó el recurso extraordinario por la Corte Suprema de Justicia de la Nación el</w:t>
      </w:r>
      <w:r w:rsidR="00F91218">
        <w:rPr>
          <w:rFonts w:ascii="Cambria" w:hAnsi="Cambria"/>
          <w:sz w:val="20"/>
          <w:szCs w:val="20"/>
          <w:lang w:val="es-AR"/>
        </w:rPr>
        <w:t xml:space="preserve"> </w:t>
      </w:r>
      <w:r w:rsidR="004F7D1C">
        <w:rPr>
          <w:rFonts w:ascii="Cambria" w:hAnsi="Cambria"/>
          <w:sz w:val="20"/>
          <w:szCs w:val="20"/>
          <w:lang w:val="es-AR"/>
        </w:rPr>
        <w:t xml:space="preserve">20 de febrero de 2001, por lo que el proceso duró alrededor de 21 años. </w:t>
      </w:r>
    </w:p>
    <w:p w14:paraId="64500053" w14:textId="77777777" w:rsidR="00F91218" w:rsidRDefault="00F91218" w:rsidP="00DB4D24">
      <w:pPr>
        <w:pStyle w:val="ListParagraph"/>
        <w:rPr>
          <w:sz w:val="20"/>
          <w:szCs w:val="20"/>
          <w:lang w:val="es-AR"/>
        </w:rPr>
      </w:pPr>
    </w:p>
    <w:p w14:paraId="6C295CDF" w14:textId="77777777" w:rsidR="00F6435A" w:rsidRDefault="00F91218"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Por otra parte, la Comisi</w:t>
      </w:r>
      <w:r w:rsidR="004F7D1C">
        <w:rPr>
          <w:rFonts w:ascii="Cambria" w:hAnsi="Cambria"/>
          <w:sz w:val="20"/>
          <w:szCs w:val="20"/>
          <w:lang w:val="es-AR"/>
        </w:rPr>
        <w:t xml:space="preserve">ón toma nota que el 27 de marzo de 2001 la presunta víctima interpuso un recurso de hábeas corpus para evitar la ejecución de la sentencia de subversión económica, que ordenó unificar las penas de los dos delitos y proceder a la inmediata detención del señor Falanga, y este recurso fue resuelto </w:t>
      </w:r>
      <w:r w:rsidR="00210FE1">
        <w:rPr>
          <w:rFonts w:ascii="Cambria" w:hAnsi="Cambria"/>
          <w:sz w:val="20"/>
          <w:szCs w:val="20"/>
          <w:lang w:val="es-AR"/>
        </w:rPr>
        <w:t xml:space="preserve">de manera </w:t>
      </w:r>
      <w:r w:rsidR="004F7D1C">
        <w:rPr>
          <w:rFonts w:ascii="Cambria" w:hAnsi="Cambria"/>
          <w:sz w:val="20"/>
          <w:szCs w:val="20"/>
          <w:lang w:val="es-AR"/>
        </w:rPr>
        <w:t xml:space="preserve">definitiva hasta el 5 de septiembre de 2006, es decir </w:t>
      </w:r>
      <w:r w:rsidR="00075C0C">
        <w:rPr>
          <w:rFonts w:ascii="Cambria" w:hAnsi="Cambria"/>
          <w:sz w:val="20"/>
          <w:szCs w:val="20"/>
          <w:lang w:val="es-AR"/>
        </w:rPr>
        <w:t xml:space="preserve">más de </w:t>
      </w:r>
      <w:r w:rsidR="00210FE1">
        <w:rPr>
          <w:rFonts w:ascii="Cambria" w:hAnsi="Cambria"/>
          <w:sz w:val="20"/>
          <w:szCs w:val="20"/>
          <w:lang w:val="es-AR"/>
        </w:rPr>
        <w:t>cinco</w:t>
      </w:r>
      <w:r w:rsidR="00075C0C">
        <w:rPr>
          <w:rFonts w:ascii="Cambria" w:hAnsi="Cambria"/>
          <w:sz w:val="20"/>
          <w:szCs w:val="20"/>
          <w:lang w:val="es-AR"/>
        </w:rPr>
        <w:t xml:space="preserve"> años después de interpuesto. </w:t>
      </w:r>
    </w:p>
    <w:p w14:paraId="09DCC65C" w14:textId="77777777" w:rsidR="00075C0C" w:rsidRDefault="00075C0C" w:rsidP="00DB4D24">
      <w:pPr>
        <w:pStyle w:val="ListParagraph"/>
        <w:rPr>
          <w:sz w:val="20"/>
          <w:szCs w:val="20"/>
          <w:lang w:val="es-AR"/>
        </w:rPr>
      </w:pPr>
    </w:p>
    <w:p w14:paraId="75B267E6" w14:textId="77777777" w:rsidR="00CF14A1" w:rsidRDefault="001B7204"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 xml:space="preserve">A continuación, la CIDH analizará </w:t>
      </w:r>
      <w:r w:rsidR="007D4740">
        <w:rPr>
          <w:rFonts w:ascii="Cambria" w:hAnsi="Cambria"/>
          <w:sz w:val="20"/>
          <w:szCs w:val="20"/>
          <w:lang w:val="es-AR"/>
        </w:rPr>
        <w:t>si el plazo transcurrido es razonable conforme a los criterios indicados. En cuanto a la complejidad del asunto, la CIDH observa que</w:t>
      </w:r>
      <w:r w:rsidR="00ED7437">
        <w:rPr>
          <w:rFonts w:ascii="Cambria" w:hAnsi="Cambria"/>
          <w:sz w:val="20"/>
          <w:szCs w:val="20"/>
          <w:lang w:val="es-AR"/>
        </w:rPr>
        <w:t>,</w:t>
      </w:r>
      <w:r w:rsidR="007D4740">
        <w:rPr>
          <w:rFonts w:ascii="Cambria" w:hAnsi="Cambria"/>
          <w:sz w:val="20"/>
          <w:szCs w:val="20"/>
          <w:lang w:val="es-AR"/>
        </w:rPr>
        <w:t xml:space="preserve"> si bien</w:t>
      </w:r>
      <w:r w:rsidR="00ED7437">
        <w:rPr>
          <w:rFonts w:ascii="Cambria" w:hAnsi="Cambria"/>
          <w:sz w:val="20"/>
          <w:szCs w:val="20"/>
          <w:lang w:val="es-AR"/>
        </w:rPr>
        <w:t>,</w:t>
      </w:r>
      <w:r w:rsidR="007D4740">
        <w:rPr>
          <w:rFonts w:ascii="Cambria" w:hAnsi="Cambria"/>
          <w:sz w:val="20"/>
          <w:szCs w:val="20"/>
          <w:lang w:val="es-AR"/>
        </w:rPr>
        <w:t xml:space="preserve"> además de la presunta víctima existían otros imputados, los </w:t>
      </w:r>
      <w:r w:rsidR="00ED7437">
        <w:rPr>
          <w:rFonts w:ascii="Cambria" w:hAnsi="Cambria"/>
          <w:sz w:val="20"/>
          <w:szCs w:val="20"/>
          <w:lang w:val="es-AR"/>
        </w:rPr>
        <w:t>hechos no revestían una particular complejidad, y los órganos correspondientes debían determinar el grado de participación de la presunta víctima en los delitos imputados</w:t>
      </w:r>
      <w:r w:rsidR="002A47F3">
        <w:rPr>
          <w:rFonts w:ascii="Cambria" w:hAnsi="Cambria"/>
          <w:sz w:val="20"/>
          <w:szCs w:val="20"/>
          <w:lang w:val="es-AR"/>
        </w:rPr>
        <w:t xml:space="preserve"> respecto de </w:t>
      </w:r>
      <w:r w:rsidR="00ED7437">
        <w:rPr>
          <w:rFonts w:ascii="Cambria" w:hAnsi="Cambria"/>
          <w:sz w:val="20"/>
          <w:szCs w:val="20"/>
          <w:lang w:val="es-AR"/>
        </w:rPr>
        <w:t xml:space="preserve">los mismos hechos. </w:t>
      </w:r>
    </w:p>
    <w:p w14:paraId="5848D066" w14:textId="77777777" w:rsidR="00CF14A1" w:rsidRDefault="00CF14A1" w:rsidP="00CF14A1">
      <w:pPr>
        <w:pStyle w:val="ListParagraph"/>
        <w:rPr>
          <w:sz w:val="20"/>
          <w:szCs w:val="20"/>
          <w:lang w:val="es-AR"/>
        </w:rPr>
      </w:pPr>
    </w:p>
    <w:p w14:paraId="7C6FBDFB" w14:textId="77777777" w:rsidR="00075C0C" w:rsidRPr="00CF14A1" w:rsidRDefault="00ED7437" w:rsidP="00CF14A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CF14A1">
        <w:rPr>
          <w:rFonts w:ascii="Cambria" w:hAnsi="Cambria"/>
          <w:sz w:val="20"/>
          <w:szCs w:val="20"/>
          <w:lang w:val="es-AR"/>
        </w:rPr>
        <w:t>Con respecto a la actividad procesal del interesado, la Comisión nota que</w:t>
      </w:r>
      <w:r w:rsidR="00F524FA" w:rsidRPr="00CF14A1">
        <w:rPr>
          <w:rFonts w:ascii="Cambria" w:hAnsi="Cambria"/>
          <w:sz w:val="20"/>
          <w:szCs w:val="20"/>
          <w:lang w:val="es-AR"/>
        </w:rPr>
        <w:t>,</w:t>
      </w:r>
      <w:r w:rsidRPr="00CF14A1">
        <w:rPr>
          <w:rFonts w:ascii="Cambria" w:hAnsi="Cambria"/>
          <w:sz w:val="20"/>
          <w:szCs w:val="20"/>
          <w:lang w:val="es-AR"/>
        </w:rPr>
        <w:t xml:space="preserve"> si bien entre 1980 y 1985 la presunta víctima salió del país, </w:t>
      </w:r>
      <w:r w:rsidR="00CF14A1">
        <w:rPr>
          <w:rFonts w:ascii="Cambria" w:hAnsi="Cambria"/>
          <w:sz w:val="20"/>
          <w:szCs w:val="20"/>
          <w:lang w:val="es-AR"/>
        </w:rPr>
        <w:t xml:space="preserve">el Estado no argumentó la manera en que, conforme a la normativa interna, la no comparecencia del imputado obstaculizó el avance de los procesos. Por otra parte, </w:t>
      </w:r>
      <w:r w:rsidRPr="00CF14A1">
        <w:rPr>
          <w:rFonts w:ascii="Cambria" w:hAnsi="Cambria"/>
          <w:sz w:val="20"/>
          <w:szCs w:val="20"/>
          <w:lang w:val="es-AR"/>
        </w:rPr>
        <w:t xml:space="preserve">a partir de 1985 no consta que esta haya realizado acciones que dificultaran el avance de las investigaciones, </w:t>
      </w:r>
      <w:r w:rsidR="005079B0">
        <w:rPr>
          <w:rFonts w:ascii="Cambria" w:hAnsi="Cambria"/>
          <w:sz w:val="20"/>
          <w:szCs w:val="20"/>
          <w:lang w:val="es-AR"/>
        </w:rPr>
        <w:t>ni</w:t>
      </w:r>
      <w:r w:rsidRPr="00CF14A1">
        <w:rPr>
          <w:rFonts w:ascii="Cambria" w:hAnsi="Cambria"/>
          <w:sz w:val="20"/>
          <w:szCs w:val="20"/>
          <w:lang w:val="es-AR"/>
        </w:rPr>
        <w:t xml:space="preserve"> que justifiquen una demora de la magnitud indicada. En lo que respecta a la conducta de las autoridades judicia</w:t>
      </w:r>
      <w:r w:rsidR="00CB75AF" w:rsidRPr="00CF14A1">
        <w:rPr>
          <w:rFonts w:ascii="Cambria" w:hAnsi="Cambria"/>
          <w:sz w:val="20"/>
          <w:szCs w:val="20"/>
          <w:lang w:val="es-AR"/>
        </w:rPr>
        <w:t xml:space="preserve">les, la CIDH </w:t>
      </w:r>
      <w:r w:rsidR="00896B32">
        <w:rPr>
          <w:rFonts w:ascii="Cambria" w:hAnsi="Cambria"/>
          <w:sz w:val="20"/>
          <w:szCs w:val="20"/>
          <w:lang w:val="es-AR"/>
        </w:rPr>
        <w:t xml:space="preserve">observa </w:t>
      </w:r>
      <w:r w:rsidR="002A70E6">
        <w:rPr>
          <w:rFonts w:ascii="Cambria" w:hAnsi="Cambria"/>
          <w:sz w:val="20"/>
          <w:szCs w:val="20"/>
          <w:lang w:val="es-AR"/>
        </w:rPr>
        <w:t xml:space="preserve">el tiempo excesivo que las autoridades judiciales tomaron para emitir sus fallos de primera </w:t>
      </w:r>
      <w:r w:rsidR="0043189F">
        <w:rPr>
          <w:rFonts w:ascii="Cambria" w:hAnsi="Cambria"/>
          <w:sz w:val="20"/>
          <w:szCs w:val="20"/>
          <w:lang w:val="es-AR"/>
        </w:rPr>
        <w:t xml:space="preserve">instancia no se encuentra explicado en forma alguna por parte del Estado en un proceso que, como se indicó, no presentaba particular complejidad. Tampoco consta explicación sobre la demora en la resolución de los recursos </w:t>
      </w:r>
      <w:r w:rsidR="0043189F">
        <w:rPr>
          <w:rFonts w:ascii="Cambria" w:hAnsi="Cambria"/>
          <w:sz w:val="20"/>
          <w:szCs w:val="20"/>
          <w:lang w:val="es-AR"/>
        </w:rPr>
        <w:lastRenderedPageBreak/>
        <w:t>interpuestos por los distintos actores en el proceso. Específicamente respecto del habeas corpu</w:t>
      </w:r>
      <w:r w:rsidR="005646B9">
        <w:rPr>
          <w:rFonts w:ascii="Cambria" w:hAnsi="Cambria"/>
          <w:sz w:val="20"/>
          <w:szCs w:val="20"/>
          <w:lang w:val="es-AR"/>
        </w:rPr>
        <w:t xml:space="preserve">s, que por su propia naturaleza debe ser resuelvo con especial celeridad, la Comisión no encuentra explicación que </w:t>
      </w:r>
      <w:r w:rsidR="00CB75AF" w:rsidRPr="00CF14A1">
        <w:rPr>
          <w:rFonts w:ascii="Cambria" w:hAnsi="Cambria"/>
          <w:sz w:val="20"/>
          <w:szCs w:val="20"/>
          <w:lang w:val="es-AR"/>
        </w:rPr>
        <w:t xml:space="preserve"> justifique la demora de más de </w:t>
      </w:r>
      <w:r w:rsidR="00526951">
        <w:rPr>
          <w:rFonts w:ascii="Cambria" w:hAnsi="Cambria"/>
          <w:sz w:val="20"/>
          <w:szCs w:val="20"/>
          <w:lang w:val="es-AR"/>
        </w:rPr>
        <w:t>cinco</w:t>
      </w:r>
      <w:r w:rsidR="00CB75AF" w:rsidRPr="00CF14A1">
        <w:rPr>
          <w:rFonts w:ascii="Cambria" w:hAnsi="Cambria"/>
          <w:sz w:val="20"/>
          <w:szCs w:val="20"/>
          <w:lang w:val="es-AR"/>
        </w:rPr>
        <w:t xml:space="preserve"> años en resolver</w:t>
      </w:r>
      <w:r w:rsidR="00471C8F">
        <w:rPr>
          <w:rFonts w:ascii="Cambria" w:hAnsi="Cambria"/>
          <w:sz w:val="20"/>
          <w:szCs w:val="20"/>
          <w:lang w:val="es-AR"/>
        </w:rPr>
        <w:t xml:space="preserve">lo, máxime cuando </w:t>
      </w:r>
      <w:r w:rsidR="00CB75AF" w:rsidRPr="00CF14A1">
        <w:rPr>
          <w:rFonts w:ascii="Cambria" w:hAnsi="Cambria"/>
          <w:sz w:val="20"/>
          <w:szCs w:val="20"/>
          <w:lang w:val="es-AR"/>
        </w:rPr>
        <w:t xml:space="preserve">no planteaba ningún debate de carácter fáctico. </w:t>
      </w:r>
      <w:r w:rsidR="00206AB8">
        <w:rPr>
          <w:rFonts w:ascii="Cambria" w:hAnsi="Cambria"/>
          <w:sz w:val="20"/>
          <w:szCs w:val="20"/>
          <w:lang w:val="es-AR"/>
        </w:rPr>
        <w:t>En estas circunstancias, l</w:t>
      </w:r>
      <w:r w:rsidR="00471C8F">
        <w:rPr>
          <w:rFonts w:ascii="Cambria" w:hAnsi="Cambria"/>
          <w:sz w:val="20"/>
          <w:szCs w:val="20"/>
          <w:lang w:val="es-AR"/>
        </w:rPr>
        <w:t xml:space="preserve">a Comisión considera innecesario pronunciarse sobre el cuarto elemento. </w:t>
      </w:r>
    </w:p>
    <w:p w14:paraId="65D839B9" w14:textId="77777777" w:rsidR="00572E09" w:rsidRDefault="00572E09" w:rsidP="00DB4D24">
      <w:pPr>
        <w:pStyle w:val="ListParagraph"/>
        <w:rPr>
          <w:sz w:val="20"/>
          <w:szCs w:val="20"/>
          <w:lang w:val="es-AR"/>
        </w:rPr>
      </w:pPr>
    </w:p>
    <w:p w14:paraId="332B4BA5" w14:textId="77777777" w:rsidR="00ED7437" w:rsidRPr="00572E09" w:rsidRDefault="00572E09"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 xml:space="preserve">Tomando en cuenta lo anterior, la CIDH </w:t>
      </w:r>
      <w:r w:rsidR="00957157">
        <w:rPr>
          <w:rFonts w:ascii="Cambria" w:hAnsi="Cambria"/>
          <w:sz w:val="20"/>
          <w:szCs w:val="20"/>
          <w:lang w:val="es-AR"/>
        </w:rPr>
        <w:t xml:space="preserve">considera </w:t>
      </w:r>
      <w:r>
        <w:rPr>
          <w:rFonts w:ascii="Cambria" w:hAnsi="Cambria"/>
          <w:sz w:val="20"/>
          <w:szCs w:val="20"/>
          <w:lang w:val="es-AR"/>
        </w:rPr>
        <w:t xml:space="preserve"> que el lapso de 15 y 21 años para dictar sentencias condenatorias </w:t>
      </w:r>
      <w:r w:rsidR="005E2B83">
        <w:rPr>
          <w:rFonts w:ascii="Cambria" w:hAnsi="Cambria"/>
          <w:sz w:val="20"/>
          <w:szCs w:val="20"/>
          <w:lang w:val="es-AR"/>
        </w:rPr>
        <w:t xml:space="preserve">definitivas </w:t>
      </w:r>
      <w:r>
        <w:rPr>
          <w:rFonts w:ascii="Cambria" w:hAnsi="Cambria"/>
          <w:sz w:val="20"/>
          <w:szCs w:val="20"/>
          <w:lang w:val="es-AR"/>
        </w:rPr>
        <w:t xml:space="preserve">en contra de la presunta víctima, y de </w:t>
      </w:r>
      <w:r w:rsidR="00CB75AF">
        <w:rPr>
          <w:rFonts w:ascii="Cambria" w:hAnsi="Cambria"/>
          <w:sz w:val="20"/>
          <w:szCs w:val="20"/>
          <w:lang w:val="es-AR"/>
        </w:rPr>
        <w:t xml:space="preserve">más de </w:t>
      </w:r>
      <w:r w:rsidR="005E2B83">
        <w:rPr>
          <w:rFonts w:ascii="Cambria" w:hAnsi="Cambria"/>
          <w:sz w:val="20"/>
          <w:szCs w:val="20"/>
          <w:lang w:val="es-AR"/>
        </w:rPr>
        <w:t>cinco</w:t>
      </w:r>
      <w:r>
        <w:rPr>
          <w:rFonts w:ascii="Cambria" w:hAnsi="Cambria"/>
          <w:sz w:val="20"/>
          <w:szCs w:val="20"/>
          <w:lang w:val="es-AR"/>
        </w:rPr>
        <w:t xml:space="preserve"> años para resolver</w:t>
      </w:r>
      <w:r w:rsidR="009B7400">
        <w:rPr>
          <w:rFonts w:ascii="Cambria" w:hAnsi="Cambria"/>
          <w:sz w:val="20"/>
          <w:szCs w:val="20"/>
          <w:lang w:val="es-AR"/>
        </w:rPr>
        <w:t xml:space="preserve"> el</w:t>
      </w:r>
      <w:r>
        <w:rPr>
          <w:rFonts w:ascii="Cambria" w:hAnsi="Cambria"/>
          <w:sz w:val="20"/>
          <w:szCs w:val="20"/>
          <w:lang w:val="es-AR"/>
        </w:rPr>
        <w:t xml:space="preserve"> habeas corpus, vulneró la garantía del plazo razonable. </w:t>
      </w:r>
    </w:p>
    <w:p w14:paraId="1F01BFD3" w14:textId="77777777" w:rsidR="00ED7437" w:rsidRPr="00572E09" w:rsidRDefault="00ED7437" w:rsidP="00DB4D24">
      <w:pPr>
        <w:rPr>
          <w:sz w:val="20"/>
          <w:szCs w:val="20"/>
          <w:lang w:val="es-AR"/>
        </w:rPr>
      </w:pPr>
    </w:p>
    <w:p w14:paraId="2128D50D" w14:textId="77777777" w:rsidR="007D4740" w:rsidRDefault="007D4740"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En virtud de lo anterior, la CIDH concluye que el Estado es responsable por la violación de</w:t>
      </w:r>
      <w:r w:rsidR="009B7400">
        <w:rPr>
          <w:rFonts w:ascii="Cambria" w:hAnsi="Cambria"/>
          <w:sz w:val="20"/>
          <w:szCs w:val="20"/>
          <w:lang w:val="es-AR"/>
        </w:rPr>
        <w:t xml:space="preserve">l </w:t>
      </w:r>
      <w:r>
        <w:rPr>
          <w:rFonts w:ascii="Cambria" w:hAnsi="Cambria"/>
          <w:sz w:val="20"/>
          <w:szCs w:val="20"/>
          <w:lang w:val="es-AR"/>
        </w:rPr>
        <w:t xml:space="preserve">artículo 8.1 de la Convención Americana, en relación con el artículo 1.1 del mismo instrumento, en perjuicio de Ángel Pedro Falanga. </w:t>
      </w:r>
    </w:p>
    <w:p w14:paraId="36820D91" w14:textId="77777777" w:rsidR="00EF7393" w:rsidRDefault="00EF7393" w:rsidP="00DB4D24">
      <w:pPr>
        <w:jc w:val="both"/>
        <w:rPr>
          <w:rFonts w:asciiTheme="majorHAnsi" w:hAnsiTheme="majorHAnsi" w:cs="Arial"/>
          <w:sz w:val="20"/>
          <w:szCs w:val="20"/>
          <w:lang w:val="es-AR"/>
        </w:rPr>
      </w:pPr>
    </w:p>
    <w:p w14:paraId="364F5635" w14:textId="77777777" w:rsidR="00CA0A47" w:rsidRPr="00397B14" w:rsidRDefault="00B0761F" w:rsidP="00397B14">
      <w:pPr>
        <w:pStyle w:val="Heading2"/>
      </w:pPr>
      <w:bookmarkStart w:id="36" w:name="_Toc5369477"/>
      <w:bookmarkStart w:id="37" w:name="_Toc99959084"/>
      <w:r w:rsidRPr="00397B14">
        <w:t>El derecho a la libertad personal</w:t>
      </w:r>
      <w:r w:rsidRPr="00ED1CFF">
        <w:rPr>
          <w:vertAlign w:val="superscript"/>
        </w:rPr>
        <w:footnoteReference w:id="41"/>
      </w:r>
      <w:r w:rsidR="00524510" w:rsidRPr="00397B14">
        <w:t>, la libertad de circulación y residencia</w:t>
      </w:r>
      <w:r w:rsidR="007C5F04" w:rsidRPr="00ED1CFF">
        <w:rPr>
          <w:rStyle w:val="FootnoteReference"/>
        </w:rPr>
        <w:footnoteReference w:id="42"/>
      </w:r>
      <w:r w:rsidR="006E402D" w:rsidRPr="00397B14">
        <w:t xml:space="preserve"> y</w:t>
      </w:r>
      <w:r w:rsidR="00526C0F" w:rsidRPr="00397B14">
        <w:t xml:space="preserve"> el principio de</w:t>
      </w:r>
      <w:r w:rsidR="006E402D" w:rsidRPr="00397B14">
        <w:t xml:space="preserve"> presunción de inocencia</w:t>
      </w:r>
      <w:r w:rsidR="006E402D" w:rsidRPr="00ED1CFF">
        <w:rPr>
          <w:vertAlign w:val="superscript"/>
        </w:rPr>
        <w:footnoteReference w:id="43"/>
      </w:r>
      <w:bookmarkEnd w:id="36"/>
      <w:bookmarkEnd w:id="37"/>
    </w:p>
    <w:p w14:paraId="1CAB03A0" w14:textId="77777777" w:rsidR="00CA0A47" w:rsidRDefault="00CA0A47" w:rsidP="00DB4D24">
      <w:pPr>
        <w:jc w:val="both"/>
        <w:rPr>
          <w:rFonts w:asciiTheme="majorHAnsi" w:hAnsiTheme="majorHAnsi" w:cs="Arial"/>
          <w:sz w:val="20"/>
          <w:szCs w:val="20"/>
          <w:lang w:val="es-ES"/>
        </w:rPr>
      </w:pPr>
    </w:p>
    <w:p w14:paraId="67B6D8D4" w14:textId="77777777" w:rsidR="00B0761F" w:rsidRDefault="00B0761F"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La Comisión recuerda que el artículo 7.5 de la Convención establece la posibilidad de imponer medidas cautelares sustitutivas de la privación a la libertad previa a una sentencia, indicando que la libertad podrá estar condicionada a garantías que aseguren la comparecencia de una persona a juicio</w:t>
      </w:r>
      <w:r>
        <w:rPr>
          <w:rStyle w:val="FootnoteReference"/>
          <w:rFonts w:ascii="Cambria" w:hAnsi="Cambria"/>
          <w:sz w:val="20"/>
          <w:szCs w:val="20"/>
          <w:lang w:val="es-AR"/>
        </w:rPr>
        <w:footnoteReference w:id="44"/>
      </w:r>
      <w:r>
        <w:rPr>
          <w:rFonts w:ascii="Cambria" w:hAnsi="Cambria"/>
          <w:sz w:val="20"/>
          <w:szCs w:val="20"/>
          <w:lang w:val="es-AR"/>
        </w:rPr>
        <w:t xml:space="preserve">. </w:t>
      </w:r>
    </w:p>
    <w:p w14:paraId="6CA936B2" w14:textId="77777777" w:rsidR="00BF1E22" w:rsidRPr="00C46D5F" w:rsidRDefault="00BF1E22"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32A44A45" w14:textId="77777777" w:rsidR="00B0761F" w:rsidRDefault="00B0761F"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La CIDH considera que al igual que ocurre respecto de la prisión preventiva, las medidas alternativas a la misma, solo pueden imponerse cuando existan indicios suficientes que permitan suponer razonablemente que la persona sometida a proceso ha participado en el ilícito que se investiga, y siempre que sea necesario para asegurar que el acusado no impedirá el desarrollo del procedimiento ni eludirá la acción de la justicia</w:t>
      </w:r>
      <w:r w:rsidRPr="00A63957">
        <w:rPr>
          <w:rStyle w:val="FootnoteReference"/>
          <w:rFonts w:asciiTheme="majorHAnsi" w:hAnsiTheme="majorHAnsi"/>
          <w:sz w:val="20"/>
          <w:szCs w:val="20"/>
        </w:rPr>
        <w:footnoteReference w:id="45"/>
      </w:r>
      <w:r>
        <w:rPr>
          <w:rFonts w:ascii="Cambria" w:hAnsi="Cambria"/>
          <w:sz w:val="20"/>
          <w:szCs w:val="20"/>
          <w:lang w:val="es-AR"/>
        </w:rPr>
        <w:t xml:space="preserve">.  </w:t>
      </w:r>
      <w:r w:rsidRPr="00C46D5F">
        <w:rPr>
          <w:rFonts w:ascii="Cambria" w:hAnsi="Cambria"/>
          <w:sz w:val="20"/>
          <w:szCs w:val="20"/>
          <w:lang w:val="es-AR"/>
        </w:rPr>
        <w:t>De igual forma, en vista de que algunas de estas medidas también implican una restricción en el goce de otros derechos, como el derecho de circulación, las mismas deben ser aplicadas en observancia de los principios de legalidad, necesidad y proporcionalidad</w:t>
      </w:r>
      <w:r>
        <w:rPr>
          <w:rStyle w:val="FootnoteReference"/>
          <w:rFonts w:ascii="Cambria" w:hAnsi="Cambria"/>
          <w:sz w:val="20"/>
          <w:szCs w:val="20"/>
          <w:lang w:val="es-AR"/>
        </w:rPr>
        <w:footnoteReference w:id="46"/>
      </w:r>
      <w:r w:rsidRPr="00C46D5F">
        <w:rPr>
          <w:rFonts w:ascii="Cambria" w:hAnsi="Cambria"/>
          <w:sz w:val="20"/>
          <w:szCs w:val="20"/>
          <w:lang w:val="es-AR"/>
        </w:rPr>
        <w:t xml:space="preserve">. </w:t>
      </w:r>
    </w:p>
    <w:p w14:paraId="63C1F96E" w14:textId="77777777" w:rsidR="002733F3" w:rsidRDefault="002733F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238ACBED" w14:textId="77777777" w:rsidR="002733F3" w:rsidRDefault="002733F3"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En el caso Canese vs. Paraguay,  la Corte Interamericana indicó que “las medidas cautelares que afectan la libertad personal y el derecho de circulación del procesado tienen un carácter excepcional, ya que se encuentran limitadas por el derecho a la presunción de inocencia y los principios de necesidad y proporcionalidad en una sociedad democrática (…) dichas medidas cautelares no pueden constituirse en un sustituto de la pena privativa de libertad ni cumplir los fines de la misma, lo cual puede suceder si se continúa aplicando cuando ha dejado de cumplir las funciones arriba mencionadas. De lo contrario, la aplicación de una medida cautelar que afecte la libertad personal y el derecho de circulación del procesado sería lo mismo que anticipar una pena la a sentencia, lo cual contradice principios generales del derecho universalmente reconocidos”</w:t>
      </w:r>
      <w:r w:rsidR="006A11AF">
        <w:rPr>
          <w:rStyle w:val="FootnoteReference"/>
          <w:rFonts w:ascii="Cambria" w:hAnsi="Cambria"/>
          <w:sz w:val="20"/>
          <w:szCs w:val="20"/>
          <w:lang w:val="es-AR"/>
        </w:rPr>
        <w:footnoteReference w:id="47"/>
      </w:r>
      <w:r>
        <w:rPr>
          <w:rFonts w:ascii="Cambria" w:hAnsi="Cambria"/>
          <w:sz w:val="20"/>
          <w:szCs w:val="20"/>
          <w:lang w:val="es-AR"/>
        </w:rPr>
        <w:t xml:space="preserve">. </w:t>
      </w:r>
    </w:p>
    <w:p w14:paraId="1EBE0A35" w14:textId="77777777" w:rsidR="00B0761F" w:rsidRPr="00C647C5" w:rsidRDefault="00B0761F" w:rsidP="00DB4D24">
      <w:pPr>
        <w:rPr>
          <w:sz w:val="20"/>
          <w:szCs w:val="20"/>
          <w:lang w:val="es-AR"/>
        </w:rPr>
      </w:pPr>
    </w:p>
    <w:p w14:paraId="7B9A5530" w14:textId="77777777" w:rsidR="00B0761F" w:rsidRDefault="00B0761F"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La Comisión estima</w:t>
      </w:r>
      <w:r w:rsidR="00C647C5">
        <w:rPr>
          <w:rFonts w:ascii="Cambria" w:hAnsi="Cambria"/>
          <w:sz w:val="20"/>
          <w:szCs w:val="20"/>
          <w:lang w:val="es-AR"/>
        </w:rPr>
        <w:t xml:space="preserve"> a la luz de lo indicado, </w:t>
      </w:r>
      <w:r>
        <w:rPr>
          <w:rFonts w:ascii="Cambria" w:hAnsi="Cambria"/>
          <w:sz w:val="20"/>
          <w:szCs w:val="20"/>
          <w:lang w:val="es-AR"/>
        </w:rPr>
        <w:t xml:space="preserve">que el uso indebido de las medidas </w:t>
      </w:r>
      <w:r w:rsidR="00994882">
        <w:rPr>
          <w:rFonts w:ascii="Cambria" w:hAnsi="Cambria"/>
          <w:sz w:val="20"/>
          <w:szCs w:val="20"/>
          <w:lang w:val="es-AR"/>
        </w:rPr>
        <w:t xml:space="preserve">cautelares en el marco de procesos penales, tanto restrictivas a la libertad personal como a otros derechos como la libertad de circulación, </w:t>
      </w:r>
      <w:r>
        <w:rPr>
          <w:rFonts w:ascii="Cambria" w:hAnsi="Cambria"/>
          <w:sz w:val="20"/>
          <w:szCs w:val="20"/>
          <w:lang w:val="es-AR"/>
        </w:rPr>
        <w:lastRenderedPageBreak/>
        <w:t>puede tener un impacto</w:t>
      </w:r>
      <w:r w:rsidR="00994882">
        <w:rPr>
          <w:rFonts w:ascii="Cambria" w:hAnsi="Cambria"/>
          <w:sz w:val="20"/>
          <w:szCs w:val="20"/>
          <w:lang w:val="es-AR"/>
        </w:rPr>
        <w:t>, además de en el ejercicio de tales derechos,</w:t>
      </w:r>
      <w:r>
        <w:rPr>
          <w:rFonts w:ascii="Cambria" w:hAnsi="Cambria"/>
          <w:sz w:val="20"/>
          <w:szCs w:val="20"/>
          <w:lang w:val="es-AR"/>
        </w:rPr>
        <w:t xml:space="preserve"> en el principio de presunción de inocencia contenido en el artículo 8.2 de la Convención Americana. L</w:t>
      </w:r>
      <w:r w:rsidR="00C647C5">
        <w:rPr>
          <w:rFonts w:ascii="Cambria" w:hAnsi="Cambria"/>
          <w:sz w:val="20"/>
          <w:szCs w:val="20"/>
          <w:lang w:val="es-AR"/>
        </w:rPr>
        <w:t>a CIDH considera</w:t>
      </w:r>
      <w:r>
        <w:rPr>
          <w:rFonts w:ascii="Cambria" w:hAnsi="Cambria"/>
          <w:sz w:val="20"/>
          <w:szCs w:val="20"/>
          <w:lang w:val="es-AR"/>
        </w:rPr>
        <w:t xml:space="preserve"> que, dependiendo de la naturaleza y severidad de las mismas, imponerlas </w:t>
      </w:r>
      <w:r w:rsidR="007E4937">
        <w:rPr>
          <w:rFonts w:ascii="Cambria" w:hAnsi="Cambria"/>
          <w:sz w:val="20"/>
          <w:szCs w:val="20"/>
          <w:lang w:val="es-AR"/>
        </w:rPr>
        <w:t xml:space="preserve">sin una fundamentación adecuada y/o durante </w:t>
      </w:r>
      <w:r>
        <w:rPr>
          <w:rFonts w:ascii="Cambria" w:hAnsi="Cambria"/>
          <w:sz w:val="20"/>
          <w:szCs w:val="20"/>
          <w:lang w:val="es-AR"/>
        </w:rPr>
        <w:t>periodo</w:t>
      </w:r>
      <w:r w:rsidR="007E4937">
        <w:rPr>
          <w:rFonts w:ascii="Cambria" w:hAnsi="Cambria"/>
          <w:sz w:val="20"/>
          <w:szCs w:val="20"/>
          <w:lang w:val="es-AR"/>
        </w:rPr>
        <w:t>s</w:t>
      </w:r>
      <w:r>
        <w:rPr>
          <w:rFonts w:ascii="Cambria" w:hAnsi="Cambria"/>
          <w:sz w:val="20"/>
          <w:szCs w:val="20"/>
          <w:lang w:val="es-AR"/>
        </w:rPr>
        <w:t xml:space="preserve"> que excede</w:t>
      </w:r>
      <w:r w:rsidR="007E4937">
        <w:rPr>
          <w:rFonts w:ascii="Cambria" w:hAnsi="Cambria"/>
          <w:sz w:val="20"/>
          <w:szCs w:val="20"/>
          <w:lang w:val="es-AR"/>
        </w:rPr>
        <w:t>n</w:t>
      </w:r>
      <w:r>
        <w:rPr>
          <w:rFonts w:ascii="Cambria" w:hAnsi="Cambria"/>
          <w:sz w:val="20"/>
          <w:szCs w:val="20"/>
          <w:lang w:val="es-AR"/>
        </w:rPr>
        <w:t xml:space="preserve"> el límite de lo razonable, puede ser equivalente a una pena anticipada</w:t>
      </w:r>
      <w:r w:rsidRPr="00A63957">
        <w:rPr>
          <w:rStyle w:val="FootnoteReference"/>
          <w:rFonts w:asciiTheme="majorHAnsi" w:hAnsiTheme="majorHAnsi" w:cs="Calibri"/>
          <w:sz w:val="20"/>
          <w:szCs w:val="20"/>
          <w:lang w:val="es-CO" w:eastAsia="es-ES"/>
        </w:rPr>
        <w:footnoteReference w:id="48"/>
      </w:r>
      <w:r>
        <w:rPr>
          <w:rFonts w:ascii="Cambria" w:hAnsi="Cambria"/>
          <w:sz w:val="20"/>
          <w:szCs w:val="20"/>
          <w:lang w:val="es-AR"/>
        </w:rPr>
        <w:t xml:space="preserve">. </w:t>
      </w:r>
    </w:p>
    <w:p w14:paraId="6AC30CA5" w14:textId="77777777" w:rsidR="004F1E9D" w:rsidRDefault="004F1E9D" w:rsidP="004F1E9D">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57C8F9AB" w14:textId="77777777" w:rsidR="00C647C5" w:rsidRPr="00BD4AB4" w:rsidRDefault="00E92272" w:rsidP="005C696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BD4AB4">
        <w:rPr>
          <w:rFonts w:asciiTheme="majorHAnsi" w:hAnsiTheme="majorHAnsi"/>
          <w:sz w:val="20"/>
          <w:szCs w:val="20"/>
          <w:lang w:val="es-AR"/>
        </w:rPr>
        <w:t xml:space="preserve">En el presente caso, la Comisión </w:t>
      </w:r>
      <w:r w:rsidR="00EE6820" w:rsidRPr="00BD4AB4">
        <w:rPr>
          <w:rFonts w:asciiTheme="majorHAnsi" w:hAnsiTheme="majorHAnsi"/>
          <w:sz w:val="20"/>
          <w:szCs w:val="20"/>
          <w:lang w:val="es-AR"/>
        </w:rPr>
        <w:t>recuerda</w:t>
      </w:r>
      <w:r w:rsidR="005B0499" w:rsidRPr="00BD4AB4">
        <w:rPr>
          <w:rFonts w:asciiTheme="majorHAnsi" w:hAnsiTheme="majorHAnsi"/>
          <w:sz w:val="20"/>
          <w:szCs w:val="20"/>
          <w:lang w:val="es-AR"/>
        </w:rPr>
        <w:t xml:space="preserve"> </w:t>
      </w:r>
      <w:r w:rsidR="00C647C5" w:rsidRPr="00BD4AB4">
        <w:rPr>
          <w:rFonts w:ascii="Cambria" w:hAnsi="Cambria"/>
          <w:sz w:val="20"/>
          <w:szCs w:val="20"/>
          <w:lang w:val="es-AR"/>
        </w:rPr>
        <w:t>que</w:t>
      </w:r>
      <w:r w:rsidR="00EE0EEF" w:rsidRPr="00BD4AB4">
        <w:rPr>
          <w:rFonts w:ascii="Cambria" w:hAnsi="Cambria"/>
          <w:sz w:val="20"/>
          <w:szCs w:val="20"/>
          <w:lang w:val="es-AR"/>
        </w:rPr>
        <w:t xml:space="preserve"> durante </w:t>
      </w:r>
      <w:r w:rsidR="004E4E87" w:rsidRPr="00BD4AB4">
        <w:rPr>
          <w:rFonts w:ascii="Cambria" w:hAnsi="Cambria"/>
          <w:sz w:val="20"/>
          <w:szCs w:val="20"/>
          <w:lang w:val="es-AR"/>
        </w:rPr>
        <w:t>los procesos penales en su contra, la presunta víctima sufri</w:t>
      </w:r>
      <w:r w:rsidR="001F0CCF" w:rsidRPr="00BD4AB4">
        <w:rPr>
          <w:rFonts w:ascii="Cambria" w:hAnsi="Cambria"/>
          <w:sz w:val="20"/>
          <w:szCs w:val="20"/>
          <w:lang w:val="es-AR"/>
        </w:rPr>
        <w:t>ó diversas</w:t>
      </w:r>
      <w:r w:rsidR="004E4E87" w:rsidRPr="00BD4AB4">
        <w:rPr>
          <w:rFonts w:ascii="Cambria" w:hAnsi="Cambria"/>
          <w:sz w:val="20"/>
          <w:szCs w:val="20"/>
          <w:lang w:val="es-AR"/>
        </w:rPr>
        <w:t xml:space="preserve"> restricciones a la libertad personal </w:t>
      </w:r>
      <w:r w:rsidR="003B0E01" w:rsidRPr="00BD4AB4">
        <w:rPr>
          <w:rFonts w:ascii="Cambria" w:hAnsi="Cambria"/>
          <w:sz w:val="20"/>
          <w:szCs w:val="20"/>
          <w:lang w:val="es-AR"/>
        </w:rPr>
        <w:t xml:space="preserve">y a la libertad de circulación, </w:t>
      </w:r>
      <w:r w:rsidR="004E4E87" w:rsidRPr="00BD4AB4">
        <w:rPr>
          <w:rFonts w:ascii="Cambria" w:hAnsi="Cambria"/>
          <w:sz w:val="20"/>
          <w:szCs w:val="20"/>
          <w:lang w:val="es-AR"/>
        </w:rPr>
        <w:t>con grados</w:t>
      </w:r>
      <w:r w:rsidR="00FB42A7" w:rsidRPr="00BD4AB4">
        <w:rPr>
          <w:rFonts w:ascii="Cambria" w:hAnsi="Cambria"/>
          <w:sz w:val="20"/>
          <w:szCs w:val="20"/>
          <w:lang w:val="es-AR"/>
        </w:rPr>
        <w:t xml:space="preserve"> distintos </w:t>
      </w:r>
      <w:r w:rsidR="004E4E87" w:rsidRPr="00BD4AB4">
        <w:rPr>
          <w:rFonts w:ascii="Cambria" w:hAnsi="Cambria"/>
          <w:sz w:val="20"/>
          <w:szCs w:val="20"/>
          <w:lang w:val="es-AR"/>
        </w:rPr>
        <w:t>de intensidad</w:t>
      </w:r>
      <w:r w:rsidR="001F0CCF" w:rsidRPr="00BD4AB4">
        <w:rPr>
          <w:rFonts w:ascii="Cambria" w:hAnsi="Cambria"/>
          <w:sz w:val="20"/>
          <w:szCs w:val="20"/>
          <w:lang w:val="es-AR"/>
        </w:rPr>
        <w:t>.</w:t>
      </w:r>
      <w:r w:rsidR="00F928EF" w:rsidRPr="00BD4AB4">
        <w:rPr>
          <w:rFonts w:ascii="Cambria" w:hAnsi="Cambria"/>
          <w:sz w:val="20"/>
          <w:szCs w:val="20"/>
          <w:lang w:val="es-AR"/>
        </w:rPr>
        <w:t xml:space="preserve"> </w:t>
      </w:r>
      <w:r w:rsidR="001F0CCF" w:rsidRPr="00BD4AB4">
        <w:rPr>
          <w:rFonts w:ascii="Cambria" w:hAnsi="Cambria"/>
          <w:sz w:val="20"/>
          <w:szCs w:val="20"/>
          <w:lang w:val="es-AR"/>
        </w:rPr>
        <w:t xml:space="preserve">Dichas medidas </w:t>
      </w:r>
      <w:r w:rsidR="00B2607B" w:rsidRPr="00BD4AB4">
        <w:rPr>
          <w:rFonts w:ascii="Cambria" w:hAnsi="Cambria"/>
          <w:sz w:val="20"/>
          <w:szCs w:val="20"/>
          <w:lang w:val="es-AR"/>
        </w:rPr>
        <w:t xml:space="preserve">incluyeron </w:t>
      </w:r>
      <w:r w:rsidR="001F0CCF" w:rsidRPr="00BD4AB4">
        <w:rPr>
          <w:rFonts w:ascii="Cambria" w:hAnsi="Cambria"/>
          <w:sz w:val="20"/>
          <w:szCs w:val="20"/>
          <w:lang w:val="es-AR"/>
        </w:rPr>
        <w:t>prisión preventiva en</w:t>
      </w:r>
      <w:r w:rsidR="00B2607B" w:rsidRPr="00BD4AB4">
        <w:rPr>
          <w:rFonts w:ascii="Cambria" w:hAnsi="Cambria"/>
          <w:sz w:val="20"/>
          <w:szCs w:val="20"/>
          <w:lang w:val="es-AR"/>
        </w:rPr>
        <w:t xml:space="preserve"> dos oportunidades, esto es, ent</w:t>
      </w:r>
      <w:r w:rsidR="001F0CCF" w:rsidRPr="00BD4AB4">
        <w:rPr>
          <w:rFonts w:ascii="Cambria" w:hAnsi="Cambria"/>
          <w:sz w:val="20"/>
          <w:szCs w:val="20"/>
          <w:lang w:val="es-AR"/>
        </w:rPr>
        <w:t xml:space="preserve">re diciembre de 1985 y abril de 1986 y marzo y noviembre de 1999, </w:t>
      </w:r>
      <w:r w:rsidR="00B2607B" w:rsidRPr="00BD4AB4">
        <w:rPr>
          <w:rFonts w:ascii="Cambria" w:hAnsi="Cambria"/>
          <w:sz w:val="20"/>
          <w:szCs w:val="20"/>
          <w:lang w:val="es-AR"/>
        </w:rPr>
        <w:t xml:space="preserve">las cuales fueron sustituidas por otras medidas como la comparecencia periódica </w:t>
      </w:r>
      <w:r w:rsidR="001F0CCF" w:rsidRPr="00BD4AB4">
        <w:rPr>
          <w:rFonts w:ascii="Cambria" w:hAnsi="Cambria"/>
          <w:sz w:val="20"/>
          <w:szCs w:val="20"/>
          <w:lang w:val="es-AR"/>
        </w:rPr>
        <w:t>a</w:t>
      </w:r>
      <w:r w:rsidR="00B2607B" w:rsidRPr="00BD4AB4">
        <w:rPr>
          <w:rFonts w:ascii="Cambria" w:hAnsi="Cambria"/>
          <w:sz w:val="20"/>
          <w:szCs w:val="20"/>
          <w:lang w:val="es-AR"/>
        </w:rPr>
        <w:t>nte</w:t>
      </w:r>
      <w:r w:rsidR="001F0CCF" w:rsidRPr="00BD4AB4">
        <w:rPr>
          <w:rFonts w:ascii="Cambria" w:hAnsi="Cambria"/>
          <w:sz w:val="20"/>
          <w:szCs w:val="20"/>
          <w:lang w:val="es-AR"/>
        </w:rPr>
        <w:t xml:space="preserve"> distintas autoridades</w:t>
      </w:r>
      <w:r w:rsidR="00B2607B" w:rsidRPr="00BD4AB4">
        <w:rPr>
          <w:rFonts w:ascii="Cambria" w:hAnsi="Cambria"/>
          <w:sz w:val="20"/>
          <w:szCs w:val="20"/>
          <w:lang w:val="es-AR"/>
        </w:rPr>
        <w:t xml:space="preserve"> y la prohibición de salida del país</w:t>
      </w:r>
      <w:r w:rsidR="00E43A4B" w:rsidRPr="00BD4AB4">
        <w:rPr>
          <w:rFonts w:ascii="Cambria" w:hAnsi="Cambria"/>
          <w:sz w:val="20"/>
          <w:szCs w:val="20"/>
          <w:lang w:val="es-AR"/>
        </w:rPr>
        <w:t xml:space="preserve"> y de la provincia, </w:t>
      </w:r>
      <w:r w:rsidR="00160AF0" w:rsidRPr="00BD4AB4">
        <w:rPr>
          <w:rFonts w:ascii="Cambria" w:hAnsi="Cambria"/>
          <w:sz w:val="20"/>
          <w:szCs w:val="20"/>
          <w:lang w:val="es-AR"/>
        </w:rPr>
        <w:t xml:space="preserve">la cual requería que para abandonarlo se concediera una autorización bajo cauciones económicas o fianzas. </w:t>
      </w:r>
      <w:r w:rsidR="00E43A4B" w:rsidRPr="00BD4AB4">
        <w:rPr>
          <w:rFonts w:ascii="Cambria" w:hAnsi="Cambria"/>
          <w:sz w:val="20"/>
          <w:szCs w:val="20"/>
          <w:lang w:val="es-AR"/>
        </w:rPr>
        <w:t>De la información disponible se deprende que estas medidas se extendieron durante todo el proceso penal que, como se ya indicó</w:t>
      </w:r>
      <w:r w:rsidR="006470CD" w:rsidRPr="00BD4AB4">
        <w:rPr>
          <w:rFonts w:ascii="Cambria" w:hAnsi="Cambria"/>
          <w:sz w:val="20"/>
          <w:szCs w:val="20"/>
          <w:lang w:val="es-AR"/>
        </w:rPr>
        <w:t>,</w:t>
      </w:r>
      <w:r w:rsidR="00E43A4B" w:rsidRPr="00BD4AB4">
        <w:rPr>
          <w:rFonts w:ascii="Cambria" w:hAnsi="Cambria"/>
          <w:sz w:val="20"/>
          <w:szCs w:val="20"/>
          <w:lang w:val="es-AR"/>
        </w:rPr>
        <w:t xml:space="preserve"> tuvo una duración irrazonable de más de </w:t>
      </w:r>
      <w:r w:rsidR="001F0CCF" w:rsidRPr="00BD4AB4">
        <w:rPr>
          <w:rFonts w:ascii="Cambria" w:hAnsi="Cambria"/>
          <w:sz w:val="20"/>
          <w:szCs w:val="20"/>
          <w:lang w:val="es-AR"/>
        </w:rPr>
        <w:t>20 años</w:t>
      </w:r>
      <w:r w:rsidR="00E43A4B" w:rsidRPr="00BD4AB4">
        <w:rPr>
          <w:rFonts w:ascii="Cambria" w:hAnsi="Cambria"/>
          <w:sz w:val="20"/>
          <w:szCs w:val="20"/>
          <w:lang w:val="es-AR"/>
        </w:rPr>
        <w:t xml:space="preserve">. </w:t>
      </w:r>
      <w:r w:rsidR="005A70CA">
        <w:rPr>
          <w:rFonts w:ascii="Cambria" w:hAnsi="Cambria"/>
          <w:sz w:val="20"/>
          <w:szCs w:val="20"/>
          <w:lang w:val="es-AR"/>
        </w:rPr>
        <w:t>En e</w:t>
      </w:r>
      <w:r w:rsidR="00696B5A" w:rsidRPr="00BD4AB4">
        <w:rPr>
          <w:rFonts w:ascii="Cambria" w:hAnsi="Cambria"/>
          <w:sz w:val="20"/>
          <w:szCs w:val="20"/>
          <w:lang w:val="es-AR"/>
        </w:rPr>
        <w:t>stas circunstancias, la C</w:t>
      </w:r>
      <w:r w:rsidR="005A70CA">
        <w:rPr>
          <w:rFonts w:ascii="Cambria" w:hAnsi="Cambria"/>
          <w:sz w:val="20"/>
          <w:szCs w:val="20"/>
          <w:lang w:val="es-AR"/>
        </w:rPr>
        <w:t>IDH c</w:t>
      </w:r>
      <w:r w:rsidR="00696B5A" w:rsidRPr="00BD4AB4">
        <w:rPr>
          <w:rFonts w:ascii="Cambria" w:hAnsi="Cambria"/>
          <w:sz w:val="20"/>
          <w:szCs w:val="20"/>
          <w:lang w:val="es-AR"/>
        </w:rPr>
        <w:t xml:space="preserve">onsidera que las </w:t>
      </w:r>
      <w:r w:rsidR="001F0CCF" w:rsidRPr="00BD4AB4">
        <w:rPr>
          <w:rFonts w:ascii="Cambria" w:hAnsi="Cambria"/>
          <w:sz w:val="20"/>
          <w:szCs w:val="20"/>
          <w:lang w:val="es-AR"/>
        </w:rPr>
        <w:t>mismas no fueron empleadas en un límite razonable y</w:t>
      </w:r>
      <w:r w:rsidR="00055F41" w:rsidRPr="00BD4AB4">
        <w:rPr>
          <w:rFonts w:ascii="Cambria" w:hAnsi="Cambria"/>
          <w:sz w:val="20"/>
          <w:szCs w:val="20"/>
          <w:lang w:val="es-AR"/>
        </w:rPr>
        <w:t xml:space="preserve">, por este motivo, </w:t>
      </w:r>
      <w:r w:rsidR="001F0CCF" w:rsidRPr="00BD4AB4">
        <w:rPr>
          <w:rFonts w:ascii="Cambria" w:hAnsi="Cambria"/>
          <w:sz w:val="20"/>
          <w:szCs w:val="20"/>
          <w:lang w:val="es-AR"/>
        </w:rPr>
        <w:t>constituy</w:t>
      </w:r>
      <w:r w:rsidR="00055F41" w:rsidRPr="00BD4AB4">
        <w:rPr>
          <w:rFonts w:ascii="Cambria" w:hAnsi="Cambria"/>
          <w:sz w:val="20"/>
          <w:szCs w:val="20"/>
          <w:lang w:val="es-AR"/>
        </w:rPr>
        <w:t>eron</w:t>
      </w:r>
      <w:r w:rsidR="001F0CCF" w:rsidRPr="00BD4AB4">
        <w:rPr>
          <w:rFonts w:ascii="Cambria" w:hAnsi="Cambria"/>
          <w:sz w:val="20"/>
          <w:szCs w:val="20"/>
          <w:lang w:val="es-AR"/>
        </w:rPr>
        <w:t xml:space="preserve"> una pena anticipada por la</w:t>
      </w:r>
      <w:r w:rsidR="00055F41" w:rsidRPr="00BD4AB4">
        <w:rPr>
          <w:rFonts w:ascii="Cambria" w:hAnsi="Cambria"/>
          <w:sz w:val="20"/>
          <w:szCs w:val="20"/>
          <w:lang w:val="es-AR"/>
        </w:rPr>
        <w:t>s</w:t>
      </w:r>
      <w:r w:rsidR="001F0CCF" w:rsidRPr="00BD4AB4">
        <w:rPr>
          <w:rFonts w:ascii="Cambria" w:hAnsi="Cambria"/>
          <w:sz w:val="20"/>
          <w:szCs w:val="20"/>
          <w:lang w:val="es-AR"/>
        </w:rPr>
        <w:t xml:space="preserve"> carga</w:t>
      </w:r>
      <w:r w:rsidR="00055F41" w:rsidRPr="00BD4AB4">
        <w:rPr>
          <w:rFonts w:ascii="Cambria" w:hAnsi="Cambria"/>
          <w:sz w:val="20"/>
          <w:szCs w:val="20"/>
          <w:lang w:val="es-AR"/>
        </w:rPr>
        <w:t>s</w:t>
      </w:r>
      <w:r w:rsidR="001F0CCF" w:rsidRPr="00BD4AB4">
        <w:rPr>
          <w:rFonts w:ascii="Cambria" w:hAnsi="Cambria"/>
          <w:sz w:val="20"/>
          <w:szCs w:val="20"/>
          <w:lang w:val="es-AR"/>
        </w:rPr>
        <w:t xml:space="preserve"> y </w:t>
      </w:r>
      <w:r w:rsidR="00055F41" w:rsidRPr="00BD4AB4">
        <w:rPr>
          <w:rFonts w:ascii="Cambria" w:hAnsi="Cambria"/>
          <w:sz w:val="20"/>
          <w:szCs w:val="20"/>
          <w:lang w:val="es-AR"/>
        </w:rPr>
        <w:t>limitaciones a derechos</w:t>
      </w:r>
      <w:r w:rsidR="001F0CCF" w:rsidRPr="00BD4AB4">
        <w:rPr>
          <w:rFonts w:ascii="Cambria" w:hAnsi="Cambria"/>
          <w:sz w:val="20"/>
          <w:szCs w:val="20"/>
          <w:lang w:val="es-AR"/>
        </w:rPr>
        <w:t xml:space="preserve"> que impusieron a la presunta víctima.  </w:t>
      </w:r>
    </w:p>
    <w:p w14:paraId="541F0C42" w14:textId="77777777" w:rsidR="00474DFB" w:rsidRPr="00BD4AB4" w:rsidRDefault="00474DFB" w:rsidP="00DB4D24">
      <w:pPr>
        <w:rPr>
          <w:sz w:val="20"/>
          <w:szCs w:val="20"/>
          <w:lang w:val="es-AR"/>
        </w:rPr>
      </w:pPr>
    </w:p>
    <w:p w14:paraId="46261279" w14:textId="77777777" w:rsidR="00FD4890" w:rsidRPr="00BD4AB4" w:rsidRDefault="00FD4890"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BD4AB4">
        <w:rPr>
          <w:rFonts w:ascii="Cambria" w:hAnsi="Cambria"/>
          <w:sz w:val="20"/>
          <w:szCs w:val="20"/>
          <w:lang w:val="es-AR"/>
        </w:rPr>
        <w:t xml:space="preserve">Por otra parte, </w:t>
      </w:r>
      <w:r w:rsidR="0019740C" w:rsidRPr="00BD4AB4">
        <w:rPr>
          <w:rFonts w:ascii="Cambria" w:hAnsi="Cambria"/>
          <w:sz w:val="20"/>
          <w:szCs w:val="20"/>
          <w:lang w:val="es-AR"/>
        </w:rPr>
        <w:t>la Comisión observa que</w:t>
      </w:r>
      <w:r w:rsidRPr="00BD4AB4">
        <w:rPr>
          <w:rFonts w:ascii="Cambria" w:hAnsi="Cambria"/>
          <w:sz w:val="20"/>
          <w:szCs w:val="20"/>
          <w:lang w:val="es-AR"/>
        </w:rPr>
        <w:t>, según información disponible</w:t>
      </w:r>
      <w:r w:rsidR="00EE0EEF" w:rsidRPr="00BD4AB4">
        <w:rPr>
          <w:rFonts w:ascii="Cambria" w:hAnsi="Cambria"/>
          <w:sz w:val="20"/>
          <w:szCs w:val="20"/>
          <w:lang w:val="es-AR"/>
        </w:rPr>
        <w:t>,</w:t>
      </w:r>
      <w:r w:rsidRPr="00BD4AB4">
        <w:rPr>
          <w:rFonts w:ascii="Cambria" w:hAnsi="Cambria"/>
          <w:sz w:val="20"/>
          <w:szCs w:val="20"/>
          <w:lang w:val="es-AR"/>
        </w:rPr>
        <w:t xml:space="preserve"> en 2012 la presunta v</w:t>
      </w:r>
      <w:r w:rsidR="00EE0EEF" w:rsidRPr="00BD4AB4">
        <w:rPr>
          <w:rFonts w:ascii="Cambria" w:hAnsi="Cambria"/>
          <w:sz w:val="20"/>
          <w:szCs w:val="20"/>
          <w:lang w:val="es-AR"/>
        </w:rPr>
        <w:t>íctima intentó</w:t>
      </w:r>
      <w:r w:rsidRPr="00BD4AB4">
        <w:rPr>
          <w:rFonts w:ascii="Cambria" w:hAnsi="Cambria"/>
          <w:sz w:val="20"/>
          <w:szCs w:val="20"/>
          <w:lang w:val="es-AR"/>
        </w:rPr>
        <w:t xml:space="preserve"> salir del país, sin embargo</w:t>
      </w:r>
      <w:r w:rsidR="00EE0EEF" w:rsidRPr="00BD4AB4">
        <w:rPr>
          <w:rFonts w:ascii="Cambria" w:hAnsi="Cambria"/>
          <w:sz w:val="20"/>
          <w:szCs w:val="20"/>
          <w:lang w:val="es-AR"/>
        </w:rPr>
        <w:t>,</w:t>
      </w:r>
      <w:r w:rsidRPr="00BD4AB4">
        <w:rPr>
          <w:rFonts w:ascii="Cambria" w:hAnsi="Cambria"/>
          <w:sz w:val="20"/>
          <w:szCs w:val="20"/>
          <w:lang w:val="es-AR"/>
        </w:rPr>
        <w:t xml:space="preserve"> se le denegó la salid</w:t>
      </w:r>
      <w:r w:rsidR="00EE0EEF" w:rsidRPr="00BD4AB4">
        <w:rPr>
          <w:rFonts w:ascii="Cambria" w:hAnsi="Cambria"/>
          <w:sz w:val="20"/>
          <w:szCs w:val="20"/>
          <w:lang w:val="es-AR"/>
        </w:rPr>
        <w:t>a</w:t>
      </w:r>
      <w:r w:rsidRPr="00BD4AB4">
        <w:rPr>
          <w:rFonts w:ascii="Cambria" w:hAnsi="Cambria"/>
          <w:sz w:val="20"/>
          <w:szCs w:val="20"/>
          <w:lang w:val="es-AR"/>
        </w:rPr>
        <w:t xml:space="preserve"> por existir sobre su persona una prohibición de salida. La Comisión considera que </w:t>
      </w:r>
      <w:r w:rsidR="008B6ADB" w:rsidRPr="00BD4AB4">
        <w:rPr>
          <w:rFonts w:ascii="Cambria" w:hAnsi="Cambria"/>
          <w:sz w:val="20"/>
          <w:szCs w:val="20"/>
          <w:lang w:val="es-AR"/>
        </w:rPr>
        <w:t xml:space="preserve">la continuidad de dicha prohibición, por un periodo evidentemente más largo a la pena impuesta y particularmente </w:t>
      </w:r>
      <w:r w:rsidRPr="00BD4AB4">
        <w:rPr>
          <w:rFonts w:ascii="Cambria" w:hAnsi="Cambria"/>
          <w:sz w:val="20"/>
          <w:szCs w:val="20"/>
          <w:lang w:val="es-AR"/>
        </w:rPr>
        <w:t xml:space="preserve">luego de la decisión de la Corte Suprema, no se fundó en los fines </w:t>
      </w:r>
      <w:r w:rsidR="00EE0EEF" w:rsidRPr="00BD4AB4">
        <w:rPr>
          <w:rFonts w:ascii="Cambria" w:hAnsi="Cambria"/>
          <w:sz w:val="20"/>
          <w:szCs w:val="20"/>
          <w:lang w:val="es-AR"/>
        </w:rPr>
        <w:t>requeridos por los estándares interamericanos</w:t>
      </w:r>
      <w:r w:rsidRPr="00BD4AB4">
        <w:rPr>
          <w:rFonts w:ascii="Cambria" w:hAnsi="Cambria"/>
          <w:sz w:val="20"/>
          <w:szCs w:val="20"/>
          <w:lang w:val="es-AR"/>
        </w:rPr>
        <w:t xml:space="preserve"> para la imposición de</w:t>
      </w:r>
      <w:r w:rsidR="00C11091" w:rsidRPr="00BD4AB4">
        <w:rPr>
          <w:rFonts w:ascii="Cambria" w:hAnsi="Cambria"/>
          <w:sz w:val="20"/>
          <w:szCs w:val="20"/>
          <w:lang w:val="es-AR"/>
        </w:rPr>
        <w:t xml:space="preserve"> una limitación a la libertad de circulación</w:t>
      </w:r>
      <w:r w:rsidR="001E69B6" w:rsidRPr="00BD4AB4">
        <w:rPr>
          <w:rFonts w:ascii="Cambria" w:hAnsi="Cambria"/>
          <w:sz w:val="20"/>
          <w:szCs w:val="20"/>
          <w:lang w:val="es-AR"/>
        </w:rPr>
        <w:t>.</w:t>
      </w:r>
      <w:r w:rsidR="00DE2627" w:rsidRPr="00BD4AB4">
        <w:rPr>
          <w:rFonts w:ascii="Cambria" w:hAnsi="Cambria"/>
          <w:sz w:val="20"/>
          <w:szCs w:val="20"/>
          <w:lang w:val="es-AR"/>
        </w:rPr>
        <w:t xml:space="preserve"> </w:t>
      </w:r>
    </w:p>
    <w:p w14:paraId="3D9F8546" w14:textId="77777777" w:rsidR="00B0761F" w:rsidRDefault="00B0761F"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r>
        <w:rPr>
          <w:rFonts w:ascii="Cambria" w:hAnsi="Cambria"/>
          <w:sz w:val="20"/>
          <w:szCs w:val="20"/>
          <w:lang w:val="es-AR"/>
        </w:rPr>
        <w:t xml:space="preserve"> </w:t>
      </w:r>
    </w:p>
    <w:p w14:paraId="2BC895B0" w14:textId="77777777" w:rsidR="00B0761F" w:rsidRDefault="00F84E7B"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 xml:space="preserve">En virtud de lo anterior, la CIDH concluye que el Estado es responsable por la violación de </w:t>
      </w:r>
      <w:r w:rsidR="006701F5">
        <w:rPr>
          <w:rFonts w:ascii="Cambria" w:hAnsi="Cambria"/>
          <w:sz w:val="20"/>
          <w:szCs w:val="20"/>
          <w:lang w:val="es-AR"/>
        </w:rPr>
        <w:t xml:space="preserve">los derechos establecidos en los artículos 7.5, 8.2 y 22.1, 22.2 y 22.3, </w:t>
      </w:r>
      <w:r>
        <w:rPr>
          <w:rFonts w:ascii="Cambria" w:hAnsi="Cambria"/>
          <w:sz w:val="20"/>
          <w:szCs w:val="20"/>
          <w:lang w:val="es-AR"/>
        </w:rPr>
        <w:t xml:space="preserve">en relación con el artículo 1.1 del mismo instrumento, en perjuicio de Ángel Pedro Falanga. </w:t>
      </w:r>
    </w:p>
    <w:p w14:paraId="492350D0" w14:textId="77777777" w:rsidR="00C96F25" w:rsidRDefault="00C96F25"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2F7FBAAA" w14:textId="77777777" w:rsidR="00C96F25" w:rsidRPr="00397B14" w:rsidRDefault="0099102C" w:rsidP="00397B14">
      <w:pPr>
        <w:pStyle w:val="Heading2"/>
      </w:pPr>
      <w:bookmarkStart w:id="38" w:name="_Toc5369478"/>
      <w:bookmarkStart w:id="39" w:name="_Toc99959085"/>
      <w:r w:rsidRPr="00397B14">
        <w:t>Los principios de legalidad y favorabilidad</w:t>
      </w:r>
      <w:r w:rsidRPr="00ED1CFF">
        <w:rPr>
          <w:rStyle w:val="FootnoteReference"/>
        </w:rPr>
        <w:footnoteReference w:id="49"/>
      </w:r>
      <w:bookmarkEnd w:id="38"/>
      <w:bookmarkEnd w:id="39"/>
    </w:p>
    <w:p w14:paraId="5228CE85" w14:textId="77777777" w:rsidR="00C96F25" w:rsidRPr="00C96F25" w:rsidRDefault="00C96F25" w:rsidP="00DB4D24">
      <w:pPr>
        <w:pStyle w:val="ListParagraph"/>
        <w:rPr>
          <w:sz w:val="20"/>
          <w:szCs w:val="20"/>
          <w:lang w:val="es-ES"/>
        </w:rPr>
      </w:pPr>
    </w:p>
    <w:p w14:paraId="02879817" w14:textId="77777777" w:rsidR="00C96F25" w:rsidRDefault="00250705"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250705">
        <w:rPr>
          <w:rFonts w:ascii="Cambria" w:hAnsi="Cambria"/>
          <w:sz w:val="20"/>
          <w:szCs w:val="20"/>
          <w:lang w:val="es-AR"/>
        </w:rPr>
        <w:t>La Comisión recuerda que el principio de legalidad reconocido en el artículo 9 de la Convención preside la actuación de los órganos del Estado cuando deriva del ejercicio de su poder punitivo</w:t>
      </w:r>
      <w:r w:rsidRPr="00250705">
        <w:rPr>
          <w:rFonts w:ascii="Cambria" w:hAnsi="Cambria"/>
          <w:sz w:val="20"/>
          <w:szCs w:val="20"/>
          <w:vertAlign w:val="superscript"/>
          <w:lang w:val="es-AR"/>
        </w:rPr>
        <w:footnoteReference w:id="50"/>
      </w:r>
      <w:r w:rsidRPr="00250705">
        <w:rPr>
          <w:rFonts w:ascii="Cambria" w:hAnsi="Cambria"/>
          <w:sz w:val="20"/>
          <w:szCs w:val="20"/>
          <w:lang w:val="es-AR"/>
        </w:rPr>
        <w:t>.  La Corte ha señalado que como corolario del principio de legalidad conforme al artículo 9 de la Convención, el  Estado se encuentra impedido de ejercer su poder punitivo en el sentido de aplicar de modo retroactivo leyes penales que aumenten las penas, establezcan circunstancias agravantes o creen figuras agravadas de delito</w:t>
      </w:r>
      <w:r w:rsidRPr="00250705">
        <w:rPr>
          <w:rFonts w:ascii="Cambria" w:hAnsi="Cambria"/>
          <w:sz w:val="20"/>
          <w:szCs w:val="20"/>
          <w:vertAlign w:val="superscript"/>
          <w:lang w:val="es-AR"/>
        </w:rPr>
        <w:footnoteReference w:id="51"/>
      </w:r>
      <w:r w:rsidRPr="00250705">
        <w:rPr>
          <w:rFonts w:ascii="Cambria" w:hAnsi="Cambria"/>
          <w:sz w:val="20"/>
          <w:szCs w:val="20"/>
          <w:lang w:val="es-AR"/>
        </w:rPr>
        <w:t>. Como correlato de lo anterior, la Corte también estableció que la misma norma también contempla el principio de la retroactividad de la ley penal más favorable “al indicar que si con posterioridad a la comisión del delito la ley dispone la imposición de una pena más leve, el condenado se beneficiará de ello”</w:t>
      </w:r>
      <w:r w:rsidRPr="00250705">
        <w:rPr>
          <w:rFonts w:ascii="Cambria" w:hAnsi="Cambria"/>
          <w:sz w:val="20"/>
          <w:szCs w:val="20"/>
          <w:vertAlign w:val="superscript"/>
          <w:lang w:val="es-AR"/>
        </w:rPr>
        <w:footnoteReference w:id="52"/>
      </w:r>
      <w:r w:rsidRPr="00250705">
        <w:rPr>
          <w:rFonts w:ascii="Cambria" w:hAnsi="Cambria"/>
          <w:sz w:val="20"/>
          <w:szCs w:val="20"/>
          <w:lang w:val="es-AR"/>
        </w:rPr>
        <w:t>.</w:t>
      </w:r>
    </w:p>
    <w:p w14:paraId="26E260AE" w14:textId="77777777" w:rsidR="00250705" w:rsidRDefault="00250705"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55A3C123" w14:textId="77777777" w:rsidR="00250705" w:rsidRDefault="00250705"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 xml:space="preserve">En el presente caso, </w:t>
      </w:r>
      <w:r w:rsidR="00B23895">
        <w:rPr>
          <w:rFonts w:ascii="Cambria" w:hAnsi="Cambria"/>
          <w:sz w:val="20"/>
          <w:szCs w:val="20"/>
          <w:lang w:val="es-AR"/>
        </w:rPr>
        <w:t xml:space="preserve">la parte peticionaria argumentó que se incumplió con el principio de favorabilidad de la ley penal más favorable, tomando en cuenta que el delito de monopolio fue derogado por una ley más </w:t>
      </w:r>
      <w:r w:rsidR="00B23895">
        <w:rPr>
          <w:rFonts w:ascii="Cambria" w:hAnsi="Cambria"/>
          <w:sz w:val="20"/>
          <w:szCs w:val="20"/>
          <w:lang w:val="es-AR"/>
        </w:rPr>
        <w:lastRenderedPageBreak/>
        <w:t>benigna que sin embargo no se aplicó en su caso. Asimismo, refirió que en el 2002 se despenalizó el delito de subversión económica, sin embargo</w:t>
      </w:r>
      <w:r w:rsidR="00237619">
        <w:rPr>
          <w:rFonts w:ascii="Cambria" w:hAnsi="Cambria"/>
          <w:sz w:val="20"/>
          <w:szCs w:val="20"/>
          <w:lang w:val="es-AR"/>
        </w:rPr>
        <w:t>,</w:t>
      </w:r>
      <w:r w:rsidR="00B23895">
        <w:rPr>
          <w:rFonts w:ascii="Cambria" w:hAnsi="Cambria"/>
          <w:sz w:val="20"/>
          <w:szCs w:val="20"/>
          <w:lang w:val="es-AR"/>
        </w:rPr>
        <w:t xml:space="preserve"> no tuvo efectos en su caso. </w:t>
      </w:r>
    </w:p>
    <w:p w14:paraId="063548F7" w14:textId="77777777" w:rsidR="00B23895" w:rsidRDefault="00B23895" w:rsidP="00DB4D24">
      <w:pPr>
        <w:pStyle w:val="ListParagraph"/>
        <w:rPr>
          <w:sz w:val="20"/>
          <w:szCs w:val="20"/>
          <w:lang w:val="es-AR"/>
        </w:rPr>
      </w:pPr>
    </w:p>
    <w:p w14:paraId="453CD8C3" w14:textId="77777777" w:rsidR="00B23895" w:rsidRDefault="00B23895"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 xml:space="preserve">Sobre este aspecto, </w:t>
      </w:r>
      <w:r w:rsidR="00F223B2">
        <w:rPr>
          <w:rFonts w:ascii="Cambria" w:hAnsi="Cambria"/>
          <w:sz w:val="20"/>
          <w:szCs w:val="20"/>
          <w:lang w:val="es-AR"/>
        </w:rPr>
        <w:t xml:space="preserve">la Comisión subraya que si bien, la Ley 12.906 fue derogada por la Ley 22.262 en agosto de 1980, </w:t>
      </w:r>
      <w:r w:rsidR="00F545EA">
        <w:rPr>
          <w:rFonts w:ascii="Cambria" w:hAnsi="Cambria"/>
          <w:sz w:val="20"/>
          <w:szCs w:val="20"/>
          <w:lang w:val="es-AR"/>
        </w:rPr>
        <w:t xml:space="preserve">mediante la sentencia de 7 de noviembre de 1995 de la Sala B de la Cámara Federal de Apelaciones de Mendoza, que fue la que finalmente quedó en firme respecto del delito de monopolio, </w:t>
      </w:r>
      <w:r w:rsidR="005C0387">
        <w:rPr>
          <w:rFonts w:ascii="Cambria" w:hAnsi="Cambria"/>
          <w:sz w:val="20"/>
          <w:szCs w:val="20"/>
          <w:lang w:val="es-AR"/>
        </w:rPr>
        <w:t xml:space="preserve">dicha autoridad judicial analizó el argumento de favorabilidad en términos sustantivos y determinó que la Ley 22.263 no contenía un tratamiento más benévolo del cual pudiera beneficiarse el señor Falanga. Al tratarse de un aspecto de interpretación de la ley penal que, corresponde primariamente a los jueces penales a nivel interno, la Comisión no cuenta con elementos adicionales para considerar que tal interpretación es arbitraria o violatoria de la Convención Americana. </w:t>
      </w:r>
      <w:r w:rsidR="00F223B2">
        <w:rPr>
          <w:rFonts w:ascii="Cambria" w:hAnsi="Cambria"/>
          <w:sz w:val="20"/>
          <w:szCs w:val="20"/>
          <w:lang w:val="es-AR"/>
        </w:rPr>
        <w:t>C</w:t>
      </w:r>
      <w:r w:rsidR="0018086E">
        <w:rPr>
          <w:rFonts w:ascii="Cambria" w:hAnsi="Cambria"/>
          <w:sz w:val="20"/>
          <w:szCs w:val="20"/>
          <w:lang w:val="es-AR"/>
        </w:rPr>
        <w:t>on respecto al delito de subversión económica, la CIDH subraya que la parte peticionaria no aportó información que acredite que dicha figura delictiva fue despenalizada con posterioridad</w:t>
      </w:r>
      <w:r w:rsidR="00C473D8">
        <w:rPr>
          <w:rFonts w:ascii="Cambria" w:hAnsi="Cambria"/>
          <w:sz w:val="20"/>
          <w:szCs w:val="20"/>
          <w:lang w:val="es-AR"/>
        </w:rPr>
        <w:t xml:space="preserve"> ni la fecha exacta en la que ello ocurrió, a fin de poder determinar con certeza si la pena ya se encontraba materialmente agotada</w:t>
      </w:r>
      <w:r w:rsidR="00870B7D">
        <w:rPr>
          <w:rStyle w:val="FootnoteReference"/>
          <w:rFonts w:ascii="Cambria" w:hAnsi="Cambria"/>
          <w:sz w:val="20"/>
          <w:szCs w:val="20"/>
          <w:lang w:val="es-AR"/>
        </w:rPr>
        <w:footnoteReference w:id="53"/>
      </w:r>
      <w:r w:rsidR="00C473D8">
        <w:rPr>
          <w:rFonts w:ascii="Cambria" w:hAnsi="Cambria"/>
          <w:sz w:val="20"/>
          <w:szCs w:val="20"/>
          <w:lang w:val="es-AR"/>
        </w:rPr>
        <w:t xml:space="preserve"> u otros posibles efectos que la alegada despenalización debió tener en la situación del señor Falanga. </w:t>
      </w:r>
      <w:r w:rsidR="0018086E">
        <w:rPr>
          <w:rFonts w:ascii="Cambria" w:hAnsi="Cambria"/>
          <w:sz w:val="20"/>
          <w:szCs w:val="20"/>
          <w:lang w:val="es-AR"/>
        </w:rPr>
        <w:t xml:space="preserve"> </w:t>
      </w:r>
    </w:p>
    <w:p w14:paraId="4A54910C" w14:textId="77777777" w:rsidR="00F545EA" w:rsidRDefault="00F545EA" w:rsidP="00DB4D24">
      <w:pPr>
        <w:pStyle w:val="ListParagraph"/>
        <w:ind w:left="0"/>
        <w:rPr>
          <w:sz w:val="20"/>
          <w:szCs w:val="20"/>
          <w:lang w:val="es-AR"/>
        </w:rPr>
      </w:pPr>
    </w:p>
    <w:p w14:paraId="294D5BE4" w14:textId="77777777" w:rsidR="00B23895" w:rsidRDefault="0018086E" w:rsidP="00DB4D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 xml:space="preserve">En virtud de las razones anteriores, la Comisión estima que el Estado no es responsable por la violación de los principios de legalidad y favorabilidad previstos en el artículo 9 de la Convención Americana. </w:t>
      </w:r>
    </w:p>
    <w:p w14:paraId="32829B5E" w14:textId="77777777" w:rsidR="001E0132" w:rsidRPr="00C876F7" w:rsidRDefault="001E0132" w:rsidP="001E0132">
      <w:pPr>
        <w:jc w:val="both"/>
        <w:rPr>
          <w:rFonts w:ascii="Cambria" w:hAnsi="Cambria"/>
          <w:b/>
          <w:sz w:val="20"/>
          <w:szCs w:val="20"/>
          <w:lang w:val="es-ES"/>
        </w:rPr>
      </w:pPr>
    </w:p>
    <w:p w14:paraId="578F22D0" w14:textId="77777777" w:rsidR="001E0132" w:rsidRPr="00BE331A" w:rsidRDefault="001E0132" w:rsidP="001E0132">
      <w:pPr>
        <w:pStyle w:val="Heading1"/>
        <w:tabs>
          <w:tab w:val="left" w:pos="567"/>
        </w:tabs>
        <w:spacing w:before="0"/>
        <w:ind w:left="0" w:firstLine="0"/>
        <w:rPr>
          <w:color w:val="auto"/>
          <w:sz w:val="20"/>
          <w:szCs w:val="20"/>
          <w:lang w:val="es-VE"/>
        </w:rPr>
      </w:pPr>
      <w:bookmarkStart w:id="40" w:name="_Toc11060945"/>
      <w:bookmarkStart w:id="41" w:name="_Toc99959086"/>
      <w:r w:rsidRPr="00BE331A">
        <w:rPr>
          <w:color w:val="auto"/>
          <w:sz w:val="20"/>
          <w:szCs w:val="20"/>
          <w:lang w:val="es-VE"/>
        </w:rPr>
        <w:t>ACTUACIONES POSTERIORES AL INFORME No. 53/1</w:t>
      </w:r>
      <w:bookmarkEnd w:id="40"/>
      <w:r w:rsidRPr="00BE331A">
        <w:rPr>
          <w:color w:val="auto"/>
          <w:sz w:val="20"/>
          <w:szCs w:val="20"/>
          <w:lang w:val="es-VE"/>
        </w:rPr>
        <w:t>9</w:t>
      </w:r>
      <w:bookmarkEnd w:id="41"/>
    </w:p>
    <w:p w14:paraId="29377236" w14:textId="77777777" w:rsidR="001E0132" w:rsidRPr="00BE331A" w:rsidRDefault="001E0132" w:rsidP="001E0132">
      <w:pPr>
        <w:rPr>
          <w:lang w:val="es-VE"/>
        </w:rPr>
      </w:pPr>
    </w:p>
    <w:p w14:paraId="4F2543A1" w14:textId="59BCFFCF" w:rsidR="001E0132" w:rsidRPr="00BE331A" w:rsidRDefault="001E0132" w:rsidP="001E01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Arial"/>
          <w:sz w:val="20"/>
          <w:szCs w:val="20"/>
          <w:lang w:val="es-ES"/>
        </w:rPr>
      </w:pPr>
      <w:r w:rsidRPr="00BE331A">
        <w:rPr>
          <w:rFonts w:ascii="Cambria" w:hAnsi="Cambria"/>
          <w:sz w:val="20"/>
          <w:szCs w:val="20"/>
          <w:lang w:val="es-ES"/>
        </w:rPr>
        <w:t>La</w:t>
      </w:r>
      <w:r w:rsidRPr="00BE331A">
        <w:rPr>
          <w:rFonts w:ascii="Cambria" w:hAnsi="Cambria" w:cs="Verdana"/>
          <w:sz w:val="20"/>
          <w:szCs w:val="20"/>
          <w:lang w:val="es-ES" w:bidi="en-US"/>
        </w:rPr>
        <w:t xml:space="preserve"> Comisión adoptó el informe de fondo No. 53</w:t>
      </w:r>
      <w:r w:rsidRPr="00BE331A">
        <w:rPr>
          <w:rFonts w:ascii="Cambria" w:hAnsi="Cambria"/>
          <w:sz w:val="20"/>
          <w:szCs w:val="20"/>
          <w:lang w:val="es-VE"/>
        </w:rPr>
        <w:t>/</w:t>
      </w:r>
      <w:r w:rsidRPr="00BE331A">
        <w:rPr>
          <w:rFonts w:ascii="Cambria" w:hAnsi="Cambria" w:cs="Verdana"/>
          <w:sz w:val="20"/>
          <w:szCs w:val="20"/>
          <w:lang w:val="es-ES" w:bidi="en-US"/>
        </w:rPr>
        <w:t xml:space="preserve">19 el 4 de mayo de 2019 </w:t>
      </w:r>
      <w:r w:rsidR="00927746" w:rsidRPr="00BE331A">
        <w:rPr>
          <w:rFonts w:asciiTheme="majorHAnsi" w:hAnsiTheme="majorHAnsi"/>
          <w:color w:val="000000" w:themeColor="text1"/>
          <w:sz w:val="20"/>
          <w:szCs w:val="20"/>
          <w:lang w:val="es-ES_tradnl"/>
        </w:rPr>
        <w:t>que comprende los párrafos 1 a 75 supra</w:t>
      </w:r>
      <w:r w:rsidR="00927746" w:rsidRPr="00BE331A">
        <w:rPr>
          <w:rFonts w:ascii="Cambria" w:hAnsi="Cambria" w:cs="Verdana"/>
          <w:sz w:val="20"/>
          <w:szCs w:val="20"/>
          <w:lang w:val="es-ES" w:bidi="en-US"/>
        </w:rPr>
        <w:t xml:space="preserve"> </w:t>
      </w:r>
      <w:r w:rsidRPr="00BE331A">
        <w:rPr>
          <w:rFonts w:ascii="Cambria" w:hAnsi="Cambria" w:cs="Verdana"/>
          <w:sz w:val="20"/>
          <w:szCs w:val="20"/>
          <w:lang w:val="es-ES" w:bidi="en-US"/>
        </w:rPr>
        <w:t>y lo transmitió al Estado el</w:t>
      </w:r>
      <w:r w:rsidR="00927746" w:rsidRPr="00BE331A">
        <w:rPr>
          <w:rFonts w:ascii="Cambria" w:hAnsi="Cambria" w:cs="Verdana"/>
          <w:sz w:val="20"/>
          <w:szCs w:val="20"/>
          <w:lang w:val="es-ES" w:bidi="en-US"/>
        </w:rPr>
        <w:t xml:space="preserve"> 13 de junio</w:t>
      </w:r>
      <w:r w:rsidRPr="00BE331A">
        <w:rPr>
          <w:rFonts w:ascii="Cambria" w:hAnsi="Cambria" w:cs="Verdana"/>
          <w:sz w:val="20"/>
          <w:szCs w:val="20"/>
          <w:lang w:val="es-ES" w:bidi="en-US"/>
        </w:rPr>
        <w:t xml:space="preserve"> del mismo año. En dicho informe la Comisión recomendó:</w:t>
      </w:r>
    </w:p>
    <w:p w14:paraId="17CB0E33" w14:textId="23491F4F" w:rsidR="0018086E" w:rsidRPr="00BE331A" w:rsidRDefault="0018086E"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68BA8989" w14:textId="77777777" w:rsidR="00927746" w:rsidRPr="00BE331A" w:rsidRDefault="00927746" w:rsidP="008C1E87">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720" w:hanging="360"/>
        <w:jc w:val="both"/>
        <w:rPr>
          <w:rFonts w:ascii="Cambria" w:hAnsi="Cambria"/>
          <w:sz w:val="20"/>
          <w:szCs w:val="20"/>
          <w:lang w:val="es-VE"/>
        </w:rPr>
      </w:pPr>
      <w:r w:rsidRPr="00BE331A">
        <w:rPr>
          <w:rFonts w:ascii="Cambria" w:hAnsi="Cambria"/>
          <w:sz w:val="20"/>
          <w:szCs w:val="20"/>
          <w:lang w:val="es-VE"/>
        </w:rPr>
        <w:t xml:space="preserve">Reparar integralmente las violaciones de derechos declaradas en el presente informe incluyendo el aspecto material e inmaterial. </w:t>
      </w:r>
    </w:p>
    <w:p w14:paraId="573B36A4" w14:textId="77777777" w:rsidR="00927746" w:rsidRPr="00BE331A" w:rsidRDefault="00927746" w:rsidP="0092774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 w:val="left" w:pos="9360"/>
        </w:tabs>
        <w:spacing w:after="0"/>
        <w:jc w:val="both"/>
        <w:rPr>
          <w:rFonts w:ascii="Cambria" w:hAnsi="Cambria"/>
          <w:sz w:val="20"/>
          <w:szCs w:val="20"/>
          <w:lang w:val="es-VE"/>
        </w:rPr>
      </w:pPr>
    </w:p>
    <w:p w14:paraId="15AC24AC" w14:textId="77777777" w:rsidR="00927746" w:rsidRPr="00BE331A" w:rsidRDefault="00927746" w:rsidP="008C1E87">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720" w:hanging="360"/>
        <w:jc w:val="both"/>
        <w:rPr>
          <w:rFonts w:ascii="Cambria" w:hAnsi="Cambria"/>
          <w:sz w:val="20"/>
          <w:szCs w:val="20"/>
          <w:lang w:val="es-VE"/>
        </w:rPr>
      </w:pPr>
      <w:r w:rsidRPr="00BE331A">
        <w:rPr>
          <w:rFonts w:ascii="Cambria" w:hAnsi="Cambria"/>
          <w:sz w:val="20"/>
          <w:szCs w:val="20"/>
          <w:lang w:val="es-VE"/>
        </w:rPr>
        <w:t xml:space="preserve">Disponer las medidas de no repetición necesarias para asegurar que en la práctica los procesos penales sean conducidos en un plazo razonable y las medidas cautelares dictadas en el lapso de los mismos no se extiendan durante lapsos irrazonables y las transforme en penas anticipadas. </w:t>
      </w:r>
    </w:p>
    <w:p w14:paraId="08078DF7" w14:textId="77777777" w:rsidR="00927746" w:rsidRPr="00BE331A" w:rsidRDefault="00927746" w:rsidP="00927746">
      <w:pPr>
        <w:jc w:val="both"/>
        <w:rPr>
          <w:rFonts w:ascii="Cambria" w:hAnsi="Cambria" w:cs="Arial"/>
          <w:noProof/>
          <w:spacing w:val="-2"/>
          <w:sz w:val="20"/>
          <w:szCs w:val="20"/>
          <w:lang w:val="es-VE"/>
        </w:rPr>
      </w:pPr>
    </w:p>
    <w:p w14:paraId="4E1D0308" w14:textId="5CCF0D6B" w:rsidR="00927746" w:rsidRPr="00BE331A" w:rsidRDefault="00927746" w:rsidP="009277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Verdana"/>
          <w:sz w:val="20"/>
          <w:szCs w:val="20"/>
          <w:lang w:val="es-ES" w:bidi="en-US"/>
        </w:rPr>
      </w:pPr>
      <w:r w:rsidRPr="00BE331A">
        <w:rPr>
          <w:rFonts w:ascii="Cambria" w:hAnsi="Cambria"/>
          <w:sz w:val="20"/>
          <w:szCs w:val="20"/>
          <w:lang w:val="es-CL"/>
        </w:rPr>
        <w:t>En</w:t>
      </w:r>
      <w:r w:rsidRPr="00BE331A">
        <w:rPr>
          <w:rFonts w:ascii="Cambria" w:hAnsi="Cambria" w:cs="Verdana"/>
          <w:sz w:val="20"/>
          <w:szCs w:val="20"/>
          <w:lang w:val="es-ES" w:bidi="en-US"/>
        </w:rPr>
        <w:t xml:space="preserve"> el trámite seguido con posterioridad a la notificación del informe de fondo, la Comisión recibió varios informes del Estado y escritos de la parte peticionaria sobre el cumplimiento de las recomendaciones establecidas por la CIDH. Durante este periodo la Comisión otorgó </w:t>
      </w:r>
      <w:r w:rsidR="00DA0DCA" w:rsidRPr="00BE331A">
        <w:rPr>
          <w:rFonts w:ascii="Cambria" w:hAnsi="Cambria" w:cs="Verdana"/>
          <w:sz w:val="20"/>
          <w:szCs w:val="20"/>
          <w:lang w:val="es-ES" w:bidi="en-US"/>
        </w:rPr>
        <w:t>7</w:t>
      </w:r>
      <w:r w:rsidRPr="00BE331A">
        <w:rPr>
          <w:rFonts w:ascii="Cambria" w:hAnsi="Cambria" w:cs="Verdana"/>
          <w:sz w:val="20"/>
          <w:szCs w:val="20"/>
          <w:lang w:val="es-ES" w:bidi="en-US"/>
        </w:rPr>
        <w:t xml:space="preserve"> prórrogas al Estado para la suspensión del plazo previsto en el artículo 51 de la Convención Americana. En dichas solicitudes de prórroga el Estado argentino reiteró su voluntad de cumplir con las recomendaciones. Asimismo, renunció expresamente a interponer excepciones preliminares por incumplimiento del referido plazo en la eventualidad de que el caso fuera sometido a la Corte Interamericana.</w:t>
      </w:r>
    </w:p>
    <w:p w14:paraId="4A0A27B7" w14:textId="77777777" w:rsidR="00927746" w:rsidRPr="00BE331A" w:rsidRDefault="00927746" w:rsidP="00927746">
      <w:pPr>
        <w:rPr>
          <w:rFonts w:cs="Verdana"/>
          <w:sz w:val="20"/>
          <w:szCs w:val="20"/>
          <w:lang w:val="es-ES" w:bidi="en-US"/>
        </w:rPr>
      </w:pPr>
    </w:p>
    <w:p w14:paraId="2F438D0C" w14:textId="5C58A227" w:rsidR="00927746" w:rsidRPr="00BE331A" w:rsidRDefault="00927746" w:rsidP="009277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Verdana"/>
          <w:sz w:val="20"/>
          <w:szCs w:val="20"/>
          <w:lang w:val="es-ES" w:bidi="en-US"/>
        </w:rPr>
      </w:pPr>
      <w:r w:rsidRPr="00BE331A">
        <w:rPr>
          <w:rFonts w:ascii="Cambria" w:hAnsi="Cambria" w:cs="Verdana"/>
          <w:sz w:val="20"/>
          <w:szCs w:val="20"/>
          <w:lang w:val="es-ES" w:bidi="en-US"/>
        </w:rPr>
        <w:t xml:space="preserve">Tras evaluar la información disponible sobre el estado de cumplimiento de las recomendaciones, la Comisión decidió el 6 de mayo de 2021 por mayoría absoluta no enviar el caso a la Corte Interamericana y proceder hacia la publicación del informe de fondo. En la sección que se incluye a continuación, la Comisión efectúa sus determinaciones sobre el cumplimiento de sus recomendaciones. </w:t>
      </w:r>
    </w:p>
    <w:p w14:paraId="4742CCE0" w14:textId="1F1446F6" w:rsidR="00927746" w:rsidRPr="00BE331A" w:rsidRDefault="00927746"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724C7D70" w14:textId="77777777" w:rsidR="00927746" w:rsidRPr="00BE331A" w:rsidRDefault="00927746" w:rsidP="00927746">
      <w:pPr>
        <w:pStyle w:val="Heading1"/>
        <w:tabs>
          <w:tab w:val="left" w:pos="567"/>
        </w:tabs>
        <w:spacing w:before="0"/>
        <w:ind w:left="0" w:firstLine="0"/>
        <w:rPr>
          <w:color w:val="auto"/>
          <w:sz w:val="20"/>
          <w:szCs w:val="20"/>
          <w:lang w:val="es-VE"/>
        </w:rPr>
      </w:pPr>
      <w:bookmarkStart w:id="42" w:name="_Toc11052102"/>
      <w:bookmarkStart w:id="43" w:name="_Toc11060946"/>
      <w:bookmarkStart w:id="44" w:name="_Toc99959087"/>
      <w:r w:rsidRPr="00BE331A">
        <w:rPr>
          <w:color w:val="auto"/>
          <w:sz w:val="20"/>
          <w:szCs w:val="20"/>
          <w:lang w:val="es-VE"/>
        </w:rPr>
        <w:t>ANÁLISIS DEL CUMPLIMIENTO DE RECOMENDACIONES</w:t>
      </w:r>
      <w:bookmarkEnd w:id="42"/>
      <w:bookmarkEnd w:id="43"/>
      <w:bookmarkEnd w:id="44"/>
    </w:p>
    <w:p w14:paraId="7B751D95" w14:textId="77777777" w:rsidR="00927746" w:rsidRPr="00BE331A" w:rsidRDefault="00927746" w:rsidP="00927746">
      <w:pPr>
        <w:rPr>
          <w:rFonts w:ascii="Cambria" w:hAnsi="Cambria"/>
          <w:sz w:val="20"/>
          <w:szCs w:val="20"/>
          <w:lang w:val="es-ES"/>
        </w:rPr>
      </w:pPr>
    </w:p>
    <w:p w14:paraId="56FCCC8C" w14:textId="5FE1D6BD" w:rsidR="00927746" w:rsidRPr="00BE331A" w:rsidRDefault="00927746" w:rsidP="009277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CO"/>
        </w:rPr>
      </w:pPr>
      <w:r w:rsidRPr="00BE331A">
        <w:rPr>
          <w:rFonts w:ascii="Cambria" w:hAnsi="Cambria"/>
          <w:spacing w:val="-3"/>
          <w:sz w:val="20"/>
          <w:szCs w:val="20"/>
          <w:lang w:val="es-ES"/>
        </w:rPr>
        <w:t xml:space="preserve">La </w:t>
      </w:r>
      <w:r w:rsidRPr="00BE331A">
        <w:rPr>
          <w:rFonts w:ascii="Cambria" w:hAnsi="Cambria" w:cs="Verdana"/>
          <w:sz w:val="20"/>
          <w:szCs w:val="20"/>
          <w:lang w:val="es-ES" w:bidi="en-US"/>
        </w:rPr>
        <w:t>CIDH</w:t>
      </w:r>
      <w:r w:rsidRPr="00BE331A">
        <w:rPr>
          <w:rFonts w:ascii="Cambria" w:hAnsi="Cambria"/>
          <w:spacing w:val="-3"/>
          <w:sz w:val="20"/>
          <w:szCs w:val="20"/>
          <w:lang w:val="es-ES"/>
        </w:rPr>
        <w:t xml:space="preserve"> toma nota de que el </w:t>
      </w:r>
      <w:r w:rsidR="00DA0DCA" w:rsidRPr="00BE331A">
        <w:rPr>
          <w:rFonts w:ascii="Cambria" w:hAnsi="Cambria"/>
          <w:sz w:val="20"/>
          <w:szCs w:val="20"/>
          <w:lang w:val="es-CO"/>
        </w:rPr>
        <w:t>16</w:t>
      </w:r>
      <w:r w:rsidRPr="00BE331A">
        <w:rPr>
          <w:rFonts w:ascii="Cambria" w:hAnsi="Cambria"/>
          <w:sz w:val="20"/>
          <w:szCs w:val="20"/>
          <w:lang w:val="es-CO"/>
        </w:rPr>
        <w:t xml:space="preserve"> de </w:t>
      </w:r>
      <w:r w:rsidR="00DA0DCA" w:rsidRPr="00BE331A">
        <w:rPr>
          <w:rFonts w:ascii="Cambria" w:hAnsi="Cambria"/>
          <w:sz w:val="20"/>
          <w:szCs w:val="20"/>
          <w:lang w:val="es-CO"/>
        </w:rPr>
        <w:t>julio</w:t>
      </w:r>
      <w:r w:rsidRPr="00BE331A">
        <w:rPr>
          <w:rFonts w:ascii="Cambria" w:hAnsi="Cambria"/>
          <w:sz w:val="20"/>
          <w:szCs w:val="20"/>
          <w:lang w:val="es-CO"/>
        </w:rPr>
        <w:t xml:space="preserve"> de 20</w:t>
      </w:r>
      <w:r w:rsidR="00DA0DCA" w:rsidRPr="00BE331A">
        <w:rPr>
          <w:rFonts w:ascii="Cambria" w:hAnsi="Cambria"/>
          <w:sz w:val="20"/>
          <w:szCs w:val="20"/>
          <w:lang w:val="es-CO"/>
        </w:rPr>
        <w:t>20</w:t>
      </w:r>
      <w:r w:rsidRPr="00BE331A">
        <w:rPr>
          <w:rFonts w:ascii="Cambria" w:hAnsi="Cambria"/>
          <w:sz w:val="20"/>
          <w:szCs w:val="20"/>
          <w:lang w:val="es-CO"/>
        </w:rPr>
        <w:t xml:space="preserve"> las partes suscribieron un “Acuerdo de Cumplimiento de Recomendaciones”. Asimismo, la Comisión </w:t>
      </w:r>
      <w:r w:rsidR="00491D4E" w:rsidRPr="00BE331A">
        <w:rPr>
          <w:rFonts w:ascii="Cambria" w:hAnsi="Cambria"/>
          <w:sz w:val="20"/>
          <w:szCs w:val="20"/>
          <w:lang w:val="es-CO"/>
        </w:rPr>
        <w:t>nota</w:t>
      </w:r>
      <w:r w:rsidRPr="00BE331A">
        <w:rPr>
          <w:rFonts w:ascii="Cambria" w:hAnsi="Cambria"/>
          <w:sz w:val="20"/>
          <w:szCs w:val="20"/>
          <w:lang w:val="es-CO"/>
        </w:rPr>
        <w:t xml:space="preserve"> que el </w:t>
      </w:r>
      <w:r w:rsidR="00DA0DCA" w:rsidRPr="00BE331A">
        <w:rPr>
          <w:rFonts w:ascii="Cambria" w:hAnsi="Cambria"/>
          <w:sz w:val="20"/>
          <w:szCs w:val="20"/>
          <w:lang w:val="es-CO"/>
        </w:rPr>
        <w:t>8</w:t>
      </w:r>
      <w:r w:rsidRPr="00BE331A">
        <w:rPr>
          <w:rFonts w:ascii="Cambria" w:hAnsi="Cambria"/>
          <w:sz w:val="20"/>
          <w:szCs w:val="20"/>
          <w:lang w:val="es-CO"/>
        </w:rPr>
        <w:t xml:space="preserve"> de marzo de 20</w:t>
      </w:r>
      <w:r w:rsidR="005D6175" w:rsidRPr="00BE331A">
        <w:rPr>
          <w:rFonts w:ascii="Cambria" w:hAnsi="Cambria"/>
          <w:sz w:val="20"/>
          <w:szCs w:val="20"/>
          <w:lang w:val="es-CO"/>
        </w:rPr>
        <w:t>2</w:t>
      </w:r>
      <w:r w:rsidR="00491D4E" w:rsidRPr="00BE331A">
        <w:rPr>
          <w:rFonts w:ascii="Cambria" w:hAnsi="Cambria"/>
          <w:sz w:val="20"/>
          <w:szCs w:val="20"/>
          <w:lang w:val="es-CO"/>
        </w:rPr>
        <w:t>1</w:t>
      </w:r>
      <w:r w:rsidRPr="00BE331A">
        <w:rPr>
          <w:rFonts w:ascii="Cambria" w:hAnsi="Cambria"/>
          <w:sz w:val="20"/>
          <w:szCs w:val="20"/>
          <w:lang w:val="es-CO"/>
        </w:rPr>
        <w:t xml:space="preserve"> se </w:t>
      </w:r>
      <w:r w:rsidR="00DA0DCA" w:rsidRPr="00BE331A">
        <w:rPr>
          <w:rFonts w:ascii="Cambria" w:hAnsi="Cambria"/>
          <w:sz w:val="20"/>
          <w:szCs w:val="20"/>
          <w:lang w:val="es-CO"/>
        </w:rPr>
        <w:t>publicó</w:t>
      </w:r>
      <w:r w:rsidR="00DA0DCA" w:rsidRPr="00BE331A">
        <w:rPr>
          <w:rFonts w:ascii="Cambria" w:hAnsi="Cambria"/>
          <w:sz w:val="20"/>
          <w:szCs w:val="20"/>
          <w:lang w:val="es-ES"/>
        </w:rPr>
        <w:t xml:space="preserve"> en </w:t>
      </w:r>
      <w:r w:rsidR="00DA0DCA" w:rsidRPr="00BE331A">
        <w:rPr>
          <w:rFonts w:ascii="Cambria" w:hAnsi="Cambria"/>
          <w:sz w:val="20"/>
          <w:szCs w:val="20"/>
          <w:lang w:val="es-CO"/>
        </w:rPr>
        <w:t>el Boletín Oficial</w:t>
      </w:r>
      <w:r w:rsidR="00DA0DCA" w:rsidRPr="00BE331A">
        <w:rPr>
          <w:rFonts w:ascii="Cambria" w:hAnsi="Cambria"/>
          <w:sz w:val="20"/>
          <w:szCs w:val="20"/>
          <w:lang w:val="es-ES"/>
        </w:rPr>
        <w:t xml:space="preserve"> el </w:t>
      </w:r>
      <w:r w:rsidRPr="00BE331A">
        <w:rPr>
          <w:rFonts w:ascii="Cambria" w:hAnsi="Cambria"/>
          <w:sz w:val="20"/>
          <w:szCs w:val="20"/>
          <w:lang w:val="es-CO"/>
        </w:rPr>
        <w:t xml:space="preserve">Decreto Ejecutivo No. </w:t>
      </w:r>
      <w:r w:rsidR="00EB1B33" w:rsidRPr="00BE331A">
        <w:rPr>
          <w:rFonts w:ascii="Cambria" w:hAnsi="Cambria"/>
          <w:sz w:val="20"/>
          <w:szCs w:val="20"/>
          <w:lang w:val="es-CO"/>
        </w:rPr>
        <w:t>149</w:t>
      </w:r>
      <w:r w:rsidR="00DA0DCA" w:rsidRPr="00BE331A">
        <w:rPr>
          <w:rFonts w:ascii="Cambria" w:hAnsi="Cambria"/>
          <w:sz w:val="20"/>
          <w:szCs w:val="20"/>
          <w:lang w:val="es-US"/>
        </w:rPr>
        <w:t>/</w:t>
      </w:r>
      <w:r w:rsidR="00DA0DCA" w:rsidRPr="00BE331A">
        <w:rPr>
          <w:rFonts w:ascii="Cambria" w:hAnsi="Cambria"/>
          <w:sz w:val="20"/>
          <w:szCs w:val="20"/>
          <w:lang w:val="es-CO"/>
        </w:rPr>
        <w:t>202</w:t>
      </w:r>
      <w:r w:rsidR="00EB1B33" w:rsidRPr="00BE331A">
        <w:rPr>
          <w:rFonts w:ascii="Cambria" w:hAnsi="Cambria"/>
          <w:sz w:val="20"/>
          <w:szCs w:val="20"/>
          <w:lang w:val="es-CO"/>
        </w:rPr>
        <w:t>1</w:t>
      </w:r>
      <w:r w:rsidR="00491D4E" w:rsidRPr="00BE331A">
        <w:rPr>
          <w:rFonts w:ascii="Cambria" w:hAnsi="Cambria"/>
          <w:sz w:val="20"/>
          <w:szCs w:val="20"/>
          <w:lang w:val="es-CO"/>
        </w:rPr>
        <w:t>,</w:t>
      </w:r>
      <w:r w:rsidR="00EB1B33" w:rsidRPr="00BE331A">
        <w:rPr>
          <w:rFonts w:ascii="Cambria" w:hAnsi="Cambria"/>
          <w:sz w:val="20"/>
          <w:szCs w:val="20"/>
          <w:lang w:val="es-CO"/>
        </w:rPr>
        <w:t xml:space="preserve"> </w:t>
      </w:r>
      <w:r w:rsidR="00DA0DCA" w:rsidRPr="00BE331A">
        <w:rPr>
          <w:rFonts w:ascii="Cambria" w:hAnsi="Cambria"/>
          <w:sz w:val="20"/>
          <w:szCs w:val="20"/>
          <w:lang w:val="es-CO"/>
        </w:rPr>
        <w:t>mediante el cual se aprobó dicho acuerdo.</w:t>
      </w:r>
    </w:p>
    <w:p w14:paraId="3B3FF498" w14:textId="77777777" w:rsidR="00927746" w:rsidRPr="00BE331A" w:rsidRDefault="00927746" w:rsidP="0092774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pacing w:val="-3"/>
          <w:sz w:val="20"/>
          <w:szCs w:val="20"/>
          <w:lang w:val="es-ES"/>
        </w:rPr>
      </w:pPr>
    </w:p>
    <w:p w14:paraId="519B990F" w14:textId="4435C118" w:rsidR="00DA0DCA" w:rsidRPr="00BE331A" w:rsidRDefault="00927746" w:rsidP="00491D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pacing w:val="-3"/>
          <w:sz w:val="20"/>
          <w:szCs w:val="20"/>
          <w:lang w:val="es-ES"/>
        </w:rPr>
      </w:pPr>
      <w:r w:rsidRPr="00BE331A">
        <w:rPr>
          <w:rFonts w:ascii="Cambria" w:hAnsi="Cambria"/>
          <w:spacing w:val="-3"/>
          <w:sz w:val="20"/>
          <w:szCs w:val="20"/>
          <w:lang w:val="es-ES"/>
        </w:rPr>
        <w:t xml:space="preserve">La Comisión observa que en el Acuerdo de Cumplimiento de Recomendaciones señala que el Estado adoptará las siguientes medidas: </w:t>
      </w:r>
    </w:p>
    <w:p w14:paraId="5D3D8C8F" w14:textId="77777777" w:rsidR="00EB1B33" w:rsidRPr="00BE331A" w:rsidRDefault="00EB1B33" w:rsidP="00EB1B3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rPr>
          <w:rFonts w:ascii="Cambria" w:hAnsi="Cambria"/>
          <w:spacing w:val="-3"/>
          <w:sz w:val="20"/>
          <w:szCs w:val="20"/>
          <w:lang w:val="es-ES"/>
        </w:rPr>
      </w:pPr>
    </w:p>
    <w:p w14:paraId="25D8CD02" w14:textId="4C812270" w:rsidR="00DA0DCA" w:rsidRPr="00BE331A" w:rsidRDefault="00DA0DCA" w:rsidP="00EB1B3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jc w:val="both"/>
        <w:rPr>
          <w:rFonts w:ascii="Cambria" w:hAnsi="Cambria"/>
          <w:spacing w:val="-3"/>
          <w:sz w:val="20"/>
          <w:szCs w:val="20"/>
          <w:lang w:val="es-ES"/>
        </w:rPr>
      </w:pPr>
      <w:r w:rsidRPr="00BE331A">
        <w:rPr>
          <w:rFonts w:ascii="Cambria" w:hAnsi="Cambria"/>
          <w:spacing w:val="-3"/>
          <w:sz w:val="20"/>
          <w:szCs w:val="20"/>
          <w:lang w:val="es-ES"/>
        </w:rPr>
        <w:t>1.</w:t>
      </w:r>
      <w:r w:rsidRPr="00BE331A">
        <w:rPr>
          <w:rFonts w:ascii="Cambria" w:hAnsi="Cambria"/>
          <w:spacing w:val="-3"/>
          <w:sz w:val="20"/>
          <w:szCs w:val="20"/>
          <w:lang w:val="es-ES"/>
        </w:rPr>
        <w:tab/>
        <w:t>Medidas de reparación no pecuniarias:</w:t>
      </w:r>
      <w:r w:rsidR="00EB1B33" w:rsidRPr="00BE331A">
        <w:rPr>
          <w:rFonts w:ascii="Cambria" w:hAnsi="Cambria"/>
          <w:spacing w:val="-3"/>
          <w:sz w:val="20"/>
          <w:szCs w:val="20"/>
          <w:lang w:val="es-ES"/>
        </w:rPr>
        <w:t xml:space="preserve"> </w:t>
      </w:r>
      <w:r w:rsidRPr="00BE331A">
        <w:rPr>
          <w:rFonts w:ascii="Cambria" w:hAnsi="Cambria"/>
          <w:spacing w:val="-3"/>
          <w:sz w:val="20"/>
          <w:szCs w:val="20"/>
          <w:lang w:val="es-ES"/>
        </w:rPr>
        <w:t>a</w:t>
      </w:r>
      <w:r w:rsidR="00EB1B33" w:rsidRPr="00BE331A">
        <w:rPr>
          <w:rFonts w:ascii="Cambria" w:hAnsi="Cambria"/>
          <w:spacing w:val="-3"/>
          <w:sz w:val="20"/>
          <w:szCs w:val="20"/>
          <w:lang w:val="es-ES"/>
        </w:rPr>
        <w:t>) p</w:t>
      </w:r>
      <w:r w:rsidRPr="00BE331A">
        <w:rPr>
          <w:rFonts w:ascii="Cambria" w:hAnsi="Cambria"/>
          <w:spacing w:val="-3"/>
          <w:sz w:val="20"/>
          <w:szCs w:val="20"/>
          <w:lang w:val="es-ES"/>
        </w:rPr>
        <w:t>ublicar el acuerdo en el “Boletín Oficial de la República Argentina”</w:t>
      </w:r>
      <w:r w:rsidR="00EB1B33" w:rsidRPr="00BE331A">
        <w:rPr>
          <w:rFonts w:ascii="Cambria" w:hAnsi="Cambria"/>
          <w:spacing w:val="-3"/>
          <w:sz w:val="20"/>
          <w:szCs w:val="20"/>
          <w:lang w:val="es-ES"/>
        </w:rPr>
        <w:t>; b) l</w:t>
      </w:r>
      <w:r w:rsidRPr="00BE331A">
        <w:rPr>
          <w:rFonts w:ascii="Cambria" w:hAnsi="Cambria"/>
          <w:spacing w:val="-3"/>
          <w:sz w:val="20"/>
          <w:szCs w:val="20"/>
          <w:lang w:val="es-ES"/>
        </w:rPr>
        <w:t>as partes entienden que la plena vigencia del nuevo Código Procesal Penal de la Nación da satisfacción a la segunda recomendación del informe de fondo</w:t>
      </w:r>
      <w:r w:rsidR="00EB1B33" w:rsidRPr="00BE331A">
        <w:rPr>
          <w:rFonts w:ascii="Cambria" w:hAnsi="Cambria"/>
          <w:spacing w:val="-3"/>
          <w:sz w:val="20"/>
          <w:szCs w:val="20"/>
          <w:lang w:val="es-ES"/>
        </w:rPr>
        <w:t>, c) r</w:t>
      </w:r>
      <w:r w:rsidRPr="00BE331A">
        <w:rPr>
          <w:rFonts w:ascii="Cambria" w:hAnsi="Cambria"/>
          <w:spacing w:val="-3"/>
          <w:sz w:val="20"/>
          <w:szCs w:val="20"/>
          <w:lang w:val="es-ES"/>
        </w:rPr>
        <w:t xml:space="preserve">emitir copia del Informe de Fondo y del acuerdo a la Corte Suprema de Justicia de la Nación y a la Junta General de Cortes, para su conocimiento, “tomando en cuenta que </w:t>
      </w:r>
      <w:r w:rsidR="002B7E62" w:rsidRPr="00BE331A">
        <w:rPr>
          <w:rFonts w:ascii="Cambria" w:hAnsi="Cambria"/>
          <w:spacing w:val="-3"/>
          <w:sz w:val="20"/>
          <w:szCs w:val="20"/>
          <w:lang w:val="es-ES"/>
        </w:rPr>
        <w:t>el</w:t>
      </w:r>
      <w:r w:rsidRPr="00BE331A">
        <w:rPr>
          <w:rFonts w:ascii="Cambria" w:hAnsi="Cambria"/>
          <w:spacing w:val="-3"/>
          <w:sz w:val="20"/>
          <w:szCs w:val="20"/>
          <w:lang w:val="es-ES"/>
        </w:rPr>
        <w:t xml:space="preserve"> informe contiene valiosas pautas de interpretación de las obligaciones internacionales exigibles en materia de plazo razonable en los procesos judiciales y de duración de medidas cautelares adoptadas en procesos penales”</w:t>
      </w:r>
      <w:r w:rsidR="00EB1B33" w:rsidRPr="00BE331A">
        <w:rPr>
          <w:rFonts w:ascii="Cambria" w:hAnsi="Cambria"/>
          <w:spacing w:val="-3"/>
          <w:sz w:val="20"/>
          <w:szCs w:val="20"/>
          <w:lang w:val="es-ES"/>
        </w:rPr>
        <w:t>; r</w:t>
      </w:r>
      <w:r w:rsidRPr="00BE331A">
        <w:rPr>
          <w:rFonts w:ascii="Cambria" w:hAnsi="Cambria"/>
          <w:spacing w:val="-3"/>
          <w:sz w:val="20"/>
          <w:szCs w:val="20"/>
          <w:lang w:val="es-ES"/>
        </w:rPr>
        <w:t xml:space="preserve">emitir copia del Informe de Fondo y del acuerdo a las autoridades judiciales intervinientes en la causa penal seguida contra el señor </w:t>
      </w:r>
      <w:proofErr w:type="spellStart"/>
      <w:r w:rsidRPr="00BE331A">
        <w:rPr>
          <w:rFonts w:ascii="Cambria" w:hAnsi="Cambria"/>
          <w:spacing w:val="-3"/>
          <w:sz w:val="20"/>
          <w:szCs w:val="20"/>
          <w:lang w:val="es-ES"/>
        </w:rPr>
        <w:t>Falanga</w:t>
      </w:r>
      <w:proofErr w:type="spellEnd"/>
      <w:r w:rsidRPr="00BE331A">
        <w:rPr>
          <w:rFonts w:ascii="Cambria" w:hAnsi="Cambria"/>
          <w:spacing w:val="-3"/>
          <w:sz w:val="20"/>
          <w:szCs w:val="20"/>
          <w:lang w:val="es-ES"/>
        </w:rPr>
        <w:t>.</w:t>
      </w:r>
    </w:p>
    <w:p w14:paraId="093D8079" w14:textId="77777777" w:rsidR="00DA0DCA" w:rsidRPr="00BE331A" w:rsidRDefault="00DA0DCA" w:rsidP="00DA0DC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660"/>
        <w:rPr>
          <w:rFonts w:ascii="Cambria" w:hAnsi="Cambria"/>
          <w:spacing w:val="-3"/>
          <w:sz w:val="20"/>
          <w:szCs w:val="20"/>
          <w:lang w:val="es-ES"/>
        </w:rPr>
      </w:pPr>
    </w:p>
    <w:p w14:paraId="0A9732BC" w14:textId="3564EEDC" w:rsidR="00927746" w:rsidRPr="00BE331A" w:rsidRDefault="00DA0DCA" w:rsidP="00EB1B3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720" w:firstLine="0"/>
        <w:jc w:val="both"/>
        <w:rPr>
          <w:spacing w:val="-3"/>
          <w:sz w:val="20"/>
          <w:szCs w:val="20"/>
          <w:lang w:val="es-ES"/>
        </w:rPr>
      </w:pPr>
      <w:r w:rsidRPr="00BE331A">
        <w:rPr>
          <w:spacing w:val="-3"/>
          <w:sz w:val="20"/>
          <w:szCs w:val="20"/>
          <w:lang w:val="es-ES"/>
        </w:rPr>
        <w:t>Medidas de reparación pecuniaria: constituir un Tribunal Arbitral ad-hoc para determinar las reparaciones pecuniarias y las costas del proceso internacional y en el arbitral, de acuerdo con los estándares internacionales fijados por la Corte Interamericana. El tribunal deberá estar integrado, a más tardar, 45 días desde la publicación del Decreto. El proceso arbitral comenzará una vez que la CIDH apruebe el acuerdo y publique el informe previsto en el artículo 51.1 de la Convención.</w:t>
      </w:r>
    </w:p>
    <w:p w14:paraId="2B8E828E" w14:textId="77777777" w:rsidR="00EB1B33" w:rsidRPr="00BE331A" w:rsidRDefault="00EB1B33" w:rsidP="00EB1B3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1860"/>
        <w:rPr>
          <w:spacing w:val="-3"/>
          <w:sz w:val="20"/>
          <w:szCs w:val="20"/>
          <w:lang w:val="es-ES"/>
        </w:rPr>
      </w:pPr>
    </w:p>
    <w:p w14:paraId="7E9BDDEC" w14:textId="4F956521" w:rsidR="00491D4E" w:rsidRPr="00BE331A" w:rsidRDefault="00491D4E" w:rsidP="008453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pacing w:val="-3"/>
          <w:sz w:val="20"/>
          <w:szCs w:val="20"/>
          <w:lang w:val="es-ES"/>
        </w:rPr>
      </w:pPr>
      <w:r w:rsidRPr="00BE331A">
        <w:rPr>
          <w:rFonts w:ascii="Cambria" w:hAnsi="Cambria"/>
          <w:spacing w:val="-3"/>
          <w:sz w:val="20"/>
          <w:szCs w:val="20"/>
          <w:lang w:val="es-ES"/>
        </w:rPr>
        <w:t xml:space="preserve">La CIDH valora las medidas adoptadas por el Estado para alcanzar un acuerdo de cumplimiento de recomendaciones con la parte peticionaria. </w:t>
      </w:r>
    </w:p>
    <w:p w14:paraId="041A9965" w14:textId="77777777" w:rsidR="00491D4E" w:rsidRPr="00BE331A" w:rsidRDefault="00491D4E" w:rsidP="00491D4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pacing w:val="-3"/>
          <w:sz w:val="20"/>
          <w:szCs w:val="20"/>
          <w:lang w:val="es-ES"/>
        </w:rPr>
      </w:pPr>
    </w:p>
    <w:p w14:paraId="67F30D27" w14:textId="32975A38" w:rsidR="00927746" w:rsidRPr="00161A33" w:rsidRDefault="00491D4E" w:rsidP="00161A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pacing w:val="-3"/>
          <w:sz w:val="20"/>
          <w:szCs w:val="20"/>
          <w:lang w:val="es-ES"/>
        </w:rPr>
      </w:pPr>
      <w:r w:rsidRPr="00BE331A">
        <w:rPr>
          <w:rFonts w:ascii="Cambria" w:hAnsi="Cambria"/>
          <w:spacing w:val="-3"/>
          <w:sz w:val="20"/>
          <w:szCs w:val="20"/>
          <w:lang w:val="es-ES"/>
        </w:rPr>
        <w:t>La Comisión nota que las partes entienden que con la vigencia del nuevo Código Procesal Penal se cumple con la segunda recomendación de la CIDH, relativa a las medidas de no repetición</w:t>
      </w:r>
      <w:r w:rsidR="00100473" w:rsidRPr="00BE331A">
        <w:rPr>
          <w:rFonts w:ascii="Cambria" w:hAnsi="Cambria"/>
          <w:spacing w:val="-3"/>
          <w:sz w:val="20"/>
          <w:szCs w:val="20"/>
          <w:lang w:val="es-ES"/>
        </w:rPr>
        <w:t>. E</w:t>
      </w:r>
      <w:r w:rsidR="00A50476" w:rsidRPr="00BE331A">
        <w:rPr>
          <w:rFonts w:ascii="Cambria" w:hAnsi="Cambria"/>
          <w:spacing w:val="-3"/>
          <w:sz w:val="20"/>
          <w:szCs w:val="20"/>
          <w:lang w:val="es-ES"/>
        </w:rPr>
        <w:t>n este sentido,</w:t>
      </w:r>
      <w:r w:rsidR="00394599" w:rsidRPr="00BE331A">
        <w:rPr>
          <w:rFonts w:ascii="Cambria" w:hAnsi="Cambria"/>
          <w:spacing w:val="-3"/>
          <w:sz w:val="20"/>
          <w:szCs w:val="20"/>
          <w:lang w:val="es-ES"/>
        </w:rPr>
        <w:t xml:space="preserve"> dado que la Comisión no cuenta con información detallada sobre la normativa, ni su implementación, </w:t>
      </w:r>
      <w:r w:rsidR="00A50476" w:rsidRPr="00BE331A">
        <w:rPr>
          <w:rFonts w:ascii="Cambria" w:hAnsi="Cambria"/>
          <w:spacing w:val="-3"/>
          <w:sz w:val="20"/>
          <w:szCs w:val="20"/>
          <w:lang w:val="es-ES"/>
        </w:rPr>
        <w:t>no dará seguimiento a esta medida de reparación</w:t>
      </w:r>
      <w:r w:rsidR="00394599" w:rsidRPr="00BE331A">
        <w:rPr>
          <w:rFonts w:ascii="Cambria" w:hAnsi="Cambria"/>
          <w:spacing w:val="-3"/>
          <w:sz w:val="20"/>
          <w:szCs w:val="20"/>
          <w:lang w:val="es-ES"/>
        </w:rPr>
        <w:t xml:space="preserve"> teniendo en cuenta la voluntad de las partes, sin que ello no obste para que en otra oportunidad pueda analizar el contenido de dicha normativa</w:t>
      </w:r>
      <w:r w:rsidRPr="00BE331A">
        <w:rPr>
          <w:rFonts w:ascii="Cambria" w:hAnsi="Cambria"/>
          <w:spacing w:val="-3"/>
          <w:sz w:val="20"/>
          <w:szCs w:val="20"/>
          <w:lang w:val="es-ES"/>
        </w:rPr>
        <w:t>. Asimismo, respecto del acuerdo de cumplimiento, la CIDH observa que las partes han avanzado hacia la constitución del Tribunal Arbitral y que las medidas acordadas aun se encuentran pendientes de cumplimiento.</w:t>
      </w:r>
    </w:p>
    <w:p w14:paraId="313903BA" w14:textId="77777777" w:rsidR="00161A33" w:rsidRPr="004F3E58" w:rsidRDefault="00161A33" w:rsidP="00161A3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Verdana"/>
          <w:sz w:val="20"/>
          <w:szCs w:val="20"/>
          <w:lang w:val="es-ES" w:bidi="en-US"/>
        </w:rPr>
      </w:pPr>
    </w:p>
    <w:p w14:paraId="7350B3A2" w14:textId="2F3A8142" w:rsidR="00161A33" w:rsidRPr="004F3E58" w:rsidRDefault="00161A33" w:rsidP="00161A33">
      <w:pPr>
        <w:pStyle w:val="Heading1"/>
        <w:tabs>
          <w:tab w:val="left" w:pos="567"/>
        </w:tabs>
        <w:spacing w:before="0"/>
        <w:ind w:left="0" w:firstLine="0"/>
        <w:rPr>
          <w:color w:val="auto"/>
          <w:sz w:val="20"/>
          <w:szCs w:val="20"/>
          <w:lang w:val="es-VE"/>
        </w:rPr>
      </w:pPr>
      <w:bookmarkStart w:id="45" w:name="_Toc83747595"/>
      <w:bookmarkStart w:id="46" w:name="_Toc99959088"/>
      <w:r w:rsidRPr="004F3E58">
        <w:rPr>
          <w:color w:val="auto"/>
          <w:sz w:val="20"/>
          <w:szCs w:val="20"/>
          <w:lang w:val="es-VE"/>
        </w:rPr>
        <w:t>ACTUACIONES POSTERIORES AL INFORME No.</w:t>
      </w:r>
      <w:r w:rsidR="00D241BC" w:rsidRPr="004F3E58">
        <w:rPr>
          <w:color w:val="auto"/>
          <w:sz w:val="20"/>
          <w:szCs w:val="20"/>
          <w:lang w:val="es-VE"/>
        </w:rPr>
        <w:t xml:space="preserve"> 326</w:t>
      </w:r>
      <w:r w:rsidRPr="004F3E58">
        <w:rPr>
          <w:color w:val="auto"/>
          <w:sz w:val="20"/>
          <w:szCs w:val="20"/>
          <w:lang w:val="es-VE"/>
        </w:rPr>
        <w:t>/</w:t>
      </w:r>
      <w:r w:rsidR="00D241BC" w:rsidRPr="004F3E58">
        <w:rPr>
          <w:color w:val="auto"/>
          <w:sz w:val="20"/>
          <w:szCs w:val="20"/>
          <w:lang w:val="es-VE"/>
        </w:rPr>
        <w:t>21</w:t>
      </w:r>
      <w:r w:rsidRPr="004F3E58">
        <w:rPr>
          <w:color w:val="auto"/>
          <w:sz w:val="20"/>
          <w:szCs w:val="20"/>
          <w:lang w:val="es-VE"/>
        </w:rPr>
        <w:t xml:space="preserve"> E INFORMACIÓN SOBRE CUMPLIMIENTO</w:t>
      </w:r>
      <w:bookmarkEnd w:id="45"/>
      <w:bookmarkEnd w:id="46"/>
    </w:p>
    <w:p w14:paraId="7A084F79" w14:textId="77777777" w:rsidR="00161A33" w:rsidRPr="004F3E58" w:rsidRDefault="00161A33" w:rsidP="00161A33">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2BDDDE74" w14:textId="40BE9E23" w:rsidR="00161A33" w:rsidRPr="004F3E58" w:rsidRDefault="00161A33" w:rsidP="00161A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Arial"/>
          <w:sz w:val="20"/>
          <w:szCs w:val="20"/>
          <w:lang w:val="es-ES"/>
        </w:rPr>
      </w:pPr>
      <w:r w:rsidRPr="004F3E58">
        <w:rPr>
          <w:rFonts w:ascii="Cambria" w:hAnsi="Cambria"/>
          <w:spacing w:val="-3"/>
          <w:sz w:val="20"/>
          <w:szCs w:val="20"/>
          <w:lang w:val="es-ES"/>
        </w:rPr>
        <w:t>La</w:t>
      </w:r>
      <w:r w:rsidRPr="004F3E58">
        <w:rPr>
          <w:rFonts w:ascii="Cambria" w:hAnsi="Cambria" w:cs="Verdana"/>
          <w:sz w:val="20"/>
          <w:szCs w:val="20"/>
          <w:lang w:val="es-ES" w:bidi="en-US"/>
        </w:rPr>
        <w:t xml:space="preserve"> Comisión adoptó el informe de fondo No. 326</w:t>
      </w:r>
      <w:r w:rsidRPr="004F3E58">
        <w:rPr>
          <w:rFonts w:ascii="Cambria" w:hAnsi="Cambria"/>
          <w:sz w:val="20"/>
          <w:szCs w:val="20"/>
          <w:lang w:val="es-VE"/>
        </w:rPr>
        <w:t>/</w:t>
      </w:r>
      <w:r w:rsidRPr="004F3E58">
        <w:rPr>
          <w:rFonts w:ascii="Cambria" w:hAnsi="Cambria" w:cs="Verdana"/>
          <w:sz w:val="20"/>
          <w:szCs w:val="20"/>
          <w:lang w:val="es-ES" w:bidi="en-US"/>
        </w:rPr>
        <w:t xml:space="preserve">21 (final) el 19 de noviembre de 2021 y lo transmitió al Estado el 29 de noviembre del mismo año otorgándole el plazo de cuatro semanas para informar a la CIDH sobre las medidas adoptadas para el cumplimiento de sus recomendaciones. </w:t>
      </w:r>
    </w:p>
    <w:p w14:paraId="79ABC79A" w14:textId="77777777" w:rsidR="00161A33" w:rsidRPr="004F3E58" w:rsidRDefault="00161A33" w:rsidP="00161A33">
      <w:pPr>
        <w:jc w:val="both"/>
        <w:rPr>
          <w:rFonts w:ascii="Cambria" w:hAnsi="Cambria"/>
          <w:sz w:val="20"/>
          <w:szCs w:val="20"/>
          <w:lang w:val="es-ES_tradnl"/>
        </w:rPr>
      </w:pPr>
    </w:p>
    <w:p w14:paraId="7BE23C87" w14:textId="30E6A888" w:rsidR="00161A33" w:rsidRPr="004F3E58" w:rsidRDefault="00161A33" w:rsidP="007115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Verdana"/>
          <w:sz w:val="20"/>
          <w:szCs w:val="20"/>
          <w:lang w:val="es-ES" w:bidi="en-US"/>
        </w:rPr>
      </w:pPr>
      <w:r w:rsidRPr="004F3E58">
        <w:rPr>
          <w:rFonts w:ascii="Cambria" w:hAnsi="Cambria"/>
          <w:spacing w:val="-3"/>
          <w:sz w:val="20"/>
          <w:szCs w:val="20"/>
          <w:lang w:val="es-ES"/>
        </w:rPr>
        <w:t>En</w:t>
      </w:r>
      <w:r w:rsidRPr="004F3E58">
        <w:rPr>
          <w:rFonts w:ascii="Cambria" w:hAnsi="Cambria" w:cs="Verdana"/>
          <w:sz w:val="20"/>
          <w:szCs w:val="20"/>
          <w:lang w:val="es-ES" w:bidi="en-US"/>
        </w:rPr>
        <w:t xml:space="preserve"> el trámite seguido con posterioridad a la notificación del informe de fondo final, la Comisión recibió inform</w:t>
      </w:r>
      <w:r w:rsidR="004F3E58" w:rsidRPr="004F3E58">
        <w:rPr>
          <w:rFonts w:ascii="Cambria" w:hAnsi="Cambria" w:cs="Verdana"/>
          <w:sz w:val="20"/>
          <w:szCs w:val="20"/>
          <w:lang w:val="es-ES" w:bidi="en-US"/>
        </w:rPr>
        <w:t>ación adicional de parte</w:t>
      </w:r>
      <w:r w:rsidRPr="004F3E58">
        <w:rPr>
          <w:rFonts w:ascii="Cambria" w:hAnsi="Cambria" w:cs="Verdana"/>
          <w:sz w:val="20"/>
          <w:szCs w:val="20"/>
          <w:lang w:val="es-ES" w:bidi="en-US"/>
        </w:rPr>
        <w:t xml:space="preserve"> del Estado</w:t>
      </w:r>
      <w:r w:rsidR="004F3E58" w:rsidRPr="004F3E58">
        <w:rPr>
          <w:rFonts w:ascii="Cambria" w:hAnsi="Cambria" w:cs="Verdana"/>
          <w:sz w:val="20"/>
          <w:szCs w:val="20"/>
          <w:lang w:val="es-ES" w:bidi="en-US"/>
        </w:rPr>
        <w:t>.</w:t>
      </w:r>
      <w:r w:rsidRPr="004F3E58">
        <w:rPr>
          <w:rFonts w:ascii="Cambria" w:hAnsi="Cambria" w:cs="Verdana"/>
          <w:sz w:val="20"/>
          <w:szCs w:val="20"/>
          <w:lang w:val="es-ES" w:bidi="en-US"/>
        </w:rPr>
        <w:t xml:space="preserve"> </w:t>
      </w:r>
    </w:p>
    <w:p w14:paraId="5C742E92" w14:textId="77777777" w:rsidR="00161A33" w:rsidRPr="00BE331A" w:rsidRDefault="00161A33" w:rsidP="00161A3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63EC823B" w14:textId="7F2D45F7" w:rsidR="003D5DD6" w:rsidRPr="00BE331A" w:rsidRDefault="003D5DD6" w:rsidP="00DB4D24">
      <w:pPr>
        <w:pStyle w:val="Heading1"/>
        <w:tabs>
          <w:tab w:val="left" w:pos="567"/>
        </w:tabs>
        <w:spacing w:before="0"/>
        <w:ind w:left="0" w:firstLine="0"/>
        <w:rPr>
          <w:color w:val="auto"/>
          <w:sz w:val="20"/>
          <w:szCs w:val="20"/>
          <w:lang w:val="es-VE"/>
        </w:rPr>
      </w:pPr>
      <w:bookmarkStart w:id="47" w:name="_Toc5369479"/>
      <w:bookmarkStart w:id="48" w:name="_Toc99959089"/>
      <w:r w:rsidRPr="00BE331A">
        <w:rPr>
          <w:color w:val="auto"/>
          <w:sz w:val="20"/>
          <w:szCs w:val="20"/>
          <w:lang w:val="es-VE"/>
        </w:rPr>
        <w:t>CONCLUSIONES Y RECOMENDACIONES</w:t>
      </w:r>
      <w:bookmarkEnd w:id="47"/>
      <w:r w:rsidR="007F301E" w:rsidRPr="00BE331A">
        <w:rPr>
          <w:color w:val="auto"/>
          <w:sz w:val="20"/>
          <w:szCs w:val="20"/>
          <w:lang w:val="es-VE"/>
        </w:rPr>
        <w:t xml:space="preserve"> FINALES</w:t>
      </w:r>
      <w:bookmarkEnd w:id="48"/>
    </w:p>
    <w:p w14:paraId="034D0B1F" w14:textId="77777777" w:rsidR="004220B9" w:rsidRPr="00BE331A" w:rsidRDefault="004220B9" w:rsidP="00DB4D24">
      <w:pPr>
        <w:contextualSpacing/>
        <w:rPr>
          <w:lang w:val="es-ES_tradnl"/>
        </w:rPr>
      </w:pPr>
      <w:bookmarkStart w:id="49" w:name="_Toc521483541"/>
      <w:bookmarkStart w:id="50" w:name="_Toc527450128"/>
    </w:p>
    <w:bookmarkEnd w:id="49"/>
    <w:bookmarkEnd w:id="50"/>
    <w:p w14:paraId="3DB05723" w14:textId="77777777" w:rsidR="003D5DD6" w:rsidRPr="00BE331A" w:rsidRDefault="004220B9" w:rsidP="008453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Theme="majorHAnsi" w:hAnsiTheme="majorHAnsi" w:cs="Arial"/>
          <w:sz w:val="20"/>
          <w:szCs w:val="20"/>
          <w:lang w:val="es-ES"/>
        </w:rPr>
      </w:pPr>
      <w:r w:rsidRPr="00BE331A">
        <w:rPr>
          <w:rFonts w:ascii="Cambria" w:hAnsi="Cambria"/>
          <w:spacing w:val="-3"/>
          <w:sz w:val="20"/>
          <w:szCs w:val="20"/>
          <w:lang w:val="es-ES"/>
        </w:rPr>
        <w:t>La</w:t>
      </w:r>
      <w:r w:rsidRPr="00BE331A">
        <w:rPr>
          <w:rFonts w:ascii="Cambria" w:hAnsi="Cambria"/>
          <w:sz w:val="20"/>
          <w:szCs w:val="20"/>
          <w:lang w:val="es-ES"/>
        </w:rPr>
        <w:t xml:space="preserve"> Comisión concluye que el Estado argentino es responsable por la violación de los derechos </w:t>
      </w:r>
      <w:r w:rsidRPr="00BE331A">
        <w:rPr>
          <w:rFonts w:ascii="Cambria" w:hAnsi="Cambria"/>
          <w:sz w:val="20"/>
          <w:szCs w:val="20"/>
          <w:lang w:val="es-AR"/>
        </w:rPr>
        <w:t>establecidos</w:t>
      </w:r>
      <w:r w:rsidRPr="00BE331A">
        <w:rPr>
          <w:rFonts w:ascii="Cambria" w:hAnsi="Cambria"/>
          <w:sz w:val="20"/>
          <w:szCs w:val="20"/>
          <w:lang w:val="es-ES"/>
        </w:rPr>
        <w:t xml:space="preserve"> en los artículos 7.5 (libertad personal)</w:t>
      </w:r>
      <w:r w:rsidR="00C35356" w:rsidRPr="00BE331A">
        <w:rPr>
          <w:rFonts w:ascii="Cambria" w:hAnsi="Cambria"/>
          <w:sz w:val="20"/>
          <w:szCs w:val="20"/>
          <w:lang w:val="es-ES"/>
        </w:rPr>
        <w:t>,</w:t>
      </w:r>
      <w:r w:rsidRPr="00BE331A">
        <w:rPr>
          <w:rFonts w:ascii="Cambria" w:hAnsi="Cambria"/>
          <w:sz w:val="20"/>
          <w:szCs w:val="20"/>
          <w:lang w:val="es-ES"/>
        </w:rPr>
        <w:t xml:space="preserve"> 8.1, 8.2 (garantías judiciales)</w:t>
      </w:r>
      <w:r w:rsidR="00C35356" w:rsidRPr="00BE331A">
        <w:rPr>
          <w:rFonts w:ascii="Cambria" w:hAnsi="Cambria"/>
          <w:sz w:val="20"/>
          <w:szCs w:val="20"/>
          <w:lang w:val="es-ES"/>
        </w:rPr>
        <w:t xml:space="preserve"> y 22.1, 22.2 y 22.3</w:t>
      </w:r>
      <w:r w:rsidR="00A46170" w:rsidRPr="00BE331A">
        <w:rPr>
          <w:rFonts w:ascii="Cambria" w:hAnsi="Cambria"/>
          <w:sz w:val="20"/>
          <w:szCs w:val="20"/>
          <w:lang w:val="es-ES"/>
        </w:rPr>
        <w:t xml:space="preserve"> (libertad de circulación y residencia)</w:t>
      </w:r>
      <w:r w:rsidR="00C35356" w:rsidRPr="00BE331A">
        <w:rPr>
          <w:rFonts w:ascii="Cambria" w:hAnsi="Cambria"/>
          <w:sz w:val="20"/>
          <w:szCs w:val="20"/>
          <w:lang w:val="es-ES"/>
        </w:rPr>
        <w:t xml:space="preserve"> </w:t>
      </w:r>
      <w:r w:rsidRPr="00BE331A">
        <w:rPr>
          <w:rFonts w:ascii="Cambria" w:hAnsi="Cambria"/>
          <w:sz w:val="20"/>
          <w:szCs w:val="20"/>
          <w:lang w:val="es-ES"/>
        </w:rPr>
        <w:t>de la Convención Americana sobre Derechos Humanos, en relación con las obligaciones establecidas en el artículo 1.1 del mismo instrumento.</w:t>
      </w:r>
    </w:p>
    <w:p w14:paraId="310BC05F" w14:textId="77777777" w:rsidR="0018086E" w:rsidRPr="00BE331A" w:rsidRDefault="0018086E"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Theme="majorHAnsi" w:hAnsiTheme="majorHAnsi" w:cs="Arial"/>
          <w:sz w:val="20"/>
          <w:szCs w:val="20"/>
          <w:lang w:val="es-ES"/>
        </w:rPr>
      </w:pPr>
    </w:p>
    <w:p w14:paraId="2ADFC126" w14:textId="77777777" w:rsidR="0018086E" w:rsidRPr="00BE331A" w:rsidRDefault="0018086E" w:rsidP="008453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Arial"/>
          <w:sz w:val="20"/>
          <w:szCs w:val="20"/>
          <w:lang w:val="es-ES"/>
        </w:rPr>
      </w:pPr>
      <w:r w:rsidRPr="00BE331A">
        <w:rPr>
          <w:rFonts w:ascii="Cambria" w:hAnsi="Cambria"/>
          <w:spacing w:val="-3"/>
          <w:sz w:val="20"/>
          <w:szCs w:val="20"/>
          <w:lang w:val="es-ES"/>
        </w:rPr>
        <w:t>La</w:t>
      </w:r>
      <w:r w:rsidRPr="00BE331A">
        <w:rPr>
          <w:rFonts w:ascii="Cambria" w:hAnsi="Cambria" w:cs="Arial"/>
          <w:sz w:val="20"/>
          <w:szCs w:val="20"/>
          <w:lang w:val="es-ES"/>
        </w:rPr>
        <w:t xml:space="preserve"> Comisión concluye que el Estado argentino no es responsable por la violación de los principios de legalidad y favorabilidad previstos en el artículo 9 de la Convención Americana. </w:t>
      </w:r>
    </w:p>
    <w:p w14:paraId="650190F7" w14:textId="77777777" w:rsidR="003D5DD6" w:rsidRPr="00BE331A" w:rsidRDefault="003D5DD6"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s="Arial"/>
          <w:sz w:val="20"/>
          <w:szCs w:val="20"/>
          <w:lang w:val="es-ES"/>
        </w:rPr>
      </w:pPr>
    </w:p>
    <w:p w14:paraId="08233C7C" w14:textId="77777777" w:rsidR="006F0DE1" w:rsidRPr="00BE331A" w:rsidRDefault="003D5DD6" w:rsidP="008453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s="Arial"/>
          <w:sz w:val="20"/>
          <w:szCs w:val="20"/>
          <w:lang w:val="es-ES"/>
        </w:rPr>
      </w:pPr>
      <w:r w:rsidRPr="00BE331A">
        <w:rPr>
          <w:rFonts w:ascii="Cambria" w:hAnsi="Cambria"/>
          <w:spacing w:val="-3"/>
          <w:sz w:val="20"/>
          <w:szCs w:val="20"/>
          <w:lang w:val="es-ES"/>
        </w:rPr>
        <w:t>Con</w:t>
      </w:r>
      <w:r w:rsidRPr="00BE331A">
        <w:rPr>
          <w:rFonts w:ascii="Cambria" w:hAnsi="Cambria"/>
          <w:sz w:val="20"/>
          <w:szCs w:val="20"/>
          <w:lang w:val="es-CL"/>
        </w:rPr>
        <w:t xml:space="preserve"> </w:t>
      </w:r>
      <w:r w:rsidRPr="00BE331A">
        <w:rPr>
          <w:rFonts w:ascii="Cambria" w:eastAsia="Times New Roman" w:hAnsi="Cambria"/>
          <w:sz w:val="20"/>
          <w:szCs w:val="20"/>
          <w:lang w:val="es-CL" w:eastAsia="es-ES"/>
        </w:rPr>
        <w:t>fundamento</w:t>
      </w:r>
      <w:r w:rsidRPr="00BE331A">
        <w:rPr>
          <w:rFonts w:ascii="Cambria" w:hAnsi="Cambria"/>
          <w:sz w:val="20"/>
          <w:szCs w:val="20"/>
          <w:lang w:val="es-CL"/>
        </w:rPr>
        <w:t xml:space="preserve"> en el análisis y las conclusiones del presente informe,</w:t>
      </w:r>
    </w:p>
    <w:p w14:paraId="44C26EC0" w14:textId="77777777" w:rsidR="00E35933" w:rsidRPr="00BE331A" w:rsidRDefault="00E35933" w:rsidP="00DB4D2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b/>
          <w:bCs/>
          <w:sz w:val="20"/>
          <w:szCs w:val="20"/>
          <w:lang w:val="es-CL"/>
        </w:rPr>
      </w:pPr>
    </w:p>
    <w:p w14:paraId="721F87CD" w14:textId="7D3414F5" w:rsidR="003D5DD6" w:rsidRPr="00C168A9" w:rsidRDefault="003D5DD6" w:rsidP="00161A3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center"/>
        <w:rPr>
          <w:rFonts w:ascii="Cambria" w:hAnsi="Cambria" w:cs="Arial"/>
          <w:sz w:val="20"/>
          <w:szCs w:val="20"/>
          <w:lang w:val="es-ES"/>
        </w:rPr>
      </w:pPr>
      <w:r w:rsidRPr="00C168A9">
        <w:rPr>
          <w:rFonts w:ascii="Cambria" w:hAnsi="Cambria"/>
          <w:b/>
          <w:bCs/>
          <w:sz w:val="20"/>
          <w:szCs w:val="20"/>
          <w:lang w:val="es-CL"/>
        </w:rPr>
        <w:t>LA COMISIÓN INTERAMERICANA DE DERECHOS HUMANOS RE</w:t>
      </w:r>
      <w:r w:rsidR="00161A33" w:rsidRPr="00C168A9">
        <w:rPr>
          <w:rFonts w:ascii="Cambria" w:hAnsi="Cambria"/>
          <w:b/>
          <w:bCs/>
          <w:sz w:val="20"/>
          <w:szCs w:val="20"/>
          <w:lang w:val="es-CL"/>
        </w:rPr>
        <w:t>ITERA</w:t>
      </w:r>
      <w:r w:rsidRPr="00C168A9">
        <w:rPr>
          <w:rFonts w:ascii="Cambria" w:hAnsi="Cambria"/>
          <w:b/>
          <w:bCs/>
          <w:sz w:val="20"/>
          <w:szCs w:val="20"/>
          <w:lang w:val="es-CL"/>
        </w:rPr>
        <w:t xml:space="preserve"> AL ESTADO DE ARGENTINA</w:t>
      </w:r>
      <w:r w:rsidR="00161A33" w:rsidRPr="00C168A9">
        <w:rPr>
          <w:rFonts w:ascii="Cambria" w:hAnsi="Cambria"/>
          <w:b/>
          <w:bCs/>
          <w:sz w:val="20"/>
          <w:szCs w:val="20"/>
          <w:lang w:val="es-CL"/>
        </w:rPr>
        <w:t xml:space="preserve"> LA SIGUIENTE RECOMENDACIÓN, CON MIRAS A SU CUMPLIIENTO TOTAL</w:t>
      </w:r>
      <w:r w:rsidRPr="00C168A9">
        <w:rPr>
          <w:rFonts w:ascii="Cambria" w:hAnsi="Cambria"/>
          <w:b/>
          <w:bCs/>
          <w:sz w:val="20"/>
          <w:szCs w:val="20"/>
          <w:lang w:val="es-CL"/>
        </w:rPr>
        <w:t>:</w:t>
      </w:r>
    </w:p>
    <w:p w14:paraId="3EA9AB53" w14:textId="77777777" w:rsidR="003D5DD6" w:rsidRPr="00C168A9" w:rsidRDefault="003D5DD6" w:rsidP="00DB4D24">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jc w:val="both"/>
        <w:rPr>
          <w:rFonts w:ascii="Cambria" w:hAnsi="Cambria"/>
          <w:sz w:val="20"/>
          <w:szCs w:val="20"/>
          <w:lang w:val="es-VE"/>
        </w:rPr>
      </w:pPr>
      <w:r w:rsidRPr="00C168A9">
        <w:rPr>
          <w:rFonts w:ascii="Cambria" w:hAnsi="Cambria"/>
          <w:sz w:val="20"/>
          <w:szCs w:val="20"/>
          <w:lang w:val="es-VE"/>
        </w:rPr>
        <w:t xml:space="preserve"> </w:t>
      </w:r>
    </w:p>
    <w:p w14:paraId="0E1E5FB4" w14:textId="025D2E8A" w:rsidR="003D5DD6" w:rsidRPr="00C168A9" w:rsidRDefault="003D5DD6" w:rsidP="008C1E87">
      <w:pPr>
        <w:pStyle w:val="BodyText3"/>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jc w:val="both"/>
        <w:rPr>
          <w:rFonts w:ascii="Cambria" w:hAnsi="Cambria"/>
          <w:sz w:val="20"/>
          <w:szCs w:val="20"/>
          <w:lang w:val="es-VE"/>
        </w:rPr>
      </w:pPr>
      <w:r w:rsidRPr="00C168A9">
        <w:rPr>
          <w:rFonts w:ascii="Cambria" w:hAnsi="Cambria"/>
          <w:sz w:val="20"/>
          <w:szCs w:val="20"/>
          <w:lang w:val="es-VE"/>
        </w:rPr>
        <w:t xml:space="preserve">Reparar integralmente las violaciones de derechos declaradas en el presente informe incluyendo el aspecto material e inmaterial. </w:t>
      </w:r>
    </w:p>
    <w:p w14:paraId="4CD991FE" w14:textId="77777777" w:rsidR="00DF63D6" w:rsidRPr="00C168A9" w:rsidRDefault="00DF63D6" w:rsidP="00DF63D6">
      <w:pPr>
        <w:pStyle w:val="Heading1"/>
        <w:numPr>
          <w:ilvl w:val="0"/>
          <w:numId w:val="0"/>
        </w:numPr>
        <w:tabs>
          <w:tab w:val="left" w:pos="567"/>
        </w:tabs>
        <w:spacing w:before="0"/>
        <w:rPr>
          <w:color w:val="auto"/>
          <w:sz w:val="20"/>
          <w:szCs w:val="20"/>
          <w:lang w:val="es-VE"/>
        </w:rPr>
      </w:pPr>
    </w:p>
    <w:p w14:paraId="51C2941D" w14:textId="77777777" w:rsidR="00DF63D6" w:rsidRPr="00C168A9" w:rsidRDefault="00DF63D6" w:rsidP="00DF63D6">
      <w:pPr>
        <w:pStyle w:val="Heading1"/>
        <w:tabs>
          <w:tab w:val="left" w:pos="567"/>
        </w:tabs>
        <w:spacing w:before="0"/>
        <w:ind w:left="0" w:firstLine="0"/>
        <w:rPr>
          <w:color w:val="auto"/>
          <w:sz w:val="20"/>
          <w:szCs w:val="20"/>
          <w:lang w:val="es-VE"/>
        </w:rPr>
      </w:pPr>
      <w:bookmarkStart w:id="51" w:name="_Toc83747597"/>
      <w:bookmarkStart w:id="52" w:name="_Toc99959090"/>
      <w:r w:rsidRPr="00C168A9">
        <w:rPr>
          <w:color w:val="auto"/>
          <w:sz w:val="20"/>
          <w:szCs w:val="20"/>
          <w:lang w:val="es-VE"/>
        </w:rPr>
        <w:t>PUBLICACIÓN</w:t>
      </w:r>
      <w:bookmarkEnd w:id="51"/>
      <w:bookmarkEnd w:id="52"/>
    </w:p>
    <w:p w14:paraId="30B90A62" w14:textId="77777777" w:rsidR="00DF63D6" w:rsidRPr="00C168A9" w:rsidRDefault="00DF63D6" w:rsidP="00DF63D6">
      <w:pPr>
        <w:jc w:val="both"/>
        <w:rPr>
          <w:rFonts w:ascii="Cambria" w:eastAsia="Times New Roman" w:hAnsi="Cambria" w:cs="Tahoma"/>
          <w:color w:val="000000"/>
          <w:sz w:val="20"/>
          <w:szCs w:val="20"/>
          <w:u w:color="000000"/>
          <w:bdr w:val="none" w:sz="0" w:space="0" w:color="auto" w:frame="1"/>
          <w:lang w:val="es-ES_tradnl"/>
        </w:rPr>
      </w:pPr>
    </w:p>
    <w:p w14:paraId="45D01004" w14:textId="0E180F86" w:rsidR="00DF63D6" w:rsidRPr="00C168A9" w:rsidRDefault="00DF63D6" w:rsidP="00DF63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Times New Roman" w:hAnsi="Cambria"/>
          <w:color w:val="000000"/>
          <w:sz w:val="20"/>
          <w:szCs w:val="20"/>
          <w:u w:color="000000"/>
          <w:lang w:val="es-ES" w:eastAsia="es-ES"/>
        </w:rPr>
      </w:pPr>
      <w:r w:rsidRPr="00C168A9">
        <w:rPr>
          <w:rFonts w:ascii="Cambria" w:hAnsi="Cambria"/>
          <w:spacing w:val="-3"/>
          <w:sz w:val="20"/>
          <w:szCs w:val="20"/>
          <w:lang w:val="es-ES"/>
        </w:rPr>
        <w:t>De</w:t>
      </w:r>
      <w:r w:rsidRPr="00C168A9">
        <w:rPr>
          <w:rFonts w:ascii="Cambria" w:eastAsia="Times New Roman" w:hAnsi="Cambria"/>
          <w:color w:val="000000"/>
          <w:sz w:val="20"/>
          <w:szCs w:val="20"/>
          <w:u w:color="000000"/>
          <w:lang w:val="es-ES" w:eastAsia="es-ES"/>
        </w:rPr>
        <w:t xml:space="preserv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con las normas establecidas en los instrumentos que regulan su mandato, continuará evaluando las medidas adoptadas por el Estado de Argentina respecto de la recomendaci</w:t>
      </w:r>
      <w:r w:rsidR="00161A33" w:rsidRPr="00C168A9">
        <w:rPr>
          <w:rFonts w:ascii="Cambria" w:eastAsia="Times New Roman" w:hAnsi="Cambria"/>
          <w:color w:val="000000"/>
          <w:sz w:val="20"/>
          <w:szCs w:val="20"/>
          <w:u w:color="000000"/>
          <w:lang w:val="es-ES" w:eastAsia="es-ES"/>
        </w:rPr>
        <w:t>ón</w:t>
      </w:r>
      <w:r w:rsidRPr="00C168A9">
        <w:rPr>
          <w:rFonts w:ascii="Cambria" w:eastAsia="Times New Roman" w:hAnsi="Cambria"/>
          <w:color w:val="000000"/>
          <w:sz w:val="20"/>
          <w:szCs w:val="20"/>
          <w:u w:color="000000"/>
          <w:lang w:val="es-ES" w:eastAsia="es-ES"/>
        </w:rPr>
        <w:t xml:space="preserve"> arriba señalada, hasta que determine que se le ha dado un total cumplimiento. </w:t>
      </w:r>
    </w:p>
    <w:p w14:paraId="77119472" w14:textId="13D2BA75" w:rsidR="00DF63D6" w:rsidRDefault="00DF63D6" w:rsidP="00DF63D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highlight w:val="yellow"/>
          <w:lang w:val="es-CL"/>
        </w:rPr>
      </w:pPr>
    </w:p>
    <w:p w14:paraId="5BBE8777" w14:textId="77777777" w:rsidR="00907DF0" w:rsidRDefault="00907DF0" w:rsidP="00EA5249">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eastAsia="Trebuchet MS" w:hAnsi="Cambria" w:cs="Calibri"/>
          <w:color w:val="201F1E"/>
          <w:spacing w:val="-2"/>
          <w:sz w:val="20"/>
          <w:szCs w:val="20"/>
          <w:bdr w:val="none" w:sz="0" w:space="0" w:color="auto" w:frame="1"/>
          <w:lang w:val="es-CL"/>
        </w:rPr>
        <w:t xml:space="preserve"> 31 días del mes de diciembre de 2021. </w:t>
      </w:r>
      <w:r>
        <w:rPr>
          <w:rFonts w:ascii="Cambria" w:hAnsi="Cambria" w:cs="Calibri"/>
          <w:color w:val="201F1E"/>
          <w:spacing w:val="-2"/>
          <w:sz w:val="20"/>
          <w:szCs w:val="20"/>
          <w:bdr w:val="none" w:sz="0" w:space="0" w:color="auto" w:frame="1"/>
          <w:lang w:val="es-CL"/>
        </w:rPr>
        <w:t xml:space="preserve">(Firmado): Antonia Urrejola Noguera, Presidenta; Julissa Mantilla Falcón, Primera Vicepresidenta; </w:t>
      </w:r>
      <w:proofErr w:type="spellStart"/>
      <w:r>
        <w:rPr>
          <w:rFonts w:ascii="Cambria" w:hAnsi="Cambria" w:cs="Calibri"/>
          <w:color w:val="201F1E"/>
          <w:spacing w:val="-2"/>
          <w:sz w:val="20"/>
          <w:szCs w:val="20"/>
          <w:bdr w:val="none" w:sz="0" w:space="0" w:color="auto" w:frame="1"/>
          <w:lang w:val="es-CL"/>
        </w:rPr>
        <w:t>Flávia</w:t>
      </w:r>
      <w:proofErr w:type="spell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Piovesan</w:t>
      </w:r>
      <w:proofErr w:type="spellEnd"/>
      <w:r>
        <w:rPr>
          <w:rFonts w:ascii="Cambria" w:hAnsi="Cambria" w:cs="Calibri"/>
          <w:color w:val="201F1E"/>
          <w:spacing w:val="-2"/>
          <w:sz w:val="20"/>
          <w:szCs w:val="20"/>
          <w:bdr w:val="none" w:sz="0" w:space="0" w:color="auto" w:frame="1"/>
          <w:lang w:val="es-CL"/>
        </w:rPr>
        <w:t xml:space="preserve">, Segunda Vicepresidenta; </w:t>
      </w:r>
      <w:proofErr w:type="spellStart"/>
      <w:r>
        <w:rPr>
          <w:rFonts w:ascii="Cambria" w:hAnsi="Cambria" w:cs="Calibri"/>
          <w:color w:val="201F1E"/>
          <w:spacing w:val="-2"/>
          <w:sz w:val="20"/>
          <w:szCs w:val="20"/>
          <w:bdr w:val="none" w:sz="0" w:space="0" w:color="auto" w:frame="1"/>
          <w:lang w:val="es-CL"/>
        </w:rPr>
        <w:t>Margarette</w:t>
      </w:r>
      <w:proofErr w:type="spellEnd"/>
      <w:r>
        <w:rPr>
          <w:rFonts w:ascii="Cambria" w:hAnsi="Cambria" w:cs="Calibri"/>
          <w:color w:val="201F1E"/>
          <w:spacing w:val="-2"/>
          <w:sz w:val="20"/>
          <w:szCs w:val="20"/>
          <w:bdr w:val="none" w:sz="0" w:space="0" w:color="auto" w:frame="1"/>
          <w:lang w:val="es-CL"/>
        </w:rPr>
        <w:t xml:space="preserve"> May </w:t>
      </w:r>
      <w:proofErr w:type="spellStart"/>
      <w:r>
        <w:rPr>
          <w:rFonts w:ascii="Cambria" w:hAnsi="Cambria" w:cs="Calibri"/>
          <w:color w:val="201F1E"/>
          <w:spacing w:val="-2"/>
          <w:sz w:val="20"/>
          <w:szCs w:val="20"/>
          <w:bdr w:val="none" w:sz="0" w:space="0" w:color="auto" w:frame="1"/>
          <w:lang w:val="es-CL"/>
        </w:rPr>
        <w:t>Macaulay</w:t>
      </w:r>
      <w:proofErr w:type="spellEnd"/>
      <w:r>
        <w:rPr>
          <w:rFonts w:ascii="Cambria" w:hAnsi="Cambria" w:cs="Calibri"/>
          <w:color w:val="201F1E"/>
          <w:spacing w:val="-2"/>
          <w:sz w:val="20"/>
          <w:szCs w:val="20"/>
          <w:bdr w:val="none" w:sz="0" w:space="0" w:color="auto" w:frame="1"/>
          <w:lang w:val="es-CL"/>
        </w:rPr>
        <w:t xml:space="preserve">, Esmeralda E. Arosemena de </w:t>
      </w:r>
      <w:proofErr w:type="spellStart"/>
      <w:r>
        <w:rPr>
          <w:rFonts w:ascii="Cambria" w:hAnsi="Cambria" w:cs="Calibri"/>
          <w:color w:val="201F1E"/>
          <w:spacing w:val="-2"/>
          <w:sz w:val="20"/>
          <w:szCs w:val="20"/>
          <w:bdr w:val="none" w:sz="0" w:space="0" w:color="auto" w:frame="1"/>
          <w:lang w:val="es-CL"/>
        </w:rPr>
        <w:t>Troitiño</w:t>
      </w:r>
      <w:proofErr w:type="spellEnd"/>
      <w:r>
        <w:rPr>
          <w:rFonts w:ascii="Cambria" w:hAnsi="Cambria" w:cs="Calibri"/>
          <w:color w:val="201F1E"/>
          <w:spacing w:val="-2"/>
          <w:sz w:val="20"/>
          <w:szCs w:val="20"/>
          <w:bdr w:val="none" w:sz="0" w:space="0" w:color="auto" w:frame="1"/>
          <w:lang w:val="es-CL"/>
        </w:rPr>
        <w:t xml:space="preserve">, Joel Hernández </w:t>
      </w:r>
      <w:proofErr w:type="spellStart"/>
      <w:r>
        <w:rPr>
          <w:rFonts w:ascii="Cambria" w:hAnsi="Cambria" w:cs="Calibri"/>
          <w:color w:val="201F1E"/>
          <w:spacing w:val="-2"/>
          <w:sz w:val="20"/>
          <w:szCs w:val="20"/>
          <w:bdr w:val="none" w:sz="0" w:space="0" w:color="auto" w:frame="1"/>
          <w:lang w:val="es-CL"/>
        </w:rPr>
        <w:t>Gracía</w:t>
      </w:r>
      <w:proofErr w:type="spellEnd"/>
      <w:r>
        <w:rPr>
          <w:rFonts w:ascii="Cambria" w:hAnsi="Cambria" w:cs="Calibri"/>
          <w:color w:val="201F1E"/>
          <w:spacing w:val="-2"/>
          <w:sz w:val="20"/>
          <w:szCs w:val="20"/>
          <w:bdr w:val="none" w:sz="0" w:space="0" w:color="auto" w:frame="1"/>
          <w:lang w:val="es-CL"/>
        </w:rPr>
        <w:t xml:space="preserve"> y Edgar Stuardo </w:t>
      </w:r>
      <w:proofErr w:type="spellStart"/>
      <w:r>
        <w:rPr>
          <w:rFonts w:ascii="Cambria" w:hAnsi="Cambria" w:cs="Calibri"/>
          <w:color w:val="201F1E"/>
          <w:spacing w:val="-2"/>
          <w:sz w:val="20"/>
          <w:szCs w:val="20"/>
          <w:bdr w:val="none" w:sz="0" w:space="0" w:color="auto" w:frame="1"/>
          <w:lang w:val="es-CL"/>
        </w:rPr>
        <w:t>Ralón</w:t>
      </w:r>
      <w:proofErr w:type="spellEnd"/>
      <w:r>
        <w:rPr>
          <w:rFonts w:ascii="Cambria" w:hAnsi="Cambria" w:cs="Calibri"/>
          <w:color w:val="201F1E"/>
          <w:spacing w:val="-2"/>
          <w:sz w:val="20"/>
          <w:szCs w:val="20"/>
          <w:bdr w:val="none" w:sz="0" w:space="0" w:color="auto" w:frame="1"/>
          <w:lang w:val="es-CL"/>
        </w:rPr>
        <w:t xml:space="preserve"> Orellana, Miembros de la Comisión.</w:t>
      </w:r>
    </w:p>
    <w:p w14:paraId="375FD39F" w14:textId="77777777" w:rsidR="00907DF0" w:rsidRDefault="00907DF0" w:rsidP="00907DF0">
      <w:pPr>
        <w:pStyle w:val="xparrafos"/>
        <w:spacing w:before="0" w:beforeAutospacing="0" w:after="0" w:afterAutospacing="0"/>
        <w:jc w:val="both"/>
        <w:rPr>
          <w:rFonts w:ascii="Cambria" w:hAnsi="Cambria"/>
          <w:color w:val="000000"/>
          <w:sz w:val="20"/>
          <w:szCs w:val="20"/>
        </w:rPr>
      </w:pPr>
    </w:p>
    <w:sectPr w:rsidR="00907DF0" w:rsidSect="00B047C3">
      <w:headerReference w:type="first" r:id="rId14"/>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4B3B" w14:textId="77777777" w:rsidR="00193E3F" w:rsidRDefault="00193E3F">
      <w:r>
        <w:separator/>
      </w:r>
    </w:p>
  </w:endnote>
  <w:endnote w:type="continuationSeparator" w:id="0">
    <w:p w14:paraId="0A011882" w14:textId="77777777" w:rsidR="00193E3F" w:rsidRDefault="0019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07B8688" w14:textId="77777777" w:rsidR="00491D4E" w:rsidRPr="00934A2C" w:rsidRDefault="00491D4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16</w:t>
        </w:r>
        <w:r w:rsidRPr="00934A2C">
          <w:rPr>
            <w:noProof/>
            <w:sz w:val="16"/>
            <w:szCs w:val="22"/>
          </w:rPr>
          <w:fldChar w:fldCharType="end"/>
        </w:r>
      </w:p>
    </w:sdtContent>
  </w:sdt>
  <w:p w14:paraId="7DE50065" w14:textId="77777777" w:rsidR="00491D4E" w:rsidRDefault="00491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02A2" w14:textId="77777777" w:rsidR="00491D4E" w:rsidRPr="00934A2C" w:rsidRDefault="00491D4E">
    <w:pPr>
      <w:pStyle w:val="Footer"/>
      <w:jc w:val="center"/>
      <w:rPr>
        <w:sz w:val="16"/>
        <w:szCs w:val="22"/>
      </w:rPr>
    </w:pPr>
  </w:p>
  <w:p w14:paraId="4FEBB05B" w14:textId="77777777" w:rsidR="00491D4E" w:rsidRDefault="0049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BF22" w14:textId="77777777" w:rsidR="00193E3F" w:rsidRPr="000F35ED" w:rsidRDefault="00193E3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972984" w14:textId="77777777" w:rsidR="00193E3F" w:rsidRPr="000F35ED" w:rsidRDefault="00193E3F" w:rsidP="000F35ED">
      <w:pPr>
        <w:rPr>
          <w:rFonts w:asciiTheme="majorHAnsi" w:hAnsiTheme="majorHAnsi"/>
          <w:sz w:val="16"/>
          <w:szCs w:val="16"/>
        </w:rPr>
      </w:pPr>
      <w:r w:rsidRPr="000F35ED">
        <w:rPr>
          <w:rFonts w:asciiTheme="majorHAnsi" w:hAnsiTheme="majorHAnsi"/>
          <w:sz w:val="16"/>
          <w:szCs w:val="16"/>
        </w:rPr>
        <w:separator/>
      </w:r>
    </w:p>
    <w:p w14:paraId="7C205796" w14:textId="77777777" w:rsidR="00193E3F" w:rsidRPr="000F35ED" w:rsidRDefault="00193E3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60EC138" w14:textId="77777777" w:rsidR="00193E3F" w:rsidRPr="000F35ED" w:rsidRDefault="00193E3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C5CB39" w14:textId="77777777" w:rsidR="00491D4E" w:rsidRPr="0022447F" w:rsidRDefault="00491D4E" w:rsidP="0022447F">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sidRPr="0022447F">
        <w:rPr>
          <w:rFonts w:asciiTheme="majorHAnsi" w:hAnsiTheme="majorHAnsi"/>
          <w:sz w:val="16"/>
          <w:szCs w:val="16"/>
          <w:lang w:val="es-VE"/>
        </w:rPr>
        <w:t xml:space="preserve"> CIDH, Informe No. 87/09, Petición 204-01, Admisibilidad, Ángel Pedro Falanga, Argentina, 7 de agosto de 2009. En dicho informe la CIDH declaró la petición admisible frente a la posible violación de los derechos consagrados en los artículos 8 y 25 en relación con el artículo 1.1 de la Convención, e inadmisible respecto del artículo 5 de</w:t>
      </w:r>
      <w:r>
        <w:rPr>
          <w:rFonts w:asciiTheme="majorHAnsi" w:hAnsiTheme="majorHAnsi"/>
          <w:sz w:val="16"/>
          <w:szCs w:val="16"/>
          <w:lang w:val="es-VE"/>
        </w:rPr>
        <w:t>l mismo instrumento.</w:t>
      </w:r>
      <w:r w:rsidRPr="0022447F">
        <w:rPr>
          <w:rFonts w:asciiTheme="majorHAnsi" w:hAnsiTheme="majorHAnsi"/>
          <w:sz w:val="16"/>
          <w:szCs w:val="16"/>
          <w:lang w:val="es-VE"/>
        </w:rPr>
        <w:t xml:space="preserve"> </w:t>
      </w:r>
    </w:p>
  </w:footnote>
  <w:footnote w:id="3">
    <w:p w14:paraId="49120E0B" w14:textId="77777777" w:rsidR="00491D4E" w:rsidRPr="0022447F" w:rsidRDefault="00491D4E" w:rsidP="00B63BBB">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sidRPr="0022447F">
        <w:rPr>
          <w:rFonts w:asciiTheme="majorHAnsi" w:hAnsiTheme="majorHAnsi"/>
          <w:sz w:val="16"/>
          <w:szCs w:val="16"/>
          <w:lang w:val="es-VE"/>
        </w:rPr>
        <w:t xml:space="preserve"> </w:t>
      </w:r>
      <w:r>
        <w:rPr>
          <w:rFonts w:asciiTheme="majorHAnsi" w:hAnsiTheme="majorHAnsi"/>
          <w:sz w:val="16"/>
          <w:szCs w:val="16"/>
          <w:lang w:val="es-VE"/>
        </w:rPr>
        <w:t xml:space="preserve">Ley 12.906. </w:t>
      </w:r>
      <w:r w:rsidRPr="0022447F">
        <w:rPr>
          <w:rFonts w:asciiTheme="majorHAnsi" w:hAnsiTheme="majorHAnsi"/>
          <w:sz w:val="16"/>
          <w:szCs w:val="16"/>
          <w:lang w:val="es-VE"/>
        </w:rPr>
        <w:t xml:space="preserve"> </w:t>
      </w:r>
    </w:p>
  </w:footnote>
  <w:footnote w:id="4">
    <w:p w14:paraId="54B188A6" w14:textId="77777777" w:rsidR="00491D4E" w:rsidRPr="00176A5B" w:rsidRDefault="00491D4E">
      <w:pPr>
        <w:pStyle w:val="FootnoteText"/>
        <w:rPr>
          <w:rFonts w:asciiTheme="majorHAnsi" w:hAnsiTheme="majorHAnsi"/>
          <w:sz w:val="16"/>
          <w:szCs w:val="16"/>
          <w:lang w:val="es-VE"/>
        </w:rPr>
      </w:pPr>
      <w:r w:rsidRPr="00176A5B">
        <w:rPr>
          <w:rStyle w:val="FootnoteReference"/>
          <w:rFonts w:asciiTheme="majorHAnsi" w:hAnsiTheme="majorHAnsi"/>
          <w:sz w:val="16"/>
          <w:szCs w:val="16"/>
        </w:rPr>
        <w:footnoteRef/>
      </w:r>
      <w:r w:rsidRPr="00176A5B">
        <w:rPr>
          <w:rFonts w:asciiTheme="majorHAnsi" w:hAnsiTheme="majorHAnsi"/>
          <w:sz w:val="16"/>
          <w:szCs w:val="16"/>
          <w:lang w:val="es-VE"/>
        </w:rPr>
        <w:t xml:space="preserve"> </w:t>
      </w:r>
      <w:hyperlink r:id="rId1" w:history="1">
        <w:r w:rsidRPr="00176A5B">
          <w:rPr>
            <w:rStyle w:val="Hyperlink"/>
            <w:rFonts w:asciiTheme="majorHAnsi" w:hAnsiTheme="majorHAnsi"/>
            <w:sz w:val="16"/>
            <w:szCs w:val="16"/>
            <w:lang w:val="es-VE"/>
          </w:rPr>
          <w:t>Ley 22.2262</w:t>
        </w:r>
      </w:hyperlink>
      <w:r w:rsidRPr="00176A5B">
        <w:rPr>
          <w:rFonts w:asciiTheme="majorHAnsi" w:hAnsiTheme="majorHAnsi"/>
          <w:sz w:val="16"/>
          <w:szCs w:val="16"/>
          <w:lang w:val="es-VE"/>
        </w:rPr>
        <w:t>, 1 de agosto de 1980.</w:t>
      </w:r>
    </w:p>
  </w:footnote>
  <w:footnote w:id="5">
    <w:p w14:paraId="39D41B2D" w14:textId="77777777" w:rsidR="00491D4E" w:rsidRPr="0022447F" w:rsidRDefault="00491D4E" w:rsidP="006535EF">
      <w:pPr>
        <w:pStyle w:val="FootnoteText"/>
        <w:jc w:val="both"/>
        <w:rPr>
          <w:rFonts w:asciiTheme="majorHAnsi" w:hAnsiTheme="majorHAnsi"/>
          <w:sz w:val="16"/>
          <w:szCs w:val="16"/>
          <w:lang w:val="es-VE"/>
        </w:rPr>
      </w:pPr>
      <w:r w:rsidRPr="00176A5B">
        <w:rPr>
          <w:rStyle w:val="FootnoteReference"/>
          <w:rFonts w:asciiTheme="majorHAnsi" w:hAnsiTheme="majorHAnsi"/>
          <w:sz w:val="16"/>
          <w:szCs w:val="16"/>
        </w:rPr>
        <w:footnoteRef/>
      </w:r>
      <w:r w:rsidRPr="00176A5B">
        <w:rPr>
          <w:rFonts w:asciiTheme="majorHAnsi" w:hAnsiTheme="majorHAnsi"/>
          <w:sz w:val="16"/>
          <w:szCs w:val="16"/>
          <w:lang w:val="es-VE"/>
        </w:rPr>
        <w:t xml:space="preserve">  </w:t>
      </w:r>
      <w:hyperlink r:id="rId2" w:history="1">
        <w:r w:rsidRPr="00176A5B">
          <w:rPr>
            <w:rStyle w:val="Hyperlink"/>
            <w:rFonts w:asciiTheme="majorHAnsi" w:hAnsiTheme="majorHAnsi"/>
            <w:sz w:val="16"/>
            <w:szCs w:val="16"/>
            <w:lang w:val="es-VE"/>
          </w:rPr>
          <w:t>Ley 20840 de 28 de septiembre de 1974</w:t>
        </w:r>
      </w:hyperlink>
      <w:r w:rsidRPr="00176A5B">
        <w:rPr>
          <w:rFonts w:asciiTheme="majorHAnsi" w:hAnsiTheme="majorHAnsi"/>
          <w:sz w:val="16"/>
          <w:szCs w:val="16"/>
          <w:lang w:val="es-VE"/>
        </w:rPr>
        <w:t>.</w:t>
      </w:r>
    </w:p>
  </w:footnote>
  <w:footnote w:id="6">
    <w:p w14:paraId="19236325"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22447F">
        <w:rPr>
          <w:rFonts w:asciiTheme="majorHAnsi" w:hAnsiTheme="majorHAnsi"/>
          <w:sz w:val="16"/>
          <w:szCs w:val="16"/>
          <w:lang w:val="es-VE"/>
        </w:rPr>
        <w:t xml:space="preserve">. Querella presentada por el Banco Central de la República Argentina contra la presunta víctima por el delito de subversión económica. Anexo al escrito de la parte peticionaria de 8 de agosto de 2002. </w:t>
      </w:r>
    </w:p>
  </w:footnote>
  <w:footnote w:id="7">
    <w:p w14:paraId="7D9F3517"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22447F">
        <w:rPr>
          <w:rFonts w:asciiTheme="majorHAnsi" w:hAnsiTheme="majorHAnsi"/>
          <w:sz w:val="16"/>
          <w:szCs w:val="16"/>
          <w:lang w:val="es-VE"/>
        </w:rPr>
        <w:t xml:space="preserve">. Acusación del Procurador Fiscal Federal en contra de la presunta víctima por el delito de monopolio de 19 de julio de 1988. Anexo al escrito de la parte peticionaria de 8 de agosto de 2002. </w:t>
      </w:r>
    </w:p>
  </w:footnote>
  <w:footnote w:id="8">
    <w:p w14:paraId="5FC4AB77"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22447F">
        <w:rPr>
          <w:rFonts w:asciiTheme="majorHAnsi" w:hAnsiTheme="majorHAnsi"/>
          <w:sz w:val="16"/>
          <w:szCs w:val="16"/>
          <w:lang w:val="es-VE"/>
        </w:rPr>
        <w:t xml:space="preserve">. Decisión de la Cámara Federal de Apelaciones de 10 de mayo de 1988 que revoca el sobreseimiento provisional por el delito de monopolio. Anexo al escrito de la parte peticionaria de 8 de agosto de 2002. </w:t>
      </w:r>
    </w:p>
  </w:footnote>
  <w:footnote w:id="9">
    <w:p w14:paraId="16F2D4AA"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22447F">
        <w:rPr>
          <w:rFonts w:asciiTheme="majorHAnsi" w:hAnsiTheme="majorHAnsi"/>
          <w:sz w:val="16"/>
          <w:szCs w:val="16"/>
          <w:lang w:val="es-VE"/>
        </w:rPr>
        <w:t xml:space="preserve">. Decisión de la Cámara Federal de Apelaciones de 10 de mayo de 1988 que revoca el sobreseimiento provisional por el delito de monopolio. Anexo al escrito de la parte peticionaria de 8 de agosto de 2002. </w:t>
      </w:r>
    </w:p>
  </w:footnote>
  <w:footnote w:id="10">
    <w:p w14:paraId="7CD54ED4" w14:textId="77777777" w:rsidR="00491D4E" w:rsidRPr="0022447F" w:rsidRDefault="00491D4E" w:rsidP="002603E4">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4</w:t>
      </w:r>
      <w:r w:rsidRPr="0022447F">
        <w:rPr>
          <w:rFonts w:asciiTheme="majorHAnsi" w:hAnsiTheme="majorHAnsi"/>
          <w:sz w:val="16"/>
          <w:szCs w:val="16"/>
          <w:lang w:val="es-VE"/>
        </w:rPr>
        <w:t>. Resolución del Juez Federal Subrogante sobreseyendo el proceso contra Jorge Bassil en virtud de indulto a su favor. Anexo al escrito de la parte peticionaria de 8 de agosto de 2002.</w:t>
      </w:r>
    </w:p>
  </w:footnote>
  <w:footnote w:id="11">
    <w:p w14:paraId="1E3E0963" w14:textId="77777777" w:rsidR="00491D4E" w:rsidRPr="0022447F" w:rsidRDefault="00491D4E" w:rsidP="002603E4">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22447F">
        <w:rPr>
          <w:rFonts w:asciiTheme="majorHAnsi" w:hAnsiTheme="majorHAnsi"/>
          <w:sz w:val="16"/>
          <w:szCs w:val="16"/>
          <w:lang w:val="es-VE"/>
        </w:rPr>
        <w:t>. Solicitud de indulto de la presunta víctima al Presidente de la República Argentina de 16 de febrero de 1991.  Anexo al escrito de la parte peticionaria de 8 de agosto de 2002.</w:t>
      </w:r>
    </w:p>
  </w:footnote>
  <w:footnote w:id="12">
    <w:p w14:paraId="4CFAE3DF" w14:textId="77777777" w:rsidR="00491D4E" w:rsidRPr="0022447F" w:rsidRDefault="00491D4E" w:rsidP="002603E4">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6. </w:t>
      </w:r>
      <w:r w:rsidRPr="0022447F">
        <w:rPr>
          <w:rFonts w:asciiTheme="majorHAnsi" w:hAnsiTheme="majorHAnsi"/>
          <w:sz w:val="16"/>
          <w:szCs w:val="16"/>
          <w:lang w:val="es-VE"/>
        </w:rPr>
        <w:t>Cartas de 20 de abril de 1994, 14 de marzo de 2001. Anexo al escrito de la parte peticionaria de 8 de agosto de 2002.</w:t>
      </w:r>
      <w:r>
        <w:rPr>
          <w:rFonts w:asciiTheme="majorHAnsi" w:hAnsiTheme="majorHAnsi"/>
          <w:sz w:val="16"/>
          <w:szCs w:val="16"/>
          <w:lang w:val="es-VE"/>
        </w:rPr>
        <w:t xml:space="preserve"> </w:t>
      </w:r>
    </w:p>
  </w:footnote>
  <w:footnote w:id="13">
    <w:p w14:paraId="5004B1BC"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7</w:t>
      </w:r>
      <w:r w:rsidRPr="0022447F">
        <w:rPr>
          <w:rFonts w:asciiTheme="majorHAnsi" w:hAnsiTheme="majorHAnsi"/>
          <w:sz w:val="16"/>
          <w:szCs w:val="16"/>
          <w:lang w:val="es-VE"/>
        </w:rPr>
        <w:t xml:space="preserve">. Sentencia condenatoria contra la presunta víctima por el delito de monopolio por parte del Juzgado Federal de Primera Instancia. Anexo al escrito de la parte peticionaria de 8 de agosto de 2002. </w:t>
      </w:r>
    </w:p>
  </w:footnote>
  <w:footnote w:id="14">
    <w:p w14:paraId="5F235D53" w14:textId="77777777" w:rsidR="00491D4E" w:rsidRPr="0022447F" w:rsidRDefault="00491D4E" w:rsidP="009D5709">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7</w:t>
      </w:r>
      <w:r w:rsidRPr="0022447F">
        <w:rPr>
          <w:rFonts w:asciiTheme="majorHAnsi" w:hAnsiTheme="majorHAnsi"/>
          <w:sz w:val="16"/>
          <w:szCs w:val="16"/>
          <w:lang w:val="es-VE"/>
        </w:rPr>
        <w:t>. Sentencia condenatoria contra la presunta víctima por el delito de monopolio por parte del Juzgado Federal de Primera Instancia</w:t>
      </w:r>
      <w:r>
        <w:rPr>
          <w:rFonts w:asciiTheme="majorHAnsi" w:hAnsiTheme="majorHAnsi"/>
          <w:sz w:val="16"/>
          <w:szCs w:val="16"/>
          <w:lang w:val="es-VE"/>
        </w:rPr>
        <w:t>, folio 4992</w:t>
      </w:r>
      <w:r w:rsidRPr="0022447F">
        <w:rPr>
          <w:rFonts w:asciiTheme="majorHAnsi" w:hAnsiTheme="majorHAnsi"/>
          <w:sz w:val="16"/>
          <w:szCs w:val="16"/>
          <w:lang w:val="es-VE"/>
        </w:rPr>
        <w:t xml:space="preserve">. Anexo al escrito de la parte peticionaria de 8 de agosto de 2002. </w:t>
      </w:r>
    </w:p>
  </w:footnote>
  <w:footnote w:id="15">
    <w:p w14:paraId="6AC025CC" w14:textId="77777777" w:rsidR="00491D4E" w:rsidRPr="0022447F" w:rsidRDefault="00491D4E" w:rsidP="00A17282">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sidRPr="0022447F">
        <w:rPr>
          <w:rFonts w:asciiTheme="majorHAnsi" w:hAnsiTheme="majorHAnsi"/>
          <w:sz w:val="16"/>
          <w:szCs w:val="16"/>
          <w:lang w:val="es-VE"/>
        </w:rPr>
        <w:t xml:space="preserve"> Anex</w:t>
      </w:r>
      <w:r>
        <w:rPr>
          <w:rFonts w:asciiTheme="majorHAnsi" w:hAnsiTheme="majorHAnsi"/>
          <w:sz w:val="16"/>
          <w:szCs w:val="16"/>
          <w:lang w:val="es-VE"/>
        </w:rPr>
        <w:t>o 7</w:t>
      </w:r>
      <w:r w:rsidRPr="0022447F">
        <w:rPr>
          <w:rFonts w:asciiTheme="majorHAnsi" w:hAnsiTheme="majorHAnsi"/>
          <w:sz w:val="16"/>
          <w:szCs w:val="16"/>
          <w:lang w:val="es-VE"/>
        </w:rPr>
        <w:t xml:space="preserve">. Sentencia condenatoria contra la presunta víctima por el delito de monopolio por parte del Juzgado Federal de Primera Instancia. Anexo al escrito de la parte peticionaria de 8 de agosto de 2002. </w:t>
      </w:r>
    </w:p>
  </w:footnote>
  <w:footnote w:id="16">
    <w:p w14:paraId="6876EB7B" w14:textId="77777777" w:rsidR="00491D4E" w:rsidRPr="0022447F" w:rsidRDefault="00491D4E" w:rsidP="00CE0CCB">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22447F">
        <w:rPr>
          <w:rFonts w:asciiTheme="majorHAnsi" w:hAnsiTheme="majorHAnsi"/>
          <w:sz w:val="16"/>
          <w:szCs w:val="16"/>
          <w:lang w:val="es-VE"/>
        </w:rPr>
        <w:t>. Decisión de la Sala B de la Cámara Federal de Apelaciones de Mendoza de 7 de noviembre de 1995. Anexo al escrito de la parte peticionaria de 8 de agosto de 2002.</w:t>
      </w:r>
    </w:p>
  </w:footnote>
  <w:footnote w:id="17">
    <w:p w14:paraId="3534CEDC"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22447F">
        <w:rPr>
          <w:rFonts w:asciiTheme="majorHAnsi" w:hAnsiTheme="majorHAnsi"/>
          <w:sz w:val="16"/>
          <w:szCs w:val="16"/>
          <w:lang w:val="es-VE"/>
        </w:rPr>
        <w:t>. Decisión de la Sala B de la Cámara Federal de Apelaciones de Mendoza de 7 de noviembre de 1995. Anexo al escrito de la parte peticionaria de 8 de agosto de 2002.</w:t>
      </w:r>
    </w:p>
  </w:footnote>
  <w:footnote w:id="18">
    <w:p w14:paraId="45F0AD75"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22447F">
        <w:rPr>
          <w:rFonts w:asciiTheme="majorHAnsi" w:hAnsiTheme="majorHAnsi"/>
          <w:sz w:val="16"/>
          <w:szCs w:val="16"/>
          <w:lang w:val="es-VE"/>
        </w:rPr>
        <w:t>. Decisión de la Sala B de la Cámara Federal de Apelaciones de Mendoza de 7 de noviembre de 1995. Anexo al escrito de la parte peticionaria de 8 de agosto de 2002.</w:t>
      </w:r>
    </w:p>
  </w:footnote>
  <w:footnote w:id="19">
    <w:p w14:paraId="3D3B2BAF" w14:textId="77777777" w:rsidR="00491D4E" w:rsidRPr="0022447F" w:rsidRDefault="00491D4E" w:rsidP="006D19A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22447F">
        <w:rPr>
          <w:rFonts w:asciiTheme="majorHAnsi" w:hAnsiTheme="majorHAnsi"/>
          <w:sz w:val="16"/>
          <w:szCs w:val="16"/>
          <w:lang w:val="es-VE"/>
        </w:rPr>
        <w:t>. Decisión de la Sala B de la Cámara Federal de Apelaciones de Mendoza de 7 de noviembre de 1995. Anexo al escrito de la parte peticionaria de 8 de agosto de 2002.</w:t>
      </w:r>
    </w:p>
  </w:footnote>
  <w:footnote w:id="20">
    <w:p w14:paraId="2207ABAC" w14:textId="77777777" w:rsidR="00491D4E" w:rsidRPr="0022447F" w:rsidRDefault="00491D4E" w:rsidP="0022447F">
      <w:pPr>
        <w:pStyle w:val="NoSpacing"/>
        <w:jc w:val="both"/>
        <w:rPr>
          <w:rFonts w:asciiTheme="majorHAnsi" w:hAnsiTheme="majorHAnsi"/>
          <w:sz w:val="16"/>
          <w:szCs w:val="16"/>
          <w:lang w:val="es-MX"/>
        </w:rPr>
      </w:pPr>
      <w:r w:rsidRPr="0022447F">
        <w:rPr>
          <w:rStyle w:val="FootnoteReference"/>
          <w:rFonts w:asciiTheme="majorHAnsi" w:hAnsiTheme="majorHAnsi"/>
          <w:sz w:val="16"/>
          <w:szCs w:val="16"/>
        </w:rPr>
        <w:footnoteRef/>
      </w:r>
      <w:r w:rsidRPr="0022447F">
        <w:rPr>
          <w:rFonts w:asciiTheme="majorHAnsi" w:hAnsiTheme="majorHAnsi"/>
          <w:sz w:val="16"/>
          <w:szCs w:val="16"/>
          <w:lang w:val="es-MX"/>
        </w:rPr>
        <w:t xml:space="preserve"> Anexo</w:t>
      </w:r>
      <w:r>
        <w:rPr>
          <w:rFonts w:asciiTheme="majorHAnsi" w:hAnsiTheme="majorHAnsi"/>
          <w:sz w:val="16"/>
          <w:szCs w:val="16"/>
          <w:lang w:val="es-MX"/>
        </w:rPr>
        <w:t xml:space="preserve"> 9</w:t>
      </w:r>
      <w:r w:rsidRPr="0022447F">
        <w:rPr>
          <w:rFonts w:asciiTheme="majorHAnsi" w:hAnsiTheme="majorHAnsi"/>
          <w:sz w:val="16"/>
          <w:szCs w:val="16"/>
          <w:lang w:val="es-MX"/>
        </w:rPr>
        <w:t>. Sentencia del Juzgado Federal de Mendoza, de fecha 24 de abril d</w:t>
      </w:r>
      <w:r>
        <w:rPr>
          <w:rFonts w:asciiTheme="majorHAnsi" w:hAnsiTheme="majorHAnsi"/>
          <w:sz w:val="16"/>
          <w:szCs w:val="16"/>
          <w:lang w:val="es-MX"/>
        </w:rPr>
        <w:t xml:space="preserve">e 2001. Expediente N° 50900-B. </w:t>
      </w:r>
      <w:r w:rsidRPr="0022447F">
        <w:rPr>
          <w:rFonts w:asciiTheme="majorHAnsi" w:hAnsiTheme="majorHAnsi"/>
          <w:sz w:val="16"/>
          <w:szCs w:val="16"/>
          <w:lang w:val="es-MX"/>
        </w:rPr>
        <w:t>Anexo al escrito</w:t>
      </w:r>
      <w:r>
        <w:rPr>
          <w:rFonts w:asciiTheme="majorHAnsi" w:hAnsiTheme="majorHAnsi"/>
          <w:sz w:val="16"/>
          <w:szCs w:val="16"/>
          <w:lang w:val="es-MX"/>
        </w:rPr>
        <w:t xml:space="preserve"> de la parte peticionaria con fecha 30 de marzo de 2001</w:t>
      </w:r>
      <w:r w:rsidRPr="0022447F">
        <w:rPr>
          <w:rFonts w:asciiTheme="majorHAnsi" w:hAnsiTheme="majorHAnsi"/>
          <w:sz w:val="16"/>
          <w:szCs w:val="16"/>
          <w:lang w:val="es-MX"/>
        </w:rPr>
        <w:t>.</w:t>
      </w:r>
    </w:p>
  </w:footnote>
  <w:footnote w:id="21">
    <w:p w14:paraId="1B51A9D2" w14:textId="77777777" w:rsidR="00491D4E" w:rsidRPr="0022447F" w:rsidRDefault="00491D4E" w:rsidP="0022447F">
      <w:pPr>
        <w:pStyle w:val="NoSpacing"/>
        <w:jc w:val="both"/>
        <w:rPr>
          <w:rFonts w:asciiTheme="majorHAnsi" w:hAnsiTheme="majorHAnsi"/>
          <w:sz w:val="16"/>
          <w:szCs w:val="16"/>
          <w:lang w:val="es-MX"/>
        </w:rPr>
      </w:pPr>
      <w:r w:rsidRPr="0022447F">
        <w:rPr>
          <w:rStyle w:val="FootnoteReference"/>
          <w:rFonts w:asciiTheme="majorHAnsi" w:hAnsiTheme="majorHAnsi"/>
          <w:sz w:val="16"/>
          <w:szCs w:val="16"/>
        </w:rPr>
        <w:footnoteRef/>
      </w:r>
      <w:r w:rsidRPr="0022447F">
        <w:rPr>
          <w:rFonts w:asciiTheme="majorHAnsi" w:hAnsiTheme="majorHAnsi"/>
          <w:sz w:val="16"/>
          <w:szCs w:val="16"/>
          <w:lang w:val="es-MX"/>
        </w:rPr>
        <w:t xml:space="preserve"> Anexo</w:t>
      </w:r>
      <w:r>
        <w:rPr>
          <w:rFonts w:asciiTheme="majorHAnsi" w:hAnsiTheme="majorHAnsi"/>
          <w:sz w:val="16"/>
          <w:szCs w:val="16"/>
          <w:lang w:val="es-MX"/>
        </w:rPr>
        <w:t>9</w:t>
      </w:r>
      <w:r w:rsidRPr="0022447F">
        <w:rPr>
          <w:rFonts w:asciiTheme="majorHAnsi" w:hAnsiTheme="majorHAnsi"/>
          <w:sz w:val="16"/>
          <w:szCs w:val="16"/>
          <w:lang w:val="es-MX"/>
        </w:rPr>
        <w:t>. Sentencia del Juzgado Federal de Mendoza, de fecha 24 de abril de 2001. Expediente N° 50900-B. Anexo al escrito</w:t>
      </w:r>
      <w:r>
        <w:rPr>
          <w:rFonts w:asciiTheme="majorHAnsi" w:hAnsiTheme="majorHAnsi"/>
          <w:sz w:val="16"/>
          <w:szCs w:val="16"/>
          <w:lang w:val="es-MX"/>
        </w:rPr>
        <w:t xml:space="preserve"> de la parte peticionaria con fecha 30 de marzo de 2001</w:t>
      </w:r>
      <w:r w:rsidRPr="0022447F">
        <w:rPr>
          <w:rFonts w:asciiTheme="majorHAnsi" w:hAnsiTheme="majorHAnsi"/>
          <w:sz w:val="16"/>
          <w:szCs w:val="16"/>
          <w:lang w:val="es-MX"/>
        </w:rPr>
        <w:t>.</w:t>
      </w:r>
    </w:p>
  </w:footnote>
  <w:footnote w:id="22">
    <w:p w14:paraId="26ECA9F1" w14:textId="77777777" w:rsidR="00491D4E" w:rsidRPr="0022447F" w:rsidRDefault="00491D4E" w:rsidP="0022447F">
      <w:pPr>
        <w:pStyle w:val="NoSpacing"/>
        <w:jc w:val="both"/>
        <w:rPr>
          <w:rFonts w:asciiTheme="majorHAnsi" w:hAnsiTheme="majorHAnsi"/>
          <w:sz w:val="16"/>
          <w:szCs w:val="16"/>
          <w:lang w:val="es-MX"/>
        </w:rPr>
      </w:pPr>
      <w:r w:rsidRPr="0022447F">
        <w:rPr>
          <w:rStyle w:val="FootnoteReference"/>
          <w:rFonts w:asciiTheme="majorHAnsi" w:hAnsiTheme="majorHAnsi"/>
          <w:sz w:val="16"/>
          <w:szCs w:val="16"/>
        </w:rPr>
        <w:footnoteRef/>
      </w:r>
      <w:r>
        <w:rPr>
          <w:rFonts w:asciiTheme="majorHAnsi" w:hAnsiTheme="majorHAnsi"/>
          <w:sz w:val="16"/>
          <w:szCs w:val="16"/>
          <w:lang w:val="es-MX"/>
        </w:rPr>
        <w:t xml:space="preserve"> Anexo 10. Decisión de la Sala B de la Cámara Federal de Apelaciones de 17 de marzo de 1999. Anexo a las observaciones de la parte peticionaria de 27 de abril de 2001.</w:t>
      </w:r>
    </w:p>
  </w:footnote>
  <w:footnote w:id="23">
    <w:p w14:paraId="6040556B" w14:textId="77777777" w:rsidR="00491D4E" w:rsidRPr="0022447F" w:rsidRDefault="00491D4E" w:rsidP="007446C7">
      <w:pPr>
        <w:pStyle w:val="NoSpacing"/>
        <w:jc w:val="both"/>
        <w:rPr>
          <w:rFonts w:asciiTheme="majorHAnsi" w:hAnsiTheme="majorHAnsi"/>
          <w:sz w:val="16"/>
          <w:szCs w:val="16"/>
          <w:lang w:val="es-MX"/>
        </w:rPr>
      </w:pPr>
      <w:r w:rsidRPr="0022447F">
        <w:rPr>
          <w:rStyle w:val="FootnoteReference"/>
          <w:rFonts w:asciiTheme="majorHAnsi" w:hAnsiTheme="majorHAnsi"/>
          <w:sz w:val="16"/>
          <w:szCs w:val="16"/>
        </w:rPr>
        <w:footnoteRef/>
      </w:r>
      <w:r>
        <w:rPr>
          <w:rFonts w:asciiTheme="majorHAnsi" w:hAnsiTheme="majorHAnsi"/>
          <w:sz w:val="16"/>
          <w:szCs w:val="16"/>
          <w:lang w:val="es-MX"/>
        </w:rPr>
        <w:t xml:space="preserve"> Anexo 10. Decisión de la Sala B de la Cámara Federal de Apelaciones de 17 de marzo de 1999. Anexo a las observaciones de la parte peticionaria de 27 de abril de 2001.</w:t>
      </w:r>
    </w:p>
  </w:footnote>
  <w:footnote w:id="24">
    <w:p w14:paraId="1F19E608" w14:textId="77777777" w:rsidR="00491D4E" w:rsidRPr="0022447F" w:rsidRDefault="00491D4E" w:rsidP="007F6483">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Pr>
          <w:rFonts w:asciiTheme="majorHAnsi" w:hAnsiTheme="majorHAnsi"/>
          <w:sz w:val="16"/>
          <w:szCs w:val="16"/>
          <w:lang w:val="es-VE"/>
        </w:rPr>
        <w:t xml:space="preserve"> Anexo 11</w:t>
      </w:r>
      <w:r w:rsidRPr="0022447F">
        <w:rPr>
          <w:rFonts w:asciiTheme="majorHAnsi" w:hAnsiTheme="majorHAnsi"/>
          <w:sz w:val="16"/>
          <w:szCs w:val="16"/>
          <w:lang w:val="es-VE"/>
        </w:rPr>
        <w:t xml:space="preserve">. Decisión de la Corte Suprema de Justicia de la Nación de 20 de febrero de 2001. Anexo al escrito de la parte peticionaria de 8 de agosto de 2002. </w:t>
      </w:r>
    </w:p>
  </w:footnote>
  <w:footnote w:id="25">
    <w:p w14:paraId="3F9A738F" w14:textId="77777777" w:rsidR="00491D4E" w:rsidRPr="0022447F" w:rsidRDefault="00491D4E" w:rsidP="00C06B32">
      <w:pPr>
        <w:pStyle w:val="FootnoteText"/>
        <w:jc w:val="both"/>
        <w:rPr>
          <w:rFonts w:asciiTheme="majorHAnsi" w:hAnsiTheme="majorHAnsi"/>
          <w:sz w:val="16"/>
          <w:szCs w:val="16"/>
          <w:lang w:val="es-VE"/>
        </w:rPr>
      </w:pPr>
      <w:r w:rsidRPr="0022447F">
        <w:rPr>
          <w:rStyle w:val="FootnoteReference"/>
          <w:rFonts w:asciiTheme="majorHAnsi" w:hAnsiTheme="majorHAnsi"/>
          <w:sz w:val="16"/>
          <w:szCs w:val="16"/>
        </w:rPr>
        <w:footnoteRef/>
      </w:r>
      <w:r w:rsidRPr="0022447F">
        <w:rPr>
          <w:rFonts w:asciiTheme="majorHAnsi" w:hAnsiTheme="majorHAnsi"/>
          <w:sz w:val="16"/>
          <w:szCs w:val="16"/>
          <w:lang w:val="es-VE"/>
        </w:rPr>
        <w:t xml:space="preserve"> Anex</w:t>
      </w:r>
      <w:r>
        <w:rPr>
          <w:rFonts w:asciiTheme="majorHAnsi" w:hAnsiTheme="majorHAnsi"/>
          <w:sz w:val="16"/>
          <w:szCs w:val="16"/>
          <w:lang w:val="es-VE"/>
        </w:rPr>
        <w:t>o 12</w:t>
      </w:r>
      <w:r w:rsidRPr="0022447F">
        <w:rPr>
          <w:rFonts w:asciiTheme="majorHAnsi" w:hAnsiTheme="majorHAnsi"/>
          <w:sz w:val="16"/>
          <w:szCs w:val="16"/>
          <w:lang w:val="es-VE"/>
        </w:rPr>
        <w:t>. Recurso de habeas corpus preventivo interpuesto por la presunta víctima ante Juez Federal el 27 de marzo de 2001. Anexo al escrito de la parte peticionaria de 8 de agosto de 2002.</w:t>
      </w:r>
    </w:p>
  </w:footnote>
  <w:footnote w:id="26">
    <w:p w14:paraId="235006B3" w14:textId="77777777" w:rsidR="00491D4E" w:rsidRPr="00BA1539" w:rsidRDefault="00491D4E" w:rsidP="00C06B32">
      <w:pPr>
        <w:pStyle w:val="FootnoteText"/>
        <w:jc w:val="both"/>
        <w:rPr>
          <w:rFonts w:asciiTheme="majorHAnsi" w:hAnsiTheme="majorHAnsi"/>
          <w:sz w:val="16"/>
          <w:szCs w:val="16"/>
          <w:lang w:val="es-VE"/>
        </w:rPr>
      </w:pPr>
      <w:r w:rsidRPr="00BA1539">
        <w:rPr>
          <w:rStyle w:val="FootnoteReference"/>
          <w:rFonts w:asciiTheme="majorHAnsi" w:hAnsiTheme="majorHAnsi"/>
          <w:sz w:val="16"/>
          <w:szCs w:val="16"/>
        </w:rPr>
        <w:footnoteRef/>
      </w:r>
      <w:r>
        <w:rPr>
          <w:rFonts w:asciiTheme="majorHAnsi" w:hAnsiTheme="majorHAnsi"/>
          <w:sz w:val="16"/>
          <w:szCs w:val="16"/>
          <w:lang w:val="es-VE"/>
        </w:rPr>
        <w:t xml:space="preserve"> Anexo 13.</w:t>
      </w:r>
      <w:r w:rsidRPr="00BA1539">
        <w:rPr>
          <w:rFonts w:asciiTheme="majorHAnsi" w:hAnsiTheme="majorHAnsi"/>
          <w:sz w:val="16"/>
          <w:szCs w:val="16"/>
          <w:lang w:val="es-VE"/>
        </w:rPr>
        <w:t xml:space="preserve"> Decisión del Juez Federal Ad-Hoc de 24 de abril de 2001 que declara con lugar la acción de hábeas corpus interpuesta por la presunta víctima. Anexo al escrito de la parte peticionaria de 8 de agosto de 2002.</w:t>
      </w:r>
    </w:p>
  </w:footnote>
  <w:footnote w:id="27">
    <w:p w14:paraId="501DBB05" w14:textId="77777777" w:rsidR="00491D4E" w:rsidRPr="00BA1539" w:rsidRDefault="00491D4E" w:rsidP="00C06B32">
      <w:pPr>
        <w:pStyle w:val="FootnoteText"/>
        <w:jc w:val="both"/>
        <w:rPr>
          <w:rFonts w:asciiTheme="majorHAnsi" w:hAnsiTheme="majorHAnsi"/>
          <w:sz w:val="16"/>
          <w:szCs w:val="16"/>
          <w:lang w:val="es-VE"/>
        </w:rPr>
      </w:pPr>
      <w:r w:rsidRPr="00BA1539">
        <w:rPr>
          <w:rStyle w:val="FootnoteReference"/>
          <w:rFonts w:asciiTheme="majorHAnsi" w:hAnsiTheme="majorHAnsi"/>
          <w:sz w:val="16"/>
          <w:szCs w:val="16"/>
        </w:rPr>
        <w:footnoteRef/>
      </w:r>
      <w:r>
        <w:rPr>
          <w:rFonts w:asciiTheme="majorHAnsi" w:hAnsiTheme="majorHAnsi"/>
          <w:sz w:val="16"/>
          <w:szCs w:val="16"/>
          <w:lang w:val="es-VE"/>
        </w:rPr>
        <w:t xml:space="preserve"> Anexo 14</w:t>
      </w:r>
      <w:r w:rsidRPr="00BA1539">
        <w:rPr>
          <w:rFonts w:asciiTheme="majorHAnsi" w:hAnsiTheme="majorHAnsi"/>
          <w:sz w:val="16"/>
          <w:szCs w:val="16"/>
          <w:lang w:val="es-VE"/>
        </w:rPr>
        <w:t>. Recurso de apelación interpuesto por el Ministerio Público de la Nación el 25 de abril de 2001. Anexo al escrito de la parte peticionaria de 8 de agosto de 2002.</w:t>
      </w:r>
    </w:p>
  </w:footnote>
  <w:footnote w:id="28">
    <w:p w14:paraId="1F9C9F49" w14:textId="77777777" w:rsidR="00491D4E" w:rsidRPr="00BA1539" w:rsidRDefault="00491D4E" w:rsidP="00C06B32">
      <w:pPr>
        <w:pStyle w:val="FootnoteText"/>
        <w:jc w:val="both"/>
        <w:rPr>
          <w:rFonts w:asciiTheme="majorHAnsi" w:hAnsiTheme="majorHAnsi"/>
          <w:sz w:val="16"/>
          <w:szCs w:val="16"/>
          <w:lang w:val="es-VE"/>
        </w:rPr>
      </w:pPr>
      <w:r w:rsidRPr="00BA1539">
        <w:rPr>
          <w:rStyle w:val="FootnoteReference"/>
          <w:rFonts w:asciiTheme="majorHAnsi" w:hAnsiTheme="majorHAnsi"/>
          <w:sz w:val="16"/>
          <w:szCs w:val="16"/>
        </w:rPr>
        <w:footnoteRef/>
      </w:r>
      <w:r>
        <w:rPr>
          <w:rFonts w:asciiTheme="majorHAnsi" w:hAnsiTheme="majorHAnsi"/>
          <w:sz w:val="16"/>
          <w:szCs w:val="16"/>
          <w:lang w:val="es-VE"/>
        </w:rPr>
        <w:t xml:space="preserve"> Anexo 15</w:t>
      </w:r>
      <w:r w:rsidRPr="00BA1539">
        <w:rPr>
          <w:rFonts w:asciiTheme="majorHAnsi" w:hAnsiTheme="majorHAnsi"/>
          <w:sz w:val="16"/>
          <w:szCs w:val="16"/>
          <w:lang w:val="es-VE"/>
        </w:rPr>
        <w:t>. Elevación de recurso de apelación a la Cámara Federal de Apelaciones de Mendoza de 26 de abril de 2001. Anexo al escrito de la parte peticionaria de 8 de agosto de 2002.</w:t>
      </w:r>
    </w:p>
  </w:footnote>
  <w:footnote w:id="29">
    <w:p w14:paraId="56977FA5" w14:textId="77777777" w:rsidR="00491D4E" w:rsidRPr="00BA1539" w:rsidRDefault="00491D4E" w:rsidP="00C06B32">
      <w:pPr>
        <w:pStyle w:val="FootnoteText"/>
        <w:jc w:val="both"/>
        <w:rPr>
          <w:rFonts w:asciiTheme="majorHAnsi" w:hAnsiTheme="majorHAnsi"/>
          <w:sz w:val="16"/>
          <w:szCs w:val="16"/>
          <w:lang w:val="es-VE"/>
        </w:rPr>
      </w:pPr>
      <w:r w:rsidRPr="00BA1539">
        <w:rPr>
          <w:rStyle w:val="FootnoteReference"/>
          <w:rFonts w:asciiTheme="majorHAnsi" w:hAnsiTheme="majorHAnsi"/>
          <w:sz w:val="16"/>
          <w:szCs w:val="16"/>
        </w:rPr>
        <w:footnoteRef/>
      </w:r>
      <w:r>
        <w:rPr>
          <w:rFonts w:asciiTheme="majorHAnsi" w:hAnsiTheme="majorHAnsi"/>
          <w:sz w:val="16"/>
          <w:szCs w:val="16"/>
          <w:lang w:val="es-VE"/>
        </w:rPr>
        <w:t xml:space="preserve"> Anexo 16</w:t>
      </w:r>
      <w:r w:rsidRPr="00BA1539">
        <w:rPr>
          <w:rFonts w:asciiTheme="majorHAnsi" w:hAnsiTheme="majorHAnsi"/>
          <w:sz w:val="16"/>
          <w:szCs w:val="16"/>
          <w:lang w:val="es-VE"/>
        </w:rPr>
        <w:t>. Recurso extraordinario interpuesto por el Ministerio Público el 11 de septiembre de 2002.  Anexo al escrito de la parte peticionaria de 25 de septiembre de 2002.</w:t>
      </w:r>
    </w:p>
  </w:footnote>
  <w:footnote w:id="30">
    <w:p w14:paraId="0D08CBC4" w14:textId="77777777" w:rsidR="00491D4E" w:rsidRPr="000636E9" w:rsidRDefault="00491D4E" w:rsidP="00DB60E8">
      <w:pPr>
        <w:pStyle w:val="NoSpacing"/>
        <w:jc w:val="both"/>
        <w:rPr>
          <w:rFonts w:asciiTheme="majorHAnsi" w:hAnsiTheme="majorHAnsi"/>
          <w:sz w:val="16"/>
          <w:szCs w:val="16"/>
          <w:lang w:val="es-MX"/>
        </w:rPr>
      </w:pPr>
      <w:r w:rsidRPr="000636E9">
        <w:rPr>
          <w:rStyle w:val="FootnoteReference"/>
          <w:rFonts w:asciiTheme="majorHAnsi" w:hAnsiTheme="majorHAnsi"/>
          <w:sz w:val="16"/>
          <w:szCs w:val="16"/>
        </w:rPr>
        <w:footnoteRef/>
      </w:r>
      <w:r w:rsidRPr="000636E9">
        <w:rPr>
          <w:rFonts w:asciiTheme="majorHAnsi" w:hAnsiTheme="majorHAnsi"/>
          <w:sz w:val="16"/>
          <w:szCs w:val="16"/>
          <w:lang w:val="es-MX"/>
        </w:rPr>
        <w:t xml:space="preserve"> Anexo</w:t>
      </w:r>
      <w:r>
        <w:rPr>
          <w:rFonts w:asciiTheme="majorHAnsi" w:hAnsiTheme="majorHAnsi"/>
          <w:sz w:val="16"/>
          <w:szCs w:val="16"/>
          <w:lang w:val="es-MX"/>
        </w:rPr>
        <w:t xml:space="preserve"> 17</w:t>
      </w:r>
      <w:r w:rsidRPr="000636E9">
        <w:rPr>
          <w:rFonts w:asciiTheme="majorHAnsi" w:hAnsiTheme="majorHAnsi"/>
          <w:sz w:val="16"/>
          <w:szCs w:val="16"/>
          <w:lang w:val="es-MX"/>
        </w:rPr>
        <w:t>. Sentencia del Juzgado Federal de Mendoza, de fecha 24 de abril de 2001. Expediente N° 50900-B. Anexo al escrito de la parte peticionaria de 30 de marzo de 2001.</w:t>
      </w:r>
    </w:p>
  </w:footnote>
  <w:footnote w:id="31">
    <w:p w14:paraId="257DC41E" w14:textId="77777777" w:rsidR="00491D4E" w:rsidRPr="000636E9" w:rsidRDefault="00491D4E" w:rsidP="0022447F">
      <w:pPr>
        <w:pStyle w:val="NoSpacing"/>
        <w:jc w:val="both"/>
        <w:rPr>
          <w:rFonts w:asciiTheme="majorHAnsi" w:hAnsiTheme="majorHAnsi"/>
          <w:sz w:val="16"/>
          <w:szCs w:val="16"/>
          <w:lang w:val="es-MX"/>
        </w:rPr>
      </w:pPr>
      <w:r w:rsidRPr="000636E9">
        <w:rPr>
          <w:rStyle w:val="FootnoteReference"/>
          <w:rFonts w:asciiTheme="majorHAnsi" w:hAnsiTheme="majorHAnsi"/>
          <w:sz w:val="16"/>
          <w:szCs w:val="16"/>
        </w:rPr>
        <w:footnoteRef/>
      </w:r>
      <w:r w:rsidRPr="000636E9">
        <w:rPr>
          <w:rFonts w:asciiTheme="majorHAnsi" w:hAnsiTheme="majorHAnsi"/>
          <w:sz w:val="16"/>
          <w:szCs w:val="16"/>
          <w:lang w:val="es-MX"/>
        </w:rPr>
        <w:t xml:space="preserve"> Anexo</w:t>
      </w:r>
      <w:r>
        <w:rPr>
          <w:rFonts w:asciiTheme="majorHAnsi" w:hAnsiTheme="majorHAnsi"/>
          <w:sz w:val="16"/>
          <w:szCs w:val="16"/>
          <w:lang w:val="es-MX"/>
        </w:rPr>
        <w:t xml:space="preserve"> 18</w:t>
      </w:r>
      <w:r w:rsidRPr="000636E9">
        <w:rPr>
          <w:rFonts w:asciiTheme="majorHAnsi" w:hAnsiTheme="majorHAnsi"/>
          <w:sz w:val="16"/>
          <w:szCs w:val="16"/>
          <w:lang w:val="es-MX"/>
        </w:rPr>
        <w:t>. Diario Judicial, sección “noticia del día” de fecha 17 de mayo de 2001. Anexo al escrito de la parte peticionaria de 14 de diciembre de 2004.</w:t>
      </w:r>
    </w:p>
  </w:footnote>
  <w:footnote w:id="32">
    <w:p w14:paraId="64D9894A" w14:textId="77777777" w:rsidR="00491D4E" w:rsidRPr="000636E9" w:rsidRDefault="00491D4E" w:rsidP="00ED1CFF">
      <w:pPr>
        <w:pStyle w:val="FootnoteText"/>
        <w:rPr>
          <w:sz w:val="16"/>
          <w:szCs w:val="16"/>
          <w:lang w:val="es-VE"/>
        </w:rPr>
      </w:pPr>
      <w:r w:rsidRPr="000636E9">
        <w:rPr>
          <w:rStyle w:val="FootnoteReference"/>
          <w:rFonts w:asciiTheme="majorHAnsi" w:hAnsiTheme="majorHAnsi"/>
          <w:sz w:val="16"/>
          <w:szCs w:val="16"/>
        </w:rPr>
        <w:footnoteRef/>
      </w:r>
      <w:r>
        <w:rPr>
          <w:rFonts w:asciiTheme="majorHAnsi" w:hAnsiTheme="majorHAnsi"/>
          <w:sz w:val="16"/>
          <w:szCs w:val="16"/>
          <w:lang w:val="es-VE"/>
        </w:rPr>
        <w:t xml:space="preserve"> Anexo 19.</w:t>
      </w:r>
      <w:r w:rsidRPr="000636E9">
        <w:rPr>
          <w:rFonts w:asciiTheme="majorHAnsi" w:hAnsiTheme="majorHAnsi"/>
          <w:sz w:val="16"/>
          <w:szCs w:val="16"/>
          <w:lang w:val="es-VE"/>
        </w:rPr>
        <w:t xml:space="preserve"> Autorizaciones para salir del país. Anexo al escrito de la parte peticionaria de 8 de agosto de 2002.</w:t>
      </w:r>
    </w:p>
  </w:footnote>
  <w:footnote w:id="33">
    <w:p w14:paraId="0874C649" w14:textId="77777777" w:rsidR="00491D4E" w:rsidRPr="000636E9" w:rsidRDefault="00491D4E" w:rsidP="00ED1CFF">
      <w:pPr>
        <w:pStyle w:val="FootnoteText"/>
        <w:rPr>
          <w:rFonts w:asciiTheme="majorHAnsi" w:hAnsiTheme="majorHAnsi"/>
          <w:sz w:val="16"/>
          <w:szCs w:val="16"/>
          <w:lang w:val="es-VE"/>
        </w:rPr>
      </w:pPr>
      <w:r w:rsidRPr="000636E9">
        <w:rPr>
          <w:rStyle w:val="FootnoteReference"/>
          <w:rFonts w:asciiTheme="majorHAnsi" w:hAnsiTheme="majorHAnsi"/>
          <w:sz w:val="16"/>
          <w:szCs w:val="16"/>
        </w:rPr>
        <w:footnoteRef/>
      </w:r>
      <w:r>
        <w:rPr>
          <w:rFonts w:asciiTheme="majorHAnsi" w:hAnsiTheme="majorHAnsi"/>
          <w:sz w:val="16"/>
          <w:szCs w:val="16"/>
          <w:lang w:val="es-VE"/>
        </w:rPr>
        <w:t xml:space="preserve"> Anexo 20</w:t>
      </w:r>
      <w:r w:rsidRPr="000636E9">
        <w:rPr>
          <w:rFonts w:asciiTheme="majorHAnsi" w:hAnsiTheme="majorHAnsi"/>
          <w:sz w:val="16"/>
          <w:szCs w:val="16"/>
          <w:lang w:val="es-VE"/>
        </w:rPr>
        <w:t>. Decisión del Juez federal de 6 de julio de 2001. Anexo al escrito de la parte peticionaria de 8 de agosto de 2002.</w:t>
      </w:r>
    </w:p>
  </w:footnote>
  <w:footnote w:id="34">
    <w:p w14:paraId="02E78F4D" w14:textId="77777777" w:rsidR="00491D4E" w:rsidRPr="000636E9" w:rsidRDefault="00491D4E" w:rsidP="00ED1CFF">
      <w:pPr>
        <w:pStyle w:val="FootnoteText"/>
        <w:jc w:val="both"/>
        <w:rPr>
          <w:rFonts w:asciiTheme="majorHAnsi" w:hAnsiTheme="majorHAnsi"/>
          <w:sz w:val="16"/>
          <w:szCs w:val="16"/>
          <w:lang w:val="es-VE"/>
        </w:rPr>
      </w:pPr>
      <w:r w:rsidRPr="000636E9">
        <w:rPr>
          <w:rStyle w:val="FootnoteReference"/>
          <w:rFonts w:asciiTheme="majorHAnsi" w:hAnsiTheme="majorHAnsi"/>
          <w:sz w:val="16"/>
          <w:szCs w:val="16"/>
        </w:rPr>
        <w:footnoteRef/>
      </w:r>
      <w:r>
        <w:rPr>
          <w:rFonts w:asciiTheme="majorHAnsi" w:hAnsiTheme="majorHAnsi"/>
          <w:sz w:val="16"/>
          <w:szCs w:val="16"/>
          <w:lang w:val="es-VE"/>
        </w:rPr>
        <w:t xml:space="preserve"> Anexo 21</w:t>
      </w:r>
      <w:r w:rsidRPr="000636E9">
        <w:rPr>
          <w:rFonts w:asciiTheme="majorHAnsi" w:hAnsiTheme="majorHAnsi"/>
          <w:sz w:val="16"/>
          <w:szCs w:val="16"/>
          <w:lang w:val="es-VE"/>
        </w:rPr>
        <w:t xml:space="preserve">. </w:t>
      </w:r>
      <w:r w:rsidRPr="000636E9">
        <w:rPr>
          <w:rFonts w:asciiTheme="majorHAnsi" w:hAnsiTheme="majorHAnsi"/>
          <w:sz w:val="16"/>
          <w:szCs w:val="16"/>
          <w:lang w:val="es-MX"/>
        </w:rPr>
        <w:t xml:space="preserve">Acta de notificación de la Dirección General de Movimiento Migratorio de 29 de enero de 2012. Anexo a la comunicación de la parte peticionaria de 25 de febrero de 2012. </w:t>
      </w:r>
    </w:p>
  </w:footnote>
  <w:footnote w:id="35">
    <w:p w14:paraId="087139F8" w14:textId="77777777" w:rsidR="00491D4E" w:rsidRPr="000636E9" w:rsidRDefault="00491D4E" w:rsidP="00ED1CFF">
      <w:pPr>
        <w:pStyle w:val="FootnoteText"/>
        <w:jc w:val="both"/>
        <w:rPr>
          <w:rFonts w:asciiTheme="majorHAnsi" w:hAnsiTheme="majorHAnsi"/>
          <w:sz w:val="16"/>
          <w:szCs w:val="16"/>
          <w:lang w:val="es-VE"/>
        </w:rPr>
      </w:pPr>
      <w:r w:rsidRPr="000636E9">
        <w:rPr>
          <w:rStyle w:val="FootnoteReference"/>
          <w:rFonts w:asciiTheme="majorHAnsi" w:hAnsiTheme="majorHAnsi"/>
          <w:sz w:val="16"/>
          <w:szCs w:val="16"/>
        </w:rPr>
        <w:footnoteRef/>
      </w:r>
      <w:r>
        <w:rPr>
          <w:rFonts w:asciiTheme="majorHAnsi" w:hAnsiTheme="majorHAnsi"/>
          <w:sz w:val="16"/>
          <w:szCs w:val="16"/>
          <w:lang w:val="es-VE"/>
        </w:rPr>
        <w:t xml:space="preserve"> Anexo 21</w:t>
      </w:r>
      <w:r w:rsidRPr="000636E9">
        <w:rPr>
          <w:rFonts w:asciiTheme="majorHAnsi" w:hAnsiTheme="majorHAnsi"/>
          <w:sz w:val="16"/>
          <w:szCs w:val="16"/>
          <w:lang w:val="es-VE"/>
        </w:rPr>
        <w:t xml:space="preserve">. </w:t>
      </w:r>
      <w:r w:rsidRPr="000636E9">
        <w:rPr>
          <w:rFonts w:asciiTheme="majorHAnsi" w:hAnsiTheme="majorHAnsi"/>
          <w:sz w:val="16"/>
          <w:szCs w:val="16"/>
          <w:lang w:val="es-MX"/>
        </w:rPr>
        <w:t xml:space="preserve">Acta de notificación de la Dirección General de Movimiento Migratorio de 29 de enero de 2012. Anexo a la comunicación de la parte peticionaria de 25 de febrero de 2012. </w:t>
      </w:r>
    </w:p>
  </w:footnote>
  <w:footnote w:id="36">
    <w:p w14:paraId="7AC98D06" w14:textId="77777777" w:rsidR="00491D4E" w:rsidRPr="004F1E9D" w:rsidRDefault="00491D4E" w:rsidP="00ED1CFF">
      <w:pPr>
        <w:pStyle w:val="FootnoteText"/>
        <w:rPr>
          <w:lang w:val="es-MX"/>
        </w:rPr>
      </w:pPr>
      <w:r>
        <w:rPr>
          <w:rStyle w:val="FootnoteReference"/>
        </w:rPr>
        <w:footnoteRef/>
      </w:r>
      <w:r w:rsidRPr="004F1E9D">
        <w:rPr>
          <w:rStyle w:val="FootnoteReference"/>
          <w:rFonts w:asciiTheme="majorHAnsi" w:hAnsiTheme="majorHAnsi"/>
          <w:sz w:val="16"/>
          <w:szCs w:val="16"/>
          <w:vertAlign w:val="baseline"/>
          <w:lang w:val="pt-BR"/>
        </w:rPr>
        <w:t xml:space="preserve"> Información proporcionada por la cónyuge de Ángel Pedro Falanga, contenid</w:t>
      </w:r>
      <w:r>
        <w:rPr>
          <w:rStyle w:val="FootnoteReference"/>
          <w:rFonts w:asciiTheme="majorHAnsi" w:hAnsiTheme="majorHAnsi"/>
          <w:sz w:val="16"/>
          <w:szCs w:val="16"/>
          <w:vertAlign w:val="baseline"/>
          <w:lang w:val="pt-BR"/>
        </w:rPr>
        <w:t xml:space="preserve">a en el escrito de 4 de mayo de </w:t>
      </w:r>
      <w:r w:rsidRPr="004F1E9D">
        <w:rPr>
          <w:rStyle w:val="FootnoteReference"/>
          <w:rFonts w:asciiTheme="majorHAnsi" w:hAnsiTheme="majorHAnsi"/>
          <w:sz w:val="16"/>
          <w:szCs w:val="16"/>
          <w:vertAlign w:val="baseline"/>
          <w:lang w:val="pt-BR"/>
        </w:rPr>
        <w:t>2006;Información proporcionada por Ángel Pedro Falanga de fecha 19 de abril de 2004. Anexo al correo enviado con fecha 20 de mayo de 2004); Anexo. Publicación en el sitio web jurídico “Mendoza Law”. Anexo a la comunicación de Ángel Pedro Falanga el 14 de diciembre de 2004.</w:t>
      </w:r>
      <w:r w:rsidRPr="004F1E9D">
        <w:rPr>
          <w:rFonts w:asciiTheme="majorHAnsi" w:hAnsiTheme="majorHAnsi"/>
          <w:sz w:val="16"/>
          <w:szCs w:val="16"/>
          <w:lang w:val="pt-BR"/>
        </w:rPr>
        <w:t xml:space="preserve">; Anexo. </w:t>
      </w:r>
      <w:r w:rsidRPr="0022447F">
        <w:rPr>
          <w:rFonts w:asciiTheme="majorHAnsi" w:hAnsiTheme="majorHAnsi"/>
          <w:sz w:val="16"/>
          <w:szCs w:val="16"/>
          <w:lang w:val="es-MX"/>
        </w:rPr>
        <w:t>Acta de notificació</w:t>
      </w:r>
      <w:r>
        <w:rPr>
          <w:rFonts w:asciiTheme="majorHAnsi" w:hAnsiTheme="majorHAnsi"/>
          <w:sz w:val="16"/>
          <w:szCs w:val="16"/>
          <w:lang w:val="es-MX"/>
        </w:rPr>
        <w:t>n de fecha 29 de enero de 2012. Anexo</w:t>
      </w:r>
      <w:r w:rsidRPr="0022447F">
        <w:rPr>
          <w:rFonts w:asciiTheme="majorHAnsi" w:hAnsiTheme="majorHAnsi"/>
          <w:sz w:val="16"/>
          <w:szCs w:val="16"/>
          <w:lang w:val="es-MX"/>
        </w:rPr>
        <w:t xml:space="preserve"> a la comunicación de fecha 25 de febrero de </w:t>
      </w:r>
      <w:r>
        <w:rPr>
          <w:rFonts w:asciiTheme="majorHAnsi" w:hAnsiTheme="majorHAnsi"/>
          <w:sz w:val="16"/>
          <w:szCs w:val="16"/>
          <w:lang w:val="es-MX"/>
        </w:rPr>
        <w:t xml:space="preserve">2012; </w:t>
      </w:r>
      <w:r w:rsidRPr="0022447F">
        <w:rPr>
          <w:rFonts w:asciiTheme="majorHAnsi" w:hAnsiTheme="majorHAnsi"/>
          <w:sz w:val="16"/>
          <w:szCs w:val="16"/>
          <w:lang w:val="es-MX"/>
        </w:rPr>
        <w:t>Anexo. Información proporcionada por Ángel Pedro Falang</w:t>
      </w:r>
      <w:r>
        <w:rPr>
          <w:rFonts w:asciiTheme="majorHAnsi" w:hAnsiTheme="majorHAnsi"/>
          <w:sz w:val="16"/>
          <w:szCs w:val="16"/>
          <w:lang w:val="es-MX"/>
        </w:rPr>
        <w:t xml:space="preserve">a el 19 de abril de 2004. </w:t>
      </w:r>
      <w:r w:rsidRPr="0022447F">
        <w:rPr>
          <w:rFonts w:asciiTheme="majorHAnsi" w:hAnsiTheme="majorHAnsi"/>
          <w:sz w:val="16"/>
          <w:szCs w:val="16"/>
          <w:lang w:val="es-MX"/>
        </w:rPr>
        <w:t>Anexo al correo envia</w:t>
      </w:r>
      <w:r>
        <w:rPr>
          <w:rFonts w:asciiTheme="majorHAnsi" w:hAnsiTheme="majorHAnsi"/>
          <w:sz w:val="16"/>
          <w:szCs w:val="16"/>
          <w:lang w:val="es-MX"/>
        </w:rPr>
        <w:t>do con fecha 20 de mayo de 2004</w:t>
      </w:r>
      <w:r w:rsidRPr="0022447F">
        <w:rPr>
          <w:rFonts w:asciiTheme="majorHAnsi" w:hAnsiTheme="majorHAnsi"/>
          <w:sz w:val="16"/>
          <w:szCs w:val="16"/>
          <w:lang w:val="es-MX"/>
        </w:rPr>
        <w:t>.</w:t>
      </w:r>
    </w:p>
  </w:footnote>
  <w:footnote w:id="37">
    <w:p w14:paraId="21341D47" w14:textId="77777777" w:rsidR="00491D4E" w:rsidRPr="00573462" w:rsidRDefault="00491D4E" w:rsidP="00ED1CFF">
      <w:pPr>
        <w:tabs>
          <w:tab w:val="left" w:pos="720"/>
        </w:tabs>
        <w:jc w:val="both"/>
        <w:rPr>
          <w:rFonts w:ascii="Cambria" w:hAnsi="Cambria"/>
          <w:sz w:val="16"/>
          <w:szCs w:val="16"/>
          <w:lang w:val="es-VE"/>
        </w:rPr>
      </w:pPr>
      <w:r w:rsidRPr="00573462">
        <w:rPr>
          <w:rStyle w:val="FootnoteReference"/>
          <w:rFonts w:ascii="Cambria" w:hAnsi="Cambria"/>
          <w:sz w:val="16"/>
          <w:szCs w:val="16"/>
        </w:rPr>
        <w:footnoteRef/>
      </w:r>
      <w:r w:rsidRPr="00573462">
        <w:rPr>
          <w:rFonts w:ascii="Cambria" w:hAnsi="Cambria"/>
          <w:sz w:val="16"/>
          <w:szCs w:val="16"/>
          <w:lang w:val="es-VE"/>
        </w:rPr>
        <w:t xml:space="preserve"> </w:t>
      </w:r>
      <w:r>
        <w:rPr>
          <w:rFonts w:ascii="Cambria" w:hAnsi="Cambria"/>
          <w:sz w:val="16"/>
          <w:szCs w:val="16"/>
          <w:lang w:val="es-VE"/>
        </w:rPr>
        <w:t>El artículo 8.1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Asimismo, e</w:t>
      </w:r>
      <w:r w:rsidRPr="00573462">
        <w:rPr>
          <w:rFonts w:ascii="Cambria" w:hAnsi="Cambria"/>
          <w:sz w:val="16"/>
          <w:szCs w:val="16"/>
          <w:lang w:val="es-AR"/>
        </w:rPr>
        <w:t>l artículo 25.1 de la Convención estipula que:</w:t>
      </w:r>
      <w:r w:rsidRPr="00573462">
        <w:rPr>
          <w:rFonts w:ascii="Cambria" w:hAnsi="Cambria"/>
          <w:sz w:val="16"/>
          <w:szCs w:val="16"/>
          <w:lang w:val="es-VE"/>
        </w:rPr>
        <w:t xml:space="preserve"> </w:t>
      </w:r>
      <w:r w:rsidRPr="00573462">
        <w:rPr>
          <w:rFonts w:ascii="Cambria" w:eastAsia="Times New Roman" w:hAnsi="Cambri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8">
    <w:p w14:paraId="6753EBF5" w14:textId="77777777" w:rsidR="00491D4E" w:rsidRPr="009C22A3" w:rsidRDefault="00491D4E" w:rsidP="00ED1CFF">
      <w:pPr>
        <w:pStyle w:val="FootnoteText"/>
        <w:jc w:val="both"/>
        <w:rPr>
          <w:rFonts w:ascii="Cambria" w:hAnsi="Cambria"/>
          <w:sz w:val="16"/>
          <w:szCs w:val="16"/>
          <w:lang w:val="es-CO"/>
        </w:rPr>
      </w:pPr>
      <w:r w:rsidRPr="009C22A3">
        <w:rPr>
          <w:rStyle w:val="FootnoteReference"/>
          <w:rFonts w:ascii="Cambria" w:hAnsi="Cambria"/>
          <w:sz w:val="16"/>
          <w:szCs w:val="16"/>
        </w:rPr>
        <w:footnoteRef/>
      </w:r>
      <w:r w:rsidRPr="009C22A3">
        <w:rPr>
          <w:rFonts w:ascii="Cambria" w:hAnsi="Cambria"/>
          <w:sz w:val="16"/>
          <w:szCs w:val="16"/>
          <w:lang w:val="es-CO"/>
        </w:rPr>
        <w:t xml:space="preserve"> C</w:t>
      </w:r>
      <w:r>
        <w:rPr>
          <w:rFonts w:ascii="Cambria" w:hAnsi="Cambria"/>
          <w:sz w:val="16"/>
          <w:szCs w:val="16"/>
          <w:lang w:val="es-CO"/>
        </w:rPr>
        <w:t>orte IDH, Caso Mujeres Víctimas de Tortura Sexual en Atenco vs México. Excepción Preliminar, Fondo, Reparaciones y Costas. Sentencia de 28 de noviembre de 2018. Serie C No. 371, párr.306.</w:t>
      </w:r>
    </w:p>
  </w:footnote>
  <w:footnote w:id="39">
    <w:p w14:paraId="198FF491" w14:textId="77777777" w:rsidR="00491D4E" w:rsidRPr="009C22A3" w:rsidRDefault="00491D4E" w:rsidP="00ED1CFF">
      <w:pPr>
        <w:pStyle w:val="FootnoteText"/>
        <w:jc w:val="both"/>
        <w:rPr>
          <w:rFonts w:ascii="Cambria" w:hAnsi="Cambria"/>
          <w:sz w:val="16"/>
          <w:szCs w:val="16"/>
          <w:lang w:val="es-CO"/>
        </w:rPr>
      </w:pPr>
      <w:r w:rsidRPr="009C22A3">
        <w:rPr>
          <w:rStyle w:val="FootnoteReference"/>
          <w:rFonts w:ascii="Cambria" w:hAnsi="Cambria"/>
          <w:sz w:val="16"/>
          <w:szCs w:val="16"/>
        </w:rPr>
        <w:footnoteRef/>
      </w:r>
      <w:r w:rsidRPr="009C22A3">
        <w:rPr>
          <w:rFonts w:ascii="Cambria" w:hAnsi="Cambria"/>
          <w:sz w:val="16"/>
          <w:szCs w:val="16"/>
          <w:lang w:val="es-CO"/>
        </w:rPr>
        <w:t xml:space="preserve"> CIDH, Informe No. 75/15, Caso 12.923. Fondo. Rocío San Miguel Sosa y otras. Venezuela. 28 de octubre de 2015, párr.200; </w:t>
      </w:r>
      <w:r w:rsidRPr="009C22A3">
        <w:rPr>
          <w:rFonts w:ascii="Cambria" w:hAnsi="Cambria"/>
          <w:sz w:val="16"/>
          <w:szCs w:val="16"/>
          <w:lang w:val="es-VE"/>
        </w:rPr>
        <w:t>Corte IDH, Caso Kawas Fernández vs Honduras, Fondo, Reparaciones y Costas. Sentencia de 3 de abril de 2009, Serie C No. 196, párr.112.</w:t>
      </w:r>
    </w:p>
  </w:footnote>
  <w:footnote w:id="40">
    <w:p w14:paraId="42A61AFE" w14:textId="77777777" w:rsidR="00491D4E" w:rsidRPr="00B0761F" w:rsidRDefault="00491D4E" w:rsidP="00ED1CFF">
      <w:pPr>
        <w:pStyle w:val="FootnoteText"/>
        <w:jc w:val="both"/>
        <w:rPr>
          <w:rFonts w:asciiTheme="majorHAnsi" w:hAnsiTheme="majorHAnsi"/>
          <w:sz w:val="16"/>
          <w:szCs w:val="16"/>
          <w:lang w:val="es-CO"/>
        </w:rPr>
      </w:pPr>
      <w:r w:rsidRPr="00B0761F">
        <w:rPr>
          <w:rStyle w:val="FootnoteReference"/>
          <w:rFonts w:asciiTheme="majorHAnsi" w:hAnsiTheme="majorHAnsi"/>
          <w:sz w:val="16"/>
          <w:szCs w:val="16"/>
        </w:rPr>
        <w:footnoteRef/>
      </w:r>
      <w:r w:rsidRPr="00B0761F">
        <w:rPr>
          <w:rFonts w:asciiTheme="majorHAnsi" w:hAnsiTheme="majorHAnsi"/>
          <w:sz w:val="16"/>
          <w:szCs w:val="16"/>
          <w:lang w:val="es-CO"/>
        </w:rPr>
        <w:t xml:space="preserve"> Corte IDH, Caso Mujeres Víctimas de Tortura Sexual en Atenco vs México. Excepción Preliminar, Fondo, Reparaciones y Costas. Sentencia de 28 de noviembre de 2018. Serie C No. 371, párr.306.</w:t>
      </w:r>
    </w:p>
  </w:footnote>
  <w:footnote w:id="41">
    <w:p w14:paraId="79666494" w14:textId="77777777" w:rsidR="00491D4E" w:rsidRPr="00B0761F" w:rsidRDefault="00491D4E" w:rsidP="009224D0">
      <w:pPr>
        <w:tabs>
          <w:tab w:val="left" w:pos="720"/>
        </w:tabs>
        <w:jc w:val="both"/>
        <w:rPr>
          <w:rFonts w:asciiTheme="majorHAnsi" w:hAnsiTheme="majorHAnsi"/>
          <w:sz w:val="16"/>
          <w:szCs w:val="16"/>
          <w:lang w:val="es-VE"/>
        </w:rPr>
      </w:pPr>
      <w:r w:rsidRPr="00B0761F">
        <w:rPr>
          <w:rStyle w:val="FootnoteReference"/>
          <w:rFonts w:asciiTheme="majorHAnsi" w:hAnsiTheme="majorHAnsi"/>
          <w:sz w:val="16"/>
          <w:szCs w:val="16"/>
        </w:rPr>
        <w:footnoteRef/>
      </w:r>
      <w:r w:rsidRPr="00B0761F">
        <w:rPr>
          <w:rFonts w:asciiTheme="majorHAnsi" w:hAnsiTheme="majorHAnsi"/>
          <w:sz w:val="16"/>
          <w:szCs w:val="16"/>
          <w:lang w:val="es-VE"/>
        </w:rPr>
        <w:t xml:space="preserve"> El artículo 7.5 establece que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p>
  </w:footnote>
  <w:footnote w:id="42">
    <w:p w14:paraId="682D6797" w14:textId="77777777" w:rsidR="00491D4E" w:rsidRPr="00A27327" w:rsidRDefault="00491D4E" w:rsidP="00A27327">
      <w:pPr>
        <w:jc w:val="both"/>
        <w:rPr>
          <w:rFonts w:asciiTheme="majorHAnsi" w:hAnsiTheme="majorHAnsi" w:cs="Arial"/>
          <w:sz w:val="16"/>
          <w:szCs w:val="16"/>
          <w:lang w:val="es-ES"/>
        </w:rPr>
      </w:pPr>
      <w:r w:rsidRPr="00A27327">
        <w:rPr>
          <w:rStyle w:val="FootnoteReference"/>
          <w:rFonts w:asciiTheme="majorHAnsi" w:hAnsiTheme="majorHAnsi"/>
          <w:sz w:val="16"/>
          <w:szCs w:val="16"/>
        </w:rPr>
        <w:footnoteRef/>
      </w:r>
      <w:r w:rsidRPr="00A27327">
        <w:rPr>
          <w:rFonts w:asciiTheme="majorHAnsi" w:hAnsiTheme="majorHAnsi"/>
          <w:sz w:val="16"/>
          <w:szCs w:val="16"/>
          <w:lang w:val="es-CO"/>
        </w:rPr>
        <w:t xml:space="preserve"> </w:t>
      </w:r>
      <w:r w:rsidRPr="00905803">
        <w:rPr>
          <w:rFonts w:asciiTheme="majorHAnsi" w:hAnsiTheme="majorHAnsi" w:cs="Arial"/>
          <w:sz w:val="16"/>
          <w:szCs w:val="16"/>
          <w:lang w:val="es-ES"/>
        </w:rPr>
        <w:t xml:space="preserve">El artículo 22 de la Convención </w:t>
      </w:r>
      <w:r w:rsidRPr="00A27327">
        <w:rPr>
          <w:rFonts w:asciiTheme="majorHAnsi" w:hAnsiTheme="majorHAnsi" w:cs="Arial"/>
          <w:sz w:val="16"/>
          <w:szCs w:val="16"/>
          <w:lang w:val="es-ES"/>
        </w:rPr>
        <w:t xml:space="preserve">señala, en lo pertinente: 1. </w:t>
      </w:r>
      <w:r w:rsidRPr="00A27327">
        <w:rPr>
          <w:rFonts w:asciiTheme="majorHAnsi" w:hAnsiTheme="majorHAnsi"/>
          <w:spacing w:val="-3"/>
          <w:sz w:val="16"/>
          <w:szCs w:val="16"/>
          <w:lang w:val="es-ES"/>
        </w:rPr>
        <w:t>Toda persona que se halle legalmente en el territorio de un Estado tiene derecho a circular por el mismo y, a residir en él con sujeción a las disposiciones legales. 2. Toda persona tiene derecho a salir libremente de cualquier país, inclusive del propio. 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footnote>
  <w:footnote w:id="43">
    <w:p w14:paraId="30EC065D" w14:textId="77777777" w:rsidR="00491D4E" w:rsidRPr="00B0761F" w:rsidRDefault="00491D4E" w:rsidP="009224D0">
      <w:pPr>
        <w:tabs>
          <w:tab w:val="left" w:pos="720"/>
        </w:tabs>
        <w:jc w:val="both"/>
        <w:rPr>
          <w:rFonts w:asciiTheme="majorHAnsi" w:hAnsiTheme="majorHAnsi"/>
          <w:sz w:val="16"/>
          <w:szCs w:val="16"/>
          <w:lang w:val="es-VE"/>
        </w:rPr>
      </w:pPr>
      <w:r w:rsidRPr="00B0761F">
        <w:rPr>
          <w:rStyle w:val="FootnoteReference"/>
          <w:rFonts w:asciiTheme="majorHAnsi" w:hAnsiTheme="majorHAnsi"/>
          <w:sz w:val="16"/>
          <w:szCs w:val="16"/>
        </w:rPr>
        <w:footnoteRef/>
      </w:r>
      <w:r w:rsidRPr="00B0761F">
        <w:rPr>
          <w:rFonts w:asciiTheme="majorHAnsi" w:hAnsiTheme="majorHAnsi"/>
          <w:sz w:val="16"/>
          <w:szCs w:val="16"/>
          <w:lang w:val="es-VE"/>
        </w:rPr>
        <w:t xml:space="preserve"> El </w:t>
      </w:r>
      <w:r>
        <w:rPr>
          <w:rFonts w:asciiTheme="majorHAnsi" w:hAnsiTheme="majorHAnsi"/>
          <w:sz w:val="16"/>
          <w:szCs w:val="16"/>
          <w:lang w:val="es-VE"/>
        </w:rPr>
        <w:t>artículo 8.2 de la Convención Americana establece que toda persona inculpada tiene derecho a que se presuma su inocencia mientras no se establezca legalmente su culpabilidad (…).</w:t>
      </w:r>
    </w:p>
  </w:footnote>
  <w:footnote w:id="44">
    <w:p w14:paraId="69BCF6F3" w14:textId="77777777" w:rsidR="00491D4E" w:rsidRPr="006F0DE1" w:rsidRDefault="00491D4E" w:rsidP="009224D0">
      <w:pPr>
        <w:pStyle w:val="FootnoteText"/>
        <w:rPr>
          <w:lang w:val="pt-BR"/>
        </w:rPr>
      </w:pPr>
      <w:r w:rsidRPr="00B0761F">
        <w:rPr>
          <w:rStyle w:val="FootnoteReference"/>
          <w:rFonts w:asciiTheme="majorHAnsi" w:hAnsiTheme="majorHAnsi"/>
          <w:sz w:val="16"/>
          <w:szCs w:val="16"/>
        </w:rPr>
        <w:footnoteRef/>
      </w:r>
      <w:r w:rsidRPr="006F0DE1">
        <w:rPr>
          <w:rFonts w:asciiTheme="majorHAnsi" w:hAnsiTheme="majorHAnsi"/>
          <w:sz w:val="16"/>
          <w:szCs w:val="16"/>
          <w:lang w:val="pt-BR"/>
        </w:rPr>
        <w:t xml:space="preserve"> Corte IDH. Caso Andrade Salmón vs Bolivia. </w:t>
      </w:r>
      <w:r w:rsidRPr="00B0761F">
        <w:rPr>
          <w:rFonts w:asciiTheme="majorHAnsi" w:hAnsiTheme="majorHAnsi"/>
          <w:sz w:val="16"/>
          <w:szCs w:val="16"/>
          <w:lang w:val="es-AR"/>
        </w:rPr>
        <w:t xml:space="preserve">Fondo, Reparaciones y Costas. Sentencia de 1 de diciembre de 2016. </w:t>
      </w:r>
      <w:r w:rsidRPr="006F0DE1">
        <w:rPr>
          <w:rFonts w:asciiTheme="majorHAnsi" w:hAnsiTheme="majorHAnsi"/>
          <w:sz w:val="16"/>
          <w:szCs w:val="16"/>
          <w:lang w:val="pt-BR"/>
        </w:rPr>
        <w:t>Serie C No.330, párr.112.</w:t>
      </w:r>
    </w:p>
  </w:footnote>
  <w:footnote w:id="45">
    <w:p w14:paraId="115AA7F7" w14:textId="77777777" w:rsidR="00491D4E" w:rsidRPr="006A11AF" w:rsidRDefault="00491D4E" w:rsidP="009224D0">
      <w:pPr>
        <w:pStyle w:val="FootnoteText"/>
        <w:jc w:val="both"/>
        <w:rPr>
          <w:rFonts w:asciiTheme="majorHAnsi" w:hAnsiTheme="majorHAnsi"/>
          <w:sz w:val="16"/>
          <w:szCs w:val="16"/>
          <w:lang w:val="es-CO"/>
        </w:rPr>
      </w:pPr>
      <w:r w:rsidRPr="006A11AF">
        <w:rPr>
          <w:rStyle w:val="FootnoteReference"/>
          <w:rFonts w:asciiTheme="majorHAnsi" w:hAnsiTheme="majorHAnsi"/>
          <w:sz w:val="16"/>
          <w:szCs w:val="16"/>
        </w:rPr>
        <w:footnoteRef/>
      </w:r>
      <w:r w:rsidRPr="006A11AF">
        <w:rPr>
          <w:rFonts w:asciiTheme="majorHAnsi" w:hAnsiTheme="majorHAnsi"/>
          <w:sz w:val="16"/>
          <w:szCs w:val="16"/>
          <w:lang w:val="pt-BR"/>
        </w:rPr>
        <w:t xml:space="preserve"> Corte IDH, </w:t>
      </w:r>
      <w:r w:rsidRPr="006A11AF">
        <w:rPr>
          <w:rFonts w:asciiTheme="majorHAnsi" w:hAnsiTheme="majorHAnsi"/>
          <w:bCs/>
          <w:sz w:val="16"/>
          <w:szCs w:val="16"/>
          <w:lang w:val="pt-BR"/>
        </w:rPr>
        <w:t xml:space="preserve">Caso Barreto Leiva Vs. </w:t>
      </w:r>
      <w:r w:rsidRPr="006A11AF">
        <w:rPr>
          <w:rFonts w:asciiTheme="majorHAnsi" w:hAnsiTheme="majorHAnsi"/>
          <w:bCs/>
          <w:sz w:val="16"/>
          <w:szCs w:val="16"/>
          <w:lang w:val="es-CO"/>
        </w:rPr>
        <w:t xml:space="preserve">Venezuela. </w:t>
      </w:r>
      <w:r w:rsidRPr="006A11AF">
        <w:rPr>
          <w:rFonts w:asciiTheme="majorHAnsi" w:hAnsiTheme="majorHAnsi"/>
          <w:sz w:val="16"/>
          <w:szCs w:val="16"/>
          <w:lang w:val="es-CO"/>
        </w:rPr>
        <w:t xml:space="preserve">Fondo, Reparaciones y Costas. Sentencia de 17 de noviembre de 2009. Serie C No. 206. Párr.111; CIDH, Medidas para reducir la prisión preventiva, OEA/Ser.L/V/II.163/Doc.105, 3 de julio de 2017, párr.107. </w:t>
      </w:r>
    </w:p>
  </w:footnote>
  <w:footnote w:id="46">
    <w:p w14:paraId="5DEA607B" w14:textId="77777777" w:rsidR="00491D4E" w:rsidRPr="006A11AF" w:rsidRDefault="00491D4E" w:rsidP="009224D0">
      <w:pPr>
        <w:pStyle w:val="FootnoteText"/>
        <w:rPr>
          <w:rFonts w:asciiTheme="majorHAnsi" w:hAnsiTheme="majorHAnsi"/>
          <w:sz w:val="16"/>
          <w:szCs w:val="16"/>
          <w:lang w:val="es-AR"/>
        </w:rPr>
      </w:pPr>
      <w:r w:rsidRPr="006A11AF">
        <w:rPr>
          <w:rStyle w:val="FootnoteReference"/>
          <w:rFonts w:asciiTheme="majorHAnsi" w:hAnsiTheme="majorHAnsi"/>
          <w:sz w:val="16"/>
          <w:szCs w:val="16"/>
        </w:rPr>
        <w:footnoteRef/>
      </w:r>
      <w:r w:rsidRPr="006A11AF">
        <w:rPr>
          <w:rFonts w:asciiTheme="majorHAnsi" w:hAnsiTheme="majorHAnsi"/>
          <w:sz w:val="16"/>
          <w:szCs w:val="16"/>
          <w:lang w:val="es-ES"/>
        </w:rPr>
        <w:t xml:space="preserve"> CIDH, Informe sobre el uso de la prisión preventiva en las Américas, OEA/Ser.L/V/II.Doc.46/13, 30 de diciembre de 2013, </w:t>
      </w:r>
      <w:r w:rsidRPr="006A11AF">
        <w:rPr>
          <w:rFonts w:asciiTheme="majorHAnsi" w:hAnsiTheme="majorHAnsi"/>
          <w:sz w:val="16"/>
          <w:szCs w:val="16"/>
          <w:lang w:val="es-AR"/>
        </w:rPr>
        <w:t>párr.230.</w:t>
      </w:r>
    </w:p>
  </w:footnote>
  <w:footnote w:id="47">
    <w:p w14:paraId="03843FE7" w14:textId="77777777" w:rsidR="00491D4E" w:rsidRPr="006A11AF" w:rsidRDefault="00491D4E" w:rsidP="009224D0">
      <w:pPr>
        <w:pStyle w:val="FootnoteText"/>
        <w:rPr>
          <w:rFonts w:asciiTheme="majorHAnsi" w:hAnsiTheme="majorHAnsi"/>
          <w:sz w:val="16"/>
          <w:szCs w:val="16"/>
          <w:lang w:val="es-AR"/>
        </w:rPr>
      </w:pPr>
      <w:r w:rsidRPr="006A11AF">
        <w:rPr>
          <w:rStyle w:val="FootnoteReference"/>
          <w:rFonts w:asciiTheme="majorHAnsi" w:hAnsiTheme="majorHAnsi"/>
          <w:sz w:val="16"/>
          <w:szCs w:val="16"/>
        </w:rPr>
        <w:footnoteRef/>
      </w:r>
      <w:r w:rsidRPr="006F0DE1">
        <w:rPr>
          <w:rFonts w:asciiTheme="majorHAnsi" w:hAnsiTheme="majorHAnsi"/>
          <w:sz w:val="16"/>
          <w:szCs w:val="16"/>
          <w:lang w:val="pt-BR"/>
        </w:rPr>
        <w:t xml:space="preserve"> Corte IDH, Caso Ricardo Canese vs. Paraguay. </w:t>
      </w:r>
      <w:r w:rsidRPr="006A11AF">
        <w:rPr>
          <w:rFonts w:asciiTheme="majorHAnsi" w:hAnsiTheme="majorHAnsi"/>
          <w:sz w:val="16"/>
          <w:szCs w:val="16"/>
          <w:lang w:val="es-AR"/>
        </w:rPr>
        <w:t>Fondo, Reparaciones y Costas. Sentencia de 31 de enero de 2004. Serie C No. 111, párr.129.</w:t>
      </w:r>
    </w:p>
  </w:footnote>
  <w:footnote w:id="48">
    <w:p w14:paraId="03944602" w14:textId="77777777" w:rsidR="00491D4E" w:rsidRPr="007A5722" w:rsidRDefault="00491D4E" w:rsidP="009224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16"/>
          <w:szCs w:val="16"/>
          <w:lang w:val="es-CO"/>
        </w:rPr>
      </w:pPr>
      <w:r w:rsidRPr="006A11AF">
        <w:rPr>
          <w:rStyle w:val="FootnoteReference"/>
          <w:rFonts w:asciiTheme="majorHAnsi" w:hAnsiTheme="majorHAnsi"/>
          <w:sz w:val="16"/>
          <w:szCs w:val="16"/>
        </w:rPr>
        <w:footnoteRef/>
      </w:r>
      <w:r w:rsidRPr="006A11AF">
        <w:rPr>
          <w:rFonts w:asciiTheme="majorHAnsi" w:hAnsiTheme="majorHAnsi"/>
          <w:sz w:val="16"/>
          <w:szCs w:val="16"/>
          <w:lang w:val="es-VE"/>
        </w:rPr>
        <w:t xml:space="preserve"> </w:t>
      </w:r>
      <w:r>
        <w:rPr>
          <w:rFonts w:asciiTheme="majorHAnsi" w:hAnsiTheme="majorHAnsi"/>
          <w:sz w:val="16"/>
          <w:szCs w:val="16"/>
          <w:lang w:val="es-VE"/>
        </w:rPr>
        <w:t xml:space="preserve">Ver en general: </w:t>
      </w:r>
      <w:r w:rsidRPr="006A11AF">
        <w:rPr>
          <w:rFonts w:asciiTheme="majorHAnsi" w:hAnsiTheme="majorHAnsi" w:cs="Calibri"/>
          <w:sz w:val="16"/>
          <w:szCs w:val="16"/>
          <w:lang w:val="es-VE" w:eastAsia="es-ES"/>
        </w:rPr>
        <w:t xml:space="preserve">CIDH. Informe No. 86/09, Caso 12.553, Fondo, José, Jorge y Dante Peirano Basso, Uruguay, 6 de agosto de 2009, párr. </w:t>
      </w:r>
      <w:r w:rsidRPr="006A11AF">
        <w:rPr>
          <w:rFonts w:asciiTheme="majorHAnsi" w:hAnsiTheme="majorHAnsi" w:cs="Calibri"/>
          <w:sz w:val="16"/>
          <w:szCs w:val="16"/>
          <w:lang w:val="es-CO" w:eastAsia="es-ES"/>
        </w:rPr>
        <w:t xml:space="preserve">133; CIDH. informe No. 2/97, Caso 11.205, Fondo, Jorge Luis Bronstein y otros, Argentina, 11 de marzo de 1997, párr. 12; CIDH. </w:t>
      </w:r>
      <w:r w:rsidRPr="006A11AF">
        <w:rPr>
          <w:rFonts w:asciiTheme="majorHAnsi" w:hAnsiTheme="majorHAnsi" w:cs="Calibri-Italic"/>
          <w:iCs/>
          <w:sz w:val="16"/>
          <w:szCs w:val="16"/>
          <w:lang w:val="es-CO" w:eastAsia="es-ES"/>
        </w:rPr>
        <w:t>Tercer informe sobre la situación de los derechos humanos en Paraguay</w:t>
      </w:r>
      <w:r w:rsidRPr="006A11AF">
        <w:rPr>
          <w:rFonts w:asciiTheme="majorHAnsi" w:hAnsiTheme="majorHAnsi" w:cs="Calibri"/>
          <w:sz w:val="16"/>
          <w:szCs w:val="16"/>
          <w:lang w:val="es-CO" w:eastAsia="es-ES"/>
        </w:rPr>
        <w:t xml:space="preserve">, OEA/Ser./L/VII.110. Doc. 52, adoptado el 9 de marzo de 2001. Cap. IV, párr. 34. Ver también: Corte IDH. </w:t>
      </w:r>
      <w:r w:rsidRPr="006A11AF">
        <w:rPr>
          <w:rFonts w:asciiTheme="majorHAnsi" w:hAnsiTheme="majorHAnsi" w:cs="Calibri-Italic"/>
          <w:iCs/>
          <w:sz w:val="16"/>
          <w:szCs w:val="16"/>
          <w:lang w:val="es-CO" w:eastAsia="es-ES"/>
        </w:rPr>
        <w:t>Caso López Álvarez Vs. Honduras</w:t>
      </w:r>
      <w:r w:rsidRPr="006A11AF">
        <w:rPr>
          <w:rFonts w:asciiTheme="majorHAnsi" w:hAnsiTheme="majorHAnsi" w:cs="Calibri"/>
          <w:sz w:val="16"/>
          <w:szCs w:val="16"/>
          <w:lang w:val="es-CO" w:eastAsia="es-ES"/>
        </w:rPr>
        <w:t xml:space="preserve">. Sentencia de 1 de febrero de 2006. Serie C No. 141, párr. 69; Corte IDH. </w:t>
      </w:r>
      <w:r w:rsidRPr="006A11AF">
        <w:rPr>
          <w:rFonts w:asciiTheme="majorHAnsi" w:hAnsiTheme="majorHAnsi" w:cs="Calibri-Italic"/>
          <w:iCs/>
          <w:sz w:val="16"/>
          <w:szCs w:val="16"/>
          <w:lang w:val="es-CO" w:eastAsia="es-ES"/>
        </w:rPr>
        <w:t>Caso Acosta Calderón Vs. Ecuador</w:t>
      </w:r>
      <w:r w:rsidRPr="006A11AF">
        <w:rPr>
          <w:rFonts w:asciiTheme="majorHAnsi" w:hAnsiTheme="majorHAnsi" w:cs="Calibri"/>
          <w:sz w:val="16"/>
          <w:szCs w:val="16"/>
          <w:lang w:val="es-CO" w:eastAsia="es-ES"/>
        </w:rPr>
        <w:t xml:space="preserve">. Sentencia de 24 de junio de 2005. Serie C No. 129, párr. 111; Corte IDH. </w:t>
      </w:r>
      <w:r w:rsidRPr="006A11AF">
        <w:rPr>
          <w:rFonts w:asciiTheme="majorHAnsi" w:hAnsiTheme="majorHAnsi" w:cs="Calibri-Italic"/>
          <w:iCs/>
          <w:sz w:val="16"/>
          <w:szCs w:val="16"/>
          <w:lang w:val="es-CO" w:eastAsia="es-ES"/>
        </w:rPr>
        <w:t>Caso Tibi Vs. Ecuador</w:t>
      </w:r>
      <w:r w:rsidRPr="006A11AF">
        <w:rPr>
          <w:rFonts w:asciiTheme="majorHAnsi" w:hAnsiTheme="majorHAnsi" w:cs="Calibri"/>
          <w:sz w:val="16"/>
          <w:szCs w:val="16"/>
          <w:lang w:val="es-CO" w:eastAsia="es-ES"/>
        </w:rPr>
        <w:t xml:space="preserve">. Sentencia de 7 de septiembre de 2004. Serie C No. 114, párr. 180; Corte IDH. </w:t>
      </w:r>
      <w:r w:rsidRPr="006A11AF">
        <w:rPr>
          <w:rFonts w:asciiTheme="majorHAnsi" w:hAnsiTheme="majorHAnsi" w:cs="Calibri-Italic"/>
          <w:iCs/>
          <w:sz w:val="16"/>
          <w:szCs w:val="16"/>
          <w:lang w:val="es-CO" w:eastAsia="es-ES"/>
        </w:rPr>
        <w:t>Caso “Instituto de Reeducación del Menor” Vs. Paraguay</w:t>
      </w:r>
      <w:r w:rsidRPr="006A11AF">
        <w:rPr>
          <w:rFonts w:asciiTheme="majorHAnsi" w:hAnsiTheme="majorHAnsi" w:cs="Calibri"/>
          <w:sz w:val="16"/>
          <w:szCs w:val="16"/>
          <w:lang w:val="es-CO" w:eastAsia="es-ES"/>
        </w:rPr>
        <w:t xml:space="preserve">. Sentencia de 2 de septiembre de 2004. Serie C No. 112, párr. 229; Corte IDH. </w:t>
      </w:r>
      <w:r w:rsidRPr="006A11AF">
        <w:rPr>
          <w:rFonts w:asciiTheme="majorHAnsi" w:hAnsiTheme="majorHAnsi" w:cs="Calibri-Italic"/>
          <w:iCs/>
          <w:sz w:val="16"/>
          <w:szCs w:val="16"/>
          <w:lang w:val="es-CO" w:eastAsia="es-ES"/>
        </w:rPr>
        <w:t>Caso Suárez Rosero Vs. Ecuador</w:t>
      </w:r>
      <w:r w:rsidRPr="006A11AF">
        <w:rPr>
          <w:rFonts w:asciiTheme="majorHAnsi" w:hAnsiTheme="majorHAnsi" w:cs="Calibri"/>
          <w:sz w:val="16"/>
          <w:szCs w:val="16"/>
          <w:lang w:val="es-CO" w:eastAsia="es-ES"/>
        </w:rPr>
        <w:t>. Sentencia de 12 de noviembre de 1997. Serie C No. 35, párr. 77.</w:t>
      </w:r>
      <w:r w:rsidRPr="007A5722">
        <w:rPr>
          <w:rFonts w:asciiTheme="majorHAnsi" w:hAnsiTheme="majorHAnsi" w:cs="Calibri"/>
          <w:sz w:val="16"/>
          <w:szCs w:val="16"/>
          <w:lang w:val="es-CO" w:eastAsia="es-ES"/>
        </w:rPr>
        <w:t xml:space="preserve"> </w:t>
      </w:r>
    </w:p>
  </w:footnote>
  <w:footnote w:id="49">
    <w:p w14:paraId="6A4E59F8" w14:textId="77777777" w:rsidR="00491D4E" w:rsidRPr="00BE6681" w:rsidRDefault="00491D4E" w:rsidP="009224D0">
      <w:pPr>
        <w:pStyle w:val="FootnoteText"/>
        <w:jc w:val="both"/>
        <w:rPr>
          <w:rFonts w:asciiTheme="majorHAnsi" w:hAnsiTheme="majorHAnsi"/>
          <w:color w:val="auto"/>
          <w:sz w:val="16"/>
          <w:szCs w:val="16"/>
          <w:lang w:val="es-ES"/>
        </w:rPr>
      </w:pPr>
      <w:r w:rsidRPr="00BE6681">
        <w:rPr>
          <w:rStyle w:val="FootnoteReference"/>
          <w:rFonts w:asciiTheme="majorHAnsi" w:hAnsiTheme="majorHAnsi"/>
          <w:color w:val="auto"/>
          <w:sz w:val="16"/>
          <w:szCs w:val="16"/>
        </w:rPr>
        <w:footnoteRef/>
      </w:r>
      <w:r w:rsidRPr="00BE6681">
        <w:rPr>
          <w:rFonts w:asciiTheme="majorHAnsi" w:hAnsiTheme="majorHAnsi"/>
          <w:color w:val="auto"/>
          <w:sz w:val="16"/>
          <w:szCs w:val="16"/>
          <w:lang w:val="es-VE"/>
        </w:rPr>
        <w:t xml:space="preserve"> </w:t>
      </w:r>
      <w:r w:rsidRPr="00BE6681">
        <w:rPr>
          <w:rFonts w:asciiTheme="majorHAnsi" w:hAnsiTheme="majorHAnsi"/>
          <w:color w:val="auto"/>
          <w:sz w:val="16"/>
          <w:szCs w:val="16"/>
          <w:lang w:val="es-AR"/>
        </w:rPr>
        <w:t>El artículo 9 de la Convención establece que nadie puede ser condenado por acciones u omisiones que en el momento de cometerse no fueran delictivos según el derecho aplicable. Tampoco se puede imponer pena más grave que la aplicable en el momento de la comisión del delito. Si con posterior a la comisión del delito la ley dispone la imposición de una pena más leve, el delincuente se beneficiará de ello.</w:t>
      </w:r>
    </w:p>
  </w:footnote>
  <w:footnote w:id="50">
    <w:p w14:paraId="5ADE757B" w14:textId="77777777" w:rsidR="00491D4E" w:rsidRPr="00BE6681" w:rsidRDefault="00491D4E" w:rsidP="00250705">
      <w:pPr>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CIDH, Criminalización de la labor de las defensoras y los defensores de derechos humanos, OEA/Ser.L/V/Doc.49/15, 31 de diciembre de 2015, párr. 253.</w:t>
      </w:r>
    </w:p>
  </w:footnote>
  <w:footnote w:id="51">
    <w:p w14:paraId="234DC93A" w14:textId="77777777" w:rsidR="00491D4E" w:rsidRPr="0018086E" w:rsidRDefault="00491D4E" w:rsidP="00250705">
      <w:pPr>
        <w:pStyle w:val="FootnoteText"/>
        <w:jc w:val="both"/>
        <w:rPr>
          <w:rFonts w:asciiTheme="majorHAnsi" w:hAnsiTheme="majorHAnsi"/>
          <w:b/>
          <w:sz w:val="16"/>
          <w:szCs w:val="16"/>
          <w:lang w:val="es-CO"/>
        </w:rPr>
      </w:pPr>
      <w:r w:rsidRPr="0018086E">
        <w:rPr>
          <w:rStyle w:val="FootnoteReference"/>
          <w:rFonts w:asciiTheme="majorHAnsi" w:hAnsiTheme="majorHAnsi"/>
          <w:b/>
          <w:sz w:val="16"/>
          <w:szCs w:val="16"/>
        </w:rPr>
        <w:footnoteRef/>
      </w:r>
      <w:r w:rsidRPr="00A50476">
        <w:rPr>
          <w:rFonts w:asciiTheme="majorHAnsi" w:hAnsiTheme="majorHAnsi"/>
          <w:b/>
          <w:sz w:val="16"/>
          <w:szCs w:val="16"/>
          <w:lang w:val="es-VE"/>
        </w:rPr>
        <w:t xml:space="preserve"> </w:t>
      </w:r>
      <w:r w:rsidRPr="00A50476">
        <w:rPr>
          <w:rStyle w:val="Strong"/>
          <w:rFonts w:asciiTheme="majorHAnsi" w:hAnsiTheme="majorHAnsi"/>
          <w:b w:val="0"/>
          <w:sz w:val="16"/>
          <w:szCs w:val="16"/>
          <w:lang w:val="es-VE"/>
        </w:rPr>
        <w:t xml:space="preserve">Corte IDH. Caso Ricardo Canese Vs. </w:t>
      </w:r>
      <w:r w:rsidRPr="0018086E">
        <w:rPr>
          <w:rStyle w:val="Strong"/>
          <w:rFonts w:asciiTheme="majorHAnsi" w:hAnsiTheme="majorHAnsi"/>
          <w:b w:val="0"/>
          <w:sz w:val="16"/>
          <w:szCs w:val="16"/>
          <w:lang w:val="es-CO"/>
        </w:rPr>
        <w:t xml:space="preserve">Paraguay. Fondo, Reparaciones y Costas. Sentencia de 31 de agosto de 2004. Serie C No. 111. Párr. 175. </w:t>
      </w:r>
    </w:p>
  </w:footnote>
  <w:footnote w:id="52">
    <w:p w14:paraId="7A2D6BDE" w14:textId="77777777" w:rsidR="00491D4E" w:rsidRPr="00BE6681" w:rsidRDefault="00491D4E" w:rsidP="00250705">
      <w:pPr>
        <w:pStyle w:val="FootnoteText"/>
        <w:jc w:val="both"/>
        <w:rPr>
          <w:rFonts w:asciiTheme="majorHAnsi" w:hAnsiTheme="majorHAnsi"/>
          <w:sz w:val="16"/>
          <w:szCs w:val="16"/>
          <w:lang w:val="es-CO"/>
        </w:rPr>
      </w:pPr>
      <w:r w:rsidRPr="0018086E">
        <w:rPr>
          <w:rStyle w:val="FootnoteReference"/>
          <w:rFonts w:asciiTheme="majorHAnsi" w:hAnsiTheme="majorHAnsi"/>
          <w:b/>
          <w:sz w:val="16"/>
          <w:szCs w:val="16"/>
        </w:rPr>
        <w:footnoteRef/>
      </w:r>
      <w:r w:rsidRPr="00A50476">
        <w:rPr>
          <w:rFonts w:asciiTheme="majorHAnsi" w:hAnsiTheme="majorHAnsi"/>
          <w:b/>
          <w:sz w:val="16"/>
          <w:szCs w:val="16"/>
          <w:lang w:val="pt-BR"/>
        </w:rPr>
        <w:t xml:space="preserve"> </w:t>
      </w:r>
      <w:r w:rsidRPr="00A50476">
        <w:rPr>
          <w:rStyle w:val="Strong"/>
          <w:rFonts w:asciiTheme="majorHAnsi" w:hAnsiTheme="majorHAnsi"/>
          <w:b w:val="0"/>
          <w:sz w:val="16"/>
          <w:szCs w:val="16"/>
          <w:lang w:val="pt-BR"/>
        </w:rPr>
        <w:t xml:space="preserve">Corte IDH. Caso Ricardo Canese Vs. </w:t>
      </w:r>
      <w:r w:rsidRPr="0018086E">
        <w:rPr>
          <w:rStyle w:val="Strong"/>
          <w:rFonts w:asciiTheme="majorHAnsi" w:hAnsiTheme="majorHAnsi"/>
          <w:b w:val="0"/>
          <w:sz w:val="16"/>
          <w:szCs w:val="16"/>
          <w:lang w:val="es-CO"/>
        </w:rPr>
        <w:t>Paraguay. Fondo, Reparaciones y Costas. Sentencia de 31 de agosto de 2004. Serie C No. 111. Párr. 178.</w:t>
      </w:r>
      <w:r w:rsidRPr="00BE6681">
        <w:rPr>
          <w:rStyle w:val="Strong"/>
          <w:rFonts w:asciiTheme="majorHAnsi" w:hAnsiTheme="majorHAnsi"/>
          <w:sz w:val="16"/>
          <w:szCs w:val="16"/>
          <w:lang w:val="es-CO"/>
        </w:rPr>
        <w:t xml:space="preserve"> </w:t>
      </w:r>
    </w:p>
  </w:footnote>
  <w:footnote w:id="53">
    <w:p w14:paraId="3B900D86" w14:textId="77777777" w:rsidR="00491D4E" w:rsidRPr="002771AF" w:rsidRDefault="00491D4E" w:rsidP="002771AF">
      <w:pPr>
        <w:pStyle w:val="FootnoteText"/>
        <w:jc w:val="both"/>
        <w:rPr>
          <w:rFonts w:asciiTheme="majorHAnsi" w:hAnsiTheme="majorHAnsi"/>
          <w:sz w:val="16"/>
          <w:szCs w:val="16"/>
          <w:lang w:val="es-CO"/>
        </w:rPr>
      </w:pPr>
      <w:r w:rsidRPr="002771AF">
        <w:rPr>
          <w:rStyle w:val="FootnoteReference"/>
          <w:rFonts w:asciiTheme="majorHAnsi" w:hAnsiTheme="majorHAnsi"/>
          <w:sz w:val="16"/>
          <w:szCs w:val="16"/>
        </w:rPr>
        <w:footnoteRef/>
      </w:r>
      <w:r w:rsidRPr="002771AF">
        <w:rPr>
          <w:rFonts w:asciiTheme="majorHAnsi" w:hAnsiTheme="majorHAnsi"/>
          <w:sz w:val="16"/>
          <w:szCs w:val="16"/>
          <w:lang w:val="es-CO"/>
        </w:rPr>
        <w:t xml:space="preserve"> Ver. </w:t>
      </w:r>
      <w:r w:rsidRPr="002771AF">
        <w:rPr>
          <w:rStyle w:val="Strong"/>
          <w:rFonts w:asciiTheme="majorHAnsi" w:hAnsiTheme="majorHAnsi"/>
          <w:b w:val="0"/>
          <w:sz w:val="16"/>
          <w:szCs w:val="16"/>
          <w:lang w:val="es-CO"/>
        </w:rPr>
        <w:t xml:space="preserve">Corte IDH. Caso Mémoli Vs. Argentina. Excepciones Preliminares, Fondo, Reparaciones y Costas. </w:t>
      </w:r>
      <w:r w:rsidRPr="002771AF">
        <w:rPr>
          <w:rStyle w:val="Strong"/>
          <w:rFonts w:asciiTheme="majorHAnsi" w:hAnsiTheme="majorHAnsi"/>
          <w:b w:val="0"/>
          <w:sz w:val="16"/>
          <w:szCs w:val="16"/>
        </w:rPr>
        <w:t>Sentencia de 22 de agosto de 2013. Serie C No. 265.</w:t>
      </w:r>
      <w:r>
        <w:rPr>
          <w:rStyle w:val="Strong"/>
          <w:rFonts w:asciiTheme="majorHAnsi" w:hAnsiTheme="majorHAnsi"/>
          <w:b w:val="0"/>
          <w:sz w:val="16"/>
          <w:szCs w:val="16"/>
        </w:rPr>
        <w:t xml:space="preserve"> Párr.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C5B8" w14:textId="77777777" w:rsidR="00491D4E" w:rsidRDefault="00491D4E" w:rsidP="006116D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19DFA3" w14:textId="77777777" w:rsidR="00491D4E" w:rsidRDefault="00491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101F" w14:textId="77777777" w:rsidR="00491D4E" w:rsidRDefault="00491D4E" w:rsidP="00A50FCF">
    <w:pPr>
      <w:pStyle w:val="Header"/>
      <w:tabs>
        <w:tab w:val="clear" w:pos="4320"/>
        <w:tab w:val="clear" w:pos="8640"/>
      </w:tabs>
      <w:jc w:val="center"/>
      <w:rPr>
        <w:sz w:val="22"/>
        <w:szCs w:val="22"/>
      </w:rPr>
    </w:pPr>
    <w:r>
      <w:rPr>
        <w:noProof/>
        <w:sz w:val="22"/>
        <w:szCs w:val="22"/>
      </w:rPr>
      <w:drawing>
        <wp:inline distT="0" distB="0" distL="0" distR="0" wp14:anchorId="0EFD6607" wp14:editId="2A3FD178">
          <wp:extent cx="1972237" cy="104775"/>
          <wp:effectExtent l="0" t="0" r="9525" b="0"/>
          <wp:docPr id="14"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E9346B6" w14:textId="77777777" w:rsidR="00491D4E" w:rsidRPr="00EC7D62" w:rsidRDefault="00193E3F" w:rsidP="00A50FCF">
    <w:pPr>
      <w:pStyle w:val="Header"/>
      <w:tabs>
        <w:tab w:val="clear" w:pos="4320"/>
        <w:tab w:val="clear" w:pos="8640"/>
      </w:tabs>
      <w:jc w:val="center"/>
      <w:rPr>
        <w:sz w:val="22"/>
        <w:szCs w:val="22"/>
      </w:rPr>
    </w:pPr>
    <w:r>
      <w:rPr>
        <w:noProof/>
        <w:sz w:val="22"/>
        <w:szCs w:val="22"/>
        <w:bdr w:val="nil"/>
      </w:rPr>
      <w:pict w14:anchorId="5FE5B60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3A9E" w14:textId="77777777" w:rsidR="00491D4E" w:rsidRDefault="00491D4E" w:rsidP="00D37FB1">
    <w:pPr>
      <w:pStyle w:val="Header"/>
      <w:tabs>
        <w:tab w:val="clear" w:pos="4320"/>
        <w:tab w:val="clear" w:pos="8640"/>
      </w:tabs>
      <w:jc w:val="center"/>
      <w:rPr>
        <w:sz w:val="22"/>
        <w:szCs w:val="22"/>
      </w:rPr>
    </w:pPr>
    <w:r>
      <w:rPr>
        <w:noProof/>
        <w:sz w:val="22"/>
        <w:szCs w:val="22"/>
      </w:rPr>
      <w:drawing>
        <wp:inline distT="0" distB="0" distL="0" distR="0" wp14:anchorId="3C6906C5" wp14:editId="2435931A">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D18C67E" w14:textId="77777777" w:rsidR="00491D4E" w:rsidRPr="00EC7D62" w:rsidRDefault="00193E3F" w:rsidP="00D37FB1">
    <w:pPr>
      <w:pStyle w:val="Header"/>
      <w:tabs>
        <w:tab w:val="clear" w:pos="4320"/>
        <w:tab w:val="clear" w:pos="8640"/>
      </w:tabs>
      <w:jc w:val="center"/>
      <w:rPr>
        <w:sz w:val="22"/>
        <w:szCs w:val="22"/>
      </w:rPr>
    </w:pPr>
    <w:r>
      <w:rPr>
        <w:noProof/>
        <w:sz w:val="22"/>
        <w:szCs w:val="22"/>
        <w:bdr w:val="nil"/>
      </w:rPr>
      <w:pict w14:anchorId="5F166C10">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050020"/>
    <w:multiLevelType w:val="hybridMultilevel"/>
    <w:tmpl w:val="5532C9D0"/>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F174D3"/>
    <w:multiLevelType w:val="hybridMultilevel"/>
    <w:tmpl w:val="C8AE60E4"/>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430424"/>
    <w:multiLevelType w:val="hybridMultilevel"/>
    <w:tmpl w:val="3FB09798"/>
    <w:lvl w:ilvl="0" w:tplc="08D0989E">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BCE60B7"/>
    <w:multiLevelType w:val="hybridMultilevel"/>
    <w:tmpl w:val="667868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D87765D"/>
    <w:multiLevelType w:val="hybridMultilevel"/>
    <w:tmpl w:val="79A073F4"/>
    <w:lvl w:ilvl="0" w:tplc="B9C0755C">
      <w:start w:val="1"/>
      <w:numFmt w:val="decimal"/>
      <w:lvlText w:val="%1."/>
      <w:lvlJc w:val="left"/>
      <w:pPr>
        <w:ind w:left="660" w:hanging="5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3A36BD24"/>
    <w:lvl w:ilvl="0" w:tplc="C65EABF4">
      <w:start w:val="1"/>
      <w:numFmt w:val="upperRoman"/>
      <w:pStyle w:val="Heading1"/>
      <w:lvlText w:val="%1."/>
      <w:lvlJc w:val="left"/>
      <w:pPr>
        <w:ind w:left="720" w:hanging="360"/>
      </w:pPr>
      <w:rPr>
        <w:rFonts w:hint="default"/>
        <w:lang w:val="es-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B483C"/>
    <w:multiLevelType w:val="hybridMultilevel"/>
    <w:tmpl w:val="C8C84342"/>
    <w:lvl w:ilvl="0" w:tplc="52420C64">
      <w:start w:val="2"/>
      <w:numFmt w:val="decimal"/>
      <w:lvlText w:val="%1."/>
      <w:lvlJc w:val="left"/>
      <w:pPr>
        <w:ind w:left="450" w:hanging="360"/>
      </w:pPr>
      <w:rPr>
        <w:rFonts w:hint="default"/>
      </w:rPr>
    </w:lvl>
    <w:lvl w:ilvl="1" w:tplc="040A0019" w:tentative="1">
      <w:start w:val="1"/>
      <w:numFmt w:val="lowerLetter"/>
      <w:lvlText w:val="%2."/>
      <w:lvlJc w:val="left"/>
      <w:pPr>
        <w:ind w:left="2100" w:hanging="360"/>
      </w:pPr>
    </w:lvl>
    <w:lvl w:ilvl="2" w:tplc="040A001B" w:tentative="1">
      <w:start w:val="1"/>
      <w:numFmt w:val="lowerRoman"/>
      <w:lvlText w:val="%3."/>
      <w:lvlJc w:val="right"/>
      <w:pPr>
        <w:ind w:left="2820" w:hanging="180"/>
      </w:pPr>
    </w:lvl>
    <w:lvl w:ilvl="3" w:tplc="040A000F" w:tentative="1">
      <w:start w:val="1"/>
      <w:numFmt w:val="decimal"/>
      <w:lvlText w:val="%4."/>
      <w:lvlJc w:val="left"/>
      <w:pPr>
        <w:ind w:left="3540" w:hanging="360"/>
      </w:pPr>
    </w:lvl>
    <w:lvl w:ilvl="4" w:tplc="040A0019" w:tentative="1">
      <w:start w:val="1"/>
      <w:numFmt w:val="lowerLetter"/>
      <w:lvlText w:val="%5."/>
      <w:lvlJc w:val="left"/>
      <w:pPr>
        <w:ind w:left="4260" w:hanging="360"/>
      </w:pPr>
    </w:lvl>
    <w:lvl w:ilvl="5" w:tplc="040A001B" w:tentative="1">
      <w:start w:val="1"/>
      <w:numFmt w:val="lowerRoman"/>
      <w:lvlText w:val="%6."/>
      <w:lvlJc w:val="right"/>
      <w:pPr>
        <w:ind w:left="4980" w:hanging="180"/>
      </w:pPr>
    </w:lvl>
    <w:lvl w:ilvl="6" w:tplc="040A000F" w:tentative="1">
      <w:start w:val="1"/>
      <w:numFmt w:val="decimal"/>
      <w:lvlText w:val="%7."/>
      <w:lvlJc w:val="left"/>
      <w:pPr>
        <w:ind w:left="5700" w:hanging="360"/>
      </w:pPr>
    </w:lvl>
    <w:lvl w:ilvl="7" w:tplc="040A0019" w:tentative="1">
      <w:start w:val="1"/>
      <w:numFmt w:val="lowerLetter"/>
      <w:lvlText w:val="%8."/>
      <w:lvlJc w:val="left"/>
      <w:pPr>
        <w:ind w:left="6420" w:hanging="360"/>
      </w:pPr>
    </w:lvl>
    <w:lvl w:ilvl="8" w:tplc="040A001B" w:tentative="1">
      <w:start w:val="1"/>
      <w:numFmt w:val="lowerRoman"/>
      <w:lvlText w:val="%9."/>
      <w:lvlJc w:val="right"/>
      <w:pPr>
        <w:ind w:left="714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8"/>
  </w:num>
  <w:num w:numId="6">
    <w:abstractNumId w:val="26"/>
  </w:num>
  <w:num w:numId="7">
    <w:abstractNumId w:val="6"/>
  </w:num>
  <w:num w:numId="8">
    <w:abstractNumId w:val="16"/>
  </w:num>
  <w:num w:numId="9">
    <w:abstractNumId w:val="43"/>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59"/>
  </w:num>
  <w:num w:numId="50">
    <w:abstractNumId w:val="60"/>
  </w:num>
  <w:num w:numId="51">
    <w:abstractNumId w:val="20"/>
  </w:num>
  <w:num w:numId="52">
    <w:abstractNumId w:val="42"/>
  </w:num>
  <w:num w:numId="53">
    <w:abstractNumId w:val="51"/>
  </w:num>
  <w:num w:numId="54">
    <w:abstractNumId w:val="45"/>
  </w:num>
  <w:num w:numId="55">
    <w:abstractNumId w:val="28"/>
  </w:num>
  <w:num w:numId="56">
    <w:abstractNumId w:val="39"/>
  </w:num>
  <w:num w:numId="57">
    <w:abstractNumId w:val="46"/>
  </w:num>
  <w:num w:numId="58">
    <w:abstractNumId w:val="28"/>
    <w:lvlOverride w:ilvl="0">
      <w:startOverride w:val="1"/>
    </w:lvlOverride>
  </w:num>
  <w:num w:numId="59">
    <w:abstractNumId w:val="28"/>
    <w:lvlOverride w:ilvl="0">
      <w:startOverride w:val="1"/>
    </w:lvlOverride>
  </w:num>
  <w:num w:numId="60">
    <w:abstractNumId w:val="36"/>
  </w:num>
  <w:num w:numId="61">
    <w:abstractNumId w:val="19"/>
  </w:num>
  <w:num w:numId="62">
    <w:abstractNumId w:val="56"/>
  </w:num>
  <w:num w:numId="63">
    <w:abstractNumId w:val="5"/>
  </w:num>
  <w:num w:numId="64">
    <w:abstractNumId w:val="51"/>
    <w:lvlOverride w:ilvl="0">
      <w:startOverride w:val="1"/>
    </w:lvlOverride>
  </w:num>
  <w:num w:numId="65">
    <w:abstractNumId w:val="51"/>
  </w:num>
  <w:num w:numId="66">
    <w:abstractNumId w:val="51"/>
  </w:num>
  <w:num w:numId="67">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5B"/>
    <w:rsid w:val="0000036F"/>
    <w:rsid w:val="00000A19"/>
    <w:rsid w:val="00000CDA"/>
    <w:rsid w:val="0000438C"/>
    <w:rsid w:val="000046A6"/>
    <w:rsid w:val="0000562A"/>
    <w:rsid w:val="00006E1F"/>
    <w:rsid w:val="000070D7"/>
    <w:rsid w:val="000126EE"/>
    <w:rsid w:val="00015DD8"/>
    <w:rsid w:val="0001788C"/>
    <w:rsid w:val="00023C6A"/>
    <w:rsid w:val="0002496B"/>
    <w:rsid w:val="00026949"/>
    <w:rsid w:val="000328DE"/>
    <w:rsid w:val="00040C3A"/>
    <w:rsid w:val="0004482F"/>
    <w:rsid w:val="000533F4"/>
    <w:rsid w:val="00055F41"/>
    <w:rsid w:val="00056A3C"/>
    <w:rsid w:val="00056E1F"/>
    <w:rsid w:val="000571B1"/>
    <w:rsid w:val="000636E9"/>
    <w:rsid w:val="000638E9"/>
    <w:rsid w:val="00063933"/>
    <w:rsid w:val="0006751B"/>
    <w:rsid w:val="000716C5"/>
    <w:rsid w:val="000737E4"/>
    <w:rsid w:val="00075C0C"/>
    <w:rsid w:val="00075E23"/>
    <w:rsid w:val="00080058"/>
    <w:rsid w:val="000817B2"/>
    <w:rsid w:val="0009040C"/>
    <w:rsid w:val="00091F6A"/>
    <w:rsid w:val="0009344A"/>
    <w:rsid w:val="00097052"/>
    <w:rsid w:val="000A27E1"/>
    <w:rsid w:val="000A392E"/>
    <w:rsid w:val="000A575F"/>
    <w:rsid w:val="000C3A5B"/>
    <w:rsid w:val="000C4273"/>
    <w:rsid w:val="000C5BAB"/>
    <w:rsid w:val="000C6899"/>
    <w:rsid w:val="000D10DB"/>
    <w:rsid w:val="000D2953"/>
    <w:rsid w:val="000D4B74"/>
    <w:rsid w:val="000E0C11"/>
    <w:rsid w:val="000E0E7D"/>
    <w:rsid w:val="000E50E2"/>
    <w:rsid w:val="000E5EB5"/>
    <w:rsid w:val="000E6C35"/>
    <w:rsid w:val="000E7A54"/>
    <w:rsid w:val="000F0204"/>
    <w:rsid w:val="000F35ED"/>
    <w:rsid w:val="000F431C"/>
    <w:rsid w:val="000F5E9E"/>
    <w:rsid w:val="000F79F1"/>
    <w:rsid w:val="00100473"/>
    <w:rsid w:val="00102034"/>
    <w:rsid w:val="00102763"/>
    <w:rsid w:val="00105CFE"/>
    <w:rsid w:val="00107131"/>
    <w:rsid w:val="0010736F"/>
    <w:rsid w:val="0010749B"/>
    <w:rsid w:val="00110813"/>
    <w:rsid w:val="0011192D"/>
    <w:rsid w:val="001120E4"/>
    <w:rsid w:val="00112D05"/>
    <w:rsid w:val="00113F73"/>
    <w:rsid w:val="0011467A"/>
    <w:rsid w:val="00114CBE"/>
    <w:rsid w:val="00115208"/>
    <w:rsid w:val="001178E2"/>
    <w:rsid w:val="001206BD"/>
    <w:rsid w:val="001212FE"/>
    <w:rsid w:val="00121CC2"/>
    <w:rsid w:val="00124B6E"/>
    <w:rsid w:val="0012518E"/>
    <w:rsid w:val="001326CE"/>
    <w:rsid w:val="00133EE5"/>
    <w:rsid w:val="0013457E"/>
    <w:rsid w:val="00136AFC"/>
    <w:rsid w:val="0013776E"/>
    <w:rsid w:val="0014007B"/>
    <w:rsid w:val="00141BBE"/>
    <w:rsid w:val="00142E37"/>
    <w:rsid w:val="00144F02"/>
    <w:rsid w:val="00146970"/>
    <w:rsid w:val="00151401"/>
    <w:rsid w:val="00152F9D"/>
    <w:rsid w:val="00154F14"/>
    <w:rsid w:val="00160AF0"/>
    <w:rsid w:val="00161A33"/>
    <w:rsid w:val="00163469"/>
    <w:rsid w:val="00165ACD"/>
    <w:rsid w:val="00167A34"/>
    <w:rsid w:val="00173171"/>
    <w:rsid w:val="00174BD5"/>
    <w:rsid w:val="00174E4B"/>
    <w:rsid w:val="00176A5B"/>
    <w:rsid w:val="0018006E"/>
    <w:rsid w:val="0018086E"/>
    <w:rsid w:val="00180971"/>
    <w:rsid w:val="00180A6D"/>
    <w:rsid w:val="00182088"/>
    <w:rsid w:val="00183051"/>
    <w:rsid w:val="00184749"/>
    <w:rsid w:val="00186668"/>
    <w:rsid w:val="00190DCD"/>
    <w:rsid w:val="00192257"/>
    <w:rsid w:val="001923BE"/>
    <w:rsid w:val="00193E3F"/>
    <w:rsid w:val="00194708"/>
    <w:rsid w:val="00195E0C"/>
    <w:rsid w:val="00196D06"/>
    <w:rsid w:val="0019740C"/>
    <w:rsid w:val="001A2F12"/>
    <w:rsid w:val="001A475C"/>
    <w:rsid w:val="001A5FD2"/>
    <w:rsid w:val="001A7870"/>
    <w:rsid w:val="001B52E5"/>
    <w:rsid w:val="001B540E"/>
    <w:rsid w:val="001B5DFF"/>
    <w:rsid w:val="001B60F9"/>
    <w:rsid w:val="001B669A"/>
    <w:rsid w:val="001B7204"/>
    <w:rsid w:val="001C1B41"/>
    <w:rsid w:val="001C5454"/>
    <w:rsid w:val="001C5952"/>
    <w:rsid w:val="001D217D"/>
    <w:rsid w:val="001D3DD5"/>
    <w:rsid w:val="001D4442"/>
    <w:rsid w:val="001D5495"/>
    <w:rsid w:val="001D6239"/>
    <w:rsid w:val="001D65EF"/>
    <w:rsid w:val="001D6C64"/>
    <w:rsid w:val="001E0132"/>
    <w:rsid w:val="001E0951"/>
    <w:rsid w:val="001E62B6"/>
    <w:rsid w:val="001E69B6"/>
    <w:rsid w:val="001F0532"/>
    <w:rsid w:val="001F075D"/>
    <w:rsid w:val="001F0CCF"/>
    <w:rsid w:val="001F1B46"/>
    <w:rsid w:val="001F4F5D"/>
    <w:rsid w:val="001F66E6"/>
    <w:rsid w:val="001F7881"/>
    <w:rsid w:val="00200260"/>
    <w:rsid w:val="0020102A"/>
    <w:rsid w:val="0020202F"/>
    <w:rsid w:val="00202D85"/>
    <w:rsid w:val="00204433"/>
    <w:rsid w:val="0020598E"/>
    <w:rsid w:val="00206AB8"/>
    <w:rsid w:val="002074AD"/>
    <w:rsid w:val="00210FE1"/>
    <w:rsid w:val="00222298"/>
    <w:rsid w:val="0022447F"/>
    <w:rsid w:val="00224726"/>
    <w:rsid w:val="002250A3"/>
    <w:rsid w:val="00234738"/>
    <w:rsid w:val="00234F2F"/>
    <w:rsid w:val="00235217"/>
    <w:rsid w:val="00237619"/>
    <w:rsid w:val="00246D1F"/>
    <w:rsid w:val="00247403"/>
    <w:rsid w:val="00247542"/>
    <w:rsid w:val="00250705"/>
    <w:rsid w:val="002555E7"/>
    <w:rsid w:val="00255B8C"/>
    <w:rsid w:val="00257136"/>
    <w:rsid w:val="002603E4"/>
    <w:rsid w:val="00262231"/>
    <w:rsid w:val="00262D1D"/>
    <w:rsid w:val="00266B61"/>
    <w:rsid w:val="00266DAF"/>
    <w:rsid w:val="0026712A"/>
    <w:rsid w:val="00267BE8"/>
    <w:rsid w:val="002704DB"/>
    <w:rsid w:val="00272E79"/>
    <w:rsid w:val="002733F3"/>
    <w:rsid w:val="002771AF"/>
    <w:rsid w:val="00285D8F"/>
    <w:rsid w:val="00287347"/>
    <w:rsid w:val="00294051"/>
    <w:rsid w:val="00295125"/>
    <w:rsid w:val="0029558C"/>
    <w:rsid w:val="0029666E"/>
    <w:rsid w:val="002A0525"/>
    <w:rsid w:val="002A0AAE"/>
    <w:rsid w:val="002A0BF1"/>
    <w:rsid w:val="002A47F3"/>
    <w:rsid w:val="002A5194"/>
    <w:rsid w:val="002A5820"/>
    <w:rsid w:val="002A70E6"/>
    <w:rsid w:val="002B14B2"/>
    <w:rsid w:val="002B26FB"/>
    <w:rsid w:val="002B432E"/>
    <w:rsid w:val="002B783A"/>
    <w:rsid w:val="002B7B3C"/>
    <w:rsid w:val="002B7E62"/>
    <w:rsid w:val="002C2426"/>
    <w:rsid w:val="002C6A22"/>
    <w:rsid w:val="002C6AC8"/>
    <w:rsid w:val="002D2B26"/>
    <w:rsid w:val="002D2D9B"/>
    <w:rsid w:val="002D32DB"/>
    <w:rsid w:val="002D4CD1"/>
    <w:rsid w:val="002D5C7D"/>
    <w:rsid w:val="002D7EA2"/>
    <w:rsid w:val="002E0A65"/>
    <w:rsid w:val="002E0CB3"/>
    <w:rsid w:val="002E10E6"/>
    <w:rsid w:val="002E187C"/>
    <w:rsid w:val="002E4834"/>
    <w:rsid w:val="002F05D5"/>
    <w:rsid w:val="002F17C1"/>
    <w:rsid w:val="002F6A0A"/>
    <w:rsid w:val="002F7593"/>
    <w:rsid w:val="00302733"/>
    <w:rsid w:val="00303457"/>
    <w:rsid w:val="00303D85"/>
    <w:rsid w:val="00307B36"/>
    <w:rsid w:val="00314078"/>
    <w:rsid w:val="0031535D"/>
    <w:rsid w:val="00315635"/>
    <w:rsid w:val="00316357"/>
    <w:rsid w:val="00321A73"/>
    <w:rsid w:val="00322BBA"/>
    <w:rsid w:val="003234B0"/>
    <w:rsid w:val="00323F06"/>
    <w:rsid w:val="00325B16"/>
    <w:rsid w:val="0033169F"/>
    <w:rsid w:val="00334902"/>
    <w:rsid w:val="0033572B"/>
    <w:rsid w:val="00336E9A"/>
    <w:rsid w:val="00346C95"/>
    <w:rsid w:val="003474AC"/>
    <w:rsid w:val="00347AE4"/>
    <w:rsid w:val="00356185"/>
    <w:rsid w:val="00356F75"/>
    <w:rsid w:val="00360380"/>
    <w:rsid w:val="0037359A"/>
    <w:rsid w:val="00373FB7"/>
    <w:rsid w:val="0037519E"/>
    <w:rsid w:val="00382142"/>
    <w:rsid w:val="00384706"/>
    <w:rsid w:val="003851DF"/>
    <w:rsid w:val="0038678E"/>
    <w:rsid w:val="00386821"/>
    <w:rsid w:val="00386CF0"/>
    <w:rsid w:val="00394599"/>
    <w:rsid w:val="00394732"/>
    <w:rsid w:val="0039529C"/>
    <w:rsid w:val="003957E5"/>
    <w:rsid w:val="00396D9A"/>
    <w:rsid w:val="00397B14"/>
    <w:rsid w:val="003A0D47"/>
    <w:rsid w:val="003A1390"/>
    <w:rsid w:val="003A292A"/>
    <w:rsid w:val="003A3FF8"/>
    <w:rsid w:val="003A53ED"/>
    <w:rsid w:val="003A7A97"/>
    <w:rsid w:val="003B0BAD"/>
    <w:rsid w:val="003B0E01"/>
    <w:rsid w:val="003B3C0C"/>
    <w:rsid w:val="003B3C2C"/>
    <w:rsid w:val="003B50C7"/>
    <w:rsid w:val="003B79F7"/>
    <w:rsid w:val="003C08FB"/>
    <w:rsid w:val="003C676B"/>
    <w:rsid w:val="003C68E2"/>
    <w:rsid w:val="003D01A1"/>
    <w:rsid w:val="003D1C5C"/>
    <w:rsid w:val="003D3BC2"/>
    <w:rsid w:val="003D53EA"/>
    <w:rsid w:val="003D5B83"/>
    <w:rsid w:val="003D5DD6"/>
    <w:rsid w:val="003D66F7"/>
    <w:rsid w:val="003E6AF6"/>
    <w:rsid w:val="003E6CA1"/>
    <w:rsid w:val="003E6EF3"/>
    <w:rsid w:val="003F59A3"/>
    <w:rsid w:val="003F5DE7"/>
    <w:rsid w:val="003F5E82"/>
    <w:rsid w:val="0040054A"/>
    <w:rsid w:val="00406C55"/>
    <w:rsid w:val="00412313"/>
    <w:rsid w:val="004127F8"/>
    <w:rsid w:val="00413125"/>
    <w:rsid w:val="004165C2"/>
    <w:rsid w:val="00416630"/>
    <w:rsid w:val="00420742"/>
    <w:rsid w:val="004218CF"/>
    <w:rsid w:val="00421CB4"/>
    <w:rsid w:val="004220B9"/>
    <w:rsid w:val="0042542C"/>
    <w:rsid w:val="00425AE1"/>
    <w:rsid w:val="00426B6C"/>
    <w:rsid w:val="004272EC"/>
    <w:rsid w:val="0043189F"/>
    <w:rsid w:val="00435547"/>
    <w:rsid w:val="00435A68"/>
    <w:rsid w:val="004360B5"/>
    <w:rsid w:val="0044045E"/>
    <w:rsid w:val="00441ECB"/>
    <w:rsid w:val="00442BD2"/>
    <w:rsid w:val="004450C3"/>
    <w:rsid w:val="00447E2C"/>
    <w:rsid w:val="004543D6"/>
    <w:rsid w:val="00455816"/>
    <w:rsid w:val="00462307"/>
    <w:rsid w:val="004623B3"/>
    <w:rsid w:val="00462D59"/>
    <w:rsid w:val="00463F1F"/>
    <w:rsid w:val="00464E09"/>
    <w:rsid w:val="00467B7E"/>
    <w:rsid w:val="00470516"/>
    <w:rsid w:val="00471C8F"/>
    <w:rsid w:val="004736B9"/>
    <w:rsid w:val="0047383C"/>
    <w:rsid w:val="00473D9B"/>
    <w:rsid w:val="0047416B"/>
    <w:rsid w:val="00474DFB"/>
    <w:rsid w:val="004766BE"/>
    <w:rsid w:val="00477592"/>
    <w:rsid w:val="00480137"/>
    <w:rsid w:val="00481F8D"/>
    <w:rsid w:val="004845C1"/>
    <w:rsid w:val="00486F1C"/>
    <w:rsid w:val="00491D4E"/>
    <w:rsid w:val="0049419D"/>
    <w:rsid w:val="004956A4"/>
    <w:rsid w:val="004A263C"/>
    <w:rsid w:val="004A37E9"/>
    <w:rsid w:val="004A69D5"/>
    <w:rsid w:val="004B39D3"/>
    <w:rsid w:val="004B62D0"/>
    <w:rsid w:val="004B72E0"/>
    <w:rsid w:val="004B7596"/>
    <w:rsid w:val="004C04C4"/>
    <w:rsid w:val="004C20D2"/>
    <w:rsid w:val="004C2CD1"/>
    <w:rsid w:val="004C4AA3"/>
    <w:rsid w:val="004C4B62"/>
    <w:rsid w:val="004C5251"/>
    <w:rsid w:val="004C54C9"/>
    <w:rsid w:val="004D1211"/>
    <w:rsid w:val="004D33E0"/>
    <w:rsid w:val="004D3689"/>
    <w:rsid w:val="004D421F"/>
    <w:rsid w:val="004D5914"/>
    <w:rsid w:val="004D6025"/>
    <w:rsid w:val="004D678A"/>
    <w:rsid w:val="004E0B94"/>
    <w:rsid w:val="004E2649"/>
    <w:rsid w:val="004E4125"/>
    <w:rsid w:val="004E4E87"/>
    <w:rsid w:val="004E72A4"/>
    <w:rsid w:val="004F1E9D"/>
    <w:rsid w:val="004F3E58"/>
    <w:rsid w:val="004F4009"/>
    <w:rsid w:val="004F63F0"/>
    <w:rsid w:val="004F786E"/>
    <w:rsid w:val="004F7D1C"/>
    <w:rsid w:val="00501399"/>
    <w:rsid w:val="00502472"/>
    <w:rsid w:val="00502F59"/>
    <w:rsid w:val="005060C5"/>
    <w:rsid w:val="0050633D"/>
    <w:rsid w:val="005079B0"/>
    <w:rsid w:val="00507BC4"/>
    <w:rsid w:val="005107F0"/>
    <w:rsid w:val="00510905"/>
    <w:rsid w:val="005109A8"/>
    <w:rsid w:val="0051111B"/>
    <w:rsid w:val="0051116D"/>
    <w:rsid w:val="00511B7D"/>
    <w:rsid w:val="005128E4"/>
    <w:rsid w:val="0051290F"/>
    <w:rsid w:val="00512A39"/>
    <w:rsid w:val="00512B8E"/>
    <w:rsid w:val="005133DB"/>
    <w:rsid w:val="005175DF"/>
    <w:rsid w:val="00520855"/>
    <w:rsid w:val="00523E04"/>
    <w:rsid w:val="00524510"/>
    <w:rsid w:val="00524520"/>
    <w:rsid w:val="00525560"/>
    <w:rsid w:val="0052614A"/>
    <w:rsid w:val="00526951"/>
    <w:rsid w:val="00526C0F"/>
    <w:rsid w:val="00532FCA"/>
    <w:rsid w:val="00534A51"/>
    <w:rsid w:val="00534EF7"/>
    <w:rsid w:val="00534FEC"/>
    <w:rsid w:val="00543D2D"/>
    <w:rsid w:val="00544C49"/>
    <w:rsid w:val="005512A9"/>
    <w:rsid w:val="005516A1"/>
    <w:rsid w:val="0055331F"/>
    <w:rsid w:val="0055432F"/>
    <w:rsid w:val="00555963"/>
    <w:rsid w:val="00555DA6"/>
    <w:rsid w:val="00557B9B"/>
    <w:rsid w:val="00557FA6"/>
    <w:rsid w:val="00561DC9"/>
    <w:rsid w:val="00563180"/>
    <w:rsid w:val="0056354F"/>
    <w:rsid w:val="005646B9"/>
    <w:rsid w:val="00566046"/>
    <w:rsid w:val="00566E5B"/>
    <w:rsid w:val="00567A4D"/>
    <w:rsid w:val="0057065F"/>
    <w:rsid w:val="00570F5C"/>
    <w:rsid w:val="00572E09"/>
    <w:rsid w:val="005738EA"/>
    <w:rsid w:val="0057402A"/>
    <w:rsid w:val="005771D0"/>
    <w:rsid w:val="00580EAB"/>
    <w:rsid w:val="00582336"/>
    <w:rsid w:val="00582B40"/>
    <w:rsid w:val="0059191A"/>
    <w:rsid w:val="005921FF"/>
    <w:rsid w:val="00594985"/>
    <w:rsid w:val="0059595F"/>
    <w:rsid w:val="005967E1"/>
    <w:rsid w:val="005970F0"/>
    <w:rsid w:val="005A01B0"/>
    <w:rsid w:val="005A5564"/>
    <w:rsid w:val="005A6D0E"/>
    <w:rsid w:val="005A70CA"/>
    <w:rsid w:val="005A76F5"/>
    <w:rsid w:val="005B0499"/>
    <w:rsid w:val="005B14E9"/>
    <w:rsid w:val="005B4675"/>
    <w:rsid w:val="005B50DE"/>
    <w:rsid w:val="005B52B0"/>
    <w:rsid w:val="005B6806"/>
    <w:rsid w:val="005B746E"/>
    <w:rsid w:val="005C0387"/>
    <w:rsid w:val="005C0480"/>
    <w:rsid w:val="005C0DB6"/>
    <w:rsid w:val="005C2AD5"/>
    <w:rsid w:val="005C4225"/>
    <w:rsid w:val="005C4252"/>
    <w:rsid w:val="005C544B"/>
    <w:rsid w:val="005C696C"/>
    <w:rsid w:val="005D0D9C"/>
    <w:rsid w:val="005D47FF"/>
    <w:rsid w:val="005D540C"/>
    <w:rsid w:val="005D6175"/>
    <w:rsid w:val="005E2B83"/>
    <w:rsid w:val="005E373E"/>
    <w:rsid w:val="005E58C2"/>
    <w:rsid w:val="005E6374"/>
    <w:rsid w:val="005E64C6"/>
    <w:rsid w:val="005F0DAD"/>
    <w:rsid w:val="005F0F33"/>
    <w:rsid w:val="0060019A"/>
    <w:rsid w:val="00600DEB"/>
    <w:rsid w:val="00602DA7"/>
    <w:rsid w:val="00603A17"/>
    <w:rsid w:val="00611172"/>
    <w:rsid w:val="006116D5"/>
    <w:rsid w:val="0061362B"/>
    <w:rsid w:val="00615251"/>
    <w:rsid w:val="0061597C"/>
    <w:rsid w:val="00620296"/>
    <w:rsid w:val="00621814"/>
    <w:rsid w:val="00623C68"/>
    <w:rsid w:val="00624E75"/>
    <w:rsid w:val="00624FEC"/>
    <w:rsid w:val="00625CF2"/>
    <w:rsid w:val="00625E7A"/>
    <w:rsid w:val="00627C9F"/>
    <w:rsid w:val="006308C1"/>
    <w:rsid w:val="006311E9"/>
    <w:rsid w:val="00632050"/>
    <w:rsid w:val="00632354"/>
    <w:rsid w:val="00636CBF"/>
    <w:rsid w:val="00642810"/>
    <w:rsid w:val="00646DB3"/>
    <w:rsid w:val="006470CD"/>
    <w:rsid w:val="00647372"/>
    <w:rsid w:val="0065006B"/>
    <w:rsid w:val="006500DC"/>
    <w:rsid w:val="00650A9D"/>
    <w:rsid w:val="00652333"/>
    <w:rsid w:val="006535EF"/>
    <w:rsid w:val="006544A0"/>
    <w:rsid w:val="00654E2F"/>
    <w:rsid w:val="006561D3"/>
    <w:rsid w:val="00656A6B"/>
    <w:rsid w:val="00663FA8"/>
    <w:rsid w:val="006665DC"/>
    <w:rsid w:val="006701F5"/>
    <w:rsid w:val="00670A2A"/>
    <w:rsid w:val="006717A7"/>
    <w:rsid w:val="00673BB3"/>
    <w:rsid w:val="006761D1"/>
    <w:rsid w:val="006776ED"/>
    <w:rsid w:val="0068009E"/>
    <w:rsid w:val="00682BF4"/>
    <w:rsid w:val="0068521F"/>
    <w:rsid w:val="00685391"/>
    <w:rsid w:val="006857F3"/>
    <w:rsid w:val="00685F26"/>
    <w:rsid w:val="00686530"/>
    <w:rsid w:val="00692219"/>
    <w:rsid w:val="00696000"/>
    <w:rsid w:val="00696B5A"/>
    <w:rsid w:val="0069764A"/>
    <w:rsid w:val="006A11AF"/>
    <w:rsid w:val="006A15C2"/>
    <w:rsid w:val="006A17D2"/>
    <w:rsid w:val="006A35F1"/>
    <w:rsid w:val="006A5273"/>
    <w:rsid w:val="006A73E6"/>
    <w:rsid w:val="006B25A5"/>
    <w:rsid w:val="006B2D5C"/>
    <w:rsid w:val="006B39AD"/>
    <w:rsid w:val="006B6DCE"/>
    <w:rsid w:val="006B77D9"/>
    <w:rsid w:val="006C3AA9"/>
    <w:rsid w:val="006C4EB1"/>
    <w:rsid w:val="006C615A"/>
    <w:rsid w:val="006D1111"/>
    <w:rsid w:val="006D19A3"/>
    <w:rsid w:val="006D259D"/>
    <w:rsid w:val="006D638D"/>
    <w:rsid w:val="006D6F63"/>
    <w:rsid w:val="006D7B56"/>
    <w:rsid w:val="006E0166"/>
    <w:rsid w:val="006E402D"/>
    <w:rsid w:val="006E451A"/>
    <w:rsid w:val="006E7B34"/>
    <w:rsid w:val="006F0DE1"/>
    <w:rsid w:val="00701FE7"/>
    <w:rsid w:val="0070697F"/>
    <w:rsid w:val="00707206"/>
    <w:rsid w:val="007115BA"/>
    <w:rsid w:val="007168FD"/>
    <w:rsid w:val="00716AFE"/>
    <w:rsid w:val="007178C2"/>
    <w:rsid w:val="00721371"/>
    <w:rsid w:val="0072199C"/>
    <w:rsid w:val="00721C9F"/>
    <w:rsid w:val="00722C9F"/>
    <w:rsid w:val="00723A1F"/>
    <w:rsid w:val="007253B8"/>
    <w:rsid w:val="0073741F"/>
    <w:rsid w:val="007446C7"/>
    <w:rsid w:val="007502C9"/>
    <w:rsid w:val="00752C04"/>
    <w:rsid w:val="00752F1E"/>
    <w:rsid w:val="007540DE"/>
    <w:rsid w:val="00755F8E"/>
    <w:rsid w:val="0076643F"/>
    <w:rsid w:val="00766915"/>
    <w:rsid w:val="00766E0D"/>
    <w:rsid w:val="0077158F"/>
    <w:rsid w:val="00773BEA"/>
    <w:rsid w:val="007779BE"/>
    <w:rsid w:val="00777F63"/>
    <w:rsid w:val="00780788"/>
    <w:rsid w:val="00780D9B"/>
    <w:rsid w:val="0078363D"/>
    <w:rsid w:val="0078513F"/>
    <w:rsid w:val="0078585E"/>
    <w:rsid w:val="00791675"/>
    <w:rsid w:val="007928C0"/>
    <w:rsid w:val="00792FDA"/>
    <w:rsid w:val="0079396D"/>
    <w:rsid w:val="0079494F"/>
    <w:rsid w:val="007A044E"/>
    <w:rsid w:val="007A35D8"/>
    <w:rsid w:val="007A4D4C"/>
    <w:rsid w:val="007A5517"/>
    <w:rsid w:val="007A5630"/>
    <w:rsid w:val="007A5817"/>
    <w:rsid w:val="007A59B5"/>
    <w:rsid w:val="007B34FD"/>
    <w:rsid w:val="007B368F"/>
    <w:rsid w:val="007B60E9"/>
    <w:rsid w:val="007B6CC3"/>
    <w:rsid w:val="007C1CA1"/>
    <w:rsid w:val="007C245B"/>
    <w:rsid w:val="007C2847"/>
    <w:rsid w:val="007C3334"/>
    <w:rsid w:val="007C3725"/>
    <w:rsid w:val="007C5F04"/>
    <w:rsid w:val="007D17E0"/>
    <w:rsid w:val="007D2B98"/>
    <w:rsid w:val="007D4740"/>
    <w:rsid w:val="007E21BC"/>
    <w:rsid w:val="007E4937"/>
    <w:rsid w:val="007E5379"/>
    <w:rsid w:val="007E7A5E"/>
    <w:rsid w:val="007E7CBF"/>
    <w:rsid w:val="007E7D0B"/>
    <w:rsid w:val="007F2392"/>
    <w:rsid w:val="007F301E"/>
    <w:rsid w:val="007F36E6"/>
    <w:rsid w:val="007F3D7F"/>
    <w:rsid w:val="007F4931"/>
    <w:rsid w:val="007F600D"/>
    <w:rsid w:val="007F6483"/>
    <w:rsid w:val="0080029E"/>
    <w:rsid w:val="008010FA"/>
    <w:rsid w:val="00801514"/>
    <w:rsid w:val="008027F1"/>
    <w:rsid w:val="008036E1"/>
    <w:rsid w:val="008038B8"/>
    <w:rsid w:val="00803F1C"/>
    <w:rsid w:val="008040C1"/>
    <w:rsid w:val="008055D4"/>
    <w:rsid w:val="0080600E"/>
    <w:rsid w:val="00806940"/>
    <w:rsid w:val="00810755"/>
    <w:rsid w:val="00813E07"/>
    <w:rsid w:val="00817612"/>
    <w:rsid w:val="0082093C"/>
    <w:rsid w:val="00820C3B"/>
    <w:rsid w:val="00821958"/>
    <w:rsid w:val="00821E0A"/>
    <w:rsid w:val="00823D10"/>
    <w:rsid w:val="008276ED"/>
    <w:rsid w:val="00832288"/>
    <w:rsid w:val="008338A4"/>
    <w:rsid w:val="00833C42"/>
    <w:rsid w:val="00834607"/>
    <w:rsid w:val="0083466B"/>
    <w:rsid w:val="00835A98"/>
    <w:rsid w:val="008375E1"/>
    <w:rsid w:val="00837C45"/>
    <w:rsid w:val="00841C23"/>
    <w:rsid w:val="00844730"/>
    <w:rsid w:val="00844788"/>
    <w:rsid w:val="008453A5"/>
    <w:rsid w:val="0084552A"/>
    <w:rsid w:val="008457C2"/>
    <w:rsid w:val="00846695"/>
    <w:rsid w:val="00846A8C"/>
    <w:rsid w:val="00846B8C"/>
    <w:rsid w:val="00852431"/>
    <w:rsid w:val="008539C4"/>
    <w:rsid w:val="00854378"/>
    <w:rsid w:val="008576A3"/>
    <w:rsid w:val="00857A82"/>
    <w:rsid w:val="0086141F"/>
    <w:rsid w:val="00861671"/>
    <w:rsid w:val="00864217"/>
    <w:rsid w:val="00870B7D"/>
    <w:rsid w:val="00870E7D"/>
    <w:rsid w:val="00871218"/>
    <w:rsid w:val="00873753"/>
    <w:rsid w:val="00873836"/>
    <w:rsid w:val="00874CFB"/>
    <w:rsid w:val="00876A99"/>
    <w:rsid w:val="00877A09"/>
    <w:rsid w:val="00877C23"/>
    <w:rsid w:val="00880495"/>
    <w:rsid w:val="00884B1D"/>
    <w:rsid w:val="00884EAC"/>
    <w:rsid w:val="00885737"/>
    <w:rsid w:val="00890650"/>
    <w:rsid w:val="008908D3"/>
    <w:rsid w:val="00890A88"/>
    <w:rsid w:val="00890C7B"/>
    <w:rsid w:val="00890CA7"/>
    <w:rsid w:val="008914E8"/>
    <w:rsid w:val="00896B32"/>
    <w:rsid w:val="00897E12"/>
    <w:rsid w:val="008A4EDA"/>
    <w:rsid w:val="008A6614"/>
    <w:rsid w:val="008A7E0F"/>
    <w:rsid w:val="008B12F5"/>
    <w:rsid w:val="008B1C57"/>
    <w:rsid w:val="008B248A"/>
    <w:rsid w:val="008B37FC"/>
    <w:rsid w:val="008B42F2"/>
    <w:rsid w:val="008B4ECE"/>
    <w:rsid w:val="008B66C5"/>
    <w:rsid w:val="008B6ADB"/>
    <w:rsid w:val="008C1CAC"/>
    <w:rsid w:val="008C1E87"/>
    <w:rsid w:val="008C5F68"/>
    <w:rsid w:val="008C6412"/>
    <w:rsid w:val="008D053F"/>
    <w:rsid w:val="008D2A04"/>
    <w:rsid w:val="008D2A48"/>
    <w:rsid w:val="008D768D"/>
    <w:rsid w:val="008E3759"/>
    <w:rsid w:val="008E7AC5"/>
    <w:rsid w:val="008E7CE7"/>
    <w:rsid w:val="008F0878"/>
    <w:rsid w:val="008F1912"/>
    <w:rsid w:val="008F48A7"/>
    <w:rsid w:val="00900A67"/>
    <w:rsid w:val="0090270B"/>
    <w:rsid w:val="009041DC"/>
    <w:rsid w:val="00905803"/>
    <w:rsid w:val="00905DB6"/>
    <w:rsid w:val="0090665F"/>
    <w:rsid w:val="00907DF0"/>
    <w:rsid w:val="00910698"/>
    <w:rsid w:val="00912E1A"/>
    <w:rsid w:val="00916687"/>
    <w:rsid w:val="00917B5A"/>
    <w:rsid w:val="00920A58"/>
    <w:rsid w:val="00920A8C"/>
    <w:rsid w:val="00920BE7"/>
    <w:rsid w:val="009224D0"/>
    <w:rsid w:val="00923131"/>
    <w:rsid w:val="00927746"/>
    <w:rsid w:val="009348BB"/>
    <w:rsid w:val="00934A2C"/>
    <w:rsid w:val="00936046"/>
    <w:rsid w:val="009369E9"/>
    <w:rsid w:val="00940CEE"/>
    <w:rsid w:val="00940D91"/>
    <w:rsid w:val="0094348F"/>
    <w:rsid w:val="00943CAF"/>
    <w:rsid w:val="00952C55"/>
    <w:rsid w:val="009539AC"/>
    <w:rsid w:val="00956AB4"/>
    <w:rsid w:val="00956E29"/>
    <w:rsid w:val="00957157"/>
    <w:rsid w:val="009658D8"/>
    <w:rsid w:val="0096706E"/>
    <w:rsid w:val="009704C8"/>
    <w:rsid w:val="00973070"/>
    <w:rsid w:val="00975C4E"/>
    <w:rsid w:val="0097783F"/>
    <w:rsid w:val="00981FBA"/>
    <w:rsid w:val="009848A2"/>
    <w:rsid w:val="00985222"/>
    <w:rsid w:val="009901FF"/>
    <w:rsid w:val="0099102C"/>
    <w:rsid w:val="00994882"/>
    <w:rsid w:val="00997157"/>
    <w:rsid w:val="00997BC5"/>
    <w:rsid w:val="009A028D"/>
    <w:rsid w:val="009A21CA"/>
    <w:rsid w:val="009A36D4"/>
    <w:rsid w:val="009A4F41"/>
    <w:rsid w:val="009A6736"/>
    <w:rsid w:val="009A7404"/>
    <w:rsid w:val="009B2044"/>
    <w:rsid w:val="009B22FC"/>
    <w:rsid w:val="009B29C4"/>
    <w:rsid w:val="009B2E13"/>
    <w:rsid w:val="009B381B"/>
    <w:rsid w:val="009B4396"/>
    <w:rsid w:val="009B7400"/>
    <w:rsid w:val="009C2EB7"/>
    <w:rsid w:val="009C37D8"/>
    <w:rsid w:val="009C38ED"/>
    <w:rsid w:val="009D0761"/>
    <w:rsid w:val="009D0BA0"/>
    <w:rsid w:val="009D1753"/>
    <w:rsid w:val="009D4011"/>
    <w:rsid w:val="009D5709"/>
    <w:rsid w:val="009D7611"/>
    <w:rsid w:val="009E0B61"/>
    <w:rsid w:val="009E1748"/>
    <w:rsid w:val="009E53A0"/>
    <w:rsid w:val="009E53D0"/>
    <w:rsid w:val="009E53DE"/>
    <w:rsid w:val="009E7B09"/>
    <w:rsid w:val="009F25D5"/>
    <w:rsid w:val="009F510A"/>
    <w:rsid w:val="00A03F1B"/>
    <w:rsid w:val="00A06262"/>
    <w:rsid w:val="00A11799"/>
    <w:rsid w:val="00A17282"/>
    <w:rsid w:val="00A17812"/>
    <w:rsid w:val="00A219AD"/>
    <w:rsid w:val="00A22BB0"/>
    <w:rsid w:val="00A238DA"/>
    <w:rsid w:val="00A23A65"/>
    <w:rsid w:val="00A25A2A"/>
    <w:rsid w:val="00A2669E"/>
    <w:rsid w:val="00A26D00"/>
    <w:rsid w:val="00A27327"/>
    <w:rsid w:val="00A328B3"/>
    <w:rsid w:val="00A37597"/>
    <w:rsid w:val="00A45AA5"/>
    <w:rsid w:val="00A46170"/>
    <w:rsid w:val="00A46EB6"/>
    <w:rsid w:val="00A50476"/>
    <w:rsid w:val="00A50508"/>
    <w:rsid w:val="00A50FCF"/>
    <w:rsid w:val="00A518EC"/>
    <w:rsid w:val="00A528D1"/>
    <w:rsid w:val="00A57214"/>
    <w:rsid w:val="00A5778D"/>
    <w:rsid w:val="00A610CD"/>
    <w:rsid w:val="00A627B3"/>
    <w:rsid w:val="00A639FE"/>
    <w:rsid w:val="00A66309"/>
    <w:rsid w:val="00A66769"/>
    <w:rsid w:val="00A700C7"/>
    <w:rsid w:val="00A7134D"/>
    <w:rsid w:val="00A71EB3"/>
    <w:rsid w:val="00A77BCE"/>
    <w:rsid w:val="00A86FE2"/>
    <w:rsid w:val="00A9406E"/>
    <w:rsid w:val="00A9544E"/>
    <w:rsid w:val="00A96621"/>
    <w:rsid w:val="00AA09A2"/>
    <w:rsid w:val="00AA1BA8"/>
    <w:rsid w:val="00AA2E3B"/>
    <w:rsid w:val="00AA635F"/>
    <w:rsid w:val="00AA7996"/>
    <w:rsid w:val="00AB1173"/>
    <w:rsid w:val="00AB2556"/>
    <w:rsid w:val="00AB5A49"/>
    <w:rsid w:val="00AC19CB"/>
    <w:rsid w:val="00AC4CC9"/>
    <w:rsid w:val="00AE3D94"/>
    <w:rsid w:val="00AE5488"/>
    <w:rsid w:val="00AE61B6"/>
    <w:rsid w:val="00AE64B0"/>
    <w:rsid w:val="00AE6F91"/>
    <w:rsid w:val="00AE7222"/>
    <w:rsid w:val="00AE7BE0"/>
    <w:rsid w:val="00AF067B"/>
    <w:rsid w:val="00AF0D15"/>
    <w:rsid w:val="00AF0E51"/>
    <w:rsid w:val="00AF5571"/>
    <w:rsid w:val="00AF63E7"/>
    <w:rsid w:val="00AF69C5"/>
    <w:rsid w:val="00B00013"/>
    <w:rsid w:val="00B00830"/>
    <w:rsid w:val="00B0148B"/>
    <w:rsid w:val="00B047C3"/>
    <w:rsid w:val="00B07341"/>
    <w:rsid w:val="00B0761F"/>
    <w:rsid w:val="00B12A05"/>
    <w:rsid w:val="00B12C8B"/>
    <w:rsid w:val="00B13B1E"/>
    <w:rsid w:val="00B15ADC"/>
    <w:rsid w:val="00B20AA4"/>
    <w:rsid w:val="00B23895"/>
    <w:rsid w:val="00B23A21"/>
    <w:rsid w:val="00B2586E"/>
    <w:rsid w:val="00B25A3A"/>
    <w:rsid w:val="00B2607B"/>
    <w:rsid w:val="00B30539"/>
    <w:rsid w:val="00B30F35"/>
    <w:rsid w:val="00B314DB"/>
    <w:rsid w:val="00B345EC"/>
    <w:rsid w:val="00B34E91"/>
    <w:rsid w:val="00B361F2"/>
    <w:rsid w:val="00B3718B"/>
    <w:rsid w:val="00B37A0C"/>
    <w:rsid w:val="00B4056C"/>
    <w:rsid w:val="00B42C5E"/>
    <w:rsid w:val="00B4632A"/>
    <w:rsid w:val="00B50A69"/>
    <w:rsid w:val="00B5255E"/>
    <w:rsid w:val="00B530F1"/>
    <w:rsid w:val="00B54C25"/>
    <w:rsid w:val="00B61D19"/>
    <w:rsid w:val="00B626CA"/>
    <w:rsid w:val="00B63BBB"/>
    <w:rsid w:val="00B656E3"/>
    <w:rsid w:val="00B67085"/>
    <w:rsid w:val="00B67C23"/>
    <w:rsid w:val="00B70C39"/>
    <w:rsid w:val="00B70D0C"/>
    <w:rsid w:val="00B73518"/>
    <w:rsid w:val="00B7423D"/>
    <w:rsid w:val="00B7474F"/>
    <w:rsid w:val="00B7717F"/>
    <w:rsid w:val="00B8046F"/>
    <w:rsid w:val="00B86CEE"/>
    <w:rsid w:val="00B9187C"/>
    <w:rsid w:val="00B922D0"/>
    <w:rsid w:val="00BA1539"/>
    <w:rsid w:val="00BA276C"/>
    <w:rsid w:val="00BA3778"/>
    <w:rsid w:val="00BA4E7F"/>
    <w:rsid w:val="00BA6AD9"/>
    <w:rsid w:val="00BA721F"/>
    <w:rsid w:val="00BA7A72"/>
    <w:rsid w:val="00BB0053"/>
    <w:rsid w:val="00BB1010"/>
    <w:rsid w:val="00BB13D6"/>
    <w:rsid w:val="00BB306F"/>
    <w:rsid w:val="00BB4DDD"/>
    <w:rsid w:val="00BB7640"/>
    <w:rsid w:val="00BB7F1D"/>
    <w:rsid w:val="00BC17F9"/>
    <w:rsid w:val="00BC3BF0"/>
    <w:rsid w:val="00BC43A5"/>
    <w:rsid w:val="00BC7AC1"/>
    <w:rsid w:val="00BD20A9"/>
    <w:rsid w:val="00BD31E0"/>
    <w:rsid w:val="00BD4AB4"/>
    <w:rsid w:val="00BD4B89"/>
    <w:rsid w:val="00BE331A"/>
    <w:rsid w:val="00BE346F"/>
    <w:rsid w:val="00BE3D5F"/>
    <w:rsid w:val="00BE437A"/>
    <w:rsid w:val="00BE74B2"/>
    <w:rsid w:val="00BF014B"/>
    <w:rsid w:val="00BF02CB"/>
    <w:rsid w:val="00BF0482"/>
    <w:rsid w:val="00BF1C52"/>
    <w:rsid w:val="00BF1E22"/>
    <w:rsid w:val="00BF4044"/>
    <w:rsid w:val="00BF5807"/>
    <w:rsid w:val="00BF6FD8"/>
    <w:rsid w:val="00C021F0"/>
    <w:rsid w:val="00C02C50"/>
    <w:rsid w:val="00C03680"/>
    <w:rsid w:val="00C054DF"/>
    <w:rsid w:val="00C06B32"/>
    <w:rsid w:val="00C103D1"/>
    <w:rsid w:val="00C10771"/>
    <w:rsid w:val="00C11091"/>
    <w:rsid w:val="00C12800"/>
    <w:rsid w:val="00C168A9"/>
    <w:rsid w:val="00C21762"/>
    <w:rsid w:val="00C22518"/>
    <w:rsid w:val="00C24543"/>
    <w:rsid w:val="00C256A2"/>
    <w:rsid w:val="00C264F0"/>
    <w:rsid w:val="00C26A52"/>
    <w:rsid w:val="00C34DCE"/>
    <w:rsid w:val="00C35356"/>
    <w:rsid w:val="00C408AB"/>
    <w:rsid w:val="00C41ECF"/>
    <w:rsid w:val="00C46D5F"/>
    <w:rsid w:val="00C473D8"/>
    <w:rsid w:val="00C50BAF"/>
    <w:rsid w:val="00C512C1"/>
    <w:rsid w:val="00C51515"/>
    <w:rsid w:val="00C518FA"/>
    <w:rsid w:val="00C5660B"/>
    <w:rsid w:val="00C57AA3"/>
    <w:rsid w:val="00C57D97"/>
    <w:rsid w:val="00C64789"/>
    <w:rsid w:val="00C647C5"/>
    <w:rsid w:val="00C66B72"/>
    <w:rsid w:val="00C66CE4"/>
    <w:rsid w:val="00C66E66"/>
    <w:rsid w:val="00C80C24"/>
    <w:rsid w:val="00C80FF8"/>
    <w:rsid w:val="00C82ABB"/>
    <w:rsid w:val="00C93FA5"/>
    <w:rsid w:val="00C9407C"/>
    <w:rsid w:val="00C94502"/>
    <w:rsid w:val="00C954C5"/>
    <w:rsid w:val="00C9567A"/>
    <w:rsid w:val="00C958B6"/>
    <w:rsid w:val="00C95ABA"/>
    <w:rsid w:val="00C96F25"/>
    <w:rsid w:val="00CA0511"/>
    <w:rsid w:val="00CA0A47"/>
    <w:rsid w:val="00CA168E"/>
    <w:rsid w:val="00CB0BB4"/>
    <w:rsid w:val="00CB212D"/>
    <w:rsid w:val="00CB2660"/>
    <w:rsid w:val="00CB3E63"/>
    <w:rsid w:val="00CB570C"/>
    <w:rsid w:val="00CB75AF"/>
    <w:rsid w:val="00CC1096"/>
    <w:rsid w:val="00CC2404"/>
    <w:rsid w:val="00CC5E90"/>
    <w:rsid w:val="00CC6F7F"/>
    <w:rsid w:val="00CD046C"/>
    <w:rsid w:val="00CD1E74"/>
    <w:rsid w:val="00CD7893"/>
    <w:rsid w:val="00CE004B"/>
    <w:rsid w:val="00CE076C"/>
    <w:rsid w:val="00CE0CCB"/>
    <w:rsid w:val="00CE13C9"/>
    <w:rsid w:val="00CE2470"/>
    <w:rsid w:val="00CE3244"/>
    <w:rsid w:val="00CE5199"/>
    <w:rsid w:val="00CE66D5"/>
    <w:rsid w:val="00CF07E1"/>
    <w:rsid w:val="00CF14A1"/>
    <w:rsid w:val="00CF25DF"/>
    <w:rsid w:val="00CF31DF"/>
    <w:rsid w:val="00CF637A"/>
    <w:rsid w:val="00CF6844"/>
    <w:rsid w:val="00CF74F2"/>
    <w:rsid w:val="00CF785C"/>
    <w:rsid w:val="00D02D68"/>
    <w:rsid w:val="00D059DE"/>
    <w:rsid w:val="00D06226"/>
    <w:rsid w:val="00D13FCE"/>
    <w:rsid w:val="00D1695B"/>
    <w:rsid w:val="00D20E33"/>
    <w:rsid w:val="00D213DA"/>
    <w:rsid w:val="00D241BC"/>
    <w:rsid w:val="00D24D50"/>
    <w:rsid w:val="00D2511A"/>
    <w:rsid w:val="00D269E4"/>
    <w:rsid w:val="00D2780C"/>
    <w:rsid w:val="00D306D1"/>
    <w:rsid w:val="00D337A5"/>
    <w:rsid w:val="00D34300"/>
    <w:rsid w:val="00D34786"/>
    <w:rsid w:val="00D37BFC"/>
    <w:rsid w:val="00D37FB1"/>
    <w:rsid w:val="00D401E1"/>
    <w:rsid w:val="00D426BF"/>
    <w:rsid w:val="00D43F25"/>
    <w:rsid w:val="00D47A8E"/>
    <w:rsid w:val="00D52D14"/>
    <w:rsid w:val="00D52E51"/>
    <w:rsid w:val="00D55594"/>
    <w:rsid w:val="00D712D3"/>
    <w:rsid w:val="00D71422"/>
    <w:rsid w:val="00D717C5"/>
    <w:rsid w:val="00D71BB6"/>
    <w:rsid w:val="00D72DC6"/>
    <w:rsid w:val="00D7558D"/>
    <w:rsid w:val="00D756C8"/>
    <w:rsid w:val="00D763B4"/>
    <w:rsid w:val="00D81D92"/>
    <w:rsid w:val="00D852B9"/>
    <w:rsid w:val="00D90937"/>
    <w:rsid w:val="00D933E2"/>
    <w:rsid w:val="00D93AC3"/>
    <w:rsid w:val="00D93C0B"/>
    <w:rsid w:val="00D951F8"/>
    <w:rsid w:val="00D952F7"/>
    <w:rsid w:val="00D95A9A"/>
    <w:rsid w:val="00D973EB"/>
    <w:rsid w:val="00D973F0"/>
    <w:rsid w:val="00DA033E"/>
    <w:rsid w:val="00DA0DCA"/>
    <w:rsid w:val="00DA3F2B"/>
    <w:rsid w:val="00DA45DA"/>
    <w:rsid w:val="00DA4F4B"/>
    <w:rsid w:val="00DA7B5F"/>
    <w:rsid w:val="00DB4D24"/>
    <w:rsid w:val="00DB60E8"/>
    <w:rsid w:val="00DC08D6"/>
    <w:rsid w:val="00DC11E7"/>
    <w:rsid w:val="00DC3A16"/>
    <w:rsid w:val="00DC5F3F"/>
    <w:rsid w:val="00DC6E4A"/>
    <w:rsid w:val="00DC7023"/>
    <w:rsid w:val="00DC769A"/>
    <w:rsid w:val="00DD0D8E"/>
    <w:rsid w:val="00DD17AD"/>
    <w:rsid w:val="00DD3D86"/>
    <w:rsid w:val="00DD41A0"/>
    <w:rsid w:val="00DD4832"/>
    <w:rsid w:val="00DD7913"/>
    <w:rsid w:val="00DE06AF"/>
    <w:rsid w:val="00DE2627"/>
    <w:rsid w:val="00DF1EC4"/>
    <w:rsid w:val="00DF245D"/>
    <w:rsid w:val="00DF2B75"/>
    <w:rsid w:val="00DF63D6"/>
    <w:rsid w:val="00DF696F"/>
    <w:rsid w:val="00E0333A"/>
    <w:rsid w:val="00E0340B"/>
    <w:rsid w:val="00E04A90"/>
    <w:rsid w:val="00E04D9C"/>
    <w:rsid w:val="00E06D23"/>
    <w:rsid w:val="00E146E5"/>
    <w:rsid w:val="00E1730F"/>
    <w:rsid w:val="00E208E3"/>
    <w:rsid w:val="00E219C7"/>
    <w:rsid w:val="00E24003"/>
    <w:rsid w:val="00E24873"/>
    <w:rsid w:val="00E260DB"/>
    <w:rsid w:val="00E30242"/>
    <w:rsid w:val="00E33E6C"/>
    <w:rsid w:val="00E34327"/>
    <w:rsid w:val="00E35239"/>
    <w:rsid w:val="00E35380"/>
    <w:rsid w:val="00E35933"/>
    <w:rsid w:val="00E408D8"/>
    <w:rsid w:val="00E417E8"/>
    <w:rsid w:val="00E41D93"/>
    <w:rsid w:val="00E428C7"/>
    <w:rsid w:val="00E43157"/>
    <w:rsid w:val="00E43A4B"/>
    <w:rsid w:val="00E45855"/>
    <w:rsid w:val="00E461CE"/>
    <w:rsid w:val="00E566F5"/>
    <w:rsid w:val="00E5724A"/>
    <w:rsid w:val="00E576C2"/>
    <w:rsid w:val="00E57A2B"/>
    <w:rsid w:val="00E67AA8"/>
    <w:rsid w:val="00E70B5D"/>
    <w:rsid w:val="00E715CD"/>
    <w:rsid w:val="00E720CA"/>
    <w:rsid w:val="00E777A7"/>
    <w:rsid w:val="00E80A3F"/>
    <w:rsid w:val="00E81E3B"/>
    <w:rsid w:val="00E82FD8"/>
    <w:rsid w:val="00E837A1"/>
    <w:rsid w:val="00E84EB5"/>
    <w:rsid w:val="00E85662"/>
    <w:rsid w:val="00E8789F"/>
    <w:rsid w:val="00E90C16"/>
    <w:rsid w:val="00E914F9"/>
    <w:rsid w:val="00E92272"/>
    <w:rsid w:val="00E95115"/>
    <w:rsid w:val="00E97A27"/>
    <w:rsid w:val="00E97B71"/>
    <w:rsid w:val="00EA10DA"/>
    <w:rsid w:val="00EA2559"/>
    <w:rsid w:val="00EA35D9"/>
    <w:rsid w:val="00EA3D34"/>
    <w:rsid w:val="00EA5249"/>
    <w:rsid w:val="00EA524C"/>
    <w:rsid w:val="00EA627D"/>
    <w:rsid w:val="00EB1B33"/>
    <w:rsid w:val="00EB30CF"/>
    <w:rsid w:val="00EB454D"/>
    <w:rsid w:val="00EC0504"/>
    <w:rsid w:val="00EC3A10"/>
    <w:rsid w:val="00EC6C0D"/>
    <w:rsid w:val="00EC76D5"/>
    <w:rsid w:val="00ED0845"/>
    <w:rsid w:val="00ED1CFF"/>
    <w:rsid w:val="00ED4953"/>
    <w:rsid w:val="00ED7437"/>
    <w:rsid w:val="00ED76BE"/>
    <w:rsid w:val="00EE0EEF"/>
    <w:rsid w:val="00EE17A4"/>
    <w:rsid w:val="00EE2415"/>
    <w:rsid w:val="00EE6820"/>
    <w:rsid w:val="00EE7CE2"/>
    <w:rsid w:val="00EF570A"/>
    <w:rsid w:val="00EF58CF"/>
    <w:rsid w:val="00EF619B"/>
    <w:rsid w:val="00EF674F"/>
    <w:rsid w:val="00EF7393"/>
    <w:rsid w:val="00EF7F95"/>
    <w:rsid w:val="00F00B55"/>
    <w:rsid w:val="00F02AD1"/>
    <w:rsid w:val="00F03F55"/>
    <w:rsid w:val="00F05899"/>
    <w:rsid w:val="00F10869"/>
    <w:rsid w:val="00F15C41"/>
    <w:rsid w:val="00F21361"/>
    <w:rsid w:val="00F223B2"/>
    <w:rsid w:val="00F253CC"/>
    <w:rsid w:val="00F2779C"/>
    <w:rsid w:val="00F3298D"/>
    <w:rsid w:val="00F345C6"/>
    <w:rsid w:val="00F37106"/>
    <w:rsid w:val="00F41C6C"/>
    <w:rsid w:val="00F42C59"/>
    <w:rsid w:val="00F519CF"/>
    <w:rsid w:val="00F524FA"/>
    <w:rsid w:val="00F545EA"/>
    <w:rsid w:val="00F567D3"/>
    <w:rsid w:val="00F56BA0"/>
    <w:rsid w:val="00F56BA5"/>
    <w:rsid w:val="00F575FF"/>
    <w:rsid w:val="00F60E22"/>
    <w:rsid w:val="00F62D8A"/>
    <w:rsid w:val="00F6435A"/>
    <w:rsid w:val="00F64796"/>
    <w:rsid w:val="00F66C86"/>
    <w:rsid w:val="00F66EF6"/>
    <w:rsid w:val="00F675CC"/>
    <w:rsid w:val="00F703FF"/>
    <w:rsid w:val="00F72C33"/>
    <w:rsid w:val="00F7365E"/>
    <w:rsid w:val="00F73EB1"/>
    <w:rsid w:val="00F74743"/>
    <w:rsid w:val="00F769F8"/>
    <w:rsid w:val="00F81395"/>
    <w:rsid w:val="00F8213A"/>
    <w:rsid w:val="00F84177"/>
    <w:rsid w:val="00F843FB"/>
    <w:rsid w:val="00F84E7B"/>
    <w:rsid w:val="00F903AC"/>
    <w:rsid w:val="00F91218"/>
    <w:rsid w:val="00F917D1"/>
    <w:rsid w:val="00F928EF"/>
    <w:rsid w:val="00F93BA3"/>
    <w:rsid w:val="00F94313"/>
    <w:rsid w:val="00F945BB"/>
    <w:rsid w:val="00F9653B"/>
    <w:rsid w:val="00F96B31"/>
    <w:rsid w:val="00F97306"/>
    <w:rsid w:val="00F97A12"/>
    <w:rsid w:val="00F97C38"/>
    <w:rsid w:val="00FA22BE"/>
    <w:rsid w:val="00FA4183"/>
    <w:rsid w:val="00FA6614"/>
    <w:rsid w:val="00FA6C15"/>
    <w:rsid w:val="00FA6D9B"/>
    <w:rsid w:val="00FB21AF"/>
    <w:rsid w:val="00FB2E7A"/>
    <w:rsid w:val="00FB4287"/>
    <w:rsid w:val="00FB42A7"/>
    <w:rsid w:val="00FB62CF"/>
    <w:rsid w:val="00FB7C22"/>
    <w:rsid w:val="00FC1D6F"/>
    <w:rsid w:val="00FC77F6"/>
    <w:rsid w:val="00FD0331"/>
    <w:rsid w:val="00FD2DD4"/>
    <w:rsid w:val="00FD3C3B"/>
    <w:rsid w:val="00FD4890"/>
    <w:rsid w:val="00FE07DD"/>
    <w:rsid w:val="00FE0A1E"/>
    <w:rsid w:val="00FE0EB1"/>
    <w:rsid w:val="00FE1F48"/>
    <w:rsid w:val="00FE6B45"/>
    <w:rsid w:val="00FF490B"/>
    <w:rsid w:val="00FF55F3"/>
    <w:rsid w:val="00FF5851"/>
    <w:rsid w:val="00FF590D"/>
    <w:rsid w:val="00FF7B79"/>
    <w:rsid w:val="00FF7C0D"/>
    <w:rsid w:val="00FF7E5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97B14"/>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ind w:left="540" w:hanging="540"/>
      <w:jc w:val="both"/>
      <w:outlineLvl w:val="1"/>
    </w:pPr>
    <w:rPr>
      <w:rFonts w:asciiTheme="majorHAnsi" w:eastAsia="Times New Roman" w:hAnsiTheme="majorHAnsi" w:cs="Arial"/>
      <w:b/>
      <w:bCs/>
      <w:iCs/>
      <w:sz w:val="20"/>
      <w:szCs w:val="18"/>
      <w:bdr w:val="none" w:sz="0" w:space="0" w:color="auto"/>
      <w:lang w:val="es-VE"/>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A03F1B"/>
    <w:pPr>
      <w:tabs>
        <w:tab w:val="left" w:pos="1440"/>
        <w:tab w:val="right" w:leader="dot" w:pos="9350"/>
      </w:tabs>
      <w:spacing w:after="100"/>
      <w:ind w:left="1440" w:hanging="720"/>
    </w:pPr>
    <w:rPr>
      <w:rFonts w:asciiTheme="majorHAnsi" w:hAnsiTheme="majorHAnsi"/>
      <w:b/>
      <w:noProof/>
      <w:sz w:val="20"/>
      <w:szCs w:val="20"/>
      <w:lang w:val="es-VE"/>
    </w:rPr>
  </w:style>
  <w:style w:type="paragraph" w:styleId="TOC1">
    <w:name w:val="toc 1"/>
    <w:basedOn w:val="Normal"/>
    <w:next w:val="Normal"/>
    <w:autoRedefine/>
    <w:uiPriority w:val="39"/>
    <w:unhideWhenUsed/>
    <w:rsid w:val="00EA5249"/>
    <w:pPr>
      <w:tabs>
        <w:tab w:val="left" w:pos="720"/>
        <w:tab w:val="left" w:pos="1440"/>
        <w:tab w:val="right" w:leader="dot" w:pos="9350"/>
      </w:tabs>
      <w:spacing w:after="100"/>
    </w:pPr>
    <w:rPr>
      <w:rFonts w:asciiTheme="majorHAnsi" w:hAnsiTheme="majorHAnsi"/>
      <w:b/>
      <w:noProof/>
      <w:sz w:val="20"/>
      <w:szCs w:val="20"/>
      <w:lang w:val="es-CO"/>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397B14"/>
    <w:rPr>
      <w:rFonts w:asciiTheme="majorHAnsi" w:eastAsia="Times New Roman" w:hAnsiTheme="majorHAnsi" w:cs="Arial"/>
      <w:b/>
      <w:bCs/>
      <w:iCs/>
      <w:szCs w:val="18"/>
      <w:bdr w:val="none" w:sz="0" w:space="0" w:color="auto"/>
      <w:lang w:val="es-VE"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832288"/>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List Paragraph2 Char"/>
    <w:link w:val="ListParagraph"/>
    <w:locked/>
    <w:rsid w:val="0012518E"/>
    <w:rPr>
      <w:rFonts w:ascii="Cambria" w:eastAsia="Cambria" w:hAnsi="Cambria" w:cs="Cambria"/>
      <w:color w:val="000000"/>
      <w:sz w:val="24"/>
      <w:szCs w:val="24"/>
      <w:u w:color="000000"/>
      <w:lang w:val="en-US"/>
    </w:rPr>
  </w:style>
  <w:style w:type="character" w:styleId="Strong">
    <w:name w:val="Strong"/>
    <w:uiPriority w:val="22"/>
    <w:qFormat/>
    <w:rsid w:val="0012518E"/>
    <w:rPr>
      <w:b/>
      <w:bCs/>
    </w:rPr>
  </w:style>
  <w:style w:type="paragraph" w:customStyle="1" w:styleId="ColorfulList-Accent11">
    <w:name w:val="Colorful List - Accent 11"/>
    <w:link w:val="ColorfulList-Accent1Char"/>
    <w:uiPriority w:val="34"/>
    <w:qFormat/>
    <w:rsid w:val="008D2A04"/>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1"/>
    <w:uiPriority w:val="34"/>
    <w:locked/>
    <w:rsid w:val="008D2A04"/>
    <w:rPr>
      <w:rFonts w:ascii="Cambria" w:eastAsia="Cambria" w:hAnsi="Cambria" w:cs="Cambria"/>
      <w:color w:val="000000"/>
      <w:sz w:val="24"/>
      <w:szCs w:val="24"/>
      <w:u w:color="000000"/>
      <w:lang w:val="en-US"/>
    </w:rPr>
  </w:style>
  <w:style w:type="character" w:customStyle="1" w:styleId="apple-style-span">
    <w:name w:val="apple-style-span"/>
    <w:rsid w:val="00835A98"/>
  </w:style>
  <w:style w:type="paragraph" w:styleId="NoSpacing">
    <w:name w:val="No Spacing"/>
    <w:uiPriority w:val="1"/>
    <w:qFormat/>
    <w:rsid w:val="00B54C2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paragraph" w:customStyle="1" w:styleId="1">
    <w:name w:val="1"/>
    <w:basedOn w:val="Normal"/>
    <w:link w:val="FootnoteReference"/>
    <w:rsid w:val="001A475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8642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0749B"/>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eastAsia="Calibri" w:hAnsi="Verdana"/>
      <w:sz w:val="22"/>
      <w:szCs w:val="20"/>
      <w:bdr w:val="none" w:sz="0" w:space="0" w:color="auto"/>
      <w:vertAlign w:val="superscript"/>
      <w:lang w:val="es-CO" w:eastAsia="es-CO"/>
    </w:rPr>
  </w:style>
  <w:style w:type="paragraph" w:styleId="BodyText3">
    <w:name w:val="Body Text 3"/>
    <w:basedOn w:val="Normal"/>
    <w:link w:val="BodyText3Char"/>
    <w:uiPriority w:val="99"/>
    <w:unhideWhenUsed/>
    <w:rsid w:val="003D5DD6"/>
    <w:pPr>
      <w:spacing w:after="120"/>
    </w:pPr>
    <w:rPr>
      <w:sz w:val="16"/>
      <w:szCs w:val="16"/>
    </w:rPr>
  </w:style>
  <w:style w:type="character" w:customStyle="1" w:styleId="BodyText3Char">
    <w:name w:val="Body Text 3 Char"/>
    <w:basedOn w:val="DefaultParagraphFont"/>
    <w:link w:val="BodyText3"/>
    <w:uiPriority w:val="99"/>
    <w:rsid w:val="003D5DD6"/>
    <w:rPr>
      <w:sz w:val="16"/>
      <w:szCs w:val="16"/>
      <w:lang w:val="en-US" w:eastAsia="en-US"/>
    </w:rPr>
  </w:style>
  <w:style w:type="character" w:styleId="CommentReference">
    <w:name w:val="annotation reference"/>
    <w:basedOn w:val="DefaultParagraphFont"/>
    <w:uiPriority w:val="99"/>
    <w:semiHidden/>
    <w:unhideWhenUsed/>
    <w:rsid w:val="00D90937"/>
    <w:rPr>
      <w:sz w:val="16"/>
      <w:szCs w:val="16"/>
    </w:rPr>
  </w:style>
  <w:style w:type="paragraph" w:styleId="CommentText">
    <w:name w:val="annotation text"/>
    <w:basedOn w:val="Normal"/>
    <w:link w:val="CommentTextChar"/>
    <w:uiPriority w:val="99"/>
    <w:semiHidden/>
    <w:unhideWhenUsed/>
    <w:rsid w:val="00D90937"/>
    <w:rPr>
      <w:sz w:val="20"/>
      <w:szCs w:val="20"/>
    </w:rPr>
  </w:style>
  <w:style w:type="character" w:customStyle="1" w:styleId="CommentTextChar">
    <w:name w:val="Comment Text Char"/>
    <w:basedOn w:val="DefaultParagraphFont"/>
    <w:link w:val="CommentText"/>
    <w:uiPriority w:val="99"/>
    <w:semiHidden/>
    <w:rsid w:val="00D90937"/>
    <w:rPr>
      <w:lang w:val="en-US" w:eastAsia="en-US"/>
    </w:rPr>
  </w:style>
  <w:style w:type="paragraph" w:styleId="CommentSubject">
    <w:name w:val="annotation subject"/>
    <w:basedOn w:val="CommentText"/>
    <w:next w:val="CommentText"/>
    <w:link w:val="CommentSubjectChar"/>
    <w:uiPriority w:val="99"/>
    <w:semiHidden/>
    <w:unhideWhenUsed/>
    <w:rsid w:val="00D90937"/>
    <w:rPr>
      <w:b/>
      <w:bCs/>
    </w:rPr>
  </w:style>
  <w:style w:type="character" w:customStyle="1" w:styleId="CommentSubjectChar">
    <w:name w:val="Comment Subject Char"/>
    <w:basedOn w:val="CommentTextChar"/>
    <w:link w:val="CommentSubject"/>
    <w:uiPriority w:val="99"/>
    <w:semiHidden/>
    <w:rsid w:val="00D90937"/>
    <w:rPr>
      <w:b/>
      <w:bCs/>
      <w:lang w:val="en-US" w:eastAsia="en-US"/>
    </w:rPr>
  </w:style>
  <w:style w:type="paragraph" w:styleId="Revision">
    <w:name w:val="Revision"/>
    <w:hidden/>
    <w:uiPriority w:val="99"/>
    <w:semiHidden/>
    <w:rsid w:val="00A23A6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BodyTextIndentChar">
    <w:name w:val="Body Text Indent Char"/>
    <w:basedOn w:val="DefaultParagraphFont"/>
    <w:link w:val="BodyTextIndent"/>
    <w:rsid w:val="00927746"/>
    <w:rPr>
      <w:rFonts w:eastAsia="Times New Roman"/>
      <w:color w:val="000000"/>
      <w:sz w:val="24"/>
      <w:szCs w:val="24"/>
      <w:u w:color="000000"/>
      <w:lang w:val="es-ES_tradnl"/>
    </w:rPr>
  </w:style>
  <w:style w:type="character" w:customStyle="1" w:styleId="apple-converted-space">
    <w:name w:val="apple-converted-space"/>
    <w:rsid w:val="00907DF0"/>
    <w:rPr>
      <w:rFonts w:cs="Times New Roman"/>
    </w:rPr>
  </w:style>
  <w:style w:type="paragraph" w:customStyle="1" w:styleId="xmsonormal">
    <w:name w:val="x_msonormal"/>
    <w:basedOn w:val="Normal"/>
    <w:rsid w:val="00907D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907D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7072">
      <w:bodyDiv w:val="1"/>
      <w:marLeft w:val="0"/>
      <w:marRight w:val="0"/>
      <w:marTop w:val="0"/>
      <w:marBottom w:val="0"/>
      <w:divBdr>
        <w:top w:val="none" w:sz="0" w:space="0" w:color="auto"/>
        <w:left w:val="none" w:sz="0" w:space="0" w:color="auto"/>
        <w:bottom w:val="none" w:sz="0" w:space="0" w:color="auto"/>
        <w:right w:val="none" w:sz="0" w:space="0" w:color="auto"/>
      </w:divBdr>
    </w:div>
    <w:div w:id="596518342">
      <w:bodyDiv w:val="1"/>
      <w:marLeft w:val="0"/>
      <w:marRight w:val="0"/>
      <w:marTop w:val="0"/>
      <w:marBottom w:val="0"/>
      <w:divBdr>
        <w:top w:val="none" w:sz="0" w:space="0" w:color="auto"/>
        <w:left w:val="none" w:sz="0" w:space="0" w:color="auto"/>
        <w:bottom w:val="none" w:sz="0" w:space="0" w:color="auto"/>
        <w:right w:val="none" w:sz="0" w:space="0" w:color="auto"/>
      </w:divBdr>
    </w:div>
    <w:div w:id="875040372">
      <w:bodyDiv w:val="1"/>
      <w:marLeft w:val="0"/>
      <w:marRight w:val="0"/>
      <w:marTop w:val="0"/>
      <w:marBottom w:val="0"/>
      <w:divBdr>
        <w:top w:val="none" w:sz="0" w:space="0" w:color="auto"/>
        <w:left w:val="none" w:sz="0" w:space="0" w:color="auto"/>
        <w:bottom w:val="none" w:sz="0" w:space="0" w:color="auto"/>
        <w:right w:val="none" w:sz="0" w:space="0" w:color="auto"/>
      </w:divBdr>
    </w:div>
    <w:div w:id="16007182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rvicios.infoleg.gob.ar/infolegInternet/anexos/70000-74999/73268/norma.htm" TargetMode="External"/><Relationship Id="rId1" Type="http://schemas.openxmlformats.org/officeDocument/2006/relationships/hyperlink" Target="http://www.enre.gov.ar/web/bibliotd.nsf/($IDWeb)/B5D5A4228BEECF900325675F0053C22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77D9-5F1F-744E-A300-E4EA1451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7944</Words>
  <Characters>45284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460/21</dc:title>
  <dc:creator/>
  <cp:lastModifiedBy/>
  <cp:revision>1</cp:revision>
  <dcterms:created xsi:type="dcterms:W3CDTF">2022-04-04T14:05:00Z</dcterms:created>
  <dcterms:modified xsi:type="dcterms:W3CDTF">2022-04-04T14:07:00Z</dcterms:modified>
</cp:coreProperties>
</file>