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6A85"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D95A07A" wp14:editId="003A495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6E99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71CE426" wp14:editId="0A69799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08FCA" w14:textId="77777777" w:rsidR="0054604E" w:rsidRDefault="0054604E" w:rsidP="00AE5488">
                            <w:r>
                              <w:rPr>
                                <w:noProof/>
                              </w:rPr>
                              <w:drawing>
                                <wp:inline distT="0" distB="0" distL="0" distR="0" wp14:anchorId="6B9D56D9" wp14:editId="0E19B69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CE42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6508FCA" w14:textId="77777777" w:rsidR="0054604E" w:rsidRDefault="0054604E" w:rsidP="00AE5488">
                      <w:r>
                        <w:rPr>
                          <w:noProof/>
                        </w:rPr>
                        <w:drawing>
                          <wp:inline distT="0" distB="0" distL="0" distR="0" wp14:anchorId="6B9D56D9" wp14:editId="0E19B69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3FFE3AB8"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71F8CD9"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06B18C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7A3649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257A35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7222550"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3FE265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811748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0B03D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29C04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0C20DF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F9F13C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C6789C"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B69B042" wp14:editId="1192388F">
                <wp:simplePos x="0" y="0"/>
                <wp:positionH relativeFrom="column">
                  <wp:posOffset>1355270</wp:posOffset>
                </wp:positionH>
                <wp:positionV relativeFrom="paragraph">
                  <wp:posOffset>107859</wp:posOffset>
                </wp:positionV>
                <wp:extent cx="5301343"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301343"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11C2D" w14:textId="72611D7F" w:rsidR="0054604E" w:rsidRPr="004E2649" w:rsidRDefault="0054604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66CE7">
                              <w:rPr>
                                <w:rFonts w:asciiTheme="majorHAnsi" w:hAnsiTheme="majorHAnsi" w:cs="Arial"/>
                                <w:b/>
                                <w:bCs/>
                                <w:color w:val="0D0D0D" w:themeColor="text1" w:themeTint="F2"/>
                                <w:sz w:val="36"/>
                                <w:szCs w:val="22"/>
                                <w:lang w:val="es-ES_tradnl"/>
                              </w:rPr>
                              <w:t>356</w:t>
                            </w:r>
                            <w:r>
                              <w:rPr>
                                <w:rFonts w:asciiTheme="majorHAnsi" w:hAnsiTheme="majorHAnsi" w:cs="Arial"/>
                                <w:b/>
                                <w:bCs/>
                                <w:color w:val="0D0D0D" w:themeColor="text1" w:themeTint="F2"/>
                                <w:sz w:val="36"/>
                                <w:szCs w:val="22"/>
                                <w:lang w:val="es-ES_tradnl"/>
                              </w:rPr>
                              <w:t>/21</w:t>
                            </w:r>
                          </w:p>
                          <w:p w14:paraId="08AC5F18" w14:textId="18ED154C" w:rsidR="0054604E" w:rsidRDefault="0054604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1616-13</w:t>
                            </w:r>
                          </w:p>
                          <w:p w14:paraId="0BAFCA71" w14:textId="2A510D98" w:rsidR="0054604E" w:rsidRPr="0010736F" w:rsidRDefault="0054604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Pr>
                                <w:rFonts w:asciiTheme="majorHAnsi" w:hAnsiTheme="majorHAnsi" w:cs="Arial"/>
                                <w:color w:val="0D0D0D" w:themeColor="text1" w:themeTint="F2"/>
                                <w:szCs w:val="22"/>
                                <w:lang w:val="es-ES_tradnl"/>
                              </w:rPr>
                              <w:t xml:space="preserve">DE </w:t>
                            </w:r>
                            <w:r w:rsidR="007C3D7F" w:rsidRPr="000F16C7">
                              <w:rPr>
                                <w:rFonts w:asciiTheme="majorHAnsi" w:hAnsiTheme="majorHAnsi" w:cs="Arial"/>
                                <w:szCs w:val="22"/>
                                <w:lang w:val="es-ES_tradnl"/>
                              </w:rPr>
                              <w:t>INADMISIBILIDAD</w:t>
                            </w:r>
                          </w:p>
                          <w:p w14:paraId="71F60499" w14:textId="77777777" w:rsidR="0054604E" w:rsidRPr="0010736F" w:rsidRDefault="0054604E" w:rsidP="00997BC5">
                            <w:pPr>
                              <w:spacing w:line="276" w:lineRule="auto"/>
                              <w:rPr>
                                <w:rFonts w:asciiTheme="majorHAnsi" w:hAnsiTheme="majorHAnsi" w:cs="Arial"/>
                                <w:color w:val="0D0D0D" w:themeColor="text1" w:themeTint="F2"/>
                                <w:szCs w:val="22"/>
                                <w:lang w:val="es-ES_tradnl"/>
                              </w:rPr>
                            </w:pPr>
                            <w:bookmarkStart w:id="0" w:name="_ftnref1"/>
                          </w:p>
                          <w:p w14:paraId="061B6097" w14:textId="58635140" w:rsidR="0054604E" w:rsidRPr="00DE11C7" w:rsidRDefault="0054604E"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JUAN CARLOS PEDRAZA CU</w:t>
                            </w:r>
                            <w:r w:rsidR="002E5B21">
                              <w:rPr>
                                <w:rFonts w:asciiTheme="majorHAnsi" w:hAnsiTheme="majorHAnsi" w:cs="Arial"/>
                                <w:color w:val="0D0D0D" w:themeColor="text1" w:themeTint="F2"/>
                                <w:szCs w:val="22"/>
                                <w:lang w:val="es-ES"/>
                              </w:rPr>
                              <w:t>É</w:t>
                            </w:r>
                            <w:r>
                              <w:rPr>
                                <w:rFonts w:asciiTheme="majorHAnsi" w:hAnsiTheme="majorHAnsi" w:cs="Arial"/>
                                <w:color w:val="0D0D0D" w:themeColor="text1" w:themeTint="F2"/>
                                <w:szCs w:val="22"/>
                                <w:lang w:val="es-ES_tradnl"/>
                              </w:rPr>
                              <w:t>LLAR Y RICHARD GERMAN MÁRQUEZ CAMPERO</w:t>
                            </w:r>
                          </w:p>
                          <w:bookmarkEnd w:id="0"/>
                          <w:p w14:paraId="5618FA4F" w14:textId="6642ACD5" w:rsidR="0054604E" w:rsidRPr="007B639A" w:rsidRDefault="0054604E" w:rsidP="007B639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9B042" id="_x0000_t202" coordsize="21600,21600" o:spt="202" path="m,l,21600r21600,l21600,xe">
                <v:stroke joinstyle="miter"/>
                <v:path gradientshapeok="t" o:connecttype="rect"/>
              </v:shapetype>
              <v:shape id="Text Box 5" o:spid="_x0000_s1027" type="#_x0000_t202" style="position:absolute;left:0;text-align:left;margin-left:106.7pt;margin-top:8.5pt;width:417.4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" filled="f" stroked="f" strokeweight=".5pt">
                <v:textbox>
                  <w:txbxContent>
                    <w:p w14:paraId="7B811C2D" w14:textId="72611D7F" w:rsidR="0054604E" w:rsidRPr="004E2649" w:rsidRDefault="0054604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66CE7">
                        <w:rPr>
                          <w:rFonts w:asciiTheme="majorHAnsi" w:hAnsiTheme="majorHAnsi" w:cs="Arial"/>
                          <w:b/>
                          <w:bCs/>
                          <w:color w:val="0D0D0D" w:themeColor="text1" w:themeTint="F2"/>
                          <w:sz w:val="36"/>
                          <w:szCs w:val="22"/>
                          <w:lang w:val="es-ES_tradnl"/>
                        </w:rPr>
                        <w:t>356</w:t>
                      </w:r>
                      <w:r>
                        <w:rPr>
                          <w:rFonts w:asciiTheme="majorHAnsi" w:hAnsiTheme="majorHAnsi" w:cs="Arial"/>
                          <w:b/>
                          <w:bCs/>
                          <w:color w:val="0D0D0D" w:themeColor="text1" w:themeTint="F2"/>
                          <w:sz w:val="36"/>
                          <w:szCs w:val="22"/>
                          <w:lang w:val="es-ES_tradnl"/>
                        </w:rPr>
                        <w:t>/21</w:t>
                      </w:r>
                    </w:p>
                    <w:p w14:paraId="08AC5F18" w14:textId="18ED154C" w:rsidR="0054604E" w:rsidRDefault="0054604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1616-13</w:t>
                      </w:r>
                    </w:p>
                    <w:p w14:paraId="0BAFCA71" w14:textId="2A510D98" w:rsidR="0054604E" w:rsidRPr="0010736F" w:rsidRDefault="0054604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Pr>
                          <w:rFonts w:asciiTheme="majorHAnsi" w:hAnsiTheme="majorHAnsi" w:cs="Arial"/>
                          <w:color w:val="0D0D0D" w:themeColor="text1" w:themeTint="F2"/>
                          <w:szCs w:val="22"/>
                          <w:lang w:val="es-ES_tradnl"/>
                        </w:rPr>
                        <w:t xml:space="preserve">DE </w:t>
                      </w:r>
                      <w:r w:rsidR="007C3D7F" w:rsidRPr="000F16C7">
                        <w:rPr>
                          <w:rFonts w:asciiTheme="majorHAnsi" w:hAnsiTheme="majorHAnsi" w:cs="Arial"/>
                          <w:szCs w:val="22"/>
                          <w:lang w:val="es-ES_tradnl"/>
                        </w:rPr>
                        <w:t>INADMISIBILIDAD</w:t>
                      </w:r>
                    </w:p>
                    <w:p w14:paraId="71F60499" w14:textId="77777777" w:rsidR="0054604E" w:rsidRPr="0010736F" w:rsidRDefault="0054604E" w:rsidP="00997BC5">
                      <w:pPr>
                        <w:spacing w:line="276" w:lineRule="auto"/>
                        <w:rPr>
                          <w:rFonts w:asciiTheme="majorHAnsi" w:hAnsiTheme="majorHAnsi" w:cs="Arial"/>
                          <w:color w:val="0D0D0D" w:themeColor="text1" w:themeTint="F2"/>
                          <w:szCs w:val="22"/>
                          <w:lang w:val="es-ES_tradnl"/>
                        </w:rPr>
                      </w:pPr>
                      <w:bookmarkStart w:id="1" w:name="_ftnref1"/>
                    </w:p>
                    <w:p w14:paraId="061B6097" w14:textId="58635140" w:rsidR="0054604E" w:rsidRPr="00DE11C7" w:rsidRDefault="0054604E"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JUAN CARLOS PEDRAZA CU</w:t>
                      </w:r>
                      <w:r w:rsidR="002E5B21">
                        <w:rPr>
                          <w:rFonts w:asciiTheme="majorHAnsi" w:hAnsiTheme="majorHAnsi" w:cs="Arial"/>
                          <w:color w:val="0D0D0D" w:themeColor="text1" w:themeTint="F2"/>
                          <w:szCs w:val="22"/>
                          <w:lang w:val="es-ES"/>
                        </w:rPr>
                        <w:t>É</w:t>
                      </w:r>
                      <w:r>
                        <w:rPr>
                          <w:rFonts w:asciiTheme="majorHAnsi" w:hAnsiTheme="majorHAnsi" w:cs="Arial"/>
                          <w:color w:val="0D0D0D" w:themeColor="text1" w:themeTint="F2"/>
                          <w:szCs w:val="22"/>
                          <w:lang w:val="es-ES_tradnl"/>
                        </w:rPr>
                        <w:t>LLAR Y RICHARD GERMAN MÁRQUEZ CAMPERO</w:t>
                      </w:r>
                    </w:p>
                    <w:bookmarkEnd w:id="1"/>
                    <w:p w14:paraId="5618FA4F" w14:textId="6642ACD5" w:rsidR="0054604E" w:rsidRPr="007B639A" w:rsidRDefault="0054604E" w:rsidP="007B639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7E7D2FD" wp14:editId="3396042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5DD18" w14:textId="11A598B5" w:rsidR="0054604E" w:rsidRPr="00194A6D" w:rsidRDefault="0054604E" w:rsidP="007A5817">
                            <w:pPr>
                              <w:spacing w:line="276" w:lineRule="auto"/>
                              <w:jc w:val="right"/>
                              <w:rPr>
                                <w:rFonts w:asciiTheme="minorHAnsi" w:hAnsiTheme="minorHAnsi"/>
                                <w:color w:val="FFFFFF" w:themeColor="background1"/>
                                <w:sz w:val="22"/>
                                <w:lang w:val="es-419"/>
                              </w:rPr>
                            </w:pPr>
                            <w:r w:rsidRPr="00194A6D">
                              <w:rPr>
                                <w:rFonts w:asciiTheme="minorHAnsi" w:hAnsiTheme="minorHAnsi"/>
                                <w:color w:val="FFFFFF" w:themeColor="background1"/>
                                <w:sz w:val="22"/>
                                <w:lang w:val="es-419"/>
                              </w:rPr>
                              <w:t>OEA/</w:t>
                            </w:r>
                            <w:proofErr w:type="spellStart"/>
                            <w:r w:rsidRPr="00194A6D">
                              <w:rPr>
                                <w:rFonts w:asciiTheme="minorHAnsi" w:hAnsiTheme="minorHAnsi"/>
                                <w:color w:val="FFFFFF" w:themeColor="background1"/>
                                <w:sz w:val="22"/>
                                <w:lang w:val="es-419"/>
                              </w:rPr>
                              <w:t>Ser.L</w:t>
                            </w:r>
                            <w:proofErr w:type="spellEnd"/>
                            <w:r w:rsidRPr="00194A6D">
                              <w:rPr>
                                <w:rFonts w:asciiTheme="minorHAnsi" w:hAnsiTheme="minorHAnsi"/>
                                <w:color w:val="FFFFFF" w:themeColor="background1"/>
                                <w:sz w:val="22"/>
                                <w:lang w:val="es-419"/>
                              </w:rPr>
                              <w:t>/V/II</w:t>
                            </w:r>
                          </w:p>
                          <w:p w14:paraId="205FC0F4" w14:textId="0E82DE72" w:rsidR="0054604E" w:rsidRPr="00194A6D" w:rsidRDefault="0054604E" w:rsidP="007A5817">
                            <w:pPr>
                              <w:spacing w:line="276" w:lineRule="auto"/>
                              <w:jc w:val="right"/>
                              <w:rPr>
                                <w:rFonts w:asciiTheme="minorHAnsi" w:hAnsiTheme="minorHAnsi"/>
                                <w:color w:val="FFFFFF" w:themeColor="background1"/>
                                <w:sz w:val="22"/>
                                <w:lang w:val="es-419"/>
                              </w:rPr>
                            </w:pPr>
                            <w:r w:rsidRPr="00194A6D">
                              <w:rPr>
                                <w:rFonts w:asciiTheme="minorHAnsi" w:hAnsiTheme="minorHAnsi"/>
                                <w:color w:val="FFFFFF" w:themeColor="background1"/>
                                <w:sz w:val="22"/>
                                <w:lang w:val="es-419"/>
                              </w:rPr>
                              <w:t xml:space="preserve">Doc. </w:t>
                            </w:r>
                            <w:r w:rsidR="00D66CE7" w:rsidRPr="00194A6D">
                              <w:rPr>
                                <w:rFonts w:asciiTheme="minorHAnsi" w:hAnsiTheme="minorHAnsi"/>
                                <w:color w:val="FFFFFF" w:themeColor="background1"/>
                                <w:sz w:val="22"/>
                                <w:lang w:val="es-419"/>
                              </w:rPr>
                              <w:t>366</w:t>
                            </w:r>
                          </w:p>
                          <w:p w14:paraId="147A2550" w14:textId="46EA1640" w:rsidR="0054604E" w:rsidRPr="00C25ADB" w:rsidRDefault="00D66CE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noviembre</w:t>
                            </w:r>
                            <w:r w:rsidR="0054604E" w:rsidRPr="00C25ADB">
                              <w:rPr>
                                <w:rFonts w:asciiTheme="minorHAnsi" w:hAnsiTheme="minorHAnsi"/>
                                <w:color w:val="FFFFFF" w:themeColor="background1"/>
                                <w:sz w:val="22"/>
                                <w:lang w:val="es-PA"/>
                              </w:rPr>
                              <w:t xml:space="preserve"> 202</w:t>
                            </w:r>
                            <w:r w:rsidR="00F167C5">
                              <w:rPr>
                                <w:rFonts w:asciiTheme="minorHAnsi" w:hAnsiTheme="minorHAnsi"/>
                                <w:color w:val="FFFFFF" w:themeColor="background1"/>
                                <w:sz w:val="22"/>
                                <w:lang w:val="es-PA"/>
                              </w:rPr>
                              <w:t>1</w:t>
                            </w:r>
                          </w:p>
                          <w:p w14:paraId="2CF62B48" w14:textId="77777777" w:rsidR="0054604E" w:rsidRPr="00C25ADB" w:rsidRDefault="0054604E"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7D2FD"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FE5DD18" w14:textId="11A598B5" w:rsidR="0054604E" w:rsidRPr="00194A6D" w:rsidRDefault="0054604E" w:rsidP="007A5817">
                      <w:pPr>
                        <w:spacing w:line="276" w:lineRule="auto"/>
                        <w:jc w:val="right"/>
                        <w:rPr>
                          <w:rFonts w:asciiTheme="minorHAnsi" w:hAnsiTheme="minorHAnsi"/>
                          <w:color w:val="FFFFFF" w:themeColor="background1"/>
                          <w:sz w:val="22"/>
                          <w:lang w:val="es-419"/>
                        </w:rPr>
                      </w:pPr>
                      <w:r w:rsidRPr="00194A6D">
                        <w:rPr>
                          <w:rFonts w:asciiTheme="minorHAnsi" w:hAnsiTheme="minorHAnsi"/>
                          <w:color w:val="FFFFFF" w:themeColor="background1"/>
                          <w:sz w:val="22"/>
                          <w:lang w:val="es-419"/>
                        </w:rPr>
                        <w:t>OEA/Ser.L/V/II</w:t>
                      </w:r>
                    </w:p>
                    <w:p w14:paraId="205FC0F4" w14:textId="0E82DE72" w:rsidR="0054604E" w:rsidRPr="00194A6D" w:rsidRDefault="0054604E" w:rsidP="007A5817">
                      <w:pPr>
                        <w:spacing w:line="276" w:lineRule="auto"/>
                        <w:jc w:val="right"/>
                        <w:rPr>
                          <w:rFonts w:asciiTheme="minorHAnsi" w:hAnsiTheme="minorHAnsi"/>
                          <w:color w:val="FFFFFF" w:themeColor="background1"/>
                          <w:sz w:val="22"/>
                          <w:lang w:val="es-419"/>
                        </w:rPr>
                      </w:pPr>
                      <w:r w:rsidRPr="00194A6D">
                        <w:rPr>
                          <w:rFonts w:asciiTheme="minorHAnsi" w:hAnsiTheme="minorHAnsi"/>
                          <w:color w:val="FFFFFF" w:themeColor="background1"/>
                          <w:sz w:val="22"/>
                          <w:lang w:val="es-419"/>
                        </w:rPr>
                        <w:t xml:space="preserve">Doc. </w:t>
                      </w:r>
                      <w:r w:rsidR="00D66CE7" w:rsidRPr="00194A6D">
                        <w:rPr>
                          <w:rFonts w:asciiTheme="minorHAnsi" w:hAnsiTheme="minorHAnsi"/>
                          <w:color w:val="FFFFFF" w:themeColor="background1"/>
                          <w:sz w:val="22"/>
                          <w:lang w:val="es-419"/>
                        </w:rPr>
                        <w:t>366</w:t>
                      </w:r>
                    </w:p>
                    <w:p w14:paraId="147A2550" w14:textId="46EA1640" w:rsidR="0054604E" w:rsidRPr="00C25ADB" w:rsidRDefault="00D66CE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noviembre</w:t>
                      </w:r>
                      <w:r w:rsidR="0054604E" w:rsidRPr="00C25ADB">
                        <w:rPr>
                          <w:rFonts w:asciiTheme="minorHAnsi" w:hAnsiTheme="minorHAnsi"/>
                          <w:color w:val="FFFFFF" w:themeColor="background1"/>
                          <w:sz w:val="22"/>
                          <w:lang w:val="es-PA"/>
                        </w:rPr>
                        <w:t xml:space="preserve"> 202</w:t>
                      </w:r>
                      <w:r w:rsidR="00F167C5">
                        <w:rPr>
                          <w:rFonts w:asciiTheme="minorHAnsi" w:hAnsiTheme="minorHAnsi"/>
                          <w:color w:val="FFFFFF" w:themeColor="background1"/>
                          <w:sz w:val="22"/>
                          <w:lang w:val="es-PA"/>
                        </w:rPr>
                        <w:t>1</w:t>
                      </w:r>
                    </w:p>
                    <w:p w14:paraId="2CF62B48" w14:textId="77777777" w:rsidR="0054604E" w:rsidRPr="00C25ADB" w:rsidRDefault="0054604E"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D0DBE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609F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C62D61"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9C79B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99375F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92192D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80C3E8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8C72F0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C653BD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B6C9A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962FE6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C5D2F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13B24A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4F9C2C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B146C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F4D98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4A8B8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D69DD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713F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09D226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3CD5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3C9306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538C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8411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52BC57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43957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CAB0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ECB05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36B31A"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D2A60FA" wp14:editId="7DD7269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E6DBB" w14:textId="3E27DE12" w:rsidR="0054604E" w:rsidRPr="00890650" w:rsidRDefault="0054604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66CE7">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D66CE7">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10292B">
                              <w:rPr>
                                <w:rFonts w:asciiTheme="majorHAnsi" w:hAnsiTheme="majorHAnsi"/>
                                <w:color w:val="0D0D0D" w:themeColor="text1" w:themeTint="F2"/>
                                <w:sz w:val="18"/>
                                <w:szCs w:val="22"/>
                                <w:lang w:val="es-ES"/>
                              </w:rPr>
                              <w:t>.</w:t>
                            </w:r>
                          </w:p>
                          <w:p w14:paraId="20B47434" w14:textId="77777777" w:rsidR="0054604E" w:rsidRPr="007A5817" w:rsidRDefault="0054604E" w:rsidP="00247403">
                            <w:pPr>
                              <w:tabs>
                                <w:tab w:val="center" w:pos="5400"/>
                              </w:tabs>
                              <w:suppressAutoHyphens/>
                              <w:spacing w:before="60"/>
                              <w:rPr>
                                <w:rFonts w:asciiTheme="minorHAnsi" w:hAnsiTheme="minorHAnsi" w:cs="Univers"/>
                                <w:color w:val="0D0D0D" w:themeColor="text1" w:themeTint="F2"/>
                                <w:sz w:val="20"/>
                                <w:szCs w:val="20"/>
                                <w:lang w:val="es-ES"/>
                              </w:rPr>
                            </w:pPr>
                          </w:p>
                          <w:p w14:paraId="45DABD7E" w14:textId="77777777" w:rsidR="0054604E" w:rsidRPr="00167A34" w:rsidRDefault="0054604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A60FA"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AAE6DBB" w14:textId="3E27DE12" w:rsidR="0054604E" w:rsidRPr="00890650" w:rsidRDefault="0054604E"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66CE7">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D66CE7">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10292B">
                        <w:rPr>
                          <w:rFonts w:asciiTheme="majorHAnsi" w:hAnsiTheme="majorHAnsi"/>
                          <w:color w:val="0D0D0D" w:themeColor="text1" w:themeTint="F2"/>
                          <w:sz w:val="18"/>
                          <w:szCs w:val="22"/>
                          <w:lang w:val="es-ES"/>
                        </w:rPr>
                        <w:t>.</w:t>
                      </w:r>
                    </w:p>
                    <w:p w14:paraId="20B47434" w14:textId="77777777" w:rsidR="0054604E" w:rsidRPr="007A5817" w:rsidRDefault="0054604E" w:rsidP="00247403">
                      <w:pPr>
                        <w:tabs>
                          <w:tab w:val="center" w:pos="5400"/>
                        </w:tabs>
                        <w:suppressAutoHyphens/>
                        <w:spacing w:before="60"/>
                        <w:rPr>
                          <w:rFonts w:asciiTheme="minorHAnsi" w:hAnsiTheme="minorHAnsi" w:cs="Univers"/>
                          <w:color w:val="0D0D0D" w:themeColor="text1" w:themeTint="F2"/>
                          <w:sz w:val="20"/>
                          <w:szCs w:val="20"/>
                          <w:lang w:val="es-ES"/>
                        </w:rPr>
                      </w:pPr>
                    </w:p>
                    <w:p w14:paraId="45DABD7E" w14:textId="77777777" w:rsidR="0054604E" w:rsidRPr="00167A34" w:rsidRDefault="0054604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081EC0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496F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3779F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24E731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A2E17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1F16665" wp14:editId="64F2193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12B1A" w14:textId="7DA2EAB6" w:rsidR="0054604E" w:rsidRPr="007B05C4" w:rsidRDefault="0054604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66CE7" w:rsidRPr="00D66CE7">
                              <w:rPr>
                                <w:rFonts w:asciiTheme="majorHAnsi" w:hAnsiTheme="majorHAnsi"/>
                                <w:color w:val="595959" w:themeColor="text1" w:themeTint="A6"/>
                                <w:sz w:val="18"/>
                                <w:szCs w:val="18"/>
                                <w:lang w:val="pt-BR"/>
                              </w:rPr>
                              <w:t>356</w:t>
                            </w:r>
                            <w:r w:rsidRPr="00D66CE7">
                              <w:rPr>
                                <w:rFonts w:asciiTheme="majorHAnsi" w:hAnsiTheme="majorHAnsi"/>
                                <w:color w:val="595959" w:themeColor="text1" w:themeTint="A6"/>
                                <w:sz w:val="18"/>
                                <w:szCs w:val="18"/>
                                <w:lang w:val="pt-BR"/>
                              </w:rPr>
                              <w:t xml:space="preserve">/21.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1616-13. </w:t>
                            </w:r>
                            <w:r w:rsidR="00D66CE7">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Pr>
                                <w:rFonts w:asciiTheme="majorHAnsi" w:hAnsiTheme="majorHAnsi"/>
                                <w:color w:val="595959" w:themeColor="text1" w:themeTint="A6"/>
                                <w:sz w:val="18"/>
                                <w:szCs w:val="18"/>
                                <w:lang w:val="es-ES_tradnl"/>
                              </w:rPr>
                              <w:t>Juan Carlos Pedraza Cuellar y Richard German Marquez Campero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D66CE7">
                              <w:rPr>
                                <w:rFonts w:asciiTheme="majorHAnsi" w:hAnsiTheme="majorHAnsi"/>
                                <w:color w:val="595959" w:themeColor="text1" w:themeTint="A6"/>
                                <w:sz w:val="18"/>
                                <w:szCs w:val="18"/>
                                <w:lang w:val="es-ES"/>
                              </w:rPr>
                              <w:t>30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1666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2112B1A" w14:textId="7DA2EAB6" w:rsidR="0054604E" w:rsidRPr="007B05C4" w:rsidRDefault="0054604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66CE7" w:rsidRPr="00D66CE7">
                        <w:rPr>
                          <w:rFonts w:asciiTheme="majorHAnsi" w:hAnsiTheme="majorHAnsi"/>
                          <w:color w:val="595959" w:themeColor="text1" w:themeTint="A6"/>
                          <w:sz w:val="18"/>
                          <w:szCs w:val="18"/>
                          <w:lang w:val="pt-BR"/>
                        </w:rPr>
                        <w:t>356</w:t>
                      </w:r>
                      <w:r w:rsidRPr="00D66CE7">
                        <w:rPr>
                          <w:rFonts w:asciiTheme="majorHAnsi" w:hAnsiTheme="majorHAnsi"/>
                          <w:color w:val="595959" w:themeColor="text1" w:themeTint="A6"/>
                          <w:sz w:val="18"/>
                          <w:szCs w:val="18"/>
                          <w:lang w:val="pt-BR"/>
                        </w:rPr>
                        <w:t xml:space="preserve">/21.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1616-13. </w:t>
                      </w:r>
                      <w:r w:rsidR="00D66CE7">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Pr>
                          <w:rFonts w:asciiTheme="majorHAnsi" w:hAnsiTheme="majorHAnsi"/>
                          <w:color w:val="595959" w:themeColor="text1" w:themeTint="A6"/>
                          <w:sz w:val="18"/>
                          <w:szCs w:val="18"/>
                          <w:lang w:val="es-ES_tradnl"/>
                        </w:rPr>
                        <w:t>Juan Carlos Pedraza Cuellar y Richard German Marquez Campero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D66CE7">
                        <w:rPr>
                          <w:rFonts w:asciiTheme="majorHAnsi" w:hAnsiTheme="majorHAnsi"/>
                          <w:color w:val="595959" w:themeColor="text1" w:themeTint="A6"/>
                          <w:sz w:val="18"/>
                          <w:szCs w:val="18"/>
                          <w:lang w:val="es-ES"/>
                        </w:rPr>
                        <w:t>30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21B0B2C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C84621" w14:textId="7975A872"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BA717FF" wp14:editId="7C31E3D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5C3D6" w14:textId="77777777" w:rsidR="0054604E" w:rsidRPr="004B7EB6" w:rsidRDefault="0054604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717F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705C3D6" w14:textId="77777777" w:rsidR="0054604E" w:rsidRPr="004B7EB6" w:rsidRDefault="0054604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83729CB" w14:textId="31CC0D95" w:rsidR="0070697F" w:rsidRDefault="00D66CE7"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6BE3BBB" wp14:editId="70905C20">
                <wp:simplePos x="0" y="0"/>
                <wp:positionH relativeFrom="column">
                  <wp:posOffset>1329690</wp:posOffset>
                </wp:positionH>
                <wp:positionV relativeFrom="paragraph">
                  <wp:posOffset>617129</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A1AE4" w14:textId="4BA0DC7B" w:rsidR="0054604E" w:rsidRPr="00D72DC6" w:rsidRDefault="00D66CE7" w:rsidP="00F02AD1">
                            <w:pPr>
                              <w:rPr>
                                <w:color w:val="FFFFFF" w:themeColor="background1"/>
                                <w14:textFill>
                                  <w14:noFill/>
                                </w14:textFill>
                              </w:rPr>
                            </w:pPr>
                            <w:r>
                              <w:rPr>
                                <w:noProof/>
                                <w:color w:val="FFFFFF" w:themeColor="background1"/>
                              </w:rPr>
                              <w:drawing>
                                <wp:inline distT="0" distB="0" distL="0" distR="0" wp14:anchorId="75373246" wp14:editId="61908E3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3BBB" id="Text Box 9" o:spid="_x0000_s1032" type="#_x0000_t202" style="position:absolute;left:0;text-align:left;margin-left:104.7pt;margin-top:48.6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" fillcolor="white [3201]" stroked="f" strokeweight=".5pt">
                <v:textbox>
                  <w:txbxContent>
                    <w:p w14:paraId="495A1AE4" w14:textId="4BA0DC7B" w:rsidR="0054604E" w:rsidRPr="00D72DC6" w:rsidRDefault="00D66CE7" w:rsidP="00F02AD1">
                      <w:pPr>
                        <w:rPr>
                          <w:color w:val="FFFFFF" w:themeColor="background1"/>
                          <w14:textFill>
                            <w14:noFill/>
                          </w14:textFill>
                        </w:rPr>
                      </w:pPr>
                      <w:r>
                        <w:rPr>
                          <w:noProof/>
                          <w:color w:val="FFFFFF" w:themeColor="background1"/>
                        </w:rPr>
                        <w:drawing>
                          <wp:inline distT="0" distB="0" distL="0" distR="0" wp14:anchorId="75373246" wp14:editId="61908E3B">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4B275C"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15F8B" w14:paraId="27BAC7D0" w14:textId="77777777" w:rsidTr="004A6A54">
        <w:tc>
          <w:tcPr>
            <w:tcW w:w="3600" w:type="dxa"/>
            <w:tcBorders>
              <w:top w:val="single" w:sz="4" w:space="0" w:color="auto"/>
              <w:bottom w:val="single" w:sz="6" w:space="0" w:color="auto"/>
            </w:tcBorders>
            <w:shd w:val="clear" w:color="auto" w:fill="386294"/>
            <w:vAlign w:val="center"/>
          </w:tcPr>
          <w:p w14:paraId="4931F3BA" w14:textId="77777777" w:rsidR="003239B8" w:rsidRPr="000D05CB" w:rsidRDefault="003239B8" w:rsidP="00E0255C">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1C5FF15A" w14:textId="0518ED31" w:rsidR="003239B8" w:rsidRPr="007B639A" w:rsidRDefault="00115F8B" w:rsidP="00E0255C">
            <w:pPr>
              <w:jc w:val="both"/>
              <w:rPr>
                <w:rFonts w:ascii="Cambria" w:hAnsi="Cambria"/>
                <w:bCs/>
                <w:sz w:val="20"/>
                <w:szCs w:val="20"/>
                <w:lang w:val="es-PA"/>
              </w:rPr>
            </w:pPr>
            <w:r>
              <w:rPr>
                <w:rFonts w:ascii="Cambria" w:hAnsi="Cambria"/>
                <w:bCs/>
                <w:sz w:val="20"/>
                <w:szCs w:val="20"/>
                <w:lang w:val="es-PA"/>
              </w:rPr>
              <w:t xml:space="preserve">Jaime Eduardo Tapia </w:t>
            </w:r>
            <w:proofErr w:type="spellStart"/>
            <w:r>
              <w:rPr>
                <w:rFonts w:ascii="Cambria" w:hAnsi="Cambria"/>
                <w:bCs/>
                <w:sz w:val="20"/>
                <w:szCs w:val="20"/>
                <w:lang w:val="es-PA"/>
              </w:rPr>
              <w:t>Cortéz</w:t>
            </w:r>
            <w:proofErr w:type="spellEnd"/>
          </w:p>
        </w:tc>
      </w:tr>
      <w:tr w:rsidR="003239B8" w:rsidRPr="0010292B" w14:paraId="5035CA40" w14:textId="77777777" w:rsidTr="004A6A54">
        <w:tc>
          <w:tcPr>
            <w:tcW w:w="3600" w:type="dxa"/>
            <w:tcBorders>
              <w:top w:val="single" w:sz="6" w:space="0" w:color="auto"/>
              <w:bottom w:val="single" w:sz="6" w:space="0" w:color="auto"/>
            </w:tcBorders>
            <w:shd w:val="clear" w:color="auto" w:fill="386294"/>
            <w:vAlign w:val="center"/>
          </w:tcPr>
          <w:p w14:paraId="4390404B" w14:textId="77777777" w:rsidR="003239B8" w:rsidRPr="000D05CB" w:rsidRDefault="00A2173B" w:rsidP="00E0255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0FFF4CE6" w14:textId="285C4CAB" w:rsidR="003239B8" w:rsidRPr="000D05CB" w:rsidRDefault="00115F8B" w:rsidP="00E0255C">
            <w:pPr>
              <w:jc w:val="both"/>
              <w:rPr>
                <w:rFonts w:ascii="Cambria" w:hAnsi="Cambria"/>
                <w:bCs/>
                <w:sz w:val="20"/>
                <w:szCs w:val="20"/>
                <w:lang w:val="es-ES"/>
              </w:rPr>
            </w:pPr>
            <w:r>
              <w:rPr>
                <w:rFonts w:ascii="Cambria" w:hAnsi="Cambria"/>
                <w:bCs/>
                <w:sz w:val="20"/>
                <w:szCs w:val="20"/>
                <w:lang w:val="es-ES"/>
              </w:rPr>
              <w:t>Juan Carlos Pedraza Cu</w:t>
            </w:r>
            <w:r w:rsidR="002E5B21">
              <w:rPr>
                <w:rFonts w:ascii="Cambria" w:hAnsi="Cambria"/>
                <w:bCs/>
                <w:sz w:val="20"/>
                <w:szCs w:val="20"/>
                <w:lang w:val="es-ES"/>
              </w:rPr>
              <w:t>é</w:t>
            </w:r>
            <w:r>
              <w:rPr>
                <w:rFonts w:ascii="Cambria" w:hAnsi="Cambria"/>
                <w:bCs/>
                <w:sz w:val="20"/>
                <w:szCs w:val="20"/>
                <w:lang w:val="es-ES"/>
              </w:rPr>
              <w:t>llar y Richard Germ</w:t>
            </w:r>
            <w:r w:rsidR="002E5B21">
              <w:rPr>
                <w:rFonts w:ascii="Cambria" w:hAnsi="Cambria"/>
                <w:bCs/>
                <w:sz w:val="20"/>
                <w:szCs w:val="20"/>
                <w:lang w:val="es-ES"/>
              </w:rPr>
              <w:t>á</w:t>
            </w:r>
            <w:r>
              <w:rPr>
                <w:rFonts w:ascii="Cambria" w:hAnsi="Cambria"/>
                <w:bCs/>
                <w:sz w:val="20"/>
                <w:szCs w:val="20"/>
                <w:lang w:val="es-ES"/>
              </w:rPr>
              <w:t>n Márquez Campero</w:t>
            </w:r>
          </w:p>
        </w:tc>
      </w:tr>
      <w:tr w:rsidR="003239B8" w14:paraId="6421D779" w14:textId="77777777" w:rsidTr="004A6A54">
        <w:tc>
          <w:tcPr>
            <w:tcW w:w="3600" w:type="dxa"/>
            <w:tcBorders>
              <w:top w:val="single" w:sz="6" w:space="0" w:color="auto"/>
              <w:bottom w:val="single" w:sz="6" w:space="0" w:color="auto"/>
            </w:tcBorders>
            <w:shd w:val="clear" w:color="auto" w:fill="386294"/>
            <w:vAlign w:val="center"/>
          </w:tcPr>
          <w:p w14:paraId="3A9CEA05" w14:textId="77777777" w:rsidR="003239B8" w:rsidRPr="000D05CB" w:rsidRDefault="003239B8" w:rsidP="00E0255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30CA8374" w14:textId="7F069631" w:rsidR="003239B8" w:rsidRPr="000D05CB" w:rsidRDefault="001B4FA1" w:rsidP="00E0255C">
            <w:pPr>
              <w:jc w:val="both"/>
              <w:rPr>
                <w:rFonts w:ascii="Cambria" w:hAnsi="Cambria"/>
                <w:bCs/>
                <w:sz w:val="20"/>
                <w:szCs w:val="20"/>
              </w:rPr>
            </w:pPr>
            <w:r>
              <w:rPr>
                <w:rFonts w:ascii="Cambria" w:hAnsi="Cambria"/>
                <w:bCs/>
                <w:sz w:val="20"/>
                <w:szCs w:val="20"/>
              </w:rPr>
              <w:t>Bolivia</w:t>
            </w:r>
          </w:p>
        </w:tc>
      </w:tr>
      <w:tr w:rsidR="00223A29" w:rsidRPr="0010292B" w14:paraId="266E3EAC" w14:textId="77777777" w:rsidTr="004A6A54">
        <w:tc>
          <w:tcPr>
            <w:tcW w:w="3600" w:type="dxa"/>
            <w:tcBorders>
              <w:top w:val="single" w:sz="6" w:space="0" w:color="auto"/>
              <w:bottom w:val="single" w:sz="6" w:space="0" w:color="auto"/>
            </w:tcBorders>
            <w:shd w:val="clear" w:color="auto" w:fill="386294"/>
            <w:vAlign w:val="center"/>
          </w:tcPr>
          <w:p w14:paraId="0154311A"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15EC5464" w14:textId="49E8AE56" w:rsidR="00223A29" w:rsidRPr="001E3E79" w:rsidRDefault="001E3E79" w:rsidP="00D56F26">
            <w:pPr>
              <w:jc w:val="both"/>
              <w:rPr>
                <w:rFonts w:ascii="Cambria" w:hAnsi="Cambria"/>
                <w:bCs/>
                <w:sz w:val="20"/>
                <w:szCs w:val="20"/>
                <w:lang w:val="es-PE"/>
              </w:rPr>
            </w:pPr>
            <w:r w:rsidRPr="001E3E79">
              <w:rPr>
                <w:rFonts w:ascii="Cambria" w:hAnsi="Cambria"/>
                <w:bCs/>
                <w:sz w:val="20"/>
                <w:szCs w:val="20"/>
                <w:lang w:val="es-PE"/>
              </w:rPr>
              <w:t>Art</w:t>
            </w:r>
            <w:r w:rsidR="000F5AC8">
              <w:rPr>
                <w:rFonts w:ascii="Cambria" w:hAnsi="Cambria"/>
                <w:bCs/>
                <w:sz w:val="20"/>
                <w:szCs w:val="20"/>
                <w:lang w:val="es-PE"/>
              </w:rPr>
              <w:t>ículos</w:t>
            </w:r>
            <w:r w:rsidR="001B4FA1">
              <w:rPr>
                <w:rFonts w:ascii="Cambria" w:hAnsi="Cambria"/>
                <w:bCs/>
                <w:sz w:val="20"/>
                <w:szCs w:val="20"/>
                <w:lang w:val="es-PE"/>
              </w:rPr>
              <w:t xml:space="preserve"> </w:t>
            </w:r>
            <w:r w:rsidR="00C5399D">
              <w:rPr>
                <w:rFonts w:ascii="Cambria" w:hAnsi="Cambria"/>
                <w:bCs/>
                <w:sz w:val="20"/>
                <w:szCs w:val="20"/>
                <w:lang w:val="es-PE"/>
              </w:rPr>
              <w:t>7</w:t>
            </w:r>
            <w:r w:rsidR="007533F9">
              <w:rPr>
                <w:rFonts w:ascii="Cambria" w:hAnsi="Cambria"/>
                <w:bCs/>
                <w:sz w:val="20"/>
                <w:szCs w:val="20"/>
                <w:lang w:val="es-PE"/>
              </w:rPr>
              <w:t xml:space="preserve"> (</w:t>
            </w:r>
            <w:r w:rsidR="00C5399D">
              <w:rPr>
                <w:rFonts w:ascii="Cambria" w:hAnsi="Cambria"/>
                <w:bCs/>
                <w:sz w:val="20"/>
                <w:szCs w:val="20"/>
                <w:lang w:val="es-PE"/>
              </w:rPr>
              <w:t>libertad personal</w:t>
            </w:r>
            <w:r w:rsidR="007533F9">
              <w:rPr>
                <w:rFonts w:ascii="Cambria" w:hAnsi="Cambria"/>
                <w:bCs/>
                <w:sz w:val="20"/>
                <w:szCs w:val="20"/>
                <w:lang w:val="es-PE"/>
              </w:rPr>
              <w:t xml:space="preserve">), </w:t>
            </w:r>
            <w:r w:rsidRPr="001E3E79">
              <w:rPr>
                <w:rFonts w:ascii="Cambria" w:hAnsi="Cambria"/>
                <w:bCs/>
                <w:sz w:val="20"/>
                <w:szCs w:val="20"/>
                <w:lang w:val="es-PE"/>
              </w:rPr>
              <w:t>8</w:t>
            </w:r>
            <w:r w:rsidR="001C7E62">
              <w:rPr>
                <w:rFonts w:ascii="Cambria" w:hAnsi="Cambria"/>
                <w:bCs/>
                <w:sz w:val="20"/>
                <w:szCs w:val="20"/>
                <w:lang w:val="es-PE"/>
              </w:rPr>
              <w:t xml:space="preserve"> (garantías judiciales)</w:t>
            </w:r>
            <w:r w:rsidRPr="001E3E79">
              <w:rPr>
                <w:rFonts w:ascii="Cambria" w:hAnsi="Cambria"/>
                <w:bCs/>
                <w:sz w:val="20"/>
                <w:szCs w:val="20"/>
                <w:lang w:val="es-PE"/>
              </w:rPr>
              <w:t xml:space="preserve"> </w:t>
            </w:r>
            <w:r w:rsidR="007533F9">
              <w:rPr>
                <w:rFonts w:ascii="Cambria" w:hAnsi="Cambria"/>
                <w:bCs/>
                <w:sz w:val="20"/>
                <w:szCs w:val="20"/>
                <w:lang w:val="es-PE"/>
              </w:rPr>
              <w:t xml:space="preserve">y </w:t>
            </w:r>
            <w:r w:rsidR="00C5399D">
              <w:rPr>
                <w:rFonts w:ascii="Cambria" w:hAnsi="Cambria"/>
                <w:bCs/>
                <w:sz w:val="20"/>
                <w:szCs w:val="20"/>
                <w:lang w:val="es-PE"/>
              </w:rPr>
              <w:t xml:space="preserve">9 </w:t>
            </w:r>
            <w:r w:rsidR="007533F9">
              <w:rPr>
                <w:rFonts w:ascii="Cambria" w:hAnsi="Cambria"/>
                <w:bCs/>
                <w:sz w:val="20"/>
                <w:szCs w:val="20"/>
                <w:lang w:val="es-PE"/>
              </w:rPr>
              <w:t>(</w:t>
            </w:r>
            <w:r w:rsidR="00C5399D">
              <w:rPr>
                <w:rFonts w:ascii="Cambria" w:hAnsi="Cambria"/>
                <w:bCs/>
                <w:sz w:val="20"/>
                <w:szCs w:val="20"/>
                <w:lang w:val="es-PE"/>
              </w:rPr>
              <w:t>principio de legalidad y de retroactividad</w:t>
            </w:r>
            <w:r w:rsidR="007533F9">
              <w:rPr>
                <w:rFonts w:ascii="Cambria" w:hAnsi="Cambria"/>
                <w:bCs/>
                <w:sz w:val="20"/>
                <w:szCs w:val="20"/>
                <w:lang w:val="es-PE"/>
              </w:rPr>
              <w:t xml:space="preserve">) </w:t>
            </w:r>
            <w:r w:rsidRPr="001E3E79">
              <w:rPr>
                <w:rFonts w:ascii="Cambria" w:hAnsi="Cambria"/>
                <w:bCs/>
                <w:sz w:val="20"/>
                <w:szCs w:val="20"/>
                <w:lang w:val="es-PE"/>
              </w:rPr>
              <w:t>de la Convenci</w:t>
            </w:r>
            <w:r w:rsidR="00503034">
              <w:rPr>
                <w:rFonts w:ascii="Cambria" w:hAnsi="Cambria"/>
                <w:bCs/>
                <w:sz w:val="20"/>
                <w:szCs w:val="20"/>
                <w:lang w:val="es-PE"/>
              </w:rPr>
              <w:t xml:space="preserve">ón Americana </w:t>
            </w:r>
            <w:r w:rsidR="00F167C5">
              <w:rPr>
                <w:rFonts w:ascii="Cambria" w:hAnsi="Cambria"/>
                <w:bCs/>
                <w:sz w:val="20"/>
                <w:szCs w:val="20"/>
                <w:lang w:val="es-PE"/>
              </w:rPr>
              <w:t>sobre</w:t>
            </w:r>
            <w:r w:rsidR="00503034">
              <w:rPr>
                <w:rFonts w:ascii="Cambria" w:hAnsi="Cambria"/>
                <w:bCs/>
                <w:sz w:val="20"/>
                <w:szCs w:val="20"/>
                <w:lang w:val="es-PE"/>
              </w:rPr>
              <w:t xml:space="preserve"> Derechos Humanos</w:t>
            </w:r>
            <w:r w:rsidR="00503034">
              <w:rPr>
                <w:rStyle w:val="FootnoteReference"/>
                <w:rFonts w:ascii="Cambria" w:hAnsi="Cambria"/>
                <w:bCs/>
                <w:sz w:val="20"/>
                <w:szCs w:val="20"/>
                <w:lang w:val="es-PE"/>
              </w:rPr>
              <w:footnoteReference w:id="2"/>
            </w:r>
            <w:r w:rsidR="00355303">
              <w:rPr>
                <w:rFonts w:ascii="Cambria" w:hAnsi="Cambria"/>
                <w:bCs/>
                <w:sz w:val="20"/>
                <w:szCs w:val="20"/>
                <w:lang w:val="es-PE"/>
              </w:rPr>
              <w:t xml:space="preserve"> </w:t>
            </w:r>
          </w:p>
        </w:tc>
      </w:tr>
    </w:tbl>
    <w:p w14:paraId="6E671041"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D6523" w14:paraId="0341FF73" w14:textId="77777777" w:rsidTr="004A6A54">
        <w:tc>
          <w:tcPr>
            <w:tcW w:w="3600" w:type="dxa"/>
            <w:tcBorders>
              <w:top w:val="single" w:sz="6" w:space="0" w:color="auto"/>
              <w:bottom w:val="single" w:sz="6" w:space="0" w:color="auto"/>
            </w:tcBorders>
            <w:shd w:val="clear" w:color="auto" w:fill="386294"/>
            <w:vAlign w:val="center"/>
          </w:tcPr>
          <w:p w14:paraId="02E785EA"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07091A48" w14:textId="0D5A00D8" w:rsidR="004C2312" w:rsidRPr="003239B8" w:rsidRDefault="00C5399D" w:rsidP="00E0255C">
            <w:pPr>
              <w:jc w:val="both"/>
              <w:rPr>
                <w:rFonts w:ascii="Cambria" w:hAnsi="Cambria"/>
                <w:bCs/>
                <w:sz w:val="20"/>
                <w:szCs w:val="20"/>
                <w:lang w:val="es-ES"/>
              </w:rPr>
            </w:pPr>
            <w:r>
              <w:rPr>
                <w:rFonts w:ascii="Cambria" w:hAnsi="Cambria"/>
                <w:bCs/>
                <w:sz w:val="20"/>
                <w:szCs w:val="20"/>
                <w:lang w:val="es-ES"/>
              </w:rPr>
              <w:t>2 de octubre de 2013</w:t>
            </w:r>
          </w:p>
        </w:tc>
      </w:tr>
      <w:tr w:rsidR="004D5091" w:rsidRPr="00115F8B" w14:paraId="53582062" w14:textId="77777777" w:rsidTr="004A6A54">
        <w:tc>
          <w:tcPr>
            <w:tcW w:w="3600" w:type="dxa"/>
            <w:tcBorders>
              <w:top w:val="single" w:sz="6" w:space="0" w:color="auto"/>
              <w:bottom w:val="single" w:sz="6" w:space="0" w:color="auto"/>
            </w:tcBorders>
            <w:shd w:val="clear" w:color="auto" w:fill="386294"/>
            <w:vAlign w:val="center"/>
          </w:tcPr>
          <w:p w14:paraId="55987F2A" w14:textId="4DD4D92B" w:rsidR="004D5091" w:rsidRDefault="00BD31BD" w:rsidP="004A6A54">
            <w:pPr>
              <w:jc w:val="center"/>
              <w:rPr>
                <w:rFonts w:ascii="Cambria" w:hAnsi="Cambria"/>
                <w:b/>
                <w:bCs/>
                <w:color w:val="FFFFFF" w:themeColor="background1"/>
                <w:sz w:val="20"/>
                <w:szCs w:val="20"/>
                <w:lang w:val="es-ES"/>
              </w:rPr>
            </w:pPr>
            <w:r w:rsidRPr="00365E52">
              <w:rPr>
                <w:rFonts w:ascii="Cambria" w:hAnsi="Cambria"/>
                <w:b/>
                <w:bCs/>
                <w:color w:val="FFFFFF"/>
                <w:sz w:val="20"/>
                <w:szCs w:val="20"/>
                <w:lang w:val="es-ES"/>
              </w:rPr>
              <w:t>Información adicional recibida durante la etapa de estudio</w:t>
            </w:r>
          </w:p>
        </w:tc>
        <w:tc>
          <w:tcPr>
            <w:tcW w:w="5760" w:type="dxa"/>
            <w:vAlign w:val="center"/>
          </w:tcPr>
          <w:p w14:paraId="565343AD" w14:textId="6E66A282" w:rsidR="004D5091" w:rsidRPr="006E48F9" w:rsidRDefault="00C5399D" w:rsidP="00E0255C">
            <w:pPr>
              <w:jc w:val="both"/>
              <w:rPr>
                <w:rFonts w:ascii="Cambria" w:hAnsi="Cambria"/>
                <w:bCs/>
                <w:sz w:val="20"/>
                <w:szCs w:val="20"/>
                <w:lang w:val="es-ES"/>
              </w:rPr>
            </w:pPr>
            <w:r>
              <w:rPr>
                <w:rFonts w:ascii="Cambria" w:hAnsi="Cambria"/>
                <w:bCs/>
                <w:sz w:val="20"/>
                <w:szCs w:val="20"/>
                <w:lang w:val="es-ES"/>
              </w:rPr>
              <w:t>1 de febrero de 2014</w:t>
            </w:r>
          </w:p>
        </w:tc>
      </w:tr>
      <w:tr w:rsidR="004C2312" w:rsidRPr="001375A5" w14:paraId="70C66C07" w14:textId="77777777" w:rsidTr="004A6A54">
        <w:tc>
          <w:tcPr>
            <w:tcW w:w="3600" w:type="dxa"/>
            <w:tcBorders>
              <w:top w:val="single" w:sz="6" w:space="0" w:color="auto"/>
              <w:bottom w:val="single" w:sz="6" w:space="0" w:color="auto"/>
            </w:tcBorders>
            <w:shd w:val="clear" w:color="auto" w:fill="386294"/>
            <w:vAlign w:val="center"/>
          </w:tcPr>
          <w:p w14:paraId="63F16371"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3E80DDB6" w14:textId="16A915E2" w:rsidR="004C2312" w:rsidRPr="003239B8" w:rsidRDefault="00BE1F02" w:rsidP="00130C92">
            <w:pPr>
              <w:jc w:val="both"/>
              <w:rPr>
                <w:rFonts w:ascii="Cambria" w:hAnsi="Cambria"/>
                <w:bCs/>
                <w:sz w:val="20"/>
                <w:szCs w:val="20"/>
                <w:lang w:val="es-ES"/>
              </w:rPr>
            </w:pPr>
            <w:r>
              <w:rPr>
                <w:rFonts w:ascii="Cambria" w:hAnsi="Cambria"/>
                <w:bCs/>
                <w:sz w:val="20"/>
                <w:szCs w:val="20"/>
                <w:lang w:val="es-ES"/>
              </w:rPr>
              <w:t>6 de abril de 2016</w:t>
            </w:r>
          </w:p>
        </w:tc>
      </w:tr>
      <w:tr w:rsidR="004C2312" w:rsidRPr="004A6A54" w14:paraId="11376893" w14:textId="77777777" w:rsidTr="004A6A54">
        <w:tc>
          <w:tcPr>
            <w:tcW w:w="3600" w:type="dxa"/>
            <w:tcBorders>
              <w:top w:val="single" w:sz="6" w:space="0" w:color="auto"/>
              <w:bottom w:val="single" w:sz="6" w:space="0" w:color="auto"/>
            </w:tcBorders>
            <w:shd w:val="clear" w:color="auto" w:fill="386294"/>
            <w:vAlign w:val="center"/>
          </w:tcPr>
          <w:p w14:paraId="072B2B61"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E2BCBD5" w14:textId="0E678BA7" w:rsidR="004C2312" w:rsidRPr="003239B8" w:rsidRDefault="00BE1F02" w:rsidP="00E0255C">
            <w:pPr>
              <w:jc w:val="both"/>
              <w:rPr>
                <w:rFonts w:ascii="Cambria" w:hAnsi="Cambria"/>
                <w:bCs/>
                <w:sz w:val="20"/>
                <w:szCs w:val="20"/>
                <w:lang w:val="es-ES"/>
              </w:rPr>
            </w:pPr>
            <w:r>
              <w:rPr>
                <w:rFonts w:ascii="Cambria" w:hAnsi="Cambria"/>
                <w:bCs/>
                <w:sz w:val="20"/>
                <w:szCs w:val="20"/>
                <w:lang w:val="es-ES"/>
              </w:rPr>
              <w:t>18 de agosto de 2016</w:t>
            </w:r>
          </w:p>
        </w:tc>
      </w:tr>
      <w:tr w:rsidR="00BD31BD" w:rsidRPr="0010292B" w14:paraId="45CC3BD6" w14:textId="77777777" w:rsidTr="004A6A54">
        <w:tc>
          <w:tcPr>
            <w:tcW w:w="3600" w:type="dxa"/>
            <w:tcBorders>
              <w:top w:val="single" w:sz="6" w:space="0" w:color="auto"/>
              <w:bottom w:val="single" w:sz="6" w:space="0" w:color="auto"/>
            </w:tcBorders>
            <w:shd w:val="clear" w:color="auto" w:fill="386294"/>
            <w:vAlign w:val="center"/>
          </w:tcPr>
          <w:p w14:paraId="024AAB14" w14:textId="14FFB0A3" w:rsidR="00BD31BD" w:rsidRDefault="00BD31BD" w:rsidP="00BD31BD">
            <w:pPr>
              <w:jc w:val="center"/>
              <w:rPr>
                <w:rFonts w:ascii="Cambria" w:hAnsi="Cambria"/>
                <w:b/>
                <w:color w:val="FFFFFF" w:themeColor="background1"/>
                <w:sz w:val="20"/>
                <w:szCs w:val="20"/>
                <w:lang w:val="es-ES"/>
              </w:rPr>
            </w:pPr>
            <w:r w:rsidRPr="00365E52">
              <w:rPr>
                <w:rFonts w:ascii="Cambria" w:hAnsi="Cambria"/>
                <w:b/>
                <w:bCs/>
                <w:color w:val="FFFFFF"/>
                <w:sz w:val="20"/>
                <w:szCs w:val="20"/>
                <w:lang w:val="es-ES"/>
              </w:rPr>
              <w:t>Observaciones adicionales de la parte peticionaria:</w:t>
            </w:r>
          </w:p>
        </w:tc>
        <w:tc>
          <w:tcPr>
            <w:tcW w:w="5760" w:type="dxa"/>
            <w:vAlign w:val="center"/>
          </w:tcPr>
          <w:p w14:paraId="0591CF59" w14:textId="30123781" w:rsidR="00BD31BD" w:rsidRDefault="00BE1F02" w:rsidP="00F62FFD">
            <w:pPr>
              <w:jc w:val="both"/>
              <w:rPr>
                <w:rFonts w:ascii="Cambria" w:hAnsi="Cambria"/>
                <w:bCs/>
                <w:sz w:val="20"/>
                <w:szCs w:val="20"/>
                <w:lang w:val="es-ES"/>
              </w:rPr>
            </w:pPr>
            <w:r>
              <w:rPr>
                <w:rFonts w:ascii="Cambria" w:hAnsi="Cambria"/>
                <w:bCs/>
                <w:sz w:val="20"/>
                <w:szCs w:val="20"/>
                <w:lang w:val="es-ES"/>
              </w:rPr>
              <w:t>19 de septiembre de 2017, 9 de agosto de 2018 y 15 de octubre de 2019</w:t>
            </w:r>
          </w:p>
        </w:tc>
      </w:tr>
      <w:tr w:rsidR="00CB77DD" w:rsidRPr="0010292B" w14:paraId="2F21F1B3" w14:textId="77777777" w:rsidTr="004A6A54">
        <w:tc>
          <w:tcPr>
            <w:tcW w:w="3600" w:type="dxa"/>
            <w:tcBorders>
              <w:top w:val="single" w:sz="6" w:space="0" w:color="auto"/>
              <w:bottom w:val="single" w:sz="6" w:space="0" w:color="auto"/>
            </w:tcBorders>
            <w:shd w:val="clear" w:color="auto" w:fill="386294"/>
            <w:vAlign w:val="center"/>
          </w:tcPr>
          <w:p w14:paraId="0620785B" w14:textId="48388922" w:rsidR="00CB77DD" w:rsidRPr="00365E52" w:rsidRDefault="00CB77DD" w:rsidP="00BD31BD">
            <w:pPr>
              <w:jc w:val="center"/>
              <w:rPr>
                <w:rFonts w:ascii="Cambria" w:hAnsi="Cambria"/>
                <w:b/>
                <w:bCs/>
                <w:color w:val="FFFFFF"/>
                <w:sz w:val="20"/>
                <w:szCs w:val="20"/>
                <w:lang w:val="es-ES"/>
              </w:rPr>
            </w:pPr>
            <w:r>
              <w:rPr>
                <w:rFonts w:ascii="Cambria" w:hAnsi="Cambria"/>
                <w:b/>
                <w:bCs/>
                <w:color w:val="FFFFFF"/>
                <w:sz w:val="20"/>
                <w:szCs w:val="20"/>
                <w:lang w:val="es-ES"/>
              </w:rPr>
              <w:t>Observaciones adicionales del Estado:</w:t>
            </w:r>
          </w:p>
        </w:tc>
        <w:tc>
          <w:tcPr>
            <w:tcW w:w="5760" w:type="dxa"/>
            <w:vAlign w:val="center"/>
          </w:tcPr>
          <w:p w14:paraId="26B5FFC5" w14:textId="77F120C6" w:rsidR="00CB77DD" w:rsidRDefault="00BE1F02" w:rsidP="007C3F5B">
            <w:pPr>
              <w:jc w:val="both"/>
              <w:rPr>
                <w:rFonts w:ascii="Cambria" w:hAnsi="Cambria"/>
                <w:bCs/>
                <w:sz w:val="20"/>
                <w:szCs w:val="20"/>
                <w:lang w:val="es-ES"/>
              </w:rPr>
            </w:pPr>
            <w:r>
              <w:rPr>
                <w:rFonts w:ascii="Cambria" w:hAnsi="Cambria"/>
                <w:bCs/>
                <w:sz w:val="20"/>
                <w:szCs w:val="20"/>
                <w:lang w:val="es-ES"/>
              </w:rPr>
              <w:t>31 de octubre de 2018 y 22 de julio de 2020</w:t>
            </w:r>
          </w:p>
        </w:tc>
      </w:tr>
    </w:tbl>
    <w:p w14:paraId="6CFFDF6B"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50E2A29D" w14:textId="77777777" w:rsidTr="00F167C5">
        <w:trPr>
          <w:cantSplit/>
        </w:trPr>
        <w:tc>
          <w:tcPr>
            <w:tcW w:w="3561" w:type="dxa"/>
            <w:tcBorders>
              <w:top w:val="single" w:sz="4" w:space="0" w:color="auto"/>
              <w:bottom w:val="single" w:sz="6" w:space="0" w:color="auto"/>
            </w:tcBorders>
            <w:shd w:val="clear" w:color="auto" w:fill="386294"/>
            <w:vAlign w:val="center"/>
          </w:tcPr>
          <w:p w14:paraId="2F2AFFDD" w14:textId="77777777" w:rsidR="003239B8" w:rsidRPr="00B3745F" w:rsidRDefault="003239B8" w:rsidP="00E0255C">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76" w:type="dxa"/>
            <w:vAlign w:val="center"/>
          </w:tcPr>
          <w:p w14:paraId="1FA67BA8" w14:textId="77777777" w:rsidR="003239B8" w:rsidRPr="00B3745F" w:rsidRDefault="001C7E62" w:rsidP="00E0255C">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13E17CD9" w14:textId="77777777" w:rsidTr="00F167C5">
        <w:trPr>
          <w:cantSplit/>
        </w:trPr>
        <w:tc>
          <w:tcPr>
            <w:tcW w:w="3561" w:type="dxa"/>
            <w:tcBorders>
              <w:top w:val="single" w:sz="6" w:space="0" w:color="auto"/>
              <w:bottom w:val="single" w:sz="6" w:space="0" w:color="auto"/>
            </w:tcBorders>
            <w:shd w:val="clear" w:color="auto" w:fill="386294"/>
            <w:vAlign w:val="center"/>
          </w:tcPr>
          <w:p w14:paraId="21853EEC" w14:textId="77777777" w:rsidR="003239B8" w:rsidRPr="00B3745F" w:rsidRDefault="003239B8" w:rsidP="00E0255C">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76" w:type="dxa"/>
            <w:vAlign w:val="center"/>
          </w:tcPr>
          <w:p w14:paraId="0FCBAE11" w14:textId="77777777" w:rsidR="003239B8" w:rsidRPr="00B3745F" w:rsidRDefault="001C7E62" w:rsidP="00E0255C">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66C21353" w14:textId="77777777" w:rsidTr="00F167C5">
        <w:trPr>
          <w:cantSplit/>
        </w:trPr>
        <w:tc>
          <w:tcPr>
            <w:tcW w:w="3561" w:type="dxa"/>
            <w:tcBorders>
              <w:top w:val="single" w:sz="6" w:space="0" w:color="auto"/>
              <w:bottom w:val="single" w:sz="6" w:space="0" w:color="auto"/>
            </w:tcBorders>
            <w:shd w:val="clear" w:color="auto" w:fill="386294"/>
            <w:vAlign w:val="center"/>
          </w:tcPr>
          <w:p w14:paraId="4C7F4CED" w14:textId="77777777" w:rsidR="003239B8" w:rsidRPr="00B3745F" w:rsidRDefault="003239B8" w:rsidP="00E0255C">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76" w:type="dxa"/>
            <w:vAlign w:val="center"/>
          </w:tcPr>
          <w:p w14:paraId="4AB6ED80" w14:textId="77777777" w:rsidR="003239B8" w:rsidRPr="00B3745F" w:rsidRDefault="001C7E62" w:rsidP="00E0255C">
            <w:pPr>
              <w:rPr>
                <w:rFonts w:ascii="Cambria" w:hAnsi="Cambria"/>
                <w:bCs/>
                <w:sz w:val="20"/>
                <w:szCs w:val="20"/>
              </w:rPr>
            </w:pPr>
            <w:proofErr w:type="spellStart"/>
            <w:r>
              <w:rPr>
                <w:rFonts w:ascii="Cambria" w:hAnsi="Cambria"/>
                <w:bCs/>
                <w:sz w:val="20"/>
                <w:szCs w:val="20"/>
              </w:rPr>
              <w:t>Sí</w:t>
            </w:r>
            <w:proofErr w:type="spellEnd"/>
          </w:p>
        </w:tc>
      </w:tr>
      <w:tr w:rsidR="003239B8" w:rsidRPr="0010292B" w14:paraId="27FA4462" w14:textId="77777777" w:rsidTr="00F167C5">
        <w:trPr>
          <w:cantSplit/>
        </w:trPr>
        <w:tc>
          <w:tcPr>
            <w:tcW w:w="3561" w:type="dxa"/>
            <w:tcBorders>
              <w:top w:val="single" w:sz="6" w:space="0" w:color="auto"/>
              <w:bottom w:val="single" w:sz="6" w:space="0" w:color="auto"/>
            </w:tcBorders>
            <w:shd w:val="clear" w:color="auto" w:fill="386294"/>
            <w:vAlign w:val="center"/>
          </w:tcPr>
          <w:p w14:paraId="3E6C5076" w14:textId="77777777" w:rsidR="003239B8" w:rsidRPr="00B3745F" w:rsidRDefault="003239B8" w:rsidP="00E0255C">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76" w:type="dxa"/>
            <w:vAlign w:val="center"/>
          </w:tcPr>
          <w:p w14:paraId="5C579BA1" w14:textId="02A8D8EA" w:rsidR="003239B8" w:rsidRPr="00B3745F" w:rsidRDefault="001C7E62" w:rsidP="0040537B">
            <w:pPr>
              <w:jc w:val="both"/>
              <w:rPr>
                <w:rFonts w:ascii="Cambria" w:hAnsi="Cambria"/>
                <w:bCs/>
                <w:sz w:val="20"/>
                <w:szCs w:val="20"/>
                <w:lang w:val="es-ES"/>
              </w:rPr>
            </w:pPr>
            <w:r>
              <w:rPr>
                <w:rFonts w:ascii="Cambria" w:hAnsi="Cambria"/>
                <w:bCs/>
                <w:sz w:val="20"/>
                <w:szCs w:val="20"/>
                <w:lang w:val="es-ES"/>
              </w:rPr>
              <w:t>Sí</w:t>
            </w:r>
            <w:r w:rsidR="000C1117">
              <w:rPr>
                <w:rFonts w:ascii="Cambria" w:hAnsi="Cambria"/>
                <w:bCs/>
                <w:sz w:val="20"/>
                <w:szCs w:val="20"/>
                <w:lang w:val="es-ES"/>
              </w:rPr>
              <w:t xml:space="preserve">, Convención Americana </w:t>
            </w:r>
            <w:r w:rsidR="008C4C96">
              <w:rPr>
                <w:rFonts w:ascii="Cambria" w:hAnsi="Cambria"/>
                <w:bCs/>
                <w:sz w:val="20"/>
                <w:szCs w:val="20"/>
                <w:lang w:val="es-ES"/>
              </w:rPr>
              <w:t xml:space="preserve">(depósito de instrumento realizado </w:t>
            </w:r>
            <w:proofErr w:type="gramStart"/>
            <w:r w:rsidR="008C4C96">
              <w:rPr>
                <w:rFonts w:ascii="Cambria" w:hAnsi="Cambria"/>
                <w:bCs/>
                <w:sz w:val="20"/>
                <w:szCs w:val="20"/>
                <w:lang w:val="es-ES"/>
              </w:rPr>
              <w:t xml:space="preserve">el  </w:t>
            </w:r>
            <w:r w:rsidR="0040537B">
              <w:rPr>
                <w:rFonts w:ascii="Cambria" w:hAnsi="Cambria"/>
                <w:bCs/>
                <w:sz w:val="20"/>
                <w:szCs w:val="20"/>
                <w:lang w:val="es-ES"/>
              </w:rPr>
              <w:t>19</w:t>
            </w:r>
            <w:proofErr w:type="gramEnd"/>
            <w:r w:rsidR="0040537B">
              <w:rPr>
                <w:rFonts w:ascii="Cambria" w:hAnsi="Cambria"/>
                <w:bCs/>
                <w:sz w:val="20"/>
                <w:szCs w:val="20"/>
                <w:lang w:val="es-ES"/>
              </w:rPr>
              <w:t xml:space="preserve"> de julio de 1979</w:t>
            </w:r>
            <w:r w:rsidR="008C4C96">
              <w:rPr>
                <w:rFonts w:ascii="Cambria" w:hAnsi="Cambria"/>
                <w:bCs/>
                <w:sz w:val="20"/>
                <w:szCs w:val="20"/>
                <w:lang w:val="es-ES"/>
              </w:rPr>
              <w:t>)</w:t>
            </w:r>
          </w:p>
        </w:tc>
      </w:tr>
    </w:tbl>
    <w:p w14:paraId="471E35B9"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1C7E62" w:rsidRPr="003239B8">
        <w:rPr>
          <w:rFonts w:asciiTheme="majorHAnsi" w:hAnsiTheme="majorHAnsi"/>
          <w:b/>
          <w:bCs/>
          <w:sz w:val="20"/>
          <w:szCs w:val="20"/>
          <w:lang w:val="es-ES"/>
        </w:rPr>
        <w:t>INTERNACIONAL</w:t>
      </w:r>
      <w:r w:rsidR="001C7E62">
        <w:rPr>
          <w:rFonts w:asciiTheme="majorHAnsi" w:hAnsiTheme="majorHAnsi"/>
          <w:b/>
          <w:bCs/>
          <w:sz w:val="20"/>
          <w:szCs w:val="20"/>
          <w:lang w:val="es-ES"/>
        </w:rPr>
        <w:t xml:space="preserve">, </w:t>
      </w:r>
      <w:r w:rsidR="001C7E62"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3"/>
        <w:gridCol w:w="5774"/>
      </w:tblGrid>
      <w:tr w:rsidR="00EE00E9" w:rsidRPr="00EF6AD6" w14:paraId="76337212" w14:textId="77777777" w:rsidTr="00F167C5">
        <w:trPr>
          <w:cantSplit/>
        </w:trPr>
        <w:tc>
          <w:tcPr>
            <w:tcW w:w="3563" w:type="dxa"/>
            <w:tcBorders>
              <w:top w:val="single" w:sz="4" w:space="0" w:color="auto"/>
              <w:bottom w:val="single" w:sz="6" w:space="0" w:color="auto"/>
            </w:tcBorders>
            <w:shd w:val="clear" w:color="auto" w:fill="386294"/>
            <w:vAlign w:val="center"/>
          </w:tcPr>
          <w:p w14:paraId="6CFFD70A" w14:textId="77777777" w:rsidR="00EE00E9" w:rsidRPr="00DC24E3" w:rsidRDefault="00EE00E9" w:rsidP="00E0255C">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4" w:type="dxa"/>
            <w:vAlign w:val="center"/>
          </w:tcPr>
          <w:p w14:paraId="2DE99CDC" w14:textId="77777777" w:rsidR="00EE00E9" w:rsidRPr="00DC24E3" w:rsidRDefault="001C7E62" w:rsidP="00E0255C">
            <w:pPr>
              <w:jc w:val="both"/>
              <w:rPr>
                <w:rFonts w:ascii="Cambria" w:hAnsi="Cambria"/>
                <w:bCs/>
                <w:sz w:val="20"/>
                <w:szCs w:val="20"/>
                <w:lang w:val="es-ES"/>
              </w:rPr>
            </w:pPr>
            <w:r>
              <w:rPr>
                <w:rFonts w:ascii="Cambria" w:hAnsi="Cambria"/>
                <w:bCs/>
                <w:sz w:val="20"/>
                <w:szCs w:val="20"/>
                <w:lang w:val="es-ES"/>
              </w:rPr>
              <w:t>No</w:t>
            </w:r>
          </w:p>
        </w:tc>
      </w:tr>
      <w:tr w:rsidR="003239B8" w:rsidRPr="001C3EF4" w14:paraId="28ACE885" w14:textId="77777777" w:rsidTr="00F167C5">
        <w:trPr>
          <w:cantSplit/>
        </w:trPr>
        <w:tc>
          <w:tcPr>
            <w:tcW w:w="3563" w:type="dxa"/>
            <w:tcBorders>
              <w:top w:val="single" w:sz="4" w:space="0" w:color="auto"/>
              <w:bottom w:val="single" w:sz="6" w:space="0" w:color="auto"/>
            </w:tcBorders>
            <w:shd w:val="clear" w:color="auto" w:fill="386294"/>
            <w:vAlign w:val="center"/>
          </w:tcPr>
          <w:p w14:paraId="2EAC07B0" w14:textId="77777777" w:rsidR="003239B8" w:rsidRPr="00DC24E3" w:rsidRDefault="003239B8" w:rsidP="00E0255C">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74" w:type="dxa"/>
            <w:vAlign w:val="center"/>
          </w:tcPr>
          <w:p w14:paraId="18AFBB30" w14:textId="6CD2B1BD" w:rsidR="003239B8" w:rsidRPr="00DE04D9" w:rsidRDefault="007C3D7F" w:rsidP="007C3F5B">
            <w:pPr>
              <w:jc w:val="both"/>
              <w:rPr>
                <w:rFonts w:ascii="Cambria" w:hAnsi="Cambria"/>
                <w:bCs/>
                <w:sz w:val="20"/>
                <w:szCs w:val="20"/>
                <w:lang w:val="es-PA"/>
              </w:rPr>
            </w:pPr>
            <w:r>
              <w:rPr>
                <w:rFonts w:ascii="Cambria" w:hAnsi="Cambria"/>
                <w:bCs/>
                <w:sz w:val="20"/>
                <w:szCs w:val="20"/>
                <w:lang w:val="es-PE"/>
              </w:rPr>
              <w:t>No</w:t>
            </w:r>
          </w:p>
        </w:tc>
      </w:tr>
      <w:tr w:rsidR="003239B8" w:rsidRPr="00115F8B" w14:paraId="53F456EE" w14:textId="77777777" w:rsidTr="00F167C5">
        <w:trPr>
          <w:cantSplit/>
        </w:trPr>
        <w:tc>
          <w:tcPr>
            <w:tcW w:w="3563" w:type="dxa"/>
            <w:tcBorders>
              <w:top w:val="single" w:sz="6" w:space="0" w:color="auto"/>
              <w:bottom w:val="single" w:sz="6" w:space="0" w:color="auto"/>
            </w:tcBorders>
            <w:shd w:val="clear" w:color="auto" w:fill="386294"/>
            <w:vAlign w:val="center"/>
          </w:tcPr>
          <w:p w14:paraId="0C61061E" w14:textId="77777777" w:rsidR="003239B8" w:rsidRPr="00DC24E3" w:rsidRDefault="003239B8" w:rsidP="00E0255C">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4" w:type="dxa"/>
            <w:vAlign w:val="center"/>
          </w:tcPr>
          <w:p w14:paraId="01347189" w14:textId="5690CC35" w:rsidR="003239B8" w:rsidRPr="002C5A6F" w:rsidRDefault="00B9002E" w:rsidP="00D56F26">
            <w:pPr>
              <w:rPr>
                <w:rFonts w:ascii="Cambria" w:hAnsi="Cambria"/>
                <w:bCs/>
                <w:sz w:val="20"/>
                <w:szCs w:val="20"/>
                <w:lang w:val="es-ES"/>
              </w:rPr>
            </w:pPr>
            <w:r w:rsidRPr="002C5A6F">
              <w:rPr>
                <w:rFonts w:ascii="Cambria" w:hAnsi="Cambria"/>
                <w:bCs/>
                <w:sz w:val="20"/>
                <w:szCs w:val="20"/>
                <w:lang w:val="es-ES"/>
              </w:rPr>
              <w:t>Sí</w:t>
            </w:r>
            <w:r w:rsidR="00DE04D9" w:rsidRPr="002C5A6F">
              <w:rPr>
                <w:rFonts w:ascii="Cambria" w:hAnsi="Cambria"/>
                <w:bCs/>
                <w:sz w:val="20"/>
                <w:szCs w:val="20"/>
                <w:lang w:val="es-ES"/>
              </w:rPr>
              <w:t xml:space="preserve">, </w:t>
            </w:r>
            <w:r w:rsidR="007C3D7F" w:rsidRPr="002C5A6F">
              <w:rPr>
                <w:rFonts w:ascii="Cambria" w:hAnsi="Cambria"/>
                <w:bCs/>
                <w:sz w:val="20"/>
                <w:szCs w:val="20"/>
                <w:lang w:val="es-ES"/>
              </w:rPr>
              <w:t>6 de septiembre de 2012</w:t>
            </w:r>
          </w:p>
        </w:tc>
      </w:tr>
      <w:tr w:rsidR="003239B8" w:rsidRPr="00115F8B" w14:paraId="5A7610C9" w14:textId="77777777" w:rsidTr="00F167C5">
        <w:trPr>
          <w:cantSplit/>
        </w:trPr>
        <w:tc>
          <w:tcPr>
            <w:tcW w:w="3563" w:type="dxa"/>
            <w:tcBorders>
              <w:top w:val="single" w:sz="6" w:space="0" w:color="auto"/>
              <w:bottom w:val="single" w:sz="6" w:space="0" w:color="auto"/>
            </w:tcBorders>
            <w:shd w:val="clear" w:color="auto" w:fill="386294"/>
            <w:vAlign w:val="center"/>
          </w:tcPr>
          <w:p w14:paraId="5FB7D136" w14:textId="77777777" w:rsidR="003239B8" w:rsidRPr="00DE04D9" w:rsidRDefault="003239B8" w:rsidP="00E0255C">
            <w:pPr>
              <w:jc w:val="center"/>
              <w:rPr>
                <w:rFonts w:ascii="Cambria" w:hAnsi="Cambria"/>
                <w:b/>
                <w:bCs/>
                <w:color w:val="FFFFFF" w:themeColor="background1"/>
                <w:sz w:val="20"/>
                <w:szCs w:val="20"/>
                <w:lang w:val="es-PA"/>
              </w:rPr>
            </w:pPr>
            <w:r w:rsidRPr="00DE04D9">
              <w:rPr>
                <w:rFonts w:ascii="Cambria" w:hAnsi="Cambria"/>
                <w:b/>
                <w:bCs/>
                <w:color w:val="FFFFFF" w:themeColor="background1"/>
                <w:sz w:val="20"/>
                <w:szCs w:val="20"/>
                <w:lang w:val="es-PA"/>
              </w:rPr>
              <w:t>Presentación dentro de plazo:</w:t>
            </w:r>
          </w:p>
        </w:tc>
        <w:tc>
          <w:tcPr>
            <w:tcW w:w="5774" w:type="dxa"/>
            <w:vAlign w:val="center"/>
          </w:tcPr>
          <w:p w14:paraId="29E1E760" w14:textId="25720741" w:rsidR="003239B8" w:rsidRPr="002C5A6F" w:rsidRDefault="007C3D7F" w:rsidP="0040537B">
            <w:pPr>
              <w:rPr>
                <w:rFonts w:ascii="Cambria" w:hAnsi="Cambria"/>
                <w:bCs/>
                <w:sz w:val="20"/>
                <w:szCs w:val="20"/>
                <w:lang w:val="es-PA"/>
              </w:rPr>
            </w:pPr>
            <w:r w:rsidRPr="002C5A6F">
              <w:rPr>
                <w:rFonts w:ascii="Cambria" w:hAnsi="Cambria"/>
                <w:bCs/>
                <w:sz w:val="20"/>
                <w:szCs w:val="20"/>
                <w:lang w:val="es-PA"/>
              </w:rPr>
              <w:t>No</w:t>
            </w:r>
          </w:p>
        </w:tc>
      </w:tr>
    </w:tbl>
    <w:p w14:paraId="32DF7664" w14:textId="77777777" w:rsidR="004D4ECA" w:rsidRDefault="004D4ECA" w:rsidP="004D4ECA">
      <w:pPr>
        <w:ind w:firstLine="720"/>
        <w:jc w:val="both"/>
        <w:rPr>
          <w:rFonts w:asciiTheme="majorHAnsi" w:hAnsiTheme="majorHAnsi"/>
          <w:b/>
          <w:sz w:val="20"/>
          <w:szCs w:val="20"/>
          <w:lang w:val="es-ES_tradnl"/>
        </w:rPr>
      </w:pPr>
    </w:p>
    <w:p w14:paraId="7E6ED0B9" w14:textId="5FE36D28" w:rsidR="003239B8" w:rsidRPr="00095478" w:rsidRDefault="00223A29" w:rsidP="004D4ECA">
      <w:pPr>
        <w:ind w:firstLine="720"/>
        <w:jc w:val="both"/>
        <w:rPr>
          <w:rFonts w:asciiTheme="majorHAnsi" w:hAnsiTheme="majorHAnsi"/>
          <w:b/>
          <w:sz w:val="20"/>
          <w:szCs w:val="20"/>
          <w:lang w:val="es-ES_tradnl"/>
        </w:rPr>
      </w:pPr>
      <w:r w:rsidRPr="00095478">
        <w:rPr>
          <w:rFonts w:asciiTheme="majorHAnsi" w:hAnsiTheme="majorHAnsi"/>
          <w:b/>
          <w:sz w:val="20"/>
          <w:szCs w:val="20"/>
          <w:lang w:val="es-ES_tradnl"/>
        </w:rPr>
        <w:t xml:space="preserve">V. </w:t>
      </w:r>
      <w:r w:rsidRPr="00095478">
        <w:rPr>
          <w:rFonts w:asciiTheme="majorHAnsi" w:hAnsiTheme="majorHAnsi"/>
          <w:b/>
          <w:sz w:val="20"/>
          <w:szCs w:val="20"/>
          <w:lang w:val="es-ES_tradnl"/>
        </w:rPr>
        <w:tab/>
      </w:r>
      <w:r w:rsidR="003239B8" w:rsidRPr="00095478">
        <w:rPr>
          <w:rFonts w:asciiTheme="majorHAnsi" w:hAnsiTheme="majorHAnsi"/>
          <w:b/>
          <w:sz w:val="20"/>
          <w:szCs w:val="20"/>
          <w:lang w:val="es-ES_tradnl"/>
        </w:rPr>
        <w:t xml:space="preserve">HECHOS ALEGADOS </w:t>
      </w:r>
    </w:p>
    <w:p w14:paraId="0B466A24" w14:textId="77777777" w:rsidR="004D4ECA" w:rsidRDefault="004D4ECA" w:rsidP="004D4EC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4AA270F5" w14:textId="2762A80B" w:rsidR="004935DA" w:rsidRDefault="00F167C5"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olor w:val="auto"/>
          <w:sz w:val="20"/>
          <w:szCs w:val="20"/>
          <w:lang w:val="es-ES_tradnl"/>
        </w:rPr>
        <w:t xml:space="preserve">El peticionario alega que </w:t>
      </w:r>
      <w:r w:rsidR="00C33769" w:rsidRPr="00095478">
        <w:rPr>
          <w:rFonts w:asciiTheme="majorHAnsi" w:hAnsiTheme="majorHAnsi"/>
          <w:color w:val="auto"/>
          <w:sz w:val="20"/>
          <w:szCs w:val="20"/>
          <w:lang w:val="es-ES_tradnl"/>
        </w:rPr>
        <w:t>Juan Carlos Pedraza Cu</w:t>
      </w:r>
      <w:r w:rsidR="002E5B21" w:rsidRPr="00095478">
        <w:rPr>
          <w:rFonts w:asciiTheme="majorHAnsi" w:hAnsiTheme="majorHAnsi"/>
          <w:color w:val="auto"/>
          <w:sz w:val="20"/>
          <w:szCs w:val="20"/>
          <w:lang w:val="es-ES_tradnl"/>
        </w:rPr>
        <w:t>é</w:t>
      </w:r>
      <w:r w:rsidR="00C33769" w:rsidRPr="00095478">
        <w:rPr>
          <w:rFonts w:asciiTheme="majorHAnsi" w:hAnsiTheme="majorHAnsi"/>
          <w:color w:val="auto"/>
          <w:sz w:val="20"/>
          <w:szCs w:val="20"/>
          <w:lang w:val="es-ES_tradnl"/>
        </w:rPr>
        <w:t>llar y Richard Germ</w:t>
      </w:r>
      <w:r w:rsidR="002E5B21" w:rsidRPr="00095478">
        <w:rPr>
          <w:rFonts w:asciiTheme="majorHAnsi" w:hAnsiTheme="majorHAnsi"/>
          <w:color w:val="auto"/>
          <w:sz w:val="20"/>
          <w:szCs w:val="20"/>
          <w:lang w:val="es-ES_tradnl"/>
        </w:rPr>
        <w:t>á</w:t>
      </w:r>
      <w:r w:rsidR="00C33769" w:rsidRPr="00095478">
        <w:rPr>
          <w:rFonts w:asciiTheme="majorHAnsi" w:hAnsiTheme="majorHAnsi"/>
          <w:color w:val="auto"/>
          <w:sz w:val="20"/>
          <w:szCs w:val="20"/>
          <w:lang w:val="es-ES_tradnl"/>
        </w:rPr>
        <w:t xml:space="preserve">n Márquez Campero </w:t>
      </w:r>
      <w:r w:rsidR="0032716F">
        <w:rPr>
          <w:rFonts w:asciiTheme="majorHAnsi" w:hAnsiTheme="majorHAnsi"/>
          <w:color w:val="auto"/>
          <w:sz w:val="20"/>
          <w:szCs w:val="20"/>
          <w:lang w:val="es-ES_tradnl"/>
        </w:rPr>
        <w:t xml:space="preserve">(en adelante, conjuntamente, “las presuntas víctimas”) </w:t>
      </w:r>
      <w:r w:rsidR="00C33769" w:rsidRPr="00095478">
        <w:rPr>
          <w:rFonts w:asciiTheme="majorHAnsi" w:hAnsiTheme="majorHAnsi"/>
          <w:color w:val="auto"/>
          <w:sz w:val="20"/>
          <w:szCs w:val="20"/>
          <w:lang w:val="es-ES_tradnl"/>
        </w:rPr>
        <w:t>fueron condenados penalmente por una autoridad que no era competente para ello</w:t>
      </w:r>
      <w:r w:rsidR="0032716F">
        <w:rPr>
          <w:rFonts w:asciiTheme="majorHAnsi" w:hAnsiTheme="majorHAnsi"/>
          <w:color w:val="auto"/>
          <w:sz w:val="20"/>
          <w:szCs w:val="20"/>
          <w:lang w:val="es-ES_tradnl"/>
        </w:rPr>
        <w:t>,</w:t>
      </w:r>
      <w:r w:rsidR="00C33769" w:rsidRPr="00095478">
        <w:rPr>
          <w:rFonts w:asciiTheme="majorHAnsi" w:hAnsiTheme="majorHAnsi"/>
          <w:color w:val="auto"/>
          <w:sz w:val="20"/>
          <w:szCs w:val="20"/>
          <w:lang w:val="es-ES_tradnl"/>
        </w:rPr>
        <w:t xml:space="preserve"> mediante una decisión que no cumplió con los requisitos mínimos exigidos </w:t>
      </w:r>
      <w:r w:rsidR="00A7157B" w:rsidRPr="00095478">
        <w:rPr>
          <w:rFonts w:asciiTheme="majorHAnsi" w:hAnsiTheme="majorHAnsi"/>
          <w:color w:val="auto"/>
          <w:sz w:val="20"/>
          <w:szCs w:val="20"/>
          <w:lang w:val="es-ES_tradnl"/>
        </w:rPr>
        <w:t>en la ley para la validez de las</w:t>
      </w:r>
      <w:r w:rsidR="00C33769" w:rsidRPr="00095478">
        <w:rPr>
          <w:rFonts w:asciiTheme="majorHAnsi" w:hAnsiTheme="majorHAnsi"/>
          <w:color w:val="auto"/>
          <w:sz w:val="20"/>
          <w:szCs w:val="20"/>
          <w:lang w:val="es-ES_tradnl"/>
        </w:rPr>
        <w:t xml:space="preserve"> sentencias condenatorias</w:t>
      </w:r>
      <w:r w:rsidR="00A7157B" w:rsidRPr="00095478">
        <w:rPr>
          <w:rFonts w:asciiTheme="majorHAnsi" w:hAnsiTheme="majorHAnsi"/>
          <w:color w:val="auto"/>
          <w:sz w:val="20"/>
          <w:szCs w:val="20"/>
          <w:lang w:val="es-ES_tradnl"/>
        </w:rPr>
        <w:t xml:space="preserve"> en materia penal</w:t>
      </w:r>
      <w:r w:rsidR="00C33769" w:rsidRPr="00095478">
        <w:rPr>
          <w:rFonts w:asciiTheme="majorHAnsi" w:hAnsiTheme="majorHAnsi"/>
          <w:color w:val="auto"/>
          <w:sz w:val="20"/>
          <w:szCs w:val="20"/>
          <w:lang w:val="es-ES_tradnl"/>
        </w:rPr>
        <w:t xml:space="preserve">. También denuncia que </w:t>
      </w:r>
      <w:r w:rsidR="004935DA" w:rsidRPr="00095478">
        <w:rPr>
          <w:rFonts w:asciiTheme="majorHAnsi" w:hAnsiTheme="majorHAnsi"/>
          <w:color w:val="auto"/>
          <w:sz w:val="20"/>
          <w:szCs w:val="20"/>
          <w:lang w:val="es-ES_tradnl"/>
        </w:rPr>
        <w:t>se les he negado una protección judicial efectiva ante la violación de sus derechos</w:t>
      </w:r>
      <w:r w:rsidR="0032716F">
        <w:rPr>
          <w:rFonts w:asciiTheme="majorHAnsi" w:hAnsiTheme="majorHAnsi"/>
          <w:color w:val="auto"/>
          <w:sz w:val="20"/>
          <w:szCs w:val="20"/>
          <w:lang w:val="es-ES_tradnl"/>
        </w:rPr>
        <w:t>;</w:t>
      </w:r>
      <w:r w:rsidR="004935DA" w:rsidRPr="00095478">
        <w:rPr>
          <w:rFonts w:asciiTheme="majorHAnsi" w:hAnsiTheme="majorHAnsi"/>
          <w:color w:val="auto"/>
          <w:sz w:val="20"/>
          <w:szCs w:val="20"/>
          <w:lang w:val="es-ES_tradnl"/>
        </w:rPr>
        <w:t xml:space="preserve"> que se les denegó una excepción de prescripción mediante una decisión revocada por falta de fundamentación, </w:t>
      </w:r>
      <w:r w:rsidR="0032716F">
        <w:rPr>
          <w:rFonts w:asciiTheme="majorHAnsi" w:hAnsiTheme="majorHAnsi"/>
          <w:color w:val="auto"/>
          <w:sz w:val="20"/>
          <w:szCs w:val="20"/>
          <w:lang w:val="es-ES_tradnl"/>
        </w:rPr>
        <w:t>seguida de</w:t>
      </w:r>
      <w:r w:rsidR="004935DA" w:rsidRPr="00095478">
        <w:rPr>
          <w:rFonts w:asciiTheme="majorHAnsi" w:hAnsiTheme="majorHAnsi"/>
          <w:color w:val="auto"/>
          <w:sz w:val="20"/>
          <w:szCs w:val="20"/>
          <w:lang w:val="es-ES_tradnl"/>
        </w:rPr>
        <w:t xml:space="preserve"> una nueva decisión </w:t>
      </w:r>
      <w:r w:rsidR="0032716F">
        <w:rPr>
          <w:rFonts w:asciiTheme="majorHAnsi" w:hAnsiTheme="majorHAnsi"/>
          <w:color w:val="auto"/>
          <w:sz w:val="20"/>
          <w:szCs w:val="20"/>
          <w:lang w:val="es-ES_tradnl"/>
        </w:rPr>
        <w:t xml:space="preserve">que les </w:t>
      </w:r>
      <w:proofErr w:type="spellStart"/>
      <w:r w:rsidR="0032716F">
        <w:rPr>
          <w:rFonts w:asciiTheme="majorHAnsi" w:hAnsiTheme="majorHAnsi"/>
          <w:color w:val="auto"/>
          <w:sz w:val="20"/>
          <w:szCs w:val="20"/>
          <w:lang w:val="es-ES_tradnl"/>
        </w:rPr>
        <w:t>aplic</w:t>
      </w:r>
      <w:r w:rsidR="0032716F">
        <w:rPr>
          <w:rFonts w:asciiTheme="majorHAnsi" w:hAnsiTheme="majorHAnsi"/>
          <w:color w:val="auto"/>
          <w:sz w:val="20"/>
          <w:szCs w:val="20"/>
          <w:lang w:val="es-ES"/>
        </w:rPr>
        <w:t>ó</w:t>
      </w:r>
      <w:proofErr w:type="spellEnd"/>
      <w:r w:rsidR="0032716F">
        <w:rPr>
          <w:rFonts w:asciiTheme="majorHAnsi" w:hAnsiTheme="majorHAnsi"/>
          <w:color w:val="auto"/>
          <w:sz w:val="20"/>
          <w:szCs w:val="20"/>
          <w:lang w:val="es-ES_tradnl"/>
        </w:rPr>
        <w:t xml:space="preserve"> </w:t>
      </w:r>
      <w:r w:rsidR="004935DA" w:rsidRPr="00095478">
        <w:rPr>
          <w:rFonts w:asciiTheme="majorHAnsi" w:hAnsiTheme="majorHAnsi"/>
          <w:color w:val="auto"/>
          <w:sz w:val="20"/>
          <w:szCs w:val="20"/>
          <w:lang w:val="es-ES_tradnl"/>
        </w:rPr>
        <w:t>normas desfavorables adoptadas luego de la decisión original que había sido revocada.</w:t>
      </w:r>
    </w:p>
    <w:p w14:paraId="0ED573FC" w14:textId="77777777" w:rsidR="004D4ECA" w:rsidRPr="004D4ECA" w:rsidRDefault="004D4ECA" w:rsidP="004D4EC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77147A4" w14:textId="50775164" w:rsidR="00FE03F7" w:rsidRDefault="0032716F"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Pr>
          <w:rFonts w:asciiTheme="majorHAnsi" w:hAnsiTheme="majorHAnsi"/>
          <w:color w:val="auto"/>
          <w:sz w:val="20"/>
          <w:szCs w:val="20"/>
          <w:lang w:val="es-ES_tradnl"/>
        </w:rPr>
        <w:t xml:space="preserve">Las </w:t>
      </w:r>
      <w:r w:rsidR="00485403" w:rsidRPr="00095478">
        <w:rPr>
          <w:rFonts w:asciiTheme="majorHAnsi" w:hAnsiTheme="majorHAnsi"/>
          <w:color w:val="auto"/>
          <w:sz w:val="20"/>
          <w:szCs w:val="20"/>
          <w:lang w:val="es-ES_tradnl"/>
        </w:rPr>
        <w:t xml:space="preserve">presuntas víctimas laboraban para el Servicio de Impuestos Nacionales de Tarija </w:t>
      </w:r>
      <w:r>
        <w:rPr>
          <w:rFonts w:asciiTheme="majorHAnsi" w:hAnsiTheme="majorHAnsi"/>
          <w:color w:val="auto"/>
          <w:sz w:val="20"/>
          <w:szCs w:val="20"/>
          <w:lang w:val="es-ES_tradnl"/>
        </w:rPr>
        <w:t xml:space="preserve">en </w:t>
      </w:r>
      <w:r w:rsidR="00485403" w:rsidRPr="00095478">
        <w:rPr>
          <w:rFonts w:asciiTheme="majorHAnsi" w:hAnsiTheme="majorHAnsi"/>
          <w:color w:val="auto"/>
          <w:sz w:val="20"/>
          <w:szCs w:val="20"/>
          <w:lang w:val="es-ES_tradnl"/>
        </w:rPr>
        <w:t xml:space="preserve">los cargos de </w:t>
      </w:r>
      <w:r w:rsidR="0074455B" w:rsidRPr="00095478">
        <w:rPr>
          <w:rFonts w:asciiTheme="majorHAnsi" w:hAnsiTheme="majorHAnsi"/>
          <w:color w:val="auto"/>
          <w:sz w:val="20"/>
          <w:szCs w:val="20"/>
          <w:lang w:val="es-ES_tradnl"/>
        </w:rPr>
        <w:t>S</w:t>
      </w:r>
      <w:r w:rsidR="00485403" w:rsidRPr="00095478">
        <w:rPr>
          <w:rFonts w:asciiTheme="majorHAnsi" w:hAnsiTheme="majorHAnsi"/>
          <w:color w:val="auto"/>
          <w:sz w:val="20"/>
          <w:szCs w:val="20"/>
          <w:lang w:val="es-ES_tradnl"/>
        </w:rPr>
        <w:t xml:space="preserve">upervisor II y </w:t>
      </w:r>
      <w:proofErr w:type="gramStart"/>
      <w:r w:rsidR="0074455B" w:rsidRPr="00095478">
        <w:rPr>
          <w:rFonts w:asciiTheme="majorHAnsi" w:hAnsiTheme="majorHAnsi"/>
          <w:color w:val="auto"/>
          <w:sz w:val="20"/>
          <w:szCs w:val="20"/>
          <w:lang w:val="es-ES_tradnl"/>
        </w:rPr>
        <w:t>J</w:t>
      </w:r>
      <w:r w:rsidR="00485403" w:rsidRPr="00095478">
        <w:rPr>
          <w:rFonts w:asciiTheme="majorHAnsi" w:hAnsiTheme="majorHAnsi"/>
          <w:color w:val="auto"/>
          <w:sz w:val="20"/>
          <w:szCs w:val="20"/>
          <w:lang w:val="es-ES_tradnl"/>
        </w:rPr>
        <w:t>efe</w:t>
      </w:r>
      <w:proofErr w:type="gramEnd"/>
      <w:r w:rsidR="00485403" w:rsidRPr="00095478">
        <w:rPr>
          <w:rFonts w:asciiTheme="majorHAnsi" w:hAnsiTheme="majorHAnsi"/>
          <w:color w:val="auto"/>
          <w:sz w:val="20"/>
          <w:szCs w:val="20"/>
          <w:lang w:val="es-ES_tradnl"/>
        </w:rPr>
        <w:t xml:space="preserve"> de la Unidad Jurídica</w:t>
      </w:r>
      <w:r>
        <w:rPr>
          <w:rFonts w:asciiTheme="majorHAnsi" w:hAnsiTheme="majorHAnsi"/>
          <w:color w:val="auto"/>
          <w:sz w:val="20"/>
          <w:szCs w:val="20"/>
          <w:lang w:val="es-ES_tradnl"/>
        </w:rPr>
        <w:t>, respectivamente</w:t>
      </w:r>
      <w:r w:rsidR="00EF63A9" w:rsidRPr="00095478">
        <w:rPr>
          <w:rFonts w:asciiTheme="majorHAnsi" w:hAnsiTheme="majorHAnsi"/>
          <w:color w:val="auto"/>
          <w:sz w:val="20"/>
          <w:szCs w:val="20"/>
          <w:lang w:val="es-ES_tradnl"/>
        </w:rPr>
        <w:t xml:space="preserve">. </w:t>
      </w:r>
      <w:r w:rsidR="00C14D64" w:rsidRPr="00095478">
        <w:rPr>
          <w:rFonts w:asciiTheme="majorHAnsi" w:hAnsiTheme="majorHAnsi"/>
          <w:color w:val="auto"/>
          <w:sz w:val="20"/>
          <w:szCs w:val="20"/>
          <w:lang w:val="es-ES_tradnl"/>
        </w:rPr>
        <w:t>E</w:t>
      </w:r>
      <w:r w:rsidR="00EF63A9" w:rsidRPr="00095478">
        <w:rPr>
          <w:rFonts w:asciiTheme="majorHAnsi" w:hAnsiTheme="majorHAnsi"/>
          <w:color w:val="auto"/>
          <w:sz w:val="20"/>
          <w:szCs w:val="20"/>
          <w:lang w:val="es-ES_tradnl"/>
        </w:rPr>
        <w:t>n el desempeño de sus funciones</w:t>
      </w:r>
      <w:r>
        <w:rPr>
          <w:rFonts w:asciiTheme="majorHAnsi" w:hAnsiTheme="majorHAnsi"/>
          <w:color w:val="auto"/>
          <w:sz w:val="20"/>
          <w:szCs w:val="20"/>
          <w:lang w:val="es-ES_tradnl"/>
        </w:rPr>
        <w:t>,</w:t>
      </w:r>
      <w:r w:rsidR="00EF63A9" w:rsidRPr="00095478">
        <w:rPr>
          <w:rFonts w:asciiTheme="majorHAnsi" w:hAnsiTheme="majorHAnsi"/>
          <w:color w:val="auto"/>
          <w:sz w:val="20"/>
          <w:szCs w:val="20"/>
          <w:lang w:val="es-ES_tradnl"/>
        </w:rPr>
        <w:t xml:space="preserve"> </w:t>
      </w:r>
      <w:r w:rsidR="00EF63A9" w:rsidRPr="00095478">
        <w:rPr>
          <w:rFonts w:asciiTheme="majorHAnsi" w:hAnsiTheme="majorHAnsi"/>
          <w:color w:val="auto"/>
          <w:sz w:val="20"/>
          <w:szCs w:val="20"/>
          <w:lang w:val="es-ES_tradnl"/>
        </w:rPr>
        <w:lastRenderedPageBreak/>
        <w:t>conocieron la solicitud de una empresa qu</w:t>
      </w:r>
      <w:r w:rsidR="00EA09CA" w:rsidRPr="00095478">
        <w:rPr>
          <w:rFonts w:asciiTheme="majorHAnsi" w:hAnsiTheme="majorHAnsi"/>
          <w:color w:val="auto"/>
          <w:sz w:val="20"/>
          <w:szCs w:val="20"/>
          <w:lang w:val="es-ES_tradnl"/>
        </w:rPr>
        <w:t>e</w:t>
      </w:r>
      <w:r w:rsidR="00EF63A9" w:rsidRPr="00095478">
        <w:rPr>
          <w:rFonts w:asciiTheme="majorHAnsi" w:hAnsiTheme="majorHAnsi"/>
          <w:color w:val="auto"/>
          <w:sz w:val="20"/>
          <w:szCs w:val="20"/>
          <w:lang w:val="es-ES_tradnl"/>
        </w:rPr>
        <w:t xml:space="preserve"> pedía pagar su deuda tributaria con fundos de terreno por razones de iliquidez. </w:t>
      </w:r>
      <w:r>
        <w:rPr>
          <w:rFonts w:asciiTheme="majorHAnsi" w:hAnsiTheme="majorHAnsi"/>
          <w:color w:val="auto"/>
          <w:sz w:val="20"/>
          <w:szCs w:val="20"/>
          <w:lang w:val="es-ES_tradnl"/>
        </w:rPr>
        <w:t xml:space="preserve">La </w:t>
      </w:r>
      <w:r w:rsidR="00EF63A9" w:rsidRPr="00095478">
        <w:rPr>
          <w:rFonts w:asciiTheme="majorHAnsi" w:hAnsiTheme="majorHAnsi"/>
          <w:color w:val="auto"/>
          <w:sz w:val="20"/>
          <w:szCs w:val="20"/>
          <w:lang w:val="es-ES_tradnl"/>
        </w:rPr>
        <w:t xml:space="preserve">propuesta de la empresa fue elevada en consulta a las autoridades de la institución, </w:t>
      </w:r>
      <w:r w:rsidR="000D2263">
        <w:rPr>
          <w:rFonts w:asciiTheme="majorHAnsi" w:hAnsiTheme="majorHAnsi"/>
          <w:color w:val="auto"/>
          <w:sz w:val="20"/>
          <w:szCs w:val="20"/>
          <w:lang w:val="es-ES_tradnl"/>
        </w:rPr>
        <w:t xml:space="preserve">que accedió a ella </w:t>
      </w:r>
      <w:r w:rsidR="000D2263" w:rsidRPr="00095478">
        <w:rPr>
          <w:rFonts w:asciiTheme="majorHAnsi" w:hAnsiTheme="majorHAnsi"/>
          <w:color w:val="auto"/>
          <w:sz w:val="20"/>
          <w:szCs w:val="20"/>
          <w:lang w:val="es-ES_tradnl"/>
        </w:rPr>
        <w:t>mediante resolución del 26 de septiembre de 2000</w:t>
      </w:r>
      <w:r w:rsidR="000D2263">
        <w:rPr>
          <w:rFonts w:asciiTheme="majorHAnsi" w:hAnsiTheme="majorHAnsi"/>
          <w:color w:val="auto"/>
          <w:sz w:val="20"/>
          <w:szCs w:val="20"/>
          <w:lang w:val="es-ES_tradnl"/>
        </w:rPr>
        <w:t xml:space="preserve">, </w:t>
      </w:r>
      <w:r w:rsidR="00EF63A9" w:rsidRPr="00095478">
        <w:rPr>
          <w:rFonts w:asciiTheme="majorHAnsi" w:hAnsiTheme="majorHAnsi"/>
          <w:color w:val="auto"/>
          <w:sz w:val="20"/>
          <w:szCs w:val="20"/>
          <w:lang w:val="es-ES_tradnl"/>
        </w:rPr>
        <w:t xml:space="preserve">luego de consultas y peritajes. </w:t>
      </w:r>
    </w:p>
    <w:p w14:paraId="0C7A58E6" w14:textId="77777777" w:rsidR="004D4ECA" w:rsidRPr="004D4ECA" w:rsidRDefault="004D4ECA" w:rsidP="004D4EC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3CBF9EE" w14:textId="6FA64BA8" w:rsidR="0073315F" w:rsidRPr="00095478" w:rsidRDefault="000D2263"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Pr>
          <w:rFonts w:asciiTheme="majorHAnsi" w:hAnsiTheme="majorHAnsi"/>
          <w:color w:val="auto"/>
          <w:sz w:val="20"/>
          <w:szCs w:val="20"/>
          <w:lang w:val="es-ES_tradnl"/>
        </w:rPr>
        <w:t>En</w:t>
      </w:r>
      <w:r w:rsidR="00314568" w:rsidRPr="00095478">
        <w:rPr>
          <w:rFonts w:asciiTheme="majorHAnsi" w:hAnsiTheme="majorHAnsi"/>
          <w:color w:val="auto"/>
          <w:sz w:val="20"/>
          <w:szCs w:val="20"/>
          <w:lang w:val="es-ES_tradnl"/>
        </w:rPr>
        <w:t xml:space="preserve"> </w:t>
      </w:r>
      <w:r w:rsidR="00EF63A9" w:rsidRPr="00095478">
        <w:rPr>
          <w:rFonts w:asciiTheme="majorHAnsi" w:hAnsiTheme="majorHAnsi"/>
          <w:color w:val="auto"/>
          <w:sz w:val="20"/>
          <w:szCs w:val="20"/>
          <w:lang w:val="es-ES_tradnl"/>
        </w:rPr>
        <w:t xml:space="preserve">noviembre de 2005 la representación de Impuestos Nacionales </w:t>
      </w:r>
      <w:r>
        <w:rPr>
          <w:rFonts w:asciiTheme="majorHAnsi" w:hAnsiTheme="majorHAnsi"/>
          <w:color w:val="auto"/>
          <w:sz w:val="20"/>
          <w:szCs w:val="20"/>
          <w:lang w:val="es-ES_tradnl"/>
        </w:rPr>
        <w:t xml:space="preserve">denunció a </w:t>
      </w:r>
      <w:r w:rsidRPr="00095478">
        <w:rPr>
          <w:rFonts w:asciiTheme="majorHAnsi" w:hAnsiTheme="majorHAnsi"/>
          <w:color w:val="auto"/>
          <w:sz w:val="20"/>
          <w:szCs w:val="20"/>
          <w:lang w:val="es-ES_tradnl"/>
        </w:rPr>
        <w:t>las presuntas víctimas por</w:t>
      </w:r>
      <w:r w:rsidR="00372391" w:rsidRPr="00095478">
        <w:rPr>
          <w:rFonts w:asciiTheme="majorHAnsi" w:hAnsiTheme="majorHAnsi"/>
          <w:color w:val="auto"/>
          <w:sz w:val="20"/>
          <w:szCs w:val="20"/>
          <w:lang w:val="es-ES_tradnl"/>
        </w:rPr>
        <w:t>que</w:t>
      </w:r>
      <w:r w:rsidR="00EF63A9" w:rsidRPr="00095478">
        <w:rPr>
          <w:rFonts w:asciiTheme="majorHAnsi" w:hAnsiTheme="majorHAnsi"/>
          <w:color w:val="auto"/>
          <w:sz w:val="20"/>
          <w:szCs w:val="20"/>
          <w:lang w:val="es-ES_tradnl"/>
        </w:rPr>
        <w:t xml:space="preserve"> </w:t>
      </w:r>
      <w:r>
        <w:rPr>
          <w:rFonts w:asciiTheme="majorHAnsi" w:hAnsiTheme="majorHAnsi"/>
          <w:color w:val="auto"/>
          <w:sz w:val="20"/>
          <w:szCs w:val="20"/>
          <w:lang w:val="es-ES_tradnl"/>
        </w:rPr>
        <w:t xml:space="preserve">supuestamente </w:t>
      </w:r>
      <w:r w:rsidR="00EF63A9" w:rsidRPr="00095478">
        <w:rPr>
          <w:rFonts w:asciiTheme="majorHAnsi" w:hAnsiTheme="majorHAnsi"/>
          <w:color w:val="auto"/>
          <w:sz w:val="20"/>
          <w:szCs w:val="20"/>
          <w:lang w:val="es-ES_tradnl"/>
        </w:rPr>
        <w:t>habían causado un daño al patrimonio del E</w:t>
      </w:r>
      <w:r w:rsidR="003C0081" w:rsidRPr="00095478">
        <w:rPr>
          <w:rFonts w:asciiTheme="majorHAnsi" w:hAnsiTheme="majorHAnsi"/>
          <w:color w:val="auto"/>
          <w:sz w:val="20"/>
          <w:szCs w:val="20"/>
          <w:lang w:val="es-ES_tradnl"/>
        </w:rPr>
        <w:t>stado</w:t>
      </w:r>
      <w:r>
        <w:rPr>
          <w:rFonts w:asciiTheme="majorHAnsi" w:hAnsiTheme="majorHAnsi"/>
          <w:color w:val="auto"/>
          <w:sz w:val="20"/>
          <w:szCs w:val="20"/>
          <w:lang w:val="es-ES_tradnl"/>
        </w:rPr>
        <w:t>,</w:t>
      </w:r>
      <w:r w:rsidR="003C0081" w:rsidRPr="00095478">
        <w:rPr>
          <w:rFonts w:asciiTheme="majorHAnsi" w:hAnsiTheme="majorHAnsi"/>
          <w:color w:val="auto"/>
          <w:sz w:val="20"/>
          <w:szCs w:val="20"/>
          <w:lang w:val="es-ES_tradnl"/>
        </w:rPr>
        <w:t xml:space="preserve"> al permiti</w:t>
      </w:r>
      <w:r>
        <w:rPr>
          <w:rFonts w:asciiTheme="majorHAnsi" w:hAnsiTheme="majorHAnsi"/>
          <w:color w:val="auto"/>
          <w:sz w:val="20"/>
          <w:szCs w:val="20"/>
          <w:lang w:val="es-ES_tradnl"/>
        </w:rPr>
        <w:t>r</w:t>
      </w:r>
      <w:r w:rsidR="003C0081" w:rsidRPr="00095478">
        <w:rPr>
          <w:rFonts w:asciiTheme="majorHAnsi" w:hAnsiTheme="majorHAnsi"/>
          <w:color w:val="auto"/>
          <w:sz w:val="20"/>
          <w:szCs w:val="20"/>
          <w:lang w:val="es-ES_tradnl"/>
        </w:rPr>
        <w:t xml:space="preserve"> que la empresa </w:t>
      </w:r>
      <w:r w:rsidR="00641983" w:rsidRPr="00095478">
        <w:rPr>
          <w:rFonts w:asciiTheme="majorHAnsi" w:hAnsiTheme="majorHAnsi"/>
          <w:color w:val="auto"/>
          <w:sz w:val="20"/>
          <w:szCs w:val="20"/>
          <w:lang w:val="es-ES_tradnl"/>
        </w:rPr>
        <w:t>pagara su deuda con un fundo</w:t>
      </w:r>
      <w:r w:rsidR="00372391" w:rsidRPr="00095478">
        <w:rPr>
          <w:rFonts w:asciiTheme="majorHAnsi" w:hAnsiTheme="majorHAnsi"/>
          <w:color w:val="auto"/>
          <w:sz w:val="20"/>
          <w:szCs w:val="20"/>
          <w:lang w:val="es-ES_tradnl"/>
        </w:rPr>
        <w:t>.</w:t>
      </w:r>
      <w:r w:rsidR="00641983" w:rsidRPr="00095478">
        <w:rPr>
          <w:rFonts w:asciiTheme="majorHAnsi" w:hAnsiTheme="majorHAnsi"/>
          <w:color w:val="auto"/>
          <w:sz w:val="20"/>
          <w:szCs w:val="20"/>
          <w:lang w:val="es-ES_tradnl"/>
        </w:rPr>
        <w:t xml:space="preserve"> </w:t>
      </w:r>
      <w:r w:rsidR="00372391" w:rsidRPr="00095478">
        <w:rPr>
          <w:rFonts w:asciiTheme="majorHAnsi" w:hAnsiTheme="majorHAnsi"/>
          <w:color w:val="auto"/>
          <w:sz w:val="20"/>
          <w:szCs w:val="20"/>
          <w:lang w:val="es-ES_tradnl"/>
        </w:rPr>
        <w:t>E</w:t>
      </w:r>
      <w:r w:rsidR="003C0081" w:rsidRPr="00095478">
        <w:rPr>
          <w:rFonts w:asciiTheme="majorHAnsi" w:hAnsiTheme="majorHAnsi"/>
          <w:color w:val="auto"/>
          <w:sz w:val="20"/>
          <w:szCs w:val="20"/>
          <w:lang w:val="es-ES_tradnl"/>
        </w:rPr>
        <w:t xml:space="preserve">n octubre de 2007 </w:t>
      </w:r>
      <w:r w:rsidR="00641983" w:rsidRPr="00095478">
        <w:rPr>
          <w:rFonts w:asciiTheme="majorHAnsi" w:hAnsiTheme="majorHAnsi"/>
          <w:color w:val="auto"/>
          <w:sz w:val="20"/>
          <w:szCs w:val="20"/>
          <w:lang w:val="es-ES_tradnl"/>
        </w:rPr>
        <w:t xml:space="preserve">el Ministerio Público </w:t>
      </w:r>
      <w:r w:rsidR="003C0081" w:rsidRPr="00095478">
        <w:rPr>
          <w:rFonts w:asciiTheme="majorHAnsi" w:hAnsiTheme="majorHAnsi"/>
          <w:color w:val="auto"/>
          <w:sz w:val="20"/>
          <w:szCs w:val="20"/>
          <w:lang w:val="es-ES_tradnl"/>
        </w:rPr>
        <w:t>emiti</w:t>
      </w:r>
      <w:r>
        <w:rPr>
          <w:rFonts w:asciiTheme="majorHAnsi" w:hAnsiTheme="majorHAnsi"/>
          <w:color w:val="auto"/>
          <w:sz w:val="20"/>
          <w:szCs w:val="20"/>
          <w:lang w:val="es-ES_tradnl"/>
        </w:rPr>
        <w:t>ó</w:t>
      </w:r>
      <w:r w:rsidR="003C0081" w:rsidRPr="00095478">
        <w:rPr>
          <w:rFonts w:asciiTheme="majorHAnsi" w:hAnsiTheme="majorHAnsi"/>
          <w:color w:val="auto"/>
          <w:sz w:val="20"/>
          <w:szCs w:val="20"/>
          <w:lang w:val="es-ES_tradnl"/>
        </w:rPr>
        <w:t xml:space="preserve"> </w:t>
      </w:r>
      <w:r>
        <w:rPr>
          <w:rFonts w:asciiTheme="majorHAnsi" w:hAnsiTheme="majorHAnsi"/>
          <w:color w:val="auto"/>
          <w:sz w:val="20"/>
          <w:szCs w:val="20"/>
          <w:lang w:val="es-ES_tradnl"/>
        </w:rPr>
        <w:t xml:space="preserve">la </w:t>
      </w:r>
      <w:r w:rsidR="003C0081" w:rsidRPr="00095478">
        <w:rPr>
          <w:rFonts w:asciiTheme="majorHAnsi" w:hAnsiTheme="majorHAnsi"/>
          <w:color w:val="auto"/>
          <w:sz w:val="20"/>
          <w:szCs w:val="20"/>
          <w:lang w:val="es-ES_tradnl"/>
        </w:rPr>
        <w:t>acusación formal contra las presuntas víctimas</w:t>
      </w:r>
      <w:r>
        <w:rPr>
          <w:rFonts w:asciiTheme="majorHAnsi" w:hAnsiTheme="majorHAnsi"/>
          <w:color w:val="auto"/>
          <w:sz w:val="20"/>
          <w:szCs w:val="20"/>
          <w:lang w:val="es-ES_tradnl"/>
        </w:rPr>
        <w:t>, a las que</w:t>
      </w:r>
      <w:r w:rsidR="003C0081" w:rsidRPr="00095478">
        <w:rPr>
          <w:rFonts w:asciiTheme="majorHAnsi" w:hAnsiTheme="majorHAnsi"/>
          <w:color w:val="auto"/>
          <w:sz w:val="20"/>
          <w:szCs w:val="20"/>
          <w:lang w:val="es-ES_tradnl"/>
        </w:rPr>
        <w:t xml:space="preserve"> sindic</w:t>
      </w:r>
      <w:r>
        <w:rPr>
          <w:rFonts w:asciiTheme="majorHAnsi" w:hAnsiTheme="majorHAnsi"/>
          <w:color w:val="auto"/>
          <w:sz w:val="20"/>
          <w:szCs w:val="20"/>
          <w:lang w:val="es-ES_tradnl"/>
        </w:rPr>
        <w:t>ó</w:t>
      </w:r>
      <w:r w:rsidR="003C0081" w:rsidRPr="00095478">
        <w:rPr>
          <w:rFonts w:asciiTheme="majorHAnsi" w:hAnsiTheme="majorHAnsi"/>
          <w:color w:val="auto"/>
          <w:sz w:val="20"/>
          <w:szCs w:val="20"/>
          <w:lang w:val="es-ES_tradnl"/>
        </w:rPr>
        <w:t xml:space="preserve"> por los delitos de uso indebido de influencias y conducta antiecon</w:t>
      </w:r>
      <w:r w:rsidR="00641983" w:rsidRPr="00095478">
        <w:rPr>
          <w:rFonts w:asciiTheme="majorHAnsi" w:hAnsiTheme="majorHAnsi"/>
          <w:color w:val="auto"/>
          <w:sz w:val="20"/>
          <w:szCs w:val="20"/>
          <w:lang w:val="es-ES_tradnl"/>
        </w:rPr>
        <w:t xml:space="preserve">ómica. </w:t>
      </w:r>
      <w:r w:rsidR="00A07802" w:rsidRPr="00095478">
        <w:rPr>
          <w:rFonts w:asciiTheme="majorHAnsi" w:hAnsiTheme="majorHAnsi"/>
          <w:color w:val="auto"/>
          <w:sz w:val="20"/>
          <w:szCs w:val="20"/>
          <w:lang w:val="es-ES_tradnl"/>
        </w:rPr>
        <w:t>E</w:t>
      </w:r>
      <w:r w:rsidR="00641983" w:rsidRPr="00095478">
        <w:rPr>
          <w:rFonts w:asciiTheme="majorHAnsi" w:hAnsiTheme="majorHAnsi"/>
          <w:color w:val="auto"/>
          <w:sz w:val="20"/>
          <w:szCs w:val="20"/>
          <w:lang w:val="es-ES_tradnl"/>
        </w:rPr>
        <w:t xml:space="preserve">n primera instancia el Tribunal de Sentencia de Tarija </w:t>
      </w:r>
      <w:r>
        <w:rPr>
          <w:rFonts w:asciiTheme="majorHAnsi" w:hAnsiTheme="majorHAnsi"/>
          <w:color w:val="auto"/>
          <w:sz w:val="20"/>
          <w:szCs w:val="20"/>
          <w:lang w:val="es-ES_tradnl"/>
        </w:rPr>
        <w:t>absolvió a</w:t>
      </w:r>
      <w:r w:rsidR="00641983" w:rsidRPr="00095478">
        <w:rPr>
          <w:rFonts w:asciiTheme="majorHAnsi" w:hAnsiTheme="majorHAnsi"/>
          <w:color w:val="auto"/>
          <w:sz w:val="20"/>
          <w:szCs w:val="20"/>
          <w:lang w:val="es-ES_tradnl"/>
        </w:rPr>
        <w:t xml:space="preserve"> las presuntas víctimas por </w:t>
      </w:r>
      <w:r w:rsidR="00A07802" w:rsidRPr="00095478">
        <w:rPr>
          <w:rFonts w:asciiTheme="majorHAnsi" w:hAnsiTheme="majorHAnsi"/>
          <w:color w:val="auto"/>
          <w:sz w:val="20"/>
          <w:szCs w:val="20"/>
          <w:lang w:val="es-ES_tradnl"/>
        </w:rPr>
        <w:t>considerar</w:t>
      </w:r>
      <w:r w:rsidR="00641983" w:rsidRPr="00095478">
        <w:rPr>
          <w:rFonts w:asciiTheme="majorHAnsi" w:hAnsiTheme="majorHAnsi"/>
          <w:color w:val="auto"/>
          <w:sz w:val="20"/>
          <w:szCs w:val="20"/>
          <w:lang w:val="es-ES_tradnl"/>
        </w:rPr>
        <w:t xml:space="preserve"> que la prueba aportada había sido insuficiente para generar convicción sobre</w:t>
      </w:r>
      <w:r>
        <w:rPr>
          <w:rFonts w:asciiTheme="majorHAnsi" w:hAnsiTheme="majorHAnsi"/>
          <w:color w:val="auto"/>
          <w:sz w:val="20"/>
          <w:szCs w:val="20"/>
          <w:lang w:val="es-ES_tradnl"/>
        </w:rPr>
        <w:t xml:space="preserve"> su</w:t>
      </w:r>
      <w:r w:rsidR="00641983" w:rsidRPr="00095478">
        <w:rPr>
          <w:rFonts w:asciiTheme="majorHAnsi" w:hAnsiTheme="majorHAnsi"/>
          <w:color w:val="auto"/>
          <w:sz w:val="20"/>
          <w:szCs w:val="20"/>
          <w:lang w:val="es-ES_tradnl"/>
        </w:rPr>
        <w:t xml:space="preserve"> responsabilidad penal. </w:t>
      </w:r>
      <w:r w:rsidR="00BF3900">
        <w:rPr>
          <w:rFonts w:asciiTheme="majorHAnsi" w:hAnsiTheme="majorHAnsi"/>
          <w:color w:val="auto"/>
          <w:sz w:val="20"/>
          <w:szCs w:val="20"/>
          <w:lang w:val="es-ES_tradnl"/>
        </w:rPr>
        <w:t>El</w:t>
      </w:r>
      <w:r w:rsidR="00641983" w:rsidRPr="00095478">
        <w:rPr>
          <w:rFonts w:asciiTheme="majorHAnsi" w:hAnsiTheme="majorHAnsi"/>
          <w:color w:val="auto"/>
          <w:sz w:val="20"/>
          <w:szCs w:val="20"/>
          <w:lang w:val="es-ES_tradnl"/>
        </w:rPr>
        <w:t xml:space="preserve"> Ministerio Público e Impuestos </w:t>
      </w:r>
      <w:r w:rsidR="00A07802" w:rsidRPr="00095478">
        <w:rPr>
          <w:rFonts w:asciiTheme="majorHAnsi" w:hAnsiTheme="majorHAnsi"/>
          <w:color w:val="auto"/>
          <w:sz w:val="20"/>
          <w:szCs w:val="20"/>
          <w:lang w:val="es-ES_tradnl"/>
        </w:rPr>
        <w:t>N</w:t>
      </w:r>
      <w:r w:rsidR="00641983" w:rsidRPr="00095478">
        <w:rPr>
          <w:rFonts w:asciiTheme="majorHAnsi" w:hAnsiTheme="majorHAnsi"/>
          <w:color w:val="auto"/>
          <w:sz w:val="20"/>
          <w:szCs w:val="20"/>
          <w:lang w:val="es-ES_tradnl"/>
        </w:rPr>
        <w:t>acionales apelaron la sentencia</w:t>
      </w:r>
      <w:r>
        <w:rPr>
          <w:rFonts w:asciiTheme="majorHAnsi" w:hAnsiTheme="majorHAnsi"/>
          <w:color w:val="auto"/>
          <w:sz w:val="20"/>
          <w:szCs w:val="20"/>
          <w:lang w:val="es-ES_tradnl"/>
        </w:rPr>
        <w:t>,</w:t>
      </w:r>
      <w:r w:rsidR="00641983" w:rsidRPr="00095478">
        <w:rPr>
          <w:rFonts w:asciiTheme="majorHAnsi" w:hAnsiTheme="majorHAnsi"/>
          <w:color w:val="auto"/>
          <w:sz w:val="20"/>
          <w:szCs w:val="20"/>
          <w:lang w:val="es-ES_tradnl"/>
        </w:rPr>
        <w:t xml:space="preserve"> </w:t>
      </w:r>
      <w:r>
        <w:rPr>
          <w:rFonts w:asciiTheme="majorHAnsi" w:hAnsiTheme="majorHAnsi"/>
          <w:color w:val="auto"/>
          <w:sz w:val="20"/>
          <w:szCs w:val="20"/>
          <w:lang w:val="es-ES_tradnl"/>
        </w:rPr>
        <w:t xml:space="preserve">y posteriormente </w:t>
      </w:r>
      <w:r w:rsidR="00641983" w:rsidRPr="00095478">
        <w:rPr>
          <w:rFonts w:asciiTheme="majorHAnsi" w:hAnsiTheme="majorHAnsi"/>
          <w:color w:val="auto"/>
          <w:sz w:val="20"/>
          <w:szCs w:val="20"/>
          <w:lang w:val="es-ES_tradnl"/>
        </w:rPr>
        <w:t>la Sala Penal de la Corte Superior de Tarija mantuv</w:t>
      </w:r>
      <w:r>
        <w:rPr>
          <w:rFonts w:asciiTheme="majorHAnsi" w:hAnsiTheme="majorHAnsi"/>
          <w:color w:val="auto"/>
          <w:sz w:val="20"/>
          <w:szCs w:val="20"/>
          <w:lang w:val="es-ES_tradnl"/>
        </w:rPr>
        <w:t>o</w:t>
      </w:r>
      <w:r w:rsidR="00641983" w:rsidRPr="00095478">
        <w:rPr>
          <w:rFonts w:asciiTheme="majorHAnsi" w:hAnsiTheme="majorHAnsi"/>
          <w:color w:val="auto"/>
          <w:sz w:val="20"/>
          <w:szCs w:val="20"/>
          <w:lang w:val="es-ES_tradnl"/>
        </w:rPr>
        <w:t xml:space="preserve"> la absolución respecto al supuesto uso indebido de </w:t>
      </w:r>
      <w:r w:rsidR="00853794" w:rsidRPr="00095478">
        <w:rPr>
          <w:rFonts w:asciiTheme="majorHAnsi" w:hAnsiTheme="majorHAnsi"/>
          <w:color w:val="auto"/>
          <w:sz w:val="20"/>
          <w:szCs w:val="20"/>
          <w:lang w:val="es-ES_tradnl"/>
        </w:rPr>
        <w:t>influencias</w:t>
      </w:r>
      <w:r w:rsidR="00BF3900">
        <w:rPr>
          <w:rFonts w:asciiTheme="majorHAnsi" w:hAnsiTheme="majorHAnsi"/>
          <w:color w:val="auto"/>
          <w:sz w:val="20"/>
          <w:szCs w:val="20"/>
          <w:lang w:val="es-ES_tradnl"/>
        </w:rPr>
        <w:t xml:space="preserve">; sin embargo, </w:t>
      </w:r>
      <w:r w:rsidR="00641983" w:rsidRPr="00095478">
        <w:rPr>
          <w:rFonts w:asciiTheme="majorHAnsi" w:hAnsiTheme="majorHAnsi"/>
          <w:color w:val="auto"/>
          <w:sz w:val="20"/>
          <w:szCs w:val="20"/>
          <w:lang w:val="es-ES_tradnl"/>
        </w:rPr>
        <w:t>declar</w:t>
      </w:r>
      <w:r w:rsidR="00BF3900">
        <w:rPr>
          <w:rFonts w:asciiTheme="majorHAnsi" w:hAnsiTheme="majorHAnsi"/>
          <w:color w:val="auto"/>
          <w:sz w:val="20"/>
          <w:szCs w:val="20"/>
          <w:lang w:val="es-ES_tradnl"/>
        </w:rPr>
        <w:t>ó</w:t>
      </w:r>
      <w:r w:rsidR="00641983" w:rsidRPr="00095478">
        <w:rPr>
          <w:rFonts w:asciiTheme="majorHAnsi" w:hAnsiTheme="majorHAnsi"/>
          <w:color w:val="auto"/>
          <w:sz w:val="20"/>
          <w:szCs w:val="20"/>
          <w:lang w:val="es-ES_tradnl"/>
        </w:rPr>
        <w:t xml:space="preserve"> a las presuntas víctimas responsables penalmente por conducta antieconómica</w:t>
      </w:r>
      <w:r w:rsidR="00BF3900">
        <w:rPr>
          <w:rFonts w:asciiTheme="majorHAnsi" w:hAnsiTheme="majorHAnsi"/>
          <w:color w:val="auto"/>
          <w:sz w:val="20"/>
          <w:szCs w:val="20"/>
          <w:lang w:val="es-ES_tradnl"/>
        </w:rPr>
        <w:t>,</w:t>
      </w:r>
      <w:r w:rsidR="00641983" w:rsidRPr="00095478">
        <w:rPr>
          <w:rFonts w:asciiTheme="majorHAnsi" w:hAnsiTheme="majorHAnsi"/>
          <w:color w:val="auto"/>
          <w:sz w:val="20"/>
          <w:szCs w:val="20"/>
          <w:lang w:val="es-ES_tradnl"/>
        </w:rPr>
        <w:t xml:space="preserve"> y les </w:t>
      </w:r>
      <w:r w:rsidR="008C67F0" w:rsidRPr="00095478">
        <w:rPr>
          <w:rFonts w:asciiTheme="majorHAnsi" w:hAnsiTheme="majorHAnsi"/>
          <w:color w:val="auto"/>
          <w:sz w:val="20"/>
          <w:szCs w:val="20"/>
          <w:lang w:val="es-ES_tradnl"/>
        </w:rPr>
        <w:t>impus</w:t>
      </w:r>
      <w:r w:rsidR="00BF3900">
        <w:rPr>
          <w:rFonts w:asciiTheme="majorHAnsi" w:hAnsiTheme="majorHAnsi"/>
          <w:color w:val="auto"/>
          <w:sz w:val="20"/>
          <w:szCs w:val="20"/>
          <w:lang w:val="es-ES_tradnl"/>
        </w:rPr>
        <w:t>o</w:t>
      </w:r>
      <w:r w:rsidR="008C67F0" w:rsidRPr="00095478">
        <w:rPr>
          <w:rFonts w:asciiTheme="majorHAnsi" w:hAnsiTheme="majorHAnsi"/>
          <w:color w:val="auto"/>
          <w:sz w:val="20"/>
          <w:szCs w:val="20"/>
          <w:lang w:val="es-ES_tradnl"/>
        </w:rPr>
        <w:t xml:space="preserve"> una condena de </w:t>
      </w:r>
      <w:r w:rsidR="00A07802" w:rsidRPr="00095478">
        <w:rPr>
          <w:rFonts w:asciiTheme="majorHAnsi" w:hAnsiTheme="majorHAnsi"/>
          <w:color w:val="auto"/>
          <w:sz w:val="20"/>
          <w:szCs w:val="20"/>
          <w:lang w:val="es-ES_tradnl"/>
        </w:rPr>
        <w:t>tres</w:t>
      </w:r>
      <w:r w:rsidR="008C67F0" w:rsidRPr="00095478">
        <w:rPr>
          <w:rFonts w:asciiTheme="majorHAnsi" w:hAnsiTheme="majorHAnsi"/>
          <w:color w:val="auto"/>
          <w:sz w:val="20"/>
          <w:szCs w:val="20"/>
          <w:lang w:val="es-ES_tradnl"/>
        </w:rPr>
        <w:t xml:space="preserve"> años de reclusión</w:t>
      </w:r>
      <w:r w:rsidR="00A07802" w:rsidRPr="00095478">
        <w:rPr>
          <w:rFonts w:asciiTheme="majorHAnsi" w:hAnsiTheme="majorHAnsi"/>
          <w:color w:val="auto"/>
          <w:sz w:val="20"/>
          <w:szCs w:val="20"/>
          <w:lang w:val="es-ES_tradnl"/>
        </w:rPr>
        <w:t>.</w:t>
      </w:r>
      <w:r w:rsidR="003C0081" w:rsidRPr="00095478">
        <w:rPr>
          <w:rFonts w:asciiTheme="majorHAnsi" w:hAnsiTheme="majorHAnsi"/>
          <w:color w:val="auto"/>
          <w:sz w:val="20"/>
          <w:szCs w:val="20"/>
          <w:lang w:val="es-ES_tradnl"/>
        </w:rPr>
        <w:t xml:space="preserve"> </w:t>
      </w:r>
    </w:p>
    <w:p w14:paraId="462246F0" w14:textId="77777777" w:rsidR="004D4ECA" w:rsidRDefault="004D4ECA" w:rsidP="004D4EC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410686E6" w14:textId="2C084805" w:rsidR="00A80109" w:rsidRDefault="00BF3900"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Pr>
          <w:rFonts w:asciiTheme="majorHAnsi" w:hAnsiTheme="majorHAnsi"/>
          <w:color w:val="auto"/>
          <w:sz w:val="20"/>
          <w:szCs w:val="20"/>
          <w:lang w:val="es-ES_tradnl"/>
        </w:rPr>
        <w:t>El</w:t>
      </w:r>
      <w:r w:rsidR="000A3E6E" w:rsidRPr="00095478">
        <w:rPr>
          <w:rFonts w:asciiTheme="majorHAnsi" w:hAnsiTheme="majorHAnsi"/>
          <w:color w:val="auto"/>
          <w:sz w:val="20"/>
          <w:szCs w:val="20"/>
          <w:lang w:val="es-ES_tradnl"/>
        </w:rPr>
        <w:t xml:space="preserve"> peticionari</w:t>
      </w:r>
      <w:r>
        <w:rPr>
          <w:rFonts w:asciiTheme="majorHAnsi" w:hAnsiTheme="majorHAnsi"/>
          <w:color w:val="auto"/>
          <w:sz w:val="20"/>
          <w:szCs w:val="20"/>
          <w:lang w:val="es-ES_tradnl"/>
        </w:rPr>
        <w:t>o</w:t>
      </w:r>
      <w:r w:rsidR="000A3E6E" w:rsidRPr="00095478">
        <w:rPr>
          <w:rFonts w:asciiTheme="majorHAnsi" w:hAnsiTheme="majorHAnsi"/>
          <w:color w:val="auto"/>
          <w:sz w:val="20"/>
          <w:szCs w:val="20"/>
          <w:lang w:val="es-ES_tradnl"/>
        </w:rPr>
        <w:t xml:space="preserve"> alega que la</w:t>
      </w:r>
      <w:r w:rsidR="00853794" w:rsidRPr="00095478">
        <w:rPr>
          <w:rFonts w:asciiTheme="majorHAnsi" w:hAnsiTheme="majorHAnsi"/>
          <w:color w:val="auto"/>
          <w:sz w:val="20"/>
          <w:szCs w:val="20"/>
          <w:lang w:val="es-ES_tradnl"/>
        </w:rPr>
        <w:t xml:space="preserve"> </w:t>
      </w:r>
      <w:r>
        <w:rPr>
          <w:rFonts w:asciiTheme="majorHAnsi" w:hAnsiTheme="majorHAnsi"/>
          <w:color w:val="auto"/>
          <w:sz w:val="20"/>
          <w:szCs w:val="20"/>
          <w:lang w:val="es-ES_tradnl"/>
        </w:rPr>
        <w:t xml:space="preserve">referida </w:t>
      </w:r>
      <w:r w:rsidR="00853794" w:rsidRPr="00095478">
        <w:rPr>
          <w:rFonts w:asciiTheme="majorHAnsi" w:hAnsiTheme="majorHAnsi"/>
          <w:color w:val="auto"/>
          <w:sz w:val="20"/>
          <w:szCs w:val="20"/>
          <w:lang w:val="es-ES_tradnl"/>
        </w:rPr>
        <w:t xml:space="preserve">condena </w:t>
      </w:r>
      <w:r w:rsidR="00FE1EF2" w:rsidRPr="00095478">
        <w:rPr>
          <w:rFonts w:asciiTheme="majorHAnsi" w:hAnsiTheme="majorHAnsi"/>
          <w:color w:val="auto"/>
          <w:sz w:val="20"/>
          <w:szCs w:val="20"/>
          <w:lang w:val="es-ES_tradnl"/>
        </w:rPr>
        <w:t>fue ilícita</w:t>
      </w:r>
      <w:r w:rsidR="000A3E6E" w:rsidRPr="00095478">
        <w:rPr>
          <w:rFonts w:asciiTheme="majorHAnsi" w:hAnsiTheme="majorHAnsi"/>
          <w:color w:val="auto"/>
          <w:sz w:val="20"/>
          <w:szCs w:val="20"/>
          <w:lang w:val="es-ES_tradnl"/>
        </w:rPr>
        <w:t>,</w:t>
      </w:r>
      <w:r w:rsidR="00853794" w:rsidRPr="00095478">
        <w:rPr>
          <w:rFonts w:asciiTheme="majorHAnsi" w:hAnsiTheme="majorHAnsi"/>
          <w:color w:val="auto"/>
          <w:sz w:val="20"/>
          <w:szCs w:val="20"/>
          <w:lang w:val="es-ES_tradnl"/>
        </w:rPr>
        <w:t xml:space="preserve"> pues la Sala Penal</w:t>
      </w:r>
      <w:r w:rsidR="001C3EF4" w:rsidRPr="00095478">
        <w:rPr>
          <w:rFonts w:asciiTheme="majorHAnsi" w:hAnsiTheme="majorHAnsi"/>
          <w:color w:val="auto"/>
          <w:sz w:val="20"/>
          <w:szCs w:val="20"/>
          <w:lang w:val="es-ES_tradnl"/>
        </w:rPr>
        <w:t xml:space="preserve"> de la Corte Superior de Tarija</w:t>
      </w:r>
      <w:r w:rsidR="00853794" w:rsidRPr="00095478">
        <w:rPr>
          <w:rFonts w:asciiTheme="majorHAnsi" w:hAnsiTheme="majorHAnsi"/>
          <w:color w:val="auto"/>
          <w:sz w:val="20"/>
          <w:szCs w:val="20"/>
          <w:lang w:val="es-ES_tradnl"/>
        </w:rPr>
        <w:t xml:space="preserve"> invocó una norma que le otorgaba competencia para reparar directamente los defectos de las sentencias de primera instancia cuando se comprobara inobservancia de la ley o su errónea aplicación, </w:t>
      </w:r>
      <w:r>
        <w:rPr>
          <w:rFonts w:asciiTheme="majorHAnsi" w:hAnsiTheme="majorHAnsi"/>
          <w:color w:val="auto"/>
          <w:sz w:val="20"/>
          <w:szCs w:val="20"/>
          <w:lang w:val="es-ES_tradnl"/>
        </w:rPr>
        <w:t xml:space="preserve">a pesar de </w:t>
      </w:r>
      <w:r w:rsidR="00853794" w:rsidRPr="00095478">
        <w:rPr>
          <w:rFonts w:asciiTheme="majorHAnsi" w:hAnsiTheme="majorHAnsi"/>
          <w:color w:val="auto"/>
          <w:sz w:val="20"/>
          <w:szCs w:val="20"/>
          <w:lang w:val="es-ES_tradnl"/>
        </w:rPr>
        <w:t xml:space="preserve">que </w:t>
      </w:r>
      <w:r w:rsidR="00FE1EF2" w:rsidRPr="00095478">
        <w:rPr>
          <w:rFonts w:asciiTheme="majorHAnsi" w:hAnsiTheme="majorHAnsi"/>
          <w:color w:val="auto"/>
          <w:sz w:val="20"/>
          <w:szCs w:val="20"/>
          <w:lang w:val="es-ES_tradnl"/>
        </w:rPr>
        <w:t xml:space="preserve">el supuesto defecto de la sentencia absolutoria era de valoración defectuosa de la prueba. </w:t>
      </w:r>
      <w:r>
        <w:rPr>
          <w:rFonts w:asciiTheme="majorHAnsi" w:hAnsiTheme="majorHAnsi"/>
          <w:color w:val="auto"/>
          <w:sz w:val="20"/>
          <w:szCs w:val="20"/>
          <w:lang w:val="es-ES_tradnl"/>
        </w:rPr>
        <w:t>El peticionario</w:t>
      </w:r>
      <w:r w:rsidR="000A3E6E" w:rsidRPr="00095478">
        <w:rPr>
          <w:rFonts w:asciiTheme="majorHAnsi" w:hAnsiTheme="majorHAnsi"/>
          <w:color w:val="auto"/>
          <w:sz w:val="20"/>
          <w:szCs w:val="20"/>
          <w:lang w:val="es-ES_tradnl"/>
        </w:rPr>
        <w:t xml:space="preserve"> r</w:t>
      </w:r>
      <w:r w:rsidR="00FE1EF2" w:rsidRPr="00095478">
        <w:rPr>
          <w:rFonts w:asciiTheme="majorHAnsi" w:hAnsiTheme="majorHAnsi"/>
          <w:color w:val="auto"/>
          <w:sz w:val="20"/>
          <w:szCs w:val="20"/>
          <w:lang w:val="es-ES_tradnl"/>
        </w:rPr>
        <w:t>econoce que la Sala Penal era competente para conocer el recurso de apelación</w:t>
      </w:r>
      <w:r>
        <w:rPr>
          <w:rFonts w:asciiTheme="majorHAnsi" w:hAnsiTheme="majorHAnsi"/>
          <w:color w:val="auto"/>
          <w:sz w:val="20"/>
          <w:szCs w:val="20"/>
          <w:lang w:val="es-ES_tradnl"/>
        </w:rPr>
        <w:t xml:space="preserve">, pero </w:t>
      </w:r>
      <w:r w:rsidR="00FE1EF2" w:rsidRPr="00095478">
        <w:rPr>
          <w:rFonts w:asciiTheme="majorHAnsi" w:hAnsiTheme="majorHAnsi"/>
          <w:color w:val="auto"/>
          <w:sz w:val="20"/>
          <w:szCs w:val="20"/>
          <w:lang w:val="es-ES_tradnl"/>
        </w:rPr>
        <w:t xml:space="preserve">alega que solo </w:t>
      </w:r>
      <w:r>
        <w:rPr>
          <w:rFonts w:asciiTheme="majorHAnsi" w:hAnsiTheme="majorHAnsi"/>
          <w:color w:val="auto"/>
          <w:sz w:val="20"/>
          <w:szCs w:val="20"/>
          <w:lang w:val="es-ES_tradnl"/>
        </w:rPr>
        <w:t xml:space="preserve">podía </w:t>
      </w:r>
      <w:r w:rsidR="00FE1EF2" w:rsidRPr="00095478">
        <w:rPr>
          <w:rFonts w:asciiTheme="majorHAnsi" w:hAnsiTheme="majorHAnsi"/>
          <w:color w:val="auto"/>
          <w:sz w:val="20"/>
          <w:szCs w:val="20"/>
          <w:lang w:val="es-ES_tradnl"/>
        </w:rPr>
        <w:t xml:space="preserve">determinar si </w:t>
      </w:r>
      <w:r>
        <w:rPr>
          <w:rFonts w:asciiTheme="majorHAnsi" w:hAnsiTheme="majorHAnsi"/>
          <w:color w:val="auto"/>
          <w:sz w:val="20"/>
          <w:szCs w:val="20"/>
          <w:lang w:val="es-ES_tradnl"/>
        </w:rPr>
        <w:t xml:space="preserve">había </w:t>
      </w:r>
      <w:r w:rsidR="00FE1EF2" w:rsidRPr="00095478">
        <w:rPr>
          <w:rFonts w:asciiTheme="majorHAnsi" w:hAnsiTheme="majorHAnsi"/>
          <w:color w:val="auto"/>
          <w:sz w:val="20"/>
          <w:szCs w:val="20"/>
          <w:lang w:val="es-ES_tradnl"/>
        </w:rPr>
        <w:t xml:space="preserve">defectos en la valoración de la prueba por parte del </w:t>
      </w:r>
      <w:r w:rsidRPr="00095478">
        <w:rPr>
          <w:rFonts w:asciiTheme="majorHAnsi" w:hAnsiTheme="majorHAnsi"/>
          <w:color w:val="auto"/>
          <w:sz w:val="20"/>
          <w:szCs w:val="20"/>
          <w:lang w:val="es-ES_tradnl"/>
        </w:rPr>
        <w:t>juzgado</w:t>
      </w:r>
      <w:r w:rsidR="00FE1EF2" w:rsidRPr="00095478">
        <w:rPr>
          <w:rFonts w:asciiTheme="majorHAnsi" w:hAnsiTheme="majorHAnsi"/>
          <w:color w:val="auto"/>
          <w:sz w:val="20"/>
          <w:szCs w:val="20"/>
          <w:lang w:val="es-ES_tradnl"/>
        </w:rPr>
        <w:t xml:space="preserve"> de primera instancia</w:t>
      </w:r>
      <w:r>
        <w:rPr>
          <w:rFonts w:asciiTheme="majorHAnsi" w:hAnsiTheme="majorHAnsi"/>
          <w:color w:val="auto"/>
          <w:sz w:val="20"/>
          <w:szCs w:val="20"/>
          <w:lang w:val="es-ES_tradnl"/>
        </w:rPr>
        <w:t>;</w:t>
      </w:r>
      <w:r w:rsidR="00FE1EF2" w:rsidRPr="00095478">
        <w:rPr>
          <w:rFonts w:asciiTheme="majorHAnsi" w:hAnsiTheme="majorHAnsi"/>
          <w:color w:val="auto"/>
          <w:sz w:val="20"/>
          <w:szCs w:val="20"/>
          <w:lang w:val="es-ES_tradnl"/>
        </w:rPr>
        <w:t xml:space="preserve"> y </w:t>
      </w:r>
      <w:r>
        <w:rPr>
          <w:rFonts w:asciiTheme="majorHAnsi" w:hAnsiTheme="majorHAnsi"/>
          <w:color w:val="auto"/>
          <w:sz w:val="20"/>
          <w:szCs w:val="20"/>
          <w:lang w:val="es-ES_tradnl"/>
        </w:rPr>
        <w:t xml:space="preserve">en tal </w:t>
      </w:r>
      <w:r w:rsidR="00FE1EF2" w:rsidRPr="00095478">
        <w:rPr>
          <w:rFonts w:asciiTheme="majorHAnsi" w:hAnsiTheme="majorHAnsi"/>
          <w:color w:val="auto"/>
          <w:sz w:val="20"/>
          <w:szCs w:val="20"/>
          <w:lang w:val="es-ES_tradnl"/>
        </w:rPr>
        <w:t>caso, anular el fallo y reenviar el asunto a otro tribunal</w:t>
      </w:r>
      <w:r>
        <w:rPr>
          <w:rFonts w:asciiTheme="majorHAnsi" w:hAnsiTheme="majorHAnsi"/>
          <w:color w:val="auto"/>
          <w:sz w:val="20"/>
          <w:szCs w:val="20"/>
          <w:lang w:val="es-ES_tradnl"/>
        </w:rPr>
        <w:t>. No era competente</w:t>
      </w:r>
      <w:r w:rsidR="00FE1EF2" w:rsidRPr="00095478">
        <w:rPr>
          <w:rFonts w:asciiTheme="majorHAnsi" w:hAnsiTheme="majorHAnsi"/>
          <w:color w:val="auto"/>
          <w:sz w:val="20"/>
          <w:szCs w:val="20"/>
          <w:lang w:val="es-ES_tradnl"/>
        </w:rPr>
        <w:t xml:space="preserve"> para realizar una nueva valoración de la prueba y condenar en base a ella.</w:t>
      </w:r>
    </w:p>
    <w:p w14:paraId="54BFB1B2" w14:textId="77777777" w:rsidR="004D4ECA" w:rsidRPr="004D4ECA" w:rsidRDefault="004D4ECA" w:rsidP="004D4EC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EB07F0D" w14:textId="68D5B647" w:rsidR="00D45103" w:rsidRPr="00095478" w:rsidRDefault="00BF3900"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Pr>
          <w:rFonts w:asciiTheme="majorHAnsi" w:hAnsiTheme="majorHAnsi"/>
          <w:color w:val="auto"/>
          <w:sz w:val="20"/>
          <w:szCs w:val="20"/>
          <w:lang w:val="es-ES_tradnl"/>
        </w:rPr>
        <w:t>S</w:t>
      </w:r>
      <w:r w:rsidR="00356E4D" w:rsidRPr="00095478">
        <w:rPr>
          <w:rFonts w:asciiTheme="majorHAnsi" w:hAnsiTheme="majorHAnsi"/>
          <w:color w:val="auto"/>
          <w:sz w:val="20"/>
          <w:szCs w:val="20"/>
          <w:lang w:val="es-ES_tradnl"/>
        </w:rPr>
        <w:t xml:space="preserve">ostiene </w:t>
      </w:r>
      <w:r w:rsidR="00A80109" w:rsidRPr="00095478">
        <w:rPr>
          <w:rFonts w:asciiTheme="majorHAnsi" w:hAnsiTheme="majorHAnsi"/>
          <w:color w:val="auto"/>
          <w:sz w:val="20"/>
          <w:szCs w:val="20"/>
          <w:lang w:val="es-ES_tradnl"/>
        </w:rPr>
        <w:t xml:space="preserve">que </w:t>
      </w:r>
      <w:r w:rsidR="002A66BD" w:rsidRPr="00095478">
        <w:rPr>
          <w:rFonts w:asciiTheme="majorHAnsi" w:hAnsiTheme="majorHAnsi"/>
          <w:color w:val="auto"/>
          <w:sz w:val="20"/>
          <w:szCs w:val="20"/>
          <w:lang w:val="es-ES_tradnl"/>
        </w:rPr>
        <w:t>según la ley b</w:t>
      </w:r>
      <w:r w:rsidR="00A11F90" w:rsidRPr="00095478">
        <w:rPr>
          <w:rFonts w:asciiTheme="majorHAnsi" w:hAnsiTheme="majorHAnsi"/>
          <w:color w:val="auto"/>
          <w:sz w:val="20"/>
          <w:szCs w:val="20"/>
          <w:lang w:val="es-ES_tradnl"/>
        </w:rPr>
        <w:t>oliviana el juicio oral se desarrolla en única instancia</w:t>
      </w:r>
      <w:r>
        <w:rPr>
          <w:rFonts w:asciiTheme="majorHAnsi" w:hAnsiTheme="majorHAnsi"/>
          <w:color w:val="auto"/>
          <w:sz w:val="20"/>
          <w:szCs w:val="20"/>
          <w:lang w:val="es-ES_tradnl"/>
        </w:rPr>
        <w:t>,</w:t>
      </w:r>
      <w:r w:rsidR="00A11F90" w:rsidRPr="00095478">
        <w:rPr>
          <w:rFonts w:asciiTheme="majorHAnsi" w:hAnsiTheme="majorHAnsi"/>
          <w:color w:val="auto"/>
          <w:sz w:val="20"/>
          <w:szCs w:val="20"/>
          <w:lang w:val="es-ES_tradnl"/>
        </w:rPr>
        <w:t xml:space="preserve"> y </w:t>
      </w:r>
      <w:r>
        <w:rPr>
          <w:rFonts w:asciiTheme="majorHAnsi" w:hAnsiTheme="majorHAnsi"/>
          <w:color w:val="auto"/>
          <w:sz w:val="20"/>
          <w:szCs w:val="20"/>
          <w:lang w:val="es-ES_tradnl"/>
        </w:rPr>
        <w:t xml:space="preserve">que </w:t>
      </w:r>
      <w:r w:rsidR="00A11F90" w:rsidRPr="00095478">
        <w:rPr>
          <w:rFonts w:asciiTheme="majorHAnsi" w:hAnsiTheme="majorHAnsi"/>
          <w:color w:val="auto"/>
          <w:sz w:val="20"/>
          <w:szCs w:val="20"/>
          <w:lang w:val="es-ES_tradnl"/>
        </w:rPr>
        <w:t xml:space="preserve">la facultad de valoración de los hechos está reservada exclusivamente a los jueces y tribunales </w:t>
      </w:r>
      <w:r w:rsidR="002A66BD" w:rsidRPr="00095478">
        <w:rPr>
          <w:rFonts w:asciiTheme="majorHAnsi" w:hAnsiTheme="majorHAnsi"/>
          <w:color w:val="auto"/>
          <w:sz w:val="20"/>
          <w:szCs w:val="20"/>
          <w:lang w:val="es-ES_tradnl"/>
        </w:rPr>
        <w:t>de sentencia</w:t>
      </w:r>
      <w:r>
        <w:rPr>
          <w:rFonts w:asciiTheme="majorHAnsi" w:hAnsiTheme="majorHAnsi"/>
          <w:color w:val="auto"/>
          <w:sz w:val="20"/>
          <w:szCs w:val="20"/>
          <w:lang w:val="es-ES_tradnl"/>
        </w:rPr>
        <w:t>,</w:t>
      </w:r>
      <w:r w:rsidR="00A11F90" w:rsidRPr="00095478">
        <w:rPr>
          <w:rFonts w:asciiTheme="majorHAnsi" w:hAnsiTheme="majorHAnsi"/>
          <w:color w:val="auto"/>
          <w:sz w:val="20"/>
          <w:szCs w:val="20"/>
          <w:lang w:val="es-ES_tradnl"/>
        </w:rPr>
        <w:t xml:space="preserve"> </w:t>
      </w:r>
      <w:r>
        <w:rPr>
          <w:rFonts w:asciiTheme="majorHAnsi" w:hAnsiTheme="majorHAnsi"/>
          <w:color w:val="auto"/>
          <w:sz w:val="20"/>
          <w:szCs w:val="20"/>
          <w:lang w:val="es-ES_tradnl"/>
        </w:rPr>
        <w:t>que</w:t>
      </w:r>
      <w:r w:rsidR="00A11F90" w:rsidRPr="00095478">
        <w:rPr>
          <w:rFonts w:asciiTheme="majorHAnsi" w:hAnsiTheme="majorHAnsi"/>
          <w:color w:val="auto"/>
          <w:sz w:val="20"/>
          <w:szCs w:val="20"/>
          <w:lang w:val="es-ES_tradnl"/>
        </w:rPr>
        <w:t xml:space="preserve"> deben aplicar los principios de inmediación, oralidad, publicidad y continuidad. </w:t>
      </w:r>
      <w:r w:rsidR="00843FF1">
        <w:rPr>
          <w:rFonts w:asciiTheme="majorHAnsi" w:hAnsiTheme="majorHAnsi"/>
          <w:color w:val="auto"/>
          <w:sz w:val="20"/>
          <w:szCs w:val="20"/>
          <w:lang w:val="es-ES_tradnl"/>
        </w:rPr>
        <w:t>El peticionario a</w:t>
      </w:r>
      <w:r w:rsidR="00A11F90" w:rsidRPr="00095478">
        <w:rPr>
          <w:rFonts w:asciiTheme="majorHAnsi" w:hAnsiTheme="majorHAnsi"/>
          <w:color w:val="auto"/>
          <w:sz w:val="20"/>
          <w:szCs w:val="20"/>
          <w:lang w:val="es-ES_tradnl"/>
        </w:rPr>
        <w:t>rgumenta que estos principios se violaron en la condena de las presuntas víctimas</w:t>
      </w:r>
      <w:r w:rsidR="00843FF1">
        <w:rPr>
          <w:rFonts w:asciiTheme="majorHAnsi" w:hAnsiTheme="majorHAnsi"/>
          <w:color w:val="auto"/>
          <w:sz w:val="20"/>
          <w:szCs w:val="20"/>
          <w:lang w:val="es-ES_tradnl"/>
        </w:rPr>
        <w:t>,</w:t>
      </w:r>
      <w:r w:rsidR="00A11F90" w:rsidRPr="00095478">
        <w:rPr>
          <w:rFonts w:asciiTheme="majorHAnsi" w:hAnsiTheme="majorHAnsi"/>
          <w:color w:val="auto"/>
          <w:sz w:val="20"/>
          <w:szCs w:val="20"/>
          <w:lang w:val="es-ES_tradnl"/>
        </w:rPr>
        <w:t xml:space="preserve"> porque fue emitida por un tribunal que no tuvo contacto </w:t>
      </w:r>
      <w:r w:rsidR="00843FF1">
        <w:rPr>
          <w:rFonts w:asciiTheme="majorHAnsi" w:hAnsiTheme="majorHAnsi"/>
          <w:color w:val="auto"/>
          <w:sz w:val="20"/>
          <w:szCs w:val="20"/>
          <w:lang w:val="es-ES_tradnl"/>
        </w:rPr>
        <w:t xml:space="preserve">alguno </w:t>
      </w:r>
      <w:r w:rsidR="00A11F90" w:rsidRPr="00095478">
        <w:rPr>
          <w:rFonts w:asciiTheme="majorHAnsi" w:hAnsiTheme="majorHAnsi"/>
          <w:color w:val="auto"/>
          <w:sz w:val="20"/>
          <w:szCs w:val="20"/>
          <w:lang w:val="es-ES_tradnl"/>
        </w:rPr>
        <w:t>con los testigos, las pruebas documentales o los imputados. Agrega que la decisión que condenó a las presuntas víctima</w:t>
      </w:r>
      <w:r w:rsidR="00A7157B" w:rsidRPr="00095478">
        <w:rPr>
          <w:rFonts w:asciiTheme="majorHAnsi" w:hAnsiTheme="majorHAnsi"/>
          <w:color w:val="auto"/>
          <w:sz w:val="20"/>
          <w:szCs w:val="20"/>
          <w:lang w:val="es-ES_tradnl"/>
        </w:rPr>
        <w:t>s</w:t>
      </w:r>
      <w:r w:rsidR="00A11F90" w:rsidRPr="00095478">
        <w:rPr>
          <w:rFonts w:asciiTheme="majorHAnsi" w:hAnsiTheme="majorHAnsi"/>
          <w:color w:val="auto"/>
          <w:sz w:val="20"/>
          <w:szCs w:val="20"/>
          <w:lang w:val="es-ES_tradnl"/>
        </w:rPr>
        <w:t xml:space="preserve"> no </w:t>
      </w:r>
      <w:r w:rsidR="00A7157B" w:rsidRPr="00095478">
        <w:rPr>
          <w:rFonts w:asciiTheme="majorHAnsi" w:hAnsiTheme="majorHAnsi"/>
          <w:color w:val="auto"/>
          <w:sz w:val="20"/>
          <w:szCs w:val="20"/>
          <w:lang w:val="es-ES_tradnl"/>
        </w:rPr>
        <w:t xml:space="preserve">cumple los requisitos exigidos por la ley </w:t>
      </w:r>
      <w:r w:rsidR="00843FF1">
        <w:rPr>
          <w:rFonts w:asciiTheme="majorHAnsi" w:hAnsiTheme="majorHAnsi"/>
          <w:color w:val="auto"/>
          <w:sz w:val="20"/>
          <w:szCs w:val="20"/>
          <w:lang w:val="es-ES_tradnl"/>
        </w:rPr>
        <w:t>nacional</w:t>
      </w:r>
      <w:r w:rsidR="00A7157B" w:rsidRPr="00095478">
        <w:rPr>
          <w:rFonts w:asciiTheme="majorHAnsi" w:hAnsiTheme="majorHAnsi"/>
          <w:color w:val="auto"/>
          <w:sz w:val="20"/>
          <w:szCs w:val="20"/>
          <w:lang w:val="es-ES_tradnl"/>
        </w:rPr>
        <w:t xml:space="preserve"> para la validez de las sentencias condenatorias en materia penal</w:t>
      </w:r>
      <w:r w:rsidR="00843FF1">
        <w:rPr>
          <w:rFonts w:asciiTheme="majorHAnsi" w:hAnsiTheme="majorHAnsi"/>
          <w:color w:val="auto"/>
          <w:sz w:val="20"/>
          <w:szCs w:val="20"/>
          <w:lang w:val="es-ES_tradnl"/>
        </w:rPr>
        <w:t>,</w:t>
      </w:r>
      <w:r w:rsidR="00A7157B" w:rsidRPr="00095478">
        <w:rPr>
          <w:rFonts w:asciiTheme="majorHAnsi" w:hAnsiTheme="majorHAnsi"/>
          <w:color w:val="auto"/>
          <w:sz w:val="20"/>
          <w:szCs w:val="20"/>
          <w:lang w:val="es-ES_tradnl"/>
        </w:rPr>
        <w:t xml:space="preserve"> pues carecía de la enunciación del hecho</w:t>
      </w:r>
      <w:r w:rsidR="00843FF1">
        <w:rPr>
          <w:rFonts w:asciiTheme="majorHAnsi" w:hAnsiTheme="majorHAnsi"/>
          <w:color w:val="auto"/>
          <w:sz w:val="20"/>
          <w:szCs w:val="20"/>
          <w:lang w:val="es-ES_tradnl"/>
        </w:rPr>
        <w:t>;</w:t>
      </w:r>
      <w:r w:rsidR="00A7157B" w:rsidRPr="00095478">
        <w:rPr>
          <w:rFonts w:asciiTheme="majorHAnsi" w:hAnsiTheme="majorHAnsi"/>
          <w:color w:val="auto"/>
          <w:sz w:val="20"/>
          <w:szCs w:val="20"/>
          <w:lang w:val="es-ES_tradnl"/>
        </w:rPr>
        <w:t xml:space="preserve"> la valoración integral de todas las pruebas desfiladas en juicio</w:t>
      </w:r>
      <w:r w:rsidR="00843FF1">
        <w:rPr>
          <w:rFonts w:asciiTheme="majorHAnsi" w:hAnsiTheme="majorHAnsi"/>
          <w:color w:val="auto"/>
          <w:sz w:val="20"/>
          <w:szCs w:val="20"/>
          <w:lang w:val="es-ES_tradnl"/>
        </w:rPr>
        <w:t>;</w:t>
      </w:r>
      <w:r w:rsidR="00A7157B" w:rsidRPr="00095478">
        <w:rPr>
          <w:rFonts w:asciiTheme="majorHAnsi" w:hAnsiTheme="majorHAnsi"/>
          <w:color w:val="auto"/>
          <w:sz w:val="20"/>
          <w:szCs w:val="20"/>
          <w:lang w:val="es-ES_tradnl"/>
        </w:rPr>
        <w:t xml:space="preserve"> la </w:t>
      </w:r>
      <w:r w:rsidR="00843FF1" w:rsidRPr="00095478">
        <w:rPr>
          <w:rFonts w:asciiTheme="majorHAnsi" w:hAnsiTheme="majorHAnsi"/>
          <w:color w:val="auto"/>
          <w:sz w:val="20"/>
          <w:szCs w:val="20"/>
          <w:lang w:val="es-ES_tradnl"/>
        </w:rPr>
        <w:t>deliberación sobre</w:t>
      </w:r>
      <w:r w:rsidR="00A7157B" w:rsidRPr="00095478">
        <w:rPr>
          <w:rFonts w:asciiTheme="majorHAnsi" w:hAnsiTheme="majorHAnsi"/>
          <w:color w:val="auto"/>
          <w:sz w:val="20"/>
          <w:szCs w:val="20"/>
          <w:lang w:val="es-ES_tradnl"/>
        </w:rPr>
        <w:t xml:space="preserve"> todas las cuestiones planteadas en juicio</w:t>
      </w:r>
      <w:r w:rsidR="00843FF1">
        <w:rPr>
          <w:rFonts w:asciiTheme="majorHAnsi" w:hAnsiTheme="majorHAnsi"/>
          <w:color w:val="auto"/>
          <w:sz w:val="20"/>
          <w:szCs w:val="20"/>
          <w:lang w:val="es-ES_tradnl"/>
        </w:rPr>
        <w:t>;</w:t>
      </w:r>
      <w:r w:rsidR="00A7157B" w:rsidRPr="00095478">
        <w:rPr>
          <w:rFonts w:asciiTheme="majorHAnsi" w:hAnsiTheme="majorHAnsi"/>
          <w:color w:val="auto"/>
          <w:sz w:val="20"/>
          <w:szCs w:val="20"/>
          <w:lang w:val="es-ES_tradnl"/>
        </w:rPr>
        <w:t xml:space="preserve"> la fundamentación jurídica</w:t>
      </w:r>
      <w:r w:rsidR="00843FF1">
        <w:rPr>
          <w:rFonts w:asciiTheme="majorHAnsi" w:hAnsiTheme="majorHAnsi"/>
          <w:color w:val="auto"/>
          <w:sz w:val="20"/>
          <w:szCs w:val="20"/>
          <w:lang w:val="es-ES_tradnl"/>
        </w:rPr>
        <w:t>;</w:t>
      </w:r>
      <w:r w:rsidR="00A7157B" w:rsidRPr="00095478">
        <w:rPr>
          <w:rFonts w:asciiTheme="majorHAnsi" w:hAnsiTheme="majorHAnsi"/>
          <w:color w:val="auto"/>
          <w:sz w:val="20"/>
          <w:szCs w:val="20"/>
          <w:lang w:val="es-ES_tradnl"/>
        </w:rPr>
        <w:t xml:space="preserve"> </w:t>
      </w:r>
      <w:r w:rsidR="00843FF1">
        <w:rPr>
          <w:rFonts w:asciiTheme="majorHAnsi" w:hAnsiTheme="majorHAnsi"/>
          <w:color w:val="auto"/>
          <w:sz w:val="20"/>
          <w:szCs w:val="20"/>
          <w:lang w:val="es-ES_tradnl"/>
        </w:rPr>
        <w:t>así como</w:t>
      </w:r>
      <w:r w:rsidR="00A7157B" w:rsidRPr="00095478">
        <w:rPr>
          <w:rFonts w:asciiTheme="majorHAnsi" w:hAnsiTheme="majorHAnsi"/>
          <w:color w:val="auto"/>
          <w:sz w:val="20"/>
          <w:szCs w:val="20"/>
          <w:lang w:val="es-ES_tradnl"/>
        </w:rPr>
        <w:t xml:space="preserve"> la fundamentación de la pena y los parámetros utilizados para fijar</w:t>
      </w:r>
      <w:r w:rsidR="00843FF1">
        <w:rPr>
          <w:rFonts w:asciiTheme="majorHAnsi" w:hAnsiTheme="majorHAnsi"/>
          <w:color w:val="auto"/>
          <w:sz w:val="20"/>
          <w:szCs w:val="20"/>
          <w:lang w:val="es-ES_tradnl"/>
        </w:rPr>
        <w:t>la</w:t>
      </w:r>
      <w:r w:rsidR="00A7157B" w:rsidRPr="00095478">
        <w:rPr>
          <w:rFonts w:asciiTheme="majorHAnsi" w:hAnsiTheme="majorHAnsi"/>
          <w:color w:val="auto"/>
          <w:sz w:val="20"/>
          <w:szCs w:val="20"/>
          <w:lang w:val="es-ES_tradnl"/>
        </w:rPr>
        <w:t xml:space="preserve">. </w:t>
      </w:r>
    </w:p>
    <w:p w14:paraId="5BFEBC4C" w14:textId="77777777" w:rsidR="004D4ECA" w:rsidRDefault="004D4ECA" w:rsidP="004D4EC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057B757B" w14:textId="1F460371" w:rsidR="002A66BD" w:rsidRPr="00095478" w:rsidRDefault="00356E4D"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olor w:val="auto"/>
          <w:sz w:val="20"/>
          <w:szCs w:val="20"/>
          <w:lang w:val="es-ES_tradnl"/>
        </w:rPr>
        <w:t>C</w:t>
      </w:r>
      <w:r w:rsidR="00BA7819" w:rsidRPr="00095478">
        <w:rPr>
          <w:rFonts w:asciiTheme="majorHAnsi" w:hAnsiTheme="majorHAnsi"/>
          <w:color w:val="auto"/>
          <w:sz w:val="20"/>
          <w:szCs w:val="20"/>
          <w:lang w:val="es-ES_tradnl"/>
        </w:rPr>
        <w:t>ontra la decisión de la Sala Penal</w:t>
      </w:r>
      <w:r w:rsidR="001C3EF4" w:rsidRPr="00095478">
        <w:rPr>
          <w:rFonts w:asciiTheme="majorHAnsi" w:hAnsiTheme="majorHAnsi"/>
          <w:color w:val="auto"/>
          <w:sz w:val="20"/>
          <w:szCs w:val="20"/>
          <w:lang w:val="es-ES_tradnl"/>
        </w:rPr>
        <w:t xml:space="preserve"> de la Corte Superior de Tarija,</w:t>
      </w:r>
      <w:r w:rsidR="00BA7819" w:rsidRPr="00095478">
        <w:rPr>
          <w:rFonts w:asciiTheme="majorHAnsi" w:hAnsiTheme="majorHAnsi"/>
          <w:color w:val="auto"/>
          <w:sz w:val="20"/>
          <w:szCs w:val="20"/>
          <w:lang w:val="es-ES_tradnl"/>
        </w:rPr>
        <w:t xml:space="preserve"> las presuntas víctimas interpusieron un recurso de casación</w:t>
      </w:r>
      <w:r w:rsidR="008E5596" w:rsidRPr="00095478">
        <w:rPr>
          <w:rFonts w:asciiTheme="majorHAnsi" w:hAnsiTheme="majorHAnsi"/>
          <w:color w:val="auto"/>
          <w:sz w:val="20"/>
          <w:szCs w:val="20"/>
          <w:lang w:val="es-ES_tradnl"/>
        </w:rPr>
        <w:t>,</w:t>
      </w:r>
      <w:r w:rsidR="00BA7819" w:rsidRPr="00095478">
        <w:rPr>
          <w:rFonts w:asciiTheme="majorHAnsi" w:hAnsiTheme="majorHAnsi"/>
          <w:color w:val="auto"/>
          <w:sz w:val="20"/>
          <w:szCs w:val="20"/>
          <w:lang w:val="es-ES_tradnl"/>
        </w:rPr>
        <w:t xml:space="preserve"> </w:t>
      </w:r>
      <w:r w:rsidR="00843FF1">
        <w:rPr>
          <w:rFonts w:asciiTheme="majorHAnsi" w:hAnsiTheme="majorHAnsi"/>
          <w:color w:val="auto"/>
          <w:sz w:val="20"/>
          <w:szCs w:val="20"/>
          <w:lang w:val="es-ES_tradnl"/>
        </w:rPr>
        <w:t xml:space="preserve">en que </w:t>
      </w:r>
      <w:r w:rsidR="00BA7819" w:rsidRPr="00095478">
        <w:rPr>
          <w:rFonts w:asciiTheme="majorHAnsi" w:hAnsiTheme="majorHAnsi"/>
          <w:color w:val="auto"/>
          <w:sz w:val="20"/>
          <w:szCs w:val="20"/>
          <w:lang w:val="es-ES_tradnl"/>
        </w:rPr>
        <w:t>solicit</w:t>
      </w:r>
      <w:r w:rsidR="00843FF1">
        <w:rPr>
          <w:rFonts w:asciiTheme="majorHAnsi" w:hAnsiTheme="majorHAnsi"/>
          <w:color w:val="auto"/>
          <w:sz w:val="20"/>
          <w:szCs w:val="20"/>
          <w:lang w:val="es-ES_tradnl"/>
        </w:rPr>
        <w:t xml:space="preserve">aron </w:t>
      </w:r>
      <w:r w:rsidR="00BA7819" w:rsidRPr="00095478">
        <w:rPr>
          <w:rFonts w:asciiTheme="majorHAnsi" w:hAnsiTheme="majorHAnsi"/>
          <w:color w:val="auto"/>
          <w:sz w:val="20"/>
          <w:szCs w:val="20"/>
          <w:lang w:val="es-ES_tradnl"/>
        </w:rPr>
        <w:t>que la Corte Suprema de Justicia reparara las ilegalidades cometidas y reclama</w:t>
      </w:r>
      <w:r w:rsidR="00843FF1">
        <w:rPr>
          <w:rFonts w:asciiTheme="majorHAnsi" w:hAnsiTheme="majorHAnsi"/>
          <w:color w:val="auto"/>
          <w:sz w:val="20"/>
          <w:szCs w:val="20"/>
          <w:lang w:val="es-ES_tradnl"/>
        </w:rPr>
        <w:t>ron</w:t>
      </w:r>
      <w:r w:rsidR="00BA7819" w:rsidRPr="00095478">
        <w:rPr>
          <w:rFonts w:asciiTheme="majorHAnsi" w:hAnsiTheme="majorHAnsi"/>
          <w:color w:val="auto"/>
          <w:sz w:val="20"/>
          <w:szCs w:val="20"/>
          <w:lang w:val="es-ES_tradnl"/>
        </w:rPr>
        <w:t xml:space="preserve"> la falta de fundamentación de la decisión conden</w:t>
      </w:r>
      <w:r w:rsidR="00843FF1">
        <w:rPr>
          <w:rFonts w:asciiTheme="majorHAnsi" w:hAnsiTheme="majorHAnsi"/>
          <w:color w:val="auto"/>
          <w:sz w:val="20"/>
          <w:szCs w:val="20"/>
          <w:lang w:val="es-ES_tradnl"/>
        </w:rPr>
        <w:t>atoria</w:t>
      </w:r>
      <w:r w:rsidR="00FD7A7D" w:rsidRPr="00095478">
        <w:rPr>
          <w:rFonts w:asciiTheme="majorHAnsi" w:hAnsiTheme="majorHAnsi"/>
          <w:color w:val="auto"/>
          <w:sz w:val="20"/>
          <w:szCs w:val="20"/>
          <w:lang w:val="es-ES_tradnl"/>
        </w:rPr>
        <w:t xml:space="preserve">. </w:t>
      </w:r>
      <w:r w:rsidR="00E926AE" w:rsidRPr="00095478">
        <w:rPr>
          <w:rFonts w:asciiTheme="majorHAnsi" w:hAnsiTheme="majorHAnsi"/>
          <w:color w:val="auto"/>
          <w:sz w:val="20"/>
          <w:szCs w:val="20"/>
          <w:lang w:val="es-ES_tradnl"/>
        </w:rPr>
        <w:t xml:space="preserve">Sostiene </w:t>
      </w:r>
      <w:r w:rsidR="0072258C" w:rsidRPr="00095478">
        <w:rPr>
          <w:rFonts w:asciiTheme="majorHAnsi" w:hAnsiTheme="majorHAnsi"/>
          <w:color w:val="auto"/>
          <w:sz w:val="20"/>
          <w:szCs w:val="20"/>
          <w:lang w:val="es-ES_tradnl"/>
        </w:rPr>
        <w:t xml:space="preserve">el peticionario </w:t>
      </w:r>
      <w:r w:rsidR="00E926AE" w:rsidRPr="00095478">
        <w:rPr>
          <w:rFonts w:asciiTheme="majorHAnsi" w:hAnsiTheme="majorHAnsi"/>
          <w:color w:val="auto"/>
          <w:sz w:val="20"/>
          <w:szCs w:val="20"/>
          <w:lang w:val="es-ES_tradnl"/>
        </w:rPr>
        <w:t>que las presuntas víctimas cumplieron con los requisitos del recurso de casación</w:t>
      </w:r>
      <w:r w:rsidR="00843FF1">
        <w:rPr>
          <w:rFonts w:asciiTheme="majorHAnsi" w:hAnsiTheme="majorHAnsi"/>
          <w:color w:val="auto"/>
          <w:sz w:val="20"/>
          <w:szCs w:val="20"/>
          <w:lang w:val="es-ES_tradnl"/>
        </w:rPr>
        <w:t>, pues</w:t>
      </w:r>
      <w:r w:rsidR="00E926AE" w:rsidRPr="00095478">
        <w:rPr>
          <w:rFonts w:asciiTheme="majorHAnsi" w:hAnsiTheme="majorHAnsi"/>
          <w:color w:val="auto"/>
          <w:sz w:val="20"/>
          <w:szCs w:val="20"/>
          <w:lang w:val="es-ES_tradnl"/>
        </w:rPr>
        <w:t xml:space="preserve"> aporta</w:t>
      </w:r>
      <w:r w:rsidR="00843FF1">
        <w:rPr>
          <w:rFonts w:asciiTheme="majorHAnsi" w:hAnsiTheme="majorHAnsi"/>
          <w:color w:val="auto"/>
          <w:sz w:val="20"/>
          <w:szCs w:val="20"/>
          <w:lang w:val="es-ES_tradnl"/>
        </w:rPr>
        <w:t>ron</w:t>
      </w:r>
      <w:r w:rsidR="00E926AE" w:rsidRPr="00095478">
        <w:rPr>
          <w:rFonts w:asciiTheme="majorHAnsi" w:hAnsiTheme="majorHAnsi"/>
          <w:color w:val="auto"/>
          <w:sz w:val="20"/>
          <w:szCs w:val="20"/>
          <w:lang w:val="es-ES_tradnl"/>
        </w:rPr>
        <w:t xml:space="preserve"> precedentes </w:t>
      </w:r>
      <w:r w:rsidR="00843FF1">
        <w:rPr>
          <w:rFonts w:asciiTheme="majorHAnsi" w:hAnsiTheme="majorHAnsi"/>
          <w:color w:val="auto"/>
          <w:sz w:val="20"/>
          <w:szCs w:val="20"/>
          <w:lang w:val="es-ES_tradnl"/>
        </w:rPr>
        <w:t xml:space="preserve">según </w:t>
      </w:r>
      <w:r w:rsidR="00E926AE" w:rsidRPr="00095478">
        <w:rPr>
          <w:rFonts w:asciiTheme="majorHAnsi" w:hAnsiTheme="majorHAnsi"/>
          <w:color w:val="auto"/>
          <w:sz w:val="20"/>
          <w:szCs w:val="20"/>
          <w:lang w:val="es-ES_tradnl"/>
        </w:rPr>
        <w:t xml:space="preserve">los cuales la decisión impugnada sería contradictoria. </w:t>
      </w:r>
      <w:r w:rsidR="00843FF1">
        <w:rPr>
          <w:rFonts w:asciiTheme="majorHAnsi" w:hAnsiTheme="majorHAnsi"/>
          <w:color w:val="auto"/>
          <w:sz w:val="20"/>
          <w:szCs w:val="20"/>
          <w:lang w:val="es-ES_tradnl"/>
        </w:rPr>
        <w:t>P</w:t>
      </w:r>
      <w:r w:rsidR="00E926AE" w:rsidRPr="00095478">
        <w:rPr>
          <w:rFonts w:asciiTheme="majorHAnsi" w:hAnsiTheme="majorHAnsi"/>
          <w:color w:val="auto"/>
          <w:sz w:val="20"/>
          <w:szCs w:val="20"/>
          <w:lang w:val="es-ES_tradnl"/>
        </w:rPr>
        <w:t xml:space="preserve">ese a ello, </w:t>
      </w:r>
      <w:r w:rsidR="002574EB" w:rsidRPr="00095478">
        <w:rPr>
          <w:rFonts w:asciiTheme="majorHAnsi" w:hAnsiTheme="majorHAnsi"/>
          <w:color w:val="auto"/>
          <w:sz w:val="20"/>
          <w:szCs w:val="20"/>
          <w:lang w:val="es-ES_tradnl"/>
        </w:rPr>
        <w:t xml:space="preserve">el 9 de marzo de </w:t>
      </w:r>
      <w:r w:rsidR="001C3EF4" w:rsidRPr="00095478">
        <w:rPr>
          <w:rFonts w:asciiTheme="majorHAnsi" w:hAnsiTheme="majorHAnsi"/>
          <w:color w:val="auto"/>
          <w:sz w:val="20"/>
          <w:szCs w:val="20"/>
          <w:lang w:val="es-ES_tradnl"/>
        </w:rPr>
        <w:t>2010</w:t>
      </w:r>
      <w:r w:rsidR="00FD7A7D" w:rsidRPr="00095478">
        <w:rPr>
          <w:rFonts w:asciiTheme="majorHAnsi" w:hAnsiTheme="majorHAnsi"/>
          <w:color w:val="auto"/>
          <w:sz w:val="20"/>
          <w:szCs w:val="20"/>
          <w:lang w:val="es-ES_tradnl"/>
        </w:rPr>
        <w:t xml:space="preserve"> </w:t>
      </w:r>
      <w:r w:rsidR="001C3EF4" w:rsidRPr="00095478">
        <w:rPr>
          <w:rFonts w:asciiTheme="majorHAnsi" w:hAnsiTheme="majorHAnsi"/>
          <w:color w:val="auto"/>
          <w:sz w:val="20"/>
          <w:szCs w:val="20"/>
          <w:lang w:val="es-ES_tradnl"/>
        </w:rPr>
        <w:t>la Sala Penal de la Corte Suprema de Justicia</w:t>
      </w:r>
      <w:r w:rsidR="00FD7A7D" w:rsidRPr="00095478">
        <w:rPr>
          <w:rFonts w:asciiTheme="majorHAnsi" w:hAnsiTheme="majorHAnsi"/>
          <w:color w:val="auto"/>
          <w:sz w:val="20"/>
          <w:szCs w:val="20"/>
          <w:lang w:val="es-ES_tradnl"/>
        </w:rPr>
        <w:t xml:space="preserve"> </w:t>
      </w:r>
      <w:r w:rsidR="001C3EF4" w:rsidRPr="00095478">
        <w:rPr>
          <w:rFonts w:asciiTheme="majorHAnsi" w:hAnsiTheme="majorHAnsi"/>
          <w:color w:val="auto"/>
          <w:sz w:val="20"/>
          <w:szCs w:val="20"/>
          <w:lang w:val="es-ES_tradnl"/>
        </w:rPr>
        <w:t>declaró</w:t>
      </w:r>
      <w:r w:rsidR="00FD7A7D" w:rsidRPr="00095478">
        <w:rPr>
          <w:rFonts w:asciiTheme="majorHAnsi" w:hAnsiTheme="majorHAnsi"/>
          <w:color w:val="auto"/>
          <w:sz w:val="20"/>
          <w:szCs w:val="20"/>
          <w:lang w:val="es-ES_tradnl"/>
        </w:rPr>
        <w:t xml:space="preserve"> inadmisible</w:t>
      </w:r>
      <w:r w:rsidR="001C3EF4" w:rsidRPr="00095478">
        <w:rPr>
          <w:rFonts w:asciiTheme="majorHAnsi" w:hAnsiTheme="majorHAnsi"/>
          <w:color w:val="auto"/>
          <w:sz w:val="20"/>
          <w:szCs w:val="20"/>
          <w:lang w:val="es-ES_tradnl"/>
        </w:rPr>
        <w:t xml:space="preserve"> el recurso</w:t>
      </w:r>
      <w:r w:rsidR="00FD7A7D" w:rsidRPr="00095478">
        <w:rPr>
          <w:rFonts w:asciiTheme="majorHAnsi" w:hAnsiTheme="majorHAnsi"/>
          <w:color w:val="auto"/>
          <w:sz w:val="20"/>
          <w:szCs w:val="20"/>
          <w:lang w:val="es-ES_tradnl"/>
        </w:rPr>
        <w:t xml:space="preserve"> sin debida fundamentación</w:t>
      </w:r>
      <w:r w:rsidR="001C3EF4" w:rsidRPr="00095478">
        <w:rPr>
          <w:rFonts w:asciiTheme="majorHAnsi" w:hAnsiTheme="majorHAnsi"/>
          <w:color w:val="auto"/>
          <w:sz w:val="20"/>
          <w:szCs w:val="20"/>
          <w:lang w:val="es-ES_tradnl"/>
        </w:rPr>
        <w:t>, p</w:t>
      </w:r>
      <w:r w:rsidR="00FD7A7D" w:rsidRPr="00095478">
        <w:rPr>
          <w:rFonts w:asciiTheme="majorHAnsi" w:hAnsiTheme="majorHAnsi"/>
          <w:color w:val="auto"/>
          <w:sz w:val="20"/>
          <w:szCs w:val="20"/>
          <w:lang w:val="es-ES_tradnl"/>
        </w:rPr>
        <w:t xml:space="preserve">uesto que </w:t>
      </w:r>
      <w:r w:rsidR="001C3EF4" w:rsidRPr="00095478">
        <w:rPr>
          <w:rFonts w:asciiTheme="majorHAnsi" w:hAnsiTheme="majorHAnsi"/>
          <w:color w:val="auto"/>
          <w:sz w:val="20"/>
          <w:szCs w:val="20"/>
          <w:lang w:val="es-ES_tradnl"/>
        </w:rPr>
        <w:t>señaló</w:t>
      </w:r>
      <w:r w:rsidR="00B51530" w:rsidRPr="00095478">
        <w:rPr>
          <w:rFonts w:asciiTheme="majorHAnsi" w:hAnsiTheme="majorHAnsi"/>
          <w:color w:val="auto"/>
          <w:sz w:val="20"/>
          <w:szCs w:val="20"/>
          <w:lang w:val="es-ES_tradnl"/>
        </w:rPr>
        <w:t xml:space="preserve"> que no encontraba contradicción entre los precedentes </w:t>
      </w:r>
      <w:r w:rsidR="002A66BD" w:rsidRPr="00095478">
        <w:rPr>
          <w:rFonts w:asciiTheme="majorHAnsi" w:hAnsiTheme="majorHAnsi"/>
          <w:color w:val="auto"/>
          <w:sz w:val="20"/>
          <w:szCs w:val="20"/>
          <w:lang w:val="es-ES_tradnl"/>
        </w:rPr>
        <w:t>citados y la sentencia impugnada</w:t>
      </w:r>
      <w:r w:rsidR="0072258C" w:rsidRPr="00095478">
        <w:rPr>
          <w:rFonts w:asciiTheme="majorHAnsi" w:hAnsiTheme="majorHAnsi"/>
          <w:color w:val="auto"/>
          <w:sz w:val="20"/>
          <w:szCs w:val="20"/>
          <w:lang w:val="es-ES_tradnl"/>
        </w:rPr>
        <w:t>,</w:t>
      </w:r>
      <w:r w:rsidR="00B51530" w:rsidRPr="00095478">
        <w:rPr>
          <w:rFonts w:asciiTheme="majorHAnsi" w:hAnsiTheme="majorHAnsi"/>
          <w:color w:val="auto"/>
          <w:sz w:val="20"/>
          <w:szCs w:val="20"/>
          <w:lang w:val="es-ES_tradnl"/>
        </w:rPr>
        <w:t xml:space="preserve"> sin realizar un cotejo de los supuestos fácticos para sustentar</w:t>
      </w:r>
      <w:r w:rsidR="00843FF1">
        <w:rPr>
          <w:rFonts w:asciiTheme="majorHAnsi" w:hAnsiTheme="majorHAnsi"/>
          <w:color w:val="auto"/>
          <w:sz w:val="20"/>
          <w:szCs w:val="20"/>
          <w:lang w:val="es-ES_tradnl"/>
        </w:rPr>
        <w:t>lo</w:t>
      </w:r>
      <w:r w:rsidR="00B51530" w:rsidRPr="00095478">
        <w:rPr>
          <w:rFonts w:asciiTheme="majorHAnsi" w:hAnsiTheme="majorHAnsi"/>
          <w:color w:val="auto"/>
          <w:sz w:val="20"/>
          <w:szCs w:val="20"/>
          <w:lang w:val="es-ES_tradnl"/>
        </w:rPr>
        <w:t xml:space="preserve">. </w:t>
      </w:r>
      <w:r w:rsidR="00843FF1">
        <w:rPr>
          <w:rFonts w:asciiTheme="majorHAnsi" w:hAnsiTheme="majorHAnsi"/>
          <w:color w:val="auto"/>
          <w:sz w:val="20"/>
          <w:szCs w:val="20"/>
          <w:lang w:val="es-ES_tradnl"/>
        </w:rPr>
        <w:t>Denuncia a</w:t>
      </w:r>
      <w:r w:rsidR="00B51530" w:rsidRPr="00095478">
        <w:rPr>
          <w:rFonts w:asciiTheme="majorHAnsi" w:hAnsiTheme="majorHAnsi"/>
          <w:color w:val="auto"/>
          <w:sz w:val="20"/>
          <w:szCs w:val="20"/>
          <w:lang w:val="es-ES_tradnl"/>
        </w:rPr>
        <w:t>demás</w:t>
      </w:r>
      <w:r w:rsidR="00843FF1">
        <w:rPr>
          <w:rFonts w:asciiTheme="majorHAnsi" w:hAnsiTheme="majorHAnsi"/>
          <w:color w:val="auto"/>
          <w:sz w:val="20"/>
          <w:szCs w:val="20"/>
          <w:lang w:val="es-ES_tradnl"/>
        </w:rPr>
        <w:t xml:space="preserve"> </w:t>
      </w:r>
      <w:r w:rsidR="00B51530" w:rsidRPr="00095478">
        <w:rPr>
          <w:rFonts w:asciiTheme="majorHAnsi" w:hAnsiTheme="majorHAnsi"/>
          <w:color w:val="auto"/>
          <w:sz w:val="20"/>
          <w:szCs w:val="20"/>
          <w:lang w:val="es-ES_tradnl"/>
        </w:rPr>
        <w:t xml:space="preserve">que </w:t>
      </w:r>
      <w:r w:rsidR="001C3EF4" w:rsidRPr="00095478">
        <w:rPr>
          <w:rFonts w:asciiTheme="majorHAnsi" w:hAnsiTheme="majorHAnsi"/>
          <w:color w:val="auto"/>
          <w:sz w:val="20"/>
          <w:szCs w:val="20"/>
          <w:lang w:val="es-ES_tradnl"/>
        </w:rPr>
        <w:t>el auto se</w:t>
      </w:r>
      <w:r w:rsidR="00B51530" w:rsidRPr="00095478">
        <w:rPr>
          <w:rFonts w:asciiTheme="majorHAnsi" w:hAnsiTheme="majorHAnsi"/>
          <w:color w:val="auto"/>
          <w:sz w:val="20"/>
          <w:szCs w:val="20"/>
          <w:lang w:val="es-ES_tradnl"/>
        </w:rPr>
        <w:t xml:space="preserve"> limitó </w:t>
      </w:r>
      <w:r w:rsidR="00FD7A7D" w:rsidRPr="00095478">
        <w:rPr>
          <w:rFonts w:asciiTheme="majorHAnsi" w:hAnsiTheme="majorHAnsi"/>
          <w:color w:val="auto"/>
          <w:sz w:val="20"/>
          <w:szCs w:val="20"/>
          <w:lang w:val="es-ES_tradnl"/>
        </w:rPr>
        <w:t xml:space="preserve">a expresar que la sentencia de apelación </w:t>
      </w:r>
      <w:r w:rsidR="006D2F24" w:rsidRPr="00095478">
        <w:rPr>
          <w:rFonts w:asciiTheme="majorHAnsi" w:hAnsiTheme="majorHAnsi"/>
          <w:color w:val="auto"/>
          <w:sz w:val="20"/>
          <w:szCs w:val="20"/>
          <w:lang w:val="es-ES_tradnl"/>
        </w:rPr>
        <w:t>no había hecho más que</w:t>
      </w:r>
      <w:r w:rsidR="00FD7A7D" w:rsidRPr="00095478">
        <w:rPr>
          <w:rFonts w:asciiTheme="majorHAnsi" w:hAnsiTheme="majorHAnsi"/>
          <w:color w:val="auto"/>
          <w:sz w:val="20"/>
          <w:szCs w:val="20"/>
          <w:lang w:val="es-ES_tradnl"/>
        </w:rPr>
        <w:t xml:space="preserve"> “reparar el defecto” de la sentencia de primera instancia, sin explicar si </w:t>
      </w:r>
      <w:r w:rsidR="006D2F24" w:rsidRPr="00095478">
        <w:rPr>
          <w:rFonts w:asciiTheme="majorHAnsi" w:hAnsiTheme="majorHAnsi"/>
          <w:color w:val="auto"/>
          <w:sz w:val="20"/>
          <w:szCs w:val="20"/>
          <w:lang w:val="es-ES_tradnl"/>
        </w:rPr>
        <w:t>para llegar a ese resultado la Sala Penal incurrió en revalorización de las pruebas</w:t>
      </w:r>
      <w:r w:rsidR="00843FF1">
        <w:rPr>
          <w:rFonts w:asciiTheme="majorHAnsi" w:hAnsiTheme="majorHAnsi"/>
          <w:color w:val="auto"/>
          <w:sz w:val="20"/>
          <w:szCs w:val="20"/>
          <w:lang w:val="es-ES_tradnl"/>
        </w:rPr>
        <w:t>,</w:t>
      </w:r>
      <w:r w:rsidR="006D2F24" w:rsidRPr="00095478">
        <w:rPr>
          <w:rFonts w:asciiTheme="majorHAnsi" w:hAnsiTheme="majorHAnsi"/>
          <w:color w:val="auto"/>
          <w:sz w:val="20"/>
          <w:szCs w:val="20"/>
          <w:lang w:val="es-ES_tradnl"/>
        </w:rPr>
        <w:t xml:space="preserve"> en extralimitación de su competencia. </w:t>
      </w:r>
      <w:r w:rsidR="0072258C" w:rsidRPr="00095478">
        <w:rPr>
          <w:rFonts w:asciiTheme="majorHAnsi" w:hAnsiTheme="majorHAnsi"/>
          <w:color w:val="auto"/>
          <w:sz w:val="20"/>
          <w:szCs w:val="20"/>
          <w:lang w:val="es-ES_tradnl"/>
        </w:rPr>
        <w:t>L</w:t>
      </w:r>
      <w:r w:rsidR="006D2F24" w:rsidRPr="00095478">
        <w:rPr>
          <w:rFonts w:asciiTheme="majorHAnsi" w:hAnsiTheme="majorHAnsi"/>
          <w:color w:val="auto"/>
          <w:sz w:val="20"/>
          <w:szCs w:val="20"/>
          <w:lang w:val="es-ES_tradnl"/>
        </w:rPr>
        <w:t xml:space="preserve">as presuntas víctimas </w:t>
      </w:r>
      <w:r w:rsidR="002A66BD" w:rsidRPr="00095478">
        <w:rPr>
          <w:rFonts w:asciiTheme="majorHAnsi" w:hAnsiTheme="majorHAnsi"/>
          <w:color w:val="auto"/>
          <w:sz w:val="20"/>
          <w:szCs w:val="20"/>
          <w:lang w:val="es-ES_tradnl"/>
        </w:rPr>
        <w:t>recurrieron la inadmisión de su recurso de casación mediante una acción de</w:t>
      </w:r>
      <w:r w:rsidR="006D2F24" w:rsidRPr="00095478">
        <w:rPr>
          <w:rFonts w:asciiTheme="majorHAnsi" w:hAnsiTheme="majorHAnsi"/>
          <w:color w:val="auto"/>
          <w:sz w:val="20"/>
          <w:szCs w:val="20"/>
          <w:lang w:val="es-ES_tradnl"/>
        </w:rPr>
        <w:t xml:space="preserve"> amparo</w:t>
      </w:r>
      <w:r w:rsidR="002A66BD" w:rsidRPr="00095478">
        <w:rPr>
          <w:rFonts w:asciiTheme="majorHAnsi" w:hAnsiTheme="majorHAnsi"/>
          <w:color w:val="auto"/>
          <w:sz w:val="20"/>
          <w:szCs w:val="20"/>
          <w:lang w:val="es-ES_tradnl"/>
        </w:rPr>
        <w:t xml:space="preserve">, </w:t>
      </w:r>
      <w:r w:rsidR="00843FF1">
        <w:rPr>
          <w:rFonts w:asciiTheme="majorHAnsi" w:hAnsiTheme="majorHAnsi"/>
          <w:color w:val="auto"/>
          <w:sz w:val="20"/>
          <w:szCs w:val="20"/>
          <w:lang w:val="es-ES_tradnl"/>
        </w:rPr>
        <w:t>que</w:t>
      </w:r>
      <w:r w:rsidR="00D26447" w:rsidRPr="00095478">
        <w:rPr>
          <w:rFonts w:asciiTheme="majorHAnsi" w:hAnsiTheme="majorHAnsi"/>
          <w:color w:val="auto"/>
          <w:sz w:val="20"/>
          <w:szCs w:val="20"/>
          <w:lang w:val="es-ES_tradnl"/>
        </w:rPr>
        <w:t xml:space="preserve"> fue rechazada el 6 de septiembre de 201</w:t>
      </w:r>
      <w:r w:rsidR="00325CC7">
        <w:rPr>
          <w:rFonts w:asciiTheme="majorHAnsi" w:hAnsiTheme="majorHAnsi"/>
          <w:color w:val="auto"/>
          <w:sz w:val="20"/>
          <w:szCs w:val="20"/>
          <w:lang w:val="es-ES_tradnl"/>
        </w:rPr>
        <w:t>2</w:t>
      </w:r>
      <w:r w:rsidR="00280DFF">
        <w:rPr>
          <w:rFonts w:asciiTheme="majorHAnsi" w:hAnsiTheme="majorHAnsi"/>
          <w:color w:val="auto"/>
          <w:sz w:val="20"/>
          <w:szCs w:val="20"/>
          <w:lang w:val="es-ES_tradnl"/>
        </w:rPr>
        <w:t>.</w:t>
      </w:r>
      <w:r w:rsidR="00325CC7" w:rsidRPr="00325CC7">
        <w:rPr>
          <w:rFonts w:asciiTheme="majorHAnsi" w:hAnsiTheme="majorHAnsi"/>
          <w:color w:val="FF0000"/>
          <w:sz w:val="20"/>
          <w:szCs w:val="20"/>
          <w:lang w:val="es-PA"/>
        </w:rPr>
        <w:t xml:space="preserve"> </w:t>
      </w:r>
    </w:p>
    <w:p w14:paraId="1EB330D4" w14:textId="77777777" w:rsidR="004D4ECA" w:rsidRDefault="004D4ECA" w:rsidP="004D4EC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2E6B977F" w14:textId="568A9CEE" w:rsidR="00B91902" w:rsidRPr="00095478" w:rsidRDefault="0072258C"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olor w:val="auto"/>
          <w:sz w:val="20"/>
          <w:szCs w:val="20"/>
          <w:lang w:val="es-ES_tradnl"/>
        </w:rPr>
        <w:t>E</w:t>
      </w:r>
      <w:r w:rsidR="002A66BD" w:rsidRPr="00095478">
        <w:rPr>
          <w:rFonts w:asciiTheme="majorHAnsi" w:hAnsiTheme="majorHAnsi"/>
          <w:color w:val="auto"/>
          <w:sz w:val="20"/>
          <w:szCs w:val="20"/>
          <w:lang w:val="es-ES_tradnl"/>
        </w:rPr>
        <w:t>l 17 de noviembre de 2008</w:t>
      </w:r>
      <w:r w:rsidR="00D26447" w:rsidRPr="00095478">
        <w:rPr>
          <w:rFonts w:asciiTheme="majorHAnsi" w:hAnsiTheme="majorHAnsi"/>
          <w:color w:val="auto"/>
          <w:sz w:val="20"/>
          <w:szCs w:val="20"/>
          <w:lang w:val="es-ES_tradnl"/>
        </w:rPr>
        <w:t xml:space="preserve">, mientras </w:t>
      </w:r>
      <w:r w:rsidR="00DF7138">
        <w:rPr>
          <w:rFonts w:asciiTheme="majorHAnsi" w:hAnsiTheme="majorHAnsi"/>
          <w:color w:val="auto"/>
          <w:sz w:val="20"/>
          <w:szCs w:val="20"/>
          <w:lang w:val="es-ES_tradnl"/>
        </w:rPr>
        <w:t>el</w:t>
      </w:r>
      <w:r w:rsidR="00D26447" w:rsidRPr="00095478">
        <w:rPr>
          <w:rFonts w:asciiTheme="majorHAnsi" w:hAnsiTheme="majorHAnsi"/>
          <w:color w:val="auto"/>
          <w:sz w:val="20"/>
          <w:szCs w:val="20"/>
          <w:lang w:val="es-ES_tradnl"/>
        </w:rPr>
        <w:t xml:space="preserve"> recurso de casación se encontraba en trámite,</w:t>
      </w:r>
      <w:r w:rsidR="002A66BD" w:rsidRPr="00095478">
        <w:rPr>
          <w:rFonts w:asciiTheme="majorHAnsi" w:hAnsiTheme="majorHAnsi"/>
          <w:color w:val="auto"/>
          <w:sz w:val="20"/>
          <w:szCs w:val="20"/>
          <w:lang w:val="es-ES_tradnl"/>
        </w:rPr>
        <w:t xml:space="preserve"> las presuntas víctimas interpusieron una excepción de extinción de la acción penal por prescripción. </w:t>
      </w:r>
      <w:r w:rsidR="008C5F22" w:rsidRPr="00095478">
        <w:rPr>
          <w:rFonts w:asciiTheme="majorHAnsi" w:hAnsiTheme="majorHAnsi"/>
          <w:color w:val="auto"/>
          <w:sz w:val="20"/>
          <w:szCs w:val="20"/>
          <w:lang w:val="es-ES_tradnl"/>
        </w:rPr>
        <w:t xml:space="preserve">Señala </w:t>
      </w:r>
      <w:r w:rsidRPr="00095478">
        <w:rPr>
          <w:rFonts w:asciiTheme="majorHAnsi" w:hAnsiTheme="majorHAnsi"/>
          <w:color w:val="auto"/>
          <w:sz w:val="20"/>
          <w:szCs w:val="20"/>
          <w:lang w:val="es-ES_tradnl"/>
        </w:rPr>
        <w:t xml:space="preserve">el peticionario </w:t>
      </w:r>
      <w:r w:rsidR="002A66BD" w:rsidRPr="00095478">
        <w:rPr>
          <w:rFonts w:asciiTheme="majorHAnsi" w:hAnsiTheme="majorHAnsi"/>
          <w:color w:val="auto"/>
          <w:sz w:val="20"/>
          <w:szCs w:val="20"/>
          <w:lang w:val="es-ES_tradnl"/>
        </w:rPr>
        <w:t xml:space="preserve">que la ley sustantiva boliviana vigente al momento de la supuesta comisión de los hechos delictivos establecía para los tipos penales por los que estaban siendo </w:t>
      </w:r>
      <w:r w:rsidRPr="00095478">
        <w:rPr>
          <w:rFonts w:asciiTheme="majorHAnsi" w:hAnsiTheme="majorHAnsi"/>
          <w:color w:val="auto"/>
          <w:sz w:val="20"/>
          <w:szCs w:val="20"/>
          <w:lang w:val="es-ES_tradnl"/>
        </w:rPr>
        <w:t>procesad</w:t>
      </w:r>
      <w:r w:rsidR="00DF7138">
        <w:rPr>
          <w:rFonts w:asciiTheme="majorHAnsi" w:hAnsiTheme="majorHAnsi"/>
          <w:color w:val="auto"/>
          <w:sz w:val="20"/>
          <w:szCs w:val="20"/>
          <w:lang w:val="es-ES_tradnl"/>
        </w:rPr>
        <w:t>as las presuntas víctimas</w:t>
      </w:r>
      <w:r w:rsidR="002A66BD" w:rsidRPr="00095478">
        <w:rPr>
          <w:rFonts w:asciiTheme="majorHAnsi" w:hAnsiTheme="majorHAnsi"/>
          <w:color w:val="auto"/>
          <w:sz w:val="20"/>
          <w:szCs w:val="20"/>
          <w:lang w:val="es-ES_tradnl"/>
        </w:rPr>
        <w:t xml:space="preserve"> penas m</w:t>
      </w:r>
      <w:r w:rsidR="00D44131" w:rsidRPr="00095478">
        <w:rPr>
          <w:rFonts w:asciiTheme="majorHAnsi" w:hAnsiTheme="majorHAnsi"/>
          <w:color w:val="auto"/>
          <w:sz w:val="20"/>
          <w:szCs w:val="20"/>
          <w:lang w:val="es-ES_tradnl"/>
        </w:rPr>
        <w:t xml:space="preserve">áximas de </w:t>
      </w:r>
      <w:r w:rsidRPr="00095478">
        <w:rPr>
          <w:rFonts w:asciiTheme="majorHAnsi" w:hAnsiTheme="majorHAnsi"/>
          <w:color w:val="auto"/>
          <w:sz w:val="20"/>
          <w:szCs w:val="20"/>
          <w:lang w:val="es-ES_tradnl"/>
        </w:rPr>
        <w:t>seis</w:t>
      </w:r>
      <w:r w:rsidR="00D44131" w:rsidRPr="00095478">
        <w:rPr>
          <w:rFonts w:asciiTheme="majorHAnsi" w:hAnsiTheme="majorHAnsi"/>
          <w:color w:val="auto"/>
          <w:sz w:val="20"/>
          <w:szCs w:val="20"/>
          <w:lang w:val="es-ES_tradnl"/>
        </w:rPr>
        <w:t xml:space="preserve"> y </w:t>
      </w:r>
      <w:r w:rsidRPr="00095478">
        <w:rPr>
          <w:rFonts w:asciiTheme="majorHAnsi" w:hAnsiTheme="majorHAnsi"/>
          <w:color w:val="auto"/>
          <w:sz w:val="20"/>
          <w:szCs w:val="20"/>
          <w:lang w:val="es-ES_tradnl"/>
        </w:rPr>
        <w:t>ocho</w:t>
      </w:r>
      <w:r w:rsidR="00D44131" w:rsidRPr="00095478">
        <w:rPr>
          <w:rFonts w:asciiTheme="majorHAnsi" w:hAnsiTheme="majorHAnsi"/>
          <w:color w:val="auto"/>
          <w:sz w:val="20"/>
          <w:szCs w:val="20"/>
          <w:lang w:val="es-ES_tradnl"/>
        </w:rPr>
        <w:t xml:space="preserve"> años</w:t>
      </w:r>
      <w:r w:rsidRPr="00095478">
        <w:rPr>
          <w:rFonts w:asciiTheme="majorHAnsi" w:hAnsiTheme="majorHAnsi"/>
          <w:color w:val="auto"/>
          <w:sz w:val="20"/>
          <w:szCs w:val="20"/>
          <w:lang w:val="es-ES_tradnl"/>
        </w:rPr>
        <w:t>;</w:t>
      </w:r>
      <w:r w:rsidR="00D44131" w:rsidRPr="00095478">
        <w:rPr>
          <w:rFonts w:asciiTheme="majorHAnsi" w:hAnsiTheme="majorHAnsi"/>
          <w:color w:val="auto"/>
          <w:sz w:val="20"/>
          <w:szCs w:val="20"/>
          <w:lang w:val="es-ES_tradnl"/>
        </w:rPr>
        <w:t xml:space="preserve"> </w:t>
      </w:r>
      <w:r w:rsidR="00DF7138">
        <w:rPr>
          <w:rFonts w:asciiTheme="majorHAnsi" w:hAnsiTheme="majorHAnsi"/>
          <w:color w:val="auto"/>
          <w:sz w:val="20"/>
          <w:szCs w:val="20"/>
          <w:lang w:val="es-ES_tradnl"/>
        </w:rPr>
        <w:t xml:space="preserve">y </w:t>
      </w:r>
      <w:proofErr w:type="gramStart"/>
      <w:r w:rsidR="00DF7138">
        <w:rPr>
          <w:rFonts w:asciiTheme="majorHAnsi" w:hAnsiTheme="majorHAnsi"/>
          <w:color w:val="auto"/>
          <w:sz w:val="20"/>
          <w:szCs w:val="20"/>
          <w:lang w:val="es-ES_tradnl"/>
        </w:rPr>
        <w:t>que</w:t>
      </w:r>
      <w:proofErr w:type="gramEnd"/>
      <w:r w:rsidR="00DF7138">
        <w:rPr>
          <w:rFonts w:asciiTheme="majorHAnsi" w:hAnsiTheme="majorHAnsi"/>
          <w:color w:val="auto"/>
          <w:sz w:val="20"/>
          <w:szCs w:val="20"/>
          <w:lang w:val="es-ES_tradnl"/>
        </w:rPr>
        <w:t xml:space="preserve"> por lo tanto, </w:t>
      </w:r>
      <w:r w:rsidR="002A66BD" w:rsidRPr="00095478">
        <w:rPr>
          <w:rFonts w:asciiTheme="majorHAnsi" w:hAnsiTheme="majorHAnsi"/>
          <w:color w:val="auto"/>
          <w:sz w:val="20"/>
          <w:szCs w:val="20"/>
          <w:lang w:val="es-ES_tradnl"/>
        </w:rPr>
        <w:t>seg</w:t>
      </w:r>
      <w:r w:rsidR="00D44131" w:rsidRPr="00095478">
        <w:rPr>
          <w:rFonts w:asciiTheme="majorHAnsi" w:hAnsiTheme="majorHAnsi"/>
          <w:color w:val="auto"/>
          <w:sz w:val="20"/>
          <w:szCs w:val="20"/>
          <w:lang w:val="es-ES_tradnl"/>
        </w:rPr>
        <w:t>ún las reglas del</w:t>
      </w:r>
      <w:r w:rsidR="002A66BD" w:rsidRPr="00095478">
        <w:rPr>
          <w:rFonts w:asciiTheme="majorHAnsi" w:hAnsiTheme="majorHAnsi"/>
          <w:color w:val="auto"/>
          <w:sz w:val="20"/>
          <w:szCs w:val="20"/>
          <w:lang w:val="es-ES_tradnl"/>
        </w:rPr>
        <w:t xml:space="preserve"> Código de Procedimiento Penal</w:t>
      </w:r>
      <w:r w:rsidR="00D44131" w:rsidRPr="00095478">
        <w:rPr>
          <w:rFonts w:asciiTheme="majorHAnsi" w:hAnsiTheme="majorHAnsi"/>
          <w:color w:val="auto"/>
          <w:sz w:val="20"/>
          <w:szCs w:val="20"/>
          <w:lang w:val="es-ES_tradnl"/>
        </w:rPr>
        <w:t xml:space="preserve"> aplicable </w:t>
      </w:r>
      <w:r w:rsidRPr="00095478">
        <w:rPr>
          <w:rFonts w:asciiTheme="majorHAnsi" w:hAnsiTheme="majorHAnsi"/>
          <w:color w:val="auto"/>
          <w:sz w:val="20"/>
          <w:szCs w:val="20"/>
          <w:lang w:val="es-ES_tradnl"/>
        </w:rPr>
        <w:t xml:space="preserve">habría </w:t>
      </w:r>
      <w:r w:rsidR="00D44131" w:rsidRPr="00095478">
        <w:rPr>
          <w:rFonts w:asciiTheme="majorHAnsi" w:hAnsiTheme="majorHAnsi"/>
          <w:color w:val="auto"/>
          <w:sz w:val="20"/>
          <w:szCs w:val="20"/>
          <w:lang w:val="es-ES_tradnl"/>
        </w:rPr>
        <w:t xml:space="preserve">un tiempo límite de </w:t>
      </w:r>
      <w:r w:rsidRPr="00095478">
        <w:rPr>
          <w:rFonts w:asciiTheme="majorHAnsi" w:hAnsiTheme="majorHAnsi"/>
          <w:color w:val="auto"/>
          <w:sz w:val="20"/>
          <w:szCs w:val="20"/>
          <w:lang w:val="es-ES_tradnl"/>
        </w:rPr>
        <w:t>ocho</w:t>
      </w:r>
      <w:r w:rsidR="00D44131" w:rsidRPr="00095478">
        <w:rPr>
          <w:rFonts w:asciiTheme="majorHAnsi" w:hAnsiTheme="majorHAnsi"/>
          <w:color w:val="auto"/>
          <w:sz w:val="20"/>
          <w:szCs w:val="20"/>
          <w:lang w:val="es-ES_tradnl"/>
        </w:rPr>
        <w:t xml:space="preserve"> años para la persecución penal en su contra. Por estas razones, </w:t>
      </w:r>
      <w:r w:rsidR="00095478" w:rsidRPr="00095478">
        <w:rPr>
          <w:rFonts w:asciiTheme="majorHAnsi" w:hAnsiTheme="majorHAnsi"/>
          <w:color w:val="auto"/>
          <w:sz w:val="20"/>
          <w:szCs w:val="20"/>
          <w:lang w:val="es-ES_tradnl"/>
        </w:rPr>
        <w:t>el</w:t>
      </w:r>
      <w:r w:rsidRPr="00095478">
        <w:rPr>
          <w:rFonts w:asciiTheme="majorHAnsi" w:hAnsiTheme="majorHAnsi"/>
          <w:color w:val="auto"/>
          <w:sz w:val="20"/>
          <w:szCs w:val="20"/>
          <w:lang w:val="es-ES_tradnl"/>
        </w:rPr>
        <w:t xml:space="preserve"> peticionario</w:t>
      </w:r>
      <w:r w:rsidR="00DF7138" w:rsidRPr="00DF7138">
        <w:rPr>
          <w:rFonts w:asciiTheme="majorHAnsi" w:hAnsiTheme="majorHAnsi"/>
          <w:color w:val="auto"/>
          <w:sz w:val="20"/>
          <w:szCs w:val="20"/>
          <w:lang w:val="es-ES_tradnl"/>
        </w:rPr>
        <w:t xml:space="preserve"> </w:t>
      </w:r>
      <w:r w:rsidR="00DF7138" w:rsidRPr="00095478">
        <w:rPr>
          <w:rFonts w:asciiTheme="majorHAnsi" w:hAnsiTheme="majorHAnsi"/>
          <w:color w:val="auto"/>
          <w:sz w:val="20"/>
          <w:szCs w:val="20"/>
          <w:lang w:val="es-ES_tradnl"/>
        </w:rPr>
        <w:t>alega</w:t>
      </w:r>
      <w:r w:rsidR="00DF7138">
        <w:rPr>
          <w:rFonts w:asciiTheme="majorHAnsi" w:hAnsiTheme="majorHAnsi"/>
          <w:color w:val="auto"/>
          <w:sz w:val="20"/>
          <w:szCs w:val="20"/>
          <w:lang w:val="es-ES_tradnl"/>
        </w:rPr>
        <w:t xml:space="preserve"> que</w:t>
      </w:r>
      <w:r w:rsidR="00D44131" w:rsidRPr="00095478">
        <w:rPr>
          <w:rFonts w:asciiTheme="majorHAnsi" w:hAnsiTheme="majorHAnsi"/>
          <w:color w:val="auto"/>
          <w:sz w:val="20"/>
          <w:szCs w:val="20"/>
          <w:lang w:val="es-ES_tradnl"/>
        </w:rPr>
        <w:t xml:space="preserve"> la acción penal se extinguió en septiembre de 2008 luego de que</w:t>
      </w:r>
      <w:r w:rsidR="00CF2D00" w:rsidRPr="00095478">
        <w:rPr>
          <w:rFonts w:asciiTheme="majorHAnsi" w:hAnsiTheme="majorHAnsi"/>
          <w:color w:val="auto"/>
          <w:sz w:val="20"/>
          <w:szCs w:val="20"/>
          <w:lang w:val="es-ES_tradnl"/>
        </w:rPr>
        <w:t xml:space="preserve"> transcurrieran </w:t>
      </w:r>
      <w:r w:rsidRPr="00095478">
        <w:rPr>
          <w:rFonts w:asciiTheme="majorHAnsi" w:hAnsiTheme="majorHAnsi"/>
          <w:color w:val="auto"/>
          <w:sz w:val="20"/>
          <w:szCs w:val="20"/>
          <w:lang w:val="es-ES_tradnl"/>
        </w:rPr>
        <w:t>ocho</w:t>
      </w:r>
      <w:r w:rsidR="00CF2D00" w:rsidRPr="00095478">
        <w:rPr>
          <w:rFonts w:asciiTheme="majorHAnsi" w:hAnsiTheme="majorHAnsi"/>
          <w:color w:val="auto"/>
          <w:sz w:val="20"/>
          <w:szCs w:val="20"/>
          <w:lang w:val="es-ES_tradnl"/>
        </w:rPr>
        <w:t xml:space="preserve"> años desde los hechos </w:t>
      </w:r>
      <w:r w:rsidR="00CF2D00" w:rsidRPr="00095478">
        <w:rPr>
          <w:rFonts w:asciiTheme="majorHAnsi" w:hAnsiTheme="majorHAnsi"/>
          <w:color w:val="auto"/>
          <w:sz w:val="20"/>
          <w:szCs w:val="20"/>
          <w:lang w:val="es-ES_tradnl"/>
        </w:rPr>
        <w:lastRenderedPageBreak/>
        <w:t xml:space="preserve">imputados </w:t>
      </w:r>
      <w:r w:rsidR="00D44131" w:rsidRPr="00095478">
        <w:rPr>
          <w:rFonts w:asciiTheme="majorHAnsi" w:hAnsiTheme="majorHAnsi"/>
          <w:color w:val="auto"/>
          <w:sz w:val="20"/>
          <w:szCs w:val="20"/>
          <w:lang w:val="es-ES_tradnl"/>
        </w:rPr>
        <w:t>sin</w:t>
      </w:r>
      <w:r w:rsidR="00CF2D00" w:rsidRPr="00095478">
        <w:rPr>
          <w:rFonts w:asciiTheme="majorHAnsi" w:hAnsiTheme="majorHAnsi"/>
          <w:color w:val="auto"/>
          <w:sz w:val="20"/>
          <w:szCs w:val="20"/>
          <w:lang w:val="es-ES_tradnl"/>
        </w:rPr>
        <w:t xml:space="preserve"> </w:t>
      </w:r>
      <w:r w:rsidR="00D44131" w:rsidRPr="00095478">
        <w:rPr>
          <w:rFonts w:asciiTheme="majorHAnsi" w:hAnsiTheme="majorHAnsi"/>
          <w:color w:val="auto"/>
          <w:sz w:val="20"/>
          <w:szCs w:val="20"/>
          <w:lang w:val="es-ES_tradnl"/>
        </w:rPr>
        <w:t xml:space="preserve">una sentencia en firme </w:t>
      </w:r>
      <w:r w:rsidR="006B25CC" w:rsidRPr="00095478">
        <w:rPr>
          <w:rFonts w:asciiTheme="majorHAnsi" w:hAnsiTheme="majorHAnsi"/>
          <w:color w:val="auto"/>
          <w:sz w:val="20"/>
          <w:szCs w:val="20"/>
          <w:lang w:val="es-ES_tradnl"/>
        </w:rPr>
        <w:t>contra las presuntas víctimas</w:t>
      </w:r>
      <w:r w:rsidR="00D44131" w:rsidRPr="00095478">
        <w:rPr>
          <w:rFonts w:asciiTheme="majorHAnsi" w:hAnsiTheme="majorHAnsi"/>
          <w:color w:val="auto"/>
          <w:sz w:val="20"/>
          <w:szCs w:val="20"/>
          <w:lang w:val="es-ES_tradnl"/>
        </w:rPr>
        <w:t>.</w:t>
      </w:r>
      <w:r w:rsidR="006B25CC" w:rsidRPr="00095478">
        <w:rPr>
          <w:rFonts w:asciiTheme="majorHAnsi" w:hAnsiTheme="majorHAnsi"/>
          <w:color w:val="auto"/>
          <w:sz w:val="20"/>
          <w:szCs w:val="20"/>
          <w:lang w:val="es-ES_tradnl"/>
        </w:rPr>
        <w:t xml:space="preserve"> </w:t>
      </w:r>
      <w:r w:rsidR="00DF7138">
        <w:rPr>
          <w:rFonts w:asciiTheme="majorHAnsi" w:hAnsiTheme="majorHAnsi"/>
          <w:color w:val="auto"/>
          <w:sz w:val="20"/>
          <w:szCs w:val="20"/>
          <w:lang w:val="es-ES_tradnl"/>
        </w:rPr>
        <w:t xml:space="preserve">Destaca </w:t>
      </w:r>
      <w:r w:rsidR="00CF2D00" w:rsidRPr="00095478">
        <w:rPr>
          <w:rFonts w:asciiTheme="majorHAnsi" w:hAnsiTheme="majorHAnsi"/>
          <w:color w:val="auto"/>
          <w:sz w:val="20"/>
          <w:szCs w:val="20"/>
          <w:lang w:val="es-ES_tradnl"/>
        </w:rPr>
        <w:t>que la excepción interpuesta les fue negada</w:t>
      </w:r>
      <w:r w:rsidR="006B25CC" w:rsidRPr="00095478">
        <w:rPr>
          <w:rFonts w:asciiTheme="majorHAnsi" w:hAnsiTheme="majorHAnsi"/>
          <w:color w:val="auto"/>
          <w:sz w:val="20"/>
          <w:szCs w:val="20"/>
          <w:lang w:val="es-ES_tradnl"/>
        </w:rPr>
        <w:t xml:space="preserve"> por la Sala Penal de la Corte Suprema de Justicia</w:t>
      </w:r>
      <w:r w:rsidR="00CF2D00" w:rsidRPr="00095478">
        <w:rPr>
          <w:rFonts w:asciiTheme="majorHAnsi" w:hAnsiTheme="majorHAnsi"/>
          <w:color w:val="auto"/>
          <w:sz w:val="20"/>
          <w:szCs w:val="20"/>
          <w:lang w:val="es-ES_tradnl"/>
        </w:rPr>
        <w:t xml:space="preserve"> sin debido fundamento</w:t>
      </w:r>
      <w:r w:rsidR="00B91902" w:rsidRPr="00095478">
        <w:rPr>
          <w:rFonts w:asciiTheme="majorHAnsi" w:hAnsiTheme="majorHAnsi"/>
          <w:color w:val="auto"/>
          <w:sz w:val="20"/>
          <w:szCs w:val="20"/>
          <w:lang w:val="es-ES_tradnl"/>
        </w:rPr>
        <w:t>.</w:t>
      </w:r>
    </w:p>
    <w:p w14:paraId="498E3791" w14:textId="77777777" w:rsidR="004D4ECA" w:rsidRDefault="00CF2D00" w:rsidP="004D4EC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r w:rsidRPr="00095478">
        <w:rPr>
          <w:rFonts w:asciiTheme="majorHAnsi" w:hAnsiTheme="majorHAnsi"/>
          <w:color w:val="auto"/>
          <w:sz w:val="20"/>
          <w:szCs w:val="20"/>
          <w:lang w:val="es-ES_tradnl"/>
        </w:rPr>
        <w:t xml:space="preserve"> </w:t>
      </w:r>
    </w:p>
    <w:p w14:paraId="49C46D63" w14:textId="5B64EABD" w:rsidR="008C67F0" w:rsidRPr="00095478" w:rsidRDefault="00B91902"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olor w:val="auto"/>
          <w:sz w:val="20"/>
          <w:szCs w:val="20"/>
          <w:lang w:val="es-ES_tradnl"/>
        </w:rPr>
        <w:t xml:space="preserve">Contra la denegatoria de </w:t>
      </w:r>
      <w:r w:rsidR="00DF7138">
        <w:rPr>
          <w:rFonts w:asciiTheme="majorHAnsi" w:hAnsiTheme="majorHAnsi"/>
          <w:color w:val="auto"/>
          <w:sz w:val="20"/>
          <w:szCs w:val="20"/>
          <w:lang w:val="es-ES_tradnl"/>
        </w:rPr>
        <w:t>la</w:t>
      </w:r>
      <w:r w:rsidRPr="00095478">
        <w:rPr>
          <w:rFonts w:asciiTheme="majorHAnsi" w:hAnsiTheme="majorHAnsi"/>
          <w:color w:val="auto"/>
          <w:sz w:val="20"/>
          <w:szCs w:val="20"/>
          <w:lang w:val="es-ES_tradnl"/>
        </w:rPr>
        <w:t xml:space="preserve"> excepción de extinción de la acción penal, las presuntas víctimas interpusieron</w:t>
      </w:r>
      <w:r w:rsidR="00CF2D00" w:rsidRPr="00095478">
        <w:rPr>
          <w:rFonts w:asciiTheme="majorHAnsi" w:hAnsiTheme="majorHAnsi"/>
          <w:color w:val="auto"/>
          <w:sz w:val="20"/>
          <w:szCs w:val="20"/>
          <w:lang w:val="es-ES_tradnl"/>
        </w:rPr>
        <w:t xml:space="preserve"> una acción de liberta</w:t>
      </w:r>
      <w:r w:rsidRPr="00095478">
        <w:rPr>
          <w:rFonts w:asciiTheme="majorHAnsi" w:hAnsiTheme="majorHAnsi"/>
          <w:color w:val="auto"/>
          <w:sz w:val="20"/>
          <w:szCs w:val="20"/>
          <w:lang w:val="es-ES_tradnl"/>
        </w:rPr>
        <w:t>d</w:t>
      </w:r>
      <w:r w:rsidR="00CF2D00" w:rsidRPr="00095478">
        <w:rPr>
          <w:rFonts w:asciiTheme="majorHAnsi" w:hAnsiTheme="majorHAnsi"/>
          <w:color w:val="auto"/>
          <w:sz w:val="20"/>
          <w:szCs w:val="20"/>
          <w:lang w:val="es-ES_tradnl"/>
        </w:rPr>
        <w:t>. Aportan copia de la sentencia</w:t>
      </w:r>
      <w:r w:rsidR="008C5F22" w:rsidRPr="00095478">
        <w:rPr>
          <w:rFonts w:asciiTheme="majorHAnsi" w:hAnsiTheme="majorHAnsi"/>
          <w:color w:val="auto"/>
          <w:sz w:val="20"/>
          <w:szCs w:val="20"/>
          <w:lang w:val="es-ES_tradnl"/>
        </w:rPr>
        <w:t xml:space="preserve"> de 17 de abril de 2009</w:t>
      </w:r>
      <w:r w:rsidR="00F47DD9" w:rsidRPr="00095478">
        <w:rPr>
          <w:rFonts w:asciiTheme="majorHAnsi" w:hAnsiTheme="majorHAnsi"/>
          <w:color w:val="auto"/>
          <w:sz w:val="20"/>
          <w:szCs w:val="20"/>
          <w:lang w:val="es-ES_tradnl"/>
        </w:rPr>
        <w:t>,</w:t>
      </w:r>
      <w:r w:rsidR="00CF2D00" w:rsidRPr="00095478">
        <w:rPr>
          <w:rFonts w:asciiTheme="majorHAnsi" w:hAnsiTheme="majorHAnsi"/>
          <w:color w:val="auto"/>
          <w:sz w:val="20"/>
          <w:szCs w:val="20"/>
          <w:lang w:val="es-ES_tradnl"/>
        </w:rPr>
        <w:t xml:space="preserve"> que resolvió la referida acción en primera instancia</w:t>
      </w:r>
      <w:r w:rsidR="00F47DD9" w:rsidRPr="00095478">
        <w:rPr>
          <w:rFonts w:asciiTheme="majorHAnsi" w:hAnsiTheme="majorHAnsi"/>
          <w:color w:val="auto"/>
          <w:sz w:val="20"/>
          <w:szCs w:val="20"/>
          <w:lang w:val="es-ES_tradnl"/>
        </w:rPr>
        <w:t>,</w:t>
      </w:r>
      <w:r w:rsidR="00CF2D00" w:rsidRPr="00095478">
        <w:rPr>
          <w:rFonts w:asciiTheme="majorHAnsi" w:hAnsiTheme="majorHAnsi"/>
          <w:color w:val="auto"/>
          <w:sz w:val="20"/>
          <w:szCs w:val="20"/>
          <w:lang w:val="es-ES_tradnl"/>
        </w:rPr>
        <w:t xml:space="preserve"> en que se observa que el </w:t>
      </w:r>
      <w:r w:rsidR="00B12A01" w:rsidRPr="00095478">
        <w:rPr>
          <w:rFonts w:asciiTheme="majorHAnsi" w:hAnsiTheme="majorHAnsi"/>
          <w:color w:val="auto"/>
          <w:sz w:val="20"/>
          <w:szCs w:val="20"/>
          <w:lang w:val="es-ES_tradnl"/>
        </w:rPr>
        <w:t xml:space="preserve">tribunal de </w:t>
      </w:r>
      <w:r w:rsidR="00293B43" w:rsidRPr="00095478">
        <w:rPr>
          <w:rFonts w:asciiTheme="majorHAnsi" w:hAnsiTheme="majorHAnsi"/>
          <w:color w:val="auto"/>
          <w:sz w:val="20"/>
          <w:szCs w:val="20"/>
          <w:lang w:val="es-ES_tradnl"/>
        </w:rPr>
        <w:t>garantías</w:t>
      </w:r>
      <w:r w:rsidR="00B12A01" w:rsidRPr="00095478">
        <w:rPr>
          <w:rFonts w:asciiTheme="majorHAnsi" w:hAnsiTheme="majorHAnsi"/>
          <w:color w:val="auto"/>
          <w:sz w:val="20"/>
          <w:szCs w:val="20"/>
          <w:lang w:val="es-ES_tradnl"/>
        </w:rPr>
        <w:t xml:space="preserve"> consideró</w:t>
      </w:r>
      <w:r w:rsidR="00CF2D00" w:rsidRPr="00095478">
        <w:rPr>
          <w:rFonts w:asciiTheme="majorHAnsi" w:hAnsiTheme="majorHAnsi"/>
          <w:color w:val="auto"/>
          <w:sz w:val="20"/>
          <w:szCs w:val="20"/>
          <w:lang w:val="es-ES_tradnl"/>
        </w:rPr>
        <w:t xml:space="preserve"> que la Sala Penal había incurrido en una violaci</w:t>
      </w:r>
      <w:r w:rsidR="00F43F83" w:rsidRPr="00095478">
        <w:rPr>
          <w:rFonts w:asciiTheme="majorHAnsi" w:hAnsiTheme="majorHAnsi"/>
          <w:color w:val="auto"/>
          <w:sz w:val="20"/>
          <w:szCs w:val="20"/>
          <w:lang w:val="es-ES_tradnl"/>
        </w:rPr>
        <w:t xml:space="preserve">ón </w:t>
      </w:r>
      <w:r w:rsidR="00DF7138">
        <w:rPr>
          <w:rFonts w:asciiTheme="majorHAnsi" w:hAnsiTheme="majorHAnsi"/>
          <w:color w:val="auto"/>
          <w:sz w:val="20"/>
          <w:szCs w:val="20"/>
          <w:lang w:val="es-ES_tradnl"/>
        </w:rPr>
        <w:t>de</w:t>
      </w:r>
      <w:r w:rsidR="00F43F83" w:rsidRPr="00095478">
        <w:rPr>
          <w:rFonts w:asciiTheme="majorHAnsi" w:hAnsiTheme="majorHAnsi"/>
          <w:color w:val="auto"/>
          <w:sz w:val="20"/>
          <w:szCs w:val="20"/>
          <w:lang w:val="es-ES_tradnl"/>
        </w:rPr>
        <w:t xml:space="preserve">l debido proceso al apartarse de la jurisprudencia constitucional vinculante y rechazar la acción con </w:t>
      </w:r>
      <w:r w:rsidR="00F47DD9" w:rsidRPr="00095478">
        <w:rPr>
          <w:rFonts w:asciiTheme="majorHAnsi" w:hAnsiTheme="majorHAnsi"/>
          <w:color w:val="auto"/>
          <w:sz w:val="20"/>
          <w:szCs w:val="20"/>
          <w:lang w:val="es-ES_tradnl"/>
        </w:rPr>
        <w:t xml:space="preserve">la </w:t>
      </w:r>
      <w:r w:rsidR="00F43F83" w:rsidRPr="00095478">
        <w:rPr>
          <w:rFonts w:asciiTheme="majorHAnsi" w:hAnsiTheme="majorHAnsi"/>
          <w:color w:val="auto"/>
          <w:sz w:val="20"/>
          <w:szCs w:val="20"/>
          <w:lang w:val="es-ES_tradnl"/>
        </w:rPr>
        <w:t xml:space="preserve">única base </w:t>
      </w:r>
      <w:r w:rsidR="00F47DD9" w:rsidRPr="00095478">
        <w:rPr>
          <w:rFonts w:asciiTheme="majorHAnsi" w:hAnsiTheme="majorHAnsi"/>
          <w:color w:val="auto"/>
          <w:sz w:val="20"/>
          <w:szCs w:val="20"/>
          <w:lang w:val="es-ES_tradnl"/>
        </w:rPr>
        <w:t>de</w:t>
      </w:r>
      <w:r w:rsidR="00F43F83" w:rsidRPr="00095478">
        <w:rPr>
          <w:rFonts w:asciiTheme="majorHAnsi" w:hAnsiTheme="majorHAnsi"/>
          <w:color w:val="auto"/>
          <w:sz w:val="20"/>
          <w:szCs w:val="20"/>
          <w:lang w:val="es-ES_tradnl"/>
        </w:rPr>
        <w:t xml:space="preserve"> que la acción había sido presentada antes de cumplirse el término para la prescripción, </w:t>
      </w:r>
      <w:r w:rsidR="00DF7138">
        <w:rPr>
          <w:rFonts w:asciiTheme="majorHAnsi" w:hAnsiTheme="majorHAnsi"/>
          <w:color w:val="auto"/>
          <w:sz w:val="20"/>
          <w:szCs w:val="20"/>
          <w:lang w:val="es-ES_tradnl"/>
        </w:rPr>
        <w:t xml:space="preserve">a </w:t>
      </w:r>
      <w:r w:rsidR="008C5F22" w:rsidRPr="00095478">
        <w:rPr>
          <w:rFonts w:asciiTheme="majorHAnsi" w:hAnsiTheme="majorHAnsi"/>
          <w:color w:val="auto"/>
          <w:sz w:val="20"/>
          <w:szCs w:val="20"/>
          <w:lang w:val="es-ES_tradnl"/>
        </w:rPr>
        <w:t>pes</w:t>
      </w:r>
      <w:r w:rsidR="00DF7138">
        <w:rPr>
          <w:rFonts w:asciiTheme="majorHAnsi" w:hAnsiTheme="majorHAnsi"/>
          <w:color w:val="auto"/>
          <w:sz w:val="20"/>
          <w:szCs w:val="20"/>
          <w:lang w:val="es-ES_tradnl"/>
        </w:rPr>
        <w:t>ar</w:t>
      </w:r>
      <w:r w:rsidR="008C5F22" w:rsidRPr="00095478">
        <w:rPr>
          <w:rFonts w:asciiTheme="majorHAnsi" w:hAnsiTheme="majorHAnsi"/>
          <w:color w:val="auto"/>
          <w:sz w:val="20"/>
          <w:szCs w:val="20"/>
          <w:lang w:val="es-ES_tradnl"/>
        </w:rPr>
        <w:t xml:space="preserve"> </w:t>
      </w:r>
      <w:r w:rsidR="00DF7138">
        <w:rPr>
          <w:rFonts w:asciiTheme="majorHAnsi" w:hAnsiTheme="majorHAnsi"/>
          <w:color w:val="auto"/>
          <w:sz w:val="20"/>
          <w:szCs w:val="20"/>
          <w:lang w:val="es-ES_tradnl"/>
        </w:rPr>
        <w:t>de</w:t>
      </w:r>
      <w:r w:rsidR="008C5F22" w:rsidRPr="00095478">
        <w:rPr>
          <w:rFonts w:asciiTheme="majorHAnsi" w:hAnsiTheme="majorHAnsi"/>
          <w:color w:val="auto"/>
          <w:sz w:val="20"/>
          <w:szCs w:val="20"/>
          <w:lang w:val="es-ES_tradnl"/>
        </w:rPr>
        <w:t xml:space="preserve"> que</w:t>
      </w:r>
      <w:r w:rsidR="00F43F83" w:rsidRPr="00095478">
        <w:rPr>
          <w:rFonts w:asciiTheme="majorHAnsi" w:hAnsiTheme="majorHAnsi"/>
          <w:color w:val="auto"/>
          <w:sz w:val="20"/>
          <w:szCs w:val="20"/>
          <w:lang w:val="es-ES_tradnl"/>
        </w:rPr>
        <w:t xml:space="preserve"> </w:t>
      </w:r>
      <w:r w:rsidR="00DF7138">
        <w:rPr>
          <w:rFonts w:asciiTheme="majorHAnsi" w:hAnsiTheme="majorHAnsi"/>
          <w:color w:val="auto"/>
          <w:sz w:val="20"/>
          <w:szCs w:val="20"/>
          <w:lang w:val="es-ES_tradnl"/>
        </w:rPr>
        <w:t xml:space="preserve">tal hecho </w:t>
      </w:r>
      <w:r w:rsidR="00F43F83" w:rsidRPr="00095478">
        <w:rPr>
          <w:rFonts w:asciiTheme="majorHAnsi" w:hAnsiTheme="majorHAnsi"/>
          <w:color w:val="auto"/>
          <w:sz w:val="20"/>
          <w:szCs w:val="20"/>
          <w:lang w:val="es-ES_tradnl"/>
        </w:rPr>
        <w:t>no estaba previst</w:t>
      </w:r>
      <w:r w:rsidR="00DF7138">
        <w:rPr>
          <w:rFonts w:asciiTheme="majorHAnsi" w:hAnsiTheme="majorHAnsi"/>
          <w:color w:val="auto"/>
          <w:sz w:val="20"/>
          <w:szCs w:val="20"/>
          <w:lang w:val="es-ES_tradnl"/>
        </w:rPr>
        <w:t>o</w:t>
      </w:r>
      <w:r w:rsidR="00F43F83" w:rsidRPr="00095478">
        <w:rPr>
          <w:rFonts w:asciiTheme="majorHAnsi" w:hAnsiTheme="majorHAnsi"/>
          <w:color w:val="auto"/>
          <w:sz w:val="20"/>
          <w:szCs w:val="20"/>
          <w:lang w:val="es-ES_tradnl"/>
        </w:rPr>
        <w:t xml:space="preserve"> en la ley como causal para la suspensión del plazo de prescripción</w:t>
      </w:r>
      <w:r w:rsidR="008C5F22" w:rsidRPr="00095478">
        <w:rPr>
          <w:rFonts w:asciiTheme="majorHAnsi" w:hAnsiTheme="majorHAnsi"/>
          <w:color w:val="auto"/>
          <w:sz w:val="20"/>
          <w:szCs w:val="20"/>
          <w:lang w:val="es-ES_tradnl"/>
        </w:rPr>
        <w:t xml:space="preserve">. </w:t>
      </w:r>
      <w:r w:rsidR="00B12A01" w:rsidRPr="00095478">
        <w:rPr>
          <w:rFonts w:asciiTheme="majorHAnsi" w:hAnsiTheme="majorHAnsi"/>
          <w:color w:val="auto"/>
          <w:sz w:val="20"/>
          <w:szCs w:val="20"/>
          <w:lang w:val="es-ES_tradnl"/>
        </w:rPr>
        <w:t xml:space="preserve">En consecuencia, el tribunal de </w:t>
      </w:r>
      <w:r w:rsidR="002F6256" w:rsidRPr="00095478">
        <w:rPr>
          <w:rFonts w:asciiTheme="majorHAnsi" w:hAnsiTheme="majorHAnsi"/>
          <w:color w:val="auto"/>
          <w:sz w:val="20"/>
          <w:szCs w:val="20"/>
          <w:lang w:val="es-ES_tradnl"/>
        </w:rPr>
        <w:t xml:space="preserve">garantías </w:t>
      </w:r>
      <w:r w:rsidR="00B12A01" w:rsidRPr="00095478">
        <w:rPr>
          <w:rFonts w:asciiTheme="majorHAnsi" w:hAnsiTheme="majorHAnsi"/>
          <w:color w:val="auto"/>
          <w:sz w:val="20"/>
          <w:szCs w:val="20"/>
          <w:lang w:val="es-ES_tradnl"/>
        </w:rPr>
        <w:t xml:space="preserve">ordenó a la Sala Penal que emitiera una nueva decisión con respecto a la excepción planteada por las presuntas víctimas. </w:t>
      </w:r>
      <w:r w:rsidR="00F47DD9" w:rsidRPr="00095478">
        <w:rPr>
          <w:rFonts w:asciiTheme="majorHAnsi" w:hAnsiTheme="majorHAnsi"/>
          <w:color w:val="auto"/>
          <w:sz w:val="20"/>
          <w:szCs w:val="20"/>
          <w:lang w:val="es-ES_tradnl"/>
        </w:rPr>
        <w:t>El peticionario explica que</w:t>
      </w:r>
      <w:r w:rsidR="00293B43" w:rsidRPr="00095478">
        <w:rPr>
          <w:rFonts w:asciiTheme="majorHAnsi" w:hAnsiTheme="majorHAnsi"/>
          <w:color w:val="auto"/>
          <w:sz w:val="20"/>
          <w:szCs w:val="20"/>
          <w:lang w:val="es-ES_tradnl"/>
        </w:rPr>
        <w:t>,</w:t>
      </w:r>
      <w:r w:rsidR="00F47DD9" w:rsidRPr="00095478">
        <w:rPr>
          <w:rFonts w:asciiTheme="majorHAnsi" w:hAnsiTheme="majorHAnsi"/>
          <w:color w:val="auto"/>
          <w:sz w:val="20"/>
          <w:szCs w:val="20"/>
          <w:lang w:val="es-ES_tradnl"/>
        </w:rPr>
        <w:t xml:space="preserve"> </w:t>
      </w:r>
      <w:r w:rsidR="0087265C" w:rsidRPr="00095478">
        <w:rPr>
          <w:rFonts w:asciiTheme="majorHAnsi" w:hAnsiTheme="majorHAnsi"/>
          <w:color w:val="auto"/>
          <w:sz w:val="20"/>
          <w:szCs w:val="20"/>
          <w:lang w:val="es-ES_tradnl"/>
        </w:rPr>
        <w:t xml:space="preserve">en el tiempo transcurrido entre </w:t>
      </w:r>
      <w:r w:rsidR="00B12A01" w:rsidRPr="00095478">
        <w:rPr>
          <w:rFonts w:asciiTheme="majorHAnsi" w:hAnsiTheme="majorHAnsi"/>
          <w:color w:val="auto"/>
          <w:sz w:val="20"/>
          <w:szCs w:val="20"/>
          <w:lang w:val="es-ES_tradnl"/>
        </w:rPr>
        <w:t>la</w:t>
      </w:r>
      <w:r w:rsidR="0087265C" w:rsidRPr="00095478">
        <w:rPr>
          <w:rFonts w:asciiTheme="majorHAnsi" w:hAnsiTheme="majorHAnsi"/>
          <w:color w:val="auto"/>
          <w:sz w:val="20"/>
          <w:szCs w:val="20"/>
          <w:lang w:val="es-ES_tradnl"/>
        </w:rPr>
        <w:t xml:space="preserve"> </w:t>
      </w:r>
      <w:r w:rsidR="00293B43" w:rsidRPr="00095478">
        <w:rPr>
          <w:rFonts w:asciiTheme="majorHAnsi" w:hAnsiTheme="majorHAnsi"/>
          <w:color w:val="auto"/>
          <w:sz w:val="20"/>
          <w:szCs w:val="20"/>
          <w:lang w:val="es-ES_tradnl"/>
        </w:rPr>
        <w:t xml:space="preserve">emisión de la decisión revocada </w:t>
      </w:r>
      <w:r w:rsidR="00B12A01" w:rsidRPr="00095478">
        <w:rPr>
          <w:rFonts w:asciiTheme="majorHAnsi" w:hAnsiTheme="majorHAnsi"/>
          <w:color w:val="auto"/>
          <w:sz w:val="20"/>
          <w:szCs w:val="20"/>
          <w:lang w:val="es-ES_tradnl"/>
        </w:rPr>
        <w:t xml:space="preserve">y </w:t>
      </w:r>
      <w:r w:rsidR="00293B43" w:rsidRPr="00095478">
        <w:rPr>
          <w:rFonts w:asciiTheme="majorHAnsi" w:hAnsiTheme="majorHAnsi"/>
          <w:color w:val="auto"/>
          <w:sz w:val="20"/>
          <w:szCs w:val="20"/>
          <w:lang w:val="es-ES_tradnl"/>
        </w:rPr>
        <w:t xml:space="preserve">la emisión </w:t>
      </w:r>
      <w:r w:rsidRPr="00095478">
        <w:rPr>
          <w:rFonts w:asciiTheme="majorHAnsi" w:hAnsiTheme="majorHAnsi"/>
          <w:color w:val="auto"/>
          <w:sz w:val="20"/>
          <w:szCs w:val="20"/>
          <w:lang w:val="es-ES_tradnl"/>
        </w:rPr>
        <w:t>de una nueva según lo ordenado</w:t>
      </w:r>
      <w:r w:rsidR="0087265C" w:rsidRPr="00095478">
        <w:rPr>
          <w:rFonts w:asciiTheme="majorHAnsi" w:hAnsiTheme="majorHAnsi"/>
          <w:color w:val="auto"/>
          <w:sz w:val="20"/>
          <w:szCs w:val="20"/>
          <w:lang w:val="es-ES_tradnl"/>
        </w:rPr>
        <w:t xml:space="preserve">, se promulgó el 7 de febrero de 2009 una nueva </w:t>
      </w:r>
      <w:r w:rsidR="004A5608" w:rsidRPr="00095478">
        <w:rPr>
          <w:rFonts w:asciiTheme="majorHAnsi" w:hAnsiTheme="majorHAnsi"/>
          <w:color w:val="auto"/>
          <w:sz w:val="20"/>
          <w:szCs w:val="20"/>
          <w:lang w:val="es-ES_tradnl"/>
        </w:rPr>
        <w:t>C</w:t>
      </w:r>
      <w:r w:rsidR="0087265C" w:rsidRPr="00095478">
        <w:rPr>
          <w:rFonts w:asciiTheme="majorHAnsi" w:hAnsiTheme="majorHAnsi"/>
          <w:color w:val="auto"/>
          <w:sz w:val="20"/>
          <w:szCs w:val="20"/>
          <w:lang w:val="es-ES_tradnl"/>
        </w:rPr>
        <w:t xml:space="preserve">onstitución </w:t>
      </w:r>
      <w:r w:rsidR="004A5608" w:rsidRPr="00095478">
        <w:rPr>
          <w:rFonts w:asciiTheme="majorHAnsi" w:hAnsiTheme="majorHAnsi"/>
          <w:color w:val="auto"/>
          <w:sz w:val="20"/>
          <w:szCs w:val="20"/>
          <w:lang w:val="es-ES_tradnl"/>
        </w:rPr>
        <w:t>P</w:t>
      </w:r>
      <w:r w:rsidR="0087265C" w:rsidRPr="00095478">
        <w:rPr>
          <w:rFonts w:asciiTheme="majorHAnsi" w:hAnsiTheme="majorHAnsi"/>
          <w:color w:val="auto"/>
          <w:sz w:val="20"/>
          <w:szCs w:val="20"/>
          <w:lang w:val="es-ES_tradnl"/>
        </w:rPr>
        <w:t xml:space="preserve">olítica </w:t>
      </w:r>
      <w:r w:rsidR="004A5608" w:rsidRPr="00095478">
        <w:rPr>
          <w:rFonts w:asciiTheme="majorHAnsi" w:hAnsiTheme="majorHAnsi"/>
          <w:color w:val="auto"/>
          <w:sz w:val="20"/>
          <w:szCs w:val="20"/>
          <w:lang w:val="es-ES_tradnl"/>
        </w:rPr>
        <w:t>en</w:t>
      </w:r>
      <w:r w:rsidR="0087265C" w:rsidRPr="00095478">
        <w:rPr>
          <w:rFonts w:asciiTheme="majorHAnsi" w:hAnsiTheme="majorHAnsi"/>
          <w:color w:val="auto"/>
          <w:sz w:val="20"/>
          <w:szCs w:val="20"/>
          <w:lang w:val="es-ES_tradnl"/>
        </w:rPr>
        <w:t xml:space="preserve"> Bolivia. </w:t>
      </w:r>
      <w:r w:rsidR="00DF7138">
        <w:rPr>
          <w:rFonts w:asciiTheme="majorHAnsi" w:hAnsiTheme="majorHAnsi"/>
          <w:color w:val="auto"/>
          <w:sz w:val="20"/>
          <w:szCs w:val="20"/>
          <w:lang w:val="es-ES_tradnl"/>
        </w:rPr>
        <w:t>R</w:t>
      </w:r>
      <w:r w:rsidR="00293B43" w:rsidRPr="00095478">
        <w:rPr>
          <w:rFonts w:asciiTheme="majorHAnsi" w:hAnsiTheme="majorHAnsi"/>
          <w:color w:val="auto"/>
          <w:sz w:val="20"/>
          <w:szCs w:val="20"/>
          <w:lang w:val="es-ES_tradnl"/>
        </w:rPr>
        <w:t xml:space="preserve">eclama </w:t>
      </w:r>
      <w:r w:rsidR="0087265C" w:rsidRPr="00095478">
        <w:rPr>
          <w:rFonts w:asciiTheme="majorHAnsi" w:hAnsiTheme="majorHAnsi"/>
          <w:color w:val="auto"/>
          <w:sz w:val="20"/>
          <w:szCs w:val="20"/>
          <w:lang w:val="es-ES_tradnl"/>
        </w:rPr>
        <w:t>que cuando emitió la nueva decisión en cumplimiento de lo dispuesto por el tribunal de garantías</w:t>
      </w:r>
      <w:r w:rsidR="00DF7138">
        <w:rPr>
          <w:rFonts w:asciiTheme="majorHAnsi" w:hAnsiTheme="majorHAnsi"/>
          <w:color w:val="auto"/>
          <w:sz w:val="20"/>
          <w:szCs w:val="20"/>
          <w:lang w:val="es-ES_tradnl"/>
        </w:rPr>
        <w:t>,</w:t>
      </w:r>
      <w:r w:rsidR="0087265C" w:rsidRPr="00095478">
        <w:rPr>
          <w:rFonts w:asciiTheme="majorHAnsi" w:hAnsiTheme="majorHAnsi"/>
          <w:color w:val="auto"/>
          <w:sz w:val="20"/>
          <w:szCs w:val="20"/>
          <w:lang w:val="es-ES_tradnl"/>
        </w:rPr>
        <w:t xml:space="preserve"> </w:t>
      </w:r>
      <w:r w:rsidR="00DF7138" w:rsidRPr="00095478">
        <w:rPr>
          <w:rFonts w:asciiTheme="majorHAnsi" w:hAnsiTheme="majorHAnsi"/>
          <w:color w:val="auto"/>
          <w:sz w:val="20"/>
          <w:szCs w:val="20"/>
          <w:lang w:val="es-ES_tradnl"/>
        </w:rPr>
        <w:t xml:space="preserve">la Sala Penal </w:t>
      </w:r>
      <w:r w:rsidR="0087265C" w:rsidRPr="00095478">
        <w:rPr>
          <w:rFonts w:asciiTheme="majorHAnsi" w:hAnsiTheme="majorHAnsi"/>
          <w:color w:val="auto"/>
          <w:sz w:val="20"/>
          <w:szCs w:val="20"/>
          <w:lang w:val="es-ES_tradnl"/>
        </w:rPr>
        <w:t>rechaz</w:t>
      </w:r>
      <w:r w:rsidR="00FC0580" w:rsidRPr="00095478">
        <w:rPr>
          <w:rFonts w:asciiTheme="majorHAnsi" w:hAnsiTheme="majorHAnsi"/>
          <w:color w:val="auto"/>
          <w:sz w:val="20"/>
          <w:szCs w:val="20"/>
          <w:lang w:val="es-ES_tradnl"/>
        </w:rPr>
        <w:t>ó la excepción en base a disposiciones introducidas en la nueva constitución que hacían imprescriptibles los delitos cometidos por servidores públicos que causen grave daño económico al Estado</w:t>
      </w:r>
      <w:r w:rsidR="00293B43" w:rsidRPr="00095478">
        <w:rPr>
          <w:rFonts w:asciiTheme="majorHAnsi" w:hAnsiTheme="majorHAnsi"/>
          <w:color w:val="auto"/>
          <w:sz w:val="20"/>
          <w:szCs w:val="20"/>
          <w:lang w:val="es-ES_tradnl"/>
        </w:rPr>
        <w:t xml:space="preserve">. El peticionario considera </w:t>
      </w:r>
      <w:r w:rsidR="00FC0580" w:rsidRPr="00095478">
        <w:rPr>
          <w:rFonts w:asciiTheme="majorHAnsi" w:hAnsiTheme="majorHAnsi"/>
          <w:color w:val="auto"/>
          <w:sz w:val="20"/>
          <w:szCs w:val="20"/>
          <w:lang w:val="es-ES_tradnl"/>
        </w:rPr>
        <w:t>violatorio del artículo 9 de la Convención Americana que se les h</w:t>
      </w:r>
      <w:r w:rsidR="005A02AC">
        <w:rPr>
          <w:rFonts w:asciiTheme="majorHAnsi" w:hAnsiTheme="majorHAnsi"/>
          <w:color w:val="auto"/>
          <w:sz w:val="20"/>
          <w:szCs w:val="20"/>
          <w:lang w:val="es-ES_tradnl"/>
        </w:rPr>
        <w:t>ubiera</w:t>
      </w:r>
      <w:r w:rsidR="00FC0580" w:rsidRPr="00095478">
        <w:rPr>
          <w:rFonts w:asciiTheme="majorHAnsi" w:hAnsiTheme="majorHAnsi"/>
          <w:color w:val="auto"/>
          <w:sz w:val="20"/>
          <w:szCs w:val="20"/>
          <w:lang w:val="es-ES_tradnl"/>
        </w:rPr>
        <w:t xml:space="preserve"> aplicado</w:t>
      </w:r>
      <w:r w:rsidR="00F226DF" w:rsidRPr="00095478">
        <w:rPr>
          <w:rFonts w:asciiTheme="majorHAnsi" w:hAnsiTheme="majorHAnsi"/>
          <w:color w:val="auto"/>
          <w:sz w:val="20"/>
          <w:szCs w:val="20"/>
          <w:lang w:val="es-ES_tradnl"/>
        </w:rPr>
        <w:t xml:space="preserve"> retroactivamente</w:t>
      </w:r>
      <w:r w:rsidR="00FC0580" w:rsidRPr="00095478">
        <w:rPr>
          <w:rFonts w:asciiTheme="majorHAnsi" w:hAnsiTheme="majorHAnsi"/>
          <w:color w:val="auto"/>
          <w:sz w:val="20"/>
          <w:szCs w:val="20"/>
          <w:lang w:val="es-ES_tradnl"/>
        </w:rPr>
        <w:t xml:space="preserve"> una norma desfavorable dictada con posterioridad a los supuestos hechos delictivos</w:t>
      </w:r>
      <w:r w:rsidR="004A5608" w:rsidRPr="00095478">
        <w:rPr>
          <w:rFonts w:asciiTheme="majorHAnsi" w:hAnsiTheme="majorHAnsi"/>
          <w:color w:val="auto"/>
          <w:sz w:val="20"/>
          <w:szCs w:val="20"/>
          <w:lang w:val="es-ES_tradnl"/>
        </w:rPr>
        <w:t>;</w:t>
      </w:r>
      <w:r w:rsidR="00FC0580" w:rsidRPr="00095478">
        <w:rPr>
          <w:rFonts w:asciiTheme="majorHAnsi" w:hAnsiTheme="majorHAnsi"/>
          <w:color w:val="auto"/>
          <w:sz w:val="20"/>
          <w:szCs w:val="20"/>
          <w:lang w:val="es-ES_tradnl"/>
        </w:rPr>
        <w:t xml:space="preserve"> a la presentación de la denuncia penal</w:t>
      </w:r>
      <w:r w:rsidR="004A5608" w:rsidRPr="00095478">
        <w:rPr>
          <w:rFonts w:asciiTheme="majorHAnsi" w:hAnsiTheme="majorHAnsi"/>
          <w:color w:val="auto"/>
          <w:sz w:val="20"/>
          <w:szCs w:val="20"/>
          <w:lang w:val="es-ES_tradnl"/>
        </w:rPr>
        <w:t>;</w:t>
      </w:r>
      <w:r w:rsidR="00FC0580" w:rsidRPr="00095478">
        <w:rPr>
          <w:rFonts w:asciiTheme="majorHAnsi" w:hAnsiTheme="majorHAnsi"/>
          <w:color w:val="auto"/>
          <w:sz w:val="20"/>
          <w:szCs w:val="20"/>
          <w:lang w:val="es-ES_tradnl"/>
        </w:rPr>
        <w:t xml:space="preserve"> a la emisió</w:t>
      </w:r>
      <w:r w:rsidR="00F226DF" w:rsidRPr="00095478">
        <w:rPr>
          <w:rFonts w:asciiTheme="majorHAnsi" w:hAnsiTheme="majorHAnsi"/>
          <w:color w:val="auto"/>
          <w:sz w:val="20"/>
          <w:szCs w:val="20"/>
          <w:lang w:val="es-ES_tradnl"/>
        </w:rPr>
        <w:t>n de la condena penal impugnada</w:t>
      </w:r>
      <w:r w:rsidR="004A5608" w:rsidRPr="00095478">
        <w:rPr>
          <w:rFonts w:asciiTheme="majorHAnsi" w:hAnsiTheme="majorHAnsi"/>
          <w:color w:val="auto"/>
          <w:sz w:val="20"/>
          <w:szCs w:val="20"/>
          <w:lang w:val="es-ES_tradnl"/>
        </w:rPr>
        <w:t>;</w:t>
      </w:r>
      <w:r w:rsidR="00F226DF" w:rsidRPr="00095478">
        <w:rPr>
          <w:rFonts w:asciiTheme="majorHAnsi" w:hAnsiTheme="majorHAnsi"/>
          <w:color w:val="auto"/>
          <w:sz w:val="20"/>
          <w:szCs w:val="20"/>
          <w:lang w:val="es-ES_tradnl"/>
        </w:rPr>
        <w:t xml:space="preserve"> a la caducidad de la acción</w:t>
      </w:r>
      <w:r w:rsidR="005A02AC">
        <w:rPr>
          <w:rFonts w:asciiTheme="majorHAnsi" w:hAnsiTheme="majorHAnsi"/>
          <w:color w:val="auto"/>
          <w:sz w:val="20"/>
          <w:szCs w:val="20"/>
          <w:lang w:val="es-ES_tradnl"/>
        </w:rPr>
        <w:t>;</w:t>
      </w:r>
      <w:r w:rsidR="00F226DF" w:rsidRPr="00095478">
        <w:rPr>
          <w:rFonts w:asciiTheme="majorHAnsi" w:hAnsiTheme="majorHAnsi"/>
          <w:color w:val="auto"/>
          <w:sz w:val="20"/>
          <w:szCs w:val="20"/>
          <w:lang w:val="es-ES_tradnl"/>
        </w:rPr>
        <w:t xml:space="preserve"> y a la presentación de la acción de prescripción.</w:t>
      </w:r>
    </w:p>
    <w:p w14:paraId="5F939C24" w14:textId="77777777" w:rsidR="004D4ECA" w:rsidRDefault="004D4ECA" w:rsidP="004D4EC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0CB46941" w14:textId="6FF68685" w:rsidR="004A5608" w:rsidRPr="00095478" w:rsidRDefault="004A5608"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olor w:val="auto"/>
          <w:sz w:val="20"/>
          <w:szCs w:val="20"/>
          <w:lang w:val="es-ES_tradnl"/>
        </w:rPr>
        <w:t>L</w:t>
      </w:r>
      <w:r w:rsidR="004E082E" w:rsidRPr="00095478">
        <w:rPr>
          <w:rFonts w:asciiTheme="majorHAnsi" w:hAnsiTheme="majorHAnsi"/>
          <w:color w:val="auto"/>
          <w:sz w:val="20"/>
          <w:szCs w:val="20"/>
          <w:lang w:val="es-ES_tradnl"/>
        </w:rPr>
        <w:t>as presuntas víctimas interpusieron una nueva acción de libertad contra la decisión que rechazó por segunda vez su excepción de extinción de la acci</w:t>
      </w:r>
      <w:r w:rsidR="000C2AE9" w:rsidRPr="00095478">
        <w:rPr>
          <w:rFonts w:asciiTheme="majorHAnsi" w:hAnsiTheme="majorHAnsi"/>
          <w:color w:val="auto"/>
          <w:sz w:val="20"/>
          <w:szCs w:val="20"/>
          <w:lang w:val="es-ES_tradnl"/>
        </w:rPr>
        <w:t>ón penal,</w:t>
      </w:r>
      <w:r w:rsidR="004E082E" w:rsidRPr="00095478">
        <w:rPr>
          <w:rFonts w:asciiTheme="majorHAnsi" w:hAnsiTheme="majorHAnsi"/>
          <w:color w:val="auto"/>
          <w:sz w:val="20"/>
          <w:szCs w:val="20"/>
          <w:lang w:val="es-ES_tradnl"/>
        </w:rPr>
        <w:t xml:space="preserve"> </w:t>
      </w:r>
      <w:r w:rsidR="005A02AC">
        <w:rPr>
          <w:rFonts w:asciiTheme="majorHAnsi" w:hAnsiTheme="majorHAnsi"/>
          <w:color w:val="auto"/>
          <w:sz w:val="20"/>
          <w:szCs w:val="20"/>
          <w:lang w:val="es-ES_tradnl"/>
        </w:rPr>
        <w:t>que fue</w:t>
      </w:r>
      <w:r w:rsidR="004E082E" w:rsidRPr="00095478">
        <w:rPr>
          <w:rFonts w:asciiTheme="majorHAnsi" w:hAnsiTheme="majorHAnsi"/>
          <w:color w:val="auto"/>
          <w:sz w:val="20"/>
          <w:szCs w:val="20"/>
          <w:lang w:val="es-ES_tradnl"/>
        </w:rPr>
        <w:t xml:space="preserve"> rechazada</w:t>
      </w:r>
      <w:r w:rsidR="0012394C" w:rsidRPr="00095478">
        <w:rPr>
          <w:rFonts w:asciiTheme="majorHAnsi" w:hAnsiTheme="majorHAnsi"/>
          <w:color w:val="auto"/>
          <w:sz w:val="20"/>
          <w:szCs w:val="20"/>
          <w:lang w:val="es-ES_tradnl"/>
        </w:rPr>
        <w:t xml:space="preserve"> el 22 de junio de 2011</w:t>
      </w:r>
      <w:r w:rsidR="004E082E" w:rsidRPr="00095478">
        <w:rPr>
          <w:rFonts w:asciiTheme="majorHAnsi" w:hAnsiTheme="majorHAnsi"/>
          <w:color w:val="auto"/>
          <w:sz w:val="20"/>
          <w:szCs w:val="20"/>
          <w:lang w:val="es-ES_tradnl"/>
        </w:rPr>
        <w:t xml:space="preserve"> sin análisis de fondo</w:t>
      </w:r>
      <w:r w:rsidR="005A02AC">
        <w:rPr>
          <w:rFonts w:asciiTheme="majorHAnsi" w:hAnsiTheme="majorHAnsi"/>
          <w:color w:val="auto"/>
          <w:sz w:val="20"/>
          <w:szCs w:val="20"/>
          <w:lang w:val="es-ES_tradnl"/>
        </w:rPr>
        <w:t>.</w:t>
      </w:r>
      <w:r w:rsidR="004E082E" w:rsidRPr="00095478">
        <w:rPr>
          <w:rFonts w:asciiTheme="majorHAnsi" w:hAnsiTheme="majorHAnsi"/>
          <w:color w:val="auto"/>
          <w:sz w:val="20"/>
          <w:szCs w:val="20"/>
          <w:lang w:val="es-ES_tradnl"/>
        </w:rPr>
        <w:t xml:space="preserve"> </w:t>
      </w:r>
      <w:r w:rsidR="005A02AC">
        <w:rPr>
          <w:rFonts w:asciiTheme="majorHAnsi" w:hAnsiTheme="majorHAnsi"/>
          <w:color w:val="auto"/>
          <w:sz w:val="20"/>
          <w:szCs w:val="20"/>
          <w:lang w:val="es-ES_tradnl"/>
        </w:rPr>
        <w:t xml:space="preserve">El </w:t>
      </w:r>
      <w:r w:rsidR="000C2AE9" w:rsidRPr="00095478">
        <w:rPr>
          <w:rFonts w:asciiTheme="majorHAnsi" w:hAnsiTheme="majorHAnsi"/>
          <w:color w:val="auto"/>
          <w:sz w:val="20"/>
          <w:szCs w:val="20"/>
          <w:lang w:val="es-ES_tradnl"/>
        </w:rPr>
        <w:t>argumento</w:t>
      </w:r>
      <w:r w:rsidR="005A02AC">
        <w:rPr>
          <w:rFonts w:asciiTheme="majorHAnsi" w:hAnsiTheme="majorHAnsi"/>
          <w:color w:val="auto"/>
          <w:sz w:val="20"/>
          <w:szCs w:val="20"/>
          <w:lang w:val="es-ES_tradnl"/>
        </w:rPr>
        <w:t xml:space="preserve"> del rechazo fue </w:t>
      </w:r>
      <w:r w:rsidR="004E082E" w:rsidRPr="00095478">
        <w:rPr>
          <w:rFonts w:asciiTheme="majorHAnsi" w:hAnsiTheme="majorHAnsi"/>
          <w:color w:val="auto"/>
          <w:sz w:val="20"/>
          <w:szCs w:val="20"/>
          <w:lang w:val="es-ES_tradnl"/>
        </w:rPr>
        <w:t xml:space="preserve">que el acto reclamado </w:t>
      </w:r>
      <w:r w:rsidR="000C2AE9" w:rsidRPr="00095478">
        <w:rPr>
          <w:rFonts w:asciiTheme="majorHAnsi" w:hAnsiTheme="majorHAnsi"/>
          <w:color w:val="auto"/>
          <w:sz w:val="20"/>
          <w:szCs w:val="20"/>
          <w:lang w:val="es-ES_tradnl"/>
        </w:rPr>
        <w:t>no tendría vinculación directa con el derecho a la libertad</w:t>
      </w:r>
      <w:r w:rsidRPr="00095478">
        <w:rPr>
          <w:rFonts w:asciiTheme="majorHAnsi" w:hAnsiTheme="majorHAnsi"/>
          <w:color w:val="auto"/>
          <w:sz w:val="20"/>
          <w:szCs w:val="20"/>
          <w:lang w:val="es-ES_tradnl"/>
        </w:rPr>
        <w:t>,</w:t>
      </w:r>
      <w:r w:rsidR="000C2AE9" w:rsidRPr="00095478">
        <w:rPr>
          <w:rFonts w:asciiTheme="majorHAnsi" w:hAnsiTheme="majorHAnsi"/>
          <w:color w:val="auto"/>
          <w:sz w:val="20"/>
          <w:szCs w:val="20"/>
          <w:lang w:val="es-ES_tradnl"/>
        </w:rPr>
        <w:t xml:space="preserve"> pues solo resolvía sobre la prescripción</w:t>
      </w:r>
      <w:r w:rsidR="005A02AC">
        <w:rPr>
          <w:rFonts w:asciiTheme="majorHAnsi" w:hAnsiTheme="majorHAnsi"/>
          <w:color w:val="auto"/>
          <w:sz w:val="20"/>
          <w:szCs w:val="20"/>
          <w:lang w:val="es-ES_tradnl"/>
        </w:rPr>
        <w:t>;</w:t>
      </w:r>
      <w:r w:rsidR="000C2AE9" w:rsidRPr="00095478">
        <w:rPr>
          <w:rFonts w:asciiTheme="majorHAnsi" w:hAnsiTheme="majorHAnsi"/>
          <w:color w:val="auto"/>
          <w:sz w:val="20"/>
          <w:szCs w:val="20"/>
          <w:lang w:val="es-ES_tradnl"/>
        </w:rPr>
        <w:t xml:space="preserve"> y que las presuntas víctimas no se encontraban en un estado de indefensión absoluta. </w:t>
      </w:r>
    </w:p>
    <w:p w14:paraId="1A9E50D5" w14:textId="77777777" w:rsid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70A9BEDB" w14:textId="05795429" w:rsidR="00F226DF" w:rsidRPr="00095478" w:rsidRDefault="005A02AC"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Pr>
          <w:rFonts w:asciiTheme="majorHAnsi" w:hAnsiTheme="majorHAnsi"/>
          <w:color w:val="auto"/>
          <w:sz w:val="20"/>
          <w:szCs w:val="20"/>
          <w:lang w:val="es-ES_tradnl"/>
        </w:rPr>
        <w:t>Con posterioridad</w:t>
      </w:r>
      <w:r w:rsidR="000C2AE9" w:rsidRPr="00095478">
        <w:rPr>
          <w:rFonts w:asciiTheme="majorHAnsi" w:hAnsiTheme="majorHAnsi"/>
          <w:color w:val="auto"/>
          <w:sz w:val="20"/>
          <w:szCs w:val="20"/>
          <w:lang w:val="es-ES_tradnl"/>
        </w:rPr>
        <w:t>, interpusieron otra acción de libertad dirigida contra la ejecución del mandamiento de condena</w:t>
      </w:r>
      <w:r w:rsidR="004A5608" w:rsidRPr="00095478">
        <w:rPr>
          <w:rFonts w:asciiTheme="majorHAnsi" w:hAnsiTheme="majorHAnsi"/>
          <w:color w:val="auto"/>
          <w:sz w:val="20"/>
          <w:szCs w:val="20"/>
          <w:lang w:val="es-ES_tradnl"/>
        </w:rPr>
        <w:t>,</w:t>
      </w:r>
      <w:r w:rsidR="000C2AE9" w:rsidRPr="00095478">
        <w:rPr>
          <w:rFonts w:asciiTheme="majorHAnsi" w:hAnsiTheme="majorHAnsi"/>
          <w:color w:val="auto"/>
          <w:sz w:val="20"/>
          <w:szCs w:val="20"/>
          <w:lang w:val="es-ES_tradnl"/>
        </w:rPr>
        <w:t xml:space="preserve"> </w:t>
      </w:r>
      <w:r>
        <w:rPr>
          <w:rFonts w:asciiTheme="majorHAnsi" w:hAnsiTheme="majorHAnsi"/>
          <w:color w:val="auto"/>
          <w:sz w:val="20"/>
          <w:szCs w:val="20"/>
          <w:lang w:val="es-ES_tradnl"/>
        </w:rPr>
        <w:t xml:space="preserve">con el alegato de </w:t>
      </w:r>
      <w:r w:rsidR="000C2AE9" w:rsidRPr="00095478">
        <w:rPr>
          <w:rFonts w:asciiTheme="majorHAnsi" w:hAnsiTheme="majorHAnsi"/>
          <w:color w:val="auto"/>
          <w:sz w:val="20"/>
          <w:szCs w:val="20"/>
          <w:lang w:val="es-ES_tradnl"/>
        </w:rPr>
        <w:t xml:space="preserve">que </w:t>
      </w:r>
      <w:r>
        <w:rPr>
          <w:rFonts w:asciiTheme="majorHAnsi" w:hAnsiTheme="majorHAnsi"/>
          <w:color w:val="auto"/>
          <w:sz w:val="20"/>
          <w:szCs w:val="20"/>
          <w:lang w:val="es-ES_tradnl"/>
        </w:rPr>
        <w:t xml:space="preserve">esta </w:t>
      </w:r>
      <w:r w:rsidR="000C2AE9" w:rsidRPr="00095478">
        <w:rPr>
          <w:rFonts w:asciiTheme="majorHAnsi" w:hAnsiTheme="majorHAnsi"/>
          <w:color w:val="auto"/>
          <w:sz w:val="20"/>
          <w:szCs w:val="20"/>
          <w:lang w:val="es-ES_tradnl"/>
        </w:rPr>
        <w:t>hab</w:t>
      </w:r>
      <w:r w:rsidR="00C35760" w:rsidRPr="00095478">
        <w:rPr>
          <w:rFonts w:asciiTheme="majorHAnsi" w:hAnsiTheme="majorHAnsi"/>
          <w:color w:val="auto"/>
          <w:sz w:val="20"/>
          <w:szCs w:val="20"/>
          <w:lang w:val="es-ES_tradnl"/>
        </w:rPr>
        <w:t>ía sido emitida en extralimitación de competencias, en violación al principio de inmediación</w:t>
      </w:r>
      <w:r>
        <w:rPr>
          <w:rFonts w:asciiTheme="majorHAnsi" w:hAnsiTheme="majorHAnsi"/>
          <w:color w:val="auto"/>
          <w:sz w:val="20"/>
          <w:szCs w:val="20"/>
          <w:lang w:val="es-ES_tradnl"/>
        </w:rPr>
        <w:t>,</w:t>
      </w:r>
      <w:r w:rsidR="00C35760" w:rsidRPr="00095478">
        <w:rPr>
          <w:rFonts w:asciiTheme="majorHAnsi" w:hAnsiTheme="majorHAnsi"/>
          <w:color w:val="auto"/>
          <w:sz w:val="20"/>
          <w:szCs w:val="20"/>
          <w:lang w:val="es-ES_tradnl"/>
        </w:rPr>
        <w:t xml:space="preserve"> y sin estar avalada por una decisión que cumpliera con los requisitos para ser considerada sentencia. Esta nueva acción fue rechazada el 16 de noviembre de 2012 por el Tribunal C</w:t>
      </w:r>
      <w:r w:rsidR="001A18C7" w:rsidRPr="00095478">
        <w:rPr>
          <w:rFonts w:asciiTheme="majorHAnsi" w:hAnsiTheme="majorHAnsi"/>
          <w:color w:val="auto"/>
          <w:sz w:val="20"/>
          <w:szCs w:val="20"/>
          <w:lang w:val="es-ES_tradnl"/>
        </w:rPr>
        <w:t xml:space="preserve">onstitucional. </w:t>
      </w:r>
      <w:r>
        <w:rPr>
          <w:rFonts w:asciiTheme="majorHAnsi" w:hAnsiTheme="majorHAnsi"/>
          <w:color w:val="auto"/>
          <w:sz w:val="20"/>
          <w:szCs w:val="20"/>
          <w:lang w:val="es-ES_tradnl"/>
        </w:rPr>
        <w:t>El peticionario a</w:t>
      </w:r>
      <w:r w:rsidR="001A18C7" w:rsidRPr="00095478">
        <w:rPr>
          <w:rFonts w:asciiTheme="majorHAnsi" w:hAnsiTheme="majorHAnsi"/>
          <w:color w:val="auto"/>
          <w:sz w:val="20"/>
          <w:szCs w:val="20"/>
          <w:lang w:val="es-ES_tradnl"/>
        </w:rPr>
        <w:t>porta copia de la decisión</w:t>
      </w:r>
      <w:r>
        <w:rPr>
          <w:rFonts w:asciiTheme="majorHAnsi" w:hAnsiTheme="majorHAnsi"/>
          <w:color w:val="auto"/>
          <w:sz w:val="20"/>
          <w:szCs w:val="20"/>
          <w:lang w:val="es-ES_tradnl"/>
        </w:rPr>
        <w:t>,</w:t>
      </w:r>
      <w:r w:rsidR="001A18C7" w:rsidRPr="00095478">
        <w:rPr>
          <w:rFonts w:asciiTheme="majorHAnsi" w:hAnsiTheme="majorHAnsi"/>
          <w:color w:val="auto"/>
          <w:sz w:val="20"/>
          <w:szCs w:val="20"/>
          <w:lang w:val="es-ES_tradnl"/>
        </w:rPr>
        <w:t xml:space="preserve"> en la que se observa que el </w:t>
      </w:r>
      <w:r w:rsidR="004A5608" w:rsidRPr="00095478">
        <w:rPr>
          <w:rFonts w:asciiTheme="majorHAnsi" w:hAnsiTheme="majorHAnsi"/>
          <w:color w:val="auto"/>
          <w:sz w:val="20"/>
          <w:szCs w:val="20"/>
          <w:lang w:val="es-ES_tradnl"/>
        </w:rPr>
        <w:t>t</w:t>
      </w:r>
      <w:r w:rsidR="001A18C7" w:rsidRPr="00095478">
        <w:rPr>
          <w:rFonts w:asciiTheme="majorHAnsi" w:hAnsiTheme="majorHAnsi"/>
          <w:color w:val="auto"/>
          <w:sz w:val="20"/>
          <w:szCs w:val="20"/>
          <w:lang w:val="es-ES_tradnl"/>
        </w:rPr>
        <w:t xml:space="preserve">ribunal </w:t>
      </w:r>
      <w:r w:rsidR="00C35760" w:rsidRPr="00095478">
        <w:rPr>
          <w:rFonts w:asciiTheme="majorHAnsi" w:hAnsiTheme="majorHAnsi"/>
          <w:color w:val="auto"/>
          <w:sz w:val="20"/>
          <w:szCs w:val="20"/>
          <w:lang w:val="es-ES_tradnl"/>
        </w:rPr>
        <w:t xml:space="preserve">consideró que el recurso idóneo para precautelar violaciones al debido proceso </w:t>
      </w:r>
      <w:r w:rsidR="001A18C7" w:rsidRPr="00095478">
        <w:rPr>
          <w:rFonts w:asciiTheme="majorHAnsi" w:hAnsiTheme="majorHAnsi"/>
          <w:color w:val="auto"/>
          <w:sz w:val="20"/>
          <w:szCs w:val="20"/>
          <w:lang w:val="es-ES_tradnl"/>
        </w:rPr>
        <w:t>era el amparo constitucional</w:t>
      </w:r>
      <w:r w:rsidR="004A5608" w:rsidRPr="00095478">
        <w:rPr>
          <w:rFonts w:asciiTheme="majorHAnsi" w:hAnsiTheme="majorHAnsi"/>
          <w:color w:val="auto"/>
          <w:sz w:val="20"/>
          <w:szCs w:val="20"/>
          <w:lang w:val="es-ES_tradnl"/>
        </w:rPr>
        <w:t>;</w:t>
      </w:r>
      <w:r w:rsidR="001A18C7" w:rsidRPr="00095478">
        <w:rPr>
          <w:rFonts w:asciiTheme="majorHAnsi" w:hAnsiTheme="majorHAnsi"/>
          <w:color w:val="auto"/>
          <w:sz w:val="20"/>
          <w:szCs w:val="20"/>
          <w:lang w:val="es-ES_tradnl"/>
        </w:rPr>
        <w:t xml:space="preserve"> y que la acción de libertad solo sería procedente</w:t>
      </w:r>
      <w:r w:rsidR="00C35760" w:rsidRPr="00095478">
        <w:rPr>
          <w:rFonts w:asciiTheme="majorHAnsi" w:hAnsiTheme="majorHAnsi"/>
          <w:color w:val="auto"/>
          <w:sz w:val="20"/>
          <w:szCs w:val="20"/>
          <w:lang w:val="es-ES_tradnl"/>
        </w:rPr>
        <w:t xml:space="preserve"> </w:t>
      </w:r>
      <w:r w:rsidR="001A18C7" w:rsidRPr="00095478">
        <w:rPr>
          <w:rFonts w:asciiTheme="majorHAnsi" w:hAnsiTheme="majorHAnsi"/>
          <w:color w:val="auto"/>
          <w:sz w:val="20"/>
          <w:szCs w:val="20"/>
          <w:lang w:val="es-ES_tradnl"/>
        </w:rPr>
        <w:t xml:space="preserve">contra alegadas violaciones </w:t>
      </w:r>
      <w:r>
        <w:rPr>
          <w:rFonts w:asciiTheme="majorHAnsi" w:hAnsiTheme="majorHAnsi"/>
          <w:color w:val="auto"/>
          <w:sz w:val="20"/>
          <w:szCs w:val="20"/>
          <w:lang w:val="es-ES_tradnl"/>
        </w:rPr>
        <w:t>de</w:t>
      </w:r>
      <w:r w:rsidR="001A18C7" w:rsidRPr="00095478">
        <w:rPr>
          <w:rFonts w:asciiTheme="majorHAnsi" w:hAnsiTheme="majorHAnsi"/>
          <w:color w:val="auto"/>
          <w:sz w:val="20"/>
          <w:szCs w:val="20"/>
          <w:lang w:val="es-ES_tradnl"/>
        </w:rPr>
        <w:t xml:space="preserve"> debido proceso cuando hubiesen colocado a la persona demandante en un estado de absoluta indefensión</w:t>
      </w:r>
      <w:r>
        <w:rPr>
          <w:rFonts w:asciiTheme="majorHAnsi" w:hAnsiTheme="majorHAnsi"/>
          <w:color w:val="auto"/>
          <w:sz w:val="20"/>
          <w:szCs w:val="20"/>
          <w:lang w:val="es-ES_tradnl"/>
        </w:rPr>
        <w:t xml:space="preserve">, </w:t>
      </w:r>
      <w:r w:rsidR="004A5608" w:rsidRPr="00095478">
        <w:rPr>
          <w:rFonts w:asciiTheme="majorHAnsi" w:hAnsiTheme="majorHAnsi"/>
          <w:color w:val="auto"/>
          <w:sz w:val="20"/>
          <w:szCs w:val="20"/>
          <w:lang w:val="es-ES_tradnl"/>
        </w:rPr>
        <w:t>supuestos</w:t>
      </w:r>
      <w:r w:rsidR="001A18C7" w:rsidRPr="00095478">
        <w:rPr>
          <w:rFonts w:asciiTheme="majorHAnsi" w:hAnsiTheme="majorHAnsi"/>
          <w:color w:val="auto"/>
          <w:sz w:val="20"/>
          <w:szCs w:val="20"/>
          <w:lang w:val="es-ES_tradnl"/>
        </w:rPr>
        <w:t xml:space="preserve"> </w:t>
      </w:r>
      <w:r>
        <w:rPr>
          <w:rFonts w:asciiTheme="majorHAnsi" w:hAnsiTheme="majorHAnsi"/>
          <w:color w:val="auto"/>
          <w:sz w:val="20"/>
          <w:szCs w:val="20"/>
          <w:lang w:val="es-ES_tradnl"/>
        </w:rPr>
        <w:t xml:space="preserve">que no consideró </w:t>
      </w:r>
      <w:r w:rsidR="001A18C7" w:rsidRPr="00095478">
        <w:rPr>
          <w:rFonts w:asciiTheme="majorHAnsi" w:hAnsiTheme="majorHAnsi"/>
          <w:color w:val="auto"/>
          <w:sz w:val="20"/>
          <w:szCs w:val="20"/>
          <w:lang w:val="es-ES_tradnl"/>
        </w:rPr>
        <w:t>configurado</w:t>
      </w:r>
      <w:r>
        <w:rPr>
          <w:rFonts w:asciiTheme="majorHAnsi" w:hAnsiTheme="majorHAnsi"/>
          <w:color w:val="auto"/>
          <w:sz w:val="20"/>
          <w:szCs w:val="20"/>
          <w:lang w:val="es-ES_tradnl"/>
        </w:rPr>
        <w:t>s</w:t>
      </w:r>
      <w:r w:rsidR="001A18C7" w:rsidRPr="00095478">
        <w:rPr>
          <w:rFonts w:asciiTheme="majorHAnsi" w:hAnsiTheme="majorHAnsi"/>
          <w:color w:val="auto"/>
          <w:sz w:val="20"/>
          <w:szCs w:val="20"/>
          <w:lang w:val="es-ES_tradnl"/>
        </w:rPr>
        <w:t xml:space="preserve"> en el caso de las presuntas víctimas. Manifiesta que esta decisión del Tribunal Constitucional fue la decisión definitiva con la que se agotaron los recursos internos</w:t>
      </w:r>
      <w:r w:rsidR="004A5608" w:rsidRPr="00095478">
        <w:rPr>
          <w:rFonts w:asciiTheme="majorHAnsi" w:hAnsiTheme="majorHAnsi"/>
          <w:color w:val="auto"/>
          <w:sz w:val="20"/>
          <w:szCs w:val="20"/>
          <w:lang w:val="es-ES_tradnl"/>
        </w:rPr>
        <w:t>;</w:t>
      </w:r>
      <w:r w:rsidR="001A18C7" w:rsidRPr="00095478">
        <w:rPr>
          <w:rFonts w:asciiTheme="majorHAnsi" w:hAnsiTheme="majorHAnsi"/>
          <w:color w:val="auto"/>
          <w:sz w:val="20"/>
          <w:szCs w:val="20"/>
          <w:lang w:val="es-ES_tradnl"/>
        </w:rPr>
        <w:t xml:space="preserve"> y que fue notificada a las presuntas víctimas el 3 de abril de 2013.</w:t>
      </w:r>
      <w:r w:rsidR="00414AB7" w:rsidRPr="00095478">
        <w:rPr>
          <w:rFonts w:asciiTheme="majorHAnsi" w:hAnsiTheme="majorHAnsi"/>
          <w:color w:val="auto"/>
          <w:sz w:val="20"/>
          <w:szCs w:val="20"/>
          <w:lang w:val="es-ES_tradnl"/>
        </w:rPr>
        <w:t xml:space="preserve"> </w:t>
      </w:r>
    </w:p>
    <w:p w14:paraId="15E2834E" w14:textId="77777777" w:rsid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54AB5783" w14:textId="468FCE1A" w:rsidR="00EF39D5" w:rsidRPr="00095478" w:rsidRDefault="005A02AC"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Pr>
          <w:rFonts w:asciiTheme="majorHAnsi" w:hAnsiTheme="majorHAnsi"/>
          <w:color w:val="auto"/>
          <w:sz w:val="20"/>
          <w:szCs w:val="20"/>
          <w:lang w:val="es-ES_tradnl"/>
        </w:rPr>
        <w:t xml:space="preserve">El peticionario </w:t>
      </w:r>
      <w:r w:rsidR="0012394C" w:rsidRPr="00095478">
        <w:rPr>
          <w:rFonts w:asciiTheme="majorHAnsi" w:hAnsiTheme="majorHAnsi"/>
          <w:color w:val="auto"/>
          <w:sz w:val="20"/>
          <w:szCs w:val="20"/>
          <w:lang w:val="es-ES_tradnl"/>
        </w:rPr>
        <w:t>s</w:t>
      </w:r>
      <w:r w:rsidR="001A18C7" w:rsidRPr="00095478">
        <w:rPr>
          <w:rFonts w:asciiTheme="majorHAnsi" w:hAnsiTheme="majorHAnsi"/>
          <w:color w:val="auto"/>
          <w:sz w:val="20"/>
          <w:szCs w:val="20"/>
          <w:lang w:val="es-ES_tradnl"/>
        </w:rPr>
        <w:t xml:space="preserve">ostiene que la acción de libertad constituía un recurso idóneo para reclamar </w:t>
      </w:r>
      <w:r>
        <w:rPr>
          <w:rFonts w:asciiTheme="majorHAnsi" w:hAnsiTheme="majorHAnsi"/>
          <w:color w:val="auto"/>
          <w:sz w:val="20"/>
          <w:szCs w:val="20"/>
          <w:lang w:val="es-ES_tradnl"/>
        </w:rPr>
        <w:t xml:space="preserve">en el ámbito interno </w:t>
      </w:r>
      <w:r w:rsidR="001A18C7" w:rsidRPr="00095478">
        <w:rPr>
          <w:rFonts w:asciiTheme="majorHAnsi" w:hAnsiTheme="majorHAnsi"/>
          <w:color w:val="auto"/>
          <w:sz w:val="20"/>
          <w:szCs w:val="20"/>
          <w:lang w:val="es-ES_tradnl"/>
        </w:rPr>
        <w:t>por los actos del E</w:t>
      </w:r>
      <w:r w:rsidR="00FA0C63" w:rsidRPr="00095478">
        <w:rPr>
          <w:rFonts w:asciiTheme="majorHAnsi" w:hAnsiTheme="majorHAnsi"/>
          <w:color w:val="auto"/>
          <w:sz w:val="20"/>
          <w:szCs w:val="20"/>
          <w:lang w:val="es-ES_tradnl"/>
        </w:rPr>
        <w:t>stado que atentaron contra el derecho a la libertad personal de las presuntas víctimas</w:t>
      </w:r>
      <w:r>
        <w:rPr>
          <w:rFonts w:asciiTheme="majorHAnsi" w:hAnsiTheme="majorHAnsi"/>
          <w:color w:val="auto"/>
          <w:sz w:val="20"/>
          <w:szCs w:val="20"/>
          <w:lang w:val="es-ES_tradnl"/>
        </w:rPr>
        <w:t>,</w:t>
      </w:r>
      <w:r w:rsidR="004E62BB" w:rsidRPr="00095478">
        <w:rPr>
          <w:rFonts w:asciiTheme="majorHAnsi" w:hAnsiTheme="majorHAnsi"/>
          <w:color w:val="auto"/>
          <w:sz w:val="20"/>
          <w:szCs w:val="20"/>
          <w:lang w:val="es-ES_tradnl"/>
        </w:rPr>
        <w:t xml:space="preserve"> puesto que según la Constitución </w:t>
      </w:r>
      <w:r>
        <w:rPr>
          <w:rFonts w:asciiTheme="majorHAnsi" w:hAnsiTheme="majorHAnsi"/>
          <w:color w:val="auto"/>
          <w:sz w:val="20"/>
          <w:szCs w:val="20"/>
          <w:lang w:val="es-ES_tradnl"/>
        </w:rPr>
        <w:t xml:space="preserve">podía </w:t>
      </w:r>
      <w:r w:rsidR="004E62BB" w:rsidRPr="00095478">
        <w:rPr>
          <w:rFonts w:asciiTheme="majorHAnsi" w:hAnsiTheme="majorHAnsi"/>
          <w:color w:val="auto"/>
          <w:sz w:val="20"/>
          <w:szCs w:val="20"/>
          <w:lang w:val="es-ES_tradnl"/>
        </w:rPr>
        <w:t>interp</w:t>
      </w:r>
      <w:r>
        <w:rPr>
          <w:rFonts w:asciiTheme="majorHAnsi" w:hAnsiTheme="majorHAnsi"/>
          <w:color w:val="auto"/>
          <w:sz w:val="20"/>
          <w:szCs w:val="20"/>
          <w:lang w:val="es-ES_tradnl"/>
        </w:rPr>
        <w:t>onerla</w:t>
      </w:r>
      <w:r w:rsidR="004E62BB" w:rsidRPr="00095478">
        <w:rPr>
          <w:rFonts w:asciiTheme="majorHAnsi" w:hAnsiTheme="majorHAnsi"/>
          <w:color w:val="auto"/>
          <w:sz w:val="20"/>
          <w:szCs w:val="20"/>
          <w:lang w:val="es-ES_tradnl"/>
        </w:rPr>
        <w:t xml:space="preserve"> toda persona que considere que su vida está en peligro</w:t>
      </w:r>
      <w:r w:rsidR="00AC51FF" w:rsidRPr="00095478">
        <w:rPr>
          <w:rFonts w:asciiTheme="majorHAnsi" w:hAnsiTheme="majorHAnsi"/>
          <w:color w:val="auto"/>
          <w:sz w:val="20"/>
          <w:szCs w:val="20"/>
          <w:lang w:val="es-ES_tradnl"/>
        </w:rPr>
        <w:t>;</w:t>
      </w:r>
      <w:r w:rsidR="004E62BB" w:rsidRPr="00095478">
        <w:rPr>
          <w:rFonts w:asciiTheme="majorHAnsi" w:hAnsiTheme="majorHAnsi"/>
          <w:color w:val="auto"/>
          <w:sz w:val="20"/>
          <w:szCs w:val="20"/>
          <w:lang w:val="es-ES_tradnl"/>
        </w:rPr>
        <w:t xml:space="preserve"> que es ilegalmente perseguida</w:t>
      </w:r>
      <w:r w:rsidR="00AC51FF" w:rsidRPr="00095478">
        <w:rPr>
          <w:rFonts w:asciiTheme="majorHAnsi" w:hAnsiTheme="majorHAnsi"/>
          <w:color w:val="auto"/>
          <w:sz w:val="20"/>
          <w:szCs w:val="20"/>
          <w:lang w:val="es-ES_tradnl"/>
        </w:rPr>
        <w:t>;</w:t>
      </w:r>
      <w:r w:rsidR="004E62BB" w:rsidRPr="00095478">
        <w:rPr>
          <w:rFonts w:asciiTheme="majorHAnsi" w:hAnsiTheme="majorHAnsi"/>
          <w:color w:val="auto"/>
          <w:sz w:val="20"/>
          <w:szCs w:val="20"/>
          <w:lang w:val="es-ES_tradnl"/>
        </w:rPr>
        <w:t xml:space="preserve"> o que es indebidamente procesada o privada de libertad personal</w:t>
      </w:r>
      <w:r w:rsidR="00FA0C63" w:rsidRPr="00095478">
        <w:rPr>
          <w:rFonts w:asciiTheme="majorHAnsi" w:hAnsiTheme="majorHAnsi"/>
          <w:color w:val="auto"/>
          <w:sz w:val="20"/>
          <w:szCs w:val="20"/>
          <w:lang w:val="es-ES_tradnl"/>
        </w:rPr>
        <w:t xml:space="preserve">. Alega que la jurisprudencia del Tribunal Constitucional ha sido difusa y vacilante con respecto a la procedencia de la acción de libertad para tutelar el debido proceso. Destaca que el requisito de demostrar un absoluto estado de indefensión es un requisito de procedencia que ha sido concebido únicamente </w:t>
      </w:r>
      <w:r>
        <w:rPr>
          <w:rFonts w:asciiTheme="majorHAnsi" w:hAnsiTheme="majorHAnsi"/>
          <w:color w:val="auto"/>
          <w:sz w:val="20"/>
          <w:szCs w:val="20"/>
          <w:lang w:val="es-ES_tradnl"/>
        </w:rPr>
        <w:t xml:space="preserve">por </w:t>
      </w:r>
      <w:r w:rsidR="00FA0C63" w:rsidRPr="00095478">
        <w:rPr>
          <w:rFonts w:asciiTheme="majorHAnsi" w:hAnsiTheme="majorHAnsi"/>
          <w:color w:val="auto"/>
          <w:sz w:val="20"/>
          <w:szCs w:val="20"/>
          <w:lang w:val="es-ES_tradnl"/>
        </w:rPr>
        <w:t>vía jurisprudencia</w:t>
      </w:r>
      <w:r>
        <w:rPr>
          <w:rFonts w:asciiTheme="majorHAnsi" w:hAnsiTheme="majorHAnsi"/>
          <w:color w:val="auto"/>
          <w:sz w:val="20"/>
          <w:szCs w:val="20"/>
          <w:lang w:val="es-ES_tradnl"/>
        </w:rPr>
        <w:t>l</w:t>
      </w:r>
      <w:r w:rsidR="000A59EB" w:rsidRPr="00095478">
        <w:rPr>
          <w:rFonts w:asciiTheme="majorHAnsi" w:hAnsiTheme="majorHAnsi"/>
          <w:color w:val="auto"/>
          <w:sz w:val="20"/>
          <w:szCs w:val="20"/>
          <w:lang w:val="es-ES_tradnl"/>
        </w:rPr>
        <w:t>,</w:t>
      </w:r>
      <w:r w:rsidR="00FA0C63" w:rsidRPr="00095478">
        <w:rPr>
          <w:rFonts w:asciiTheme="majorHAnsi" w:hAnsiTheme="majorHAnsi"/>
          <w:color w:val="auto"/>
          <w:sz w:val="20"/>
          <w:szCs w:val="20"/>
          <w:lang w:val="es-ES_tradnl"/>
        </w:rPr>
        <w:t xml:space="preserve"> </w:t>
      </w:r>
      <w:r>
        <w:rPr>
          <w:rFonts w:asciiTheme="majorHAnsi" w:hAnsiTheme="majorHAnsi"/>
          <w:color w:val="auto"/>
          <w:sz w:val="20"/>
          <w:szCs w:val="20"/>
          <w:lang w:val="es-ES_tradnl"/>
        </w:rPr>
        <w:t>y que</w:t>
      </w:r>
      <w:r w:rsidR="00FA0C63" w:rsidRPr="00095478">
        <w:rPr>
          <w:rFonts w:asciiTheme="majorHAnsi" w:hAnsiTheme="majorHAnsi"/>
          <w:color w:val="auto"/>
          <w:sz w:val="20"/>
          <w:szCs w:val="20"/>
          <w:lang w:val="es-ES_tradnl"/>
        </w:rPr>
        <w:t xml:space="preserve"> no está previsto en la normativa que regula la acci</w:t>
      </w:r>
      <w:r w:rsidR="004E62BB" w:rsidRPr="00095478">
        <w:rPr>
          <w:rFonts w:asciiTheme="majorHAnsi" w:hAnsiTheme="majorHAnsi"/>
          <w:color w:val="auto"/>
          <w:sz w:val="20"/>
          <w:szCs w:val="20"/>
          <w:lang w:val="es-ES_tradnl"/>
        </w:rPr>
        <w:t xml:space="preserve">ón de libertad. Argumenta además que la jurisprudencia no ha sido consistente respecto a la exigencia de ese requisito, </w:t>
      </w:r>
      <w:r w:rsidR="008826EB">
        <w:rPr>
          <w:rFonts w:asciiTheme="majorHAnsi" w:hAnsiTheme="majorHAnsi"/>
          <w:color w:val="auto"/>
          <w:sz w:val="20"/>
          <w:szCs w:val="20"/>
          <w:lang w:val="es-ES_tradnl"/>
        </w:rPr>
        <w:t xml:space="preserve">y </w:t>
      </w:r>
      <w:r w:rsidR="004E62BB" w:rsidRPr="00095478">
        <w:rPr>
          <w:rFonts w:asciiTheme="majorHAnsi" w:hAnsiTheme="majorHAnsi"/>
          <w:color w:val="auto"/>
          <w:sz w:val="20"/>
          <w:szCs w:val="20"/>
          <w:lang w:val="es-ES_tradnl"/>
        </w:rPr>
        <w:t xml:space="preserve">cita extractos </w:t>
      </w:r>
      <w:r w:rsidR="00EF39D5" w:rsidRPr="00095478">
        <w:rPr>
          <w:rFonts w:asciiTheme="majorHAnsi" w:hAnsiTheme="majorHAnsi"/>
          <w:color w:val="auto"/>
          <w:sz w:val="20"/>
          <w:szCs w:val="20"/>
          <w:lang w:val="es-ES_tradnl"/>
        </w:rPr>
        <w:t xml:space="preserve">de </w:t>
      </w:r>
      <w:r w:rsidR="000A59EB" w:rsidRPr="00095478">
        <w:rPr>
          <w:rFonts w:asciiTheme="majorHAnsi" w:hAnsiTheme="majorHAnsi"/>
          <w:color w:val="auto"/>
          <w:sz w:val="20"/>
          <w:szCs w:val="20"/>
          <w:lang w:val="es-ES_tradnl"/>
        </w:rPr>
        <w:t>cinco</w:t>
      </w:r>
      <w:r w:rsidR="00EF39D5" w:rsidRPr="00095478">
        <w:rPr>
          <w:rFonts w:asciiTheme="majorHAnsi" w:hAnsiTheme="majorHAnsi"/>
          <w:color w:val="auto"/>
          <w:sz w:val="20"/>
          <w:szCs w:val="20"/>
          <w:lang w:val="es-ES_tradnl"/>
        </w:rPr>
        <w:t xml:space="preserve"> sentencias en que el Tribunal Constitucional consideró procedente la acción de libertad para atender cuestiones relacionadas con el debido proceso</w:t>
      </w:r>
      <w:r w:rsidR="008826EB">
        <w:rPr>
          <w:rFonts w:asciiTheme="majorHAnsi" w:hAnsiTheme="majorHAnsi"/>
          <w:color w:val="auto"/>
          <w:sz w:val="20"/>
          <w:szCs w:val="20"/>
          <w:lang w:val="es-ES_tradnl"/>
        </w:rPr>
        <w:t>,</w:t>
      </w:r>
      <w:r w:rsidR="00EF39D5" w:rsidRPr="00095478">
        <w:rPr>
          <w:rFonts w:asciiTheme="majorHAnsi" w:hAnsiTheme="majorHAnsi"/>
          <w:color w:val="auto"/>
          <w:sz w:val="20"/>
          <w:szCs w:val="20"/>
          <w:lang w:val="es-ES_tradnl"/>
        </w:rPr>
        <w:t xml:space="preserve"> que incidieran sobre el derecho a la libertad personal, sin exigir que la persona demandante se encontrara en un estado de absoluta indefensión. </w:t>
      </w:r>
    </w:p>
    <w:p w14:paraId="3966626F" w14:textId="77777777" w:rsid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5671F71C" w14:textId="2DD4023B" w:rsidR="005578E0" w:rsidRDefault="00AB2994"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olor w:val="auto"/>
          <w:sz w:val="20"/>
          <w:szCs w:val="20"/>
          <w:lang w:val="es-ES_tradnl"/>
        </w:rPr>
        <w:t xml:space="preserve">Manifiesta además que </w:t>
      </w:r>
      <w:r w:rsidR="008826EB" w:rsidRPr="00095478">
        <w:rPr>
          <w:rFonts w:asciiTheme="majorHAnsi" w:hAnsiTheme="majorHAnsi"/>
          <w:color w:val="auto"/>
          <w:sz w:val="20"/>
          <w:szCs w:val="20"/>
          <w:lang w:val="es-ES_tradnl"/>
        </w:rPr>
        <w:t xml:space="preserve">las presuntas víctimas </w:t>
      </w:r>
      <w:r w:rsidR="008826EB">
        <w:rPr>
          <w:rFonts w:asciiTheme="majorHAnsi" w:hAnsiTheme="majorHAnsi"/>
          <w:color w:val="auto"/>
          <w:sz w:val="20"/>
          <w:szCs w:val="20"/>
          <w:lang w:val="es-ES_tradnl"/>
        </w:rPr>
        <w:t xml:space="preserve">agotaron todos </w:t>
      </w:r>
      <w:r w:rsidRPr="00095478">
        <w:rPr>
          <w:rFonts w:asciiTheme="majorHAnsi" w:hAnsiTheme="majorHAnsi"/>
          <w:color w:val="auto"/>
          <w:sz w:val="20"/>
          <w:szCs w:val="20"/>
          <w:lang w:val="es-ES_tradnl"/>
        </w:rPr>
        <w:t xml:space="preserve">los recursos pertinentes. Considera que hubiese sido ilegal e irracional que las presuntas víctimas hubieran interpuesto un recurso de apelación restringida contra una sentencia que les fue favorable, como la </w:t>
      </w:r>
      <w:r w:rsidR="008826EB">
        <w:rPr>
          <w:rFonts w:asciiTheme="majorHAnsi" w:hAnsiTheme="majorHAnsi"/>
          <w:color w:val="auto"/>
          <w:sz w:val="20"/>
          <w:szCs w:val="20"/>
          <w:lang w:val="es-ES_tradnl"/>
        </w:rPr>
        <w:t>de</w:t>
      </w:r>
      <w:r w:rsidR="006A1030" w:rsidRPr="00095478">
        <w:rPr>
          <w:rFonts w:asciiTheme="majorHAnsi" w:hAnsiTheme="majorHAnsi"/>
          <w:color w:val="auto"/>
          <w:sz w:val="20"/>
          <w:szCs w:val="20"/>
          <w:lang w:val="es-ES_tradnl"/>
        </w:rPr>
        <w:t xml:space="preserve"> primera instancia que decretó</w:t>
      </w:r>
      <w:r w:rsidRPr="00095478">
        <w:rPr>
          <w:rFonts w:asciiTheme="majorHAnsi" w:hAnsiTheme="majorHAnsi"/>
          <w:color w:val="auto"/>
          <w:sz w:val="20"/>
          <w:szCs w:val="20"/>
          <w:lang w:val="es-ES_tradnl"/>
        </w:rPr>
        <w:t xml:space="preserve"> su absolución. Agrega que este recurso hubiese sido inapropiado para solicitar que se declararan improcedentes los recursos interpuestos por las agencias del Estado contra la sentencia absolutoria. </w:t>
      </w:r>
      <w:r w:rsidR="006A1030" w:rsidRPr="00095478">
        <w:rPr>
          <w:rFonts w:asciiTheme="majorHAnsi" w:hAnsiTheme="majorHAnsi"/>
          <w:color w:val="auto"/>
          <w:sz w:val="20"/>
          <w:szCs w:val="20"/>
          <w:lang w:val="es-ES_tradnl"/>
        </w:rPr>
        <w:t xml:space="preserve">También señala que no </w:t>
      </w:r>
      <w:r w:rsidR="006A1030" w:rsidRPr="00095478">
        <w:rPr>
          <w:rFonts w:asciiTheme="majorHAnsi" w:hAnsiTheme="majorHAnsi"/>
          <w:color w:val="auto"/>
          <w:sz w:val="20"/>
          <w:szCs w:val="20"/>
          <w:lang w:val="es-ES_tradnl"/>
        </w:rPr>
        <w:lastRenderedPageBreak/>
        <w:t>era viable para las presuntas víctimas interponer un incidente de actividad procesal defectuosa</w:t>
      </w:r>
      <w:r w:rsidR="008826EB">
        <w:rPr>
          <w:rFonts w:asciiTheme="majorHAnsi" w:hAnsiTheme="majorHAnsi"/>
          <w:color w:val="auto"/>
          <w:sz w:val="20"/>
          <w:szCs w:val="20"/>
          <w:lang w:val="es-ES_tradnl"/>
        </w:rPr>
        <w:t>,</w:t>
      </w:r>
      <w:r w:rsidR="006A1030" w:rsidRPr="00095478">
        <w:rPr>
          <w:rFonts w:asciiTheme="majorHAnsi" w:hAnsiTheme="majorHAnsi"/>
          <w:color w:val="auto"/>
          <w:sz w:val="20"/>
          <w:szCs w:val="20"/>
          <w:lang w:val="es-ES_tradnl"/>
        </w:rPr>
        <w:t xml:space="preserve"> porque el acto que vulneró sus derechos fue el auto que dispuso su condena, que debía ser recurrido oportunamente mediante casación</w:t>
      </w:r>
      <w:r w:rsidR="008826EB">
        <w:rPr>
          <w:rFonts w:asciiTheme="majorHAnsi" w:hAnsiTheme="majorHAnsi"/>
          <w:color w:val="auto"/>
          <w:sz w:val="20"/>
          <w:szCs w:val="20"/>
          <w:lang w:val="es-ES_tradnl"/>
        </w:rPr>
        <w:t>,</w:t>
      </w:r>
      <w:r w:rsidR="006A1030" w:rsidRPr="00095478">
        <w:rPr>
          <w:rFonts w:asciiTheme="majorHAnsi" w:hAnsiTheme="majorHAnsi"/>
          <w:color w:val="auto"/>
          <w:sz w:val="20"/>
          <w:szCs w:val="20"/>
          <w:lang w:val="es-ES_tradnl"/>
        </w:rPr>
        <w:t xml:space="preserve"> porque de lo contario hubiese quedado ejecutoriado. Resalta </w:t>
      </w:r>
      <w:r w:rsidR="008826EB">
        <w:rPr>
          <w:rFonts w:asciiTheme="majorHAnsi" w:hAnsiTheme="majorHAnsi"/>
          <w:color w:val="auto"/>
          <w:sz w:val="20"/>
          <w:szCs w:val="20"/>
          <w:lang w:val="es-ES_tradnl"/>
        </w:rPr>
        <w:t xml:space="preserve">el peticionario </w:t>
      </w:r>
      <w:r w:rsidR="006A1030" w:rsidRPr="00095478">
        <w:rPr>
          <w:rFonts w:asciiTheme="majorHAnsi" w:hAnsiTheme="majorHAnsi"/>
          <w:color w:val="auto"/>
          <w:sz w:val="20"/>
          <w:szCs w:val="20"/>
          <w:lang w:val="es-ES_tradnl"/>
        </w:rPr>
        <w:t>que la interposición del referido incidente hubiese sido inapropiada</w:t>
      </w:r>
      <w:r w:rsidR="008826EB">
        <w:rPr>
          <w:rFonts w:asciiTheme="majorHAnsi" w:hAnsiTheme="majorHAnsi"/>
          <w:color w:val="auto"/>
          <w:sz w:val="20"/>
          <w:szCs w:val="20"/>
          <w:lang w:val="es-ES_tradnl"/>
        </w:rPr>
        <w:t>,</w:t>
      </w:r>
      <w:r w:rsidR="00E22CB6" w:rsidRPr="00095478">
        <w:rPr>
          <w:rFonts w:asciiTheme="majorHAnsi" w:hAnsiTheme="majorHAnsi"/>
          <w:color w:val="auto"/>
          <w:sz w:val="20"/>
          <w:szCs w:val="20"/>
          <w:lang w:val="es-ES_tradnl"/>
        </w:rPr>
        <w:t xml:space="preserve"> puesto que </w:t>
      </w:r>
      <w:r w:rsidR="006A1030" w:rsidRPr="00095478">
        <w:rPr>
          <w:rFonts w:asciiTheme="majorHAnsi" w:hAnsiTheme="majorHAnsi"/>
          <w:color w:val="auto"/>
          <w:sz w:val="20"/>
          <w:szCs w:val="20"/>
          <w:lang w:val="es-ES_tradnl"/>
        </w:rPr>
        <w:t xml:space="preserve">no está previsto como medio de impugnación </w:t>
      </w:r>
      <w:r w:rsidR="00E22CB6" w:rsidRPr="00095478">
        <w:rPr>
          <w:rFonts w:asciiTheme="majorHAnsi" w:hAnsiTheme="majorHAnsi"/>
          <w:color w:val="auto"/>
          <w:sz w:val="20"/>
          <w:szCs w:val="20"/>
          <w:lang w:val="es-ES_tradnl"/>
        </w:rPr>
        <w:t>y</w:t>
      </w:r>
      <w:r w:rsidR="006A1030" w:rsidRPr="00095478">
        <w:rPr>
          <w:rFonts w:asciiTheme="majorHAnsi" w:hAnsiTheme="majorHAnsi"/>
          <w:color w:val="auto"/>
          <w:sz w:val="20"/>
          <w:szCs w:val="20"/>
          <w:lang w:val="es-ES_tradnl"/>
        </w:rPr>
        <w:t xml:space="preserve"> </w:t>
      </w:r>
      <w:r w:rsidR="008826EB">
        <w:rPr>
          <w:rFonts w:asciiTheme="majorHAnsi" w:hAnsiTheme="majorHAnsi"/>
          <w:color w:val="auto"/>
          <w:sz w:val="20"/>
          <w:szCs w:val="20"/>
          <w:lang w:val="es-ES_tradnl"/>
        </w:rPr>
        <w:t>porque</w:t>
      </w:r>
      <w:r w:rsidR="006A1030" w:rsidRPr="00095478">
        <w:rPr>
          <w:rFonts w:asciiTheme="majorHAnsi" w:hAnsiTheme="majorHAnsi"/>
          <w:color w:val="auto"/>
          <w:sz w:val="20"/>
          <w:szCs w:val="20"/>
          <w:lang w:val="es-ES_tradnl"/>
        </w:rPr>
        <w:t xml:space="preserve"> no </w:t>
      </w:r>
      <w:r w:rsidR="0024122D" w:rsidRPr="00095478">
        <w:rPr>
          <w:rFonts w:asciiTheme="majorHAnsi" w:hAnsiTheme="majorHAnsi"/>
          <w:color w:val="auto"/>
          <w:sz w:val="20"/>
          <w:szCs w:val="20"/>
          <w:lang w:val="es-ES_tradnl"/>
        </w:rPr>
        <w:t>habría</w:t>
      </w:r>
      <w:r w:rsidR="006A1030" w:rsidRPr="00095478">
        <w:rPr>
          <w:rFonts w:asciiTheme="majorHAnsi" w:hAnsiTheme="majorHAnsi"/>
          <w:color w:val="auto"/>
          <w:sz w:val="20"/>
          <w:szCs w:val="20"/>
          <w:lang w:val="es-ES_tradnl"/>
        </w:rPr>
        <w:t xml:space="preserve"> suspendido </w:t>
      </w:r>
      <w:r w:rsidR="00E22CB6" w:rsidRPr="00095478">
        <w:rPr>
          <w:rFonts w:asciiTheme="majorHAnsi" w:hAnsiTheme="majorHAnsi"/>
          <w:color w:val="auto"/>
          <w:sz w:val="20"/>
          <w:szCs w:val="20"/>
          <w:lang w:val="es-ES_tradnl"/>
        </w:rPr>
        <w:t>los plazos</w:t>
      </w:r>
      <w:r w:rsidR="008826EB">
        <w:rPr>
          <w:rFonts w:asciiTheme="majorHAnsi" w:hAnsiTheme="majorHAnsi"/>
          <w:color w:val="auto"/>
          <w:sz w:val="20"/>
          <w:szCs w:val="20"/>
          <w:lang w:val="es-ES_tradnl"/>
        </w:rPr>
        <w:t>;</w:t>
      </w:r>
      <w:r w:rsidR="00E22CB6" w:rsidRPr="00095478">
        <w:rPr>
          <w:rFonts w:asciiTheme="majorHAnsi" w:hAnsiTheme="majorHAnsi"/>
          <w:color w:val="auto"/>
          <w:sz w:val="20"/>
          <w:szCs w:val="20"/>
          <w:lang w:val="es-ES_tradnl"/>
        </w:rPr>
        <w:t xml:space="preserve"> </w:t>
      </w:r>
      <w:r w:rsidR="008826EB">
        <w:rPr>
          <w:rFonts w:asciiTheme="majorHAnsi" w:hAnsiTheme="majorHAnsi"/>
          <w:color w:val="auto"/>
          <w:sz w:val="20"/>
          <w:szCs w:val="20"/>
          <w:lang w:val="es-ES_tradnl"/>
        </w:rPr>
        <w:t xml:space="preserve">esto </w:t>
      </w:r>
      <w:r w:rsidR="0024122D" w:rsidRPr="00095478">
        <w:rPr>
          <w:rFonts w:asciiTheme="majorHAnsi" w:hAnsiTheme="majorHAnsi"/>
          <w:color w:val="auto"/>
          <w:sz w:val="20"/>
          <w:szCs w:val="20"/>
          <w:lang w:val="es-ES_tradnl"/>
        </w:rPr>
        <w:t>hubiese llevado</w:t>
      </w:r>
      <w:r w:rsidR="006A1030" w:rsidRPr="00095478">
        <w:rPr>
          <w:rFonts w:asciiTheme="majorHAnsi" w:hAnsiTheme="majorHAnsi"/>
          <w:color w:val="auto"/>
          <w:sz w:val="20"/>
          <w:szCs w:val="20"/>
          <w:lang w:val="es-ES_tradnl"/>
        </w:rPr>
        <w:t xml:space="preserve"> a q</w:t>
      </w:r>
      <w:r w:rsidR="0024122D" w:rsidRPr="00095478">
        <w:rPr>
          <w:rFonts w:asciiTheme="majorHAnsi" w:hAnsiTheme="majorHAnsi"/>
          <w:color w:val="auto"/>
          <w:sz w:val="20"/>
          <w:szCs w:val="20"/>
          <w:lang w:val="es-ES_tradnl"/>
        </w:rPr>
        <w:t>ue la sentencia quedara ejecutoriada y a que las</w:t>
      </w:r>
      <w:r w:rsidR="006A1030" w:rsidRPr="00095478">
        <w:rPr>
          <w:rFonts w:asciiTheme="majorHAnsi" w:hAnsiTheme="majorHAnsi"/>
          <w:color w:val="auto"/>
          <w:sz w:val="20"/>
          <w:szCs w:val="20"/>
          <w:lang w:val="es-ES_tradnl"/>
        </w:rPr>
        <w:t xml:space="preserve"> presuntas víctimas perdieran la oportunidad de recurrir </w:t>
      </w:r>
      <w:r w:rsidR="0024122D" w:rsidRPr="00095478">
        <w:rPr>
          <w:rFonts w:asciiTheme="majorHAnsi" w:hAnsiTheme="majorHAnsi"/>
          <w:color w:val="auto"/>
          <w:sz w:val="20"/>
          <w:szCs w:val="20"/>
          <w:lang w:val="es-ES_tradnl"/>
        </w:rPr>
        <w:t xml:space="preserve">en casación. </w:t>
      </w:r>
    </w:p>
    <w:p w14:paraId="1736A5BD" w14:textId="77777777" w:rsid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3EDFCDED" w14:textId="27DAFD5D" w:rsidR="00414AB7" w:rsidRPr="005578E0" w:rsidRDefault="0024122D"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5578E0">
        <w:rPr>
          <w:rFonts w:asciiTheme="majorHAnsi" w:hAnsiTheme="majorHAnsi"/>
          <w:color w:val="auto"/>
          <w:sz w:val="20"/>
          <w:szCs w:val="20"/>
          <w:lang w:val="es-ES_tradnl"/>
        </w:rPr>
        <w:t>Aduce además que el recurso de revisión extraordinaria de sentencia no hubiese sido procedente</w:t>
      </w:r>
      <w:r w:rsidR="000A59EB" w:rsidRPr="005578E0">
        <w:rPr>
          <w:rFonts w:asciiTheme="majorHAnsi" w:hAnsiTheme="majorHAnsi"/>
          <w:color w:val="auto"/>
          <w:sz w:val="20"/>
          <w:szCs w:val="20"/>
          <w:lang w:val="es-ES_tradnl"/>
        </w:rPr>
        <w:t>,</w:t>
      </w:r>
      <w:r w:rsidRPr="005578E0">
        <w:rPr>
          <w:rFonts w:asciiTheme="majorHAnsi" w:hAnsiTheme="majorHAnsi"/>
          <w:color w:val="auto"/>
          <w:sz w:val="20"/>
          <w:szCs w:val="20"/>
          <w:lang w:val="es-ES_tradnl"/>
        </w:rPr>
        <w:t xml:space="preserve"> porque no </w:t>
      </w:r>
      <w:r w:rsidR="008826EB" w:rsidRPr="005578E0">
        <w:rPr>
          <w:rFonts w:asciiTheme="majorHAnsi" w:hAnsiTheme="majorHAnsi"/>
          <w:color w:val="auto"/>
          <w:sz w:val="20"/>
          <w:szCs w:val="20"/>
          <w:lang w:val="es-ES_tradnl"/>
        </w:rPr>
        <w:t xml:space="preserve">había </w:t>
      </w:r>
      <w:r w:rsidRPr="005578E0">
        <w:rPr>
          <w:rFonts w:asciiTheme="majorHAnsi" w:hAnsiTheme="majorHAnsi"/>
          <w:color w:val="auto"/>
          <w:sz w:val="20"/>
          <w:szCs w:val="20"/>
          <w:lang w:val="es-ES_tradnl"/>
        </w:rPr>
        <w:t xml:space="preserve">en propiedad </w:t>
      </w:r>
      <w:r w:rsidR="008826EB" w:rsidRPr="005578E0">
        <w:rPr>
          <w:rFonts w:asciiTheme="majorHAnsi" w:hAnsiTheme="majorHAnsi"/>
          <w:color w:val="auto"/>
          <w:sz w:val="20"/>
          <w:szCs w:val="20"/>
          <w:lang w:val="es-ES_tradnl"/>
        </w:rPr>
        <w:t xml:space="preserve">una sentencia </w:t>
      </w:r>
      <w:r w:rsidRPr="005578E0">
        <w:rPr>
          <w:rFonts w:asciiTheme="majorHAnsi" w:hAnsiTheme="majorHAnsi"/>
          <w:color w:val="auto"/>
          <w:sz w:val="20"/>
          <w:szCs w:val="20"/>
          <w:lang w:val="es-ES_tradnl"/>
        </w:rPr>
        <w:t>dictada contra las presuntas víctimas</w:t>
      </w:r>
      <w:r w:rsidR="008826EB" w:rsidRPr="005578E0">
        <w:rPr>
          <w:rFonts w:asciiTheme="majorHAnsi" w:hAnsiTheme="majorHAnsi"/>
          <w:color w:val="auto"/>
          <w:sz w:val="20"/>
          <w:szCs w:val="20"/>
          <w:lang w:val="es-ES_tradnl"/>
        </w:rPr>
        <w:t>,</w:t>
      </w:r>
      <w:r w:rsidRPr="005578E0">
        <w:rPr>
          <w:rFonts w:asciiTheme="majorHAnsi" w:hAnsiTheme="majorHAnsi"/>
          <w:color w:val="auto"/>
          <w:sz w:val="20"/>
          <w:szCs w:val="20"/>
          <w:lang w:val="es-ES_tradnl"/>
        </w:rPr>
        <w:t xml:space="preserve"> sino simplemente una modulación de la sentencia absolutoria que mutó a condenatoria</w:t>
      </w:r>
      <w:r w:rsidR="008826EB" w:rsidRPr="005578E0">
        <w:rPr>
          <w:rFonts w:asciiTheme="majorHAnsi" w:hAnsiTheme="majorHAnsi"/>
          <w:color w:val="auto"/>
          <w:sz w:val="20"/>
          <w:szCs w:val="20"/>
          <w:lang w:val="es-ES_tradnl"/>
        </w:rPr>
        <w:t>;</w:t>
      </w:r>
      <w:r w:rsidRPr="005578E0">
        <w:rPr>
          <w:rFonts w:asciiTheme="majorHAnsi" w:hAnsiTheme="majorHAnsi"/>
          <w:color w:val="auto"/>
          <w:sz w:val="20"/>
          <w:szCs w:val="20"/>
          <w:lang w:val="es-ES_tradnl"/>
        </w:rPr>
        <w:t xml:space="preserve"> </w:t>
      </w:r>
      <w:proofErr w:type="gramStart"/>
      <w:r w:rsidR="008826EB" w:rsidRPr="005578E0">
        <w:rPr>
          <w:rFonts w:asciiTheme="majorHAnsi" w:hAnsiTheme="majorHAnsi"/>
          <w:color w:val="auto"/>
          <w:sz w:val="20"/>
          <w:szCs w:val="20"/>
          <w:lang w:val="es-ES_tradnl"/>
        </w:rPr>
        <w:t>y</w:t>
      </w:r>
      <w:proofErr w:type="gramEnd"/>
      <w:r w:rsidR="008826EB" w:rsidRPr="005578E0">
        <w:rPr>
          <w:rFonts w:asciiTheme="majorHAnsi" w:hAnsiTheme="majorHAnsi"/>
          <w:color w:val="auto"/>
          <w:sz w:val="20"/>
          <w:szCs w:val="20"/>
          <w:lang w:val="es-ES_tradnl"/>
        </w:rPr>
        <w:t xml:space="preserve"> además, </w:t>
      </w:r>
      <w:r w:rsidRPr="005578E0">
        <w:rPr>
          <w:rFonts w:asciiTheme="majorHAnsi" w:hAnsiTheme="majorHAnsi"/>
          <w:color w:val="auto"/>
          <w:sz w:val="20"/>
          <w:szCs w:val="20"/>
          <w:lang w:val="es-ES_tradnl"/>
        </w:rPr>
        <w:t xml:space="preserve">que </w:t>
      </w:r>
      <w:r w:rsidR="008826EB" w:rsidRPr="005578E0">
        <w:rPr>
          <w:rFonts w:asciiTheme="majorHAnsi" w:hAnsiTheme="majorHAnsi"/>
          <w:color w:val="auto"/>
          <w:sz w:val="20"/>
          <w:szCs w:val="20"/>
          <w:lang w:val="es-ES_tradnl"/>
        </w:rPr>
        <w:t>tal</w:t>
      </w:r>
      <w:r w:rsidRPr="005578E0">
        <w:rPr>
          <w:rFonts w:asciiTheme="majorHAnsi" w:hAnsiTheme="majorHAnsi"/>
          <w:color w:val="auto"/>
          <w:sz w:val="20"/>
          <w:szCs w:val="20"/>
          <w:lang w:val="es-ES_tradnl"/>
        </w:rPr>
        <w:t xml:space="preserve"> recurso no tiene la aptitud de revisar violaciones </w:t>
      </w:r>
      <w:r w:rsidR="008826EB" w:rsidRPr="005578E0">
        <w:rPr>
          <w:rFonts w:asciiTheme="majorHAnsi" w:hAnsiTheme="majorHAnsi"/>
          <w:color w:val="auto"/>
          <w:sz w:val="20"/>
          <w:szCs w:val="20"/>
          <w:lang w:val="es-ES_tradnl"/>
        </w:rPr>
        <w:t>de</w:t>
      </w:r>
      <w:r w:rsidRPr="005578E0">
        <w:rPr>
          <w:rFonts w:asciiTheme="majorHAnsi" w:hAnsiTheme="majorHAnsi"/>
          <w:color w:val="auto"/>
          <w:sz w:val="20"/>
          <w:szCs w:val="20"/>
          <w:lang w:val="es-ES_tradnl"/>
        </w:rPr>
        <w:t xml:space="preserve"> derechos y garantías </w:t>
      </w:r>
      <w:r w:rsidR="008826EB" w:rsidRPr="005578E0">
        <w:rPr>
          <w:rFonts w:asciiTheme="majorHAnsi" w:hAnsiTheme="majorHAnsi"/>
          <w:color w:val="auto"/>
          <w:sz w:val="20"/>
          <w:szCs w:val="20"/>
          <w:lang w:val="es-ES_tradnl"/>
        </w:rPr>
        <w:t>durante</w:t>
      </w:r>
      <w:r w:rsidRPr="005578E0">
        <w:rPr>
          <w:rFonts w:asciiTheme="majorHAnsi" w:hAnsiTheme="majorHAnsi"/>
          <w:color w:val="auto"/>
          <w:sz w:val="20"/>
          <w:szCs w:val="20"/>
          <w:lang w:val="es-ES_tradnl"/>
        </w:rPr>
        <w:t xml:space="preserve"> el proceso</w:t>
      </w:r>
      <w:r w:rsidR="00E22CB6" w:rsidRPr="005578E0">
        <w:rPr>
          <w:rFonts w:asciiTheme="majorHAnsi" w:hAnsiTheme="majorHAnsi"/>
          <w:color w:val="auto"/>
          <w:sz w:val="20"/>
          <w:szCs w:val="20"/>
          <w:lang w:val="es-ES_tradnl"/>
        </w:rPr>
        <w:t xml:space="preserve">. Añade que no hubiese sido apropiado que las presuntas víctimas interpusieran </w:t>
      </w:r>
      <w:r w:rsidR="000A59EB" w:rsidRPr="005578E0">
        <w:rPr>
          <w:rFonts w:asciiTheme="majorHAnsi" w:hAnsiTheme="majorHAnsi"/>
          <w:color w:val="auto"/>
          <w:sz w:val="20"/>
          <w:szCs w:val="20"/>
          <w:lang w:val="es-ES_tradnl"/>
        </w:rPr>
        <w:t xml:space="preserve">el </w:t>
      </w:r>
      <w:r w:rsidR="00E22CB6" w:rsidRPr="005578E0">
        <w:rPr>
          <w:rFonts w:asciiTheme="majorHAnsi" w:hAnsiTheme="majorHAnsi"/>
          <w:color w:val="auto"/>
          <w:sz w:val="20"/>
          <w:szCs w:val="20"/>
          <w:lang w:val="es-ES_tradnl"/>
        </w:rPr>
        <w:t>recurso de amparo constitucional</w:t>
      </w:r>
      <w:r w:rsidR="000A59EB" w:rsidRPr="005578E0">
        <w:rPr>
          <w:rFonts w:asciiTheme="majorHAnsi" w:hAnsiTheme="majorHAnsi"/>
          <w:color w:val="auto"/>
          <w:sz w:val="20"/>
          <w:szCs w:val="20"/>
          <w:lang w:val="es-ES_tradnl"/>
        </w:rPr>
        <w:t>,</w:t>
      </w:r>
      <w:r w:rsidR="00E22CB6" w:rsidRPr="005578E0">
        <w:rPr>
          <w:rFonts w:asciiTheme="majorHAnsi" w:hAnsiTheme="majorHAnsi"/>
          <w:color w:val="auto"/>
          <w:sz w:val="20"/>
          <w:szCs w:val="20"/>
          <w:lang w:val="es-ES_tradnl"/>
        </w:rPr>
        <w:t xml:space="preserve"> pues ya habían interpuesto </w:t>
      </w:r>
      <w:r w:rsidR="008826EB" w:rsidRPr="005578E0">
        <w:rPr>
          <w:rFonts w:asciiTheme="majorHAnsi" w:hAnsiTheme="majorHAnsi"/>
          <w:color w:val="auto"/>
          <w:sz w:val="20"/>
          <w:szCs w:val="20"/>
          <w:lang w:val="es-ES_tradnl"/>
        </w:rPr>
        <w:t xml:space="preserve">la acción de libertad, mecanismo </w:t>
      </w:r>
      <w:r w:rsidR="00E22CB6" w:rsidRPr="005578E0">
        <w:rPr>
          <w:rFonts w:asciiTheme="majorHAnsi" w:hAnsiTheme="majorHAnsi"/>
          <w:color w:val="auto"/>
          <w:sz w:val="20"/>
          <w:szCs w:val="20"/>
          <w:lang w:val="es-ES_tradnl"/>
        </w:rPr>
        <w:t>constitucional idóne</w:t>
      </w:r>
      <w:r w:rsidR="008826EB" w:rsidRPr="005578E0">
        <w:rPr>
          <w:rFonts w:asciiTheme="majorHAnsi" w:hAnsiTheme="majorHAnsi"/>
          <w:color w:val="auto"/>
          <w:sz w:val="20"/>
          <w:szCs w:val="20"/>
          <w:lang w:val="es-ES_tradnl"/>
        </w:rPr>
        <w:t xml:space="preserve">o </w:t>
      </w:r>
      <w:r w:rsidR="00E22CB6" w:rsidRPr="005578E0">
        <w:rPr>
          <w:rFonts w:asciiTheme="majorHAnsi" w:hAnsiTheme="majorHAnsi"/>
          <w:color w:val="auto"/>
          <w:sz w:val="20"/>
          <w:szCs w:val="20"/>
          <w:lang w:val="es-ES_tradnl"/>
        </w:rPr>
        <w:t xml:space="preserve">por </w:t>
      </w:r>
      <w:r w:rsidR="008826EB" w:rsidRPr="005578E0">
        <w:rPr>
          <w:rFonts w:asciiTheme="majorHAnsi" w:hAnsiTheme="majorHAnsi"/>
          <w:color w:val="auto"/>
          <w:sz w:val="20"/>
          <w:szCs w:val="20"/>
          <w:lang w:val="es-ES_tradnl"/>
        </w:rPr>
        <w:t xml:space="preserve">su </w:t>
      </w:r>
      <w:r w:rsidR="00E22CB6" w:rsidRPr="005578E0">
        <w:rPr>
          <w:rFonts w:asciiTheme="majorHAnsi" w:hAnsiTheme="majorHAnsi"/>
          <w:color w:val="auto"/>
          <w:sz w:val="20"/>
          <w:szCs w:val="20"/>
          <w:lang w:val="es-ES_tradnl"/>
        </w:rPr>
        <w:t>especialidad, lo era</w:t>
      </w:r>
      <w:r w:rsidR="008E7A8F" w:rsidRPr="005578E0">
        <w:rPr>
          <w:rFonts w:asciiTheme="majorHAnsi" w:hAnsiTheme="majorHAnsi"/>
          <w:color w:val="auto"/>
          <w:sz w:val="20"/>
          <w:szCs w:val="20"/>
          <w:lang w:val="es-ES_tradnl"/>
        </w:rPr>
        <w:t xml:space="preserve">. De igual manera, argumenta que </w:t>
      </w:r>
      <w:r w:rsidR="00CC28FC">
        <w:rPr>
          <w:rFonts w:asciiTheme="majorHAnsi" w:hAnsiTheme="majorHAnsi"/>
          <w:color w:val="auto"/>
          <w:sz w:val="20"/>
          <w:szCs w:val="20"/>
          <w:lang w:val="es-ES_tradnl"/>
        </w:rPr>
        <w:t xml:space="preserve">la </w:t>
      </w:r>
      <w:r w:rsidR="008E7A8F" w:rsidRPr="005578E0">
        <w:rPr>
          <w:rFonts w:asciiTheme="majorHAnsi" w:hAnsiTheme="majorHAnsi"/>
          <w:color w:val="auto"/>
          <w:sz w:val="20"/>
          <w:szCs w:val="20"/>
          <w:lang w:val="es-ES_tradnl"/>
        </w:rPr>
        <w:t>solicit</w:t>
      </w:r>
      <w:r w:rsidR="00CC28FC">
        <w:rPr>
          <w:rFonts w:asciiTheme="majorHAnsi" w:hAnsiTheme="majorHAnsi"/>
          <w:color w:val="auto"/>
          <w:sz w:val="20"/>
          <w:szCs w:val="20"/>
          <w:lang w:val="es-ES_tradnl"/>
        </w:rPr>
        <w:t>ud de</w:t>
      </w:r>
      <w:r w:rsidR="008E7A8F" w:rsidRPr="005578E0">
        <w:rPr>
          <w:rFonts w:asciiTheme="majorHAnsi" w:hAnsiTheme="majorHAnsi"/>
          <w:color w:val="auto"/>
          <w:sz w:val="20"/>
          <w:szCs w:val="20"/>
          <w:lang w:val="es-ES_tradnl"/>
        </w:rPr>
        <w:t xml:space="preserve"> suspensión condicional de la pena no constituía un recurso apropiado</w:t>
      </w:r>
      <w:r w:rsidR="000A59EB" w:rsidRPr="005578E0">
        <w:rPr>
          <w:rFonts w:asciiTheme="majorHAnsi" w:hAnsiTheme="majorHAnsi"/>
          <w:color w:val="auto"/>
          <w:sz w:val="20"/>
          <w:szCs w:val="20"/>
          <w:lang w:val="es-ES_tradnl"/>
        </w:rPr>
        <w:t>,</w:t>
      </w:r>
      <w:r w:rsidR="008E7A8F" w:rsidRPr="005578E0">
        <w:rPr>
          <w:rFonts w:asciiTheme="majorHAnsi" w:hAnsiTheme="majorHAnsi"/>
          <w:color w:val="auto"/>
          <w:sz w:val="20"/>
          <w:szCs w:val="20"/>
          <w:lang w:val="es-ES_tradnl"/>
        </w:rPr>
        <w:t xml:space="preserve"> pues hubiera implicado que las presuntas víctimas aceptaran las violaciones en su contra</w:t>
      </w:r>
      <w:r w:rsidR="000A59EB" w:rsidRPr="005578E0">
        <w:rPr>
          <w:rFonts w:asciiTheme="majorHAnsi" w:hAnsiTheme="majorHAnsi"/>
          <w:color w:val="auto"/>
          <w:sz w:val="20"/>
          <w:szCs w:val="20"/>
          <w:lang w:val="es-ES_tradnl"/>
        </w:rPr>
        <w:t>,</w:t>
      </w:r>
      <w:r w:rsidR="008E7A8F" w:rsidRPr="005578E0">
        <w:rPr>
          <w:rFonts w:asciiTheme="majorHAnsi" w:hAnsiTheme="majorHAnsi"/>
          <w:color w:val="auto"/>
          <w:sz w:val="20"/>
          <w:szCs w:val="20"/>
          <w:lang w:val="es-ES_tradnl"/>
        </w:rPr>
        <w:t xml:space="preserve"> y se sometieran a la posibilidad de que se les aplicara la condena ilegal de incumplirse las </w:t>
      </w:r>
      <w:r w:rsidR="00CC28FC">
        <w:rPr>
          <w:rFonts w:asciiTheme="majorHAnsi" w:hAnsiTheme="majorHAnsi"/>
          <w:color w:val="auto"/>
          <w:sz w:val="20"/>
          <w:szCs w:val="20"/>
          <w:lang w:val="es-ES_tradnl"/>
        </w:rPr>
        <w:t xml:space="preserve">correspondientes </w:t>
      </w:r>
      <w:r w:rsidR="008E7A8F" w:rsidRPr="005578E0">
        <w:rPr>
          <w:rFonts w:asciiTheme="majorHAnsi" w:hAnsiTheme="majorHAnsi"/>
          <w:color w:val="auto"/>
          <w:sz w:val="20"/>
          <w:szCs w:val="20"/>
          <w:lang w:val="es-ES_tradnl"/>
        </w:rPr>
        <w:t>condiciones.</w:t>
      </w:r>
      <w:r w:rsidR="005578E0" w:rsidRPr="005578E0">
        <w:rPr>
          <w:rFonts w:asciiTheme="majorHAnsi" w:hAnsiTheme="majorHAnsi"/>
          <w:color w:val="auto"/>
          <w:sz w:val="20"/>
          <w:szCs w:val="20"/>
          <w:lang w:val="es-ES_tradnl"/>
        </w:rPr>
        <w:t xml:space="preserve"> </w:t>
      </w:r>
      <w:r w:rsidR="004A5608" w:rsidRPr="005578E0">
        <w:rPr>
          <w:rFonts w:asciiTheme="majorHAnsi" w:hAnsiTheme="majorHAnsi"/>
          <w:color w:val="auto"/>
          <w:sz w:val="20"/>
          <w:szCs w:val="20"/>
          <w:lang w:val="es-ES_tradnl"/>
        </w:rPr>
        <w:t>Finalmente, el peticionario expresa</w:t>
      </w:r>
      <w:r w:rsidR="00414AB7" w:rsidRPr="005578E0">
        <w:rPr>
          <w:rFonts w:asciiTheme="majorHAnsi" w:hAnsiTheme="majorHAnsi"/>
          <w:color w:val="auto"/>
          <w:sz w:val="20"/>
          <w:szCs w:val="20"/>
          <w:lang w:val="es-ES_tradnl"/>
        </w:rPr>
        <w:t xml:space="preserve"> que las presuntas víctimas no deben ser consideradas “prófug</w:t>
      </w:r>
      <w:r w:rsidR="00CC28FC">
        <w:rPr>
          <w:rFonts w:asciiTheme="majorHAnsi" w:hAnsiTheme="majorHAnsi"/>
          <w:color w:val="auto"/>
          <w:sz w:val="20"/>
          <w:szCs w:val="20"/>
          <w:lang w:val="es-ES_tradnl"/>
        </w:rPr>
        <w:t>a</w:t>
      </w:r>
      <w:r w:rsidR="00414AB7" w:rsidRPr="005578E0">
        <w:rPr>
          <w:rFonts w:asciiTheme="majorHAnsi" w:hAnsiTheme="majorHAnsi"/>
          <w:color w:val="auto"/>
          <w:sz w:val="20"/>
          <w:szCs w:val="20"/>
          <w:lang w:val="es-ES_tradnl"/>
        </w:rPr>
        <w:t xml:space="preserve">s” por el solo hecho de haber acudido al </w:t>
      </w:r>
      <w:r w:rsidR="005578E0">
        <w:rPr>
          <w:rFonts w:asciiTheme="majorHAnsi" w:hAnsiTheme="majorHAnsi"/>
          <w:color w:val="auto"/>
          <w:sz w:val="20"/>
          <w:szCs w:val="20"/>
          <w:lang w:val="es-ES_tradnl"/>
        </w:rPr>
        <w:t>s</w:t>
      </w:r>
      <w:r w:rsidR="00414AB7" w:rsidRPr="005578E0">
        <w:rPr>
          <w:rFonts w:asciiTheme="majorHAnsi" w:hAnsiTheme="majorHAnsi"/>
          <w:color w:val="auto"/>
          <w:sz w:val="20"/>
          <w:szCs w:val="20"/>
          <w:lang w:val="es-ES_tradnl"/>
        </w:rPr>
        <w:t xml:space="preserve">istema </w:t>
      </w:r>
      <w:r w:rsidR="005578E0">
        <w:rPr>
          <w:rFonts w:asciiTheme="majorHAnsi" w:hAnsiTheme="majorHAnsi"/>
          <w:color w:val="auto"/>
          <w:sz w:val="20"/>
          <w:szCs w:val="20"/>
          <w:lang w:val="es-ES_tradnl"/>
        </w:rPr>
        <w:t>i</w:t>
      </w:r>
      <w:r w:rsidR="00414AB7" w:rsidRPr="005578E0">
        <w:rPr>
          <w:rFonts w:asciiTheme="majorHAnsi" w:hAnsiTheme="majorHAnsi"/>
          <w:color w:val="auto"/>
          <w:sz w:val="20"/>
          <w:szCs w:val="20"/>
          <w:lang w:val="es-ES_tradnl"/>
        </w:rPr>
        <w:t>nteramericano y no haberse sometido a</w:t>
      </w:r>
      <w:r w:rsidR="00826746" w:rsidRPr="005578E0">
        <w:rPr>
          <w:rFonts w:asciiTheme="majorHAnsi" w:hAnsiTheme="majorHAnsi"/>
          <w:color w:val="auto"/>
          <w:sz w:val="20"/>
          <w:szCs w:val="20"/>
          <w:lang w:val="es-ES_tradnl"/>
        </w:rPr>
        <w:t xml:space="preserve"> la justicia par</w:t>
      </w:r>
      <w:r w:rsidR="00E20EED" w:rsidRPr="005578E0">
        <w:rPr>
          <w:rFonts w:asciiTheme="majorHAnsi" w:hAnsiTheme="majorHAnsi"/>
          <w:color w:val="auto"/>
          <w:sz w:val="20"/>
          <w:szCs w:val="20"/>
          <w:lang w:val="es-ES_tradnl"/>
        </w:rPr>
        <w:t>a</w:t>
      </w:r>
      <w:r w:rsidR="00414AB7" w:rsidRPr="005578E0">
        <w:rPr>
          <w:rFonts w:asciiTheme="majorHAnsi" w:hAnsiTheme="majorHAnsi"/>
          <w:color w:val="auto"/>
          <w:sz w:val="20"/>
          <w:szCs w:val="20"/>
          <w:lang w:val="es-ES_tradnl"/>
        </w:rPr>
        <w:t xml:space="preserve"> ser irremediablemente apresados por el tiempo que dispone la condena en su contra.  </w:t>
      </w:r>
    </w:p>
    <w:p w14:paraId="3FB7C74E" w14:textId="77777777" w:rsid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58A7391C" w14:textId="26810C0B" w:rsidR="00414AB7" w:rsidRPr="00095478" w:rsidRDefault="00414AB7"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olor w:val="auto"/>
          <w:sz w:val="20"/>
          <w:szCs w:val="20"/>
          <w:lang w:val="es-ES_tradnl"/>
        </w:rPr>
        <w:t xml:space="preserve">El Estado, por su parte, </w:t>
      </w:r>
      <w:r w:rsidR="00E20EED" w:rsidRPr="00095478">
        <w:rPr>
          <w:rFonts w:asciiTheme="majorHAnsi" w:hAnsiTheme="majorHAnsi"/>
          <w:color w:val="auto"/>
          <w:sz w:val="20"/>
          <w:szCs w:val="20"/>
          <w:lang w:val="es-ES_tradnl"/>
        </w:rPr>
        <w:t>considera que la petición debe ser inadmitida porque fue presentada extemporáneamente, porque las presuntas víctimas no han agota</w:t>
      </w:r>
      <w:r w:rsidR="00CC28FC">
        <w:rPr>
          <w:rFonts w:asciiTheme="majorHAnsi" w:hAnsiTheme="majorHAnsi"/>
          <w:color w:val="auto"/>
          <w:sz w:val="20"/>
          <w:szCs w:val="20"/>
          <w:lang w:val="es-ES_tradnl"/>
        </w:rPr>
        <w:t>do</w:t>
      </w:r>
      <w:r w:rsidR="00E20EED" w:rsidRPr="00095478">
        <w:rPr>
          <w:rFonts w:asciiTheme="majorHAnsi" w:hAnsiTheme="majorHAnsi"/>
          <w:color w:val="auto"/>
          <w:sz w:val="20"/>
          <w:szCs w:val="20"/>
          <w:lang w:val="es-ES_tradnl"/>
        </w:rPr>
        <w:t xml:space="preserve"> los recursos de la jurisdicción interna, y porque los hechos expuestos no caracterizan violaciones a los derechos humanos. </w:t>
      </w:r>
    </w:p>
    <w:p w14:paraId="45C9CFDB" w14:textId="77777777" w:rsid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68CDD46D" w14:textId="52C645B6" w:rsidR="00E20EED" w:rsidRPr="00095478" w:rsidRDefault="004B153A"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Pr>
          <w:rFonts w:asciiTheme="majorHAnsi" w:hAnsiTheme="majorHAnsi"/>
          <w:color w:val="auto"/>
          <w:sz w:val="20"/>
          <w:szCs w:val="20"/>
          <w:lang w:val="es-ES_tradnl"/>
        </w:rPr>
        <w:t xml:space="preserve">Bolivia </w:t>
      </w:r>
      <w:r w:rsidR="00CC28FC">
        <w:rPr>
          <w:rFonts w:asciiTheme="majorHAnsi" w:hAnsiTheme="majorHAnsi"/>
          <w:color w:val="auto"/>
          <w:sz w:val="20"/>
          <w:szCs w:val="20"/>
          <w:lang w:val="es-ES_tradnl"/>
        </w:rPr>
        <w:t>a</w:t>
      </w:r>
      <w:r w:rsidR="00AA17AE" w:rsidRPr="00095478">
        <w:rPr>
          <w:rFonts w:asciiTheme="majorHAnsi" w:hAnsiTheme="majorHAnsi"/>
          <w:color w:val="auto"/>
          <w:sz w:val="20"/>
          <w:szCs w:val="20"/>
          <w:lang w:val="es-ES_tradnl"/>
        </w:rPr>
        <w:t>lega que la acción de libertad resuelta en</w:t>
      </w:r>
      <w:r w:rsidR="00CC28FC">
        <w:rPr>
          <w:rFonts w:asciiTheme="majorHAnsi" w:hAnsiTheme="majorHAnsi"/>
          <w:color w:val="auto"/>
          <w:sz w:val="20"/>
          <w:szCs w:val="20"/>
          <w:lang w:val="es-ES_tradnl"/>
        </w:rPr>
        <w:t xml:space="preserve"> la</w:t>
      </w:r>
      <w:r w:rsidR="00AA17AE" w:rsidRPr="00095478">
        <w:rPr>
          <w:rFonts w:asciiTheme="majorHAnsi" w:hAnsiTheme="majorHAnsi"/>
          <w:color w:val="auto"/>
          <w:sz w:val="20"/>
          <w:szCs w:val="20"/>
          <w:lang w:val="es-ES_tradnl"/>
        </w:rPr>
        <w:t xml:space="preserve"> sentencia notificada a las presuntas víctimas el 3 de abril de 2013 no constituye un recurso idóneo que pueda ser valorado como decisión definitiva para efectos del c</w:t>
      </w:r>
      <w:r w:rsidR="007F0453" w:rsidRPr="00095478">
        <w:rPr>
          <w:rFonts w:asciiTheme="majorHAnsi" w:hAnsiTheme="majorHAnsi"/>
          <w:color w:val="auto"/>
          <w:sz w:val="20"/>
          <w:szCs w:val="20"/>
          <w:lang w:val="es-ES_tradnl"/>
        </w:rPr>
        <w:t>álculo del plazo para la presentación de la petición. Explica que en esta acción las presuntas víctimas alegaban la violación de sus derechos a la libertad, seguridad jurídica y debido proceso</w:t>
      </w:r>
      <w:r w:rsidR="00681B49" w:rsidRPr="00095478">
        <w:rPr>
          <w:rFonts w:asciiTheme="majorHAnsi" w:hAnsiTheme="majorHAnsi"/>
          <w:color w:val="auto"/>
          <w:sz w:val="20"/>
          <w:szCs w:val="20"/>
          <w:lang w:val="es-ES_tradnl"/>
        </w:rPr>
        <w:t xml:space="preserve">; </w:t>
      </w:r>
      <w:r w:rsidR="007F0453" w:rsidRPr="00095478">
        <w:rPr>
          <w:rFonts w:asciiTheme="majorHAnsi" w:hAnsiTheme="majorHAnsi"/>
          <w:color w:val="auto"/>
          <w:sz w:val="20"/>
          <w:szCs w:val="20"/>
          <w:lang w:val="es-ES_tradnl"/>
        </w:rPr>
        <w:t xml:space="preserve">y que la jurisprudencia del Tribunal Constitucional había determinado desde 2004 que la acción de libertad solo sería procedente </w:t>
      </w:r>
      <w:r w:rsidR="00681B49" w:rsidRPr="00095478">
        <w:rPr>
          <w:rFonts w:asciiTheme="majorHAnsi" w:hAnsiTheme="majorHAnsi"/>
          <w:color w:val="auto"/>
          <w:sz w:val="20"/>
          <w:szCs w:val="20"/>
          <w:lang w:val="es-ES_tradnl"/>
        </w:rPr>
        <w:t>con respecto a alegadas irregularidades cometidas en el desarrollo de un proceso penal cuando guardaran relación directa con la restricción de la libertad del accionante y se consta</w:t>
      </w:r>
      <w:r w:rsidR="00CC28FC">
        <w:rPr>
          <w:rFonts w:asciiTheme="majorHAnsi" w:hAnsiTheme="majorHAnsi"/>
          <w:color w:val="auto"/>
          <w:sz w:val="20"/>
          <w:szCs w:val="20"/>
          <w:lang w:val="es-ES_tradnl"/>
        </w:rPr>
        <w:t>ta</w:t>
      </w:r>
      <w:r w:rsidR="00681B49" w:rsidRPr="00095478">
        <w:rPr>
          <w:rFonts w:asciiTheme="majorHAnsi" w:hAnsiTheme="majorHAnsi"/>
          <w:color w:val="auto"/>
          <w:sz w:val="20"/>
          <w:szCs w:val="20"/>
          <w:lang w:val="es-ES_tradnl"/>
        </w:rPr>
        <w:t>ra un estado de absoluta indefensión</w:t>
      </w:r>
      <w:r w:rsidR="00844231" w:rsidRPr="00095478">
        <w:rPr>
          <w:rFonts w:asciiTheme="majorHAnsi" w:hAnsiTheme="majorHAnsi"/>
          <w:color w:val="auto"/>
          <w:sz w:val="20"/>
          <w:szCs w:val="20"/>
          <w:lang w:val="es-ES_tradnl"/>
        </w:rPr>
        <w:t xml:space="preserve">. </w:t>
      </w:r>
      <w:r w:rsidR="00CC28FC">
        <w:rPr>
          <w:rFonts w:asciiTheme="majorHAnsi" w:hAnsiTheme="majorHAnsi"/>
          <w:color w:val="auto"/>
          <w:sz w:val="20"/>
          <w:szCs w:val="20"/>
          <w:lang w:val="es-ES_tradnl"/>
        </w:rPr>
        <w:t>C</w:t>
      </w:r>
      <w:r w:rsidR="00844231" w:rsidRPr="00095478">
        <w:rPr>
          <w:rFonts w:asciiTheme="majorHAnsi" w:hAnsiTheme="majorHAnsi"/>
          <w:color w:val="auto"/>
          <w:sz w:val="20"/>
          <w:szCs w:val="20"/>
          <w:lang w:val="es-ES_tradnl"/>
        </w:rPr>
        <w:t>ita</w:t>
      </w:r>
      <w:r w:rsidR="00EE3AD7" w:rsidRPr="00095478">
        <w:rPr>
          <w:rFonts w:asciiTheme="majorHAnsi" w:hAnsiTheme="majorHAnsi"/>
          <w:color w:val="auto"/>
          <w:sz w:val="20"/>
          <w:szCs w:val="20"/>
          <w:lang w:val="es-ES_tradnl"/>
        </w:rPr>
        <w:t xml:space="preserve"> como</w:t>
      </w:r>
      <w:r w:rsidR="00844231" w:rsidRPr="00095478">
        <w:rPr>
          <w:rFonts w:asciiTheme="majorHAnsi" w:hAnsiTheme="majorHAnsi"/>
          <w:color w:val="auto"/>
          <w:sz w:val="20"/>
          <w:szCs w:val="20"/>
          <w:lang w:val="es-ES_tradnl"/>
        </w:rPr>
        <w:t xml:space="preserve"> ejemplo </w:t>
      </w:r>
      <w:r w:rsidR="00EE3AD7" w:rsidRPr="00095478">
        <w:rPr>
          <w:rFonts w:asciiTheme="majorHAnsi" w:hAnsiTheme="majorHAnsi"/>
          <w:color w:val="auto"/>
          <w:sz w:val="20"/>
          <w:szCs w:val="20"/>
          <w:lang w:val="es-ES_tradnl"/>
        </w:rPr>
        <w:t>cinco</w:t>
      </w:r>
      <w:r w:rsidR="00844231" w:rsidRPr="00095478">
        <w:rPr>
          <w:rFonts w:asciiTheme="majorHAnsi" w:hAnsiTheme="majorHAnsi"/>
          <w:color w:val="auto"/>
          <w:sz w:val="20"/>
          <w:szCs w:val="20"/>
          <w:lang w:val="es-ES_tradnl"/>
        </w:rPr>
        <w:t xml:space="preserve"> sentencias en que el Tribunal Constitucional se pronunci</w:t>
      </w:r>
      <w:r w:rsidR="00CC28FC">
        <w:rPr>
          <w:rFonts w:asciiTheme="majorHAnsi" w:hAnsiTheme="majorHAnsi"/>
          <w:color w:val="auto"/>
          <w:sz w:val="20"/>
          <w:szCs w:val="20"/>
          <w:lang w:val="es-ES_tradnl"/>
        </w:rPr>
        <w:t>ó</w:t>
      </w:r>
      <w:r w:rsidR="00844231" w:rsidRPr="00095478">
        <w:rPr>
          <w:rFonts w:asciiTheme="majorHAnsi" w:hAnsiTheme="majorHAnsi"/>
          <w:color w:val="auto"/>
          <w:sz w:val="20"/>
          <w:szCs w:val="20"/>
          <w:lang w:val="es-ES_tradnl"/>
        </w:rPr>
        <w:t xml:space="preserve"> en este sentido</w:t>
      </w:r>
      <w:r w:rsidR="00EE3AD7" w:rsidRPr="00095478">
        <w:rPr>
          <w:rFonts w:asciiTheme="majorHAnsi" w:hAnsiTheme="majorHAnsi"/>
          <w:color w:val="auto"/>
          <w:sz w:val="20"/>
          <w:szCs w:val="20"/>
          <w:lang w:val="es-ES_tradnl"/>
        </w:rPr>
        <w:t>,</w:t>
      </w:r>
      <w:r w:rsidR="00844231" w:rsidRPr="00095478">
        <w:rPr>
          <w:rFonts w:asciiTheme="majorHAnsi" w:hAnsiTheme="majorHAnsi"/>
          <w:color w:val="auto"/>
          <w:sz w:val="20"/>
          <w:szCs w:val="20"/>
          <w:lang w:val="es-ES_tradnl"/>
        </w:rPr>
        <w:t xml:space="preserve"> </w:t>
      </w:r>
      <w:r w:rsidR="00CC28FC">
        <w:rPr>
          <w:rFonts w:asciiTheme="majorHAnsi" w:hAnsiTheme="majorHAnsi"/>
          <w:color w:val="auto"/>
          <w:sz w:val="20"/>
          <w:szCs w:val="20"/>
          <w:lang w:val="es-ES_tradnl"/>
        </w:rPr>
        <w:t xml:space="preserve">e </w:t>
      </w:r>
      <w:r w:rsidR="00844231" w:rsidRPr="00095478">
        <w:rPr>
          <w:rFonts w:asciiTheme="majorHAnsi" w:hAnsiTheme="majorHAnsi"/>
          <w:color w:val="auto"/>
          <w:sz w:val="20"/>
          <w:szCs w:val="20"/>
          <w:lang w:val="es-ES_tradnl"/>
        </w:rPr>
        <w:t xml:space="preserve">incluye un extracto en que se expresa que de no cumplirse estos supuestos las irregularidades </w:t>
      </w:r>
      <w:r w:rsidR="0070366C" w:rsidRPr="00095478">
        <w:rPr>
          <w:rFonts w:asciiTheme="majorHAnsi" w:hAnsiTheme="majorHAnsi"/>
          <w:color w:val="auto"/>
          <w:sz w:val="20"/>
          <w:szCs w:val="20"/>
          <w:lang w:val="es-ES_tradnl"/>
        </w:rPr>
        <w:t>procesales</w:t>
      </w:r>
      <w:r w:rsidR="00844231" w:rsidRPr="00095478">
        <w:rPr>
          <w:rFonts w:asciiTheme="majorHAnsi" w:hAnsiTheme="majorHAnsi"/>
          <w:color w:val="auto"/>
          <w:sz w:val="20"/>
          <w:szCs w:val="20"/>
          <w:lang w:val="es-ES_tradnl"/>
        </w:rPr>
        <w:t xml:space="preserve"> deberán ser reclamadas mediante los mecanismos ordinarios previstos en el sistema procesal penal</w:t>
      </w:r>
      <w:r w:rsidR="00CC28FC">
        <w:rPr>
          <w:rFonts w:asciiTheme="majorHAnsi" w:hAnsiTheme="majorHAnsi"/>
          <w:color w:val="auto"/>
          <w:sz w:val="20"/>
          <w:szCs w:val="20"/>
          <w:lang w:val="es-ES_tradnl"/>
        </w:rPr>
        <w:t>;</w:t>
      </w:r>
      <w:r w:rsidR="00844231" w:rsidRPr="00095478">
        <w:rPr>
          <w:rFonts w:asciiTheme="majorHAnsi" w:hAnsiTheme="majorHAnsi"/>
          <w:color w:val="auto"/>
          <w:sz w:val="20"/>
          <w:szCs w:val="20"/>
          <w:lang w:val="es-ES_tradnl"/>
        </w:rPr>
        <w:t xml:space="preserve"> y, si persistiera la</w:t>
      </w:r>
      <w:r w:rsidR="0070366C" w:rsidRPr="00095478">
        <w:rPr>
          <w:rFonts w:asciiTheme="majorHAnsi" w:hAnsiTheme="majorHAnsi"/>
          <w:color w:val="auto"/>
          <w:sz w:val="20"/>
          <w:szCs w:val="20"/>
          <w:lang w:val="es-ES_tradnl"/>
        </w:rPr>
        <w:t xml:space="preserve"> lesión</w:t>
      </w:r>
      <w:r w:rsidR="00844231" w:rsidRPr="00095478">
        <w:rPr>
          <w:rFonts w:asciiTheme="majorHAnsi" w:hAnsiTheme="majorHAnsi"/>
          <w:color w:val="auto"/>
          <w:sz w:val="20"/>
          <w:szCs w:val="20"/>
          <w:lang w:val="es-ES_tradnl"/>
        </w:rPr>
        <w:t>, mediante la acción de amparo constitucional. Resalta que el Tribunal Constitucional aplicó estos precedentes al analizar la acción de las presuntas v</w:t>
      </w:r>
      <w:r w:rsidR="0070366C" w:rsidRPr="00095478">
        <w:rPr>
          <w:rFonts w:asciiTheme="majorHAnsi" w:hAnsiTheme="majorHAnsi"/>
          <w:color w:val="auto"/>
          <w:sz w:val="20"/>
          <w:szCs w:val="20"/>
          <w:lang w:val="es-ES_tradnl"/>
        </w:rPr>
        <w:t>íctimas</w:t>
      </w:r>
      <w:r w:rsidR="00CC28FC">
        <w:rPr>
          <w:rFonts w:asciiTheme="majorHAnsi" w:hAnsiTheme="majorHAnsi"/>
          <w:color w:val="auto"/>
          <w:sz w:val="20"/>
          <w:szCs w:val="20"/>
          <w:lang w:val="es-ES_tradnl"/>
        </w:rPr>
        <w:t>, y concluyó</w:t>
      </w:r>
      <w:r w:rsidR="0070366C" w:rsidRPr="00095478">
        <w:rPr>
          <w:rFonts w:asciiTheme="majorHAnsi" w:hAnsiTheme="majorHAnsi"/>
          <w:color w:val="auto"/>
          <w:sz w:val="20"/>
          <w:szCs w:val="20"/>
          <w:lang w:val="es-ES_tradnl"/>
        </w:rPr>
        <w:t xml:space="preserve"> </w:t>
      </w:r>
      <w:proofErr w:type="gramStart"/>
      <w:r w:rsidR="00CC28FC">
        <w:rPr>
          <w:rFonts w:asciiTheme="majorHAnsi" w:hAnsiTheme="majorHAnsi"/>
          <w:color w:val="auto"/>
          <w:sz w:val="20"/>
          <w:szCs w:val="20"/>
          <w:lang w:val="es-ES_tradnl"/>
        </w:rPr>
        <w:t>que</w:t>
      </w:r>
      <w:proofErr w:type="gramEnd"/>
      <w:r w:rsidR="00CC28FC">
        <w:rPr>
          <w:rFonts w:asciiTheme="majorHAnsi" w:hAnsiTheme="majorHAnsi"/>
          <w:color w:val="auto"/>
          <w:sz w:val="20"/>
          <w:szCs w:val="20"/>
          <w:lang w:val="es-ES_tradnl"/>
        </w:rPr>
        <w:t xml:space="preserve"> </w:t>
      </w:r>
      <w:r w:rsidR="0070366C" w:rsidRPr="00095478">
        <w:rPr>
          <w:rFonts w:asciiTheme="majorHAnsi" w:hAnsiTheme="majorHAnsi"/>
          <w:color w:val="auto"/>
          <w:sz w:val="20"/>
          <w:szCs w:val="20"/>
          <w:lang w:val="es-ES_tradnl"/>
        </w:rPr>
        <w:t xml:space="preserve">si bien los actos reclamados en la acción guardaban relación con su derecho a la libertad personal, </w:t>
      </w:r>
      <w:r w:rsidR="00CC28FC">
        <w:rPr>
          <w:rFonts w:asciiTheme="majorHAnsi" w:hAnsiTheme="majorHAnsi"/>
          <w:color w:val="auto"/>
          <w:sz w:val="20"/>
          <w:szCs w:val="20"/>
          <w:lang w:val="es-ES_tradnl"/>
        </w:rPr>
        <w:t xml:space="preserve">aquellas </w:t>
      </w:r>
      <w:r w:rsidR="0070366C" w:rsidRPr="00095478">
        <w:rPr>
          <w:rFonts w:asciiTheme="majorHAnsi" w:hAnsiTheme="majorHAnsi"/>
          <w:color w:val="auto"/>
          <w:sz w:val="20"/>
          <w:szCs w:val="20"/>
          <w:lang w:val="es-ES_tradnl"/>
        </w:rPr>
        <w:t>no se habían encontrado en un estado absoluto de indefensión</w:t>
      </w:r>
      <w:r w:rsidR="00CC28FC">
        <w:rPr>
          <w:rFonts w:asciiTheme="majorHAnsi" w:hAnsiTheme="majorHAnsi"/>
          <w:color w:val="auto"/>
          <w:sz w:val="20"/>
          <w:szCs w:val="20"/>
          <w:lang w:val="es-ES_tradnl"/>
        </w:rPr>
        <w:t>,</w:t>
      </w:r>
      <w:r w:rsidR="0070366C" w:rsidRPr="00095478">
        <w:rPr>
          <w:rFonts w:asciiTheme="majorHAnsi" w:hAnsiTheme="majorHAnsi"/>
          <w:color w:val="auto"/>
          <w:sz w:val="20"/>
          <w:szCs w:val="20"/>
          <w:lang w:val="es-ES_tradnl"/>
        </w:rPr>
        <w:t xml:space="preserve"> pues habían tenido la oportunidad de recurrir en casación. También destaca que el </w:t>
      </w:r>
      <w:r w:rsidR="00EE3AD7" w:rsidRPr="00095478">
        <w:rPr>
          <w:rFonts w:asciiTheme="majorHAnsi" w:hAnsiTheme="majorHAnsi"/>
          <w:color w:val="auto"/>
          <w:sz w:val="20"/>
          <w:szCs w:val="20"/>
          <w:lang w:val="es-ES_tradnl"/>
        </w:rPr>
        <w:t>t</w:t>
      </w:r>
      <w:r w:rsidR="0070366C" w:rsidRPr="00095478">
        <w:rPr>
          <w:rFonts w:asciiTheme="majorHAnsi" w:hAnsiTheme="majorHAnsi"/>
          <w:color w:val="auto"/>
          <w:sz w:val="20"/>
          <w:szCs w:val="20"/>
          <w:lang w:val="es-ES_tradnl"/>
        </w:rPr>
        <w:t>ribunal determinó que la seguridad jurídica era un principio y no un derecho</w:t>
      </w:r>
      <w:r w:rsidR="00EE3AD7" w:rsidRPr="00095478">
        <w:rPr>
          <w:rFonts w:asciiTheme="majorHAnsi" w:hAnsiTheme="majorHAnsi"/>
          <w:color w:val="auto"/>
          <w:sz w:val="20"/>
          <w:szCs w:val="20"/>
          <w:lang w:val="es-ES_tradnl"/>
        </w:rPr>
        <w:t>,</w:t>
      </w:r>
      <w:r w:rsidR="0070366C" w:rsidRPr="00095478">
        <w:rPr>
          <w:rFonts w:asciiTheme="majorHAnsi" w:hAnsiTheme="majorHAnsi"/>
          <w:color w:val="auto"/>
          <w:sz w:val="20"/>
          <w:szCs w:val="20"/>
          <w:lang w:val="es-ES_tradnl"/>
        </w:rPr>
        <w:t xml:space="preserve"> por lo que no podía ser tutelada mediante la acción de libertad. Por estas razones, sostiene que la decisión que debe valorarse para efectos del cálculo del plazo de presentación no </w:t>
      </w:r>
      <w:r w:rsidR="00030EC1">
        <w:rPr>
          <w:rFonts w:asciiTheme="majorHAnsi" w:hAnsiTheme="majorHAnsi"/>
          <w:color w:val="auto"/>
          <w:sz w:val="20"/>
          <w:szCs w:val="20"/>
          <w:lang w:val="es-ES_tradnl"/>
        </w:rPr>
        <w:t>es</w:t>
      </w:r>
      <w:r w:rsidR="0070366C" w:rsidRPr="00095478">
        <w:rPr>
          <w:rFonts w:asciiTheme="majorHAnsi" w:hAnsiTheme="majorHAnsi"/>
          <w:color w:val="auto"/>
          <w:sz w:val="20"/>
          <w:szCs w:val="20"/>
          <w:lang w:val="es-ES_tradnl"/>
        </w:rPr>
        <w:t xml:space="preserve"> la que resolvió </w:t>
      </w:r>
      <w:r w:rsidR="00030EC1">
        <w:rPr>
          <w:rFonts w:asciiTheme="majorHAnsi" w:hAnsiTheme="majorHAnsi"/>
          <w:color w:val="auto"/>
          <w:sz w:val="20"/>
          <w:szCs w:val="20"/>
          <w:lang w:val="es-ES_tradnl"/>
        </w:rPr>
        <w:t>la</w:t>
      </w:r>
      <w:r w:rsidR="0070366C" w:rsidRPr="00095478">
        <w:rPr>
          <w:rFonts w:asciiTheme="majorHAnsi" w:hAnsiTheme="majorHAnsi"/>
          <w:color w:val="auto"/>
          <w:sz w:val="20"/>
          <w:szCs w:val="20"/>
          <w:lang w:val="es-ES_tradnl"/>
        </w:rPr>
        <w:t xml:space="preserve"> última acción de libertad</w:t>
      </w:r>
      <w:r w:rsidR="00EE3AD7" w:rsidRPr="00095478">
        <w:rPr>
          <w:rFonts w:asciiTheme="majorHAnsi" w:hAnsiTheme="majorHAnsi"/>
          <w:color w:val="auto"/>
          <w:sz w:val="20"/>
          <w:szCs w:val="20"/>
          <w:lang w:val="es-ES_tradnl"/>
        </w:rPr>
        <w:t>,</w:t>
      </w:r>
      <w:r w:rsidR="0070366C" w:rsidRPr="00095478">
        <w:rPr>
          <w:rFonts w:asciiTheme="majorHAnsi" w:hAnsiTheme="majorHAnsi"/>
          <w:color w:val="auto"/>
          <w:sz w:val="20"/>
          <w:szCs w:val="20"/>
          <w:lang w:val="es-ES_tradnl"/>
        </w:rPr>
        <w:t xml:space="preserve"> sino la que inadmitió el recurso de casación presentado por las presuntas víctimas</w:t>
      </w:r>
      <w:r w:rsidR="00030EC1">
        <w:rPr>
          <w:rFonts w:asciiTheme="majorHAnsi" w:hAnsiTheme="majorHAnsi"/>
          <w:color w:val="auto"/>
          <w:sz w:val="20"/>
          <w:szCs w:val="20"/>
          <w:lang w:val="es-ES_tradnl"/>
        </w:rPr>
        <w:t xml:space="preserve"> </w:t>
      </w:r>
      <w:r w:rsidR="0070366C" w:rsidRPr="00095478">
        <w:rPr>
          <w:rFonts w:asciiTheme="majorHAnsi" w:hAnsiTheme="majorHAnsi"/>
          <w:color w:val="auto"/>
          <w:sz w:val="20"/>
          <w:szCs w:val="20"/>
          <w:lang w:val="es-ES_tradnl"/>
        </w:rPr>
        <w:t>emitida el 9 de marzo de 2010</w:t>
      </w:r>
      <w:r w:rsidR="00030EC1">
        <w:rPr>
          <w:rFonts w:asciiTheme="majorHAnsi" w:hAnsiTheme="majorHAnsi"/>
          <w:color w:val="auto"/>
          <w:sz w:val="20"/>
          <w:szCs w:val="20"/>
          <w:lang w:val="es-ES_tradnl"/>
        </w:rPr>
        <w:t>,</w:t>
      </w:r>
      <w:r w:rsidR="0070366C" w:rsidRPr="00095478">
        <w:rPr>
          <w:rFonts w:asciiTheme="majorHAnsi" w:hAnsiTheme="majorHAnsi"/>
          <w:color w:val="auto"/>
          <w:sz w:val="20"/>
          <w:szCs w:val="20"/>
          <w:lang w:val="es-ES_tradnl"/>
        </w:rPr>
        <w:t xml:space="preserve"> más de </w:t>
      </w:r>
      <w:r w:rsidR="00EE3AD7" w:rsidRPr="00095478">
        <w:rPr>
          <w:rFonts w:asciiTheme="majorHAnsi" w:hAnsiTheme="majorHAnsi"/>
          <w:color w:val="auto"/>
          <w:sz w:val="20"/>
          <w:szCs w:val="20"/>
          <w:lang w:val="es-ES_tradnl"/>
        </w:rPr>
        <w:t>tres</w:t>
      </w:r>
      <w:r w:rsidR="0070366C" w:rsidRPr="00095478">
        <w:rPr>
          <w:rFonts w:asciiTheme="majorHAnsi" w:hAnsiTheme="majorHAnsi"/>
          <w:color w:val="auto"/>
          <w:sz w:val="20"/>
          <w:szCs w:val="20"/>
          <w:lang w:val="es-ES_tradnl"/>
        </w:rPr>
        <w:t xml:space="preserve"> años y </w:t>
      </w:r>
      <w:r w:rsidR="00EE3AD7" w:rsidRPr="00095478">
        <w:rPr>
          <w:rFonts w:asciiTheme="majorHAnsi" w:hAnsiTheme="majorHAnsi"/>
          <w:color w:val="auto"/>
          <w:sz w:val="20"/>
          <w:szCs w:val="20"/>
          <w:lang w:val="es-ES_tradnl"/>
        </w:rPr>
        <w:t>siete</w:t>
      </w:r>
      <w:r w:rsidR="0070366C" w:rsidRPr="00095478">
        <w:rPr>
          <w:rFonts w:asciiTheme="majorHAnsi" w:hAnsiTheme="majorHAnsi"/>
          <w:color w:val="auto"/>
          <w:sz w:val="20"/>
          <w:szCs w:val="20"/>
          <w:lang w:val="es-ES_tradnl"/>
        </w:rPr>
        <w:t xml:space="preserve"> meses antes de la presentación de la petición.</w:t>
      </w:r>
    </w:p>
    <w:p w14:paraId="459A6895" w14:textId="77777777" w:rsid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558EB449" w14:textId="1B6D27BE" w:rsidR="00D26444" w:rsidRPr="00095478" w:rsidRDefault="00973410"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olor w:val="auto"/>
          <w:sz w:val="20"/>
          <w:szCs w:val="20"/>
          <w:lang w:val="es-ES_tradnl"/>
        </w:rPr>
        <w:t>También sostiene que las presuntas víctimas no han cumplido con el requisito de agotamiento de recursos internos</w:t>
      </w:r>
      <w:r w:rsidR="000C1619">
        <w:rPr>
          <w:rFonts w:asciiTheme="majorHAnsi" w:hAnsiTheme="majorHAnsi"/>
          <w:color w:val="auto"/>
          <w:sz w:val="20"/>
          <w:szCs w:val="20"/>
          <w:lang w:val="es-ES_tradnl"/>
        </w:rPr>
        <w:t>,</w:t>
      </w:r>
      <w:r w:rsidR="00B6326C" w:rsidRPr="00095478">
        <w:rPr>
          <w:rFonts w:asciiTheme="majorHAnsi" w:hAnsiTheme="majorHAnsi"/>
          <w:color w:val="auto"/>
          <w:sz w:val="20"/>
          <w:szCs w:val="20"/>
          <w:lang w:val="es-ES_tradnl"/>
        </w:rPr>
        <w:t xml:space="preserve"> y que ningunas de las </w:t>
      </w:r>
      <w:r w:rsidR="000C1619">
        <w:rPr>
          <w:rFonts w:asciiTheme="majorHAnsi" w:hAnsiTheme="majorHAnsi"/>
          <w:color w:val="auto"/>
          <w:sz w:val="20"/>
          <w:szCs w:val="20"/>
          <w:lang w:val="es-ES_tradnl"/>
        </w:rPr>
        <w:t xml:space="preserve">correspondientes </w:t>
      </w:r>
      <w:r w:rsidR="00B6326C" w:rsidRPr="00095478">
        <w:rPr>
          <w:rFonts w:asciiTheme="majorHAnsi" w:hAnsiTheme="majorHAnsi"/>
          <w:color w:val="auto"/>
          <w:sz w:val="20"/>
          <w:szCs w:val="20"/>
          <w:lang w:val="es-ES_tradnl"/>
        </w:rPr>
        <w:t>excepciones resultan aplicables a la presente petición</w:t>
      </w:r>
      <w:r w:rsidRPr="00095478">
        <w:rPr>
          <w:rFonts w:asciiTheme="majorHAnsi" w:hAnsiTheme="majorHAnsi"/>
          <w:color w:val="auto"/>
          <w:sz w:val="20"/>
          <w:szCs w:val="20"/>
          <w:lang w:val="es-ES_tradnl"/>
        </w:rPr>
        <w:t>.</w:t>
      </w:r>
      <w:r w:rsidR="000A0245" w:rsidRPr="00095478">
        <w:rPr>
          <w:rFonts w:asciiTheme="majorHAnsi" w:hAnsiTheme="majorHAnsi"/>
          <w:color w:val="auto"/>
          <w:sz w:val="20"/>
          <w:szCs w:val="20"/>
          <w:lang w:val="es-ES_tradnl"/>
        </w:rPr>
        <w:t xml:space="preserve"> </w:t>
      </w:r>
      <w:r w:rsidRPr="00095478">
        <w:rPr>
          <w:rFonts w:asciiTheme="majorHAnsi" w:hAnsiTheme="majorHAnsi"/>
          <w:color w:val="auto"/>
          <w:sz w:val="20"/>
          <w:szCs w:val="20"/>
          <w:lang w:val="es-ES_tradnl"/>
        </w:rPr>
        <w:t xml:space="preserve">Indica que las presuntas víctimas no </w:t>
      </w:r>
      <w:r w:rsidR="000C1619">
        <w:rPr>
          <w:rFonts w:asciiTheme="majorHAnsi" w:hAnsiTheme="majorHAnsi"/>
          <w:color w:val="auto"/>
          <w:sz w:val="20"/>
          <w:szCs w:val="20"/>
          <w:lang w:val="es-ES_tradnl"/>
        </w:rPr>
        <w:t xml:space="preserve">plantearon </w:t>
      </w:r>
      <w:r w:rsidR="00D26444" w:rsidRPr="00095478">
        <w:rPr>
          <w:rFonts w:asciiTheme="majorHAnsi" w:hAnsiTheme="majorHAnsi"/>
          <w:color w:val="auto"/>
          <w:sz w:val="20"/>
          <w:szCs w:val="20"/>
          <w:lang w:val="es-ES_tradnl"/>
        </w:rPr>
        <w:t>el</w:t>
      </w:r>
      <w:r w:rsidRPr="00095478">
        <w:rPr>
          <w:rFonts w:asciiTheme="majorHAnsi" w:hAnsiTheme="majorHAnsi"/>
          <w:color w:val="auto"/>
          <w:sz w:val="20"/>
          <w:szCs w:val="20"/>
          <w:lang w:val="es-ES_tradnl"/>
        </w:rPr>
        <w:t xml:space="preserve"> recurso de apelación restringida mediante el cual </w:t>
      </w:r>
      <w:r w:rsidR="000C1619">
        <w:rPr>
          <w:rFonts w:asciiTheme="majorHAnsi" w:hAnsiTheme="majorHAnsi"/>
          <w:color w:val="auto"/>
          <w:sz w:val="20"/>
          <w:szCs w:val="20"/>
          <w:lang w:val="es-ES_tradnl"/>
        </w:rPr>
        <w:t xml:space="preserve">podrían haber </w:t>
      </w:r>
      <w:r w:rsidRPr="00095478">
        <w:rPr>
          <w:rFonts w:asciiTheme="majorHAnsi" w:hAnsiTheme="majorHAnsi"/>
          <w:color w:val="auto"/>
          <w:sz w:val="20"/>
          <w:szCs w:val="20"/>
          <w:lang w:val="es-ES_tradnl"/>
        </w:rPr>
        <w:t>solicita</w:t>
      </w:r>
      <w:r w:rsidR="000C1619">
        <w:rPr>
          <w:rFonts w:asciiTheme="majorHAnsi" w:hAnsiTheme="majorHAnsi"/>
          <w:color w:val="auto"/>
          <w:sz w:val="20"/>
          <w:szCs w:val="20"/>
          <w:lang w:val="es-ES_tradnl"/>
        </w:rPr>
        <w:t>do</w:t>
      </w:r>
      <w:r w:rsidRPr="00095478">
        <w:rPr>
          <w:rFonts w:asciiTheme="majorHAnsi" w:hAnsiTheme="majorHAnsi"/>
          <w:color w:val="auto"/>
          <w:sz w:val="20"/>
          <w:szCs w:val="20"/>
          <w:lang w:val="es-ES_tradnl"/>
        </w:rPr>
        <w:t xml:space="preserve"> al tribunal de alzada que declarara improcedente los recursos de apelación restringida interpuestos por la parte acusadora contra la decisión que les había absuelto en primera instancia. Manifiesta </w:t>
      </w:r>
      <w:proofErr w:type="gramStart"/>
      <w:r w:rsidRPr="00095478">
        <w:rPr>
          <w:rFonts w:asciiTheme="majorHAnsi" w:hAnsiTheme="majorHAnsi"/>
          <w:color w:val="auto"/>
          <w:sz w:val="20"/>
          <w:szCs w:val="20"/>
          <w:lang w:val="es-ES_tradnl"/>
        </w:rPr>
        <w:t>que</w:t>
      </w:r>
      <w:proofErr w:type="gramEnd"/>
      <w:r w:rsidRPr="00095478">
        <w:rPr>
          <w:rFonts w:asciiTheme="majorHAnsi" w:hAnsiTheme="majorHAnsi"/>
          <w:color w:val="auto"/>
          <w:sz w:val="20"/>
          <w:szCs w:val="20"/>
          <w:lang w:val="es-ES_tradnl"/>
        </w:rPr>
        <w:t xml:space="preserve"> </w:t>
      </w:r>
      <w:r w:rsidR="000C1619">
        <w:rPr>
          <w:rFonts w:asciiTheme="majorHAnsi" w:hAnsiTheme="majorHAnsi"/>
          <w:color w:val="auto"/>
          <w:sz w:val="20"/>
          <w:szCs w:val="20"/>
          <w:lang w:val="es-ES_tradnl"/>
        </w:rPr>
        <w:t xml:space="preserve">en consecuencia, </w:t>
      </w:r>
      <w:r w:rsidRPr="00095478">
        <w:rPr>
          <w:rFonts w:asciiTheme="majorHAnsi" w:hAnsiTheme="majorHAnsi"/>
          <w:color w:val="auto"/>
          <w:sz w:val="20"/>
          <w:szCs w:val="20"/>
          <w:lang w:val="es-ES_tradnl"/>
        </w:rPr>
        <w:t>el tribunal de alzada decidi</w:t>
      </w:r>
      <w:r w:rsidR="000C1619">
        <w:rPr>
          <w:rFonts w:asciiTheme="majorHAnsi" w:hAnsiTheme="majorHAnsi"/>
          <w:color w:val="auto"/>
          <w:sz w:val="20"/>
          <w:szCs w:val="20"/>
          <w:lang w:val="es-ES_tradnl"/>
        </w:rPr>
        <w:t>ó</w:t>
      </w:r>
      <w:r w:rsidRPr="00095478">
        <w:rPr>
          <w:rFonts w:asciiTheme="majorHAnsi" w:hAnsiTheme="majorHAnsi"/>
          <w:color w:val="auto"/>
          <w:sz w:val="20"/>
          <w:szCs w:val="20"/>
          <w:lang w:val="es-ES_tradnl"/>
        </w:rPr>
        <w:t xml:space="preserve"> considerando solo los </w:t>
      </w:r>
      <w:r w:rsidR="00D82FB9" w:rsidRPr="00095478">
        <w:rPr>
          <w:rFonts w:asciiTheme="majorHAnsi" w:hAnsiTheme="majorHAnsi"/>
          <w:color w:val="auto"/>
          <w:sz w:val="20"/>
          <w:szCs w:val="20"/>
          <w:lang w:val="es-ES_tradnl"/>
        </w:rPr>
        <w:t>argumentos de las partes que sí</w:t>
      </w:r>
      <w:r w:rsidR="000A0245" w:rsidRPr="00095478">
        <w:rPr>
          <w:rFonts w:asciiTheme="majorHAnsi" w:hAnsiTheme="majorHAnsi"/>
          <w:color w:val="auto"/>
          <w:sz w:val="20"/>
          <w:szCs w:val="20"/>
          <w:lang w:val="es-ES_tradnl"/>
        </w:rPr>
        <w:t xml:space="preserve"> </w:t>
      </w:r>
      <w:r w:rsidRPr="00095478">
        <w:rPr>
          <w:rFonts w:asciiTheme="majorHAnsi" w:hAnsiTheme="majorHAnsi"/>
          <w:color w:val="auto"/>
          <w:sz w:val="20"/>
          <w:szCs w:val="20"/>
          <w:lang w:val="es-ES_tradnl"/>
        </w:rPr>
        <w:t xml:space="preserve">recurrieron, </w:t>
      </w:r>
      <w:r w:rsidR="000C1619">
        <w:rPr>
          <w:rFonts w:asciiTheme="majorHAnsi" w:hAnsiTheme="majorHAnsi"/>
          <w:color w:val="auto"/>
          <w:sz w:val="20"/>
          <w:szCs w:val="20"/>
          <w:lang w:val="es-ES_tradnl"/>
        </w:rPr>
        <w:t xml:space="preserve">lo </w:t>
      </w:r>
      <w:r w:rsidRPr="00095478">
        <w:rPr>
          <w:rFonts w:asciiTheme="majorHAnsi" w:hAnsiTheme="majorHAnsi"/>
          <w:color w:val="auto"/>
          <w:sz w:val="20"/>
          <w:szCs w:val="20"/>
          <w:lang w:val="es-ES_tradnl"/>
        </w:rPr>
        <w:t>que</w:t>
      </w:r>
      <w:r w:rsidR="000C1619">
        <w:rPr>
          <w:rFonts w:asciiTheme="majorHAnsi" w:hAnsiTheme="majorHAnsi"/>
          <w:color w:val="auto"/>
          <w:sz w:val="20"/>
          <w:szCs w:val="20"/>
          <w:lang w:val="es-ES_tradnl"/>
        </w:rPr>
        <w:t xml:space="preserve"> deja</w:t>
      </w:r>
      <w:r w:rsidRPr="00095478">
        <w:rPr>
          <w:rFonts w:asciiTheme="majorHAnsi" w:hAnsiTheme="majorHAnsi"/>
          <w:color w:val="auto"/>
          <w:sz w:val="20"/>
          <w:szCs w:val="20"/>
          <w:lang w:val="es-ES_tradnl"/>
        </w:rPr>
        <w:t xml:space="preserve"> en evidencia que </w:t>
      </w:r>
      <w:r w:rsidR="000C1619">
        <w:rPr>
          <w:rFonts w:asciiTheme="majorHAnsi" w:hAnsiTheme="majorHAnsi"/>
          <w:color w:val="auto"/>
          <w:sz w:val="20"/>
          <w:szCs w:val="20"/>
          <w:lang w:val="es-ES_tradnl"/>
        </w:rPr>
        <w:t xml:space="preserve">el </w:t>
      </w:r>
      <w:r w:rsidRPr="00095478">
        <w:rPr>
          <w:rFonts w:asciiTheme="majorHAnsi" w:hAnsiTheme="majorHAnsi"/>
          <w:color w:val="auto"/>
          <w:sz w:val="20"/>
          <w:szCs w:val="20"/>
          <w:lang w:val="es-ES_tradnl"/>
        </w:rPr>
        <w:t xml:space="preserve">recurso </w:t>
      </w:r>
      <w:r w:rsidR="000C1619">
        <w:rPr>
          <w:rFonts w:asciiTheme="majorHAnsi" w:hAnsiTheme="majorHAnsi"/>
          <w:color w:val="auto"/>
          <w:sz w:val="20"/>
          <w:szCs w:val="20"/>
          <w:lang w:val="es-ES_tradnl"/>
        </w:rPr>
        <w:t xml:space="preserve">no intentado podría </w:t>
      </w:r>
      <w:r w:rsidRPr="00095478">
        <w:rPr>
          <w:rFonts w:asciiTheme="majorHAnsi" w:hAnsiTheme="majorHAnsi"/>
          <w:color w:val="auto"/>
          <w:sz w:val="20"/>
          <w:szCs w:val="20"/>
          <w:lang w:val="es-ES_tradnl"/>
        </w:rPr>
        <w:t xml:space="preserve">haber sido efectivo para que sus pretensiones fueran confirmadas. </w:t>
      </w:r>
      <w:r w:rsidR="003D3C7A" w:rsidRPr="00095478">
        <w:rPr>
          <w:rFonts w:asciiTheme="majorHAnsi" w:hAnsiTheme="majorHAnsi"/>
          <w:color w:val="auto"/>
          <w:sz w:val="20"/>
          <w:szCs w:val="20"/>
          <w:lang w:val="es-ES_tradnl"/>
        </w:rPr>
        <w:t xml:space="preserve">Agrega que las presuntas víctimas tampoco ejercieron su derecho a la contestación de los recursos de apelación restringida sido presentados por las partes acusadoras; </w:t>
      </w:r>
      <w:r w:rsidR="000C1619">
        <w:rPr>
          <w:rFonts w:asciiTheme="majorHAnsi" w:hAnsiTheme="majorHAnsi"/>
          <w:color w:val="auto"/>
          <w:sz w:val="20"/>
          <w:szCs w:val="20"/>
          <w:lang w:val="es-ES_tradnl"/>
        </w:rPr>
        <w:t xml:space="preserve">por lo tanto, </w:t>
      </w:r>
      <w:r w:rsidR="003D3C7A" w:rsidRPr="00095478">
        <w:rPr>
          <w:rFonts w:asciiTheme="majorHAnsi" w:hAnsiTheme="majorHAnsi"/>
          <w:color w:val="auto"/>
          <w:sz w:val="20"/>
          <w:szCs w:val="20"/>
          <w:lang w:val="es-ES_tradnl"/>
        </w:rPr>
        <w:t xml:space="preserve">el </w:t>
      </w:r>
      <w:r w:rsidR="000C1619">
        <w:rPr>
          <w:rFonts w:asciiTheme="majorHAnsi" w:hAnsiTheme="majorHAnsi"/>
          <w:color w:val="auto"/>
          <w:sz w:val="20"/>
          <w:szCs w:val="20"/>
          <w:lang w:val="es-ES_tradnl"/>
        </w:rPr>
        <w:t xml:space="preserve">hecho </w:t>
      </w:r>
      <w:r w:rsidR="003D3C7A" w:rsidRPr="00095478">
        <w:rPr>
          <w:rFonts w:asciiTheme="majorHAnsi" w:hAnsiTheme="majorHAnsi"/>
          <w:color w:val="auto"/>
          <w:sz w:val="20"/>
          <w:szCs w:val="20"/>
          <w:lang w:val="es-ES_tradnl"/>
        </w:rPr>
        <w:t xml:space="preserve">que </w:t>
      </w:r>
      <w:r w:rsidR="000C1619">
        <w:rPr>
          <w:rFonts w:asciiTheme="majorHAnsi" w:hAnsiTheme="majorHAnsi"/>
          <w:color w:val="auto"/>
          <w:sz w:val="20"/>
          <w:szCs w:val="20"/>
          <w:lang w:val="es-ES_tradnl"/>
        </w:rPr>
        <w:t>la</w:t>
      </w:r>
      <w:r w:rsidR="003D3C7A" w:rsidRPr="00095478">
        <w:rPr>
          <w:rFonts w:asciiTheme="majorHAnsi" w:hAnsiTheme="majorHAnsi"/>
          <w:color w:val="auto"/>
          <w:sz w:val="20"/>
          <w:szCs w:val="20"/>
          <w:lang w:val="es-ES_tradnl"/>
        </w:rPr>
        <w:t xml:space="preserve"> sentencia que al principio les </w:t>
      </w:r>
      <w:r w:rsidR="000C1619">
        <w:rPr>
          <w:rFonts w:asciiTheme="majorHAnsi" w:hAnsiTheme="majorHAnsi"/>
          <w:color w:val="auto"/>
          <w:sz w:val="20"/>
          <w:szCs w:val="20"/>
          <w:lang w:val="es-ES_tradnl"/>
        </w:rPr>
        <w:t xml:space="preserve">había sido </w:t>
      </w:r>
      <w:r w:rsidR="003D3C7A" w:rsidRPr="00095478">
        <w:rPr>
          <w:rFonts w:asciiTheme="majorHAnsi" w:hAnsiTheme="majorHAnsi"/>
          <w:color w:val="auto"/>
          <w:sz w:val="20"/>
          <w:szCs w:val="20"/>
          <w:lang w:val="es-ES_tradnl"/>
        </w:rPr>
        <w:t>favorable se conv</w:t>
      </w:r>
      <w:r w:rsidR="000C1619">
        <w:rPr>
          <w:rFonts w:asciiTheme="majorHAnsi" w:hAnsiTheme="majorHAnsi"/>
          <w:color w:val="auto"/>
          <w:sz w:val="20"/>
          <w:szCs w:val="20"/>
          <w:lang w:val="es-ES_tradnl"/>
        </w:rPr>
        <w:t xml:space="preserve">irtiera en contraria a sus intereses </w:t>
      </w:r>
      <w:r w:rsidR="003D3C7A" w:rsidRPr="00095478">
        <w:rPr>
          <w:rFonts w:asciiTheme="majorHAnsi" w:hAnsiTheme="majorHAnsi"/>
          <w:color w:val="auto"/>
          <w:sz w:val="20"/>
          <w:szCs w:val="20"/>
          <w:lang w:val="es-ES_tradnl"/>
        </w:rPr>
        <w:t>no es atribuible al Estado</w:t>
      </w:r>
      <w:r w:rsidR="00D26444" w:rsidRPr="00095478">
        <w:rPr>
          <w:rFonts w:asciiTheme="majorHAnsi" w:hAnsiTheme="majorHAnsi"/>
          <w:color w:val="auto"/>
          <w:sz w:val="20"/>
          <w:szCs w:val="20"/>
          <w:lang w:val="es-ES_tradnl"/>
        </w:rPr>
        <w:t>,</w:t>
      </w:r>
      <w:r w:rsidR="003D3C7A" w:rsidRPr="00095478">
        <w:rPr>
          <w:rFonts w:asciiTheme="majorHAnsi" w:hAnsiTheme="majorHAnsi"/>
          <w:color w:val="auto"/>
          <w:sz w:val="20"/>
          <w:szCs w:val="20"/>
          <w:lang w:val="es-ES_tradnl"/>
        </w:rPr>
        <w:t xml:space="preserve"> sino a la falta de previsión de su defensa. </w:t>
      </w:r>
    </w:p>
    <w:p w14:paraId="6DD30F71" w14:textId="77777777" w:rsid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651D0DF7" w14:textId="4FAAFDAF" w:rsidR="00D82FB9" w:rsidRPr="00095478" w:rsidRDefault="003D3C7A"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olor w:val="auto"/>
          <w:sz w:val="20"/>
          <w:szCs w:val="20"/>
          <w:lang w:val="es-ES_tradnl"/>
        </w:rPr>
        <w:t>Señala además que las presuntas víctimas no interpusieron el incidente por actividad procesal defectuosa contra la sentencia que supuestamente les habría condenado sin la debida fundamentación. Explica que este incidente era procedente</w:t>
      </w:r>
      <w:r w:rsidR="000C1619">
        <w:rPr>
          <w:rFonts w:asciiTheme="majorHAnsi" w:hAnsiTheme="majorHAnsi"/>
          <w:color w:val="auto"/>
          <w:sz w:val="20"/>
          <w:szCs w:val="20"/>
          <w:lang w:val="es-ES_tradnl"/>
        </w:rPr>
        <w:t>,</w:t>
      </w:r>
      <w:r w:rsidRPr="00095478">
        <w:rPr>
          <w:rFonts w:asciiTheme="majorHAnsi" w:hAnsiTheme="majorHAnsi"/>
          <w:color w:val="auto"/>
          <w:sz w:val="20"/>
          <w:szCs w:val="20"/>
          <w:lang w:val="es-ES_tradnl"/>
        </w:rPr>
        <w:t xml:space="preserve"> puesto que la jurisprudencia de la</w:t>
      </w:r>
      <w:r w:rsidR="00731BB4" w:rsidRPr="00095478">
        <w:rPr>
          <w:rFonts w:asciiTheme="majorHAnsi" w:hAnsiTheme="majorHAnsi"/>
          <w:color w:val="auto"/>
          <w:sz w:val="20"/>
          <w:szCs w:val="20"/>
          <w:lang w:val="es-ES_tradnl"/>
        </w:rPr>
        <w:t xml:space="preserve"> Corte Suprema de Justicia había previamente</w:t>
      </w:r>
      <w:r w:rsidRPr="00095478">
        <w:rPr>
          <w:rFonts w:asciiTheme="majorHAnsi" w:hAnsiTheme="majorHAnsi"/>
          <w:color w:val="auto"/>
          <w:sz w:val="20"/>
          <w:szCs w:val="20"/>
          <w:lang w:val="es-ES_tradnl"/>
        </w:rPr>
        <w:t xml:space="preserve"> reconocido</w:t>
      </w:r>
      <w:r w:rsidR="00731BB4" w:rsidRPr="00095478">
        <w:rPr>
          <w:rFonts w:asciiTheme="majorHAnsi" w:hAnsiTheme="majorHAnsi"/>
          <w:color w:val="auto"/>
          <w:sz w:val="20"/>
          <w:szCs w:val="20"/>
          <w:lang w:val="es-ES_tradnl"/>
        </w:rPr>
        <w:t xml:space="preserve"> que</w:t>
      </w:r>
      <w:r w:rsidRPr="00095478">
        <w:rPr>
          <w:rFonts w:asciiTheme="majorHAnsi" w:hAnsiTheme="majorHAnsi"/>
          <w:color w:val="auto"/>
          <w:sz w:val="20"/>
          <w:szCs w:val="20"/>
          <w:lang w:val="es-ES_tradnl"/>
        </w:rPr>
        <w:t xml:space="preserve"> el incumplimiento del deber de fundamentar una resolución constituye </w:t>
      </w:r>
      <w:r w:rsidR="000C1619">
        <w:rPr>
          <w:rFonts w:asciiTheme="majorHAnsi" w:hAnsiTheme="majorHAnsi"/>
          <w:color w:val="auto"/>
          <w:sz w:val="20"/>
          <w:szCs w:val="20"/>
          <w:lang w:val="es-ES_tradnl"/>
        </w:rPr>
        <w:t xml:space="preserve">un </w:t>
      </w:r>
      <w:r w:rsidRPr="00095478">
        <w:rPr>
          <w:rFonts w:asciiTheme="majorHAnsi" w:hAnsiTheme="majorHAnsi"/>
          <w:color w:val="auto"/>
          <w:sz w:val="20"/>
          <w:szCs w:val="20"/>
          <w:lang w:val="es-ES_tradnl"/>
        </w:rPr>
        <w:t xml:space="preserve">defecto absoluto. Por esta razón, argumenta que </w:t>
      </w:r>
      <w:r w:rsidR="000C1619">
        <w:rPr>
          <w:rFonts w:asciiTheme="majorHAnsi" w:hAnsiTheme="majorHAnsi"/>
          <w:color w:val="auto"/>
          <w:sz w:val="20"/>
          <w:szCs w:val="20"/>
          <w:lang w:val="es-ES_tradnl"/>
        </w:rPr>
        <w:t xml:space="preserve">en virtud de esta omisión </w:t>
      </w:r>
      <w:r w:rsidRPr="00095478">
        <w:rPr>
          <w:rFonts w:asciiTheme="majorHAnsi" w:hAnsiTheme="majorHAnsi"/>
          <w:color w:val="auto"/>
          <w:sz w:val="20"/>
          <w:szCs w:val="20"/>
          <w:lang w:val="es-ES_tradnl"/>
        </w:rPr>
        <w:t xml:space="preserve">las presuntas víctimas convalidaron la supuesta violación de sus derechos </w:t>
      </w:r>
      <w:r w:rsidR="000A0245" w:rsidRPr="00095478">
        <w:rPr>
          <w:rFonts w:asciiTheme="majorHAnsi" w:hAnsiTheme="majorHAnsi"/>
          <w:color w:val="auto"/>
          <w:sz w:val="20"/>
          <w:szCs w:val="20"/>
          <w:lang w:val="es-ES_tradnl"/>
        </w:rPr>
        <w:t xml:space="preserve">que habría llevado a su condena. </w:t>
      </w:r>
      <w:r w:rsidR="000C1619">
        <w:rPr>
          <w:rFonts w:asciiTheme="majorHAnsi" w:hAnsiTheme="majorHAnsi"/>
          <w:color w:val="auto"/>
          <w:sz w:val="20"/>
          <w:szCs w:val="20"/>
          <w:lang w:val="es-ES_tradnl"/>
        </w:rPr>
        <w:t>El Estado a</w:t>
      </w:r>
      <w:r w:rsidR="000A0245" w:rsidRPr="00095478">
        <w:rPr>
          <w:rFonts w:asciiTheme="majorHAnsi" w:hAnsiTheme="majorHAnsi"/>
          <w:color w:val="auto"/>
          <w:sz w:val="20"/>
          <w:szCs w:val="20"/>
          <w:lang w:val="es-ES_tradnl"/>
        </w:rPr>
        <w:t>ñade que, toda vez que las presuntas víctimas alegan que la decisión condena</w:t>
      </w:r>
      <w:r w:rsidR="0051697C">
        <w:rPr>
          <w:rFonts w:asciiTheme="majorHAnsi" w:hAnsiTheme="majorHAnsi"/>
          <w:color w:val="auto"/>
          <w:sz w:val="20"/>
          <w:szCs w:val="20"/>
          <w:lang w:val="es-ES_tradnl"/>
        </w:rPr>
        <w:t xml:space="preserve">toria </w:t>
      </w:r>
      <w:r w:rsidR="000A0245" w:rsidRPr="00095478">
        <w:rPr>
          <w:rFonts w:asciiTheme="majorHAnsi" w:hAnsiTheme="majorHAnsi"/>
          <w:color w:val="auto"/>
          <w:sz w:val="20"/>
          <w:szCs w:val="20"/>
          <w:lang w:val="es-ES_tradnl"/>
        </w:rPr>
        <w:t>fue contraria a precedentes jurisprudenciales aplicables, podían haber presentado el recurso de revisión extraordinaria de sentencia</w:t>
      </w:r>
      <w:r w:rsidR="0051697C">
        <w:rPr>
          <w:rFonts w:asciiTheme="majorHAnsi" w:hAnsiTheme="majorHAnsi"/>
          <w:color w:val="auto"/>
          <w:sz w:val="20"/>
          <w:szCs w:val="20"/>
          <w:lang w:val="es-ES_tradnl"/>
        </w:rPr>
        <w:t>.</w:t>
      </w:r>
      <w:r w:rsidR="000A0245" w:rsidRPr="00095478">
        <w:rPr>
          <w:rFonts w:asciiTheme="majorHAnsi" w:hAnsiTheme="majorHAnsi"/>
          <w:color w:val="auto"/>
          <w:sz w:val="20"/>
          <w:szCs w:val="20"/>
          <w:lang w:val="es-ES_tradnl"/>
        </w:rPr>
        <w:t xml:space="preserve"> </w:t>
      </w:r>
      <w:r w:rsidR="0051697C">
        <w:rPr>
          <w:rFonts w:asciiTheme="majorHAnsi" w:hAnsiTheme="majorHAnsi"/>
          <w:color w:val="auto"/>
          <w:sz w:val="20"/>
          <w:szCs w:val="20"/>
          <w:lang w:val="es-ES_tradnl"/>
        </w:rPr>
        <w:t xml:space="preserve">Señala al respecto </w:t>
      </w:r>
      <w:r w:rsidR="000A0245" w:rsidRPr="00095478">
        <w:rPr>
          <w:rFonts w:asciiTheme="majorHAnsi" w:hAnsiTheme="majorHAnsi"/>
          <w:color w:val="auto"/>
          <w:sz w:val="20"/>
          <w:szCs w:val="20"/>
          <w:lang w:val="es-ES_tradnl"/>
        </w:rPr>
        <w:t xml:space="preserve">que el artículo 421 del Código Procesal Penal establece que </w:t>
      </w:r>
      <w:r w:rsidR="0051697C">
        <w:rPr>
          <w:rFonts w:asciiTheme="majorHAnsi" w:hAnsiTheme="majorHAnsi"/>
          <w:color w:val="auto"/>
          <w:sz w:val="20"/>
          <w:szCs w:val="20"/>
          <w:lang w:val="es-ES_tradnl"/>
        </w:rPr>
        <w:t xml:space="preserve">dicho recurso </w:t>
      </w:r>
      <w:r w:rsidR="000A0245" w:rsidRPr="00095478">
        <w:rPr>
          <w:rFonts w:asciiTheme="majorHAnsi" w:hAnsiTheme="majorHAnsi"/>
          <w:color w:val="auto"/>
          <w:sz w:val="20"/>
          <w:szCs w:val="20"/>
          <w:lang w:val="es-ES_tradnl"/>
        </w:rPr>
        <w:t xml:space="preserve">procede </w:t>
      </w:r>
      <w:r w:rsidR="000A0245" w:rsidRPr="0051697C">
        <w:rPr>
          <w:rFonts w:asciiTheme="majorHAnsi" w:hAnsiTheme="majorHAnsi"/>
          <w:color w:val="auto"/>
          <w:sz w:val="20"/>
          <w:szCs w:val="20"/>
          <w:lang w:val="es-ES_tradnl"/>
        </w:rPr>
        <w:t xml:space="preserve">“cuando los hechos tenidos como fundamento de la sentencia resulten incompatibles con los establecidos por otra </w:t>
      </w:r>
      <w:r w:rsidR="0051697C">
        <w:rPr>
          <w:rFonts w:asciiTheme="majorHAnsi" w:hAnsiTheme="majorHAnsi"/>
          <w:color w:val="auto"/>
          <w:sz w:val="20"/>
          <w:szCs w:val="20"/>
          <w:lang w:val="es-ES_tradnl"/>
        </w:rPr>
        <w:t>s</w:t>
      </w:r>
      <w:r w:rsidR="000A0245" w:rsidRPr="0051697C">
        <w:rPr>
          <w:rFonts w:asciiTheme="majorHAnsi" w:hAnsiTheme="majorHAnsi"/>
          <w:color w:val="auto"/>
          <w:sz w:val="20"/>
          <w:szCs w:val="20"/>
          <w:lang w:val="es-ES_tradnl"/>
        </w:rPr>
        <w:t>entencia penal ejecutoriada”.</w:t>
      </w:r>
      <w:r w:rsidR="000A0245" w:rsidRPr="00095478">
        <w:rPr>
          <w:rFonts w:asciiTheme="majorHAnsi" w:hAnsiTheme="majorHAnsi"/>
          <w:color w:val="auto"/>
          <w:sz w:val="20"/>
          <w:szCs w:val="20"/>
          <w:lang w:val="es-ES_tradnl"/>
        </w:rPr>
        <w:t xml:space="preserve"> Resalta qu</w:t>
      </w:r>
      <w:r w:rsidR="00B6326C" w:rsidRPr="00095478">
        <w:rPr>
          <w:rFonts w:asciiTheme="majorHAnsi" w:hAnsiTheme="majorHAnsi"/>
          <w:color w:val="auto"/>
          <w:sz w:val="20"/>
          <w:szCs w:val="20"/>
          <w:lang w:val="es-ES_tradnl"/>
        </w:rPr>
        <w:t>e e</w:t>
      </w:r>
      <w:r w:rsidR="0051697C">
        <w:rPr>
          <w:rFonts w:asciiTheme="majorHAnsi" w:hAnsiTheme="majorHAnsi"/>
          <w:color w:val="auto"/>
          <w:sz w:val="20"/>
          <w:szCs w:val="20"/>
          <w:lang w:val="es-ES_tradnl"/>
        </w:rPr>
        <w:t>l</w:t>
      </w:r>
      <w:r w:rsidR="00B6326C" w:rsidRPr="00095478">
        <w:rPr>
          <w:rFonts w:asciiTheme="majorHAnsi" w:hAnsiTheme="majorHAnsi"/>
          <w:color w:val="auto"/>
          <w:sz w:val="20"/>
          <w:szCs w:val="20"/>
          <w:lang w:val="es-ES_tradnl"/>
        </w:rPr>
        <w:t xml:space="preserve"> recurso permite la revisión de una condena ejecutoriada, por lo que resulta procedente independientemente de que las presuntas víctimas aleguen que fueron condenados sin sentencia. </w:t>
      </w:r>
    </w:p>
    <w:p w14:paraId="23CA0E55" w14:textId="77777777" w:rsid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1D3418B8" w14:textId="55045F54" w:rsidR="00C0709E" w:rsidRPr="00095478" w:rsidRDefault="00D82FB9"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olor w:val="auto"/>
          <w:sz w:val="20"/>
          <w:szCs w:val="20"/>
          <w:lang w:val="es-ES_tradnl"/>
        </w:rPr>
        <w:t>Adicionalmente</w:t>
      </w:r>
      <w:r w:rsidR="00C0709E" w:rsidRPr="00095478">
        <w:rPr>
          <w:rFonts w:asciiTheme="majorHAnsi" w:hAnsiTheme="majorHAnsi"/>
          <w:color w:val="auto"/>
          <w:sz w:val="20"/>
          <w:szCs w:val="20"/>
          <w:lang w:val="es-ES_tradnl"/>
        </w:rPr>
        <w:t>,</w:t>
      </w:r>
      <w:r w:rsidRPr="00095478">
        <w:rPr>
          <w:rFonts w:asciiTheme="majorHAnsi" w:hAnsiTheme="majorHAnsi"/>
          <w:color w:val="auto"/>
          <w:sz w:val="20"/>
          <w:szCs w:val="20"/>
          <w:lang w:val="es-ES_tradnl"/>
        </w:rPr>
        <w:t xml:space="preserve"> </w:t>
      </w:r>
      <w:r w:rsidR="0051697C">
        <w:rPr>
          <w:rFonts w:asciiTheme="majorHAnsi" w:hAnsiTheme="majorHAnsi"/>
          <w:color w:val="auto"/>
          <w:sz w:val="20"/>
          <w:szCs w:val="20"/>
          <w:lang w:val="es-ES_tradnl"/>
        </w:rPr>
        <w:t xml:space="preserve">el Estado </w:t>
      </w:r>
      <w:r w:rsidRPr="00095478">
        <w:rPr>
          <w:rFonts w:asciiTheme="majorHAnsi" w:hAnsiTheme="majorHAnsi"/>
          <w:color w:val="auto"/>
          <w:sz w:val="20"/>
          <w:szCs w:val="20"/>
          <w:lang w:val="es-ES_tradnl"/>
        </w:rPr>
        <w:t xml:space="preserve">argumenta </w:t>
      </w:r>
      <w:proofErr w:type="gramStart"/>
      <w:r w:rsidRPr="00095478">
        <w:rPr>
          <w:rFonts w:asciiTheme="majorHAnsi" w:hAnsiTheme="majorHAnsi"/>
          <w:color w:val="auto"/>
          <w:sz w:val="20"/>
          <w:szCs w:val="20"/>
          <w:lang w:val="es-ES_tradnl"/>
        </w:rPr>
        <w:t>que</w:t>
      </w:r>
      <w:proofErr w:type="gramEnd"/>
      <w:r w:rsidRPr="00095478">
        <w:rPr>
          <w:rFonts w:asciiTheme="majorHAnsi" w:hAnsiTheme="majorHAnsi"/>
          <w:color w:val="auto"/>
          <w:sz w:val="20"/>
          <w:szCs w:val="20"/>
          <w:lang w:val="es-ES_tradnl"/>
        </w:rPr>
        <w:t xml:space="preserve"> si las presuntas víctimas consideraban que su libertad se encontraba en riesgo inminente, debieron solicitar la suspensión condicional de la pena</w:t>
      </w:r>
      <w:r w:rsidR="0051697C">
        <w:rPr>
          <w:rFonts w:asciiTheme="majorHAnsi" w:hAnsiTheme="majorHAnsi"/>
          <w:color w:val="auto"/>
          <w:sz w:val="20"/>
          <w:szCs w:val="20"/>
          <w:lang w:val="es-ES_tradnl"/>
        </w:rPr>
        <w:t>.</w:t>
      </w:r>
      <w:r w:rsidRPr="00095478">
        <w:rPr>
          <w:rFonts w:asciiTheme="majorHAnsi" w:hAnsiTheme="majorHAnsi"/>
          <w:color w:val="auto"/>
          <w:sz w:val="20"/>
          <w:szCs w:val="20"/>
          <w:lang w:val="es-ES_tradnl"/>
        </w:rPr>
        <w:t xml:space="preserve"> </w:t>
      </w:r>
      <w:r w:rsidR="0051697C">
        <w:rPr>
          <w:rFonts w:asciiTheme="majorHAnsi" w:hAnsiTheme="majorHAnsi"/>
          <w:color w:val="auto"/>
          <w:sz w:val="20"/>
          <w:szCs w:val="20"/>
          <w:lang w:val="es-ES_tradnl"/>
        </w:rPr>
        <w:t xml:space="preserve">Esta </w:t>
      </w:r>
      <w:r w:rsidRPr="00095478">
        <w:rPr>
          <w:rFonts w:asciiTheme="majorHAnsi" w:hAnsiTheme="majorHAnsi"/>
          <w:color w:val="auto"/>
          <w:sz w:val="20"/>
          <w:szCs w:val="20"/>
          <w:lang w:val="es-ES_tradnl"/>
        </w:rPr>
        <w:t xml:space="preserve">suspensión </w:t>
      </w:r>
      <w:r w:rsidR="0051697C">
        <w:rPr>
          <w:rFonts w:asciiTheme="majorHAnsi" w:hAnsiTheme="majorHAnsi"/>
          <w:color w:val="auto"/>
          <w:sz w:val="20"/>
          <w:szCs w:val="20"/>
          <w:lang w:val="es-ES_tradnl"/>
        </w:rPr>
        <w:t xml:space="preserve">era </w:t>
      </w:r>
      <w:r w:rsidRPr="00095478">
        <w:rPr>
          <w:rFonts w:asciiTheme="majorHAnsi" w:hAnsiTheme="majorHAnsi"/>
          <w:color w:val="auto"/>
          <w:sz w:val="20"/>
          <w:szCs w:val="20"/>
          <w:lang w:val="es-ES_tradnl"/>
        </w:rPr>
        <w:t>viable para el caso de las presuntas víctimas</w:t>
      </w:r>
      <w:r w:rsidR="0051697C">
        <w:rPr>
          <w:rFonts w:asciiTheme="majorHAnsi" w:hAnsiTheme="majorHAnsi"/>
          <w:color w:val="auto"/>
          <w:sz w:val="20"/>
          <w:szCs w:val="20"/>
          <w:lang w:val="es-ES_tradnl"/>
        </w:rPr>
        <w:t>, ya que</w:t>
      </w:r>
      <w:r w:rsidRPr="00095478">
        <w:rPr>
          <w:rFonts w:asciiTheme="majorHAnsi" w:hAnsiTheme="majorHAnsi"/>
          <w:color w:val="auto"/>
          <w:sz w:val="20"/>
          <w:szCs w:val="20"/>
          <w:lang w:val="es-ES_tradnl"/>
        </w:rPr>
        <w:t xml:space="preserve"> </w:t>
      </w:r>
      <w:r w:rsidR="0051697C">
        <w:rPr>
          <w:rFonts w:asciiTheme="majorHAnsi" w:hAnsiTheme="majorHAnsi"/>
          <w:color w:val="auto"/>
          <w:sz w:val="20"/>
          <w:szCs w:val="20"/>
          <w:lang w:val="es-ES_tradnl"/>
        </w:rPr>
        <w:t xml:space="preserve">cumplían </w:t>
      </w:r>
      <w:r w:rsidRPr="00095478">
        <w:rPr>
          <w:rFonts w:asciiTheme="majorHAnsi" w:hAnsiTheme="majorHAnsi"/>
          <w:color w:val="auto"/>
          <w:sz w:val="20"/>
          <w:szCs w:val="20"/>
          <w:lang w:val="es-ES_tradnl"/>
        </w:rPr>
        <w:t xml:space="preserve">los requisitos previstos en </w:t>
      </w:r>
      <w:r w:rsidR="0051697C">
        <w:rPr>
          <w:rFonts w:asciiTheme="majorHAnsi" w:hAnsiTheme="majorHAnsi"/>
          <w:color w:val="auto"/>
          <w:sz w:val="20"/>
          <w:szCs w:val="20"/>
          <w:lang w:val="es-ES_tradnl"/>
        </w:rPr>
        <w:t xml:space="preserve">la </w:t>
      </w:r>
      <w:r w:rsidRPr="00095478">
        <w:rPr>
          <w:rFonts w:asciiTheme="majorHAnsi" w:hAnsiTheme="majorHAnsi"/>
          <w:color w:val="auto"/>
          <w:sz w:val="20"/>
          <w:szCs w:val="20"/>
          <w:lang w:val="es-ES_tradnl"/>
        </w:rPr>
        <w:t>ley</w:t>
      </w:r>
      <w:r w:rsidR="0051697C">
        <w:rPr>
          <w:rFonts w:asciiTheme="majorHAnsi" w:hAnsiTheme="majorHAnsi"/>
          <w:color w:val="auto"/>
          <w:sz w:val="20"/>
          <w:szCs w:val="20"/>
          <w:lang w:val="es-ES_tradnl"/>
        </w:rPr>
        <w:t>:</w:t>
      </w:r>
      <w:r w:rsidRPr="00095478">
        <w:rPr>
          <w:rFonts w:asciiTheme="majorHAnsi" w:hAnsiTheme="majorHAnsi"/>
          <w:color w:val="auto"/>
          <w:sz w:val="20"/>
          <w:szCs w:val="20"/>
          <w:lang w:val="es-ES_tradnl"/>
        </w:rPr>
        <w:t xml:space="preserve"> que la pena privativa de libertad impuesta no exced</w:t>
      </w:r>
      <w:r w:rsidR="0051697C">
        <w:rPr>
          <w:rFonts w:asciiTheme="majorHAnsi" w:hAnsiTheme="majorHAnsi"/>
          <w:color w:val="auto"/>
          <w:sz w:val="20"/>
          <w:szCs w:val="20"/>
          <w:lang w:val="es-ES_tradnl"/>
        </w:rPr>
        <w:t>ier</w:t>
      </w:r>
      <w:r w:rsidRPr="00095478">
        <w:rPr>
          <w:rFonts w:asciiTheme="majorHAnsi" w:hAnsiTheme="majorHAnsi"/>
          <w:color w:val="auto"/>
          <w:sz w:val="20"/>
          <w:szCs w:val="20"/>
          <w:lang w:val="es-ES_tradnl"/>
        </w:rPr>
        <w:t xml:space="preserve">a de </w:t>
      </w:r>
      <w:r w:rsidR="00C0709E" w:rsidRPr="00095478">
        <w:rPr>
          <w:rFonts w:asciiTheme="majorHAnsi" w:hAnsiTheme="majorHAnsi"/>
          <w:color w:val="auto"/>
          <w:sz w:val="20"/>
          <w:szCs w:val="20"/>
          <w:lang w:val="es-ES_tradnl"/>
        </w:rPr>
        <w:t>tres</w:t>
      </w:r>
      <w:r w:rsidRPr="00095478">
        <w:rPr>
          <w:rFonts w:asciiTheme="majorHAnsi" w:hAnsiTheme="majorHAnsi"/>
          <w:color w:val="auto"/>
          <w:sz w:val="20"/>
          <w:szCs w:val="20"/>
          <w:lang w:val="es-ES_tradnl"/>
        </w:rPr>
        <w:t xml:space="preserve"> años</w:t>
      </w:r>
      <w:r w:rsidR="0051697C">
        <w:rPr>
          <w:rFonts w:asciiTheme="majorHAnsi" w:hAnsiTheme="majorHAnsi"/>
          <w:color w:val="auto"/>
          <w:sz w:val="20"/>
          <w:szCs w:val="20"/>
          <w:lang w:val="es-ES_tradnl"/>
        </w:rPr>
        <w:t>,</w:t>
      </w:r>
      <w:r w:rsidRPr="00095478">
        <w:rPr>
          <w:rFonts w:asciiTheme="majorHAnsi" w:hAnsiTheme="majorHAnsi"/>
          <w:color w:val="auto"/>
          <w:sz w:val="20"/>
          <w:szCs w:val="20"/>
          <w:lang w:val="es-ES_tradnl"/>
        </w:rPr>
        <w:t xml:space="preserve"> y que no hubiesen sido condenados anteriormente por delito doloso</w:t>
      </w:r>
      <w:r w:rsidR="00731BB4" w:rsidRPr="00095478">
        <w:rPr>
          <w:rFonts w:asciiTheme="majorHAnsi" w:hAnsiTheme="majorHAnsi"/>
          <w:color w:val="auto"/>
          <w:sz w:val="20"/>
          <w:szCs w:val="20"/>
          <w:lang w:val="es-ES_tradnl"/>
        </w:rPr>
        <w:t xml:space="preserve">. </w:t>
      </w:r>
      <w:r w:rsidR="00584C98" w:rsidRPr="00095478">
        <w:rPr>
          <w:rFonts w:asciiTheme="majorHAnsi" w:hAnsiTheme="majorHAnsi"/>
          <w:color w:val="auto"/>
          <w:sz w:val="20"/>
          <w:szCs w:val="20"/>
          <w:lang w:val="es-ES_tradnl"/>
        </w:rPr>
        <w:t xml:space="preserve"> </w:t>
      </w:r>
    </w:p>
    <w:p w14:paraId="72F8B6F6" w14:textId="77777777" w:rsid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76F25023" w14:textId="19948D2D" w:rsidR="00973410" w:rsidRPr="00095478" w:rsidRDefault="00584C98"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olor w:val="auto"/>
          <w:sz w:val="20"/>
          <w:szCs w:val="20"/>
          <w:lang w:val="es-ES_tradnl"/>
        </w:rPr>
        <w:t xml:space="preserve">También alega que las presuntas víctimas agotaron indebidamente los recursos de casación y de amparo constitucional. En el caso de la casación, señala que el recurso fue presentado sin cumplir unos de los requisitos exigidos por la ley para su admisibilidad, </w:t>
      </w:r>
      <w:r w:rsidR="0051697C">
        <w:rPr>
          <w:rFonts w:asciiTheme="majorHAnsi" w:hAnsiTheme="majorHAnsi"/>
          <w:color w:val="auto"/>
          <w:sz w:val="20"/>
          <w:szCs w:val="20"/>
          <w:lang w:val="es-ES_tradnl"/>
        </w:rPr>
        <w:t xml:space="preserve">que es </w:t>
      </w:r>
      <w:r w:rsidRPr="00095478">
        <w:rPr>
          <w:rFonts w:asciiTheme="majorHAnsi" w:hAnsiTheme="majorHAnsi"/>
          <w:color w:val="auto"/>
          <w:sz w:val="20"/>
          <w:szCs w:val="20"/>
          <w:lang w:val="es-ES_tradnl"/>
        </w:rPr>
        <w:t>la invocación de precedentes con respecto a los cuales el auto recurrido estuviera en contradicción. R</w:t>
      </w:r>
      <w:r w:rsidR="00A42EA4" w:rsidRPr="00095478">
        <w:rPr>
          <w:rFonts w:asciiTheme="majorHAnsi" w:hAnsiTheme="majorHAnsi"/>
          <w:color w:val="auto"/>
          <w:sz w:val="20"/>
          <w:szCs w:val="20"/>
          <w:lang w:val="es-ES_tradnl"/>
        </w:rPr>
        <w:t>esalta que la Corte Suprema inadmitió el recurso de casación de las presuntas</w:t>
      </w:r>
      <w:r w:rsidR="0051697C">
        <w:rPr>
          <w:rFonts w:asciiTheme="majorHAnsi" w:hAnsiTheme="majorHAnsi"/>
          <w:color w:val="auto"/>
          <w:sz w:val="20"/>
          <w:szCs w:val="20"/>
          <w:lang w:val="es-ES_tradnl"/>
        </w:rPr>
        <w:t xml:space="preserve"> víctimas</w:t>
      </w:r>
      <w:r w:rsidR="00A42EA4" w:rsidRPr="00095478">
        <w:rPr>
          <w:rFonts w:asciiTheme="majorHAnsi" w:hAnsiTheme="majorHAnsi"/>
          <w:color w:val="auto"/>
          <w:sz w:val="20"/>
          <w:szCs w:val="20"/>
          <w:lang w:val="es-ES_tradnl"/>
        </w:rPr>
        <w:t xml:space="preserve"> tras concluir que los precedentes supuestamente contradictorios que habían sido invocados no guardaban relación con el auto impugnado. </w:t>
      </w:r>
      <w:r w:rsidR="00A17F17" w:rsidRPr="00095478">
        <w:rPr>
          <w:rFonts w:asciiTheme="majorHAnsi" w:hAnsiTheme="majorHAnsi"/>
          <w:color w:val="auto"/>
          <w:sz w:val="20"/>
          <w:szCs w:val="20"/>
          <w:lang w:val="es-ES_tradnl"/>
        </w:rPr>
        <w:t xml:space="preserve">Por estas razones, asevera que fue la </w:t>
      </w:r>
      <w:r w:rsidR="00277361" w:rsidRPr="00095478">
        <w:rPr>
          <w:rFonts w:asciiTheme="majorHAnsi" w:hAnsiTheme="majorHAnsi"/>
          <w:color w:val="auto"/>
          <w:sz w:val="20"/>
          <w:szCs w:val="20"/>
          <w:lang w:val="es-ES_tradnl"/>
        </w:rPr>
        <w:t>impericia procesal</w:t>
      </w:r>
      <w:r w:rsidR="00A17F17" w:rsidRPr="00095478">
        <w:rPr>
          <w:rFonts w:asciiTheme="majorHAnsi" w:hAnsiTheme="majorHAnsi"/>
          <w:color w:val="auto"/>
          <w:sz w:val="20"/>
          <w:szCs w:val="20"/>
          <w:lang w:val="es-ES_tradnl"/>
        </w:rPr>
        <w:t xml:space="preserve"> de las presuntas víctimas lo que causó que sus recursos de amparo y casación pudieran ser conocidos en el fondo, y que </w:t>
      </w:r>
      <w:r w:rsidR="0051697C">
        <w:rPr>
          <w:rFonts w:asciiTheme="majorHAnsi" w:hAnsiTheme="majorHAnsi"/>
          <w:color w:val="auto"/>
          <w:sz w:val="20"/>
          <w:szCs w:val="20"/>
          <w:lang w:val="es-ES_tradnl"/>
        </w:rPr>
        <w:t xml:space="preserve">el peticionario </w:t>
      </w:r>
      <w:r w:rsidR="00A17F17" w:rsidRPr="00095478">
        <w:rPr>
          <w:rFonts w:asciiTheme="majorHAnsi" w:hAnsiTheme="majorHAnsi"/>
          <w:color w:val="auto"/>
          <w:sz w:val="20"/>
          <w:szCs w:val="20"/>
          <w:lang w:val="es-ES_tradnl"/>
        </w:rPr>
        <w:t>pretende improcedentemente utilizar la vía internacional para reparar esta negligencia. Agrega que las presuntas víctima</w:t>
      </w:r>
      <w:r w:rsidR="00543447" w:rsidRPr="00095478">
        <w:rPr>
          <w:rFonts w:asciiTheme="majorHAnsi" w:hAnsiTheme="majorHAnsi"/>
          <w:color w:val="auto"/>
          <w:sz w:val="20"/>
          <w:szCs w:val="20"/>
          <w:lang w:val="es-ES_tradnl"/>
        </w:rPr>
        <w:t>s</w:t>
      </w:r>
      <w:r w:rsidR="00A17F17" w:rsidRPr="00095478">
        <w:rPr>
          <w:rFonts w:asciiTheme="majorHAnsi" w:hAnsiTheme="majorHAnsi"/>
          <w:color w:val="auto"/>
          <w:sz w:val="20"/>
          <w:szCs w:val="20"/>
          <w:lang w:val="es-ES_tradnl"/>
        </w:rPr>
        <w:t xml:space="preserve"> no tenían a su disposición </w:t>
      </w:r>
      <w:r w:rsidR="0051697C">
        <w:rPr>
          <w:rFonts w:asciiTheme="majorHAnsi" w:hAnsiTheme="majorHAnsi"/>
          <w:color w:val="auto"/>
          <w:sz w:val="20"/>
          <w:szCs w:val="20"/>
          <w:lang w:val="es-ES_tradnl"/>
        </w:rPr>
        <w:t xml:space="preserve">la posibilidad de </w:t>
      </w:r>
      <w:r w:rsidR="00A17F17" w:rsidRPr="00095478">
        <w:rPr>
          <w:rFonts w:asciiTheme="majorHAnsi" w:hAnsiTheme="majorHAnsi"/>
          <w:color w:val="auto"/>
          <w:sz w:val="20"/>
          <w:szCs w:val="20"/>
          <w:lang w:val="es-ES_tradnl"/>
        </w:rPr>
        <w:t>presentar un nuevo recurso de casación que s</w:t>
      </w:r>
      <w:r w:rsidR="00277361" w:rsidRPr="00095478">
        <w:rPr>
          <w:rFonts w:asciiTheme="majorHAnsi" w:hAnsiTheme="majorHAnsi"/>
          <w:color w:val="auto"/>
          <w:sz w:val="20"/>
          <w:szCs w:val="20"/>
          <w:lang w:val="es-ES_tradnl"/>
        </w:rPr>
        <w:t>í</w:t>
      </w:r>
      <w:r w:rsidR="00A17F17" w:rsidRPr="00095478">
        <w:rPr>
          <w:rFonts w:asciiTheme="majorHAnsi" w:hAnsiTheme="majorHAnsi"/>
          <w:color w:val="auto"/>
          <w:sz w:val="20"/>
          <w:szCs w:val="20"/>
          <w:lang w:val="es-ES_tradnl"/>
        </w:rPr>
        <w:t xml:space="preserve"> cumpliera con los requisitos de admisibilidad. </w:t>
      </w:r>
      <w:r w:rsidR="00543447" w:rsidRPr="00095478">
        <w:rPr>
          <w:rFonts w:asciiTheme="majorHAnsi" w:hAnsiTheme="majorHAnsi"/>
          <w:color w:val="auto"/>
          <w:sz w:val="20"/>
          <w:szCs w:val="20"/>
          <w:lang w:val="es-ES_tradnl"/>
        </w:rPr>
        <w:t xml:space="preserve">De igual manera, </w:t>
      </w:r>
      <w:r w:rsidR="0051697C">
        <w:rPr>
          <w:rFonts w:asciiTheme="majorHAnsi" w:hAnsiTheme="majorHAnsi"/>
          <w:color w:val="auto"/>
          <w:sz w:val="20"/>
          <w:szCs w:val="20"/>
          <w:lang w:val="es-ES_tradnl"/>
        </w:rPr>
        <w:t xml:space="preserve">afirma </w:t>
      </w:r>
      <w:r w:rsidR="00543447" w:rsidRPr="00095478">
        <w:rPr>
          <w:rFonts w:asciiTheme="majorHAnsi" w:hAnsiTheme="majorHAnsi"/>
          <w:color w:val="auto"/>
          <w:sz w:val="20"/>
          <w:szCs w:val="20"/>
          <w:lang w:val="es-ES_tradnl"/>
        </w:rPr>
        <w:t xml:space="preserve">que no </w:t>
      </w:r>
      <w:r w:rsidR="00277361" w:rsidRPr="00095478">
        <w:rPr>
          <w:rFonts w:asciiTheme="majorHAnsi" w:hAnsiTheme="majorHAnsi"/>
          <w:color w:val="auto"/>
          <w:sz w:val="20"/>
          <w:szCs w:val="20"/>
          <w:lang w:val="es-ES_tradnl"/>
        </w:rPr>
        <w:t>utilizaron el</w:t>
      </w:r>
      <w:r w:rsidR="00543447" w:rsidRPr="00095478">
        <w:rPr>
          <w:rFonts w:asciiTheme="majorHAnsi" w:hAnsiTheme="majorHAnsi"/>
          <w:color w:val="auto"/>
          <w:sz w:val="20"/>
          <w:szCs w:val="20"/>
          <w:lang w:val="es-ES_tradnl"/>
        </w:rPr>
        <w:t xml:space="preserve"> recurso de amparo para solicitar </w:t>
      </w:r>
      <w:r w:rsidR="0051697C">
        <w:rPr>
          <w:rFonts w:asciiTheme="majorHAnsi" w:hAnsiTheme="majorHAnsi"/>
          <w:color w:val="auto"/>
          <w:sz w:val="20"/>
          <w:szCs w:val="20"/>
          <w:lang w:val="es-ES_tradnl"/>
        </w:rPr>
        <w:t>en el ámbito interno</w:t>
      </w:r>
      <w:r w:rsidR="00543447" w:rsidRPr="00095478">
        <w:rPr>
          <w:rFonts w:asciiTheme="majorHAnsi" w:hAnsiTheme="majorHAnsi"/>
          <w:color w:val="auto"/>
          <w:sz w:val="20"/>
          <w:szCs w:val="20"/>
          <w:lang w:val="es-ES_tradnl"/>
        </w:rPr>
        <w:t xml:space="preserve"> la revisión de los asuntos que inidóneamente habían tratado de plantear mediante acciones de libertad. </w:t>
      </w:r>
    </w:p>
    <w:p w14:paraId="0C2C75D5" w14:textId="77777777" w:rsid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3269A969" w14:textId="4A8FDD60" w:rsidR="00B714CA" w:rsidRPr="00095478" w:rsidRDefault="0051697C"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Pr>
          <w:rFonts w:asciiTheme="majorHAnsi" w:hAnsiTheme="majorHAnsi"/>
          <w:color w:val="auto"/>
          <w:sz w:val="20"/>
          <w:szCs w:val="20"/>
          <w:lang w:val="es-ES_tradnl"/>
        </w:rPr>
        <w:t>El Estado s</w:t>
      </w:r>
      <w:r w:rsidR="00751FBF" w:rsidRPr="00095478">
        <w:rPr>
          <w:rFonts w:asciiTheme="majorHAnsi" w:hAnsiTheme="majorHAnsi"/>
          <w:color w:val="auto"/>
          <w:sz w:val="20"/>
          <w:szCs w:val="20"/>
          <w:lang w:val="es-ES_tradnl"/>
        </w:rPr>
        <w:t xml:space="preserve">eñala además que los hechos expuestos en la petición no caracterizan violaciones </w:t>
      </w:r>
      <w:r>
        <w:rPr>
          <w:rFonts w:asciiTheme="majorHAnsi" w:hAnsiTheme="majorHAnsi"/>
          <w:color w:val="auto"/>
          <w:sz w:val="20"/>
          <w:szCs w:val="20"/>
          <w:lang w:val="es-ES_tradnl"/>
        </w:rPr>
        <w:t>de</w:t>
      </w:r>
      <w:r w:rsidR="00751FBF" w:rsidRPr="00095478">
        <w:rPr>
          <w:rFonts w:asciiTheme="majorHAnsi" w:hAnsiTheme="majorHAnsi"/>
          <w:color w:val="auto"/>
          <w:sz w:val="20"/>
          <w:szCs w:val="20"/>
          <w:lang w:val="es-ES_tradnl"/>
        </w:rPr>
        <w:t xml:space="preserve"> derechos humanos. </w:t>
      </w:r>
      <w:r w:rsidR="00137589" w:rsidRPr="00095478">
        <w:rPr>
          <w:rFonts w:asciiTheme="majorHAnsi" w:hAnsiTheme="majorHAnsi"/>
          <w:color w:val="auto"/>
          <w:sz w:val="20"/>
          <w:szCs w:val="20"/>
          <w:lang w:val="es-ES_tradnl"/>
        </w:rPr>
        <w:t>Destaca que el derecho a la libertad personal de las presuntas víctim</w:t>
      </w:r>
      <w:r w:rsidR="00FE245D" w:rsidRPr="00095478">
        <w:rPr>
          <w:rFonts w:asciiTheme="majorHAnsi" w:hAnsiTheme="majorHAnsi"/>
          <w:color w:val="auto"/>
          <w:sz w:val="20"/>
          <w:szCs w:val="20"/>
          <w:lang w:val="es-ES_tradnl"/>
        </w:rPr>
        <w:t>as</w:t>
      </w:r>
      <w:r w:rsidR="00137589" w:rsidRPr="00095478">
        <w:rPr>
          <w:rFonts w:asciiTheme="majorHAnsi" w:hAnsiTheme="majorHAnsi"/>
          <w:color w:val="auto"/>
          <w:sz w:val="20"/>
          <w:szCs w:val="20"/>
          <w:lang w:val="es-ES_tradnl"/>
        </w:rPr>
        <w:t xml:space="preserve"> no se ha v</w:t>
      </w:r>
      <w:r w:rsidR="00642F31" w:rsidRPr="00095478">
        <w:rPr>
          <w:rFonts w:asciiTheme="majorHAnsi" w:hAnsiTheme="majorHAnsi"/>
          <w:color w:val="auto"/>
          <w:sz w:val="20"/>
          <w:szCs w:val="20"/>
          <w:lang w:val="es-ES_tradnl"/>
        </w:rPr>
        <w:t>isto vulnerado</w:t>
      </w:r>
      <w:r w:rsidR="00B714CA" w:rsidRPr="00095478">
        <w:rPr>
          <w:rFonts w:asciiTheme="majorHAnsi" w:hAnsiTheme="majorHAnsi"/>
          <w:color w:val="auto"/>
          <w:sz w:val="20"/>
          <w:szCs w:val="20"/>
          <w:lang w:val="es-ES_tradnl"/>
        </w:rPr>
        <w:t>,</w:t>
      </w:r>
      <w:r w:rsidR="00642F31" w:rsidRPr="00095478">
        <w:rPr>
          <w:rFonts w:asciiTheme="majorHAnsi" w:hAnsiTheme="majorHAnsi"/>
          <w:color w:val="auto"/>
          <w:sz w:val="20"/>
          <w:szCs w:val="20"/>
          <w:lang w:val="es-ES_tradnl"/>
        </w:rPr>
        <w:t xml:space="preserve"> puesto que no se les aplicó detención preventiva</w:t>
      </w:r>
      <w:r>
        <w:rPr>
          <w:rFonts w:asciiTheme="majorHAnsi" w:hAnsiTheme="majorHAnsi"/>
          <w:color w:val="auto"/>
          <w:sz w:val="20"/>
          <w:szCs w:val="20"/>
          <w:lang w:val="es-ES_tradnl"/>
        </w:rPr>
        <w:t>;</w:t>
      </w:r>
      <w:r w:rsidR="00642F31" w:rsidRPr="00095478">
        <w:rPr>
          <w:rFonts w:asciiTheme="majorHAnsi" w:hAnsiTheme="majorHAnsi"/>
          <w:color w:val="auto"/>
          <w:sz w:val="20"/>
          <w:szCs w:val="20"/>
          <w:lang w:val="es-ES_tradnl"/>
        </w:rPr>
        <w:t xml:space="preserve"> y </w:t>
      </w:r>
      <w:r>
        <w:rPr>
          <w:rFonts w:asciiTheme="majorHAnsi" w:hAnsiTheme="majorHAnsi"/>
          <w:color w:val="auto"/>
          <w:sz w:val="20"/>
          <w:szCs w:val="20"/>
          <w:lang w:val="es-ES_tradnl"/>
        </w:rPr>
        <w:t xml:space="preserve">que </w:t>
      </w:r>
      <w:r w:rsidR="00642F31" w:rsidRPr="00095478">
        <w:rPr>
          <w:rFonts w:asciiTheme="majorHAnsi" w:hAnsiTheme="majorHAnsi"/>
          <w:color w:val="auto"/>
          <w:sz w:val="20"/>
          <w:szCs w:val="20"/>
          <w:lang w:val="es-ES_tradnl"/>
        </w:rPr>
        <w:t xml:space="preserve">no </w:t>
      </w:r>
      <w:r w:rsidR="007315B9">
        <w:rPr>
          <w:rFonts w:asciiTheme="majorHAnsi" w:hAnsiTheme="majorHAnsi"/>
          <w:color w:val="auto"/>
          <w:sz w:val="20"/>
          <w:szCs w:val="20"/>
          <w:lang w:val="es-ES_tradnl"/>
        </w:rPr>
        <w:t xml:space="preserve">se </w:t>
      </w:r>
      <w:r w:rsidR="00642F31" w:rsidRPr="00095478">
        <w:rPr>
          <w:rFonts w:asciiTheme="majorHAnsi" w:hAnsiTheme="majorHAnsi"/>
          <w:color w:val="auto"/>
          <w:sz w:val="20"/>
          <w:szCs w:val="20"/>
          <w:lang w:val="es-ES_tradnl"/>
        </w:rPr>
        <w:t>ha</w:t>
      </w:r>
      <w:r w:rsidR="007315B9">
        <w:rPr>
          <w:rFonts w:asciiTheme="majorHAnsi" w:hAnsiTheme="majorHAnsi"/>
          <w:color w:val="auto"/>
          <w:sz w:val="20"/>
          <w:szCs w:val="20"/>
          <w:lang w:val="es-ES_tradnl"/>
        </w:rPr>
        <w:t>n</w:t>
      </w:r>
      <w:r w:rsidR="00642F31" w:rsidRPr="00095478">
        <w:rPr>
          <w:rFonts w:asciiTheme="majorHAnsi" w:hAnsiTheme="majorHAnsi"/>
          <w:color w:val="auto"/>
          <w:sz w:val="20"/>
          <w:szCs w:val="20"/>
          <w:lang w:val="es-ES_tradnl"/>
        </w:rPr>
        <w:t xml:space="preserve"> podido ejecutar los mandamientos de condena expedidos contra ell</w:t>
      </w:r>
      <w:r w:rsidR="007315B9">
        <w:rPr>
          <w:rFonts w:asciiTheme="majorHAnsi" w:hAnsiTheme="majorHAnsi"/>
          <w:color w:val="auto"/>
          <w:sz w:val="20"/>
          <w:szCs w:val="20"/>
          <w:lang w:val="es-ES_tradnl"/>
        </w:rPr>
        <w:t>a</w:t>
      </w:r>
      <w:r w:rsidR="00642F31" w:rsidRPr="00095478">
        <w:rPr>
          <w:rFonts w:asciiTheme="majorHAnsi" w:hAnsiTheme="majorHAnsi"/>
          <w:color w:val="auto"/>
          <w:sz w:val="20"/>
          <w:szCs w:val="20"/>
          <w:lang w:val="es-ES_tradnl"/>
        </w:rPr>
        <w:t>s porque se han convertido en prófugos de la justic</w:t>
      </w:r>
      <w:r>
        <w:rPr>
          <w:rFonts w:asciiTheme="majorHAnsi" w:hAnsiTheme="majorHAnsi"/>
          <w:color w:val="auto"/>
          <w:sz w:val="20"/>
          <w:szCs w:val="20"/>
          <w:lang w:val="es-ES_tradnl"/>
        </w:rPr>
        <w:t>i</w:t>
      </w:r>
      <w:r w:rsidR="00642F31" w:rsidRPr="00095478">
        <w:rPr>
          <w:rFonts w:asciiTheme="majorHAnsi" w:hAnsiTheme="majorHAnsi"/>
          <w:color w:val="auto"/>
          <w:sz w:val="20"/>
          <w:szCs w:val="20"/>
          <w:lang w:val="es-ES_tradnl"/>
        </w:rPr>
        <w:t>a</w:t>
      </w:r>
      <w:r>
        <w:rPr>
          <w:rFonts w:asciiTheme="majorHAnsi" w:hAnsiTheme="majorHAnsi"/>
          <w:color w:val="auto"/>
          <w:sz w:val="20"/>
          <w:szCs w:val="20"/>
          <w:lang w:val="es-ES_tradnl"/>
        </w:rPr>
        <w:t>,</w:t>
      </w:r>
      <w:r w:rsidR="00B714CA" w:rsidRPr="00095478">
        <w:rPr>
          <w:rFonts w:asciiTheme="majorHAnsi" w:hAnsiTheme="majorHAnsi"/>
          <w:color w:val="auto"/>
          <w:sz w:val="20"/>
          <w:szCs w:val="20"/>
          <w:lang w:val="es-ES_tradnl"/>
        </w:rPr>
        <w:t xml:space="preserve"> hecho aceptado tácitamente por el peticionario</w:t>
      </w:r>
      <w:r w:rsidR="00642F31" w:rsidRPr="00095478">
        <w:rPr>
          <w:rFonts w:asciiTheme="majorHAnsi" w:hAnsiTheme="majorHAnsi"/>
          <w:color w:val="auto"/>
          <w:sz w:val="20"/>
          <w:szCs w:val="20"/>
          <w:lang w:val="es-ES_tradnl"/>
        </w:rPr>
        <w:t>.</w:t>
      </w:r>
    </w:p>
    <w:p w14:paraId="47BAF3BD" w14:textId="77777777" w:rsid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6A8408FD" w14:textId="20B12A92" w:rsidR="00B6326C" w:rsidRDefault="00642F31"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olor w:val="auto"/>
          <w:sz w:val="20"/>
          <w:szCs w:val="20"/>
          <w:lang w:val="es-ES_tradnl"/>
        </w:rPr>
        <w:t xml:space="preserve">En </w:t>
      </w:r>
      <w:r w:rsidR="00751FBF" w:rsidRPr="00095478">
        <w:rPr>
          <w:rFonts w:asciiTheme="majorHAnsi" w:hAnsiTheme="majorHAnsi"/>
          <w:color w:val="auto"/>
          <w:sz w:val="20"/>
          <w:szCs w:val="20"/>
          <w:lang w:val="es-ES_tradnl"/>
        </w:rPr>
        <w:t xml:space="preserve">cuanto la </w:t>
      </w:r>
      <w:r w:rsidR="007315B9">
        <w:rPr>
          <w:rFonts w:asciiTheme="majorHAnsi" w:hAnsiTheme="majorHAnsi"/>
          <w:color w:val="auto"/>
          <w:sz w:val="20"/>
          <w:szCs w:val="20"/>
          <w:lang w:val="es-ES_tradnl"/>
        </w:rPr>
        <w:t>supuesta</w:t>
      </w:r>
      <w:r w:rsidR="00751FBF" w:rsidRPr="00095478">
        <w:rPr>
          <w:rFonts w:asciiTheme="majorHAnsi" w:hAnsiTheme="majorHAnsi"/>
          <w:color w:val="auto"/>
          <w:sz w:val="20"/>
          <w:szCs w:val="20"/>
          <w:lang w:val="es-ES_tradnl"/>
        </w:rPr>
        <w:t xml:space="preserve"> falta de competencia del tribunal que profirió </w:t>
      </w:r>
      <w:r w:rsidR="00603A9F" w:rsidRPr="00095478">
        <w:rPr>
          <w:rFonts w:asciiTheme="majorHAnsi" w:hAnsiTheme="majorHAnsi"/>
          <w:color w:val="auto"/>
          <w:sz w:val="20"/>
          <w:szCs w:val="20"/>
          <w:lang w:val="es-ES_tradnl"/>
        </w:rPr>
        <w:t xml:space="preserve">la </w:t>
      </w:r>
      <w:r w:rsidR="00751FBF" w:rsidRPr="00095478">
        <w:rPr>
          <w:rFonts w:asciiTheme="majorHAnsi" w:hAnsiTheme="majorHAnsi"/>
          <w:color w:val="auto"/>
          <w:sz w:val="20"/>
          <w:szCs w:val="20"/>
          <w:lang w:val="es-ES_tradnl"/>
        </w:rPr>
        <w:t xml:space="preserve">condena contra las presuntas </w:t>
      </w:r>
      <w:r w:rsidR="00603A9F" w:rsidRPr="00095478">
        <w:rPr>
          <w:rFonts w:asciiTheme="majorHAnsi" w:hAnsiTheme="majorHAnsi"/>
          <w:color w:val="auto"/>
          <w:sz w:val="20"/>
          <w:szCs w:val="20"/>
          <w:lang w:val="es-ES_tradnl"/>
        </w:rPr>
        <w:t>víctimas</w:t>
      </w:r>
      <w:r w:rsidR="007315B9">
        <w:rPr>
          <w:rFonts w:asciiTheme="majorHAnsi" w:hAnsiTheme="majorHAnsi"/>
          <w:color w:val="auto"/>
          <w:sz w:val="20"/>
          <w:szCs w:val="20"/>
          <w:lang w:val="es-ES_tradnl"/>
        </w:rPr>
        <w:t>,</w:t>
      </w:r>
      <w:r w:rsidR="00751FBF" w:rsidRPr="00095478">
        <w:rPr>
          <w:rFonts w:asciiTheme="majorHAnsi" w:hAnsiTheme="majorHAnsi"/>
          <w:color w:val="auto"/>
          <w:sz w:val="20"/>
          <w:szCs w:val="20"/>
          <w:lang w:val="es-ES_tradnl"/>
        </w:rPr>
        <w:t xml:space="preserve"> </w:t>
      </w:r>
      <w:r w:rsidR="00603A9F" w:rsidRPr="00095478">
        <w:rPr>
          <w:rFonts w:asciiTheme="majorHAnsi" w:hAnsiTheme="majorHAnsi"/>
          <w:color w:val="auto"/>
          <w:sz w:val="20"/>
          <w:szCs w:val="20"/>
          <w:lang w:val="es-ES_tradnl"/>
        </w:rPr>
        <w:t>Bolivia afirma</w:t>
      </w:r>
      <w:r w:rsidR="00751FBF" w:rsidRPr="00095478">
        <w:rPr>
          <w:rFonts w:asciiTheme="majorHAnsi" w:hAnsiTheme="majorHAnsi"/>
          <w:color w:val="auto"/>
          <w:sz w:val="20"/>
          <w:szCs w:val="20"/>
          <w:lang w:val="es-ES_tradnl"/>
        </w:rPr>
        <w:t xml:space="preserve"> que este ejerció la competencia que le atribuía el artículo 413(4) del </w:t>
      </w:r>
      <w:r w:rsidR="007315B9">
        <w:rPr>
          <w:rFonts w:asciiTheme="majorHAnsi" w:hAnsiTheme="majorHAnsi"/>
          <w:color w:val="auto"/>
          <w:sz w:val="20"/>
          <w:szCs w:val="20"/>
          <w:lang w:val="es-ES_tradnl"/>
        </w:rPr>
        <w:t>C</w:t>
      </w:r>
      <w:r w:rsidR="00751FBF" w:rsidRPr="00095478">
        <w:rPr>
          <w:rFonts w:asciiTheme="majorHAnsi" w:hAnsiTheme="majorHAnsi"/>
          <w:color w:val="auto"/>
          <w:sz w:val="20"/>
          <w:szCs w:val="20"/>
          <w:lang w:val="es-ES_tradnl"/>
        </w:rPr>
        <w:t xml:space="preserve">ódigo de </w:t>
      </w:r>
      <w:r w:rsidR="007315B9">
        <w:rPr>
          <w:rFonts w:asciiTheme="majorHAnsi" w:hAnsiTheme="majorHAnsi"/>
          <w:color w:val="auto"/>
          <w:sz w:val="20"/>
          <w:szCs w:val="20"/>
          <w:lang w:val="es-ES_tradnl"/>
        </w:rPr>
        <w:t>P</w:t>
      </w:r>
      <w:r w:rsidR="00751FBF" w:rsidRPr="00095478">
        <w:rPr>
          <w:rFonts w:asciiTheme="majorHAnsi" w:hAnsiTheme="majorHAnsi"/>
          <w:color w:val="auto"/>
          <w:sz w:val="20"/>
          <w:szCs w:val="20"/>
          <w:lang w:val="es-ES_tradnl"/>
        </w:rPr>
        <w:t xml:space="preserve">rocedimiento </w:t>
      </w:r>
      <w:r w:rsidR="007315B9">
        <w:rPr>
          <w:rFonts w:asciiTheme="majorHAnsi" w:hAnsiTheme="majorHAnsi"/>
          <w:color w:val="auto"/>
          <w:sz w:val="20"/>
          <w:szCs w:val="20"/>
          <w:lang w:val="es-ES_tradnl"/>
        </w:rPr>
        <w:t>P</w:t>
      </w:r>
      <w:r w:rsidR="00751FBF" w:rsidRPr="00095478">
        <w:rPr>
          <w:rFonts w:asciiTheme="majorHAnsi" w:hAnsiTheme="majorHAnsi"/>
          <w:color w:val="auto"/>
          <w:sz w:val="20"/>
          <w:szCs w:val="20"/>
          <w:lang w:val="es-ES_tradnl"/>
        </w:rPr>
        <w:t xml:space="preserve">enal, </w:t>
      </w:r>
      <w:r w:rsidR="007315B9">
        <w:rPr>
          <w:rFonts w:asciiTheme="majorHAnsi" w:hAnsiTheme="majorHAnsi"/>
          <w:color w:val="auto"/>
          <w:sz w:val="20"/>
          <w:szCs w:val="20"/>
          <w:lang w:val="es-ES_tradnl"/>
        </w:rPr>
        <w:t>que</w:t>
      </w:r>
      <w:r w:rsidR="00751FBF" w:rsidRPr="00095478">
        <w:rPr>
          <w:rFonts w:asciiTheme="majorHAnsi" w:hAnsiTheme="majorHAnsi"/>
          <w:color w:val="auto"/>
          <w:sz w:val="20"/>
          <w:szCs w:val="20"/>
          <w:lang w:val="es-ES_tradnl"/>
        </w:rPr>
        <w:t xml:space="preserve"> establecía que cuando sea evidente que para dictar una nueva sentencia no es necesaria la realización de un nuevo juicio, el tribunal de alzada resolverá directamente. Sostiene </w:t>
      </w:r>
      <w:proofErr w:type="gramStart"/>
      <w:r w:rsidR="00751FBF" w:rsidRPr="00095478">
        <w:rPr>
          <w:rFonts w:asciiTheme="majorHAnsi" w:hAnsiTheme="majorHAnsi"/>
          <w:color w:val="auto"/>
          <w:sz w:val="20"/>
          <w:szCs w:val="20"/>
          <w:lang w:val="es-ES_tradnl"/>
        </w:rPr>
        <w:t>que</w:t>
      </w:r>
      <w:proofErr w:type="gramEnd"/>
      <w:r w:rsidR="00751FBF" w:rsidRPr="00095478">
        <w:rPr>
          <w:rFonts w:asciiTheme="majorHAnsi" w:hAnsiTheme="majorHAnsi"/>
          <w:color w:val="auto"/>
          <w:sz w:val="20"/>
          <w:szCs w:val="20"/>
          <w:lang w:val="es-ES_tradnl"/>
        </w:rPr>
        <w:t xml:space="preserve"> al emitir </w:t>
      </w:r>
      <w:r w:rsidR="00603A9F" w:rsidRPr="00095478">
        <w:rPr>
          <w:rFonts w:asciiTheme="majorHAnsi" w:hAnsiTheme="majorHAnsi"/>
          <w:color w:val="auto"/>
          <w:sz w:val="20"/>
          <w:szCs w:val="20"/>
          <w:lang w:val="es-ES_tradnl"/>
        </w:rPr>
        <w:t xml:space="preserve">la </w:t>
      </w:r>
      <w:r w:rsidR="00751FBF" w:rsidRPr="00095478">
        <w:rPr>
          <w:rFonts w:asciiTheme="majorHAnsi" w:hAnsiTheme="majorHAnsi"/>
          <w:color w:val="auto"/>
          <w:sz w:val="20"/>
          <w:szCs w:val="20"/>
          <w:lang w:val="es-ES_tradnl"/>
        </w:rPr>
        <w:t>condena</w:t>
      </w:r>
      <w:r w:rsidR="007315B9">
        <w:rPr>
          <w:rFonts w:asciiTheme="majorHAnsi" w:hAnsiTheme="majorHAnsi"/>
          <w:color w:val="auto"/>
          <w:sz w:val="20"/>
          <w:szCs w:val="20"/>
          <w:lang w:val="es-ES_tradnl"/>
        </w:rPr>
        <w:t>,</w:t>
      </w:r>
      <w:r w:rsidR="00751FBF" w:rsidRPr="00095478">
        <w:rPr>
          <w:rFonts w:asciiTheme="majorHAnsi" w:hAnsiTheme="majorHAnsi"/>
          <w:color w:val="auto"/>
          <w:sz w:val="20"/>
          <w:szCs w:val="20"/>
          <w:lang w:val="es-ES_tradnl"/>
        </w:rPr>
        <w:t xml:space="preserve"> el tribunal se limitó a comprobar la inobservancia de la ley o su errónea aplicación, lo cual generó la convicción de la plena culpabilidad de los imputados, </w:t>
      </w:r>
      <w:r w:rsidR="007315B9">
        <w:rPr>
          <w:rFonts w:asciiTheme="majorHAnsi" w:hAnsiTheme="majorHAnsi"/>
          <w:color w:val="auto"/>
          <w:sz w:val="20"/>
          <w:szCs w:val="20"/>
          <w:lang w:val="es-ES_tradnl"/>
        </w:rPr>
        <w:t xml:space="preserve">sin </w:t>
      </w:r>
      <w:r w:rsidR="00751FBF" w:rsidRPr="00095478">
        <w:rPr>
          <w:rFonts w:asciiTheme="majorHAnsi" w:hAnsiTheme="majorHAnsi"/>
          <w:color w:val="auto"/>
          <w:sz w:val="20"/>
          <w:szCs w:val="20"/>
          <w:lang w:val="es-ES_tradnl"/>
        </w:rPr>
        <w:t>ingresa</w:t>
      </w:r>
      <w:r w:rsidR="007315B9">
        <w:rPr>
          <w:rFonts w:asciiTheme="majorHAnsi" w:hAnsiTheme="majorHAnsi"/>
          <w:color w:val="auto"/>
          <w:sz w:val="20"/>
          <w:szCs w:val="20"/>
          <w:lang w:val="es-ES_tradnl"/>
        </w:rPr>
        <w:t>r</w:t>
      </w:r>
      <w:r w:rsidR="00751FBF" w:rsidRPr="00095478">
        <w:rPr>
          <w:rFonts w:asciiTheme="majorHAnsi" w:hAnsiTheme="majorHAnsi"/>
          <w:color w:val="auto"/>
          <w:sz w:val="20"/>
          <w:szCs w:val="20"/>
          <w:lang w:val="es-ES_tradnl"/>
        </w:rPr>
        <w:t xml:space="preserve"> a la valoración de la prueba ni basa</w:t>
      </w:r>
      <w:r w:rsidR="007315B9">
        <w:rPr>
          <w:rFonts w:asciiTheme="majorHAnsi" w:hAnsiTheme="majorHAnsi"/>
          <w:color w:val="auto"/>
          <w:sz w:val="20"/>
          <w:szCs w:val="20"/>
          <w:lang w:val="es-ES_tradnl"/>
        </w:rPr>
        <w:t>r</w:t>
      </w:r>
      <w:r w:rsidR="00751FBF" w:rsidRPr="00095478">
        <w:rPr>
          <w:rFonts w:asciiTheme="majorHAnsi" w:hAnsiTheme="majorHAnsi"/>
          <w:color w:val="auto"/>
          <w:sz w:val="20"/>
          <w:szCs w:val="20"/>
          <w:lang w:val="es-ES_tradnl"/>
        </w:rPr>
        <w:t xml:space="preserve"> su decisión en una </w:t>
      </w:r>
      <w:r w:rsidR="00603A9F" w:rsidRPr="00095478">
        <w:rPr>
          <w:rFonts w:asciiTheme="majorHAnsi" w:hAnsiTheme="majorHAnsi"/>
          <w:color w:val="auto"/>
          <w:sz w:val="20"/>
          <w:szCs w:val="20"/>
          <w:lang w:val="es-ES_tradnl"/>
        </w:rPr>
        <w:t xml:space="preserve">nueva valoración de </w:t>
      </w:r>
      <w:r w:rsidR="007315B9">
        <w:rPr>
          <w:rFonts w:asciiTheme="majorHAnsi" w:hAnsiTheme="majorHAnsi"/>
          <w:color w:val="auto"/>
          <w:sz w:val="20"/>
          <w:szCs w:val="20"/>
          <w:lang w:val="es-ES_tradnl"/>
        </w:rPr>
        <w:t>esta</w:t>
      </w:r>
      <w:r w:rsidR="00751FBF" w:rsidRPr="00095478">
        <w:rPr>
          <w:rFonts w:asciiTheme="majorHAnsi" w:hAnsiTheme="majorHAnsi"/>
          <w:color w:val="auto"/>
          <w:sz w:val="20"/>
          <w:szCs w:val="20"/>
          <w:lang w:val="es-ES_tradnl"/>
        </w:rPr>
        <w:t xml:space="preserve">. </w:t>
      </w:r>
      <w:r w:rsidR="00B33822" w:rsidRPr="00095478">
        <w:rPr>
          <w:rFonts w:asciiTheme="majorHAnsi" w:hAnsiTheme="majorHAnsi"/>
          <w:color w:val="auto"/>
          <w:sz w:val="20"/>
          <w:szCs w:val="20"/>
          <w:lang w:val="es-ES_tradnl"/>
        </w:rPr>
        <w:t>Explica que para la fecha en que el Tribunal Supremo de Justicia debió resolver por segunda ocasión la excepción de prescripción planteada por las presuntas víctimas</w:t>
      </w:r>
      <w:r w:rsidR="00603A9F" w:rsidRPr="00095478">
        <w:rPr>
          <w:rFonts w:asciiTheme="majorHAnsi" w:hAnsiTheme="majorHAnsi"/>
          <w:color w:val="auto"/>
          <w:sz w:val="20"/>
          <w:szCs w:val="20"/>
          <w:lang w:val="es-ES_tradnl"/>
        </w:rPr>
        <w:t>, ya</w:t>
      </w:r>
      <w:r w:rsidR="00B33822" w:rsidRPr="00095478">
        <w:rPr>
          <w:rFonts w:asciiTheme="majorHAnsi" w:hAnsiTheme="majorHAnsi"/>
          <w:color w:val="auto"/>
          <w:sz w:val="20"/>
          <w:szCs w:val="20"/>
          <w:lang w:val="es-ES_tradnl"/>
        </w:rPr>
        <w:t xml:space="preserve"> había </w:t>
      </w:r>
      <w:proofErr w:type="gramStart"/>
      <w:r w:rsidR="00B33822" w:rsidRPr="00095478">
        <w:rPr>
          <w:rFonts w:asciiTheme="majorHAnsi" w:hAnsiTheme="majorHAnsi"/>
          <w:color w:val="auto"/>
          <w:sz w:val="20"/>
          <w:szCs w:val="20"/>
          <w:lang w:val="es-ES_tradnl"/>
        </w:rPr>
        <w:t>entrado en vigencia</w:t>
      </w:r>
      <w:proofErr w:type="gramEnd"/>
      <w:r w:rsidR="00B33822" w:rsidRPr="00095478">
        <w:rPr>
          <w:rFonts w:asciiTheme="majorHAnsi" w:hAnsiTheme="majorHAnsi"/>
          <w:color w:val="auto"/>
          <w:sz w:val="20"/>
          <w:szCs w:val="20"/>
          <w:lang w:val="es-ES_tradnl"/>
        </w:rPr>
        <w:t xml:space="preserve"> una </w:t>
      </w:r>
      <w:r w:rsidR="00FE245D" w:rsidRPr="00095478">
        <w:rPr>
          <w:rFonts w:asciiTheme="majorHAnsi" w:hAnsiTheme="majorHAnsi"/>
          <w:color w:val="auto"/>
          <w:sz w:val="20"/>
          <w:szCs w:val="20"/>
          <w:lang w:val="es-ES_tradnl"/>
        </w:rPr>
        <w:t xml:space="preserve">nueva Constitución </w:t>
      </w:r>
      <w:r w:rsidR="00603A9F" w:rsidRPr="00095478">
        <w:rPr>
          <w:rFonts w:asciiTheme="majorHAnsi" w:hAnsiTheme="majorHAnsi"/>
          <w:color w:val="auto"/>
          <w:sz w:val="20"/>
          <w:szCs w:val="20"/>
          <w:lang w:val="es-ES_tradnl"/>
        </w:rPr>
        <w:t xml:space="preserve">Política </w:t>
      </w:r>
      <w:r w:rsidR="00FE245D" w:rsidRPr="00095478">
        <w:rPr>
          <w:rFonts w:asciiTheme="majorHAnsi" w:hAnsiTheme="majorHAnsi"/>
          <w:color w:val="auto"/>
          <w:sz w:val="20"/>
          <w:szCs w:val="20"/>
          <w:lang w:val="es-ES_tradnl"/>
        </w:rPr>
        <w:t>que hacía imprescriptibles los actos de corrupción cometidos por servidores públicos. Indica que</w:t>
      </w:r>
      <w:r w:rsidR="00603A9F" w:rsidRPr="00095478">
        <w:rPr>
          <w:rFonts w:asciiTheme="majorHAnsi" w:hAnsiTheme="majorHAnsi"/>
          <w:color w:val="auto"/>
          <w:sz w:val="20"/>
          <w:szCs w:val="20"/>
          <w:lang w:val="es-ES_tradnl"/>
        </w:rPr>
        <w:t xml:space="preserve"> t</w:t>
      </w:r>
      <w:r w:rsidR="00FE245D" w:rsidRPr="00095478">
        <w:rPr>
          <w:rFonts w:asciiTheme="majorHAnsi" w:hAnsiTheme="majorHAnsi"/>
          <w:color w:val="auto"/>
          <w:sz w:val="20"/>
          <w:szCs w:val="20"/>
          <w:lang w:val="es-ES_tradnl"/>
        </w:rPr>
        <w:t xml:space="preserve">ribunal estaba obligado a resolver la causa conforme a la normativa vigente en ese momento y que, al hacerlo, el </w:t>
      </w:r>
      <w:r w:rsidR="007315B9">
        <w:rPr>
          <w:rFonts w:asciiTheme="majorHAnsi" w:hAnsiTheme="majorHAnsi"/>
          <w:color w:val="auto"/>
          <w:sz w:val="20"/>
          <w:szCs w:val="20"/>
          <w:lang w:val="es-ES_tradnl"/>
        </w:rPr>
        <w:t>t</w:t>
      </w:r>
      <w:r w:rsidR="00FE245D" w:rsidRPr="00095478">
        <w:rPr>
          <w:rFonts w:asciiTheme="majorHAnsi" w:hAnsiTheme="majorHAnsi"/>
          <w:color w:val="auto"/>
          <w:sz w:val="20"/>
          <w:szCs w:val="20"/>
          <w:lang w:val="es-ES_tradnl"/>
        </w:rPr>
        <w:t xml:space="preserve">ribunal simplemente estableció un límite al ejercicio de un derecho en aplicación de la nueva norma fundamental. </w:t>
      </w:r>
    </w:p>
    <w:p w14:paraId="5072CF9C" w14:textId="6A256530" w:rsidR="004B153A" w:rsidRPr="00D66CE7" w:rsidRDefault="004B153A">
      <w:pPr>
        <w:rPr>
          <w:rFonts w:asciiTheme="majorHAnsi" w:hAnsiTheme="majorHAnsi"/>
          <w:sz w:val="20"/>
          <w:szCs w:val="20"/>
          <w:lang w:val="es-419"/>
        </w:rPr>
      </w:pPr>
      <w:r w:rsidRPr="00D66CE7">
        <w:rPr>
          <w:rFonts w:asciiTheme="majorHAnsi" w:hAnsiTheme="majorHAnsi"/>
          <w:sz w:val="20"/>
          <w:szCs w:val="20"/>
          <w:lang w:val="es-419"/>
        </w:rPr>
        <w:br w:type="page"/>
      </w:r>
    </w:p>
    <w:p w14:paraId="2F8A5E17" w14:textId="16B34888" w:rsidR="00234729" w:rsidRPr="00095478" w:rsidRDefault="00234729" w:rsidP="004D4EC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color w:val="auto"/>
          <w:sz w:val="20"/>
          <w:szCs w:val="20"/>
          <w:lang w:val="es-ES_tradnl"/>
        </w:rPr>
      </w:pPr>
      <w:r w:rsidRPr="00095478">
        <w:rPr>
          <w:rFonts w:asciiTheme="majorHAnsi" w:hAnsiTheme="majorHAnsi"/>
          <w:b/>
          <w:color w:val="auto"/>
          <w:sz w:val="20"/>
          <w:szCs w:val="20"/>
          <w:lang w:val="es-ES_tradnl"/>
        </w:rPr>
        <w:lastRenderedPageBreak/>
        <w:t>VI.</w:t>
      </w:r>
      <w:r w:rsidRPr="00095478">
        <w:rPr>
          <w:rFonts w:asciiTheme="majorHAnsi" w:hAnsiTheme="majorHAnsi"/>
          <w:b/>
          <w:color w:val="auto"/>
          <w:sz w:val="20"/>
          <w:szCs w:val="20"/>
          <w:lang w:val="es-ES_tradnl"/>
        </w:rPr>
        <w:tab/>
        <w:t xml:space="preserve">ANÁLISIS DE AGOTAMIENTO DE LOS RECURSOS INTERNOS Y PLAZO DE PRESENTACIÓN </w:t>
      </w:r>
    </w:p>
    <w:p w14:paraId="67B4A65F" w14:textId="77777777" w:rsid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662703AD" w14:textId="1F8DF760" w:rsidR="00FE245D" w:rsidRDefault="00500A3A"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Pr>
          <w:rFonts w:asciiTheme="majorHAnsi" w:hAnsiTheme="majorHAnsi"/>
          <w:color w:val="auto"/>
          <w:sz w:val="20"/>
          <w:szCs w:val="20"/>
          <w:lang w:val="es-ES_tradnl"/>
        </w:rPr>
        <w:t>El</w:t>
      </w:r>
      <w:r w:rsidR="00FE245D" w:rsidRPr="00095478">
        <w:rPr>
          <w:rFonts w:asciiTheme="majorHAnsi" w:hAnsiTheme="majorHAnsi"/>
          <w:color w:val="auto"/>
          <w:sz w:val="20"/>
          <w:szCs w:val="20"/>
          <w:lang w:val="es-ES_tradnl"/>
        </w:rPr>
        <w:t xml:space="preserve"> peticionario sostiene que las presuntas víctimas agotar</w:t>
      </w:r>
      <w:r>
        <w:rPr>
          <w:rFonts w:asciiTheme="majorHAnsi" w:hAnsiTheme="majorHAnsi"/>
          <w:color w:val="auto"/>
          <w:sz w:val="20"/>
          <w:szCs w:val="20"/>
          <w:lang w:val="es-ES_tradnl"/>
        </w:rPr>
        <w:t>on</w:t>
      </w:r>
      <w:r w:rsidR="00FE245D" w:rsidRPr="00095478">
        <w:rPr>
          <w:rFonts w:asciiTheme="majorHAnsi" w:hAnsiTheme="majorHAnsi"/>
          <w:color w:val="auto"/>
          <w:sz w:val="20"/>
          <w:szCs w:val="20"/>
          <w:lang w:val="es-ES_tradnl"/>
        </w:rPr>
        <w:t xml:space="preserve"> los recursos internos</w:t>
      </w:r>
      <w:r>
        <w:rPr>
          <w:rFonts w:asciiTheme="majorHAnsi" w:hAnsiTheme="majorHAnsi"/>
          <w:color w:val="auto"/>
          <w:sz w:val="20"/>
          <w:szCs w:val="20"/>
          <w:lang w:val="es-ES_tradnl"/>
        </w:rPr>
        <w:t>,</w:t>
      </w:r>
      <w:r w:rsidR="00FE245D" w:rsidRPr="00095478">
        <w:rPr>
          <w:rFonts w:asciiTheme="majorHAnsi" w:hAnsiTheme="majorHAnsi"/>
          <w:color w:val="auto"/>
          <w:sz w:val="20"/>
          <w:szCs w:val="20"/>
          <w:lang w:val="es-ES_tradnl"/>
        </w:rPr>
        <w:t xml:space="preserve"> mientras que el Estado </w:t>
      </w:r>
      <w:r>
        <w:rPr>
          <w:rFonts w:asciiTheme="majorHAnsi" w:hAnsiTheme="majorHAnsi"/>
          <w:color w:val="auto"/>
          <w:sz w:val="20"/>
          <w:szCs w:val="20"/>
          <w:lang w:val="es-ES_tradnl"/>
        </w:rPr>
        <w:t xml:space="preserve">lo controvierte. Bolivia afirma que no plantearon la </w:t>
      </w:r>
      <w:r w:rsidR="00FE245D" w:rsidRPr="00095478">
        <w:rPr>
          <w:rFonts w:asciiTheme="majorHAnsi" w:hAnsiTheme="majorHAnsi"/>
          <w:color w:val="auto"/>
          <w:sz w:val="20"/>
          <w:szCs w:val="20"/>
          <w:lang w:val="es-ES_tradnl"/>
        </w:rPr>
        <w:t xml:space="preserve">apelación restringida, contestación a la apelación restringida presentada por las partes acusadoras, </w:t>
      </w:r>
      <w:r w:rsidR="005A5076" w:rsidRPr="00095478">
        <w:rPr>
          <w:rFonts w:asciiTheme="majorHAnsi" w:hAnsiTheme="majorHAnsi"/>
          <w:color w:val="auto"/>
          <w:sz w:val="20"/>
          <w:szCs w:val="20"/>
          <w:lang w:val="es-ES_tradnl"/>
        </w:rPr>
        <w:t>incidente de actividad procesal defectuosa, solicitud de suspensión condicional de la pena</w:t>
      </w:r>
      <w:r w:rsidR="00C1233D" w:rsidRPr="00095478">
        <w:rPr>
          <w:rFonts w:asciiTheme="majorHAnsi" w:hAnsiTheme="majorHAnsi"/>
          <w:color w:val="auto"/>
          <w:sz w:val="20"/>
          <w:szCs w:val="20"/>
          <w:lang w:val="es-ES_tradnl"/>
        </w:rPr>
        <w:t xml:space="preserve"> y revisión extraordinaria de sentencia</w:t>
      </w:r>
      <w:r>
        <w:rPr>
          <w:rFonts w:asciiTheme="majorHAnsi" w:hAnsiTheme="majorHAnsi"/>
          <w:color w:val="auto"/>
          <w:sz w:val="20"/>
          <w:szCs w:val="20"/>
          <w:lang w:val="es-ES_tradnl"/>
        </w:rPr>
        <w:t>.</w:t>
      </w:r>
      <w:r w:rsidR="005A5076" w:rsidRPr="00095478">
        <w:rPr>
          <w:rFonts w:asciiTheme="majorHAnsi" w:hAnsiTheme="majorHAnsi"/>
          <w:color w:val="auto"/>
          <w:sz w:val="20"/>
          <w:szCs w:val="20"/>
          <w:lang w:val="es-ES_tradnl"/>
        </w:rPr>
        <w:t xml:space="preserve"> </w:t>
      </w:r>
      <w:r>
        <w:rPr>
          <w:rFonts w:asciiTheme="majorHAnsi" w:hAnsiTheme="majorHAnsi"/>
          <w:color w:val="auto"/>
          <w:sz w:val="20"/>
          <w:szCs w:val="20"/>
          <w:lang w:val="es-ES_tradnl"/>
        </w:rPr>
        <w:t xml:space="preserve">El Estado alega igualmente </w:t>
      </w:r>
      <w:r w:rsidR="005A5076" w:rsidRPr="00095478">
        <w:rPr>
          <w:rFonts w:asciiTheme="majorHAnsi" w:hAnsiTheme="majorHAnsi"/>
          <w:color w:val="auto"/>
          <w:sz w:val="20"/>
          <w:szCs w:val="20"/>
          <w:lang w:val="es-ES_tradnl"/>
        </w:rPr>
        <w:t xml:space="preserve">que los recursos de amparo y casación </w:t>
      </w:r>
      <w:r>
        <w:rPr>
          <w:rFonts w:asciiTheme="majorHAnsi" w:hAnsiTheme="majorHAnsi"/>
          <w:color w:val="auto"/>
          <w:sz w:val="20"/>
          <w:szCs w:val="20"/>
          <w:lang w:val="es-ES_tradnl"/>
        </w:rPr>
        <w:t xml:space="preserve">fueron </w:t>
      </w:r>
      <w:r w:rsidR="005A5076" w:rsidRPr="00095478">
        <w:rPr>
          <w:rFonts w:asciiTheme="majorHAnsi" w:hAnsiTheme="majorHAnsi"/>
          <w:color w:val="auto"/>
          <w:sz w:val="20"/>
          <w:szCs w:val="20"/>
          <w:lang w:val="es-ES_tradnl"/>
        </w:rPr>
        <w:t xml:space="preserve">presentados </w:t>
      </w:r>
      <w:r>
        <w:rPr>
          <w:rFonts w:asciiTheme="majorHAnsi" w:hAnsiTheme="majorHAnsi"/>
          <w:color w:val="auto"/>
          <w:sz w:val="20"/>
          <w:szCs w:val="20"/>
          <w:lang w:val="es-ES_tradnl"/>
        </w:rPr>
        <w:t>i</w:t>
      </w:r>
      <w:r w:rsidR="005A5076" w:rsidRPr="00095478">
        <w:rPr>
          <w:rFonts w:asciiTheme="majorHAnsi" w:hAnsiTheme="majorHAnsi"/>
          <w:color w:val="auto"/>
          <w:sz w:val="20"/>
          <w:szCs w:val="20"/>
          <w:lang w:val="es-ES_tradnl"/>
        </w:rPr>
        <w:t>ndebidamente</w:t>
      </w:r>
      <w:r>
        <w:rPr>
          <w:rFonts w:asciiTheme="majorHAnsi" w:hAnsiTheme="majorHAnsi"/>
          <w:color w:val="auto"/>
          <w:sz w:val="20"/>
          <w:szCs w:val="20"/>
          <w:lang w:val="es-ES_tradnl"/>
        </w:rPr>
        <w:t>;</w:t>
      </w:r>
      <w:r w:rsidR="005A5076" w:rsidRPr="00095478">
        <w:rPr>
          <w:rFonts w:asciiTheme="majorHAnsi" w:hAnsiTheme="majorHAnsi"/>
          <w:color w:val="auto"/>
          <w:sz w:val="20"/>
          <w:szCs w:val="20"/>
          <w:lang w:val="es-ES_tradnl"/>
        </w:rPr>
        <w:t xml:space="preserve"> </w:t>
      </w:r>
      <w:r>
        <w:rPr>
          <w:rFonts w:asciiTheme="majorHAnsi" w:hAnsiTheme="majorHAnsi"/>
          <w:color w:val="auto"/>
          <w:sz w:val="20"/>
          <w:szCs w:val="20"/>
          <w:lang w:val="es-ES_tradnl"/>
        </w:rPr>
        <w:t xml:space="preserve">que </w:t>
      </w:r>
      <w:r w:rsidR="005A5076" w:rsidRPr="00095478">
        <w:rPr>
          <w:rFonts w:asciiTheme="majorHAnsi" w:hAnsiTheme="majorHAnsi"/>
          <w:color w:val="auto"/>
          <w:sz w:val="20"/>
          <w:szCs w:val="20"/>
          <w:lang w:val="es-ES_tradnl"/>
        </w:rPr>
        <w:t>no se presentó una nueva casación después de rechazada la primera</w:t>
      </w:r>
      <w:r>
        <w:rPr>
          <w:rFonts w:asciiTheme="majorHAnsi" w:hAnsiTheme="majorHAnsi"/>
          <w:color w:val="auto"/>
          <w:sz w:val="20"/>
          <w:szCs w:val="20"/>
          <w:lang w:val="es-ES_tradnl"/>
        </w:rPr>
        <w:t>;</w:t>
      </w:r>
      <w:r w:rsidR="005A5076" w:rsidRPr="00095478">
        <w:rPr>
          <w:rFonts w:asciiTheme="majorHAnsi" w:hAnsiTheme="majorHAnsi"/>
          <w:color w:val="auto"/>
          <w:sz w:val="20"/>
          <w:szCs w:val="20"/>
          <w:lang w:val="es-ES_tradnl"/>
        </w:rPr>
        <w:t xml:space="preserve"> </w:t>
      </w:r>
      <w:r>
        <w:rPr>
          <w:rFonts w:asciiTheme="majorHAnsi" w:hAnsiTheme="majorHAnsi"/>
          <w:color w:val="auto"/>
          <w:sz w:val="20"/>
          <w:szCs w:val="20"/>
          <w:lang w:val="es-ES_tradnl"/>
        </w:rPr>
        <w:t xml:space="preserve">ni plantearon </w:t>
      </w:r>
      <w:r w:rsidR="005A5076" w:rsidRPr="00095478">
        <w:rPr>
          <w:rFonts w:asciiTheme="majorHAnsi" w:hAnsiTheme="majorHAnsi"/>
          <w:color w:val="auto"/>
          <w:sz w:val="20"/>
          <w:szCs w:val="20"/>
          <w:lang w:val="es-ES_tradnl"/>
        </w:rPr>
        <w:t xml:space="preserve">amparos con relación a los temas que habían sido erróneamente </w:t>
      </w:r>
      <w:r>
        <w:rPr>
          <w:rFonts w:asciiTheme="majorHAnsi" w:hAnsiTheme="majorHAnsi"/>
          <w:color w:val="auto"/>
          <w:sz w:val="20"/>
          <w:szCs w:val="20"/>
          <w:lang w:val="es-ES_tradnl"/>
        </w:rPr>
        <w:t xml:space="preserve">reclamados </w:t>
      </w:r>
      <w:r w:rsidR="005A5076" w:rsidRPr="00095478">
        <w:rPr>
          <w:rFonts w:asciiTheme="majorHAnsi" w:hAnsiTheme="majorHAnsi"/>
          <w:color w:val="auto"/>
          <w:sz w:val="20"/>
          <w:szCs w:val="20"/>
          <w:lang w:val="es-ES_tradnl"/>
        </w:rPr>
        <w:t>mediante acciones de libertad. La Comisión</w:t>
      </w:r>
      <w:r>
        <w:rPr>
          <w:rFonts w:asciiTheme="majorHAnsi" w:hAnsiTheme="majorHAnsi"/>
          <w:color w:val="auto"/>
          <w:sz w:val="20"/>
          <w:szCs w:val="20"/>
          <w:lang w:val="es-ES_tradnl"/>
        </w:rPr>
        <w:t xml:space="preserve"> Interamericana</w:t>
      </w:r>
      <w:r w:rsidR="005A5076" w:rsidRPr="00095478">
        <w:rPr>
          <w:rFonts w:asciiTheme="majorHAnsi" w:hAnsiTheme="majorHAnsi"/>
          <w:color w:val="auto"/>
          <w:sz w:val="20"/>
          <w:szCs w:val="20"/>
          <w:lang w:val="es-ES_tradnl"/>
        </w:rPr>
        <w:t xml:space="preserve"> toma nota </w:t>
      </w:r>
      <w:r>
        <w:rPr>
          <w:rFonts w:asciiTheme="majorHAnsi" w:hAnsiTheme="majorHAnsi"/>
          <w:color w:val="auto"/>
          <w:sz w:val="20"/>
          <w:szCs w:val="20"/>
          <w:lang w:val="es-ES_tradnl"/>
        </w:rPr>
        <w:t>del</w:t>
      </w:r>
      <w:r w:rsidR="005A5076" w:rsidRPr="00095478">
        <w:rPr>
          <w:rFonts w:asciiTheme="majorHAnsi" w:hAnsiTheme="majorHAnsi"/>
          <w:color w:val="auto"/>
          <w:sz w:val="20"/>
          <w:szCs w:val="20"/>
          <w:lang w:val="es-ES_tradnl"/>
        </w:rPr>
        <w:t xml:space="preserve"> descuerdo entre las partes respecto a </w:t>
      </w:r>
      <w:r>
        <w:rPr>
          <w:rFonts w:asciiTheme="majorHAnsi" w:hAnsiTheme="majorHAnsi"/>
          <w:color w:val="auto"/>
          <w:sz w:val="20"/>
          <w:szCs w:val="20"/>
          <w:lang w:val="es-ES_tradnl"/>
        </w:rPr>
        <w:t xml:space="preserve">la </w:t>
      </w:r>
      <w:r w:rsidR="005A5076" w:rsidRPr="00095478">
        <w:rPr>
          <w:rFonts w:asciiTheme="majorHAnsi" w:hAnsiTheme="majorHAnsi"/>
          <w:color w:val="auto"/>
          <w:sz w:val="20"/>
          <w:szCs w:val="20"/>
          <w:lang w:val="es-ES_tradnl"/>
        </w:rPr>
        <w:t xml:space="preserve">decisión </w:t>
      </w:r>
      <w:r>
        <w:rPr>
          <w:rFonts w:asciiTheme="majorHAnsi" w:hAnsiTheme="majorHAnsi"/>
          <w:color w:val="auto"/>
          <w:sz w:val="20"/>
          <w:szCs w:val="20"/>
          <w:lang w:val="es-ES_tradnl"/>
        </w:rPr>
        <w:t xml:space="preserve">de la jurisdicción interna que </w:t>
      </w:r>
      <w:r w:rsidR="005A5076" w:rsidRPr="00095478">
        <w:rPr>
          <w:rFonts w:asciiTheme="majorHAnsi" w:hAnsiTheme="majorHAnsi"/>
          <w:color w:val="auto"/>
          <w:sz w:val="20"/>
          <w:szCs w:val="20"/>
          <w:lang w:val="es-ES_tradnl"/>
        </w:rPr>
        <w:t>debe valorarse como la definitiva para c</w:t>
      </w:r>
      <w:r w:rsidR="001A4D7B">
        <w:rPr>
          <w:rFonts w:asciiTheme="majorHAnsi" w:hAnsiTheme="majorHAnsi"/>
          <w:color w:val="auto"/>
          <w:sz w:val="20"/>
          <w:szCs w:val="20"/>
          <w:lang w:val="es-ES_tradnl"/>
        </w:rPr>
        <w:t>a</w:t>
      </w:r>
      <w:r w:rsidR="005A5076" w:rsidRPr="00095478">
        <w:rPr>
          <w:rFonts w:asciiTheme="majorHAnsi" w:hAnsiTheme="majorHAnsi"/>
          <w:color w:val="auto"/>
          <w:sz w:val="20"/>
          <w:szCs w:val="20"/>
          <w:lang w:val="es-ES_tradnl"/>
        </w:rPr>
        <w:t>lcul</w:t>
      </w:r>
      <w:r w:rsidR="001A4D7B">
        <w:rPr>
          <w:rFonts w:asciiTheme="majorHAnsi" w:hAnsiTheme="majorHAnsi"/>
          <w:color w:val="auto"/>
          <w:sz w:val="20"/>
          <w:szCs w:val="20"/>
          <w:lang w:val="es-ES_tradnl"/>
        </w:rPr>
        <w:t>ar</w:t>
      </w:r>
      <w:r w:rsidR="005A5076" w:rsidRPr="00095478">
        <w:rPr>
          <w:rFonts w:asciiTheme="majorHAnsi" w:hAnsiTheme="majorHAnsi"/>
          <w:color w:val="auto"/>
          <w:sz w:val="20"/>
          <w:szCs w:val="20"/>
          <w:lang w:val="es-ES_tradnl"/>
        </w:rPr>
        <w:t xml:space="preserve"> el plazo </w:t>
      </w:r>
      <w:r w:rsidR="001A4D7B">
        <w:rPr>
          <w:rFonts w:asciiTheme="majorHAnsi" w:hAnsiTheme="majorHAnsi"/>
          <w:color w:val="auto"/>
          <w:sz w:val="20"/>
          <w:szCs w:val="20"/>
          <w:lang w:val="es-ES_tradnl"/>
        </w:rPr>
        <w:t>de</w:t>
      </w:r>
      <w:r w:rsidR="005A5076" w:rsidRPr="00095478">
        <w:rPr>
          <w:rFonts w:asciiTheme="majorHAnsi" w:hAnsiTheme="majorHAnsi"/>
          <w:color w:val="auto"/>
          <w:sz w:val="20"/>
          <w:szCs w:val="20"/>
          <w:lang w:val="es-ES_tradnl"/>
        </w:rPr>
        <w:t xml:space="preserve"> presentación de la petición.</w:t>
      </w:r>
    </w:p>
    <w:p w14:paraId="2457F23F" w14:textId="77777777" w:rsidR="004B153A" w:rsidRPr="00095478"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6CBD9555" w14:textId="1E83E534" w:rsidR="00D06D4B" w:rsidRPr="004B153A" w:rsidRDefault="00D06D4B"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olor w:val="auto"/>
          <w:sz w:val="20"/>
          <w:szCs w:val="20"/>
          <w:lang w:val="es-ES_tradnl"/>
        </w:rPr>
        <w:t>Según lo expuesto por las partes,</w:t>
      </w:r>
      <w:r w:rsidR="005A5076" w:rsidRPr="00095478">
        <w:rPr>
          <w:rFonts w:asciiTheme="majorHAnsi" w:hAnsiTheme="majorHAnsi"/>
          <w:color w:val="auto"/>
          <w:sz w:val="20"/>
          <w:szCs w:val="20"/>
          <w:lang w:val="es-ES_tradnl"/>
        </w:rPr>
        <w:t xml:space="preserve"> las presuntas víctimas fuero</w:t>
      </w:r>
      <w:r w:rsidRPr="00095478">
        <w:rPr>
          <w:rFonts w:asciiTheme="majorHAnsi" w:hAnsiTheme="majorHAnsi"/>
          <w:color w:val="auto"/>
          <w:sz w:val="20"/>
          <w:szCs w:val="20"/>
          <w:lang w:val="es-ES_tradnl"/>
        </w:rPr>
        <w:t>n juzgad</w:t>
      </w:r>
      <w:r w:rsidR="001A4D7B">
        <w:rPr>
          <w:rFonts w:asciiTheme="majorHAnsi" w:hAnsiTheme="majorHAnsi"/>
          <w:color w:val="auto"/>
          <w:sz w:val="20"/>
          <w:szCs w:val="20"/>
          <w:lang w:val="es-ES_tradnl"/>
        </w:rPr>
        <w:t>a</w:t>
      </w:r>
      <w:r w:rsidRPr="00095478">
        <w:rPr>
          <w:rFonts w:asciiTheme="majorHAnsi" w:hAnsiTheme="majorHAnsi"/>
          <w:color w:val="auto"/>
          <w:sz w:val="20"/>
          <w:szCs w:val="20"/>
          <w:lang w:val="es-ES_tradnl"/>
        </w:rPr>
        <w:t>s penalmente</w:t>
      </w:r>
      <w:r w:rsidR="001A4D7B">
        <w:rPr>
          <w:rFonts w:asciiTheme="majorHAnsi" w:hAnsiTheme="majorHAnsi"/>
          <w:color w:val="auto"/>
          <w:sz w:val="20"/>
          <w:szCs w:val="20"/>
          <w:lang w:val="es-ES_tradnl"/>
        </w:rPr>
        <w:t xml:space="preserve"> y </w:t>
      </w:r>
      <w:r w:rsidRPr="00095478">
        <w:rPr>
          <w:rFonts w:asciiTheme="majorHAnsi" w:hAnsiTheme="majorHAnsi"/>
          <w:color w:val="auto"/>
          <w:sz w:val="20"/>
          <w:szCs w:val="20"/>
          <w:lang w:val="es-ES_tradnl"/>
        </w:rPr>
        <w:t>absuelt</w:t>
      </w:r>
      <w:r w:rsidR="001A4D7B">
        <w:rPr>
          <w:rFonts w:asciiTheme="majorHAnsi" w:hAnsiTheme="majorHAnsi"/>
          <w:color w:val="auto"/>
          <w:sz w:val="20"/>
          <w:szCs w:val="20"/>
          <w:lang w:val="es-ES_tradnl"/>
        </w:rPr>
        <w:t>a</w:t>
      </w:r>
      <w:r w:rsidRPr="00095478">
        <w:rPr>
          <w:rFonts w:asciiTheme="majorHAnsi" w:hAnsiTheme="majorHAnsi"/>
          <w:color w:val="auto"/>
          <w:sz w:val="20"/>
          <w:szCs w:val="20"/>
          <w:lang w:val="es-ES_tradnl"/>
        </w:rPr>
        <w:t>s en primera instancia</w:t>
      </w:r>
      <w:r w:rsidR="001A4D7B">
        <w:rPr>
          <w:rFonts w:asciiTheme="majorHAnsi" w:hAnsiTheme="majorHAnsi"/>
          <w:color w:val="auto"/>
          <w:sz w:val="20"/>
          <w:szCs w:val="20"/>
          <w:lang w:val="es-ES_tradnl"/>
        </w:rPr>
        <w:t>,</w:t>
      </w:r>
      <w:r w:rsidRPr="00095478">
        <w:rPr>
          <w:rFonts w:asciiTheme="majorHAnsi" w:hAnsiTheme="majorHAnsi"/>
          <w:color w:val="auto"/>
          <w:sz w:val="20"/>
          <w:szCs w:val="20"/>
          <w:lang w:val="es-ES_tradnl"/>
        </w:rPr>
        <w:t xml:space="preserve"> pero luego condenad</w:t>
      </w:r>
      <w:r w:rsidR="001A4D7B">
        <w:rPr>
          <w:rFonts w:asciiTheme="majorHAnsi" w:hAnsiTheme="majorHAnsi"/>
          <w:color w:val="auto"/>
          <w:sz w:val="20"/>
          <w:szCs w:val="20"/>
          <w:lang w:val="es-ES_tradnl"/>
        </w:rPr>
        <w:t>a</w:t>
      </w:r>
      <w:r w:rsidRPr="00095478">
        <w:rPr>
          <w:rFonts w:asciiTheme="majorHAnsi" w:hAnsiTheme="majorHAnsi"/>
          <w:color w:val="auto"/>
          <w:sz w:val="20"/>
          <w:szCs w:val="20"/>
          <w:lang w:val="es-ES_tradnl"/>
        </w:rPr>
        <w:t>s por un tribunal de alzada. Esta condena fue recurrida mediante un recurso de casación que fue inadmitido</w:t>
      </w:r>
      <w:r w:rsidR="001A4D7B">
        <w:rPr>
          <w:rFonts w:asciiTheme="majorHAnsi" w:hAnsiTheme="majorHAnsi"/>
          <w:color w:val="auto"/>
          <w:sz w:val="20"/>
          <w:szCs w:val="20"/>
          <w:lang w:val="es-ES_tradnl"/>
        </w:rPr>
        <w:t>; contra esta decisión se plante</w:t>
      </w:r>
      <w:proofErr w:type="spellStart"/>
      <w:r w:rsidR="001A4D7B">
        <w:rPr>
          <w:rFonts w:asciiTheme="majorHAnsi" w:hAnsiTheme="majorHAnsi"/>
          <w:color w:val="auto"/>
          <w:sz w:val="20"/>
          <w:szCs w:val="20"/>
          <w:lang w:val="es-ES"/>
        </w:rPr>
        <w:t>ó</w:t>
      </w:r>
      <w:proofErr w:type="spellEnd"/>
      <w:r w:rsidRPr="00095478">
        <w:rPr>
          <w:rFonts w:asciiTheme="majorHAnsi" w:hAnsiTheme="majorHAnsi"/>
          <w:color w:val="auto"/>
          <w:sz w:val="20"/>
          <w:szCs w:val="20"/>
          <w:lang w:val="es-ES_tradnl"/>
        </w:rPr>
        <w:t xml:space="preserve"> un recurso de amparo que tampoco fue exitoso. Paralelamente</w:t>
      </w:r>
      <w:r w:rsidR="005B2F8A">
        <w:rPr>
          <w:rFonts w:asciiTheme="majorHAnsi" w:hAnsiTheme="majorHAnsi"/>
          <w:color w:val="auto"/>
          <w:sz w:val="20"/>
          <w:szCs w:val="20"/>
          <w:lang w:val="es-ES_tradnl"/>
        </w:rPr>
        <w:t>,</w:t>
      </w:r>
      <w:r w:rsidRPr="00095478">
        <w:rPr>
          <w:rFonts w:asciiTheme="majorHAnsi" w:hAnsiTheme="majorHAnsi"/>
          <w:color w:val="auto"/>
          <w:sz w:val="20"/>
          <w:szCs w:val="20"/>
          <w:lang w:val="es-ES_tradnl"/>
        </w:rPr>
        <w:t xml:space="preserve"> las presuntas víctimas interpusieron sin éxito múltiples recursos para procurar que se declarara que la acción penal en su contra se encontraba extinguida por prescripción</w:t>
      </w:r>
      <w:r w:rsidR="005B2F8A">
        <w:rPr>
          <w:rFonts w:asciiTheme="majorHAnsi" w:hAnsiTheme="majorHAnsi"/>
          <w:color w:val="auto"/>
          <w:sz w:val="20"/>
          <w:szCs w:val="20"/>
          <w:lang w:val="es-ES_tradnl"/>
        </w:rPr>
        <w:t>;</w:t>
      </w:r>
      <w:r w:rsidRPr="00095478">
        <w:rPr>
          <w:rFonts w:asciiTheme="majorHAnsi" w:hAnsiTheme="majorHAnsi"/>
          <w:color w:val="auto"/>
          <w:sz w:val="20"/>
          <w:szCs w:val="20"/>
          <w:lang w:val="es-ES_tradnl"/>
        </w:rPr>
        <w:t xml:space="preserve"> </w:t>
      </w:r>
      <w:r w:rsidR="005B2F8A">
        <w:rPr>
          <w:rFonts w:asciiTheme="majorHAnsi" w:hAnsiTheme="majorHAnsi"/>
          <w:color w:val="auto"/>
          <w:sz w:val="20"/>
          <w:szCs w:val="20"/>
          <w:lang w:val="es-ES_tradnl"/>
        </w:rPr>
        <w:t>f</w:t>
      </w:r>
      <w:r w:rsidR="00142247" w:rsidRPr="00095478">
        <w:rPr>
          <w:rFonts w:asciiTheme="majorHAnsi" w:hAnsiTheme="majorHAnsi"/>
          <w:color w:val="auto"/>
          <w:sz w:val="20"/>
          <w:szCs w:val="20"/>
          <w:lang w:val="es-ES_tradnl"/>
        </w:rPr>
        <w:t xml:space="preserve">inalmente, interpusieron una acción de libertad contra la ejecución del mandamiento de condena, que fue </w:t>
      </w:r>
      <w:r w:rsidR="005B2F8A">
        <w:rPr>
          <w:rFonts w:asciiTheme="majorHAnsi" w:hAnsiTheme="majorHAnsi"/>
          <w:color w:val="auto"/>
          <w:sz w:val="20"/>
          <w:szCs w:val="20"/>
          <w:lang w:val="es-ES_tradnl"/>
        </w:rPr>
        <w:t xml:space="preserve">igualmente </w:t>
      </w:r>
      <w:r w:rsidR="00142247" w:rsidRPr="00095478">
        <w:rPr>
          <w:rFonts w:asciiTheme="majorHAnsi" w:hAnsiTheme="majorHAnsi"/>
          <w:color w:val="auto"/>
          <w:sz w:val="20"/>
          <w:szCs w:val="20"/>
          <w:lang w:val="es-ES_tradnl"/>
        </w:rPr>
        <w:t>rechazada. El Estado ha hecho referencia a múltiples recursos que</w:t>
      </w:r>
      <w:r w:rsidR="005B2F8A">
        <w:rPr>
          <w:rFonts w:asciiTheme="majorHAnsi" w:hAnsiTheme="majorHAnsi"/>
          <w:color w:val="auto"/>
          <w:sz w:val="20"/>
          <w:szCs w:val="20"/>
          <w:lang w:val="es-ES_tradnl"/>
        </w:rPr>
        <w:t>,</w:t>
      </w:r>
      <w:r w:rsidR="00142247" w:rsidRPr="00095478">
        <w:rPr>
          <w:rFonts w:asciiTheme="majorHAnsi" w:hAnsiTheme="majorHAnsi"/>
          <w:color w:val="auto"/>
          <w:sz w:val="20"/>
          <w:szCs w:val="20"/>
          <w:lang w:val="es-ES_tradnl"/>
        </w:rPr>
        <w:t xml:space="preserve"> a su juicio</w:t>
      </w:r>
      <w:r w:rsidR="005B2F8A">
        <w:rPr>
          <w:rFonts w:asciiTheme="majorHAnsi" w:hAnsiTheme="majorHAnsi"/>
          <w:color w:val="auto"/>
          <w:sz w:val="20"/>
          <w:szCs w:val="20"/>
          <w:lang w:val="es-ES_tradnl"/>
        </w:rPr>
        <w:t>,</w:t>
      </w:r>
      <w:r w:rsidR="00142247" w:rsidRPr="00095478">
        <w:rPr>
          <w:rFonts w:asciiTheme="majorHAnsi" w:hAnsiTheme="majorHAnsi"/>
          <w:color w:val="auto"/>
          <w:sz w:val="20"/>
          <w:szCs w:val="20"/>
          <w:lang w:val="es-ES_tradnl"/>
        </w:rPr>
        <w:t xml:space="preserve"> debieron ser agotados por las presuntas víctimas antes de acudir al </w:t>
      </w:r>
      <w:r w:rsidR="005B2F8A">
        <w:rPr>
          <w:rFonts w:asciiTheme="majorHAnsi" w:hAnsiTheme="majorHAnsi"/>
          <w:color w:val="auto"/>
          <w:sz w:val="20"/>
          <w:szCs w:val="20"/>
          <w:lang w:val="es-ES_tradnl"/>
        </w:rPr>
        <w:t>s</w:t>
      </w:r>
      <w:r w:rsidR="00142247" w:rsidRPr="00095478">
        <w:rPr>
          <w:rFonts w:asciiTheme="majorHAnsi" w:hAnsiTheme="majorHAnsi"/>
          <w:color w:val="auto"/>
          <w:sz w:val="20"/>
          <w:szCs w:val="20"/>
          <w:lang w:val="es-ES_tradnl"/>
        </w:rPr>
        <w:t xml:space="preserve">istema </w:t>
      </w:r>
      <w:r w:rsidR="005B2F8A">
        <w:rPr>
          <w:rFonts w:asciiTheme="majorHAnsi" w:hAnsiTheme="majorHAnsi"/>
          <w:color w:val="auto"/>
          <w:sz w:val="20"/>
          <w:szCs w:val="20"/>
          <w:lang w:val="es-ES_tradnl"/>
        </w:rPr>
        <w:t>i</w:t>
      </w:r>
      <w:r w:rsidR="00142247" w:rsidRPr="00095478">
        <w:rPr>
          <w:rFonts w:asciiTheme="majorHAnsi" w:hAnsiTheme="majorHAnsi"/>
          <w:color w:val="auto"/>
          <w:sz w:val="20"/>
          <w:szCs w:val="20"/>
          <w:lang w:val="es-ES_tradnl"/>
        </w:rPr>
        <w:t xml:space="preserve">nteramericano. </w:t>
      </w:r>
      <w:r w:rsidR="008D50EB" w:rsidRPr="00095478">
        <w:rPr>
          <w:rFonts w:asciiTheme="majorHAnsi" w:hAnsiTheme="majorHAnsi"/>
          <w:color w:val="auto"/>
          <w:sz w:val="20"/>
          <w:szCs w:val="20"/>
          <w:lang w:val="es-ES_tradnl"/>
        </w:rPr>
        <w:t xml:space="preserve">La Comisión </w:t>
      </w:r>
      <w:r w:rsidR="005B2F8A">
        <w:rPr>
          <w:rFonts w:asciiTheme="majorHAnsi" w:hAnsiTheme="majorHAnsi"/>
          <w:color w:val="auto"/>
          <w:sz w:val="20"/>
          <w:szCs w:val="20"/>
          <w:lang w:val="es-ES_tradnl"/>
        </w:rPr>
        <w:t xml:space="preserve">Interamericana </w:t>
      </w:r>
      <w:r w:rsidR="008D50EB" w:rsidRPr="00095478">
        <w:rPr>
          <w:rFonts w:asciiTheme="majorHAnsi" w:hAnsiTheme="majorHAnsi"/>
          <w:color w:val="auto"/>
          <w:sz w:val="20"/>
          <w:szCs w:val="20"/>
          <w:lang w:val="es-ES_tradnl"/>
        </w:rPr>
        <w:t xml:space="preserve">ha determinado </w:t>
      </w:r>
      <w:r w:rsidR="005B2F8A">
        <w:rPr>
          <w:rFonts w:asciiTheme="majorHAnsi" w:hAnsiTheme="majorHAnsi"/>
          <w:color w:val="auto"/>
          <w:sz w:val="20"/>
          <w:szCs w:val="20"/>
          <w:lang w:val="es-ES_tradnl"/>
        </w:rPr>
        <w:t xml:space="preserve">anteriormente </w:t>
      </w:r>
      <w:r w:rsidR="008D50EB" w:rsidRPr="00095478">
        <w:rPr>
          <w:rFonts w:asciiTheme="majorHAnsi" w:hAnsiTheme="majorHAnsi"/>
          <w:color w:val="auto"/>
          <w:sz w:val="20"/>
          <w:szCs w:val="20"/>
          <w:lang w:val="es-ES_tradnl"/>
        </w:rPr>
        <w:t>que “</w:t>
      </w:r>
      <w:r w:rsidR="008D50EB" w:rsidRPr="00095478">
        <w:rPr>
          <w:rFonts w:asciiTheme="majorHAnsi" w:hAnsiTheme="majorHAnsi" w:cs="Calibri"/>
          <w:color w:val="auto"/>
          <w:sz w:val="20"/>
          <w:szCs w:val="20"/>
          <w:lang w:val="es-ES_tradnl"/>
        </w:rPr>
        <w:t>los únicos recursos que son necesarios agotar son aquellos cuyas funciones, dentro del sistema jurídico, son apropiados para brindar protección tendiente a remediar una infracción de determinado derecho legal"</w:t>
      </w:r>
      <w:r w:rsidR="004E6A64" w:rsidRPr="00095478">
        <w:rPr>
          <w:rStyle w:val="FootnoteReference"/>
          <w:rFonts w:asciiTheme="majorHAnsi" w:hAnsiTheme="majorHAnsi" w:cs="Calibri"/>
          <w:color w:val="auto"/>
          <w:sz w:val="20"/>
          <w:szCs w:val="20"/>
          <w:lang w:val="es-ES_tradnl"/>
        </w:rPr>
        <w:footnoteReference w:id="4"/>
      </w:r>
      <w:r w:rsidR="004E6A64" w:rsidRPr="00095478">
        <w:rPr>
          <w:rFonts w:asciiTheme="majorHAnsi" w:hAnsiTheme="majorHAnsi" w:cs="Calibri"/>
          <w:color w:val="auto"/>
          <w:sz w:val="20"/>
          <w:szCs w:val="20"/>
          <w:lang w:val="es-ES_tradnl"/>
        </w:rPr>
        <w:t xml:space="preserve">. Por </w:t>
      </w:r>
      <w:r w:rsidR="005B2F8A">
        <w:rPr>
          <w:rFonts w:asciiTheme="majorHAnsi" w:hAnsiTheme="majorHAnsi" w:cs="Calibri"/>
          <w:color w:val="auto"/>
          <w:sz w:val="20"/>
          <w:szCs w:val="20"/>
          <w:lang w:val="es-ES_tradnl"/>
        </w:rPr>
        <w:t>lo tanto</w:t>
      </w:r>
      <w:r w:rsidR="004E6A64" w:rsidRPr="00095478">
        <w:rPr>
          <w:rFonts w:asciiTheme="majorHAnsi" w:hAnsiTheme="majorHAnsi" w:cs="Calibri"/>
          <w:color w:val="auto"/>
          <w:sz w:val="20"/>
          <w:szCs w:val="20"/>
          <w:lang w:val="es-ES_tradnl"/>
        </w:rPr>
        <w:t>, la C</w:t>
      </w:r>
      <w:r w:rsidR="005B2F8A">
        <w:rPr>
          <w:rFonts w:asciiTheme="majorHAnsi" w:hAnsiTheme="majorHAnsi" w:cs="Calibri"/>
          <w:color w:val="auto"/>
          <w:sz w:val="20"/>
          <w:szCs w:val="20"/>
          <w:lang w:val="es-ES_tradnl"/>
        </w:rPr>
        <w:t>IDH</w:t>
      </w:r>
      <w:r w:rsidR="004E6A64" w:rsidRPr="00095478">
        <w:rPr>
          <w:rFonts w:asciiTheme="majorHAnsi" w:hAnsiTheme="majorHAnsi" w:cs="Calibri"/>
          <w:color w:val="auto"/>
          <w:sz w:val="20"/>
          <w:szCs w:val="20"/>
          <w:lang w:val="es-ES_tradnl"/>
        </w:rPr>
        <w:t xml:space="preserve"> debe examinar si los recursos identificados por el Estado como no agotados </w:t>
      </w:r>
      <w:r w:rsidR="004B153A">
        <w:rPr>
          <w:rFonts w:asciiTheme="majorHAnsi" w:hAnsiTheme="majorHAnsi" w:cs="Calibri"/>
          <w:color w:val="auto"/>
          <w:sz w:val="20"/>
          <w:szCs w:val="20"/>
          <w:lang w:val="es-ES_tradnl"/>
        </w:rPr>
        <w:t xml:space="preserve">habrían </w:t>
      </w:r>
      <w:r w:rsidR="004E6A64" w:rsidRPr="00095478">
        <w:rPr>
          <w:rFonts w:asciiTheme="majorHAnsi" w:hAnsiTheme="majorHAnsi" w:cs="Calibri"/>
          <w:color w:val="auto"/>
          <w:sz w:val="20"/>
          <w:szCs w:val="20"/>
          <w:lang w:val="es-ES_tradnl"/>
        </w:rPr>
        <w:t xml:space="preserve">resultado apropiados para que las presuntas víctimas obtuviesen protección </w:t>
      </w:r>
      <w:r w:rsidR="00095478" w:rsidRPr="00095478">
        <w:rPr>
          <w:rFonts w:asciiTheme="majorHAnsi" w:hAnsiTheme="majorHAnsi" w:cs="Calibri"/>
          <w:color w:val="auto"/>
          <w:sz w:val="20"/>
          <w:szCs w:val="20"/>
          <w:lang w:val="es-ES_tradnl"/>
        </w:rPr>
        <w:t>con relación a</w:t>
      </w:r>
      <w:r w:rsidR="004E6A64" w:rsidRPr="00095478">
        <w:rPr>
          <w:rFonts w:asciiTheme="majorHAnsi" w:hAnsiTheme="majorHAnsi" w:cs="Calibri"/>
          <w:color w:val="auto"/>
          <w:sz w:val="20"/>
          <w:szCs w:val="20"/>
          <w:lang w:val="es-ES_tradnl"/>
        </w:rPr>
        <w:t xml:space="preserve"> las presuntas vulneraciones </w:t>
      </w:r>
      <w:r w:rsidR="005B2F8A">
        <w:rPr>
          <w:rFonts w:asciiTheme="majorHAnsi" w:hAnsiTheme="majorHAnsi" w:cs="Calibri"/>
          <w:color w:val="auto"/>
          <w:sz w:val="20"/>
          <w:szCs w:val="20"/>
          <w:lang w:val="es-ES_tradnl"/>
        </w:rPr>
        <w:t>de</w:t>
      </w:r>
      <w:r w:rsidR="004E6A64" w:rsidRPr="00095478">
        <w:rPr>
          <w:rFonts w:asciiTheme="majorHAnsi" w:hAnsiTheme="majorHAnsi" w:cs="Calibri"/>
          <w:color w:val="auto"/>
          <w:sz w:val="20"/>
          <w:szCs w:val="20"/>
          <w:lang w:val="es-ES_tradnl"/>
        </w:rPr>
        <w:t xml:space="preserve"> derechos denunciadas en la petición. </w:t>
      </w:r>
    </w:p>
    <w:p w14:paraId="433CF48A" w14:textId="77777777" w:rsidR="004B153A" w:rsidRPr="00095478"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57ECD2AB" w14:textId="353554F1" w:rsidR="00892975" w:rsidRPr="004B153A" w:rsidRDefault="004E6A64"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s="Calibri"/>
          <w:color w:val="auto"/>
          <w:sz w:val="20"/>
          <w:szCs w:val="20"/>
          <w:lang w:val="es-ES_tradnl"/>
        </w:rPr>
        <w:t>El Estado indica que las presuntas víctimas debieron presentar un recurso de apelación restringida para solicitar la confirmación de la sentencia que les absolvi</w:t>
      </w:r>
      <w:r w:rsidR="00370AB2" w:rsidRPr="00095478">
        <w:rPr>
          <w:rFonts w:asciiTheme="majorHAnsi" w:hAnsiTheme="majorHAnsi" w:cs="Calibri"/>
          <w:color w:val="auto"/>
          <w:sz w:val="20"/>
          <w:szCs w:val="20"/>
          <w:lang w:val="es-ES_tradnl"/>
        </w:rPr>
        <w:t>ó en primera instancia</w:t>
      </w:r>
      <w:r w:rsidR="004B153A">
        <w:rPr>
          <w:rFonts w:asciiTheme="majorHAnsi" w:hAnsiTheme="majorHAnsi" w:cs="Calibri"/>
          <w:color w:val="auto"/>
          <w:sz w:val="20"/>
          <w:szCs w:val="20"/>
          <w:lang w:val="es-ES_tradnl"/>
        </w:rPr>
        <w:t>;</w:t>
      </w:r>
      <w:r w:rsidR="00370AB2" w:rsidRPr="00095478">
        <w:rPr>
          <w:rFonts w:asciiTheme="majorHAnsi" w:hAnsiTheme="majorHAnsi" w:cs="Calibri"/>
          <w:color w:val="auto"/>
          <w:sz w:val="20"/>
          <w:szCs w:val="20"/>
          <w:lang w:val="es-ES_tradnl"/>
        </w:rPr>
        <w:t xml:space="preserve"> </w:t>
      </w:r>
      <w:r w:rsidR="004B153A">
        <w:rPr>
          <w:rFonts w:asciiTheme="majorHAnsi" w:hAnsiTheme="majorHAnsi" w:cs="Calibri"/>
          <w:color w:val="auto"/>
          <w:sz w:val="20"/>
          <w:szCs w:val="20"/>
          <w:lang w:val="es-ES_tradnl"/>
        </w:rPr>
        <w:t>y</w:t>
      </w:r>
      <w:r w:rsidR="00370AB2" w:rsidRPr="00095478">
        <w:rPr>
          <w:rFonts w:asciiTheme="majorHAnsi" w:hAnsiTheme="majorHAnsi" w:cs="Calibri"/>
          <w:color w:val="auto"/>
          <w:sz w:val="20"/>
          <w:szCs w:val="20"/>
          <w:lang w:val="es-ES_tradnl"/>
        </w:rPr>
        <w:t xml:space="preserve"> que debieron haber ejercido su derecho a oponerse a los recursos de apelación presentados por la parte acusadora contra la sentencia absolutoria. </w:t>
      </w:r>
      <w:r w:rsidR="00892975" w:rsidRPr="00095478">
        <w:rPr>
          <w:rFonts w:asciiTheme="majorHAnsi" w:hAnsiTheme="majorHAnsi" w:cs="Calibri"/>
          <w:color w:val="auto"/>
          <w:sz w:val="20"/>
          <w:szCs w:val="20"/>
          <w:lang w:val="es-ES_tradnl"/>
        </w:rPr>
        <w:t xml:space="preserve">Al respecto, la Comisión </w:t>
      </w:r>
      <w:r w:rsidR="008C28E5">
        <w:rPr>
          <w:rFonts w:asciiTheme="majorHAnsi" w:hAnsiTheme="majorHAnsi" w:cs="Calibri"/>
          <w:color w:val="auto"/>
          <w:sz w:val="20"/>
          <w:szCs w:val="20"/>
          <w:lang w:val="es-ES_tradnl"/>
        </w:rPr>
        <w:t>Interamericana observa</w:t>
      </w:r>
      <w:r w:rsidR="00892975" w:rsidRPr="00095478">
        <w:rPr>
          <w:rFonts w:asciiTheme="majorHAnsi" w:hAnsiTheme="majorHAnsi" w:cs="Calibri"/>
          <w:color w:val="auto"/>
          <w:sz w:val="20"/>
          <w:szCs w:val="20"/>
          <w:lang w:val="es-ES_tradnl"/>
        </w:rPr>
        <w:t xml:space="preserve"> que </w:t>
      </w:r>
      <w:r w:rsidR="008C28E5">
        <w:rPr>
          <w:rFonts w:asciiTheme="majorHAnsi" w:hAnsiTheme="majorHAnsi" w:cs="Calibri"/>
          <w:color w:val="auto"/>
          <w:sz w:val="20"/>
          <w:szCs w:val="20"/>
          <w:lang w:val="es-ES_tradnl"/>
        </w:rPr>
        <w:t xml:space="preserve">el peticionario </w:t>
      </w:r>
      <w:r w:rsidR="00892975" w:rsidRPr="00095478">
        <w:rPr>
          <w:rFonts w:asciiTheme="majorHAnsi" w:hAnsiTheme="majorHAnsi" w:cs="Calibri"/>
          <w:color w:val="auto"/>
          <w:sz w:val="20"/>
          <w:szCs w:val="20"/>
          <w:lang w:val="es-ES_tradnl"/>
        </w:rPr>
        <w:t xml:space="preserve">denuncia presuntas violaciones </w:t>
      </w:r>
      <w:r w:rsidR="008C28E5">
        <w:rPr>
          <w:rFonts w:asciiTheme="majorHAnsi" w:hAnsiTheme="majorHAnsi" w:cs="Calibri"/>
          <w:color w:val="auto"/>
          <w:sz w:val="20"/>
          <w:szCs w:val="20"/>
          <w:lang w:val="es-ES_tradnl"/>
        </w:rPr>
        <w:t>de</w:t>
      </w:r>
      <w:r w:rsidR="00892975" w:rsidRPr="00095478">
        <w:rPr>
          <w:rFonts w:asciiTheme="majorHAnsi" w:hAnsiTheme="majorHAnsi" w:cs="Calibri"/>
          <w:color w:val="auto"/>
          <w:sz w:val="20"/>
          <w:szCs w:val="20"/>
          <w:lang w:val="es-ES_tradnl"/>
        </w:rPr>
        <w:t xml:space="preserve"> los derechos de las presuntas víctimas </w:t>
      </w:r>
      <w:r w:rsidR="00244C81" w:rsidRPr="00095478">
        <w:rPr>
          <w:rFonts w:asciiTheme="majorHAnsi" w:hAnsiTheme="majorHAnsi" w:cs="Calibri"/>
          <w:color w:val="auto"/>
          <w:sz w:val="20"/>
          <w:szCs w:val="20"/>
          <w:lang w:val="es-ES_tradnl"/>
        </w:rPr>
        <w:t xml:space="preserve">a partir de </w:t>
      </w:r>
      <w:r w:rsidR="008C28E5">
        <w:rPr>
          <w:rFonts w:asciiTheme="majorHAnsi" w:hAnsiTheme="majorHAnsi" w:cs="Calibri"/>
          <w:color w:val="auto"/>
          <w:sz w:val="20"/>
          <w:szCs w:val="20"/>
          <w:lang w:val="es-ES_tradnl"/>
        </w:rPr>
        <w:t xml:space="preserve">la </w:t>
      </w:r>
      <w:r w:rsidR="008C28E5" w:rsidRPr="00095478">
        <w:rPr>
          <w:rFonts w:asciiTheme="majorHAnsi" w:hAnsiTheme="majorHAnsi" w:cs="Calibri"/>
          <w:color w:val="auto"/>
          <w:sz w:val="20"/>
          <w:szCs w:val="20"/>
          <w:lang w:val="es-ES_tradnl"/>
        </w:rPr>
        <w:t xml:space="preserve">decisión condenatoria </w:t>
      </w:r>
      <w:r w:rsidR="008C28E5">
        <w:rPr>
          <w:rFonts w:asciiTheme="majorHAnsi" w:hAnsiTheme="majorHAnsi" w:cs="Calibri"/>
          <w:color w:val="auto"/>
          <w:sz w:val="20"/>
          <w:szCs w:val="20"/>
          <w:lang w:val="es-ES_tradnl"/>
        </w:rPr>
        <w:t>d</w:t>
      </w:r>
      <w:r w:rsidR="00244C81" w:rsidRPr="00095478">
        <w:rPr>
          <w:rFonts w:asciiTheme="majorHAnsi" w:hAnsiTheme="majorHAnsi" w:cs="Calibri"/>
          <w:color w:val="auto"/>
          <w:sz w:val="20"/>
          <w:szCs w:val="20"/>
          <w:lang w:val="es-ES_tradnl"/>
        </w:rPr>
        <w:t>el tribunal de alzada</w:t>
      </w:r>
      <w:r w:rsidR="00892975" w:rsidRPr="00095478">
        <w:rPr>
          <w:rFonts w:asciiTheme="majorHAnsi" w:hAnsiTheme="majorHAnsi" w:cs="Calibri"/>
          <w:color w:val="auto"/>
          <w:sz w:val="20"/>
          <w:szCs w:val="20"/>
          <w:lang w:val="es-ES_tradnl"/>
        </w:rPr>
        <w:t xml:space="preserve">. </w:t>
      </w:r>
      <w:r w:rsidR="008171D4" w:rsidRPr="00095478">
        <w:rPr>
          <w:rFonts w:asciiTheme="majorHAnsi" w:hAnsiTheme="majorHAnsi" w:cs="Calibri"/>
          <w:color w:val="auto"/>
          <w:sz w:val="20"/>
          <w:szCs w:val="20"/>
          <w:lang w:val="es-ES_tradnl"/>
        </w:rPr>
        <w:t>En este sentido, la C</w:t>
      </w:r>
      <w:r w:rsidR="008C28E5">
        <w:rPr>
          <w:rFonts w:asciiTheme="majorHAnsi" w:hAnsiTheme="majorHAnsi" w:cs="Calibri"/>
          <w:color w:val="auto"/>
          <w:sz w:val="20"/>
          <w:szCs w:val="20"/>
          <w:lang w:val="es-ES_tradnl"/>
        </w:rPr>
        <w:t>IDH</w:t>
      </w:r>
      <w:r w:rsidR="008171D4" w:rsidRPr="00095478">
        <w:rPr>
          <w:rFonts w:asciiTheme="majorHAnsi" w:hAnsiTheme="majorHAnsi" w:cs="Calibri"/>
          <w:color w:val="auto"/>
          <w:sz w:val="20"/>
          <w:szCs w:val="20"/>
          <w:lang w:val="es-ES_tradnl"/>
        </w:rPr>
        <w:t xml:space="preserve"> considera que el </w:t>
      </w:r>
      <w:r w:rsidR="008C28E5">
        <w:rPr>
          <w:rFonts w:asciiTheme="majorHAnsi" w:hAnsiTheme="majorHAnsi" w:cs="Calibri"/>
          <w:color w:val="auto"/>
          <w:sz w:val="20"/>
          <w:szCs w:val="20"/>
          <w:lang w:val="es-ES_tradnl"/>
        </w:rPr>
        <w:t xml:space="preserve">hecho de </w:t>
      </w:r>
      <w:r w:rsidR="008171D4" w:rsidRPr="00095478">
        <w:rPr>
          <w:rFonts w:asciiTheme="majorHAnsi" w:hAnsiTheme="majorHAnsi" w:cs="Calibri"/>
          <w:color w:val="auto"/>
          <w:sz w:val="20"/>
          <w:szCs w:val="20"/>
          <w:lang w:val="es-ES_tradnl"/>
        </w:rPr>
        <w:t>que las presuntas víctimas agota</w:t>
      </w:r>
      <w:r w:rsidR="008C28E5">
        <w:rPr>
          <w:rFonts w:asciiTheme="majorHAnsi" w:hAnsiTheme="majorHAnsi" w:cs="Calibri"/>
          <w:color w:val="auto"/>
          <w:sz w:val="20"/>
          <w:szCs w:val="20"/>
          <w:lang w:val="es-ES_tradnl"/>
        </w:rPr>
        <w:t xml:space="preserve">ran </w:t>
      </w:r>
      <w:r w:rsidR="008171D4" w:rsidRPr="00095478">
        <w:rPr>
          <w:rFonts w:asciiTheme="majorHAnsi" w:hAnsiTheme="majorHAnsi" w:cs="Calibri"/>
          <w:color w:val="auto"/>
          <w:sz w:val="20"/>
          <w:szCs w:val="20"/>
          <w:lang w:val="es-ES_tradnl"/>
        </w:rPr>
        <w:t xml:space="preserve">estas acciones antes de que ocurrieran los hechos que dieron lugar a la supuesta violación no resulta relevante a efectos de determinar si la petición cumple con el requisito de agotamiento de recursos internos. </w:t>
      </w:r>
    </w:p>
    <w:p w14:paraId="4752C22A" w14:textId="77777777" w:rsidR="004B153A" w:rsidRPr="004B153A" w:rsidRDefault="004B153A" w:rsidP="004B153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4B0E5B4" w14:textId="1F60CF4A" w:rsidR="00244C81" w:rsidRPr="00095478" w:rsidRDefault="00244C81"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s="Calibri"/>
          <w:color w:val="auto"/>
          <w:sz w:val="20"/>
          <w:szCs w:val="20"/>
          <w:lang w:val="es-ES_tradnl"/>
        </w:rPr>
        <w:t xml:space="preserve">Respecto al incidente de actividad procesal defectuosa, el peticionario ha indicado que no fue presentado porque </w:t>
      </w:r>
      <w:r w:rsidR="00D3742B" w:rsidRPr="00095478">
        <w:rPr>
          <w:rFonts w:asciiTheme="majorHAnsi" w:hAnsiTheme="majorHAnsi" w:cs="Calibri"/>
          <w:color w:val="auto"/>
          <w:sz w:val="20"/>
          <w:szCs w:val="20"/>
          <w:lang w:val="es-ES_tradnl"/>
        </w:rPr>
        <w:t xml:space="preserve">la </w:t>
      </w:r>
      <w:r w:rsidRPr="00095478">
        <w:rPr>
          <w:rFonts w:asciiTheme="majorHAnsi" w:hAnsiTheme="majorHAnsi" w:cs="Calibri"/>
          <w:color w:val="auto"/>
          <w:sz w:val="20"/>
          <w:szCs w:val="20"/>
          <w:lang w:val="es-ES_tradnl"/>
        </w:rPr>
        <w:t>legislación</w:t>
      </w:r>
      <w:r w:rsidR="00D3742B" w:rsidRPr="00095478">
        <w:rPr>
          <w:rFonts w:asciiTheme="majorHAnsi" w:hAnsiTheme="majorHAnsi" w:cs="Calibri"/>
          <w:color w:val="auto"/>
          <w:sz w:val="20"/>
          <w:szCs w:val="20"/>
          <w:lang w:val="es-ES_tradnl"/>
        </w:rPr>
        <w:t xml:space="preserve"> no lo preveía</w:t>
      </w:r>
      <w:r w:rsidRPr="00095478">
        <w:rPr>
          <w:rFonts w:asciiTheme="majorHAnsi" w:hAnsiTheme="majorHAnsi" w:cs="Calibri"/>
          <w:color w:val="auto"/>
          <w:sz w:val="20"/>
          <w:szCs w:val="20"/>
          <w:lang w:val="es-ES_tradnl"/>
        </w:rPr>
        <w:t xml:space="preserve"> como medio para impugnar la decisión condenatoria</w:t>
      </w:r>
      <w:r w:rsidR="008C28E5">
        <w:rPr>
          <w:rFonts w:asciiTheme="majorHAnsi" w:hAnsiTheme="majorHAnsi" w:cs="Calibri"/>
          <w:color w:val="auto"/>
          <w:sz w:val="20"/>
          <w:szCs w:val="20"/>
          <w:lang w:val="es-ES_tradnl"/>
        </w:rPr>
        <w:t>;</w:t>
      </w:r>
      <w:r w:rsidRPr="00095478">
        <w:rPr>
          <w:rFonts w:asciiTheme="majorHAnsi" w:hAnsiTheme="majorHAnsi" w:cs="Calibri"/>
          <w:color w:val="auto"/>
          <w:sz w:val="20"/>
          <w:szCs w:val="20"/>
          <w:lang w:val="es-ES_tradnl"/>
        </w:rPr>
        <w:t xml:space="preserve"> y</w:t>
      </w:r>
      <w:r w:rsidR="00D3742B" w:rsidRPr="00095478">
        <w:rPr>
          <w:rFonts w:asciiTheme="majorHAnsi" w:hAnsiTheme="majorHAnsi" w:cs="Calibri"/>
          <w:color w:val="auto"/>
          <w:sz w:val="20"/>
          <w:szCs w:val="20"/>
          <w:lang w:val="es-ES_tradnl"/>
        </w:rPr>
        <w:t xml:space="preserve"> porque</w:t>
      </w:r>
      <w:r w:rsidRPr="00095478">
        <w:rPr>
          <w:rFonts w:asciiTheme="majorHAnsi" w:hAnsiTheme="majorHAnsi" w:cs="Calibri"/>
          <w:color w:val="auto"/>
          <w:sz w:val="20"/>
          <w:szCs w:val="20"/>
          <w:lang w:val="es-ES_tradnl"/>
        </w:rPr>
        <w:t xml:space="preserve"> su interposición</w:t>
      </w:r>
      <w:r w:rsidR="00D3742B" w:rsidRPr="00095478">
        <w:rPr>
          <w:rFonts w:asciiTheme="majorHAnsi" w:hAnsiTheme="majorHAnsi" w:cs="Calibri"/>
          <w:color w:val="auto"/>
          <w:sz w:val="20"/>
          <w:szCs w:val="20"/>
          <w:lang w:val="es-ES_tradnl"/>
        </w:rPr>
        <w:t xml:space="preserve">, al no suspender los plazos, </w:t>
      </w:r>
      <w:r w:rsidRPr="00095478">
        <w:rPr>
          <w:rFonts w:asciiTheme="majorHAnsi" w:hAnsiTheme="majorHAnsi" w:cs="Calibri"/>
          <w:color w:val="auto"/>
          <w:sz w:val="20"/>
          <w:szCs w:val="20"/>
          <w:lang w:val="es-ES_tradnl"/>
        </w:rPr>
        <w:t>hubie</w:t>
      </w:r>
      <w:r w:rsidR="00D3742B" w:rsidRPr="00095478">
        <w:rPr>
          <w:rFonts w:asciiTheme="majorHAnsi" w:hAnsiTheme="majorHAnsi" w:cs="Calibri"/>
          <w:color w:val="auto"/>
          <w:sz w:val="20"/>
          <w:szCs w:val="20"/>
          <w:lang w:val="es-ES_tradnl"/>
        </w:rPr>
        <w:t>se implicado que expirara la oportunidad para que las presuntas víctimas recurrieran en casación. El Estado no ha presentado</w:t>
      </w:r>
      <w:r w:rsidR="008C28E5">
        <w:rPr>
          <w:rFonts w:asciiTheme="majorHAnsi" w:hAnsiTheme="majorHAnsi" w:cs="Calibri"/>
          <w:color w:val="auto"/>
          <w:sz w:val="20"/>
          <w:szCs w:val="20"/>
          <w:lang w:val="es-ES_tradnl"/>
        </w:rPr>
        <w:t>,</w:t>
      </w:r>
      <w:r w:rsidR="00D3742B" w:rsidRPr="00095478">
        <w:rPr>
          <w:rFonts w:asciiTheme="majorHAnsi" w:hAnsiTheme="majorHAnsi" w:cs="Calibri"/>
          <w:color w:val="auto"/>
          <w:sz w:val="20"/>
          <w:szCs w:val="20"/>
          <w:lang w:val="es-ES_tradnl"/>
        </w:rPr>
        <w:t xml:space="preserve"> ni surge del expediente</w:t>
      </w:r>
      <w:r w:rsidR="008C28E5">
        <w:rPr>
          <w:rFonts w:asciiTheme="majorHAnsi" w:hAnsiTheme="majorHAnsi" w:cs="Calibri"/>
          <w:color w:val="auto"/>
          <w:sz w:val="20"/>
          <w:szCs w:val="20"/>
          <w:lang w:val="es-ES_tradnl"/>
        </w:rPr>
        <w:t>,</w:t>
      </w:r>
      <w:r w:rsidR="00D3742B" w:rsidRPr="00095478">
        <w:rPr>
          <w:rFonts w:asciiTheme="majorHAnsi" w:hAnsiTheme="majorHAnsi" w:cs="Calibri"/>
          <w:color w:val="auto"/>
          <w:sz w:val="20"/>
          <w:szCs w:val="20"/>
          <w:lang w:val="es-ES_tradnl"/>
        </w:rPr>
        <w:t xml:space="preserve"> información que contradiga estas aseveraciones. En consecuencia, la Comisión </w:t>
      </w:r>
      <w:r w:rsidR="008C28E5">
        <w:rPr>
          <w:rFonts w:asciiTheme="majorHAnsi" w:hAnsiTheme="majorHAnsi" w:cs="Calibri"/>
          <w:color w:val="auto"/>
          <w:sz w:val="20"/>
          <w:szCs w:val="20"/>
          <w:lang w:val="es-ES_tradnl"/>
        </w:rPr>
        <w:t xml:space="preserve">Interamericana </w:t>
      </w:r>
      <w:r w:rsidR="00D3742B" w:rsidRPr="00095478">
        <w:rPr>
          <w:rFonts w:asciiTheme="majorHAnsi" w:hAnsiTheme="majorHAnsi" w:cs="Calibri"/>
          <w:color w:val="auto"/>
          <w:sz w:val="20"/>
          <w:szCs w:val="20"/>
          <w:lang w:val="es-ES_tradnl"/>
        </w:rPr>
        <w:t xml:space="preserve">concluye que este incidente no constituía un recurso apropiado cuyo agotamiento </w:t>
      </w:r>
      <w:r w:rsidR="008C28E5">
        <w:rPr>
          <w:rFonts w:asciiTheme="majorHAnsi" w:hAnsiTheme="majorHAnsi" w:cs="Calibri"/>
          <w:color w:val="auto"/>
          <w:sz w:val="20"/>
          <w:szCs w:val="20"/>
          <w:lang w:val="es-ES_tradnl"/>
        </w:rPr>
        <w:t xml:space="preserve">pueda </w:t>
      </w:r>
      <w:r w:rsidR="00D3742B" w:rsidRPr="00095478">
        <w:rPr>
          <w:rFonts w:asciiTheme="majorHAnsi" w:hAnsiTheme="majorHAnsi" w:cs="Calibri"/>
          <w:color w:val="auto"/>
          <w:sz w:val="20"/>
          <w:szCs w:val="20"/>
          <w:lang w:val="es-ES_tradnl"/>
        </w:rPr>
        <w:t>exigi</w:t>
      </w:r>
      <w:r w:rsidR="008C28E5">
        <w:rPr>
          <w:rFonts w:asciiTheme="majorHAnsi" w:hAnsiTheme="majorHAnsi" w:cs="Calibri"/>
          <w:color w:val="auto"/>
          <w:sz w:val="20"/>
          <w:szCs w:val="20"/>
          <w:lang w:val="es-ES_tradnl"/>
        </w:rPr>
        <w:t>rse</w:t>
      </w:r>
      <w:r w:rsidR="00D3742B" w:rsidRPr="00095478">
        <w:rPr>
          <w:rFonts w:asciiTheme="majorHAnsi" w:hAnsiTheme="majorHAnsi" w:cs="Calibri"/>
          <w:color w:val="auto"/>
          <w:sz w:val="20"/>
          <w:szCs w:val="20"/>
          <w:lang w:val="es-ES_tradnl"/>
        </w:rPr>
        <w:t>.</w:t>
      </w:r>
    </w:p>
    <w:p w14:paraId="2D030587" w14:textId="77777777" w:rsidR="004B153A" w:rsidRP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7E852FB1" w14:textId="44C430D7" w:rsidR="00C1233D" w:rsidRPr="00D66CE7" w:rsidRDefault="00C1233D"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s="Calibri"/>
          <w:color w:val="auto"/>
          <w:sz w:val="20"/>
          <w:szCs w:val="20"/>
          <w:lang w:val="es-ES_tradnl"/>
        </w:rPr>
        <w:t>En relación</w:t>
      </w:r>
      <w:r w:rsidR="00C5255B" w:rsidRPr="00095478">
        <w:rPr>
          <w:rFonts w:asciiTheme="majorHAnsi" w:hAnsiTheme="majorHAnsi" w:cs="Calibri"/>
          <w:color w:val="auto"/>
          <w:sz w:val="20"/>
          <w:szCs w:val="20"/>
          <w:lang w:val="es-ES_tradnl"/>
        </w:rPr>
        <w:t>,</w:t>
      </w:r>
      <w:r w:rsidRPr="00095478">
        <w:rPr>
          <w:rFonts w:asciiTheme="majorHAnsi" w:hAnsiTheme="majorHAnsi" w:cs="Calibri"/>
          <w:color w:val="auto"/>
          <w:sz w:val="20"/>
          <w:szCs w:val="20"/>
          <w:lang w:val="es-ES_tradnl"/>
        </w:rPr>
        <w:t xml:space="preserve"> a la solicitud de suspensión condicional de la pena, el criterio sostenido de la Comisión ha sido que para determinar la vía procesal adecuada que debe ser agotada en el ordenamiento interno se debe establecer preliminarmente el objeto de la petición</w:t>
      </w:r>
      <w:r w:rsidRPr="00095478">
        <w:rPr>
          <w:rStyle w:val="FootnoteReference"/>
          <w:rFonts w:asciiTheme="majorHAnsi" w:hAnsiTheme="majorHAnsi" w:cs="Calibri"/>
          <w:color w:val="auto"/>
          <w:sz w:val="20"/>
          <w:szCs w:val="20"/>
          <w:lang w:val="es-ES_tradnl"/>
        </w:rPr>
        <w:footnoteReference w:id="5"/>
      </w:r>
      <w:r w:rsidRPr="00095478">
        <w:rPr>
          <w:rFonts w:asciiTheme="majorHAnsi" w:hAnsiTheme="majorHAnsi" w:cs="Calibri"/>
          <w:color w:val="auto"/>
          <w:sz w:val="20"/>
          <w:szCs w:val="20"/>
          <w:lang w:val="es-ES_tradnl"/>
        </w:rPr>
        <w:t xml:space="preserve">. En el presente caso. el objeto de la petición es la supuesta existencia de una condena emitida contra las presuntas víctimas en violación a sus derechos amparados por la Convención Americana. La suspensión condicional de la pena no extinguiría la condena contra las presuntas víctimas. Por esta razón, la solicitud de esa suspensión no puede considerarse un recurso apropiado para remediar los agravios que dan objeto a la presente petición.  </w:t>
      </w:r>
    </w:p>
    <w:p w14:paraId="35928A6A" w14:textId="77777777" w:rsidR="00D66CE7" w:rsidRPr="00095478" w:rsidRDefault="00D66CE7" w:rsidP="00D66CE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00869816" w14:textId="67F7C908" w:rsidR="00D3742B" w:rsidRPr="004B153A" w:rsidRDefault="00D3742B"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s="Calibri"/>
          <w:color w:val="auto"/>
          <w:sz w:val="20"/>
          <w:szCs w:val="20"/>
          <w:lang w:val="es-ES_tradnl"/>
        </w:rPr>
        <w:lastRenderedPageBreak/>
        <w:t>E</w:t>
      </w:r>
      <w:r w:rsidR="00C1233D" w:rsidRPr="00095478">
        <w:rPr>
          <w:rFonts w:asciiTheme="majorHAnsi" w:hAnsiTheme="majorHAnsi" w:cs="Calibri"/>
          <w:color w:val="auto"/>
          <w:sz w:val="20"/>
          <w:szCs w:val="20"/>
          <w:lang w:val="es-ES_tradnl"/>
        </w:rPr>
        <w:t>l Estado también ha indicado que las presuntas víctimas debieron interponer un</w:t>
      </w:r>
      <w:r w:rsidRPr="00095478">
        <w:rPr>
          <w:rFonts w:asciiTheme="majorHAnsi" w:hAnsiTheme="majorHAnsi" w:cs="Calibri"/>
          <w:color w:val="auto"/>
          <w:sz w:val="20"/>
          <w:szCs w:val="20"/>
          <w:lang w:val="es-ES_tradnl"/>
        </w:rPr>
        <w:t xml:space="preserve"> recurso de revisi</w:t>
      </w:r>
      <w:r w:rsidR="00835C9A" w:rsidRPr="00095478">
        <w:rPr>
          <w:rFonts w:asciiTheme="majorHAnsi" w:hAnsiTheme="majorHAnsi" w:cs="Calibri"/>
          <w:color w:val="auto"/>
          <w:sz w:val="20"/>
          <w:szCs w:val="20"/>
          <w:lang w:val="es-ES_tradnl"/>
        </w:rPr>
        <w:t>ón extraordinaria de sentencia, así como un nuevo recurso de casación (tras la inadmisión del primero) y recursos adicionales de amparo con relación a los temas respecto a los cuales interpusieron infructuosamente acciones de libertad. Sobre este punto, l</w:t>
      </w:r>
      <w:r w:rsidRPr="00095478">
        <w:rPr>
          <w:rFonts w:asciiTheme="majorHAnsi" w:hAnsiTheme="majorHAnsi" w:cs="Calibri"/>
          <w:color w:val="auto"/>
          <w:sz w:val="20"/>
          <w:szCs w:val="20"/>
          <w:lang w:val="es-ES_tradnl"/>
        </w:rPr>
        <w:t>a Comisi</w:t>
      </w:r>
      <w:r w:rsidR="00835C9A" w:rsidRPr="00095478">
        <w:rPr>
          <w:rFonts w:asciiTheme="majorHAnsi" w:hAnsiTheme="majorHAnsi" w:cs="Calibri"/>
          <w:color w:val="auto"/>
          <w:sz w:val="20"/>
          <w:szCs w:val="20"/>
          <w:lang w:val="es-ES_tradnl"/>
        </w:rPr>
        <w:t>ón observa que estos son recursos de naturaleza extraordinaria.</w:t>
      </w:r>
      <w:r w:rsidRPr="00095478">
        <w:rPr>
          <w:rFonts w:asciiTheme="majorHAnsi" w:hAnsiTheme="majorHAnsi" w:cs="Calibri"/>
          <w:color w:val="auto"/>
          <w:sz w:val="20"/>
          <w:szCs w:val="20"/>
          <w:lang w:val="es-ES_tradnl"/>
        </w:rPr>
        <w:t xml:space="preserve"> </w:t>
      </w:r>
      <w:r w:rsidR="003C2676" w:rsidRPr="00095478">
        <w:rPr>
          <w:rFonts w:asciiTheme="majorHAnsi" w:hAnsiTheme="majorHAnsi" w:cs="Calibri"/>
          <w:color w:val="auto"/>
          <w:sz w:val="20"/>
          <w:szCs w:val="20"/>
          <w:lang w:val="es-ES_tradnl"/>
        </w:rPr>
        <w:t>Según el criterio sostenido de la Comisión, el requisito de agotamiento de los recursos internos (en principio) solo exige el agotamiento de los recursos ordinarios, no así el de los extraordinarios</w:t>
      </w:r>
      <w:r w:rsidR="00835C9A" w:rsidRPr="00095478">
        <w:rPr>
          <w:rStyle w:val="FootnoteReference"/>
          <w:rFonts w:asciiTheme="majorHAnsi" w:hAnsiTheme="majorHAnsi" w:cs="Calibri"/>
          <w:color w:val="auto"/>
          <w:sz w:val="20"/>
          <w:szCs w:val="20"/>
          <w:lang w:val="es-ES_tradnl"/>
        </w:rPr>
        <w:footnoteReference w:id="6"/>
      </w:r>
      <w:r w:rsidR="003C2676" w:rsidRPr="00095478">
        <w:rPr>
          <w:rFonts w:asciiTheme="majorHAnsi" w:hAnsiTheme="majorHAnsi" w:cs="Calibri"/>
          <w:color w:val="auto"/>
          <w:sz w:val="20"/>
          <w:szCs w:val="20"/>
          <w:lang w:val="es-ES_tradnl"/>
        </w:rPr>
        <w:t>.</w:t>
      </w:r>
      <w:r w:rsidR="00490E2F" w:rsidRPr="00095478">
        <w:rPr>
          <w:rFonts w:asciiTheme="majorHAnsi" w:hAnsiTheme="majorHAnsi" w:cs="Calibri"/>
          <w:color w:val="auto"/>
          <w:sz w:val="20"/>
          <w:szCs w:val="20"/>
          <w:lang w:val="es-ES_tradnl"/>
        </w:rPr>
        <w:t xml:space="preserve"> La Comisión también ha determinado que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490E2F" w:rsidRPr="00095478">
        <w:rPr>
          <w:rStyle w:val="FootnoteReference"/>
          <w:rFonts w:asciiTheme="majorHAnsi" w:hAnsiTheme="majorHAnsi" w:cs="Calibri"/>
          <w:color w:val="auto"/>
          <w:sz w:val="20"/>
          <w:szCs w:val="20"/>
          <w:lang w:val="es-ES_tradnl"/>
        </w:rPr>
        <w:footnoteReference w:id="7"/>
      </w:r>
      <w:r w:rsidR="00490E2F" w:rsidRPr="00095478">
        <w:rPr>
          <w:rFonts w:asciiTheme="majorHAnsi" w:hAnsiTheme="majorHAnsi" w:cs="Calibri"/>
          <w:color w:val="auto"/>
          <w:sz w:val="20"/>
          <w:szCs w:val="20"/>
          <w:lang w:val="es-ES_tradnl"/>
        </w:rPr>
        <w:t>. En adición, la Corte Interamericana de Derechos Humanos ha mantenido que la regla del previo agotamiento nunca debe “conducir a que se detenga o se demore hasta la inutilidad la actuación internacional en auxilio de la víctima indefensa”</w:t>
      </w:r>
      <w:r w:rsidR="00490E2F" w:rsidRPr="00095478">
        <w:rPr>
          <w:rStyle w:val="FootnoteReference"/>
          <w:rFonts w:asciiTheme="majorHAnsi" w:hAnsiTheme="majorHAnsi" w:cs="Calibri"/>
          <w:color w:val="auto"/>
          <w:sz w:val="20"/>
          <w:szCs w:val="20"/>
          <w:lang w:val="es-ES_tradnl"/>
        </w:rPr>
        <w:footnoteReference w:id="8"/>
      </w:r>
      <w:r w:rsidR="00490E2F" w:rsidRPr="00095478">
        <w:rPr>
          <w:rFonts w:asciiTheme="majorHAnsi" w:hAnsiTheme="majorHAnsi" w:cs="Calibri"/>
          <w:color w:val="auto"/>
          <w:sz w:val="20"/>
          <w:szCs w:val="20"/>
          <w:lang w:val="es-ES_tradnl"/>
        </w:rPr>
        <w:t xml:space="preserve">. </w:t>
      </w:r>
      <w:r w:rsidR="003C2676" w:rsidRPr="00095478">
        <w:rPr>
          <w:rFonts w:asciiTheme="majorHAnsi" w:hAnsiTheme="majorHAnsi" w:cs="Calibri"/>
          <w:color w:val="auto"/>
          <w:sz w:val="20"/>
          <w:szCs w:val="20"/>
          <w:lang w:val="es-ES_tradnl"/>
        </w:rPr>
        <w:t xml:space="preserve"> En el presente caso, surge del expediente que las presuntas víctimas interpusieron múltiples recursos extraordinarios. </w:t>
      </w:r>
      <w:r w:rsidR="00835C9A" w:rsidRPr="00095478">
        <w:rPr>
          <w:rFonts w:asciiTheme="majorHAnsi" w:hAnsiTheme="majorHAnsi" w:cs="Calibri"/>
          <w:color w:val="auto"/>
          <w:sz w:val="20"/>
          <w:szCs w:val="20"/>
          <w:lang w:val="es-ES_tradnl"/>
        </w:rPr>
        <w:t xml:space="preserve">En estas circunstancias, la Comisión estima </w:t>
      </w:r>
      <w:r w:rsidR="00490E2F" w:rsidRPr="00095478">
        <w:rPr>
          <w:rFonts w:asciiTheme="majorHAnsi" w:hAnsiTheme="majorHAnsi" w:cs="Calibri"/>
          <w:color w:val="auto"/>
          <w:sz w:val="20"/>
          <w:szCs w:val="20"/>
          <w:lang w:val="es-ES_tradnl"/>
        </w:rPr>
        <w:t>que el cumplimiento del requisito de agotamiento de los recursos internos no exigía que las presuntas víctimas también presentaran los recursos extraordinarios adicionales identificados por el Estado.</w:t>
      </w:r>
    </w:p>
    <w:p w14:paraId="27E83291" w14:textId="77777777" w:rsidR="004B153A" w:rsidRPr="00095478"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7F4D5F93" w14:textId="21A3B78D" w:rsidR="007323FB" w:rsidRPr="00095478" w:rsidRDefault="007323FB"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s="Calibri"/>
          <w:color w:val="auto"/>
          <w:sz w:val="20"/>
          <w:szCs w:val="20"/>
          <w:lang w:val="es-ES_tradnl"/>
        </w:rPr>
        <w:t xml:space="preserve">Por las razones expuestas, la Comisión estima que la presente petición cumple con </w:t>
      </w:r>
      <w:r w:rsidR="004B153A">
        <w:rPr>
          <w:rFonts w:asciiTheme="majorHAnsi" w:hAnsiTheme="majorHAnsi" w:cs="Calibri"/>
          <w:color w:val="auto"/>
          <w:sz w:val="20"/>
          <w:szCs w:val="20"/>
          <w:lang w:val="es-ES_tradnl"/>
        </w:rPr>
        <w:t>e</w:t>
      </w:r>
      <w:r w:rsidRPr="00095478">
        <w:rPr>
          <w:rFonts w:asciiTheme="majorHAnsi" w:hAnsiTheme="majorHAnsi" w:cs="Calibri"/>
          <w:color w:val="auto"/>
          <w:sz w:val="20"/>
          <w:szCs w:val="20"/>
          <w:lang w:val="es-ES_tradnl"/>
        </w:rPr>
        <w:t xml:space="preserve">l requisito del artículo 46.1(a) de la Convención Americana. </w:t>
      </w:r>
    </w:p>
    <w:p w14:paraId="251EAAF3" w14:textId="77777777" w:rsid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28BE612E" w14:textId="11E8A56B" w:rsidR="00EE709E" w:rsidRPr="00095478" w:rsidRDefault="007323FB"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olor w:val="auto"/>
          <w:sz w:val="20"/>
          <w:szCs w:val="20"/>
          <w:lang w:val="es-ES_tradnl"/>
        </w:rPr>
        <w:t>E</w:t>
      </w:r>
      <w:r w:rsidR="00EE709E" w:rsidRPr="00095478">
        <w:rPr>
          <w:rFonts w:asciiTheme="majorHAnsi" w:hAnsiTheme="majorHAnsi"/>
          <w:color w:val="auto"/>
          <w:sz w:val="20"/>
          <w:szCs w:val="20"/>
          <w:lang w:val="es-ES_tradnl"/>
        </w:rPr>
        <w:t>n cuanto al plazo para la presentación de la petición, la Comisión recuerda que conforme al artículo 46.1(b) de la Convención Americana las peticiones deben ser presentadas “</w:t>
      </w:r>
      <w:r w:rsidR="00EE709E" w:rsidRPr="00095478">
        <w:rPr>
          <w:rFonts w:asciiTheme="majorHAnsi" w:hAnsiTheme="majorHAnsi" w:cs="Tahoma"/>
          <w:color w:val="auto"/>
          <w:sz w:val="20"/>
          <w:szCs w:val="20"/>
          <w:lang w:val="es-ES_tradnl"/>
        </w:rPr>
        <w:t>dentro del plazo de seis meses, a partir de la fecha en que el presunto lesionado en sus derechos haya sido notificado de la decisión definitiva”. La Comisión también</w:t>
      </w:r>
      <w:r w:rsidR="001C3E96" w:rsidRPr="00095478">
        <w:rPr>
          <w:rFonts w:asciiTheme="majorHAnsi" w:hAnsiTheme="majorHAnsi"/>
          <w:color w:val="auto"/>
          <w:sz w:val="20"/>
          <w:szCs w:val="20"/>
          <w:lang w:val="es-ES_tradnl"/>
        </w:rPr>
        <w:t xml:space="preserve"> ha sostenido reiteradamente que, si bien puede ser suficiente que la presunta víctima agote los recursos ordinarios “</w:t>
      </w:r>
      <w:r w:rsidR="001C3E96" w:rsidRPr="00095478">
        <w:rPr>
          <w:rFonts w:asciiTheme="majorHAnsi" w:hAnsiTheme="majorHAnsi" w:cs="Calibri"/>
          <w:color w:val="auto"/>
          <w:sz w:val="20"/>
          <w:szCs w:val="20"/>
          <w:lang w:val="es-ES_tradnl"/>
        </w:rPr>
        <w:t>si agota recursos extraordinarios con la expectativa razonable de obtener un resultado favorable, entonces los mismos pueden tomarse en cuenta como recursos válidamente agotados para efectos del cumplimiento de los requisitos de admisibilidad de la petición”</w:t>
      </w:r>
      <w:r w:rsidR="001C3E96" w:rsidRPr="00095478">
        <w:rPr>
          <w:rStyle w:val="FootnoteReference"/>
          <w:rFonts w:asciiTheme="majorHAnsi" w:hAnsiTheme="majorHAnsi" w:cs="Calibri"/>
          <w:color w:val="auto"/>
          <w:sz w:val="20"/>
          <w:szCs w:val="20"/>
          <w:lang w:val="es-ES_tradnl"/>
        </w:rPr>
        <w:footnoteReference w:id="9"/>
      </w:r>
      <w:r w:rsidR="001C3E96" w:rsidRPr="00095478">
        <w:rPr>
          <w:rFonts w:asciiTheme="majorHAnsi" w:hAnsiTheme="majorHAnsi" w:cs="Calibri"/>
          <w:color w:val="auto"/>
          <w:sz w:val="20"/>
          <w:szCs w:val="20"/>
          <w:lang w:val="es-ES_tradnl"/>
        </w:rPr>
        <w:t>.</w:t>
      </w:r>
    </w:p>
    <w:p w14:paraId="687D3F2A" w14:textId="77777777" w:rsidR="004B153A" w:rsidRP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0ACEEF82" w14:textId="514F40FE" w:rsidR="008728BA" w:rsidRPr="00095478" w:rsidRDefault="001C3E96"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s="Calibri"/>
          <w:color w:val="auto"/>
          <w:sz w:val="20"/>
          <w:szCs w:val="20"/>
          <w:lang w:val="es-ES_tradnl"/>
        </w:rPr>
        <w:t>En el presente caso</w:t>
      </w:r>
      <w:r w:rsidR="003E0FED" w:rsidRPr="00095478">
        <w:rPr>
          <w:rFonts w:asciiTheme="majorHAnsi" w:hAnsiTheme="majorHAnsi" w:cs="Calibri"/>
          <w:color w:val="auto"/>
          <w:sz w:val="20"/>
          <w:szCs w:val="20"/>
          <w:lang w:val="es-ES_tradnl"/>
        </w:rPr>
        <w:t xml:space="preserve">, la Comisión observa que, con respecto a la condena proferida contra las presuntas víctimas, la vía penal ordinaria quedó agotada con la sentencia del 9 de marzo de 2010 que declaró inadmisible el recurso de casación presentado por </w:t>
      </w:r>
      <w:r w:rsidR="00797128" w:rsidRPr="00095478">
        <w:rPr>
          <w:rFonts w:asciiTheme="majorHAnsi" w:hAnsiTheme="majorHAnsi" w:cs="Calibri"/>
          <w:color w:val="auto"/>
          <w:sz w:val="20"/>
          <w:szCs w:val="20"/>
          <w:lang w:val="es-ES_tradnl"/>
        </w:rPr>
        <w:t>é</w:t>
      </w:r>
      <w:r w:rsidR="003E0FED" w:rsidRPr="00095478">
        <w:rPr>
          <w:rFonts w:asciiTheme="majorHAnsi" w:hAnsiTheme="majorHAnsi" w:cs="Calibri"/>
          <w:color w:val="auto"/>
          <w:sz w:val="20"/>
          <w:szCs w:val="20"/>
          <w:lang w:val="es-ES_tradnl"/>
        </w:rPr>
        <w:t>stas.</w:t>
      </w:r>
      <w:r w:rsidR="006D02B4" w:rsidRPr="00095478">
        <w:rPr>
          <w:rFonts w:asciiTheme="majorHAnsi" w:hAnsiTheme="majorHAnsi" w:cs="Calibri"/>
          <w:color w:val="auto"/>
          <w:sz w:val="20"/>
          <w:szCs w:val="20"/>
          <w:lang w:val="es-ES_tradnl"/>
        </w:rPr>
        <w:t xml:space="preserve"> Estando ya agotada la vía ordinaria, las presuntas víctimas continuaron litigando</w:t>
      </w:r>
      <w:r w:rsidR="008728BA" w:rsidRPr="00095478">
        <w:rPr>
          <w:rFonts w:asciiTheme="majorHAnsi" w:hAnsiTheme="majorHAnsi" w:cs="Calibri"/>
          <w:color w:val="auto"/>
          <w:sz w:val="20"/>
          <w:szCs w:val="20"/>
          <w:lang w:val="es-ES_tradnl"/>
        </w:rPr>
        <w:t xml:space="preserve"> por vías extraordinarias.</w:t>
      </w:r>
      <w:r w:rsidR="006D02B4" w:rsidRPr="00095478">
        <w:rPr>
          <w:rFonts w:asciiTheme="majorHAnsi" w:hAnsiTheme="majorHAnsi" w:cs="Calibri"/>
          <w:color w:val="auto"/>
          <w:sz w:val="20"/>
          <w:szCs w:val="20"/>
          <w:lang w:val="es-ES_tradnl"/>
        </w:rPr>
        <w:t xml:space="preserve"> </w:t>
      </w:r>
      <w:r w:rsidR="008728BA" w:rsidRPr="00095478">
        <w:rPr>
          <w:rFonts w:asciiTheme="majorHAnsi" w:hAnsiTheme="majorHAnsi" w:cs="Calibri"/>
          <w:color w:val="auto"/>
          <w:sz w:val="20"/>
          <w:szCs w:val="20"/>
          <w:lang w:val="es-ES_tradnl"/>
        </w:rPr>
        <w:t xml:space="preserve">Estas </w:t>
      </w:r>
      <w:r w:rsidR="002C5A6F" w:rsidRPr="00095478">
        <w:rPr>
          <w:rFonts w:asciiTheme="majorHAnsi" w:hAnsiTheme="majorHAnsi" w:cs="Calibri"/>
          <w:color w:val="auto"/>
          <w:sz w:val="20"/>
          <w:szCs w:val="20"/>
          <w:lang w:val="es-ES_tradnl"/>
        </w:rPr>
        <w:t>i</w:t>
      </w:r>
      <w:r w:rsidR="008728BA" w:rsidRPr="00095478">
        <w:rPr>
          <w:rFonts w:asciiTheme="majorHAnsi" w:hAnsiTheme="majorHAnsi" w:cs="Calibri"/>
          <w:color w:val="auto"/>
          <w:sz w:val="20"/>
          <w:szCs w:val="20"/>
          <w:lang w:val="es-ES_tradnl"/>
        </w:rPr>
        <w:t xml:space="preserve">nterpusieron </w:t>
      </w:r>
      <w:r w:rsidR="006D02B4" w:rsidRPr="00095478">
        <w:rPr>
          <w:rFonts w:asciiTheme="majorHAnsi" w:hAnsiTheme="majorHAnsi" w:cs="Calibri"/>
          <w:color w:val="auto"/>
          <w:sz w:val="20"/>
          <w:szCs w:val="20"/>
          <w:lang w:val="es-ES_tradnl"/>
        </w:rPr>
        <w:t xml:space="preserve">una acción de libertad contra una decisión que había rechazado su excepción de extinción de la acción penal en forma que consideraban violatoria al principio de legalidad. </w:t>
      </w:r>
      <w:r w:rsidR="008728BA" w:rsidRPr="00095478">
        <w:rPr>
          <w:rFonts w:asciiTheme="majorHAnsi" w:hAnsiTheme="majorHAnsi" w:cs="Calibri"/>
          <w:color w:val="auto"/>
          <w:sz w:val="20"/>
          <w:szCs w:val="20"/>
          <w:lang w:val="es-ES_tradnl"/>
        </w:rPr>
        <w:t xml:space="preserve">La Comisión </w:t>
      </w:r>
      <w:r w:rsidR="002C5A6F" w:rsidRPr="00095478">
        <w:rPr>
          <w:rFonts w:asciiTheme="majorHAnsi" w:hAnsiTheme="majorHAnsi" w:cs="Calibri"/>
          <w:color w:val="auto"/>
          <w:sz w:val="20"/>
          <w:szCs w:val="20"/>
          <w:lang w:val="es-ES_tradnl"/>
        </w:rPr>
        <w:t>observa</w:t>
      </w:r>
      <w:r w:rsidR="008728BA" w:rsidRPr="00095478">
        <w:rPr>
          <w:rFonts w:asciiTheme="majorHAnsi" w:hAnsiTheme="majorHAnsi" w:cs="Calibri"/>
          <w:color w:val="auto"/>
          <w:sz w:val="20"/>
          <w:szCs w:val="20"/>
          <w:lang w:val="es-ES_tradnl"/>
        </w:rPr>
        <w:t xml:space="preserve"> que esta acción de libertad</w:t>
      </w:r>
      <w:r w:rsidR="002C5A6F" w:rsidRPr="00095478">
        <w:rPr>
          <w:rFonts w:asciiTheme="majorHAnsi" w:hAnsiTheme="majorHAnsi" w:cs="Calibri"/>
          <w:color w:val="auto"/>
          <w:sz w:val="20"/>
          <w:szCs w:val="20"/>
          <w:lang w:val="es-ES_tradnl"/>
        </w:rPr>
        <w:t>,</w:t>
      </w:r>
      <w:r w:rsidR="008728BA" w:rsidRPr="00095478">
        <w:rPr>
          <w:rFonts w:asciiTheme="majorHAnsi" w:hAnsiTheme="majorHAnsi" w:cs="Calibri"/>
          <w:color w:val="auto"/>
          <w:sz w:val="20"/>
          <w:szCs w:val="20"/>
          <w:lang w:val="es-ES_tradnl"/>
        </w:rPr>
        <w:t xml:space="preserve"> que </w:t>
      </w:r>
      <w:r w:rsidR="006D02B4" w:rsidRPr="00095478">
        <w:rPr>
          <w:rFonts w:asciiTheme="majorHAnsi" w:hAnsiTheme="majorHAnsi" w:cs="Calibri"/>
          <w:color w:val="auto"/>
          <w:sz w:val="20"/>
          <w:szCs w:val="20"/>
          <w:lang w:val="es-ES_tradnl"/>
        </w:rPr>
        <w:t xml:space="preserve">les fue rechazada el </w:t>
      </w:r>
      <w:r w:rsidR="00C621F8" w:rsidRPr="00095478">
        <w:rPr>
          <w:rFonts w:asciiTheme="majorHAnsi" w:hAnsiTheme="majorHAnsi" w:cs="Calibri"/>
          <w:color w:val="auto"/>
          <w:sz w:val="20"/>
          <w:szCs w:val="20"/>
          <w:lang w:val="es-ES_tradnl"/>
        </w:rPr>
        <w:t>22 de junio de 2011</w:t>
      </w:r>
      <w:r w:rsidR="002C5A6F" w:rsidRPr="00095478">
        <w:rPr>
          <w:rFonts w:asciiTheme="majorHAnsi" w:hAnsiTheme="majorHAnsi" w:cs="Calibri"/>
          <w:color w:val="auto"/>
          <w:sz w:val="20"/>
          <w:szCs w:val="20"/>
          <w:lang w:val="es-ES_tradnl"/>
        </w:rPr>
        <w:t>,</w:t>
      </w:r>
      <w:r w:rsidR="008728BA" w:rsidRPr="00095478">
        <w:rPr>
          <w:rFonts w:asciiTheme="majorHAnsi" w:hAnsiTheme="majorHAnsi" w:cs="Calibri"/>
          <w:color w:val="auto"/>
          <w:sz w:val="20"/>
          <w:szCs w:val="20"/>
          <w:lang w:val="es-ES_tradnl"/>
        </w:rPr>
        <w:t xml:space="preserve"> no puede ser descalificada como recurso v</w:t>
      </w:r>
      <w:r w:rsidR="00797128" w:rsidRPr="00095478">
        <w:rPr>
          <w:rFonts w:asciiTheme="majorHAnsi" w:hAnsiTheme="majorHAnsi" w:cs="Calibri"/>
          <w:color w:val="auto"/>
          <w:sz w:val="20"/>
          <w:szCs w:val="20"/>
          <w:lang w:val="es-ES_tradnl"/>
        </w:rPr>
        <w:t>á</w:t>
      </w:r>
      <w:r w:rsidR="008728BA" w:rsidRPr="00095478">
        <w:rPr>
          <w:rFonts w:asciiTheme="majorHAnsi" w:hAnsiTheme="majorHAnsi" w:cs="Calibri"/>
          <w:color w:val="auto"/>
          <w:sz w:val="20"/>
          <w:szCs w:val="20"/>
          <w:lang w:val="es-ES_tradnl"/>
        </w:rPr>
        <w:t>lido ya que previamente los tribunales habían resuelto a favor de las presuntas víctimas una acción de libertad re</w:t>
      </w:r>
      <w:r w:rsidR="00DF682D" w:rsidRPr="00095478">
        <w:rPr>
          <w:rFonts w:asciiTheme="majorHAnsi" w:hAnsiTheme="majorHAnsi" w:cs="Calibri"/>
          <w:color w:val="auto"/>
          <w:sz w:val="20"/>
          <w:szCs w:val="20"/>
          <w:lang w:val="es-ES_tradnl"/>
        </w:rPr>
        <w:t>lacionada con la misma materia.</w:t>
      </w:r>
      <w:r w:rsidR="00D86F61" w:rsidRPr="00095478">
        <w:rPr>
          <w:rFonts w:asciiTheme="majorHAnsi" w:hAnsiTheme="majorHAnsi" w:cs="Calibri"/>
          <w:color w:val="auto"/>
          <w:sz w:val="20"/>
          <w:szCs w:val="20"/>
          <w:lang w:val="es-ES_tradnl"/>
        </w:rPr>
        <w:t xml:space="preserve"> </w:t>
      </w:r>
    </w:p>
    <w:p w14:paraId="1B21C210" w14:textId="77777777" w:rsidR="004B153A" w:rsidRP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5D9EDBE1" w14:textId="1B702D75" w:rsidR="00C621F8" w:rsidRPr="007136D5" w:rsidRDefault="006D02B4"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095478">
        <w:rPr>
          <w:rFonts w:asciiTheme="majorHAnsi" w:hAnsiTheme="majorHAnsi" w:cs="Calibri"/>
          <w:color w:val="auto"/>
          <w:sz w:val="20"/>
          <w:szCs w:val="20"/>
          <w:lang w:val="es-ES_tradnl"/>
        </w:rPr>
        <w:t>Las presuntas víctima</w:t>
      </w:r>
      <w:r w:rsidR="00C621F8" w:rsidRPr="00095478">
        <w:rPr>
          <w:rFonts w:asciiTheme="majorHAnsi" w:hAnsiTheme="majorHAnsi" w:cs="Calibri"/>
          <w:color w:val="auto"/>
          <w:sz w:val="20"/>
          <w:szCs w:val="20"/>
          <w:lang w:val="es-ES_tradnl"/>
        </w:rPr>
        <w:t>s</w:t>
      </w:r>
      <w:r w:rsidRPr="00095478">
        <w:rPr>
          <w:rFonts w:asciiTheme="majorHAnsi" w:hAnsiTheme="majorHAnsi" w:cs="Calibri"/>
          <w:color w:val="auto"/>
          <w:sz w:val="20"/>
          <w:szCs w:val="20"/>
          <w:lang w:val="es-ES_tradnl"/>
        </w:rPr>
        <w:t xml:space="preserve"> también </w:t>
      </w:r>
      <w:r w:rsidR="00C621F8" w:rsidRPr="00095478">
        <w:rPr>
          <w:rFonts w:asciiTheme="majorHAnsi" w:hAnsiTheme="majorHAnsi" w:cs="Calibri"/>
          <w:color w:val="auto"/>
          <w:sz w:val="20"/>
          <w:szCs w:val="20"/>
          <w:lang w:val="es-ES_tradnl"/>
        </w:rPr>
        <w:t xml:space="preserve">acudieron a la vía extraordinaria del amparo a fin de impugnar la inadmisión de su recurso </w:t>
      </w:r>
      <w:r w:rsidR="007136D5">
        <w:rPr>
          <w:rFonts w:asciiTheme="majorHAnsi" w:hAnsiTheme="majorHAnsi" w:cs="Calibri"/>
          <w:color w:val="auto"/>
          <w:sz w:val="20"/>
          <w:szCs w:val="20"/>
          <w:lang w:val="es-ES_tradnl"/>
        </w:rPr>
        <w:t xml:space="preserve">de </w:t>
      </w:r>
      <w:r w:rsidR="00C621F8" w:rsidRPr="00095478">
        <w:rPr>
          <w:rFonts w:asciiTheme="majorHAnsi" w:hAnsiTheme="majorHAnsi" w:cs="Calibri"/>
          <w:color w:val="auto"/>
          <w:sz w:val="20"/>
          <w:szCs w:val="20"/>
          <w:lang w:val="es-ES_tradnl"/>
        </w:rPr>
        <w:t>casación</w:t>
      </w:r>
      <w:r w:rsidR="007136D5">
        <w:rPr>
          <w:rFonts w:asciiTheme="majorHAnsi" w:hAnsiTheme="majorHAnsi" w:cs="Calibri"/>
          <w:color w:val="auto"/>
          <w:sz w:val="20"/>
          <w:szCs w:val="20"/>
          <w:lang w:val="es-ES_tradnl"/>
        </w:rPr>
        <w:t>;</w:t>
      </w:r>
      <w:r w:rsidR="00C621F8" w:rsidRPr="00095478">
        <w:rPr>
          <w:rFonts w:asciiTheme="majorHAnsi" w:hAnsiTheme="majorHAnsi" w:cs="Calibri"/>
          <w:color w:val="auto"/>
          <w:sz w:val="20"/>
          <w:szCs w:val="20"/>
          <w:lang w:val="es-ES_tradnl"/>
        </w:rPr>
        <w:t xml:space="preserve"> </w:t>
      </w:r>
      <w:r w:rsidR="007136D5">
        <w:rPr>
          <w:rFonts w:asciiTheme="majorHAnsi" w:hAnsiTheme="majorHAnsi" w:cs="Calibri"/>
          <w:color w:val="auto"/>
          <w:sz w:val="20"/>
          <w:szCs w:val="20"/>
          <w:lang w:val="es-ES_tradnl"/>
        </w:rPr>
        <w:t xml:space="preserve">la decisión </w:t>
      </w:r>
      <w:r w:rsidR="00C621F8" w:rsidRPr="00095478">
        <w:rPr>
          <w:rFonts w:asciiTheme="majorHAnsi" w:hAnsiTheme="majorHAnsi" w:cs="Calibri"/>
          <w:color w:val="auto"/>
          <w:sz w:val="20"/>
          <w:szCs w:val="20"/>
          <w:lang w:val="es-ES_tradnl"/>
        </w:rPr>
        <w:t xml:space="preserve">fue confirmada </w:t>
      </w:r>
      <w:r w:rsidR="007136D5">
        <w:rPr>
          <w:rFonts w:asciiTheme="majorHAnsi" w:hAnsiTheme="majorHAnsi" w:cs="Calibri"/>
          <w:color w:val="auto"/>
          <w:sz w:val="20"/>
          <w:szCs w:val="20"/>
          <w:lang w:val="es-ES_tradnl"/>
        </w:rPr>
        <w:t xml:space="preserve">por </w:t>
      </w:r>
      <w:r w:rsidR="00C621F8" w:rsidRPr="00095478">
        <w:rPr>
          <w:rFonts w:asciiTheme="majorHAnsi" w:hAnsiTheme="majorHAnsi" w:cs="Calibri"/>
          <w:color w:val="auto"/>
          <w:sz w:val="20"/>
          <w:szCs w:val="20"/>
          <w:lang w:val="es-ES_tradnl"/>
        </w:rPr>
        <w:t>sentencia de 6 de septiembre de 2012</w:t>
      </w:r>
      <w:r w:rsidR="00325CC7">
        <w:rPr>
          <w:rFonts w:asciiTheme="majorHAnsi" w:hAnsiTheme="majorHAnsi" w:cs="Calibri"/>
          <w:color w:val="auto"/>
          <w:sz w:val="20"/>
          <w:szCs w:val="20"/>
          <w:lang w:val="es-ES_tradnl"/>
        </w:rPr>
        <w:t xml:space="preserve">. </w:t>
      </w:r>
      <w:r w:rsidR="00DF682D" w:rsidRPr="00095478">
        <w:rPr>
          <w:rFonts w:asciiTheme="majorHAnsi" w:hAnsiTheme="majorHAnsi" w:cs="Calibri"/>
          <w:color w:val="auto"/>
          <w:sz w:val="20"/>
          <w:szCs w:val="20"/>
          <w:lang w:val="es-ES_tradnl"/>
        </w:rPr>
        <w:t>La C</w:t>
      </w:r>
      <w:r w:rsidR="007136D5">
        <w:rPr>
          <w:rFonts w:asciiTheme="majorHAnsi" w:hAnsiTheme="majorHAnsi" w:cs="Calibri"/>
          <w:color w:val="auto"/>
          <w:sz w:val="20"/>
          <w:szCs w:val="20"/>
          <w:lang w:val="es-ES_tradnl"/>
        </w:rPr>
        <w:t>IDH</w:t>
      </w:r>
      <w:r w:rsidR="00DF682D" w:rsidRPr="00095478">
        <w:rPr>
          <w:rFonts w:asciiTheme="majorHAnsi" w:hAnsiTheme="majorHAnsi" w:cs="Calibri"/>
          <w:color w:val="auto"/>
          <w:sz w:val="20"/>
          <w:szCs w:val="20"/>
          <w:lang w:val="es-ES_tradnl"/>
        </w:rPr>
        <w:t xml:space="preserve"> considera que esta acción tampoco puede ser descalificada como recurso v</w:t>
      </w:r>
      <w:r w:rsidR="00797128" w:rsidRPr="00095478">
        <w:rPr>
          <w:rFonts w:asciiTheme="majorHAnsi" w:hAnsiTheme="majorHAnsi" w:cs="Calibri"/>
          <w:color w:val="auto"/>
          <w:sz w:val="20"/>
          <w:szCs w:val="20"/>
          <w:lang w:val="es-ES_tradnl"/>
        </w:rPr>
        <w:t>á</w:t>
      </w:r>
      <w:r w:rsidR="00DF682D" w:rsidRPr="00095478">
        <w:rPr>
          <w:rFonts w:asciiTheme="majorHAnsi" w:hAnsiTheme="majorHAnsi" w:cs="Calibri"/>
          <w:color w:val="auto"/>
          <w:sz w:val="20"/>
          <w:szCs w:val="20"/>
          <w:lang w:val="es-ES_tradnl"/>
        </w:rPr>
        <w:t>lido</w:t>
      </w:r>
      <w:r w:rsidR="00797128" w:rsidRPr="00095478">
        <w:rPr>
          <w:rFonts w:asciiTheme="majorHAnsi" w:hAnsiTheme="majorHAnsi" w:cs="Calibri"/>
          <w:color w:val="auto"/>
          <w:sz w:val="20"/>
          <w:szCs w:val="20"/>
          <w:lang w:val="es-ES_tradnl"/>
        </w:rPr>
        <w:t xml:space="preserve">, </w:t>
      </w:r>
      <w:r w:rsidR="00DF682D" w:rsidRPr="00095478">
        <w:rPr>
          <w:rFonts w:asciiTheme="majorHAnsi" w:hAnsiTheme="majorHAnsi" w:cs="Calibri"/>
          <w:color w:val="auto"/>
          <w:sz w:val="20"/>
          <w:szCs w:val="20"/>
          <w:lang w:val="es-ES_tradnl"/>
        </w:rPr>
        <w:t xml:space="preserve">pues no surge del expediente que </w:t>
      </w:r>
      <w:r w:rsidR="00797128" w:rsidRPr="00095478">
        <w:rPr>
          <w:rFonts w:asciiTheme="majorHAnsi" w:hAnsiTheme="majorHAnsi" w:cs="Calibri"/>
          <w:color w:val="auto"/>
          <w:sz w:val="20"/>
          <w:szCs w:val="20"/>
          <w:lang w:val="es-ES_tradnl"/>
        </w:rPr>
        <w:t>esta</w:t>
      </w:r>
      <w:r w:rsidR="00DF682D" w:rsidRPr="00095478">
        <w:rPr>
          <w:rFonts w:asciiTheme="majorHAnsi" w:hAnsiTheme="majorHAnsi" w:cs="Calibri"/>
          <w:color w:val="auto"/>
          <w:sz w:val="20"/>
          <w:szCs w:val="20"/>
          <w:lang w:val="es-ES_tradnl"/>
        </w:rPr>
        <w:t xml:space="preserve"> fuer</w:t>
      </w:r>
      <w:r w:rsidR="002C5A6F" w:rsidRPr="00095478">
        <w:rPr>
          <w:rFonts w:asciiTheme="majorHAnsi" w:hAnsiTheme="majorHAnsi" w:cs="Calibri"/>
          <w:color w:val="auto"/>
          <w:sz w:val="20"/>
          <w:szCs w:val="20"/>
          <w:lang w:val="es-ES_tradnl"/>
        </w:rPr>
        <w:t>a</w:t>
      </w:r>
      <w:r w:rsidR="00DF682D" w:rsidRPr="00095478">
        <w:rPr>
          <w:rFonts w:asciiTheme="majorHAnsi" w:hAnsiTheme="majorHAnsi" w:cs="Calibri"/>
          <w:color w:val="auto"/>
          <w:sz w:val="20"/>
          <w:szCs w:val="20"/>
          <w:lang w:val="es-ES_tradnl"/>
        </w:rPr>
        <w:t xml:space="preserve"> manifiestamente improcedente para impugnar la inadmisión del recurso de casación</w:t>
      </w:r>
      <w:r w:rsidR="007136D5">
        <w:rPr>
          <w:rFonts w:asciiTheme="majorHAnsi" w:hAnsiTheme="majorHAnsi" w:cs="Calibri"/>
          <w:color w:val="auto"/>
          <w:sz w:val="20"/>
          <w:szCs w:val="20"/>
          <w:lang w:val="es-ES_tradnl"/>
        </w:rPr>
        <w:t>.</w:t>
      </w:r>
    </w:p>
    <w:p w14:paraId="501F41EB" w14:textId="77777777" w:rsid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0133F6B4" w14:textId="6EE74D14" w:rsidR="00DF682D" w:rsidRPr="00095478" w:rsidRDefault="00D12ACA"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Pr>
          <w:rFonts w:asciiTheme="majorHAnsi" w:hAnsiTheme="majorHAnsi"/>
          <w:color w:val="auto"/>
          <w:sz w:val="20"/>
          <w:szCs w:val="20"/>
          <w:lang w:val="es-ES_tradnl"/>
        </w:rPr>
        <w:t>Además de</w:t>
      </w:r>
      <w:r w:rsidR="00DF682D" w:rsidRPr="00095478">
        <w:rPr>
          <w:rFonts w:asciiTheme="majorHAnsi" w:hAnsiTheme="majorHAnsi"/>
          <w:color w:val="auto"/>
          <w:sz w:val="20"/>
          <w:szCs w:val="20"/>
          <w:lang w:val="es-ES_tradnl"/>
        </w:rPr>
        <w:t xml:space="preserve"> lo anterior, las presunta</w:t>
      </w:r>
      <w:r w:rsidR="00494725" w:rsidRPr="00095478">
        <w:rPr>
          <w:rFonts w:asciiTheme="majorHAnsi" w:hAnsiTheme="majorHAnsi"/>
          <w:color w:val="auto"/>
          <w:sz w:val="20"/>
          <w:szCs w:val="20"/>
          <w:lang w:val="es-ES_tradnl"/>
        </w:rPr>
        <w:t>s</w:t>
      </w:r>
      <w:r w:rsidR="00DF682D" w:rsidRPr="00095478">
        <w:rPr>
          <w:rFonts w:asciiTheme="majorHAnsi" w:hAnsiTheme="majorHAnsi"/>
          <w:color w:val="auto"/>
          <w:sz w:val="20"/>
          <w:szCs w:val="20"/>
          <w:lang w:val="es-ES_tradnl"/>
        </w:rPr>
        <w:t xml:space="preserve"> víctimas presentaron una</w:t>
      </w:r>
      <w:r w:rsidR="002C5A6F" w:rsidRPr="00095478">
        <w:rPr>
          <w:rFonts w:asciiTheme="majorHAnsi" w:hAnsiTheme="majorHAnsi"/>
          <w:color w:val="auto"/>
          <w:sz w:val="20"/>
          <w:szCs w:val="20"/>
          <w:lang w:val="es-ES_tradnl"/>
        </w:rPr>
        <w:t xml:space="preserve"> nueva</w:t>
      </w:r>
      <w:r w:rsidR="00DF682D" w:rsidRPr="00095478">
        <w:rPr>
          <w:rFonts w:asciiTheme="majorHAnsi" w:hAnsiTheme="majorHAnsi"/>
          <w:color w:val="auto"/>
          <w:sz w:val="20"/>
          <w:szCs w:val="20"/>
          <w:lang w:val="es-ES_tradnl"/>
        </w:rPr>
        <w:t xml:space="preserve"> acción de libertad </w:t>
      </w:r>
      <w:r w:rsidR="00494725" w:rsidRPr="00095478">
        <w:rPr>
          <w:rFonts w:asciiTheme="majorHAnsi" w:hAnsiTheme="majorHAnsi"/>
          <w:color w:val="auto"/>
          <w:sz w:val="20"/>
          <w:szCs w:val="20"/>
          <w:lang w:val="es-ES_tradnl"/>
        </w:rPr>
        <w:t>contra la ejecución del mandamiento de condena</w:t>
      </w:r>
      <w:r>
        <w:rPr>
          <w:rFonts w:asciiTheme="majorHAnsi" w:hAnsiTheme="majorHAnsi"/>
          <w:color w:val="auto"/>
          <w:sz w:val="20"/>
          <w:szCs w:val="20"/>
          <w:lang w:val="es-ES_tradnl"/>
        </w:rPr>
        <w:t>, que fue</w:t>
      </w:r>
      <w:r w:rsidR="00494725" w:rsidRPr="00095478">
        <w:rPr>
          <w:rFonts w:asciiTheme="majorHAnsi" w:hAnsiTheme="majorHAnsi"/>
          <w:color w:val="auto"/>
          <w:sz w:val="20"/>
          <w:szCs w:val="20"/>
          <w:lang w:val="es-ES_tradnl"/>
        </w:rPr>
        <w:t xml:space="preserve"> rechazada el 16 de noviembre de </w:t>
      </w:r>
      <w:r w:rsidR="00CF7273" w:rsidRPr="00095478">
        <w:rPr>
          <w:rFonts w:asciiTheme="majorHAnsi" w:hAnsiTheme="majorHAnsi"/>
          <w:color w:val="auto"/>
          <w:sz w:val="20"/>
          <w:szCs w:val="20"/>
          <w:lang w:val="es-ES_tradnl"/>
        </w:rPr>
        <w:t>2012</w:t>
      </w:r>
      <w:r w:rsidR="00494725" w:rsidRPr="00095478">
        <w:rPr>
          <w:rFonts w:asciiTheme="majorHAnsi" w:hAnsiTheme="majorHAnsi"/>
          <w:color w:val="auto"/>
          <w:sz w:val="20"/>
          <w:szCs w:val="20"/>
          <w:lang w:val="es-ES_tradnl"/>
        </w:rPr>
        <w:t xml:space="preserve"> luego que</w:t>
      </w:r>
      <w:r w:rsidR="00CF7273" w:rsidRPr="00095478">
        <w:rPr>
          <w:rFonts w:asciiTheme="majorHAnsi" w:hAnsiTheme="majorHAnsi"/>
          <w:color w:val="auto"/>
          <w:sz w:val="20"/>
          <w:szCs w:val="20"/>
          <w:lang w:val="es-ES_tradnl"/>
        </w:rPr>
        <w:t xml:space="preserve"> el tribunal a cargo </w:t>
      </w:r>
      <w:r w:rsidR="00494725" w:rsidRPr="00095478">
        <w:rPr>
          <w:rFonts w:asciiTheme="majorHAnsi" w:hAnsiTheme="majorHAnsi"/>
          <w:color w:val="auto"/>
          <w:sz w:val="20"/>
          <w:szCs w:val="20"/>
          <w:lang w:val="es-ES_tradnl"/>
        </w:rPr>
        <w:t xml:space="preserve">concluyera que no era una vía apropiada para plantear </w:t>
      </w:r>
      <w:r w:rsidR="007136D5">
        <w:rPr>
          <w:rFonts w:asciiTheme="majorHAnsi" w:hAnsiTheme="majorHAnsi"/>
          <w:color w:val="auto"/>
          <w:sz w:val="20"/>
          <w:szCs w:val="20"/>
          <w:lang w:val="es-ES_tradnl"/>
        </w:rPr>
        <w:t xml:space="preserve">tales </w:t>
      </w:r>
      <w:r w:rsidR="00494725" w:rsidRPr="00095478">
        <w:rPr>
          <w:rFonts w:asciiTheme="majorHAnsi" w:hAnsiTheme="majorHAnsi"/>
          <w:color w:val="auto"/>
          <w:sz w:val="20"/>
          <w:szCs w:val="20"/>
          <w:lang w:val="es-ES_tradnl"/>
        </w:rPr>
        <w:t>reclamos</w:t>
      </w:r>
      <w:r w:rsidR="00CF7273" w:rsidRPr="00095478">
        <w:rPr>
          <w:rFonts w:asciiTheme="majorHAnsi" w:hAnsiTheme="majorHAnsi"/>
          <w:color w:val="auto"/>
          <w:sz w:val="20"/>
          <w:szCs w:val="20"/>
          <w:lang w:val="es-ES_tradnl"/>
        </w:rPr>
        <w:t xml:space="preserve">. </w:t>
      </w:r>
      <w:r w:rsidR="008208FE" w:rsidRPr="00095478">
        <w:rPr>
          <w:rFonts w:asciiTheme="majorHAnsi" w:hAnsiTheme="majorHAnsi"/>
          <w:color w:val="auto"/>
          <w:sz w:val="20"/>
          <w:szCs w:val="20"/>
          <w:lang w:val="es-ES_tradnl"/>
        </w:rPr>
        <w:t>La C</w:t>
      </w:r>
      <w:r w:rsidR="007136D5">
        <w:rPr>
          <w:rFonts w:asciiTheme="majorHAnsi" w:hAnsiTheme="majorHAnsi"/>
          <w:color w:val="auto"/>
          <w:sz w:val="20"/>
          <w:szCs w:val="20"/>
          <w:lang w:val="es-ES_tradnl"/>
        </w:rPr>
        <w:t>IDH</w:t>
      </w:r>
      <w:r w:rsidR="00347519" w:rsidRPr="00095478">
        <w:rPr>
          <w:rFonts w:asciiTheme="majorHAnsi" w:hAnsiTheme="majorHAnsi"/>
          <w:color w:val="auto"/>
          <w:sz w:val="20"/>
          <w:szCs w:val="20"/>
          <w:lang w:val="es-ES_tradnl"/>
        </w:rPr>
        <w:t xml:space="preserve"> </w:t>
      </w:r>
      <w:r w:rsidR="007136D5">
        <w:rPr>
          <w:rFonts w:asciiTheme="majorHAnsi" w:hAnsiTheme="majorHAnsi"/>
          <w:color w:val="auto"/>
          <w:sz w:val="20"/>
          <w:szCs w:val="20"/>
          <w:lang w:val="es-ES_tradnl"/>
        </w:rPr>
        <w:t xml:space="preserve">toma nota </w:t>
      </w:r>
      <w:r>
        <w:rPr>
          <w:rFonts w:asciiTheme="majorHAnsi" w:hAnsiTheme="majorHAnsi"/>
          <w:color w:val="auto"/>
          <w:sz w:val="20"/>
          <w:szCs w:val="20"/>
          <w:lang w:val="es-ES_tradnl"/>
        </w:rPr>
        <w:t xml:space="preserve">de esta conclusión, </w:t>
      </w:r>
      <w:r w:rsidR="00347519" w:rsidRPr="00095478">
        <w:rPr>
          <w:rFonts w:asciiTheme="majorHAnsi" w:hAnsiTheme="majorHAnsi"/>
          <w:color w:val="auto"/>
          <w:sz w:val="20"/>
          <w:szCs w:val="20"/>
          <w:lang w:val="es-ES_tradnl"/>
        </w:rPr>
        <w:t xml:space="preserve">y </w:t>
      </w:r>
      <w:r w:rsidR="008208FE" w:rsidRPr="00095478">
        <w:rPr>
          <w:rFonts w:asciiTheme="majorHAnsi" w:hAnsiTheme="majorHAnsi"/>
          <w:color w:val="auto"/>
          <w:sz w:val="20"/>
          <w:szCs w:val="20"/>
          <w:lang w:val="es-ES_tradnl"/>
        </w:rPr>
        <w:t xml:space="preserve">considera que </w:t>
      </w:r>
      <w:r>
        <w:rPr>
          <w:rFonts w:asciiTheme="majorHAnsi" w:hAnsiTheme="majorHAnsi"/>
          <w:color w:val="auto"/>
          <w:sz w:val="20"/>
          <w:szCs w:val="20"/>
          <w:lang w:val="es-ES_tradnl"/>
        </w:rPr>
        <w:t>e</w:t>
      </w:r>
      <w:r w:rsidR="00347519" w:rsidRPr="00095478">
        <w:rPr>
          <w:rFonts w:asciiTheme="majorHAnsi" w:hAnsiTheme="majorHAnsi"/>
          <w:color w:val="auto"/>
          <w:sz w:val="20"/>
          <w:szCs w:val="20"/>
          <w:lang w:val="es-ES_tradnl"/>
        </w:rPr>
        <w:t>l peticionari</w:t>
      </w:r>
      <w:r>
        <w:rPr>
          <w:rFonts w:asciiTheme="majorHAnsi" w:hAnsiTheme="majorHAnsi"/>
          <w:color w:val="auto"/>
          <w:sz w:val="20"/>
          <w:szCs w:val="20"/>
          <w:lang w:val="es-ES_tradnl"/>
        </w:rPr>
        <w:t>o</w:t>
      </w:r>
      <w:r w:rsidR="00347519" w:rsidRPr="00095478">
        <w:rPr>
          <w:rFonts w:asciiTheme="majorHAnsi" w:hAnsiTheme="majorHAnsi"/>
          <w:color w:val="auto"/>
          <w:sz w:val="20"/>
          <w:szCs w:val="20"/>
          <w:lang w:val="es-ES_tradnl"/>
        </w:rPr>
        <w:t xml:space="preserve"> no ha acreditado suficientemente </w:t>
      </w:r>
      <w:r w:rsidR="00C5255B" w:rsidRPr="00095478">
        <w:rPr>
          <w:rFonts w:asciiTheme="majorHAnsi" w:hAnsiTheme="majorHAnsi"/>
          <w:color w:val="auto"/>
          <w:sz w:val="20"/>
          <w:szCs w:val="20"/>
          <w:lang w:val="es-ES_tradnl"/>
        </w:rPr>
        <w:t xml:space="preserve">que una </w:t>
      </w:r>
      <w:r w:rsidR="00797128" w:rsidRPr="00095478">
        <w:rPr>
          <w:rFonts w:asciiTheme="majorHAnsi" w:hAnsiTheme="majorHAnsi"/>
          <w:color w:val="auto"/>
          <w:sz w:val="20"/>
          <w:szCs w:val="20"/>
          <w:lang w:val="es-ES_tradnl"/>
        </w:rPr>
        <w:t xml:space="preserve">nueva </w:t>
      </w:r>
      <w:r w:rsidR="00C5255B" w:rsidRPr="00095478">
        <w:rPr>
          <w:rFonts w:asciiTheme="majorHAnsi" w:hAnsiTheme="majorHAnsi"/>
          <w:color w:val="auto"/>
          <w:sz w:val="20"/>
          <w:szCs w:val="20"/>
          <w:lang w:val="es-ES_tradnl"/>
        </w:rPr>
        <w:t xml:space="preserve">acción de libertad </w:t>
      </w:r>
      <w:r w:rsidR="00C5255B" w:rsidRPr="00095478">
        <w:rPr>
          <w:rFonts w:asciiTheme="majorHAnsi" w:hAnsiTheme="majorHAnsi"/>
          <w:color w:val="auto"/>
          <w:sz w:val="20"/>
          <w:szCs w:val="20"/>
          <w:lang w:val="es-ES_tradnl"/>
        </w:rPr>
        <w:lastRenderedPageBreak/>
        <w:t xml:space="preserve">contra el mandamiento de condena </w:t>
      </w:r>
      <w:r w:rsidR="00347519" w:rsidRPr="00095478">
        <w:rPr>
          <w:rFonts w:asciiTheme="majorHAnsi" w:hAnsiTheme="majorHAnsi"/>
          <w:color w:val="auto"/>
          <w:sz w:val="20"/>
          <w:szCs w:val="20"/>
          <w:lang w:val="es-ES_tradnl"/>
        </w:rPr>
        <w:t>fuera un recurso pertinente e idóneo para que l</w:t>
      </w:r>
      <w:r>
        <w:rPr>
          <w:rFonts w:asciiTheme="majorHAnsi" w:hAnsiTheme="majorHAnsi"/>
          <w:color w:val="auto"/>
          <w:sz w:val="20"/>
          <w:szCs w:val="20"/>
          <w:lang w:val="es-ES_tradnl"/>
        </w:rPr>
        <w:t>os</w:t>
      </w:r>
      <w:r w:rsidR="00347519" w:rsidRPr="00095478">
        <w:rPr>
          <w:rFonts w:asciiTheme="majorHAnsi" w:hAnsiTheme="majorHAnsi"/>
          <w:color w:val="auto"/>
          <w:sz w:val="20"/>
          <w:szCs w:val="20"/>
          <w:lang w:val="es-ES_tradnl"/>
        </w:rPr>
        <w:t xml:space="preserve"> reclam</w:t>
      </w:r>
      <w:r>
        <w:rPr>
          <w:rFonts w:asciiTheme="majorHAnsi" w:hAnsiTheme="majorHAnsi"/>
          <w:color w:val="auto"/>
          <w:sz w:val="20"/>
          <w:szCs w:val="20"/>
          <w:lang w:val="es-ES_tradnl"/>
        </w:rPr>
        <w:t>o</w:t>
      </w:r>
      <w:r w:rsidR="00347519" w:rsidRPr="00095478">
        <w:rPr>
          <w:rFonts w:asciiTheme="majorHAnsi" w:hAnsiTheme="majorHAnsi"/>
          <w:color w:val="auto"/>
          <w:sz w:val="20"/>
          <w:szCs w:val="20"/>
          <w:lang w:val="es-ES_tradnl"/>
        </w:rPr>
        <w:t>s que dan objeto a la petición fueran revisad</w:t>
      </w:r>
      <w:r>
        <w:rPr>
          <w:rFonts w:asciiTheme="majorHAnsi" w:hAnsiTheme="majorHAnsi"/>
          <w:color w:val="auto"/>
          <w:sz w:val="20"/>
          <w:szCs w:val="20"/>
          <w:lang w:val="es-ES_tradnl"/>
        </w:rPr>
        <w:t>o</w:t>
      </w:r>
      <w:r w:rsidR="00347519" w:rsidRPr="00095478">
        <w:rPr>
          <w:rFonts w:asciiTheme="majorHAnsi" w:hAnsiTheme="majorHAnsi"/>
          <w:color w:val="auto"/>
          <w:sz w:val="20"/>
          <w:szCs w:val="20"/>
          <w:lang w:val="es-ES_tradnl"/>
        </w:rPr>
        <w:t xml:space="preserve">s </w:t>
      </w:r>
      <w:r>
        <w:rPr>
          <w:rFonts w:asciiTheme="majorHAnsi" w:hAnsiTheme="majorHAnsi"/>
          <w:color w:val="auto"/>
          <w:sz w:val="20"/>
          <w:szCs w:val="20"/>
          <w:lang w:val="es-ES_tradnl"/>
        </w:rPr>
        <w:t>en la jurisdicción interna</w:t>
      </w:r>
      <w:r w:rsidR="00347519" w:rsidRPr="00095478">
        <w:rPr>
          <w:rFonts w:asciiTheme="majorHAnsi" w:hAnsiTheme="majorHAnsi"/>
          <w:color w:val="auto"/>
          <w:sz w:val="20"/>
          <w:szCs w:val="20"/>
          <w:lang w:val="es-ES_tradnl"/>
        </w:rPr>
        <w:t xml:space="preserve">. Por lo tanto, la Comisión </w:t>
      </w:r>
      <w:r>
        <w:rPr>
          <w:rFonts w:asciiTheme="majorHAnsi" w:hAnsiTheme="majorHAnsi"/>
          <w:color w:val="auto"/>
          <w:sz w:val="20"/>
          <w:szCs w:val="20"/>
          <w:lang w:val="es-ES_tradnl"/>
        </w:rPr>
        <w:t xml:space="preserve">Interamericana </w:t>
      </w:r>
      <w:r w:rsidR="00C5255B" w:rsidRPr="00095478">
        <w:rPr>
          <w:rFonts w:asciiTheme="majorHAnsi" w:hAnsiTheme="majorHAnsi"/>
          <w:color w:val="auto"/>
          <w:sz w:val="20"/>
          <w:szCs w:val="20"/>
          <w:lang w:val="es-ES_tradnl"/>
        </w:rPr>
        <w:t>estima que este recurso no puede ser considerado válido para c</w:t>
      </w:r>
      <w:r>
        <w:rPr>
          <w:rFonts w:asciiTheme="majorHAnsi" w:hAnsiTheme="majorHAnsi"/>
          <w:color w:val="auto"/>
          <w:sz w:val="20"/>
          <w:szCs w:val="20"/>
          <w:lang w:val="es-ES_tradnl"/>
        </w:rPr>
        <w:t>a</w:t>
      </w:r>
      <w:r w:rsidR="00C5255B" w:rsidRPr="00095478">
        <w:rPr>
          <w:rFonts w:asciiTheme="majorHAnsi" w:hAnsiTheme="majorHAnsi"/>
          <w:color w:val="auto"/>
          <w:sz w:val="20"/>
          <w:szCs w:val="20"/>
          <w:lang w:val="es-ES_tradnl"/>
        </w:rPr>
        <w:t>lcul</w:t>
      </w:r>
      <w:r>
        <w:rPr>
          <w:rFonts w:asciiTheme="majorHAnsi" w:hAnsiTheme="majorHAnsi"/>
          <w:color w:val="auto"/>
          <w:sz w:val="20"/>
          <w:szCs w:val="20"/>
          <w:lang w:val="es-ES_tradnl"/>
        </w:rPr>
        <w:t>ar</w:t>
      </w:r>
      <w:r w:rsidR="00C5255B" w:rsidRPr="00095478">
        <w:rPr>
          <w:rFonts w:asciiTheme="majorHAnsi" w:hAnsiTheme="majorHAnsi"/>
          <w:color w:val="auto"/>
          <w:sz w:val="20"/>
          <w:szCs w:val="20"/>
          <w:lang w:val="es-ES_tradnl"/>
        </w:rPr>
        <w:t xml:space="preserve"> el plazo </w:t>
      </w:r>
      <w:r>
        <w:rPr>
          <w:rFonts w:asciiTheme="majorHAnsi" w:hAnsiTheme="majorHAnsi"/>
          <w:color w:val="auto"/>
          <w:sz w:val="20"/>
          <w:szCs w:val="20"/>
          <w:lang w:val="es-ES_tradnl"/>
        </w:rPr>
        <w:t>de</w:t>
      </w:r>
      <w:r w:rsidR="00C5255B" w:rsidRPr="00095478">
        <w:rPr>
          <w:rFonts w:asciiTheme="majorHAnsi" w:hAnsiTheme="majorHAnsi"/>
          <w:color w:val="auto"/>
          <w:sz w:val="20"/>
          <w:szCs w:val="20"/>
          <w:lang w:val="es-ES_tradnl"/>
        </w:rPr>
        <w:t xml:space="preserve"> presentación de la petición</w:t>
      </w:r>
      <w:r>
        <w:rPr>
          <w:rFonts w:asciiTheme="majorHAnsi" w:hAnsiTheme="majorHAnsi"/>
          <w:color w:val="auto"/>
          <w:sz w:val="20"/>
          <w:szCs w:val="20"/>
          <w:lang w:val="es-ES_tradnl"/>
        </w:rPr>
        <w:t>, pues</w:t>
      </w:r>
      <w:r w:rsidR="00797128" w:rsidRPr="00095478">
        <w:rPr>
          <w:rFonts w:asciiTheme="majorHAnsi" w:hAnsiTheme="majorHAnsi"/>
          <w:color w:val="auto"/>
          <w:sz w:val="20"/>
          <w:szCs w:val="20"/>
          <w:lang w:val="es-ES_tradnl"/>
        </w:rPr>
        <w:t xml:space="preserve"> no constituye realmente </w:t>
      </w:r>
      <w:r>
        <w:rPr>
          <w:rFonts w:asciiTheme="majorHAnsi" w:hAnsiTheme="majorHAnsi"/>
          <w:color w:val="auto"/>
          <w:sz w:val="20"/>
          <w:szCs w:val="20"/>
          <w:lang w:val="es-ES_tradnl"/>
        </w:rPr>
        <w:t>una</w:t>
      </w:r>
      <w:r w:rsidR="00797128" w:rsidRPr="00095478">
        <w:rPr>
          <w:rFonts w:asciiTheme="majorHAnsi" w:hAnsiTheme="majorHAnsi"/>
          <w:color w:val="auto"/>
          <w:sz w:val="20"/>
          <w:szCs w:val="20"/>
          <w:lang w:val="es-ES_tradnl"/>
        </w:rPr>
        <w:t xml:space="preserve"> decisión definitiva en los términos del artículo 46.1</w:t>
      </w:r>
      <w:r>
        <w:rPr>
          <w:rFonts w:asciiTheme="majorHAnsi" w:hAnsiTheme="majorHAnsi"/>
          <w:color w:val="auto"/>
          <w:sz w:val="20"/>
          <w:szCs w:val="20"/>
          <w:lang w:val="es-ES_tradnl"/>
        </w:rPr>
        <w:t>(</w:t>
      </w:r>
      <w:r w:rsidR="00797128" w:rsidRPr="00095478">
        <w:rPr>
          <w:rFonts w:asciiTheme="majorHAnsi" w:hAnsiTheme="majorHAnsi"/>
          <w:color w:val="auto"/>
          <w:sz w:val="20"/>
          <w:szCs w:val="20"/>
          <w:lang w:val="es-ES_tradnl"/>
        </w:rPr>
        <w:t xml:space="preserve">b) de la Convención Americana. </w:t>
      </w:r>
    </w:p>
    <w:p w14:paraId="291BA07B" w14:textId="77777777" w:rsidR="004B153A" w:rsidRP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color w:val="auto"/>
          <w:sz w:val="20"/>
          <w:szCs w:val="20"/>
          <w:lang w:val="es-ES_tradnl"/>
        </w:rPr>
      </w:pPr>
    </w:p>
    <w:p w14:paraId="2064C45B" w14:textId="6D6CD7F4" w:rsidR="00C5255B" w:rsidRPr="000F16C7" w:rsidRDefault="00280DFF"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color w:val="auto"/>
          <w:sz w:val="20"/>
          <w:szCs w:val="20"/>
          <w:lang w:val="es-ES_tradnl"/>
        </w:rPr>
      </w:pPr>
      <w:r w:rsidRPr="000F16C7">
        <w:rPr>
          <w:rFonts w:asciiTheme="majorHAnsi" w:hAnsiTheme="majorHAnsi" w:cs="Calibri"/>
          <w:color w:val="auto"/>
          <w:sz w:val="20"/>
          <w:szCs w:val="20"/>
          <w:lang w:val="es-ES_tradnl"/>
        </w:rPr>
        <w:t>Por lo tanto, la C</w:t>
      </w:r>
      <w:r w:rsidR="00D12ACA">
        <w:rPr>
          <w:rFonts w:asciiTheme="majorHAnsi" w:hAnsiTheme="majorHAnsi" w:cs="Calibri"/>
          <w:color w:val="auto"/>
          <w:sz w:val="20"/>
          <w:szCs w:val="20"/>
          <w:lang w:val="es-ES_tradnl"/>
        </w:rPr>
        <w:t>IDH</w:t>
      </w:r>
      <w:r w:rsidRPr="000F16C7">
        <w:rPr>
          <w:rFonts w:asciiTheme="majorHAnsi" w:hAnsiTheme="majorHAnsi" w:cs="Calibri"/>
          <w:color w:val="auto"/>
          <w:sz w:val="20"/>
          <w:szCs w:val="20"/>
          <w:lang w:val="es-ES_tradnl"/>
        </w:rPr>
        <w:t xml:space="preserve"> considera que</w:t>
      </w:r>
      <w:r w:rsidR="0099626D" w:rsidRPr="000F16C7">
        <w:rPr>
          <w:rFonts w:asciiTheme="majorHAnsi" w:hAnsiTheme="majorHAnsi" w:cs="Calibri"/>
          <w:color w:val="auto"/>
          <w:sz w:val="20"/>
          <w:szCs w:val="20"/>
          <w:lang w:val="es-ES_tradnl"/>
        </w:rPr>
        <w:t xml:space="preserve"> decisión definitiva </w:t>
      </w:r>
      <w:r w:rsidR="00C5255B" w:rsidRPr="000F16C7">
        <w:rPr>
          <w:rFonts w:asciiTheme="majorHAnsi" w:hAnsiTheme="majorHAnsi" w:cs="Calibri"/>
          <w:color w:val="auto"/>
          <w:sz w:val="20"/>
          <w:szCs w:val="20"/>
          <w:lang w:val="es-ES_tradnl"/>
        </w:rPr>
        <w:t xml:space="preserve">respecto al último de los recursos extraordinarios pertinentes </w:t>
      </w:r>
      <w:r w:rsidRPr="000F16C7">
        <w:rPr>
          <w:rFonts w:asciiTheme="majorHAnsi" w:hAnsiTheme="majorHAnsi" w:cs="Calibri"/>
          <w:color w:val="auto"/>
          <w:sz w:val="20"/>
          <w:szCs w:val="20"/>
          <w:lang w:val="es-ES_tradnl"/>
        </w:rPr>
        <w:t>fue la emitida</w:t>
      </w:r>
      <w:r w:rsidR="00C5255B" w:rsidRPr="000F16C7">
        <w:rPr>
          <w:rFonts w:asciiTheme="majorHAnsi" w:hAnsiTheme="majorHAnsi" w:cs="Calibri"/>
          <w:color w:val="auto"/>
          <w:sz w:val="20"/>
          <w:szCs w:val="20"/>
          <w:lang w:val="es-ES_tradnl"/>
        </w:rPr>
        <w:t xml:space="preserve"> el 6 de septiembre de 2012</w:t>
      </w:r>
      <w:r w:rsidRPr="000F16C7">
        <w:rPr>
          <w:rFonts w:asciiTheme="majorHAnsi" w:hAnsiTheme="majorHAnsi" w:cs="Calibri"/>
          <w:color w:val="auto"/>
          <w:sz w:val="20"/>
          <w:szCs w:val="20"/>
          <w:lang w:val="es-ES_tradnl"/>
        </w:rPr>
        <w:t xml:space="preserve"> que </w:t>
      </w:r>
      <w:r w:rsidR="00D12ACA">
        <w:rPr>
          <w:rFonts w:asciiTheme="majorHAnsi" w:hAnsiTheme="majorHAnsi" w:cs="Calibri"/>
          <w:color w:val="auto"/>
          <w:sz w:val="20"/>
          <w:szCs w:val="20"/>
          <w:lang w:val="es-ES_tradnl"/>
        </w:rPr>
        <w:t>--</w:t>
      </w:r>
      <w:r w:rsidRPr="000F16C7">
        <w:rPr>
          <w:rFonts w:asciiTheme="majorHAnsi" w:hAnsiTheme="majorHAnsi" w:cs="Calibri"/>
          <w:color w:val="auto"/>
          <w:sz w:val="20"/>
          <w:szCs w:val="20"/>
          <w:lang w:val="es-ES_tradnl"/>
        </w:rPr>
        <w:t>según surge del expediente</w:t>
      </w:r>
      <w:r w:rsidR="00D12ACA">
        <w:rPr>
          <w:rFonts w:asciiTheme="majorHAnsi" w:hAnsiTheme="majorHAnsi" w:cs="Calibri"/>
          <w:color w:val="auto"/>
          <w:sz w:val="20"/>
          <w:szCs w:val="20"/>
          <w:lang w:val="es-ES_tradnl"/>
        </w:rPr>
        <w:t>--</w:t>
      </w:r>
      <w:r w:rsidRPr="000F16C7">
        <w:rPr>
          <w:rFonts w:asciiTheme="majorHAnsi" w:hAnsiTheme="majorHAnsi" w:cs="Calibri"/>
          <w:color w:val="auto"/>
          <w:sz w:val="20"/>
          <w:szCs w:val="20"/>
          <w:lang w:val="es-ES_tradnl"/>
        </w:rPr>
        <w:t xml:space="preserve"> fue notificada a las presuntas víctimas el 4 de marzo de 2013</w:t>
      </w:r>
      <w:r w:rsidRPr="000F16C7">
        <w:rPr>
          <w:rStyle w:val="FootnoteReference"/>
          <w:rFonts w:asciiTheme="majorHAnsi" w:hAnsiTheme="majorHAnsi"/>
          <w:color w:val="auto"/>
          <w:sz w:val="20"/>
          <w:szCs w:val="20"/>
          <w:lang w:val="es-ES_tradnl"/>
        </w:rPr>
        <w:footnoteReference w:id="10"/>
      </w:r>
      <w:r w:rsidRPr="000F16C7">
        <w:rPr>
          <w:rFonts w:asciiTheme="majorHAnsi" w:hAnsiTheme="majorHAnsi" w:cs="Calibri"/>
          <w:color w:val="auto"/>
          <w:sz w:val="20"/>
          <w:szCs w:val="20"/>
          <w:lang w:val="es-ES_tradnl"/>
        </w:rPr>
        <w:t>. En consecuencia</w:t>
      </w:r>
      <w:r w:rsidR="00D12ACA">
        <w:rPr>
          <w:rFonts w:asciiTheme="majorHAnsi" w:hAnsiTheme="majorHAnsi" w:cs="Calibri"/>
          <w:color w:val="auto"/>
          <w:sz w:val="20"/>
          <w:szCs w:val="20"/>
          <w:lang w:val="es-ES_tradnl"/>
        </w:rPr>
        <w:t>,</w:t>
      </w:r>
      <w:r w:rsidRPr="000F16C7">
        <w:rPr>
          <w:rFonts w:asciiTheme="majorHAnsi" w:hAnsiTheme="majorHAnsi" w:cs="Calibri"/>
          <w:color w:val="auto"/>
          <w:sz w:val="20"/>
          <w:szCs w:val="20"/>
          <w:lang w:val="es-ES_tradnl"/>
        </w:rPr>
        <w:t xml:space="preserve"> y dado que </w:t>
      </w:r>
      <w:r w:rsidR="00C5255B" w:rsidRPr="000F16C7">
        <w:rPr>
          <w:rFonts w:asciiTheme="majorHAnsi" w:hAnsiTheme="majorHAnsi" w:cs="Calibri"/>
          <w:color w:val="auto"/>
          <w:sz w:val="20"/>
          <w:szCs w:val="20"/>
          <w:lang w:val="es-ES_tradnl"/>
        </w:rPr>
        <w:t xml:space="preserve">la petición fue presentada el 2 de octubre de 2013, la Comisión concluye que resulta inadmisible por no cumplir con </w:t>
      </w:r>
      <w:r w:rsidR="00797128" w:rsidRPr="000F16C7">
        <w:rPr>
          <w:rFonts w:asciiTheme="majorHAnsi" w:hAnsiTheme="majorHAnsi" w:cs="Calibri"/>
          <w:color w:val="auto"/>
          <w:sz w:val="20"/>
          <w:szCs w:val="20"/>
          <w:lang w:val="es-ES_tradnl"/>
        </w:rPr>
        <w:t>el</w:t>
      </w:r>
      <w:r w:rsidR="00C5255B" w:rsidRPr="000F16C7">
        <w:rPr>
          <w:rFonts w:asciiTheme="majorHAnsi" w:hAnsiTheme="majorHAnsi" w:cs="Calibri"/>
          <w:color w:val="auto"/>
          <w:sz w:val="20"/>
          <w:szCs w:val="20"/>
          <w:lang w:val="es-ES_tradnl"/>
        </w:rPr>
        <w:t xml:space="preserve"> requisito </w:t>
      </w:r>
      <w:r w:rsidR="000F16C7" w:rsidRPr="000F16C7">
        <w:rPr>
          <w:rFonts w:asciiTheme="majorHAnsi" w:hAnsiTheme="majorHAnsi" w:cs="Calibri"/>
          <w:color w:val="auto"/>
          <w:sz w:val="20"/>
          <w:szCs w:val="20"/>
          <w:lang w:val="es-ES_tradnl"/>
        </w:rPr>
        <w:t>de plazo de presentación establecido en el</w:t>
      </w:r>
      <w:r w:rsidR="00C5255B" w:rsidRPr="000F16C7">
        <w:rPr>
          <w:rFonts w:asciiTheme="majorHAnsi" w:hAnsiTheme="majorHAnsi" w:cs="Calibri"/>
          <w:color w:val="auto"/>
          <w:sz w:val="20"/>
          <w:szCs w:val="20"/>
          <w:lang w:val="es-ES_tradnl"/>
        </w:rPr>
        <w:t xml:space="preserve"> artículo 46.1</w:t>
      </w:r>
      <w:r w:rsidR="00D12ACA">
        <w:rPr>
          <w:rFonts w:asciiTheme="majorHAnsi" w:hAnsiTheme="majorHAnsi" w:cs="Calibri"/>
          <w:color w:val="auto"/>
          <w:sz w:val="20"/>
          <w:szCs w:val="20"/>
          <w:lang w:val="es-ES_tradnl"/>
        </w:rPr>
        <w:t>(</w:t>
      </w:r>
      <w:r w:rsidR="00C5255B" w:rsidRPr="000F16C7">
        <w:rPr>
          <w:rFonts w:asciiTheme="majorHAnsi" w:hAnsiTheme="majorHAnsi" w:cs="Calibri"/>
          <w:color w:val="auto"/>
          <w:sz w:val="20"/>
          <w:szCs w:val="20"/>
          <w:lang w:val="es-ES_tradnl"/>
        </w:rPr>
        <w:t>b)</w:t>
      </w:r>
      <w:r w:rsidR="00797128" w:rsidRPr="000F16C7">
        <w:rPr>
          <w:rFonts w:asciiTheme="majorHAnsi" w:hAnsiTheme="majorHAnsi" w:cs="Calibri"/>
          <w:color w:val="auto"/>
          <w:sz w:val="20"/>
          <w:szCs w:val="20"/>
          <w:lang w:val="es-ES_tradnl"/>
        </w:rPr>
        <w:t xml:space="preserve"> de la Convención Americana.</w:t>
      </w:r>
    </w:p>
    <w:p w14:paraId="255DB599" w14:textId="77777777" w:rsidR="004B153A" w:rsidRPr="004B153A" w:rsidRDefault="004B153A" w:rsidP="004B15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color w:val="auto"/>
          <w:sz w:val="20"/>
          <w:szCs w:val="20"/>
          <w:lang w:val="es-ES_tradnl"/>
        </w:rPr>
      </w:pPr>
    </w:p>
    <w:p w14:paraId="31930E6F" w14:textId="22519DEC" w:rsidR="00797128" w:rsidRPr="00095478" w:rsidRDefault="00797128" w:rsidP="004D4EC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color w:val="auto"/>
          <w:sz w:val="20"/>
          <w:szCs w:val="20"/>
          <w:lang w:val="es-ES_tradnl"/>
        </w:rPr>
      </w:pPr>
      <w:r w:rsidRPr="00095478">
        <w:rPr>
          <w:rFonts w:asciiTheme="majorHAnsi" w:hAnsiTheme="majorHAnsi" w:cs="Calibri"/>
          <w:color w:val="auto"/>
          <w:sz w:val="20"/>
          <w:szCs w:val="20"/>
          <w:lang w:val="es-ES_tradnl"/>
        </w:rPr>
        <w:t xml:space="preserve">Finalmente, el Estado de que </w:t>
      </w:r>
      <w:r w:rsidR="00D12ACA">
        <w:rPr>
          <w:rFonts w:asciiTheme="majorHAnsi" w:hAnsiTheme="majorHAnsi" w:cs="Calibri"/>
          <w:color w:val="auto"/>
          <w:sz w:val="20"/>
          <w:szCs w:val="20"/>
          <w:lang w:val="es-ES_tradnl"/>
        </w:rPr>
        <w:t>las presuntas víctimas</w:t>
      </w:r>
      <w:r w:rsidR="00D12ACA" w:rsidRPr="00095478">
        <w:rPr>
          <w:rFonts w:asciiTheme="majorHAnsi" w:hAnsiTheme="majorHAnsi" w:cs="Calibri"/>
          <w:color w:val="auto"/>
          <w:sz w:val="20"/>
          <w:szCs w:val="20"/>
          <w:lang w:val="es-ES_tradnl"/>
        </w:rPr>
        <w:t xml:space="preserve"> </w:t>
      </w:r>
      <w:r w:rsidRPr="00095478">
        <w:rPr>
          <w:rFonts w:asciiTheme="majorHAnsi" w:hAnsiTheme="majorHAnsi" w:cs="Calibri"/>
          <w:color w:val="auto"/>
          <w:sz w:val="20"/>
          <w:szCs w:val="20"/>
          <w:lang w:val="es-ES_tradnl"/>
        </w:rPr>
        <w:t xml:space="preserve">han estado </w:t>
      </w:r>
      <w:r w:rsidR="00D12ACA" w:rsidRPr="00095478">
        <w:rPr>
          <w:rFonts w:asciiTheme="majorHAnsi" w:hAnsiTheme="majorHAnsi" w:cs="Calibri"/>
          <w:color w:val="auto"/>
          <w:sz w:val="20"/>
          <w:szCs w:val="20"/>
          <w:lang w:val="es-ES_tradnl"/>
        </w:rPr>
        <w:t>prófug</w:t>
      </w:r>
      <w:r w:rsidR="00D12ACA">
        <w:rPr>
          <w:rFonts w:asciiTheme="majorHAnsi" w:hAnsiTheme="majorHAnsi" w:cs="Calibri"/>
          <w:color w:val="auto"/>
          <w:sz w:val="20"/>
          <w:szCs w:val="20"/>
          <w:lang w:val="es-ES_tradnl"/>
        </w:rPr>
        <w:t>a</w:t>
      </w:r>
      <w:r w:rsidR="00D12ACA" w:rsidRPr="00095478">
        <w:rPr>
          <w:rFonts w:asciiTheme="majorHAnsi" w:hAnsiTheme="majorHAnsi" w:cs="Calibri"/>
          <w:color w:val="auto"/>
          <w:sz w:val="20"/>
          <w:szCs w:val="20"/>
          <w:lang w:val="es-ES_tradnl"/>
        </w:rPr>
        <w:t>s</w:t>
      </w:r>
      <w:r w:rsidRPr="00095478">
        <w:rPr>
          <w:rFonts w:asciiTheme="majorHAnsi" w:hAnsiTheme="majorHAnsi" w:cs="Calibri"/>
          <w:color w:val="auto"/>
          <w:sz w:val="20"/>
          <w:szCs w:val="20"/>
          <w:lang w:val="es-ES_tradnl"/>
        </w:rPr>
        <w:t xml:space="preserve"> de la justicia</w:t>
      </w:r>
      <w:r w:rsidR="002C5A6F" w:rsidRPr="00095478">
        <w:rPr>
          <w:rFonts w:asciiTheme="majorHAnsi" w:hAnsiTheme="majorHAnsi" w:cs="Calibri"/>
          <w:color w:val="auto"/>
          <w:sz w:val="20"/>
          <w:szCs w:val="20"/>
          <w:lang w:val="es-ES_tradnl"/>
        </w:rPr>
        <w:t xml:space="preserve"> por el hecho de que no se han apersonado al proceso</w:t>
      </w:r>
      <w:r w:rsidR="00C9593D">
        <w:rPr>
          <w:rFonts w:asciiTheme="majorHAnsi" w:hAnsiTheme="majorHAnsi" w:cs="Calibri"/>
          <w:color w:val="auto"/>
          <w:sz w:val="20"/>
          <w:szCs w:val="20"/>
          <w:lang w:val="es-ES_tradnl"/>
        </w:rPr>
        <w:t xml:space="preserve">. Este </w:t>
      </w:r>
      <w:r w:rsidRPr="00095478">
        <w:rPr>
          <w:rFonts w:asciiTheme="majorHAnsi" w:hAnsiTheme="majorHAnsi" w:cs="Calibri"/>
          <w:color w:val="auto"/>
          <w:sz w:val="20"/>
          <w:szCs w:val="20"/>
          <w:lang w:val="es-ES_tradnl"/>
        </w:rPr>
        <w:t xml:space="preserve">hecho </w:t>
      </w:r>
      <w:r w:rsidR="00C9593D">
        <w:rPr>
          <w:rFonts w:asciiTheme="majorHAnsi" w:hAnsiTheme="majorHAnsi" w:cs="Calibri"/>
          <w:color w:val="auto"/>
          <w:sz w:val="20"/>
          <w:szCs w:val="20"/>
          <w:lang w:val="es-ES_tradnl"/>
        </w:rPr>
        <w:t xml:space="preserve">ha sido </w:t>
      </w:r>
      <w:r w:rsidRPr="00095478">
        <w:rPr>
          <w:rFonts w:asciiTheme="majorHAnsi" w:hAnsiTheme="majorHAnsi" w:cs="Calibri"/>
          <w:color w:val="auto"/>
          <w:sz w:val="20"/>
          <w:szCs w:val="20"/>
          <w:lang w:val="es-ES_tradnl"/>
        </w:rPr>
        <w:t xml:space="preserve">discutido pero aceptado tácitamente por el peticionario, </w:t>
      </w:r>
      <w:r w:rsidR="00C9593D">
        <w:rPr>
          <w:rFonts w:asciiTheme="majorHAnsi" w:hAnsiTheme="majorHAnsi" w:cs="Calibri"/>
          <w:color w:val="auto"/>
          <w:sz w:val="20"/>
          <w:szCs w:val="20"/>
          <w:lang w:val="es-ES_tradnl"/>
        </w:rPr>
        <w:t xml:space="preserve">por lo que </w:t>
      </w:r>
      <w:r w:rsidRPr="00095478">
        <w:rPr>
          <w:rFonts w:asciiTheme="majorHAnsi" w:hAnsiTheme="majorHAnsi" w:cs="Calibri"/>
          <w:color w:val="auto"/>
          <w:sz w:val="20"/>
          <w:szCs w:val="20"/>
          <w:lang w:val="es-ES_tradnl"/>
        </w:rPr>
        <w:t>la Comisión considera que no le corresponde pronunciarse</w:t>
      </w:r>
      <w:r w:rsidR="002C5A6F" w:rsidRPr="00095478">
        <w:rPr>
          <w:rFonts w:asciiTheme="majorHAnsi" w:hAnsiTheme="majorHAnsi" w:cs="Calibri"/>
          <w:color w:val="auto"/>
          <w:sz w:val="20"/>
          <w:szCs w:val="20"/>
          <w:lang w:val="es-ES_tradnl"/>
        </w:rPr>
        <w:t xml:space="preserve">. </w:t>
      </w:r>
    </w:p>
    <w:p w14:paraId="5217283A" w14:textId="77777777" w:rsidR="004D4ECA" w:rsidRDefault="004D4ECA" w:rsidP="004D4EC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color w:val="auto"/>
          <w:sz w:val="20"/>
          <w:szCs w:val="20"/>
          <w:lang w:val="es-ES_tradnl"/>
        </w:rPr>
      </w:pPr>
    </w:p>
    <w:p w14:paraId="77D7B83D" w14:textId="0B02AD0D" w:rsidR="003239B8" w:rsidRPr="00095478" w:rsidRDefault="003239B8" w:rsidP="004D4EC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color w:val="auto"/>
          <w:sz w:val="20"/>
          <w:szCs w:val="20"/>
          <w:lang w:val="es-ES_tradnl"/>
        </w:rPr>
      </w:pPr>
      <w:r w:rsidRPr="00095478">
        <w:rPr>
          <w:rFonts w:asciiTheme="majorHAnsi" w:hAnsiTheme="majorHAnsi"/>
          <w:b/>
          <w:bCs/>
          <w:color w:val="auto"/>
          <w:sz w:val="20"/>
          <w:szCs w:val="20"/>
          <w:lang w:val="es-ES_tradnl"/>
        </w:rPr>
        <w:t xml:space="preserve">VII. </w:t>
      </w:r>
      <w:r w:rsidRPr="00095478">
        <w:rPr>
          <w:rFonts w:asciiTheme="majorHAnsi" w:hAnsiTheme="majorHAnsi"/>
          <w:b/>
          <w:bCs/>
          <w:color w:val="auto"/>
          <w:sz w:val="20"/>
          <w:szCs w:val="20"/>
          <w:lang w:val="es-ES_tradnl"/>
        </w:rPr>
        <w:tab/>
        <w:t>DECISIÓN</w:t>
      </w:r>
    </w:p>
    <w:p w14:paraId="088E8DD2" w14:textId="77777777" w:rsidR="004D4ECA" w:rsidRDefault="004D4ECA" w:rsidP="004D4ECA">
      <w:pPr>
        <w:pStyle w:val="ListParagraph"/>
        <w:rPr>
          <w:rFonts w:asciiTheme="majorHAnsi" w:eastAsia="Arial Unicode MS" w:hAnsiTheme="majorHAnsi" w:cs="Times New Roman"/>
          <w:color w:val="auto"/>
          <w:sz w:val="20"/>
          <w:szCs w:val="20"/>
          <w:lang w:val="es-ES_tradnl" w:eastAsia="en-US"/>
        </w:rPr>
      </w:pPr>
    </w:p>
    <w:p w14:paraId="29C3F027" w14:textId="20866C3C" w:rsidR="000419AD" w:rsidRPr="00095478" w:rsidRDefault="000419AD" w:rsidP="004D4ECA">
      <w:pPr>
        <w:pStyle w:val="ListParagraph"/>
        <w:numPr>
          <w:ilvl w:val="0"/>
          <w:numId w:val="55"/>
        </w:numPr>
        <w:rPr>
          <w:rFonts w:asciiTheme="majorHAnsi" w:eastAsia="Arial Unicode MS" w:hAnsiTheme="majorHAnsi" w:cs="Times New Roman"/>
          <w:color w:val="auto"/>
          <w:sz w:val="20"/>
          <w:szCs w:val="20"/>
          <w:lang w:val="es-ES_tradnl" w:eastAsia="en-US"/>
        </w:rPr>
      </w:pPr>
      <w:r w:rsidRPr="00095478">
        <w:rPr>
          <w:rFonts w:asciiTheme="majorHAnsi" w:eastAsia="Arial Unicode MS" w:hAnsiTheme="majorHAnsi" w:cs="Times New Roman"/>
          <w:color w:val="auto"/>
          <w:sz w:val="20"/>
          <w:szCs w:val="20"/>
          <w:lang w:val="es-ES_tradnl" w:eastAsia="en-US"/>
        </w:rPr>
        <w:t xml:space="preserve">Declarar </w:t>
      </w:r>
      <w:r w:rsidR="00C5255B" w:rsidRPr="00095478">
        <w:rPr>
          <w:rFonts w:asciiTheme="majorHAnsi" w:eastAsia="Arial Unicode MS" w:hAnsiTheme="majorHAnsi" w:cs="Times New Roman"/>
          <w:color w:val="auto"/>
          <w:sz w:val="20"/>
          <w:szCs w:val="20"/>
          <w:lang w:val="es-ES_tradnl" w:eastAsia="en-US"/>
        </w:rPr>
        <w:t>inadmisible la presente petición</w:t>
      </w:r>
      <w:r w:rsidR="00194A6D">
        <w:rPr>
          <w:rFonts w:asciiTheme="majorHAnsi" w:eastAsia="Arial Unicode MS" w:hAnsiTheme="majorHAnsi" w:cs="Times New Roman"/>
          <w:color w:val="auto"/>
          <w:sz w:val="20"/>
          <w:szCs w:val="20"/>
          <w:lang w:val="es-ES_tradnl" w:eastAsia="en-US"/>
        </w:rPr>
        <w:t>, y;</w:t>
      </w:r>
    </w:p>
    <w:p w14:paraId="5CE0C289" w14:textId="7B51B470" w:rsidR="000419AD" w:rsidRPr="00095478" w:rsidRDefault="000419AD" w:rsidP="004D4ECA">
      <w:pPr>
        <w:rPr>
          <w:rFonts w:asciiTheme="majorHAnsi" w:hAnsiTheme="majorHAnsi"/>
          <w:sz w:val="20"/>
          <w:szCs w:val="20"/>
          <w:lang w:val="es-ES_tradnl"/>
        </w:rPr>
      </w:pPr>
    </w:p>
    <w:p w14:paraId="3593EEB7" w14:textId="3C70B807" w:rsidR="008D768D" w:rsidRDefault="004A6A54" w:rsidP="004D4E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095478">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4B50CA25" w14:textId="77777777" w:rsidR="00D66CE7" w:rsidRPr="00095478" w:rsidRDefault="00D66CE7" w:rsidP="00D66CE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0739C05F" w14:textId="03329B84" w:rsidR="00722C9F" w:rsidRPr="0010292B" w:rsidRDefault="00D66CE7" w:rsidP="0010292B">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sectPr w:rsidR="00722C9F" w:rsidRPr="0010292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C936" w14:textId="77777777" w:rsidR="00A2173B" w:rsidRDefault="00A2173B">
      <w:r>
        <w:separator/>
      </w:r>
    </w:p>
  </w:endnote>
  <w:endnote w:type="continuationSeparator" w:id="0">
    <w:p w14:paraId="177CE6D9" w14:textId="77777777" w:rsidR="00A2173B" w:rsidRDefault="00A2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7EF7ED" w14:textId="2EF0A62C" w:rsidR="0054604E" w:rsidRPr="00934A2C" w:rsidRDefault="0054604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C0ED0">
          <w:rPr>
            <w:noProof/>
            <w:sz w:val="16"/>
            <w:szCs w:val="22"/>
          </w:rPr>
          <w:t>3</w:t>
        </w:r>
        <w:r w:rsidRPr="00934A2C">
          <w:rPr>
            <w:noProof/>
            <w:sz w:val="16"/>
            <w:szCs w:val="22"/>
          </w:rPr>
          <w:fldChar w:fldCharType="end"/>
        </w:r>
      </w:p>
    </w:sdtContent>
  </w:sdt>
  <w:p w14:paraId="15F9E1B8" w14:textId="77777777" w:rsidR="0054604E" w:rsidRDefault="00546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77E5" w14:textId="77777777" w:rsidR="0054604E" w:rsidRPr="00934A2C" w:rsidRDefault="0054604E">
    <w:pPr>
      <w:pStyle w:val="Footer"/>
      <w:jc w:val="center"/>
      <w:rPr>
        <w:sz w:val="16"/>
        <w:szCs w:val="22"/>
      </w:rPr>
    </w:pPr>
  </w:p>
  <w:p w14:paraId="76A852D9" w14:textId="77777777" w:rsidR="0054604E" w:rsidRDefault="00546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5EC6" w14:textId="77777777" w:rsidR="00A2173B" w:rsidRPr="000F35ED" w:rsidRDefault="00A2173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D76777A" w14:textId="77777777" w:rsidR="00A2173B" w:rsidRPr="000F35ED" w:rsidRDefault="00A2173B" w:rsidP="000F35ED">
      <w:pPr>
        <w:rPr>
          <w:rFonts w:asciiTheme="majorHAnsi" w:hAnsiTheme="majorHAnsi"/>
          <w:sz w:val="16"/>
          <w:szCs w:val="16"/>
        </w:rPr>
      </w:pPr>
      <w:r w:rsidRPr="000F35ED">
        <w:rPr>
          <w:rFonts w:asciiTheme="majorHAnsi" w:hAnsiTheme="majorHAnsi"/>
          <w:sz w:val="16"/>
          <w:szCs w:val="16"/>
        </w:rPr>
        <w:separator/>
      </w:r>
    </w:p>
    <w:p w14:paraId="24D27729" w14:textId="77777777" w:rsidR="00A2173B" w:rsidRPr="000F35ED" w:rsidRDefault="00A2173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5CF7F20" w14:textId="77777777" w:rsidR="00A2173B" w:rsidRPr="000F35ED" w:rsidRDefault="00A2173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3A3C2CA" w14:textId="779E8D15" w:rsidR="0054604E" w:rsidRPr="000F16C7" w:rsidRDefault="0054604E" w:rsidP="00D66CE7">
      <w:pPr>
        <w:pStyle w:val="FootnoteText"/>
        <w:ind w:firstLine="720"/>
        <w:jc w:val="both"/>
        <w:rPr>
          <w:rFonts w:asciiTheme="majorHAnsi" w:hAnsiTheme="majorHAnsi"/>
          <w:color w:val="auto"/>
          <w:sz w:val="16"/>
          <w:szCs w:val="16"/>
          <w:lang w:val="es-ES"/>
        </w:rPr>
      </w:pPr>
      <w:r w:rsidRPr="000F16C7">
        <w:rPr>
          <w:rStyle w:val="FootnoteReference"/>
          <w:rFonts w:asciiTheme="majorHAnsi" w:hAnsiTheme="majorHAnsi"/>
          <w:color w:val="auto"/>
          <w:sz w:val="16"/>
          <w:szCs w:val="16"/>
        </w:rPr>
        <w:footnoteRef/>
      </w:r>
      <w:r w:rsidRPr="000F16C7">
        <w:rPr>
          <w:rFonts w:asciiTheme="majorHAnsi" w:hAnsiTheme="majorHAnsi"/>
          <w:color w:val="auto"/>
          <w:sz w:val="16"/>
          <w:szCs w:val="16"/>
          <w:lang w:val="es-ES"/>
        </w:rPr>
        <w:t xml:space="preserve"> En adelante “la Convención Americana”</w:t>
      </w:r>
    </w:p>
  </w:footnote>
  <w:footnote w:id="3">
    <w:p w14:paraId="6DAFEFDD" w14:textId="77777777" w:rsidR="0054604E" w:rsidRPr="000F16C7" w:rsidRDefault="0054604E" w:rsidP="00D66CE7">
      <w:pPr>
        <w:pStyle w:val="FootnoteText"/>
        <w:ind w:firstLine="720"/>
        <w:jc w:val="both"/>
        <w:rPr>
          <w:rFonts w:asciiTheme="majorHAnsi" w:hAnsiTheme="majorHAnsi"/>
          <w:color w:val="auto"/>
          <w:sz w:val="16"/>
          <w:szCs w:val="16"/>
          <w:lang w:val="es-ES"/>
        </w:rPr>
      </w:pPr>
      <w:r w:rsidRPr="000F16C7">
        <w:rPr>
          <w:rStyle w:val="FootnoteReference"/>
          <w:rFonts w:asciiTheme="majorHAnsi" w:hAnsiTheme="majorHAnsi"/>
          <w:color w:val="auto"/>
          <w:sz w:val="16"/>
          <w:szCs w:val="16"/>
        </w:rPr>
        <w:footnoteRef/>
      </w:r>
      <w:r w:rsidRPr="000F16C7">
        <w:rPr>
          <w:rFonts w:asciiTheme="majorHAnsi" w:hAnsiTheme="majorHAnsi"/>
          <w:color w:val="auto"/>
          <w:sz w:val="16"/>
          <w:szCs w:val="16"/>
          <w:lang w:val="es-ES"/>
        </w:rPr>
        <w:t xml:space="preserve"> Las observaciones de cada parte fueron debidamente trasladadas a la parte contraria.</w:t>
      </w:r>
    </w:p>
  </w:footnote>
  <w:footnote w:id="4">
    <w:p w14:paraId="7328B02E" w14:textId="51A97E11" w:rsidR="0054604E" w:rsidRPr="000F16C7" w:rsidRDefault="0054604E" w:rsidP="00D66CE7">
      <w:pPr>
        <w:pStyle w:val="FootnoteText"/>
        <w:jc w:val="both"/>
        <w:rPr>
          <w:rFonts w:asciiTheme="majorHAnsi" w:hAnsiTheme="majorHAnsi"/>
          <w:color w:val="auto"/>
          <w:sz w:val="16"/>
          <w:szCs w:val="16"/>
          <w:lang w:val="es-ES"/>
        </w:rPr>
      </w:pPr>
      <w:r w:rsidRPr="000F16C7">
        <w:rPr>
          <w:rFonts w:asciiTheme="majorHAnsi" w:hAnsiTheme="majorHAnsi"/>
          <w:color w:val="auto"/>
          <w:sz w:val="16"/>
          <w:szCs w:val="16"/>
          <w:lang w:val="es-ES"/>
        </w:rPr>
        <w:tab/>
      </w:r>
      <w:r w:rsidRPr="000F16C7">
        <w:rPr>
          <w:rStyle w:val="FootnoteReference"/>
          <w:rFonts w:asciiTheme="majorHAnsi" w:hAnsiTheme="majorHAnsi"/>
          <w:color w:val="auto"/>
          <w:sz w:val="16"/>
          <w:szCs w:val="16"/>
        </w:rPr>
        <w:footnoteRef/>
      </w:r>
      <w:r w:rsidRPr="000F16C7">
        <w:rPr>
          <w:rFonts w:asciiTheme="majorHAnsi" w:hAnsiTheme="majorHAnsi"/>
          <w:color w:val="auto"/>
          <w:sz w:val="16"/>
          <w:szCs w:val="16"/>
          <w:lang w:val="es-ES"/>
        </w:rPr>
        <w:t xml:space="preserve"> CIDH, Informe No. 161/17, Petición 29-07. Admisibilidad. </w:t>
      </w:r>
      <w:r w:rsidRPr="0010292B">
        <w:rPr>
          <w:rFonts w:asciiTheme="majorHAnsi" w:hAnsiTheme="majorHAnsi"/>
          <w:i/>
          <w:color w:val="auto"/>
          <w:sz w:val="16"/>
          <w:szCs w:val="16"/>
          <w:lang w:val="es-US"/>
        </w:rPr>
        <w:t>Andy Williams Garcés Suárez y familia</w:t>
      </w:r>
      <w:r w:rsidRPr="0010292B">
        <w:rPr>
          <w:rFonts w:asciiTheme="majorHAnsi" w:hAnsiTheme="majorHAnsi"/>
          <w:color w:val="auto"/>
          <w:sz w:val="16"/>
          <w:szCs w:val="16"/>
          <w:lang w:val="es-US"/>
        </w:rPr>
        <w:t xml:space="preserve">. </w:t>
      </w:r>
      <w:r w:rsidRPr="000F16C7">
        <w:rPr>
          <w:rFonts w:asciiTheme="majorHAnsi" w:hAnsiTheme="majorHAnsi"/>
          <w:color w:val="auto"/>
          <w:sz w:val="16"/>
          <w:szCs w:val="16"/>
          <w:lang w:val="es-ES"/>
        </w:rPr>
        <w:t xml:space="preserve">Perú. 30 de noviembre de 2017 (“CIDH. Admisibilidad </w:t>
      </w:r>
      <w:r w:rsidRPr="000F16C7">
        <w:rPr>
          <w:rFonts w:asciiTheme="majorHAnsi" w:hAnsiTheme="majorHAnsi"/>
          <w:i/>
          <w:color w:val="auto"/>
          <w:sz w:val="16"/>
          <w:szCs w:val="16"/>
          <w:lang w:val="es-ES"/>
        </w:rPr>
        <w:t>Andy Williams Garcés Suárez y familia</w:t>
      </w:r>
      <w:r w:rsidRPr="000F16C7">
        <w:rPr>
          <w:rFonts w:asciiTheme="majorHAnsi" w:hAnsiTheme="majorHAnsi"/>
          <w:color w:val="auto"/>
          <w:sz w:val="16"/>
          <w:szCs w:val="16"/>
          <w:lang w:val="es-ES"/>
        </w:rPr>
        <w:t>”), párr. 12.</w:t>
      </w:r>
    </w:p>
  </w:footnote>
  <w:footnote w:id="5">
    <w:p w14:paraId="5D05E503" w14:textId="77777777" w:rsidR="0054604E" w:rsidRPr="000F16C7" w:rsidRDefault="0054604E" w:rsidP="00D66CE7">
      <w:pPr>
        <w:ind w:firstLine="720"/>
        <w:contextualSpacing/>
        <w:jc w:val="both"/>
        <w:rPr>
          <w:rFonts w:asciiTheme="majorHAnsi" w:hAnsiTheme="majorHAnsi" w:cs="Calibri"/>
          <w:sz w:val="16"/>
          <w:szCs w:val="16"/>
          <w:lang w:val="es-ES_tradnl"/>
        </w:rPr>
      </w:pPr>
      <w:r w:rsidRPr="000F16C7">
        <w:rPr>
          <w:rStyle w:val="FootnoteReference"/>
          <w:rFonts w:asciiTheme="majorHAnsi" w:hAnsiTheme="majorHAnsi" w:cs="Calibri"/>
          <w:sz w:val="16"/>
          <w:szCs w:val="16"/>
        </w:rPr>
        <w:footnoteRef/>
      </w:r>
      <w:r w:rsidRPr="000F16C7">
        <w:rPr>
          <w:rFonts w:asciiTheme="majorHAnsi" w:hAnsiTheme="majorHAnsi" w:cs="Calibri"/>
          <w:sz w:val="16"/>
          <w:szCs w:val="16"/>
          <w:lang w:val="es-ES"/>
        </w:rPr>
        <w:t xml:space="preserve">  </w:t>
      </w:r>
      <w:r w:rsidRPr="000F16C7">
        <w:rPr>
          <w:rFonts w:asciiTheme="majorHAnsi" w:hAnsiTheme="majorHAnsi" w:cs="Calibri"/>
          <w:sz w:val="16"/>
          <w:szCs w:val="16"/>
          <w:lang w:val="es-ES_tradnl"/>
        </w:rPr>
        <w:t>CIDH, Informe No. 56/08, Petición 11.602. Admisibilidad. Trabajadores despedidos de Petróleos Del Perú (Petroperú) Zona Noroeste – Talara. Perú. 24 de julio de 2008, párr. 58.</w:t>
      </w:r>
    </w:p>
  </w:footnote>
  <w:footnote w:id="6">
    <w:p w14:paraId="1602362E" w14:textId="69267B91" w:rsidR="0054604E" w:rsidRPr="000F16C7" w:rsidRDefault="0054604E" w:rsidP="00D66CE7">
      <w:pPr>
        <w:pStyle w:val="FootnoteText"/>
        <w:jc w:val="both"/>
        <w:rPr>
          <w:rFonts w:asciiTheme="majorHAnsi" w:hAnsiTheme="majorHAnsi"/>
          <w:color w:val="auto"/>
          <w:sz w:val="16"/>
          <w:szCs w:val="16"/>
          <w:lang w:val="es-ES"/>
        </w:rPr>
      </w:pPr>
      <w:r w:rsidRPr="000F16C7">
        <w:rPr>
          <w:rFonts w:asciiTheme="majorHAnsi" w:hAnsiTheme="majorHAnsi"/>
          <w:color w:val="auto"/>
          <w:sz w:val="16"/>
          <w:szCs w:val="16"/>
          <w:lang w:val="es-ES"/>
        </w:rPr>
        <w:tab/>
      </w:r>
      <w:r w:rsidRPr="000F16C7">
        <w:rPr>
          <w:rStyle w:val="FootnoteReference"/>
          <w:rFonts w:asciiTheme="majorHAnsi" w:hAnsiTheme="majorHAnsi"/>
          <w:color w:val="auto"/>
          <w:sz w:val="16"/>
          <w:szCs w:val="16"/>
        </w:rPr>
        <w:footnoteRef/>
      </w:r>
      <w:r w:rsidRPr="000F16C7">
        <w:rPr>
          <w:rFonts w:asciiTheme="majorHAnsi" w:hAnsiTheme="majorHAnsi"/>
          <w:color w:val="auto"/>
          <w:sz w:val="16"/>
          <w:szCs w:val="16"/>
          <w:lang w:val="es-ES"/>
        </w:rPr>
        <w:t xml:space="preserve"> CIDH. Admisibilidad </w:t>
      </w:r>
      <w:r w:rsidRPr="000F16C7">
        <w:rPr>
          <w:rFonts w:asciiTheme="majorHAnsi" w:hAnsiTheme="majorHAnsi"/>
          <w:i/>
          <w:color w:val="auto"/>
          <w:sz w:val="16"/>
          <w:szCs w:val="16"/>
          <w:lang w:val="es-ES"/>
        </w:rPr>
        <w:t>Andy Williams Garcés Suárez y familia</w:t>
      </w:r>
      <w:r w:rsidRPr="000F16C7">
        <w:rPr>
          <w:rFonts w:asciiTheme="majorHAnsi" w:hAnsiTheme="majorHAnsi"/>
          <w:color w:val="auto"/>
          <w:sz w:val="16"/>
          <w:szCs w:val="16"/>
          <w:lang w:val="es-ES"/>
        </w:rPr>
        <w:t>, párr. 12.</w:t>
      </w:r>
    </w:p>
  </w:footnote>
  <w:footnote w:id="7">
    <w:p w14:paraId="3904575F" w14:textId="77777777" w:rsidR="0054604E" w:rsidRPr="000F16C7" w:rsidRDefault="0054604E" w:rsidP="00D66CE7">
      <w:pPr>
        <w:pStyle w:val="FootnoteText"/>
        <w:jc w:val="both"/>
        <w:rPr>
          <w:rFonts w:asciiTheme="majorHAnsi" w:hAnsiTheme="majorHAnsi"/>
          <w:color w:val="auto"/>
          <w:sz w:val="16"/>
          <w:szCs w:val="16"/>
          <w:lang w:val="es-ES"/>
        </w:rPr>
      </w:pPr>
      <w:r w:rsidRPr="000F16C7">
        <w:rPr>
          <w:rFonts w:asciiTheme="majorHAnsi" w:hAnsiTheme="majorHAnsi"/>
          <w:color w:val="auto"/>
          <w:sz w:val="16"/>
          <w:szCs w:val="16"/>
          <w:lang w:val="es-ES"/>
        </w:rPr>
        <w:tab/>
      </w:r>
      <w:r w:rsidRPr="000F16C7">
        <w:rPr>
          <w:rStyle w:val="FootnoteReference"/>
          <w:rFonts w:asciiTheme="majorHAnsi" w:hAnsiTheme="majorHAnsi"/>
          <w:color w:val="auto"/>
          <w:sz w:val="16"/>
          <w:szCs w:val="16"/>
        </w:rPr>
        <w:footnoteRef/>
      </w:r>
      <w:r w:rsidRPr="000F16C7">
        <w:rPr>
          <w:rFonts w:asciiTheme="majorHAnsi" w:hAnsiTheme="majorHAnsi"/>
          <w:color w:val="auto"/>
          <w:sz w:val="16"/>
          <w:szCs w:val="16"/>
          <w:lang w:val="es-ES"/>
        </w:rPr>
        <w:t xml:space="preserve"> CIDH, Informe No. 16/18, Petición 884-07. Admisibilidad. Victoria Piedad Palacios Tejada de Saavedra. Perú. 24 de febrero de 2018, párr. 12.</w:t>
      </w:r>
    </w:p>
  </w:footnote>
  <w:footnote w:id="8">
    <w:p w14:paraId="6D9FEF2C" w14:textId="77777777" w:rsidR="0054604E" w:rsidRPr="000F16C7" w:rsidRDefault="0054604E" w:rsidP="00D66CE7">
      <w:pPr>
        <w:ind w:firstLine="720"/>
        <w:contextualSpacing/>
        <w:jc w:val="both"/>
        <w:rPr>
          <w:rFonts w:asciiTheme="majorHAnsi" w:hAnsiTheme="majorHAnsi" w:cs="Calibri"/>
          <w:sz w:val="16"/>
          <w:szCs w:val="16"/>
          <w:lang w:val="es-ES_tradnl"/>
        </w:rPr>
      </w:pPr>
      <w:r w:rsidRPr="000F16C7">
        <w:rPr>
          <w:rStyle w:val="FootnoteReference"/>
          <w:rFonts w:asciiTheme="majorHAnsi" w:hAnsiTheme="majorHAnsi" w:cs="Calibri"/>
          <w:sz w:val="16"/>
          <w:szCs w:val="16"/>
        </w:rPr>
        <w:footnoteRef/>
      </w:r>
      <w:r w:rsidRPr="000F16C7">
        <w:rPr>
          <w:rFonts w:asciiTheme="majorHAnsi" w:hAnsiTheme="majorHAnsi" w:cs="Calibri"/>
          <w:sz w:val="16"/>
          <w:szCs w:val="16"/>
          <w:lang w:val="es-ES"/>
        </w:rPr>
        <w:t xml:space="preserve"> </w:t>
      </w:r>
      <w:r w:rsidRPr="000F16C7">
        <w:rPr>
          <w:rFonts w:asciiTheme="majorHAnsi" w:hAnsiTheme="majorHAnsi" w:cs="Calibri"/>
          <w:sz w:val="16"/>
          <w:szCs w:val="16"/>
          <w:lang w:val="es-ES_tradnl"/>
        </w:rPr>
        <w:t>CIDH, Informe No. 71/12, Petición 1073-05. Admisibilidad. Habitantes del conjunto habitacional “</w:t>
      </w:r>
      <w:proofErr w:type="spellStart"/>
      <w:r w:rsidRPr="000F16C7">
        <w:rPr>
          <w:rFonts w:asciiTheme="majorHAnsi" w:hAnsiTheme="majorHAnsi" w:cs="Calibri"/>
          <w:sz w:val="16"/>
          <w:szCs w:val="16"/>
          <w:lang w:val="es-ES_tradnl"/>
        </w:rPr>
        <w:t>Barão</w:t>
      </w:r>
      <w:proofErr w:type="spellEnd"/>
      <w:r w:rsidRPr="000F16C7">
        <w:rPr>
          <w:rFonts w:asciiTheme="majorHAnsi" w:hAnsiTheme="majorHAnsi" w:cs="Calibri"/>
          <w:sz w:val="16"/>
          <w:szCs w:val="16"/>
          <w:lang w:val="es-ES_tradnl"/>
        </w:rPr>
        <w:t xml:space="preserve"> de </w:t>
      </w:r>
      <w:proofErr w:type="spellStart"/>
      <w:r w:rsidRPr="000F16C7">
        <w:rPr>
          <w:rFonts w:asciiTheme="majorHAnsi" w:hAnsiTheme="majorHAnsi" w:cs="Calibri"/>
          <w:sz w:val="16"/>
          <w:szCs w:val="16"/>
          <w:lang w:val="es-ES_tradnl"/>
        </w:rPr>
        <w:t>Mauá</w:t>
      </w:r>
      <w:proofErr w:type="spellEnd"/>
      <w:r w:rsidRPr="000F16C7">
        <w:rPr>
          <w:rFonts w:asciiTheme="majorHAnsi" w:hAnsiTheme="majorHAnsi" w:cs="Calibri"/>
          <w:sz w:val="16"/>
          <w:szCs w:val="16"/>
          <w:lang w:val="es-ES_tradnl"/>
        </w:rPr>
        <w:t>”. Brasil, 17 de julio de 2012, párr. 22.</w:t>
      </w:r>
    </w:p>
  </w:footnote>
  <w:footnote w:id="9">
    <w:p w14:paraId="5A04F65D" w14:textId="77777777" w:rsidR="001C3E96" w:rsidRPr="000F16C7" w:rsidRDefault="001C3E96" w:rsidP="00D66CE7">
      <w:pPr>
        <w:pStyle w:val="FootnoteText"/>
        <w:jc w:val="both"/>
        <w:rPr>
          <w:rFonts w:asciiTheme="majorHAnsi" w:hAnsiTheme="majorHAnsi"/>
          <w:color w:val="auto"/>
          <w:sz w:val="16"/>
          <w:szCs w:val="16"/>
          <w:lang w:val="es-ES"/>
        </w:rPr>
      </w:pPr>
      <w:r w:rsidRPr="000F16C7">
        <w:rPr>
          <w:rFonts w:asciiTheme="majorHAnsi" w:hAnsiTheme="majorHAnsi"/>
          <w:color w:val="auto"/>
          <w:sz w:val="16"/>
          <w:szCs w:val="16"/>
          <w:lang w:val="es-ES"/>
        </w:rPr>
        <w:tab/>
      </w:r>
      <w:r w:rsidRPr="000F16C7">
        <w:rPr>
          <w:rStyle w:val="FootnoteReference"/>
          <w:rFonts w:asciiTheme="majorHAnsi" w:hAnsiTheme="majorHAnsi"/>
          <w:color w:val="auto"/>
          <w:sz w:val="16"/>
          <w:szCs w:val="16"/>
        </w:rPr>
        <w:footnoteRef/>
      </w:r>
      <w:r w:rsidRPr="000F16C7">
        <w:rPr>
          <w:rFonts w:asciiTheme="majorHAnsi" w:hAnsiTheme="majorHAnsi"/>
          <w:color w:val="auto"/>
          <w:sz w:val="16"/>
          <w:szCs w:val="16"/>
          <w:lang w:val="es-ES"/>
        </w:rPr>
        <w:t xml:space="preserve"> CIDH, Informe No. 156/17, Petición 585-08. Admisibilidad. Carlos Alfonso Fonseca Murillo. Ecuador. 30 de noviembre de 2017, párr. 17.</w:t>
      </w:r>
    </w:p>
  </w:footnote>
  <w:footnote w:id="10">
    <w:p w14:paraId="48018810" w14:textId="03AA5BF4" w:rsidR="00280DFF" w:rsidRPr="000F16C7" w:rsidRDefault="00280DFF" w:rsidP="00D66CE7">
      <w:pPr>
        <w:pStyle w:val="FootnoteText"/>
        <w:ind w:firstLine="720"/>
        <w:jc w:val="both"/>
        <w:rPr>
          <w:rFonts w:asciiTheme="majorHAnsi" w:hAnsiTheme="majorHAnsi"/>
          <w:color w:val="auto"/>
          <w:sz w:val="16"/>
          <w:szCs w:val="16"/>
          <w:lang w:val="es-PA"/>
        </w:rPr>
      </w:pPr>
      <w:r w:rsidRPr="000F16C7">
        <w:rPr>
          <w:rStyle w:val="FootnoteReference"/>
          <w:rFonts w:asciiTheme="majorHAnsi" w:hAnsiTheme="majorHAnsi"/>
          <w:color w:val="auto"/>
          <w:sz w:val="16"/>
          <w:szCs w:val="16"/>
        </w:rPr>
        <w:footnoteRef/>
      </w:r>
      <w:r w:rsidRPr="000F16C7">
        <w:rPr>
          <w:rFonts w:asciiTheme="majorHAnsi" w:hAnsiTheme="majorHAnsi"/>
          <w:color w:val="auto"/>
          <w:sz w:val="16"/>
          <w:szCs w:val="16"/>
          <w:lang w:val="es-PA"/>
        </w:rPr>
        <w:t xml:space="preserve"> </w:t>
      </w:r>
      <w:r w:rsidR="00B6282D">
        <w:rPr>
          <w:rFonts w:asciiTheme="majorHAnsi" w:hAnsiTheme="majorHAnsi"/>
          <w:color w:val="auto"/>
          <w:sz w:val="16"/>
          <w:szCs w:val="16"/>
          <w:lang w:val="es-PA"/>
        </w:rPr>
        <w:t xml:space="preserve">La documentación </w:t>
      </w:r>
      <w:r w:rsidRPr="000F16C7">
        <w:rPr>
          <w:rFonts w:asciiTheme="majorHAnsi" w:hAnsiTheme="majorHAnsi"/>
          <w:color w:val="auto"/>
          <w:sz w:val="16"/>
          <w:szCs w:val="16"/>
          <w:lang w:val="es-PA"/>
        </w:rPr>
        <w:t xml:space="preserve">aportada por </w:t>
      </w:r>
      <w:r w:rsidR="00B6282D">
        <w:rPr>
          <w:rFonts w:asciiTheme="majorHAnsi" w:hAnsiTheme="majorHAnsi"/>
          <w:color w:val="auto"/>
          <w:sz w:val="16"/>
          <w:szCs w:val="16"/>
          <w:lang w:val="es-PA"/>
        </w:rPr>
        <w:t xml:space="preserve">el peticionario incluye </w:t>
      </w:r>
      <w:r w:rsidRPr="000F16C7">
        <w:rPr>
          <w:rFonts w:asciiTheme="majorHAnsi" w:hAnsiTheme="majorHAnsi"/>
          <w:color w:val="auto"/>
          <w:sz w:val="16"/>
          <w:szCs w:val="16"/>
          <w:lang w:val="es-PA"/>
        </w:rPr>
        <w:t xml:space="preserve">una certificación del Operador de Notificaciones del Tribunal Constitucional Plurinacional en que se lee “a hora diecisiete con veintiséis minutos del </w:t>
      </w:r>
      <w:proofErr w:type="gramStart"/>
      <w:r w:rsidR="001517FE">
        <w:rPr>
          <w:rFonts w:asciiTheme="majorHAnsi" w:hAnsiTheme="majorHAnsi"/>
          <w:color w:val="auto"/>
          <w:sz w:val="16"/>
          <w:szCs w:val="16"/>
          <w:lang w:val="es-PA"/>
        </w:rPr>
        <w:t>día</w:t>
      </w:r>
      <w:r w:rsidRPr="000F16C7">
        <w:rPr>
          <w:rFonts w:asciiTheme="majorHAnsi" w:hAnsiTheme="majorHAnsi"/>
          <w:color w:val="auto"/>
          <w:sz w:val="16"/>
          <w:szCs w:val="16"/>
          <w:lang w:val="es-PA"/>
        </w:rPr>
        <w:t xml:space="preserve"> lunes</w:t>
      </w:r>
      <w:proofErr w:type="gramEnd"/>
      <w:r w:rsidRPr="000F16C7">
        <w:rPr>
          <w:rFonts w:asciiTheme="majorHAnsi" w:hAnsiTheme="majorHAnsi"/>
          <w:color w:val="auto"/>
          <w:sz w:val="16"/>
          <w:szCs w:val="16"/>
          <w:lang w:val="es-PA"/>
        </w:rPr>
        <w:t xml:space="preserve"> cuatro de marzo de dos mil doce </w:t>
      </w:r>
      <w:r w:rsidR="001517FE">
        <w:rPr>
          <w:rFonts w:asciiTheme="majorHAnsi" w:hAnsiTheme="majorHAnsi"/>
          <w:color w:val="auto"/>
          <w:sz w:val="16"/>
          <w:szCs w:val="16"/>
          <w:lang w:val="es-PA"/>
        </w:rPr>
        <w:t>[sic]</w:t>
      </w:r>
      <w:r w:rsidRPr="000F16C7">
        <w:rPr>
          <w:rFonts w:asciiTheme="majorHAnsi" w:hAnsiTheme="majorHAnsi"/>
          <w:color w:val="auto"/>
          <w:sz w:val="16"/>
          <w:szCs w:val="16"/>
          <w:lang w:val="es-PA"/>
        </w:rPr>
        <w:t xml:space="preserve">, notifiqué a Richard Germán Márquez Campero, Juan Carlos Pedraza Cuellar, con Sentencia Constitucional Plurinacional 1195/2012 de 6 de septiembre de 2012”. Dado que lo señalado es imposible, la Comisión entiende que media error tipográfico en el documento y que la notificación se realizó el 4 de marzo de </w:t>
      </w:r>
      <w:r w:rsidRPr="0032716F">
        <w:rPr>
          <w:rFonts w:asciiTheme="majorHAnsi" w:hAnsiTheme="majorHAnsi"/>
          <w:color w:val="auto"/>
          <w:sz w:val="16"/>
          <w:szCs w:val="16"/>
          <w:lang w:val="es-PA"/>
        </w:rPr>
        <w:t>2013</w:t>
      </w:r>
      <w:r w:rsidRPr="000F16C7">
        <w:rPr>
          <w:rFonts w:asciiTheme="majorHAnsi" w:hAnsiTheme="majorHAnsi"/>
          <w:color w:val="auto"/>
          <w:sz w:val="16"/>
          <w:szCs w:val="16"/>
          <w:lang w:val="es-P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7A9C" w14:textId="77777777" w:rsidR="0054604E" w:rsidRDefault="0054604E" w:rsidP="00E0255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92CA2D6" w14:textId="77777777" w:rsidR="0054604E" w:rsidRDefault="00546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BA05" w14:textId="77777777" w:rsidR="0054604E" w:rsidRDefault="0054604E" w:rsidP="00A50FCF">
    <w:pPr>
      <w:pStyle w:val="Header"/>
      <w:tabs>
        <w:tab w:val="clear" w:pos="4320"/>
        <w:tab w:val="clear" w:pos="8640"/>
      </w:tabs>
      <w:jc w:val="center"/>
      <w:rPr>
        <w:sz w:val="22"/>
        <w:szCs w:val="22"/>
      </w:rPr>
    </w:pPr>
    <w:r>
      <w:rPr>
        <w:noProof/>
        <w:sz w:val="22"/>
        <w:szCs w:val="22"/>
      </w:rPr>
      <w:drawing>
        <wp:inline distT="0" distB="0" distL="0" distR="0" wp14:anchorId="637B0596" wp14:editId="0192488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AE71879" w14:textId="77777777" w:rsidR="0054604E" w:rsidRPr="00EC7D62" w:rsidRDefault="00A2173B" w:rsidP="00A50FCF">
    <w:pPr>
      <w:pStyle w:val="Header"/>
      <w:tabs>
        <w:tab w:val="clear" w:pos="4320"/>
        <w:tab w:val="clear" w:pos="8640"/>
      </w:tabs>
      <w:jc w:val="center"/>
      <w:rPr>
        <w:sz w:val="22"/>
        <w:szCs w:val="22"/>
      </w:rPr>
    </w:pPr>
    <w:r>
      <w:rPr>
        <w:noProof/>
        <w:sz w:val="22"/>
        <w:szCs w:val="22"/>
        <w:bdr w:val="nil"/>
      </w:rPr>
      <w:pict w14:anchorId="63F602C4">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3F2D3BE"/>
    <w:lvl w:ilvl="0" w:tplc="BFC2E78E">
      <w:start w:val="1"/>
      <w:numFmt w:val="decimal"/>
      <w:lvlText w:val="%1."/>
      <w:lvlJc w:val="left"/>
      <w:pPr>
        <w:tabs>
          <w:tab w:val="num" w:pos="720"/>
        </w:tabs>
        <w:ind w:firstLine="720"/>
      </w:pPr>
      <w:rPr>
        <w:rFonts w:cs="Times New Roman" w:hint="default"/>
        <w:b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60244D"/>
    <w:multiLevelType w:val="hybridMultilevel"/>
    <w:tmpl w:val="91DC24B4"/>
    <w:lvl w:ilvl="0" w:tplc="043478A8">
      <w:start w:val="18"/>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4252436"/>
    <w:multiLevelType w:val="hybridMultilevel"/>
    <w:tmpl w:val="15A82BDA"/>
    <w:lvl w:ilvl="0" w:tplc="B694D2EA">
      <w:start w:val="1"/>
      <w:numFmt w:val="decimal"/>
      <w:lvlText w:val="%1."/>
      <w:lvlJc w:val="left"/>
      <w:pPr>
        <w:ind w:left="1890" w:hanging="360"/>
      </w:pPr>
      <w:rPr>
        <w:b w:val="0"/>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1"/>
  </w:num>
  <w:num w:numId="5">
    <w:abstractNumId w:val="49"/>
  </w:num>
  <w:num w:numId="6">
    <w:abstractNumId w:val="28"/>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0"/>
  </w:num>
  <w:num w:numId="52">
    <w:abstractNumId w:val="42"/>
  </w:num>
  <w:num w:numId="53">
    <w:abstractNumId w:val="52"/>
  </w:num>
  <w:num w:numId="54">
    <w:abstractNumId w:val="46"/>
  </w:num>
  <w:num w:numId="55">
    <w:abstractNumId w:val="44"/>
  </w:num>
  <w:num w:numId="56">
    <w:abstractNumId w:val="27"/>
  </w:num>
  <w:num w:numId="57">
    <w:abstractNumId w:val="25"/>
  </w:num>
  <w:num w:numId="58">
    <w:abstractNumId w:val="37"/>
  </w:num>
  <w:num w:numId="59">
    <w:abstractNumId w:val="48"/>
  </w:num>
  <w:num w:numId="60">
    <w:abstractNumId w:val="19"/>
  </w:num>
  <w:num w:numId="61">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21C"/>
    <w:rsid w:val="00006623"/>
    <w:rsid w:val="00006E1F"/>
    <w:rsid w:val="000070D7"/>
    <w:rsid w:val="000159FE"/>
    <w:rsid w:val="0001788C"/>
    <w:rsid w:val="00023F19"/>
    <w:rsid w:val="00024D83"/>
    <w:rsid w:val="00030EC1"/>
    <w:rsid w:val="000337EF"/>
    <w:rsid w:val="00040C3A"/>
    <w:rsid w:val="000419AD"/>
    <w:rsid w:val="000433C9"/>
    <w:rsid w:val="00044B28"/>
    <w:rsid w:val="00045012"/>
    <w:rsid w:val="00046237"/>
    <w:rsid w:val="000472CC"/>
    <w:rsid w:val="00052E70"/>
    <w:rsid w:val="00054E6D"/>
    <w:rsid w:val="00071174"/>
    <w:rsid w:val="000716C5"/>
    <w:rsid w:val="00072111"/>
    <w:rsid w:val="0007387D"/>
    <w:rsid w:val="00075E23"/>
    <w:rsid w:val="000851E3"/>
    <w:rsid w:val="00092BF5"/>
    <w:rsid w:val="0009344A"/>
    <w:rsid w:val="00095478"/>
    <w:rsid w:val="000A0245"/>
    <w:rsid w:val="000A392E"/>
    <w:rsid w:val="000A3E6E"/>
    <w:rsid w:val="000A575F"/>
    <w:rsid w:val="000A59EB"/>
    <w:rsid w:val="000C1117"/>
    <w:rsid w:val="000C1619"/>
    <w:rsid w:val="000C2AE9"/>
    <w:rsid w:val="000C60D9"/>
    <w:rsid w:val="000C683D"/>
    <w:rsid w:val="000C6A00"/>
    <w:rsid w:val="000D05BA"/>
    <w:rsid w:val="000D05CB"/>
    <w:rsid w:val="000D10DB"/>
    <w:rsid w:val="000D2263"/>
    <w:rsid w:val="000D33BA"/>
    <w:rsid w:val="000D49D6"/>
    <w:rsid w:val="000E5EB5"/>
    <w:rsid w:val="000F16C7"/>
    <w:rsid w:val="000F35ED"/>
    <w:rsid w:val="000F5AC8"/>
    <w:rsid w:val="000F5B93"/>
    <w:rsid w:val="000F6DC3"/>
    <w:rsid w:val="0010292B"/>
    <w:rsid w:val="001057BA"/>
    <w:rsid w:val="00106C8B"/>
    <w:rsid w:val="00107131"/>
    <w:rsid w:val="0010736F"/>
    <w:rsid w:val="00111D4A"/>
    <w:rsid w:val="00113F73"/>
    <w:rsid w:val="00115F8B"/>
    <w:rsid w:val="0012183B"/>
    <w:rsid w:val="00121CC2"/>
    <w:rsid w:val="001226F9"/>
    <w:rsid w:val="0012394C"/>
    <w:rsid w:val="00130C92"/>
    <w:rsid w:val="00130F69"/>
    <w:rsid w:val="00131425"/>
    <w:rsid w:val="00133EE5"/>
    <w:rsid w:val="001352C1"/>
    <w:rsid w:val="00137589"/>
    <w:rsid w:val="001375A5"/>
    <w:rsid w:val="00142247"/>
    <w:rsid w:val="001517FE"/>
    <w:rsid w:val="00156FC8"/>
    <w:rsid w:val="001645A0"/>
    <w:rsid w:val="0016647A"/>
    <w:rsid w:val="0016742C"/>
    <w:rsid w:val="00167A34"/>
    <w:rsid w:val="00177D71"/>
    <w:rsid w:val="00194A6D"/>
    <w:rsid w:val="00195DB9"/>
    <w:rsid w:val="00196CBF"/>
    <w:rsid w:val="001A18C7"/>
    <w:rsid w:val="001A4919"/>
    <w:rsid w:val="001A4D7B"/>
    <w:rsid w:val="001A520D"/>
    <w:rsid w:val="001A7870"/>
    <w:rsid w:val="001B0163"/>
    <w:rsid w:val="001B2D90"/>
    <w:rsid w:val="001B3A00"/>
    <w:rsid w:val="001B4FA1"/>
    <w:rsid w:val="001C1B41"/>
    <w:rsid w:val="001C3E96"/>
    <w:rsid w:val="001C3EF4"/>
    <w:rsid w:val="001C6940"/>
    <w:rsid w:val="001C7E62"/>
    <w:rsid w:val="001D1411"/>
    <w:rsid w:val="001D65EF"/>
    <w:rsid w:val="001E2B74"/>
    <w:rsid w:val="001E2C17"/>
    <w:rsid w:val="001E3E79"/>
    <w:rsid w:val="001E49E7"/>
    <w:rsid w:val="001E5977"/>
    <w:rsid w:val="001F5ABB"/>
    <w:rsid w:val="001F7201"/>
    <w:rsid w:val="00205C9E"/>
    <w:rsid w:val="0020723F"/>
    <w:rsid w:val="00220682"/>
    <w:rsid w:val="00221BF3"/>
    <w:rsid w:val="00223A29"/>
    <w:rsid w:val="002250A3"/>
    <w:rsid w:val="00226F8C"/>
    <w:rsid w:val="002314DC"/>
    <w:rsid w:val="00234729"/>
    <w:rsid w:val="00235217"/>
    <w:rsid w:val="002403A6"/>
    <w:rsid w:val="0024122D"/>
    <w:rsid w:val="00244C81"/>
    <w:rsid w:val="00245A09"/>
    <w:rsid w:val="00246D1F"/>
    <w:rsid w:val="00247403"/>
    <w:rsid w:val="00247542"/>
    <w:rsid w:val="0025187E"/>
    <w:rsid w:val="00252EB1"/>
    <w:rsid w:val="0025303F"/>
    <w:rsid w:val="00255461"/>
    <w:rsid w:val="002574EB"/>
    <w:rsid w:val="00257D6E"/>
    <w:rsid w:val="00265E07"/>
    <w:rsid w:val="00266B61"/>
    <w:rsid w:val="0026712A"/>
    <w:rsid w:val="00267DE6"/>
    <w:rsid w:val="00270334"/>
    <w:rsid w:val="002704DB"/>
    <w:rsid w:val="002715DD"/>
    <w:rsid w:val="00275BC2"/>
    <w:rsid w:val="00277361"/>
    <w:rsid w:val="00280DFF"/>
    <w:rsid w:val="00285452"/>
    <w:rsid w:val="002923F4"/>
    <w:rsid w:val="00293B43"/>
    <w:rsid w:val="002A0AAE"/>
    <w:rsid w:val="002A22F4"/>
    <w:rsid w:val="002A5820"/>
    <w:rsid w:val="002A66BD"/>
    <w:rsid w:val="002A7D66"/>
    <w:rsid w:val="002B09F3"/>
    <w:rsid w:val="002C0ED0"/>
    <w:rsid w:val="002C1F7D"/>
    <w:rsid w:val="002C2252"/>
    <w:rsid w:val="002C2EA0"/>
    <w:rsid w:val="002C5A6F"/>
    <w:rsid w:val="002D240A"/>
    <w:rsid w:val="002D2B26"/>
    <w:rsid w:val="002D3CB6"/>
    <w:rsid w:val="002D3DD0"/>
    <w:rsid w:val="002D43FE"/>
    <w:rsid w:val="002D4515"/>
    <w:rsid w:val="002D7EA2"/>
    <w:rsid w:val="002E187C"/>
    <w:rsid w:val="002E1AEF"/>
    <w:rsid w:val="002E284C"/>
    <w:rsid w:val="002E5B21"/>
    <w:rsid w:val="002F0F29"/>
    <w:rsid w:val="002F5A23"/>
    <w:rsid w:val="002F6256"/>
    <w:rsid w:val="00302733"/>
    <w:rsid w:val="00302CBA"/>
    <w:rsid w:val="00305835"/>
    <w:rsid w:val="003064C1"/>
    <w:rsid w:val="00306F33"/>
    <w:rsid w:val="00311DA1"/>
    <w:rsid w:val="00314078"/>
    <w:rsid w:val="00314568"/>
    <w:rsid w:val="0031535D"/>
    <w:rsid w:val="0031708C"/>
    <w:rsid w:val="003239B8"/>
    <w:rsid w:val="00325CC7"/>
    <w:rsid w:val="0032716F"/>
    <w:rsid w:val="0033169F"/>
    <w:rsid w:val="00333065"/>
    <w:rsid w:val="00340E4F"/>
    <w:rsid w:val="00344977"/>
    <w:rsid w:val="00346C95"/>
    <w:rsid w:val="00347519"/>
    <w:rsid w:val="00355303"/>
    <w:rsid w:val="00356185"/>
    <w:rsid w:val="00356E4D"/>
    <w:rsid w:val="00360380"/>
    <w:rsid w:val="003605D7"/>
    <w:rsid w:val="00360A93"/>
    <w:rsid w:val="00363089"/>
    <w:rsid w:val="00367E6C"/>
    <w:rsid w:val="00370811"/>
    <w:rsid w:val="00370AB2"/>
    <w:rsid w:val="00372391"/>
    <w:rsid w:val="0037519E"/>
    <w:rsid w:val="003807DF"/>
    <w:rsid w:val="00386CF0"/>
    <w:rsid w:val="00391C21"/>
    <w:rsid w:val="003A1F2D"/>
    <w:rsid w:val="003B70FB"/>
    <w:rsid w:val="003C0081"/>
    <w:rsid w:val="003C0D08"/>
    <w:rsid w:val="003C2676"/>
    <w:rsid w:val="003C2F7A"/>
    <w:rsid w:val="003C57EE"/>
    <w:rsid w:val="003C676B"/>
    <w:rsid w:val="003D3BC2"/>
    <w:rsid w:val="003D3C7A"/>
    <w:rsid w:val="003D7771"/>
    <w:rsid w:val="003E0FED"/>
    <w:rsid w:val="003E6CA1"/>
    <w:rsid w:val="003F4104"/>
    <w:rsid w:val="003F43E2"/>
    <w:rsid w:val="003F5154"/>
    <w:rsid w:val="00404E86"/>
    <w:rsid w:val="0040537B"/>
    <w:rsid w:val="00405A77"/>
    <w:rsid w:val="00405F9C"/>
    <w:rsid w:val="004065A8"/>
    <w:rsid w:val="00414AB7"/>
    <w:rsid w:val="004165C2"/>
    <w:rsid w:val="00422839"/>
    <w:rsid w:val="00427E4E"/>
    <w:rsid w:val="004304F0"/>
    <w:rsid w:val="00431AD3"/>
    <w:rsid w:val="0043223D"/>
    <w:rsid w:val="004370B1"/>
    <w:rsid w:val="00441ECB"/>
    <w:rsid w:val="00445193"/>
    <w:rsid w:val="00450B7C"/>
    <w:rsid w:val="00462C1B"/>
    <w:rsid w:val="00466170"/>
    <w:rsid w:val="004677D7"/>
    <w:rsid w:val="00467B7E"/>
    <w:rsid w:val="00467EE8"/>
    <w:rsid w:val="00471815"/>
    <w:rsid w:val="00473BB4"/>
    <w:rsid w:val="00477592"/>
    <w:rsid w:val="00485134"/>
    <w:rsid w:val="00485403"/>
    <w:rsid w:val="00486F1C"/>
    <w:rsid w:val="00490E2F"/>
    <w:rsid w:val="004935DA"/>
    <w:rsid w:val="0049419D"/>
    <w:rsid w:val="00494725"/>
    <w:rsid w:val="004A5608"/>
    <w:rsid w:val="004A6A54"/>
    <w:rsid w:val="004B153A"/>
    <w:rsid w:val="004B2E1C"/>
    <w:rsid w:val="004B3895"/>
    <w:rsid w:val="004B421C"/>
    <w:rsid w:val="004B5D05"/>
    <w:rsid w:val="004C20D2"/>
    <w:rsid w:val="004C2312"/>
    <w:rsid w:val="004C4B62"/>
    <w:rsid w:val="004C54C9"/>
    <w:rsid w:val="004D20E1"/>
    <w:rsid w:val="004D4ABA"/>
    <w:rsid w:val="004D4ECA"/>
    <w:rsid w:val="004D5091"/>
    <w:rsid w:val="004D6025"/>
    <w:rsid w:val="004D785F"/>
    <w:rsid w:val="004E082E"/>
    <w:rsid w:val="004E21F1"/>
    <w:rsid w:val="004E2649"/>
    <w:rsid w:val="004E4D91"/>
    <w:rsid w:val="004E62BB"/>
    <w:rsid w:val="004E66E9"/>
    <w:rsid w:val="004E6A64"/>
    <w:rsid w:val="004F0017"/>
    <w:rsid w:val="004F2F1E"/>
    <w:rsid w:val="004F626F"/>
    <w:rsid w:val="00500A3A"/>
    <w:rsid w:val="00501399"/>
    <w:rsid w:val="00503034"/>
    <w:rsid w:val="005047ED"/>
    <w:rsid w:val="00504801"/>
    <w:rsid w:val="0050633D"/>
    <w:rsid w:val="00507BC4"/>
    <w:rsid w:val="005128E4"/>
    <w:rsid w:val="005133DB"/>
    <w:rsid w:val="00514504"/>
    <w:rsid w:val="0051697C"/>
    <w:rsid w:val="0052136C"/>
    <w:rsid w:val="00521E1F"/>
    <w:rsid w:val="00522E1E"/>
    <w:rsid w:val="00525560"/>
    <w:rsid w:val="005330D0"/>
    <w:rsid w:val="00533236"/>
    <w:rsid w:val="00536594"/>
    <w:rsid w:val="005366BB"/>
    <w:rsid w:val="0053684E"/>
    <w:rsid w:val="00536A8D"/>
    <w:rsid w:val="00543447"/>
    <w:rsid w:val="00544C49"/>
    <w:rsid w:val="0054604E"/>
    <w:rsid w:val="00547936"/>
    <w:rsid w:val="005516A1"/>
    <w:rsid w:val="005559EF"/>
    <w:rsid w:val="00557206"/>
    <w:rsid w:val="005574FB"/>
    <w:rsid w:val="005578E0"/>
    <w:rsid w:val="00563557"/>
    <w:rsid w:val="0057402A"/>
    <w:rsid w:val="005771D0"/>
    <w:rsid w:val="00577800"/>
    <w:rsid w:val="005841F9"/>
    <w:rsid w:val="00584C98"/>
    <w:rsid w:val="0059191A"/>
    <w:rsid w:val="005921FF"/>
    <w:rsid w:val="005A02AC"/>
    <w:rsid w:val="005A24ED"/>
    <w:rsid w:val="005A5076"/>
    <w:rsid w:val="005A6D0E"/>
    <w:rsid w:val="005B0C72"/>
    <w:rsid w:val="005B2F8A"/>
    <w:rsid w:val="005B52B0"/>
    <w:rsid w:val="005B599B"/>
    <w:rsid w:val="005B6806"/>
    <w:rsid w:val="005B7153"/>
    <w:rsid w:val="005C3818"/>
    <w:rsid w:val="005C4225"/>
    <w:rsid w:val="005D1E12"/>
    <w:rsid w:val="005D7311"/>
    <w:rsid w:val="005E473B"/>
    <w:rsid w:val="005F0DAD"/>
    <w:rsid w:val="005F0F33"/>
    <w:rsid w:val="00600DEB"/>
    <w:rsid w:val="0060199D"/>
    <w:rsid w:val="00601F1C"/>
    <w:rsid w:val="00603A9F"/>
    <w:rsid w:val="00606E3C"/>
    <w:rsid w:val="00617EE8"/>
    <w:rsid w:val="0062276B"/>
    <w:rsid w:val="00627C9F"/>
    <w:rsid w:val="00630F37"/>
    <w:rsid w:val="006311E9"/>
    <w:rsid w:val="00632354"/>
    <w:rsid w:val="00635421"/>
    <w:rsid w:val="00641983"/>
    <w:rsid w:val="00642810"/>
    <w:rsid w:val="00642F31"/>
    <w:rsid w:val="006435FE"/>
    <w:rsid w:val="00646A4E"/>
    <w:rsid w:val="00652333"/>
    <w:rsid w:val="00652453"/>
    <w:rsid w:val="00655646"/>
    <w:rsid w:val="00666CBC"/>
    <w:rsid w:val="0067028B"/>
    <w:rsid w:val="006756CE"/>
    <w:rsid w:val="0068009E"/>
    <w:rsid w:val="0068165B"/>
    <w:rsid w:val="00681B49"/>
    <w:rsid w:val="00684A76"/>
    <w:rsid w:val="00691E5B"/>
    <w:rsid w:val="00692219"/>
    <w:rsid w:val="00692A16"/>
    <w:rsid w:val="0069338C"/>
    <w:rsid w:val="006A1030"/>
    <w:rsid w:val="006A17D2"/>
    <w:rsid w:val="006A1FCA"/>
    <w:rsid w:val="006A73E6"/>
    <w:rsid w:val="006B25CC"/>
    <w:rsid w:val="006B2D5C"/>
    <w:rsid w:val="006C08EB"/>
    <w:rsid w:val="006C0ECF"/>
    <w:rsid w:val="006C13A0"/>
    <w:rsid w:val="006C4EB1"/>
    <w:rsid w:val="006C6822"/>
    <w:rsid w:val="006D02B4"/>
    <w:rsid w:val="006D2F24"/>
    <w:rsid w:val="006D35A9"/>
    <w:rsid w:val="006E0166"/>
    <w:rsid w:val="006E2FFB"/>
    <w:rsid w:val="006E48F9"/>
    <w:rsid w:val="006E657D"/>
    <w:rsid w:val="006E6B65"/>
    <w:rsid w:val="006E7B34"/>
    <w:rsid w:val="006F2348"/>
    <w:rsid w:val="0070366C"/>
    <w:rsid w:val="00703A81"/>
    <w:rsid w:val="00705C21"/>
    <w:rsid w:val="0070697F"/>
    <w:rsid w:val="007103C4"/>
    <w:rsid w:val="007136D5"/>
    <w:rsid w:val="00717FDF"/>
    <w:rsid w:val="0072199C"/>
    <w:rsid w:val="0072258C"/>
    <w:rsid w:val="00722C9F"/>
    <w:rsid w:val="007253B8"/>
    <w:rsid w:val="00727D73"/>
    <w:rsid w:val="007315B9"/>
    <w:rsid w:val="00731BB4"/>
    <w:rsid w:val="007323FB"/>
    <w:rsid w:val="0073315F"/>
    <w:rsid w:val="0073741F"/>
    <w:rsid w:val="0074034A"/>
    <w:rsid w:val="00741896"/>
    <w:rsid w:val="0074455B"/>
    <w:rsid w:val="00751FBF"/>
    <w:rsid w:val="007533F9"/>
    <w:rsid w:val="007604D8"/>
    <w:rsid w:val="0076643F"/>
    <w:rsid w:val="00775E30"/>
    <w:rsid w:val="00777868"/>
    <w:rsid w:val="00777F63"/>
    <w:rsid w:val="00794508"/>
    <w:rsid w:val="00795830"/>
    <w:rsid w:val="00797128"/>
    <w:rsid w:val="007A4338"/>
    <w:rsid w:val="007A5817"/>
    <w:rsid w:val="007B05C4"/>
    <w:rsid w:val="007B4677"/>
    <w:rsid w:val="007B5C29"/>
    <w:rsid w:val="007B60E9"/>
    <w:rsid w:val="007B639A"/>
    <w:rsid w:val="007B648A"/>
    <w:rsid w:val="007B6CC3"/>
    <w:rsid w:val="007B76D3"/>
    <w:rsid w:val="007C0BF2"/>
    <w:rsid w:val="007C3334"/>
    <w:rsid w:val="007C3D7F"/>
    <w:rsid w:val="007C3F5B"/>
    <w:rsid w:val="007C7ED8"/>
    <w:rsid w:val="007D2B98"/>
    <w:rsid w:val="007E21BC"/>
    <w:rsid w:val="007E3694"/>
    <w:rsid w:val="007E7C82"/>
    <w:rsid w:val="007F0453"/>
    <w:rsid w:val="007F210C"/>
    <w:rsid w:val="007F2AA1"/>
    <w:rsid w:val="007F378B"/>
    <w:rsid w:val="007F4B9B"/>
    <w:rsid w:val="007F588D"/>
    <w:rsid w:val="008023DD"/>
    <w:rsid w:val="00803F1C"/>
    <w:rsid w:val="0080600E"/>
    <w:rsid w:val="008113CA"/>
    <w:rsid w:val="0081165C"/>
    <w:rsid w:val="0081330E"/>
    <w:rsid w:val="00814688"/>
    <w:rsid w:val="008171D4"/>
    <w:rsid w:val="00817612"/>
    <w:rsid w:val="00820085"/>
    <w:rsid w:val="008208FE"/>
    <w:rsid w:val="00826746"/>
    <w:rsid w:val="008338A4"/>
    <w:rsid w:val="0083456D"/>
    <w:rsid w:val="00834D49"/>
    <w:rsid w:val="00834F99"/>
    <w:rsid w:val="00835C9A"/>
    <w:rsid w:val="00837C45"/>
    <w:rsid w:val="00843FF1"/>
    <w:rsid w:val="00844231"/>
    <w:rsid w:val="00844683"/>
    <w:rsid w:val="00844730"/>
    <w:rsid w:val="008457C2"/>
    <w:rsid w:val="00846AA8"/>
    <w:rsid w:val="00853794"/>
    <w:rsid w:val="00853A3E"/>
    <w:rsid w:val="008546A8"/>
    <w:rsid w:val="00856AA4"/>
    <w:rsid w:val="00857A82"/>
    <w:rsid w:val="0087265C"/>
    <w:rsid w:val="008728BA"/>
    <w:rsid w:val="00873836"/>
    <w:rsid w:val="008745B7"/>
    <w:rsid w:val="00877671"/>
    <w:rsid w:val="008826EB"/>
    <w:rsid w:val="0088534C"/>
    <w:rsid w:val="00885737"/>
    <w:rsid w:val="00890650"/>
    <w:rsid w:val="00891DDD"/>
    <w:rsid w:val="00892975"/>
    <w:rsid w:val="008944DC"/>
    <w:rsid w:val="00897E12"/>
    <w:rsid w:val="008A7E0F"/>
    <w:rsid w:val="008B12F5"/>
    <w:rsid w:val="008C28E5"/>
    <w:rsid w:val="008C4C96"/>
    <w:rsid w:val="008C5E2D"/>
    <w:rsid w:val="008C5F22"/>
    <w:rsid w:val="008C67F0"/>
    <w:rsid w:val="008D3DE5"/>
    <w:rsid w:val="008D50EB"/>
    <w:rsid w:val="008D768D"/>
    <w:rsid w:val="008E3759"/>
    <w:rsid w:val="008E3BFE"/>
    <w:rsid w:val="008E5596"/>
    <w:rsid w:val="008E7A8F"/>
    <w:rsid w:val="008F1912"/>
    <w:rsid w:val="008F41B8"/>
    <w:rsid w:val="008F5EED"/>
    <w:rsid w:val="008F6669"/>
    <w:rsid w:val="0090270B"/>
    <w:rsid w:val="009041DC"/>
    <w:rsid w:val="00917B5A"/>
    <w:rsid w:val="00920A58"/>
    <w:rsid w:val="00920A8C"/>
    <w:rsid w:val="009212E9"/>
    <w:rsid w:val="009317AD"/>
    <w:rsid w:val="00934A2C"/>
    <w:rsid w:val="009353E9"/>
    <w:rsid w:val="00937D43"/>
    <w:rsid w:val="00954F9A"/>
    <w:rsid w:val="0096706E"/>
    <w:rsid w:val="0096751B"/>
    <w:rsid w:val="00973410"/>
    <w:rsid w:val="00974491"/>
    <w:rsid w:val="00974C6C"/>
    <w:rsid w:val="00975C4E"/>
    <w:rsid w:val="00981FBA"/>
    <w:rsid w:val="009830BA"/>
    <w:rsid w:val="0098333F"/>
    <w:rsid w:val="00990687"/>
    <w:rsid w:val="0099626D"/>
    <w:rsid w:val="00996994"/>
    <w:rsid w:val="00997BC5"/>
    <w:rsid w:val="009A17E7"/>
    <w:rsid w:val="009A3FFA"/>
    <w:rsid w:val="009A4F41"/>
    <w:rsid w:val="009A7A17"/>
    <w:rsid w:val="009B381B"/>
    <w:rsid w:val="009B767F"/>
    <w:rsid w:val="009C106B"/>
    <w:rsid w:val="009C74F4"/>
    <w:rsid w:val="009D1753"/>
    <w:rsid w:val="009D6822"/>
    <w:rsid w:val="009D68EC"/>
    <w:rsid w:val="009D7611"/>
    <w:rsid w:val="009E0B61"/>
    <w:rsid w:val="009E53DE"/>
    <w:rsid w:val="009F21E8"/>
    <w:rsid w:val="009F2403"/>
    <w:rsid w:val="009F5FBA"/>
    <w:rsid w:val="00A0564A"/>
    <w:rsid w:val="00A07802"/>
    <w:rsid w:val="00A078DC"/>
    <w:rsid w:val="00A11212"/>
    <w:rsid w:val="00A11E44"/>
    <w:rsid w:val="00A11F90"/>
    <w:rsid w:val="00A1581C"/>
    <w:rsid w:val="00A17ADA"/>
    <w:rsid w:val="00A17F17"/>
    <w:rsid w:val="00A2173B"/>
    <w:rsid w:val="00A24F83"/>
    <w:rsid w:val="00A30100"/>
    <w:rsid w:val="00A328B3"/>
    <w:rsid w:val="00A3304E"/>
    <w:rsid w:val="00A37D3E"/>
    <w:rsid w:val="00A42EA4"/>
    <w:rsid w:val="00A50FCF"/>
    <w:rsid w:val="00A528D1"/>
    <w:rsid w:val="00A6049F"/>
    <w:rsid w:val="00A610CD"/>
    <w:rsid w:val="00A7157B"/>
    <w:rsid w:val="00A71D19"/>
    <w:rsid w:val="00A758AA"/>
    <w:rsid w:val="00A80109"/>
    <w:rsid w:val="00A84150"/>
    <w:rsid w:val="00A9606B"/>
    <w:rsid w:val="00AA09A2"/>
    <w:rsid w:val="00AA17AE"/>
    <w:rsid w:val="00AA63FF"/>
    <w:rsid w:val="00AA7996"/>
    <w:rsid w:val="00AB2994"/>
    <w:rsid w:val="00AC19CB"/>
    <w:rsid w:val="00AC51FF"/>
    <w:rsid w:val="00AC5732"/>
    <w:rsid w:val="00AD5180"/>
    <w:rsid w:val="00AE14BF"/>
    <w:rsid w:val="00AE5488"/>
    <w:rsid w:val="00AE6F91"/>
    <w:rsid w:val="00AF23BC"/>
    <w:rsid w:val="00AF5571"/>
    <w:rsid w:val="00AF575A"/>
    <w:rsid w:val="00AF5D56"/>
    <w:rsid w:val="00AF6C98"/>
    <w:rsid w:val="00B07341"/>
    <w:rsid w:val="00B12A01"/>
    <w:rsid w:val="00B14A46"/>
    <w:rsid w:val="00B179D5"/>
    <w:rsid w:val="00B30539"/>
    <w:rsid w:val="00B314DB"/>
    <w:rsid w:val="00B33822"/>
    <w:rsid w:val="00B361F2"/>
    <w:rsid w:val="00B370F0"/>
    <w:rsid w:val="00B3718B"/>
    <w:rsid w:val="00B3745F"/>
    <w:rsid w:val="00B4632A"/>
    <w:rsid w:val="00B51530"/>
    <w:rsid w:val="00B530F1"/>
    <w:rsid w:val="00B53A35"/>
    <w:rsid w:val="00B55328"/>
    <w:rsid w:val="00B55E02"/>
    <w:rsid w:val="00B5743B"/>
    <w:rsid w:val="00B6282D"/>
    <w:rsid w:val="00B6326C"/>
    <w:rsid w:val="00B6502F"/>
    <w:rsid w:val="00B673E8"/>
    <w:rsid w:val="00B714CA"/>
    <w:rsid w:val="00B83339"/>
    <w:rsid w:val="00B9002E"/>
    <w:rsid w:val="00B91902"/>
    <w:rsid w:val="00B93D7F"/>
    <w:rsid w:val="00B94AD6"/>
    <w:rsid w:val="00BA276C"/>
    <w:rsid w:val="00BA7819"/>
    <w:rsid w:val="00BB019D"/>
    <w:rsid w:val="00BB306F"/>
    <w:rsid w:val="00BC1BC4"/>
    <w:rsid w:val="00BC2AF3"/>
    <w:rsid w:val="00BC2B4A"/>
    <w:rsid w:val="00BD0FF5"/>
    <w:rsid w:val="00BD1D10"/>
    <w:rsid w:val="00BD31BD"/>
    <w:rsid w:val="00BD4B89"/>
    <w:rsid w:val="00BD5922"/>
    <w:rsid w:val="00BD6523"/>
    <w:rsid w:val="00BE11C2"/>
    <w:rsid w:val="00BE1F02"/>
    <w:rsid w:val="00BE54E5"/>
    <w:rsid w:val="00BE6DC5"/>
    <w:rsid w:val="00BF02CB"/>
    <w:rsid w:val="00BF1C6D"/>
    <w:rsid w:val="00BF3900"/>
    <w:rsid w:val="00BF4723"/>
    <w:rsid w:val="00BF66A3"/>
    <w:rsid w:val="00BF6FD8"/>
    <w:rsid w:val="00BF7033"/>
    <w:rsid w:val="00C03680"/>
    <w:rsid w:val="00C054DF"/>
    <w:rsid w:val="00C0709E"/>
    <w:rsid w:val="00C1233D"/>
    <w:rsid w:val="00C14D64"/>
    <w:rsid w:val="00C21762"/>
    <w:rsid w:val="00C21FEF"/>
    <w:rsid w:val="00C23BA4"/>
    <w:rsid w:val="00C2427F"/>
    <w:rsid w:val="00C24543"/>
    <w:rsid w:val="00C24C19"/>
    <w:rsid w:val="00C256A2"/>
    <w:rsid w:val="00C25ADB"/>
    <w:rsid w:val="00C33769"/>
    <w:rsid w:val="00C35760"/>
    <w:rsid w:val="00C47439"/>
    <w:rsid w:val="00C51515"/>
    <w:rsid w:val="00C5255B"/>
    <w:rsid w:val="00C5399D"/>
    <w:rsid w:val="00C5660B"/>
    <w:rsid w:val="00C621F8"/>
    <w:rsid w:val="00C66B72"/>
    <w:rsid w:val="00C6720A"/>
    <w:rsid w:val="00C70DE9"/>
    <w:rsid w:val="00C73D4F"/>
    <w:rsid w:val="00C74870"/>
    <w:rsid w:val="00C82F7E"/>
    <w:rsid w:val="00C87AC4"/>
    <w:rsid w:val="00C904CE"/>
    <w:rsid w:val="00C90998"/>
    <w:rsid w:val="00C9567A"/>
    <w:rsid w:val="00C9593D"/>
    <w:rsid w:val="00CA0891"/>
    <w:rsid w:val="00CA0913"/>
    <w:rsid w:val="00CA2442"/>
    <w:rsid w:val="00CA5919"/>
    <w:rsid w:val="00CB212D"/>
    <w:rsid w:val="00CB2660"/>
    <w:rsid w:val="00CB7755"/>
    <w:rsid w:val="00CB77DD"/>
    <w:rsid w:val="00CC28FC"/>
    <w:rsid w:val="00CC311B"/>
    <w:rsid w:val="00CC5078"/>
    <w:rsid w:val="00CC5E90"/>
    <w:rsid w:val="00CC633C"/>
    <w:rsid w:val="00CD046C"/>
    <w:rsid w:val="00CD422B"/>
    <w:rsid w:val="00CD78D7"/>
    <w:rsid w:val="00CE076C"/>
    <w:rsid w:val="00CE3E61"/>
    <w:rsid w:val="00CE5199"/>
    <w:rsid w:val="00CE66D5"/>
    <w:rsid w:val="00CF203C"/>
    <w:rsid w:val="00CF2784"/>
    <w:rsid w:val="00CF2D00"/>
    <w:rsid w:val="00CF637A"/>
    <w:rsid w:val="00CF7273"/>
    <w:rsid w:val="00CF7563"/>
    <w:rsid w:val="00D059DE"/>
    <w:rsid w:val="00D05ABD"/>
    <w:rsid w:val="00D06D4B"/>
    <w:rsid w:val="00D12ACA"/>
    <w:rsid w:val="00D13FCE"/>
    <w:rsid w:val="00D15665"/>
    <w:rsid w:val="00D213F1"/>
    <w:rsid w:val="00D26444"/>
    <w:rsid w:val="00D26447"/>
    <w:rsid w:val="00D306D1"/>
    <w:rsid w:val="00D30800"/>
    <w:rsid w:val="00D31278"/>
    <w:rsid w:val="00D34786"/>
    <w:rsid w:val="00D3742B"/>
    <w:rsid w:val="00D37BFC"/>
    <w:rsid w:val="00D406C1"/>
    <w:rsid w:val="00D43B01"/>
    <w:rsid w:val="00D44131"/>
    <w:rsid w:val="00D44189"/>
    <w:rsid w:val="00D44D19"/>
    <w:rsid w:val="00D45103"/>
    <w:rsid w:val="00D47A8E"/>
    <w:rsid w:val="00D51C25"/>
    <w:rsid w:val="00D52D14"/>
    <w:rsid w:val="00D54EAB"/>
    <w:rsid w:val="00D56F26"/>
    <w:rsid w:val="00D64AE4"/>
    <w:rsid w:val="00D65815"/>
    <w:rsid w:val="00D665DA"/>
    <w:rsid w:val="00D66CE7"/>
    <w:rsid w:val="00D706BB"/>
    <w:rsid w:val="00D712D3"/>
    <w:rsid w:val="00D71422"/>
    <w:rsid w:val="00D7258E"/>
    <w:rsid w:val="00D72DC6"/>
    <w:rsid w:val="00D7558D"/>
    <w:rsid w:val="00D75BDB"/>
    <w:rsid w:val="00D81D92"/>
    <w:rsid w:val="00D82FB9"/>
    <w:rsid w:val="00D86F61"/>
    <w:rsid w:val="00D8750B"/>
    <w:rsid w:val="00D876F9"/>
    <w:rsid w:val="00D97566"/>
    <w:rsid w:val="00D979C2"/>
    <w:rsid w:val="00DA5146"/>
    <w:rsid w:val="00DA7B5F"/>
    <w:rsid w:val="00DB00A6"/>
    <w:rsid w:val="00DB6122"/>
    <w:rsid w:val="00DB7EBC"/>
    <w:rsid w:val="00DC11E7"/>
    <w:rsid w:val="00DC1D96"/>
    <w:rsid w:val="00DC21E9"/>
    <w:rsid w:val="00DC24E3"/>
    <w:rsid w:val="00DC7023"/>
    <w:rsid w:val="00DC769A"/>
    <w:rsid w:val="00DD3D86"/>
    <w:rsid w:val="00DD4AD2"/>
    <w:rsid w:val="00DE04D9"/>
    <w:rsid w:val="00DE11C7"/>
    <w:rsid w:val="00DE2862"/>
    <w:rsid w:val="00DE3930"/>
    <w:rsid w:val="00DF17CC"/>
    <w:rsid w:val="00DF1EC4"/>
    <w:rsid w:val="00DF3645"/>
    <w:rsid w:val="00DF682D"/>
    <w:rsid w:val="00DF7138"/>
    <w:rsid w:val="00DF736C"/>
    <w:rsid w:val="00E0255C"/>
    <w:rsid w:val="00E0340B"/>
    <w:rsid w:val="00E04A90"/>
    <w:rsid w:val="00E0551F"/>
    <w:rsid w:val="00E12C35"/>
    <w:rsid w:val="00E12F41"/>
    <w:rsid w:val="00E20EED"/>
    <w:rsid w:val="00E2146E"/>
    <w:rsid w:val="00E219C7"/>
    <w:rsid w:val="00E22CB6"/>
    <w:rsid w:val="00E26E6A"/>
    <w:rsid w:val="00E32357"/>
    <w:rsid w:val="00E37513"/>
    <w:rsid w:val="00E4118C"/>
    <w:rsid w:val="00E41917"/>
    <w:rsid w:val="00E43157"/>
    <w:rsid w:val="00E461CE"/>
    <w:rsid w:val="00E573E4"/>
    <w:rsid w:val="00E57F1F"/>
    <w:rsid w:val="00E60188"/>
    <w:rsid w:val="00E64C3D"/>
    <w:rsid w:val="00E720CA"/>
    <w:rsid w:val="00E80DCA"/>
    <w:rsid w:val="00E82C2D"/>
    <w:rsid w:val="00E84EB5"/>
    <w:rsid w:val="00E85662"/>
    <w:rsid w:val="00E8789F"/>
    <w:rsid w:val="00E926AE"/>
    <w:rsid w:val="00E97B71"/>
    <w:rsid w:val="00EA09CA"/>
    <w:rsid w:val="00EA3D34"/>
    <w:rsid w:val="00EA6B36"/>
    <w:rsid w:val="00EB0568"/>
    <w:rsid w:val="00EB454D"/>
    <w:rsid w:val="00EB7FBD"/>
    <w:rsid w:val="00EC1C06"/>
    <w:rsid w:val="00EC3BE4"/>
    <w:rsid w:val="00ED0FD8"/>
    <w:rsid w:val="00ED549D"/>
    <w:rsid w:val="00ED5E10"/>
    <w:rsid w:val="00ED6594"/>
    <w:rsid w:val="00ED76BE"/>
    <w:rsid w:val="00EE00E9"/>
    <w:rsid w:val="00EE3AD7"/>
    <w:rsid w:val="00EE709E"/>
    <w:rsid w:val="00EF1AAA"/>
    <w:rsid w:val="00EF39D5"/>
    <w:rsid w:val="00EF619B"/>
    <w:rsid w:val="00EF63A9"/>
    <w:rsid w:val="00EF6AD6"/>
    <w:rsid w:val="00EF755E"/>
    <w:rsid w:val="00F00838"/>
    <w:rsid w:val="00F00B55"/>
    <w:rsid w:val="00F0157A"/>
    <w:rsid w:val="00F024DA"/>
    <w:rsid w:val="00F02AD1"/>
    <w:rsid w:val="00F07658"/>
    <w:rsid w:val="00F167C5"/>
    <w:rsid w:val="00F176E8"/>
    <w:rsid w:val="00F226DF"/>
    <w:rsid w:val="00F231C8"/>
    <w:rsid w:val="00F253CC"/>
    <w:rsid w:val="00F37106"/>
    <w:rsid w:val="00F42752"/>
    <w:rsid w:val="00F43BA5"/>
    <w:rsid w:val="00F43F83"/>
    <w:rsid w:val="00F44E25"/>
    <w:rsid w:val="00F47DD9"/>
    <w:rsid w:val="00F509C1"/>
    <w:rsid w:val="00F517C7"/>
    <w:rsid w:val="00F519CF"/>
    <w:rsid w:val="00F51CE0"/>
    <w:rsid w:val="00F5430D"/>
    <w:rsid w:val="00F56BA5"/>
    <w:rsid w:val="00F60E22"/>
    <w:rsid w:val="00F62FFD"/>
    <w:rsid w:val="00F658DB"/>
    <w:rsid w:val="00F708AD"/>
    <w:rsid w:val="00F81395"/>
    <w:rsid w:val="00F81BB8"/>
    <w:rsid w:val="00F90C64"/>
    <w:rsid w:val="00F917D1"/>
    <w:rsid w:val="00F9653B"/>
    <w:rsid w:val="00FA0C63"/>
    <w:rsid w:val="00FA3602"/>
    <w:rsid w:val="00FA4C6F"/>
    <w:rsid w:val="00FB05A6"/>
    <w:rsid w:val="00FB1996"/>
    <w:rsid w:val="00FB62CF"/>
    <w:rsid w:val="00FB6675"/>
    <w:rsid w:val="00FC0580"/>
    <w:rsid w:val="00FC1990"/>
    <w:rsid w:val="00FC46E0"/>
    <w:rsid w:val="00FC7F54"/>
    <w:rsid w:val="00FD29BB"/>
    <w:rsid w:val="00FD2DA3"/>
    <w:rsid w:val="00FD3C3B"/>
    <w:rsid w:val="00FD7A7D"/>
    <w:rsid w:val="00FE03F7"/>
    <w:rsid w:val="00FE07DD"/>
    <w:rsid w:val="00FE1EF2"/>
    <w:rsid w:val="00FE245D"/>
    <w:rsid w:val="00FE6B45"/>
    <w:rsid w:val="00FF4C5B"/>
    <w:rsid w:val="00FF526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75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uiPriority w:val="99"/>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uiPriority w:val="99"/>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1C6D"/>
    <w:rPr>
      <w:sz w:val="16"/>
      <w:szCs w:val="16"/>
    </w:rPr>
  </w:style>
  <w:style w:type="paragraph" w:styleId="CommentText">
    <w:name w:val="annotation text"/>
    <w:basedOn w:val="Normal"/>
    <w:link w:val="CommentTextChar"/>
    <w:uiPriority w:val="99"/>
    <w:unhideWhenUsed/>
    <w:rsid w:val="00BF1C6D"/>
    <w:rPr>
      <w:sz w:val="20"/>
      <w:szCs w:val="20"/>
    </w:rPr>
  </w:style>
  <w:style w:type="character" w:customStyle="1" w:styleId="CommentTextChar">
    <w:name w:val="Comment Text Char"/>
    <w:basedOn w:val="DefaultParagraphFont"/>
    <w:link w:val="CommentText"/>
    <w:uiPriority w:val="99"/>
    <w:rsid w:val="00BF1C6D"/>
    <w:rPr>
      <w:lang w:val="en-US" w:eastAsia="en-US"/>
    </w:rPr>
  </w:style>
  <w:style w:type="paragraph" w:styleId="CommentSubject">
    <w:name w:val="annotation subject"/>
    <w:basedOn w:val="CommentText"/>
    <w:next w:val="CommentText"/>
    <w:link w:val="CommentSubjectChar"/>
    <w:uiPriority w:val="99"/>
    <w:semiHidden/>
    <w:unhideWhenUsed/>
    <w:rsid w:val="00BF1C6D"/>
    <w:rPr>
      <w:b/>
      <w:bCs/>
    </w:rPr>
  </w:style>
  <w:style w:type="character" w:customStyle="1" w:styleId="CommentSubjectChar">
    <w:name w:val="Comment Subject Char"/>
    <w:basedOn w:val="CommentTextChar"/>
    <w:link w:val="CommentSubject"/>
    <w:uiPriority w:val="99"/>
    <w:semiHidden/>
    <w:rsid w:val="00BF1C6D"/>
    <w:rPr>
      <w:b/>
      <w:bCs/>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uiPriority w:val="99"/>
    <w:locked/>
    <w:rsid w:val="002403A6"/>
    <w:rPr>
      <w:rFonts w:ascii="Calibri" w:hAnsi="Calibri" w:cs="Times New Roman"/>
      <w:color w:val="000000"/>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1B2D90"/>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87767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1963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04473628">
      <w:bodyDiv w:val="1"/>
      <w:marLeft w:val="0"/>
      <w:marRight w:val="0"/>
      <w:marTop w:val="0"/>
      <w:marBottom w:val="0"/>
      <w:divBdr>
        <w:top w:val="none" w:sz="0" w:space="0" w:color="auto"/>
        <w:left w:val="none" w:sz="0" w:space="0" w:color="auto"/>
        <w:bottom w:val="none" w:sz="0" w:space="0" w:color="auto"/>
        <w:right w:val="none" w:sz="0" w:space="0" w:color="auto"/>
      </w:divBdr>
      <w:divsChild>
        <w:div w:id="1456025085">
          <w:marLeft w:val="0"/>
          <w:marRight w:val="0"/>
          <w:marTop w:val="0"/>
          <w:marBottom w:val="0"/>
          <w:divBdr>
            <w:top w:val="none" w:sz="0" w:space="0" w:color="auto"/>
            <w:left w:val="none" w:sz="0" w:space="0" w:color="auto"/>
            <w:bottom w:val="none" w:sz="0" w:space="0" w:color="auto"/>
            <w:right w:val="none" w:sz="0" w:space="0" w:color="auto"/>
          </w:divBdr>
          <w:divsChild>
            <w:div w:id="198125910">
              <w:marLeft w:val="0"/>
              <w:marRight w:val="0"/>
              <w:marTop w:val="0"/>
              <w:marBottom w:val="0"/>
              <w:divBdr>
                <w:top w:val="none" w:sz="0" w:space="0" w:color="auto"/>
                <w:left w:val="none" w:sz="0" w:space="0" w:color="auto"/>
                <w:bottom w:val="none" w:sz="0" w:space="0" w:color="auto"/>
                <w:right w:val="none" w:sz="0" w:space="0" w:color="auto"/>
              </w:divBdr>
              <w:divsChild>
                <w:div w:id="270668171">
                  <w:marLeft w:val="0"/>
                  <w:marRight w:val="0"/>
                  <w:marTop w:val="0"/>
                  <w:marBottom w:val="0"/>
                  <w:divBdr>
                    <w:top w:val="none" w:sz="0" w:space="0" w:color="auto"/>
                    <w:left w:val="none" w:sz="0" w:space="0" w:color="auto"/>
                    <w:bottom w:val="none" w:sz="0" w:space="0" w:color="auto"/>
                    <w:right w:val="none" w:sz="0" w:space="0" w:color="auto"/>
                  </w:divBdr>
                  <w:divsChild>
                    <w:div w:id="139619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4126C"/>
    <w:rsid w:val="00065E9E"/>
    <w:rsid w:val="00070AC7"/>
    <w:rsid w:val="000D54C3"/>
    <w:rsid w:val="000F2584"/>
    <w:rsid w:val="00200821"/>
    <w:rsid w:val="0020695A"/>
    <w:rsid w:val="0025245B"/>
    <w:rsid w:val="0026142B"/>
    <w:rsid w:val="002A3923"/>
    <w:rsid w:val="00301448"/>
    <w:rsid w:val="00335FF5"/>
    <w:rsid w:val="00394049"/>
    <w:rsid w:val="003B0C71"/>
    <w:rsid w:val="003D3179"/>
    <w:rsid w:val="003D5043"/>
    <w:rsid w:val="00487F2A"/>
    <w:rsid w:val="00490987"/>
    <w:rsid w:val="004B5BBB"/>
    <w:rsid w:val="004F2DF8"/>
    <w:rsid w:val="004F6074"/>
    <w:rsid w:val="00517E2A"/>
    <w:rsid w:val="00561E14"/>
    <w:rsid w:val="0060610D"/>
    <w:rsid w:val="00631C9D"/>
    <w:rsid w:val="006B5835"/>
    <w:rsid w:val="006F24A1"/>
    <w:rsid w:val="007C4185"/>
    <w:rsid w:val="007F225F"/>
    <w:rsid w:val="008804DE"/>
    <w:rsid w:val="008A42AB"/>
    <w:rsid w:val="00917F6C"/>
    <w:rsid w:val="00932AF0"/>
    <w:rsid w:val="0094672E"/>
    <w:rsid w:val="0096674A"/>
    <w:rsid w:val="009A261B"/>
    <w:rsid w:val="009A5E14"/>
    <w:rsid w:val="00A551AC"/>
    <w:rsid w:val="00AA2E17"/>
    <w:rsid w:val="00AC15A4"/>
    <w:rsid w:val="00B0336C"/>
    <w:rsid w:val="00BA1A25"/>
    <w:rsid w:val="00BE2EE2"/>
    <w:rsid w:val="00C10CF1"/>
    <w:rsid w:val="00C26308"/>
    <w:rsid w:val="00C561D2"/>
    <w:rsid w:val="00D211F8"/>
    <w:rsid w:val="00D241E9"/>
    <w:rsid w:val="00D7750D"/>
    <w:rsid w:val="00DC6015"/>
    <w:rsid w:val="00E30424"/>
    <w:rsid w:val="00E33BDD"/>
    <w:rsid w:val="00E4051C"/>
    <w:rsid w:val="00EF12DF"/>
    <w:rsid w:val="00F00D2F"/>
    <w:rsid w:val="00F128DF"/>
    <w:rsid w:val="00F6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FAE34-0073-4F56-927C-B30E1A2A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5315</Words>
  <Characters>27855</Characters>
  <Application>Microsoft Office Word</Application>
  <DocSecurity>0</DocSecurity>
  <Lines>619</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356/21</dc:title>
  <dc:creator/>
  <cp:lastModifiedBy/>
  <cp:revision>1</cp:revision>
  <dcterms:created xsi:type="dcterms:W3CDTF">2022-02-08T20:42:00Z</dcterms:created>
  <dcterms:modified xsi:type="dcterms:W3CDTF">2022-02-08T20:42:00Z</dcterms:modified>
</cp:coreProperties>
</file>