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3C379E" w:rsidRDefault="00D306D1" w:rsidP="00627C9F">
      <w:pPr>
        <w:jc w:val="both"/>
        <w:rPr>
          <w:rFonts w:ascii="Cambria" w:hAnsi="Cambria" w:cs="Univers"/>
          <w:b/>
          <w:bCs/>
          <w:sz w:val="22"/>
          <w:szCs w:val="22"/>
          <w:lang w:val="es-ES"/>
        </w:rPr>
      </w:pPr>
      <w:r w:rsidRPr="003C379E">
        <w:rPr>
          <w:rFonts w:ascii="Cambria" w:hAnsi="Cambria"/>
          <w:noProof/>
          <w:sz w:val="22"/>
          <w:szCs w:val="22"/>
          <w:lang w:val="en-US" w:eastAsia="en-US"/>
        </w:rPr>
        <mc:AlternateContent>
          <mc:Choice Requires="wps">
            <w:drawing>
              <wp:anchor distT="0" distB="0" distL="114300" distR="114300" simplePos="0" relativeHeight="251661311" behindDoc="0" locked="0" layoutInCell="1" allowOverlap="1" wp14:anchorId="179A3F0F" wp14:editId="6BF15C4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BC2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C379E">
        <w:rPr>
          <w:rFonts w:ascii="Cambria" w:hAnsi="Cambria"/>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605D9" w:rsidRDefault="00C605D9" w:rsidP="00AE5488">
                            <w:r>
                              <w:rPr>
                                <w:noProof/>
                                <w:lang w:val="en-US" w:eastAsia="en-US"/>
                              </w:rPr>
                              <w:drawing>
                                <wp:inline distT="0" distB="0" distL="0" distR="0" wp14:anchorId="7A21157D" wp14:editId="2733AC34">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stretch>
                                            <a:fillRect/>
                                          </a:stretch>
                                        </pic:blipFill>
                                        <pic:spPr bwMode="auto">
                                          <a:xfrm>
                                            <a:off x="0" y="0"/>
                                            <a:ext cx="2164258" cy="42039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605D9" w:rsidRDefault="00C605D9" w:rsidP="00AE5488">
                      <w:r>
                        <w:rPr>
                          <w:noProof/>
                          <w:lang w:val="en-US" w:eastAsia="en-US"/>
                        </w:rPr>
                        <w:drawing>
                          <wp:inline distT="0" distB="0" distL="0" distR="0" wp14:anchorId="7A21157D" wp14:editId="2733AC34">
                            <wp:extent cx="2164258" cy="42039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tretch>
                                      <a:fillRect/>
                                    </a:stretch>
                                  </pic:blipFill>
                                  <pic:spPr bwMode="auto">
                                    <a:xfrm>
                                      <a:off x="0" y="0"/>
                                      <a:ext cx="2164258" cy="42039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3C379E" w:rsidRDefault="00040C3A" w:rsidP="00040C3A">
      <w:pPr>
        <w:tabs>
          <w:tab w:val="center" w:pos="5400"/>
        </w:tabs>
        <w:suppressAutoHyphens/>
        <w:jc w:val="both"/>
        <w:rPr>
          <w:rFonts w:ascii="Cambria" w:hAnsi="Cambria"/>
          <w:sz w:val="22"/>
          <w:szCs w:val="22"/>
          <w:lang w:val="es-ES"/>
        </w:rPr>
      </w:pPr>
    </w:p>
    <w:p w14:paraId="5A87E141" w14:textId="77777777" w:rsidR="00040C3A" w:rsidRPr="003C379E" w:rsidRDefault="00040C3A" w:rsidP="00040C3A">
      <w:pPr>
        <w:tabs>
          <w:tab w:val="center" w:pos="5400"/>
        </w:tabs>
        <w:suppressAutoHyphens/>
        <w:jc w:val="both"/>
        <w:rPr>
          <w:rFonts w:ascii="Cambria" w:hAnsi="Cambria"/>
          <w:sz w:val="22"/>
          <w:szCs w:val="22"/>
          <w:lang w:val="es-ES"/>
        </w:rPr>
      </w:pPr>
    </w:p>
    <w:p w14:paraId="29D95BCC" w14:textId="77777777" w:rsidR="005128E4" w:rsidRPr="003C379E" w:rsidRDefault="005128E4" w:rsidP="00040C3A">
      <w:pPr>
        <w:tabs>
          <w:tab w:val="center" w:pos="5400"/>
        </w:tabs>
        <w:suppressAutoHyphens/>
        <w:rPr>
          <w:rFonts w:ascii="Cambria" w:hAnsi="Cambria"/>
          <w:sz w:val="22"/>
          <w:szCs w:val="22"/>
          <w:lang w:val="es-ES"/>
        </w:rPr>
      </w:pPr>
    </w:p>
    <w:p w14:paraId="12A36B24" w14:textId="77777777" w:rsidR="005128E4" w:rsidRPr="003C379E" w:rsidRDefault="005128E4" w:rsidP="00040C3A">
      <w:pPr>
        <w:tabs>
          <w:tab w:val="center" w:pos="5400"/>
        </w:tabs>
        <w:suppressAutoHyphens/>
        <w:rPr>
          <w:rFonts w:ascii="Cambria" w:hAnsi="Cambria"/>
          <w:sz w:val="22"/>
          <w:szCs w:val="22"/>
          <w:lang w:val="es-ES"/>
        </w:rPr>
      </w:pPr>
    </w:p>
    <w:p w14:paraId="2252093D" w14:textId="77777777" w:rsidR="005128E4" w:rsidRPr="003C379E" w:rsidRDefault="005128E4" w:rsidP="00040C3A">
      <w:pPr>
        <w:tabs>
          <w:tab w:val="center" w:pos="5400"/>
        </w:tabs>
        <w:suppressAutoHyphens/>
        <w:rPr>
          <w:rFonts w:ascii="Cambria" w:hAnsi="Cambria"/>
          <w:sz w:val="22"/>
          <w:szCs w:val="22"/>
          <w:lang w:val="es-ES"/>
        </w:rPr>
      </w:pPr>
    </w:p>
    <w:p w14:paraId="403935BD" w14:textId="77777777" w:rsidR="00040C3A" w:rsidRPr="003C379E" w:rsidRDefault="00040C3A" w:rsidP="005128E4">
      <w:pPr>
        <w:tabs>
          <w:tab w:val="center" w:pos="5400"/>
        </w:tabs>
        <w:suppressAutoHyphens/>
        <w:jc w:val="center"/>
        <w:rPr>
          <w:rFonts w:ascii="Cambria" w:hAnsi="Cambria"/>
          <w:sz w:val="22"/>
          <w:szCs w:val="22"/>
          <w:lang w:val="es-ES"/>
        </w:rPr>
      </w:pPr>
    </w:p>
    <w:p w14:paraId="6DCF5F8F" w14:textId="77777777" w:rsidR="00040C3A" w:rsidRPr="003C379E" w:rsidRDefault="00040C3A" w:rsidP="005128E4">
      <w:pPr>
        <w:tabs>
          <w:tab w:val="center" w:pos="5400"/>
        </w:tabs>
        <w:suppressAutoHyphens/>
        <w:jc w:val="center"/>
        <w:rPr>
          <w:rFonts w:ascii="Cambria" w:hAnsi="Cambria"/>
          <w:sz w:val="22"/>
          <w:szCs w:val="22"/>
          <w:lang w:val="es-ES"/>
        </w:rPr>
      </w:pPr>
    </w:p>
    <w:p w14:paraId="4791F13A" w14:textId="77777777" w:rsidR="005B52B0" w:rsidRPr="003C379E" w:rsidRDefault="005B52B0" w:rsidP="005128E4">
      <w:pPr>
        <w:tabs>
          <w:tab w:val="center" w:pos="5400"/>
        </w:tabs>
        <w:suppressAutoHyphens/>
        <w:jc w:val="center"/>
        <w:rPr>
          <w:rFonts w:ascii="Cambria" w:hAnsi="Cambria"/>
          <w:sz w:val="22"/>
          <w:szCs w:val="22"/>
          <w:lang w:val="es-ES"/>
        </w:rPr>
      </w:pPr>
    </w:p>
    <w:p w14:paraId="44E016B6" w14:textId="77777777" w:rsidR="005B52B0" w:rsidRPr="003C379E" w:rsidRDefault="005B52B0" w:rsidP="005128E4">
      <w:pPr>
        <w:tabs>
          <w:tab w:val="center" w:pos="5400"/>
        </w:tabs>
        <w:suppressAutoHyphens/>
        <w:jc w:val="center"/>
        <w:rPr>
          <w:rFonts w:ascii="Cambria" w:hAnsi="Cambria"/>
          <w:sz w:val="22"/>
          <w:szCs w:val="22"/>
          <w:lang w:val="es-ES"/>
        </w:rPr>
      </w:pPr>
    </w:p>
    <w:p w14:paraId="63D41962" w14:textId="77777777" w:rsidR="005B52B0" w:rsidRPr="003C379E" w:rsidRDefault="005B52B0" w:rsidP="005128E4">
      <w:pPr>
        <w:tabs>
          <w:tab w:val="center" w:pos="5400"/>
        </w:tabs>
        <w:suppressAutoHyphens/>
        <w:jc w:val="center"/>
        <w:rPr>
          <w:rFonts w:ascii="Cambria" w:hAnsi="Cambria"/>
          <w:sz w:val="22"/>
          <w:szCs w:val="22"/>
          <w:lang w:val="es-ES"/>
        </w:rPr>
      </w:pPr>
    </w:p>
    <w:p w14:paraId="5ADEB990" w14:textId="77777777" w:rsidR="00040C3A" w:rsidRPr="003C379E" w:rsidRDefault="00040C3A" w:rsidP="00040C3A">
      <w:pPr>
        <w:tabs>
          <w:tab w:val="center" w:pos="5400"/>
        </w:tabs>
        <w:suppressAutoHyphens/>
        <w:jc w:val="center"/>
        <w:rPr>
          <w:rFonts w:ascii="Cambria" w:hAnsi="Cambria"/>
          <w:sz w:val="22"/>
          <w:szCs w:val="22"/>
          <w:lang w:val="es-ES"/>
        </w:rPr>
      </w:pPr>
    </w:p>
    <w:p w14:paraId="2D81B7E8" w14:textId="77777777" w:rsidR="00040C3A" w:rsidRPr="003C379E" w:rsidRDefault="00040C3A" w:rsidP="00040C3A">
      <w:pPr>
        <w:tabs>
          <w:tab w:val="center" w:pos="5400"/>
        </w:tabs>
        <w:suppressAutoHyphens/>
        <w:jc w:val="center"/>
        <w:rPr>
          <w:rFonts w:ascii="Cambria" w:hAnsi="Cambria"/>
          <w:sz w:val="22"/>
          <w:szCs w:val="22"/>
          <w:lang w:val="es-ES"/>
        </w:rPr>
      </w:pPr>
    </w:p>
    <w:p w14:paraId="64791D04" w14:textId="77777777" w:rsidR="00040C3A" w:rsidRPr="003C379E" w:rsidRDefault="003D3BC2" w:rsidP="00040C3A">
      <w:pPr>
        <w:tabs>
          <w:tab w:val="center" w:pos="5400"/>
        </w:tabs>
        <w:suppressAutoHyphens/>
        <w:jc w:val="center"/>
        <w:rPr>
          <w:rFonts w:ascii="Cambria" w:hAnsi="Cambria"/>
          <w:sz w:val="22"/>
          <w:szCs w:val="22"/>
          <w:lang w:val="es-ES"/>
        </w:rPr>
      </w:pPr>
      <w:r w:rsidRPr="003C379E">
        <w:rPr>
          <w:rFonts w:ascii="Cambria" w:hAnsi="Cambria"/>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1DBEC47" w:rsidR="00C605D9" w:rsidRPr="004C71B9" w:rsidRDefault="00C605D9" w:rsidP="00997BC5">
                            <w:pPr>
                              <w:spacing w:line="276" w:lineRule="auto"/>
                              <w:rPr>
                                <w:rFonts w:asciiTheme="majorHAnsi" w:hAnsiTheme="majorHAnsi" w:cs="Arial"/>
                                <w:b/>
                                <w:bCs/>
                                <w:color w:val="0D0D0D" w:themeColor="text1" w:themeTint="F2"/>
                                <w:sz w:val="36"/>
                                <w:szCs w:val="22"/>
                                <w:lang w:val="es-ES"/>
                              </w:rPr>
                            </w:pPr>
                            <w:r w:rsidRPr="004C71B9">
                              <w:rPr>
                                <w:rFonts w:asciiTheme="majorHAnsi" w:hAnsiTheme="majorHAnsi" w:cs="Arial"/>
                                <w:b/>
                                <w:bCs/>
                                <w:color w:val="0D0D0D" w:themeColor="text1" w:themeTint="F2"/>
                                <w:sz w:val="36"/>
                                <w:szCs w:val="22"/>
                                <w:lang w:val="es-ES"/>
                              </w:rPr>
                              <w:t xml:space="preserve">INFORME </w:t>
                            </w:r>
                            <w:r w:rsidRPr="004C71B9">
                              <w:rPr>
                                <w:rFonts w:asciiTheme="majorHAnsi" w:hAnsiTheme="majorHAnsi" w:cs="Arial"/>
                                <w:b/>
                                <w:bCs/>
                                <w:color w:val="0D0D0D" w:themeColor="text1" w:themeTint="F2"/>
                                <w:sz w:val="36"/>
                                <w:szCs w:val="40"/>
                                <w:lang w:val="es-ES"/>
                              </w:rPr>
                              <w:t>No.</w:t>
                            </w:r>
                            <w:r w:rsidRPr="004C71B9">
                              <w:rPr>
                                <w:rFonts w:asciiTheme="majorHAnsi" w:hAnsiTheme="majorHAnsi" w:cs="Arial"/>
                                <w:b/>
                                <w:bCs/>
                                <w:color w:val="0D0D0D" w:themeColor="text1" w:themeTint="F2"/>
                                <w:sz w:val="36"/>
                                <w:szCs w:val="22"/>
                                <w:lang w:val="es-ES"/>
                              </w:rPr>
                              <w:t xml:space="preserve"> </w:t>
                            </w:r>
                            <w:r w:rsidR="001F41CC">
                              <w:rPr>
                                <w:rFonts w:asciiTheme="majorHAnsi" w:hAnsiTheme="majorHAnsi" w:cs="Arial"/>
                                <w:b/>
                                <w:bCs/>
                                <w:color w:val="0D0D0D" w:themeColor="text1" w:themeTint="F2"/>
                                <w:sz w:val="36"/>
                                <w:szCs w:val="22"/>
                                <w:lang w:val="es-ES"/>
                              </w:rPr>
                              <w:t>358</w:t>
                            </w:r>
                            <w:r w:rsidRPr="004C71B9">
                              <w:rPr>
                                <w:rFonts w:asciiTheme="majorHAnsi" w:hAnsiTheme="majorHAnsi" w:cs="Arial"/>
                                <w:b/>
                                <w:bCs/>
                                <w:color w:val="0D0D0D" w:themeColor="text1" w:themeTint="F2"/>
                                <w:sz w:val="36"/>
                                <w:szCs w:val="22"/>
                                <w:lang w:val="es-ES"/>
                              </w:rPr>
                              <w:t>/21</w:t>
                            </w:r>
                          </w:p>
                          <w:p w14:paraId="09C54AB3" w14:textId="371465F0" w:rsidR="00C605D9" w:rsidRPr="004C71B9" w:rsidRDefault="00C605D9" w:rsidP="00997BC5">
                            <w:pPr>
                              <w:spacing w:line="276" w:lineRule="auto"/>
                              <w:rPr>
                                <w:rFonts w:asciiTheme="majorHAnsi" w:hAnsiTheme="majorHAnsi" w:cs="Arial"/>
                                <w:b/>
                                <w:color w:val="0D0D0D" w:themeColor="text1" w:themeTint="F2"/>
                                <w:sz w:val="36"/>
                                <w:szCs w:val="22"/>
                                <w:lang w:val="es-ES"/>
                              </w:rPr>
                            </w:pPr>
                            <w:r w:rsidRPr="004C71B9">
                              <w:rPr>
                                <w:rFonts w:asciiTheme="majorHAnsi" w:hAnsiTheme="majorHAnsi" w:cs="Arial"/>
                                <w:b/>
                                <w:color w:val="0D0D0D" w:themeColor="text1" w:themeTint="F2"/>
                                <w:sz w:val="36"/>
                                <w:szCs w:val="22"/>
                                <w:lang w:val="es-ES"/>
                              </w:rPr>
                              <w:t xml:space="preserve">PETICIÓN 724-13 </w:t>
                            </w:r>
                          </w:p>
                          <w:p w14:paraId="70CF6833" w14:textId="3204630C" w:rsidR="00C605D9" w:rsidRPr="004C71B9" w:rsidRDefault="00C605D9" w:rsidP="00997BC5">
                            <w:pPr>
                              <w:spacing w:line="276" w:lineRule="auto"/>
                              <w:rPr>
                                <w:rFonts w:asciiTheme="majorHAnsi" w:hAnsiTheme="majorHAnsi" w:cs="Arial"/>
                                <w:color w:val="0D0D0D" w:themeColor="text1" w:themeTint="F2"/>
                                <w:szCs w:val="22"/>
                                <w:lang w:val="es-ES"/>
                              </w:rPr>
                            </w:pPr>
                            <w:r w:rsidRPr="004C71B9">
                              <w:rPr>
                                <w:rFonts w:asciiTheme="majorHAnsi" w:hAnsiTheme="majorHAnsi" w:cs="Arial"/>
                                <w:color w:val="0D0D0D" w:themeColor="text1" w:themeTint="F2"/>
                                <w:szCs w:val="22"/>
                                <w:lang w:val="es-ES"/>
                              </w:rPr>
                              <w:t>INFORME DE ADMISIBILIDAD</w:t>
                            </w:r>
                          </w:p>
                          <w:p w14:paraId="5FDD6F0D" w14:textId="77777777" w:rsidR="00C605D9" w:rsidRPr="004C71B9" w:rsidRDefault="00C605D9" w:rsidP="00997BC5">
                            <w:pPr>
                              <w:spacing w:line="276" w:lineRule="auto"/>
                              <w:rPr>
                                <w:rFonts w:asciiTheme="majorHAnsi" w:hAnsiTheme="majorHAnsi" w:cs="Arial"/>
                                <w:color w:val="0D0D0D" w:themeColor="text1" w:themeTint="F2"/>
                                <w:szCs w:val="22"/>
                                <w:lang w:val="es-ES"/>
                              </w:rPr>
                            </w:pPr>
                            <w:bookmarkStart w:id="0" w:name="_ftnref1"/>
                          </w:p>
                          <w:bookmarkEnd w:id="0"/>
                          <w:p w14:paraId="1C4AF7CB" w14:textId="0E6774C5" w:rsidR="00C605D9" w:rsidRPr="004C71B9" w:rsidRDefault="00C605D9" w:rsidP="00997BC5">
                            <w:pPr>
                              <w:spacing w:line="276" w:lineRule="auto"/>
                              <w:rPr>
                                <w:rFonts w:asciiTheme="majorHAnsi" w:hAnsiTheme="majorHAnsi" w:cs="Arial"/>
                                <w:color w:val="0D0D0D" w:themeColor="text1" w:themeTint="F2"/>
                                <w:lang w:val="es-ES"/>
                              </w:rPr>
                            </w:pPr>
                            <w:r w:rsidRPr="004C71B9">
                              <w:rPr>
                                <w:rFonts w:ascii="Cambria" w:hAnsi="Cambria"/>
                                <w:bCs/>
                                <w:lang w:val="es-ES"/>
                              </w:rPr>
                              <w:t>DANIEL NITZSCHE STARLING</w:t>
                            </w:r>
                          </w:p>
                          <w:p w14:paraId="35068D0D" w14:textId="0310ED42" w:rsidR="00C605D9" w:rsidRPr="004C71B9" w:rsidRDefault="00C605D9" w:rsidP="00997BC5">
                            <w:pPr>
                              <w:spacing w:line="276" w:lineRule="auto"/>
                              <w:rPr>
                                <w:rFonts w:asciiTheme="majorHAnsi" w:hAnsiTheme="majorHAnsi" w:cs="Arial"/>
                                <w:color w:val="0D0D0D" w:themeColor="text1" w:themeTint="F2"/>
                                <w:szCs w:val="22"/>
                                <w:lang w:val="es-ES"/>
                              </w:rPr>
                            </w:pPr>
                            <w:r w:rsidRPr="004C71B9">
                              <w:rPr>
                                <w:rFonts w:asciiTheme="majorHAnsi" w:hAnsiTheme="majorHAnsi" w:cs="Arial"/>
                                <w:color w:val="0D0D0D" w:themeColor="text1" w:themeTint="F2"/>
                                <w:szCs w:val="22"/>
                                <w:lang w:val="es-ES"/>
                              </w:rPr>
                              <w:t>BRASIL</w:t>
                            </w:r>
                          </w:p>
                          <w:p w14:paraId="575DFD52" w14:textId="77777777" w:rsidR="00C605D9" w:rsidRPr="004C71B9" w:rsidRDefault="00C605D9"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41DBEC47" w:rsidR="00C605D9" w:rsidRPr="004C71B9" w:rsidRDefault="00C605D9" w:rsidP="00997BC5">
                      <w:pPr>
                        <w:spacing w:line="276" w:lineRule="auto"/>
                        <w:rPr>
                          <w:rFonts w:asciiTheme="majorHAnsi" w:hAnsiTheme="majorHAnsi" w:cs="Arial"/>
                          <w:b/>
                          <w:bCs/>
                          <w:color w:val="0D0D0D" w:themeColor="text1" w:themeTint="F2"/>
                          <w:sz w:val="36"/>
                          <w:szCs w:val="22"/>
                          <w:lang w:val="es-ES"/>
                        </w:rPr>
                      </w:pPr>
                      <w:r w:rsidRPr="004C71B9">
                        <w:rPr>
                          <w:rFonts w:asciiTheme="majorHAnsi" w:hAnsiTheme="majorHAnsi" w:cs="Arial"/>
                          <w:b/>
                          <w:bCs/>
                          <w:color w:val="0D0D0D" w:themeColor="text1" w:themeTint="F2"/>
                          <w:sz w:val="36"/>
                          <w:szCs w:val="22"/>
                          <w:lang w:val="es-ES"/>
                        </w:rPr>
                        <w:t xml:space="preserve">INFORME </w:t>
                      </w:r>
                      <w:r w:rsidRPr="004C71B9">
                        <w:rPr>
                          <w:rFonts w:asciiTheme="majorHAnsi" w:hAnsiTheme="majorHAnsi" w:cs="Arial"/>
                          <w:b/>
                          <w:bCs/>
                          <w:color w:val="0D0D0D" w:themeColor="text1" w:themeTint="F2"/>
                          <w:sz w:val="36"/>
                          <w:szCs w:val="40"/>
                          <w:lang w:val="es-ES"/>
                        </w:rPr>
                        <w:t>No.</w:t>
                      </w:r>
                      <w:r w:rsidRPr="004C71B9">
                        <w:rPr>
                          <w:rFonts w:asciiTheme="majorHAnsi" w:hAnsiTheme="majorHAnsi" w:cs="Arial"/>
                          <w:b/>
                          <w:bCs/>
                          <w:color w:val="0D0D0D" w:themeColor="text1" w:themeTint="F2"/>
                          <w:sz w:val="36"/>
                          <w:szCs w:val="22"/>
                          <w:lang w:val="es-ES"/>
                        </w:rPr>
                        <w:t xml:space="preserve"> </w:t>
                      </w:r>
                      <w:r w:rsidR="001F41CC">
                        <w:rPr>
                          <w:rFonts w:asciiTheme="majorHAnsi" w:hAnsiTheme="majorHAnsi" w:cs="Arial"/>
                          <w:b/>
                          <w:bCs/>
                          <w:color w:val="0D0D0D" w:themeColor="text1" w:themeTint="F2"/>
                          <w:sz w:val="36"/>
                          <w:szCs w:val="22"/>
                          <w:lang w:val="es-ES"/>
                        </w:rPr>
                        <w:t>358</w:t>
                      </w:r>
                      <w:r w:rsidRPr="004C71B9">
                        <w:rPr>
                          <w:rFonts w:asciiTheme="majorHAnsi" w:hAnsiTheme="majorHAnsi" w:cs="Arial"/>
                          <w:b/>
                          <w:bCs/>
                          <w:color w:val="0D0D0D" w:themeColor="text1" w:themeTint="F2"/>
                          <w:sz w:val="36"/>
                          <w:szCs w:val="22"/>
                          <w:lang w:val="es-ES"/>
                        </w:rPr>
                        <w:t>/21</w:t>
                      </w:r>
                    </w:p>
                    <w:p w14:paraId="09C54AB3" w14:textId="371465F0" w:rsidR="00C605D9" w:rsidRPr="004C71B9" w:rsidRDefault="00C605D9" w:rsidP="00997BC5">
                      <w:pPr>
                        <w:spacing w:line="276" w:lineRule="auto"/>
                        <w:rPr>
                          <w:rFonts w:asciiTheme="majorHAnsi" w:hAnsiTheme="majorHAnsi" w:cs="Arial"/>
                          <w:b/>
                          <w:color w:val="0D0D0D" w:themeColor="text1" w:themeTint="F2"/>
                          <w:sz w:val="36"/>
                          <w:szCs w:val="22"/>
                          <w:lang w:val="es-ES"/>
                        </w:rPr>
                      </w:pPr>
                      <w:r w:rsidRPr="004C71B9">
                        <w:rPr>
                          <w:rFonts w:asciiTheme="majorHAnsi" w:hAnsiTheme="majorHAnsi" w:cs="Arial"/>
                          <w:b/>
                          <w:color w:val="0D0D0D" w:themeColor="text1" w:themeTint="F2"/>
                          <w:sz w:val="36"/>
                          <w:szCs w:val="22"/>
                          <w:lang w:val="es-ES"/>
                        </w:rPr>
                        <w:t xml:space="preserve">PETICIÓN 724-13 </w:t>
                      </w:r>
                    </w:p>
                    <w:p w14:paraId="70CF6833" w14:textId="3204630C" w:rsidR="00C605D9" w:rsidRPr="004C71B9" w:rsidRDefault="00C605D9" w:rsidP="00997BC5">
                      <w:pPr>
                        <w:spacing w:line="276" w:lineRule="auto"/>
                        <w:rPr>
                          <w:rFonts w:asciiTheme="majorHAnsi" w:hAnsiTheme="majorHAnsi" w:cs="Arial"/>
                          <w:color w:val="0D0D0D" w:themeColor="text1" w:themeTint="F2"/>
                          <w:szCs w:val="22"/>
                          <w:lang w:val="es-ES"/>
                        </w:rPr>
                      </w:pPr>
                      <w:r w:rsidRPr="004C71B9">
                        <w:rPr>
                          <w:rFonts w:asciiTheme="majorHAnsi" w:hAnsiTheme="majorHAnsi" w:cs="Arial"/>
                          <w:color w:val="0D0D0D" w:themeColor="text1" w:themeTint="F2"/>
                          <w:szCs w:val="22"/>
                          <w:lang w:val="es-ES"/>
                        </w:rPr>
                        <w:t>INFORME DE ADMISIBILIDAD</w:t>
                      </w:r>
                    </w:p>
                    <w:p w14:paraId="5FDD6F0D" w14:textId="77777777" w:rsidR="00C605D9" w:rsidRPr="004C71B9" w:rsidRDefault="00C605D9" w:rsidP="00997BC5">
                      <w:pPr>
                        <w:spacing w:line="276" w:lineRule="auto"/>
                        <w:rPr>
                          <w:rFonts w:asciiTheme="majorHAnsi" w:hAnsiTheme="majorHAnsi" w:cs="Arial"/>
                          <w:color w:val="0D0D0D" w:themeColor="text1" w:themeTint="F2"/>
                          <w:szCs w:val="22"/>
                          <w:lang w:val="es-ES"/>
                        </w:rPr>
                      </w:pPr>
                      <w:bookmarkStart w:id="1" w:name="_ftnref1"/>
                    </w:p>
                    <w:bookmarkEnd w:id="1"/>
                    <w:p w14:paraId="1C4AF7CB" w14:textId="0E6774C5" w:rsidR="00C605D9" w:rsidRPr="004C71B9" w:rsidRDefault="00C605D9" w:rsidP="00997BC5">
                      <w:pPr>
                        <w:spacing w:line="276" w:lineRule="auto"/>
                        <w:rPr>
                          <w:rFonts w:asciiTheme="majorHAnsi" w:hAnsiTheme="majorHAnsi" w:cs="Arial"/>
                          <w:color w:val="0D0D0D" w:themeColor="text1" w:themeTint="F2"/>
                          <w:lang w:val="es-ES"/>
                        </w:rPr>
                      </w:pPr>
                      <w:r w:rsidRPr="004C71B9">
                        <w:rPr>
                          <w:rFonts w:ascii="Cambria" w:hAnsi="Cambria"/>
                          <w:bCs/>
                          <w:lang w:val="es-ES"/>
                        </w:rPr>
                        <w:t>DANIEL NITZSCHE STARLING</w:t>
                      </w:r>
                    </w:p>
                    <w:p w14:paraId="35068D0D" w14:textId="0310ED42" w:rsidR="00C605D9" w:rsidRPr="004C71B9" w:rsidRDefault="00C605D9" w:rsidP="00997BC5">
                      <w:pPr>
                        <w:spacing w:line="276" w:lineRule="auto"/>
                        <w:rPr>
                          <w:rFonts w:asciiTheme="majorHAnsi" w:hAnsiTheme="majorHAnsi" w:cs="Arial"/>
                          <w:color w:val="0D0D0D" w:themeColor="text1" w:themeTint="F2"/>
                          <w:szCs w:val="22"/>
                          <w:lang w:val="es-ES"/>
                        </w:rPr>
                      </w:pPr>
                      <w:r w:rsidRPr="004C71B9">
                        <w:rPr>
                          <w:rFonts w:asciiTheme="majorHAnsi" w:hAnsiTheme="majorHAnsi" w:cs="Arial"/>
                          <w:color w:val="0D0D0D" w:themeColor="text1" w:themeTint="F2"/>
                          <w:szCs w:val="22"/>
                          <w:lang w:val="es-ES"/>
                        </w:rPr>
                        <w:t>BRASIL</w:t>
                      </w:r>
                    </w:p>
                    <w:p w14:paraId="575DFD52" w14:textId="77777777" w:rsidR="00C605D9" w:rsidRPr="004C71B9" w:rsidRDefault="00C605D9" w:rsidP="007A5817">
                      <w:pPr>
                        <w:rPr>
                          <w:color w:val="0D0D0D" w:themeColor="text1" w:themeTint="F2"/>
                          <w:lang w:val="es-ES"/>
                        </w:rPr>
                      </w:pPr>
                    </w:p>
                  </w:txbxContent>
                </v:textbox>
              </v:shape>
            </w:pict>
          </mc:Fallback>
        </mc:AlternateContent>
      </w:r>
      <w:r w:rsidR="004E2649" w:rsidRPr="003C379E">
        <w:rPr>
          <w:rFonts w:ascii="Cambria" w:hAnsi="Cambria"/>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11B472" w:rsidR="00C605D9" w:rsidRPr="001F41CC" w:rsidRDefault="00C605D9" w:rsidP="007A5817">
                            <w:pPr>
                              <w:spacing w:line="276" w:lineRule="auto"/>
                              <w:jc w:val="right"/>
                              <w:rPr>
                                <w:rFonts w:asciiTheme="minorHAnsi" w:hAnsiTheme="minorHAnsi"/>
                                <w:color w:val="FFFFFF" w:themeColor="background1"/>
                                <w:sz w:val="22"/>
                              </w:rPr>
                            </w:pPr>
                            <w:r w:rsidRPr="001F41CC">
                              <w:rPr>
                                <w:rFonts w:asciiTheme="minorHAnsi" w:hAnsiTheme="minorHAnsi"/>
                                <w:color w:val="FFFFFF" w:themeColor="background1"/>
                                <w:sz w:val="22"/>
                              </w:rPr>
                              <w:t>OEA/Ser.L/V/II</w:t>
                            </w:r>
                          </w:p>
                          <w:p w14:paraId="6A41611B" w14:textId="3F44B6CD" w:rsidR="00C605D9" w:rsidRPr="001F41CC" w:rsidRDefault="00C605D9" w:rsidP="007A5817">
                            <w:pPr>
                              <w:spacing w:line="276" w:lineRule="auto"/>
                              <w:jc w:val="right"/>
                              <w:rPr>
                                <w:rFonts w:asciiTheme="minorHAnsi" w:hAnsiTheme="minorHAnsi"/>
                                <w:color w:val="FFFFFF" w:themeColor="background1"/>
                                <w:sz w:val="22"/>
                              </w:rPr>
                            </w:pPr>
                            <w:r w:rsidRPr="001F41CC">
                              <w:rPr>
                                <w:rFonts w:asciiTheme="minorHAnsi" w:hAnsiTheme="minorHAnsi"/>
                                <w:color w:val="FFFFFF" w:themeColor="background1"/>
                                <w:sz w:val="22"/>
                              </w:rPr>
                              <w:t xml:space="preserve">Doc. </w:t>
                            </w:r>
                            <w:r w:rsidR="00FE0818">
                              <w:rPr>
                                <w:rFonts w:asciiTheme="minorHAnsi" w:hAnsiTheme="minorHAnsi"/>
                                <w:color w:val="FFFFFF" w:themeColor="background1"/>
                                <w:sz w:val="22"/>
                              </w:rPr>
                              <w:t>368</w:t>
                            </w:r>
                          </w:p>
                          <w:p w14:paraId="69373ED2" w14:textId="6F57E912" w:rsidR="00C605D9" w:rsidRPr="001F41CC" w:rsidRDefault="00FE081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 diciembre</w:t>
                            </w:r>
                            <w:r w:rsidR="00C605D9" w:rsidRPr="001F41CC">
                              <w:rPr>
                                <w:rFonts w:asciiTheme="minorHAnsi" w:hAnsiTheme="minorHAnsi"/>
                                <w:color w:val="FFFFFF" w:themeColor="background1"/>
                                <w:sz w:val="22"/>
                                <w:lang w:val="es-AR"/>
                              </w:rPr>
                              <w:t xml:space="preserve"> 2021</w:t>
                            </w:r>
                          </w:p>
                          <w:p w14:paraId="0771DB5B" w14:textId="6B5A8181" w:rsidR="00C605D9" w:rsidRPr="001F41CC" w:rsidRDefault="00C605D9" w:rsidP="007A5817">
                            <w:pPr>
                              <w:spacing w:line="276" w:lineRule="auto"/>
                              <w:jc w:val="right"/>
                              <w:rPr>
                                <w:rFonts w:asciiTheme="minorHAnsi" w:hAnsiTheme="minorHAnsi"/>
                                <w:color w:val="FFFFFF" w:themeColor="background1"/>
                                <w:sz w:val="22"/>
                                <w:lang w:val="es-AR"/>
                              </w:rPr>
                            </w:pPr>
                            <w:r w:rsidRPr="001F41CC">
                              <w:rPr>
                                <w:rFonts w:asciiTheme="minorHAnsi" w:hAnsiTheme="minorHAnsi"/>
                                <w:color w:val="FFFFFF" w:themeColor="background1"/>
                                <w:sz w:val="22"/>
                                <w:lang w:val="es-A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211B472" w:rsidR="00C605D9" w:rsidRPr="001F41CC" w:rsidRDefault="00C605D9" w:rsidP="007A5817">
                      <w:pPr>
                        <w:spacing w:line="276" w:lineRule="auto"/>
                        <w:jc w:val="right"/>
                        <w:rPr>
                          <w:rFonts w:asciiTheme="minorHAnsi" w:hAnsiTheme="minorHAnsi"/>
                          <w:color w:val="FFFFFF" w:themeColor="background1"/>
                          <w:sz w:val="22"/>
                        </w:rPr>
                      </w:pPr>
                      <w:r w:rsidRPr="001F41CC">
                        <w:rPr>
                          <w:rFonts w:asciiTheme="minorHAnsi" w:hAnsiTheme="minorHAnsi"/>
                          <w:color w:val="FFFFFF" w:themeColor="background1"/>
                          <w:sz w:val="22"/>
                        </w:rPr>
                        <w:t>OEA/Ser.L/V/II</w:t>
                      </w:r>
                    </w:p>
                    <w:p w14:paraId="6A41611B" w14:textId="3F44B6CD" w:rsidR="00C605D9" w:rsidRPr="001F41CC" w:rsidRDefault="00C605D9" w:rsidP="007A5817">
                      <w:pPr>
                        <w:spacing w:line="276" w:lineRule="auto"/>
                        <w:jc w:val="right"/>
                        <w:rPr>
                          <w:rFonts w:asciiTheme="minorHAnsi" w:hAnsiTheme="minorHAnsi"/>
                          <w:color w:val="FFFFFF" w:themeColor="background1"/>
                          <w:sz w:val="22"/>
                        </w:rPr>
                      </w:pPr>
                      <w:r w:rsidRPr="001F41CC">
                        <w:rPr>
                          <w:rFonts w:asciiTheme="minorHAnsi" w:hAnsiTheme="minorHAnsi"/>
                          <w:color w:val="FFFFFF" w:themeColor="background1"/>
                          <w:sz w:val="22"/>
                        </w:rPr>
                        <w:t xml:space="preserve">Doc. </w:t>
                      </w:r>
                      <w:r w:rsidR="00FE0818">
                        <w:rPr>
                          <w:rFonts w:asciiTheme="minorHAnsi" w:hAnsiTheme="minorHAnsi"/>
                          <w:color w:val="FFFFFF" w:themeColor="background1"/>
                          <w:sz w:val="22"/>
                        </w:rPr>
                        <w:t>368</w:t>
                      </w:r>
                    </w:p>
                    <w:p w14:paraId="69373ED2" w14:textId="6F57E912" w:rsidR="00C605D9" w:rsidRPr="001F41CC" w:rsidRDefault="00FE0818"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1 diciembre</w:t>
                      </w:r>
                      <w:r w:rsidR="00C605D9" w:rsidRPr="001F41CC">
                        <w:rPr>
                          <w:rFonts w:asciiTheme="minorHAnsi" w:hAnsiTheme="minorHAnsi"/>
                          <w:color w:val="FFFFFF" w:themeColor="background1"/>
                          <w:sz w:val="22"/>
                          <w:lang w:val="es-AR"/>
                        </w:rPr>
                        <w:t xml:space="preserve"> 2021</w:t>
                      </w:r>
                    </w:p>
                    <w:p w14:paraId="0771DB5B" w14:textId="6B5A8181" w:rsidR="00C605D9" w:rsidRPr="001F41CC" w:rsidRDefault="00C605D9" w:rsidP="007A5817">
                      <w:pPr>
                        <w:spacing w:line="276" w:lineRule="auto"/>
                        <w:jc w:val="right"/>
                        <w:rPr>
                          <w:rFonts w:asciiTheme="minorHAnsi" w:hAnsiTheme="minorHAnsi"/>
                          <w:color w:val="FFFFFF" w:themeColor="background1"/>
                          <w:sz w:val="22"/>
                          <w:lang w:val="es-AR"/>
                        </w:rPr>
                      </w:pPr>
                      <w:r w:rsidRPr="001F41CC">
                        <w:rPr>
                          <w:rFonts w:asciiTheme="minorHAnsi" w:hAnsiTheme="minorHAnsi"/>
                          <w:color w:val="FFFFFF" w:themeColor="background1"/>
                          <w:sz w:val="22"/>
                          <w:lang w:val="es-AR"/>
                        </w:rPr>
                        <w:t>Original: portugués</w:t>
                      </w:r>
                    </w:p>
                  </w:txbxContent>
                </v:textbox>
              </v:shape>
            </w:pict>
          </mc:Fallback>
        </mc:AlternateContent>
      </w:r>
    </w:p>
    <w:p w14:paraId="155B0536" w14:textId="77777777" w:rsidR="00040C3A" w:rsidRPr="003C379E" w:rsidRDefault="00040C3A" w:rsidP="00040C3A">
      <w:pPr>
        <w:tabs>
          <w:tab w:val="center" w:pos="5400"/>
        </w:tabs>
        <w:suppressAutoHyphens/>
        <w:jc w:val="center"/>
        <w:rPr>
          <w:rFonts w:ascii="Cambria" w:hAnsi="Cambria"/>
          <w:sz w:val="22"/>
          <w:szCs w:val="22"/>
          <w:lang w:val="es-ES"/>
        </w:rPr>
      </w:pPr>
    </w:p>
    <w:p w14:paraId="5FE3AB87" w14:textId="77777777" w:rsidR="00040C3A" w:rsidRPr="003C379E" w:rsidRDefault="00040C3A" w:rsidP="00040C3A">
      <w:pPr>
        <w:tabs>
          <w:tab w:val="center" w:pos="5400"/>
        </w:tabs>
        <w:suppressAutoHyphens/>
        <w:jc w:val="center"/>
        <w:rPr>
          <w:rFonts w:ascii="Cambria" w:hAnsi="Cambria"/>
          <w:sz w:val="22"/>
          <w:szCs w:val="22"/>
          <w:lang w:val="es-ES"/>
        </w:rPr>
      </w:pPr>
    </w:p>
    <w:p w14:paraId="3C383BC0" w14:textId="77777777" w:rsidR="00040C3A" w:rsidRPr="003C379E" w:rsidRDefault="00040C3A" w:rsidP="00040C3A">
      <w:pPr>
        <w:tabs>
          <w:tab w:val="center" w:pos="5400"/>
        </w:tabs>
        <w:suppressAutoHyphens/>
        <w:jc w:val="center"/>
        <w:rPr>
          <w:rFonts w:ascii="Cambria" w:hAnsi="Cambria" w:cs="Arial"/>
          <w:sz w:val="22"/>
          <w:szCs w:val="22"/>
          <w:lang w:val="es-ES"/>
        </w:rPr>
      </w:pPr>
    </w:p>
    <w:p w14:paraId="54590931" w14:textId="77777777" w:rsidR="00040C3A" w:rsidRPr="003C379E" w:rsidRDefault="00040C3A" w:rsidP="00040C3A">
      <w:pPr>
        <w:tabs>
          <w:tab w:val="center" w:pos="5400"/>
        </w:tabs>
        <w:suppressAutoHyphens/>
        <w:jc w:val="center"/>
        <w:rPr>
          <w:rFonts w:ascii="Cambria" w:hAnsi="Cambria"/>
          <w:sz w:val="22"/>
          <w:szCs w:val="22"/>
          <w:lang w:val="es-ES"/>
        </w:rPr>
      </w:pPr>
    </w:p>
    <w:p w14:paraId="76C291D6" w14:textId="77777777" w:rsidR="00040C3A" w:rsidRPr="003C379E" w:rsidRDefault="00040C3A" w:rsidP="00040C3A">
      <w:pPr>
        <w:tabs>
          <w:tab w:val="center" w:pos="5400"/>
        </w:tabs>
        <w:suppressAutoHyphens/>
        <w:jc w:val="center"/>
        <w:rPr>
          <w:rFonts w:ascii="Cambria" w:hAnsi="Cambria"/>
          <w:sz w:val="22"/>
          <w:szCs w:val="22"/>
          <w:lang w:val="es-ES"/>
        </w:rPr>
      </w:pPr>
    </w:p>
    <w:p w14:paraId="2161B44F" w14:textId="77777777" w:rsidR="00040C3A" w:rsidRPr="003C379E" w:rsidRDefault="00040C3A" w:rsidP="00040C3A">
      <w:pPr>
        <w:tabs>
          <w:tab w:val="center" w:pos="5400"/>
        </w:tabs>
        <w:suppressAutoHyphens/>
        <w:jc w:val="center"/>
        <w:rPr>
          <w:rFonts w:ascii="Cambria" w:hAnsi="Cambria"/>
          <w:sz w:val="22"/>
          <w:szCs w:val="22"/>
          <w:lang w:val="es-ES"/>
        </w:rPr>
      </w:pPr>
    </w:p>
    <w:p w14:paraId="3C4EEE07" w14:textId="77777777" w:rsidR="00040C3A" w:rsidRPr="003C379E" w:rsidRDefault="00040C3A" w:rsidP="00040C3A">
      <w:pPr>
        <w:tabs>
          <w:tab w:val="center" w:pos="5400"/>
        </w:tabs>
        <w:suppressAutoHyphens/>
        <w:jc w:val="center"/>
        <w:rPr>
          <w:rFonts w:ascii="Cambria" w:hAnsi="Cambria"/>
          <w:sz w:val="22"/>
          <w:szCs w:val="22"/>
          <w:lang w:val="es-ES"/>
        </w:rPr>
      </w:pPr>
    </w:p>
    <w:p w14:paraId="3B0E4647" w14:textId="77777777" w:rsidR="005128E4" w:rsidRPr="003C379E" w:rsidRDefault="005128E4" w:rsidP="00040C3A">
      <w:pPr>
        <w:tabs>
          <w:tab w:val="center" w:pos="5400"/>
        </w:tabs>
        <w:suppressAutoHyphens/>
        <w:jc w:val="center"/>
        <w:rPr>
          <w:rFonts w:ascii="Cambria" w:hAnsi="Cambria"/>
          <w:sz w:val="22"/>
          <w:szCs w:val="22"/>
          <w:lang w:val="es-ES"/>
        </w:rPr>
      </w:pPr>
    </w:p>
    <w:p w14:paraId="2DAAF36D" w14:textId="77777777" w:rsidR="00040C3A" w:rsidRPr="003C379E" w:rsidRDefault="00040C3A" w:rsidP="00040C3A">
      <w:pPr>
        <w:tabs>
          <w:tab w:val="center" w:pos="5400"/>
        </w:tabs>
        <w:suppressAutoHyphens/>
        <w:jc w:val="center"/>
        <w:rPr>
          <w:rFonts w:ascii="Cambria" w:hAnsi="Cambria"/>
          <w:sz w:val="22"/>
          <w:szCs w:val="22"/>
          <w:lang w:val="es-ES"/>
        </w:rPr>
      </w:pPr>
    </w:p>
    <w:p w14:paraId="12496A14" w14:textId="77777777" w:rsidR="005128E4" w:rsidRPr="003C379E" w:rsidRDefault="005128E4" w:rsidP="00040C3A">
      <w:pPr>
        <w:tabs>
          <w:tab w:val="center" w:pos="5400"/>
        </w:tabs>
        <w:suppressAutoHyphens/>
        <w:jc w:val="center"/>
        <w:rPr>
          <w:rFonts w:ascii="Cambria" w:hAnsi="Cambria"/>
          <w:sz w:val="22"/>
          <w:szCs w:val="22"/>
          <w:lang w:val="es-ES"/>
        </w:rPr>
      </w:pPr>
    </w:p>
    <w:p w14:paraId="25772DB3" w14:textId="77777777" w:rsidR="005128E4" w:rsidRPr="003C379E" w:rsidRDefault="005128E4" w:rsidP="00040C3A">
      <w:pPr>
        <w:tabs>
          <w:tab w:val="center" w:pos="5400"/>
        </w:tabs>
        <w:suppressAutoHyphens/>
        <w:jc w:val="center"/>
        <w:rPr>
          <w:rFonts w:ascii="Cambria" w:hAnsi="Cambria"/>
          <w:sz w:val="22"/>
          <w:szCs w:val="22"/>
          <w:lang w:val="es-ES"/>
        </w:rPr>
      </w:pPr>
    </w:p>
    <w:p w14:paraId="6820FADA" w14:textId="77777777" w:rsidR="005128E4" w:rsidRPr="003C379E" w:rsidRDefault="005128E4" w:rsidP="00040C3A">
      <w:pPr>
        <w:tabs>
          <w:tab w:val="center" w:pos="5400"/>
        </w:tabs>
        <w:suppressAutoHyphens/>
        <w:jc w:val="center"/>
        <w:rPr>
          <w:rFonts w:ascii="Cambria" w:hAnsi="Cambria"/>
          <w:sz w:val="22"/>
          <w:szCs w:val="22"/>
          <w:lang w:val="es-ES"/>
        </w:rPr>
      </w:pPr>
    </w:p>
    <w:p w14:paraId="54445A55" w14:textId="77777777" w:rsidR="00040C3A" w:rsidRPr="003C379E" w:rsidRDefault="00040C3A" w:rsidP="00040C3A">
      <w:pPr>
        <w:tabs>
          <w:tab w:val="center" w:pos="5400"/>
        </w:tabs>
        <w:suppressAutoHyphens/>
        <w:jc w:val="center"/>
        <w:rPr>
          <w:rFonts w:ascii="Cambria" w:hAnsi="Cambria"/>
          <w:sz w:val="22"/>
          <w:szCs w:val="22"/>
          <w:lang w:val="es-ES"/>
        </w:rPr>
      </w:pPr>
    </w:p>
    <w:p w14:paraId="5D4A4040" w14:textId="77777777" w:rsidR="00040C3A" w:rsidRPr="003C379E" w:rsidRDefault="00040C3A" w:rsidP="00040C3A">
      <w:pPr>
        <w:tabs>
          <w:tab w:val="center" w:pos="5400"/>
        </w:tabs>
        <w:suppressAutoHyphens/>
        <w:jc w:val="center"/>
        <w:rPr>
          <w:rFonts w:ascii="Cambria" w:hAnsi="Cambria"/>
          <w:sz w:val="22"/>
          <w:szCs w:val="22"/>
          <w:lang w:val="es-ES"/>
        </w:rPr>
      </w:pPr>
    </w:p>
    <w:p w14:paraId="048FBB22" w14:textId="77777777" w:rsidR="00A50FCF" w:rsidRPr="003C379E" w:rsidRDefault="00A50FCF" w:rsidP="00040C3A">
      <w:pPr>
        <w:tabs>
          <w:tab w:val="center" w:pos="5400"/>
        </w:tabs>
        <w:suppressAutoHyphens/>
        <w:jc w:val="center"/>
        <w:rPr>
          <w:rFonts w:ascii="Cambria" w:hAnsi="Cambria"/>
          <w:sz w:val="18"/>
          <w:szCs w:val="22"/>
          <w:lang w:val="es-ES"/>
        </w:rPr>
      </w:pPr>
    </w:p>
    <w:p w14:paraId="190ABFB3" w14:textId="77777777" w:rsidR="00A50FCF" w:rsidRPr="003C379E" w:rsidRDefault="00A50FCF" w:rsidP="00040C3A">
      <w:pPr>
        <w:tabs>
          <w:tab w:val="center" w:pos="5400"/>
        </w:tabs>
        <w:suppressAutoHyphens/>
        <w:jc w:val="center"/>
        <w:rPr>
          <w:rFonts w:ascii="Cambria" w:hAnsi="Cambria"/>
          <w:sz w:val="18"/>
          <w:szCs w:val="22"/>
          <w:lang w:val="es-ES"/>
        </w:rPr>
      </w:pPr>
    </w:p>
    <w:p w14:paraId="4C690048" w14:textId="77777777" w:rsidR="00A50FCF" w:rsidRPr="003C379E" w:rsidRDefault="00A50FCF" w:rsidP="00040C3A">
      <w:pPr>
        <w:tabs>
          <w:tab w:val="center" w:pos="5400"/>
        </w:tabs>
        <w:suppressAutoHyphens/>
        <w:jc w:val="center"/>
        <w:rPr>
          <w:rFonts w:ascii="Cambria" w:hAnsi="Cambria"/>
          <w:sz w:val="18"/>
          <w:szCs w:val="22"/>
          <w:lang w:val="es-ES"/>
        </w:rPr>
      </w:pPr>
    </w:p>
    <w:p w14:paraId="733CA438" w14:textId="77777777" w:rsidR="00A50FCF" w:rsidRPr="003C379E" w:rsidRDefault="00A50FCF" w:rsidP="00040C3A">
      <w:pPr>
        <w:tabs>
          <w:tab w:val="center" w:pos="5400"/>
        </w:tabs>
        <w:suppressAutoHyphens/>
        <w:jc w:val="center"/>
        <w:rPr>
          <w:rFonts w:ascii="Cambria" w:hAnsi="Cambria"/>
          <w:sz w:val="18"/>
          <w:szCs w:val="22"/>
          <w:lang w:val="es-ES"/>
        </w:rPr>
      </w:pPr>
    </w:p>
    <w:p w14:paraId="7874DEEB" w14:textId="77777777" w:rsidR="00A50FCF" w:rsidRPr="003C379E" w:rsidRDefault="00A50FCF" w:rsidP="00040C3A">
      <w:pPr>
        <w:tabs>
          <w:tab w:val="center" w:pos="5400"/>
        </w:tabs>
        <w:suppressAutoHyphens/>
        <w:jc w:val="center"/>
        <w:rPr>
          <w:rFonts w:ascii="Cambria" w:hAnsi="Cambria"/>
          <w:sz w:val="18"/>
          <w:szCs w:val="22"/>
          <w:lang w:val="es-ES"/>
        </w:rPr>
      </w:pPr>
    </w:p>
    <w:p w14:paraId="3698D0D6" w14:textId="77777777" w:rsidR="00A50FCF" w:rsidRPr="003C379E" w:rsidRDefault="00A50FCF" w:rsidP="00040C3A">
      <w:pPr>
        <w:tabs>
          <w:tab w:val="center" w:pos="5400"/>
        </w:tabs>
        <w:suppressAutoHyphens/>
        <w:jc w:val="center"/>
        <w:rPr>
          <w:rFonts w:ascii="Cambria" w:hAnsi="Cambria"/>
          <w:sz w:val="18"/>
          <w:szCs w:val="22"/>
          <w:lang w:val="es-ES"/>
        </w:rPr>
      </w:pPr>
    </w:p>
    <w:p w14:paraId="1F907823" w14:textId="77777777" w:rsidR="00A50FCF" w:rsidRPr="003C379E" w:rsidRDefault="00A50FCF" w:rsidP="00040C3A">
      <w:pPr>
        <w:tabs>
          <w:tab w:val="center" w:pos="5400"/>
        </w:tabs>
        <w:suppressAutoHyphens/>
        <w:jc w:val="center"/>
        <w:rPr>
          <w:rFonts w:ascii="Cambria" w:hAnsi="Cambria"/>
          <w:sz w:val="18"/>
          <w:szCs w:val="22"/>
          <w:lang w:val="es-ES"/>
        </w:rPr>
      </w:pPr>
    </w:p>
    <w:p w14:paraId="045D9AC1" w14:textId="77777777" w:rsidR="00A50FCF" w:rsidRPr="003C379E" w:rsidRDefault="00A50FCF" w:rsidP="00040C3A">
      <w:pPr>
        <w:tabs>
          <w:tab w:val="center" w:pos="5400"/>
        </w:tabs>
        <w:suppressAutoHyphens/>
        <w:jc w:val="center"/>
        <w:rPr>
          <w:rFonts w:ascii="Cambria" w:hAnsi="Cambria"/>
          <w:sz w:val="18"/>
          <w:szCs w:val="22"/>
          <w:lang w:val="es-ES"/>
        </w:rPr>
      </w:pPr>
    </w:p>
    <w:p w14:paraId="16068EE5" w14:textId="77777777" w:rsidR="00A50FCF" w:rsidRPr="003C379E" w:rsidRDefault="00A50FCF" w:rsidP="00040C3A">
      <w:pPr>
        <w:tabs>
          <w:tab w:val="center" w:pos="5400"/>
        </w:tabs>
        <w:suppressAutoHyphens/>
        <w:jc w:val="center"/>
        <w:rPr>
          <w:rFonts w:ascii="Cambria" w:hAnsi="Cambria"/>
          <w:sz w:val="18"/>
          <w:szCs w:val="22"/>
          <w:lang w:val="es-ES"/>
        </w:rPr>
      </w:pPr>
    </w:p>
    <w:p w14:paraId="14A4A430" w14:textId="77777777" w:rsidR="00A50FCF" w:rsidRPr="003C379E" w:rsidRDefault="00A50FCF" w:rsidP="00040C3A">
      <w:pPr>
        <w:tabs>
          <w:tab w:val="center" w:pos="5400"/>
        </w:tabs>
        <w:suppressAutoHyphens/>
        <w:jc w:val="center"/>
        <w:rPr>
          <w:rFonts w:ascii="Cambria" w:hAnsi="Cambria"/>
          <w:sz w:val="18"/>
          <w:szCs w:val="22"/>
          <w:lang w:val="es-ES"/>
        </w:rPr>
      </w:pPr>
    </w:p>
    <w:p w14:paraId="0B3B735F" w14:textId="77777777" w:rsidR="00A50FCF" w:rsidRPr="003C379E" w:rsidRDefault="00A50FCF" w:rsidP="00040C3A">
      <w:pPr>
        <w:tabs>
          <w:tab w:val="center" w:pos="5400"/>
        </w:tabs>
        <w:suppressAutoHyphens/>
        <w:jc w:val="center"/>
        <w:rPr>
          <w:rFonts w:ascii="Cambria" w:hAnsi="Cambria"/>
          <w:sz w:val="18"/>
          <w:szCs w:val="22"/>
          <w:lang w:val="es-ES"/>
        </w:rPr>
      </w:pPr>
    </w:p>
    <w:p w14:paraId="02C5C441" w14:textId="77777777" w:rsidR="00A50FCF" w:rsidRPr="003C379E" w:rsidRDefault="00A50FCF" w:rsidP="00040C3A">
      <w:pPr>
        <w:tabs>
          <w:tab w:val="center" w:pos="5400"/>
        </w:tabs>
        <w:suppressAutoHyphens/>
        <w:jc w:val="center"/>
        <w:rPr>
          <w:rFonts w:ascii="Cambria" w:hAnsi="Cambria"/>
          <w:sz w:val="18"/>
          <w:szCs w:val="22"/>
          <w:lang w:val="es-ES"/>
        </w:rPr>
      </w:pPr>
    </w:p>
    <w:p w14:paraId="7806A2B0" w14:textId="77777777" w:rsidR="00A50FCF" w:rsidRPr="003C379E" w:rsidRDefault="00A50FCF" w:rsidP="00040C3A">
      <w:pPr>
        <w:tabs>
          <w:tab w:val="center" w:pos="5400"/>
        </w:tabs>
        <w:suppressAutoHyphens/>
        <w:jc w:val="center"/>
        <w:rPr>
          <w:rFonts w:ascii="Cambria" w:hAnsi="Cambria"/>
          <w:sz w:val="18"/>
          <w:szCs w:val="22"/>
          <w:lang w:val="es-ES"/>
        </w:rPr>
      </w:pPr>
    </w:p>
    <w:p w14:paraId="319C392B" w14:textId="77777777" w:rsidR="00A50FCF" w:rsidRPr="003C379E" w:rsidRDefault="00A50FCF" w:rsidP="00040C3A">
      <w:pPr>
        <w:tabs>
          <w:tab w:val="center" w:pos="5400"/>
        </w:tabs>
        <w:suppressAutoHyphens/>
        <w:jc w:val="center"/>
        <w:rPr>
          <w:rFonts w:ascii="Cambria" w:hAnsi="Cambria"/>
          <w:sz w:val="18"/>
          <w:szCs w:val="22"/>
          <w:lang w:val="es-ES"/>
        </w:rPr>
      </w:pPr>
    </w:p>
    <w:p w14:paraId="514A0182" w14:textId="77777777" w:rsidR="00A50FCF" w:rsidRPr="003C379E" w:rsidRDefault="0090270B" w:rsidP="00040C3A">
      <w:pPr>
        <w:tabs>
          <w:tab w:val="center" w:pos="5400"/>
        </w:tabs>
        <w:suppressAutoHyphens/>
        <w:jc w:val="center"/>
        <w:rPr>
          <w:rFonts w:ascii="Cambria" w:hAnsi="Cambria"/>
          <w:sz w:val="18"/>
          <w:szCs w:val="22"/>
          <w:lang w:val="es-ES"/>
        </w:rPr>
      </w:pPr>
      <w:r w:rsidRPr="003C379E">
        <w:rPr>
          <w:rFonts w:ascii="Cambria" w:hAnsi="Cambria"/>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F329C23" w:rsidR="00C605D9" w:rsidRPr="009115EB" w:rsidRDefault="00C605D9" w:rsidP="00DD3D86">
                            <w:pPr>
                              <w:tabs>
                                <w:tab w:val="center" w:pos="5400"/>
                              </w:tabs>
                              <w:suppressAutoHyphens/>
                              <w:spacing w:before="60"/>
                              <w:rPr>
                                <w:rFonts w:asciiTheme="majorHAnsi" w:hAnsiTheme="majorHAnsi"/>
                                <w:color w:val="0D0D0D" w:themeColor="text1" w:themeTint="F2"/>
                                <w:sz w:val="18"/>
                                <w:szCs w:val="22"/>
                                <w:lang w:val="es-AR"/>
                              </w:rPr>
                            </w:pPr>
                            <w:r w:rsidRPr="009115EB">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9115EB">
                              <w:rPr>
                                <w:rFonts w:asciiTheme="majorHAnsi" w:hAnsiTheme="majorHAnsi"/>
                                <w:color w:val="0D0D0D" w:themeColor="text1" w:themeTint="F2"/>
                                <w:sz w:val="18"/>
                                <w:szCs w:val="22"/>
                                <w:lang w:val="es-AR"/>
                              </w:rPr>
                              <w:t>ado electrónicamente por la Comisión e</w:t>
                            </w:r>
                            <w:r>
                              <w:rPr>
                                <w:rFonts w:asciiTheme="majorHAnsi" w:hAnsiTheme="majorHAnsi"/>
                                <w:color w:val="0D0D0D" w:themeColor="text1" w:themeTint="F2"/>
                                <w:sz w:val="18"/>
                                <w:szCs w:val="22"/>
                                <w:lang w:val="es-AR"/>
                              </w:rPr>
                              <w:t>l</w:t>
                            </w:r>
                            <w:r w:rsidRPr="009115EB">
                              <w:rPr>
                                <w:rFonts w:asciiTheme="majorHAnsi" w:hAnsiTheme="majorHAnsi"/>
                                <w:color w:val="0D0D0D" w:themeColor="text1" w:themeTint="F2"/>
                                <w:sz w:val="18"/>
                                <w:szCs w:val="22"/>
                                <w:lang w:val="es-AR"/>
                              </w:rPr>
                              <w:t xml:space="preserve"> </w:t>
                            </w:r>
                            <w:r w:rsidR="001F41CC">
                              <w:rPr>
                                <w:rFonts w:asciiTheme="majorHAnsi" w:hAnsiTheme="majorHAnsi"/>
                                <w:color w:val="0D0D0D" w:themeColor="text1" w:themeTint="F2"/>
                                <w:sz w:val="18"/>
                                <w:szCs w:val="22"/>
                                <w:lang w:val="es-AR"/>
                              </w:rPr>
                              <w:t xml:space="preserve">1º </w:t>
                            </w:r>
                            <w:r w:rsidRPr="009115EB">
                              <w:rPr>
                                <w:rFonts w:asciiTheme="majorHAnsi" w:hAnsiTheme="majorHAnsi"/>
                                <w:color w:val="0D0D0D" w:themeColor="text1" w:themeTint="F2"/>
                                <w:sz w:val="18"/>
                                <w:szCs w:val="22"/>
                                <w:lang w:val="es-AR"/>
                              </w:rPr>
                              <w:t xml:space="preserve">de </w:t>
                            </w:r>
                            <w:r w:rsidR="001F41CC">
                              <w:rPr>
                                <w:rFonts w:asciiTheme="majorHAnsi" w:hAnsiTheme="majorHAnsi"/>
                                <w:color w:val="0D0D0D" w:themeColor="text1" w:themeTint="F2"/>
                                <w:sz w:val="18"/>
                                <w:szCs w:val="22"/>
                                <w:lang w:val="es-AR"/>
                              </w:rPr>
                              <w:t>diciembre</w:t>
                            </w:r>
                            <w:r w:rsidRPr="009115EB">
                              <w:rPr>
                                <w:rFonts w:asciiTheme="majorHAnsi" w:hAnsiTheme="majorHAnsi"/>
                                <w:color w:val="0D0D0D" w:themeColor="text1" w:themeTint="F2"/>
                                <w:sz w:val="18"/>
                                <w:szCs w:val="22"/>
                                <w:lang w:val="es-AR"/>
                              </w:rPr>
                              <w:t xml:space="preserve"> de 2021</w:t>
                            </w:r>
                            <w:r w:rsidR="001F41CC">
                              <w:rPr>
                                <w:rFonts w:asciiTheme="majorHAnsi" w:hAnsiTheme="majorHAnsi"/>
                                <w:color w:val="0D0D0D" w:themeColor="text1" w:themeTint="F2"/>
                                <w:sz w:val="18"/>
                                <w:szCs w:val="22"/>
                                <w:lang w:val="es-AR"/>
                              </w:rPr>
                              <w:t>.</w:t>
                            </w:r>
                          </w:p>
                          <w:p w14:paraId="4BDF3581" w14:textId="77777777" w:rsidR="00C605D9" w:rsidRPr="009115EB" w:rsidRDefault="00C605D9"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C605D9" w:rsidRPr="009115EB" w:rsidRDefault="00C605D9" w:rsidP="0059191A">
                            <w:pPr>
                              <w:tabs>
                                <w:tab w:val="center" w:pos="5400"/>
                              </w:tabs>
                              <w:suppressAutoHyphens/>
                              <w:spacing w:before="60"/>
                              <w:rPr>
                                <w:rFonts w:ascii="Calibri" w:hAnsi="Calibri"/>
                                <w:color w:val="FFFFFF" w:themeColor="background1"/>
                                <w:spacing w:val="-2"/>
                                <w:sz w:val="16"/>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6F329C23" w:rsidR="00C605D9" w:rsidRPr="009115EB" w:rsidRDefault="00C605D9" w:rsidP="00DD3D86">
                      <w:pPr>
                        <w:tabs>
                          <w:tab w:val="center" w:pos="5400"/>
                        </w:tabs>
                        <w:suppressAutoHyphens/>
                        <w:spacing w:before="60"/>
                        <w:rPr>
                          <w:rFonts w:asciiTheme="majorHAnsi" w:hAnsiTheme="majorHAnsi"/>
                          <w:color w:val="0D0D0D" w:themeColor="text1" w:themeTint="F2"/>
                          <w:sz w:val="18"/>
                          <w:szCs w:val="22"/>
                          <w:lang w:val="es-AR"/>
                        </w:rPr>
                      </w:pPr>
                      <w:r w:rsidRPr="009115EB">
                        <w:rPr>
                          <w:rFonts w:asciiTheme="majorHAnsi" w:hAnsiTheme="majorHAnsi"/>
                          <w:color w:val="0D0D0D" w:themeColor="text1" w:themeTint="F2"/>
                          <w:sz w:val="18"/>
                          <w:szCs w:val="22"/>
                          <w:lang w:val="es-AR"/>
                        </w:rPr>
                        <w:t>Apro</w:t>
                      </w:r>
                      <w:r>
                        <w:rPr>
                          <w:rFonts w:asciiTheme="majorHAnsi" w:hAnsiTheme="majorHAnsi"/>
                          <w:color w:val="0D0D0D" w:themeColor="text1" w:themeTint="F2"/>
                          <w:sz w:val="18"/>
                          <w:szCs w:val="22"/>
                          <w:lang w:val="es-AR"/>
                        </w:rPr>
                        <w:t>b</w:t>
                      </w:r>
                      <w:r w:rsidRPr="009115EB">
                        <w:rPr>
                          <w:rFonts w:asciiTheme="majorHAnsi" w:hAnsiTheme="majorHAnsi"/>
                          <w:color w:val="0D0D0D" w:themeColor="text1" w:themeTint="F2"/>
                          <w:sz w:val="18"/>
                          <w:szCs w:val="22"/>
                          <w:lang w:val="es-AR"/>
                        </w:rPr>
                        <w:t>ado electrónicamente por la Comisión e</w:t>
                      </w:r>
                      <w:r>
                        <w:rPr>
                          <w:rFonts w:asciiTheme="majorHAnsi" w:hAnsiTheme="majorHAnsi"/>
                          <w:color w:val="0D0D0D" w:themeColor="text1" w:themeTint="F2"/>
                          <w:sz w:val="18"/>
                          <w:szCs w:val="22"/>
                          <w:lang w:val="es-AR"/>
                        </w:rPr>
                        <w:t>l</w:t>
                      </w:r>
                      <w:r w:rsidRPr="009115EB">
                        <w:rPr>
                          <w:rFonts w:asciiTheme="majorHAnsi" w:hAnsiTheme="majorHAnsi"/>
                          <w:color w:val="0D0D0D" w:themeColor="text1" w:themeTint="F2"/>
                          <w:sz w:val="18"/>
                          <w:szCs w:val="22"/>
                          <w:lang w:val="es-AR"/>
                        </w:rPr>
                        <w:t xml:space="preserve"> </w:t>
                      </w:r>
                      <w:r w:rsidR="001F41CC">
                        <w:rPr>
                          <w:rFonts w:asciiTheme="majorHAnsi" w:hAnsiTheme="majorHAnsi"/>
                          <w:color w:val="0D0D0D" w:themeColor="text1" w:themeTint="F2"/>
                          <w:sz w:val="18"/>
                          <w:szCs w:val="22"/>
                          <w:lang w:val="es-AR"/>
                        </w:rPr>
                        <w:t xml:space="preserve">1º </w:t>
                      </w:r>
                      <w:r w:rsidRPr="009115EB">
                        <w:rPr>
                          <w:rFonts w:asciiTheme="majorHAnsi" w:hAnsiTheme="majorHAnsi"/>
                          <w:color w:val="0D0D0D" w:themeColor="text1" w:themeTint="F2"/>
                          <w:sz w:val="18"/>
                          <w:szCs w:val="22"/>
                          <w:lang w:val="es-AR"/>
                        </w:rPr>
                        <w:t xml:space="preserve">de </w:t>
                      </w:r>
                      <w:r w:rsidR="001F41CC">
                        <w:rPr>
                          <w:rFonts w:asciiTheme="majorHAnsi" w:hAnsiTheme="majorHAnsi"/>
                          <w:color w:val="0D0D0D" w:themeColor="text1" w:themeTint="F2"/>
                          <w:sz w:val="18"/>
                          <w:szCs w:val="22"/>
                          <w:lang w:val="es-AR"/>
                        </w:rPr>
                        <w:t>diciembre</w:t>
                      </w:r>
                      <w:r w:rsidRPr="009115EB">
                        <w:rPr>
                          <w:rFonts w:asciiTheme="majorHAnsi" w:hAnsiTheme="majorHAnsi"/>
                          <w:color w:val="0D0D0D" w:themeColor="text1" w:themeTint="F2"/>
                          <w:sz w:val="18"/>
                          <w:szCs w:val="22"/>
                          <w:lang w:val="es-AR"/>
                        </w:rPr>
                        <w:t xml:space="preserve"> de 2021</w:t>
                      </w:r>
                      <w:r w:rsidR="001F41CC">
                        <w:rPr>
                          <w:rFonts w:asciiTheme="majorHAnsi" w:hAnsiTheme="majorHAnsi"/>
                          <w:color w:val="0D0D0D" w:themeColor="text1" w:themeTint="F2"/>
                          <w:sz w:val="18"/>
                          <w:szCs w:val="22"/>
                          <w:lang w:val="es-AR"/>
                        </w:rPr>
                        <w:t>.</w:t>
                      </w:r>
                    </w:p>
                    <w:p w14:paraId="4BDF3581" w14:textId="77777777" w:rsidR="00C605D9" w:rsidRPr="009115EB" w:rsidRDefault="00C605D9" w:rsidP="00247403">
                      <w:pPr>
                        <w:tabs>
                          <w:tab w:val="center" w:pos="5400"/>
                        </w:tabs>
                        <w:suppressAutoHyphens/>
                        <w:spacing w:before="60"/>
                        <w:rPr>
                          <w:rFonts w:asciiTheme="minorHAnsi" w:hAnsiTheme="minorHAnsi" w:cs="Univers"/>
                          <w:color w:val="0D0D0D" w:themeColor="text1" w:themeTint="F2"/>
                          <w:sz w:val="20"/>
                          <w:szCs w:val="20"/>
                          <w:lang w:val="es-AR"/>
                        </w:rPr>
                      </w:pPr>
                    </w:p>
                    <w:p w14:paraId="4D148488" w14:textId="77777777" w:rsidR="00C605D9" w:rsidRPr="009115EB" w:rsidRDefault="00C605D9" w:rsidP="0059191A">
                      <w:pPr>
                        <w:tabs>
                          <w:tab w:val="center" w:pos="5400"/>
                        </w:tabs>
                        <w:suppressAutoHyphens/>
                        <w:spacing w:before="60"/>
                        <w:rPr>
                          <w:rFonts w:ascii="Calibri" w:hAnsi="Calibri"/>
                          <w:color w:val="FFFFFF" w:themeColor="background1"/>
                          <w:spacing w:val="-2"/>
                          <w:sz w:val="16"/>
                          <w:lang w:val="es-AR"/>
                        </w:rPr>
                      </w:pPr>
                    </w:p>
                  </w:txbxContent>
                </v:textbox>
              </v:shape>
            </w:pict>
          </mc:Fallback>
        </mc:AlternateContent>
      </w:r>
    </w:p>
    <w:p w14:paraId="1F28BEBB" w14:textId="77777777" w:rsidR="00A50FCF" w:rsidRPr="003C379E" w:rsidRDefault="00A50FCF" w:rsidP="00040C3A">
      <w:pPr>
        <w:tabs>
          <w:tab w:val="center" w:pos="5400"/>
        </w:tabs>
        <w:suppressAutoHyphens/>
        <w:jc w:val="center"/>
        <w:rPr>
          <w:rFonts w:ascii="Cambria" w:hAnsi="Cambria"/>
          <w:sz w:val="18"/>
          <w:szCs w:val="22"/>
          <w:lang w:val="es-ES"/>
        </w:rPr>
      </w:pPr>
    </w:p>
    <w:p w14:paraId="7929D1FD" w14:textId="77777777" w:rsidR="00A50FCF" w:rsidRPr="003C379E" w:rsidRDefault="00A50FCF" w:rsidP="00040C3A">
      <w:pPr>
        <w:tabs>
          <w:tab w:val="center" w:pos="5400"/>
        </w:tabs>
        <w:suppressAutoHyphens/>
        <w:jc w:val="center"/>
        <w:rPr>
          <w:rFonts w:ascii="Cambria" w:hAnsi="Cambria"/>
          <w:sz w:val="18"/>
          <w:szCs w:val="22"/>
          <w:lang w:val="es-ES"/>
        </w:rPr>
      </w:pPr>
    </w:p>
    <w:p w14:paraId="5469D0BE" w14:textId="77777777" w:rsidR="00A50FCF" w:rsidRPr="003C379E" w:rsidRDefault="00A50FCF" w:rsidP="00040C3A">
      <w:pPr>
        <w:tabs>
          <w:tab w:val="center" w:pos="5400"/>
        </w:tabs>
        <w:suppressAutoHyphens/>
        <w:jc w:val="center"/>
        <w:rPr>
          <w:rFonts w:ascii="Cambria" w:hAnsi="Cambria"/>
          <w:sz w:val="18"/>
          <w:szCs w:val="22"/>
          <w:lang w:val="es-ES"/>
        </w:rPr>
      </w:pPr>
    </w:p>
    <w:p w14:paraId="7A79F059" w14:textId="77777777" w:rsidR="00A50FCF" w:rsidRPr="003C379E" w:rsidRDefault="00A50FCF" w:rsidP="00040C3A">
      <w:pPr>
        <w:tabs>
          <w:tab w:val="center" w:pos="5400"/>
        </w:tabs>
        <w:suppressAutoHyphens/>
        <w:jc w:val="center"/>
        <w:rPr>
          <w:rFonts w:ascii="Cambria" w:hAnsi="Cambria"/>
          <w:sz w:val="18"/>
          <w:szCs w:val="22"/>
          <w:lang w:val="es-ES"/>
        </w:rPr>
      </w:pPr>
    </w:p>
    <w:p w14:paraId="330672AE" w14:textId="77777777" w:rsidR="00A50FCF" w:rsidRPr="003C379E" w:rsidRDefault="0090270B" w:rsidP="00040C3A">
      <w:pPr>
        <w:tabs>
          <w:tab w:val="center" w:pos="5400"/>
        </w:tabs>
        <w:suppressAutoHyphens/>
        <w:jc w:val="center"/>
        <w:rPr>
          <w:rFonts w:ascii="Cambria" w:hAnsi="Cambria"/>
          <w:sz w:val="18"/>
          <w:szCs w:val="22"/>
          <w:lang w:val="es-ES"/>
        </w:rPr>
      </w:pPr>
      <w:r w:rsidRPr="003C379E">
        <w:rPr>
          <w:rFonts w:ascii="Cambria" w:hAnsi="Cambria"/>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0731E4" w:rsidR="00C605D9" w:rsidRPr="00B05EA6" w:rsidRDefault="00C605D9" w:rsidP="00113F73">
                            <w:pPr>
                              <w:spacing w:line="276" w:lineRule="auto"/>
                              <w:rPr>
                                <w:rFonts w:asciiTheme="majorHAnsi" w:hAnsiTheme="majorHAnsi"/>
                                <w:color w:val="595959" w:themeColor="text1" w:themeTint="A6"/>
                                <w:sz w:val="18"/>
                                <w:szCs w:val="18"/>
                                <w:lang w:val="es-AR"/>
                              </w:rPr>
                            </w:pPr>
                            <w:r w:rsidRPr="009115EB">
                              <w:rPr>
                                <w:rFonts w:asciiTheme="majorHAnsi" w:hAnsiTheme="majorHAnsi"/>
                                <w:b/>
                                <w:color w:val="595959" w:themeColor="text1" w:themeTint="A6"/>
                                <w:sz w:val="18"/>
                                <w:szCs w:val="18"/>
                              </w:rPr>
                              <w:t>Citar como:</w:t>
                            </w:r>
                            <w:r w:rsidRPr="009115EB">
                              <w:rPr>
                                <w:rFonts w:asciiTheme="majorHAnsi" w:hAnsiTheme="majorHAnsi"/>
                                <w:color w:val="595959" w:themeColor="text1" w:themeTint="A6"/>
                                <w:sz w:val="18"/>
                                <w:szCs w:val="18"/>
                              </w:rPr>
                              <w:t xml:space="preserve"> CIDH, </w:t>
                            </w:r>
                            <w:r>
                              <w:rPr>
                                <w:rFonts w:asciiTheme="majorHAnsi" w:hAnsiTheme="majorHAnsi"/>
                                <w:color w:val="595959" w:themeColor="text1" w:themeTint="A6"/>
                                <w:sz w:val="18"/>
                                <w:szCs w:val="18"/>
                              </w:rPr>
                              <w:t>Informe</w:t>
                            </w:r>
                            <w:r w:rsidRPr="009115EB">
                              <w:rPr>
                                <w:rFonts w:asciiTheme="majorHAnsi" w:hAnsiTheme="majorHAnsi"/>
                                <w:color w:val="595959" w:themeColor="text1" w:themeTint="A6"/>
                                <w:sz w:val="18"/>
                                <w:szCs w:val="18"/>
                              </w:rPr>
                              <w:t xml:space="preserve"> No. </w:t>
                            </w:r>
                            <w:r w:rsidR="00FE0818" w:rsidRPr="00FE0818">
                              <w:rPr>
                                <w:rFonts w:asciiTheme="majorHAnsi" w:hAnsiTheme="majorHAnsi"/>
                                <w:color w:val="595959" w:themeColor="text1" w:themeTint="A6"/>
                                <w:sz w:val="18"/>
                                <w:szCs w:val="18"/>
                              </w:rPr>
                              <w:t>358</w:t>
                            </w:r>
                            <w:r w:rsidRPr="00FE0818">
                              <w:rPr>
                                <w:rFonts w:asciiTheme="majorHAnsi" w:hAnsiTheme="majorHAnsi"/>
                                <w:color w:val="595959" w:themeColor="text1" w:themeTint="A6"/>
                                <w:sz w:val="18"/>
                                <w:szCs w:val="18"/>
                              </w:rPr>
                              <w:t>/</w:t>
                            </w:r>
                            <w:r w:rsidR="00FE0818" w:rsidRPr="00FE0818">
                              <w:rPr>
                                <w:rFonts w:asciiTheme="majorHAnsi" w:hAnsiTheme="majorHAnsi"/>
                                <w:color w:val="595959" w:themeColor="text1" w:themeTint="A6"/>
                                <w:sz w:val="18"/>
                                <w:szCs w:val="18"/>
                              </w:rPr>
                              <w:t>21</w:t>
                            </w:r>
                            <w:r w:rsidRPr="00FE0818">
                              <w:rPr>
                                <w:rFonts w:asciiTheme="majorHAnsi" w:hAnsiTheme="majorHAnsi"/>
                                <w:color w:val="595959" w:themeColor="text1" w:themeTint="A6"/>
                                <w:sz w:val="18"/>
                                <w:szCs w:val="18"/>
                              </w:rPr>
                              <w:t xml:space="preserve">. </w:t>
                            </w:r>
                            <w:r w:rsidRPr="00B05EA6">
                              <w:rPr>
                                <w:rFonts w:asciiTheme="majorHAnsi" w:hAnsiTheme="majorHAnsi"/>
                                <w:color w:val="595959" w:themeColor="text1" w:themeTint="A6"/>
                                <w:sz w:val="18"/>
                                <w:szCs w:val="18"/>
                                <w:lang w:val="es-AR"/>
                              </w:rPr>
                              <w:t xml:space="preserve">Petición 724-13. Admisibilidad Daniel </w:t>
                            </w:r>
                            <w:proofErr w:type="spellStart"/>
                            <w:r w:rsidRPr="00B05EA6">
                              <w:rPr>
                                <w:rFonts w:asciiTheme="majorHAnsi" w:hAnsiTheme="majorHAnsi"/>
                                <w:color w:val="595959" w:themeColor="text1" w:themeTint="A6"/>
                                <w:sz w:val="18"/>
                                <w:szCs w:val="18"/>
                                <w:lang w:val="es-AR"/>
                              </w:rPr>
                              <w:t>Nitzsche</w:t>
                            </w:r>
                            <w:proofErr w:type="spellEnd"/>
                            <w:r w:rsidRPr="00B05EA6">
                              <w:rPr>
                                <w:rFonts w:asciiTheme="majorHAnsi" w:hAnsiTheme="majorHAnsi"/>
                                <w:color w:val="595959" w:themeColor="text1" w:themeTint="A6"/>
                                <w:sz w:val="18"/>
                                <w:szCs w:val="18"/>
                                <w:lang w:val="es-AR"/>
                              </w:rPr>
                              <w:t xml:space="preserve"> </w:t>
                            </w:r>
                            <w:proofErr w:type="spellStart"/>
                            <w:r w:rsidRPr="00B05EA6">
                              <w:rPr>
                                <w:rFonts w:asciiTheme="majorHAnsi" w:hAnsiTheme="majorHAnsi"/>
                                <w:color w:val="595959" w:themeColor="text1" w:themeTint="A6"/>
                                <w:sz w:val="18"/>
                                <w:szCs w:val="18"/>
                                <w:lang w:val="es-AR"/>
                              </w:rPr>
                              <w:t>Starling</w:t>
                            </w:r>
                            <w:proofErr w:type="spellEnd"/>
                            <w:r w:rsidRPr="00B05EA6">
                              <w:rPr>
                                <w:rFonts w:asciiTheme="majorHAnsi" w:hAnsiTheme="majorHAnsi"/>
                                <w:color w:val="595959" w:themeColor="text1" w:themeTint="A6"/>
                                <w:sz w:val="18"/>
                                <w:szCs w:val="18"/>
                                <w:lang w:val="es-AR"/>
                              </w:rPr>
                              <w:t xml:space="preserve">. Brasil. </w:t>
                            </w:r>
                            <w:r w:rsidR="00FE0818">
                              <w:rPr>
                                <w:rFonts w:asciiTheme="majorHAnsi" w:hAnsiTheme="majorHAnsi"/>
                                <w:color w:val="595959" w:themeColor="text1" w:themeTint="A6"/>
                                <w:sz w:val="18"/>
                                <w:szCs w:val="18"/>
                                <w:lang w:val="es-AR"/>
                              </w:rPr>
                              <w:t>1º de diciembre de 2021</w:t>
                            </w:r>
                            <w:r w:rsidRPr="00B05EA6">
                              <w:rPr>
                                <w:rFonts w:asciiTheme="majorHAnsi" w:hAnsiTheme="majorHAnsi"/>
                                <w:color w:val="595959" w:themeColor="text1" w:themeTint="A6"/>
                                <w:sz w:val="18"/>
                                <w:szCs w:val="18"/>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F0731E4" w:rsidR="00C605D9" w:rsidRPr="00B05EA6" w:rsidRDefault="00C605D9" w:rsidP="00113F73">
                      <w:pPr>
                        <w:spacing w:line="276" w:lineRule="auto"/>
                        <w:rPr>
                          <w:rFonts w:asciiTheme="majorHAnsi" w:hAnsiTheme="majorHAnsi"/>
                          <w:color w:val="595959" w:themeColor="text1" w:themeTint="A6"/>
                          <w:sz w:val="18"/>
                          <w:szCs w:val="18"/>
                          <w:lang w:val="es-AR"/>
                        </w:rPr>
                      </w:pPr>
                      <w:r w:rsidRPr="009115EB">
                        <w:rPr>
                          <w:rFonts w:asciiTheme="majorHAnsi" w:hAnsiTheme="majorHAnsi"/>
                          <w:b/>
                          <w:color w:val="595959" w:themeColor="text1" w:themeTint="A6"/>
                          <w:sz w:val="18"/>
                          <w:szCs w:val="18"/>
                        </w:rPr>
                        <w:t>Citar como:</w:t>
                      </w:r>
                      <w:r w:rsidRPr="009115EB">
                        <w:rPr>
                          <w:rFonts w:asciiTheme="majorHAnsi" w:hAnsiTheme="majorHAnsi"/>
                          <w:color w:val="595959" w:themeColor="text1" w:themeTint="A6"/>
                          <w:sz w:val="18"/>
                          <w:szCs w:val="18"/>
                        </w:rPr>
                        <w:t xml:space="preserve"> CIDH, </w:t>
                      </w:r>
                      <w:r>
                        <w:rPr>
                          <w:rFonts w:asciiTheme="majorHAnsi" w:hAnsiTheme="majorHAnsi"/>
                          <w:color w:val="595959" w:themeColor="text1" w:themeTint="A6"/>
                          <w:sz w:val="18"/>
                          <w:szCs w:val="18"/>
                        </w:rPr>
                        <w:t>Informe</w:t>
                      </w:r>
                      <w:r w:rsidRPr="009115EB">
                        <w:rPr>
                          <w:rFonts w:asciiTheme="majorHAnsi" w:hAnsiTheme="majorHAnsi"/>
                          <w:color w:val="595959" w:themeColor="text1" w:themeTint="A6"/>
                          <w:sz w:val="18"/>
                          <w:szCs w:val="18"/>
                        </w:rPr>
                        <w:t xml:space="preserve"> No. </w:t>
                      </w:r>
                      <w:r w:rsidR="00FE0818" w:rsidRPr="00FE0818">
                        <w:rPr>
                          <w:rFonts w:asciiTheme="majorHAnsi" w:hAnsiTheme="majorHAnsi"/>
                          <w:color w:val="595959" w:themeColor="text1" w:themeTint="A6"/>
                          <w:sz w:val="18"/>
                          <w:szCs w:val="18"/>
                        </w:rPr>
                        <w:t>358</w:t>
                      </w:r>
                      <w:r w:rsidRPr="00FE0818">
                        <w:rPr>
                          <w:rFonts w:asciiTheme="majorHAnsi" w:hAnsiTheme="majorHAnsi"/>
                          <w:color w:val="595959" w:themeColor="text1" w:themeTint="A6"/>
                          <w:sz w:val="18"/>
                          <w:szCs w:val="18"/>
                        </w:rPr>
                        <w:t>/</w:t>
                      </w:r>
                      <w:r w:rsidR="00FE0818" w:rsidRPr="00FE0818">
                        <w:rPr>
                          <w:rFonts w:asciiTheme="majorHAnsi" w:hAnsiTheme="majorHAnsi"/>
                          <w:color w:val="595959" w:themeColor="text1" w:themeTint="A6"/>
                          <w:sz w:val="18"/>
                          <w:szCs w:val="18"/>
                        </w:rPr>
                        <w:t>21</w:t>
                      </w:r>
                      <w:r w:rsidRPr="00FE0818">
                        <w:rPr>
                          <w:rFonts w:asciiTheme="majorHAnsi" w:hAnsiTheme="majorHAnsi"/>
                          <w:color w:val="595959" w:themeColor="text1" w:themeTint="A6"/>
                          <w:sz w:val="18"/>
                          <w:szCs w:val="18"/>
                        </w:rPr>
                        <w:t xml:space="preserve">. </w:t>
                      </w:r>
                      <w:r w:rsidRPr="00B05EA6">
                        <w:rPr>
                          <w:rFonts w:asciiTheme="majorHAnsi" w:hAnsiTheme="majorHAnsi"/>
                          <w:color w:val="595959" w:themeColor="text1" w:themeTint="A6"/>
                          <w:sz w:val="18"/>
                          <w:szCs w:val="18"/>
                          <w:lang w:val="es-AR"/>
                        </w:rPr>
                        <w:t xml:space="preserve">Petición 724-13. Admisibilidad Daniel Nitzsche Starling. Brasil. </w:t>
                      </w:r>
                      <w:r w:rsidR="00FE0818">
                        <w:rPr>
                          <w:rFonts w:asciiTheme="majorHAnsi" w:hAnsiTheme="majorHAnsi"/>
                          <w:color w:val="595959" w:themeColor="text1" w:themeTint="A6"/>
                          <w:sz w:val="18"/>
                          <w:szCs w:val="18"/>
                          <w:lang w:val="es-AR"/>
                        </w:rPr>
                        <w:t>1º de diciembre de 2021</w:t>
                      </w:r>
                      <w:r w:rsidRPr="00B05EA6">
                        <w:rPr>
                          <w:rFonts w:asciiTheme="majorHAnsi" w:hAnsiTheme="majorHAnsi"/>
                          <w:color w:val="595959" w:themeColor="text1" w:themeTint="A6"/>
                          <w:sz w:val="18"/>
                          <w:szCs w:val="18"/>
                          <w:lang w:val="es-AR"/>
                        </w:rPr>
                        <w:t>.</w:t>
                      </w:r>
                    </w:p>
                  </w:txbxContent>
                </v:textbox>
              </v:shape>
            </w:pict>
          </mc:Fallback>
        </mc:AlternateContent>
      </w:r>
    </w:p>
    <w:p w14:paraId="196A49DE" w14:textId="77777777" w:rsidR="00A50FCF" w:rsidRPr="003C379E" w:rsidRDefault="00A50FCF" w:rsidP="00040C3A">
      <w:pPr>
        <w:tabs>
          <w:tab w:val="center" w:pos="5400"/>
        </w:tabs>
        <w:suppressAutoHyphens/>
        <w:jc w:val="center"/>
        <w:rPr>
          <w:rFonts w:ascii="Cambria" w:hAnsi="Cambria"/>
          <w:sz w:val="18"/>
          <w:szCs w:val="22"/>
          <w:lang w:val="es-ES"/>
        </w:rPr>
      </w:pPr>
    </w:p>
    <w:p w14:paraId="1DA07629" w14:textId="77777777" w:rsidR="0090270B" w:rsidRPr="003C379E" w:rsidRDefault="00D306D1" w:rsidP="005516A1">
      <w:pPr>
        <w:tabs>
          <w:tab w:val="center" w:pos="5400"/>
        </w:tabs>
        <w:suppressAutoHyphens/>
        <w:jc w:val="center"/>
        <w:rPr>
          <w:rFonts w:ascii="Cambria" w:hAnsi="Cambria"/>
          <w:b/>
          <w:sz w:val="20"/>
          <w:lang w:val="es-ES"/>
        </w:rPr>
      </w:pPr>
      <w:r w:rsidRPr="003C379E">
        <w:rPr>
          <w:rFonts w:ascii="Cambria" w:hAnsi="Cambria"/>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C605D9" w:rsidRPr="00D72DC6" w:rsidRDefault="00C605D9"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706E30E1">
                                  <wp:extent cx="1998646" cy="51625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a:stretch>
                                            <a:fillRect/>
                                          </a:stretch>
                                        </pic:blipFill>
                                        <pic:spPr bwMode="auto">
                                          <a:xfrm>
                                            <a:off x="0" y="0"/>
                                            <a:ext cx="2005191" cy="5179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77777777" w:rsidR="00C605D9" w:rsidRPr="00D72DC6" w:rsidRDefault="00C605D9" w:rsidP="00F02AD1">
                      <w:pPr>
                        <w:rPr>
                          <w:color w:val="FFFFFF" w:themeColor="background1"/>
                          <w14:textFill>
                            <w14:noFill/>
                          </w14:textFill>
                        </w:rPr>
                      </w:pPr>
                      <w:r w:rsidRPr="00D72DC6">
                        <w:rPr>
                          <w:noProof/>
                          <w:color w:val="FFFFFF" w:themeColor="background1"/>
                          <w:lang w:val="en-US" w:eastAsia="en-US"/>
                          <w14:textFill>
                            <w14:noFill/>
                          </w14:textFill>
                        </w:rPr>
                        <w:drawing>
                          <wp:inline distT="0" distB="0" distL="0" distR="0" wp14:anchorId="266F0A37" wp14:editId="706E30E1">
                            <wp:extent cx="1998646" cy="51625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stretch>
                                      <a:fillRect/>
                                    </a:stretch>
                                  </pic:blipFill>
                                  <pic:spPr bwMode="auto">
                                    <a:xfrm>
                                      <a:off x="0" y="0"/>
                                      <a:ext cx="2005191" cy="517946"/>
                                    </a:xfrm>
                                    <a:prstGeom prst="rect">
                                      <a:avLst/>
                                    </a:prstGeom>
                                    <a:noFill/>
                                    <a:ln>
                                      <a:noFill/>
                                    </a:ln>
                                  </pic:spPr>
                                </pic:pic>
                              </a:graphicData>
                            </a:graphic>
                          </wp:inline>
                        </w:drawing>
                      </w:r>
                    </w:p>
                  </w:txbxContent>
                </v:textbox>
              </v:shape>
            </w:pict>
          </mc:Fallback>
        </mc:AlternateContent>
      </w:r>
      <w:r w:rsidRPr="003C379E">
        <w:rPr>
          <w:rFonts w:ascii="Cambria" w:hAnsi="Cambria"/>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605D9" w:rsidRPr="001F41CC" w:rsidRDefault="00C605D9" w:rsidP="00D306D1">
                            <w:pPr>
                              <w:jc w:val="center"/>
                              <w:rPr>
                                <w:rFonts w:asciiTheme="minorHAnsi" w:hAnsiTheme="minorHAnsi"/>
                                <w:b/>
                                <w:color w:val="FFFFFF" w:themeColor="background1"/>
                              </w:rPr>
                            </w:pPr>
                            <w:r w:rsidRPr="001F41CC">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C605D9" w:rsidRPr="001F41CC" w:rsidRDefault="00C605D9" w:rsidP="00D306D1">
                      <w:pPr>
                        <w:jc w:val="center"/>
                        <w:rPr>
                          <w:rFonts w:asciiTheme="minorHAnsi" w:hAnsiTheme="minorHAnsi"/>
                          <w:b/>
                          <w:color w:val="FFFFFF" w:themeColor="background1"/>
                        </w:rPr>
                      </w:pPr>
                      <w:r w:rsidRPr="001F41CC">
                        <w:rPr>
                          <w:rFonts w:asciiTheme="minorHAnsi" w:hAnsiTheme="minorHAnsi"/>
                          <w:b/>
                          <w:color w:val="FFFFFF" w:themeColor="background1"/>
                        </w:rPr>
                        <w:t>www.cidh.org</w:t>
                      </w:r>
                    </w:p>
                  </w:txbxContent>
                </v:textbox>
              </v:shape>
            </w:pict>
          </mc:Fallback>
        </mc:AlternateContent>
      </w:r>
    </w:p>
    <w:p w14:paraId="2FE1B253" w14:textId="4E43B8E7" w:rsidR="0070697F" w:rsidRPr="003C379E" w:rsidRDefault="004A6A54" w:rsidP="005516A1">
      <w:pPr>
        <w:tabs>
          <w:tab w:val="center" w:pos="5400"/>
        </w:tabs>
        <w:suppressAutoHyphens/>
        <w:jc w:val="center"/>
        <w:rPr>
          <w:rFonts w:ascii="Cambria" w:hAnsi="Cambria"/>
          <w:b/>
          <w:sz w:val="20"/>
          <w:lang w:val="es-ES"/>
        </w:rPr>
        <w:sectPr w:rsidR="0070697F" w:rsidRPr="003C379E"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sidRPr="003C379E">
        <w:rPr>
          <w:rFonts w:ascii="Cambria" w:hAnsi="Cambria"/>
          <w:b/>
          <w:sz w:val="20"/>
          <w:lang w:val="es-ES"/>
        </w:rPr>
        <w:tab/>
      </w:r>
    </w:p>
    <w:p w14:paraId="376DDC8B" w14:textId="1E95184D" w:rsidR="003239B8" w:rsidRPr="003C379E" w:rsidRDefault="00A37F2E" w:rsidP="004A6A54">
      <w:pPr>
        <w:spacing w:after="240"/>
        <w:ind w:firstLine="720"/>
        <w:jc w:val="both"/>
        <w:rPr>
          <w:rFonts w:ascii="Cambria" w:hAnsi="Cambria"/>
          <w:b/>
          <w:bCs/>
          <w:sz w:val="20"/>
          <w:szCs w:val="20"/>
          <w:lang w:val="es-ES"/>
        </w:rPr>
      </w:pPr>
      <w:r w:rsidRPr="003C379E">
        <w:rPr>
          <w:rFonts w:ascii="Cambria" w:hAnsi="Cambria"/>
          <w:b/>
          <w:bCs/>
          <w:sz w:val="20"/>
          <w:szCs w:val="20"/>
          <w:lang w:val="es-ES"/>
        </w:rPr>
        <w:lastRenderedPageBreak/>
        <w:t>I.</w:t>
      </w:r>
      <w:r w:rsidRPr="003C379E">
        <w:rPr>
          <w:rFonts w:ascii="Cambria" w:hAnsi="Cambria"/>
          <w:b/>
          <w:bCs/>
          <w:sz w:val="20"/>
          <w:szCs w:val="20"/>
          <w:lang w:val="es-ES"/>
        </w:rPr>
        <w:tab/>
      </w:r>
      <w:r w:rsidR="00BF6A21" w:rsidRPr="003C379E">
        <w:rPr>
          <w:rFonts w:ascii="Cambria" w:hAnsi="Cambria"/>
          <w:b/>
          <w:bCs/>
          <w:sz w:val="20"/>
          <w:szCs w:val="20"/>
          <w:lang w:val="es-ES"/>
        </w:rPr>
        <w:t>DATOS</w:t>
      </w:r>
      <w:r w:rsidR="003239B8" w:rsidRPr="003C379E">
        <w:rPr>
          <w:rFonts w:ascii="Cambria" w:hAnsi="Cambria"/>
          <w:b/>
          <w:bCs/>
          <w:sz w:val="20"/>
          <w:szCs w:val="20"/>
          <w:lang w:val="es-ES"/>
        </w:rPr>
        <w:t xml:space="preserve"> </w:t>
      </w:r>
      <w:r w:rsidR="009115EB" w:rsidRPr="003C379E">
        <w:rPr>
          <w:rFonts w:ascii="Cambria" w:hAnsi="Cambria"/>
          <w:b/>
          <w:bCs/>
          <w:sz w:val="20"/>
          <w:szCs w:val="20"/>
          <w:lang w:val="es-ES"/>
        </w:rPr>
        <w:t xml:space="preserve">DE </w:t>
      </w:r>
      <w:r w:rsidR="00B6265D" w:rsidRPr="003C379E">
        <w:rPr>
          <w:rFonts w:ascii="Cambria" w:hAnsi="Cambria"/>
          <w:b/>
          <w:bCs/>
          <w:sz w:val="20"/>
          <w:szCs w:val="20"/>
          <w:lang w:val="es-ES"/>
        </w:rPr>
        <w:t xml:space="preserve">LA </w:t>
      </w:r>
      <w:r w:rsidRPr="003C379E">
        <w:rPr>
          <w:rFonts w:ascii="Cambria" w:hAnsi="Cambria"/>
          <w:b/>
          <w:bCs/>
          <w:sz w:val="20"/>
          <w:szCs w:val="20"/>
          <w:lang w:val="es-ES"/>
        </w:rPr>
        <w:t>PETI</w:t>
      </w:r>
      <w:r w:rsidR="009115EB" w:rsidRPr="003C379E">
        <w:rPr>
          <w:rFonts w:ascii="Cambria" w:hAnsi="Cambria"/>
          <w:b/>
          <w:bCs/>
          <w:sz w:val="20"/>
          <w:szCs w:val="20"/>
          <w:lang w:val="es-ES"/>
        </w:rPr>
        <w:t>CIÓN</w:t>
      </w:r>
      <w:r w:rsidR="003239B8" w:rsidRPr="003C379E">
        <w:rPr>
          <w:rFonts w:ascii="Cambria" w:hAnsi="Cambria"/>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F41CC" w14:paraId="5A79D1F7" w14:textId="77777777" w:rsidTr="00F3289A">
        <w:tc>
          <w:tcPr>
            <w:tcW w:w="3600" w:type="dxa"/>
            <w:tcBorders>
              <w:top w:val="single" w:sz="4" w:space="0" w:color="auto"/>
              <w:bottom w:val="single" w:sz="6" w:space="0" w:color="auto"/>
            </w:tcBorders>
            <w:shd w:val="clear" w:color="auto" w:fill="4A7194"/>
            <w:vAlign w:val="center"/>
          </w:tcPr>
          <w:p w14:paraId="0CB2A43B" w14:textId="3E9FA0D2" w:rsidR="003239B8" w:rsidRPr="00FE0818" w:rsidRDefault="00A37F2E"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Parte peticion</w:t>
            </w:r>
            <w:r w:rsidR="009115EB" w:rsidRPr="00FE0818">
              <w:rPr>
                <w:rFonts w:ascii="Cambria" w:hAnsi="Cambria"/>
                <w:b/>
                <w:bCs/>
                <w:color w:val="FFFFFF" w:themeColor="background1"/>
                <w:sz w:val="20"/>
                <w:szCs w:val="20"/>
                <w:lang w:val="es-ES"/>
              </w:rPr>
              <w:t>aria</w:t>
            </w:r>
            <w:r w:rsidR="003239B8" w:rsidRPr="00FE0818">
              <w:rPr>
                <w:rFonts w:ascii="Cambria" w:hAnsi="Cambria"/>
                <w:b/>
                <w:bCs/>
                <w:color w:val="FFFFFF" w:themeColor="background1"/>
                <w:sz w:val="20"/>
                <w:szCs w:val="20"/>
                <w:lang w:val="es-ES"/>
              </w:rPr>
              <w:t>:</w:t>
            </w:r>
          </w:p>
        </w:tc>
        <w:tc>
          <w:tcPr>
            <w:tcW w:w="5760" w:type="dxa"/>
            <w:vAlign w:val="center"/>
          </w:tcPr>
          <w:p w14:paraId="3C5315D8" w14:textId="7F9D122E" w:rsidR="003239B8" w:rsidRPr="003C379E" w:rsidRDefault="00B30B5A" w:rsidP="00BE3651">
            <w:pPr>
              <w:jc w:val="both"/>
              <w:rPr>
                <w:rFonts w:ascii="Cambria" w:hAnsi="Cambria"/>
                <w:bCs/>
                <w:sz w:val="20"/>
                <w:szCs w:val="20"/>
                <w:lang w:val="es-ES"/>
              </w:rPr>
            </w:pPr>
            <w:r w:rsidRPr="003C379E">
              <w:rPr>
                <w:rFonts w:ascii="Cambria" w:hAnsi="Cambria"/>
                <w:bCs/>
                <w:sz w:val="20"/>
                <w:szCs w:val="20"/>
                <w:lang w:val="es-ES"/>
              </w:rPr>
              <w:t>Defensorí</w:t>
            </w:r>
            <w:r w:rsidR="004C4E99" w:rsidRPr="003C379E">
              <w:rPr>
                <w:rFonts w:ascii="Cambria" w:hAnsi="Cambria"/>
                <w:bCs/>
                <w:sz w:val="20"/>
                <w:szCs w:val="20"/>
                <w:lang w:val="es-ES"/>
              </w:rPr>
              <w:t xml:space="preserve">a Pública </w:t>
            </w:r>
            <w:r w:rsidR="009115EB" w:rsidRPr="003C379E">
              <w:rPr>
                <w:rFonts w:ascii="Cambria" w:hAnsi="Cambria"/>
                <w:bCs/>
                <w:sz w:val="20"/>
                <w:szCs w:val="20"/>
                <w:lang w:val="es-ES"/>
              </w:rPr>
              <w:t>de la</w:t>
            </w:r>
            <w:r w:rsidR="005C6A83" w:rsidRPr="003C379E">
              <w:rPr>
                <w:rFonts w:ascii="Cambria" w:hAnsi="Cambria"/>
                <w:bCs/>
                <w:sz w:val="20"/>
                <w:szCs w:val="20"/>
                <w:lang w:val="es-ES"/>
              </w:rPr>
              <w:t xml:space="preserve"> Unión</w:t>
            </w:r>
            <w:r w:rsidR="004C4E99" w:rsidRPr="003C379E">
              <w:rPr>
                <w:rFonts w:ascii="Cambria" w:hAnsi="Cambria"/>
                <w:bCs/>
                <w:sz w:val="20"/>
                <w:szCs w:val="20"/>
                <w:lang w:val="es-ES"/>
              </w:rPr>
              <w:t xml:space="preserve"> </w:t>
            </w:r>
          </w:p>
        </w:tc>
      </w:tr>
      <w:tr w:rsidR="003239B8" w:rsidRPr="003C379E" w14:paraId="593A7E45" w14:textId="77777777" w:rsidTr="00F3289A">
        <w:tc>
          <w:tcPr>
            <w:tcW w:w="3600" w:type="dxa"/>
            <w:tcBorders>
              <w:top w:val="single" w:sz="6" w:space="0" w:color="auto"/>
              <w:bottom w:val="single" w:sz="6" w:space="0" w:color="auto"/>
            </w:tcBorders>
            <w:shd w:val="clear" w:color="auto" w:fill="4A7194"/>
            <w:vAlign w:val="center"/>
          </w:tcPr>
          <w:p w14:paraId="0E78CA0C" w14:textId="5D11B0E5" w:rsidR="003239B8" w:rsidRPr="00FE0818" w:rsidRDefault="00B05EA6"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Presunta v</w:t>
            </w:r>
            <w:r w:rsidR="009115EB" w:rsidRPr="00FE0818">
              <w:rPr>
                <w:rFonts w:ascii="Cambria" w:hAnsi="Cambria"/>
                <w:b/>
                <w:bCs/>
                <w:color w:val="FFFFFF" w:themeColor="background1"/>
                <w:sz w:val="20"/>
                <w:szCs w:val="20"/>
                <w:lang w:val="es-ES"/>
              </w:rPr>
              <w:t>íctima</w:t>
            </w:r>
            <w:r w:rsidR="003239B8" w:rsidRPr="00FE0818">
              <w:rPr>
                <w:rFonts w:ascii="Cambria" w:hAnsi="Cambria"/>
                <w:b/>
                <w:bCs/>
                <w:color w:val="FFFFFF" w:themeColor="background1"/>
                <w:sz w:val="20"/>
                <w:szCs w:val="20"/>
                <w:lang w:val="es-ES"/>
              </w:rPr>
              <w:t>:</w:t>
            </w:r>
          </w:p>
        </w:tc>
        <w:tc>
          <w:tcPr>
            <w:tcW w:w="5760" w:type="dxa"/>
            <w:vAlign w:val="center"/>
          </w:tcPr>
          <w:p w14:paraId="4AEBF59E" w14:textId="2FD05BE7" w:rsidR="003239B8" w:rsidRPr="003C379E" w:rsidRDefault="004C4E99" w:rsidP="009115EB">
            <w:pPr>
              <w:jc w:val="both"/>
              <w:rPr>
                <w:rFonts w:ascii="Cambria" w:hAnsi="Cambria"/>
                <w:bCs/>
                <w:sz w:val="20"/>
                <w:szCs w:val="20"/>
                <w:lang w:val="es-ES"/>
              </w:rPr>
            </w:pPr>
            <w:r w:rsidRPr="003C379E">
              <w:rPr>
                <w:rFonts w:ascii="Cambria" w:hAnsi="Cambria"/>
                <w:bCs/>
                <w:sz w:val="20"/>
                <w:szCs w:val="20"/>
                <w:lang w:val="es-ES"/>
              </w:rPr>
              <w:t>Daniel Nitzsche Starling</w:t>
            </w:r>
          </w:p>
        </w:tc>
      </w:tr>
      <w:tr w:rsidR="003239B8" w:rsidRPr="003C379E" w14:paraId="3E62E1D3" w14:textId="77777777" w:rsidTr="00F3289A">
        <w:tc>
          <w:tcPr>
            <w:tcW w:w="3600" w:type="dxa"/>
            <w:tcBorders>
              <w:top w:val="single" w:sz="6" w:space="0" w:color="auto"/>
              <w:bottom w:val="single" w:sz="6" w:space="0" w:color="auto"/>
            </w:tcBorders>
            <w:shd w:val="clear" w:color="auto" w:fill="4A7194"/>
            <w:vAlign w:val="center"/>
          </w:tcPr>
          <w:p w14:paraId="340B0F09" w14:textId="77777777" w:rsidR="003239B8" w:rsidRPr="00FE0818" w:rsidRDefault="003239B8"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Estado denunciado:</w:t>
            </w:r>
          </w:p>
        </w:tc>
        <w:tc>
          <w:tcPr>
            <w:tcW w:w="5760" w:type="dxa"/>
            <w:vAlign w:val="center"/>
          </w:tcPr>
          <w:p w14:paraId="274C8A50" w14:textId="0B30EFC8" w:rsidR="003239B8" w:rsidRPr="003C379E" w:rsidRDefault="006A20E7" w:rsidP="009115EB">
            <w:pPr>
              <w:jc w:val="both"/>
              <w:rPr>
                <w:rFonts w:ascii="Cambria" w:hAnsi="Cambria"/>
                <w:bCs/>
                <w:sz w:val="20"/>
                <w:szCs w:val="20"/>
                <w:lang w:val="es-ES"/>
              </w:rPr>
            </w:pPr>
            <w:r w:rsidRPr="003C379E">
              <w:rPr>
                <w:rFonts w:ascii="Cambria" w:hAnsi="Cambria"/>
                <w:bCs/>
                <w:sz w:val="20"/>
                <w:szCs w:val="20"/>
                <w:lang w:val="es-ES"/>
              </w:rPr>
              <w:t>Brasil</w:t>
            </w:r>
            <w:r w:rsidR="004A6A54" w:rsidRPr="003C379E">
              <w:rPr>
                <w:rStyle w:val="FootnoteReference"/>
                <w:rFonts w:ascii="Cambria" w:hAnsi="Cambria"/>
                <w:bCs/>
                <w:sz w:val="20"/>
                <w:szCs w:val="20"/>
                <w:lang w:val="es-ES"/>
              </w:rPr>
              <w:footnoteReference w:id="2"/>
            </w:r>
          </w:p>
        </w:tc>
      </w:tr>
      <w:tr w:rsidR="00223A29" w:rsidRPr="001F41CC" w14:paraId="632511BC" w14:textId="77777777" w:rsidTr="00F3289A">
        <w:tc>
          <w:tcPr>
            <w:tcW w:w="3600" w:type="dxa"/>
            <w:tcBorders>
              <w:top w:val="single" w:sz="6" w:space="0" w:color="auto"/>
              <w:bottom w:val="single" w:sz="6" w:space="0" w:color="auto"/>
            </w:tcBorders>
            <w:shd w:val="clear" w:color="auto" w:fill="4A7194"/>
            <w:vAlign w:val="center"/>
          </w:tcPr>
          <w:p w14:paraId="727E2F6B" w14:textId="71005E3A" w:rsidR="00223A29" w:rsidRPr="00FE0818" w:rsidRDefault="009115EB" w:rsidP="00271B24">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Derech</w:t>
            </w:r>
            <w:r w:rsidR="00A37F2E" w:rsidRPr="00FE0818">
              <w:rPr>
                <w:rFonts w:ascii="Cambria" w:hAnsi="Cambria"/>
                <w:b/>
                <w:bCs/>
                <w:color w:val="FFFFFF" w:themeColor="background1"/>
                <w:sz w:val="20"/>
                <w:szCs w:val="20"/>
                <w:lang w:val="es-ES"/>
              </w:rPr>
              <w:t>os</w:t>
            </w:r>
            <w:r w:rsidR="001B3A00" w:rsidRPr="00FE0818">
              <w:rPr>
                <w:rFonts w:ascii="Cambria" w:hAnsi="Cambria"/>
                <w:b/>
                <w:bCs/>
                <w:color w:val="FFFFFF" w:themeColor="background1"/>
                <w:sz w:val="20"/>
                <w:szCs w:val="20"/>
                <w:lang w:val="es-ES"/>
              </w:rPr>
              <w:t xml:space="preserve"> </w:t>
            </w:r>
            <w:r w:rsidR="00271B24" w:rsidRPr="00FE0818">
              <w:rPr>
                <w:rFonts w:ascii="Cambria" w:hAnsi="Cambria"/>
                <w:b/>
                <w:bCs/>
                <w:color w:val="FFFFFF" w:themeColor="background1"/>
                <w:sz w:val="20"/>
                <w:szCs w:val="20"/>
                <w:lang w:val="es-ES"/>
              </w:rPr>
              <w:t>invocados</w:t>
            </w:r>
            <w:r w:rsidR="001B3A00" w:rsidRPr="00FE0818">
              <w:rPr>
                <w:rFonts w:ascii="Cambria" w:hAnsi="Cambria"/>
                <w:b/>
                <w:bCs/>
                <w:color w:val="FFFFFF" w:themeColor="background1"/>
                <w:sz w:val="20"/>
                <w:szCs w:val="20"/>
                <w:lang w:val="es-ES"/>
              </w:rPr>
              <w:t>:</w:t>
            </w:r>
          </w:p>
        </w:tc>
        <w:tc>
          <w:tcPr>
            <w:tcW w:w="5760" w:type="dxa"/>
            <w:vAlign w:val="center"/>
          </w:tcPr>
          <w:p w14:paraId="6DEE1EEB" w14:textId="76501203" w:rsidR="00223A29" w:rsidRPr="003C379E" w:rsidRDefault="009115EB" w:rsidP="00C95A33">
            <w:pPr>
              <w:jc w:val="both"/>
              <w:rPr>
                <w:rFonts w:ascii="Cambria" w:hAnsi="Cambria"/>
                <w:bCs/>
                <w:sz w:val="20"/>
                <w:szCs w:val="20"/>
                <w:lang w:val="es-ES"/>
              </w:rPr>
            </w:pPr>
            <w:r w:rsidRPr="003C379E">
              <w:rPr>
                <w:rFonts w:ascii="Cambria" w:hAnsi="Cambria"/>
                <w:bCs/>
                <w:sz w:val="20"/>
                <w:szCs w:val="20"/>
                <w:lang w:val="es-ES"/>
              </w:rPr>
              <w:t>Artículo</w:t>
            </w:r>
            <w:r w:rsidR="004C4E99" w:rsidRPr="003C379E">
              <w:rPr>
                <w:rFonts w:ascii="Cambria" w:hAnsi="Cambria"/>
                <w:bCs/>
                <w:sz w:val="20"/>
                <w:szCs w:val="20"/>
                <w:lang w:val="es-ES"/>
              </w:rPr>
              <w:t xml:space="preserve">s </w:t>
            </w:r>
            <w:r w:rsidR="008B38C7" w:rsidRPr="003C379E">
              <w:rPr>
                <w:rFonts w:ascii="Cambria" w:hAnsi="Cambria"/>
                <w:bCs/>
                <w:sz w:val="20"/>
                <w:szCs w:val="20"/>
                <w:lang w:val="es-ES"/>
              </w:rPr>
              <w:t>5 (integri</w:t>
            </w:r>
            <w:r w:rsidRPr="003C379E">
              <w:rPr>
                <w:rFonts w:ascii="Cambria" w:hAnsi="Cambria"/>
                <w:bCs/>
                <w:sz w:val="20"/>
                <w:szCs w:val="20"/>
                <w:lang w:val="es-ES"/>
              </w:rPr>
              <w:t>dad persona</w:t>
            </w:r>
            <w:r w:rsidR="008B38C7" w:rsidRPr="003C379E">
              <w:rPr>
                <w:rFonts w:ascii="Cambria" w:hAnsi="Cambria"/>
                <w:bCs/>
                <w:sz w:val="20"/>
                <w:szCs w:val="20"/>
                <w:lang w:val="es-ES"/>
              </w:rPr>
              <w:t xml:space="preserve">l), </w:t>
            </w:r>
            <w:r w:rsidR="004C4E99" w:rsidRPr="003C379E">
              <w:rPr>
                <w:rFonts w:ascii="Cambria" w:hAnsi="Cambria"/>
                <w:bCs/>
                <w:sz w:val="20"/>
                <w:szCs w:val="20"/>
                <w:lang w:val="es-ES"/>
              </w:rPr>
              <w:t>7</w:t>
            </w:r>
            <w:r w:rsidR="00D92116" w:rsidRPr="003C379E">
              <w:rPr>
                <w:rFonts w:ascii="Cambria" w:hAnsi="Cambria"/>
                <w:bCs/>
                <w:sz w:val="20"/>
                <w:szCs w:val="20"/>
                <w:lang w:val="es-ES"/>
              </w:rPr>
              <w:t xml:space="preserve"> (</w:t>
            </w:r>
            <w:r w:rsidRPr="003C379E">
              <w:rPr>
                <w:rFonts w:ascii="Cambria" w:hAnsi="Cambria"/>
                <w:bCs/>
                <w:sz w:val="20"/>
                <w:szCs w:val="20"/>
                <w:lang w:val="es-ES"/>
              </w:rPr>
              <w:t>libertad persona</w:t>
            </w:r>
            <w:r w:rsidR="00D92116" w:rsidRPr="003C379E">
              <w:rPr>
                <w:rFonts w:ascii="Cambria" w:hAnsi="Cambria"/>
                <w:bCs/>
                <w:sz w:val="20"/>
                <w:szCs w:val="20"/>
                <w:lang w:val="es-ES"/>
              </w:rPr>
              <w:t>l)</w:t>
            </w:r>
            <w:r w:rsidR="008B38C7" w:rsidRPr="003C379E">
              <w:rPr>
                <w:rFonts w:ascii="Cambria" w:hAnsi="Cambria"/>
                <w:bCs/>
                <w:sz w:val="20"/>
                <w:szCs w:val="20"/>
                <w:lang w:val="es-ES"/>
              </w:rPr>
              <w:t>, 10 (</w:t>
            </w:r>
            <w:r w:rsidRPr="003C379E">
              <w:rPr>
                <w:rFonts w:ascii="Cambria" w:hAnsi="Cambria"/>
                <w:bCs/>
                <w:sz w:val="20"/>
                <w:szCs w:val="20"/>
                <w:lang w:val="es-ES"/>
              </w:rPr>
              <w:t>indemniz</w:t>
            </w:r>
            <w:r w:rsidR="008B38C7" w:rsidRPr="003C379E">
              <w:rPr>
                <w:rFonts w:ascii="Cambria" w:hAnsi="Cambria"/>
                <w:bCs/>
                <w:sz w:val="20"/>
                <w:szCs w:val="20"/>
                <w:lang w:val="es-ES"/>
              </w:rPr>
              <w:t>a</w:t>
            </w:r>
            <w:r w:rsidRPr="003C379E">
              <w:rPr>
                <w:rFonts w:ascii="Cambria" w:hAnsi="Cambria"/>
                <w:bCs/>
                <w:sz w:val="20"/>
                <w:szCs w:val="20"/>
                <w:lang w:val="es-ES"/>
              </w:rPr>
              <w:t>ción</w:t>
            </w:r>
            <w:r w:rsidR="008B38C7" w:rsidRPr="003C379E">
              <w:rPr>
                <w:rFonts w:ascii="Cambria" w:hAnsi="Cambria"/>
                <w:bCs/>
                <w:sz w:val="20"/>
                <w:szCs w:val="20"/>
                <w:lang w:val="es-ES"/>
              </w:rPr>
              <w:t xml:space="preserve">) </w:t>
            </w:r>
            <w:r w:rsidRPr="003C379E">
              <w:rPr>
                <w:rFonts w:ascii="Cambria" w:hAnsi="Cambria"/>
                <w:bCs/>
                <w:sz w:val="20"/>
                <w:szCs w:val="20"/>
                <w:lang w:val="es-ES"/>
              </w:rPr>
              <w:t>y</w:t>
            </w:r>
            <w:r w:rsidR="004C4E99" w:rsidRPr="003C379E">
              <w:rPr>
                <w:rFonts w:ascii="Cambria" w:hAnsi="Cambria"/>
                <w:bCs/>
                <w:sz w:val="20"/>
                <w:szCs w:val="20"/>
                <w:lang w:val="es-ES"/>
              </w:rPr>
              <w:t xml:space="preserve"> 13</w:t>
            </w:r>
            <w:r w:rsidR="00D92116" w:rsidRPr="003C379E">
              <w:rPr>
                <w:rFonts w:ascii="Cambria" w:hAnsi="Cambria"/>
                <w:bCs/>
                <w:sz w:val="20"/>
                <w:szCs w:val="20"/>
                <w:lang w:val="es-ES"/>
              </w:rPr>
              <w:t xml:space="preserve"> (</w:t>
            </w:r>
            <w:r w:rsidRPr="003C379E">
              <w:rPr>
                <w:rFonts w:ascii="Cambria" w:hAnsi="Cambria"/>
                <w:bCs/>
                <w:sz w:val="20"/>
                <w:szCs w:val="20"/>
                <w:lang w:val="es-ES"/>
              </w:rPr>
              <w:t xml:space="preserve">libertad </w:t>
            </w:r>
            <w:r w:rsidR="00D92116" w:rsidRPr="003C379E">
              <w:rPr>
                <w:rFonts w:ascii="Cambria" w:hAnsi="Cambria"/>
                <w:bCs/>
                <w:sz w:val="20"/>
                <w:szCs w:val="20"/>
                <w:lang w:val="es-ES"/>
              </w:rPr>
              <w:t>de pensam</w:t>
            </w:r>
            <w:r w:rsidR="00B30B5A" w:rsidRPr="003C379E">
              <w:rPr>
                <w:rFonts w:ascii="Cambria" w:hAnsi="Cambria"/>
                <w:bCs/>
                <w:sz w:val="20"/>
                <w:szCs w:val="20"/>
                <w:lang w:val="es-ES"/>
              </w:rPr>
              <w:t>i</w:t>
            </w:r>
            <w:r w:rsidR="00D92116" w:rsidRPr="003C379E">
              <w:rPr>
                <w:rFonts w:ascii="Cambria" w:hAnsi="Cambria"/>
                <w:bCs/>
                <w:sz w:val="20"/>
                <w:szCs w:val="20"/>
                <w:lang w:val="es-ES"/>
              </w:rPr>
              <w:t xml:space="preserve">ento </w:t>
            </w:r>
            <w:r w:rsidRPr="003C379E">
              <w:rPr>
                <w:rFonts w:ascii="Cambria" w:hAnsi="Cambria"/>
                <w:bCs/>
                <w:sz w:val="20"/>
                <w:szCs w:val="20"/>
                <w:lang w:val="es-ES"/>
              </w:rPr>
              <w:t>y</w:t>
            </w:r>
            <w:r w:rsidR="00D92116" w:rsidRPr="003C379E">
              <w:rPr>
                <w:rFonts w:ascii="Cambria" w:hAnsi="Cambria"/>
                <w:bCs/>
                <w:sz w:val="20"/>
                <w:szCs w:val="20"/>
                <w:lang w:val="es-ES"/>
              </w:rPr>
              <w:t xml:space="preserve"> expre</w:t>
            </w:r>
            <w:r w:rsidRPr="003C379E">
              <w:rPr>
                <w:rFonts w:ascii="Cambria" w:hAnsi="Cambria"/>
                <w:bCs/>
                <w:sz w:val="20"/>
                <w:szCs w:val="20"/>
                <w:lang w:val="es-ES"/>
              </w:rPr>
              <w:t>sión</w:t>
            </w:r>
            <w:r w:rsidR="00D92116" w:rsidRPr="003C379E">
              <w:rPr>
                <w:rFonts w:ascii="Cambria" w:hAnsi="Cambria"/>
                <w:bCs/>
                <w:sz w:val="20"/>
                <w:szCs w:val="20"/>
                <w:lang w:val="es-ES"/>
              </w:rPr>
              <w:t>)</w:t>
            </w:r>
            <w:r w:rsidR="004C4E99" w:rsidRPr="003C379E">
              <w:rPr>
                <w:rFonts w:ascii="Cambria" w:hAnsi="Cambria"/>
                <w:bCs/>
                <w:sz w:val="20"/>
                <w:szCs w:val="20"/>
                <w:lang w:val="es-ES"/>
              </w:rPr>
              <w:t xml:space="preserve"> </w:t>
            </w:r>
            <w:r w:rsidRPr="003C379E">
              <w:rPr>
                <w:rFonts w:ascii="Cambria" w:hAnsi="Cambria"/>
                <w:bCs/>
                <w:sz w:val="20"/>
                <w:szCs w:val="20"/>
                <w:lang w:val="es-ES"/>
              </w:rPr>
              <w:t>de la</w:t>
            </w:r>
            <w:r w:rsidR="004C4E99" w:rsidRPr="003C379E">
              <w:rPr>
                <w:rFonts w:ascii="Cambria" w:hAnsi="Cambria"/>
                <w:bCs/>
                <w:sz w:val="20"/>
                <w:szCs w:val="20"/>
                <w:lang w:val="es-ES"/>
              </w:rPr>
              <w:t xml:space="preserve"> Conven</w:t>
            </w:r>
            <w:r w:rsidRPr="003C379E">
              <w:rPr>
                <w:rFonts w:ascii="Cambria" w:hAnsi="Cambria"/>
                <w:bCs/>
                <w:sz w:val="20"/>
                <w:szCs w:val="20"/>
                <w:lang w:val="es-ES"/>
              </w:rPr>
              <w:t>ción</w:t>
            </w:r>
            <w:r w:rsidR="004C4E99" w:rsidRPr="003C379E">
              <w:rPr>
                <w:rFonts w:ascii="Cambria" w:hAnsi="Cambria"/>
                <w:bCs/>
                <w:sz w:val="20"/>
                <w:szCs w:val="20"/>
                <w:lang w:val="es-ES"/>
              </w:rPr>
              <w:t xml:space="preserve"> Americana sobre </w:t>
            </w:r>
            <w:r w:rsidRPr="003C379E">
              <w:rPr>
                <w:rFonts w:ascii="Cambria" w:hAnsi="Cambria"/>
                <w:bCs/>
                <w:sz w:val="20"/>
                <w:szCs w:val="20"/>
                <w:lang w:val="es-ES"/>
              </w:rPr>
              <w:t>Derech</w:t>
            </w:r>
            <w:r w:rsidR="004C4E99" w:rsidRPr="003C379E">
              <w:rPr>
                <w:rFonts w:ascii="Cambria" w:hAnsi="Cambria"/>
                <w:bCs/>
                <w:sz w:val="20"/>
                <w:szCs w:val="20"/>
                <w:lang w:val="es-ES"/>
              </w:rPr>
              <w:t>os Humanos</w:t>
            </w:r>
            <w:r w:rsidR="004C4E99" w:rsidRPr="003C379E">
              <w:rPr>
                <w:rStyle w:val="FootnoteReference"/>
                <w:rFonts w:ascii="Cambria" w:hAnsi="Cambria"/>
                <w:bCs/>
                <w:sz w:val="20"/>
                <w:szCs w:val="20"/>
                <w:lang w:val="es-ES"/>
              </w:rPr>
              <w:footnoteReference w:id="3"/>
            </w:r>
            <w:r w:rsidR="00D92116" w:rsidRPr="003C379E">
              <w:rPr>
                <w:rFonts w:ascii="Cambria" w:hAnsi="Cambria"/>
                <w:bCs/>
                <w:sz w:val="20"/>
                <w:szCs w:val="20"/>
                <w:lang w:val="es-ES"/>
              </w:rPr>
              <w:t xml:space="preserve"> </w:t>
            </w:r>
            <w:r w:rsidRPr="003C379E">
              <w:rPr>
                <w:rFonts w:ascii="Cambria" w:hAnsi="Cambria"/>
                <w:bCs/>
                <w:sz w:val="20"/>
                <w:szCs w:val="20"/>
                <w:lang w:val="es-ES"/>
              </w:rPr>
              <w:t xml:space="preserve">en </w:t>
            </w:r>
            <w:r w:rsidR="00D92116" w:rsidRPr="003C379E">
              <w:rPr>
                <w:rFonts w:ascii="Cambria" w:hAnsi="Cambria"/>
                <w:bCs/>
                <w:sz w:val="20"/>
                <w:szCs w:val="20"/>
                <w:lang w:val="es-ES"/>
              </w:rPr>
              <w:t>rela</w:t>
            </w:r>
            <w:r w:rsidRPr="003C379E">
              <w:rPr>
                <w:rFonts w:ascii="Cambria" w:hAnsi="Cambria"/>
                <w:bCs/>
                <w:sz w:val="20"/>
                <w:szCs w:val="20"/>
                <w:lang w:val="es-ES"/>
              </w:rPr>
              <w:t>ción</w:t>
            </w:r>
            <w:r w:rsidR="00D92116" w:rsidRPr="003C379E">
              <w:rPr>
                <w:rFonts w:ascii="Cambria" w:hAnsi="Cambria"/>
                <w:bCs/>
                <w:sz w:val="20"/>
                <w:szCs w:val="20"/>
                <w:lang w:val="es-ES"/>
              </w:rPr>
              <w:t xml:space="preserve"> </w:t>
            </w:r>
            <w:r w:rsidR="00C95A33" w:rsidRPr="003C379E">
              <w:rPr>
                <w:rFonts w:ascii="Cambria" w:hAnsi="Cambria"/>
                <w:bCs/>
                <w:sz w:val="20"/>
                <w:szCs w:val="20"/>
                <w:lang w:val="es-ES"/>
              </w:rPr>
              <w:t>con</w:t>
            </w:r>
            <w:r w:rsidR="00D92116" w:rsidRPr="003C379E">
              <w:rPr>
                <w:rFonts w:ascii="Cambria" w:hAnsi="Cambria"/>
                <w:bCs/>
                <w:sz w:val="20"/>
                <w:szCs w:val="20"/>
                <w:lang w:val="es-ES"/>
              </w:rPr>
              <w:t xml:space="preserve"> </w:t>
            </w:r>
            <w:r w:rsidRPr="003C379E">
              <w:rPr>
                <w:rFonts w:ascii="Cambria" w:hAnsi="Cambria"/>
                <w:bCs/>
                <w:sz w:val="20"/>
                <w:szCs w:val="20"/>
                <w:lang w:val="es-ES"/>
              </w:rPr>
              <w:t>su</w:t>
            </w:r>
            <w:r w:rsidR="00D92116" w:rsidRPr="003C379E">
              <w:rPr>
                <w:rFonts w:ascii="Cambria" w:hAnsi="Cambria"/>
                <w:bCs/>
                <w:sz w:val="20"/>
                <w:szCs w:val="20"/>
                <w:lang w:val="es-ES"/>
              </w:rPr>
              <w:t xml:space="preserve"> </w:t>
            </w:r>
            <w:r w:rsidRPr="003C379E">
              <w:rPr>
                <w:rFonts w:ascii="Cambria" w:hAnsi="Cambria"/>
                <w:bCs/>
                <w:sz w:val="20"/>
                <w:szCs w:val="20"/>
                <w:lang w:val="es-ES"/>
              </w:rPr>
              <w:t>artículo</w:t>
            </w:r>
            <w:r w:rsidR="00D92116" w:rsidRPr="003C379E">
              <w:rPr>
                <w:rFonts w:ascii="Cambria" w:hAnsi="Cambria"/>
                <w:bCs/>
                <w:sz w:val="20"/>
                <w:szCs w:val="20"/>
                <w:lang w:val="es-ES"/>
              </w:rPr>
              <w:t xml:space="preserve"> 2 (</w:t>
            </w:r>
            <w:r w:rsidRPr="003C379E">
              <w:rPr>
                <w:rFonts w:ascii="Cambria" w:hAnsi="Cambria"/>
                <w:bCs/>
                <w:sz w:val="20"/>
                <w:szCs w:val="20"/>
                <w:lang w:val="es-ES"/>
              </w:rPr>
              <w:t>debe</w:t>
            </w:r>
            <w:r w:rsidR="00D92116" w:rsidRPr="003C379E">
              <w:rPr>
                <w:rFonts w:ascii="Cambria" w:hAnsi="Cambria"/>
                <w:bCs/>
                <w:sz w:val="20"/>
                <w:szCs w:val="20"/>
                <w:lang w:val="es-ES"/>
              </w:rPr>
              <w:t xml:space="preserve">r de </w:t>
            </w:r>
            <w:r w:rsidR="00B30B5A" w:rsidRPr="003C379E">
              <w:rPr>
                <w:rFonts w:ascii="Cambria" w:hAnsi="Cambria"/>
                <w:bCs/>
                <w:sz w:val="20"/>
                <w:szCs w:val="20"/>
                <w:lang w:val="es-ES"/>
              </w:rPr>
              <w:t>adopta</w:t>
            </w:r>
            <w:r w:rsidR="00D92116" w:rsidRPr="003C379E">
              <w:rPr>
                <w:rFonts w:ascii="Cambria" w:hAnsi="Cambria"/>
                <w:bCs/>
                <w:sz w:val="20"/>
                <w:szCs w:val="20"/>
                <w:lang w:val="es-ES"/>
              </w:rPr>
              <w:t>r disposi</w:t>
            </w:r>
            <w:r w:rsidRPr="003C379E">
              <w:rPr>
                <w:rFonts w:ascii="Cambria" w:hAnsi="Cambria"/>
                <w:bCs/>
                <w:sz w:val="20"/>
                <w:szCs w:val="20"/>
                <w:lang w:val="es-ES"/>
              </w:rPr>
              <w:t>ciones</w:t>
            </w:r>
            <w:r w:rsidR="00D92116" w:rsidRPr="003C379E">
              <w:rPr>
                <w:rFonts w:ascii="Cambria" w:hAnsi="Cambria"/>
                <w:bCs/>
                <w:sz w:val="20"/>
                <w:szCs w:val="20"/>
                <w:lang w:val="es-ES"/>
              </w:rPr>
              <w:t xml:space="preserve"> de </w:t>
            </w:r>
            <w:r w:rsidRPr="003C379E">
              <w:rPr>
                <w:rFonts w:ascii="Cambria" w:hAnsi="Cambria"/>
                <w:bCs/>
                <w:sz w:val="20"/>
                <w:szCs w:val="20"/>
                <w:lang w:val="es-ES"/>
              </w:rPr>
              <w:t>derech</w:t>
            </w:r>
            <w:r w:rsidR="00D92116" w:rsidRPr="003C379E">
              <w:rPr>
                <w:rFonts w:ascii="Cambria" w:hAnsi="Cambria"/>
                <w:bCs/>
                <w:sz w:val="20"/>
                <w:szCs w:val="20"/>
                <w:lang w:val="es-ES"/>
              </w:rPr>
              <w:t xml:space="preserve">o interno) </w:t>
            </w:r>
          </w:p>
        </w:tc>
      </w:tr>
    </w:tbl>
    <w:p w14:paraId="20263696" w14:textId="7E5FC909" w:rsidR="003239B8" w:rsidRPr="003C379E" w:rsidRDefault="00A37F2E" w:rsidP="003239B8">
      <w:pPr>
        <w:spacing w:before="240" w:after="240"/>
        <w:ind w:firstLine="720"/>
        <w:jc w:val="both"/>
        <w:rPr>
          <w:rFonts w:ascii="Cambria" w:hAnsi="Cambria"/>
          <w:b/>
          <w:bCs/>
          <w:sz w:val="20"/>
          <w:szCs w:val="20"/>
          <w:lang w:val="es-ES"/>
        </w:rPr>
      </w:pPr>
      <w:r w:rsidRPr="003C379E">
        <w:rPr>
          <w:rFonts w:ascii="Cambria" w:hAnsi="Cambria"/>
          <w:b/>
          <w:bCs/>
          <w:sz w:val="20"/>
          <w:szCs w:val="20"/>
          <w:lang w:val="es-ES"/>
        </w:rPr>
        <w:t>II.</w:t>
      </w:r>
      <w:r w:rsidRPr="003C379E">
        <w:rPr>
          <w:rFonts w:ascii="Cambria" w:hAnsi="Cambria"/>
          <w:b/>
          <w:bCs/>
          <w:sz w:val="20"/>
          <w:szCs w:val="20"/>
          <w:lang w:val="es-ES"/>
        </w:rPr>
        <w:tab/>
      </w:r>
      <w:r w:rsidR="00BF6A21" w:rsidRPr="003C379E">
        <w:rPr>
          <w:rFonts w:ascii="Cambria" w:hAnsi="Cambria"/>
          <w:b/>
          <w:bCs/>
          <w:sz w:val="20"/>
          <w:szCs w:val="20"/>
          <w:lang w:val="es-ES"/>
        </w:rPr>
        <w:t>TRÁMITE</w:t>
      </w:r>
      <w:r w:rsidRPr="003C379E">
        <w:rPr>
          <w:rFonts w:ascii="Cambria" w:hAnsi="Cambria"/>
          <w:b/>
          <w:bCs/>
          <w:sz w:val="20"/>
          <w:szCs w:val="20"/>
          <w:lang w:val="es-ES"/>
        </w:rPr>
        <w:t xml:space="preserve"> ANTE </w:t>
      </w:r>
      <w:r w:rsidR="00B6265D" w:rsidRPr="003C379E">
        <w:rPr>
          <w:rFonts w:ascii="Cambria" w:hAnsi="Cambria"/>
          <w:b/>
          <w:bCs/>
          <w:sz w:val="20"/>
          <w:szCs w:val="20"/>
          <w:lang w:val="es-ES"/>
        </w:rPr>
        <w:t xml:space="preserve">LA </w:t>
      </w:r>
      <w:r w:rsidR="003239B8" w:rsidRPr="003C379E">
        <w:rPr>
          <w:rFonts w:ascii="Cambria" w:hAnsi="Cambria"/>
          <w:b/>
          <w:bCs/>
          <w:sz w:val="20"/>
          <w:szCs w:val="20"/>
          <w:lang w:val="es-ES"/>
        </w:rPr>
        <w:t>CIDH</w:t>
      </w:r>
      <w:r w:rsidR="008E3BFE" w:rsidRPr="003C379E">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C379E" w14:paraId="306EFCB0" w14:textId="77777777" w:rsidTr="00F3289A">
        <w:tc>
          <w:tcPr>
            <w:tcW w:w="3600" w:type="dxa"/>
            <w:tcBorders>
              <w:top w:val="single" w:sz="6" w:space="0" w:color="auto"/>
              <w:bottom w:val="single" w:sz="6" w:space="0" w:color="auto"/>
            </w:tcBorders>
            <w:shd w:val="clear" w:color="auto" w:fill="4A7194"/>
            <w:vAlign w:val="center"/>
          </w:tcPr>
          <w:p w14:paraId="7508D16F" w14:textId="061A7712" w:rsidR="004C2312" w:rsidRPr="00FE0818" w:rsidRDefault="009115EB" w:rsidP="004A6A54">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Present</w:t>
            </w:r>
            <w:r w:rsidR="00A37F2E" w:rsidRPr="00FE0818">
              <w:rPr>
                <w:rFonts w:ascii="Cambria" w:hAnsi="Cambria"/>
                <w:b/>
                <w:bCs/>
                <w:color w:val="FFFFFF" w:themeColor="background1"/>
                <w:sz w:val="20"/>
                <w:szCs w:val="20"/>
                <w:lang w:val="es-ES"/>
              </w:rPr>
              <w:t>a</w:t>
            </w:r>
            <w:r w:rsidRPr="00FE0818">
              <w:rPr>
                <w:rFonts w:ascii="Cambria" w:hAnsi="Cambria"/>
                <w:b/>
                <w:bCs/>
                <w:color w:val="FFFFFF" w:themeColor="background1"/>
                <w:sz w:val="20"/>
                <w:szCs w:val="20"/>
                <w:lang w:val="es-ES"/>
              </w:rPr>
              <w:t>ción</w:t>
            </w:r>
            <w:r w:rsidR="00A37F2E" w:rsidRPr="00FE0818">
              <w:rPr>
                <w:rFonts w:ascii="Cambria" w:hAnsi="Cambria"/>
                <w:b/>
                <w:bCs/>
                <w:color w:val="FFFFFF" w:themeColor="background1"/>
                <w:sz w:val="20"/>
                <w:szCs w:val="20"/>
                <w:lang w:val="es-ES"/>
              </w:rPr>
              <w:t xml:space="preserve"> </w:t>
            </w:r>
            <w:r w:rsidRPr="00FE0818">
              <w:rPr>
                <w:rFonts w:ascii="Cambria" w:hAnsi="Cambria"/>
                <w:b/>
                <w:bCs/>
                <w:color w:val="FFFFFF" w:themeColor="background1"/>
                <w:sz w:val="20"/>
                <w:szCs w:val="20"/>
                <w:lang w:val="es-ES"/>
              </w:rPr>
              <w:t>de la</w:t>
            </w:r>
            <w:r w:rsidR="00A37F2E" w:rsidRPr="00FE0818">
              <w:rPr>
                <w:rFonts w:ascii="Cambria" w:hAnsi="Cambria"/>
                <w:b/>
                <w:bCs/>
                <w:color w:val="FFFFFF" w:themeColor="background1"/>
                <w:sz w:val="20"/>
                <w:szCs w:val="20"/>
                <w:lang w:val="es-ES"/>
              </w:rPr>
              <w:t xml:space="preserve"> peti</w:t>
            </w:r>
            <w:r w:rsidRPr="00FE0818">
              <w:rPr>
                <w:rFonts w:ascii="Cambria" w:hAnsi="Cambria"/>
                <w:b/>
                <w:bCs/>
                <w:color w:val="FFFFFF" w:themeColor="background1"/>
                <w:sz w:val="20"/>
                <w:szCs w:val="20"/>
                <w:lang w:val="es-ES"/>
              </w:rPr>
              <w:t>ción</w:t>
            </w:r>
            <w:r w:rsidR="00A37F2E" w:rsidRPr="00FE0818">
              <w:rPr>
                <w:rFonts w:ascii="Cambria" w:hAnsi="Cambria"/>
                <w:b/>
                <w:bCs/>
                <w:color w:val="FFFFFF" w:themeColor="background1"/>
                <w:sz w:val="20"/>
                <w:szCs w:val="20"/>
                <w:lang w:val="es-ES"/>
              </w:rPr>
              <w:t>:</w:t>
            </w:r>
          </w:p>
        </w:tc>
        <w:tc>
          <w:tcPr>
            <w:tcW w:w="5760" w:type="dxa"/>
            <w:vAlign w:val="center"/>
          </w:tcPr>
          <w:p w14:paraId="6E579153" w14:textId="05C55885" w:rsidR="004C2312" w:rsidRPr="003C379E" w:rsidRDefault="00F23F87" w:rsidP="009115EB">
            <w:pPr>
              <w:jc w:val="both"/>
              <w:rPr>
                <w:rFonts w:ascii="Cambria" w:hAnsi="Cambria"/>
                <w:bCs/>
                <w:sz w:val="20"/>
                <w:szCs w:val="20"/>
                <w:lang w:val="es-ES"/>
              </w:rPr>
            </w:pPr>
            <w:r w:rsidRPr="003C379E">
              <w:rPr>
                <w:rFonts w:ascii="Cambria" w:hAnsi="Cambria"/>
                <w:bCs/>
                <w:sz w:val="20"/>
                <w:szCs w:val="20"/>
                <w:lang w:val="es-ES"/>
              </w:rPr>
              <w:t xml:space="preserve">3 de </w:t>
            </w:r>
            <w:r w:rsidR="009115EB" w:rsidRPr="003C379E">
              <w:rPr>
                <w:rFonts w:ascii="Cambria" w:hAnsi="Cambria"/>
                <w:bCs/>
                <w:sz w:val="20"/>
                <w:szCs w:val="20"/>
                <w:lang w:val="es-ES"/>
              </w:rPr>
              <w:t>marzo</w:t>
            </w:r>
            <w:r w:rsidRPr="003C379E">
              <w:rPr>
                <w:rFonts w:ascii="Cambria" w:hAnsi="Cambria"/>
                <w:bCs/>
                <w:sz w:val="20"/>
                <w:szCs w:val="20"/>
                <w:lang w:val="es-ES"/>
              </w:rPr>
              <w:t xml:space="preserve"> de 2013</w:t>
            </w:r>
          </w:p>
        </w:tc>
      </w:tr>
      <w:tr w:rsidR="004C2312" w:rsidRPr="003C379E" w14:paraId="1BDCD5C6" w14:textId="77777777" w:rsidTr="00F3289A">
        <w:tc>
          <w:tcPr>
            <w:tcW w:w="3600" w:type="dxa"/>
            <w:tcBorders>
              <w:top w:val="single" w:sz="6" w:space="0" w:color="auto"/>
              <w:bottom w:val="single" w:sz="6" w:space="0" w:color="auto"/>
            </w:tcBorders>
            <w:shd w:val="clear" w:color="auto" w:fill="4A7194"/>
            <w:vAlign w:val="center"/>
          </w:tcPr>
          <w:p w14:paraId="7A18664F" w14:textId="5B9B7F53" w:rsidR="004C2312" w:rsidRPr="00FE0818" w:rsidRDefault="004A6A54" w:rsidP="00A37F2E">
            <w:pPr>
              <w:jc w:val="center"/>
              <w:rPr>
                <w:rFonts w:ascii="Cambria" w:hAnsi="Cambria"/>
                <w:b/>
                <w:color w:val="FFFFFF" w:themeColor="background1"/>
                <w:sz w:val="20"/>
                <w:szCs w:val="20"/>
                <w:lang w:val="es-ES"/>
              </w:rPr>
            </w:pPr>
            <w:r w:rsidRPr="00FE0818">
              <w:rPr>
                <w:rFonts w:ascii="Cambria" w:hAnsi="Cambria"/>
                <w:b/>
                <w:color w:val="FFFFFF" w:themeColor="background1"/>
                <w:sz w:val="20"/>
                <w:szCs w:val="20"/>
                <w:lang w:val="es-ES"/>
              </w:rPr>
              <w:t>N</w:t>
            </w:r>
            <w:r w:rsidR="00A37F2E" w:rsidRPr="00FE0818">
              <w:rPr>
                <w:rFonts w:ascii="Cambria" w:hAnsi="Cambria"/>
                <w:b/>
                <w:color w:val="FFFFFF" w:themeColor="background1"/>
                <w:sz w:val="20"/>
                <w:szCs w:val="20"/>
                <w:lang w:val="es-ES"/>
              </w:rPr>
              <w:t>otifica</w:t>
            </w:r>
            <w:r w:rsidR="009115EB" w:rsidRPr="00FE0818">
              <w:rPr>
                <w:rFonts w:ascii="Cambria" w:hAnsi="Cambria"/>
                <w:b/>
                <w:color w:val="FFFFFF" w:themeColor="background1"/>
                <w:sz w:val="20"/>
                <w:szCs w:val="20"/>
                <w:lang w:val="es-ES"/>
              </w:rPr>
              <w:t>ción</w:t>
            </w:r>
            <w:r w:rsidR="00A37F2E" w:rsidRPr="00FE0818">
              <w:rPr>
                <w:rFonts w:ascii="Cambria" w:hAnsi="Cambria"/>
                <w:b/>
                <w:color w:val="FFFFFF" w:themeColor="background1"/>
                <w:sz w:val="20"/>
                <w:szCs w:val="20"/>
                <w:lang w:val="es-ES"/>
              </w:rPr>
              <w:t xml:space="preserve"> </w:t>
            </w:r>
            <w:r w:rsidR="009115EB" w:rsidRPr="00FE0818">
              <w:rPr>
                <w:rFonts w:ascii="Cambria" w:hAnsi="Cambria"/>
                <w:b/>
                <w:color w:val="FFFFFF" w:themeColor="background1"/>
                <w:sz w:val="20"/>
                <w:szCs w:val="20"/>
                <w:lang w:val="es-ES"/>
              </w:rPr>
              <w:t>de la</w:t>
            </w:r>
            <w:r w:rsidR="00A37F2E" w:rsidRPr="00FE0818">
              <w:rPr>
                <w:rFonts w:ascii="Cambria" w:hAnsi="Cambria"/>
                <w:b/>
                <w:color w:val="FFFFFF" w:themeColor="background1"/>
                <w:sz w:val="20"/>
                <w:szCs w:val="20"/>
                <w:lang w:val="es-ES"/>
              </w:rPr>
              <w:t xml:space="preserve"> peti</w:t>
            </w:r>
            <w:r w:rsidR="009115EB" w:rsidRPr="00FE0818">
              <w:rPr>
                <w:rFonts w:ascii="Cambria" w:hAnsi="Cambria"/>
                <w:b/>
                <w:color w:val="FFFFFF" w:themeColor="background1"/>
                <w:sz w:val="20"/>
                <w:szCs w:val="20"/>
                <w:lang w:val="es-ES"/>
              </w:rPr>
              <w:t>ción</w:t>
            </w:r>
            <w:r w:rsidR="00A37F2E" w:rsidRPr="00FE0818">
              <w:rPr>
                <w:rFonts w:ascii="Cambria" w:hAnsi="Cambria"/>
                <w:b/>
                <w:color w:val="FFFFFF" w:themeColor="background1"/>
                <w:sz w:val="20"/>
                <w:szCs w:val="20"/>
                <w:lang w:val="es-ES"/>
              </w:rPr>
              <w:t xml:space="preserve"> </w:t>
            </w:r>
            <w:r w:rsidR="009115EB" w:rsidRPr="00FE0818">
              <w:rPr>
                <w:rFonts w:ascii="Cambria" w:hAnsi="Cambria"/>
                <w:b/>
                <w:color w:val="FFFFFF" w:themeColor="background1"/>
                <w:sz w:val="20"/>
                <w:szCs w:val="20"/>
                <w:lang w:val="es-ES"/>
              </w:rPr>
              <w:t>al</w:t>
            </w:r>
            <w:r w:rsidR="004C2312" w:rsidRPr="00FE0818">
              <w:rPr>
                <w:rFonts w:ascii="Cambria" w:hAnsi="Cambria"/>
                <w:b/>
                <w:color w:val="FFFFFF" w:themeColor="background1"/>
                <w:sz w:val="20"/>
                <w:szCs w:val="20"/>
                <w:lang w:val="es-ES"/>
              </w:rPr>
              <w:t xml:space="preserve"> Estado:</w:t>
            </w:r>
          </w:p>
        </w:tc>
        <w:tc>
          <w:tcPr>
            <w:tcW w:w="5760" w:type="dxa"/>
            <w:vAlign w:val="center"/>
          </w:tcPr>
          <w:p w14:paraId="1519DA6A" w14:textId="7AC1543D" w:rsidR="004C2312" w:rsidRPr="003C379E" w:rsidRDefault="00F23F87" w:rsidP="009115EB">
            <w:pPr>
              <w:jc w:val="both"/>
              <w:rPr>
                <w:rFonts w:ascii="Cambria" w:hAnsi="Cambria"/>
                <w:bCs/>
                <w:sz w:val="20"/>
                <w:szCs w:val="20"/>
                <w:lang w:val="es-ES"/>
              </w:rPr>
            </w:pPr>
            <w:r w:rsidRPr="003C379E">
              <w:rPr>
                <w:rFonts w:ascii="Cambria" w:hAnsi="Cambria"/>
                <w:bCs/>
                <w:sz w:val="20"/>
                <w:szCs w:val="20"/>
                <w:lang w:val="es-ES"/>
              </w:rPr>
              <w:t xml:space="preserve">15 de </w:t>
            </w:r>
            <w:r w:rsidR="009115EB" w:rsidRPr="003C379E">
              <w:rPr>
                <w:rFonts w:ascii="Cambria" w:hAnsi="Cambria"/>
                <w:bCs/>
                <w:sz w:val="20"/>
                <w:szCs w:val="20"/>
                <w:lang w:val="es-ES"/>
              </w:rPr>
              <w:t>enero</w:t>
            </w:r>
            <w:r w:rsidRPr="003C379E">
              <w:rPr>
                <w:rFonts w:ascii="Cambria" w:hAnsi="Cambria"/>
                <w:bCs/>
                <w:sz w:val="20"/>
                <w:szCs w:val="20"/>
                <w:lang w:val="es-ES"/>
              </w:rPr>
              <w:t xml:space="preserve"> de 2016</w:t>
            </w:r>
          </w:p>
        </w:tc>
      </w:tr>
      <w:tr w:rsidR="004C2312" w:rsidRPr="003C379E" w14:paraId="6147A8D5" w14:textId="77777777" w:rsidTr="00F3289A">
        <w:tc>
          <w:tcPr>
            <w:tcW w:w="3600" w:type="dxa"/>
            <w:tcBorders>
              <w:top w:val="single" w:sz="6" w:space="0" w:color="auto"/>
              <w:bottom w:val="single" w:sz="6" w:space="0" w:color="auto"/>
            </w:tcBorders>
            <w:shd w:val="clear" w:color="auto" w:fill="4A7194"/>
            <w:vAlign w:val="center"/>
          </w:tcPr>
          <w:p w14:paraId="0201C86D" w14:textId="4A331605" w:rsidR="004C2312" w:rsidRPr="00FE0818" w:rsidRDefault="00B30B5A" w:rsidP="004A6A54">
            <w:pPr>
              <w:jc w:val="center"/>
              <w:rPr>
                <w:rFonts w:ascii="Cambria" w:hAnsi="Cambria"/>
                <w:b/>
                <w:bCs/>
                <w:color w:val="FFFFFF" w:themeColor="background1"/>
                <w:sz w:val="20"/>
                <w:szCs w:val="20"/>
                <w:lang w:val="es-ES"/>
              </w:rPr>
            </w:pPr>
            <w:r w:rsidRPr="00FE0818">
              <w:rPr>
                <w:rFonts w:ascii="Cambria" w:hAnsi="Cambria"/>
                <w:b/>
                <w:color w:val="FFFFFF" w:themeColor="background1"/>
                <w:sz w:val="20"/>
                <w:szCs w:val="20"/>
                <w:lang w:val="es-ES"/>
              </w:rPr>
              <w:t>Primer</w:t>
            </w:r>
            <w:r w:rsidR="00A37F2E" w:rsidRPr="00FE0818">
              <w:rPr>
                <w:rFonts w:ascii="Cambria" w:hAnsi="Cambria"/>
                <w:b/>
                <w:color w:val="FFFFFF" w:themeColor="background1"/>
                <w:sz w:val="20"/>
                <w:szCs w:val="20"/>
                <w:lang w:val="es-ES"/>
              </w:rPr>
              <w:t xml:space="preserve">a </w:t>
            </w:r>
            <w:r w:rsidRPr="00FE0818">
              <w:rPr>
                <w:rFonts w:ascii="Cambria" w:hAnsi="Cambria"/>
                <w:b/>
                <w:color w:val="FFFFFF" w:themeColor="background1"/>
                <w:sz w:val="20"/>
                <w:szCs w:val="20"/>
                <w:lang w:val="es-ES"/>
              </w:rPr>
              <w:t>respuest</w:t>
            </w:r>
            <w:r w:rsidR="00A37F2E" w:rsidRPr="00FE0818">
              <w:rPr>
                <w:rFonts w:ascii="Cambria" w:hAnsi="Cambria"/>
                <w:b/>
                <w:color w:val="FFFFFF" w:themeColor="background1"/>
                <w:sz w:val="20"/>
                <w:szCs w:val="20"/>
                <w:lang w:val="es-ES"/>
              </w:rPr>
              <w:t xml:space="preserve">a </w:t>
            </w:r>
            <w:r w:rsidR="009115EB" w:rsidRPr="00FE0818">
              <w:rPr>
                <w:rFonts w:ascii="Cambria" w:hAnsi="Cambria"/>
                <w:b/>
                <w:color w:val="FFFFFF" w:themeColor="background1"/>
                <w:sz w:val="20"/>
                <w:szCs w:val="20"/>
                <w:lang w:val="es-ES"/>
              </w:rPr>
              <w:t>del</w:t>
            </w:r>
            <w:r w:rsidR="00A37F2E" w:rsidRPr="00FE0818">
              <w:rPr>
                <w:rFonts w:ascii="Cambria" w:hAnsi="Cambria"/>
                <w:b/>
                <w:color w:val="FFFFFF" w:themeColor="background1"/>
                <w:sz w:val="20"/>
                <w:szCs w:val="20"/>
                <w:lang w:val="es-ES"/>
              </w:rPr>
              <w:t xml:space="preserve"> </w:t>
            </w:r>
            <w:r w:rsidR="004C2312" w:rsidRPr="00FE0818">
              <w:rPr>
                <w:rFonts w:ascii="Cambria" w:hAnsi="Cambria"/>
                <w:b/>
                <w:color w:val="FFFFFF" w:themeColor="background1"/>
                <w:sz w:val="20"/>
                <w:szCs w:val="20"/>
                <w:lang w:val="es-ES"/>
              </w:rPr>
              <w:t>Estado:</w:t>
            </w:r>
          </w:p>
        </w:tc>
        <w:tc>
          <w:tcPr>
            <w:tcW w:w="5760" w:type="dxa"/>
            <w:vAlign w:val="center"/>
          </w:tcPr>
          <w:p w14:paraId="1972B99E" w14:textId="24015398" w:rsidR="004C2312" w:rsidRPr="003C379E" w:rsidRDefault="00F23F87" w:rsidP="009115EB">
            <w:pPr>
              <w:jc w:val="both"/>
              <w:rPr>
                <w:rFonts w:ascii="Cambria" w:hAnsi="Cambria"/>
                <w:bCs/>
                <w:sz w:val="20"/>
                <w:szCs w:val="20"/>
                <w:lang w:val="es-ES"/>
              </w:rPr>
            </w:pPr>
            <w:r w:rsidRPr="003C379E">
              <w:rPr>
                <w:rFonts w:ascii="Cambria" w:hAnsi="Cambria"/>
                <w:bCs/>
                <w:sz w:val="20"/>
                <w:szCs w:val="20"/>
                <w:lang w:val="es-ES"/>
              </w:rPr>
              <w:t xml:space="preserve">2 de </w:t>
            </w:r>
            <w:r w:rsidR="009115EB" w:rsidRPr="003C379E">
              <w:rPr>
                <w:rFonts w:ascii="Cambria" w:hAnsi="Cambria"/>
                <w:bCs/>
                <w:sz w:val="20"/>
                <w:szCs w:val="20"/>
                <w:lang w:val="es-ES"/>
              </w:rPr>
              <w:t>junio</w:t>
            </w:r>
            <w:r w:rsidRPr="003C379E">
              <w:rPr>
                <w:rFonts w:ascii="Cambria" w:hAnsi="Cambria"/>
                <w:bCs/>
                <w:sz w:val="20"/>
                <w:szCs w:val="20"/>
                <w:lang w:val="es-ES"/>
              </w:rPr>
              <w:t xml:space="preserve"> de 2016</w:t>
            </w:r>
          </w:p>
        </w:tc>
      </w:tr>
      <w:tr w:rsidR="004C2312" w:rsidRPr="003C379E" w14:paraId="322668B6" w14:textId="77777777" w:rsidTr="00F3289A">
        <w:tc>
          <w:tcPr>
            <w:tcW w:w="3600" w:type="dxa"/>
            <w:tcBorders>
              <w:top w:val="single" w:sz="6" w:space="0" w:color="auto"/>
              <w:bottom w:val="single" w:sz="6" w:space="0" w:color="auto"/>
            </w:tcBorders>
            <w:shd w:val="clear" w:color="auto" w:fill="4A7194"/>
            <w:vAlign w:val="center"/>
          </w:tcPr>
          <w:p w14:paraId="1524DA55" w14:textId="047D6D01" w:rsidR="004C2312" w:rsidRPr="00FE0818" w:rsidRDefault="00A37F2E" w:rsidP="00B6265D">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Observa</w:t>
            </w:r>
            <w:r w:rsidR="009115EB" w:rsidRPr="00FE0818">
              <w:rPr>
                <w:rFonts w:ascii="Cambria" w:hAnsi="Cambria"/>
                <w:b/>
                <w:bCs/>
                <w:color w:val="FFFFFF" w:themeColor="background1"/>
                <w:sz w:val="20"/>
                <w:szCs w:val="20"/>
                <w:lang w:val="es-ES"/>
              </w:rPr>
              <w:t>ciones</w:t>
            </w:r>
            <w:r w:rsidRPr="00FE0818">
              <w:rPr>
                <w:rFonts w:ascii="Cambria" w:hAnsi="Cambria"/>
                <w:b/>
                <w:bCs/>
                <w:color w:val="FFFFFF" w:themeColor="background1"/>
                <w:sz w:val="20"/>
                <w:szCs w:val="20"/>
                <w:lang w:val="es-ES"/>
              </w:rPr>
              <w:t xml:space="preserve"> adicion</w:t>
            </w:r>
            <w:r w:rsidR="00B05EA6" w:rsidRPr="00FE0818">
              <w:rPr>
                <w:rFonts w:ascii="Cambria" w:hAnsi="Cambria"/>
                <w:b/>
                <w:bCs/>
                <w:color w:val="FFFFFF" w:themeColor="background1"/>
                <w:sz w:val="20"/>
                <w:szCs w:val="20"/>
                <w:lang w:val="es-ES"/>
              </w:rPr>
              <w:t xml:space="preserve">ales </w:t>
            </w:r>
            <w:r w:rsidR="009115EB" w:rsidRPr="00FE0818">
              <w:rPr>
                <w:rFonts w:ascii="Cambria" w:hAnsi="Cambria"/>
                <w:b/>
                <w:bCs/>
                <w:color w:val="FFFFFF" w:themeColor="background1"/>
                <w:sz w:val="20"/>
                <w:szCs w:val="20"/>
                <w:lang w:val="es-ES"/>
              </w:rPr>
              <w:t>de l</w:t>
            </w:r>
            <w:r w:rsidR="00C95A33" w:rsidRPr="00FE0818">
              <w:rPr>
                <w:rFonts w:ascii="Cambria" w:hAnsi="Cambria"/>
                <w:b/>
                <w:bCs/>
                <w:color w:val="FFFFFF" w:themeColor="background1"/>
                <w:sz w:val="20"/>
                <w:szCs w:val="20"/>
                <w:lang w:val="es-ES"/>
              </w:rPr>
              <w:t>a parte peticionaria</w:t>
            </w:r>
            <w:r w:rsidR="008E3BFE" w:rsidRPr="00FE0818">
              <w:rPr>
                <w:rFonts w:ascii="Cambria" w:hAnsi="Cambria"/>
                <w:b/>
                <w:bCs/>
                <w:color w:val="FFFFFF" w:themeColor="background1"/>
                <w:sz w:val="20"/>
                <w:szCs w:val="20"/>
                <w:lang w:val="es-ES"/>
              </w:rPr>
              <w:t>:</w:t>
            </w:r>
          </w:p>
        </w:tc>
        <w:tc>
          <w:tcPr>
            <w:tcW w:w="5760" w:type="dxa"/>
            <w:vAlign w:val="center"/>
          </w:tcPr>
          <w:p w14:paraId="41D8B862" w14:textId="6FFAB32A" w:rsidR="004C2312" w:rsidRPr="003C379E" w:rsidRDefault="00F23F87" w:rsidP="009115EB">
            <w:pPr>
              <w:jc w:val="both"/>
              <w:rPr>
                <w:rFonts w:ascii="Cambria" w:hAnsi="Cambria"/>
                <w:bCs/>
                <w:sz w:val="20"/>
                <w:szCs w:val="20"/>
                <w:lang w:val="es-ES"/>
              </w:rPr>
            </w:pPr>
            <w:r w:rsidRPr="003C379E">
              <w:rPr>
                <w:rFonts w:ascii="Cambria" w:hAnsi="Cambria"/>
                <w:bCs/>
                <w:sz w:val="20"/>
                <w:szCs w:val="20"/>
                <w:lang w:val="es-ES"/>
              </w:rPr>
              <w:t xml:space="preserve">27 de </w:t>
            </w:r>
            <w:r w:rsidR="009115EB" w:rsidRPr="003C379E">
              <w:rPr>
                <w:rFonts w:ascii="Cambria" w:hAnsi="Cambria"/>
                <w:bCs/>
                <w:sz w:val="20"/>
                <w:szCs w:val="20"/>
                <w:lang w:val="es-ES"/>
              </w:rPr>
              <w:t>diciembre</w:t>
            </w:r>
            <w:r w:rsidRPr="003C379E">
              <w:rPr>
                <w:rFonts w:ascii="Cambria" w:hAnsi="Cambria"/>
                <w:bCs/>
                <w:sz w:val="20"/>
                <w:szCs w:val="20"/>
                <w:lang w:val="es-ES"/>
              </w:rPr>
              <w:t xml:space="preserve"> de 2018</w:t>
            </w:r>
          </w:p>
        </w:tc>
      </w:tr>
      <w:tr w:rsidR="004C2312" w:rsidRPr="003C379E" w14:paraId="291ACE7A" w14:textId="77777777" w:rsidTr="00F3289A">
        <w:tc>
          <w:tcPr>
            <w:tcW w:w="3600" w:type="dxa"/>
            <w:tcBorders>
              <w:top w:val="single" w:sz="6" w:space="0" w:color="auto"/>
              <w:bottom w:val="single" w:sz="6" w:space="0" w:color="auto"/>
            </w:tcBorders>
            <w:shd w:val="clear" w:color="auto" w:fill="4A7194"/>
            <w:vAlign w:val="center"/>
          </w:tcPr>
          <w:p w14:paraId="068BD12F" w14:textId="7AD197BE" w:rsidR="004C2312" w:rsidRPr="00FE0818" w:rsidRDefault="00A37F2E" w:rsidP="008E3BFE">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Observa</w:t>
            </w:r>
            <w:r w:rsidR="009115EB" w:rsidRPr="00FE0818">
              <w:rPr>
                <w:rFonts w:ascii="Cambria" w:hAnsi="Cambria"/>
                <w:b/>
                <w:bCs/>
                <w:color w:val="FFFFFF" w:themeColor="background1"/>
                <w:sz w:val="20"/>
                <w:szCs w:val="20"/>
                <w:lang w:val="es-ES"/>
              </w:rPr>
              <w:t>ciones</w:t>
            </w:r>
            <w:r w:rsidRPr="00FE0818">
              <w:rPr>
                <w:rFonts w:ascii="Cambria" w:hAnsi="Cambria"/>
                <w:b/>
                <w:bCs/>
                <w:color w:val="FFFFFF" w:themeColor="background1"/>
                <w:sz w:val="20"/>
                <w:szCs w:val="20"/>
                <w:lang w:val="es-ES"/>
              </w:rPr>
              <w:t xml:space="preserve"> adicion</w:t>
            </w:r>
            <w:r w:rsidR="00B05EA6" w:rsidRPr="00FE0818">
              <w:rPr>
                <w:rFonts w:ascii="Cambria" w:hAnsi="Cambria"/>
                <w:b/>
                <w:bCs/>
                <w:color w:val="FFFFFF" w:themeColor="background1"/>
                <w:sz w:val="20"/>
                <w:szCs w:val="20"/>
                <w:lang w:val="es-ES"/>
              </w:rPr>
              <w:t xml:space="preserve">ales </w:t>
            </w:r>
            <w:r w:rsidR="009115EB" w:rsidRPr="00FE0818">
              <w:rPr>
                <w:rFonts w:ascii="Cambria" w:hAnsi="Cambria"/>
                <w:b/>
                <w:bCs/>
                <w:color w:val="FFFFFF" w:themeColor="background1"/>
                <w:sz w:val="20"/>
                <w:szCs w:val="20"/>
                <w:lang w:val="es-ES"/>
              </w:rPr>
              <w:t>del</w:t>
            </w:r>
            <w:r w:rsidR="004C2312" w:rsidRPr="00FE0818">
              <w:rPr>
                <w:rFonts w:ascii="Cambria" w:hAnsi="Cambria"/>
                <w:b/>
                <w:bCs/>
                <w:color w:val="FFFFFF" w:themeColor="background1"/>
                <w:sz w:val="20"/>
                <w:szCs w:val="20"/>
                <w:lang w:val="es-ES"/>
              </w:rPr>
              <w:t xml:space="preserve"> Estado:</w:t>
            </w:r>
          </w:p>
        </w:tc>
        <w:tc>
          <w:tcPr>
            <w:tcW w:w="5760" w:type="dxa"/>
            <w:vAlign w:val="center"/>
          </w:tcPr>
          <w:p w14:paraId="3CE49AFE" w14:textId="2F5A37FB" w:rsidR="004C2312" w:rsidRPr="003C379E" w:rsidRDefault="00F23F87" w:rsidP="009115EB">
            <w:pPr>
              <w:jc w:val="both"/>
              <w:rPr>
                <w:rFonts w:ascii="Cambria" w:hAnsi="Cambria"/>
                <w:bCs/>
                <w:sz w:val="20"/>
                <w:szCs w:val="20"/>
                <w:lang w:val="es-ES"/>
              </w:rPr>
            </w:pPr>
            <w:r w:rsidRPr="003C379E">
              <w:rPr>
                <w:rFonts w:ascii="Cambria" w:hAnsi="Cambria"/>
                <w:bCs/>
                <w:sz w:val="20"/>
                <w:szCs w:val="20"/>
                <w:lang w:val="es-ES"/>
              </w:rPr>
              <w:t xml:space="preserve">30 de </w:t>
            </w:r>
            <w:r w:rsidR="009115EB" w:rsidRPr="003C379E">
              <w:rPr>
                <w:rFonts w:ascii="Cambria" w:hAnsi="Cambria"/>
                <w:bCs/>
                <w:sz w:val="20"/>
                <w:szCs w:val="20"/>
                <w:lang w:val="es-ES"/>
              </w:rPr>
              <w:t>marzo</w:t>
            </w:r>
            <w:r w:rsidRPr="003C379E">
              <w:rPr>
                <w:rFonts w:ascii="Cambria" w:hAnsi="Cambria"/>
                <w:bCs/>
                <w:sz w:val="20"/>
                <w:szCs w:val="20"/>
                <w:lang w:val="es-ES"/>
              </w:rPr>
              <w:t xml:space="preserve"> de 2020</w:t>
            </w:r>
          </w:p>
        </w:tc>
      </w:tr>
    </w:tbl>
    <w:p w14:paraId="21DAA666" w14:textId="45C87520" w:rsidR="003239B8" w:rsidRPr="003C379E" w:rsidRDefault="00D358AF" w:rsidP="003239B8">
      <w:pPr>
        <w:spacing w:before="240" w:after="240"/>
        <w:ind w:firstLine="720"/>
        <w:jc w:val="both"/>
        <w:rPr>
          <w:rFonts w:ascii="Cambria" w:hAnsi="Cambria"/>
          <w:b/>
          <w:bCs/>
          <w:sz w:val="20"/>
          <w:szCs w:val="20"/>
          <w:lang w:val="es-ES"/>
        </w:rPr>
      </w:pPr>
      <w:r w:rsidRPr="003C379E">
        <w:rPr>
          <w:rFonts w:ascii="Cambria" w:hAnsi="Cambria"/>
          <w:b/>
          <w:bCs/>
          <w:sz w:val="20"/>
          <w:szCs w:val="20"/>
          <w:lang w:val="es-ES"/>
        </w:rPr>
        <w:t xml:space="preserve">III. </w:t>
      </w:r>
      <w:r w:rsidRPr="003C379E">
        <w:rPr>
          <w:rFonts w:ascii="Cambria" w:hAnsi="Cambria"/>
          <w:b/>
          <w:bCs/>
          <w:sz w:val="20"/>
          <w:szCs w:val="20"/>
          <w:lang w:val="es-ES"/>
        </w:rPr>
        <w:tab/>
        <w:t>COMPET</w:t>
      </w:r>
      <w:r w:rsidR="009115EB" w:rsidRPr="003C379E">
        <w:rPr>
          <w:rFonts w:ascii="Cambria" w:hAnsi="Cambria"/>
          <w:b/>
          <w:bCs/>
          <w:sz w:val="20"/>
          <w:szCs w:val="20"/>
          <w:lang w:val="es-ES"/>
        </w:rPr>
        <w:t>ENCIA</w:t>
      </w:r>
      <w:r w:rsidR="00EE00E9" w:rsidRPr="003C379E">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C379E" w14:paraId="072532AD" w14:textId="77777777" w:rsidTr="00F3289A">
        <w:trPr>
          <w:cantSplit/>
        </w:trPr>
        <w:tc>
          <w:tcPr>
            <w:tcW w:w="3600" w:type="dxa"/>
            <w:tcBorders>
              <w:top w:val="single" w:sz="4" w:space="0" w:color="auto"/>
              <w:bottom w:val="single" w:sz="6" w:space="0" w:color="auto"/>
            </w:tcBorders>
            <w:shd w:val="clear" w:color="auto" w:fill="4A7194"/>
            <w:vAlign w:val="center"/>
          </w:tcPr>
          <w:p w14:paraId="5C2E4B34" w14:textId="23D2E902" w:rsidR="003239B8" w:rsidRPr="00FE0818" w:rsidRDefault="00D21316" w:rsidP="009115EB">
            <w:pPr>
              <w:jc w:val="center"/>
              <w:rPr>
                <w:rFonts w:ascii="Cambria" w:hAnsi="Cambria"/>
                <w:b/>
                <w:bCs/>
                <w:i/>
                <w:color w:val="FFFFFF" w:themeColor="background1"/>
                <w:sz w:val="20"/>
                <w:szCs w:val="20"/>
                <w:lang w:val="es-ES"/>
              </w:rPr>
            </w:pPr>
            <w:r w:rsidRPr="00FE0818">
              <w:rPr>
                <w:rFonts w:ascii="Cambria" w:hAnsi="Cambria"/>
                <w:b/>
                <w:bCs/>
                <w:color w:val="FFFFFF" w:themeColor="background1"/>
                <w:sz w:val="20"/>
                <w:szCs w:val="20"/>
                <w:lang w:val="es-ES"/>
              </w:rPr>
              <w:t>Compet</w:t>
            </w:r>
            <w:r w:rsidR="009115EB" w:rsidRPr="00FE0818">
              <w:rPr>
                <w:rFonts w:ascii="Cambria" w:hAnsi="Cambria"/>
                <w:b/>
                <w:bCs/>
                <w:color w:val="FFFFFF" w:themeColor="background1"/>
                <w:sz w:val="20"/>
                <w:szCs w:val="20"/>
                <w:lang w:val="es-ES"/>
              </w:rPr>
              <w:t>encia</w:t>
            </w:r>
            <w:r w:rsidR="003239B8" w:rsidRPr="00FE0818">
              <w:rPr>
                <w:rFonts w:ascii="Cambria" w:hAnsi="Cambria"/>
                <w:b/>
                <w:bCs/>
                <w:i/>
                <w:color w:val="FFFFFF" w:themeColor="background1"/>
                <w:sz w:val="20"/>
                <w:szCs w:val="20"/>
                <w:lang w:val="es-ES"/>
              </w:rPr>
              <w:t xml:space="preserve"> Ratione personae:</w:t>
            </w:r>
          </w:p>
        </w:tc>
        <w:tc>
          <w:tcPr>
            <w:tcW w:w="5760" w:type="dxa"/>
            <w:vAlign w:val="center"/>
          </w:tcPr>
          <w:p w14:paraId="7707F3E9" w14:textId="33A49088" w:rsidR="003239B8" w:rsidRPr="003C379E" w:rsidRDefault="009115EB" w:rsidP="009115EB">
            <w:pPr>
              <w:rPr>
                <w:rFonts w:ascii="Cambria" w:hAnsi="Cambria"/>
                <w:bCs/>
                <w:sz w:val="20"/>
                <w:szCs w:val="20"/>
                <w:lang w:val="es-ES"/>
              </w:rPr>
            </w:pPr>
            <w:r w:rsidRPr="003C379E">
              <w:rPr>
                <w:rFonts w:ascii="Cambria" w:hAnsi="Cambria"/>
                <w:bCs/>
                <w:sz w:val="20"/>
                <w:szCs w:val="20"/>
                <w:lang w:val="es-ES"/>
              </w:rPr>
              <w:t>Sí</w:t>
            </w:r>
          </w:p>
        </w:tc>
      </w:tr>
      <w:tr w:rsidR="003239B8" w:rsidRPr="003C379E" w14:paraId="4B8802DA" w14:textId="77777777" w:rsidTr="00F3289A">
        <w:trPr>
          <w:cantSplit/>
        </w:trPr>
        <w:tc>
          <w:tcPr>
            <w:tcW w:w="3600" w:type="dxa"/>
            <w:tcBorders>
              <w:top w:val="single" w:sz="6" w:space="0" w:color="auto"/>
              <w:bottom w:val="single" w:sz="6" w:space="0" w:color="auto"/>
            </w:tcBorders>
            <w:shd w:val="clear" w:color="auto" w:fill="4A7194"/>
            <w:vAlign w:val="center"/>
          </w:tcPr>
          <w:p w14:paraId="3915C23B" w14:textId="0B06C695" w:rsidR="003239B8" w:rsidRPr="00FE0818" w:rsidRDefault="00D21316"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Compet</w:t>
            </w:r>
            <w:r w:rsidR="009115EB" w:rsidRPr="00FE0818">
              <w:rPr>
                <w:rFonts w:ascii="Cambria" w:hAnsi="Cambria"/>
                <w:b/>
                <w:bCs/>
                <w:color w:val="FFFFFF" w:themeColor="background1"/>
                <w:sz w:val="20"/>
                <w:szCs w:val="20"/>
                <w:lang w:val="es-ES"/>
              </w:rPr>
              <w:t>encia</w:t>
            </w:r>
            <w:r w:rsidR="003239B8" w:rsidRPr="00FE0818">
              <w:rPr>
                <w:rFonts w:ascii="Cambria" w:hAnsi="Cambria"/>
                <w:b/>
                <w:bCs/>
                <w:i/>
                <w:color w:val="FFFFFF" w:themeColor="background1"/>
                <w:sz w:val="20"/>
                <w:szCs w:val="20"/>
                <w:lang w:val="es-ES"/>
              </w:rPr>
              <w:t xml:space="preserve"> Ratione loci</w:t>
            </w:r>
            <w:r w:rsidR="003239B8" w:rsidRPr="00FE0818">
              <w:rPr>
                <w:rFonts w:ascii="Cambria" w:hAnsi="Cambria"/>
                <w:b/>
                <w:bCs/>
                <w:color w:val="FFFFFF" w:themeColor="background1"/>
                <w:sz w:val="20"/>
                <w:szCs w:val="20"/>
                <w:lang w:val="es-ES"/>
              </w:rPr>
              <w:t>:</w:t>
            </w:r>
          </w:p>
        </w:tc>
        <w:tc>
          <w:tcPr>
            <w:tcW w:w="5760" w:type="dxa"/>
            <w:vAlign w:val="center"/>
          </w:tcPr>
          <w:p w14:paraId="12C931CB" w14:textId="5CBB00BA" w:rsidR="003239B8" w:rsidRPr="003C379E" w:rsidRDefault="009115EB" w:rsidP="009115EB">
            <w:pPr>
              <w:rPr>
                <w:rFonts w:ascii="Cambria" w:hAnsi="Cambria"/>
                <w:bCs/>
                <w:sz w:val="20"/>
                <w:szCs w:val="20"/>
                <w:lang w:val="es-ES"/>
              </w:rPr>
            </w:pPr>
            <w:r w:rsidRPr="003C379E">
              <w:rPr>
                <w:rFonts w:ascii="Cambria" w:hAnsi="Cambria"/>
                <w:bCs/>
                <w:sz w:val="20"/>
                <w:szCs w:val="20"/>
                <w:lang w:val="es-ES"/>
              </w:rPr>
              <w:t>Sí</w:t>
            </w:r>
          </w:p>
        </w:tc>
      </w:tr>
      <w:tr w:rsidR="003239B8" w:rsidRPr="003C379E" w14:paraId="4362FDF3" w14:textId="77777777" w:rsidTr="00F3289A">
        <w:trPr>
          <w:cantSplit/>
        </w:trPr>
        <w:tc>
          <w:tcPr>
            <w:tcW w:w="3600" w:type="dxa"/>
            <w:tcBorders>
              <w:top w:val="single" w:sz="6" w:space="0" w:color="auto"/>
              <w:bottom w:val="single" w:sz="6" w:space="0" w:color="auto"/>
            </w:tcBorders>
            <w:shd w:val="clear" w:color="auto" w:fill="4A7194"/>
            <w:vAlign w:val="center"/>
          </w:tcPr>
          <w:p w14:paraId="3BE23153" w14:textId="0D7B0092" w:rsidR="003239B8" w:rsidRPr="00FE0818" w:rsidRDefault="00D21316"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Compet</w:t>
            </w:r>
            <w:r w:rsidR="009115EB" w:rsidRPr="00FE0818">
              <w:rPr>
                <w:rFonts w:ascii="Cambria" w:hAnsi="Cambria"/>
                <w:b/>
                <w:bCs/>
                <w:color w:val="FFFFFF" w:themeColor="background1"/>
                <w:sz w:val="20"/>
                <w:szCs w:val="20"/>
                <w:lang w:val="es-ES"/>
              </w:rPr>
              <w:t>encia</w:t>
            </w:r>
            <w:r w:rsidR="003239B8" w:rsidRPr="00FE0818">
              <w:rPr>
                <w:rFonts w:ascii="Cambria" w:hAnsi="Cambria"/>
                <w:b/>
                <w:bCs/>
                <w:i/>
                <w:color w:val="FFFFFF" w:themeColor="background1"/>
                <w:sz w:val="20"/>
                <w:szCs w:val="20"/>
                <w:lang w:val="es-ES"/>
              </w:rPr>
              <w:t xml:space="preserve"> Ratione temporis</w:t>
            </w:r>
            <w:r w:rsidR="003239B8" w:rsidRPr="00FE0818">
              <w:rPr>
                <w:rFonts w:ascii="Cambria" w:hAnsi="Cambria"/>
                <w:b/>
                <w:bCs/>
                <w:color w:val="FFFFFF" w:themeColor="background1"/>
                <w:sz w:val="20"/>
                <w:szCs w:val="20"/>
                <w:lang w:val="es-ES"/>
              </w:rPr>
              <w:t>:</w:t>
            </w:r>
          </w:p>
        </w:tc>
        <w:tc>
          <w:tcPr>
            <w:tcW w:w="5760" w:type="dxa"/>
            <w:vAlign w:val="center"/>
          </w:tcPr>
          <w:p w14:paraId="6F8B059B" w14:textId="617BAAF6" w:rsidR="003239B8" w:rsidRPr="003C379E" w:rsidRDefault="009115EB" w:rsidP="009115EB">
            <w:pPr>
              <w:rPr>
                <w:rFonts w:ascii="Cambria" w:hAnsi="Cambria"/>
                <w:bCs/>
                <w:sz w:val="20"/>
                <w:szCs w:val="20"/>
                <w:lang w:val="es-ES"/>
              </w:rPr>
            </w:pPr>
            <w:r w:rsidRPr="003C379E">
              <w:rPr>
                <w:rFonts w:ascii="Cambria" w:hAnsi="Cambria"/>
                <w:bCs/>
                <w:sz w:val="20"/>
                <w:szCs w:val="20"/>
                <w:lang w:val="es-ES"/>
              </w:rPr>
              <w:t>Sí</w:t>
            </w:r>
          </w:p>
        </w:tc>
      </w:tr>
      <w:tr w:rsidR="003239B8" w:rsidRPr="001F41CC" w14:paraId="30ABEC3E" w14:textId="77777777" w:rsidTr="00F3289A">
        <w:trPr>
          <w:cantSplit/>
        </w:trPr>
        <w:tc>
          <w:tcPr>
            <w:tcW w:w="3600" w:type="dxa"/>
            <w:tcBorders>
              <w:top w:val="single" w:sz="6" w:space="0" w:color="auto"/>
              <w:bottom w:val="single" w:sz="6" w:space="0" w:color="auto"/>
            </w:tcBorders>
            <w:shd w:val="clear" w:color="auto" w:fill="4A7194"/>
            <w:vAlign w:val="center"/>
          </w:tcPr>
          <w:p w14:paraId="47B529D2" w14:textId="7B5E3317" w:rsidR="003239B8" w:rsidRPr="00FE0818" w:rsidRDefault="00D21316"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Compet</w:t>
            </w:r>
            <w:r w:rsidR="009115EB" w:rsidRPr="00FE0818">
              <w:rPr>
                <w:rFonts w:ascii="Cambria" w:hAnsi="Cambria"/>
                <w:b/>
                <w:bCs/>
                <w:color w:val="FFFFFF" w:themeColor="background1"/>
                <w:sz w:val="20"/>
                <w:szCs w:val="20"/>
                <w:lang w:val="es-ES"/>
              </w:rPr>
              <w:t>encia</w:t>
            </w:r>
            <w:r w:rsidR="003239B8" w:rsidRPr="00FE0818">
              <w:rPr>
                <w:rFonts w:ascii="Cambria" w:hAnsi="Cambria"/>
                <w:b/>
                <w:bCs/>
                <w:i/>
                <w:color w:val="FFFFFF" w:themeColor="background1"/>
                <w:sz w:val="20"/>
                <w:szCs w:val="20"/>
                <w:lang w:val="es-ES"/>
              </w:rPr>
              <w:t xml:space="preserve"> Ratione materia</w:t>
            </w:r>
            <w:r w:rsidR="00EE00E9" w:rsidRPr="00FE0818">
              <w:rPr>
                <w:rFonts w:ascii="Cambria" w:hAnsi="Cambria"/>
                <w:b/>
                <w:bCs/>
                <w:i/>
                <w:color w:val="FFFFFF" w:themeColor="background1"/>
                <w:sz w:val="20"/>
                <w:szCs w:val="20"/>
                <w:lang w:val="es-ES"/>
              </w:rPr>
              <w:t>e</w:t>
            </w:r>
            <w:r w:rsidR="003239B8" w:rsidRPr="00FE0818">
              <w:rPr>
                <w:rFonts w:ascii="Cambria" w:hAnsi="Cambria"/>
                <w:b/>
                <w:bCs/>
                <w:color w:val="FFFFFF" w:themeColor="background1"/>
                <w:sz w:val="20"/>
                <w:szCs w:val="20"/>
                <w:lang w:val="es-ES"/>
              </w:rPr>
              <w:t>:</w:t>
            </w:r>
          </w:p>
        </w:tc>
        <w:tc>
          <w:tcPr>
            <w:tcW w:w="5760" w:type="dxa"/>
            <w:vAlign w:val="center"/>
          </w:tcPr>
          <w:p w14:paraId="0C122F44" w14:textId="78CFF01A" w:rsidR="003239B8" w:rsidRPr="003C379E" w:rsidRDefault="009115EB" w:rsidP="00C95A33">
            <w:pPr>
              <w:jc w:val="both"/>
              <w:rPr>
                <w:rFonts w:ascii="Cambria" w:hAnsi="Cambria"/>
                <w:bCs/>
                <w:sz w:val="20"/>
                <w:szCs w:val="20"/>
                <w:lang w:val="es-ES"/>
              </w:rPr>
            </w:pPr>
            <w:r w:rsidRPr="003C379E">
              <w:rPr>
                <w:rFonts w:ascii="Cambria" w:hAnsi="Cambria"/>
                <w:bCs/>
                <w:sz w:val="20"/>
                <w:szCs w:val="20"/>
                <w:lang w:val="es-ES"/>
              </w:rPr>
              <w:t>Sí</w:t>
            </w:r>
            <w:r w:rsidR="003911A2" w:rsidRPr="003C379E">
              <w:rPr>
                <w:rFonts w:ascii="Cambria" w:hAnsi="Cambria"/>
                <w:bCs/>
                <w:sz w:val="20"/>
                <w:szCs w:val="20"/>
                <w:lang w:val="es-ES"/>
              </w:rPr>
              <w:t xml:space="preserve">, </w:t>
            </w:r>
            <w:r w:rsidR="00A12802" w:rsidRPr="003C379E">
              <w:rPr>
                <w:rFonts w:ascii="Cambria" w:hAnsi="Cambria"/>
                <w:bCs/>
                <w:sz w:val="20"/>
                <w:szCs w:val="20"/>
                <w:lang w:val="es-ES"/>
              </w:rPr>
              <w:t>Conven</w:t>
            </w:r>
            <w:r w:rsidRPr="003C379E">
              <w:rPr>
                <w:rFonts w:ascii="Cambria" w:hAnsi="Cambria"/>
                <w:bCs/>
                <w:sz w:val="20"/>
                <w:szCs w:val="20"/>
                <w:lang w:val="es-ES"/>
              </w:rPr>
              <w:t>ción</w:t>
            </w:r>
            <w:r w:rsidR="00A12802" w:rsidRPr="003C379E">
              <w:rPr>
                <w:rFonts w:ascii="Cambria" w:hAnsi="Cambria"/>
                <w:bCs/>
                <w:sz w:val="20"/>
                <w:szCs w:val="20"/>
                <w:lang w:val="es-ES"/>
              </w:rPr>
              <w:t xml:space="preserve"> Americana </w:t>
            </w:r>
            <w:r w:rsidR="003911A2" w:rsidRPr="003C379E">
              <w:rPr>
                <w:rFonts w:ascii="Cambria" w:hAnsi="Cambria"/>
                <w:bCs/>
                <w:sz w:val="20"/>
                <w:szCs w:val="20"/>
                <w:lang w:val="es-ES"/>
              </w:rPr>
              <w:t>(instrumento ado</w:t>
            </w:r>
            <w:r w:rsidR="00B30B5A" w:rsidRPr="003C379E">
              <w:rPr>
                <w:rFonts w:ascii="Cambria" w:hAnsi="Cambria"/>
                <w:bCs/>
                <w:sz w:val="20"/>
                <w:szCs w:val="20"/>
                <w:lang w:val="es-ES"/>
              </w:rPr>
              <w:t>p</w:t>
            </w:r>
            <w:r w:rsidR="003911A2" w:rsidRPr="003C379E">
              <w:rPr>
                <w:rFonts w:ascii="Cambria" w:hAnsi="Cambria"/>
                <w:bCs/>
                <w:sz w:val="20"/>
                <w:szCs w:val="20"/>
                <w:lang w:val="es-ES"/>
              </w:rPr>
              <w:t xml:space="preserve">tado </w:t>
            </w:r>
            <w:r w:rsidRPr="003C379E">
              <w:rPr>
                <w:rFonts w:ascii="Cambria" w:hAnsi="Cambria"/>
                <w:bCs/>
                <w:sz w:val="20"/>
                <w:szCs w:val="20"/>
                <w:lang w:val="es-ES"/>
              </w:rPr>
              <w:t>el</w:t>
            </w:r>
            <w:r w:rsidR="003911A2" w:rsidRPr="003C379E">
              <w:rPr>
                <w:rFonts w:ascii="Cambria" w:hAnsi="Cambria"/>
                <w:bCs/>
                <w:sz w:val="20"/>
                <w:szCs w:val="20"/>
                <w:lang w:val="es-ES"/>
              </w:rPr>
              <w:t xml:space="preserve"> </w:t>
            </w:r>
            <w:r w:rsidRPr="003C379E">
              <w:rPr>
                <w:rFonts w:ascii="Cambria" w:hAnsi="Cambria"/>
                <w:bCs/>
                <w:sz w:val="20"/>
                <w:szCs w:val="20"/>
                <w:lang w:val="es-ES"/>
              </w:rPr>
              <w:t>día</w:t>
            </w:r>
            <w:r w:rsidR="003911A2" w:rsidRPr="003C379E">
              <w:rPr>
                <w:rFonts w:ascii="Cambria" w:hAnsi="Cambria"/>
                <w:bCs/>
                <w:sz w:val="20"/>
                <w:szCs w:val="20"/>
                <w:lang w:val="es-ES"/>
              </w:rPr>
              <w:t xml:space="preserve"> 25 de </w:t>
            </w:r>
            <w:r w:rsidR="00B30B5A" w:rsidRPr="003C379E">
              <w:rPr>
                <w:rFonts w:ascii="Cambria" w:hAnsi="Cambria"/>
                <w:bCs/>
                <w:sz w:val="20"/>
                <w:szCs w:val="20"/>
                <w:lang w:val="es-ES"/>
              </w:rPr>
              <w:t>septiembre</w:t>
            </w:r>
            <w:r w:rsidR="003911A2" w:rsidRPr="003C379E">
              <w:rPr>
                <w:rFonts w:ascii="Cambria" w:hAnsi="Cambria"/>
                <w:bCs/>
                <w:sz w:val="20"/>
                <w:szCs w:val="20"/>
                <w:lang w:val="es-ES"/>
              </w:rPr>
              <w:t xml:space="preserve"> de 1992)</w:t>
            </w:r>
          </w:p>
        </w:tc>
      </w:tr>
    </w:tbl>
    <w:p w14:paraId="4E92C444" w14:textId="5E21DC8C" w:rsidR="003239B8" w:rsidRPr="003C379E" w:rsidRDefault="003239B8" w:rsidP="003239B8">
      <w:pPr>
        <w:spacing w:before="240" w:after="240"/>
        <w:ind w:firstLine="720"/>
        <w:jc w:val="both"/>
        <w:rPr>
          <w:rFonts w:ascii="Cambria" w:hAnsi="Cambria"/>
          <w:b/>
          <w:bCs/>
          <w:sz w:val="20"/>
          <w:szCs w:val="20"/>
          <w:lang w:val="es-ES"/>
        </w:rPr>
      </w:pPr>
      <w:r w:rsidRPr="003C379E">
        <w:rPr>
          <w:rFonts w:ascii="Cambria" w:hAnsi="Cambria"/>
          <w:b/>
          <w:bCs/>
          <w:sz w:val="20"/>
          <w:szCs w:val="20"/>
          <w:lang w:val="es-ES"/>
        </w:rPr>
        <w:t xml:space="preserve">IV. </w:t>
      </w:r>
      <w:r w:rsidRPr="003C379E">
        <w:rPr>
          <w:rFonts w:ascii="Cambria" w:hAnsi="Cambria"/>
          <w:b/>
          <w:bCs/>
          <w:sz w:val="20"/>
          <w:szCs w:val="20"/>
          <w:lang w:val="es-ES"/>
        </w:rPr>
        <w:tab/>
      </w:r>
      <w:r w:rsidR="00D21316" w:rsidRPr="003C379E">
        <w:rPr>
          <w:rFonts w:ascii="Cambria" w:hAnsi="Cambria"/>
          <w:b/>
          <w:bCs/>
          <w:sz w:val="20"/>
          <w:szCs w:val="20"/>
          <w:lang w:val="es-ES"/>
        </w:rPr>
        <w:t>DUPLICA</w:t>
      </w:r>
      <w:r w:rsidR="009115EB" w:rsidRPr="003C379E">
        <w:rPr>
          <w:rFonts w:ascii="Cambria" w:hAnsi="Cambria"/>
          <w:b/>
          <w:bCs/>
          <w:sz w:val="20"/>
          <w:szCs w:val="20"/>
          <w:lang w:val="es-ES"/>
        </w:rPr>
        <w:t>CIÓN</w:t>
      </w:r>
      <w:r w:rsidR="00EE00E9" w:rsidRPr="003C379E">
        <w:rPr>
          <w:rFonts w:ascii="Cambria" w:hAnsi="Cambria"/>
          <w:b/>
          <w:bCs/>
          <w:color w:val="FFFFFF" w:themeColor="background1"/>
          <w:sz w:val="20"/>
          <w:szCs w:val="20"/>
          <w:lang w:val="es-ES"/>
        </w:rPr>
        <w:t xml:space="preserve"> </w:t>
      </w:r>
      <w:r w:rsidR="00D21316" w:rsidRPr="003C379E">
        <w:rPr>
          <w:rFonts w:ascii="Cambria" w:hAnsi="Cambria"/>
          <w:b/>
          <w:bCs/>
          <w:sz w:val="20"/>
          <w:szCs w:val="20"/>
          <w:lang w:val="es-ES"/>
        </w:rPr>
        <w:t>DE PROCEDIM</w:t>
      </w:r>
      <w:r w:rsidR="00B30B5A" w:rsidRPr="003C379E">
        <w:rPr>
          <w:rFonts w:ascii="Cambria" w:hAnsi="Cambria"/>
          <w:b/>
          <w:bCs/>
          <w:sz w:val="20"/>
          <w:szCs w:val="20"/>
          <w:lang w:val="es-ES"/>
        </w:rPr>
        <w:t>I</w:t>
      </w:r>
      <w:r w:rsidR="00D21316" w:rsidRPr="003C379E">
        <w:rPr>
          <w:rFonts w:ascii="Cambria" w:hAnsi="Cambria"/>
          <w:b/>
          <w:bCs/>
          <w:sz w:val="20"/>
          <w:szCs w:val="20"/>
          <w:lang w:val="es-ES"/>
        </w:rPr>
        <w:t xml:space="preserve">ENTOS </w:t>
      </w:r>
      <w:r w:rsidR="009115EB" w:rsidRPr="003C379E">
        <w:rPr>
          <w:rFonts w:ascii="Cambria" w:hAnsi="Cambria"/>
          <w:b/>
          <w:bCs/>
          <w:sz w:val="20"/>
          <w:szCs w:val="20"/>
          <w:lang w:val="es-ES"/>
        </w:rPr>
        <w:t>Y</w:t>
      </w:r>
      <w:r w:rsidR="00EE00E9" w:rsidRPr="003C379E">
        <w:rPr>
          <w:rFonts w:ascii="Cambria" w:hAnsi="Cambria"/>
          <w:b/>
          <w:bCs/>
          <w:sz w:val="20"/>
          <w:szCs w:val="20"/>
          <w:lang w:val="es-ES"/>
        </w:rPr>
        <w:t xml:space="preserve"> </w:t>
      </w:r>
      <w:r w:rsidR="009115EB" w:rsidRPr="003C379E">
        <w:rPr>
          <w:rFonts w:ascii="Cambria" w:hAnsi="Cambria"/>
          <w:b/>
          <w:bCs/>
          <w:sz w:val="20"/>
          <w:szCs w:val="20"/>
          <w:lang w:val="es-ES"/>
        </w:rPr>
        <w:t>COSA</w:t>
      </w:r>
      <w:r w:rsidR="00D21316" w:rsidRPr="003C379E">
        <w:rPr>
          <w:rFonts w:ascii="Cambria" w:hAnsi="Cambria"/>
          <w:b/>
          <w:bCs/>
          <w:sz w:val="20"/>
          <w:szCs w:val="20"/>
          <w:lang w:val="es-ES"/>
        </w:rPr>
        <w:t xml:space="preserve"> </w:t>
      </w:r>
      <w:r w:rsidR="00B05EA6" w:rsidRPr="003C379E">
        <w:rPr>
          <w:rFonts w:ascii="Cambria" w:hAnsi="Cambria"/>
          <w:b/>
          <w:bCs/>
          <w:sz w:val="20"/>
          <w:szCs w:val="20"/>
          <w:lang w:val="es-ES"/>
        </w:rPr>
        <w:t>JUZGA</w:t>
      </w:r>
      <w:r w:rsidR="00EE00E9" w:rsidRPr="003C379E">
        <w:rPr>
          <w:rFonts w:ascii="Cambria" w:hAnsi="Cambria"/>
          <w:b/>
          <w:bCs/>
          <w:sz w:val="20"/>
          <w:szCs w:val="20"/>
          <w:lang w:val="es-ES"/>
        </w:rPr>
        <w:t>DA</w:t>
      </w:r>
      <w:r w:rsidR="00EE00E9" w:rsidRPr="003C379E">
        <w:rPr>
          <w:rFonts w:ascii="Cambria" w:hAnsi="Cambria"/>
          <w:b/>
          <w:bCs/>
          <w:i/>
          <w:sz w:val="20"/>
          <w:szCs w:val="20"/>
          <w:lang w:val="es-ES"/>
        </w:rPr>
        <w:t xml:space="preserve"> </w:t>
      </w:r>
      <w:r w:rsidR="00EE00E9" w:rsidRPr="003C379E">
        <w:rPr>
          <w:rFonts w:ascii="Cambria" w:hAnsi="Cambria"/>
          <w:b/>
          <w:bCs/>
          <w:sz w:val="20"/>
          <w:szCs w:val="20"/>
          <w:lang w:val="es-ES"/>
        </w:rPr>
        <w:t xml:space="preserve">INTERNACIONAL, </w:t>
      </w:r>
      <w:r w:rsidR="00D21316" w:rsidRPr="003C379E">
        <w:rPr>
          <w:rFonts w:ascii="Cambria" w:hAnsi="Cambria"/>
          <w:b/>
          <w:bCs/>
          <w:sz w:val="20"/>
          <w:szCs w:val="20"/>
          <w:lang w:val="es-ES"/>
        </w:rPr>
        <w:t>CARACTERIZA</w:t>
      </w:r>
      <w:r w:rsidR="009115EB" w:rsidRPr="003C379E">
        <w:rPr>
          <w:rFonts w:ascii="Cambria" w:hAnsi="Cambria"/>
          <w:b/>
          <w:bCs/>
          <w:sz w:val="20"/>
          <w:szCs w:val="20"/>
          <w:lang w:val="es-ES"/>
        </w:rPr>
        <w:t>CIÓN</w:t>
      </w:r>
      <w:r w:rsidRPr="003C379E">
        <w:rPr>
          <w:rFonts w:ascii="Cambria" w:hAnsi="Cambria"/>
          <w:b/>
          <w:bCs/>
          <w:sz w:val="20"/>
          <w:szCs w:val="20"/>
          <w:lang w:val="es-ES"/>
        </w:rPr>
        <w:t xml:space="preserve">, </w:t>
      </w:r>
      <w:r w:rsidR="009115EB" w:rsidRPr="003C379E">
        <w:rPr>
          <w:rFonts w:ascii="Cambria" w:hAnsi="Cambria"/>
          <w:b/>
          <w:sz w:val="20"/>
          <w:szCs w:val="20"/>
          <w:lang w:val="es-ES"/>
        </w:rPr>
        <w:t>AGOTAMIE</w:t>
      </w:r>
      <w:r w:rsidRPr="003C379E">
        <w:rPr>
          <w:rFonts w:ascii="Cambria" w:hAnsi="Cambria"/>
          <w:b/>
          <w:sz w:val="20"/>
          <w:szCs w:val="20"/>
          <w:lang w:val="es-ES"/>
        </w:rPr>
        <w:t xml:space="preserve">NTO </w:t>
      </w:r>
      <w:r w:rsidR="009115EB" w:rsidRPr="003C379E">
        <w:rPr>
          <w:rFonts w:ascii="Cambria" w:hAnsi="Cambria"/>
          <w:b/>
          <w:sz w:val="20"/>
          <w:szCs w:val="20"/>
          <w:lang w:val="es-ES"/>
        </w:rPr>
        <w:t>DE LOS</w:t>
      </w:r>
      <w:r w:rsidR="00D21316" w:rsidRPr="003C379E">
        <w:rPr>
          <w:rFonts w:ascii="Cambria" w:hAnsi="Cambria"/>
          <w:b/>
          <w:sz w:val="20"/>
          <w:szCs w:val="20"/>
          <w:lang w:val="es-ES"/>
        </w:rPr>
        <w:t xml:space="preserve"> RECURSOS INTERNOS </w:t>
      </w:r>
      <w:r w:rsidR="009115EB" w:rsidRPr="003C379E">
        <w:rPr>
          <w:rFonts w:ascii="Cambria" w:hAnsi="Cambria"/>
          <w:b/>
          <w:sz w:val="20"/>
          <w:szCs w:val="20"/>
          <w:lang w:val="es-ES"/>
        </w:rPr>
        <w:t>Y</w:t>
      </w:r>
      <w:r w:rsidR="00D21316" w:rsidRPr="003C379E">
        <w:rPr>
          <w:rFonts w:ascii="Cambria" w:hAnsi="Cambria"/>
          <w:b/>
          <w:sz w:val="20"/>
          <w:szCs w:val="20"/>
          <w:lang w:val="es-ES"/>
        </w:rPr>
        <w:t xml:space="preserve"> </w:t>
      </w:r>
      <w:r w:rsidR="009115EB" w:rsidRPr="003C379E">
        <w:rPr>
          <w:rFonts w:ascii="Cambria" w:hAnsi="Cambria"/>
          <w:b/>
          <w:sz w:val="20"/>
          <w:szCs w:val="20"/>
          <w:lang w:val="es-ES"/>
        </w:rPr>
        <w:t>PLAZO</w:t>
      </w:r>
      <w:r w:rsidRPr="003C379E">
        <w:rPr>
          <w:rFonts w:ascii="Cambria" w:hAnsi="Cambria"/>
          <w:b/>
          <w:sz w:val="20"/>
          <w:szCs w:val="20"/>
          <w:lang w:val="es-ES"/>
        </w:rPr>
        <w:t xml:space="preserve"> DE </w:t>
      </w:r>
      <w:r w:rsidR="009115EB" w:rsidRPr="003C379E">
        <w:rPr>
          <w:rFonts w:ascii="Cambria" w:hAnsi="Cambria"/>
          <w:b/>
          <w:sz w:val="20"/>
          <w:szCs w:val="20"/>
          <w:lang w:val="es-ES"/>
        </w:rPr>
        <w:t>PRESENT</w:t>
      </w:r>
      <w:r w:rsidR="00D21316" w:rsidRPr="003C379E">
        <w:rPr>
          <w:rFonts w:ascii="Cambria" w:hAnsi="Cambria"/>
          <w:b/>
          <w:sz w:val="20"/>
          <w:szCs w:val="20"/>
          <w:lang w:val="es-ES"/>
        </w:rPr>
        <w:t>A</w:t>
      </w:r>
      <w:r w:rsidR="009115EB" w:rsidRPr="003C379E">
        <w:rPr>
          <w:rFonts w:ascii="Cambria" w:hAnsi="Cambria"/>
          <w:b/>
          <w:sz w:val="20"/>
          <w:szCs w:val="20"/>
          <w:lang w:val="es-ES"/>
        </w:rPr>
        <w:t>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C379E" w14:paraId="1231C988" w14:textId="77777777" w:rsidTr="00F3289A">
        <w:trPr>
          <w:cantSplit/>
        </w:trPr>
        <w:tc>
          <w:tcPr>
            <w:tcW w:w="3600" w:type="dxa"/>
            <w:tcBorders>
              <w:top w:val="single" w:sz="4" w:space="0" w:color="auto"/>
              <w:bottom w:val="single" w:sz="6" w:space="0" w:color="auto"/>
            </w:tcBorders>
            <w:shd w:val="clear" w:color="auto" w:fill="4A7194"/>
            <w:vAlign w:val="center"/>
          </w:tcPr>
          <w:p w14:paraId="6F8031F4" w14:textId="1E0A4DBE" w:rsidR="00EE00E9" w:rsidRPr="00FE0818" w:rsidRDefault="00D21316"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Duplica</w:t>
            </w:r>
            <w:r w:rsidR="009115EB" w:rsidRPr="00FE0818">
              <w:rPr>
                <w:rFonts w:ascii="Cambria" w:hAnsi="Cambria"/>
                <w:b/>
                <w:bCs/>
                <w:color w:val="FFFFFF" w:themeColor="background1"/>
                <w:sz w:val="20"/>
                <w:szCs w:val="20"/>
                <w:lang w:val="es-ES"/>
              </w:rPr>
              <w:t>ción</w:t>
            </w:r>
            <w:r w:rsidRPr="00FE0818">
              <w:rPr>
                <w:rFonts w:ascii="Cambria" w:hAnsi="Cambria"/>
                <w:b/>
                <w:bCs/>
                <w:color w:val="FFFFFF" w:themeColor="background1"/>
                <w:sz w:val="20"/>
                <w:szCs w:val="20"/>
                <w:lang w:val="es-ES"/>
              </w:rPr>
              <w:t xml:space="preserve"> de procedim</w:t>
            </w:r>
            <w:r w:rsidR="00BF6A21" w:rsidRPr="00FE0818">
              <w:rPr>
                <w:rFonts w:ascii="Cambria" w:hAnsi="Cambria"/>
                <w:b/>
                <w:bCs/>
                <w:color w:val="FFFFFF" w:themeColor="background1"/>
                <w:sz w:val="20"/>
                <w:szCs w:val="20"/>
                <w:lang w:val="es-ES"/>
              </w:rPr>
              <w:t>i</w:t>
            </w:r>
            <w:r w:rsidRPr="00FE0818">
              <w:rPr>
                <w:rFonts w:ascii="Cambria" w:hAnsi="Cambria"/>
                <w:b/>
                <w:bCs/>
                <w:color w:val="FFFFFF" w:themeColor="background1"/>
                <w:sz w:val="20"/>
                <w:szCs w:val="20"/>
                <w:lang w:val="es-ES"/>
              </w:rPr>
              <w:t xml:space="preserve">entos </w:t>
            </w:r>
            <w:r w:rsidR="009115EB" w:rsidRPr="00FE0818">
              <w:rPr>
                <w:rFonts w:ascii="Cambria" w:hAnsi="Cambria"/>
                <w:b/>
                <w:bCs/>
                <w:color w:val="FFFFFF" w:themeColor="background1"/>
                <w:sz w:val="20"/>
                <w:szCs w:val="20"/>
                <w:lang w:val="es-ES"/>
              </w:rPr>
              <w:t>y</w:t>
            </w:r>
            <w:r w:rsidR="00EE00E9" w:rsidRPr="00FE0818">
              <w:rPr>
                <w:rFonts w:ascii="Cambria" w:hAnsi="Cambria"/>
                <w:b/>
                <w:bCs/>
                <w:color w:val="FFFFFF" w:themeColor="background1"/>
                <w:sz w:val="20"/>
                <w:szCs w:val="20"/>
                <w:lang w:val="es-ES"/>
              </w:rPr>
              <w:t xml:space="preserve"> </w:t>
            </w:r>
            <w:r w:rsidR="009115EB" w:rsidRPr="00FE0818">
              <w:rPr>
                <w:rFonts w:ascii="Cambria" w:hAnsi="Cambria"/>
                <w:b/>
                <w:bCs/>
                <w:color w:val="FFFFFF" w:themeColor="background1"/>
                <w:sz w:val="20"/>
                <w:szCs w:val="20"/>
                <w:lang w:val="es-ES"/>
              </w:rPr>
              <w:t>cosa</w:t>
            </w:r>
            <w:r w:rsidRPr="00FE0818">
              <w:rPr>
                <w:rFonts w:ascii="Cambria" w:hAnsi="Cambria"/>
                <w:b/>
                <w:bCs/>
                <w:color w:val="FFFFFF" w:themeColor="background1"/>
                <w:sz w:val="20"/>
                <w:szCs w:val="20"/>
                <w:lang w:val="es-ES"/>
              </w:rPr>
              <w:t xml:space="preserve"> </w:t>
            </w:r>
            <w:r w:rsidR="00B05EA6" w:rsidRPr="00FE0818">
              <w:rPr>
                <w:rFonts w:ascii="Cambria" w:hAnsi="Cambria"/>
                <w:b/>
                <w:bCs/>
                <w:color w:val="FFFFFF" w:themeColor="background1"/>
                <w:sz w:val="20"/>
                <w:szCs w:val="20"/>
                <w:lang w:val="es-ES"/>
              </w:rPr>
              <w:t>juzga</w:t>
            </w:r>
            <w:r w:rsidR="00EE00E9" w:rsidRPr="00FE0818">
              <w:rPr>
                <w:rFonts w:ascii="Cambria" w:hAnsi="Cambria"/>
                <w:b/>
                <w:bCs/>
                <w:color w:val="FFFFFF" w:themeColor="background1"/>
                <w:sz w:val="20"/>
                <w:szCs w:val="20"/>
                <w:lang w:val="es-ES"/>
              </w:rPr>
              <w:t>da internacional:</w:t>
            </w:r>
          </w:p>
        </w:tc>
        <w:tc>
          <w:tcPr>
            <w:tcW w:w="5760" w:type="dxa"/>
            <w:vAlign w:val="center"/>
          </w:tcPr>
          <w:p w14:paraId="240941E6" w14:textId="45AF401B" w:rsidR="00EE00E9" w:rsidRPr="003C379E" w:rsidRDefault="009115EB" w:rsidP="009115EB">
            <w:pPr>
              <w:jc w:val="both"/>
              <w:rPr>
                <w:rFonts w:ascii="Cambria" w:hAnsi="Cambria"/>
                <w:bCs/>
                <w:sz w:val="20"/>
                <w:szCs w:val="20"/>
                <w:lang w:val="es-ES"/>
              </w:rPr>
            </w:pPr>
            <w:r w:rsidRPr="003C379E">
              <w:rPr>
                <w:rFonts w:ascii="Cambria" w:hAnsi="Cambria"/>
                <w:bCs/>
                <w:sz w:val="20"/>
                <w:szCs w:val="20"/>
                <w:lang w:val="es-ES"/>
              </w:rPr>
              <w:t>No</w:t>
            </w:r>
          </w:p>
        </w:tc>
      </w:tr>
      <w:tr w:rsidR="003239B8" w:rsidRPr="001F41CC" w14:paraId="15FAA7D1" w14:textId="77777777" w:rsidTr="00F3289A">
        <w:trPr>
          <w:cantSplit/>
        </w:trPr>
        <w:tc>
          <w:tcPr>
            <w:tcW w:w="3600" w:type="dxa"/>
            <w:tcBorders>
              <w:top w:val="single" w:sz="6" w:space="0" w:color="auto"/>
              <w:bottom w:val="single" w:sz="6" w:space="0" w:color="auto"/>
            </w:tcBorders>
            <w:shd w:val="clear" w:color="auto" w:fill="4A7194"/>
            <w:vAlign w:val="center"/>
          </w:tcPr>
          <w:p w14:paraId="1B0D29FF" w14:textId="3E7477E1" w:rsidR="003239B8" w:rsidRPr="00FE0818" w:rsidRDefault="009115EB" w:rsidP="005C6A83">
            <w:pPr>
              <w:jc w:val="center"/>
              <w:rPr>
                <w:rFonts w:ascii="Cambria" w:hAnsi="Cambria"/>
                <w:b/>
                <w:bCs/>
                <w:i/>
                <w:color w:val="FFFFFF" w:themeColor="background1"/>
                <w:sz w:val="20"/>
                <w:szCs w:val="20"/>
                <w:lang w:val="es-ES"/>
              </w:rPr>
            </w:pPr>
            <w:r w:rsidRPr="00FE0818">
              <w:rPr>
                <w:rFonts w:ascii="Cambria" w:hAnsi="Cambria"/>
                <w:b/>
                <w:bCs/>
                <w:color w:val="FFFFFF" w:themeColor="background1"/>
                <w:sz w:val="20"/>
                <w:szCs w:val="20"/>
                <w:lang w:val="es-ES"/>
              </w:rPr>
              <w:t>Derech</w:t>
            </w:r>
            <w:r w:rsidR="00D21316" w:rsidRPr="00FE0818">
              <w:rPr>
                <w:rFonts w:ascii="Cambria" w:hAnsi="Cambria"/>
                <w:b/>
                <w:bCs/>
                <w:color w:val="FFFFFF" w:themeColor="background1"/>
                <w:sz w:val="20"/>
                <w:szCs w:val="20"/>
                <w:lang w:val="es-ES"/>
              </w:rPr>
              <w:t>os</w:t>
            </w:r>
            <w:r w:rsidR="003239B8" w:rsidRPr="00FE0818">
              <w:rPr>
                <w:rFonts w:ascii="Cambria" w:hAnsi="Cambria"/>
                <w:b/>
                <w:bCs/>
                <w:color w:val="FFFFFF" w:themeColor="background1"/>
                <w:sz w:val="20"/>
                <w:szCs w:val="20"/>
                <w:lang w:val="es-ES"/>
              </w:rPr>
              <w:t xml:space="preserve"> declarados </w:t>
            </w:r>
            <w:r w:rsidR="00D21316" w:rsidRPr="00FE0818">
              <w:rPr>
                <w:rFonts w:ascii="Cambria" w:hAnsi="Cambria"/>
                <w:b/>
                <w:bCs/>
                <w:color w:val="FFFFFF" w:themeColor="background1"/>
                <w:sz w:val="20"/>
                <w:szCs w:val="20"/>
                <w:lang w:val="es-ES"/>
              </w:rPr>
              <w:t>admi</w:t>
            </w:r>
            <w:r w:rsidR="005C6A83" w:rsidRPr="00FE0818">
              <w:rPr>
                <w:rFonts w:ascii="Cambria" w:hAnsi="Cambria"/>
                <w:b/>
                <w:bCs/>
                <w:color w:val="FFFFFF" w:themeColor="background1"/>
                <w:sz w:val="20"/>
                <w:szCs w:val="20"/>
                <w:lang w:val="es-ES"/>
              </w:rPr>
              <w:t>sible</w:t>
            </w:r>
            <w:r w:rsidR="00D21316" w:rsidRPr="00FE0818">
              <w:rPr>
                <w:rFonts w:ascii="Cambria" w:hAnsi="Cambria"/>
                <w:b/>
                <w:bCs/>
                <w:color w:val="FFFFFF" w:themeColor="background1"/>
                <w:sz w:val="20"/>
                <w:szCs w:val="20"/>
                <w:lang w:val="es-ES"/>
              </w:rPr>
              <w:t>s</w:t>
            </w:r>
            <w:r w:rsidR="003239B8" w:rsidRPr="00FE0818">
              <w:rPr>
                <w:rFonts w:ascii="Cambria" w:hAnsi="Cambria"/>
                <w:b/>
                <w:bCs/>
                <w:i/>
                <w:color w:val="FFFFFF" w:themeColor="background1"/>
                <w:sz w:val="20"/>
                <w:szCs w:val="20"/>
                <w:lang w:val="es-ES"/>
              </w:rPr>
              <w:t>:</w:t>
            </w:r>
          </w:p>
        </w:tc>
        <w:tc>
          <w:tcPr>
            <w:tcW w:w="5760" w:type="dxa"/>
            <w:vAlign w:val="center"/>
          </w:tcPr>
          <w:p w14:paraId="6310C8F7" w14:textId="43E52FF2" w:rsidR="003239B8" w:rsidRPr="003C379E" w:rsidRDefault="009115EB" w:rsidP="00C95A33">
            <w:pPr>
              <w:jc w:val="both"/>
              <w:rPr>
                <w:rFonts w:ascii="Cambria" w:hAnsi="Cambria"/>
                <w:bCs/>
                <w:sz w:val="20"/>
                <w:szCs w:val="20"/>
                <w:lang w:val="es-ES"/>
              </w:rPr>
            </w:pPr>
            <w:r w:rsidRPr="003C379E">
              <w:rPr>
                <w:rFonts w:ascii="Cambria" w:hAnsi="Cambria"/>
                <w:bCs/>
                <w:sz w:val="20"/>
                <w:szCs w:val="20"/>
                <w:lang w:val="es-ES"/>
              </w:rPr>
              <w:t>Artículo</w:t>
            </w:r>
            <w:r w:rsidR="00C7574A" w:rsidRPr="003C379E">
              <w:rPr>
                <w:rFonts w:ascii="Cambria" w:hAnsi="Cambria"/>
                <w:bCs/>
                <w:sz w:val="20"/>
                <w:szCs w:val="20"/>
                <w:lang w:val="es-ES"/>
              </w:rPr>
              <w:t>s 5 (integri</w:t>
            </w:r>
            <w:r w:rsidRPr="003C379E">
              <w:rPr>
                <w:rFonts w:ascii="Cambria" w:hAnsi="Cambria"/>
                <w:bCs/>
                <w:sz w:val="20"/>
                <w:szCs w:val="20"/>
                <w:lang w:val="es-ES"/>
              </w:rPr>
              <w:t>dad persona</w:t>
            </w:r>
            <w:r w:rsidR="00C7574A" w:rsidRPr="003C379E">
              <w:rPr>
                <w:rFonts w:ascii="Cambria" w:hAnsi="Cambria"/>
                <w:bCs/>
                <w:sz w:val="20"/>
                <w:szCs w:val="20"/>
                <w:lang w:val="es-ES"/>
              </w:rPr>
              <w:t>l), 8 (</w:t>
            </w:r>
            <w:r w:rsidR="00B05EA6" w:rsidRPr="003C379E">
              <w:rPr>
                <w:rFonts w:ascii="Cambria" w:hAnsi="Cambria"/>
                <w:bCs/>
                <w:sz w:val="20"/>
                <w:szCs w:val="20"/>
                <w:lang w:val="es-ES"/>
              </w:rPr>
              <w:t>garantía</w:t>
            </w:r>
            <w:r w:rsidR="00C7574A" w:rsidRPr="003C379E">
              <w:rPr>
                <w:rFonts w:ascii="Cambria" w:hAnsi="Cambria"/>
                <w:bCs/>
                <w:sz w:val="20"/>
                <w:szCs w:val="20"/>
                <w:lang w:val="es-ES"/>
              </w:rPr>
              <w:t>s judici</w:t>
            </w:r>
            <w:r w:rsidR="00B05EA6" w:rsidRPr="003C379E">
              <w:rPr>
                <w:rFonts w:ascii="Cambria" w:hAnsi="Cambria"/>
                <w:bCs/>
                <w:sz w:val="20"/>
                <w:szCs w:val="20"/>
                <w:lang w:val="es-ES"/>
              </w:rPr>
              <w:t>ales)</w:t>
            </w:r>
            <w:r w:rsidR="00C7574A" w:rsidRPr="003C379E">
              <w:rPr>
                <w:rFonts w:ascii="Cambria" w:hAnsi="Cambria"/>
                <w:bCs/>
                <w:sz w:val="20"/>
                <w:szCs w:val="20"/>
                <w:lang w:val="es-ES"/>
              </w:rPr>
              <w:t xml:space="preserve">, 11 (honra </w:t>
            </w:r>
            <w:r w:rsidRPr="003C379E">
              <w:rPr>
                <w:rFonts w:ascii="Cambria" w:hAnsi="Cambria"/>
                <w:bCs/>
                <w:sz w:val="20"/>
                <w:szCs w:val="20"/>
                <w:lang w:val="es-ES"/>
              </w:rPr>
              <w:t>y</w:t>
            </w:r>
            <w:r w:rsidR="00C7574A" w:rsidRPr="003C379E">
              <w:rPr>
                <w:rFonts w:ascii="Cambria" w:hAnsi="Cambria"/>
                <w:bCs/>
                <w:sz w:val="20"/>
                <w:szCs w:val="20"/>
                <w:lang w:val="es-ES"/>
              </w:rPr>
              <w:t xml:space="preserve"> dignidad),</w:t>
            </w:r>
            <w:r w:rsidR="00A710D9" w:rsidRPr="003C379E">
              <w:rPr>
                <w:rFonts w:ascii="Cambria" w:hAnsi="Cambria"/>
                <w:bCs/>
                <w:sz w:val="20"/>
                <w:szCs w:val="20"/>
                <w:lang w:val="es-ES"/>
              </w:rPr>
              <w:t xml:space="preserve"> </w:t>
            </w:r>
            <w:r w:rsidR="00FF7024" w:rsidRPr="003C379E">
              <w:rPr>
                <w:rFonts w:ascii="Cambria" w:hAnsi="Cambria"/>
                <w:bCs/>
                <w:sz w:val="20"/>
                <w:szCs w:val="20"/>
                <w:lang w:val="es-ES"/>
              </w:rPr>
              <w:t>13 (</w:t>
            </w:r>
            <w:r w:rsidRPr="003C379E">
              <w:rPr>
                <w:rFonts w:ascii="Cambria" w:hAnsi="Cambria"/>
                <w:bCs/>
                <w:sz w:val="20"/>
                <w:szCs w:val="20"/>
                <w:lang w:val="es-ES"/>
              </w:rPr>
              <w:t xml:space="preserve">libertad </w:t>
            </w:r>
            <w:r w:rsidR="00FF7024" w:rsidRPr="003C379E">
              <w:rPr>
                <w:rFonts w:ascii="Cambria" w:hAnsi="Cambria"/>
                <w:bCs/>
                <w:sz w:val="20"/>
                <w:szCs w:val="20"/>
                <w:lang w:val="es-ES"/>
              </w:rPr>
              <w:t>de pensam</w:t>
            </w:r>
            <w:r w:rsidR="00B30B5A" w:rsidRPr="003C379E">
              <w:rPr>
                <w:rFonts w:ascii="Cambria" w:hAnsi="Cambria"/>
                <w:bCs/>
                <w:sz w:val="20"/>
                <w:szCs w:val="20"/>
                <w:lang w:val="es-ES"/>
              </w:rPr>
              <w:t>i</w:t>
            </w:r>
            <w:r w:rsidR="00FF7024" w:rsidRPr="003C379E">
              <w:rPr>
                <w:rFonts w:ascii="Cambria" w:hAnsi="Cambria"/>
                <w:bCs/>
                <w:sz w:val="20"/>
                <w:szCs w:val="20"/>
                <w:lang w:val="es-ES"/>
              </w:rPr>
              <w:t xml:space="preserve">ento </w:t>
            </w:r>
            <w:r w:rsidRPr="003C379E">
              <w:rPr>
                <w:rFonts w:ascii="Cambria" w:hAnsi="Cambria"/>
                <w:bCs/>
                <w:sz w:val="20"/>
                <w:szCs w:val="20"/>
                <w:lang w:val="es-ES"/>
              </w:rPr>
              <w:t>y</w:t>
            </w:r>
            <w:r w:rsidR="00FF7024" w:rsidRPr="003C379E">
              <w:rPr>
                <w:rFonts w:ascii="Cambria" w:hAnsi="Cambria"/>
                <w:bCs/>
                <w:sz w:val="20"/>
                <w:szCs w:val="20"/>
                <w:lang w:val="es-ES"/>
              </w:rPr>
              <w:t xml:space="preserve"> expre</w:t>
            </w:r>
            <w:r w:rsidRPr="003C379E">
              <w:rPr>
                <w:rFonts w:ascii="Cambria" w:hAnsi="Cambria"/>
                <w:bCs/>
                <w:sz w:val="20"/>
                <w:szCs w:val="20"/>
                <w:lang w:val="es-ES"/>
              </w:rPr>
              <w:t>sión</w:t>
            </w:r>
            <w:r w:rsidR="00FF7024" w:rsidRPr="003C379E">
              <w:rPr>
                <w:rFonts w:ascii="Cambria" w:hAnsi="Cambria"/>
                <w:bCs/>
                <w:sz w:val="20"/>
                <w:szCs w:val="20"/>
                <w:lang w:val="es-ES"/>
              </w:rPr>
              <w:t>)</w:t>
            </w:r>
            <w:r w:rsidR="00C7574A" w:rsidRPr="003C379E">
              <w:rPr>
                <w:rFonts w:ascii="Cambria" w:hAnsi="Cambria"/>
                <w:bCs/>
                <w:sz w:val="20"/>
                <w:szCs w:val="20"/>
                <w:lang w:val="es-ES"/>
              </w:rPr>
              <w:t xml:space="preserve"> </w:t>
            </w:r>
            <w:r w:rsidRPr="003C379E">
              <w:rPr>
                <w:rFonts w:ascii="Cambria" w:hAnsi="Cambria"/>
                <w:bCs/>
                <w:sz w:val="20"/>
                <w:szCs w:val="20"/>
                <w:lang w:val="es-ES"/>
              </w:rPr>
              <w:t>y</w:t>
            </w:r>
            <w:r w:rsidR="00C7574A" w:rsidRPr="003C379E">
              <w:rPr>
                <w:rFonts w:ascii="Cambria" w:hAnsi="Cambria"/>
                <w:bCs/>
                <w:sz w:val="20"/>
                <w:szCs w:val="20"/>
                <w:lang w:val="es-ES"/>
              </w:rPr>
              <w:t xml:space="preserve"> 25 (</w:t>
            </w:r>
            <w:r w:rsidR="00B05EA6" w:rsidRPr="003C379E">
              <w:rPr>
                <w:rFonts w:ascii="Cambria" w:hAnsi="Cambria"/>
                <w:bCs/>
                <w:sz w:val="20"/>
                <w:szCs w:val="20"/>
                <w:lang w:val="es-ES"/>
              </w:rPr>
              <w:t>protección</w:t>
            </w:r>
            <w:r w:rsidR="00C7574A" w:rsidRPr="003C379E">
              <w:rPr>
                <w:rFonts w:ascii="Cambria" w:hAnsi="Cambria"/>
                <w:bCs/>
                <w:sz w:val="20"/>
                <w:szCs w:val="20"/>
                <w:lang w:val="es-ES"/>
              </w:rPr>
              <w:t xml:space="preserve"> judicial)</w:t>
            </w:r>
            <w:r w:rsidR="00FF7024" w:rsidRPr="003C379E">
              <w:rPr>
                <w:rFonts w:ascii="Cambria" w:hAnsi="Cambria"/>
                <w:bCs/>
                <w:sz w:val="20"/>
                <w:szCs w:val="20"/>
                <w:lang w:val="es-ES"/>
              </w:rPr>
              <w:t xml:space="preserve"> </w:t>
            </w:r>
            <w:r w:rsidRPr="003C379E">
              <w:rPr>
                <w:rFonts w:ascii="Cambria" w:hAnsi="Cambria"/>
                <w:bCs/>
                <w:sz w:val="20"/>
                <w:szCs w:val="20"/>
                <w:lang w:val="es-ES"/>
              </w:rPr>
              <w:t>de la</w:t>
            </w:r>
            <w:r w:rsidR="00FF7024" w:rsidRPr="003C379E">
              <w:rPr>
                <w:rFonts w:ascii="Cambria" w:hAnsi="Cambria"/>
                <w:bCs/>
                <w:sz w:val="20"/>
                <w:szCs w:val="20"/>
                <w:lang w:val="es-ES"/>
              </w:rPr>
              <w:t xml:space="preserve"> Conven</w:t>
            </w:r>
            <w:r w:rsidRPr="003C379E">
              <w:rPr>
                <w:rFonts w:ascii="Cambria" w:hAnsi="Cambria"/>
                <w:bCs/>
                <w:sz w:val="20"/>
                <w:szCs w:val="20"/>
                <w:lang w:val="es-ES"/>
              </w:rPr>
              <w:t>ción</w:t>
            </w:r>
            <w:r w:rsidR="00FF7024" w:rsidRPr="003C379E">
              <w:rPr>
                <w:rFonts w:ascii="Cambria" w:hAnsi="Cambria"/>
                <w:bCs/>
                <w:sz w:val="20"/>
                <w:szCs w:val="20"/>
                <w:lang w:val="es-ES"/>
              </w:rPr>
              <w:t xml:space="preserve"> Americana </w:t>
            </w:r>
            <w:r w:rsidRPr="003C379E">
              <w:rPr>
                <w:rFonts w:ascii="Cambria" w:hAnsi="Cambria"/>
                <w:bCs/>
                <w:sz w:val="20"/>
                <w:szCs w:val="20"/>
                <w:lang w:val="es-ES"/>
              </w:rPr>
              <w:t xml:space="preserve">en </w:t>
            </w:r>
            <w:r w:rsidR="00FF7024" w:rsidRPr="003C379E">
              <w:rPr>
                <w:rFonts w:ascii="Cambria" w:hAnsi="Cambria"/>
                <w:bCs/>
                <w:sz w:val="20"/>
                <w:szCs w:val="20"/>
                <w:lang w:val="es-ES"/>
              </w:rPr>
              <w:t>rela</w:t>
            </w:r>
            <w:r w:rsidRPr="003C379E">
              <w:rPr>
                <w:rFonts w:ascii="Cambria" w:hAnsi="Cambria"/>
                <w:bCs/>
                <w:sz w:val="20"/>
                <w:szCs w:val="20"/>
                <w:lang w:val="es-ES"/>
              </w:rPr>
              <w:t>ción</w:t>
            </w:r>
            <w:r w:rsidR="00FF7024" w:rsidRPr="003C379E">
              <w:rPr>
                <w:rFonts w:ascii="Cambria" w:hAnsi="Cambria"/>
                <w:bCs/>
                <w:sz w:val="20"/>
                <w:szCs w:val="20"/>
                <w:lang w:val="es-ES"/>
              </w:rPr>
              <w:t xml:space="preserve"> </w:t>
            </w:r>
            <w:r w:rsidR="00C95A33" w:rsidRPr="003C379E">
              <w:rPr>
                <w:rFonts w:ascii="Cambria" w:hAnsi="Cambria"/>
                <w:bCs/>
                <w:sz w:val="20"/>
                <w:szCs w:val="20"/>
                <w:lang w:val="es-ES"/>
              </w:rPr>
              <w:t>con</w:t>
            </w:r>
            <w:r w:rsidR="00FF7024" w:rsidRPr="003C379E">
              <w:rPr>
                <w:rFonts w:ascii="Cambria" w:hAnsi="Cambria"/>
                <w:bCs/>
                <w:sz w:val="20"/>
                <w:szCs w:val="20"/>
                <w:lang w:val="es-ES"/>
              </w:rPr>
              <w:t xml:space="preserve"> </w:t>
            </w:r>
            <w:r w:rsidRPr="003C379E">
              <w:rPr>
                <w:rFonts w:ascii="Cambria" w:hAnsi="Cambria"/>
                <w:bCs/>
                <w:sz w:val="20"/>
                <w:szCs w:val="20"/>
                <w:lang w:val="es-ES"/>
              </w:rPr>
              <w:t>su</w:t>
            </w:r>
            <w:r w:rsidR="00F071F2" w:rsidRPr="003C379E">
              <w:rPr>
                <w:rFonts w:ascii="Cambria" w:hAnsi="Cambria"/>
                <w:bCs/>
                <w:sz w:val="20"/>
                <w:szCs w:val="20"/>
                <w:lang w:val="es-ES"/>
              </w:rPr>
              <w:t>s</w:t>
            </w:r>
            <w:r w:rsidR="00FF7024" w:rsidRPr="003C379E">
              <w:rPr>
                <w:rFonts w:ascii="Cambria" w:hAnsi="Cambria"/>
                <w:bCs/>
                <w:sz w:val="20"/>
                <w:szCs w:val="20"/>
                <w:lang w:val="es-ES"/>
              </w:rPr>
              <w:t xml:space="preserve"> </w:t>
            </w:r>
            <w:r w:rsidRPr="003C379E">
              <w:rPr>
                <w:rFonts w:ascii="Cambria" w:hAnsi="Cambria"/>
                <w:bCs/>
                <w:sz w:val="20"/>
                <w:szCs w:val="20"/>
                <w:lang w:val="es-ES"/>
              </w:rPr>
              <w:t>artículo</w:t>
            </w:r>
            <w:r w:rsidR="00E8778F" w:rsidRPr="003C379E">
              <w:rPr>
                <w:rFonts w:ascii="Cambria" w:hAnsi="Cambria"/>
                <w:bCs/>
                <w:sz w:val="20"/>
                <w:szCs w:val="20"/>
                <w:lang w:val="es-ES"/>
              </w:rPr>
              <w:t xml:space="preserve">s 1.1 </w:t>
            </w:r>
            <w:r w:rsidRPr="003C379E">
              <w:rPr>
                <w:rFonts w:ascii="Cambria" w:hAnsi="Cambria"/>
                <w:bCs/>
                <w:sz w:val="20"/>
                <w:szCs w:val="20"/>
                <w:lang w:val="es-ES"/>
              </w:rPr>
              <w:t>y</w:t>
            </w:r>
            <w:r w:rsidR="00FF7024" w:rsidRPr="003C379E">
              <w:rPr>
                <w:rFonts w:ascii="Cambria" w:hAnsi="Cambria"/>
                <w:bCs/>
                <w:sz w:val="20"/>
                <w:szCs w:val="20"/>
                <w:lang w:val="es-ES"/>
              </w:rPr>
              <w:t xml:space="preserve"> 2 (</w:t>
            </w:r>
            <w:r w:rsidRPr="003C379E">
              <w:rPr>
                <w:rFonts w:ascii="Cambria" w:hAnsi="Cambria"/>
                <w:bCs/>
                <w:sz w:val="20"/>
                <w:szCs w:val="20"/>
                <w:lang w:val="es-ES"/>
              </w:rPr>
              <w:t>debe</w:t>
            </w:r>
            <w:r w:rsidR="00FF7024" w:rsidRPr="003C379E">
              <w:rPr>
                <w:rFonts w:ascii="Cambria" w:hAnsi="Cambria"/>
                <w:bCs/>
                <w:sz w:val="20"/>
                <w:szCs w:val="20"/>
                <w:lang w:val="es-ES"/>
              </w:rPr>
              <w:t xml:space="preserve">r de </w:t>
            </w:r>
            <w:r w:rsidR="00B30B5A" w:rsidRPr="003C379E">
              <w:rPr>
                <w:rFonts w:ascii="Cambria" w:hAnsi="Cambria"/>
                <w:bCs/>
                <w:sz w:val="20"/>
                <w:szCs w:val="20"/>
                <w:lang w:val="es-ES"/>
              </w:rPr>
              <w:t>adopta</w:t>
            </w:r>
            <w:r w:rsidR="00FF7024" w:rsidRPr="003C379E">
              <w:rPr>
                <w:rFonts w:ascii="Cambria" w:hAnsi="Cambria"/>
                <w:bCs/>
                <w:sz w:val="20"/>
                <w:szCs w:val="20"/>
                <w:lang w:val="es-ES"/>
              </w:rPr>
              <w:t>r disposi</w:t>
            </w:r>
            <w:r w:rsidRPr="003C379E">
              <w:rPr>
                <w:rFonts w:ascii="Cambria" w:hAnsi="Cambria"/>
                <w:bCs/>
                <w:sz w:val="20"/>
                <w:szCs w:val="20"/>
                <w:lang w:val="es-ES"/>
              </w:rPr>
              <w:t>ciones</w:t>
            </w:r>
            <w:r w:rsidR="00FF7024" w:rsidRPr="003C379E">
              <w:rPr>
                <w:rFonts w:ascii="Cambria" w:hAnsi="Cambria"/>
                <w:bCs/>
                <w:sz w:val="20"/>
                <w:szCs w:val="20"/>
                <w:lang w:val="es-ES"/>
              </w:rPr>
              <w:t xml:space="preserve"> de </w:t>
            </w:r>
            <w:r w:rsidRPr="003C379E">
              <w:rPr>
                <w:rFonts w:ascii="Cambria" w:hAnsi="Cambria"/>
                <w:bCs/>
                <w:sz w:val="20"/>
                <w:szCs w:val="20"/>
                <w:lang w:val="es-ES"/>
              </w:rPr>
              <w:t>derech</w:t>
            </w:r>
            <w:r w:rsidR="00FF7024" w:rsidRPr="003C379E">
              <w:rPr>
                <w:rFonts w:ascii="Cambria" w:hAnsi="Cambria"/>
                <w:bCs/>
                <w:sz w:val="20"/>
                <w:szCs w:val="20"/>
                <w:lang w:val="es-ES"/>
              </w:rPr>
              <w:t>o interno)</w:t>
            </w:r>
          </w:p>
        </w:tc>
      </w:tr>
      <w:tr w:rsidR="003239B8" w:rsidRPr="003C379E" w14:paraId="4EFD141E" w14:textId="77777777" w:rsidTr="00F3289A">
        <w:trPr>
          <w:cantSplit/>
        </w:trPr>
        <w:tc>
          <w:tcPr>
            <w:tcW w:w="3600" w:type="dxa"/>
            <w:tcBorders>
              <w:top w:val="single" w:sz="6" w:space="0" w:color="auto"/>
              <w:bottom w:val="single" w:sz="6" w:space="0" w:color="auto"/>
            </w:tcBorders>
            <w:shd w:val="clear" w:color="auto" w:fill="4A7194"/>
            <w:vAlign w:val="center"/>
          </w:tcPr>
          <w:p w14:paraId="4C04A89C" w14:textId="72D42C6F" w:rsidR="003239B8" w:rsidRPr="00FE0818" w:rsidRDefault="009115EB" w:rsidP="00D21316">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Agotamie</w:t>
            </w:r>
            <w:r w:rsidR="00D21316" w:rsidRPr="00FE0818">
              <w:rPr>
                <w:rFonts w:ascii="Cambria" w:hAnsi="Cambria"/>
                <w:b/>
                <w:bCs/>
                <w:color w:val="FFFFFF" w:themeColor="background1"/>
                <w:sz w:val="20"/>
                <w:szCs w:val="20"/>
                <w:lang w:val="es-ES"/>
              </w:rPr>
              <w:t xml:space="preserve">nto </w:t>
            </w:r>
            <w:r w:rsidRPr="00FE0818">
              <w:rPr>
                <w:rFonts w:ascii="Cambria" w:hAnsi="Cambria"/>
                <w:b/>
                <w:bCs/>
                <w:color w:val="FFFFFF" w:themeColor="background1"/>
                <w:sz w:val="20"/>
                <w:szCs w:val="20"/>
                <w:lang w:val="es-ES"/>
              </w:rPr>
              <w:t>de los</w:t>
            </w:r>
            <w:r w:rsidR="003239B8" w:rsidRPr="00FE0818">
              <w:rPr>
                <w:rFonts w:ascii="Cambria" w:hAnsi="Cambria"/>
                <w:b/>
                <w:bCs/>
                <w:color w:val="FFFFFF" w:themeColor="background1"/>
                <w:sz w:val="20"/>
                <w:szCs w:val="20"/>
                <w:lang w:val="es-ES"/>
              </w:rPr>
              <w:t xml:space="preserve"> recursos internos</w:t>
            </w:r>
            <w:r w:rsidR="00EE00E9" w:rsidRPr="00FE0818">
              <w:rPr>
                <w:rFonts w:ascii="Cambria" w:hAnsi="Cambria"/>
                <w:b/>
                <w:bCs/>
                <w:color w:val="FFFFFF" w:themeColor="background1"/>
                <w:sz w:val="20"/>
                <w:szCs w:val="20"/>
                <w:lang w:val="es-ES"/>
              </w:rPr>
              <w:t xml:space="preserve"> </w:t>
            </w:r>
            <w:r w:rsidR="00B05EA6" w:rsidRPr="00FE0818">
              <w:rPr>
                <w:rFonts w:ascii="Cambria" w:hAnsi="Cambria"/>
                <w:b/>
                <w:bCs/>
                <w:color w:val="FFFFFF" w:themeColor="background1"/>
                <w:sz w:val="20"/>
                <w:szCs w:val="20"/>
                <w:lang w:val="es-ES"/>
              </w:rPr>
              <w:t>o</w:t>
            </w:r>
            <w:r w:rsidR="00D21316" w:rsidRPr="00FE0818">
              <w:rPr>
                <w:rFonts w:ascii="Cambria" w:hAnsi="Cambria"/>
                <w:b/>
                <w:bCs/>
                <w:color w:val="FFFFFF" w:themeColor="background1"/>
                <w:sz w:val="20"/>
                <w:szCs w:val="20"/>
                <w:lang w:val="es-ES"/>
              </w:rPr>
              <w:t xml:space="preserve"> proced</w:t>
            </w:r>
            <w:r w:rsidRPr="00FE0818">
              <w:rPr>
                <w:rFonts w:ascii="Cambria" w:hAnsi="Cambria"/>
                <w:b/>
                <w:bCs/>
                <w:color w:val="FFFFFF" w:themeColor="background1"/>
                <w:sz w:val="20"/>
                <w:szCs w:val="20"/>
                <w:lang w:val="es-ES"/>
              </w:rPr>
              <w:t>encia</w:t>
            </w:r>
            <w:r w:rsidR="00D21316" w:rsidRPr="00FE0818">
              <w:rPr>
                <w:rFonts w:ascii="Cambria" w:hAnsi="Cambria"/>
                <w:b/>
                <w:bCs/>
                <w:color w:val="FFFFFF" w:themeColor="background1"/>
                <w:sz w:val="20"/>
                <w:szCs w:val="20"/>
                <w:lang w:val="es-ES"/>
              </w:rPr>
              <w:t xml:space="preserve"> de </w:t>
            </w:r>
            <w:r w:rsidRPr="00FE0818">
              <w:rPr>
                <w:rFonts w:ascii="Cambria" w:hAnsi="Cambria"/>
                <w:b/>
                <w:bCs/>
                <w:color w:val="FFFFFF" w:themeColor="background1"/>
                <w:sz w:val="20"/>
                <w:szCs w:val="20"/>
                <w:lang w:val="es-ES"/>
              </w:rPr>
              <w:t>una</w:t>
            </w:r>
            <w:r w:rsidR="00EE00E9" w:rsidRPr="00FE0818">
              <w:rPr>
                <w:rFonts w:ascii="Cambria" w:hAnsi="Cambria"/>
                <w:b/>
                <w:bCs/>
                <w:color w:val="FFFFFF" w:themeColor="background1"/>
                <w:sz w:val="20"/>
                <w:szCs w:val="20"/>
                <w:lang w:val="es-ES"/>
              </w:rPr>
              <w:t xml:space="preserve"> </w:t>
            </w:r>
            <w:r w:rsidR="00D21316" w:rsidRPr="00FE0818">
              <w:rPr>
                <w:rFonts w:ascii="Cambria" w:hAnsi="Cambria"/>
                <w:b/>
                <w:bCs/>
                <w:color w:val="FFFFFF" w:themeColor="background1"/>
                <w:sz w:val="20"/>
                <w:szCs w:val="20"/>
                <w:lang w:val="es-ES"/>
              </w:rPr>
              <w:t>exce</w:t>
            </w:r>
            <w:r w:rsidR="00B30B5A" w:rsidRPr="00FE0818">
              <w:rPr>
                <w:rFonts w:ascii="Cambria" w:hAnsi="Cambria"/>
                <w:b/>
                <w:bCs/>
                <w:color w:val="FFFFFF" w:themeColor="background1"/>
                <w:sz w:val="20"/>
                <w:szCs w:val="20"/>
                <w:lang w:val="es-ES"/>
              </w:rPr>
              <w:t>p</w:t>
            </w:r>
            <w:r w:rsidRPr="00FE0818">
              <w:rPr>
                <w:rFonts w:ascii="Cambria" w:hAnsi="Cambria"/>
                <w:b/>
                <w:bCs/>
                <w:color w:val="FFFFFF" w:themeColor="background1"/>
                <w:sz w:val="20"/>
                <w:szCs w:val="20"/>
                <w:lang w:val="es-ES"/>
              </w:rPr>
              <w:t>ción</w:t>
            </w:r>
            <w:r w:rsidR="003239B8" w:rsidRPr="00FE0818">
              <w:rPr>
                <w:rFonts w:ascii="Cambria" w:hAnsi="Cambria"/>
                <w:b/>
                <w:bCs/>
                <w:color w:val="FFFFFF" w:themeColor="background1"/>
                <w:sz w:val="20"/>
                <w:szCs w:val="20"/>
                <w:lang w:val="es-ES"/>
              </w:rPr>
              <w:t>:</w:t>
            </w:r>
          </w:p>
        </w:tc>
        <w:tc>
          <w:tcPr>
            <w:tcW w:w="5760" w:type="dxa"/>
            <w:vAlign w:val="center"/>
          </w:tcPr>
          <w:p w14:paraId="69C53E8A" w14:textId="5D4EA9E4" w:rsidR="003239B8" w:rsidRPr="003C379E" w:rsidRDefault="00BE25DE" w:rsidP="009115EB">
            <w:pPr>
              <w:rPr>
                <w:rFonts w:ascii="Cambria" w:hAnsi="Cambria"/>
                <w:bCs/>
                <w:sz w:val="20"/>
                <w:szCs w:val="20"/>
                <w:lang w:val="es-ES"/>
              </w:rPr>
            </w:pPr>
            <w:r w:rsidRPr="003C379E">
              <w:rPr>
                <w:rFonts w:ascii="Cambria" w:hAnsi="Cambria"/>
                <w:bCs/>
                <w:sz w:val="20"/>
                <w:szCs w:val="20"/>
                <w:lang w:val="es-ES"/>
              </w:rPr>
              <w:t xml:space="preserve">3 de </w:t>
            </w:r>
            <w:r w:rsidR="009115EB" w:rsidRPr="003C379E">
              <w:rPr>
                <w:rFonts w:ascii="Cambria" w:hAnsi="Cambria"/>
                <w:bCs/>
                <w:sz w:val="20"/>
                <w:szCs w:val="20"/>
                <w:lang w:val="es-ES"/>
              </w:rPr>
              <w:t>diciembre</w:t>
            </w:r>
            <w:r w:rsidRPr="003C379E">
              <w:rPr>
                <w:rFonts w:ascii="Cambria" w:hAnsi="Cambria"/>
                <w:bCs/>
                <w:sz w:val="20"/>
                <w:szCs w:val="20"/>
                <w:lang w:val="es-ES"/>
              </w:rPr>
              <w:t xml:space="preserve"> de 2012</w:t>
            </w:r>
          </w:p>
        </w:tc>
      </w:tr>
      <w:tr w:rsidR="003239B8" w:rsidRPr="003C379E" w14:paraId="52B5BA17" w14:textId="77777777" w:rsidTr="00F3289A">
        <w:trPr>
          <w:cantSplit/>
        </w:trPr>
        <w:tc>
          <w:tcPr>
            <w:tcW w:w="3600" w:type="dxa"/>
            <w:tcBorders>
              <w:top w:val="single" w:sz="6" w:space="0" w:color="auto"/>
              <w:bottom w:val="single" w:sz="6" w:space="0" w:color="auto"/>
            </w:tcBorders>
            <w:shd w:val="clear" w:color="auto" w:fill="4A7194"/>
            <w:vAlign w:val="center"/>
          </w:tcPr>
          <w:p w14:paraId="5DF99086" w14:textId="2C95B896" w:rsidR="003239B8" w:rsidRPr="00FE0818" w:rsidRDefault="009115EB" w:rsidP="009115EB">
            <w:pPr>
              <w:jc w:val="center"/>
              <w:rPr>
                <w:rFonts w:ascii="Cambria" w:hAnsi="Cambria"/>
                <w:b/>
                <w:bCs/>
                <w:color w:val="FFFFFF" w:themeColor="background1"/>
                <w:sz w:val="20"/>
                <w:szCs w:val="20"/>
                <w:lang w:val="es-ES"/>
              </w:rPr>
            </w:pPr>
            <w:r w:rsidRPr="00FE0818">
              <w:rPr>
                <w:rFonts w:ascii="Cambria" w:hAnsi="Cambria"/>
                <w:b/>
                <w:bCs/>
                <w:color w:val="FFFFFF" w:themeColor="background1"/>
                <w:sz w:val="20"/>
                <w:szCs w:val="20"/>
                <w:lang w:val="es-ES"/>
              </w:rPr>
              <w:t>Present</w:t>
            </w:r>
            <w:r w:rsidR="00D21316" w:rsidRPr="00FE0818">
              <w:rPr>
                <w:rFonts w:ascii="Cambria" w:hAnsi="Cambria"/>
                <w:b/>
                <w:bCs/>
                <w:color w:val="FFFFFF" w:themeColor="background1"/>
                <w:sz w:val="20"/>
                <w:szCs w:val="20"/>
                <w:lang w:val="es-ES"/>
              </w:rPr>
              <w:t>a</w:t>
            </w:r>
            <w:r w:rsidRPr="00FE0818">
              <w:rPr>
                <w:rFonts w:ascii="Cambria" w:hAnsi="Cambria"/>
                <w:b/>
                <w:bCs/>
                <w:color w:val="FFFFFF" w:themeColor="background1"/>
                <w:sz w:val="20"/>
                <w:szCs w:val="20"/>
                <w:lang w:val="es-ES"/>
              </w:rPr>
              <w:t>ción</w:t>
            </w:r>
            <w:r w:rsidR="00D21316" w:rsidRPr="00FE0818">
              <w:rPr>
                <w:rFonts w:ascii="Cambria" w:hAnsi="Cambria"/>
                <w:b/>
                <w:bCs/>
                <w:color w:val="FFFFFF" w:themeColor="background1"/>
                <w:sz w:val="20"/>
                <w:szCs w:val="20"/>
                <w:lang w:val="es-ES"/>
              </w:rPr>
              <w:t xml:space="preserve"> dentro </w:t>
            </w:r>
            <w:r w:rsidRPr="00FE0818">
              <w:rPr>
                <w:rFonts w:ascii="Cambria" w:hAnsi="Cambria"/>
                <w:b/>
                <w:bCs/>
                <w:color w:val="FFFFFF" w:themeColor="background1"/>
                <w:sz w:val="20"/>
                <w:szCs w:val="20"/>
                <w:lang w:val="es-ES"/>
              </w:rPr>
              <w:t>del</w:t>
            </w:r>
            <w:r w:rsidR="00D21316" w:rsidRPr="00FE0818">
              <w:rPr>
                <w:rFonts w:ascii="Cambria" w:hAnsi="Cambria"/>
                <w:b/>
                <w:bCs/>
                <w:color w:val="FFFFFF" w:themeColor="background1"/>
                <w:sz w:val="20"/>
                <w:szCs w:val="20"/>
                <w:lang w:val="es-ES"/>
              </w:rPr>
              <w:t xml:space="preserve"> </w:t>
            </w:r>
            <w:r w:rsidRPr="00FE0818">
              <w:rPr>
                <w:rFonts w:ascii="Cambria" w:hAnsi="Cambria"/>
                <w:b/>
                <w:bCs/>
                <w:color w:val="FFFFFF" w:themeColor="background1"/>
                <w:sz w:val="20"/>
                <w:szCs w:val="20"/>
                <w:lang w:val="es-ES"/>
              </w:rPr>
              <w:t>plazo</w:t>
            </w:r>
            <w:r w:rsidR="003239B8" w:rsidRPr="00FE0818">
              <w:rPr>
                <w:rFonts w:ascii="Cambria" w:hAnsi="Cambria"/>
                <w:b/>
                <w:bCs/>
                <w:color w:val="FFFFFF" w:themeColor="background1"/>
                <w:sz w:val="20"/>
                <w:szCs w:val="20"/>
                <w:lang w:val="es-ES"/>
              </w:rPr>
              <w:t>:</w:t>
            </w:r>
          </w:p>
        </w:tc>
        <w:tc>
          <w:tcPr>
            <w:tcW w:w="5760" w:type="dxa"/>
            <w:vAlign w:val="center"/>
          </w:tcPr>
          <w:p w14:paraId="4A2A4569" w14:textId="493E3BB7" w:rsidR="003239B8" w:rsidRPr="003C379E" w:rsidRDefault="00F23F87" w:rsidP="009115EB">
            <w:pPr>
              <w:rPr>
                <w:rFonts w:ascii="Cambria" w:hAnsi="Cambria"/>
                <w:bCs/>
                <w:sz w:val="20"/>
                <w:szCs w:val="20"/>
                <w:lang w:val="es-ES"/>
              </w:rPr>
            </w:pPr>
            <w:r w:rsidRPr="003C379E">
              <w:rPr>
                <w:rFonts w:ascii="Cambria" w:hAnsi="Cambria"/>
                <w:bCs/>
                <w:sz w:val="20"/>
                <w:szCs w:val="20"/>
                <w:lang w:val="es-ES"/>
              </w:rPr>
              <w:t xml:space="preserve">3 de </w:t>
            </w:r>
            <w:r w:rsidR="009115EB" w:rsidRPr="003C379E">
              <w:rPr>
                <w:rFonts w:ascii="Cambria" w:hAnsi="Cambria"/>
                <w:bCs/>
                <w:sz w:val="20"/>
                <w:szCs w:val="20"/>
                <w:lang w:val="es-ES"/>
              </w:rPr>
              <w:t>marzo</w:t>
            </w:r>
            <w:r w:rsidRPr="003C379E">
              <w:rPr>
                <w:rFonts w:ascii="Cambria" w:hAnsi="Cambria"/>
                <w:bCs/>
                <w:sz w:val="20"/>
                <w:szCs w:val="20"/>
                <w:lang w:val="es-ES"/>
              </w:rPr>
              <w:t xml:space="preserve"> de 2013</w:t>
            </w:r>
          </w:p>
        </w:tc>
      </w:tr>
    </w:tbl>
    <w:p w14:paraId="18E6423B" w14:textId="081DD2B6" w:rsidR="003239B8" w:rsidRPr="003C379E" w:rsidRDefault="00223A29" w:rsidP="003239B8">
      <w:pPr>
        <w:spacing w:before="240" w:after="240"/>
        <w:ind w:firstLine="720"/>
        <w:jc w:val="both"/>
        <w:rPr>
          <w:rFonts w:ascii="Cambria" w:hAnsi="Cambria"/>
          <w:b/>
          <w:sz w:val="20"/>
          <w:szCs w:val="20"/>
          <w:lang w:val="es-ES"/>
        </w:rPr>
      </w:pPr>
      <w:r w:rsidRPr="003C379E">
        <w:rPr>
          <w:rFonts w:ascii="Cambria" w:hAnsi="Cambria"/>
          <w:b/>
          <w:sz w:val="20"/>
          <w:szCs w:val="20"/>
          <w:lang w:val="es-ES"/>
        </w:rPr>
        <w:t xml:space="preserve">V. </w:t>
      </w:r>
      <w:r w:rsidRPr="003C379E">
        <w:rPr>
          <w:rFonts w:ascii="Cambria" w:hAnsi="Cambria"/>
          <w:b/>
          <w:sz w:val="20"/>
          <w:szCs w:val="20"/>
          <w:lang w:val="es-ES"/>
        </w:rPr>
        <w:tab/>
      </w:r>
      <w:r w:rsidR="00B05EA6" w:rsidRPr="003C379E">
        <w:rPr>
          <w:rFonts w:ascii="Cambria" w:hAnsi="Cambria"/>
          <w:b/>
          <w:sz w:val="20"/>
          <w:szCs w:val="20"/>
          <w:lang w:val="es-ES"/>
        </w:rPr>
        <w:t>HECHOS</w:t>
      </w:r>
      <w:r w:rsidR="003239B8" w:rsidRPr="003C379E">
        <w:rPr>
          <w:rFonts w:ascii="Cambria" w:hAnsi="Cambria"/>
          <w:b/>
          <w:sz w:val="20"/>
          <w:szCs w:val="20"/>
          <w:lang w:val="es-ES"/>
        </w:rPr>
        <w:t xml:space="preserve"> ALEGADOS </w:t>
      </w:r>
    </w:p>
    <w:p w14:paraId="3CD0DEF5" w14:textId="1876F3E1" w:rsidR="004B1D1E" w:rsidRDefault="00C95A33" w:rsidP="008B38C7">
      <w:pPr>
        <w:pStyle w:val="ListParagraph"/>
        <w:numPr>
          <w:ilvl w:val="0"/>
          <w:numId w:val="103"/>
        </w:numPr>
        <w:jc w:val="both"/>
        <w:rPr>
          <w:bCs/>
          <w:sz w:val="20"/>
          <w:szCs w:val="20"/>
          <w:lang w:val="es-ES"/>
        </w:rPr>
      </w:pPr>
      <w:r w:rsidRPr="003C379E">
        <w:rPr>
          <w:sz w:val="20"/>
          <w:szCs w:val="20"/>
          <w:lang w:val="es-ES"/>
        </w:rPr>
        <w:t>La parte peticionaria</w:t>
      </w:r>
      <w:r w:rsidR="004B1D1E" w:rsidRPr="003C379E">
        <w:rPr>
          <w:sz w:val="20"/>
          <w:szCs w:val="20"/>
          <w:lang w:val="es-ES"/>
        </w:rPr>
        <w:t xml:space="preserve"> afirma que </w:t>
      </w:r>
      <w:r w:rsidR="009115EB" w:rsidRPr="003C379E">
        <w:rPr>
          <w:sz w:val="20"/>
          <w:szCs w:val="20"/>
          <w:lang w:val="es-ES"/>
        </w:rPr>
        <w:t>el</w:t>
      </w:r>
      <w:r w:rsidR="004B1D1E" w:rsidRPr="003C379E">
        <w:rPr>
          <w:sz w:val="20"/>
          <w:szCs w:val="20"/>
          <w:lang w:val="es-ES"/>
        </w:rPr>
        <w:t xml:space="preserve"> Estado </w:t>
      </w:r>
      <w:r w:rsidR="009115EB" w:rsidRPr="003C379E">
        <w:rPr>
          <w:sz w:val="20"/>
          <w:szCs w:val="20"/>
          <w:lang w:val="es-ES"/>
        </w:rPr>
        <w:t>brasileñ</w:t>
      </w:r>
      <w:r w:rsidR="004B1D1E" w:rsidRPr="003C379E">
        <w:rPr>
          <w:sz w:val="20"/>
          <w:szCs w:val="20"/>
          <w:lang w:val="es-ES"/>
        </w:rPr>
        <w:t xml:space="preserve">o </w:t>
      </w:r>
      <w:r w:rsidR="009115EB" w:rsidRPr="003C379E">
        <w:rPr>
          <w:sz w:val="20"/>
          <w:szCs w:val="20"/>
          <w:lang w:val="es-ES"/>
        </w:rPr>
        <w:t>es</w:t>
      </w:r>
      <w:r w:rsidR="004B1D1E" w:rsidRPr="003C379E">
        <w:rPr>
          <w:sz w:val="20"/>
          <w:szCs w:val="20"/>
          <w:lang w:val="es-ES"/>
        </w:rPr>
        <w:t xml:space="preserve"> respons</w:t>
      </w:r>
      <w:r w:rsidR="00B30B5A" w:rsidRPr="003C379E">
        <w:rPr>
          <w:sz w:val="20"/>
          <w:szCs w:val="20"/>
          <w:lang w:val="es-ES"/>
        </w:rPr>
        <w:t>able</w:t>
      </w:r>
      <w:r w:rsidR="004B1D1E" w:rsidRPr="003C379E">
        <w:rPr>
          <w:sz w:val="20"/>
          <w:szCs w:val="20"/>
          <w:lang w:val="es-ES"/>
        </w:rPr>
        <w:t xml:space="preserve"> </w:t>
      </w:r>
      <w:r w:rsidR="004F5DA1" w:rsidRPr="003C379E">
        <w:rPr>
          <w:sz w:val="20"/>
          <w:szCs w:val="20"/>
          <w:lang w:val="es-ES"/>
        </w:rPr>
        <w:t>de</w:t>
      </w:r>
      <w:r w:rsidR="009115EB" w:rsidRPr="003C379E">
        <w:rPr>
          <w:sz w:val="20"/>
          <w:szCs w:val="20"/>
          <w:lang w:val="es-ES"/>
        </w:rPr>
        <w:t xml:space="preserve"> la</w:t>
      </w:r>
      <w:r w:rsidR="004B1D1E" w:rsidRPr="003C379E">
        <w:rPr>
          <w:sz w:val="20"/>
          <w:szCs w:val="20"/>
          <w:lang w:val="es-ES"/>
        </w:rPr>
        <w:t xml:space="preserve"> viola</w:t>
      </w:r>
      <w:r w:rsidR="009115EB" w:rsidRPr="003C379E">
        <w:rPr>
          <w:bCs/>
          <w:sz w:val="20"/>
          <w:szCs w:val="20"/>
          <w:lang w:val="es-ES"/>
        </w:rPr>
        <w:t>ción</w:t>
      </w:r>
      <w:r w:rsidR="004B1D1E" w:rsidRPr="003C379E">
        <w:rPr>
          <w:sz w:val="20"/>
          <w:szCs w:val="20"/>
          <w:lang w:val="es-ES"/>
        </w:rPr>
        <w:t xml:space="preserve"> </w:t>
      </w:r>
      <w:r w:rsidR="009115EB" w:rsidRPr="003C379E">
        <w:rPr>
          <w:sz w:val="20"/>
          <w:szCs w:val="20"/>
          <w:lang w:val="es-ES"/>
        </w:rPr>
        <w:t>del</w:t>
      </w:r>
      <w:r w:rsidR="004C4E99" w:rsidRPr="003C379E">
        <w:rPr>
          <w:sz w:val="20"/>
          <w:szCs w:val="20"/>
          <w:lang w:val="es-ES"/>
        </w:rPr>
        <w:t xml:space="preserve"> </w:t>
      </w:r>
      <w:r w:rsidR="009115EB" w:rsidRPr="003C379E">
        <w:rPr>
          <w:sz w:val="20"/>
          <w:szCs w:val="20"/>
          <w:lang w:val="es-ES"/>
        </w:rPr>
        <w:t>derech</w:t>
      </w:r>
      <w:r w:rsidR="004C4E99" w:rsidRPr="003C379E">
        <w:rPr>
          <w:sz w:val="20"/>
          <w:szCs w:val="20"/>
          <w:lang w:val="es-ES"/>
        </w:rPr>
        <w:t xml:space="preserve">o </w:t>
      </w:r>
      <w:r w:rsidR="009115EB" w:rsidRPr="003C379E">
        <w:rPr>
          <w:sz w:val="20"/>
          <w:szCs w:val="20"/>
          <w:lang w:val="es-ES"/>
        </w:rPr>
        <w:t>a la</w:t>
      </w:r>
      <w:r w:rsidR="00D92116" w:rsidRPr="003C379E">
        <w:rPr>
          <w:sz w:val="20"/>
          <w:szCs w:val="20"/>
          <w:lang w:val="es-ES"/>
        </w:rPr>
        <w:t xml:space="preserve"> </w:t>
      </w:r>
      <w:r w:rsidR="009115EB" w:rsidRPr="003C379E">
        <w:rPr>
          <w:sz w:val="20"/>
          <w:szCs w:val="20"/>
          <w:lang w:val="es-ES"/>
        </w:rPr>
        <w:t xml:space="preserve">libertad </w:t>
      </w:r>
      <w:r w:rsidR="00D92116" w:rsidRPr="003C379E">
        <w:rPr>
          <w:sz w:val="20"/>
          <w:szCs w:val="20"/>
          <w:lang w:val="es-ES"/>
        </w:rPr>
        <w:t>de expre</w:t>
      </w:r>
      <w:r w:rsidR="009115EB" w:rsidRPr="003C379E">
        <w:rPr>
          <w:sz w:val="20"/>
          <w:szCs w:val="20"/>
          <w:lang w:val="es-ES"/>
        </w:rPr>
        <w:t>sión</w:t>
      </w:r>
      <w:r w:rsidR="00D92116" w:rsidRPr="003C379E">
        <w:rPr>
          <w:sz w:val="20"/>
          <w:szCs w:val="20"/>
          <w:lang w:val="es-ES"/>
        </w:rPr>
        <w:t xml:space="preserve"> </w:t>
      </w:r>
      <w:r w:rsidR="009115EB" w:rsidRPr="003C379E">
        <w:rPr>
          <w:sz w:val="20"/>
          <w:szCs w:val="20"/>
          <w:lang w:val="es-ES"/>
        </w:rPr>
        <w:t>del</w:t>
      </w:r>
      <w:r w:rsidR="00D92116" w:rsidRPr="003C379E">
        <w:rPr>
          <w:sz w:val="20"/>
          <w:szCs w:val="20"/>
          <w:lang w:val="es-ES"/>
        </w:rPr>
        <w:t xml:space="preserve"> Sr. </w:t>
      </w:r>
      <w:r w:rsidR="00D92116" w:rsidRPr="003C379E">
        <w:rPr>
          <w:bCs/>
          <w:sz w:val="20"/>
          <w:szCs w:val="20"/>
          <w:lang w:val="es-ES"/>
        </w:rPr>
        <w:t xml:space="preserve">Daniel Nitzsche Starling </w:t>
      </w:r>
      <w:r w:rsidR="002E2FB0" w:rsidRPr="003C379E">
        <w:rPr>
          <w:bCs/>
          <w:sz w:val="20"/>
          <w:szCs w:val="20"/>
          <w:lang w:val="es-ES"/>
        </w:rPr>
        <w:t>(en adelante, “</w:t>
      </w:r>
      <w:r w:rsidR="00B30B5A" w:rsidRPr="003C379E">
        <w:rPr>
          <w:bCs/>
          <w:sz w:val="20"/>
          <w:szCs w:val="20"/>
          <w:lang w:val="es-ES"/>
        </w:rPr>
        <w:t>l</w:t>
      </w:r>
      <w:r w:rsidR="00D92116" w:rsidRPr="003C379E">
        <w:rPr>
          <w:bCs/>
          <w:sz w:val="20"/>
          <w:szCs w:val="20"/>
          <w:lang w:val="es-ES"/>
        </w:rPr>
        <w:t xml:space="preserve">a </w:t>
      </w:r>
      <w:r w:rsidR="00B05EA6" w:rsidRPr="003C379E">
        <w:rPr>
          <w:bCs/>
          <w:sz w:val="20"/>
          <w:szCs w:val="20"/>
          <w:lang w:val="es-ES"/>
        </w:rPr>
        <w:t>presunta v</w:t>
      </w:r>
      <w:r w:rsidR="009115EB" w:rsidRPr="003C379E">
        <w:rPr>
          <w:bCs/>
          <w:sz w:val="20"/>
          <w:szCs w:val="20"/>
          <w:lang w:val="es-ES"/>
        </w:rPr>
        <w:t>íctima</w:t>
      </w:r>
      <w:r w:rsidR="00D92116" w:rsidRPr="003C379E">
        <w:rPr>
          <w:bCs/>
          <w:sz w:val="20"/>
          <w:szCs w:val="20"/>
          <w:lang w:val="es-ES"/>
        </w:rPr>
        <w:t xml:space="preserve">” </w:t>
      </w:r>
      <w:r w:rsidR="00B05EA6" w:rsidRPr="003C379E">
        <w:rPr>
          <w:bCs/>
          <w:sz w:val="20"/>
          <w:szCs w:val="20"/>
          <w:lang w:val="es-ES"/>
        </w:rPr>
        <w:t>o</w:t>
      </w:r>
      <w:r w:rsidR="00D92116" w:rsidRPr="003C379E">
        <w:rPr>
          <w:bCs/>
          <w:sz w:val="20"/>
          <w:szCs w:val="20"/>
          <w:lang w:val="es-ES"/>
        </w:rPr>
        <w:t xml:space="preserve"> “</w:t>
      </w:r>
      <w:r w:rsidR="009115EB" w:rsidRPr="003C379E">
        <w:rPr>
          <w:bCs/>
          <w:sz w:val="20"/>
          <w:szCs w:val="20"/>
          <w:lang w:val="es-ES"/>
        </w:rPr>
        <w:t>el</w:t>
      </w:r>
      <w:r w:rsidR="00D92116" w:rsidRPr="003C379E">
        <w:rPr>
          <w:bCs/>
          <w:sz w:val="20"/>
          <w:szCs w:val="20"/>
          <w:lang w:val="es-ES"/>
        </w:rPr>
        <w:t xml:space="preserve"> Sr. Starling”), </w:t>
      </w:r>
      <w:r w:rsidR="00B05EA6" w:rsidRPr="003C379E">
        <w:rPr>
          <w:bCs/>
          <w:sz w:val="20"/>
          <w:szCs w:val="20"/>
          <w:lang w:val="es-ES"/>
        </w:rPr>
        <w:t>debid</w:t>
      </w:r>
      <w:r w:rsidR="00D92116" w:rsidRPr="003C379E">
        <w:rPr>
          <w:bCs/>
          <w:sz w:val="20"/>
          <w:szCs w:val="20"/>
          <w:lang w:val="es-ES"/>
        </w:rPr>
        <w:t xml:space="preserve">o a </w:t>
      </w:r>
      <w:r w:rsidR="009115EB" w:rsidRPr="003C379E">
        <w:rPr>
          <w:bCs/>
          <w:sz w:val="20"/>
          <w:szCs w:val="20"/>
          <w:lang w:val="es-ES"/>
        </w:rPr>
        <w:t>su</w:t>
      </w:r>
      <w:r w:rsidR="00D92116" w:rsidRPr="003C379E">
        <w:rPr>
          <w:bCs/>
          <w:sz w:val="20"/>
          <w:szCs w:val="20"/>
          <w:lang w:val="es-ES"/>
        </w:rPr>
        <w:t xml:space="preserve"> condena por </w:t>
      </w:r>
      <w:r w:rsidR="00F071F2" w:rsidRPr="003C379E">
        <w:rPr>
          <w:bCs/>
          <w:sz w:val="20"/>
          <w:szCs w:val="20"/>
          <w:lang w:val="es-ES"/>
        </w:rPr>
        <w:t xml:space="preserve">el </w:t>
      </w:r>
      <w:r w:rsidR="00B05EA6" w:rsidRPr="003C379E">
        <w:rPr>
          <w:bCs/>
          <w:sz w:val="20"/>
          <w:szCs w:val="20"/>
          <w:lang w:val="es-ES"/>
        </w:rPr>
        <w:t>delito de desacato</w:t>
      </w:r>
      <w:r w:rsidR="008B38C7" w:rsidRPr="003C379E">
        <w:rPr>
          <w:bCs/>
          <w:sz w:val="20"/>
          <w:szCs w:val="20"/>
          <w:lang w:val="es-ES"/>
        </w:rPr>
        <w:t>,</w:t>
      </w:r>
      <w:r w:rsidR="00D92116" w:rsidRPr="003C379E">
        <w:rPr>
          <w:bCs/>
          <w:sz w:val="20"/>
          <w:szCs w:val="20"/>
          <w:lang w:val="es-ES"/>
        </w:rPr>
        <w:t xml:space="preserve"> </w:t>
      </w:r>
      <w:r w:rsidR="00B30B5A" w:rsidRPr="003C379E">
        <w:rPr>
          <w:bCs/>
          <w:sz w:val="20"/>
          <w:szCs w:val="20"/>
          <w:lang w:val="es-ES"/>
        </w:rPr>
        <w:t xml:space="preserve">así como </w:t>
      </w:r>
      <w:r w:rsidR="00F071F2" w:rsidRPr="003C379E">
        <w:rPr>
          <w:bCs/>
          <w:sz w:val="20"/>
          <w:szCs w:val="20"/>
          <w:lang w:val="es-ES"/>
        </w:rPr>
        <w:t>de</w:t>
      </w:r>
      <w:r w:rsidR="009115EB" w:rsidRPr="003C379E">
        <w:rPr>
          <w:bCs/>
          <w:sz w:val="20"/>
          <w:szCs w:val="20"/>
          <w:lang w:val="es-ES"/>
        </w:rPr>
        <w:t xml:space="preserve"> la</w:t>
      </w:r>
      <w:r w:rsidR="00D92116" w:rsidRPr="003C379E">
        <w:rPr>
          <w:bCs/>
          <w:sz w:val="20"/>
          <w:szCs w:val="20"/>
          <w:lang w:val="es-ES"/>
        </w:rPr>
        <w:t xml:space="preserve"> aus</w:t>
      </w:r>
      <w:r w:rsidR="009115EB" w:rsidRPr="003C379E">
        <w:rPr>
          <w:bCs/>
          <w:sz w:val="20"/>
          <w:szCs w:val="20"/>
          <w:lang w:val="es-ES"/>
        </w:rPr>
        <w:t>encia</w:t>
      </w:r>
      <w:r w:rsidR="00D92116" w:rsidRPr="003C379E">
        <w:rPr>
          <w:bCs/>
          <w:sz w:val="20"/>
          <w:szCs w:val="20"/>
          <w:lang w:val="es-ES"/>
        </w:rPr>
        <w:t xml:space="preserve"> de control de convencionali</w:t>
      </w:r>
      <w:r w:rsidR="009115EB" w:rsidRPr="003C379E">
        <w:rPr>
          <w:bCs/>
          <w:sz w:val="20"/>
          <w:szCs w:val="20"/>
          <w:lang w:val="es-ES"/>
        </w:rPr>
        <w:t xml:space="preserve">dad </w:t>
      </w:r>
      <w:r w:rsidR="00D92116" w:rsidRPr="003C379E">
        <w:rPr>
          <w:bCs/>
          <w:sz w:val="20"/>
          <w:szCs w:val="20"/>
          <w:lang w:val="es-ES"/>
        </w:rPr>
        <w:t xml:space="preserve">por parte </w:t>
      </w:r>
      <w:r w:rsidR="009115EB" w:rsidRPr="003C379E">
        <w:rPr>
          <w:bCs/>
          <w:sz w:val="20"/>
          <w:szCs w:val="20"/>
          <w:lang w:val="es-ES"/>
        </w:rPr>
        <w:lastRenderedPageBreak/>
        <w:t>de las</w:t>
      </w:r>
      <w:r w:rsidR="00D92116" w:rsidRPr="003C379E">
        <w:rPr>
          <w:bCs/>
          <w:sz w:val="20"/>
          <w:szCs w:val="20"/>
          <w:lang w:val="es-ES"/>
        </w:rPr>
        <w:t xml:space="preserve"> autoridades </w:t>
      </w:r>
      <w:r w:rsidR="009115EB" w:rsidRPr="003C379E">
        <w:rPr>
          <w:bCs/>
          <w:sz w:val="20"/>
          <w:szCs w:val="20"/>
          <w:lang w:val="es-ES"/>
        </w:rPr>
        <w:t>brasileñ</w:t>
      </w:r>
      <w:r w:rsidR="00D92116" w:rsidRPr="003C379E">
        <w:rPr>
          <w:bCs/>
          <w:sz w:val="20"/>
          <w:szCs w:val="20"/>
          <w:lang w:val="es-ES"/>
        </w:rPr>
        <w:t xml:space="preserve">as. </w:t>
      </w:r>
      <w:r w:rsidR="008B38C7" w:rsidRPr="003C379E">
        <w:rPr>
          <w:bCs/>
          <w:sz w:val="20"/>
          <w:szCs w:val="20"/>
          <w:lang w:val="es-ES"/>
        </w:rPr>
        <w:t>Seg</w:t>
      </w:r>
      <w:r w:rsidR="004F5DA1" w:rsidRPr="003C379E">
        <w:rPr>
          <w:bCs/>
          <w:sz w:val="20"/>
          <w:szCs w:val="20"/>
          <w:lang w:val="es-ES"/>
        </w:rPr>
        <w:t>ún</w:t>
      </w:r>
      <w:r w:rsidR="008B38C7" w:rsidRPr="003C379E">
        <w:rPr>
          <w:bCs/>
          <w:sz w:val="20"/>
          <w:szCs w:val="20"/>
          <w:lang w:val="es-ES"/>
        </w:rPr>
        <w:t xml:space="preserve"> </w:t>
      </w:r>
      <w:r w:rsidR="00B6265D" w:rsidRPr="003C379E">
        <w:rPr>
          <w:bCs/>
          <w:sz w:val="20"/>
          <w:szCs w:val="20"/>
          <w:lang w:val="es-ES"/>
        </w:rPr>
        <w:t>la</w:t>
      </w:r>
      <w:r w:rsidR="008B38C7" w:rsidRPr="003C379E">
        <w:rPr>
          <w:bCs/>
          <w:sz w:val="20"/>
          <w:szCs w:val="20"/>
          <w:lang w:val="es-ES"/>
        </w:rPr>
        <w:t xml:space="preserve"> </w:t>
      </w:r>
      <w:r w:rsidR="00BE3651" w:rsidRPr="003C379E">
        <w:rPr>
          <w:bCs/>
          <w:sz w:val="20"/>
          <w:szCs w:val="20"/>
          <w:lang w:val="es-ES"/>
        </w:rPr>
        <w:t>Defensoría Pública de la Unión (en adelante, “</w:t>
      </w:r>
      <w:r w:rsidR="008B38C7" w:rsidRPr="003C379E">
        <w:rPr>
          <w:bCs/>
          <w:sz w:val="20"/>
          <w:szCs w:val="20"/>
          <w:lang w:val="es-ES"/>
        </w:rPr>
        <w:t>DPU</w:t>
      </w:r>
      <w:r w:rsidR="00BE3651" w:rsidRPr="003C379E">
        <w:rPr>
          <w:bCs/>
          <w:sz w:val="20"/>
          <w:szCs w:val="20"/>
          <w:lang w:val="es-ES"/>
        </w:rPr>
        <w:t>”)</w:t>
      </w:r>
      <w:r w:rsidR="008B38C7" w:rsidRPr="003C379E">
        <w:rPr>
          <w:bCs/>
          <w:sz w:val="20"/>
          <w:szCs w:val="20"/>
          <w:lang w:val="es-ES"/>
        </w:rPr>
        <w:t xml:space="preserve">, </w:t>
      </w:r>
      <w:r w:rsidR="00B6265D" w:rsidRPr="003C379E">
        <w:rPr>
          <w:bCs/>
          <w:sz w:val="20"/>
          <w:szCs w:val="20"/>
          <w:lang w:val="es-ES"/>
        </w:rPr>
        <w:t>la</w:t>
      </w:r>
      <w:r w:rsidR="008B38C7" w:rsidRPr="003C379E">
        <w:rPr>
          <w:bCs/>
          <w:sz w:val="20"/>
          <w:szCs w:val="20"/>
          <w:lang w:val="es-ES"/>
        </w:rPr>
        <w:t xml:space="preserve"> </w:t>
      </w:r>
      <w:r w:rsidR="009B5C61" w:rsidRPr="003C379E">
        <w:rPr>
          <w:bCs/>
          <w:sz w:val="20"/>
          <w:szCs w:val="20"/>
          <w:lang w:val="es-ES"/>
        </w:rPr>
        <w:t xml:space="preserve">Relatoría para la </w:t>
      </w:r>
      <w:r w:rsidR="009115EB" w:rsidRPr="003C379E">
        <w:rPr>
          <w:bCs/>
          <w:sz w:val="20"/>
          <w:szCs w:val="20"/>
          <w:lang w:val="es-ES"/>
        </w:rPr>
        <w:t xml:space="preserve">Libertad </w:t>
      </w:r>
      <w:r w:rsidR="008B38C7" w:rsidRPr="003C379E">
        <w:rPr>
          <w:bCs/>
          <w:sz w:val="20"/>
          <w:szCs w:val="20"/>
          <w:lang w:val="es-ES"/>
        </w:rPr>
        <w:t>de Expre</w:t>
      </w:r>
      <w:r w:rsidR="009115EB" w:rsidRPr="003C379E">
        <w:rPr>
          <w:bCs/>
          <w:sz w:val="20"/>
          <w:szCs w:val="20"/>
          <w:lang w:val="es-ES"/>
        </w:rPr>
        <w:t>sión</w:t>
      </w:r>
      <w:r w:rsidR="008B38C7" w:rsidRPr="003C379E">
        <w:rPr>
          <w:bCs/>
          <w:sz w:val="20"/>
          <w:szCs w:val="20"/>
          <w:lang w:val="es-ES"/>
        </w:rPr>
        <w:t xml:space="preserve"> </w:t>
      </w:r>
      <w:r w:rsidR="009115EB" w:rsidRPr="003C379E">
        <w:rPr>
          <w:bCs/>
          <w:sz w:val="20"/>
          <w:szCs w:val="20"/>
          <w:lang w:val="es-ES"/>
        </w:rPr>
        <w:t>de la</w:t>
      </w:r>
      <w:r w:rsidR="008B38C7" w:rsidRPr="003C379E">
        <w:rPr>
          <w:bCs/>
          <w:sz w:val="20"/>
          <w:szCs w:val="20"/>
          <w:lang w:val="es-ES"/>
        </w:rPr>
        <w:t xml:space="preserve"> CIDH </w:t>
      </w:r>
      <w:r w:rsidR="009B5C61" w:rsidRPr="003C379E">
        <w:rPr>
          <w:bCs/>
          <w:sz w:val="20"/>
          <w:szCs w:val="20"/>
          <w:lang w:val="es-ES"/>
        </w:rPr>
        <w:t>concluyó</w:t>
      </w:r>
      <w:r w:rsidR="008B38C7" w:rsidRPr="003C379E">
        <w:rPr>
          <w:bCs/>
          <w:sz w:val="20"/>
          <w:szCs w:val="20"/>
          <w:lang w:val="es-ES"/>
        </w:rPr>
        <w:t xml:space="preserve"> que </w:t>
      </w:r>
      <w:r w:rsidR="00B6265D" w:rsidRPr="003C379E">
        <w:rPr>
          <w:bCs/>
          <w:sz w:val="20"/>
          <w:szCs w:val="20"/>
          <w:lang w:val="es-ES"/>
        </w:rPr>
        <w:t>la</w:t>
      </w:r>
      <w:r w:rsidR="008B38C7" w:rsidRPr="003C379E">
        <w:rPr>
          <w:bCs/>
          <w:sz w:val="20"/>
          <w:szCs w:val="20"/>
          <w:lang w:val="es-ES"/>
        </w:rPr>
        <w:t xml:space="preserve"> legisla</w:t>
      </w:r>
      <w:r w:rsidR="009115EB" w:rsidRPr="003C379E">
        <w:rPr>
          <w:bCs/>
          <w:sz w:val="20"/>
          <w:szCs w:val="20"/>
          <w:lang w:val="es-ES"/>
        </w:rPr>
        <w:t>ción</w:t>
      </w:r>
      <w:r w:rsidR="008B38C7" w:rsidRPr="003C379E">
        <w:rPr>
          <w:bCs/>
          <w:sz w:val="20"/>
          <w:szCs w:val="20"/>
          <w:lang w:val="es-ES"/>
        </w:rPr>
        <w:t xml:space="preserve"> </w:t>
      </w:r>
      <w:r w:rsidR="009115EB" w:rsidRPr="003C379E">
        <w:rPr>
          <w:bCs/>
          <w:sz w:val="20"/>
          <w:szCs w:val="20"/>
          <w:lang w:val="es-ES"/>
        </w:rPr>
        <w:t>brasileñ</w:t>
      </w:r>
      <w:r w:rsidR="008B38C7" w:rsidRPr="003C379E">
        <w:rPr>
          <w:bCs/>
          <w:sz w:val="20"/>
          <w:szCs w:val="20"/>
          <w:lang w:val="es-ES"/>
        </w:rPr>
        <w:t xml:space="preserve">a que tipifica </w:t>
      </w:r>
      <w:r w:rsidR="009115EB" w:rsidRPr="003C379E">
        <w:rPr>
          <w:bCs/>
          <w:sz w:val="20"/>
          <w:szCs w:val="20"/>
          <w:lang w:val="es-ES"/>
        </w:rPr>
        <w:t>el</w:t>
      </w:r>
      <w:r w:rsidR="008B38C7" w:rsidRPr="003C379E">
        <w:rPr>
          <w:bCs/>
          <w:sz w:val="20"/>
          <w:szCs w:val="20"/>
          <w:lang w:val="es-ES"/>
        </w:rPr>
        <w:t xml:space="preserve"> </w:t>
      </w:r>
      <w:r w:rsidR="00B05EA6" w:rsidRPr="003C379E">
        <w:rPr>
          <w:bCs/>
          <w:sz w:val="20"/>
          <w:szCs w:val="20"/>
          <w:lang w:val="es-ES"/>
        </w:rPr>
        <w:t>delito de desacato</w:t>
      </w:r>
      <w:r w:rsidR="008B38C7" w:rsidRPr="003C379E">
        <w:rPr>
          <w:bCs/>
          <w:sz w:val="20"/>
          <w:szCs w:val="20"/>
          <w:lang w:val="es-ES"/>
        </w:rPr>
        <w:t xml:space="preserve"> </w:t>
      </w:r>
      <w:r w:rsidR="009115EB" w:rsidRPr="003C379E">
        <w:rPr>
          <w:bCs/>
          <w:sz w:val="20"/>
          <w:szCs w:val="20"/>
          <w:lang w:val="es-ES"/>
        </w:rPr>
        <w:t>no</w:t>
      </w:r>
      <w:r w:rsidR="008B38C7" w:rsidRPr="003C379E">
        <w:rPr>
          <w:bCs/>
          <w:sz w:val="20"/>
          <w:szCs w:val="20"/>
          <w:lang w:val="es-ES"/>
        </w:rPr>
        <w:t xml:space="preserve"> </w:t>
      </w:r>
      <w:r w:rsidR="009115EB" w:rsidRPr="003C379E">
        <w:rPr>
          <w:bCs/>
          <w:sz w:val="20"/>
          <w:szCs w:val="20"/>
          <w:lang w:val="es-ES"/>
        </w:rPr>
        <w:t>es</w:t>
      </w:r>
      <w:r w:rsidR="008B38C7" w:rsidRPr="003C379E">
        <w:rPr>
          <w:bCs/>
          <w:sz w:val="20"/>
          <w:szCs w:val="20"/>
          <w:lang w:val="es-ES"/>
        </w:rPr>
        <w:t xml:space="preserve"> compat</w:t>
      </w:r>
      <w:r w:rsidR="00B05EA6" w:rsidRPr="003C379E">
        <w:rPr>
          <w:bCs/>
          <w:sz w:val="20"/>
          <w:szCs w:val="20"/>
          <w:lang w:val="es-ES"/>
        </w:rPr>
        <w:t xml:space="preserve">ible </w:t>
      </w:r>
      <w:r w:rsidR="009115EB" w:rsidRPr="003C379E">
        <w:rPr>
          <w:bCs/>
          <w:sz w:val="20"/>
          <w:szCs w:val="20"/>
          <w:lang w:val="es-ES"/>
        </w:rPr>
        <w:t>con</w:t>
      </w:r>
      <w:r w:rsidR="008B38C7" w:rsidRPr="003C379E">
        <w:rPr>
          <w:bCs/>
          <w:sz w:val="20"/>
          <w:szCs w:val="20"/>
          <w:lang w:val="es-ES"/>
        </w:rPr>
        <w:t xml:space="preserve"> </w:t>
      </w:r>
      <w:r w:rsidR="009115EB" w:rsidRPr="003C379E">
        <w:rPr>
          <w:bCs/>
          <w:sz w:val="20"/>
          <w:szCs w:val="20"/>
          <w:lang w:val="es-ES"/>
        </w:rPr>
        <w:t>el</w:t>
      </w:r>
      <w:r w:rsidR="008B38C7" w:rsidRPr="003C379E">
        <w:rPr>
          <w:bCs/>
          <w:sz w:val="20"/>
          <w:szCs w:val="20"/>
          <w:lang w:val="es-ES"/>
        </w:rPr>
        <w:t xml:space="preserve"> </w:t>
      </w:r>
      <w:r w:rsidR="009115EB" w:rsidRPr="003C379E">
        <w:rPr>
          <w:bCs/>
          <w:sz w:val="20"/>
          <w:szCs w:val="20"/>
          <w:lang w:val="es-ES"/>
        </w:rPr>
        <w:t>artículo</w:t>
      </w:r>
      <w:r w:rsidR="008B38C7" w:rsidRPr="003C379E">
        <w:rPr>
          <w:bCs/>
          <w:sz w:val="20"/>
          <w:szCs w:val="20"/>
          <w:lang w:val="es-ES"/>
        </w:rPr>
        <w:t xml:space="preserve"> 13 </w:t>
      </w:r>
      <w:r w:rsidR="009115EB" w:rsidRPr="003C379E">
        <w:rPr>
          <w:bCs/>
          <w:sz w:val="20"/>
          <w:szCs w:val="20"/>
          <w:lang w:val="es-ES"/>
        </w:rPr>
        <w:t>de la</w:t>
      </w:r>
      <w:r w:rsidR="008B38C7" w:rsidRPr="003C379E">
        <w:rPr>
          <w:bCs/>
          <w:sz w:val="20"/>
          <w:szCs w:val="20"/>
          <w:lang w:val="es-ES"/>
        </w:rPr>
        <w:t xml:space="preserve"> Conven</w:t>
      </w:r>
      <w:r w:rsidR="009115EB" w:rsidRPr="003C379E">
        <w:rPr>
          <w:bCs/>
          <w:sz w:val="20"/>
          <w:szCs w:val="20"/>
          <w:lang w:val="es-ES"/>
        </w:rPr>
        <w:t>ción</w:t>
      </w:r>
      <w:r w:rsidR="008B38C7" w:rsidRPr="003C379E">
        <w:rPr>
          <w:bCs/>
          <w:sz w:val="20"/>
          <w:szCs w:val="20"/>
          <w:lang w:val="es-ES"/>
        </w:rPr>
        <w:t xml:space="preserve"> Americana</w:t>
      </w:r>
      <w:r w:rsidR="009B5C61" w:rsidRPr="003C379E">
        <w:rPr>
          <w:bCs/>
          <w:sz w:val="20"/>
          <w:szCs w:val="20"/>
          <w:lang w:val="es-ES"/>
        </w:rPr>
        <w:t>.</w:t>
      </w:r>
      <w:r w:rsidR="008B38C7" w:rsidRPr="003C379E">
        <w:rPr>
          <w:bCs/>
          <w:sz w:val="20"/>
          <w:szCs w:val="20"/>
          <w:lang w:val="es-ES"/>
        </w:rPr>
        <w:t xml:space="preserve"> </w:t>
      </w:r>
      <w:r w:rsidR="009115EB" w:rsidRPr="003C379E">
        <w:rPr>
          <w:bCs/>
          <w:sz w:val="20"/>
          <w:szCs w:val="20"/>
          <w:lang w:val="es-ES"/>
        </w:rPr>
        <w:t>Además</w:t>
      </w:r>
      <w:r w:rsidR="008B38C7" w:rsidRPr="003C379E">
        <w:rPr>
          <w:bCs/>
          <w:sz w:val="20"/>
          <w:szCs w:val="20"/>
          <w:lang w:val="es-ES"/>
        </w:rPr>
        <w:t xml:space="preserve">, afirma que </w:t>
      </w:r>
      <w:r w:rsidR="009115EB" w:rsidRPr="003C379E">
        <w:rPr>
          <w:bCs/>
          <w:sz w:val="20"/>
          <w:szCs w:val="20"/>
          <w:lang w:val="es-ES"/>
        </w:rPr>
        <w:t>el</w:t>
      </w:r>
      <w:r w:rsidR="00B30B5A" w:rsidRPr="003C379E">
        <w:rPr>
          <w:bCs/>
          <w:sz w:val="20"/>
          <w:szCs w:val="20"/>
          <w:lang w:val="es-ES"/>
        </w:rPr>
        <w:t xml:space="preserve"> Estado violó</w:t>
      </w:r>
      <w:r w:rsidR="008B38C7" w:rsidRPr="003C379E">
        <w:rPr>
          <w:bCs/>
          <w:sz w:val="20"/>
          <w:szCs w:val="20"/>
          <w:lang w:val="es-ES"/>
        </w:rPr>
        <w:t xml:space="preserve"> </w:t>
      </w:r>
      <w:r w:rsidR="009115EB" w:rsidRPr="003C379E">
        <w:rPr>
          <w:bCs/>
          <w:sz w:val="20"/>
          <w:szCs w:val="20"/>
          <w:lang w:val="es-ES"/>
        </w:rPr>
        <w:t>el</w:t>
      </w:r>
      <w:r w:rsidR="008B38C7" w:rsidRPr="003C379E">
        <w:rPr>
          <w:bCs/>
          <w:sz w:val="20"/>
          <w:szCs w:val="20"/>
          <w:lang w:val="es-ES"/>
        </w:rPr>
        <w:t xml:space="preserve"> </w:t>
      </w:r>
      <w:r w:rsidR="009115EB" w:rsidRPr="003C379E">
        <w:rPr>
          <w:bCs/>
          <w:sz w:val="20"/>
          <w:szCs w:val="20"/>
          <w:lang w:val="es-ES"/>
        </w:rPr>
        <w:t>derech</w:t>
      </w:r>
      <w:r w:rsidR="008B38C7" w:rsidRPr="003C379E">
        <w:rPr>
          <w:bCs/>
          <w:sz w:val="20"/>
          <w:szCs w:val="20"/>
          <w:lang w:val="es-ES"/>
        </w:rPr>
        <w:t xml:space="preserve">o </w:t>
      </w:r>
      <w:r w:rsidR="009115EB" w:rsidRPr="003C379E">
        <w:rPr>
          <w:bCs/>
          <w:sz w:val="20"/>
          <w:szCs w:val="20"/>
          <w:lang w:val="es-ES"/>
        </w:rPr>
        <w:t>a la</w:t>
      </w:r>
      <w:r w:rsidR="008B38C7" w:rsidRPr="003C379E">
        <w:rPr>
          <w:bCs/>
          <w:sz w:val="20"/>
          <w:szCs w:val="20"/>
          <w:lang w:val="es-ES"/>
        </w:rPr>
        <w:t xml:space="preserve"> </w:t>
      </w:r>
      <w:r w:rsidR="009115EB" w:rsidRPr="003C379E">
        <w:rPr>
          <w:bCs/>
          <w:sz w:val="20"/>
          <w:szCs w:val="20"/>
          <w:lang w:val="es-ES"/>
        </w:rPr>
        <w:t>libertad persona</w:t>
      </w:r>
      <w:r w:rsidR="008B38C7" w:rsidRPr="003C379E">
        <w:rPr>
          <w:bCs/>
          <w:sz w:val="20"/>
          <w:szCs w:val="20"/>
          <w:lang w:val="es-ES"/>
        </w:rPr>
        <w:t xml:space="preserve">l </w:t>
      </w:r>
      <w:r w:rsidR="009115EB" w:rsidRPr="003C379E">
        <w:rPr>
          <w:bCs/>
          <w:sz w:val="20"/>
          <w:szCs w:val="20"/>
          <w:lang w:val="es-ES"/>
        </w:rPr>
        <w:t>de la</w:t>
      </w:r>
      <w:r w:rsidR="008B38C7" w:rsidRPr="003C379E">
        <w:rPr>
          <w:bCs/>
          <w:sz w:val="20"/>
          <w:szCs w:val="20"/>
          <w:lang w:val="es-ES"/>
        </w:rPr>
        <w:t xml:space="preserve"> </w:t>
      </w:r>
      <w:r w:rsidR="00B05EA6" w:rsidRPr="003C379E">
        <w:rPr>
          <w:bCs/>
          <w:sz w:val="20"/>
          <w:szCs w:val="20"/>
          <w:lang w:val="es-ES"/>
        </w:rPr>
        <w:t>presunta v</w:t>
      </w:r>
      <w:r w:rsidR="009115EB" w:rsidRPr="003C379E">
        <w:rPr>
          <w:bCs/>
          <w:sz w:val="20"/>
          <w:szCs w:val="20"/>
          <w:lang w:val="es-ES"/>
        </w:rPr>
        <w:t>íctima</w:t>
      </w:r>
      <w:r w:rsidR="00A710D9" w:rsidRPr="003C379E">
        <w:rPr>
          <w:bCs/>
          <w:sz w:val="20"/>
          <w:szCs w:val="20"/>
          <w:lang w:val="es-ES"/>
        </w:rPr>
        <w:t>,</w:t>
      </w:r>
      <w:r w:rsidR="008B38C7" w:rsidRPr="003C379E">
        <w:rPr>
          <w:bCs/>
          <w:sz w:val="20"/>
          <w:szCs w:val="20"/>
          <w:lang w:val="es-ES"/>
        </w:rPr>
        <w:t xml:space="preserve"> </w:t>
      </w:r>
      <w:r w:rsidR="00B05EA6" w:rsidRPr="003C379E">
        <w:rPr>
          <w:bCs/>
          <w:sz w:val="20"/>
          <w:szCs w:val="20"/>
          <w:lang w:val="es-ES"/>
        </w:rPr>
        <w:t>debid</w:t>
      </w:r>
      <w:r w:rsidR="008B38C7" w:rsidRPr="003C379E">
        <w:rPr>
          <w:bCs/>
          <w:sz w:val="20"/>
          <w:szCs w:val="20"/>
          <w:lang w:val="es-ES"/>
        </w:rPr>
        <w:t xml:space="preserve">o </w:t>
      </w:r>
      <w:r w:rsidR="009115EB" w:rsidRPr="003C379E">
        <w:rPr>
          <w:bCs/>
          <w:sz w:val="20"/>
          <w:szCs w:val="20"/>
          <w:lang w:val="es-ES"/>
        </w:rPr>
        <w:t xml:space="preserve">a </w:t>
      </w:r>
      <w:r w:rsidR="003D112E" w:rsidRPr="003C379E">
        <w:rPr>
          <w:bCs/>
          <w:sz w:val="20"/>
          <w:szCs w:val="20"/>
          <w:lang w:val="es-ES"/>
        </w:rPr>
        <w:t>que esta fue privada de su</w:t>
      </w:r>
      <w:r w:rsidR="00FB200D" w:rsidRPr="003C379E">
        <w:rPr>
          <w:bCs/>
          <w:sz w:val="20"/>
          <w:szCs w:val="20"/>
          <w:lang w:val="es-ES"/>
        </w:rPr>
        <w:t xml:space="preserve"> </w:t>
      </w:r>
      <w:r w:rsidR="009115EB" w:rsidRPr="003C379E">
        <w:rPr>
          <w:bCs/>
          <w:sz w:val="20"/>
          <w:szCs w:val="20"/>
          <w:lang w:val="es-ES"/>
        </w:rPr>
        <w:t xml:space="preserve">libertad </w:t>
      </w:r>
      <w:r w:rsidR="003D112E" w:rsidRPr="003C379E">
        <w:rPr>
          <w:bCs/>
          <w:sz w:val="20"/>
          <w:szCs w:val="20"/>
          <w:lang w:val="es-ES"/>
        </w:rPr>
        <w:t>sobre la base d</w:t>
      </w:r>
      <w:r w:rsidR="009115EB" w:rsidRPr="003C379E">
        <w:rPr>
          <w:bCs/>
          <w:sz w:val="20"/>
          <w:szCs w:val="20"/>
          <w:lang w:val="es-ES"/>
        </w:rPr>
        <w:t>el</w:t>
      </w:r>
      <w:r w:rsidR="008B38C7" w:rsidRPr="003C379E">
        <w:rPr>
          <w:bCs/>
          <w:sz w:val="20"/>
          <w:szCs w:val="20"/>
          <w:lang w:val="es-ES"/>
        </w:rPr>
        <w:t xml:space="preserve"> sup</w:t>
      </w:r>
      <w:r w:rsidR="00632EBC" w:rsidRPr="003C379E">
        <w:rPr>
          <w:bCs/>
          <w:sz w:val="20"/>
          <w:szCs w:val="20"/>
          <w:lang w:val="es-ES"/>
        </w:rPr>
        <w:t>ue</w:t>
      </w:r>
      <w:r w:rsidR="008B38C7" w:rsidRPr="003C379E">
        <w:rPr>
          <w:bCs/>
          <w:sz w:val="20"/>
          <w:szCs w:val="20"/>
          <w:lang w:val="es-ES"/>
        </w:rPr>
        <w:t>sto delito de desacato</w:t>
      </w:r>
      <w:r w:rsidR="003D112E" w:rsidRPr="003C379E">
        <w:rPr>
          <w:bCs/>
          <w:sz w:val="20"/>
          <w:szCs w:val="20"/>
          <w:lang w:val="es-ES"/>
        </w:rPr>
        <w:t xml:space="preserve"> que habría cometido</w:t>
      </w:r>
      <w:r w:rsidR="008B38C7" w:rsidRPr="003C379E">
        <w:rPr>
          <w:bCs/>
          <w:sz w:val="20"/>
          <w:szCs w:val="20"/>
          <w:lang w:val="es-ES"/>
        </w:rPr>
        <w:t xml:space="preserve">, </w:t>
      </w:r>
      <w:r w:rsidR="009115EB" w:rsidRPr="003C379E">
        <w:rPr>
          <w:bCs/>
          <w:sz w:val="20"/>
          <w:szCs w:val="20"/>
          <w:lang w:val="es-ES"/>
        </w:rPr>
        <w:t>el</w:t>
      </w:r>
      <w:r w:rsidR="008B38C7" w:rsidRPr="003C379E">
        <w:rPr>
          <w:bCs/>
          <w:sz w:val="20"/>
          <w:szCs w:val="20"/>
          <w:lang w:val="es-ES"/>
        </w:rPr>
        <w:t xml:space="preserve"> </w:t>
      </w:r>
      <w:r w:rsidR="009115EB" w:rsidRPr="003C379E">
        <w:rPr>
          <w:bCs/>
          <w:sz w:val="20"/>
          <w:szCs w:val="20"/>
          <w:lang w:val="es-ES"/>
        </w:rPr>
        <w:t>cua</w:t>
      </w:r>
      <w:r w:rsidR="008B38C7" w:rsidRPr="003C379E">
        <w:rPr>
          <w:bCs/>
          <w:sz w:val="20"/>
          <w:szCs w:val="20"/>
          <w:lang w:val="es-ES"/>
        </w:rPr>
        <w:t>l</w:t>
      </w:r>
      <w:r w:rsidR="00632EBC" w:rsidRPr="003C379E">
        <w:rPr>
          <w:bCs/>
          <w:sz w:val="20"/>
          <w:szCs w:val="20"/>
          <w:lang w:val="es-ES"/>
        </w:rPr>
        <w:t>,</w:t>
      </w:r>
      <w:r w:rsidR="008B38C7" w:rsidRPr="003C379E">
        <w:rPr>
          <w:bCs/>
          <w:sz w:val="20"/>
          <w:szCs w:val="20"/>
          <w:lang w:val="es-ES"/>
        </w:rPr>
        <w:t xml:space="preserve"> por </w:t>
      </w:r>
      <w:r w:rsidR="009115EB" w:rsidRPr="003C379E">
        <w:rPr>
          <w:bCs/>
          <w:sz w:val="20"/>
          <w:szCs w:val="20"/>
          <w:lang w:val="es-ES"/>
        </w:rPr>
        <w:t>no</w:t>
      </w:r>
      <w:r w:rsidR="008B38C7" w:rsidRPr="003C379E">
        <w:rPr>
          <w:bCs/>
          <w:sz w:val="20"/>
          <w:szCs w:val="20"/>
          <w:lang w:val="es-ES"/>
        </w:rPr>
        <w:t xml:space="preserve"> </w:t>
      </w:r>
      <w:r w:rsidR="00632EBC" w:rsidRPr="003C379E">
        <w:rPr>
          <w:bCs/>
          <w:sz w:val="20"/>
          <w:szCs w:val="20"/>
          <w:lang w:val="es-ES"/>
        </w:rPr>
        <w:t>tener</w:t>
      </w:r>
      <w:r w:rsidR="008B38C7" w:rsidRPr="003C379E">
        <w:rPr>
          <w:bCs/>
          <w:sz w:val="20"/>
          <w:szCs w:val="20"/>
          <w:lang w:val="es-ES"/>
        </w:rPr>
        <w:t xml:space="preserve"> respaldo </w:t>
      </w:r>
      <w:r w:rsidR="009115EB" w:rsidRPr="003C379E">
        <w:rPr>
          <w:bCs/>
          <w:sz w:val="20"/>
          <w:szCs w:val="20"/>
          <w:lang w:val="es-ES"/>
        </w:rPr>
        <w:t>en la</w:t>
      </w:r>
      <w:r w:rsidR="008B38C7" w:rsidRPr="003C379E">
        <w:rPr>
          <w:bCs/>
          <w:sz w:val="20"/>
          <w:szCs w:val="20"/>
          <w:lang w:val="es-ES"/>
        </w:rPr>
        <w:t xml:space="preserve"> jurisprud</w:t>
      </w:r>
      <w:r w:rsidR="009115EB" w:rsidRPr="003C379E">
        <w:rPr>
          <w:bCs/>
          <w:sz w:val="20"/>
          <w:szCs w:val="20"/>
          <w:lang w:val="es-ES"/>
        </w:rPr>
        <w:t>encia</w:t>
      </w:r>
      <w:r w:rsidR="008B38C7" w:rsidRPr="003C379E">
        <w:rPr>
          <w:bCs/>
          <w:sz w:val="20"/>
          <w:szCs w:val="20"/>
          <w:lang w:val="es-ES"/>
        </w:rPr>
        <w:t xml:space="preserve"> interamericana sobre </w:t>
      </w:r>
      <w:r w:rsidR="009115EB" w:rsidRPr="003C379E">
        <w:rPr>
          <w:bCs/>
          <w:sz w:val="20"/>
          <w:szCs w:val="20"/>
          <w:lang w:val="es-ES"/>
        </w:rPr>
        <w:t xml:space="preserve">libertad </w:t>
      </w:r>
      <w:r w:rsidR="008B38C7" w:rsidRPr="003C379E">
        <w:rPr>
          <w:bCs/>
          <w:sz w:val="20"/>
          <w:szCs w:val="20"/>
          <w:lang w:val="es-ES"/>
        </w:rPr>
        <w:t>de expre</w:t>
      </w:r>
      <w:r w:rsidR="009115EB" w:rsidRPr="003C379E">
        <w:rPr>
          <w:bCs/>
          <w:sz w:val="20"/>
          <w:szCs w:val="20"/>
          <w:lang w:val="es-ES"/>
        </w:rPr>
        <w:t>sión</w:t>
      </w:r>
      <w:r w:rsidR="008B38C7" w:rsidRPr="003C379E">
        <w:rPr>
          <w:bCs/>
          <w:sz w:val="20"/>
          <w:szCs w:val="20"/>
          <w:lang w:val="es-ES"/>
        </w:rPr>
        <w:t xml:space="preserve">, </w:t>
      </w:r>
      <w:r w:rsidR="009115EB" w:rsidRPr="003C379E">
        <w:rPr>
          <w:bCs/>
          <w:sz w:val="20"/>
          <w:szCs w:val="20"/>
          <w:lang w:val="es-ES"/>
        </w:rPr>
        <w:t>no</w:t>
      </w:r>
      <w:r w:rsidR="00B30B5A" w:rsidRPr="003C379E">
        <w:rPr>
          <w:bCs/>
          <w:sz w:val="20"/>
          <w:szCs w:val="20"/>
          <w:lang w:val="es-ES"/>
        </w:rPr>
        <w:t xml:space="preserve"> podría</w:t>
      </w:r>
      <w:r w:rsidR="008B38C7" w:rsidRPr="003C379E">
        <w:rPr>
          <w:bCs/>
          <w:sz w:val="20"/>
          <w:szCs w:val="20"/>
          <w:lang w:val="es-ES"/>
        </w:rPr>
        <w:t xml:space="preserve"> considera</w:t>
      </w:r>
      <w:r w:rsidR="00632EBC" w:rsidRPr="003C379E">
        <w:rPr>
          <w:bCs/>
          <w:sz w:val="20"/>
          <w:szCs w:val="20"/>
          <w:lang w:val="es-ES"/>
        </w:rPr>
        <w:t>rse</w:t>
      </w:r>
      <w:r w:rsidR="008B38C7" w:rsidRPr="003C379E">
        <w:rPr>
          <w:bCs/>
          <w:sz w:val="20"/>
          <w:szCs w:val="20"/>
          <w:lang w:val="es-ES"/>
        </w:rPr>
        <w:t xml:space="preserve"> </w:t>
      </w:r>
      <w:r w:rsidR="009115EB" w:rsidRPr="003C379E">
        <w:rPr>
          <w:bCs/>
          <w:sz w:val="20"/>
          <w:szCs w:val="20"/>
          <w:lang w:val="es-ES"/>
        </w:rPr>
        <w:t>un</w:t>
      </w:r>
      <w:r w:rsidR="008B38C7" w:rsidRPr="003C379E">
        <w:rPr>
          <w:bCs/>
          <w:sz w:val="20"/>
          <w:szCs w:val="20"/>
          <w:lang w:val="es-ES"/>
        </w:rPr>
        <w:t xml:space="preserve"> delito. </w:t>
      </w:r>
      <w:r w:rsidR="007E5C61" w:rsidRPr="003C379E">
        <w:rPr>
          <w:bCs/>
          <w:sz w:val="20"/>
          <w:szCs w:val="20"/>
          <w:lang w:val="es-ES"/>
        </w:rPr>
        <w:t>Asimismo</w:t>
      </w:r>
      <w:r w:rsidR="008B38C7" w:rsidRPr="003C379E">
        <w:rPr>
          <w:bCs/>
          <w:sz w:val="20"/>
          <w:szCs w:val="20"/>
          <w:lang w:val="es-ES"/>
        </w:rPr>
        <w:t xml:space="preserve">, afirma que </w:t>
      </w:r>
      <w:r w:rsidR="009115EB" w:rsidRPr="003C379E">
        <w:rPr>
          <w:bCs/>
          <w:sz w:val="20"/>
          <w:szCs w:val="20"/>
          <w:lang w:val="es-ES"/>
        </w:rPr>
        <w:t>el</w:t>
      </w:r>
      <w:r w:rsidR="008B38C7" w:rsidRPr="003C379E">
        <w:rPr>
          <w:bCs/>
          <w:sz w:val="20"/>
          <w:szCs w:val="20"/>
          <w:lang w:val="es-ES"/>
        </w:rPr>
        <w:t xml:space="preserve"> Estado </w:t>
      </w:r>
      <w:r w:rsidR="009115EB" w:rsidRPr="003C379E">
        <w:rPr>
          <w:bCs/>
          <w:sz w:val="20"/>
          <w:szCs w:val="20"/>
          <w:lang w:val="es-ES"/>
        </w:rPr>
        <w:t>es</w:t>
      </w:r>
      <w:r w:rsidR="008B38C7" w:rsidRPr="003C379E">
        <w:rPr>
          <w:bCs/>
          <w:sz w:val="20"/>
          <w:szCs w:val="20"/>
          <w:lang w:val="es-ES"/>
        </w:rPr>
        <w:t xml:space="preserve"> respons</w:t>
      </w:r>
      <w:r w:rsidR="00B30B5A" w:rsidRPr="003C379E">
        <w:rPr>
          <w:bCs/>
          <w:sz w:val="20"/>
          <w:szCs w:val="20"/>
          <w:lang w:val="es-ES"/>
        </w:rPr>
        <w:t>able</w:t>
      </w:r>
      <w:r w:rsidR="008B38C7" w:rsidRPr="003C379E">
        <w:rPr>
          <w:bCs/>
          <w:sz w:val="20"/>
          <w:szCs w:val="20"/>
          <w:lang w:val="es-ES"/>
        </w:rPr>
        <w:t xml:space="preserve"> </w:t>
      </w:r>
      <w:r w:rsidR="007E5C61" w:rsidRPr="003C379E">
        <w:rPr>
          <w:bCs/>
          <w:sz w:val="20"/>
          <w:szCs w:val="20"/>
          <w:lang w:val="es-ES"/>
        </w:rPr>
        <w:t>de</w:t>
      </w:r>
      <w:r w:rsidR="009115EB" w:rsidRPr="003C379E">
        <w:rPr>
          <w:bCs/>
          <w:sz w:val="20"/>
          <w:szCs w:val="20"/>
          <w:lang w:val="es-ES"/>
        </w:rPr>
        <w:t xml:space="preserve"> la</w:t>
      </w:r>
      <w:r w:rsidR="008B38C7" w:rsidRPr="003C379E">
        <w:rPr>
          <w:bCs/>
          <w:sz w:val="20"/>
          <w:szCs w:val="20"/>
          <w:lang w:val="es-ES"/>
        </w:rPr>
        <w:t xml:space="preserve"> viola</w:t>
      </w:r>
      <w:r w:rsidR="009115EB" w:rsidRPr="003C379E">
        <w:rPr>
          <w:bCs/>
          <w:sz w:val="20"/>
          <w:szCs w:val="20"/>
          <w:lang w:val="es-ES"/>
        </w:rPr>
        <w:t>ción</w:t>
      </w:r>
      <w:r w:rsidR="008B38C7" w:rsidRPr="003C379E">
        <w:rPr>
          <w:bCs/>
          <w:sz w:val="20"/>
          <w:szCs w:val="20"/>
          <w:lang w:val="es-ES"/>
        </w:rPr>
        <w:t xml:space="preserve"> </w:t>
      </w:r>
      <w:r w:rsidR="009115EB" w:rsidRPr="003C379E">
        <w:rPr>
          <w:bCs/>
          <w:sz w:val="20"/>
          <w:szCs w:val="20"/>
          <w:lang w:val="es-ES"/>
        </w:rPr>
        <w:t>al</w:t>
      </w:r>
      <w:r w:rsidR="008B38C7" w:rsidRPr="003C379E">
        <w:rPr>
          <w:bCs/>
          <w:sz w:val="20"/>
          <w:szCs w:val="20"/>
          <w:lang w:val="es-ES"/>
        </w:rPr>
        <w:t xml:space="preserve"> </w:t>
      </w:r>
      <w:r w:rsidR="009115EB" w:rsidRPr="003C379E">
        <w:rPr>
          <w:bCs/>
          <w:sz w:val="20"/>
          <w:szCs w:val="20"/>
          <w:lang w:val="es-ES"/>
        </w:rPr>
        <w:t>derech</w:t>
      </w:r>
      <w:r w:rsidR="008B38C7" w:rsidRPr="003C379E">
        <w:rPr>
          <w:bCs/>
          <w:sz w:val="20"/>
          <w:szCs w:val="20"/>
          <w:lang w:val="es-ES"/>
        </w:rPr>
        <w:t xml:space="preserve">o </w:t>
      </w:r>
      <w:r w:rsidR="009115EB" w:rsidRPr="003C379E">
        <w:rPr>
          <w:bCs/>
          <w:sz w:val="20"/>
          <w:szCs w:val="20"/>
          <w:lang w:val="es-ES"/>
        </w:rPr>
        <w:t>a la</w:t>
      </w:r>
      <w:r w:rsidR="008B38C7" w:rsidRPr="003C379E">
        <w:rPr>
          <w:bCs/>
          <w:sz w:val="20"/>
          <w:szCs w:val="20"/>
          <w:lang w:val="es-ES"/>
        </w:rPr>
        <w:t xml:space="preserve"> integri</w:t>
      </w:r>
      <w:r w:rsidR="009115EB" w:rsidRPr="003C379E">
        <w:rPr>
          <w:bCs/>
          <w:sz w:val="20"/>
          <w:szCs w:val="20"/>
          <w:lang w:val="es-ES"/>
        </w:rPr>
        <w:t xml:space="preserve">dad </w:t>
      </w:r>
      <w:r w:rsidR="008B38C7" w:rsidRPr="003C379E">
        <w:rPr>
          <w:bCs/>
          <w:sz w:val="20"/>
          <w:szCs w:val="20"/>
          <w:lang w:val="es-ES"/>
        </w:rPr>
        <w:t xml:space="preserve">moral </w:t>
      </w:r>
      <w:r w:rsidR="009115EB" w:rsidRPr="003C379E">
        <w:rPr>
          <w:bCs/>
          <w:sz w:val="20"/>
          <w:szCs w:val="20"/>
          <w:lang w:val="es-ES"/>
        </w:rPr>
        <w:t>del</w:t>
      </w:r>
      <w:r w:rsidR="008B38C7" w:rsidRPr="003C379E">
        <w:rPr>
          <w:bCs/>
          <w:sz w:val="20"/>
          <w:szCs w:val="20"/>
          <w:lang w:val="es-ES"/>
        </w:rPr>
        <w:t xml:space="preserve"> Sr. Starling, </w:t>
      </w:r>
      <w:r w:rsidR="00D22B22" w:rsidRPr="003C379E">
        <w:rPr>
          <w:bCs/>
          <w:sz w:val="20"/>
          <w:szCs w:val="20"/>
          <w:lang w:val="es-ES"/>
        </w:rPr>
        <w:t xml:space="preserve">pues </w:t>
      </w:r>
      <w:r w:rsidR="003D112E" w:rsidRPr="003C379E">
        <w:rPr>
          <w:bCs/>
          <w:sz w:val="20"/>
          <w:szCs w:val="20"/>
          <w:lang w:val="es-ES"/>
        </w:rPr>
        <w:t xml:space="preserve">este </w:t>
      </w:r>
      <w:r w:rsidR="00D22B22" w:rsidRPr="003C379E">
        <w:rPr>
          <w:bCs/>
          <w:sz w:val="20"/>
          <w:szCs w:val="20"/>
          <w:lang w:val="es-ES"/>
        </w:rPr>
        <w:t xml:space="preserve">no </w:t>
      </w:r>
      <w:r w:rsidR="00A36ABA" w:rsidRPr="003C379E">
        <w:rPr>
          <w:bCs/>
          <w:sz w:val="20"/>
          <w:szCs w:val="20"/>
          <w:lang w:val="es-ES"/>
        </w:rPr>
        <w:t>tiene antecedentes penales</w:t>
      </w:r>
      <w:r w:rsidR="003D112E" w:rsidRPr="003C379E">
        <w:rPr>
          <w:bCs/>
          <w:sz w:val="20"/>
          <w:szCs w:val="20"/>
          <w:lang w:val="es-ES"/>
        </w:rPr>
        <w:t>,</w:t>
      </w:r>
      <w:r w:rsidR="00D22B22" w:rsidRPr="003C379E">
        <w:rPr>
          <w:bCs/>
          <w:sz w:val="20"/>
          <w:szCs w:val="20"/>
          <w:lang w:val="es-ES"/>
        </w:rPr>
        <w:t xml:space="preserve"> y la condena por desacato lo sometió a la vergüenza pública, </w:t>
      </w:r>
      <w:r w:rsidR="003D112E" w:rsidRPr="003C379E">
        <w:rPr>
          <w:bCs/>
          <w:sz w:val="20"/>
          <w:szCs w:val="20"/>
          <w:lang w:val="es-ES"/>
        </w:rPr>
        <w:t>lo que es posible que</w:t>
      </w:r>
      <w:r w:rsidR="00D22B22" w:rsidRPr="003C379E">
        <w:rPr>
          <w:bCs/>
          <w:sz w:val="20"/>
          <w:szCs w:val="20"/>
          <w:lang w:val="es-ES"/>
        </w:rPr>
        <w:t xml:space="preserve"> inviabili</w:t>
      </w:r>
      <w:r w:rsidR="003D112E" w:rsidRPr="003C379E">
        <w:rPr>
          <w:bCs/>
          <w:sz w:val="20"/>
          <w:szCs w:val="20"/>
          <w:lang w:val="es-ES"/>
        </w:rPr>
        <w:t>ce</w:t>
      </w:r>
      <w:r w:rsidR="00D22B22" w:rsidRPr="003C379E">
        <w:rPr>
          <w:bCs/>
          <w:sz w:val="20"/>
          <w:szCs w:val="20"/>
          <w:lang w:val="es-ES"/>
        </w:rPr>
        <w:t xml:space="preserve"> o perjudi</w:t>
      </w:r>
      <w:r w:rsidR="003D112E" w:rsidRPr="003C379E">
        <w:rPr>
          <w:bCs/>
          <w:sz w:val="20"/>
          <w:szCs w:val="20"/>
          <w:lang w:val="es-ES"/>
        </w:rPr>
        <w:t>que</w:t>
      </w:r>
      <w:r w:rsidR="00D22B22" w:rsidRPr="003C379E">
        <w:rPr>
          <w:bCs/>
          <w:sz w:val="20"/>
          <w:szCs w:val="20"/>
          <w:lang w:val="es-ES"/>
        </w:rPr>
        <w:t xml:space="preserve"> la obtención de empleos o su readaptación social. </w:t>
      </w:r>
      <w:r w:rsidR="008B38C7" w:rsidRPr="003C379E">
        <w:rPr>
          <w:bCs/>
          <w:sz w:val="20"/>
          <w:szCs w:val="20"/>
          <w:lang w:val="es-ES"/>
        </w:rPr>
        <w:t xml:space="preserve">Finalmente, alega que </w:t>
      </w:r>
      <w:r w:rsidR="008960C9" w:rsidRPr="003C379E">
        <w:rPr>
          <w:bCs/>
          <w:sz w:val="20"/>
          <w:szCs w:val="20"/>
          <w:lang w:val="es-ES"/>
        </w:rPr>
        <w:t>se</w:t>
      </w:r>
      <w:r w:rsidR="008B38C7" w:rsidRPr="003C379E">
        <w:rPr>
          <w:bCs/>
          <w:sz w:val="20"/>
          <w:szCs w:val="20"/>
          <w:lang w:val="es-ES"/>
        </w:rPr>
        <w:t xml:space="preserve"> viol</w:t>
      </w:r>
      <w:r w:rsidR="008960C9" w:rsidRPr="003C379E">
        <w:rPr>
          <w:bCs/>
          <w:sz w:val="20"/>
          <w:szCs w:val="20"/>
          <w:lang w:val="es-ES"/>
        </w:rPr>
        <w:t>ó</w:t>
      </w:r>
      <w:r w:rsidR="008B38C7" w:rsidRPr="003C379E">
        <w:rPr>
          <w:bCs/>
          <w:sz w:val="20"/>
          <w:szCs w:val="20"/>
          <w:lang w:val="es-ES"/>
        </w:rPr>
        <w:t xml:space="preserve"> </w:t>
      </w:r>
      <w:r w:rsidR="009115EB" w:rsidRPr="003C379E">
        <w:rPr>
          <w:bCs/>
          <w:sz w:val="20"/>
          <w:szCs w:val="20"/>
          <w:lang w:val="es-ES"/>
        </w:rPr>
        <w:t>el</w:t>
      </w:r>
      <w:r w:rsidR="008B38C7" w:rsidRPr="003C379E">
        <w:rPr>
          <w:bCs/>
          <w:sz w:val="20"/>
          <w:szCs w:val="20"/>
          <w:lang w:val="es-ES"/>
        </w:rPr>
        <w:t xml:space="preserve"> </w:t>
      </w:r>
      <w:r w:rsidR="009115EB" w:rsidRPr="003C379E">
        <w:rPr>
          <w:bCs/>
          <w:sz w:val="20"/>
          <w:szCs w:val="20"/>
          <w:lang w:val="es-ES"/>
        </w:rPr>
        <w:t>derech</w:t>
      </w:r>
      <w:r w:rsidR="008B38C7" w:rsidRPr="003C379E">
        <w:rPr>
          <w:bCs/>
          <w:sz w:val="20"/>
          <w:szCs w:val="20"/>
          <w:lang w:val="es-ES"/>
        </w:rPr>
        <w:t xml:space="preserve">o </w:t>
      </w:r>
      <w:r w:rsidR="009115EB" w:rsidRPr="003C379E">
        <w:rPr>
          <w:bCs/>
          <w:sz w:val="20"/>
          <w:szCs w:val="20"/>
          <w:lang w:val="es-ES"/>
        </w:rPr>
        <w:t>a la</w:t>
      </w:r>
      <w:r w:rsidR="008B38C7" w:rsidRPr="003C379E">
        <w:rPr>
          <w:bCs/>
          <w:sz w:val="20"/>
          <w:szCs w:val="20"/>
          <w:lang w:val="es-ES"/>
        </w:rPr>
        <w:t xml:space="preserve"> </w:t>
      </w:r>
      <w:r w:rsidR="009115EB" w:rsidRPr="003C379E">
        <w:rPr>
          <w:bCs/>
          <w:sz w:val="20"/>
          <w:szCs w:val="20"/>
          <w:lang w:val="es-ES"/>
        </w:rPr>
        <w:t>indemniz</w:t>
      </w:r>
      <w:r w:rsidR="008B38C7" w:rsidRPr="003C379E">
        <w:rPr>
          <w:bCs/>
          <w:sz w:val="20"/>
          <w:szCs w:val="20"/>
          <w:lang w:val="es-ES"/>
        </w:rPr>
        <w:t>a</w:t>
      </w:r>
      <w:r w:rsidR="009115EB" w:rsidRPr="003C379E">
        <w:rPr>
          <w:bCs/>
          <w:sz w:val="20"/>
          <w:szCs w:val="20"/>
          <w:lang w:val="es-ES"/>
        </w:rPr>
        <w:t>ción</w:t>
      </w:r>
      <w:r w:rsidR="008B38C7" w:rsidRPr="003C379E">
        <w:rPr>
          <w:bCs/>
          <w:sz w:val="20"/>
          <w:szCs w:val="20"/>
          <w:lang w:val="es-ES"/>
        </w:rPr>
        <w:t xml:space="preserve"> por erro</w:t>
      </w:r>
      <w:r w:rsidR="00B30B5A" w:rsidRPr="003C379E">
        <w:rPr>
          <w:bCs/>
          <w:sz w:val="20"/>
          <w:szCs w:val="20"/>
          <w:lang w:val="es-ES"/>
        </w:rPr>
        <w:t>r</w:t>
      </w:r>
      <w:r w:rsidR="008B38C7" w:rsidRPr="003C379E">
        <w:rPr>
          <w:bCs/>
          <w:sz w:val="20"/>
          <w:szCs w:val="20"/>
          <w:lang w:val="es-ES"/>
        </w:rPr>
        <w:t xml:space="preserve"> judicial</w:t>
      </w:r>
      <w:r w:rsidR="00FF7024" w:rsidRPr="003C379E">
        <w:rPr>
          <w:bCs/>
          <w:sz w:val="20"/>
          <w:szCs w:val="20"/>
          <w:lang w:val="es-ES"/>
        </w:rPr>
        <w:t xml:space="preserve">, </w:t>
      </w:r>
      <w:r w:rsidR="00B05EA6" w:rsidRPr="003C379E">
        <w:rPr>
          <w:bCs/>
          <w:sz w:val="20"/>
          <w:szCs w:val="20"/>
          <w:lang w:val="es-ES"/>
        </w:rPr>
        <w:t>pues</w:t>
      </w:r>
      <w:r w:rsidR="00FF7024" w:rsidRPr="003C379E">
        <w:rPr>
          <w:bCs/>
          <w:sz w:val="20"/>
          <w:szCs w:val="20"/>
          <w:lang w:val="es-ES"/>
        </w:rPr>
        <w:t xml:space="preserve"> </w:t>
      </w:r>
      <w:r w:rsidR="00B6265D" w:rsidRPr="003C379E">
        <w:rPr>
          <w:bCs/>
          <w:sz w:val="20"/>
          <w:szCs w:val="20"/>
          <w:lang w:val="es-ES"/>
        </w:rPr>
        <w:t>la</w:t>
      </w:r>
      <w:r w:rsidR="00FF7024" w:rsidRPr="003C379E">
        <w:rPr>
          <w:bCs/>
          <w:sz w:val="20"/>
          <w:szCs w:val="20"/>
          <w:lang w:val="es-ES"/>
        </w:rPr>
        <w:t xml:space="preserve"> </w:t>
      </w:r>
      <w:r w:rsidR="00B05EA6" w:rsidRPr="003C379E">
        <w:rPr>
          <w:bCs/>
          <w:sz w:val="20"/>
          <w:szCs w:val="20"/>
          <w:lang w:val="es-ES"/>
        </w:rPr>
        <w:t>presunta v</w:t>
      </w:r>
      <w:r w:rsidR="009115EB" w:rsidRPr="003C379E">
        <w:rPr>
          <w:bCs/>
          <w:sz w:val="20"/>
          <w:szCs w:val="20"/>
          <w:lang w:val="es-ES"/>
        </w:rPr>
        <w:t>íctima</w:t>
      </w:r>
      <w:r w:rsidR="00FF7024" w:rsidRPr="003C379E">
        <w:rPr>
          <w:bCs/>
          <w:sz w:val="20"/>
          <w:szCs w:val="20"/>
          <w:lang w:val="es-ES"/>
        </w:rPr>
        <w:t xml:space="preserve"> </w:t>
      </w:r>
      <w:r w:rsidR="009115EB" w:rsidRPr="003C379E">
        <w:rPr>
          <w:bCs/>
          <w:sz w:val="20"/>
          <w:szCs w:val="20"/>
          <w:lang w:val="es-ES"/>
        </w:rPr>
        <w:t>fue</w:t>
      </w:r>
      <w:r w:rsidR="00FF7024" w:rsidRPr="003C379E">
        <w:rPr>
          <w:bCs/>
          <w:sz w:val="20"/>
          <w:szCs w:val="20"/>
          <w:lang w:val="es-ES"/>
        </w:rPr>
        <w:t xml:space="preserve"> condenada por </w:t>
      </w:r>
      <w:r w:rsidR="009115EB" w:rsidRPr="003C379E">
        <w:rPr>
          <w:bCs/>
          <w:sz w:val="20"/>
          <w:szCs w:val="20"/>
          <w:lang w:val="es-ES"/>
        </w:rPr>
        <w:t>un</w:t>
      </w:r>
      <w:r w:rsidR="00FF7024" w:rsidRPr="003C379E">
        <w:rPr>
          <w:bCs/>
          <w:sz w:val="20"/>
          <w:szCs w:val="20"/>
          <w:lang w:val="es-ES"/>
        </w:rPr>
        <w:t xml:space="preserve"> </w:t>
      </w:r>
      <w:r w:rsidR="00BF6A21" w:rsidRPr="003C379E">
        <w:rPr>
          <w:bCs/>
          <w:sz w:val="20"/>
          <w:szCs w:val="20"/>
          <w:lang w:val="es-ES"/>
        </w:rPr>
        <w:t>delito</w:t>
      </w:r>
      <w:r w:rsidR="00FF7024" w:rsidRPr="003C379E">
        <w:rPr>
          <w:bCs/>
          <w:sz w:val="20"/>
          <w:szCs w:val="20"/>
          <w:lang w:val="es-ES"/>
        </w:rPr>
        <w:t xml:space="preserve"> incompat</w:t>
      </w:r>
      <w:r w:rsidR="00B05EA6" w:rsidRPr="003C379E">
        <w:rPr>
          <w:bCs/>
          <w:sz w:val="20"/>
          <w:szCs w:val="20"/>
          <w:lang w:val="es-ES"/>
        </w:rPr>
        <w:t xml:space="preserve">ible </w:t>
      </w:r>
      <w:r w:rsidR="009115EB" w:rsidRPr="003C379E">
        <w:rPr>
          <w:bCs/>
          <w:sz w:val="20"/>
          <w:szCs w:val="20"/>
          <w:lang w:val="es-ES"/>
        </w:rPr>
        <w:t>con</w:t>
      </w:r>
      <w:r w:rsidR="00B30B5A" w:rsidRPr="003C379E">
        <w:rPr>
          <w:bCs/>
          <w:sz w:val="20"/>
          <w:szCs w:val="20"/>
          <w:lang w:val="es-ES"/>
        </w:rPr>
        <w:t xml:space="preserve"> la Convención</w:t>
      </w:r>
      <w:r w:rsidR="00FF7024" w:rsidRPr="003C379E">
        <w:rPr>
          <w:bCs/>
          <w:sz w:val="20"/>
          <w:szCs w:val="20"/>
          <w:lang w:val="es-ES"/>
        </w:rPr>
        <w:t xml:space="preserve"> Americana.</w:t>
      </w:r>
    </w:p>
    <w:p w14:paraId="146ED033" w14:textId="77777777" w:rsidR="00626089" w:rsidRPr="003C379E" w:rsidRDefault="00626089" w:rsidP="00626089">
      <w:pPr>
        <w:pStyle w:val="ListParagraph"/>
        <w:jc w:val="both"/>
        <w:rPr>
          <w:bCs/>
          <w:sz w:val="20"/>
          <w:szCs w:val="20"/>
          <w:lang w:val="es-ES"/>
        </w:rPr>
      </w:pPr>
    </w:p>
    <w:p w14:paraId="2AF4FD1E" w14:textId="2954AC91" w:rsidR="001F0BB5" w:rsidRPr="003C379E" w:rsidRDefault="006E3C8B" w:rsidP="00344977">
      <w:pPr>
        <w:numPr>
          <w:ilvl w:val="0"/>
          <w:numId w:val="103"/>
        </w:numPr>
        <w:suppressAutoHyphens/>
        <w:spacing w:after="240"/>
        <w:jc w:val="both"/>
        <w:rPr>
          <w:rFonts w:ascii="Cambria" w:hAnsi="Cambria"/>
          <w:sz w:val="20"/>
          <w:szCs w:val="20"/>
          <w:lang w:val="es-ES"/>
        </w:rPr>
      </w:pPr>
      <w:r w:rsidRPr="003C379E">
        <w:rPr>
          <w:rFonts w:ascii="Cambria" w:hAnsi="Cambria"/>
          <w:bCs/>
          <w:sz w:val="20"/>
          <w:szCs w:val="20"/>
          <w:lang w:val="es-ES"/>
        </w:rPr>
        <w:t>La parte peticionaria</w:t>
      </w:r>
      <w:r w:rsidR="004C4E99" w:rsidRPr="003C379E">
        <w:rPr>
          <w:rFonts w:ascii="Cambria" w:hAnsi="Cambria"/>
          <w:bCs/>
          <w:sz w:val="20"/>
          <w:szCs w:val="20"/>
          <w:lang w:val="es-ES"/>
        </w:rPr>
        <w:t xml:space="preserve"> afirma que</w:t>
      </w:r>
      <w:r w:rsidR="00431789"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4C4E99" w:rsidRPr="003C379E">
        <w:rPr>
          <w:rFonts w:ascii="Cambria" w:hAnsi="Cambria"/>
          <w:bCs/>
          <w:sz w:val="20"/>
          <w:szCs w:val="20"/>
          <w:lang w:val="es-ES"/>
        </w:rPr>
        <w:t xml:space="preserve"> </w:t>
      </w:r>
      <w:r w:rsidR="00B05EA6" w:rsidRPr="003C379E">
        <w:rPr>
          <w:rFonts w:ascii="Cambria" w:hAnsi="Cambria"/>
          <w:bCs/>
          <w:sz w:val="20"/>
          <w:szCs w:val="20"/>
          <w:lang w:val="es-ES"/>
        </w:rPr>
        <w:t>presunta v</w:t>
      </w:r>
      <w:r w:rsidR="009115EB" w:rsidRPr="003C379E">
        <w:rPr>
          <w:rFonts w:ascii="Cambria" w:hAnsi="Cambria"/>
          <w:bCs/>
          <w:sz w:val="20"/>
          <w:szCs w:val="20"/>
          <w:lang w:val="es-ES"/>
        </w:rPr>
        <w:t>íctima</w:t>
      </w:r>
      <w:r w:rsidR="004C4E99" w:rsidRPr="003C379E">
        <w:rPr>
          <w:rFonts w:ascii="Cambria" w:hAnsi="Cambria"/>
          <w:bCs/>
          <w:sz w:val="20"/>
          <w:szCs w:val="20"/>
          <w:lang w:val="es-ES"/>
        </w:rPr>
        <w:t xml:space="preserve"> </w:t>
      </w:r>
      <w:r w:rsidR="009115EB" w:rsidRPr="003C379E">
        <w:rPr>
          <w:rFonts w:ascii="Cambria" w:hAnsi="Cambria"/>
          <w:bCs/>
          <w:sz w:val="20"/>
          <w:szCs w:val="20"/>
          <w:lang w:val="es-ES"/>
        </w:rPr>
        <w:t>fue</w:t>
      </w:r>
      <w:r w:rsidR="004C4E99" w:rsidRPr="003C379E">
        <w:rPr>
          <w:rFonts w:ascii="Cambria" w:hAnsi="Cambria"/>
          <w:bCs/>
          <w:sz w:val="20"/>
          <w:szCs w:val="20"/>
          <w:lang w:val="es-ES"/>
        </w:rPr>
        <w:t xml:space="preserve"> </w:t>
      </w:r>
      <w:r w:rsidR="00431789" w:rsidRPr="003C379E">
        <w:rPr>
          <w:rFonts w:ascii="Cambria" w:hAnsi="Cambria"/>
          <w:bCs/>
          <w:sz w:val="20"/>
          <w:szCs w:val="20"/>
          <w:lang w:val="es-ES"/>
        </w:rPr>
        <w:t xml:space="preserve">denunciada </w:t>
      </w:r>
      <w:r w:rsidR="009115EB" w:rsidRPr="003C379E">
        <w:rPr>
          <w:rFonts w:ascii="Cambria" w:hAnsi="Cambria"/>
          <w:bCs/>
          <w:sz w:val="20"/>
          <w:szCs w:val="20"/>
          <w:lang w:val="es-ES"/>
        </w:rPr>
        <w:t>por el</w:t>
      </w:r>
      <w:r w:rsidR="00431789" w:rsidRPr="003C379E">
        <w:rPr>
          <w:rFonts w:ascii="Cambria" w:hAnsi="Cambria"/>
          <w:bCs/>
          <w:sz w:val="20"/>
          <w:szCs w:val="20"/>
          <w:lang w:val="es-ES"/>
        </w:rPr>
        <w:t xml:space="preserve"> Minis</w:t>
      </w:r>
      <w:r w:rsidR="00B30B5A" w:rsidRPr="003C379E">
        <w:rPr>
          <w:rFonts w:ascii="Cambria" w:hAnsi="Cambria"/>
          <w:bCs/>
          <w:sz w:val="20"/>
          <w:szCs w:val="20"/>
          <w:lang w:val="es-ES"/>
        </w:rPr>
        <w:t>terio</w:t>
      </w:r>
      <w:r w:rsidR="00431789" w:rsidRPr="003C379E">
        <w:rPr>
          <w:rFonts w:ascii="Cambria" w:hAnsi="Cambria"/>
          <w:bCs/>
          <w:sz w:val="20"/>
          <w:szCs w:val="20"/>
          <w:lang w:val="es-ES"/>
        </w:rPr>
        <w:t xml:space="preserve"> Público Federal por</w:t>
      </w:r>
      <w:r w:rsidR="003D112E" w:rsidRPr="003C379E">
        <w:rPr>
          <w:rFonts w:ascii="Cambria" w:hAnsi="Cambria"/>
          <w:bCs/>
          <w:sz w:val="20"/>
          <w:szCs w:val="20"/>
          <w:lang w:val="es-ES"/>
        </w:rPr>
        <w:t>que habría</w:t>
      </w:r>
      <w:r w:rsidR="00431789" w:rsidRPr="003C379E">
        <w:rPr>
          <w:rFonts w:ascii="Cambria" w:hAnsi="Cambria"/>
          <w:bCs/>
          <w:sz w:val="20"/>
          <w:szCs w:val="20"/>
          <w:lang w:val="es-ES"/>
        </w:rPr>
        <w:t xml:space="preserve"> </w:t>
      </w:r>
      <w:r w:rsidR="008960C9" w:rsidRPr="003C379E">
        <w:rPr>
          <w:rFonts w:ascii="Cambria" w:hAnsi="Cambria"/>
          <w:bCs/>
          <w:sz w:val="20"/>
          <w:szCs w:val="20"/>
          <w:lang w:val="es-ES"/>
        </w:rPr>
        <w:t>cometido</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431789" w:rsidRPr="003C379E">
        <w:rPr>
          <w:rFonts w:ascii="Cambria" w:hAnsi="Cambria"/>
          <w:bCs/>
          <w:sz w:val="20"/>
          <w:szCs w:val="20"/>
          <w:lang w:val="es-ES"/>
        </w:rPr>
        <w:t xml:space="preserve"> </w:t>
      </w:r>
      <w:r w:rsidR="00B05EA6" w:rsidRPr="003C379E">
        <w:rPr>
          <w:rFonts w:ascii="Cambria" w:hAnsi="Cambria"/>
          <w:bCs/>
          <w:sz w:val="20"/>
          <w:szCs w:val="20"/>
          <w:lang w:val="es-ES"/>
        </w:rPr>
        <w:t>delito de desacato</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artículo</w:t>
      </w:r>
      <w:r w:rsidR="00431789" w:rsidRPr="003C379E">
        <w:rPr>
          <w:rFonts w:ascii="Cambria" w:hAnsi="Cambria"/>
          <w:bCs/>
          <w:sz w:val="20"/>
          <w:szCs w:val="20"/>
          <w:lang w:val="es-ES"/>
        </w:rPr>
        <w:t xml:space="preserve"> 331 </w:t>
      </w:r>
      <w:r w:rsidR="009115EB" w:rsidRPr="003C379E">
        <w:rPr>
          <w:rFonts w:ascii="Cambria" w:hAnsi="Cambria"/>
          <w:bCs/>
          <w:sz w:val="20"/>
          <w:szCs w:val="20"/>
          <w:lang w:val="es-ES"/>
        </w:rPr>
        <w:t>del</w:t>
      </w:r>
      <w:r w:rsidR="008960C9" w:rsidRPr="003C379E">
        <w:rPr>
          <w:rFonts w:ascii="Cambria" w:hAnsi="Cambria"/>
          <w:bCs/>
          <w:sz w:val="20"/>
          <w:szCs w:val="20"/>
          <w:lang w:val="es-ES"/>
        </w:rPr>
        <w:t xml:space="preserve"> Código Penal) </w:t>
      </w:r>
      <w:r w:rsidR="003D112E" w:rsidRPr="003C379E">
        <w:rPr>
          <w:rFonts w:ascii="Cambria" w:hAnsi="Cambria"/>
          <w:bCs/>
          <w:sz w:val="20"/>
          <w:szCs w:val="20"/>
          <w:lang w:val="es-ES"/>
        </w:rPr>
        <w:t>al</w:t>
      </w:r>
      <w:r w:rsidR="008960C9" w:rsidRPr="003C379E">
        <w:rPr>
          <w:rFonts w:ascii="Cambria" w:hAnsi="Cambria"/>
          <w:bCs/>
          <w:sz w:val="20"/>
          <w:szCs w:val="20"/>
          <w:lang w:val="es-ES"/>
        </w:rPr>
        <w:t xml:space="preserve"> </w:t>
      </w:r>
      <w:r w:rsidR="00CA0AF8" w:rsidRPr="003C379E">
        <w:rPr>
          <w:rFonts w:ascii="Cambria" w:hAnsi="Cambria"/>
          <w:bCs/>
          <w:sz w:val="20"/>
          <w:szCs w:val="20"/>
          <w:lang w:val="es-ES"/>
        </w:rPr>
        <w:t xml:space="preserve">supuestamente </w:t>
      </w:r>
      <w:r w:rsidR="008960C9" w:rsidRPr="003C379E">
        <w:rPr>
          <w:rFonts w:ascii="Cambria" w:hAnsi="Cambria"/>
          <w:bCs/>
          <w:sz w:val="20"/>
          <w:szCs w:val="20"/>
          <w:lang w:val="es-ES"/>
        </w:rPr>
        <w:t>hab</w:t>
      </w:r>
      <w:r w:rsidR="00632EBC" w:rsidRPr="003C379E">
        <w:rPr>
          <w:rFonts w:ascii="Cambria" w:hAnsi="Cambria"/>
          <w:bCs/>
          <w:sz w:val="20"/>
          <w:szCs w:val="20"/>
          <w:lang w:val="es-ES"/>
        </w:rPr>
        <w:t>er</w:t>
      </w:r>
      <w:r w:rsidR="008960C9" w:rsidRPr="003C379E">
        <w:rPr>
          <w:rFonts w:ascii="Cambria" w:hAnsi="Cambria"/>
          <w:bCs/>
          <w:sz w:val="20"/>
          <w:szCs w:val="20"/>
          <w:lang w:val="es-ES"/>
        </w:rPr>
        <w:t xml:space="preserve"> ll</w:t>
      </w:r>
      <w:r w:rsidR="00431789" w:rsidRPr="003C379E">
        <w:rPr>
          <w:rFonts w:ascii="Cambria" w:hAnsi="Cambria"/>
          <w:bCs/>
          <w:sz w:val="20"/>
          <w:szCs w:val="20"/>
          <w:lang w:val="es-ES"/>
        </w:rPr>
        <w:t xml:space="preserve">amado </w:t>
      </w:r>
      <w:r w:rsidR="000D1F2D" w:rsidRPr="003C379E">
        <w:rPr>
          <w:rFonts w:ascii="Cambria" w:hAnsi="Cambria"/>
          <w:bCs/>
          <w:sz w:val="20"/>
          <w:szCs w:val="20"/>
          <w:lang w:val="es-ES"/>
        </w:rPr>
        <w:t>“</w:t>
      </w:r>
      <w:r w:rsidR="00BA640D" w:rsidRPr="003C379E">
        <w:rPr>
          <w:rFonts w:ascii="Cambria" w:hAnsi="Cambria"/>
          <w:bCs/>
          <w:sz w:val="20"/>
          <w:szCs w:val="20"/>
          <w:lang w:val="es-ES"/>
        </w:rPr>
        <w:t>canalla</w:t>
      </w:r>
      <w:r w:rsidR="000D1F2D" w:rsidRPr="003C379E">
        <w:rPr>
          <w:rFonts w:ascii="Cambria" w:hAnsi="Cambria"/>
          <w:bCs/>
          <w:sz w:val="20"/>
          <w:szCs w:val="20"/>
          <w:lang w:val="es-ES"/>
        </w:rPr>
        <w:t xml:space="preserve">” a </w:t>
      </w:r>
      <w:r w:rsidR="009115EB" w:rsidRPr="003C379E">
        <w:rPr>
          <w:rFonts w:ascii="Cambria" w:hAnsi="Cambria"/>
          <w:bCs/>
          <w:sz w:val="20"/>
          <w:szCs w:val="20"/>
          <w:lang w:val="es-ES"/>
        </w:rPr>
        <w:t>un</w:t>
      </w:r>
      <w:r w:rsidR="00431789" w:rsidRPr="003C379E">
        <w:rPr>
          <w:rFonts w:ascii="Cambria" w:hAnsi="Cambria"/>
          <w:bCs/>
          <w:sz w:val="20"/>
          <w:szCs w:val="20"/>
          <w:lang w:val="es-ES"/>
        </w:rPr>
        <w:t xml:space="preserve"> agente </w:t>
      </w:r>
      <w:r w:rsidR="009115EB" w:rsidRPr="003C379E">
        <w:rPr>
          <w:rFonts w:ascii="Cambria" w:hAnsi="Cambria"/>
          <w:bCs/>
          <w:sz w:val="20"/>
          <w:szCs w:val="20"/>
          <w:lang w:val="es-ES"/>
        </w:rPr>
        <w:t>de la</w:t>
      </w:r>
      <w:r w:rsidR="00431789" w:rsidRPr="003C379E">
        <w:rPr>
          <w:rFonts w:ascii="Cambria" w:hAnsi="Cambria"/>
          <w:bCs/>
          <w:sz w:val="20"/>
          <w:szCs w:val="20"/>
          <w:lang w:val="es-ES"/>
        </w:rPr>
        <w:t xml:space="preserve"> </w:t>
      </w:r>
      <w:r w:rsidR="00B30B5A" w:rsidRPr="003C379E">
        <w:rPr>
          <w:rFonts w:ascii="Cambria" w:hAnsi="Cambria"/>
          <w:bCs/>
          <w:sz w:val="20"/>
          <w:szCs w:val="20"/>
          <w:lang w:val="es-ES"/>
        </w:rPr>
        <w:t>Policía</w:t>
      </w:r>
      <w:r w:rsidR="00431789" w:rsidRPr="003C379E">
        <w:rPr>
          <w:rFonts w:ascii="Cambria" w:hAnsi="Cambria"/>
          <w:bCs/>
          <w:sz w:val="20"/>
          <w:szCs w:val="20"/>
          <w:lang w:val="es-ES"/>
        </w:rPr>
        <w:t xml:space="preserve"> Federal</w:t>
      </w:r>
      <w:r w:rsidR="003D112E" w:rsidRPr="003C379E">
        <w:rPr>
          <w:rFonts w:ascii="Cambria" w:hAnsi="Cambria"/>
          <w:bCs/>
          <w:sz w:val="20"/>
          <w:szCs w:val="20"/>
          <w:lang w:val="es-ES"/>
        </w:rPr>
        <w:t xml:space="preserve"> en</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431789" w:rsidRPr="003C379E">
        <w:rPr>
          <w:rFonts w:ascii="Cambria" w:hAnsi="Cambria"/>
          <w:bCs/>
          <w:sz w:val="20"/>
          <w:szCs w:val="20"/>
          <w:lang w:val="es-ES"/>
        </w:rPr>
        <w:t xml:space="preserve"> Departamento </w:t>
      </w:r>
      <w:r w:rsidR="009115EB" w:rsidRPr="003C379E">
        <w:rPr>
          <w:rFonts w:ascii="Cambria" w:hAnsi="Cambria"/>
          <w:bCs/>
          <w:sz w:val="20"/>
          <w:szCs w:val="20"/>
          <w:lang w:val="es-ES"/>
        </w:rPr>
        <w:t>de la</w:t>
      </w:r>
      <w:r w:rsidR="00431789" w:rsidRPr="003C379E">
        <w:rPr>
          <w:rFonts w:ascii="Cambria" w:hAnsi="Cambria"/>
          <w:bCs/>
          <w:sz w:val="20"/>
          <w:szCs w:val="20"/>
          <w:lang w:val="es-ES"/>
        </w:rPr>
        <w:t xml:space="preserve"> </w:t>
      </w:r>
      <w:r w:rsidR="00B30B5A" w:rsidRPr="003C379E">
        <w:rPr>
          <w:rFonts w:ascii="Cambria" w:hAnsi="Cambria"/>
          <w:bCs/>
          <w:sz w:val="20"/>
          <w:szCs w:val="20"/>
          <w:lang w:val="es-ES"/>
        </w:rPr>
        <w:t>Policía</w:t>
      </w:r>
      <w:r w:rsidR="000D1F2D" w:rsidRPr="003C379E">
        <w:rPr>
          <w:rFonts w:ascii="Cambria" w:hAnsi="Cambria"/>
          <w:bCs/>
          <w:sz w:val="20"/>
          <w:szCs w:val="20"/>
          <w:lang w:val="es-ES"/>
        </w:rPr>
        <w:t xml:space="preserve"> Federal</w:t>
      </w:r>
      <w:r w:rsidR="00431789" w:rsidRPr="003C379E">
        <w:rPr>
          <w:rFonts w:ascii="Cambria" w:hAnsi="Cambria"/>
          <w:bCs/>
          <w:sz w:val="20"/>
          <w:szCs w:val="20"/>
          <w:lang w:val="es-ES"/>
        </w:rPr>
        <w:t xml:space="preserve">. </w:t>
      </w:r>
      <w:r w:rsidR="00B727FC" w:rsidRPr="003C379E">
        <w:rPr>
          <w:rFonts w:ascii="Cambria" w:hAnsi="Cambria"/>
          <w:bCs/>
          <w:sz w:val="20"/>
          <w:szCs w:val="20"/>
          <w:lang w:val="es-ES"/>
        </w:rPr>
        <w:t xml:space="preserve">Aclara </w:t>
      </w:r>
      <w:r w:rsidR="00431789" w:rsidRPr="003C379E">
        <w:rPr>
          <w:rFonts w:ascii="Cambria" w:hAnsi="Cambria"/>
          <w:bCs/>
          <w:sz w:val="20"/>
          <w:szCs w:val="20"/>
          <w:lang w:val="es-ES"/>
        </w:rPr>
        <w:t xml:space="preserve">que </w:t>
      </w:r>
      <w:r w:rsidR="009115EB" w:rsidRPr="003C379E">
        <w:rPr>
          <w:rFonts w:ascii="Cambria" w:hAnsi="Cambria"/>
          <w:bCs/>
          <w:sz w:val="20"/>
          <w:szCs w:val="20"/>
          <w:lang w:val="es-ES"/>
        </w:rPr>
        <w:t>el</w:t>
      </w:r>
      <w:r w:rsidR="00431789" w:rsidRPr="003C379E">
        <w:rPr>
          <w:rFonts w:ascii="Cambria" w:hAnsi="Cambria"/>
          <w:bCs/>
          <w:sz w:val="20"/>
          <w:szCs w:val="20"/>
          <w:lang w:val="es-ES"/>
        </w:rPr>
        <w:t xml:space="preserve"> proce</w:t>
      </w:r>
      <w:r w:rsidR="00B05EA6" w:rsidRPr="003C379E">
        <w:rPr>
          <w:rFonts w:ascii="Cambria" w:hAnsi="Cambria"/>
          <w:bCs/>
          <w:sz w:val="20"/>
          <w:szCs w:val="20"/>
          <w:lang w:val="es-ES"/>
        </w:rPr>
        <w:t>s</w:t>
      </w:r>
      <w:r w:rsidR="00431789" w:rsidRPr="003C379E">
        <w:rPr>
          <w:rFonts w:ascii="Cambria" w:hAnsi="Cambria"/>
          <w:bCs/>
          <w:sz w:val="20"/>
          <w:szCs w:val="20"/>
          <w:lang w:val="es-ES"/>
        </w:rPr>
        <w:t xml:space="preserve">o </w:t>
      </w:r>
      <w:r w:rsidR="00B727FC" w:rsidRPr="003C379E">
        <w:rPr>
          <w:rFonts w:ascii="Cambria" w:hAnsi="Cambria"/>
          <w:bCs/>
          <w:sz w:val="20"/>
          <w:szCs w:val="20"/>
          <w:lang w:val="es-ES"/>
        </w:rPr>
        <w:t>penal</w:t>
      </w:r>
      <w:r w:rsidR="00431789" w:rsidRPr="003C379E">
        <w:rPr>
          <w:rFonts w:ascii="Cambria" w:hAnsi="Cambria"/>
          <w:bCs/>
          <w:sz w:val="20"/>
          <w:szCs w:val="20"/>
          <w:lang w:val="es-ES"/>
        </w:rPr>
        <w:t xml:space="preserve"> </w:t>
      </w:r>
      <w:r w:rsidR="003D112E" w:rsidRPr="003C379E">
        <w:rPr>
          <w:rFonts w:ascii="Cambria" w:hAnsi="Cambria"/>
          <w:bCs/>
          <w:sz w:val="20"/>
          <w:szCs w:val="20"/>
          <w:lang w:val="es-ES"/>
        </w:rPr>
        <w:t xml:space="preserve">se </w:t>
      </w:r>
      <w:r w:rsidR="00431789" w:rsidRPr="003C379E">
        <w:rPr>
          <w:rFonts w:ascii="Cambria" w:hAnsi="Cambria"/>
          <w:bCs/>
          <w:sz w:val="20"/>
          <w:szCs w:val="20"/>
          <w:lang w:val="es-ES"/>
        </w:rPr>
        <w:t>trami</w:t>
      </w:r>
      <w:r w:rsidR="009115EB" w:rsidRPr="003C379E">
        <w:rPr>
          <w:rFonts w:ascii="Cambria" w:hAnsi="Cambria"/>
          <w:bCs/>
          <w:sz w:val="20"/>
          <w:szCs w:val="20"/>
          <w:lang w:val="es-ES"/>
        </w:rPr>
        <w:t xml:space="preserve">tó </w:t>
      </w:r>
      <w:r w:rsidR="00B727FC" w:rsidRPr="003C379E">
        <w:rPr>
          <w:rFonts w:ascii="Cambria" w:hAnsi="Cambria"/>
          <w:bCs/>
          <w:sz w:val="20"/>
          <w:szCs w:val="20"/>
          <w:lang w:val="es-ES"/>
        </w:rPr>
        <w:t>ante</w:t>
      </w:r>
      <w:r w:rsidR="00431789" w:rsidRPr="003C379E">
        <w:rPr>
          <w:rFonts w:ascii="Cambria" w:hAnsi="Cambria"/>
          <w:bCs/>
          <w:sz w:val="20"/>
          <w:szCs w:val="20"/>
          <w:lang w:val="es-ES"/>
        </w:rPr>
        <w:t xml:space="preserve"> </w:t>
      </w:r>
      <w:r w:rsidR="00B727FC" w:rsidRPr="003C379E">
        <w:rPr>
          <w:rFonts w:ascii="Cambria" w:hAnsi="Cambria"/>
          <w:bCs/>
          <w:sz w:val="20"/>
          <w:szCs w:val="20"/>
          <w:lang w:val="es-ES"/>
        </w:rPr>
        <w:t xml:space="preserve">el </w:t>
      </w:r>
      <w:r w:rsidR="00CA0AF8" w:rsidRPr="003C379E">
        <w:rPr>
          <w:rFonts w:ascii="Cambria" w:hAnsi="Cambria"/>
          <w:bCs/>
          <w:sz w:val="20"/>
          <w:szCs w:val="20"/>
          <w:lang w:val="es-ES"/>
        </w:rPr>
        <w:t>Fuero</w:t>
      </w:r>
      <w:r w:rsidR="00431789" w:rsidRPr="003C379E">
        <w:rPr>
          <w:rFonts w:ascii="Cambria" w:hAnsi="Cambria"/>
          <w:bCs/>
          <w:sz w:val="20"/>
          <w:szCs w:val="20"/>
          <w:lang w:val="es-ES"/>
        </w:rPr>
        <w:t xml:space="preserve"> </w:t>
      </w:r>
      <w:r w:rsidR="00B727FC" w:rsidRPr="003C379E">
        <w:rPr>
          <w:rFonts w:ascii="Cambria" w:hAnsi="Cambria"/>
          <w:bCs/>
          <w:sz w:val="20"/>
          <w:szCs w:val="20"/>
          <w:lang w:val="es-ES"/>
        </w:rPr>
        <w:t>Penal</w:t>
      </w:r>
      <w:r w:rsidR="00431789" w:rsidRPr="003C379E">
        <w:rPr>
          <w:rFonts w:ascii="Cambria" w:hAnsi="Cambria"/>
          <w:bCs/>
          <w:sz w:val="20"/>
          <w:szCs w:val="20"/>
          <w:lang w:val="es-ES"/>
        </w:rPr>
        <w:t xml:space="preserve"> de Florianópolis </w:t>
      </w:r>
      <w:r w:rsidR="009115EB" w:rsidRPr="003C379E">
        <w:rPr>
          <w:rFonts w:ascii="Cambria" w:hAnsi="Cambria"/>
          <w:bCs/>
          <w:sz w:val="20"/>
          <w:szCs w:val="20"/>
          <w:lang w:val="es-ES"/>
        </w:rPr>
        <w:t>y</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en la</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sentencia</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431789" w:rsidRPr="003C379E">
        <w:rPr>
          <w:rFonts w:ascii="Cambria" w:hAnsi="Cambria"/>
          <w:bCs/>
          <w:sz w:val="20"/>
          <w:szCs w:val="20"/>
          <w:lang w:val="es-ES"/>
        </w:rPr>
        <w:t xml:space="preserve"> ju</w:t>
      </w:r>
      <w:r w:rsidR="00B727FC" w:rsidRPr="003C379E">
        <w:rPr>
          <w:rFonts w:ascii="Cambria" w:hAnsi="Cambria"/>
          <w:bCs/>
          <w:sz w:val="20"/>
          <w:szCs w:val="20"/>
          <w:lang w:val="es-ES"/>
        </w:rPr>
        <w:t>e</w:t>
      </w:r>
      <w:r w:rsidR="00431789" w:rsidRPr="003C379E">
        <w:rPr>
          <w:rFonts w:ascii="Cambria" w:hAnsi="Cambria"/>
          <w:bCs/>
          <w:sz w:val="20"/>
          <w:szCs w:val="20"/>
          <w:lang w:val="es-ES"/>
        </w:rPr>
        <w:t xml:space="preserve">z de </w:t>
      </w:r>
      <w:r w:rsidR="00B30B5A" w:rsidRPr="003C379E">
        <w:rPr>
          <w:rFonts w:ascii="Cambria" w:hAnsi="Cambria"/>
          <w:bCs/>
          <w:sz w:val="20"/>
          <w:szCs w:val="20"/>
          <w:lang w:val="es-ES"/>
        </w:rPr>
        <w:t>primer</w:t>
      </w:r>
      <w:r w:rsidR="00B727FC" w:rsidRPr="003C379E">
        <w:rPr>
          <w:rFonts w:ascii="Cambria" w:hAnsi="Cambria"/>
          <w:bCs/>
          <w:sz w:val="20"/>
          <w:szCs w:val="20"/>
          <w:lang w:val="es-ES"/>
        </w:rPr>
        <w:t>a</w:t>
      </w:r>
      <w:r w:rsidR="00431789" w:rsidRPr="003C379E">
        <w:rPr>
          <w:rFonts w:ascii="Cambria" w:hAnsi="Cambria"/>
          <w:bCs/>
          <w:sz w:val="20"/>
          <w:szCs w:val="20"/>
          <w:lang w:val="es-ES"/>
        </w:rPr>
        <w:t xml:space="preserve"> </w:t>
      </w:r>
      <w:r w:rsidR="00B727FC" w:rsidRPr="003C379E">
        <w:rPr>
          <w:rFonts w:ascii="Cambria" w:hAnsi="Cambria"/>
          <w:bCs/>
          <w:sz w:val="20"/>
          <w:szCs w:val="20"/>
          <w:lang w:val="es-ES"/>
        </w:rPr>
        <w:t>instancia</w:t>
      </w:r>
      <w:r w:rsidR="00431789" w:rsidRPr="003C379E">
        <w:rPr>
          <w:rFonts w:ascii="Cambria" w:hAnsi="Cambria"/>
          <w:bCs/>
          <w:sz w:val="20"/>
          <w:szCs w:val="20"/>
          <w:lang w:val="es-ES"/>
        </w:rPr>
        <w:t xml:space="preserve"> conde</w:t>
      </w:r>
      <w:r w:rsidR="00B05EA6" w:rsidRPr="003C379E">
        <w:rPr>
          <w:rFonts w:ascii="Cambria" w:hAnsi="Cambria"/>
          <w:bCs/>
          <w:sz w:val="20"/>
          <w:szCs w:val="20"/>
          <w:lang w:val="es-ES"/>
        </w:rPr>
        <w:t xml:space="preserve">nó </w:t>
      </w:r>
      <w:r w:rsidR="00764628" w:rsidRPr="003C379E">
        <w:rPr>
          <w:rFonts w:ascii="Cambria" w:hAnsi="Cambria"/>
          <w:bCs/>
          <w:sz w:val="20"/>
          <w:szCs w:val="20"/>
          <w:lang w:val="es-ES"/>
        </w:rPr>
        <w:t xml:space="preserve">a </w:t>
      </w:r>
      <w:r w:rsidR="00B6265D" w:rsidRPr="003C379E">
        <w:rPr>
          <w:rFonts w:ascii="Cambria" w:hAnsi="Cambria"/>
          <w:bCs/>
          <w:sz w:val="20"/>
          <w:szCs w:val="20"/>
          <w:lang w:val="es-ES"/>
        </w:rPr>
        <w:t>la</w:t>
      </w:r>
      <w:r w:rsidR="00431789" w:rsidRPr="003C379E">
        <w:rPr>
          <w:rFonts w:ascii="Cambria" w:hAnsi="Cambria"/>
          <w:bCs/>
          <w:sz w:val="20"/>
          <w:szCs w:val="20"/>
          <w:lang w:val="es-ES"/>
        </w:rPr>
        <w:t xml:space="preserve"> </w:t>
      </w:r>
      <w:r w:rsidR="00B05EA6" w:rsidRPr="003C379E">
        <w:rPr>
          <w:rFonts w:ascii="Cambria" w:hAnsi="Cambria"/>
          <w:bCs/>
          <w:sz w:val="20"/>
          <w:szCs w:val="20"/>
          <w:lang w:val="es-ES"/>
        </w:rPr>
        <w:t>presunta v</w:t>
      </w:r>
      <w:r w:rsidR="009115EB" w:rsidRPr="003C379E">
        <w:rPr>
          <w:rFonts w:ascii="Cambria" w:hAnsi="Cambria"/>
          <w:bCs/>
          <w:sz w:val="20"/>
          <w:szCs w:val="20"/>
          <w:lang w:val="es-ES"/>
        </w:rPr>
        <w:t>íctima</w:t>
      </w:r>
      <w:r w:rsidR="00431789" w:rsidRPr="003C379E">
        <w:rPr>
          <w:rFonts w:ascii="Cambria" w:hAnsi="Cambria"/>
          <w:bCs/>
          <w:sz w:val="20"/>
          <w:szCs w:val="20"/>
          <w:lang w:val="es-ES"/>
        </w:rPr>
        <w:t xml:space="preserve"> </w:t>
      </w:r>
      <w:r w:rsidR="003D112E" w:rsidRPr="003C379E">
        <w:rPr>
          <w:rFonts w:ascii="Cambria" w:hAnsi="Cambria"/>
          <w:bCs/>
          <w:sz w:val="20"/>
          <w:szCs w:val="20"/>
          <w:lang w:val="es-ES"/>
        </w:rPr>
        <w:t xml:space="preserve">basándose en las </w:t>
      </w:r>
      <w:r w:rsidR="00B30B5A" w:rsidRPr="003C379E">
        <w:rPr>
          <w:rFonts w:ascii="Cambria" w:hAnsi="Cambria"/>
          <w:bCs/>
          <w:sz w:val="20"/>
          <w:szCs w:val="20"/>
          <w:lang w:val="es-ES"/>
        </w:rPr>
        <w:t>declaraciones</w:t>
      </w:r>
      <w:r w:rsidR="00431789" w:rsidRPr="003C379E">
        <w:rPr>
          <w:rFonts w:ascii="Cambria" w:hAnsi="Cambria"/>
          <w:bCs/>
          <w:sz w:val="20"/>
          <w:szCs w:val="20"/>
          <w:lang w:val="es-ES"/>
        </w:rPr>
        <w:t xml:space="preserve"> de </w:t>
      </w:r>
      <w:r w:rsidR="009115EB" w:rsidRPr="003C379E">
        <w:rPr>
          <w:rFonts w:ascii="Cambria" w:hAnsi="Cambria"/>
          <w:bCs/>
          <w:sz w:val="20"/>
          <w:szCs w:val="20"/>
          <w:lang w:val="es-ES"/>
        </w:rPr>
        <w:t>otr</w:t>
      </w:r>
      <w:r w:rsidR="00431789" w:rsidRPr="003C379E">
        <w:rPr>
          <w:rFonts w:ascii="Cambria" w:hAnsi="Cambria"/>
          <w:bCs/>
          <w:sz w:val="20"/>
          <w:szCs w:val="20"/>
          <w:lang w:val="es-ES"/>
        </w:rPr>
        <w:t>os polic</w:t>
      </w:r>
      <w:r w:rsidR="00B30B5A" w:rsidRPr="003C379E">
        <w:rPr>
          <w:rFonts w:ascii="Cambria" w:hAnsi="Cambria"/>
          <w:bCs/>
          <w:sz w:val="20"/>
          <w:szCs w:val="20"/>
          <w:lang w:val="es-ES"/>
        </w:rPr>
        <w:t>ía</w:t>
      </w:r>
      <w:r w:rsidR="00B05EA6" w:rsidRPr="003C379E">
        <w:rPr>
          <w:rFonts w:ascii="Cambria" w:hAnsi="Cambria"/>
          <w:bCs/>
          <w:sz w:val="20"/>
          <w:szCs w:val="20"/>
          <w:lang w:val="es-ES"/>
        </w:rPr>
        <w:t xml:space="preserve">s </w:t>
      </w:r>
      <w:r w:rsidR="00431789" w:rsidRPr="003C379E">
        <w:rPr>
          <w:rFonts w:ascii="Cambria" w:hAnsi="Cambria"/>
          <w:bCs/>
          <w:sz w:val="20"/>
          <w:szCs w:val="20"/>
          <w:lang w:val="es-ES"/>
        </w:rPr>
        <w:t>feder</w:t>
      </w:r>
      <w:r w:rsidR="00B05EA6" w:rsidRPr="003C379E">
        <w:rPr>
          <w:rFonts w:ascii="Cambria" w:hAnsi="Cambria"/>
          <w:bCs/>
          <w:sz w:val="20"/>
          <w:szCs w:val="20"/>
          <w:lang w:val="es-ES"/>
        </w:rPr>
        <w:t>ales.</w:t>
      </w:r>
      <w:r w:rsidR="00431789" w:rsidRPr="003C379E">
        <w:rPr>
          <w:rFonts w:ascii="Cambria" w:hAnsi="Cambria"/>
          <w:bCs/>
          <w:sz w:val="20"/>
          <w:szCs w:val="20"/>
          <w:lang w:val="es-ES"/>
        </w:rPr>
        <w:t xml:space="preserve"> Afirma que </w:t>
      </w:r>
      <w:r w:rsidR="009115EB" w:rsidRPr="003C379E">
        <w:rPr>
          <w:rFonts w:ascii="Cambria" w:hAnsi="Cambria"/>
          <w:bCs/>
          <w:sz w:val="20"/>
          <w:szCs w:val="20"/>
          <w:lang w:val="es-ES"/>
        </w:rPr>
        <w:t>el</w:t>
      </w:r>
      <w:r w:rsidR="00D92116" w:rsidRPr="003C379E">
        <w:rPr>
          <w:rFonts w:ascii="Cambria" w:hAnsi="Cambria"/>
          <w:bCs/>
          <w:sz w:val="20"/>
          <w:szCs w:val="20"/>
          <w:lang w:val="es-ES"/>
        </w:rPr>
        <w:t xml:space="preserve"> Sr. Starling</w:t>
      </w:r>
      <w:r w:rsidR="00431789" w:rsidRPr="003C379E">
        <w:rPr>
          <w:rFonts w:ascii="Cambria" w:hAnsi="Cambria"/>
          <w:bCs/>
          <w:sz w:val="20"/>
          <w:szCs w:val="20"/>
          <w:lang w:val="es-ES"/>
        </w:rPr>
        <w:t xml:space="preserve"> i</w:t>
      </w:r>
      <w:r w:rsidR="00B30B5A" w:rsidRPr="003C379E">
        <w:rPr>
          <w:rFonts w:ascii="Cambria" w:hAnsi="Cambria"/>
          <w:bCs/>
          <w:sz w:val="20"/>
          <w:szCs w:val="20"/>
          <w:lang w:val="es-ES"/>
        </w:rPr>
        <w:t>nterpuso</w:t>
      </w:r>
      <w:r w:rsidR="00431789" w:rsidRPr="003C379E">
        <w:rPr>
          <w:rFonts w:ascii="Cambria" w:hAnsi="Cambria"/>
          <w:bCs/>
          <w:sz w:val="20"/>
          <w:szCs w:val="20"/>
          <w:lang w:val="es-ES"/>
        </w:rPr>
        <w:t xml:space="preserve"> </w:t>
      </w:r>
      <w:r w:rsidR="00AF6C46" w:rsidRPr="003C379E">
        <w:rPr>
          <w:rFonts w:ascii="Cambria" w:hAnsi="Cambria"/>
          <w:bCs/>
          <w:sz w:val="20"/>
          <w:szCs w:val="20"/>
          <w:lang w:val="es-ES"/>
        </w:rPr>
        <w:t>“</w:t>
      </w:r>
      <w:r w:rsidR="00431789" w:rsidRPr="003C379E">
        <w:rPr>
          <w:rFonts w:ascii="Cambria" w:hAnsi="Cambria"/>
          <w:bCs/>
          <w:sz w:val="20"/>
          <w:szCs w:val="20"/>
          <w:lang w:val="es-ES"/>
        </w:rPr>
        <w:t>recurso in</w:t>
      </w:r>
      <w:r w:rsidR="00B51503" w:rsidRPr="003C379E">
        <w:rPr>
          <w:rFonts w:ascii="Cambria" w:hAnsi="Cambria"/>
          <w:bCs/>
          <w:sz w:val="20"/>
          <w:szCs w:val="20"/>
          <w:lang w:val="es-ES"/>
        </w:rPr>
        <w:t>n</w:t>
      </w:r>
      <w:r w:rsidR="00431789" w:rsidRPr="003C379E">
        <w:rPr>
          <w:rFonts w:ascii="Cambria" w:hAnsi="Cambria"/>
          <w:bCs/>
          <w:sz w:val="20"/>
          <w:szCs w:val="20"/>
          <w:lang w:val="es-ES"/>
        </w:rPr>
        <w:t>ominado</w:t>
      </w:r>
      <w:r w:rsidR="00AF6C46" w:rsidRPr="003C379E">
        <w:rPr>
          <w:rFonts w:ascii="Cambria" w:hAnsi="Cambria"/>
          <w:bCs/>
          <w:sz w:val="20"/>
          <w:szCs w:val="20"/>
          <w:lang w:val="es-ES"/>
        </w:rPr>
        <w:t>”</w:t>
      </w:r>
      <w:r w:rsidR="0099641D" w:rsidRPr="003C379E">
        <w:rPr>
          <w:rFonts w:ascii="Cambria" w:hAnsi="Cambria"/>
          <w:bCs/>
          <w:sz w:val="20"/>
          <w:szCs w:val="20"/>
          <w:lang w:val="es-ES"/>
        </w:rPr>
        <w:t xml:space="preserve"> </w:t>
      </w:r>
      <w:r w:rsidR="00B51503" w:rsidRPr="003C379E">
        <w:rPr>
          <w:rFonts w:ascii="Cambria" w:hAnsi="Cambria"/>
          <w:bCs/>
          <w:sz w:val="20"/>
          <w:szCs w:val="20"/>
          <w:lang w:val="es-ES"/>
        </w:rPr>
        <w:t>ante</w:t>
      </w:r>
      <w:r w:rsidR="00431789" w:rsidRPr="003C379E">
        <w:rPr>
          <w:rFonts w:ascii="Cambria" w:hAnsi="Cambria"/>
          <w:bCs/>
          <w:sz w:val="20"/>
          <w:szCs w:val="20"/>
          <w:lang w:val="es-ES"/>
        </w:rPr>
        <w:t xml:space="preserve"> </w:t>
      </w:r>
      <w:r w:rsidR="007B7A53" w:rsidRPr="003C379E">
        <w:rPr>
          <w:rFonts w:ascii="Cambria" w:hAnsi="Cambria"/>
          <w:bCs/>
          <w:sz w:val="20"/>
          <w:szCs w:val="20"/>
          <w:lang w:val="es-ES"/>
        </w:rPr>
        <w:t>l</w:t>
      </w:r>
      <w:r w:rsidR="00431789" w:rsidRPr="003C379E">
        <w:rPr>
          <w:rFonts w:ascii="Cambria" w:hAnsi="Cambria"/>
          <w:bCs/>
          <w:sz w:val="20"/>
          <w:szCs w:val="20"/>
          <w:lang w:val="es-ES"/>
        </w:rPr>
        <w:t xml:space="preserve">a </w:t>
      </w:r>
      <w:r w:rsidR="007B7A53" w:rsidRPr="003C379E">
        <w:rPr>
          <w:rFonts w:ascii="Cambria" w:hAnsi="Cambria"/>
          <w:bCs/>
          <w:sz w:val="20"/>
          <w:szCs w:val="20"/>
          <w:lang w:val="es-ES"/>
        </w:rPr>
        <w:t xml:space="preserve">Cámara </w:t>
      </w:r>
      <w:r w:rsidR="00B34ED2" w:rsidRPr="003C379E">
        <w:rPr>
          <w:rFonts w:ascii="Cambria" w:hAnsi="Cambria"/>
          <w:bCs/>
          <w:sz w:val="20"/>
          <w:szCs w:val="20"/>
          <w:lang w:val="es-ES"/>
        </w:rPr>
        <w:t>de</w:t>
      </w:r>
      <w:r w:rsidR="00AF6C46" w:rsidRPr="003C379E">
        <w:rPr>
          <w:rFonts w:ascii="Cambria" w:hAnsi="Cambria"/>
          <w:bCs/>
          <w:sz w:val="20"/>
          <w:szCs w:val="20"/>
          <w:lang w:val="es-ES"/>
        </w:rPr>
        <w:t xml:space="preserve"> </w:t>
      </w:r>
      <w:r w:rsidR="0014009A" w:rsidRPr="003C379E">
        <w:rPr>
          <w:rFonts w:ascii="Cambria" w:hAnsi="Cambria"/>
          <w:bCs/>
          <w:sz w:val="20"/>
          <w:szCs w:val="20"/>
          <w:lang w:val="es-ES"/>
        </w:rPr>
        <w:t xml:space="preserve">Apelaciones </w:t>
      </w:r>
      <w:r w:rsidR="00AF6C46" w:rsidRPr="003C379E">
        <w:rPr>
          <w:rFonts w:ascii="Cambria" w:hAnsi="Cambria"/>
          <w:bCs/>
          <w:iCs/>
          <w:sz w:val="20"/>
          <w:szCs w:val="20"/>
          <w:lang w:val="es-ES"/>
        </w:rPr>
        <w:t>(</w:t>
      </w:r>
      <w:r w:rsidR="0014009A" w:rsidRPr="003C379E">
        <w:rPr>
          <w:rFonts w:ascii="Cambria" w:hAnsi="Cambria"/>
          <w:bCs/>
          <w:iCs/>
          <w:sz w:val="20"/>
          <w:szCs w:val="20"/>
          <w:lang w:val="es-ES"/>
        </w:rPr>
        <w:t>Turma Recursal</w:t>
      </w:r>
      <w:r w:rsidR="00AF6C46" w:rsidRPr="003C379E">
        <w:rPr>
          <w:rFonts w:ascii="Cambria" w:hAnsi="Cambria"/>
          <w:bCs/>
          <w:iCs/>
          <w:sz w:val="20"/>
          <w:szCs w:val="20"/>
          <w:lang w:val="es-ES"/>
        </w:rPr>
        <w:t>)</w:t>
      </w:r>
      <w:r w:rsidR="00431789" w:rsidRPr="003C379E">
        <w:rPr>
          <w:rFonts w:ascii="Cambria" w:hAnsi="Cambria"/>
          <w:bCs/>
          <w:sz w:val="20"/>
          <w:szCs w:val="20"/>
          <w:lang w:val="es-ES"/>
        </w:rPr>
        <w:t xml:space="preserve">, </w:t>
      </w:r>
      <w:r w:rsidR="00064B22" w:rsidRPr="003C379E">
        <w:rPr>
          <w:rFonts w:ascii="Cambria" w:hAnsi="Cambria"/>
          <w:bCs/>
          <w:sz w:val="20"/>
          <w:szCs w:val="20"/>
          <w:lang w:val="es-ES"/>
        </w:rPr>
        <w:t>en el que sostenía</w:t>
      </w:r>
      <w:r w:rsidR="00431789"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431789" w:rsidRPr="003C379E">
        <w:rPr>
          <w:rFonts w:ascii="Cambria" w:hAnsi="Cambria"/>
          <w:bCs/>
          <w:sz w:val="20"/>
          <w:szCs w:val="20"/>
          <w:lang w:val="es-ES"/>
        </w:rPr>
        <w:t xml:space="preserve"> exist</w:t>
      </w:r>
      <w:r w:rsidR="009115EB" w:rsidRPr="003C379E">
        <w:rPr>
          <w:rFonts w:ascii="Cambria" w:hAnsi="Cambria"/>
          <w:bCs/>
          <w:sz w:val="20"/>
          <w:szCs w:val="20"/>
          <w:lang w:val="es-ES"/>
        </w:rPr>
        <w:t>encia</w:t>
      </w:r>
      <w:r w:rsidR="00431789" w:rsidRPr="003C379E">
        <w:rPr>
          <w:rFonts w:ascii="Cambria" w:hAnsi="Cambria"/>
          <w:bCs/>
          <w:sz w:val="20"/>
          <w:szCs w:val="20"/>
          <w:lang w:val="es-ES"/>
        </w:rPr>
        <w:t xml:space="preserve"> de </w:t>
      </w:r>
      <w:r w:rsidR="00064B22" w:rsidRPr="003C379E">
        <w:rPr>
          <w:rFonts w:ascii="Cambria" w:hAnsi="Cambria"/>
          <w:bCs/>
          <w:sz w:val="20"/>
          <w:szCs w:val="20"/>
          <w:lang w:val="es-ES"/>
        </w:rPr>
        <w:t>dudas en</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cua</w:t>
      </w:r>
      <w:r w:rsidR="00431789" w:rsidRPr="003C379E">
        <w:rPr>
          <w:rFonts w:ascii="Cambria" w:hAnsi="Cambria"/>
          <w:bCs/>
          <w:sz w:val="20"/>
          <w:szCs w:val="20"/>
          <w:lang w:val="es-ES"/>
        </w:rPr>
        <w:t xml:space="preserve">nto </w:t>
      </w:r>
      <w:r w:rsidR="009115EB" w:rsidRPr="003C379E">
        <w:rPr>
          <w:rFonts w:ascii="Cambria" w:hAnsi="Cambria"/>
          <w:bCs/>
          <w:sz w:val="20"/>
          <w:szCs w:val="20"/>
          <w:lang w:val="es-ES"/>
        </w:rPr>
        <w:t>a la</w:t>
      </w:r>
      <w:r w:rsidR="00431789" w:rsidRPr="003C379E">
        <w:rPr>
          <w:rFonts w:ascii="Cambria" w:hAnsi="Cambria"/>
          <w:bCs/>
          <w:sz w:val="20"/>
          <w:szCs w:val="20"/>
          <w:lang w:val="es-ES"/>
        </w:rPr>
        <w:t xml:space="preserve"> </w:t>
      </w:r>
      <w:r w:rsidR="00064B22" w:rsidRPr="003C379E">
        <w:rPr>
          <w:rFonts w:ascii="Cambria" w:hAnsi="Cambria"/>
          <w:bCs/>
          <w:sz w:val="20"/>
          <w:szCs w:val="20"/>
          <w:lang w:val="es-ES"/>
        </w:rPr>
        <w:t>ocurrencia</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del</w:t>
      </w:r>
      <w:r w:rsidR="00431789" w:rsidRPr="003C379E">
        <w:rPr>
          <w:rFonts w:ascii="Cambria" w:hAnsi="Cambria"/>
          <w:bCs/>
          <w:sz w:val="20"/>
          <w:szCs w:val="20"/>
          <w:lang w:val="es-ES"/>
        </w:rPr>
        <w:t xml:space="preserve"> </w:t>
      </w:r>
      <w:r w:rsidR="00064B22" w:rsidRPr="003C379E">
        <w:rPr>
          <w:rFonts w:ascii="Cambria" w:hAnsi="Cambria"/>
          <w:bCs/>
          <w:sz w:val="20"/>
          <w:szCs w:val="20"/>
          <w:lang w:val="es-ES"/>
        </w:rPr>
        <w:t>delito</w:t>
      </w:r>
      <w:r w:rsidR="00431789" w:rsidRPr="003C379E">
        <w:rPr>
          <w:rFonts w:ascii="Cambria" w:hAnsi="Cambria"/>
          <w:bCs/>
          <w:sz w:val="20"/>
          <w:szCs w:val="20"/>
          <w:lang w:val="es-ES"/>
        </w:rPr>
        <w:t>, irregulari</w:t>
      </w:r>
      <w:r w:rsidR="009115EB" w:rsidRPr="003C379E">
        <w:rPr>
          <w:rFonts w:ascii="Cambria" w:hAnsi="Cambria"/>
          <w:bCs/>
          <w:sz w:val="20"/>
          <w:szCs w:val="20"/>
          <w:lang w:val="es-ES"/>
        </w:rPr>
        <w:t>dad procesal</w:t>
      </w:r>
      <w:r w:rsidR="00431789" w:rsidRPr="003C379E">
        <w:rPr>
          <w:rFonts w:ascii="Cambria" w:hAnsi="Cambria"/>
          <w:bCs/>
          <w:sz w:val="20"/>
          <w:szCs w:val="20"/>
          <w:lang w:val="es-ES"/>
        </w:rPr>
        <w:t xml:space="preserve"> </w:t>
      </w:r>
      <w:r w:rsidR="009115EB" w:rsidRPr="003C379E">
        <w:rPr>
          <w:rFonts w:ascii="Cambria" w:hAnsi="Cambria"/>
          <w:bCs/>
          <w:sz w:val="20"/>
          <w:szCs w:val="20"/>
          <w:lang w:val="es-ES"/>
        </w:rPr>
        <w:t>y</w:t>
      </w:r>
      <w:r w:rsidR="003D112E" w:rsidRPr="003C379E">
        <w:rPr>
          <w:rFonts w:ascii="Cambria" w:hAnsi="Cambria"/>
          <w:bCs/>
          <w:sz w:val="20"/>
          <w:szCs w:val="20"/>
          <w:lang w:val="es-ES"/>
        </w:rPr>
        <w:t xml:space="preserve"> la</w:t>
      </w:r>
      <w:r w:rsidR="00431789" w:rsidRPr="003C379E">
        <w:rPr>
          <w:rFonts w:ascii="Cambria" w:hAnsi="Cambria"/>
          <w:bCs/>
          <w:sz w:val="20"/>
          <w:szCs w:val="20"/>
          <w:lang w:val="es-ES"/>
        </w:rPr>
        <w:t xml:space="preserve"> aus</w:t>
      </w:r>
      <w:r w:rsidR="009115EB" w:rsidRPr="003C379E">
        <w:rPr>
          <w:rFonts w:ascii="Cambria" w:hAnsi="Cambria"/>
          <w:bCs/>
          <w:sz w:val="20"/>
          <w:szCs w:val="20"/>
          <w:lang w:val="es-ES"/>
        </w:rPr>
        <w:t>encia</w:t>
      </w:r>
      <w:r w:rsidR="00431789" w:rsidRPr="003C379E">
        <w:rPr>
          <w:rFonts w:ascii="Cambria" w:hAnsi="Cambria"/>
          <w:bCs/>
          <w:sz w:val="20"/>
          <w:szCs w:val="20"/>
          <w:lang w:val="es-ES"/>
        </w:rPr>
        <w:t xml:space="preserve"> de elemento subjetivo </w:t>
      </w:r>
      <w:r w:rsidR="009115EB" w:rsidRPr="003C379E">
        <w:rPr>
          <w:rFonts w:ascii="Cambria" w:hAnsi="Cambria"/>
          <w:bCs/>
          <w:sz w:val="20"/>
          <w:szCs w:val="20"/>
          <w:lang w:val="es-ES"/>
        </w:rPr>
        <w:t>del</w:t>
      </w:r>
      <w:r w:rsidR="00431789" w:rsidRPr="003C379E">
        <w:rPr>
          <w:rFonts w:ascii="Cambria" w:hAnsi="Cambria"/>
          <w:bCs/>
          <w:sz w:val="20"/>
          <w:szCs w:val="20"/>
          <w:lang w:val="es-ES"/>
        </w:rPr>
        <w:t xml:space="preserve"> tipo. </w:t>
      </w:r>
      <w:r w:rsidR="00D7686C" w:rsidRPr="003C379E">
        <w:rPr>
          <w:rFonts w:ascii="Cambria" w:hAnsi="Cambria"/>
          <w:bCs/>
          <w:sz w:val="20"/>
          <w:szCs w:val="20"/>
          <w:lang w:val="es-ES"/>
        </w:rPr>
        <w:t>No obstante</w:t>
      </w:r>
      <w:r w:rsidR="00431789"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1E3F08" w:rsidRPr="003C379E">
        <w:rPr>
          <w:rFonts w:ascii="Cambria" w:hAnsi="Cambria"/>
          <w:bCs/>
          <w:sz w:val="20"/>
          <w:szCs w:val="20"/>
          <w:lang w:val="es-ES"/>
        </w:rPr>
        <w:t xml:space="preserve"> </w:t>
      </w:r>
      <w:r w:rsidR="00626089">
        <w:rPr>
          <w:rFonts w:ascii="Cambria" w:hAnsi="Cambria"/>
          <w:bCs/>
          <w:sz w:val="20"/>
          <w:szCs w:val="20"/>
          <w:lang w:val="es-ES"/>
        </w:rPr>
        <w:t>3</w:t>
      </w:r>
      <w:r w:rsidR="00AA1BAC" w:rsidRPr="003C379E">
        <w:rPr>
          <w:rFonts w:ascii="Cambria" w:hAnsi="Cambria"/>
          <w:bCs/>
          <w:sz w:val="20"/>
          <w:szCs w:val="20"/>
          <w:lang w:val="es-ES"/>
        </w:rPr>
        <w:t>ª</w:t>
      </w:r>
      <w:r w:rsidR="007F3F89" w:rsidRPr="003C379E">
        <w:rPr>
          <w:rFonts w:ascii="Cambria" w:hAnsi="Cambria"/>
          <w:bCs/>
          <w:sz w:val="20"/>
          <w:szCs w:val="20"/>
          <w:lang w:val="es-ES"/>
        </w:rPr>
        <w:t xml:space="preserve"> Cámara de</w:t>
      </w:r>
      <w:r w:rsidR="00B34ED2" w:rsidRPr="003C379E">
        <w:rPr>
          <w:rFonts w:ascii="Cambria" w:hAnsi="Cambria"/>
          <w:bCs/>
          <w:sz w:val="20"/>
          <w:szCs w:val="20"/>
          <w:lang w:val="es-ES"/>
        </w:rPr>
        <w:t xml:space="preserve"> </w:t>
      </w:r>
      <w:r w:rsidR="00E524CB" w:rsidRPr="003C379E">
        <w:rPr>
          <w:rFonts w:ascii="Cambria" w:hAnsi="Cambria"/>
          <w:bCs/>
          <w:sz w:val="20"/>
          <w:szCs w:val="20"/>
          <w:lang w:val="es-ES"/>
        </w:rPr>
        <w:t>Apelaciones</w:t>
      </w:r>
      <w:r w:rsidR="00AF6C46" w:rsidRPr="003C379E">
        <w:rPr>
          <w:rFonts w:ascii="Cambria" w:hAnsi="Cambria"/>
          <w:bCs/>
          <w:sz w:val="20"/>
          <w:szCs w:val="20"/>
          <w:lang w:val="es-ES"/>
        </w:rPr>
        <w:t xml:space="preserve"> </w:t>
      </w:r>
      <w:r w:rsidR="001E3F08" w:rsidRPr="003C379E">
        <w:rPr>
          <w:rFonts w:ascii="Cambria" w:hAnsi="Cambria"/>
          <w:bCs/>
          <w:sz w:val="20"/>
          <w:szCs w:val="20"/>
          <w:lang w:val="es-ES"/>
        </w:rPr>
        <w:t xml:space="preserve">de Santa Catarina </w:t>
      </w:r>
      <w:r w:rsidR="00AF6C46" w:rsidRPr="003C379E">
        <w:rPr>
          <w:rFonts w:ascii="Cambria" w:hAnsi="Cambria"/>
          <w:bCs/>
          <w:iCs/>
          <w:sz w:val="20"/>
          <w:szCs w:val="20"/>
          <w:lang w:val="es-ES"/>
        </w:rPr>
        <w:t>(</w:t>
      </w:r>
      <w:r w:rsidR="0039678A" w:rsidRPr="003C379E">
        <w:rPr>
          <w:rFonts w:ascii="Cambria" w:hAnsi="Cambria"/>
          <w:bCs/>
          <w:iCs/>
          <w:sz w:val="20"/>
          <w:szCs w:val="20"/>
          <w:lang w:val="es-ES"/>
        </w:rPr>
        <w:t>3ª Turma Recursal de Santa Catarina</w:t>
      </w:r>
      <w:r w:rsidR="00AF6C46" w:rsidRPr="003C379E">
        <w:rPr>
          <w:rFonts w:ascii="Cambria" w:hAnsi="Cambria"/>
          <w:bCs/>
          <w:iCs/>
          <w:sz w:val="20"/>
          <w:szCs w:val="20"/>
          <w:lang w:val="es-ES"/>
        </w:rPr>
        <w:t>)</w:t>
      </w:r>
      <w:r w:rsidR="0039678A" w:rsidRPr="003C379E">
        <w:rPr>
          <w:rFonts w:ascii="Cambria" w:hAnsi="Cambria"/>
          <w:bCs/>
          <w:i/>
          <w:sz w:val="20"/>
          <w:szCs w:val="20"/>
          <w:lang w:val="es-ES"/>
        </w:rPr>
        <w:t xml:space="preserve"> </w:t>
      </w:r>
      <w:r w:rsidR="00B34ED2" w:rsidRPr="003C379E">
        <w:rPr>
          <w:rFonts w:ascii="Cambria" w:hAnsi="Cambria"/>
          <w:bCs/>
          <w:sz w:val="20"/>
          <w:szCs w:val="20"/>
          <w:lang w:val="es-ES"/>
        </w:rPr>
        <w:t>confirmó</w:t>
      </w:r>
      <w:r w:rsidR="001E3F08"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1E3F08" w:rsidRPr="003C379E">
        <w:rPr>
          <w:rFonts w:ascii="Cambria" w:hAnsi="Cambria"/>
          <w:bCs/>
          <w:sz w:val="20"/>
          <w:szCs w:val="20"/>
          <w:lang w:val="es-ES"/>
        </w:rPr>
        <w:t xml:space="preserve"> </w:t>
      </w:r>
      <w:r w:rsidR="009115EB" w:rsidRPr="003C379E">
        <w:rPr>
          <w:rFonts w:ascii="Cambria" w:hAnsi="Cambria"/>
          <w:bCs/>
          <w:sz w:val="20"/>
          <w:szCs w:val="20"/>
          <w:lang w:val="es-ES"/>
        </w:rPr>
        <w:t>sentencia</w:t>
      </w:r>
      <w:r w:rsidR="001E3F08" w:rsidRPr="003C379E">
        <w:rPr>
          <w:rFonts w:ascii="Cambria" w:hAnsi="Cambria"/>
          <w:bCs/>
          <w:sz w:val="20"/>
          <w:szCs w:val="20"/>
          <w:lang w:val="es-ES"/>
        </w:rPr>
        <w:t xml:space="preserve">. Posteriormente, </w:t>
      </w:r>
      <w:r w:rsidR="00B6265D" w:rsidRPr="003C379E">
        <w:rPr>
          <w:rFonts w:ascii="Cambria" w:hAnsi="Cambria"/>
          <w:bCs/>
          <w:sz w:val="20"/>
          <w:szCs w:val="20"/>
          <w:lang w:val="es-ES"/>
        </w:rPr>
        <w:t>la</w:t>
      </w:r>
      <w:r w:rsidR="001E3F08" w:rsidRPr="003C379E">
        <w:rPr>
          <w:rFonts w:ascii="Cambria" w:hAnsi="Cambria"/>
          <w:bCs/>
          <w:sz w:val="20"/>
          <w:szCs w:val="20"/>
          <w:lang w:val="es-ES"/>
        </w:rPr>
        <w:t xml:space="preserve"> </w:t>
      </w:r>
      <w:r w:rsidR="00B05EA6" w:rsidRPr="003C379E">
        <w:rPr>
          <w:rFonts w:ascii="Cambria" w:hAnsi="Cambria"/>
          <w:bCs/>
          <w:sz w:val="20"/>
          <w:szCs w:val="20"/>
          <w:lang w:val="es-ES"/>
        </w:rPr>
        <w:t>presunta v</w:t>
      </w:r>
      <w:r w:rsidR="009115EB" w:rsidRPr="003C379E">
        <w:rPr>
          <w:rFonts w:ascii="Cambria" w:hAnsi="Cambria"/>
          <w:bCs/>
          <w:sz w:val="20"/>
          <w:szCs w:val="20"/>
          <w:lang w:val="es-ES"/>
        </w:rPr>
        <w:t>íctima</w:t>
      </w:r>
      <w:r w:rsidR="001E3F08" w:rsidRPr="003C379E">
        <w:rPr>
          <w:rFonts w:ascii="Cambria" w:hAnsi="Cambria"/>
          <w:bCs/>
          <w:sz w:val="20"/>
          <w:szCs w:val="20"/>
          <w:lang w:val="es-ES"/>
        </w:rPr>
        <w:t xml:space="preserve"> </w:t>
      </w:r>
      <w:r w:rsidR="00FB4AA8" w:rsidRPr="003C379E">
        <w:rPr>
          <w:rFonts w:ascii="Cambria" w:hAnsi="Cambria"/>
          <w:bCs/>
          <w:sz w:val="20"/>
          <w:szCs w:val="20"/>
          <w:lang w:val="es-ES"/>
        </w:rPr>
        <w:t>presentó un</w:t>
      </w:r>
      <w:r w:rsidR="009115EB" w:rsidRPr="003C379E">
        <w:rPr>
          <w:rFonts w:ascii="Cambria" w:hAnsi="Cambria"/>
          <w:bCs/>
          <w:sz w:val="20"/>
          <w:szCs w:val="20"/>
          <w:lang w:val="es-ES"/>
        </w:rPr>
        <w:t xml:space="preserve"> </w:t>
      </w:r>
      <w:r w:rsidR="000B38E0" w:rsidRPr="003C379E">
        <w:rPr>
          <w:rFonts w:ascii="Cambria" w:hAnsi="Cambria"/>
          <w:bCs/>
          <w:sz w:val="20"/>
          <w:szCs w:val="20"/>
          <w:lang w:val="es-ES"/>
        </w:rPr>
        <w:t xml:space="preserve">pedido de uniformización </w:t>
      </w:r>
      <w:r w:rsidR="00D7686C" w:rsidRPr="003C379E">
        <w:rPr>
          <w:rFonts w:ascii="Cambria" w:hAnsi="Cambria"/>
          <w:bCs/>
          <w:sz w:val="20"/>
          <w:szCs w:val="20"/>
          <w:lang w:val="es-ES"/>
        </w:rPr>
        <w:t>ante</w:t>
      </w:r>
      <w:r w:rsidR="001E3F08"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1E3F08" w:rsidRPr="003C379E">
        <w:rPr>
          <w:rFonts w:ascii="Cambria" w:hAnsi="Cambria"/>
          <w:bCs/>
          <w:sz w:val="20"/>
          <w:szCs w:val="20"/>
          <w:lang w:val="es-ES"/>
        </w:rPr>
        <w:t xml:space="preserve"> </w:t>
      </w:r>
      <w:r w:rsidR="00F04C87" w:rsidRPr="003C379E">
        <w:rPr>
          <w:rFonts w:ascii="Cambria" w:hAnsi="Cambria"/>
          <w:bCs/>
          <w:sz w:val="20"/>
          <w:szCs w:val="20"/>
          <w:lang w:val="es-ES"/>
        </w:rPr>
        <w:t>Cámara</w:t>
      </w:r>
      <w:r w:rsidR="00AF6C46" w:rsidRPr="003C379E">
        <w:rPr>
          <w:rFonts w:ascii="Cambria" w:hAnsi="Cambria"/>
          <w:bCs/>
          <w:sz w:val="20"/>
          <w:szCs w:val="20"/>
          <w:lang w:val="es-ES"/>
        </w:rPr>
        <w:t xml:space="preserve"> </w:t>
      </w:r>
      <w:r w:rsidR="001E3F08" w:rsidRPr="003C379E">
        <w:rPr>
          <w:rFonts w:ascii="Cambria" w:hAnsi="Cambria"/>
          <w:bCs/>
          <w:sz w:val="20"/>
          <w:szCs w:val="20"/>
          <w:lang w:val="es-ES"/>
        </w:rPr>
        <w:t>Nacional de Uniformiza</w:t>
      </w:r>
      <w:r w:rsidR="009115EB" w:rsidRPr="003C379E">
        <w:rPr>
          <w:rFonts w:ascii="Cambria" w:hAnsi="Cambria"/>
          <w:bCs/>
          <w:sz w:val="20"/>
          <w:szCs w:val="20"/>
          <w:lang w:val="es-ES"/>
        </w:rPr>
        <w:t>ción</w:t>
      </w:r>
      <w:r w:rsidR="001E3F08" w:rsidRPr="003C379E">
        <w:rPr>
          <w:rFonts w:ascii="Cambria" w:hAnsi="Cambria"/>
          <w:bCs/>
          <w:sz w:val="20"/>
          <w:szCs w:val="20"/>
          <w:lang w:val="es-ES"/>
        </w:rPr>
        <w:t xml:space="preserve"> </w:t>
      </w:r>
      <w:r w:rsidR="00AF6C46" w:rsidRPr="003C379E">
        <w:rPr>
          <w:rFonts w:ascii="Cambria" w:hAnsi="Cambria"/>
          <w:bCs/>
          <w:iCs/>
          <w:sz w:val="20"/>
          <w:szCs w:val="20"/>
          <w:lang w:val="es-ES"/>
        </w:rPr>
        <w:t>(</w:t>
      </w:r>
      <w:r w:rsidR="004D269C" w:rsidRPr="003C379E">
        <w:rPr>
          <w:rFonts w:ascii="Cambria" w:hAnsi="Cambria"/>
          <w:bCs/>
          <w:iCs/>
          <w:sz w:val="20"/>
          <w:szCs w:val="20"/>
          <w:lang w:val="es-ES"/>
        </w:rPr>
        <w:t xml:space="preserve">Turma </w:t>
      </w:r>
      <w:r w:rsidR="004D269C" w:rsidRPr="001F41CC">
        <w:rPr>
          <w:rFonts w:ascii="Cambria" w:hAnsi="Cambria"/>
          <w:bCs/>
          <w:iCs/>
          <w:sz w:val="20"/>
          <w:szCs w:val="20"/>
          <w:lang w:val="es-419"/>
        </w:rPr>
        <w:t>Nacional de Uniformização</w:t>
      </w:r>
      <w:r w:rsidR="00AF6C46" w:rsidRPr="003C379E">
        <w:rPr>
          <w:rFonts w:ascii="Cambria" w:hAnsi="Cambria"/>
          <w:bCs/>
          <w:iCs/>
          <w:sz w:val="20"/>
          <w:szCs w:val="20"/>
          <w:lang w:val="es-ES"/>
        </w:rPr>
        <w:t>)</w:t>
      </w:r>
      <w:r w:rsidR="004D269C" w:rsidRPr="003C379E">
        <w:rPr>
          <w:rFonts w:ascii="Cambria" w:hAnsi="Cambria"/>
          <w:bCs/>
          <w:sz w:val="20"/>
          <w:szCs w:val="20"/>
          <w:lang w:val="es-ES"/>
        </w:rPr>
        <w:t xml:space="preserve"> </w:t>
      </w:r>
      <w:r w:rsidR="002E2FB0" w:rsidRPr="003C379E">
        <w:rPr>
          <w:rFonts w:ascii="Cambria" w:hAnsi="Cambria"/>
          <w:bCs/>
          <w:sz w:val="20"/>
          <w:szCs w:val="20"/>
          <w:lang w:val="es-ES"/>
        </w:rPr>
        <w:t>(en adelante, “</w:t>
      </w:r>
      <w:r w:rsidR="00AF6C46" w:rsidRPr="003C379E">
        <w:rPr>
          <w:rFonts w:ascii="Cambria" w:hAnsi="Cambria"/>
          <w:bCs/>
          <w:sz w:val="20"/>
          <w:szCs w:val="20"/>
          <w:lang w:val="es-ES"/>
        </w:rPr>
        <w:t>TNU</w:t>
      </w:r>
      <w:r w:rsidR="001E3F08"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1E3F08" w:rsidRPr="003C379E">
        <w:rPr>
          <w:rFonts w:ascii="Cambria" w:hAnsi="Cambria"/>
          <w:bCs/>
          <w:sz w:val="20"/>
          <w:szCs w:val="20"/>
          <w:lang w:val="es-ES"/>
        </w:rPr>
        <w:t xml:space="preserve"> </w:t>
      </w:r>
      <w:r w:rsidR="009115EB" w:rsidRPr="003C379E">
        <w:rPr>
          <w:rFonts w:ascii="Cambria" w:hAnsi="Cambria"/>
          <w:bCs/>
          <w:sz w:val="20"/>
          <w:szCs w:val="20"/>
          <w:lang w:val="es-ES"/>
        </w:rPr>
        <w:t>cua</w:t>
      </w:r>
      <w:r w:rsidR="001E3F08" w:rsidRPr="003C379E">
        <w:rPr>
          <w:rFonts w:ascii="Cambria" w:hAnsi="Cambria"/>
          <w:bCs/>
          <w:sz w:val="20"/>
          <w:szCs w:val="20"/>
          <w:lang w:val="es-ES"/>
        </w:rPr>
        <w:t xml:space="preserve">l </w:t>
      </w:r>
      <w:r w:rsidR="009115EB" w:rsidRPr="003C379E">
        <w:rPr>
          <w:rFonts w:ascii="Cambria" w:hAnsi="Cambria"/>
          <w:bCs/>
          <w:sz w:val="20"/>
          <w:szCs w:val="20"/>
          <w:lang w:val="es-ES"/>
        </w:rPr>
        <w:t>fue</w:t>
      </w:r>
      <w:r w:rsidR="001E3F08" w:rsidRPr="003C379E">
        <w:rPr>
          <w:rFonts w:ascii="Cambria" w:hAnsi="Cambria"/>
          <w:bCs/>
          <w:sz w:val="20"/>
          <w:szCs w:val="20"/>
          <w:lang w:val="es-ES"/>
        </w:rPr>
        <w:t xml:space="preserve"> </w:t>
      </w:r>
      <w:r w:rsidR="00696552" w:rsidRPr="003C379E">
        <w:rPr>
          <w:rFonts w:ascii="Cambria" w:hAnsi="Cambria"/>
          <w:bCs/>
          <w:sz w:val="20"/>
          <w:szCs w:val="20"/>
          <w:lang w:val="es-ES"/>
        </w:rPr>
        <w:t>rechazado</w:t>
      </w:r>
      <w:r w:rsidR="001E3F08" w:rsidRPr="003C379E">
        <w:rPr>
          <w:rFonts w:ascii="Cambria" w:hAnsi="Cambria"/>
          <w:bCs/>
          <w:sz w:val="20"/>
          <w:szCs w:val="20"/>
          <w:lang w:val="es-ES"/>
        </w:rPr>
        <w:t xml:space="preserve">, </w:t>
      </w:r>
      <w:r w:rsidR="00B05EA6" w:rsidRPr="003C379E">
        <w:rPr>
          <w:rFonts w:ascii="Cambria" w:hAnsi="Cambria"/>
          <w:bCs/>
          <w:sz w:val="20"/>
          <w:szCs w:val="20"/>
          <w:lang w:val="es-ES"/>
        </w:rPr>
        <w:t>pues</w:t>
      </w:r>
      <w:r w:rsidR="001E3F08" w:rsidRPr="003C379E">
        <w:rPr>
          <w:rFonts w:ascii="Cambria" w:hAnsi="Cambria"/>
          <w:bCs/>
          <w:sz w:val="20"/>
          <w:szCs w:val="20"/>
          <w:lang w:val="es-ES"/>
        </w:rPr>
        <w:t xml:space="preserve"> </w:t>
      </w:r>
      <w:r w:rsidR="00B30B5A" w:rsidRPr="003C379E">
        <w:rPr>
          <w:rFonts w:ascii="Cambria" w:hAnsi="Cambria"/>
          <w:bCs/>
          <w:sz w:val="20"/>
          <w:szCs w:val="20"/>
          <w:lang w:val="es-ES"/>
        </w:rPr>
        <w:t>l</w:t>
      </w:r>
      <w:r w:rsidR="001E3F08" w:rsidRPr="003C379E">
        <w:rPr>
          <w:rFonts w:ascii="Cambria" w:hAnsi="Cambria"/>
          <w:bCs/>
          <w:sz w:val="20"/>
          <w:szCs w:val="20"/>
          <w:lang w:val="es-ES"/>
        </w:rPr>
        <w:t xml:space="preserve">a </w:t>
      </w:r>
      <w:r w:rsidR="001258DF" w:rsidRPr="003C379E">
        <w:rPr>
          <w:rFonts w:ascii="Cambria" w:hAnsi="Cambria"/>
          <w:bCs/>
          <w:sz w:val="20"/>
          <w:szCs w:val="20"/>
          <w:lang w:val="es-ES"/>
        </w:rPr>
        <w:t>preten</w:t>
      </w:r>
      <w:r w:rsidR="009115EB" w:rsidRPr="003C379E">
        <w:rPr>
          <w:rFonts w:ascii="Cambria" w:hAnsi="Cambria"/>
          <w:bCs/>
          <w:sz w:val="20"/>
          <w:szCs w:val="20"/>
          <w:lang w:val="es-ES"/>
        </w:rPr>
        <w:t>sión</w:t>
      </w:r>
      <w:r w:rsidR="001258DF" w:rsidRPr="003C379E">
        <w:rPr>
          <w:rFonts w:ascii="Cambria" w:hAnsi="Cambria"/>
          <w:bCs/>
          <w:sz w:val="20"/>
          <w:szCs w:val="20"/>
          <w:lang w:val="es-ES"/>
        </w:rPr>
        <w:t xml:space="preserve"> recursal </w:t>
      </w:r>
      <w:r w:rsidR="00B30B5A" w:rsidRPr="003C379E">
        <w:rPr>
          <w:rFonts w:ascii="Cambria" w:hAnsi="Cambria"/>
          <w:bCs/>
          <w:sz w:val="20"/>
          <w:szCs w:val="20"/>
          <w:lang w:val="es-ES"/>
        </w:rPr>
        <w:t>demanda</w:t>
      </w:r>
      <w:r w:rsidR="00FB4AA8" w:rsidRPr="003C379E">
        <w:rPr>
          <w:rFonts w:ascii="Cambria" w:hAnsi="Cambria"/>
          <w:bCs/>
          <w:sz w:val="20"/>
          <w:szCs w:val="20"/>
          <w:lang w:val="es-ES"/>
        </w:rPr>
        <w:t>ba</w:t>
      </w:r>
      <w:r w:rsidR="001258DF" w:rsidRPr="003C379E">
        <w:rPr>
          <w:rFonts w:ascii="Cambria" w:hAnsi="Cambria"/>
          <w:bCs/>
          <w:sz w:val="20"/>
          <w:szCs w:val="20"/>
          <w:lang w:val="es-ES"/>
        </w:rPr>
        <w:t xml:space="preserve"> </w:t>
      </w:r>
      <w:r w:rsidR="00696552" w:rsidRPr="003C379E">
        <w:rPr>
          <w:rFonts w:ascii="Cambria" w:hAnsi="Cambria"/>
          <w:bCs/>
          <w:sz w:val="20"/>
          <w:szCs w:val="20"/>
          <w:lang w:val="es-ES"/>
        </w:rPr>
        <w:t>un nuevo análisis</w:t>
      </w:r>
      <w:r w:rsidR="001258DF" w:rsidRPr="003C379E">
        <w:rPr>
          <w:rFonts w:ascii="Cambria" w:hAnsi="Cambria"/>
          <w:bCs/>
          <w:sz w:val="20"/>
          <w:szCs w:val="20"/>
          <w:lang w:val="es-ES"/>
        </w:rPr>
        <w:t xml:space="preserve"> de</w:t>
      </w:r>
      <w:r w:rsidR="00696552" w:rsidRPr="003C379E">
        <w:rPr>
          <w:rFonts w:ascii="Cambria" w:hAnsi="Cambria"/>
          <w:bCs/>
          <w:sz w:val="20"/>
          <w:szCs w:val="20"/>
          <w:lang w:val="es-ES"/>
        </w:rPr>
        <w:t xml:space="preserve"> los</w:t>
      </w:r>
      <w:r w:rsidR="001258DF" w:rsidRPr="003C379E">
        <w:rPr>
          <w:rFonts w:ascii="Cambria" w:hAnsi="Cambria"/>
          <w:bCs/>
          <w:sz w:val="20"/>
          <w:szCs w:val="20"/>
          <w:lang w:val="es-ES"/>
        </w:rPr>
        <w:t xml:space="preserve"> </w:t>
      </w:r>
      <w:r w:rsidR="00B05EA6" w:rsidRPr="003C379E">
        <w:rPr>
          <w:rFonts w:ascii="Cambria" w:hAnsi="Cambria"/>
          <w:bCs/>
          <w:sz w:val="20"/>
          <w:szCs w:val="20"/>
          <w:lang w:val="es-ES"/>
        </w:rPr>
        <w:t>hechos</w:t>
      </w:r>
      <w:r w:rsidR="001258DF" w:rsidRPr="003C379E">
        <w:rPr>
          <w:rFonts w:ascii="Cambria" w:hAnsi="Cambria"/>
          <w:bCs/>
          <w:sz w:val="20"/>
          <w:szCs w:val="20"/>
          <w:lang w:val="es-ES"/>
        </w:rPr>
        <w:t xml:space="preserve">. </w:t>
      </w:r>
      <w:r w:rsidR="0006358F" w:rsidRPr="003C379E">
        <w:rPr>
          <w:rFonts w:ascii="Cambria" w:hAnsi="Cambria"/>
          <w:bCs/>
          <w:sz w:val="20"/>
          <w:szCs w:val="20"/>
          <w:lang w:val="es-ES"/>
        </w:rPr>
        <w:t>L</w:t>
      </w:r>
      <w:r w:rsidR="00B6265D" w:rsidRPr="003C379E">
        <w:rPr>
          <w:rFonts w:ascii="Cambria" w:hAnsi="Cambria"/>
          <w:bCs/>
          <w:sz w:val="20"/>
          <w:szCs w:val="20"/>
          <w:lang w:val="es-ES"/>
        </w:rPr>
        <w:t>a</w:t>
      </w:r>
      <w:r w:rsidR="001258DF" w:rsidRPr="003C379E">
        <w:rPr>
          <w:rFonts w:ascii="Cambria" w:hAnsi="Cambria"/>
          <w:bCs/>
          <w:sz w:val="20"/>
          <w:szCs w:val="20"/>
          <w:lang w:val="es-ES"/>
        </w:rPr>
        <w:t xml:space="preserve"> </w:t>
      </w:r>
      <w:r w:rsidR="00B05EA6" w:rsidRPr="003C379E">
        <w:rPr>
          <w:rFonts w:ascii="Cambria" w:hAnsi="Cambria"/>
          <w:bCs/>
          <w:sz w:val="20"/>
          <w:szCs w:val="20"/>
          <w:lang w:val="es-ES"/>
        </w:rPr>
        <w:t>presunta v</w:t>
      </w:r>
      <w:r w:rsidR="009115EB" w:rsidRPr="003C379E">
        <w:rPr>
          <w:rFonts w:ascii="Cambria" w:hAnsi="Cambria"/>
          <w:bCs/>
          <w:sz w:val="20"/>
          <w:szCs w:val="20"/>
          <w:lang w:val="es-ES"/>
        </w:rPr>
        <w:t>íctima</w:t>
      </w:r>
      <w:r w:rsidR="0006358F" w:rsidRPr="003C379E">
        <w:rPr>
          <w:rFonts w:ascii="Cambria" w:hAnsi="Cambria"/>
          <w:bCs/>
          <w:sz w:val="20"/>
          <w:szCs w:val="20"/>
          <w:lang w:val="es-ES"/>
        </w:rPr>
        <w:t xml:space="preserve"> interpuso</w:t>
      </w:r>
      <w:r w:rsidR="001258DF" w:rsidRPr="003C379E">
        <w:rPr>
          <w:rFonts w:ascii="Cambria" w:hAnsi="Cambria"/>
          <w:bCs/>
          <w:sz w:val="20"/>
          <w:szCs w:val="20"/>
          <w:lang w:val="es-ES"/>
        </w:rPr>
        <w:t xml:space="preserve"> </w:t>
      </w:r>
      <w:r w:rsidR="00211AF0" w:rsidRPr="003C379E">
        <w:rPr>
          <w:rFonts w:ascii="Cambria" w:hAnsi="Cambria"/>
          <w:bCs/>
          <w:sz w:val="20"/>
          <w:szCs w:val="20"/>
          <w:lang w:val="es-ES"/>
        </w:rPr>
        <w:t>recursos de aclaratoria</w:t>
      </w:r>
      <w:r w:rsidR="0006358F" w:rsidRPr="003C379E">
        <w:rPr>
          <w:rFonts w:ascii="Cambria" w:hAnsi="Cambria"/>
          <w:bCs/>
          <w:sz w:val="20"/>
          <w:szCs w:val="20"/>
          <w:lang w:val="es-ES"/>
        </w:rPr>
        <w:t xml:space="preserve"> a esa decisión</w:t>
      </w:r>
      <w:r w:rsidR="001258DF" w:rsidRPr="003C379E">
        <w:rPr>
          <w:rFonts w:ascii="Cambria" w:hAnsi="Cambria"/>
          <w:bCs/>
          <w:sz w:val="20"/>
          <w:szCs w:val="20"/>
          <w:lang w:val="es-ES"/>
        </w:rPr>
        <w:t xml:space="preserve">, </w:t>
      </w:r>
      <w:r w:rsidR="009115EB" w:rsidRPr="003C379E">
        <w:rPr>
          <w:rFonts w:ascii="Cambria" w:hAnsi="Cambria"/>
          <w:bCs/>
          <w:sz w:val="20"/>
          <w:szCs w:val="20"/>
          <w:lang w:val="es-ES"/>
        </w:rPr>
        <w:t>los</w:t>
      </w:r>
      <w:r w:rsidR="001258DF" w:rsidRPr="003C379E">
        <w:rPr>
          <w:rFonts w:ascii="Cambria" w:hAnsi="Cambria"/>
          <w:bCs/>
          <w:sz w:val="20"/>
          <w:szCs w:val="20"/>
          <w:lang w:val="es-ES"/>
        </w:rPr>
        <w:t xml:space="preserve"> </w:t>
      </w:r>
      <w:r w:rsidR="009115EB" w:rsidRPr="003C379E">
        <w:rPr>
          <w:rFonts w:ascii="Cambria" w:hAnsi="Cambria"/>
          <w:bCs/>
          <w:sz w:val="20"/>
          <w:szCs w:val="20"/>
          <w:lang w:val="es-ES"/>
        </w:rPr>
        <w:t>cu</w:t>
      </w:r>
      <w:r w:rsidR="00B05EA6" w:rsidRPr="003C379E">
        <w:rPr>
          <w:rFonts w:ascii="Cambria" w:hAnsi="Cambria"/>
          <w:bCs/>
          <w:sz w:val="20"/>
          <w:szCs w:val="20"/>
          <w:lang w:val="es-ES"/>
        </w:rPr>
        <w:t xml:space="preserve">ales </w:t>
      </w:r>
      <w:r w:rsidR="0006358F" w:rsidRPr="003C379E">
        <w:rPr>
          <w:rFonts w:ascii="Cambria" w:hAnsi="Cambria"/>
          <w:bCs/>
          <w:sz w:val="20"/>
          <w:szCs w:val="20"/>
          <w:lang w:val="es-ES"/>
        </w:rPr>
        <w:t>fueron rechazados</w:t>
      </w:r>
      <w:r w:rsidR="001258DF" w:rsidRPr="003C379E">
        <w:rPr>
          <w:rFonts w:ascii="Cambria" w:hAnsi="Cambria"/>
          <w:bCs/>
          <w:sz w:val="20"/>
          <w:szCs w:val="20"/>
          <w:lang w:val="es-ES"/>
        </w:rPr>
        <w:t>.</w:t>
      </w:r>
      <w:r w:rsidR="00D92116" w:rsidRPr="003C379E">
        <w:rPr>
          <w:rFonts w:ascii="Cambria" w:hAnsi="Cambria"/>
          <w:bCs/>
          <w:sz w:val="20"/>
          <w:szCs w:val="20"/>
          <w:lang w:val="es-ES"/>
        </w:rPr>
        <w:t xml:space="preserve"> </w:t>
      </w:r>
      <w:r w:rsidR="0006358F" w:rsidRPr="003C379E">
        <w:rPr>
          <w:rFonts w:ascii="Cambria" w:hAnsi="Cambria"/>
          <w:bCs/>
          <w:sz w:val="20"/>
          <w:szCs w:val="20"/>
          <w:lang w:val="es-ES"/>
        </w:rPr>
        <w:t xml:space="preserve">En </w:t>
      </w:r>
      <w:r w:rsidR="00D92116" w:rsidRPr="003C379E">
        <w:rPr>
          <w:rFonts w:ascii="Cambria" w:hAnsi="Cambria"/>
          <w:bCs/>
          <w:sz w:val="20"/>
          <w:szCs w:val="20"/>
          <w:lang w:val="es-ES"/>
        </w:rPr>
        <w:t>e</w:t>
      </w:r>
      <w:r w:rsidR="00B05EA6" w:rsidRPr="003C379E">
        <w:rPr>
          <w:rFonts w:ascii="Cambria" w:hAnsi="Cambria"/>
          <w:bCs/>
          <w:sz w:val="20"/>
          <w:szCs w:val="20"/>
          <w:lang w:val="es-ES"/>
        </w:rPr>
        <w:t>s</w:t>
      </w:r>
      <w:r w:rsidR="00D92116" w:rsidRPr="003C379E">
        <w:rPr>
          <w:rFonts w:ascii="Cambria" w:hAnsi="Cambria"/>
          <w:bCs/>
          <w:sz w:val="20"/>
          <w:szCs w:val="20"/>
          <w:lang w:val="es-ES"/>
        </w:rPr>
        <w:t>e sentido,</w:t>
      </w:r>
      <w:r w:rsidR="009115EB" w:rsidRPr="003C379E">
        <w:rPr>
          <w:rFonts w:ascii="Cambria" w:hAnsi="Cambria"/>
          <w:bCs/>
          <w:sz w:val="20"/>
          <w:szCs w:val="20"/>
          <w:lang w:val="es-ES"/>
        </w:rPr>
        <w:t xml:space="preserve"> </w:t>
      </w:r>
      <w:r w:rsidR="00B04C63" w:rsidRPr="003C379E">
        <w:rPr>
          <w:rFonts w:ascii="Cambria" w:hAnsi="Cambria"/>
          <w:bCs/>
          <w:sz w:val="20"/>
          <w:szCs w:val="20"/>
          <w:lang w:val="es-ES"/>
        </w:rPr>
        <w:t>la</w:t>
      </w:r>
      <w:r w:rsidR="00C95A33" w:rsidRPr="003C379E">
        <w:rPr>
          <w:rFonts w:ascii="Cambria" w:hAnsi="Cambria"/>
          <w:bCs/>
          <w:sz w:val="20"/>
          <w:szCs w:val="20"/>
          <w:lang w:val="es-ES"/>
        </w:rPr>
        <w:t xml:space="preserve"> parte peticionaria</w:t>
      </w:r>
      <w:r w:rsidR="00D92116" w:rsidRPr="003C379E">
        <w:rPr>
          <w:rFonts w:ascii="Cambria" w:hAnsi="Cambria"/>
          <w:bCs/>
          <w:sz w:val="20"/>
          <w:szCs w:val="20"/>
          <w:lang w:val="es-ES"/>
        </w:rPr>
        <w:t xml:space="preserve"> afirma que </w:t>
      </w:r>
      <w:r w:rsidR="00A861EB" w:rsidRPr="003C379E">
        <w:rPr>
          <w:rFonts w:ascii="Cambria" w:hAnsi="Cambria"/>
          <w:bCs/>
          <w:sz w:val="20"/>
          <w:szCs w:val="20"/>
          <w:lang w:val="es-ES"/>
        </w:rPr>
        <w:t xml:space="preserve">se agotaron </w:t>
      </w:r>
      <w:r w:rsidR="009115EB" w:rsidRPr="003C379E">
        <w:rPr>
          <w:rFonts w:ascii="Cambria" w:hAnsi="Cambria"/>
          <w:bCs/>
          <w:sz w:val="20"/>
          <w:szCs w:val="20"/>
          <w:lang w:val="es-ES"/>
        </w:rPr>
        <w:t>los</w:t>
      </w:r>
      <w:r w:rsidR="00D92116" w:rsidRPr="003C379E">
        <w:rPr>
          <w:rFonts w:ascii="Cambria" w:hAnsi="Cambria"/>
          <w:bCs/>
          <w:sz w:val="20"/>
          <w:szCs w:val="20"/>
          <w:lang w:val="es-ES"/>
        </w:rPr>
        <w:t xml:space="preserve"> recursos internos, </w:t>
      </w:r>
      <w:r w:rsidR="00B05EA6" w:rsidRPr="003C379E">
        <w:rPr>
          <w:rFonts w:ascii="Cambria" w:hAnsi="Cambria"/>
          <w:bCs/>
          <w:sz w:val="20"/>
          <w:szCs w:val="20"/>
          <w:lang w:val="es-ES"/>
        </w:rPr>
        <w:t>pues</w:t>
      </w:r>
      <w:r w:rsidR="00D92116" w:rsidRPr="003C379E">
        <w:rPr>
          <w:rFonts w:ascii="Cambria" w:hAnsi="Cambria"/>
          <w:bCs/>
          <w:sz w:val="20"/>
          <w:szCs w:val="20"/>
          <w:lang w:val="es-ES"/>
        </w:rPr>
        <w:t xml:space="preserve"> </w:t>
      </w:r>
      <w:r w:rsidR="00A861EB" w:rsidRPr="003C379E">
        <w:rPr>
          <w:rFonts w:ascii="Cambria" w:hAnsi="Cambria"/>
          <w:bCs/>
          <w:sz w:val="20"/>
          <w:szCs w:val="20"/>
          <w:lang w:val="es-ES"/>
        </w:rPr>
        <w:t xml:space="preserve">ya </w:t>
      </w:r>
      <w:r w:rsidR="009115EB" w:rsidRPr="003C379E">
        <w:rPr>
          <w:rFonts w:ascii="Cambria" w:hAnsi="Cambria"/>
          <w:bCs/>
          <w:sz w:val="20"/>
          <w:szCs w:val="20"/>
          <w:lang w:val="es-ES"/>
        </w:rPr>
        <w:t>no</w:t>
      </w:r>
      <w:r w:rsidR="00D92116" w:rsidRPr="003C379E">
        <w:rPr>
          <w:rFonts w:ascii="Cambria" w:hAnsi="Cambria"/>
          <w:bCs/>
          <w:sz w:val="20"/>
          <w:szCs w:val="20"/>
          <w:lang w:val="es-ES"/>
        </w:rPr>
        <w:t xml:space="preserve"> </w:t>
      </w:r>
      <w:r w:rsidR="00B30B5A" w:rsidRPr="003C379E">
        <w:rPr>
          <w:rFonts w:ascii="Cambria" w:hAnsi="Cambria"/>
          <w:bCs/>
          <w:sz w:val="20"/>
          <w:szCs w:val="20"/>
          <w:lang w:val="es-ES"/>
        </w:rPr>
        <w:t>cabría</w:t>
      </w:r>
      <w:r w:rsidR="00D92116" w:rsidRPr="003C379E">
        <w:rPr>
          <w:rFonts w:ascii="Cambria" w:hAnsi="Cambria"/>
          <w:bCs/>
          <w:sz w:val="20"/>
          <w:szCs w:val="20"/>
          <w:lang w:val="es-ES"/>
        </w:rPr>
        <w:t xml:space="preserve"> </w:t>
      </w:r>
      <w:r w:rsidR="00A861EB" w:rsidRPr="003C379E">
        <w:rPr>
          <w:rFonts w:ascii="Cambria" w:hAnsi="Cambria"/>
          <w:bCs/>
          <w:sz w:val="20"/>
          <w:szCs w:val="20"/>
          <w:lang w:val="es-ES"/>
        </w:rPr>
        <w:t>ningún</w:t>
      </w:r>
      <w:r w:rsidR="00D92116" w:rsidRPr="003C379E">
        <w:rPr>
          <w:rFonts w:ascii="Cambria" w:hAnsi="Cambria"/>
          <w:bCs/>
          <w:sz w:val="20"/>
          <w:szCs w:val="20"/>
          <w:lang w:val="es-ES"/>
        </w:rPr>
        <w:t xml:space="preserve"> recurso para </w:t>
      </w:r>
      <w:r w:rsidR="00A861EB" w:rsidRPr="003C379E">
        <w:rPr>
          <w:rFonts w:ascii="Cambria" w:hAnsi="Cambria"/>
          <w:bCs/>
          <w:sz w:val="20"/>
          <w:szCs w:val="20"/>
          <w:lang w:val="es-ES"/>
        </w:rPr>
        <w:t>modificar</w:t>
      </w:r>
      <w:r w:rsidR="00D92116"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D92116" w:rsidRPr="003C379E">
        <w:rPr>
          <w:rFonts w:ascii="Cambria" w:hAnsi="Cambria"/>
          <w:bCs/>
          <w:sz w:val="20"/>
          <w:szCs w:val="20"/>
          <w:lang w:val="es-ES"/>
        </w:rPr>
        <w:t xml:space="preserve"> deci</w:t>
      </w:r>
      <w:r w:rsidR="009115EB" w:rsidRPr="003C379E">
        <w:rPr>
          <w:rFonts w:ascii="Cambria" w:hAnsi="Cambria"/>
          <w:bCs/>
          <w:sz w:val="20"/>
          <w:szCs w:val="20"/>
          <w:lang w:val="es-ES"/>
        </w:rPr>
        <w:t>sión</w:t>
      </w:r>
      <w:r w:rsidR="00D92116" w:rsidRPr="003C379E">
        <w:rPr>
          <w:rFonts w:ascii="Cambria" w:hAnsi="Cambria"/>
          <w:bCs/>
          <w:sz w:val="20"/>
          <w:szCs w:val="20"/>
          <w:lang w:val="es-ES"/>
        </w:rPr>
        <w:t xml:space="preserve">, </w:t>
      </w:r>
      <w:r w:rsidR="000B38E0" w:rsidRPr="003C379E">
        <w:rPr>
          <w:rFonts w:ascii="Cambria" w:hAnsi="Cambria"/>
          <w:bCs/>
          <w:sz w:val="20"/>
          <w:szCs w:val="20"/>
          <w:lang w:val="es-ES"/>
        </w:rPr>
        <w:t>por cuanto</w:t>
      </w:r>
      <w:r w:rsidR="00A861EB"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D92116" w:rsidRPr="003C379E">
        <w:rPr>
          <w:rFonts w:ascii="Cambria" w:hAnsi="Cambria"/>
          <w:bCs/>
          <w:sz w:val="20"/>
          <w:szCs w:val="20"/>
          <w:lang w:val="es-ES"/>
        </w:rPr>
        <w:t xml:space="preserve"> </w:t>
      </w:r>
      <w:r w:rsidR="00B30B5A" w:rsidRPr="003C379E">
        <w:rPr>
          <w:rFonts w:ascii="Cambria" w:hAnsi="Cambria"/>
          <w:bCs/>
          <w:sz w:val="20"/>
          <w:szCs w:val="20"/>
          <w:lang w:val="es-ES"/>
        </w:rPr>
        <w:t>sería</w:t>
      </w:r>
      <w:r w:rsidR="00D92116" w:rsidRPr="003C379E">
        <w:rPr>
          <w:rFonts w:ascii="Cambria" w:hAnsi="Cambria"/>
          <w:bCs/>
          <w:sz w:val="20"/>
          <w:szCs w:val="20"/>
          <w:lang w:val="es-ES"/>
        </w:rPr>
        <w:t xml:space="preserve"> po</w:t>
      </w:r>
      <w:r w:rsidR="00B05EA6" w:rsidRPr="003C379E">
        <w:rPr>
          <w:rFonts w:ascii="Cambria" w:hAnsi="Cambria"/>
          <w:bCs/>
          <w:sz w:val="20"/>
          <w:szCs w:val="20"/>
          <w:lang w:val="es-ES"/>
        </w:rPr>
        <w:t>sible</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present</w:t>
      </w:r>
      <w:r w:rsidR="00D92116" w:rsidRPr="003C379E">
        <w:rPr>
          <w:rFonts w:ascii="Cambria" w:hAnsi="Cambria"/>
          <w:bCs/>
          <w:sz w:val="20"/>
          <w:szCs w:val="20"/>
          <w:lang w:val="es-ES"/>
        </w:rPr>
        <w:t xml:space="preserve">ar </w:t>
      </w:r>
      <w:r w:rsidR="009115EB" w:rsidRPr="003C379E">
        <w:rPr>
          <w:rFonts w:ascii="Cambria" w:hAnsi="Cambria"/>
          <w:bCs/>
          <w:sz w:val="20"/>
          <w:szCs w:val="20"/>
          <w:lang w:val="es-ES"/>
        </w:rPr>
        <w:t>el</w:t>
      </w:r>
      <w:r w:rsidR="00D92116" w:rsidRPr="003C379E">
        <w:rPr>
          <w:rFonts w:ascii="Cambria" w:hAnsi="Cambria"/>
          <w:bCs/>
          <w:sz w:val="20"/>
          <w:szCs w:val="20"/>
          <w:lang w:val="es-ES"/>
        </w:rPr>
        <w:t xml:space="preserve"> incidente de uniformiza</w:t>
      </w:r>
      <w:r w:rsidR="009115EB" w:rsidRPr="003C379E">
        <w:rPr>
          <w:rFonts w:ascii="Cambria" w:hAnsi="Cambria"/>
          <w:bCs/>
          <w:sz w:val="20"/>
          <w:szCs w:val="20"/>
          <w:lang w:val="es-ES"/>
        </w:rPr>
        <w:t>ción</w:t>
      </w:r>
      <w:r w:rsidR="00D92116" w:rsidRPr="003C379E">
        <w:rPr>
          <w:rFonts w:ascii="Cambria" w:hAnsi="Cambria"/>
          <w:bCs/>
          <w:sz w:val="20"/>
          <w:szCs w:val="20"/>
          <w:lang w:val="es-ES"/>
        </w:rPr>
        <w:t xml:space="preserve"> dirigido </w:t>
      </w:r>
      <w:r w:rsidR="009115EB" w:rsidRPr="003C379E">
        <w:rPr>
          <w:rFonts w:ascii="Cambria" w:hAnsi="Cambria"/>
          <w:bCs/>
          <w:sz w:val="20"/>
          <w:szCs w:val="20"/>
          <w:lang w:val="es-ES"/>
        </w:rPr>
        <w:t>al</w:t>
      </w:r>
      <w:r w:rsidR="00D92116" w:rsidRPr="003C379E">
        <w:rPr>
          <w:rFonts w:ascii="Cambria" w:hAnsi="Cambria"/>
          <w:bCs/>
          <w:sz w:val="20"/>
          <w:szCs w:val="20"/>
          <w:lang w:val="es-ES"/>
        </w:rPr>
        <w:t xml:space="preserve"> Superior Tribunal de </w:t>
      </w:r>
      <w:r w:rsidR="009115EB" w:rsidRPr="003C379E">
        <w:rPr>
          <w:rFonts w:ascii="Cambria" w:hAnsi="Cambria"/>
          <w:bCs/>
          <w:sz w:val="20"/>
          <w:szCs w:val="20"/>
          <w:lang w:val="es-ES"/>
        </w:rPr>
        <w:t>Justicia</w:t>
      </w:r>
      <w:r w:rsidR="00CE2826" w:rsidRPr="003C379E">
        <w:rPr>
          <w:rFonts w:ascii="Cambria" w:hAnsi="Cambria"/>
          <w:bCs/>
          <w:sz w:val="20"/>
          <w:szCs w:val="20"/>
          <w:lang w:val="es-ES"/>
        </w:rPr>
        <w:t xml:space="preserve"> </w:t>
      </w:r>
      <w:r w:rsidR="002E2FB0" w:rsidRPr="003C379E">
        <w:rPr>
          <w:rFonts w:ascii="Cambria" w:hAnsi="Cambria"/>
          <w:bCs/>
          <w:sz w:val="20"/>
          <w:szCs w:val="20"/>
          <w:lang w:val="es-ES"/>
        </w:rPr>
        <w:t>(en adelante, “</w:t>
      </w:r>
      <w:r w:rsidR="009115EB" w:rsidRPr="003C379E">
        <w:rPr>
          <w:rFonts w:ascii="Cambria" w:hAnsi="Cambria"/>
          <w:bCs/>
          <w:sz w:val="20"/>
          <w:szCs w:val="20"/>
          <w:lang w:val="es-ES"/>
        </w:rPr>
        <w:t>el</w:t>
      </w:r>
      <w:r w:rsidR="00CE2826" w:rsidRPr="003C379E">
        <w:rPr>
          <w:rFonts w:ascii="Cambria" w:hAnsi="Cambria"/>
          <w:bCs/>
          <w:sz w:val="20"/>
          <w:szCs w:val="20"/>
          <w:lang w:val="es-ES"/>
        </w:rPr>
        <w:t xml:space="preserve"> STJ”)</w:t>
      </w:r>
      <w:r w:rsidR="00D92116" w:rsidRPr="003C379E">
        <w:rPr>
          <w:rFonts w:ascii="Cambria" w:hAnsi="Cambria"/>
          <w:bCs/>
          <w:sz w:val="20"/>
          <w:szCs w:val="20"/>
          <w:lang w:val="es-ES"/>
        </w:rPr>
        <w:t xml:space="preserve">, </w:t>
      </w:r>
      <w:r w:rsidR="00936896" w:rsidRPr="003C379E">
        <w:rPr>
          <w:rFonts w:ascii="Cambria" w:hAnsi="Cambria"/>
          <w:bCs/>
          <w:sz w:val="20"/>
          <w:szCs w:val="20"/>
          <w:lang w:val="es-ES"/>
        </w:rPr>
        <w:t>dado que,</w:t>
      </w:r>
      <w:r w:rsidR="00D92116" w:rsidRPr="003C379E">
        <w:rPr>
          <w:rFonts w:ascii="Cambria" w:hAnsi="Cambria"/>
          <w:bCs/>
          <w:sz w:val="20"/>
          <w:szCs w:val="20"/>
          <w:lang w:val="es-ES"/>
        </w:rPr>
        <w:t xml:space="preserve"> </w:t>
      </w:r>
      <w:r w:rsidR="00A861EB" w:rsidRPr="003C379E">
        <w:rPr>
          <w:rFonts w:ascii="Cambria" w:hAnsi="Cambria"/>
          <w:bCs/>
          <w:sz w:val="20"/>
          <w:szCs w:val="20"/>
          <w:lang w:val="es-ES"/>
        </w:rPr>
        <w:t>según</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artículo</w:t>
      </w:r>
      <w:r w:rsidR="00D92116" w:rsidRPr="003C379E">
        <w:rPr>
          <w:rFonts w:ascii="Cambria" w:hAnsi="Cambria"/>
          <w:bCs/>
          <w:sz w:val="20"/>
          <w:szCs w:val="20"/>
          <w:lang w:val="es-ES"/>
        </w:rPr>
        <w:t xml:space="preserve"> 2 </w:t>
      </w:r>
      <w:r w:rsidR="009115EB" w:rsidRPr="003C379E">
        <w:rPr>
          <w:rFonts w:ascii="Cambria" w:hAnsi="Cambria"/>
          <w:bCs/>
          <w:sz w:val="20"/>
          <w:szCs w:val="20"/>
          <w:lang w:val="es-ES"/>
        </w:rPr>
        <w:t>de la</w:t>
      </w:r>
      <w:r w:rsidR="00D92116" w:rsidRPr="003C379E">
        <w:rPr>
          <w:rFonts w:ascii="Cambria" w:hAnsi="Cambria"/>
          <w:bCs/>
          <w:sz w:val="20"/>
          <w:szCs w:val="20"/>
          <w:lang w:val="es-ES"/>
        </w:rPr>
        <w:t xml:space="preserve"> Resolu</w:t>
      </w:r>
      <w:r w:rsidR="009115EB" w:rsidRPr="003C379E">
        <w:rPr>
          <w:rFonts w:ascii="Cambria" w:hAnsi="Cambria"/>
          <w:bCs/>
          <w:sz w:val="20"/>
          <w:szCs w:val="20"/>
          <w:lang w:val="es-ES"/>
        </w:rPr>
        <w:t>ción</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D92116" w:rsidRPr="003C379E">
        <w:rPr>
          <w:rFonts w:ascii="Cambria" w:hAnsi="Cambria"/>
          <w:bCs/>
          <w:sz w:val="20"/>
          <w:szCs w:val="20"/>
          <w:lang w:val="es-ES"/>
        </w:rPr>
        <w:t xml:space="preserve"> 22/CJF, </w:t>
      </w:r>
      <w:r w:rsidR="00B6265D" w:rsidRPr="003C379E">
        <w:rPr>
          <w:rFonts w:ascii="Cambria" w:hAnsi="Cambria"/>
          <w:bCs/>
          <w:sz w:val="20"/>
          <w:szCs w:val="20"/>
          <w:lang w:val="es-ES"/>
        </w:rPr>
        <w:t>la</w:t>
      </w:r>
      <w:r w:rsidR="00D92116" w:rsidRPr="003C379E">
        <w:rPr>
          <w:rFonts w:ascii="Cambria" w:hAnsi="Cambria"/>
          <w:bCs/>
          <w:sz w:val="20"/>
          <w:szCs w:val="20"/>
          <w:lang w:val="es-ES"/>
        </w:rPr>
        <w:t xml:space="preserve"> deci</w:t>
      </w:r>
      <w:r w:rsidR="009115EB" w:rsidRPr="003C379E">
        <w:rPr>
          <w:rFonts w:ascii="Cambria" w:hAnsi="Cambria"/>
          <w:bCs/>
          <w:sz w:val="20"/>
          <w:szCs w:val="20"/>
          <w:lang w:val="es-ES"/>
        </w:rPr>
        <w:t>sión</w:t>
      </w:r>
      <w:r w:rsidR="00D92116" w:rsidRPr="003C379E">
        <w:rPr>
          <w:rFonts w:ascii="Cambria" w:hAnsi="Cambria"/>
          <w:bCs/>
          <w:sz w:val="20"/>
          <w:szCs w:val="20"/>
          <w:lang w:val="es-ES"/>
        </w:rPr>
        <w:t xml:space="preserve"> </w:t>
      </w:r>
      <w:r w:rsidR="00A861EB" w:rsidRPr="003C379E">
        <w:rPr>
          <w:rFonts w:ascii="Cambria" w:hAnsi="Cambria"/>
          <w:bCs/>
          <w:sz w:val="20"/>
          <w:szCs w:val="20"/>
          <w:lang w:val="es-ES"/>
        </w:rPr>
        <w:t>dictada</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por la</w:t>
      </w:r>
      <w:r w:rsidR="00D92116" w:rsidRPr="003C379E">
        <w:rPr>
          <w:rFonts w:ascii="Cambria" w:hAnsi="Cambria"/>
          <w:bCs/>
          <w:sz w:val="20"/>
          <w:szCs w:val="20"/>
          <w:lang w:val="es-ES"/>
        </w:rPr>
        <w:t xml:space="preserve"> </w:t>
      </w:r>
      <w:r w:rsidR="000B38E0" w:rsidRPr="003C379E">
        <w:rPr>
          <w:rFonts w:ascii="Cambria" w:hAnsi="Cambria"/>
          <w:bCs/>
          <w:sz w:val="20"/>
          <w:szCs w:val="20"/>
          <w:lang w:val="es-ES"/>
        </w:rPr>
        <w:t>p</w:t>
      </w:r>
      <w:r w:rsidR="00D92116" w:rsidRPr="003C379E">
        <w:rPr>
          <w:rFonts w:ascii="Cambria" w:hAnsi="Cambria"/>
          <w:bCs/>
          <w:sz w:val="20"/>
          <w:szCs w:val="20"/>
          <w:lang w:val="es-ES"/>
        </w:rPr>
        <w:t>resid</w:t>
      </w:r>
      <w:r w:rsidR="009115EB" w:rsidRPr="003C379E">
        <w:rPr>
          <w:rFonts w:ascii="Cambria" w:hAnsi="Cambria"/>
          <w:bCs/>
          <w:sz w:val="20"/>
          <w:szCs w:val="20"/>
          <w:lang w:val="es-ES"/>
        </w:rPr>
        <w:t>encia</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de la</w:t>
      </w:r>
      <w:r w:rsidR="00B34ED2" w:rsidRPr="003C379E">
        <w:rPr>
          <w:rFonts w:ascii="Cambria" w:hAnsi="Cambria"/>
          <w:bCs/>
          <w:sz w:val="20"/>
          <w:szCs w:val="20"/>
          <w:lang w:val="es-ES"/>
        </w:rPr>
        <w:t xml:space="preserve"> </w:t>
      </w:r>
      <w:r w:rsidR="00AF6C46" w:rsidRPr="003C379E">
        <w:rPr>
          <w:rFonts w:ascii="Cambria" w:hAnsi="Cambria"/>
          <w:bCs/>
          <w:sz w:val="20"/>
          <w:szCs w:val="20"/>
          <w:lang w:val="es-ES"/>
        </w:rPr>
        <w:t>T</w:t>
      </w:r>
      <w:r w:rsidR="00D92116" w:rsidRPr="003C379E">
        <w:rPr>
          <w:rFonts w:ascii="Cambria" w:hAnsi="Cambria"/>
          <w:bCs/>
          <w:sz w:val="20"/>
          <w:szCs w:val="20"/>
          <w:lang w:val="es-ES"/>
        </w:rPr>
        <w:t xml:space="preserve">NU que </w:t>
      </w:r>
      <w:r w:rsidR="00A861EB" w:rsidRPr="003C379E">
        <w:rPr>
          <w:rFonts w:ascii="Cambria" w:hAnsi="Cambria"/>
          <w:bCs/>
          <w:sz w:val="20"/>
          <w:szCs w:val="20"/>
          <w:lang w:val="es-ES"/>
        </w:rPr>
        <w:t>rechaza el</w:t>
      </w:r>
      <w:r w:rsidR="00D92116" w:rsidRPr="003C379E">
        <w:rPr>
          <w:rFonts w:ascii="Cambria" w:hAnsi="Cambria"/>
          <w:bCs/>
          <w:sz w:val="20"/>
          <w:szCs w:val="20"/>
          <w:lang w:val="es-ES"/>
        </w:rPr>
        <w:t xml:space="preserve"> pedido de uniformiza</w:t>
      </w:r>
      <w:r w:rsidR="009115EB" w:rsidRPr="003C379E">
        <w:rPr>
          <w:rFonts w:ascii="Cambria" w:hAnsi="Cambria"/>
          <w:bCs/>
          <w:sz w:val="20"/>
          <w:szCs w:val="20"/>
          <w:lang w:val="es-ES"/>
        </w:rPr>
        <w:t>ción</w:t>
      </w:r>
      <w:r w:rsidR="00D92116" w:rsidRPr="003C379E">
        <w:rPr>
          <w:rFonts w:ascii="Cambria" w:hAnsi="Cambria"/>
          <w:bCs/>
          <w:sz w:val="20"/>
          <w:szCs w:val="20"/>
          <w:lang w:val="es-ES"/>
        </w:rPr>
        <w:t xml:space="preserve"> </w:t>
      </w:r>
      <w:r w:rsidR="009115EB" w:rsidRPr="003C379E">
        <w:rPr>
          <w:rFonts w:ascii="Cambria" w:hAnsi="Cambria"/>
          <w:bCs/>
          <w:sz w:val="20"/>
          <w:szCs w:val="20"/>
          <w:lang w:val="es-ES"/>
        </w:rPr>
        <w:t>es</w:t>
      </w:r>
      <w:r w:rsidR="00D92116" w:rsidRPr="003C379E">
        <w:rPr>
          <w:rFonts w:ascii="Cambria" w:hAnsi="Cambria"/>
          <w:bCs/>
          <w:sz w:val="20"/>
          <w:szCs w:val="20"/>
          <w:lang w:val="es-ES"/>
        </w:rPr>
        <w:t xml:space="preserve"> irrec</w:t>
      </w:r>
      <w:r w:rsidR="00B30B5A" w:rsidRPr="003C379E">
        <w:rPr>
          <w:rFonts w:ascii="Cambria" w:hAnsi="Cambria"/>
          <w:bCs/>
          <w:sz w:val="20"/>
          <w:szCs w:val="20"/>
          <w:lang w:val="es-ES"/>
        </w:rPr>
        <w:t>u</w:t>
      </w:r>
      <w:r w:rsidR="00D92116" w:rsidRPr="003C379E">
        <w:rPr>
          <w:rFonts w:ascii="Cambria" w:hAnsi="Cambria"/>
          <w:bCs/>
          <w:sz w:val="20"/>
          <w:szCs w:val="20"/>
          <w:lang w:val="es-ES"/>
        </w:rPr>
        <w:t>rr</w:t>
      </w:r>
      <w:r w:rsidR="00B30B5A" w:rsidRPr="003C379E">
        <w:rPr>
          <w:rFonts w:ascii="Cambria" w:hAnsi="Cambria"/>
          <w:bCs/>
          <w:sz w:val="20"/>
          <w:szCs w:val="20"/>
          <w:lang w:val="es-ES"/>
        </w:rPr>
        <w:t>ible</w:t>
      </w:r>
      <w:r w:rsidR="00D92116" w:rsidRPr="003C379E">
        <w:rPr>
          <w:rFonts w:ascii="Cambria" w:hAnsi="Cambria"/>
          <w:bCs/>
          <w:sz w:val="20"/>
          <w:szCs w:val="20"/>
          <w:lang w:val="es-ES"/>
        </w:rPr>
        <w:t>.</w:t>
      </w:r>
      <w:r w:rsidR="00A710D9" w:rsidRPr="003C379E">
        <w:rPr>
          <w:rFonts w:ascii="Cambria" w:hAnsi="Cambria"/>
          <w:bCs/>
          <w:sz w:val="20"/>
          <w:szCs w:val="20"/>
          <w:lang w:val="es-ES"/>
        </w:rPr>
        <w:t xml:space="preserve"> </w:t>
      </w:r>
      <w:r w:rsidR="00A861EB" w:rsidRPr="003C379E">
        <w:rPr>
          <w:rFonts w:ascii="Cambria" w:hAnsi="Cambria"/>
          <w:bCs/>
          <w:sz w:val="20"/>
          <w:szCs w:val="20"/>
          <w:lang w:val="es-ES"/>
        </w:rPr>
        <w:t>Asimismo</w:t>
      </w:r>
      <w:r w:rsidR="00A710D9" w:rsidRPr="003C379E">
        <w:rPr>
          <w:rFonts w:ascii="Cambria" w:hAnsi="Cambria"/>
          <w:bCs/>
          <w:sz w:val="20"/>
          <w:szCs w:val="20"/>
          <w:lang w:val="es-ES"/>
        </w:rPr>
        <w:t xml:space="preserve">, afirma que </w:t>
      </w:r>
      <w:r w:rsidR="009115EB" w:rsidRPr="003C379E">
        <w:rPr>
          <w:rFonts w:ascii="Cambria" w:hAnsi="Cambria"/>
          <w:bCs/>
          <w:sz w:val="20"/>
          <w:szCs w:val="20"/>
          <w:lang w:val="es-ES"/>
        </w:rPr>
        <w:t>el</w:t>
      </w:r>
      <w:r w:rsidR="00A710D9" w:rsidRPr="003C379E">
        <w:rPr>
          <w:rFonts w:ascii="Cambria" w:hAnsi="Cambria"/>
          <w:bCs/>
          <w:sz w:val="20"/>
          <w:szCs w:val="20"/>
          <w:lang w:val="es-ES"/>
        </w:rPr>
        <w:t xml:space="preserve"> </w:t>
      </w:r>
      <w:r w:rsidR="0042784D" w:rsidRPr="003C379E">
        <w:rPr>
          <w:rFonts w:ascii="Cambria" w:hAnsi="Cambria"/>
          <w:bCs/>
          <w:sz w:val="20"/>
          <w:szCs w:val="20"/>
          <w:lang w:val="es-ES"/>
        </w:rPr>
        <w:t xml:space="preserve">recurso extraordinario </w:t>
      </w:r>
      <w:r w:rsidR="009115EB" w:rsidRPr="003C379E">
        <w:rPr>
          <w:rFonts w:ascii="Cambria" w:hAnsi="Cambria"/>
          <w:bCs/>
          <w:sz w:val="20"/>
          <w:szCs w:val="20"/>
          <w:lang w:val="es-ES"/>
        </w:rPr>
        <w:t>no</w:t>
      </w:r>
      <w:r w:rsidR="00A710D9" w:rsidRPr="003C379E">
        <w:rPr>
          <w:rFonts w:ascii="Cambria" w:hAnsi="Cambria"/>
          <w:bCs/>
          <w:sz w:val="20"/>
          <w:szCs w:val="20"/>
          <w:lang w:val="es-ES"/>
        </w:rPr>
        <w:t xml:space="preserve"> era </w:t>
      </w:r>
      <w:r w:rsidR="009115EB" w:rsidRPr="003C379E">
        <w:rPr>
          <w:rFonts w:ascii="Cambria" w:hAnsi="Cambria"/>
          <w:bCs/>
          <w:sz w:val="20"/>
          <w:szCs w:val="20"/>
          <w:lang w:val="es-ES"/>
        </w:rPr>
        <w:t>efectiv</w:t>
      </w:r>
      <w:r w:rsidR="00D33B39" w:rsidRPr="003C379E">
        <w:rPr>
          <w:rFonts w:ascii="Cambria" w:hAnsi="Cambria"/>
          <w:bCs/>
          <w:sz w:val="20"/>
          <w:szCs w:val="20"/>
          <w:lang w:val="es-ES"/>
        </w:rPr>
        <w:t>o</w:t>
      </w:r>
      <w:r w:rsidR="00A710D9" w:rsidRPr="003C379E">
        <w:rPr>
          <w:rFonts w:ascii="Cambria" w:hAnsi="Cambria"/>
          <w:bCs/>
          <w:sz w:val="20"/>
          <w:szCs w:val="20"/>
          <w:lang w:val="es-ES"/>
        </w:rPr>
        <w:t xml:space="preserve"> </w:t>
      </w:r>
      <w:r w:rsidR="00714411" w:rsidRPr="003C379E">
        <w:rPr>
          <w:rFonts w:ascii="Cambria" w:hAnsi="Cambria"/>
          <w:bCs/>
          <w:sz w:val="20"/>
          <w:szCs w:val="20"/>
          <w:lang w:val="es-ES"/>
        </w:rPr>
        <w:t>ni</w:t>
      </w:r>
      <w:r w:rsidR="00A710D9" w:rsidRPr="003C379E">
        <w:rPr>
          <w:rFonts w:ascii="Cambria" w:hAnsi="Cambria"/>
          <w:bCs/>
          <w:sz w:val="20"/>
          <w:szCs w:val="20"/>
          <w:lang w:val="es-ES"/>
        </w:rPr>
        <w:t xml:space="preserve"> </w:t>
      </w:r>
      <w:r w:rsidR="00E162A5" w:rsidRPr="003C379E">
        <w:rPr>
          <w:rFonts w:ascii="Cambria" w:hAnsi="Cambria"/>
          <w:bCs/>
          <w:sz w:val="20"/>
          <w:szCs w:val="20"/>
          <w:lang w:val="es-ES"/>
        </w:rPr>
        <w:t>idóneo</w:t>
      </w:r>
      <w:r w:rsidR="00A710D9" w:rsidRPr="003C379E">
        <w:rPr>
          <w:rFonts w:ascii="Cambria" w:hAnsi="Cambria"/>
          <w:bCs/>
          <w:sz w:val="20"/>
          <w:szCs w:val="20"/>
          <w:lang w:val="es-ES"/>
        </w:rPr>
        <w:t xml:space="preserve">, </w:t>
      </w:r>
      <w:r w:rsidR="00B05EA6" w:rsidRPr="003C379E">
        <w:rPr>
          <w:rFonts w:ascii="Cambria" w:hAnsi="Cambria"/>
          <w:bCs/>
          <w:sz w:val="20"/>
          <w:szCs w:val="20"/>
          <w:lang w:val="es-ES"/>
        </w:rPr>
        <w:t>pues</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D33B39" w:rsidRPr="003C379E">
        <w:rPr>
          <w:rFonts w:ascii="Cambria" w:hAnsi="Cambria"/>
          <w:bCs/>
          <w:sz w:val="20"/>
          <w:szCs w:val="20"/>
          <w:lang w:val="es-ES"/>
        </w:rPr>
        <w:t xml:space="preserve"> </w:t>
      </w:r>
      <w:r w:rsidR="00E524CB" w:rsidRPr="003C379E">
        <w:rPr>
          <w:rFonts w:ascii="Cambria" w:hAnsi="Cambria"/>
          <w:bCs/>
          <w:sz w:val="20"/>
          <w:szCs w:val="20"/>
          <w:lang w:val="es-ES"/>
        </w:rPr>
        <w:t>Superior Tribunal Federal (el “</w:t>
      </w:r>
      <w:r w:rsidR="00D33B39" w:rsidRPr="003C379E">
        <w:rPr>
          <w:rFonts w:ascii="Cambria" w:hAnsi="Cambria"/>
          <w:bCs/>
          <w:sz w:val="20"/>
          <w:szCs w:val="20"/>
          <w:lang w:val="es-ES"/>
        </w:rPr>
        <w:t>STF</w:t>
      </w:r>
      <w:r w:rsidR="00E524CB" w:rsidRPr="003C379E">
        <w:rPr>
          <w:rFonts w:ascii="Cambria" w:hAnsi="Cambria"/>
          <w:bCs/>
          <w:sz w:val="20"/>
          <w:szCs w:val="20"/>
          <w:lang w:val="es-ES"/>
        </w:rPr>
        <w:t>”)</w:t>
      </w:r>
      <w:r w:rsidR="00626089">
        <w:rPr>
          <w:rFonts w:ascii="Cambria" w:hAnsi="Cambria"/>
          <w:bCs/>
          <w:sz w:val="20"/>
          <w:szCs w:val="20"/>
          <w:lang w:val="es-ES"/>
        </w:rPr>
        <w:t xml:space="preserve"> </w:t>
      </w:r>
      <w:r w:rsidR="00B05EA6" w:rsidRPr="003C379E">
        <w:rPr>
          <w:rFonts w:ascii="Cambria" w:hAnsi="Cambria"/>
          <w:bCs/>
          <w:sz w:val="20"/>
          <w:szCs w:val="20"/>
          <w:lang w:val="es-ES"/>
        </w:rPr>
        <w:t>ya</w:t>
      </w:r>
      <w:r w:rsidR="00D33B39" w:rsidRPr="003C379E">
        <w:rPr>
          <w:rFonts w:ascii="Cambria" w:hAnsi="Cambria"/>
          <w:bCs/>
          <w:sz w:val="20"/>
          <w:szCs w:val="20"/>
          <w:lang w:val="es-ES"/>
        </w:rPr>
        <w:t xml:space="preserve"> </w:t>
      </w:r>
      <w:r w:rsidR="00714411" w:rsidRPr="003C379E">
        <w:rPr>
          <w:rFonts w:ascii="Cambria" w:hAnsi="Cambria"/>
          <w:bCs/>
          <w:sz w:val="20"/>
          <w:szCs w:val="20"/>
          <w:lang w:val="es-ES"/>
        </w:rPr>
        <w:t xml:space="preserve">se </w:t>
      </w:r>
      <w:r w:rsidR="00D33B39" w:rsidRPr="003C379E">
        <w:rPr>
          <w:rFonts w:ascii="Cambria" w:hAnsi="Cambria"/>
          <w:bCs/>
          <w:sz w:val="20"/>
          <w:szCs w:val="20"/>
          <w:lang w:val="es-ES"/>
        </w:rPr>
        <w:t>ha</w:t>
      </w:r>
      <w:r w:rsidR="00B30B5A" w:rsidRPr="003C379E">
        <w:rPr>
          <w:rFonts w:ascii="Cambria" w:hAnsi="Cambria"/>
          <w:bCs/>
          <w:sz w:val="20"/>
          <w:szCs w:val="20"/>
          <w:lang w:val="es-ES"/>
        </w:rPr>
        <w:t>bí</w:t>
      </w:r>
      <w:r w:rsidR="00D33B39" w:rsidRPr="003C379E">
        <w:rPr>
          <w:rFonts w:ascii="Cambria" w:hAnsi="Cambria"/>
          <w:bCs/>
          <w:sz w:val="20"/>
          <w:szCs w:val="20"/>
          <w:lang w:val="es-ES"/>
        </w:rPr>
        <w:t xml:space="preserve">a pronunciado sobre </w:t>
      </w:r>
      <w:r w:rsidR="009115EB" w:rsidRPr="003C379E">
        <w:rPr>
          <w:rFonts w:ascii="Cambria" w:hAnsi="Cambria"/>
          <w:bCs/>
          <w:sz w:val="20"/>
          <w:szCs w:val="20"/>
          <w:lang w:val="es-ES"/>
        </w:rPr>
        <w:t>otr</w:t>
      </w:r>
      <w:r w:rsidR="00D33B39" w:rsidRPr="003C379E">
        <w:rPr>
          <w:rFonts w:ascii="Cambria" w:hAnsi="Cambria"/>
          <w:bCs/>
          <w:sz w:val="20"/>
          <w:szCs w:val="20"/>
          <w:lang w:val="es-ES"/>
        </w:rPr>
        <w:t xml:space="preserve">os casos que </w:t>
      </w:r>
      <w:r w:rsidR="00C308DF" w:rsidRPr="003C379E">
        <w:rPr>
          <w:rFonts w:ascii="Cambria" w:hAnsi="Cambria"/>
          <w:bCs/>
          <w:sz w:val="20"/>
          <w:szCs w:val="20"/>
          <w:lang w:val="es-ES"/>
        </w:rPr>
        <w:t>involucraban</w:t>
      </w:r>
      <w:r w:rsidR="00B05EA6" w:rsidRPr="003C379E">
        <w:rPr>
          <w:rFonts w:ascii="Cambria" w:hAnsi="Cambria"/>
          <w:bCs/>
          <w:sz w:val="20"/>
          <w:szCs w:val="20"/>
          <w:lang w:val="es-ES"/>
        </w:rPr>
        <w:t xml:space="preserve"> </w:t>
      </w:r>
      <w:r w:rsidR="009115EB" w:rsidRPr="003C379E">
        <w:rPr>
          <w:rFonts w:ascii="Cambria" w:hAnsi="Cambria"/>
          <w:bCs/>
          <w:sz w:val="20"/>
          <w:szCs w:val="20"/>
          <w:lang w:val="es-ES"/>
        </w:rPr>
        <w:t>el</w:t>
      </w:r>
      <w:r w:rsidR="00D33B39" w:rsidRPr="003C379E">
        <w:rPr>
          <w:rFonts w:ascii="Cambria" w:hAnsi="Cambria"/>
          <w:bCs/>
          <w:sz w:val="20"/>
          <w:szCs w:val="20"/>
          <w:lang w:val="es-ES"/>
        </w:rPr>
        <w:t xml:space="preserve"> </w:t>
      </w:r>
      <w:r w:rsidR="00B05EA6" w:rsidRPr="003C379E">
        <w:rPr>
          <w:rFonts w:ascii="Cambria" w:hAnsi="Cambria"/>
          <w:bCs/>
          <w:sz w:val="20"/>
          <w:szCs w:val="20"/>
          <w:lang w:val="es-ES"/>
        </w:rPr>
        <w:t>delito de desacato</w:t>
      </w:r>
      <w:r w:rsidR="00D33B39" w:rsidRPr="003C379E">
        <w:rPr>
          <w:rFonts w:ascii="Cambria" w:hAnsi="Cambria"/>
          <w:bCs/>
          <w:sz w:val="20"/>
          <w:szCs w:val="20"/>
          <w:lang w:val="es-ES"/>
        </w:rPr>
        <w:t>, refor</w:t>
      </w:r>
      <w:r w:rsidR="00BF6A21" w:rsidRPr="003C379E">
        <w:rPr>
          <w:rFonts w:ascii="Cambria" w:hAnsi="Cambria"/>
          <w:bCs/>
          <w:sz w:val="20"/>
          <w:szCs w:val="20"/>
          <w:lang w:val="es-ES"/>
        </w:rPr>
        <w:t>z</w:t>
      </w:r>
      <w:r w:rsidR="00D33B39" w:rsidRPr="003C379E">
        <w:rPr>
          <w:rFonts w:ascii="Cambria" w:hAnsi="Cambria"/>
          <w:bCs/>
          <w:sz w:val="20"/>
          <w:szCs w:val="20"/>
          <w:lang w:val="es-ES"/>
        </w:rPr>
        <w:t xml:space="preserve">ando </w:t>
      </w:r>
      <w:r w:rsidR="00BF6A21" w:rsidRPr="003C379E">
        <w:rPr>
          <w:rFonts w:ascii="Cambria" w:hAnsi="Cambria"/>
          <w:bCs/>
          <w:sz w:val="20"/>
          <w:szCs w:val="20"/>
          <w:lang w:val="es-ES"/>
        </w:rPr>
        <w:t>l</w:t>
      </w:r>
      <w:r w:rsidR="00D33B39" w:rsidRPr="003C379E">
        <w:rPr>
          <w:rFonts w:ascii="Cambria" w:hAnsi="Cambria"/>
          <w:bCs/>
          <w:sz w:val="20"/>
          <w:szCs w:val="20"/>
          <w:lang w:val="es-ES"/>
        </w:rPr>
        <w:t xml:space="preserve">a condena </w:t>
      </w:r>
      <w:r w:rsidR="009115EB" w:rsidRPr="003C379E">
        <w:rPr>
          <w:rFonts w:ascii="Cambria" w:hAnsi="Cambria"/>
          <w:bCs/>
          <w:sz w:val="20"/>
          <w:szCs w:val="20"/>
          <w:lang w:val="es-ES"/>
        </w:rPr>
        <w:t>de los</w:t>
      </w:r>
      <w:r w:rsidR="00D33B39" w:rsidRPr="003C379E">
        <w:rPr>
          <w:rFonts w:ascii="Cambria" w:hAnsi="Cambria"/>
          <w:bCs/>
          <w:sz w:val="20"/>
          <w:szCs w:val="20"/>
          <w:lang w:val="es-ES"/>
        </w:rPr>
        <w:t xml:space="preserve"> </w:t>
      </w:r>
      <w:r w:rsidR="00714411" w:rsidRPr="003C379E">
        <w:rPr>
          <w:rFonts w:ascii="Cambria" w:hAnsi="Cambria"/>
          <w:bCs/>
          <w:sz w:val="20"/>
          <w:szCs w:val="20"/>
          <w:lang w:val="es-ES"/>
        </w:rPr>
        <w:t>acusados</w:t>
      </w:r>
      <w:r w:rsidR="00D33B39" w:rsidRPr="003C379E">
        <w:rPr>
          <w:rFonts w:ascii="Cambria" w:hAnsi="Cambria"/>
          <w:bCs/>
          <w:sz w:val="20"/>
          <w:szCs w:val="20"/>
          <w:lang w:val="es-ES"/>
        </w:rPr>
        <w:t xml:space="preserve">. Alega </w:t>
      </w:r>
      <w:r w:rsidR="00714411" w:rsidRPr="003C379E">
        <w:rPr>
          <w:rFonts w:ascii="Cambria" w:hAnsi="Cambria"/>
          <w:bCs/>
          <w:sz w:val="20"/>
          <w:szCs w:val="20"/>
          <w:lang w:val="es-ES"/>
        </w:rPr>
        <w:t xml:space="preserve">que no se agotó </w:t>
      </w:r>
      <w:r w:rsidR="00B6265D" w:rsidRPr="003C379E">
        <w:rPr>
          <w:rFonts w:ascii="Cambria" w:hAnsi="Cambria"/>
          <w:bCs/>
          <w:sz w:val="20"/>
          <w:szCs w:val="20"/>
          <w:lang w:val="es-ES"/>
        </w:rPr>
        <w:t>la</w:t>
      </w:r>
      <w:r w:rsidR="00D33B39" w:rsidRPr="003C379E">
        <w:rPr>
          <w:rFonts w:ascii="Cambria" w:hAnsi="Cambria"/>
          <w:bCs/>
          <w:sz w:val="20"/>
          <w:szCs w:val="20"/>
          <w:lang w:val="es-ES"/>
        </w:rPr>
        <w:t xml:space="preserve"> revi</w:t>
      </w:r>
      <w:r w:rsidR="009115EB" w:rsidRPr="003C379E">
        <w:rPr>
          <w:rFonts w:ascii="Cambria" w:hAnsi="Cambria"/>
          <w:bCs/>
          <w:sz w:val="20"/>
          <w:szCs w:val="20"/>
          <w:lang w:val="es-ES"/>
        </w:rPr>
        <w:t>sión</w:t>
      </w:r>
      <w:r w:rsidR="00D33B39" w:rsidRPr="003C379E">
        <w:rPr>
          <w:rFonts w:ascii="Cambria" w:hAnsi="Cambria"/>
          <w:bCs/>
          <w:sz w:val="20"/>
          <w:szCs w:val="20"/>
          <w:lang w:val="es-ES"/>
        </w:rPr>
        <w:t xml:space="preserve"> </w:t>
      </w:r>
      <w:r w:rsidR="00714411" w:rsidRPr="003C379E">
        <w:rPr>
          <w:rFonts w:ascii="Cambria" w:hAnsi="Cambria"/>
          <w:bCs/>
          <w:sz w:val="20"/>
          <w:szCs w:val="20"/>
          <w:lang w:val="es-ES"/>
        </w:rPr>
        <w:t>penal</w:t>
      </w:r>
      <w:r w:rsidR="00D33B39" w:rsidRPr="003C379E">
        <w:rPr>
          <w:rFonts w:ascii="Cambria" w:hAnsi="Cambria"/>
          <w:bCs/>
          <w:sz w:val="20"/>
          <w:szCs w:val="20"/>
          <w:lang w:val="es-ES"/>
        </w:rPr>
        <w:t xml:space="preserve">, </w:t>
      </w:r>
      <w:r w:rsidR="00B05EA6" w:rsidRPr="003C379E">
        <w:rPr>
          <w:rFonts w:ascii="Cambria" w:hAnsi="Cambria"/>
          <w:bCs/>
          <w:sz w:val="20"/>
          <w:szCs w:val="20"/>
          <w:lang w:val="es-ES"/>
        </w:rPr>
        <w:t>pues</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es</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un</w:t>
      </w:r>
      <w:r w:rsidR="00D33B39" w:rsidRPr="003C379E">
        <w:rPr>
          <w:rFonts w:ascii="Cambria" w:hAnsi="Cambria"/>
          <w:bCs/>
          <w:sz w:val="20"/>
          <w:szCs w:val="20"/>
          <w:lang w:val="es-ES"/>
        </w:rPr>
        <w:t xml:space="preserve"> recurso </w:t>
      </w:r>
      <w:r w:rsidR="009115EB" w:rsidRPr="003C379E">
        <w:rPr>
          <w:rFonts w:ascii="Cambria" w:hAnsi="Cambria"/>
          <w:bCs/>
          <w:sz w:val="20"/>
          <w:szCs w:val="20"/>
          <w:lang w:val="es-ES"/>
        </w:rPr>
        <w:t>efectiv</w:t>
      </w:r>
      <w:r w:rsidR="00D33B39" w:rsidRPr="003C379E">
        <w:rPr>
          <w:rFonts w:ascii="Cambria" w:hAnsi="Cambria"/>
          <w:bCs/>
          <w:sz w:val="20"/>
          <w:szCs w:val="20"/>
          <w:lang w:val="es-ES"/>
        </w:rPr>
        <w:t xml:space="preserve">o, </w:t>
      </w:r>
      <w:r w:rsidR="00B05EA6" w:rsidRPr="003C379E">
        <w:rPr>
          <w:rFonts w:ascii="Cambria" w:hAnsi="Cambria"/>
          <w:bCs/>
          <w:sz w:val="20"/>
          <w:szCs w:val="20"/>
          <w:lang w:val="es-ES"/>
        </w:rPr>
        <w:t>ya</w:t>
      </w:r>
      <w:r w:rsidR="00D33B39" w:rsidRPr="003C379E">
        <w:rPr>
          <w:rFonts w:ascii="Cambria" w:hAnsi="Cambria"/>
          <w:bCs/>
          <w:sz w:val="20"/>
          <w:szCs w:val="20"/>
          <w:lang w:val="es-ES"/>
        </w:rPr>
        <w:t xml:space="preserve"> que se destina a </w:t>
      </w:r>
      <w:r w:rsidR="00BF6A21" w:rsidRPr="003C379E">
        <w:rPr>
          <w:rFonts w:ascii="Cambria" w:hAnsi="Cambria"/>
          <w:bCs/>
          <w:sz w:val="20"/>
          <w:szCs w:val="20"/>
          <w:lang w:val="es-ES"/>
        </w:rPr>
        <w:t>corregir</w:t>
      </w:r>
      <w:r w:rsidR="00D33B39" w:rsidRPr="003C379E">
        <w:rPr>
          <w:rFonts w:ascii="Cambria" w:hAnsi="Cambria"/>
          <w:bCs/>
          <w:sz w:val="20"/>
          <w:szCs w:val="20"/>
          <w:lang w:val="es-ES"/>
        </w:rPr>
        <w:t xml:space="preserve"> erro</w:t>
      </w:r>
      <w:r w:rsidR="00BF6A21" w:rsidRPr="003C379E">
        <w:rPr>
          <w:rFonts w:ascii="Cambria" w:hAnsi="Cambria"/>
          <w:bCs/>
          <w:sz w:val="20"/>
          <w:szCs w:val="20"/>
          <w:lang w:val="es-ES"/>
        </w:rPr>
        <w:t>re</w:t>
      </w:r>
      <w:r w:rsidR="00D33B39" w:rsidRPr="003C379E">
        <w:rPr>
          <w:rFonts w:ascii="Cambria" w:hAnsi="Cambria"/>
          <w:bCs/>
          <w:sz w:val="20"/>
          <w:szCs w:val="20"/>
          <w:lang w:val="es-ES"/>
        </w:rPr>
        <w:t xml:space="preserve">s graves </w:t>
      </w:r>
      <w:r w:rsidR="009115EB" w:rsidRPr="003C379E">
        <w:rPr>
          <w:rFonts w:ascii="Cambria" w:hAnsi="Cambria"/>
          <w:bCs/>
          <w:sz w:val="20"/>
          <w:szCs w:val="20"/>
          <w:lang w:val="es-ES"/>
        </w:rPr>
        <w:t>de la</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sentencia</w:t>
      </w:r>
      <w:r w:rsidR="00D33B39" w:rsidRPr="003C379E">
        <w:rPr>
          <w:rFonts w:ascii="Cambria" w:hAnsi="Cambria"/>
          <w:bCs/>
          <w:sz w:val="20"/>
          <w:szCs w:val="20"/>
          <w:lang w:val="es-ES"/>
        </w:rPr>
        <w:t xml:space="preserve"> condenat</w:t>
      </w:r>
      <w:r w:rsidR="00B05EA6" w:rsidRPr="003C379E">
        <w:rPr>
          <w:rFonts w:ascii="Cambria" w:hAnsi="Cambria"/>
          <w:bCs/>
          <w:sz w:val="20"/>
          <w:szCs w:val="20"/>
          <w:lang w:val="es-ES"/>
        </w:rPr>
        <w:t>oria</w:t>
      </w:r>
      <w:r w:rsidR="00D33B39" w:rsidRPr="003C379E">
        <w:rPr>
          <w:rFonts w:ascii="Cambria" w:hAnsi="Cambria"/>
          <w:bCs/>
          <w:sz w:val="20"/>
          <w:szCs w:val="20"/>
          <w:lang w:val="es-ES"/>
        </w:rPr>
        <w:t xml:space="preserve">, </w:t>
      </w:r>
      <w:r w:rsidR="00714411" w:rsidRPr="003C379E">
        <w:rPr>
          <w:rFonts w:ascii="Cambria" w:hAnsi="Cambria"/>
          <w:bCs/>
          <w:sz w:val="20"/>
          <w:szCs w:val="20"/>
          <w:lang w:val="es-ES"/>
        </w:rPr>
        <w:t xml:space="preserve">y </w:t>
      </w:r>
      <w:r w:rsidR="009115EB" w:rsidRPr="003C379E">
        <w:rPr>
          <w:rFonts w:ascii="Cambria" w:hAnsi="Cambria"/>
          <w:bCs/>
          <w:sz w:val="20"/>
          <w:szCs w:val="20"/>
          <w:lang w:val="es-ES"/>
        </w:rPr>
        <w:t>no</w:t>
      </w:r>
      <w:r w:rsidR="00D33B39" w:rsidRPr="003C379E">
        <w:rPr>
          <w:rFonts w:ascii="Cambria" w:hAnsi="Cambria"/>
          <w:bCs/>
          <w:sz w:val="20"/>
          <w:szCs w:val="20"/>
          <w:lang w:val="es-ES"/>
        </w:rPr>
        <w:t xml:space="preserve"> </w:t>
      </w:r>
      <w:r w:rsidR="00A9072C" w:rsidRPr="003C379E">
        <w:rPr>
          <w:rFonts w:ascii="Cambria" w:hAnsi="Cambria"/>
          <w:bCs/>
          <w:sz w:val="20"/>
          <w:szCs w:val="20"/>
          <w:lang w:val="es-ES"/>
        </w:rPr>
        <w:t xml:space="preserve">a </w:t>
      </w:r>
      <w:r w:rsidR="00D33B39" w:rsidRPr="003C379E">
        <w:rPr>
          <w:rFonts w:ascii="Cambria" w:hAnsi="Cambria"/>
          <w:bCs/>
          <w:sz w:val="20"/>
          <w:szCs w:val="20"/>
          <w:lang w:val="es-ES"/>
        </w:rPr>
        <w:t xml:space="preserve">examinar </w:t>
      </w:r>
      <w:r w:rsidR="00BF6A21" w:rsidRPr="003C379E">
        <w:rPr>
          <w:rFonts w:ascii="Cambria" w:hAnsi="Cambria"/>
          <w:bCs/>
          <w:sz w:val="20"/>
          <w:szCs w:val="20"/>
          <w:lang w:val="es-ES"/>
        </w:rPr>
        <w:t>l</w:t>
      </w:r>
      <w:r w:rsidR="00D33B39" w:rsidRPr="003C379E">
        <w:rPr>
          <w:rFonts w:ascii="Cambria" w:hAnsi="Cambria"/>
          <w:bCs/>
          <w:sz w:val="20"/>
          <w:szCs w:val="20"/>
          <w:lang w:val="es-ES"/>
        </w:rPr>
        <w:t xml:space="preserve">a </w:t>
      </w:r>
      <w:r w:rsidR="00FB4AA8" w:rsidRPr="003C379E">
        <w:rPr>
          <w:rFonts w:ascii="Cambria" w:hAnsi="Cambria"/>
          <w:bCs/>
          <w:sz w:val="20"/>
          <w:szCs w:val="20"/>
          <w:lang w:val="es-ES"/>
        </w:rPr>
        <w:t xml:space="preserve">no </w:t>
      </w:r>
      <w:r w:rsidR="00D33B39" w:rsidRPr="003C379E">
        <w:rPr>
          <w:rFonts w:ascii="Cambria" w:hAnsi="Cambria"/>
          <w:bCs/>
          <w:sz w:val="20"/>
          <w:szCs w:val="20"/>
          <w:lang w:val="es-ES"/>
        </w:rPr>
        <w:t>convencionali</w:t>
      </w:r>
      <w:r w:rsidR="009115EB" w:rsidRPr="003C379E">
        <w:rPr>
          <w:rFonts w:ascii="Cambria" w:hAnsi="Cambria"/>
          <w:bCs/>
          <w:sz w:val="20"/>
          <w:szCs w:val="20"/>
          <w:lang w:val="es-ES"/>
        </w:rPr>
        <w:t>dad del</w:t>
      </w:r>
      <w:r w:rsidR="00D33B39" w:rsidRPr="003C379E">
        <w:rPr>
          <w:rFonts w:ascii="Cambria" w:hAnsi="Cambria"/>
          <w:bCs/>
          <w:sz w:val="20"/>
          <w:szCs w:val="20"/>
          <w:lang w:val="es-ES"/>
        </w:rPr>
        <w:t xml:space="preserve"> </w:t>
      </w:r>
      <w:r w:rsidR="00B05EA6" w:rsidRPr="003C379E">
        <w:rPr>
          <w:rFonts w:ascii="Cambria" w:hAnsi="Cambria"/>
          <w:bCs/>
          <w:sz w:val="20"/>
          <w:szCs w:val="20"/>
          <w:lang w:val="es-ES"/>
        </w:rPr>
        <w:t>delito de desacato</w:t>
      </w:r>
      <w:r w:rsidR="00D33B39" w:rsidRPr="003C379E">
        <w:rPr>
          <w:rFonts w:ascii="Cambria" w:hAnsi="Cambria"/>
          <w:bCs/>
          <w:sz w:val="20"/>
          <w:szCs w:val="20"/>
          <w:lang w:val="es-ES"/>
        </w:rPr>
        <w:t>. Adu</w:t>
      </w:r>
      <w:r w:rsidR="00936896" w:rsidRPr="003C379E">
        <w:rPr>
          <w:rFonts w:ascii="Cambria" w:hAnsi="Cambria"/>
          <w:bCs/>
          <w:sz w:val="20"/>
          <w:szCs w:val="20"/>
          <w:lang w:val="es-ES"/>
        </w:rPr>
        <w:t>ce</w:t>
      </w:r>
      <w:r w:rsidR="00D33B39" w:rsidRPr="003C379E">
        <w:rPr>
          <w:rFonts w:ascii="Cambria" w:hAnsi="Cambria"/>
          <w:bCs/>
          <w:sz w:val="20"/>
          <w:szCs w:val="20"/>
          <w:lang w:val="es-ES"/>
        </w:rPr>
        <w:t xml:space="preserve"> que </w:t>
      </w:r>
      <w:r w:rsidR="00B6265D" w:rsidRPr="003C379E">
        <w:rPr>
          <w:rFonts w:ascii="Cambria" w:hAnsi="Cambria"/>
          <w:bCs/>
          <w:sz w:val="20"/>
          <w:szCs w:val="20"/>
          <w:lang w:val="es-ES"/>
        </w:rPr>
        <w:t>la</w:t>
      </w:r>
      <w:r w:rsidR="00D33B39" w:rsidRPr="003C379E">
        <w:rPr>
          <w:rFonts w:ascii="Cambria" w:hAnsi="Cambria"/>
          <w:bCs/>
          <w:sz w:val="20"/>
          <w:szCs w:val="20"/>
          <w:lang w:val="es-ES"/>
        </w:rPr>
        <w:t xml:space="preserve"> </w:t>
      </w:r>
      <w:r w:rsidR="00B6265D" w:rsidRPr="003C379E">
        <w:rPr>
          <w:rFonts w:ascii="Cambria" w:hAnsi="Cambria"/>
          <w:bCs/>
          <w:sz w:val="20"/>
          <w:szCs w:val="20"/>
          <w:lang w:val="es-ES"/>
        </w:rPr>
        <w:t>condena</w:t>
      </w:r>
      <w:r w:rsidR="00D33B39" w:rsidRPr="003C379E">
        <w:rPr>
          <w:rFonts w:ascii="Cambria" w:hAnsi="Cambria"/>
          <w:bCs/>
          <w:sz w:val="20"/>
          <w:szCs w:val="20"/>
          <w:lang w:val="es-ES"/>
        </w:rPr>
        <w:t xml:space="preserve"> </w:t>
      </w:r>
      <w:r w:rsidR="00936896" w:rsidRPr="003C379E">
        <w:rPr>
          <w:rFonts w:ascii="Cambria" w:hAnsi="Cambria"/>
          <w:bCs/>
          <w:sz w:val="20"/>
          <w:szCs w:val="20"/>
          <w:lang w:val="es-ES"/>
        </w:rPr>
        <w:t>penal</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D33B39" w:rsidRPr="003C379E">
        <w:rPr>
          <w:rFonts w:ascii="Cambria" w:hAnsi="Cambria"/>
          <w:bCs/>
          <w:sz w:val="20"/>
          <w:szCs w:val="20"/>
          <w:lang w:val="es-ES"/>
        </w:rPr>
        <w:t xml:space="preserve"> </w:t>
      </w:r>
      <w:r w:rsidR="00B04C63" w:rsidRPr="003C379E">
        <w:rPr>
          <w:rFonts w:ascii="Cambria" w:hAnsi="Cambria"/>
          <w:bCs/>
          <w:sz w:val="20"/>
          <w:szCs w:val="20"/>
          <w:lang w:val="es-ES"/>
        </w:rPr>
        <w:t>puede</w:t>
      </w:r>
      <w:r w:rsidR="00D33B39" w:rsidRPr="003C379E">
        <w:rPr>
          <w:rFonts w:ascii="Cambria" w:hAnsi="Cambria"/>
          <w:bCs/>
          <w:sz w:val="20"/>
          <w:szCs w:val="20"/>
          <w:lang w:val="es-ES"/>
        </w:rPr>
        <w:t xml:space="preserve"> </w:t>
      </w:r>
      <w:r w:rsidR="00936896" w:rsidRPr="003C379E">
        <w:rPr>
          <w:rFonts w:ascii="Cambria" w:hAnsi="Cambria"/>
          <w:bCs/>
          <w:sz w:val="20"/>
          <w:szCs w:val="20"/>
          <w:lang w:val="es-ES"/>
        </w:rPr>
        <w:t>discutirse</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en la</w:t>
      </w:r>
      <w:r w:rsidR="00D33B39" w:rsidRPr="003C379E">
        <w:rPr>
          <w:rFonts w:ascii="Cambria" w:hAnsi="Cambria"/>
          <w:bCs/>
          <w:sz w:val="20"/>
          <w:szCs w:val="20"/>
          <w:lang w:val="es-ES"/>
        </w:rPr>
        <w:t xml:space="preserve"> esfera civil. Finalmente,</w:t>
      </w:r>
      <w:r w:rsidR="009115EB" w:rsidRPr="003C379E">
        <w:rPr>
          <w:rFonts w:ascii="Cambria" w:hAnsi="Cambria"/>
          <w:bCs/>
          <w:sz w:val="20"/>
          <w:szCs w:val="20"/>
          <w:lang w:val="es-ES"/>
        </w:rPr>
        <w:t xml:space="preserve"> </w:t>
      </w:r>
      <w:r w:rsidR="00B04C63" w:rsidRPr="003C379E">
        <w:rPr>
          <w:rFonts w:ascii="Cambria" w:hAnsi="Cambria"/>
          <w:bCs/>
          <w:sz w:val="20"/>
          <w:szCs w:val="20"/>
          <w:lang w:val="es-ES"/>
        </w:rPr>
        <w:t>la</w:t>
      </w:r>
      <w:r w:rsidR="00C95A33" w:rsidRPr="003C379E">
        <w:rPr>
          <w:rFonts w:ascii="Cambria" w:hAnsi="Cambria"/>
          <w:bCs/>
          <w:sz w:val="20"/>
          <w:szCs w:val="20"/>
          <w:lang w:val="es-ES"/>
        </w:rPr>
        <w:t xml:space="preserve"> parte peticionaria</w:t>
      </w:r>
      <w:r w:rsidR="00D33B39" w:rsidRPr="003C379E">
        <w:rPr>
          <w:rFonts w:ascii="Cambria" w:hAnsi="Cambria"/>
          <w:bCs/>
          <w:sz w:val="20"/>
          <w:szCs w:val="20"/>
          <w:lang w:val="es-ES"/>
        </w:rPr>
        <w:t xml:space="preserve"> requ</w:t>
      </w:r>
      <w:r w:rsidR="00C308DF" w:rsidRPr="003C379E">
        <w:rPr>
          <w:rFonts w:ascii="Cambria" w:hAnsi="Cambria"/>
          <w:bCs/>
          <w:sz w:val="20"/>
          <w:szCs w:val="20"/>
          <w:lang w:val="es-ES"/>
        </w:rPr>
        <w:t>i</w:t>
      </w:r>
      <w:r w:rsidR="00D33B39" w:rsidRPr="003C379E">
        <w:rPr>
          <w:rFonts w:ascii="Cambria" w:hAnsi="Cambria"/>
          <w:bCs/>
          <w:sz w:val="20"/>
          <w:szCs w:val="20"/>
          <w:lang w:val="es-ES"/>
        </w:rPr>
        <w:t>er</w:t>
      </w:r>
      <w:r w:rsidR="00C308DF" w:rsidRPr="003C379E">
        <w:rPr>
          <w:rFonts w:ascii="Cambria" w:hAnsi="Cambria"/>
          <w:bCs/>
          <w:sz w:val="20"/>
          <w:szCs w:val="20"/>
          <w:lang w:val="es-ES"/>
        </w:rPr>
        <w:t>e</w:t>
      </w:r>
      <w:r w:rsidR="00D33B39"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D33B39" w:rsidRPr="003C379E">
        <w:rPr>
          <w:rFonts w:ascii="Cambria" w:hAnsi="Cambria"/>
          <w:bCs/>
          <w:sz w:val="20"/>
          <w:szCs w:val="20"/>
          <w:lang w:val="es-ES"/>
        </w:rPr>
        <w:t xml:space="preserve"> </w:t>
      </w:r>
      <w:r w:rsidR="00650202" w:rsidRPr="003C379E">
        <w:rPr>
          <w:rFonts w:ascii="Cambria" w:hAnsi="Cambria"/>
          <w:bCs/>
          <w:sz w:val="20"/>
          <w:szCs w:val="20"/>
          <w:lang w:val="es-ES"/>
        </w:rPr>
        <w:t>acumulación</w:t>
      </w:r>
      <w:r w:rsidR="00AF6C46" w:rsidRPr="003C379E">
        <w:rPr>
          <w:rFonts w:ascii="Cambria" w:hAnsi="Cambria"/>
          <w:bCs/>
          <w:sz w:val="20"/>
          <w:szCs w:val="20"/>
          <w:lang w:val="es-ES"/>
        </w:rPr>
        <w:t xml:space="preserve"> </w:t>
      </w:r>
      <w:r w:rsidR="009115EB" w:rsidRPr="003C379E">
        <w:rPr>
          <w:rFonts w:ascii="Cambria" w:hAnsi="Cambria"/>
          <w:bCs/>
          <w:sz w:val="20"/>
          <w:szCs w:val="20"/>
          <w:lang w:val="es-ES"/>
        </w:rPr>
        <w:t>de la</w:t>
      </w:r>
      <w:r w:rsidR="00D33B39" w:rsidRPr="003C379E">
        <w:rPr>
          <w:rFonts w:ascii="Cambria" w:hAnsi="Cambria"/>
          <w:bCs/>
          <w:sz w:val="20"/>
          <w:szCs w:val="20"/>
          <w:lang w:val="es-ES"/>
        </w:rPr>
        <w:t xml:space="preserve"> peti</w:t>
      </w:r>
      <w:r w:rsidR="009115EB" w:rsidRPr="003C379E">
        <w:rPr>
          <w:rFonts w:ascii="Cambria" w:hAnsi="Cambria"/>
          <w:bCs/>
          <w:sz w:val="20"/>
          <w:szCs w:val="20"/>
          <w:lang w:val="es-ES"/>
        </w:rPr>
        <w:t>ción</w:t>
      </w:r>
      <w:r w:rsidR="00D33B39" w:rsidRPr="003C379E">
        <w:rPr>
          <w:rFonts w:ascii="Cambria" w:hAnsi="Cambria"/>
          <w:bCs/>
          <w:sz w:val="20"/>
          <w:szCs w:val="20"/>
          <w:lang w:val="es-ES"/>
        </w:rPr>
        <w:t xml:space="preserve"> </w:t>
      </w:r>
      <w:r w:rsidR="005A7636" w:rsidRPr="003C379E">
        <w:rPr>
          <w:rFonts w:ascii="Cambria" w:hAnsi="Cambria"/>
          <w:bCs/>
          <w:sz w:val="20"/>
          <w:szCs w:val="20"/>
          <w:lang w:val="es-ES"/>
        </w:rPr>
        <w:t>que se encuentra en</w:t>
      </w:r>
      <w:r w:rsidR="00D33B39" w:rsidRPr="003C379E">
        <w:rPr>
          <w:rFonts w:ascii="Cambria" w:hAnsi="Cambria"/>
          <w:bCs/>
          <w:sz w:val="20"/>
          <w:szCs w:val="20"/>
          <w:lang w:val="es-ES"/>
        </w:rPr>
        <w:t xml:space="preserve"> </w:t>
      </w:r>
      <w:r w:rsidR="00B05EA6" w:rsidRPr="003C379E">
        <w:rPr>
          <w:rFonts w:ascii="Cambria" w:hAnsi="Cambria"/>
          <w:bCs/>
          <w:sz w:val="20"/>
          <w:szCs w:val="20"/>
          <w:lang w:val="es-ES"/>
        </w:rPr>
        <w:t>examen</w:t>
      </w:r>
      <w:r w:rsidR="00D33B39" w:rsidRPr="003C379E">
        <w:rPr>
          <w:rFonts w:ascii="Cambria" w:hAnsi="Cambria"/>
          <w:bCs/>
          <w:sz w:val="20"/>
          <w:szCs w:val="20"/>
          <w:lang w:val="es-ES"/>
        </w:rPr>
        <w:t xml:space="preserve"> </w:t>
      </w:r>
      <w:r w:rsidR="005A7636" w:rsidRPr="003C379E">
        <w:rPr>
          <w:rFonts w:ascii="Cambria" w:hAnsi="Cambria"/>
          <w:bCs/>
          <w:sz w:val="20"/>
          <w:szCs w:val="20"/>
          <w:lang w:val="es-ES"/>
        </w:rPr>
        <w:t xml:space="preserve">con </w:t>
      </w:r>
      <w:r w:rsidR="009115EB" w:rsidRPr="003C379E">
        <w:rPr>
          <w:rFonts w:ascii="Cambria" w:hAnsi="Cambria"/>
          <w:bCs/>
          <w:sz w:val="20"/>
          <w:szCs w:val="20"/>
          <w:lang w:val="es-ES"/>
        </w:rPr>
        <w:t>la</w:t>
      </w:r>
      <w:r w:rsidR="004C18F2" w:rsidRPr="003C379E">
        <w:rPr>
          <w:rFonts w:ascii="Cambria" w:hAnsi="Cambria"/>
          <w:bCs/>
          <w:sz w:val="20"/>
          <w:szCs w:val="20"/>
          <w:lang w:val="es-ES"/>
        </w:rPr>
        <w:t xml:space="preserve"> P</w:t>
      </w:r>
      <w:r w:rsidR="004C18F2" w:rsidRPr="003C379E">
        <w:rPr>
          <w:rFonts w:ascii="Cambria" w:hAnsi="Cambria"/>
          <w:bCs/>
          <w:sz w:val="20"/>
          <w:szCs w:val="20"/>
          <w:lang w:val="es-ES"/>
        </w:rPr>
        <w:noBreakHyphen/>
      </w:r>
      <w:r w:rsidR="00D33B39" w:rsidRPr="003C379E">
        <w:rPr>
          <w:rFonts w:ascii="Cambria" w:hAnsi="Cambria"/>
          <w:bCs/>
          <w:sz w:val="20"/>
          <w:szCs w:val="20"/>
          <w:lang w:val="es-ES"/>
        </w:rPr>
        <w:t xml:space="preserve">1500-12, </w:t>
      </w:r>
      <w:r w:rsidR="00B05EA6" w:rsidRPr="003C379E">
        <w:rPr>
          <w:rFonts w:ascii="Cambria" w:hAnsi="Cambria"/>
          <w:bCs/>
          <w:sz w:val="20"/>
          <w:szCs w:val="20"/>
          <w:lang w:val="es-ES"/>
        </w:rPr>
        <w:t>pues</w:t>
      </w:r>
      <w:r w:rsidR="00D33B39" w:rsidRPr="003C379E">
        <w:rPr>
          <w:rFonts w:ascii="Cambria" w:hAnsi="Cambria"/>
          <w:bCs/>
          <w:sz w:val="20"/>
          <w:szCs w:val="20"/>
          <w:lang w:val="es-ES"/>
        </w:rPr>
        <w:t xml:space="preserve"> amb</w:t>
      </w:r>
      <w:r w:rsidR="005A7636" w:rsidRPr="003C379E">
        <w:rPr>
          <w:rFonts w:ascii="Cambria" w:hAnsi="Cambria"/>
          <w:bCs/>
          <w:sz w:val="20"/>
          <w:szCs w:val="20"/>
          <w:lang w:val="es-ES"/>
        </w:rPr>
        <w:t>a</w:t>
      </w:r>
      <w:r w:rsidR="00D33B39" w:rsidRPr="003C379E">
        <w:rPr>
          <w:rFonts w:ascii="Cambria" w:hAnsi="Cambria"/>
          <w:bCs/>
          <w:sz w:val="20"/>
          <w:szCs w:val="20"/>
          <w:lang w:val="es-ES"/>
        </w:rPr>
        <w:t>s abord</w:t>
      </w:r>
      <w:r w:rsidR="00B05EA6" w:rsidRPr="003C379E">
        <w:rPr>
          <w:rFonts w:ascii="Cambria" w:hAnsi="Cambria"/>
          <w:bCs/>
          <w:sz w:val="20"/>
          <w:szCs w:val="20"/>
          <w:lang w:val="es-ES"/>
        </w:rPr>
        <w:t xml:space="preserve">an </w:t>
      </w:r>
      <w:r w:rsidR="00B6265D" w:rsidRPr="003C379E">
        <w:rPr>
          <w:rFonts w:ascii="Cambria" w:hAnsi="Cambria"/>
          <w:bCs/>
          <w:sz w:val="20"/>
          <w:szCs w:val="20"/>
          <w:lang w:val="es-ES"/>
        </w:rPr>
        <w:t>la</w:t>
      </w:r>
      <w:r w:rsidR="00D33B39" w:rsidRPr="003C379E">
        <w:rPr>
          <w:rFonts w:ascii="Cambria" w:hAnsi="Cambria"/>
          <w:bCs/>
          <w:sz w:val="20"/>
          <w:szCs w:val="20"/>
          <w:lang w:val="es-ES"/>
        </w:rPr>
        <w:t xml:space="preserve"> criminaliza</w:t>
      </w:r>
      <w:r w:rsidR="009115EB" w:rsidRPr="003C379E">
        <w:rPr>
          <w:rFonts w:ascii="Cambria" w:hAnsi="Cambria"/>
          <w:bCs/>
          <w:sz w:val="20"/>
          <w:szCs w:val="20"/>
          <w:lang w:val="es-ES"/>
        </w:rPr>
        <w:t>ción</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del</w:t>
      </w:r>
      <w:r w:rsidR="00D33B39" w:rsidRPr="003C379E">
        <w:rPr>
          <w:rFonts w:ascii="Cambria" w:hAnsi="Cambria"/>
          <w:bCs/>
          <w:sz w:val="20"/>
          <w:szCs w:val="20"/>
          <w:lang w:val="es-ES"/>
        </w:rPr>
        <w:t xml:space="preserve"> desacato </w:t>
      </w:r>
      <w:r w:rsidR="009115EB" w:rsidRPr="003C379E">
        <w:rPr>
          <w:rFonts w:ascii="Cambria" w:hAnsi="Cambria"/>
          <w:bCs/>
          <w:sz w:val="20"/>
          <w:szCs w:val="20"/>
          <w:lang w:val="es-ES"/>
        </w:rPr>
        <w:t>y</w:t>
      </w:r>
      <w:r w:rsidR="00D33B39" w:rsidRPr="003C379E">
        <w:rPr>
          <w:rFonts w:ascii="Cambria" w:hAnsi="Cambria"/>
          <w:bCs/>
          <w:sz w:val="20"/>
          <w:szCs w:val="20"/>
          <w:lang w:val="es-ES"/>
        </w:rPr>
        <w:t xml:space="preserve"> </w:t>
      </w:r>
      <w:r w:rsidR="00FB4AA8" w:rsidRPr="003C379E">
        <w:rPr>
          <w:rFonts w:ascii="Cambria" w:hAnsi="Cambria"/>
          <w:bCs/>
          <w:sz w:val="20"/>
          <w:szCs w:val="20"/>
          <w:lang w:val="es-ES"/>
        </w:rPr>
        <w:t>su consecuente</w:t>
      </w:r>
      <w:r w:rsidR="00D33B39" w:rsidRPr="003C379E">
        <w:rPr>
          <w:rFonts w:ascii="Cambria" w:hAnsi="Cambria"/>
          <w:bCs/>
          <w:sz w:val="20"/>
          <w:szCs w:val="20"/>
          <w:lang w:val="es-ES"/>
        </w:rPr>
        <w:t xml:space="preserve"> impacto </w:t>
      </w:r>
      <w:r w:rsidR="009115EB" w:rsidRPr="003C379E">
        <w:rPr>
          <w:rFonts w:ascii="Cambria" w:hAnsi="Cambria"/>
          <w:bCs/>
          <w:sz w:val="20"/>
          <w:szCs w:val="20"/>
          <w:lang w:val="es-ES"/>
        </w:rPr>
        <w:t>en la</w:t>
      </w:r>
      <w:r w:rsidR="00D33B39" w:rsidRPr="003C379E">
        <w:rPr>
          <w:rFonts w:ascii="Cambria" w:hAnsi="Cambria"/>
          <w:bCs/>
          <w:sz w:val="20"/>
          <w:szCs w:val="20"/>
          <w:lang w:val="es-ES"/>
        </w:rPr>
        <w:t xml:space="preserve"> </w:t>
      </w:r>
      <w:r w:rsidR="009115EB" w:rsidRPr="003C379E">
        <w:rPr>
          <w:rFonts w:ascii="Cambria" w:hAnsi="Cambria"/>
          <w:bCs/>
          <w:sz w:val="20"/>
          <w:szCs w:val="20"/>
          <w:lang w:val="es-ES"/>
        </w:rPr>
        <w:t xml:space="preserve">libertad </w:t>
      </w:r>
      <w:r w:rsidR="00D33B39" w:rsidRPr="003C379E">
        <w:rPr>
          <w:rFonts w:ascii="Cambria" w:hAnsi="Cambria"/>
          <w:bCs/>
          <w:sz w:val="20"/>
          <w:szCs w:val="20"/>
          <w:lang w:val="es-ES"/>
        </w:rPr>
        <w:t>de expre</w:t>
      </w:r>
      <w:r w:rsidR="009115EB" w:rsidRPr="003C379E">
        <w:rPr>
          <w:rFonts w:ascii="Cambria" w:hAnsi="Cambria"/>
          <w:bCs/>
          <w:sz w:val="20"/>
          <w:szCs w:val="20"/>
          <w:lang w:val="es-ES"/>
        </w:rPr>
        <w:t>sión</w:t>
      </w:r>
      <w:r w:rsidR="00D33B39" w:rsidRPr="003C379E">
        <w:rPr>
          <w:rFonts w:ascii="Cambria" w:hAnsi="Cambria"/>
          <w:bCs/>
          <w:sz w:val="20"/>
          <w:szCs w:val="20"/>
          <w:lang w:val="es-ES"/>
        </w:rPr>
        <w:t>.</w:t>
      </w:r>
    </w:p>
    <w:p w14:paraId="19D2BAE2" w14:textId="4FB1C704" w:rsidR="0098062B" w:rsidRPr="003C379E" w:rsidRDefault="009115EB" w:rsidP="0098062B">
      <w:pPr>
        <w:numPr>
          <w:ilvl w:val="0"/>
          <w:numId w:val="103"/>
        </w:numPr>
        <w:suppressAutoHyphens/>
        <w:spacing w:after="240"/>
        <w:jc w:val="both"/>
        <w:rPr>
          <w:rFonts w:ascii="Cambria" w:hAnsi="Cambria"/>
          <w:sz w:val="20"/>
          <w:szCs w:val="20"/>
          <w:lang w:val="es-ES"/>
        </w:rPr>
      </w:pPr>
      <w:r w:rsidRPr="003C379E">
        <w:rPr>
          <w:rFonts w:ascii="Cambria" w:hAnsi="Cambria"/>
          <w:sz w:val="20"/>
          <w:szCs w:val="20"/>
          <w:lang w:val="es-ES"/>
        </w:rPr>
        <w:t>E</w:t>
      </w:r>
      <w:r w:rsidR="00BF6A21" w:rsidRPr="003C379E">
        <w:rPr>
          <w:rFonts w:ascii="Cambria" w:hAnsi="Cambria"/>
          <w:sz w:val="20"/>
          <w:szCs w:val="20"/>
          <w:lang w:val="es-ES"/>
        </w:rPr>
        <w:t>l</w:t>
      </w:r>
      <w:r w:rsidR="00CE2826" w:rsidRPr="003C379E">
        <w:rPr>
          <w:rFonts w:ascii="Cambria" w:hAnsi="Cambria"/>
          <w:sz w:val="20"/>
          <w:szCs w:val="20"/>
          <w:lang w:val="es-ES"/>
        </w:rPr>
        <w:t xml:space="preserve"> Estado </w:t>
      </w:r>
      <w:r w:rsidR="001E7113" w:rsidRPr="003C379E">
        <w:rPr>
          <w:rFonts w:ascii="Cambria" w:hAnsi="Cambria"/>
          <w:sz w:val="20"/>
          <w:szCs w:val="20"/>
          <w:lang w:val="es-ES"/>
        </w:rPr>
        <w:t xml:space="preserve">afirma que </w:t>
      </w:r>
      <w:r w:rsidR="00F9055E" w:rsidRPr="003C379E">
        <w:rPr>
          <w:rFonts w:ascii="Cambria" w:hAnsi="Cambria"/>
          <w:sz w:val="20"/>
          <w:szCs w:val="20"/>
          <w:lang w:val="es-ES"/>
        </w:rPr>
        <w:t xml:space="preserve">nunca restringió </w:t>
      </w:r>
      <w:r w:rsidR="00B6265D" w:rsidRPr="003C379E">
        <w:rPr>
          <w:rFonts w:ascii="Cambria" w:hAnsi="Cambria"/>
          <w:sz w:val="20"/>
          <w:szCs w:val="20"/>
          <w:lang w:val="es-ES"/>
        </w:rPr>
        <w:t>la</w:t>
      </w:r>
      <w:r w:rsidR="001E7113" w:rsidRPr="003C379E">
        <w:rPr>
          <w:rFonts w:ascii="Cambria" w:hAnsi="Cambria"/>
          <w:sz w:val="20"/>
          <w:szCs w:val="20"/>
          <w:lang w:val="es-ES"/>
        </w:rPr>
        <w:t xml:space="preserve"> </w:t>
      </w:r>
      <w:r w:rsidRPr="003C379E">
        <w:rPr>
          <w:rFonts w:ascii="Cambria" w:hAnsi="Cambria"/>
          <w:sz w:val="20"/>
          <w:szCs w:val="20"/>
          <w:lang w:val="es-ES"/>
        </w:rPr>
        <w:t>libertad persona</w:t>
      </w:r>
      <w:r w:rsidR="001E7113" w:rsidRPr="003C379E">
        <w:rPr>
          <w:rFonts w:ascii="Cambria" w:hAnsi="Cambria"/>
          <w:sz w:val="20"/>
          <w:szCs w:val="20"/>
          <w:lang w:val="es-ES"/>
        </w:rPr>
        <w:t xml:space="preserve">l </w:t>
      </w:r>
      <w:r w:rsidRPr="003C379E">
        <w:rPr>
          <w:rFonts w:ascii="Cambria" w:hAnsi="Cambria"/>
          <w:sz w:val="20"/>
          <w:szCs w:val="20"/>
          <w:lang w:val="es-ES"/>
        </w:rPr>
        <w:t>de la</w:t>
      </w:r>
      <w:r w:rsidR="001E7113" w:rsidRPr="003C379E">
        <w:rPr>
          <w:rFonts w:ascii="Cambria" w:hAnsi="Cambria"/>
          <w:sz w:val="20"/>
          <w:szCs w:val="20"/>
          <w:lang w:val="es-ES"/>
        </w:rPr>
        <w:t xml:space="preserve"> </w:t>
      </w:r>
      <w:r w:rsidR="00B05EA6" w:rsidRPr="003C379E">
        <w:rPr>
          <w:rFonts w:ascii="Cambria" w:hAnsi="Cambria"/>
          <w:sz w:val="20"/>
          <w:szCs w:val="20"/>
          <w:lang w:val="es-ES"/>
        </w:rPr>
        <w:t>presunta v</w:t>
      </w:r>
      <w:r w:rsidRPr="003C379E">
        <w:rPr>
          <w:rFonts w:ascii="Cambria" w:hAnsi="Cambria"/>
          <w:sz w:val="20"/>
          <w:szCs w:val="20"/>
          <w:lang w:val="es-ES"/>
        </w:rPr>
        <w:t>íctima</w:t>
      </w:r>
      <w:r w:rsidR="001E7113" w:rsidRPr="003C379E">
        <w:rPr>
          <w:rFonts w:ascii="Cambria" w:hAnsi="Cambria"/>
          <w:sz w:val="20"/>
          <w:szCs w:val="20"/>
          <w:lang w:val="es-ES"/>
        </w:rPr>
        <w:t xml:space="preserve">, </w:t>
      </w:r>
      <w:r w:rsidR="00B05EA6" w:rsidRPr="003C379E">
        <w:rPr>
          <w:rFonts w:ascii="Cambria" w:hAnsi="Cambria"/>
          <w:sz w:val="20"/>
          <w:szCs w:val="20"/>
          <w:lang w:val="es-ES"/>
        </w:rPr>
        <w:t>pues</w:t>
      </w:r>
      <w:r w:rsidR="001E7113" w:rsidRPr="003C379E">
        <w:rPr>
          <w:rFonts w:ascii="Cambria" w:hAnsi="Cambria"/>
          <w:sz w:val="20"/>
          <w:szCs w:val="20"/>
          <w:lang w:val="es-ES"/>
        </w:rPr>
        <w:t xml:space="preserve"> </w:t>
      </w:r>
      <w:r w:rsidR="00F9055E" w:rsidRPr="003C379E">
        <w:rPr>
          <w:rFonts w:ascii="Cambria" w:hAnsi="Cambria"/>
          <w:sz w:val="20"/>
          <w:szCs w:val="20"/>
          <w:lang w:val="es-ES"/>
        </w:rPr>
        <w:t>se condenó a</w:t>
      </w:r>
      <w:r w:rsidRPr="003C379E">
        <w:rPr>
          <w:rFonts w:ascii="Cambria" w:hAnsi="Cambria"/>
          <w:sz w:val="20"/>
          <w:szCs w:val="20"/>
          <w:lang w:val="es-ES"/>
        </w:rPr>
        <w:t>l</w:t>
      </w:r>
      <w:r w:rsidR="001E7113" w:rsidRPr="003C379E">
        <w:rPr>
          <w:rFonts w:ascii="Cambria" w:hAnsi="Cambria"/>
          <w:sz w:val="20"/>
          <w:szCs w:val="20"/>
          <w:lang w:val="es-ES"/>
        </w:rPr>
        <w:t xml:space="preserve"> Sr. Starling a pagar </w:t>
      </w:r>
      <w:r w:rsidR="00F9055E" w:rsidRPr="003C379E">
        <w:rPr>
          <w:rFonts w:ascii="Cambria" w:hAnsi="Cambria"/>
          <w:sz w:val="20"/>
          <w:szCs w:val="20"/>
          <w:lang w:val="es-ES"/>
        </w:rPr>
        <w:t xml:space="preserve">una </w:t>
      </w:r>
      <w:r w:rsidR="001E7113" w:rsidRPr="003C379E">
        <w:rPr>
          <w:rFonts w:ascii="Cambria" w:hAnsi="Cambria"/>
          <w:sz w:val="20"/>
          <w:szCs w:val="20"/>
          <w:lang w:val="es-ES"/>
        </w:rPr>
        <w:t xml:space="preserve">multa </w:t>
      </w:r>
      <w:r w:rsidR="00F9055E" w:rsidRPr="003C379E">
        <w:rPr>
          <w:rFonts w:ascii="Cambria" w:hAnsi="Cambria"/>
          <w:sz w:val="20"/>
          <w:szCs w:val="20"/>
          <w:lang w:val="es-ES"/>
        </w:rPr>
        <w:t>por</w:t>
      </w:r>
      <w:r w:rsidRPr="003C379E">
        <w:rPr>
          <w:rFonts w:ascii="Cambria" w:hAnsi="Cambria"/>
          <w:sz w:val="20"/>
          <w:szCs w:val="20"/>
          <w:lang w:val="es-ES"/>
        </w:rPr>
        <w:t xml:space="preserve"> el</w:t>
      </w:r>
      <w:r w:rsidR="001E7113" w:rsidRPr="003C379E">
        <w:rPr>
          <w:rFonts w:ascii="Cambria" w:hAnsi="Cambria"/>
          <w:sz w:val="20"/>
          <w:szCs w:val="20"/>
          <w:lang w:val="es-ES"/>
        </w:rPr>
        <w:t xml:space="preserve"> valor de R$ 100,00 (c</w:t>
      </w:r>
      <w:r w:rsidR="00BF6A21" w:rsidRPr="003C379E">
        <w:rPr>
          <w:rFonts w:ascii="Cambria" w:hAnsi="Cambria"/>
          <w:sz w:val="20"/>
          <w:szCs w:val="20"/>
          <w:lang w:val="es-ES"/>
        </w:rPr>
        <w:t>i</w:t>
      </w:r>
      <w:r w:rsidRPr="003C379E">
        <w:rPr>
          <w:rFonts w:ascii="Cambria" w:hAnsi="Cambria"/>
          <w:sz w:val="20"/>
          <w:szCs w:val="20"/>
          <w:lang w:val="es-ES"/>
        </w:rPr>
        <w:t xml:space="preserve">en </w:t>
      </w:r>
      <w:r w:rsidR="001E7113" w:rsidRPr="003C379E">
        <w:rPr>
          <w:rFonts w:ascii="Cambria" w:hAnsi="Cambria"/>
          <w:sz w:val="20"/>
          <w:szCs w:val="20"/>
          <w:lang w:val="es-ES"/>
        </w:rPr>
        <w:t>re</w:t>
      </w:r>
      <w:r w:rsidR="00B05EA6" w:rsidRPr="003C379E">
        <w:rPr>
          <w:rFonts w:ascii="Cambria" w:hAnsi="Cambria"/>
          <w:sz w:val="20"/>
          <w:szCs w:val="20"/>
          <w:lang w:val="es-ES"/>
        </w:rPr>
        <w:t>ales)</w:t>
      </w:r>
      <w:r w:rsidR="001E7113" w:rsidRPr="003C379E">
        <w:rPr>
          <w:rFonts w:ascii="Cambria" w:hAnsi="Cambria"/>
          <w:sz w:val="20"/>
          <w:szCs w:val="20"/>
          <w:lang w:val="es-ES"/>
        </w:rPr>
        <w:t xml:space="preserve">, valor </w:t>
      </w:r>
      <w:r w:rsidR="00BF6A21" w:rsidRPr="003C379E">
        <w:rPr>
          <w:rFonts w:ascii="Cambria" w:hAnsi="Cambria"/>
          <w:sz w:val="20"/>
          <w:szCs w:val="20"/>
          <w:lang w:val="es-ES"/>
        </w:rPr>
        <w:t>irrisorio</w:t>
      </w:r>
      <w:r w:rsidR="001E7113" w:rsidRPr="003C379E">
        <w:rPr>
          <w:rFonts w:ascii="Cambria" w:hAnsi="Cambria"/>
          <w:sz w:val="20"/>
          <w:szCs w:val="20"/>
          <w:lang w:val="es-ES"/>
        </w:rPr>
        <w:t xml:space="preserve"> fi</w:t>
      </w:r>
      <w:r w:rsidR="00BF6A21" w:rsidRPr="003C379E">
        <w:rPr>
          <w:rFonts w:ascii="Cambria" w:hAnsi="Cambria"/>
          <w:sz w:val="20"/>
          <w:szCs w:val="20"/>
          <w:lang w:val="es-ES"/>
        </w:rPr>
        <w:t>j</w:t>
      </w:r>
      <w:r w:rsidR="001E7113" w:rsidRPr="003C379E">
        <w:rPr>
          <w:rFonts w:ascii="Cambria" w:hAnsi="Cambria"/>
          <w:sz w:val="20"/>
          <w:szCs w:val="20"/>
          <w:lang w:val="es-ES"/>
        </w:rPr>
        <w:t xml:space="preserve">ado </w:t>
      </w:r>
      <w:r w:rsidRPr="003C379E">
        <w:rPr>
          <w:rFonts w:ascii="Cambria" w:hAnsi="Cambria"/>
          <w:sz w:val="20"/>
          <w:szCs w:val="20"/>
          <w:lang w:val="es-ES"/>
        </w:rPr>
        <w:t>en el</w:t>
      </w:r>
      <w:r w:rsidR="001E7113" w:rsidRPr="003C379E">
        <w:rPr>
          <w:rFonts w:ascii="Cambria" w:hAnsi="Cambria"/>
          <w:sz w:val="20"/>
          <w:szCs w:val="20"/>
          <w:lang w:val="es-ES"/>
        </w:rPr>
        <w:t xml:space="preserve"> mínimo legal</w:t>
      </w:r>
      <w:r w:rsidR="00CE2826" w:rsidRPr="003C379E">
        <w:rPr>
          <w:rFonts w:ascii="Cambria" w:hAnsi="Cambria"/>
          <w:sz w:val="20"/>
          <w:szCs w:val="20"/>
          <w:lang w:val="es-ES"/>
        </w:rPr>
        <w:t>.</w:t>
      </w:r>
      <w:r w:rsidR="001E7113" w:rsidRPr="003C379E">
        <w:rPr>
          <w:rFonts w:ascii="Cambria" w:hAnsi="Cambria"/>
          <w:sz w:val="20"/>
          <w:szCs w:val="20"/>
          <w:lang w:val="es-ES"/>
        </w:rPr>
        <w:t xml:space="preserve"> </w:t>
      </w:r>
      <w:r w:rsidR="00F9055E" w:rsidRPr="003C379E">
        <w:rPr>
          <w:rFonts w:ascii="Cambria" w:hAnsi="Cambria"/>
          <w:sz w:val="20"/>
          <w:szCs w:val="20"/>
          <w:lang w:val="es-ES"/>
        </w:rPr>
        <w:t xml:space="preserve">Sostiene </w:t>
      </w:r>
      <w:r w:rsidR="001E7113" w:rsidRPr="003C379E">
        <w:rPr>
          <w:rFonts w:ascii="Cambria" w:hAnsi="Cambria"/>
          <w:sz w:val="20"/>
          <w:szCs w:val="20"/>
          <w:lang w:val="es-ES"/>
        </w:rPr>
        <w:t xml:space="preserve">que </w:t>
      </w:r>
      <w:r w:rsidR="00B6265D" w:rsidRPr="003C379E">
        <w:rPr>
          <w:rFonts w:ascii="Cambria" w:hAnsi="Cambria"/>
          <w:sz w:val="20"/>
          <w:szCs w:val="20"/>
          <w:lang w:val="es-ES"/>
        </w:rPr>
        <w:t>la</w:t>
      </w:r>
      <w:r w:rsidR="00A710D9" w:rsidRPr="003C379E">
        <w:rPr>
          <w:rFonts w:ascii="Cambria" w:hAnsi="Cambria"/>
          <w:sz w:val="20"/>
          <w:szCs w:val="20"/>
          <w:lang w:val="es-ES"/>
        </w:rPr>
        <w:t xml:space="preserve"> </w:t>
      </w:r>
      <w:r w:rsidR="00B6265D" w:rsidRPr="003C379E">
        <w:rPr>
          <w:rFonts w:ascii="Cambria" w:hAnsi="Cambria"/>
          <w:sz w:val="20"/>
          <w:szCs w:val="20"/>
          <w:lang w:val="es-ES"/>
        </w:rPr>
        <w:t>condena</w:t>
      </w:r>
      <w:r w:rsidR="00A710D9" w:rsidRPr="003C379E">
        <w:rPr>
          <w:rFonts w:ascii="Cambria" w:hAnsi="Cambria"/>
          <w:sz w:val="20"/>
          <w:szCs w:val="20"/>
          <w:lang w:val="es-ES"/>
        </w:rPr>
        <w:t xml:space="preserve"> se d</w:t>
      </w:r>
      <w:r w:rsidR="00F9055E" w:rsidRPr="003C379E">
        <w:rPr>
          <w:rFonts w:ascii="Cambria" w:hAnsi="Cambria"/>
          <w:sz w:val="20"/>
          <w:szCs w:val="20"/>
          <w:lang w:val="es-ES"/>
        </w:rPr>
        <w:t>io</w:t>
      </w:r>
      <w:r w:rsidR="00A710D9" w:rsidRPr="003C379E">
        <w:rPr>
          <w:rFonts w:ascii="Cambria" w:hAnsi="Cambria"/>
          <w:sz w:val="20"/>
          <w:szCs w:val="20"/>
          <w:lang w:val="es-ES"/>
        </w:rPr>
        <w:t xml:space="preserve"> </w:t>
      </w:r>
      <w:r w:rsidRPr="003C379E">
        <w:rPr>
          <w:rFonts w:ascii="Cambria" w:hAnsi="Cambria"/>
          <w:sz w:val="20"/>
          <w:szCs w:val="20"/>
          <w:lang w:val="es-ES"/>
        </w:rPr>
        <w:t>por el</w:t>
      </w:r>
      <w:r w:rsidR="00A710D9" w:rsidRPr="003C379E">
        <w:rPr>
          <w:rFonts w:ascii="Cambria" w:hAnsi="Cambria"/>
          <w:sz w:val="20"/>
          <w:szCs w:val="20"/>
          <w:lang w:val="es-ES"/>
        </w:rPr>
        <w:t xml:space="preserve"> </w:t>
      </w:r>
      <w:r w:rsidR="00B05EA6" w:rsidRPr="003C379E">
        <w:rPr>
          <w:rFonts w:ascii="Cambria" w:hAnsi="Cambria"/>
          <w:sz w:val="20"/>
          <w:szCs w:val="20"/>
          <w:lang w:val="es-ES"/>
        </w:rPr>
        <w:t>hecho</w:t>
      </w:r>
      <w:r w:rsidR="00A710D9" w:rsidRPr="003C379E">
        <w:rPr>
          <w:rFonts w:ascii="Cambria" w:hAnsi="Cambria"/>
          <w:sz w:val="20"/>
          <w:szCs w:val="20"/>
          <w:lang w:val="es-ES"/>
        </w:rPr>
        <w:t xml:space="preserve"> de que </w:t>
      </w:r>
      <w:r w:rsidR="00B6265D" w:rsidRPr="003C379E">
        <w:rPr>
          <w:rFonts w:ascii="Cambria" w:hAnsi="Cambria"/>
          <w:sz w:val="20"/>
          <w:szCs w:val="20"/>
          <w:lang w:val="es-ES"/>
        </w:rPr>
        <w:t>la</w:t>
      </w:r>
      <w:r w:rsidR="00A710D9" w:rsidRPr="003C379E">
        <w:rPr>
          <w:rFonts w:ascii="Cambria" w:hAnsi="Cambria"/>
          <w:sz w:val="20"/>
          <w:szCs w:val="20"/>
          <w:lang w:val="es-ES"/>
        </w:rPr>
        <w:t xml:space="preserve"> </w:t>
      </w:r>
      <w:r w:rsidR="00B05EA6" w:rsidRPr="003C379E">
        <w:rPr>
          <w:rFonts w:ascii="Cambria" w:hAnsi="Cambria"/>
          <w:sz w:val="20"/>
          <w:szCs w:val="20"/>
          <w:lang w:val="es-ES"/>
        </w:rPr>
        <w:t>presunta v</w:t>
      </w:r>
      <w:r w:rsidRPr="003C379E">
        <w:rPr>
          <w:rFonts w:ascii="Cambria" w:hAnsi="Cambria"/>
          <w:sz w:val="20"/>
          <w:szCs w:val="20"/>
          <w:lang w:val="es-ES"/>
        </w:rPr>
        <w:t>íctima</w:t>
      </w:r>
      <w:r w:rsidR="00A710D9" w:rsidRPr="003C379E">
        <w:rPr>
          <w:rFonts w:ascii="Cambria" w:hAnsi="Cambria"/>
          <w:sz w:val="20"/>
          <w:szCs w:val="20"/>
          <w:lang w:val="es-ES"/>
        </w:rPr>
        <w:t xml:space="preserve"> </w:t>
      </w:r>
      <w:r w:rsidR="00F9055E" w:rsidRPr="003C379E">
        <w:rPr>
          <w:rFonts w:ascii="Cambria" w:hAnsi="Cambria"/>
          <w:sz w:val="20"/>
          <w:szCs w:val="20"/>
          <w:lang w:val="es-ES"/>
        </w:rPr>
        <w:t>incumplió</w:t>
      </w:r>
      <w:r w:rsidR="00A710D9" w:rsidRPr="003C379E">
        <w:rPr>
          <w:rFonts w:ascii="Cambria" w:hAnsi="Cambria"/>
          <w:sz w:val="20"/>
          <w:szCs w:val="20"/>
          <w:lang w:val="es-ES"/>
        </w:rPr>
        <w:t xml:space="preserve"> </w:t>
      </w:r>
      <w:r w:rsidRPr="003C379E">
        <w:rPr>
          <w:rFonts w:ascii="Cambria" w:hAnsi="Cambria"/>
          <w:sz w:val="20"/>
          <w:szCs w:val="20"/>
          <w:lang w:val="es-ES"/>
        </w:rPr>
        <w:t>los</w:t>
      </w:r>
      <w:r w:rsidR="00A710D9" w:rsidRPr="003C379E">
        <w:rPr>
          <w:rFonts w:ascii="Cambria" w:hAnsi="Cambria"/>
          <w:sz w:val="20"/>
          <w:szCs w:val="20"/>
          <w:lang w:val="es-ES"/>
        </w:rPr>
        <w:t xml:space="preserve"> </w:t>
      </w:r>
      <w:r w:rsidR="00BF6A21" w:rsidRPr="003C379E">
        <w:rPr>
          <w:rFonts w:ascii="Cambria" w:hAnsi="Cambria"/>
          <w:sz w:val="20"/>
          <w:szCs w:val="20"/>
          <w:lang w:val="es-ES"/>
        </w:rPr>
        <w:t>términos</w:t>
      </w:r>
      <w:r w:rsidR="00A710D9" w:rsidRPr="003C379E">
        <w:rPr>
          <w:rFonts w:ascii="Cambria" w:hAnsi="Cambria"/>
          <w:sz w:val="20"/>
          <w:szCs w:val="20"/>
          <w:lang w:val="es-ES"/>
        </w:rPr>
        <w:t xml:space="preserve"> </w:t>
      </w:r>
      <w:r w:rsidRPr="003C379E">
        <w:rPr>
          <w:rFonts w:ascii="Cambria" w:hAnsi="Cambria"/>
          <w:sz w:val="20"/>
          <w:szCs w:val="20"/>
          <w:lang w:val="es-ES"/>
        </w:rPr>
        <w:t>del</w:t>
      </w:r>
      <w:r w:rsidR="00A710D9" w:rsidRPr="003C379E">
        <w:rPr>
          <w:rFonts w:ascii="Cambria" w:hAnsi="Cambria"/>
          <w:sz w:val="20"/>
          <w:szCs w:val="20"/>
          <w:lang w:val="es-ES"/>
        </w:rPr>
        <w:t xml:space="preserve"> ac</w:t>
      </w:r>
      <w:r w:rsidR="00BF6A21" w:rsidRPr="003C379E">
        <w:rPr>
          <w:rFonts w:ascii="Cambria" w:hAnsi="Cambria"/>
          <w:sz w:val="20"/>
          <w:szCs w:val="20"/>
          <w:lang w:val="es-ES"/>
        </w:rPr>
        <w:t>ue</w:t>
      </w:r>
      <w:r w:rsidR="00A710D9" w:rsidRPr="003C379E">
        <w:rPr>
          <w:rFonts w:ascii="Cambria" w:hAnsi="Cambria"/>
          <w:sz w:val="20"/>
          <w:szCs w:val="20"/>
          <w:lang w:val="es-ES"/>
        </w:rPr>
        <w:t>rdo de suspen</w:t>
      </w:r>
      <w:r w:rsidRPr="003C379E">
        <w:rPr>
          <w:rFonts w:ascii="Cambria" w:hAnsi="Cambria"/>
          <w:sz w:val="20"/>
          <w:szCs w:val="20"/>
          <w:lang w:val="es-ES"/>
        </w:rPr>
        <w:t>sión</w:t>
      </w:r>
      <w:r w:rsidR="00A710D9" w:rsidRPr="003C379E">
        <w:rPr>
          <w:rFonts w:ascii="Cambria" w:hAnsi="Cambria"/>
          <w:sz w:val="20"/>
          <w:szCs w:val="20"/>
          <w:lang w:val="es-ES"/>
        </w:rPr>
        <w:t xml:space="preserve"> condicional </w:t>
      </w:r>
      <w:r w:rsidRPr="003C379E">
        <w:rPr>
          <w:rFonts w:ascii="Cambria" w:hAnsi="Cambria"/>
          <w:sz w:val="20"/>
          <w:szCs w:val="20"/>
          <w:lang w:val="es-ES"/>
        </w:rPr>
        <w:t>del</w:t>
      </w:r>
      <w:r w:rsidR="00A710D9" w:rsidRPr="003C379E">
        <w:rPr>
          <w:rFonts w:ascii="Cambria" w:hAnsi="Cambria"/>
          <w:sz w:val="20"/>
          <w:szCs w:val="20"/>
          <w:lang w:val="es-ES"/>
        </w:rPr>
        <w:t xml:space="preserve"> proce</w:t>
      </w:r>
      <w:r w:rsidR="00B05EA6" w:rsidRPr="003C379E">
        <w:rPr>
          <w:rFonts w:ascii="Cambria" w:hAnsi="Cambria"/>
          <w:sz w:val="20"/>
          <w:szCs w:val="20"/>
          <w:lang w:val="es-ES"/>
        </w:rPr>
        <w:t>s</w:t>
      </w:r>
      <w:r w:rsidR="00A710D9" w:rsidRPr="003C379E">
        <w:rPr>
          <w:rFonts w:ascii="Cambria" w:hAnsi="Cambria"/>
          <w:sz w:val="20"/>
          <w:szCs w:val="20"/>
          <w:lang w:val="es-ES"/>
        </w:rPr>
        <w:t>o.</w:t>
      </w:r>
      <w:r w:rsidR="00CE2826" w:rsidRPr="003C379E">
        <w:rPr>
          <w:rFonts w:ascii="Cambria" w:hAnsi="Cambria"/>
          <w:sz w:val="20"/>
          <w:szCs w:val="20"/>
          <w:lang w:val="es-ES"/>
        </w:rPr>
        <w:t xml:space="preserve"> Alega que </w:t>
      </w:r>
      <w:r w:rsidR="00015A8C" w:rsidRPr="003C379E">
        <w:rPr>
          <w:rFonts w:ascii="Cambria" w:hAnsi="Cambria"/>
          <w:sz w:val="20"/>
          <w:szCs w:val="20"/>
          <w:lang w:val="es-ES"/>
        </w:rPr>
        <w:t xml:space="preserve">no se agotaron los </w:t>
      </w:r>
      <w:r w:rsidR="00C308DF" w:rsidRPr="003C379E">
        <w:rPr>
          <w:rFonts w:ascii="Cambria" w:hAnsi="Cambria"/>
          <w:sz w:val="20"/>
          <w:szCs w:val="20"/>
          <w:lang w:val="es-ES"/>
        </w:rPr>
        <w:t>recursos internos</w:t>
      </w:r>
      <w:r w:rsidR="00CE2826" w:rsidRPr="003C379E">
        <w:rPr>
          <w:rFonts w:ascii="Cambria" w:hAnsi="Cambria"/>
          <w:sz w:val="20"/>
          <w:szCs w:val="20"/>
          <w:lang w:val="es-ES"/>
        </w:rPr>
        <w:t xml:space="preserve">, </w:t>
      </w:r>
      <w:r w:rsidR="00015A8C" w:rsidRPr="003C379E">
        <w:rPr>
          <w:rFonts w:ascii="Cambria" w:hAnsi="Cambria"/>
          <w:sz w:val="20"/>
          <w:szCs w:val="20"/>
          <w:lang w:val="es-ES"/>
        </w:rPr>
        <w:t xml:space="preserve">dado que </w:t>
      </w:r>
      <w:r w:rsidRPr="003C379E">
        <w:rPr>
          <w:rFonts w:ascii="Cambria" w:hAnsi="Cambria"/>
          <w:sz w:val="20"/>
          <w:szCs w:val="20"/>
          <w:lang w:val="es-ES"/>
        </w:rPr>
        <w:t>no</w:t>
      </w:r>
      <w:r w:rsidR="00CE2826" w:rsidRPr="003C379E">
        <w:rPr>
          <w:rFonts w:ascii="Cambria" w:hAnsi="Cambria"/>
          <w:sz w:val="20"/>
          <w:szCs w:val="20"/>
          <w:lang w:val="es-ES"/>
        </w:rPr>
        <w:t xml:space="preserve"> </w:t>
      </w:r>
      <w:r w:rsidR="00C308DF" w:rsidRPr="003C379E">
        <w:rPr>
          <w:rFonts w:ascii="Cambria" w:hAnsi="Cambria"/>
          <w:sz w:val="20"/>
          <w:szCs w:val="20"/>
          <w:lang w:val="es-ES"/>
        </w:rPr>
        <w:t>se interpuso</w:t>
      </w:r>
      <w:r w:rsidR="00CE2826" w:rsidRPr="003C379E">
        <w:rPr>
          <w:rFonts w:ascii="Cambria" w:hAnsi="Cambria"/>
          <w:sz w:val="20"/>
          <w:szCs w:val="20"/>
          <w:lang w:val="es-ES"/>
        </w:rPr>
        <w:t xml:space="preserve"> </w:t>
      </w:r>
      <w:r w:rsidR="0042784D" w:rsidRPr="003C379E">
        <w:rPr>
          <w:rFonts w:ascii="Cambria" w:hAnsi="Cambria"/>
          <w:sz w:val="20"/>
          <w:szCs w:val="20"/>
          <w:lang w:val="es-ES"/>
        </w:rPr>
        <w:t xml:space="preserve">recurso extraordinario </w:t>
      </w:r>
      <w:r w:rsidR="00650202" w:rsidRPr="003C379E">
        <w:rPr>
          <w:rFonts w:ascii="Cambria" w:hAnsi="Cambria"/>
          <w:sz w:val="20"/>
          <w:szCs w:val="20"/>
          <w:lang w:val="es-ES"/>
        </w:rPr>
        <w:t>ante el</w:t>
      </w:r>
      <w:r w:rsidR="00AF6C46" w:rsidRPr="003C379E">
        <w:rPr>
          <w:rFonts w:ascii="Cambria" w:hAnsi="Cambria"/>
          <w:sz w:val="20"/>
          <w:szCs w:val="20"/>
          <w:lang w:val="es-ES"/>
        </w:rPr>
        <w:t xml:space="preserve"> </w:t>
      </w:r>
      <w:r w:rsidR="00CE2826" w:rsidRPr="003C379E">
        <w:rPr>
          <w:rFonts w:ascii="Cambria" w:hAnsi="Cambria"/>
          <w:sz w:val="20"/>
          <w:szCs w:val="20"/>
          <w:lang w:val="es-ES"/>
        </w:rPr>
        <w:t xml:space="preserve">Supremo Tribunal Federal, </w:t>
      </w:r>
      <w:r w:rsidR="00BA00A9" w:rsidRPr="003C379E">
        <w:rPr>
          <w:rFonts w:ascii="Cambria" w:hAnsi="Cambria"/>
          <w:sz w:val="20"/>
          <w:szCs w:val="20"/>
          <w:lang w:val="es-ES"/>
        </w:rPr>
        <w:t xml:space="preserve">de </w:t>
      </w:r>
      <w:r w:rsidR="00CE2826" w:rsidRPr="003C379E">
        <w:rPr>
          <w:rFonts w:ascii="Cambria" w:hAnsi="Cambria"/>
          <w:sz w:val="20"/>
          <w:szCs w:val="20"/>
          <w:lang w:val="es-ES"/>
        </w:rPr>
        <w:t>conform</w:t>
      </w:r>
      <w:r w:rsidR="00BA00A9" w:rsidRPr="003C379E">
        <w:rPr>
          <w:rFonts w:ascii="Cambria" w:hAnsi="Cambria"/>
          <w:sz w:val="20"/>
          <w:szCs w:val="20"/>
          <w:lang w:val="es-ES"/>
        </w:rPr>
        <w:t>idad con</w:t>
      </w:r>
      <w:r w:rsidR="00CE2826" w:rsidRPr="003C379E">
        <w:rPr>
          <w:rFonts w:ascii="Cambria" w:hAnsi="Cambria"/>
          <w:sz w:val="20"/>
          <w:szCs w:val="20"/>
          <w:lang w:val="es-ES"/>
        </w:rPr>
        <w:t xml:space="preserve"> </w:t>
      </w:r>
      <w:r w:rsidR="00015A8C" w:rsidRPr="003C379E">
        <w:rPr>
          <w:rFonts w:ascii="Cambria" w:hAnsi="Cambria"/>
          <w:sz w:val="20"/>
          <w:szCs w:val="20"/>
          <w:lang w:val="es-ES"/>
        </w:rPr>
        <w:t xml:space="preserve">el </w:t>
      </w:r>
      <w:r w:rsidR="00C870C3" w:rsidRPr="003C379E">
        <w:rPr>
          <w:rFonts w:ascii="Cambria" w:hAnsi="Cambria"/>
          <w:sz w:val="20"/>
          <w:szCs w:val="20"/>
          <w:lang w:val="es-ES"/>
        </w:rPr>
        <w:t>Pronunciamiento</w:t>
      </w:r>
      <w:r w:rsidR="00CE2826" w:rsidRPr="003C379E">
        <w:rPr>
          <w:rFonts w:ascii="Cambria" w:hAnsi="Cambria"/>
          <w:sz w:val="20"/>
          <w:szCs w:val="20"/>
          <w:lang w:val="es-ES"/>
        </w:rPr>
        <w:t xml:space="preserve"> </w:t>
      </w:r>
      <w:r w:rsidRPr="003C379E">
        <w:rPr>
          <w:rFonts w:ascii="Cambria" w:hAnsi="Cambria"/>
          <w:sz w:val="20"/>
          <w:szCs w:val="20"/>
          <w:lang w:val="es-ES"/>
        </w:rPr>
        <w:t>No.</w:t>
      </w:r>
      <w:r w:rsidR="00CE2826" w:rsidRPr="003C379E">
        <w:rPr>
          <w:rFonts w:ascii="Cambria" w:hAnsi="Cambria"/>
          <w:sz w:val="20"/>
          <w:szCs w:val="20"/>
          <w:lang w:val="es-ES"/>
        </w:rPr>
        <w:t xml:space="preserve"> 640 </w:t>
      </w:r>
      <w:r w:rsidRPr="003C379E">
        <w:rPr>
          <w:rFonts w:ascii="Cambria" w:hAnsi="Cambria"/>
          <w:sz w:val="20"/>
          <w:szCs w:val="20"/>
          <w:lang w:val="es-ES"/>
        </w:rPr>
        <w:t>del</w:t>
      </w:r>
      <w:r w:rsidR="00CE2826" w:rsidRPr="003C379E">
        <w:rPr>
          <w:rFonts w:ascii="Cambria" w:hAnsi="Cambria"/>
          <w:sz w:val="20"/>
          <w:szCs w:val="20"/>
          <w:lang w:val="es-ES"/>
        </w:rPr>
        <w:t xml:space="preserve"> STJ </w:t>
      </w:r>
      <w:r w:rsidRPr="003C379E">
        <w:rPr>
          <w:rFonts w:ascii="Cambria" w:hAnsi="Cambria"/>
          <w:sz w:val="20"/>
          <w:szCs w:val="20"/>
          <w:lang w:val="es-ES"/>
        </w:rPr>
        <w:t>y</w:t>
      </w:r>
      <w:r w:rsidR="00FB4AA8" w:rsidRPr="003C379E">
        <w:rPr>
          <w:rFonts w:ascii="Cambria" w:hAnsi="Cambria"/>
          <w:sz w:val="20"/>
          <w:szCs w:val="20"/>
          <w:lang w:val="es-ES"/>
        </w:rPr>
        <w:t xml:space="preserve"> con</w:t>
      </w:r>
      <w:r w:rsidR="00CE2826" w:rsidRPr="003C379E">
        <w:rPr>
          <w:rFonts w:ascii="Cambria" w:hAnsi="Cambria"/>
          <w:sz w:val="20"/>
          <w:szCs w:val="20"/>
          <w:lang w:val="es-ES"/>
        </w:rPr>
        <w:t xml:space="preserve"> </w:t>
      </w:r>
      <w:r w:rsidRPr="003C379E">
        <w:rPr>
          <w:rFonts w:ascii="Cambria" w:hAnsi="Cambria"/>
          <w:sz w:val="20"/>
          <w:szCs w:val="20"/>
          <w:lang w:val="es-ES"/>
        </w:rPr>
        <w:t>el</w:t>
      </w:r>
      <w:r w:rsidR="00CE2826" w:rsidRPr="003C379E">
        <w:rPr>
          <w:rFonts w:ascii="Cambria" w:hAnsi="Cambria"/>
          <w:sz w:val="20"/>
          <w:szCs w:val="20"/>
          <w:lang w:val="es-ES"/>
        </w:rPr>
        <w:t xml:space="preserve"> </w:t>
      </w:r>
      <w:r w:rsidRPr="003C379E">
        <w:rPr>
          <w:rFonts w:ascii="Cambria" w:hAnsi="Cambria"/>
          <w:sz w:val="20"/>
          <w:szCs w:val="20"/>
          <w:lang w:val="es-ES"/>
        </w:rPr>
        <w:t>artículo</w:t>
      </w:r>
      <w:r w:rsidR="00CE2826" w:rsidRPr="003C379E">
        <w:rPr>
          <w:rFonts w:ascii="Cambria" w:hAnsi="Cambria"/>
          <w:sz w:val="20"/>
          <w:szCs w:val="20"/>
          <w:lang w:val="es-ES"/>
        </w:rPr>
        <w:t xml:space="preserve"> 102, I, “a”, </w:t>
      </w:r>
      <w:r w:rsidR="00E06D9B" w:rsidRPr="003C379E">
        <w:rPr>
          <w:rFonts w:ascii="Cambria" w:hAnsi="Cambria"/>
          <w:sz w:val="20"/>
          <w:szCs w:val="20"/>
          <w:lang w:val="es-ES"/>
        </w:rPr>
        <w:t>y</w:t>
      </w:r>
      <w:r w:rsidR="004C71B9" w:rsidRPr="003C379E">
        <w:rPr>
          <w:rFonts w:ascii="Cambria" w:hAnsi="Cambria"/>
          <w:sz w:val="20"/>
          <w:szCs w:val="20"/>
          <w:lang w:val="es-ES"/>
        </w:rPr>
        <w:t xml:space="preserve"> </w:t>
      </w:r>
      <w:r w:rsidR="00E06D9B" w:rsidRPr="003C379E">
        <w:rPr>
          <w:rFonts w:ascii="Cambria" w:hAnsi="Cambria"/>
          <w:sz w:val="20"/>
          <w:szCs w:val="20"/>
          <w:lang w:val="es-ES"/>
        </w:rPr>
        <w:t>II</w:t>
      </w:r>
      <w:r w:rsidR="00CE2826" w:rsidRPr="003C379E">
        <w:rPr>
          <w:rFonts w:ascii="Cambria" w:hAnsi="Cambria"/>
          <w:sz w:val="20"/>
          <w:szCs w:val="20"/>
          <w:lang w:val="es-ES"/>
        </w:rPr>
        <w:t xml:space="preserve">, “a”. </w:t>
      </w:r>
      <w:r w:rsidR="00E06D9B" w:rsidRPr="003C379E">
        <w:rPr>
          <w:rFonts w:ascii="Cambria" w:hAnsi="Cambria"/>
          <w:sz w:val="20"/>
          <w:szCs w:val="20"/>
          <w:lang w:val="es-ES"/>
        </w:rPr>
        <w:t>Además</w:t>
      </w:r>
      <w:r w:rsidR="00CE2826" w:rsidRPr="003C379E">
        <w:rPr>
          <w:rFonts w:ascii="Cambria" w:hAnsi="Cambria"/>
          <w:sz w:val="20"/>
          <w:szCs w:val="20"/>
          <w:lang w:val="es-ES"/>
        </w:rPr>
        <w:t xml:space="preserve">, afirma que </w:t>
      </w:r>
      <w:r w:rsidRPr="003C379E">
        <w:rPr>
          <w:rFonts w:ascii="Cambria" w:hAnsi="Cambria"/>
          <w:sz w:val="20"/>
          <w:szCs w:val="20"/>
          <w:lang w:val="es-ES"/>
        </w:rPr>
        <w:t>no</w:t>
      </w:r>
      <w:r w:rsidR="00CE2826" w:rsidRPr="003C379E">
        <w:rPr>
          <w:rFonts w:ascii="Cambria" w:hAnsi="Cambria"/>
          <w:sz w:val="20"/>
          <w:szCs w:val="20"/>
          <w:lang w:val="es-ES"/>
        </w:rPr>
        <w:t xml:space="preserve"> </w:t>
      </w:r>
      <w:r w:rsidR="00E06D9B" w:rsidRPr="003C379E">
        <w:rPr>
          <w:rFonts w:ascii="Cambria" w:hAnsi="Cambria"/>
          <w:sz w:val="20"/>
          <w:szCs w:val="20"/>
          <w:lang w:val="es-ES"/>
        </w:rPr>
        <w:t xml:space="preserve">se </w:t>
      </w:r>
      <w:r w:rsidR="00650202" w:rsidRPr="003C379E">
        <w:rPr>
          <w:rFonts w:ascii="Cambria" w:hAnsi="Cambria"/>
          <w:sz w:val="20"/>
          <w:szCs w:val="20"/>
          <w:lang w:val="es-ES"/>
        </w:rPr>
        <w:t>interpuso recurso de</w:t>
      </w:r>
      <w:r w:rsidR="00AF6C46" w:rsidRPr="003C379E">
        <w:rPr>
          <w:rFonts w:ascii="Cambria" w:hAnsi="Cambria"/>
          <w:sz w:val="20"/>
          <w:szCs w:val="20"/>
          <w:lang w:val="es-ES"/>
        </w:rPr>
        <w:t xml:space="preserve"> </w:t>
      </w:r>
      <w:r w:rsidR="00CE2826" w:rsidRPr="003C379E">
        <w:rPr>
          <w:rFonts w:ascii="Cambria" w:hAnsi="Cambria"/>
          <w:sz w:val="20"/>
          <w:szCs w:val="20"/>
          <w:lang w:val="es-ES"/>
        </w:rPr>
        <w:t>revi</w:t>
      </w:r>
      <w:r w:rsidRPr="003C379E">
        <w:rPr>
          <w:rFonts w:ascii="Cambria" w:hAnsi="Cambria"/>
          <w:sz w:val="20"/>
          <w:szCs w:val="20"/>
          <w:lang w:val="es-ES"/>
        </w:rPr>
        <w:t>sión</w:t>
      </w:r>
      <w:r w:rsidR="00CE2826" w:rsidRPr="003C379E">
        <w:rPr>
          <w:rFonts w:ascii="Cambria" w:hAnsi="Cambria"/>
          <w:sz w:val="20"/>
          <w:szCs w:val="20"/>
          <w:lang w:val="es-ES"/>
        </w:rPr>
        <w:t xml:space="preserve"> </w:t>
      </w:r>
      <w:r w:rsidR="00E06D9B" w:rsidRPr="003C379E">
        <w:rPr>
          <w:rFonts w:ascii="Cambria" w:hAnsi="Cambria"/>
          <w:sz w:val="20"/>
          <w:szCs w:val="20"/>
          <w:lang w:val="es-ES"/>
        </w:rPr>
        <w:t>penal</w:t>
      </w:r>
      <w:r w:rsidR="00CE2826" w:rsidRPr="003C379E">
        <w:rPr>
          <w:rFonts w:ascii="Cambria" w:hAnsi="Cambria"/>
          <w:sz w:val="20"/>
          <w:szCs w:val="20"/>
          <w:lang w:val="es-ES"/>
        </w:rPr>
        <w:t xml:space="preserve">, que </w:t>
      </w:r>
      <w:r w:rsidR="00B04C63" w:rsidRPr="003C379E">
        <w:rPr>
          <w:rFonts w:ascii="Cambria" w:hAnsi="Cambria"/>
          <w:sz w:val="20"/>
          <w:szCs w:val="20"/>
          <w:lang w:val="es-ES"/>
        </w:rPr>
        <w:t>puede</w:t>
      </w:r>
      <w:r w:rsidR="00CE2826" w:rsidRPr="003C379E">
        <w:rPr>
          <w:rFonts w:ascii="Cambria" w:hAnsi="Cambria"/>
          <w:sz w:val="20"/>
          <w:szCs w:val="20"/>
          <w:lang w:val="es-ES"/>
        </w:rPr>
        <w:t xml:space="preserve"> ser </w:t>
      </w:r>
      <w:r w:rsidR="00E06D9B" w:rsidRPr="003C379E">
        <w:rPr>
          <w:rFonts w:ascii="Cambria" w:hAnsi="Cambria"/>
          <w:sz w:val="20"/>
          <w:szCs w:val="20"/>
          <w:lang w:val="es-ES"/>
        </w:rPr>
        <w:t>solicitado</w:t>
      </w:r>
      <w:r w:rsidR="00CE2826" w:rsidRPr="003C379E">
        <w:rPr>
          <w:rFonts w:ascii="Cambria" w:hAnsi="Cambria"/>
          <w:sz w:val="20"/>
          <w:szCs w:val="20"/>
          <w:lang w:val="es-ES"/>
        </w:rPr>
        <w:t xml:space="preserve"> </w:t>
      </w:r>
      <w:r w:rsidRPr="003C379E">
        <w:rPr>
          <w:rFonts w:ascii="Cambria" w:hAnsi="Cambria"/>
          <w:sz w:val="20"/>
          <w:szCs w:val="20"/>
          <w:lang w:val="es-ES"/>
        </w:rPr>
        <w:t>por la</w:t>
      </w:r>
      <w:r w:rsidR="00CE2826" w:rsidRPr="003C379E">
        <w:rPr>
          <w:rFonts w:ascii="Cambria" w:hAnsi="Cambria"/>
          <w:sz w:val="20"/>
          <w:szCs w:val="20"/>
          <w:lang w:val="es-ES"/>
        </w:rPr>
        <w:t xml:space="preserve"> </w:t>
      </w:r>
      <w:r w:rsidRPr="003C379E">
        <w:rPr>
          <w:rFonts w:ascii="Cambria" w:hAnsi="Cambria"/>
          <w:sz w:val="20"/>
          <w:szCs w:val="20"/>
          <w:lang w:val="es-ES"/>
        </w:rPr>
        <w:t>persona</w:t>
      </w:r>
      <w:r w:rsidR="00CE2826" w:rsidRPr="003C379E">
        <w:rPr>
          <w:rFonts w:ascii="Cambria" w:hAnsi="Cambria"/>
          <w:sz w:val="20"/>
          <w:szCs w:val="20"/>
          <w:lang w:val="es-ES"/>
        </w:rPr>
        <w:t xml:space="preserve"> condenada </w:t>
      </w:r>
      <w:r w:rsidR="006E40C4" w:rsidRPr="003C379E">
        <w:rPr>
          <w:rFonts w:ascii="Cambria" w:hAnsi="Cambria"/>
          <w:sz w:val="20"/>
          <w:szCs w:val="20"/>
          <w:lang w:val="es-ES"/>
        </w:rPr>
        <w:t xml:space="preserve">para </w:t>
      </w:r>
      <w:r w:rsidR="00CE2826" w:rsidRPr="003C379E">
        <w:rPr>
          <w:rFonts w:ascii="Cambria" w:hAnsi="Cambria"/>
          <w:sz w:val="20"/>
          <w:szCs w:val="20"/>
          <w:lang w:val="es-ES"/>
        </w:rPr>
        <w:t>re</w:t>
      </w:r>
      <w:r w:rsidR="006E40C4" w:rsidRPr="003C379E">
        <w:rPr>
          <w:rFonts w:ascii="Cambria" w:hAnsi="Cambria"/>
          <w:sz w:val="20"/>
          <w:szCs w:val="20"/>
          <w:lang w:val="es-ES"/>
        </w:rPr>
        <w:t>evaluar</w:t>
      </w:r>
      <w:r w:rsidR="00CE2826" w:rsidRPr="003C379E">
        <w:rPr>
          <w:rFonts w:ascii="Cambria" w:hAnsi="Cambria"/>
          <w:sz w:val="20"/>
          <w:szCs w:val="20"/>
          <w:lang w:val="es-ES"/>
        </w:rPr>
        <w:t xml:space="preserve"> </w:t>
      </w:r>
      <w:r w:rsidR="00FB4AA8" w:rsidRPr="003C379E">
        <w:rPr>
          <w:rFonts w:ascii="Cambria" w:hAnsi="Cambria"/>
          <w:sz w:val="20"/>
          <w:szCs w:val="20"/>
          <w:lang w:val="es-ES"/>
        </w:rPr>
        <w:t>un</w:t>
      </w:r>
      <w:r w:rsidR="00B6265D" w:rsidRPr="003C379E">
        <w:rPr>
          <w:rFonts w:ascii="Cambria" w:hAnsi="Cambria"/>
          <w:sz w:val="20"/>
          <w:szCs w:val="20"/>
          <w:lang w:val="es-ES"/>
        </w:rPr>
        <w:t>a</w:t>
      </w:r>
      <w:r w:rsidR="00CE2826" w:rsidRPr="003C379E">
        <w:rPr>
          <w:rFonts w:ascii="Cambria" w:hAnsi="Cambria"/>
          <w:sz w:val="20"/>
          <w:szCs w:val="20"/>
          <w:lang w:val="es-ES"/>
        </w:rPr>
        <w:t xml:space="preserve"> </w:t>
      </w:r>
      <w:r w:rsidRPr="003C379E">
        <w:rPr>
          <w:rFonts w:ascii="Cambria" w:hAnsi="Cambria"/>
          <w:sz w:val="20"/>
          <w:szCs w:val="20"/>
          <w:lang w:val="es-ES"/>
        </w:rPr>
        <w:t>sentencia</w:t>
      </w:r>
      <w:r w:rsidR="00CE2826" w:rsidRPr="003C379E">
        <w:rPr>
          <w:rFonts w:ascii="Cambria" w:hAnsi="Cambria"/>
          <w:sz w:val="20"/>
          <w:szCs w:val="20"/>
          <w:lang w:val="es-ES"/>
        </w:rPr>
        <w:t xml:space="preserve"> penal </w:t>
      </w:r>
      <w:r w:rsidR="006E40C4" w:rsidRPr="003C379E">
        <w:rPr>
          <w:rFonts w:ascii="Cambria" w:hAnsi="Cambria"/>
          <w:sz w:val="20"/>
          <w:szCs w:val="20"/>
          <w:lang w:val="es-ES"/>
        </w:rPr>
        <w:t>firme</w:t>
      </w:r>
      <w:r w:rsidR="00CE2826" w:rsidRPr="003C379E">
        <w:rPr>
          <w:rFonts w:ascii="Cambria" w:hAnsi="Cambria"/>
          <w:sz w:val="20"/>
          <w:szCs w:val="20"/>
          <w:lang w:val="es-ES"/>
        </w:rPr>
        <w:t xml:space="preserve">, </w:t>
      </w:r>
      <w:r w:rsidRPr="003C379E">
        <w:rPr>
          <w:rFonts w:ascii="Cambria" w:hAnsi="Cambria"/>
          <w:sz w:val="20"/>
          <w:szCs w:val="20"/>
          <w:lang w:val="es-ES"/>
        </w:rPr>
        <w:t>en los</w:t>
      </w:r>
      <w:r w:rsidR="00CE2826" w:rsidRPr="003C379E">
        <w:rPr>
          <w:rFonts w:ascii="Cambria" w:hAnsi="Cambria"/>
          <w:sz w:val="20"/>
          <w:szCs w:val="20"/>
          <w:lang w:val="es-ES"/>
        </w:rPr>
        <w:t xml:space="preserve"> </w:t>
      </w:r>
      <w:r w:rsidR="006E40C4" w:rsidRPr="003C379E">
        <w:rPr>
          <w:rFonts w:ascii="Cambria" w:hAnsi="Cambria"/>
          <w:sz w:val="20"/>
          <w:szCs w:val="20"/>
          <w:lang w:val="es-ES"/>
        </w:rPr>
        <w:t>términos</w:t>
      </w:r>
      <w:r w:rsidR="00CE2826" w:rsidRPr="003C379E">
        <w:rPr>
          <w:rFonts w:ascii="Cambria" w:hAnsi="Cambria"/>
          <w:sz w:val="20"/>
          <w:szCs w:val="20"/>
          <w:lang w:val="es-ES"/>
        </w:rPr>
        <w:t xml:space="preserve"> </w:t>
      </w:r>
      <w:r w:rsidRPr="003C379E">
        <w:rPr>
          <w:rFonts w:ascii="Cambria" w:hAnsi="Cambria"/>
          <w:sz w:val="20"/>
          <w:szCs w:val="20"/>
          <w:lang w:val="es-ES"/>
        </w:rPr>
        <w:t>del</w:t>
      </w:r>
      <w:r w:rsidR="00CE2826" w:rsidRPr="003C379E">
        <w:rPr>
          <w:rFonts w:ascii="Cambria" w:hAnsi="Cambria"/>
          <w:sz w:val="20"/>
          <w:szCs w:val="20"/>
          <w:lang w:val="es-ES"/>
        </w:rPr>
        <w:t xml:space="preserve"> </w:t>
      </w:r>
      <w:r w:rsidRPr="003C379E">
        <w:rPr>
          <w:rFonts w:ascii="Cambria" w:hAnsi="Cambria"/>
          <w:sz w:val="20"/>
          <w:szCs w:val="20"/>
          <w:lang w:val="es-ES"/>
        </w:rPr>
        <w:t>artículo</w:t>
      </w:r>
      <w:r w:rsidR="00CE2826" w:rsidRPr="003C379E">
        <w:rPr>
          <w:rFonts w:ascii="Cambria" w:hAnsi="Cambria"/>
          <w:sz w:val="20"/>
          <w:szCs w:val="20"/>
          <w:lang w:val="es-ES"/>
        </w:rPr>
        <w:t xml:space="preserve"> 621 </w:t>
      </w:r>
      <w:r w:rsidRPr="003C379E">
        <w:rPr>
          <w:rFonts w:ascii="Cambria" w:hAnsi="Cambria"/>
          <w:sz w:val="20"/>
          <w:szCs w:val="20"/>
          <w:lang w:val="es-ES"/>
        </w:rPr>
        <w:t>del</w:t>
      </w:r>
      <w:r w:rsidR="00CE2826" w:rsidRPr="003C379E">
        <w:rPr>
          <w:rFonts w:ascii="Cambria" w:hAnsi="Cambria"/>
          <w:sz w:val="20"/>
          <w:szCs w:val="20"/>
          <w:lang w:val="es-ES"/>
        </w:rPr>
        <w:t xml:space="preserve"> Código Proce</w:t>
      </w:r>
      <w:r w:rsidR="00B05EA6" w:rsidRPr="003C379E">
        <w:rPr>
          <w:rFonts w:ascii="Cambria" w:hAnsi="Cambria"/>
          <w:sz w:val="20"/>
          <w:szCs w:val="20"/>
          <w:lang w:val="es-ES"/>
        </w:rPr>
        <w:t>s</w:t>
      </w:r>
      <w:r w:rsidR="006E40C4" w:rsidRPr="003C379E">
        <w:rPr>
          <w:rFonts w:ascii="Cambria" w:hAnsi="Cambria"/>
          <w:sz w:val="20"/>
          <w:szCs w:val="20"/>
          <w:lang w:val="es-ES"/>
        </w:rPr>
        <w:t>al</w:t>
      </w:r>
      <w:r w:rsidR="00CE2826" w:rsidRPr="003C379E">
        <w:rPr>
          <w:rFonts w:ascii="Cambria" w:hAnsi="Cambria"/>
          <w:sz w:val="20"/>
          <w:szCs w:val="20"/>
          <w:lang w:val="es-ES"/>
        </w:rPr>
        <w:t xml:space="preserve"> Penal. Finalmente, afirma que </w:t>
      </w:r>
      <w:r w:rsidRPr="003C379E">
        <w:rPr>
          <w:rFonts w:ascii="Cambria" w:hAnsi="Cambria"/>
          <w:sz w:val="20"/>
          <w:szCs w:val="20"/>
          <w:lang w:val="es-ES"/>
        </w:rPr>
        <w:t>no</w:t>
      </w:r>
      <w:r w:rsidR="00CE2826" w:rsidRPr="003C379E">
        <w:rPr>
          <w:rFonts w:ascii="Cambria" w:hAnsi="Cambria"/>
          <w:sz w:val="20"/>
          <w:szCs w:val="20"/>
          <w:lang w:val="es-ES"/>
        </w:rPr>
        <w:t xml:space="preserve"> </w:t>
      </w:r>
      <w:r w:rsidR="006E40C4" w:rsidRPr="003C379E">
        <w:rPr>
          <w:rFonts w:ascii="Cambria" w:hAnsi="Cambria"/>
          <w:sz w:val="20"/>
          <w:szCs w:val="20"/>
          <w:lang w:val="es-ES"/>
        </w:rPr>
        <w:t xml:space="preserve">se </w:t>
      </w:r>
      <w:r w:rsidR="006046A0" w:rsidRPr="003C379E">
        <w:rPr>
          <w:rFonts w:ascii="Cambria" w:hAnsi="Cambria"/>
          <w:sz w:val="20"/>
          <w:szCs w:val="20"/>
          <w:lang w:val="es-ES"/>
        </w:rPr>
        <w:t>presentó</w:t>
      </w:r>
      <w:r w:rsidR="00AF6C46" w:rsidRPr="003C379E">
        <w:rPr>
          <w:rFonts w:ascii="Cambria" w:hAnsi="Cambria"/>
          <w:sz w:val="20"/>
          <w:szCs w:val="20"/>
          <w:lang w:val="es-ES"/>
        </w:rPr>
        <w:t xml:space="preserve"> </w:t>
      </w:r>
      <w:r w:rsidRPr="003C379E">
        <w:rPr>
          <w:rFonts w:ascii="Cambria" w:hAnsi="Cambria"/>
          <w:sz w:val="20"/>
          <w:szCs w:val="20"/>
          <w:lang w:val="es-ES"/>
        </w:rPr>
        <w:t>acción</w:t>
      </w:r>
      <w:r w:rsidR="00CE2826" w:rsidRPr="003C379E">
        <w:rPr>
          <w:rFonts w:ascii="Cambria" w:hAnsi="Cambria"/>
          <w:sz w:val="20"/>
          <w:szCs w:val="20"/>
          <w:lang w:val="es-ES"/>
        </w:rPr>
        <w:t xml:space="preserve"> civil reparat</w:t>
      </w:r>
      <w:r w:rsidR="00B05EA6" w:rsidRPr="003C379E">
        <w:rPr>
          <w:rFonts w:ascii="Cambria" w:hAnsi="Cambria"/>
          <w:sz w:val="20"/>
          <w:szCs w:val="20"/>
          <w:lang w:val="es-ES"/>
        </w:rPr>
        <w:t>oria</w:t>
      </w:r>
      <w:r w:rsidR="00CE2826" w:rsidRPr="003C379E">
        <w:rPr>
          <w:rFonts w:ascii="Cambria" w:hAnsi="Cambria"/>
          <w:sz w:val="20"/>
          <w:szCs w:val="20"/>
          <w:lang w:val="es-ES"/>
        </w:rPr>
        <w:t xml:space="preserve"> de</w:t>
      </w:r>
      <w:r w:rsidR="00FB4AA8" w:rsidRPr="003C379E">
        <w:rPr>
          <w:rFonts w:ascii="Cambria" w:hAnsi="Cambria"/>
          <w:sz w:val="20"/>
          <w:szCs w:val="20"/>
          <w:lang w:val="es-ES"/>
        </w:rPr>
        <w:t>l</w:t>
      </w:r>
      <w:r w:rsidR="00CE2826" w:rsidRPr="003C379E">
        <w:rPr>
          <w:rFonts w:ascii="Cambria" w:hAnsi="Cambria"/>
          <w:sz w:val="20"/>
          <w:szCs w:val="20"/>
          <w:lang w:val="es-ES"/>
        </w:rPr>
        <w:t xml:space="preserve"> </w:t>
      </w:r>
      <w:r w:rsidRPr="003C379E">
        <w:rPr>
          <w:rFonts w:ascii="Cambria" w:hAnsi="Cambria"/>
          <w:sz w:val="20"/>
          <w:szCs w:val="20"/>
          <w:lang w:val="es-ES"/>
        </w:rPr>
        <w:t>daño</w:t>
      </w:r>
      <w:r w:rsidR="00CE2826" w:rsidRPr="003C379E">
        <w:rPr>
          <w:rFonts w:ascii="Cambria" w:hAnsi="Cambria"/>
          <w:sz w:val="20"/>
          <w:szCs w:val="20"/>
          <w:lang w:val="es-ES"/>
        </w:rPr>
        <w:t xml:space="preserve"> moral. </w:t>
      </w:r>
    </w:p>
    <w:p w14:paraId="6F4D4171" w14:textId="1B3B0549" w:rsidR="003239B8" w:rsidRPr="003C379E" w:rsidRDefault="00DD3344" w:rsidP="00DD3344">
      <w:pPr>
        <w:tabs>
          <w:tab w:val="left" w:pos="720"/>
        </w:tabs>
        <w:suppressAutoHyphens/>
        <w:spacing w:after="240"/>
        <w:jc w:val="both"/>
        <w:rPr>
          <w:rFonts w:ascii="Cambria" w:hAnsi="Cambria"/>
          <w:sz w:val="20"/>
          <w:szCs w:val="20"/>
          <w:lang w:val="es-ES"/>
        </w:rPr>
      </w:pPr>
      <w:r w:rsidRPr="003C379E">
        <w:rPr>
          <w:rFonts w:ascii="Cambria" w:eastAsia="Cambria" w:hAnsi="Cambria" w:cs="Cambria"/>
          <w:b/>
          <w:bCs/>
          <w:color w:val="000000"/>
          <w:sz w:val="20"/>
          <w:szCs w:val="20"/>
          <w:u w:color="000000"/>
          <w:lang w:val="es-ES" w:eastAsia="es-ES"/>
        </w:rPr>
        <w:tab/>
        <w:t>VI.</w:t>
      </w:r>
      <w:r w:rsidRPr="003C379E">
        <w:rPr>
          <w:rFonts w:ascii="Cambria" w:eastAsia="Cambria" w:hAnsi="Cambria" w:cs="Cambria"/>
          <w:b/>
          <w:bCs/>
          <w:color w:val="000000"/>
          <w:sz w:val="20"/>
          <w:szCs w:val="20"/>
          <w:u w:color="000000"/>
          <w:lang w:val="es-ES" w:eastAsia="es-ES"/>
        </w:rPr>
        <w:tab/>
        <w:t xml:space="preserve"> </w:t>
      </w:r>
      <w:r w:rsidR="00B05EA6" w:rsidRPr="003C379E">
        <w:rPr>
          <w:rFonts w:ascii="Cambria" w:hAnsi="Cambria"/>
          <w:b/>
          <w:bCs/>
          <w:sz w:val="20"/>
          <w:szCs w:val="20"/>
          <w:lang w:val="es-ES"/>
        </w:rPr>
        <w:t>ANÁLISIS</w:t>
      </w:r>
      <w:r w:rsidR="004A6A54" w:rsidRPr="003C379E">
        <w:rPr>
          <w:rFonts w:ascii="Cambria" w:hAnsi="Cambria"/>
          <w:b/>
          <w:bCs/>
          <w:sz w:val="20"/>
          <w:szCs w:val="20"/>
          <w:lang w:val="es-ES"/>
        </w:rPr>
        <w:t xml:space="preserve"> DE </w:t>
      </w:r>
      <w:r w:rsidR="009115EB" w:rsidRPr="003C379E">
        <w:rPr>
          <w:rFonts w:ascii="Cambria" w:hAnsi="Cambria"/>
          <w:b/>
          <w:sz w:val="20"/>
          <w:szCs w:val="20"/>
          <w:lang w:val="es-ES"/>
        </w:rPr>
        <w:t>AGOTAMIE</w:t>
      </w:r>
      <w:r w:rsidR="00C21FEF" w:rsidRPr="003C379E">
        <w:rPr>
          <w:rFonts w:ascii="Cambria" w:hAnsi="Cambria"/>
          <w:b/>
          <w:sz w:val="20"/>
          <w:szCs w:val="20"/>
          <w:lang w:val="es-ES"/>
        </w:rPr>
        <w:t xml:space="preserve">NTO </w:t>
      </w:r>
      <w:r w:rsidR="009115EB" w:rsidRPr="003C379E">
        <w:rPr>
          <w:rFonts w:ascii="Cambria" w:hAnsi="Cambria"/>
          <w:b/>
          <w:sz w:val="20"/>
          <w:szCs w:val="20"/>
          <w:lang w:val="es-ES"/>
        </w:rPr>
        <w:t>DE LOS</w:t>
      </w:r>
      <w:r w:rsidR="00C21FEF" w:rsidRPr="003C379E">
        <w:rPr>
          <w:rFonts w:ascii="Cambria" w:hAnsi="Cambria"/>
          <w:b/>
          <w:sz w:val="20"/>
          <w:szCs w:val="20"/>
          <w:lang w:val="es-ES"/>
        </w:rPr>
        <w:t xml:space="preserve"> RECURSOS INTERNOS</w:t>
      </w:r>
      <w:r w:rsidR="00D21316" w:rsidRPr="003C379E">
        <w:rPr>
          <w:rFonts w:ascii="Cambria" w:hAnsi="Cambria"/>
          <w:b/>
          <w:sz w:val="20"/>
          <w:szCs w:val="20"/>
          <w:lang w:val="es-ES"/>
        </w:rPr>
        <w:t xml:space="preserve"> </w:t>
      </w:r>
      <w:r w:rsidR="009115EB" w:rsidRPr="003C379E">
        <w:rPr>
          <w:rFonts w:ascii="Cambria" w:hAnsi="Cambria"/>
          <w:b/>
          <w:sz w:val="20"/>
          <w:szCs w:val="20"/>
          <w:lang w:val="es-ES"/>
        </w:rPr>
        <w:t>Y</w:t>
      </w:r>
      <w:r w:rsidR="00D21316" w:rsidRPr="003C379E">
        <w:rPr>
          <w:rFonts w:ascii="Cambria" w:hAnsi="Cambria"/>
          <w:b/>
          <w:sz w:val="20"/>
          <w:szCs w:val="20"/>
          <w:lang w:val="es-ES"/>
        </w:rPr>
        <w:t xml:space="preserve"> </w:t>
      </w:r>
      <w:r w:rsidR="009115EB" w:rsidRPr="003C379E">
        <w:rPr>
          <w:rFonts w:ascii="Cambria" w:hAnsi="Cambria"/>
          <w:b/>
          <w:sz w:val="20"/>
          <w:szCs w:val="20"/>
          <w:lang w:val="es-ES"/>
        </w:rPr>
        <w:t>PLAZO</w:t>
      </w:r>
      <w:r w:rsidR="00C21FEF" w:rsidRPr="003C379E">
        <w:rPr>
          <w:rFonts w:ascii="Cambria" w:hAnsi="Cambria"/>
          <w:b/>
          <w:sz w:val="20"/>
          <w:szCs w:val="20"/>
          <w:lang w:val="es-ES"/>
        </w:rPr>
        <w:t xml:space="preserve"> DE </w:t>
      </w:r>
      <w:r w:rsidR="009115EB" w:rsidRPr="003C379E">
        <w:rPr>
          <w:rFonts w:ascii="Cambria" w:hAnsi="Cambria"/>
          <w:b/>
          <w:sz w:val="20"/>
          <w:szCs w:val="20"/>
          <w:lang w:val="es-ES"/>
        </w:rPr>
        <w:t>PRESENT</w:t>
      </w:r>
      <w:r w:rsidR="00D21316" w:rsidRPr="003C379E">
        <w:rPr>
          <w:rFonts w:ascii="Cambria" w:hAnsi="Cambria"/>
          <w:b/>
          <w:sz w:val="20"/>
          <w:szCs w:val="20"/>
          <w:lang w:val="es-ES"/>
        </w:rPr>
        <w:t>A</w:t>
      </w:r>
      <w:r w:rsidR="009115EB" w:rsidRPr="003C379E">
        <w:rPr>
          <w:rFonts w:ascii="Cambria" w:hAnsi="Cambria"/>
          <w:b/>
          <w:sz w:val="20"/>
          <w:szCs w:val="20"/>
          <w:lang w:val="es-ES"/>
        </w:rPr>
        <w:t>CIÓN</w:t>
      </w:r>
      <w:r w:rsidR="00C21FEF" w:rsidRPr="003C379E">
        <w:rPr>
          <w:rFonts w:ascii="Cambria" w:eastAsia="Cambria" w:hAnsi="Cambria" w:cs="Cambria"/>
          <w:b/>
          <w:bCs/>
          <w:color w:val="000000"/>
          <w:sz w:val="20"/>
          <w:szCs w:val="20"/>
          <w:u w:color="000000"/>
          <w:lang w:val="es-ES" w:eastAsia="es-ES"/>
        </w:rPr>
        <w:t xml:space="preserve"> </w:t>
      </w:r>
    </w:p>
    <w:p w14:paraId="60C98486" w14:textId="04670967" w:rsidR="00626089" w:rsidRPr="00626089" w:rsidRDefault="00C95A33" w:rsidP="006260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color w:val="auto"/>
          <w:sz w:val="20"/>
          <w:szCs w:val="20"/>
          <w:lang w:val="es-ES"/>
        </w:rPr>
      </w:pPr>
      <w:r w:rsidRPr="003C379E">
        <w:rPr>
          <w:color w:val="auto"/>
          <w:sz w:val="20"/>
          <w:szCs w:val="20"/>
          <w:lang w:val="es-ES"/>
        </w:rPr>
        <w:t>La parte peticionaria</w:t>
      </w:r>
      <w:r w:rsidR="00D92116" w:rsidRPr="003C379E">
        <w:rPr>
          <w:color w:val="auto"/>
          <w:sz w:val="20"/>
          <w:szCs w:val="20"/>
          <w:lang w:val="es-ES"/>
        </w:rPr>
        <w:t xml:space="preserve"> afirma que </w:t>
      </w:r>
      <w:r w:rsidR="0014193E" w:rsidRPr="003C379E">
        <w:rPr>
          <w:color w:val="auto"/>
          <w:sz w:val="20"/>
          <w:szCs w:val="20"/>
          <w:lang w:val="es-ES"/>
        </w:rPr>
        <w:t>se</w:t>
      </w:r>
      <w:r w:rsidR="00B05EA6" w:rsidRPr="003C379E">
        <w:rPr>
          <w:color w:val="auto"/>
          <w:sz w:val="20"/>
          <w:szCs w:val="20"/>
          <w:lang w:val="es-ES"/>
        </w:rPr>
        <w:t xml:space="preserve"> </w:t>
      </w:r>
      <w:r w:rsidR="009115EB" w:rsidRPr="003C379E">
        <w:rPr>
          <w:color w:val="auto"/>
          <w:sz w:val="20"/>
          <w:szCs w:val="20"/>
          <w:lang w:val="es-ES"/>
        </w:rPr>
        <w:t>agota</w:t>
      </w:r>
      <w:r w:rsidR="0014193E" w:rsidRPr="003C379E">
        <w:rPr>
          <w:color w:val="auto"/>
          <w:sz w:val="20"/>
          <w:szCs w:val="20"/>
          <w:lang w:val="es-ES"/>
        </w:rPr>
        <w:t>ron</w:t>
      </w:r>
      <w:r w:rsidR="00D92116" w:rsidRPr="003C379E">
        <w:rPr>
          <w:color w:val="auto"/>
          <w:sz w:val="20"/>
          <w:szCs w:val="20"/>
          <w:lang w:val="es-ES"/>
        </w:rPr>
        <w:t xml:space="preserve"> todos </w:t>
      </w:r>
      <w:r w:rsidR="009115EB" w:rsidRPr="003C379E">
        <w:rPr>
          <w:color w:val="auto"/>
          <w:sz w:val="20"/>
          <w:szCs w:val="20"/>
          <w:lang w:val="es-ES"/>
        </w:rPr>
        <w:t>los</w:t>
      </w:r>
      <w:r w:rsidR="00D92116" w:rsidRPr="003C379E">
        <w:rPr>
          <w:color w:val="auto"/>
          <w:sz w:val="20"/>
          <w:szCs w:val="20"/>
          <w:lang w:val="es-ES"/>
        </w:rPr>
        <w:t xml:space="preserve"> recursos dispon</w:t>
      </w:r>
      <w:r w:rsidR="00B05EA6" w:rsidRPr="003C379E">
        <w:rPr>
          <w:color w:val="auto"/>
          <w:sz w:val="20"/>
          <w:szCs w:val="20"/>
          <w:lang w:val="es-ES"/>
        </w:rPr>
        <w:t>ibles</w:t>
      </w:r>
      <w:r w:rsidR="00D92116" w:rsidRPr="003C379E">
        <w:rPr>
          <w:color w:val="auto"/>
          <w:sz w:val="20"/>
          <w:szCs w:val="20"/>
          <w:lang w:val="es-ES"/>
        </w:rPr>
        <w:t xml:space="preserve"> </w:t>
      </w:r>
      <w:r w:rsidR="0014193E" w:rsidRPr="003C379E">
        <w:rPr>
          <w:color w:val="auto"/>
          <w:sz w:val="20"/>
          <w:szCs w:val="20"/>
          <w:lang w:val="es-ES"/>
        </w:rPr>
        <w:t>en</w:t>
      </w:r>
      <w:r w:rsidR="009115EB" w:rsidRPr="003C379E">
        <w:rPr>
          <w:color w:val="auto"/>
          <w:sz w:val="20"/>
          <w:szCs w:val="20"/>
          <w:lang w:val="es-ES"/>
        </w:rPr>
        <w:t xml:space="preserve"> la</w:t>
      </w:r>
      <w:r w:rsidR="00D92116" w:rsidRPr="003C379E">
        <w:rPr>
          <w:color w:val="auto"/>
          <w:sz w:val="20"/>
          <w:szCs w:val="20"/>
          <w:lang w:val="es-ES"/>
        </w:rPr>
        <w:t xml:space="preserve"> legisla</w:t>
      </w:r>
      <w:r w:rsidR="009115EB" w:rsidRPr="003C379E">
        <w:rPr>
          <w:color w:val="auto"/>
          <w:sz w:val="20"/>
          <w:szCs w:val="20"/>
          <w:lang w:val="es-ES"/>
        </w:rPr>
        <w:t>ción</w:t>
      </w:r>
      <w:r w:rsidR="00D92116" w:rsidRPr="003C379E">
        <w:rPr>
          <w:color w:val="auto"/>
          <w:sz w:val="20"/>
          <w:szCs w:val="20"/>
          <w:lang w:val="es-ES"/>
        </w:rPr>
        <w:t xml:space="preserve"> </w:t>
      </w:r>
      <w:r w:rsidR="009115EB" w:rsidRPr="003C379E">
        <w:rPr>
          <w:color w:val="auto"/>
          <w:sz w:val="20"/>
          <w:szCs w:val="20"/>
          <w:lang w:val="es-ES"/>
        </w:rPr>
        <w:t>brasileñ</w:t>
      </w:r>
      <w:r w:rsidR="00D92116" w:rsidRPr="003C379E">
        <w:rPr>
          <w:color w:val="auto"/>
          <w:sz w:val="20"/>
          <w:szCs w:val="20"/>
          <w:lang w:val="es-ES"/>
        </w:rPr>
        <w:t xml:space="preserve">a, </w:t>
      </w:r>
      <w:r w:rsidR="00B05EA6" w:rsidRPr="003C379E">
        <w:rPr>
          <w:bCs/>
          <w:color w:val="auto"/>
          <w:sz w:val="20"/>
          <w:szCs w:val="20"/>
          <w:lang w:val="es-ES"/>
        </w:rPr>
        <w:t>pues</w:t>
      </w:r>
      <w:r w:rsidR="00D92116" w:rsidRPr="003C379E">
        <w:rPr>
          <w:bCs/>
          <w:color w:val="auto"/>
          <w:sz w:val="20"/>
          <w:szCs w:val="20"/>
          <w:lang w:val="es-ES"/>
        </w:rPr>
        <w:t xml:space="preserve"> seg</w:t>
      </w:r>
      <w:r w:rsidR="0014193E" w:rsidRPr="003C379E">
        <w:rPr>
          <w:bCs/>
          <w:color w:val="auto"/>
          <w:sz w:val="20"/>
          <w:szCs w:val="20"/>
          <w:lang w:val="es-ES"/>
        </w:rPr>
        <w:t>ún</w:t>
      </w:r>
      <w:r w:rsidR="00D92116" w:rsidRPr="003C379E">
        <w:rPr>
          <w:bCs/>
          <w:color w:val="auto"/>
          <w:sz w:val="20"/>
          <w:szCs w:val="20"/>
          <w:lang w:val="es-ES"/>
        </w:rPr>
        <w:t xml:space="preserve"> </w:t>
      </w:r>
      <w:r w:rsidR="009115EB" w:rsidRPr="003C379E">
        <w:rPr>
          <w:bCs/>
          <w:color w:val="auto"/>
          <w:sz w:val="20"/>
          <w:szCs w:val="20"/>
          <w:lang w:val="es-ES"/>
        </w:rPr>
        <w:t>el</w:t>
      </w:r>
      <w:r w:rsidR="00D92116" w:rsidRPr="003C379E">
        <w:rPr>
          <w:bCs/>
          <w:color w:val="auto"/>
          <w:sz w:val="20"/>
          <w:szCs w:val="20"/>
          <w:lang w:val="es-ES"/>
        </w:rPr>
        <w:t xml:space="preserve"> </w:t>
      </w:r>
      <w:r w:rsidR="009115EB" w:rsidRPr="003C379E">
        <w:rPr>
          <w:bCs/>
          <w:color w:val="auto"/>
          <w:sz w:val="20"/>
          <w:szCs w:val="20"/>
          <w:lang w:val="es-ES"/>
        </w:rPr>
        <w:t>artículo</w:t>
      </w:r>
      <w:r w:rsidR="00D92116" w:rsidRPr="003C379E">
        <w:rPr>
          <w:bCs/>
          <w:color w:val="auto"/>
          <w:sz w:val="20"/>
          <w:szCs w:val="20"/>
          <w:lang w:val="es-ES"/>
        </w:rPr>
        <w:t xml:space="preserve"> 2 </w:t>
      </w:r>
      <w:r w:rsidR="009115EB" w:rsidRPr="003C379E">
        <w:rPr>
          <w:bCs/>
          <w:color w:val="auto"/>
          <w:sz w:val="20"/>
          <w:szCs w:val="20"/>
          <w:lang w:val="es-ES"/>
        </w:rPr>
        <w:t>de la</w:t>
      </w:r>
      <w:r w:rsidR="00D92116" w:rsidRPr="003C379E">
        <w:rPr>
          <w:bCs/>
          <w:color w:val="auto"/>
          <w:sz w:val="20"/>
          <w:szCs w:val="20"/>
          <w:lang w:val="es-ES"/>
        </w:rPr>
        <w:t xml:space="preserve"> Resolu</w:t>
      </w:r>
      <w:r w:rsidR="009115EB" w:rsidRPr="003C379E">
        <w:rPr>
          <w:bCs/>
          <w:color w:val="auto"/>
          <w:sz w:val="20"/>
          <w:szCs w:val="20"/>
          <w:lang w:val="es-ES"/>
        </w:rPr>
        <w:t>ción</w:t>
      </w:r>
      <w:r w:rsidR="00D92116" w:rsidRPr="003C379E">
        <w:rPr>
          <w:bCs/>
          <w:color w:val="auto"/>
          <w:sz w:val="20"/>
          <w:szCs w:val="20"/>
          <w:lang w:val="es-ES"/>
        </w:rPr>
        <w:t xml:space="preserve"> </w:t>
      </w:r>
      <w:r w:rsidR="009115EB" w:rsidRPr="003C379E">
        <w:rPr>
          <w:bCs/>
          <w:color w:val="auto"/>
          <w:sz w:val="20"/>
          <w:szCs w:val="20"/>
          <w:lang w:val="es-ES"/>
        </w:rPr>
        <w:t>No.</w:t>
      </w:r>
      <w:r w:rsidR="00D92116" w:rsidRPr="003C379E">
        <w:rPr>
          <w:bCs/>
          <w:color w:val="auto"/>
          <w:sz w:val="20"/>
          <w:szCs w:val="20"/>
          <w:lang w:val="es-ES"/>
        </w:rPr>
        <w:t xml:space="preserve"> 22/CJF, </w:t>
      </w:r>
      <w:r w:rsidR="00B6265D" w:rsidRPr="003C379E">
        <w:rPr>
          <w:bCs/>
          <w:color w:val="auto"/>
          <w:sz w:val="20"/>
          <w:szCs w:val="20"/>
          <w:lang w:val="es-ES"/>
        </w:rPr>
        <w:t>la</w:t>
      </w:r>
      <w:r w:rsidR="00D92116" w:rsidRPr="003C379E">
        <w:rPr>
          <w:bCs/>
          <w:color w:val="auto"/>
          <w:sz w:val="20"/>
          <w:szCs w:val="20"/>
          <w:lang w:val="es-ES"/>
        </w:rPr>
        <w:t xml:space="preserve"> deci</w:t>
      </w:r>
      <w:r w:rsidR="009115EB" w:rsidRPr="003C379E">
        <w:rPr>
          <w:bCs/>
          <w:color w:val="auto"/>
          <w:sz w:val="20"/>
          <w:szCs w:val="20"/>
          <w:lang w:val="es-ES"/>
        </w:rPr>
        <w:t>sión</w:t>
      </w:r>
      <w:r w:rsidR="00D92116" w:rsidRPr="003C379E">
        <w:rPr>
          <w:bCs/>
          <w:color w:val="auto"/>
          <w:sz w:val="20"/>
          <w:szCs w:val="20"/>
          <w:lang w:val="es-ES"/>
        </w:rPr>
        <w:t xml:space="preserve"> </w:t>
      </w:r>
      <w:r w:rsidR="0014193E" w:rsidRPr="003C379E">
        <w:rPr>
          <w:bCs/>
          <w:color w:val="auto"/>
          <w:sz w:val="20"/>
          <w:szCs w:val="20"/>
          <w:lang w:val="es-ES"/>
        </w:rPr>
        <w:t>dictada</w:t>
      </w:r>
      <w:r w:rsidR="00D92116" w:rsidRPr="003C379E">
        <w:rPr>
          <w:bCs/>
          <w:color w:val="auto"/>
          <w:sz w:val="20"/>
          <w:szCs w:val="20"/>
          <w:lang w:val="es-ES"/>
        </w:rPr>
        <w:t xml:space="preserve"> </w:t>
      </w:r>
      <w:r w:rsidR="009115EB" w:rsidRPr="003C379E">
        <w:rPr>
          <w:bCs/>
          <w:color w:val="auto"/>
          <w:sz w:val="20"/>
          <w:szCs w:val="20"/>
          <w:lang w:val="es-ES"/>
        </w:rPr>
        <w:t>por la</w:t>
      </w:r>
      <w:r w:rsidR="00300983" w:rsidRPr="003C379E">
        <w:rPr>
          <w:bCs/>
          <w:color w:val="auto"/>
          <w:sz w:val="20"/>
          <w:szCs w:val="20"/>
          <w:lang w:val="es-ES"/>
        </w:rPr>
        <w:t xml:space="preserve"> p</w:t>
      </w:r>
      <w:r w:rsidR="00D92116" w:rsidRPr="003C379E">
        <w:rPr>
          <w:bCs/>
          <w:color w:val="auto"/>
          <w:sz w:val="20"/>
          <w:szCs w:val="20"/>
          <w:lang w:val="es-ES"/>
        </w:rPr>
        <w:t>resid</w:t>
      </w:r>
      <w:r w:rsidR="009115EB" w:rsidRPr="003C379E">
        <w:rPr>
          <w:bCs/>
          <w:color w:val="auto"/>
          <w:sz w:val="20"/>
          <w:szCs w:val="20"/>
          <w:lang w:val="es-ES"/>
        </w:rPr>
        <w:t>encia</w:t>
      </w:r>
      <w:r w:rsidR="00D92116" w:rsidRPr="003C379E">
        <w:rPr>
          <w:bCs/>
          <w:color w:val="auto"/>
          <w:sz w:val="20"/>
          <w:szCs w:val="20"/>
          <w:lang w:val="es-ES"/>
        </w:rPr>
        <w:t xml:space="preserve"> </w:t>
      </w:r>
      <w:r w:rsidR="009115EB" w:rsidRPr="003C379E">
        <w:rPr>
          <w:bCs/>
          <w:color w:val="auto"/>
          <w:sz w:val="20"/>
          <w:szCs w:val="20"/>
          <w:lang w:val="es-ES"/>
        </w:rPr>
        <w:t>de la</w:t>
      </w:r>
      <w:r w:rsidR="00D92116" w:rsidRPr="003C379E">
        <w:rPr>
          <w:bCs/>
          <w:color w:val="auto"/>
          <w:sz w:val="20"/>
          <w:szCs w:val="20"/>
          <w:lang w:val="es-ES"/>
        </w:rPr>
        <w:t xml:space="preserve"> </w:t>
      </w:r>
      <w:r w:rsidR="00AF6C46" w:rsidRPr="003C379E">
        <w:rPr>
          <w:bCs/>
          <w:color w:val="auto"/>
          <w:sz w:val="20"/>
          <w:szCs w:val="20"/>
          <w:lang w:val="es-ES"/>
        </w:rPr>
        <w:t>T</w:t>
      </w:r>
      <w:r w:rsidR="00B34ED2" w:rsidRPr="003C379E">
        <w:rPr>
          <w:bCs/>
          <w:color w:val="auto"/>
          <w:sz w:val="20"/>
          <w:szCs w:val="20"/>
          <w:lang w:val="es-ES"/>
        </w:rPr>
        <w:t>NU</w:t>
      </w:r>
      <w:r w:rsidR="00D92116" w:rsidRPr="003C379E">
        <w:rPr>
          <w:bCs/>
          <w:color w:val="auto"/>
          <w:sz w:val="20"/>
          <w:szCs w:val="20"/>
          <w:lang w:val="es-ES"/>
        </w:rPr>
        <w:t xml:space="preserve"> que </w:t>
      </w:r>
      <w:r w:rsidR="0014193E" w:rsidRPr="003C379E">
        <w:rPr>
          <w:bCs/>
          <w:color w:val="auto"/>
          <w:sz w:val="20"/>
          <w:szCs w:val="20"/>
          <w:lang w:val="es-ES"/>
        </w:rPr>
        <w:t>rechaza el</w:t>
      </w:r>
      <w:r w:rsidR="00D92116" w:rsidRPr="003C379E">
        <w:rPr>
          <w:bCs/>
          <w:color w:val="auto"/>
          <w:sz w:val="20"/>
          <w:szCs w:val="20"/>
          <w:lang w:val="es-ES"/>
        </w:rPr>
        <w:t xml:space="preserve"> pedido de uniformiza</w:t>
      </w:r>
      <w:r w:rsidR="009115EB" w:rsidRPr="003C379E">
        <w:rPr>
          <w:bCs/>
          <w:color w:val="auto"/>
          <w:sz w:val="20"/>
          <w:szCs w:val="20"/>
          <w:lang w:val="es-ES"/>
        </w:rPr>
        <w:t>ción</w:t>
      </w:r>
      <w:r w:rsidR="00D92116" w:rsidRPr="003C379E">
        <w:rPr>
          <w:bCs/>
          <w:color w:val="auto"/>
          <w:sz w:val="20"/>
          <w:szCs w:val="20"/>
          <w:lang w:val="es-ES"/>
        </w:rPr>
        <w:t xml:space="preserve"> </w:t>
      </w:r>
      <w:r w:rsidR="009115EB" w:rsidRPr="003C379E">
        <w:rPr>
          <w:bCs/>
          <w:color w:val="auto"/>
          <w:sz w:val="20"/>
          <w:szCs w:val="20"/>
          <w:lang w:val="es-ES"/>
        </w:rPr>
        <w:t>es</w:t>
      </w:r>
      <w:r w:rsidR="00D92116" w:rsidRPr="003C379E">
        <w:rPr>
          <w:bCs/>
          <w:color w:val="auto"/>
          <w:sz w:val="20"/>
          <w:szCs w:val="20"/>
          <w:lang w:val="es-ES"/>
        </w:rPr>
        <w:t xml:space="preserve"> </w:t>
      </w:r>
      <w:r w:rsidR="0014193E" w:rsidRPr="003C379E">
        <w:rPr>
          <w:bCs/>
          <w:color w:val="auto"/>
          <w:sz w:val="20"/>
          <w:szCs w:val="20"/>
          <w:lang w:val="es-ES"/>
        </w:rPr>
        <w:t>irrecurrible</w:t>
      </w:r>
      <w:r w:rsidR="00D92116" w:rsidRPr="003C379E">
        <w:rPr>
          <w:bCs/>
          <w:color w:val="auto"/>
          <w:sz w:val="20"/>
          <w:szCs w:val="20"/>
          <w:lang w:val="es-ES"/>
        </w:rPr>
        <w:t xml:space="preserve">. </w:t>
      </w:r>
      <w:r w:rsidR="009115EB" w:rsidRPr="003C379E">
        <w:rPr>
          <w:bCs/>
          <w:color w:val="auto"/>
          <w:sz w:val="20"/>
          <w:szCs w:val="20"/>
          <w:lang w:val="es-ES"/>
        </w:rPr>
        <w:t>Además</w:t>
      </w:r>
      <w:r w:rsidR="00D92116" w:rsidRPr="003C379E">
        <w:rPr>
          <w:bCs/>
          <w:color w:val="auto"/>
          <w:sz w:val="20"/>
          <w:szCs w:val="20"/>
          <w:lang w:val="es-ES"/>
        </w:rPr>
        <w:t xml:space="preserve">, afirma que </w:t>
      </w:r>
      <w:r w:rsidR="00B6265D" w:rsidRPr="003C379E">
        <w:rPr>
          <w:bCs/>
          <w:color w:val="auto"/>
          <w:sz w:val="20"/>
          <w:szCs w:val="20"/>
          <w:lang w:val="es-ES"/>
        </w:rPr>
        <w:t>la</w:t>
      </w:r>
      <w:r w:rsidR="00D92116" w:rsidRPr="003C379E">
        <w:rPr>
          <w:bCs/>
          <w:color w:val="auto"/>
          <w:sz w:val="20"/>
          <w:szCs w:val="20"/>
          <w:lang w:val="es-ES"/>
        </w:rPr>
        <w:t xml:space="preserve"> deci</w:t>
      </w:r>
      <w:r w:rsidR="009115EB" w:rsidRPr="003C379E">
        <w:rPr>
          <w:bCs/>
          <w:color w:val="auto"/>
          <w:sz w:val="20"/>
          <w:szCs w:val="20"/>
          <w:lang w:val="es-ES"/>
        </w:rPr>
        <w:t>sión</w:t>
      </w:r>
      <w:r w:rsidR="00D92116" w:rsidRPr="003C379E">
        <w:rPr>
          <w:bCs/>
          <w:color w:val="auto"/>
          <w:sz w:val="20"/>
          <w:szCs w:val="20"/>
          <w:lang w:val="es-ES"/>
        </w:rPr>
        <w:t xml:space="preserve"> </w:t>
      </w:r>
      <w:r w:rsidR="009115EB" w:rsidRPr="003C379E">
        <w:rPr>
          <w:bCs/>
          <w:color w:val="auto"/>
          <w:sz w:val="20"/>
          <w:szCs w:val="20"/>
          <w:lang w:val="es-ES"/>
        </w:rPr>
        <w:t>de la</w:t>
      </w:r>
      <w:r w:rsidR="00D92116" w:rsidRPr="003C379E">
        <w:rPr>
          <w:bCs/>
          <w:color w:val="auto"/>
          <w:sz w:val="20"/>
          <w:szCs w:val="20"/>
          <w:lang w:val="es-ES"/>
        </w:rPr>
        <w:t xml:space="preserve"> </w:t>
      </w:r>
      <w:r w:rsidR="00AF6C46" w:rsidRPr="003C379E">
        <w:rPr>
          <w:bCs/>
          <w:color w:val="auto"/>
          <w:sz w:val="20"/>
          <w:szCs w:val="20"/>
          <w:lang w:val="es-ES"/>
        </w:rPr>
        <w:t xml:space="preserve">TNU </w:t>
      </w:r>
      <w:r w:rsidR="00D92116" w:rsidRPr="003C379E">
        <w:rPr>
          <w:bCs/>
          <w:color w:val="auto"/>
          <w:sz w:val="20"/>
          <w:szCs w:val="20"/>
          <w:lang w:val="es-ES"/>
        </w:rPr>
        <w:t xml:space="preserve">que </w:t>
      </w:r>
      <w:r w:rsidR="0014193E" w:rsidRPr="003C379E">
        <w:rPr>
          <w:bCs/>
          <w:color w:val="auto"/>
          <w:sz w:val="20"/>
          <w:szCs w:val="20"/>
          <w:lang w:val="es-ES"/>
        </w:rPr>
        <w:t>rechazó</w:t>
      </w:r>
      <w:r w:rsidR="00FB4AA8" w:rsidRPr="003C379E">
        <w:rPr>
          <w:bCs/>
          <w:color w:val="auto"/>
          <w:sz w:val="20"/>
          <w:szCs w:val="20"/>
          <w:lang w:val="es-ES"/>
        </w:rPr>
        <w:t xml:space="preserve"> dicho</w:t>
      </w:r>
      <w:r w:rsidR="00D92116" w:rsidRPr="003C379E">
        <w:rPr>
          <w:bCs/>
          <w:color w:val="auto"/>
          <w:sz w:val="20"/>
          <w:szCs w:val="20"/>
          <w:lang w:val="es-ES"/>
        </w:rPr>
        <w:t xml:space="preserve"> recurso </w:t>
      </w:r>
      <w:r w:rsidR="0014193E" w:rsidRPr="003C379E">
        <w:rPr>
          <w:bCs/>
          <w:color w:val="auto"/>
          <w:sz w:val="20"/>
          <w:szCs w:val="20"/>
          <w:lang w:val="es-ES"/>
        </w:rPr>
        <w:t>se</w:t>
      </w:r>
      <w:r w:rsidR="00D92116" w:rsidRPr="003C379E">
        <w:rPr>
          <w:bCs/>
          <w:color w:val="auto"/>
          <w:sz w:val="20"/>
          <w:szCs w:val="20"/>
          <w:lang w:val="es-ES"/>
        </w:rPr>
        <w:t xml:space="preserve"> registr</w:t>
      </w:r>
      <w:r w:rsidR="0014193E" w:rsidRPr="003C379E">
        <w:rPr>
          <w:bCs/>
          <w:color w:val="auto"/>
          <w:sz w:val="20"/>
          <w:szCs w:val="20"/>
          <w:lang w:val="es-ES"/>
        </w:rPr>
        <w:t>ó</w:t>
      </w:r>
      <w:r w:rsidR="00D92116" w:rsidRPr="003C379E">
        <w:rPr>
          <w:bCs/>
          <w:color w:val="auto"/>
          <w:sz w:val="20"/>
          <w:szCs w:val="20"/>
          <w:lang w:val="es-ES"/>
        </w:rPr>
        <w:t xml:space="preserve"> </w:t>
      </w:r>
      <w:r w:rsidR="0014193E" w:rsidRPr="003C379E">
        <w:rPr>
          <w:bCs/>
          <w:color w:val="auto"/>
          <w:sz w:val="20"/>
          <w:szCs w:val="20"/>
          <w:lang w:val="es-ES"/>
        </w:rPr>
        <w:t>el</w:t>
      </w:r>
      <w:r w:rsidR="009115EB" w:rsidRPr="003C379E">
        <w:rPr>
          <w:bCs/>
          <w:color w:val="auto"/>
          <w:sz w:val="20"/>
          <w:szCs w:val="20"/>
          <w:lang w:val="es-ES"/>
        </w:rPr>
        <w:t xml:space="preserve"> </w:t>
      </w:r>
      <w:r w:rsidR="00D92116" w:rsidRPr="003C379E">
        <w:rPr>
          <w:bCs/>
          <w:color w:val="auto"/>
          <w:sz w:val="20"/>
          <w:szCs w:val="20"/>
          <w:lang w:val="es-ES"/>
        </w:rPr>
        <w:t xml:space="preserve">20 de </w:t>
      </w:r>
      <w:r w:rsidR="009115EB" w:rsidRPr="003C379E">
        <w:rPr>
          <w:bCs/>
          <w:color w:val="auto"/>
          <w:sz w:val="20"/>
          <w:szCs w:val="20"/>
          <w:lang w:val="es-ES"/>
        </w:rPr>
        <w:t>octubre</w:t>
      </w:r>
      <w:r w:rsidR="00D92116" w:rsidRPr="003C379E">
        <w:rPr>
          <w:bCs/>
          <w:color w:val="auto"/>
          <w:sz w:val="20"/>
          <w:szCs w:val="20"/>
          <w:lang w:val="es-ES"/>
        </w:rPr>
        <w:t xml:space="preserve"> de 2012, de </w:t>
      </w:r>
      <w:r w:rsidR="009115EB" w:rsidRPr="003C379E">
        <w:rPr>
          <w:bCs/>
          <w:color w:val="auto"/>
          <w:sz w:val="20"/>
          <w:szCs w:val="20"/>
          <w:lang w:val="es-ES"/>
        </w:rPr>
        <w:t>maner</w:t>
      </w:r>
      <w:r w:rsidR="00D92116" w:rsidRPr="003C379E">
        <w:rPr>
          <w:bCs/>
          <w:color w:val="auto"/>
          <w:sz w:val="20"/>
          <w:szCs w:val="20"/>
          <w:lang w:val="es-ES"/>
        </w:rPr>
        <w:t xml:space="preserve">a que </w:t>
      </w:r>
      <w:r w:rsidR="00B6265D" w:rsidRPr="003C379E">
        <w:rPr>
          <w:bCs/>
          <w:color w:val="auto"/>
          <w:sz w:val="20"/>
          <w:szCs w:val="20"/>
          <w:lang w:val="es-ES"/>
        </w:rPr>
        <w:t>la</w:t>
      </w:r>
      <w:r w:rsidR="00D92116" w:rsidRPr="003C379E">
        <w:rPr>
          <w:bCs/>
          <w:color w:val="auto"/>
          <w:sz w:val="20"/>
          <w:szCs w:val="20"/>
          <w:lang w:val="es-ES"/>
        </w:rPr>
        <w:t xml:space="preserve"> </w:t>
      </w:r>
      <w:r w:rsidR="009115EB" w:rsidRPr="003C379E">
        <w:rPr>
          <w:bCs/>
          <w:color w:val="auto"/>
          <w:sz w:val="20"/>
          <w:szCs w:val="20"/>
          <w:lang w:val="es-ES"/>
        </w:rPr>
        <w:t>present</w:t>
      </w:r>
      <w:r w:rsidR="00D92116" w:rsidRPr="003C379E">
        <w:rPr>
          <w:bCs/>
          <w:color w:val="auto"/>
          <w:sz w:val="20"/>
          <w:szCs w:val="20"/>
          <w:lang w:val="es-ES"/>
        </w:rPr>
        <w:t>a</w:t>
      </w:r>
      <w:r w:rsidR="009115EB" w:rsidRPr="003C379E">
        <w:rPr>
          <w:bCs/>
          <w:color w:val="auto"/>
          <w:sz w:val="20"/>
          <w:szCs w:val="20"/>
          <w:lang w:val="es-ES"/>
        </w:rPr>
        <w:t>ción</w:t>
      </w:r>
      <w:r w:rsidR="00D92116" w:rsidRPr="003C379E">
        <w:rPr>
          <w:bCs/>
          <w:color w:val="auto"/>
          <w:sz w:val="20"/>
          <w:szCs w:val="20"/>
          <w:lang w:val="es-ES"/>
        </w:rPr>
        <w:t xml:space="preserve"> </w:t>
      </w:r>
      <w:r w:rsidR="009115EB" w:rsidRPr="003C379E">
        <w:rPr>
          <w:bCs/>
          <w:color w:val="auto"/>
          <w:sz w:val="20"/>
          <w:szCs w:val="20"/>
          <w:lang w:val="es-ES"/>
        </w:rPr>
        <w:t>del</w:t>
      </w:r>
      <w:r w:rsidR="00D92116" w:rsidRPr="003C379E">
        <w:rPr>
          <w:bCs/>
          <w:color w:val="auto"/>
          <w:sz w:val="20"/>
          <w:szCs w:val="20"/>
          <w:lang w:val="es-ES"/>
        </w:rPr>
        <w:t xml:space="preserve"> caso </w:t>
      </w:r>
      <w:r w:rsidR="009115EB" w:rsidRPr="003C379E">
        <w:rPr>
          <w:bCs/>
          <w:color w:val="auto"/>
          <w:sz w:val="20"/>
          <w:szCs w:val="20"/>
          <w:lang w:val="es-ES"/>
        </w:rPr>
        <w:t>a</w:t>
      </w:r>
      <w:r w:rsidR="00FB4AA8" w:rsidRPr="003C379E">
        <w:rPr>
          <w:bCs/>
          <w:color w:val="auto"/>
          <w:sz w:val="20"/>
          <w:szCs w:val="20"/>
          <w:lang w:val="es-ES"/>
        </w:rPr>
        <w:t>nte</w:t>
      </w:r>
      <w:r w:rsidR="009115EB" w:rsidRPr="003C379E">
        <w:rPr>
          <w:bCs/>
          <w:color w:val="auto"/>
          <w:sz w:val="20"/>
          <w:szCs w:val="20"/>
          <w:lang w:val="es-ES"/>
        </w:rPr>
        <w:t xml:space="preserve"> la</w:t>
      </w:r>
      <w:r w:rsidR="00D92116" w:rsidRPr="003C379E">
        <w:rPr>
          <w:bCs/>
          <w:color w:val="auto"/>
          <w:sz w:val="20"/>
          <w:szCs w:val="20"/>
          <w:lang w:val="es-ES"/>
        </w:rPr>
        <w:t xml:space="preserve"> Comi</w:t>
      </w:r>
      <w:r w:rsidR="009115EB" w:rsidRPr="003C379E">
        <w:rPr>
          <w:bCs/>
          <w:color w:val="auto"/>
          <w:sz w:val="20"/>
          <w:szCs w:val="20"/>
          <w:lang w:val="es-ES"/>
        </w:rPr>
        <w:t>sión</w:t>
      </w:r>
      <w:r w:rsidR="00D92116" w:rsidRPr="003C379E">
        <w:rPr>
          <w:bCs/>
          <w:color w:val="auto"/>
          <w:sz w:val="20"/>
          <w:szCs w:val="20"/>
          <w:lang w:val="es-ES"/>
        </w:rPr>
        <w:t xml:space="preserve"> </w:t>
      </w:r>
      <w:r w:rsidR="0014193E" w:rsidRPr="003C379E">
        <w:rPr>
          <w:bCs/>
          <w:color w:val="auto"/>
          <w:sz w:val="20"/>
          <w:szCs w:val="20"/>
          <w:lang w:val="es-ES"/>
        </w:rPr>
        <w:t>cumpl</w:t>
      </w:r>
      <w:r w:rsidR="00FB4AA8" w:rsidRPr="003C379E">
        <w:rPr>
          <w:bCs/>
          <w:color w:val="auto"/>
          <w:sz w:val="20"/>
          <w:szCs w:val="20"/>
          <w:lang w:val="es-ES"/>
        </w:rPr>
        <w:t>e</w:t>
      </w:r>
      <w:r w:rsidR="0014193E" w:rsidRPr="003C379E">
        <w:rPr>
          <w:bCs/>
          <w:color w:val="auto"/>
          <w:sz w:val="20"/>
          <w:szCs w:val="20"/>
          <w:lang w:val="es-ES"/>
        </w:rPr>
        <w:t xml:space="preserve"> con </w:t>
      </w:r>
      <w:r w:rsidR="009115EB" w:rsidRPr="003C379E">
        <w:rPr>
          <w:bCs/>
          <w:color w:val="auto"/>
          <w:sz w:val="20"/>
          <w:szCs w:val="20"/>
          <w:lang w:val="es-ES"/>
        </w:rPr>
        <w:t>el</w:t>
      </w:r>
      <w:r w:rsidR="00D92116" w:rsidRPr="003C379E">
        <w:rPr>
          <w:bCs/>
          <w:color w:val="auto"/>
          <w:sz w:val="20"/>
          <w:szCs w:val="20"/>
          <w:lang w:val="es-ES"/>
        </w:rPr>
        <w:t xml:space="preserve"> </w:t>
      </w:r>
      <w:r w:rsidR="009115EB" w:rsidRPr="003C379E">
        <w:rPr>
          <w:bCs/>
          <w:color w:val="auto"/>
          <w:sz w:val="20"/>
          <w:szCs w:val="20"/>
          <w:lang w:val="es-ES"/>
        </w:rPr>
        <w:t>plazo</w:t>
      </w:r>
      <w:r w:rsidR="00D92116" w:rsidRPr="003C379E">
        <w:rPr>
          <w:bCs/>
          <w:color w:val="auto"/>
          <w:sz w:val="20"/>
          <w:szCs w:val="20"/>
          <w:lang w:val="es-ES"/>
        </w:rPr>
        <w:t xml:space="preserve"> de seis meses. </w:t>
      </w:r>
      <w:r w:rsidR="0014193E" w:rsidRPr="003C379E">
        <w:rPr>
          <w:bCs/>
          <w:color w:val="auto"/>
          <w:sz w:val="20"/>
          <w:szCs w:val="20"/>
          <w:lang w:val="es-ES"/>
        </w:rPr>
        <w:t>Sostiene</w:t>
      </w:r>
      <w:r w:rsidR="00D33B39" w:rsidRPr="003C379E">
        <w:rPr>
          <w:bCs/>
          <w:color w:val="auto"/>
          <w:sz w:val="20"/>
          <w:szCs w:val="20"/>
          <w:lang w:val="es-ES"/>
        </w:rPr>
        <w:t xml:space="preserve"> que </w:t>
      </w:r>
      <w:r w:rsidR="00B6265D" w:rsidRPr="003C379E">
        <w:rPr>
          <w:bCs/>
          <w:color w:val="auto"/>
          <w:sz w:val="20"/>
          <w:szCs w:val="20"/>
          <w:lang w:val="es-ES"/>
        </w:rPr>
        <w:t>la</w:t>
      </w:r>
      <w:r w:rsidR="00D33B39" w:rsidRPr="003C379E">
        <w:rPr>
          <w:bCs/>
          <w:color w:val="auto"/>
          <w:sz w:val="20"/>
          <w:szCs w:val="20"/>
          <w:lang w:val="es-ES"/>
        </w:rPr>
        <w:t xml:space="preserve"> revi</w:t>
      </w:r>
      <w:r w:rsidR="009115EB" w:rsidRPr="003C379E">
        <w:rPr>
          <w:bCs/>
          <w:color w:val="auto"/>
          <w:sz w:val="20"/>
          <w:szCs w:val="20"/>
          <w:lang w:val="es-ES"/>
        </w:rPr>
        <w:t>sión</w:t>
      </w:r>
      <w:r w:rsidR="00D33B39" w:rsidRPr="003C379E">
        <w:rPr>
          <w:bCs/>
          <w:color w:val="auto"/>
          <w:sz w:val="20"/>
          <w:szCs w:val="20"/>
          <w:lang w:val="es-ES"/>
        </w:rPr>
        <w:t xml:space="preserve"> </w:t>
      </w:r>
      <w:r w:rsidR="0014193E" w:rsidRPr="003C379E">
        <w:rPr>
          <w:bCs/>
          <w:color w:val="auto"/>
          <w:sz w:val="20"/>
          <w:szCs w:val="20"/>
          <w:lang w:val="es-ES"/>
        </w:rPr>
        <w:t>penal</w:t>
      </w:r>
      <w:r w:rsidR="00D33B39" w:rsidRPr="003C379E">
        <w:rPr>
          <w:bCs/>
          <w:color w:val="auto"/>
          <w:sz w:val="20"/>
          <w:szCs w:val="20"/>
          <w:lang w:val="es-ES"/>
        </w:rPr>
        <w:t xml:space="preserve"> </w:t>
      </w:r>
      <w:r w:rsidR="009115EB" w:rsidRPr="003C379E">
        <w:rPr>
          <w:bCs/>
          <w:color w:val="auto"/>
          <w:sz w:val="20"/>
          <w:szCs w:val="20"/>
          <w:lang w:val="es-ES"/>
        </w:rPr>
        <w:t>y</w:t>
      </w:r>
      <w:r w:rsidR="00D33B39" w:rsidRPr="003C379E">
        <w:rPr>
          <w:bCs/>
          <w:color w:val="auto"/>
          <w:sz w:val="20"/>
          <w:szCs w:val="20"/>
          <w:lang w:val="es-ES"/>
        </w:rPr>
        <w:t xml:space="preserve"> </w:t>
      </w:r>
      <w:r w:rsidR="009115EB" w:rsidRPr="003C379E">
        <w:rPr>
          <w:bCs/>
          <w:color w:val="auto"/>
          <w:sz w:val="20"/>
          <w:szCs w:val="20"/>
          <w:lang w:val="es-ES"/>
        </w:rPr>
        <w:t>el</w:t>
      </w:r>
      <w:r w:rsidR="00D33B39" w:rsidRPr="003C379E">
        <w:rPr>
          <w:bCs/>
          <w:color w:val="auto"/>
          <w:sz w:val="20"/>
          <w:szCs w:val="20"/>
          <w:lang w:val="es-ES"/>
        </w:rPr>
        <w:t xml:space="preserve"> </w:t>
      </w:r>
      <w:r w:rsidR="0042784D" w:rsidRPr="003C379E">
        <w:rPr>
          <w:bCs/>
          <w:color w:val="auto"/>
          <w:sz w:val="20"/>
          <w:szCs w:val="20"/>
          <w:lang w:val="es-ES"/>
        </w:rPr>
        <w:t xml:space="preserve">recurso extraordinario </w:t>
      </w:r>
      <w:r w:rsidR="009115EB" w:rsidRPr="003C379E">
        <w:rPr>
          <w:bCs/>
          <w:color w:val="auto"/>
          <w:sz w:val="20"/>
          <w:szCs w:val="20"/>
          <w:lang w:val="es-ES"/>
        </w:rPr>
        <w:t>no</w:t>
      </w:r>
      <w:r w:rsidR="00D33B39" w:rsidRPr="003C379E">
        <w:rPr>
          <w:bCs/>
          <w:color w:val="auto"/>
          <w:sz w:val="20"/>
          <w:szCs w:val="20"/>
          <w:lang w:val="es-ES"/>
        </w:rPr>
        <w:t xml:space="preserve"> </w:t>
      </w:r>
      <w:r w:rsidR="009115EB" w:rsidRPr="003C379E">
        <w:rPr>
          <w:bCs/>
          <w:color w:val="auto"/>
          <w:sz w:val="20"/>
          <w:szCs w:val="20"/>
          <w:lang w:val="es-ES"/>
        </w:rPr>
        <w:t>son</w:t>
      </w:r>
      <w:r w:rsidR="00D33B39" w:rsidRPr="003C379E">
        <w:rPr>
          <w:bCs/>
          <w:color w:val="auto"/>
          <w:sz w:val="20"/>
          <w:szCs w:val="20"/>
          <w:lang w:val="es-ES"/>
        </w:rPr>
        <w:t xml:space="preserve"> recursos </w:t>
      </w:r>
      <w:r w:rsidR="00BF6A21" w:rsidRPr="003C379E">
        <w:rPr>
          <w:bCs/>
          <w:color w:val="auto"/>
          <w:sz w:val="20"/>
          <w:szCs w:val="20"/>
          <w:lang w:val="es-ES"/>
        </w:rPr>
        <w:t>idóneos</w:t>
      </w:r>
      <w:r w:rsidR="00D33B39" w:rsidRPr="003C379E">
        <w:rPr>
          <w:bCs/>
          <w:color w:val="auto"/>
          <w:sz w:val="20"/>
          <w:szCs w:val="20"/>
          <w:lang w:val="es-ES"/>
        </w:rPr>
        <w:t xml:space="preserve"> </w:t>
      </w:r>
      <w:r w:rsidR="0014193E" w:rsidRPr="003C379E">
        <w:rPr>
          <w:bCs/>
          <w:color w:val="auto"/>
          <w:sz w:val="20"/>
          <w:szCs w:val="20"/>
          <w:lang w:val="es-ES"/>
        </w:rPr>
        <w:t>ni</w:t>
      </w:r>
      <w:r w:rsidR="00D33B39" w:rsidRPr="003C379E">
        <w:rPr>
          <w:bCs/>
          <w:color w:val="auto"/>
          <w:sz w:val="20"/>
          <w:szCs w:val="20"/>
          <w:lang w:val="es-ES"/>
        </w:rPr>
        <w:t xml:space="preserve"> </w:t>
      </w:r>
      <w:r w:rsidR="009115EB" w:rsidRPr="003C379E">
        <w:rPr>
          <w:bCs/>
          <w:color w:val="auto"/>
          <w:sz w:val="20"/>
          <w:szCs w:val="20"/>
          <w:lang w:val="es-ES"/>
        </w:rPr>
        <w:t>efectiv</w:t>
      </w:r>
      <w:r w:rsidR="00D33B39" w:rsidRPr="003C379E">
        <w:rPr>
          <w:bCs/>
          <w:color w:val="auto"/>
          <w:sz w:val="20"/>
          <w:szCs w:val="20"/>
          <w:lang w:val="es-ES"/>
        </w:rPr>
        <w:t xml:space="preserve">os para </w:t>
      </w:r>
      <w:r w:rsidR="009115EB" w:rsidRPr="003C379E">
        <w:rPr>
          <w:bCs/>
          <w:color w:val="auto"/>
          <w:sz w:val="20"/>
          <w:szCs w:val="20"/>
          <w:lang w:val="es-ES"/>
        </w:rPr>
        <w:t>el</w:t>
      </w:r>
      <w:r w:rsidR="00D33B39" w:rsidRPr="003C379E">
        <w:rPr>
          <w:bCs/>
          <w:color w:val="auto"/>
          <w:sz w:val="20"/>
          <w:szCs w:val="20"/>
          <w:lang w:val="es-ES"/>
        </w:rPr>
        <w:t xml:space="preserve"> caso. </w:t>
      </w:r>
      <w:r w:rsidR="0014193E" w:rsidRPr="003C379E">
        <w:rPr>
          <w:bCs/>
          <w:color w:val="auto"/>
          <w:sz w:val="20"/>
          <w:szCs w:val="20"/>
          <w:lang w:val="es-ES"/>
        </w:rPr>
        <w:t>Asimismo</w:t>
      </w:r>
      <w:r w:rsidR="00D33B39" w:rsidRPr="003C379E">
        <w:rPr>
          <w:bCs/>
          <w:color w:val="auto"/>
          <w:sz w:val="20"/>
          <w:szCs w:val="20"/>
          <w:lang w:val="es-ES"/>
        </w:rPr>
        <w:t xml:space="preserve">, </w:t>
      </w:r>
      <w:r w:rsidR="009115EB" w:rsidRPr="003C379E">
        <w:rPr>
          <w:bCs/>
          <w:color w:val="auto"/>
          <w:sz w:val="20"/>
          <w:szCs w:val="20"/>
          <w:lang w:val="es-ES"/>
        </w:rPr>
        <w:t>el</w:t>
      </w:r>
      <w:r w:rsidR="00D33B39" w:rsidRPr="003C379E">
        <w:rPr>
          <w:bCs/>
          <w:color w:val="auto"/>
          <w:sz w:val="20"/>
          <w:szCs w:val="20"/>
          <w:lang w:val="es-ES"/>
        </w:rPr>
        <w:t xml:space="preserve"> Estado afirma que </w:t>
      </w:r>
      <w:r w:rsidR="009115EB" w:rsidRPr="003C379E">
        <w:rPr>
          <w:bCs/>
          <w:color w:val="auto"/>
          <w:sz w:val="20"/>
          <w:szCs w:val="20"/>
          <w:lang w:val="es-ES"/>
        </w:rPr>
        <w:t>no</w:t>
      </w:r>
      <w:r w:rsidR="00D33B39" w:rsidRPr="003C379E">
        <w:rPr>
          <w:bCs/>
          <w:color w:val="auto"/>
          <w:sz w:val="20"/>
          <w:szCs w:val="20"/>
          <w:lang w:val="es-ES"/>
        </w:rPr>
        <w:t xml:space="preserve"> </w:t>
      </w:r>
      <w:r w:rsidR="0014193E" w:rsidRPr="003C379E">
        <w:rPr>
          <w:color w:val="auto"/>
          <w:sz w:val="20"/>
          <w:szCs w:val="20"/>
          <w:lang w:val="es-ES"/>
        </w:rPr>
        <w:t xml:space="preserve">se agotaron </w:t>
      </w:r>
      <w:r w:rsidR="009115EB" w:rsidRPr="003C379E">
        <w:rPr>
          <w:bCs/>
          <w:color w:val="auto"/>
          <w:sz w:val="20"/>
          <w:szCs w:val="20"/>
          <w:lang w:val="es-ES"/>
        </w:rPr>
        <w:t>los</w:t>
      </w:r>
      <w:r w:rsidR="00D33B39" w:rsidRPr="003C379E">
        <w:rPr>
          <w:bCs/>
          <w:color w:val="auto"/>
          <w:sz w:val="20"/>
          <w:szCs w:val="20"/>
          <w:lang w:val="es-ES"/>
        </w:rPr>
        <w:t xml:space="preserve"> </w:t>
      </w:r>
      <w:r w:rsidR="009115EB" w:rsidRPr="003C379E">
        <w:rPr>
          <w:bCs/>
          <w:color w:val="auto"/>
          <w:sz w:val="20"/>
          <w:szCs w:val="20"/>
          <w:lang w:val="es-ES"/>
        </w:rPr>
        <w:t>siguiente</w:t>
      </w:r>
      <w:r w:rsidR="00D33B39" w:rsidRPr="003C379E">
        <w:rPr>
          <w:bCs/>
          <w:color w:val="auto"/>
          <w:sz w:val="20"/>
          <w:szCs w:val="20"/>
          <w:lang w:val="es-ES"/>
        </w:rPr>
        <w:t xml:space="preserve">s recursos: </w:t>
      </w:r>
      <w:r w:rsidR="0042784D" w:rsidRPr="003C379E">
        <w:rPr>
          <w:bCs/>
          <w:color w:val="auto"/>
          <w:sz w:val="20"/>
          <w:szCs w:val="20"/>
          <w:lang w:val="es-ES"/>
        </w:rPr>
        <w:t>recurso extraordinario</w:t>
      </w:r>
      <w:r w:rsidR="00E46916" w:rsidRPr="003C379E">
        <w:rPr>
          <w:bCs/>
          <w:color w:val="auto"/>
          <w:sz w:val="20"/>
          <w:szCs w:val="20"/>
          <w:lang w:val="es-ES"/>
        </w:rPr>
        <w:t>, revi</w:t>
      </w:r>
      <w:r w:rsidR="009115EB" w:rsidRPr="003C379E">
        <w:rPr>
          <w:bCs/>
          <w:color w:val="auto"/>
          <w:sz w:val="20"/>
          <w:szCs w:val="20"/>
          <w:lang w:val="es-ES"/>
        </w:rPr>
        <w:t>sión</w:t>
      </w:r>
      <w:r w:rsidR="00E46916" w:rsidRPr="003C379E">
        <w:rPr>
          <w:bCs/>
          <w:color w:val="auto"/>
          <w:sz w:val="20"/>
          <w:szCs w:val="20"/>
          <w:lang w:val="es-ES"/>
        </w:rPr>
        <w:t xml:space="preserve"> </w:t>
      </w:r>
      <w:r w:rsidR="0014193E" w:rsidRPr="003C379E">
        <w:rPr>
          <w:bCs/>
          <w:color w:val="auto"/>
          <w:sz w:val="20"/>
          <w:szCs w:val="20"/>
          <w:lang w:val="es-ES"/>
        </w:rPr>
        <w:t>penal</w:t>
      </w:r>
      <w:r w:rsidR="00E46916" w:rsidRPr="003C379E">
        <w:rPr>
          <w:bCs/>
          <w:color w:val="auto"/>
          <w:sz w:val="20"/>
          <w:szCs w:val="20"/>
          <w:lang w:val="es-ES"/>
        </w:rPr>
        <w:t xml:space="preserve"> </w:t>
      </w:r>
      <w:r w:rsidR="009115EB" w:rsidRPr="003C379E">
        <w:rPr>
          <w:bCs/>
          <w:color w:val="auto"/>
          <w:sz w:val="20"/>
          <w:szCs w:val="20"/>
          <w:lang w:val="es-ES"/>
        </w:rPr>
        <w:t>y</w:t>
      </w:r>
      <w:r w:rsidR="00E46916" w:rsidRPr="003C379E">
        <w:rPr>
          <w:bCs/>
          <w:color w:val="auto"/>
          <w:sz w:val="20"/>
          <w:szCs w:val="20"/>
          <w:lang w:val="es-ES"/>
        </w:rPr>
        <w:t xml:space="preserve"> </w:t>
      </w:r>
      <w:r w:rsidR="009115EB" w:rsidRPr="003C379E">
        <w:rPr>
          <w:bCs/>
          <w:color w:val="auto"/>
          <w:sz w:val="20"/>
          <w:szCs w:val="20"/>
          <w:lang w:val="es-ES"/>
        </w:rPr>
        <w:t>acción</w:t>
      </w:r>
      <w:r w:rsidR="00E46916" w:rsidRPr="003C379E">
        <w:rPr>
          <w:bCs/>
          <w:color w:val="auto"/>
          <w:sz w:val="20"/>
          <w:szCs w:val="20"/>
          <w:lang w:val="es-ES"/>
        </w:rPr>
        <w:t xml:space="preserve"> civil reparat</w:t>
      </w:r>
      <w:r w:rsidR="00B05EA6" w:rsidRPr="003C379E">
        <w:rPr>
          <w:bCs/>
          <w:color w:val="auto"/>
          <w:sz w:val="20"/>
          <w:szCs w:val="20"/>
          <w:lang w:val="es-ES"/>
        </w:rPr>
        <w:t>oria</w:t>
      </w:r>
      <w:r w:rsidR="00E46916" w:rsidRPr="003C379E">
        <w:rPr>
          <w:bCs/>
          <w:color w:val="auto"/>
          <w:sz w:val="20"/>
          <w:szCs w:val="20"/>
          <w:lang w:val="es-ES"/>
        </w:rPr>
        <w:t xml:space="preserve"> de</w:t>
      </w:r>
      <w:r w:rsidR="00FB4AA8" w:rsidRPr="003C379E">
        <w:rPr>
          <w:bCs/>
          <w:color w:val="auto"/>
          <w:sz w:val="20"/>
          <w:szCs w:val="20"/>
          <w:lang w:val="es-ES"/>
        </w:rPr>
        <w:t>l</w:t>
      </w:r>
      <w:r w:rsidR="00E46916" w:rsidRPr="003C379E">
        <w:rPr>
          <w:bCs/>
          <w:color w:val="auto"/>
          <w:sz w:val="20"/>
          <w:szCs w:val="20"/>
          <w:lang w:val="es-ES"/>
        </w:rPr>
        <w:t xml:space="preserve"> </w:t>
      </w:r>
      <w:r w:rsidR="009115EB" w:rsidRPr="003C379E">
        <w:rPr>
          <w:bCs/>
          <w:color w:val="auto"/>
          <w:sz w:val="20"/>
          <w:szCs w:val="20"/>
          <w:lang w:val="es-ES"/>
        </w:rPr>
        <w:t>daño</w:t>
      </w:r>
      <w:r w:rsidR="00E46916" w:rsidRPr="003C379E">
        <w:rPr>
          <w:bCs/>
          <w:color w:val="auto"/>
          <w:sz w:val="20"/>
          <w:szCs w:val="20"/>
          <w:lang w:val="es-ES"/>
        </w:rPr>
        <w:t xml:space="preserve"> moral.</w:t>
      </w:r>
    </w:p>
    <w:p w14:paraId="7FE07381" w14:textId="77777777" w:rsidR="00626089" w:rsidRPr="00626089" w:rsidRDefault="00626089" w:rsidP="00626089">
      <w:pPr>
        <w:suppressAutoHyphens/>
        <w:spacing w:before="120" w:after="120"/>
        <w:jc w:val="both"/>
        <w:rPr>
          <w:sz w:val="20"/>
          <w:szCs w:val="20"/>
          <w:lang w:val="es-ES"/>
        </w:rPr>
      </w:pPr>
    </w:p>
    <w:p w14:paraId="70608977" w14:textId="3D1C822E" w:rsidR="00560E0D" w:rsidRPr="003C379E" w:rsidRDefault="00B6265D" w:rsidP="00560E0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color w:val="auto"/>
          <w:sz w:val="20"/>
          <w:szCs w:val="20"/>
          <w:lang w:val="es-ES"/>
        </w:rPr>
      </w:pPr>
      <w:r w:rsidRPr="003C379E">
        <w:rPr>
          <w:bCs/>
          <w:color w:val="auto"/>
          <w:sz w:val="20"/>
          <w:szCs w:val="20"/>
          <w:lang w:val="es-ES"/>
        </w:rPr>
        <w:t>La</w:t>
      </w:r>
      <w:r w:rsidR="0067419C" w:rsidRPr="003C379E">
        <w:rPr>
          <w:bCs/>
          <w:color w:val="auto"/>
          <w:sz w:val="20"/>
          <w:szCs w:val="20"/>
          <w:lang w:val="es-ES"/>
        </w:rPr>
        <w:t xml:space="preserve"> Comi</w:t>
      </w:r>
      <w:r w:rsidR="009115EB" w:rsidRPr="003C379E">
        <w:rPr>
          <w:bCs/>
          <w:color w:val="auto"/>
          <w:sz w:val="20"/>
          <w:szCs w:val="20"/>
          <w:lang w:val="es-ES"/>
        </w:rPr>
        <w:t>sión</w:t>
      </w:r>
      <w:r w:rsidR="0067419C" w:rsidRPr="003C379E">
        <w:rPr>
          <w:bCs/>
          <w:color w:val="auto"/>
          <w:sz w:val="20"/>
          <w:szCs w:val="20"/>
          <w:lang w:val="es-ES"/>
        </w:rPr>
        <w:t xml:space="preserve"> constata que </w:t>
      </w:r>
      <w:r w:rsidR="009115EB" w:rsidRPr="003C379E">
        <w:rPr>
          <w:bCs/>
          <w:color w:val="auto"/>
          <w:sz w:val="20"/>
          <w:szCs w:val="20"/>
          <w:lang w:val="es-ES"/>
        </w:rPr>
        <w:t>el</w:t>
      </w:r>
      <w:r w:rsidR="0067419C" w:rsidRPr="003C379E">
        <w:rPr>
          <w:bCs/>
          <w:color w:val="auto"/>
          <w:sz w:val="20"/>
          <w:szCs w:val="20"/>
          <w:lang w:val="es-ES"/>
        </w:rPr>
        <w:t xml:space="preserve"> proce</w:t>
      </w:r>
      <w:r w:rsidR="00B05EA6" w:rsidRPr="003C379E">
        <w:rPr>
          <w:bCs/>
          <w:color w:val="auto"/>
          <w:sz w:val="20"/>
          <w:szCs w:val="20"/>
          <w:lang w:val="es-ES"/>
        </w:rPr>
        <w:t>s</w:t>
      </w:r>
      <w:r w:rsidR="0067419C" w:rsidRPr="003C379E">
        <w:rPr>
          <w:bCs/>
          <w:color w:val="auto"/>
          <w:sz w:val="20"/>
          <w:szCs w:val="20"/>
          <w:lang w:val="es-ES"/>
        </w:rPr>
        <w:t xml:space="preserve">o </w:t>
      </w:r>
      <w:r w:rsidR="00FB4AA8" w:rsidRPr="003C379E">
        <w:rPr>
          <w:bCs/>
          <w:color w:val="auto"/>
          <w:sz w:val="20"/>
          <w:szCs w:val="20"/>
          <w:lang w:val="es-ES"/>
        </w:rPr>
        <w:t>pen</w:t>
      </w:r>
      <w:r w:rsidR="0067419C" w:rsidRPr="003C379E">
        <w:rPr>
          <w:bCs/>
          <w:color w:val="auto"/>
          <w:sz w:val="20"/>
          <w:szCs w:val="20"/>
          <w:lang w:val="es-ES"/>
        </w:rPr>
        <w:t xml:space="preserve">al contra </w:t>
      </w:r>
      <w:r w:rsidR="009115EB" w:rsidRPr="003C379E">
        <w:rPr>
          <w:bCs/>
          <w:color w:val="auto"/>
          <w:sz w:val="20"/>
          <w:szCs w:val="20"/>
          <w:lang w:val="es-ES"/>
        </w:rPr>
        <w:t>el</w:t>
      </w:r>
      <w:r w:rsidR="0067419C" w:rsidRPr="003C379E">
        <w:rPr>
          <w:bCs/>
          <w:color w:val="auto"/>
          <w:sz w:val="20"/>
          <w:szCs w:val="20"/>
          <w:lang w:val="es-ES"/>
        </w:rPr>
        <w:t xml:space="preserve"> Sr. Starling </w:t>
      </w:r>
      <w:r w:rsidR="00FB4AA8" w:rsidRPr="003C379E">
        <w:rPr>
          <w:bCs/>
          <w:color w:val="auto"/>
          <w:sz w:val="20"/>
          <w:szCs w:val="20"/>
          <w:lang w:val="es-ES"/>
        </w:rPr>
        <w:t xml:space="preserve">se </w:t>
      </w:r>
      <w:r w:rsidR="0067419C" w:rsidRPr="003C379E">
        <w:rPr>
          <w:bCs/>
          <w:color w:val="auto"/>
          <w:sz w:val="20"/>
          <w:szCs w:val="20"/>
          <w:lang w:val="es-ES"/>
        </w:rPr>
        <w:t>trami</w:t>
      </w:r>
      <w:r w:rsidR="009115EB" w:rsidRPr="003C379E">
        <w:rPr>
          <w:bCs/>
          <w:color w:val="auto"/>
          <w:sz w:val="20"/>
          <w:szCs w:val="20"/>
          <w:lang w:val="es-ES"/>
        </w:rPr>
        <w:t xml:space="preserve">tó </w:t>
      </w:r>
      <w:r w:rsidR="00111D20" w:rsidRPr="003C379E">
        <w:rPr>
          <w:bCs/>
          <w:color w:val="auto"/>
          <w:sz w:val="20"/>
          <w:szCs w:val="20"/>
          <w:lang w:val="es-ES"/>
        </w:rPr>
        <w:t>ante</w:t>
      </w:r>
      <w:r w:rsidR="0067419C" w:rsidRPr="003C379E">
        <w:rPr>
          <w:bCs/>
          <w:color w:val="auto"/>
          <w:sz w:val="20"/>
          <w:szCs w:val="20"/>
          <w:lang w:val="es-ES"/>
        </w:rPr>
        <w:t xml:space="preserve"> </w:t>
      </w:r>
      <w:r w:rsidR="009115EB" w:rsidRPr="003C379E">
        <w:rPr>
          <w:bCs/>
          <w:color w:val="auto"/>
          <w:sz w:val="20"/>
          <w:szCs w:val="20"/>
          <w:lang w:val="es-ES"/>
        </w:rPr>
        <w:t>el</w:t>
      </w:r>
      <w:r w:rsidR="00111D20" w:rsidRPr="003C379E">
        <w:rPr>
          <w:bCs/>
          <w:color w:val="auto"/>
          <w:sz w:val="20"/>
          <w:szCs w:val="20"/>
          <w:lang w:val="es-ES"/>
        </w:rPr>
        <w:t xml:space="preserve"> Ju</w:t>
      </w:r>
      <w:r w:rsidR="0067419C" w:rsidRPr="003C379E">
        <w:rPr>
          <w:bCs/>
          <w:color w:val="auto"/>
          <w:sz w:val="20"/>
          <w:szCs w:val="20"/>
          <w:lang w:val="es-ES"/>
        </w:rPr>
        <w:t>z</w:t>
      </w:r>
      <w:r w:rsidR="00111D20" w:rsidRPr="003C379E">
        <w:rPr>
          <w:bCs/>
          <w:color w:val="auto"/>
          <w:sz w:val="20"/>
          <w:szCs w:val="20"/>
          <w:lang w:val="es-ES"/>
        </w:rPr>
        <w:t>g</w:t>
      </w:r>
      <w:r w:rsidR="0067419C" w:rsidRPr="003C379E">
        <w:rPr>
          <w:bCs/>
          <w:color w:val="auto"/>
          <w:sz w:val="20"/>
          <w:szCs w:val="20"/>
          <w:lang w:val="es-ES"/>
        </w:rPr>
        <w:t xml:space="preserve">ado Especial </w:t>
      </w:r>
      <w:r w:rsidR="00111D20" w:rsidRPr="003C379E">
        <w:rPr>
          <w:bCs/>
          <w:color w:val="auto"/>
          <w:sz w:val="20"/>
          <w:szCs w:val="20"/>
          <w:lang w:val="es-ES"/>
        </w:rPr>
        <w:t>Penal</w:t>
      </w:r>
      <w:r w:rsidR="0067419C" w:rsidRPr="003C379E">
        <w:rPr>
          <w:bCs/>
          <w:color w:val="auto"/>
          <w:sz w:val="20"/>
          <w:szCs w:val="20"/>
          <w:lang w:val="es-ES"/>
        </w:rPr>
        <w:t xml:space="preserve">, </w:t>
      </w:r>
      <w:r w:rsidR="00111D20" w:rsidRPr="003C379E">
        <w:rPr>
          <w:bCs/>
          <w:color w:val="auto"/>
          <w:sz w:val="20"/>
          <w:szCs w:val="20"/>
          <w:lang w:val="es-ES"/>
        </w:rPr>
        <w:t>d</w:t>
      </w:r>
      <w:r w:rsidR="009115EB" w:rsidRPr="003C379E">
        <w:rPr>
          <w:bCs/>
          <w:color w:val="auto"/>
          <w:sz w:val="20"/>
          <w:szCs w:val="20"/>
          <w:lang w:val="es-ES"/>
        </w:rPr>
        <w:t xml:space="preserve">e </w:t>
      </w:r>
      <w:r w:rsidR="0067419C" w:rsidRPr="003C379E">
        <w:rPr>
          <w:bCs/>
          <w:color w:val="auto"/>
          <w:sz w:val="20"/>
          <w:szCs w:val="20"/>
          <w:lang w:val="es-ES"/>
        </w:rPr>
        <w:t>conformi</w:t>
      </w:r>
      <w:r w:rsidR="009115EB" w:rsidRPr="003C379E">
        <w:rPr>
          <w:bCs/>
          <w:color w:val="auto"/>
          <w:sz w:val="20"/>
          <w:szCs w:val="20"/>
          <w:lang w:val="es-ES"/>
        </w:rPr>
        <w:t>dad con</w:t>
      </w:r>
      <w:r w:rsidR="0067419C" w:rsidRPr="003C379E">
        <w:rPr>
          <w:bCs/>
          <w:color w:val="auto"/>
          <w:sz w:val="20"/>
          <w:szCs w:val="20"/>
          <w:lang w:val="es-ES"/>
        </w:rPr>
        <w:t xml:space="preserve"> </w:t>
      </w:r>
      <w:r w:rsidR="00BF6A21" w:rsidRPr="003C379E">
        <w:rPr>
          <w:bCs/>
          <w:color w:val="auto"/>
          <w:sz w:val="20"/>
          <w:szCs w:val="20"/>
          <w:lang w:val="es-ES"/>
        </w:rPr>
        <w:t>l</w:t>
      </w:r>
      <w:r w:rsidR="0067419C" w:rsidRPr="003C379E">
        <w:rPr>
          <w:bCs/>
          <w:color w:val="auto"/>
          <w:sz w:val="20"/>
          <w:szCs w:val="20"/>
          <w:lang w:val="es-ES"/>
        </w:rPr>
        <w:t xml:space="preserve">a </w:t>
      </w:r>
      <w:r w:rsidR="009115EB" w:rsidRPr="003C379E">
        <w:rPr>
          <w:bCs/>
          <w:color w:val="auto"/>
          <w:sz w:val="20"/>
          <w:szCs w:val="20"/>
          <w:lang w:val="es-ES"/>
        </w:rPr>
        <w:t>Ley</w:t>
      </w:r>
      <w:r w:rsidR="0067419C" w:rsidRPr="003C379E">
        <w:rPr>
          <w:bCs/>
          <w:color w:val="auto"/>
          <w:sz w:val="20"/>
          <w:szCs w:val="20"/>
          <w:lang w:val="es-ES"/>
        </w:rPr>
        <w:t xml:space="preserve"> </w:t>
      </w:r>
      <w:r w:rsidR="009115EB" w:rsidRPr="003C379E">
        <w:rPr>
          <w:bCs/>
          <w:color w:val="auto"/>
          <w:sz w:val="20"/>
          <w:szCs w:val="20"/>
          <w:lang w:val="es-ES"/>
        </w:rPr>
        <w:t>No.</w:t>
      </w:r>
      <w:r w:rsidR="0067419C" w:rsidRPr="003C379E">
        <w:rPr>
          <w:bCs/>
          <w:color w:val="auto"/>
          <w:sz w:val="20"/>
          <w:szCs w:val="20"/>
          <w:lang w:val="es-ES"/>
        </w:rPr>
        <w:t xml:space="preserve"> 9099/1995. </w:t>
      </w:r>
      <w:r w:rsidR="00111D20" w:rsidRPr="003C379E">
        <w:rPr>
          <w:bCs/>
          <w:color w:val="auto"/>
          <w:sz w:val="20"/>
          <w:szCs w:val="20"/>
          <w:lang w:val="es-ES"/>
        </w:rPr>
        <w:t>L</w:t>
      </w:r>
      <w:r w:rsidR="009115EB" w:rsidRPr="003C379E">
        <w:rPr>
          <w:bCs/>
          <w:color w:val="auto"/>
          <w:sz w:val="20"/>
          <w:szCs w:val="20"/>
          <w:lang w:val="es-ES"/>
        </w:rPr>
        <w:t>uego</w:t>
      </w:r>
      <w:r w:rsidR="00FB4AA8" w:rsidRPr="003C379E">
        <w:rPr>
          <w:bCs/>
          <w:color w:val="auto"/>
          <w:sz w:val="20"/>
          <w:szCs w:val="20"/>
          <w:lang w:val="es-ES"/>
        </w:rPr>
        <w:t xml:space="preserve"> de que el Sr. Starling fuera</w:t>
      </w:r>
      <w:r w:rsidR="0067419C" w:rsidRPr="003C379E">
        <w:rPr>
          <w:bCs/>
          <w:color w:val="auto"/>
          <w:sz w:val="20"/>
          <w:szCs w:val="20"/>
          <w:lang w:val="es-ES"/>
        </w:rPr>
        <w:t xml:space="preserve"> condenado </w:t>
      </w:r>
      <w:r w:rsidR="009115EB" w:rsidRPr="003C379E">
        <w:rPr>
          <w:bCs/>
          <w:color w:val="auto"/>
          <w:sz w:val="20"/>
          <w:szCs w:val="20"/>
          <w:lang w:val="es-ES"/>
        </w:rPr>
        <w:t xml:space="preserve">en </w:t>
      </w:r>
      <w:r w:rsidR="00B30B5A" w:rsidRPr="003C379E">
        <w:rPr>
          <w:bCs/>
          <w:color w:val="auto"/>
          <w:sz w:val="20"/>
          <w:szCs w:val="20"/>
          <w:lang w:val="es-ES"/>
        </w:rPr>
        <w:t>primer</w:t>
      </w:r>
      <w:r w:rsidR="0067419C" w:rsidRPr="003C379E">
        <w:rPr>
          <w:bCs/>
          <w:color w:val="auto"/>
          <w:sz w:val="20"/>
          <w:szCs w:val="20"/>
          <w:lang w:val="es-ES"/>
        </w:rPr>
        <w:t>a inst</w:t>
      </w:r>
      <w:r w:rsidR="009115EB" w:rsidRPr="003C379E">
        <w:rPr>
          <w:bCs/>
          <w:color w:val="auto"/>
          <w:sz w:val="20"/>
          <w:szCs w:val="20"/>
          <w:lang w:val="es-ES"/>
        </w:rPr>
        <w:t>ancia</w:t>
      </w:r>
      <w:r w:rsidR="0067419C" w:rsidRPr="003C379E">
        <w:rPr>
          <w:bCs/>
          <w:color w:val="auto"/>
          <w:sz w:val="20"/>
          <w:szCs w:val="20"/>
          <w:lang w:val="es-ES"/>
        </w:rPr>
        <w:t xml:space="preserve">, </w:t>
      </w:r>
      <w:r w:rsidR="00B271DA" w:rsidRPr="003C379E">
        <w:rPr>
          <w:bCs/>
          <w:color w:val="auto"/>
          <w:sz w:val="20"/>
          <w:szCs w:val="20"/>
          <w:lang w:val="es-ES"/>
        </w:rPr>
        <w:t xml:space="preserve">el 23 de noviembre de 2011, </w:t>
      </w:r>
      <w:r w:rsidRPr="003C379E">
        <w:rPr>
          <w:bCs/>
          <w:color w:val="auto"/>
          <w:sz w:val="20"/>
          <w:szCs w:val="20"/>
          <w:lang w:val="es-ES"/>
        </w:rPr>
        <w:t>la</w:t>
      </w:r>
      <w:r w:rsidR="0067419C" w:rsidRPr="003C379E">
        <w:rPr>
          <w:bCs/>
          <w:color w:val="auto"/>
          <w:sz w:val="20"/>
          <w:szCs w:val="20"/>
          <w:lang w:val="es-ES"/>
        </w:rPr>
        <w:t xml:space="preserve"> </w:t>
      </w:r>
      <w:r w:rsidR="00111D20" w:rsidRPr="003C379E">
        <w:rPr>
          <w:bCs/>
          <w:color w:val="auto"/>
          <w:sz w:val="20"/>
          <w:szCs w:val="20"/>
          <w:lang w:val="es-ES"/>
        </w:rPr>
        <w:t>defensa</w:t>
      </w:r>
      <w:r w:rsidR="0067419C" w:rsidRPr="003C379E">
        <w:rPr>
          <w:bCs/>
          <w:color w:val="auto"/>
          <w:sz w:val="20"/>
          <w:szCs w:val="20"/>
          <w:lang w:val="es-ES"/>
        </w:rPr>
        <w:t xml:space="preserve"> </w:t>
      </w:r>
      <w:r w:rsidR="009115EB" w:rsidRPr="003C379E">
        <w:rPr>
          <w:bCs/>
          <w:color w:val="auto"/>
          <w:sz w:val="20"/>
          <w:szCs w:val="20"/>
          <w:lang w:val="es-ES"/>
        </w:rPr>
        <w:t>de la</w:t>
      </w:r>
      <w:r w:rsidR="0067419C" w:rsidRPr="003C379E">
        <w:rPr>
          <w:bCs/>
          <w:color w:val="auto"/>
          <w:sz w:val="20"/>
          <w:szCs w:val="20"/>
          <w:lang w:val="es-ES"/>
        </w:rPr>
        <w:t xml:space="preserve"> </w:t>
      </w:r>
      <w:r w:rsidR="00B05EA6" w:rsidRPr="003C379E">
        <w:rPr>
          <w:bCs/>
          <w:color w:val="auto"/>
          <w:sz w:val="20"/>
          <w:szCs w:val="20"/>
          <w:lang w:val="es-ES"/>
        </w:rPr>
        <w:t>presunta v</w:t>
      </w:r>
      <w:r w:rsidR="009115EB" w:rsidRPr="003C379E">
        <w:rPr>
          <w:bCs/>
          <w:color w:val="auto"/>
          <w:sz w:val="20"/>
          <w:szCs w:val="20"/>
          <w:lang w:val="es-ES"/>
        </w:rPr>
        <w:t>íctima</w:t>
      </w:r>
      <w:r w:rsidR="0067419C" w:rsidRPr="003C379E">
        <w:rPr>
          <w:bCs/>
          <w:color w:val="auto"/>
          <w:sz w:val="20"/>
          <w:szCs w:val="20"/>
          <w:lang w:val="es-ES"/>
        </w:rPr>
        <w:t xml:space="preserve"> </w:t>
      </w:r>
      <w:r w:rsidR="009115EB" w:rsidRPr="003C379E">
        <w:rPr>
          <w:bCs/>
          <w:color w:val="auto"/>
          <w:sz w:val="20"/>
          <w:szCs w:val="20"/>
          <w:lang w:val="es-ES"/>
        </w:rPr>
        <w:t xml:space="preserve">presentó </w:t>
      </w:r>
      <w:r w:rsidR="0067419C" w:rsidRPr="003C379E">
        <w:rPr>
          <w:bCs/>
          <w:color w:val="auto"/>
          <w:sz w:val="20"/>
          <w:szCs w:val="20"/>
          <w:lang w:val="es-ES"/>
        </w:rPr>
        <w:t>recurso de apela</w:t>
      </w:r>
      <w:r w:rsidR="009115EB" w:rsidRPr="003C379E">
        <w:rPr>
          <w:bCs/>
          <w:color w:val="auto"/>
          <w:sz w:val="20"/>
          <w:szCs w:val="20"/>
          <w:lang w:val="es-ES"/>
        </w:rPr>
        <w:t>ción</w:t>
      </w:r>
      <w:r w:rsidR="0067419C" w:rsidRPr="003C379E">
        <w:rPr>
          <w:bCs/>
          <w:color w:val="auto"/>
          <w:sz w:val="20"/>
          <w:szCs w:val="20"/>
          <w:lang w:val="es-ES"/>
        </w:rPr>
        <w:t xml:space="preserve">, </w:t>
      </w:r>
      <w:r w:rsidR="009115EB" w:rsidRPr="003C379E">
        <w:rPr>
          <w:bCs/>
          <w:color w:val="auto"/>
          <w:sz w:val="20"/>
          <w:szCs w:val="20"/>
          <w:lang w:val="es-ES"/>
        </w:rPr>
        <w:t>el</w:t>
      </w:r>
      <w:r w:rsidR="0067419C" w:rsidRPr="003C379E">
        <w:rPr>
          <w:bCs/>
          <w:color w:val="auto"/>
          <w:sz w:val="20"/>
          <w:szCs w:val="20"/>
          <w:lang w:val="es-ES"/>
        </w:rPr>
        <w:t xml:space="preserve"> </w:t>
      </w:r>
      <w:r w:rsidR="009115EB" w:rsidRPr="003C379E">
        <w:rPr>
          <w:bCs/>
          <w:color w:val="auto"/>
          <w:sz w:val="20"/>
          <w:szCs w:val="20"/>
          <w:lang w:val="es-ES"/>
        </w:rPr>
        <w:t>cua</w:t>
      </w:r>
      <w:r w:rsidR="0067419C" w:rsidRPr="003C379E">
        <w:rPr>
          <w:bCs/>
          <w:color w:val="auto"/>
          <w:sz w:val="20"/>
          <w:szCs w:val="20"/>
          <w:lang w:val="es-ES"/>
        </w:rPr>
        <w:t xml:space="preserve">l </w:t>
      </w:r>
      <w:r w:rsidR="009115EB" w:rsidRPr="003C379E">
        <w:rPr>
          <w:bCs/>
          <w:color w:val="auto"/>
          <w:sz w:val="20"/>
          <w:szCs w:val="20"/>
          <w:lang w:val="es-ES"/>
        </w:rPr>
        <w:t>fue</w:t>
      </w:r>
      <w:r w:rsidR="0067419C" w:rsidRPr="003C379E">
        <w:rPr>
          <w:bCs/>
          <w:color w:val="auto"/>
          <w:sz w:val="20"/>
          <w:szCs w:val="20"/>
          <w:lang w:val="es-ES"/>
        </w:rPr>
        <w:t xml:space="preserve"> negad</w:t>
      </w:r>
      <w:r w:rsidR="00BE25DE" w:rsidRPr="003C379E">
        <w:rPr>
          <w:bCs/>
          <w:color w:val="auto"/>
          <w:sz w:val="20"/>
          <w:szCs w:val="20"/>
          <w:lang w:val="es-ES"/>
        </w:rPr>
        <w:t>o</w:t>
      </w:r>
      <w:r w:rsidR="0067419C" w:rsidRPr="003C379E">
        <w:rPr>
          <w:bCs/>
          <w:color w:val="auto"/>
          <w:sz w:val="20"/>
          <w:szCs w:val="20"/>
          <w:lang w:val="es-ES"/>
        </w:rPr>
        <w:t xml:space="preserve"> </w:t>
      </w:r>
      <w:r w:rsidR="009115EB" w:rsidRPr="003C379E">
        <w:rPr>
          <w:bCs/>
          <w:color w:val="auto"/>
          <w:sz w:val="20"/>
          <w:szCs w:val="20"/>
          <w:lang w:val="es-ES"/>
        </w:rPr>
        <w:t>e</w:t>
      </w:r>
      <w:r w:rsidR="008A649B" w:rsidRPr="003C379E">
        <w:rPr>
          <w:bCs/>
          <w:color w:val="auto"/>
          <w:sz w:val="20"/>
          <w:szCs w:val="20"/>
          <w:lang w:val="es-ES"/>
        </w:rPr>
        <w:t>l</w:t>
      </w:r>
      <w:r w:rsidR="009115EB" w:rsidRPr="003C379E">
        <w:rPr>
          <w:bCs/>
          <w:color w:val="auto"/>
          <w:sz w:val="20"/>
          <w:szCs w:val="20"/>
          <w:lang w:val="es-ES"/>
        </w:rPr>
        <w:t xml:space="preserve"> </w:t>
      </w:r>
      <w:r w:rsidR="0067419C" w:rsidRPr="003C379E">
        <w:rPr>
          <w:bCs/>
          <w:color w:val="auto"/>
          <w:sz w:val="20"/>
          <w:szCs w:val="20"/>
          <w:lang w:val="es-ES"/>
        </w:rPr>
        <w:t xml:space="preserve">15 de </w:t>
      </w:r>
      <w:r w:rsidR="009115EB" w:rsidRPr="003C379E">
        <w:rPr>
          <w:bCs/>
          <w:color w:val="auto"/>
          <w:sz w:val="20"/>
          <w:szCs w:val="20"/>
          <w:lang w:val="es-ES"/>
        </w:rPr>
        <w:t>marzo</w:t>
      </w:r>
      <w:r w:rsidR="0067419C" w:rsidRPr="003C379E">
        <w:rPr>
          <w:bCs/>
          <w:color w:val="auto"/>
          <w:sz w:val="20"/>
          <w:szCs w:val="20"/>
          <w:lang w:val="es-ES"/>
        </w:rPr>
        <w:t xml:space="preserve"> de 2012 </w:t>
      </w:r>
      <w:r w:rsidR="009115EB" w:rsidRPr="003C379E">
        <w:rPr>
          <w:bCs/>
          <w:color w:val="auto"/>
          <w:sz w:val="20"/>
          <w:szCs w:val="20"/>
          <w:lang w:val="es-ES"/>
        </w:rPr>
        <w:t>por la</w:t>
      </w:r>
      <w:r w:rsidR="0067419C" w:rsidRPr="003C379E">
        <w:rPr>
          <w:bCs/>
          <w:color w:val="auto"/>
          <w:sz w:val="20"/>
          <w:szCs w:val="20"/>
          <w:lang w:val="es-ES"/>
        </w:rPr>
        <w:t xml:space="preserve"> 3ª</w:t>
      </w:r>
      <w:r w:rsidR="00345A83" w:rsidRPr="003C379E">
        <w:rPr>
          <w:bCs/>
          <w:color w:val="auto"/>
          <w:sz w:val="20"/>
          <w:szCs w:val="20"/>
          <w:lang w:val="es-ES"/>
        </w:rPr>
        <w:t xml:space="preserve"> Cámara de </w:t>
      </w:r>
      <w:r w:rsidR="00E524CB" w:rsidRPr="003C379E">
        <w:rPr>
          <w:bCs/>
          <w:color w:val="auto"/>
          <w:sz w:val="20"/>
          <w:szCs w:val="20"/>
          <w:lang w:val="es-ES"/>
        </w:rPr>
        <w:t xml:space="preserve">Apelaciones </w:t>
      </w:r>
      <w:r w:rsidR="009115EB" w:rsidRPr="003C379E">
        <w:rPr>
          <w:bCs/>
          <w:color w:val="auto"/>
          <w:sz w:val="20"/>
          <w:szCs w:val="20"/>
          <w:lang w:val="es-ES"/>
        </w:rPr>
        <w:t>del</w:t>
      </w:r>
      <w:r w:rsidR="0013356A" w:rsidRPr="003C379E">
        <w:rPr>
          <w:bCs/>
          <w:color w:val="auto"/>
          <w:sz w:val="20"/>
          <w:szCs w:val="20"/>
          <w:lang w:val="es-ES"/>
        </w:rPr>
        <w:t xml:space="preserve"> Tribunal Regional Federal </w:t>
      </w:r>
      <w:r w:rsidR="009115EB" w:rsidRPr="003C379E">
        <w:rPr>
          <w:bCs/>
          <w:color w:val="auto"/>
          <w:sz w:val="20"/>
          <w:szCs w:val="20"/>
          <w:lang w:val="es-ES"/>
        </w:rPr>
        <w:t>de la</w:t>
      </w:r>
      <w:r w:rsidR="0013356A" w:rsidRPr="003C379E">
        <w:rPr>
          <w:bCs/>
          <w:color w:val="auto"/>
          <w:sz w:val="20"/>
          <w:szCs w:val="20"/>
          <w:lang w:val="es-ES"/>
        </w:rPr>
        <w:t xml:space="preserve"> 4ª Re</w:t>
      </w:r>
      <w:r w:rsidR="009115EB" w:rsidRPr="003C379E">
        <w:rPr>
          <w:bCs/>
          <w:color w:val="auto"/>
          <w:sz w:val="20"/>
          <w:szCs w:val="20"/>
          <w:lang w:val="es-ES"/>
        </w:rPr>
        <w:t>gión</w:t>
      </w:r>
      <w:r w:rsidR="0013356A" w:rsidRPr="003C379E">
        <w:rPr>
          <w:bCs/>
          <w:color w:val="auto"/>
          <w:sz w:val="20"/>
          <w:szCs w:val="20"/>
          <w:lang w:val="es-ES"/>
        </w:rPr>
        <w:t xml:space="preserve"> </w:t>
      </w:r>
      <w:r w:rsidR="00AF6C46" w:rsidRPr="003C379E">
        <w:rPr>
          <w:bCs/>
          <w:iCs/>
          <w:sz w:val="20"/>
          <w:szCs w:val="20"/>
          <w:lang w:val="es-ES"/>
        </w:rPr>
        <w:t>(</w:t>
      </w:r>
      <w:r w:rsidR="00550552" w:rsidRPr="003C379E">
        <w:rPr>
          <w:bCs/>
          <w:iCs/>
          <w:sz w:val="20"/>
          <w:szCs w:val="20"/>
          <w:lang w:val="es-ES"/>
        </w:rPr>
        <w:t>3ª Turma Recursal do Tribunal Regional Federal da 4ª Regi</w:t>
      </w:r>
      <w:r w:rsidR="00550552" w:rsidRPr="001F41CC">
        <w:rPr>
          <w:bCs/>
          <w:iCs/>
          <w:color w:val="auto"/>
          <w:sz w:val="20"/>
          <w:szCs w:val="20"/>
          <w:lang w:val="es-419"/>
        </w:rPr>
        <w:t>ão</w:t>
      </w:r>
      <w:r w:rsidR="003C379E" w:rsidRPr="001F41CC">
        <w:rPr>
          <w:bCs/>
          <w:iCs/>
          <w:color w:val="auto"/>
          <w:sz w:val="20"/>
          <w:szCs w:val="20"/>
          <w:lang w:val="es-419"/>
        </w:rPr>
        <w:t>;</w:t>
      </w:r>
      <w:r w:rsidR="003C379E" w:rsidRPr="003C379E">
        <w:rPr>
          <w:bCs/>
          <w:color w:val="auto"/>
          <w:sz w:val="20"/>
          <w:szCs w:val="20"/>
          <w:lang w:val="es-ES"/>
        </w:rPr>
        <w:t xml:space="preserve"> </w:t>
      </w:r>
      <w:r w:rsidR="002E2FB0" w:rsidRPr="003C379E">
        <w:rPr>
          <w:bCs/>
          <w:color w:val="auto"/>
          <w:sz w:val="20"/>
          <w:szCs w:val="20"/>
          <w:lang w:val="es-ES"/>
        </w:rPr>
        <w:t>en adelante, “</w:t>
      </w:r>
      <w:r w:rsidR="0013356A" w:rsidRPr="003C379E">
        <w:rPr>
          <w:bCs/>
          <w:color w:val="auto"/>
          <w:sz w:val="20"/>
          <w:szCs w:val="20"/>
          <w:lang w:val="es-ES"/>
        </w:rPr>
        <w:t xml:space="preserve">TRF4”). Ante </w:t>
      </w:r>
      <w:r w:rsidR="00FB4AA8" w:rsidRPr="003C379E">
        <w:rPr>
          <w:bCs/>
          <w:color w:val="auto"/>
          <w:sz w:val="20"/>
          <w:szCs w:val="20"/>
          <w:lang w:val="es-ES"/>
        </w:rPr>
        <w:t>dicha</w:t>
      </w:r>
      <w:r w:rsidR="0013356A" w:rsidRPr="003C379E">
        <w:rPr>
          <w:bCs/>
          <w:color w:val="auto"/>
          <w:sz w:val="20"/>
          <w:szCs w:val="20"/>
          <w:lang w:val="es-ES"/>
        </w:rPr>
        <w:t xml:space="preserve"> deci</w:t>
      </w:r>
      <w:r w:rsidR="009115EB" w:rsidRPr="003C379E">
        <w:rPr>
          <w:bCs/>
          <w:color w:val="auto"/>
          <w:sz w:val="20"/>
          <w:szCs w:val="20"/>
          <w:lang w:val="es-ES"/>
        </w:rPr>
        <w:t>sión</w:t>
      </w:r>
      <w:r w:rsidR="0013356A" w:rsidRPr="003C379E">
        <w:rPr>
          <w:bCs/>
          <w:color w:val="auto"/>
          <w:sz w:val="20"/>
          <w:szCs w:val="20"/>
          <w:lang w:val="es-ES"/>
        </w:rPr>
        <w:t>,</w:t>
      </w:r>
      <w:r w:rsidR="009115EB" w:rsidRPr="003C379E">
        <w:rPr>
          <w:bCs/>
          <w:color w:val="auto"/>
          <w:sz w:val="20"/>
          <w:szCs w:val="20"/>
          <w:lang w:val="es-ES"/>
        </w:rPr>
        <w:t xml:space="preserve"> </w:t>
      </w:r>
      <w:r w:rsidR="00B04C63" w:rsidRPr="003C379E">
        <w:rPr>
          <w:bCs/>
          <w:color w:val="auto"/>
          <w:sz w:val="20"/>
          <w:szCs w:val="20"/>
          <w:lang w:val="es-ES"/>
        </w:rPr>
        <w:t>la</w:t>
      </w:r>
      <w:r w:rsidR="00C95A33" w:rsidRPr="003C379E">
        <w:rPr>
          <w:bCs/>
          <w:color w:val="auto"/>
          <w:sz w:val="20"/>
          <w:szCs w:val="20"/>
          <w:lang w:val="es-ES"/>
        </w:rPr>
        <w:t xml:space="preserve"> parte peticionaria</w:t>
      </w:r>
      <w:r w:rsidR="0013356A" w:rsidRPr="003C379E">
        <w:rPr>
          <w:bCs/>
          <w:color w:val="auto"/>
          <w:sz w:val="20"/>
          <w:szCs w:val="20"/>
          <w:lang w:val="es-ES"/>
        </w:rPr>
        <w:t xml:space="preserve"> </w:t>
      </w:r>
      <w:r w:rsidR="009115EB" w:rsidRPr="003C379E">
        <w:rPr>
          <w:bCs/>
          <w:color w:val="auto"/>
          <w:sz w:val="20"/>
          <w:szCs w:val="20"/>
          <w:lang w:val="es-ES"/>
        </w:rPr>
        <w:t xml:space="preserve">presentó </w:t>
      </w:r>
      <w:r w:rsidR="00111D20" w:rsidRPr="003C379E">
        <w:rPr>
          <w:bCs/>
          <w:color w:val="auto"/>
          <w:sz w:val="20"/>
          <w:szCs w:val="20"/>
          <w:lang w:val="es-ES"/>
        </w:rPr>
        <w:t xml:space="preserve">un </w:t>
      </w:r>
      <w:r w:rsidR="0013356A" w:rsidRPr="003C379E">
        <w:rPr>
          <w:bCs/>
          <w:color w:val="auto"/>
          <w:sz w:val="20"/>
          <w:szCs w:val="20"/>
          <w:lang w:val="es-ES"/>
        </w:rPr>
        <w:t>pedido de uniformiza</w:t>
      </w:r>
      <w:r w:rsidR="009115EB" w:rsidRPr="003C379E">
        <w:rPr>
          <w:bCs/>
          <w:color w:val="auto"/>
          <w:sz w:val="20"/>
          <w:szCs w:val="20"/>
          <w:lang w:val="es-ES"/>
        </w:rPr>
        <w:t>ción</w:t>
      </w:r>
      <w:r w:rsidR="0013356A" w:rsidRPr="003C379E">
        <w:rPr>
          <w:bCs/>
          <w:color w:val="auto"/>
          <w:sz w:val="20"/>
          <w:szCs w:val="20"/>
          <w:lang w:val="es-ES"/>
        </w:rPr>
        <w:t xml:space="preserve">, que </w:t>
      </w:r>
      <w:r w:rsidR="009115EB" w:rsidRPr="003C379E">
        <w:rPr>
          <w:bCs/>
          <w:color w:val="auto"/>
          <w:sz w:val="20"/>
          <w:szCs w:val="20"/>
          <w:lang w:val="es-ES"/>
        </w:rPr>
        <w:t>fue</w:t>
      </w:r>
      <w:r w:rsidR="0013356A" w:rsidRPr="003C379E">
        <w:rPr>
          <w:bCs/>
          <w:color w:val="auto"/>
          <w:sz w:val="20"/>
          <w:szCs w:val="20"/>
          <w:lang w:val="es-ES"/>
        </w:rPr>
        <w:t xml:space="preserve"> </w:t>
      </w:r>
      <w:r w:rsidR="00B05EA6" w:rsidRPr="003C379E">
        <w:rPr>
          <w:bCs/>
          <w:color w:val="auto"/>
          <w:sz w:val="20"/>
          <w:szCs w:val="20"/>
          <w:lang w:val="es-ES"/>
        </w:rPr>
        <w:t>juzga</w:t>
      </w:r>
      <w:r w:rsidR="0013356A" w:rsidRPr="003C379E">
        <w:rPr>
          <w:bCs/>
          <w:color w:val="auto"/>
          <w:sz w:val="20"/>
          <w:szCs w:val="20"/>
          <w:lang w:val="es-ES"/>
        </w:rPr>
        <w:t xml:space="preserve">do </w:t>
      </w:r>
      <w:r w:rsidR="009115EB" w:rsidRPr="003C379E">
        <w:rPr>
          <w:bCs/>
          <w:color w:val="auto"/>
          <w:sz w:val="20"/>
          <w:szCs w:val="20"/>
          <w:lang w:val="es-ES"/>
        </w:rPr>
        <w:t>por la</w:t>
      </w:r>
      <w:r w:rsidR="00390AFA" w:rsidRPr="003C379E">
        <w:rPr>
          <w:bCs/>
          <w:color w:val="auto"/>
          <w:sz w:val="20"/>
          <w:szCs w:val="20"/>
          <w:lang w:val="es-ES"/>
        </w:rPr>
        <w:t xml:space="preserve"> </w:t>
      </w:r>
      <w:r w:rsidR="00AF6C46" w:rsidRPr="003C379E">
        <w:rPr>
          <w:bCs/>
          <w:color w:val="auto"/>
          <w:sz w:val="20"/>
          <w:szCs w:val="20"/>
          <w:lang w:val="es-ES"/>
        </w:rPr>
        <w:t>T</w:t>
      </w:r>
      <w:r w:rsidR="00B34ED2" w:rsidRPr="003C379E">
        <w:rPr>
          <w:bCs/>
          <w:color w:val="auto"/>
          <w:sz w:val="20"/>
          <w:szCs w:val="20"/>
          <w:lang w:val="es-ES"/>
        </w:rPr>
        <w:t>NU</w:t>
      </w:r>
      <w:r w:rsidR="00390AFA" w:rsidRPr="003C379E">
        <w:rPr>
          <w:bCs/>
          <w:color w:val="auto"/>
          <w:sz w:val="20"/>
          <w:szCs w:val="20"/>
          <w:lang w:val="es-ES"/>
        </w:rPr>
        <w:t>, órgan</w:t>
      </w:r>
      <w:r w:rsidR="0013356A" w:rsidRPr="003C379E">
        <w:rPr>
          <w:bCs/>
          <w:color w:val="auto"/>
          <w:sz w:val="20"/>
          <w:szCs w:val="20"/>
          <w:lang w:val="es-ES"/>
        </w:rPr>
        <w:t xml:space="preserve">o </w:t>
      </w:r>
      <w:r w:rsidR="009115EB" w:rsidRPr="003C379E">
        <w:rPr>
          <w:bCs/>
          <w:color w:val="auto"/>
          <w:sz w:val="20"/>
          <w:szCs w:val="20"/>
          <w:lang w:val="es-ES"/>
        </w:rPr>
        <w:t>con</w:t>
      </w:r>
      <w:r w:rsidR="0013356A" w:rsidRPr="003C379E">
        <w:rPr>
          <w:bCs/>
          <w:color w:val="auto"/>
          <w:sz w:val="20"/>
          <w:szCs w:val="20"/>
          <w:lang w:val="es-ES"/>
        </w:rPr>
        <w:t xml:space="preserve"> compet</w:t>
      </w:r>
      <w:r w:rsidR="009115EB" w:rsidRPr="003C379E">
        <w:rPr>
          <w:bCs/>
          <w:color w:val="auto"/>
          <w:sz w:val="20"/>
          <w:szCs w:val="20"/>
          <w:lang w:val="es-ES"/>
        </w:rPr>
        <w:t>encia</w:t>
      </w:r>
      <w:r w:rsidR="0013356A" w:rsidRPr="003C379E">
        <w:rPr>
          <w:bCs/>
          <w:color w:val="auto"/>
          <w:sz w:val="20"/>
          <w:szCs w:val="20"/>
          <w:lang w:val="es-ES"/>
        </w:rPr>
        <w:t xml:space="preserve"> para uniformizar </w:t>
      </w:r>
      <w:r w:rsidRPr="003C379E">
        <w:rPr>
          <w:bCs/>
          <w:color w:val="auto"/>
          <w:sz w:val="20"/>
          <w:szCs w:val="20"/>
          <w:lang w:val="es-ES"/>
        </w:rPr>
        <w:t>la</w:t>
      </w:r>
      <w:r w:rsidR="0013356A" w:rsidRPr="003C379E">
        <w:rPr>
          <w:bCs/>
          <w:color w:val="auto"/>
          <w:sz w:val="20"/>
          <w:szCs w:val="20"/>
          <w:lang w:val="es-ES"/>
        </w:rPr>
        <w:t xml:space="preserve"> jurisprud</w:t>
      </w:r>
      <w:r w:rsidR="009115EB" w:rsidRPr="003C379E">
        <w:rPr>
          <w:bCs/>
          <w:color w:val="auto"/>
          <w:sz w:val="20"/>
          <w:szCs w:val="20"/>
          <w:lang w:val="es-ES"/>
        </w:rPr>
        <w:t>encia</w:t>
      </w:r>
      <w:r w:rsidR="0013356A" w:rsidRPr="003C379E">
        <w:rPr>
          <w:bCs/>
          <w:color w:val="auto"/>
          <w:sz w:val="20"/>
          <w:szCs w:val="20"/>
          <w:lang w:val="es-ES"/>
        </w:rPr>
        <w:t xml:space="preserve"> </w:t>
      </w:r>
      <w:r w:rsidR="009115EB" w:rsidRPr="003C379E">
        <w:rPr>
          <w:bCs/>
          <w:color w:val="auto"/>
          <w:sz w:val="20"/>
          <w:szCs w:val="20"/>
          <w:lang w:val="es-ES"/>
        </w:rPr>
        <w:t>de los</w:t>
      </w:r>
      <w:r w:rsidR="0013356A" w:rsidRPr="003C379E">
        <w:rPr>
          <w:bCs/>
          <w:color w:val="auto"/>
          <w:sz w:val="20"/>
          <w:szCs w:val="20"/>
          <w:lang w:val="es-ES"/>
        </w:rPr>
        <w:t xml:space="preserve"> tribun</w:t>
      </w:r>
      <w:r w:rsidR="00B05EA6" w:rsidRPr="003C379E">
        <w:rPr>
          <w:bCs/>
          <w:color w:val="auto"/>
          <w:sz w:val="20"/>
          <w:szCs w:val="20"/>
          <w:lang w:val="es-ES"/>
        </w:rPr>
        <w:t xml:space="preserve">ales </w:t>
      </w:r>
      <w:r w:rsidR="0013356A" w:rsidRPr="003C379E">
        <w:rPr>
          <w:bCs/>
          <w:color w:val="auto"/>
          <w:sz w:val="20"/>
          <w:szCs w:val="20"/>
          <w:lang w:val="es-ES"/>
        </w:rPr>
        <w:t>especi</w:t>
      </w:r>
      <w:r w:rsidR="00B05EA6" w:rsidRPr="003C379E">
        <w:rPr>
          <w:bCs/>
          <w:color w:val="auto"/>
          <w:sz w:val="20"/>
          <w:szCs w:val="20"/>
          <w:lang w:val="es-ES"/>
        </w:rPr>
        <w:t>ales.</w:t>
      </w:r>
      <w:r w:rsidR="0013356A" w:rsidRPr="003C379E">
        <w:rPr>
          <w:bCs/>
          <w:color w:val="auto"/>
          <w:sz w:val="20"/>
          <w:szCs w:val="20"/>
          <w:lang w:val="es-ES"/>
        </w:rPr>
        <w:t xml:space="preserve"> </w:t>
      </w:r>
      <w:r w:rsidR="00390AFA" w:rsidRPr="003C379E">
        <w:rPr>
          <w:bCs/>
          <w:color w:val="auto"/>
          <w:sz w:val="20"/>
          <w:szCs w:val="20"/>
          <w:lang w:val="es-ES"/>
        </w:rPr>
        <w:t xml:space="preserve">La </w:t>
      </w:r>
      <w:r w:rsidR="00782019" w:rsidRPr="003C379E">
        <w:rPr>
          <w:bCs/>
          <w:color w:val="auto"/>
          <w:sz w:val="20"/>
          <w:szCs w:val="20"/>
          <w:lang w:val="es-ES"/>
        </w:rPr>
        <w:t>p</w:t>
      </w:r>
      <w:r w:rsidR="00594EC1" w:rsidRPr="003C379E">
        <w:rPr>
          <w:bCs/>
          <w:color w:val="auto"/>
          <w:sz w:val="20"/>
          <w:szCs w:val="20"/>
          <w:lang w:val="es-ES"/>
        </w:rPr>
        <w:t>resid</w:t>
      </w:r>
      <w:r w:rsidR="009115EB" w:rsidRPr="003C379E">
        <w:rPr>
          <w:bCs/>
          <w:color w:val="auto"/>
          <w:sz w:val="20"/>
          <w:szCs w:val="20"/>
          <w:lang w:val="es-ES"/>
        </w:rPr>
        <w:t>encia</w:t>
      </w:r>
      <w:r w:rsidR="00594EC1" w:rsidRPr="003C379E">
        <w:rPr>
          <w:bCs/>
          <w:color w:val="auto"/>
          <w:sz w:val="20"/>
          <w:szCs w:val="20"/>
          <w:lang w:val="es-ES"/>
        </w:rPr>
        <w:t xml:space="preserve"> </w:t>
      </w:r>
      <w:r w:rsidR="009115EB" w:rsidRPr="003C379E">
        <w:rPr>
          <w:bCs/>
          <w:color w:val="auto"/>
          <w:sz w:val="20"/>
          <w:szCs w:val="20"/>
          <w:lang w:val="es-ES"/>
        </w:rPr>
        <w:t>de la</w:t>
      </w:r>
      <w:r w:rsidR="00594EC1" w:rsidRPr="003C379E">
        <w:rPr>
          <w:bCs/>
          <w:color w:val="auto"/>
          <w:sz w:val="20"/>
          <w:szCs w:val="20"/>
          <w:lang w:val="es-ES"/>
        </w:rPr>
        <w:t xml:space="preserve"> </w:t>
      </w:r>
      <w:r w:rsidR="00AF6C46" w:rsidRPr="003C379E">
        <w:rPr>
          <w:bCs/>
          <w:color w:val="auto"/>
          <w:sz w:val="20"/>
          <w:szCs w:val="20"/>
          <w:lang w:val="es-ES"/>
        </w:rPr>
        <w:t xml:space="preserve">TNU </w:t>
      </w:r>
      <w:r w:rsidR="00390AFA" w:rsidRPr="003C379E">
        <w:rPr>
          <w:bCs/>
          <w:color w:val="auto"/>
          <w:sz w:val="20"/>
          <w:szCs w:val="20"/>
          <w:lang w:val="es-ES"/>
        </w:rPr>
        <w:t xml:space="preserve">rechazó la solicitud </w:t>
      </w:r>
      <w:r w:rsidR="009115EB" w:rsidRPr="003C379E">
        <w:rPr>
          <w:bCs/>
          <w:color w:val="auto"/>
          <w:sz w:val="20"/>
          <w:szCs w:val="20"/>
          <w:lang w:val="es-ES"/>
        </w:rPr>
        <w:t>e</w:t>
      </w:r>
      <w:r w:rsidR="00390AFA" w:rsidRPr="003C379E">
        <w:rPr>
          <w:bCs/>
          <w:color w:val="auto"/>
          <w:sz w:val="20"/>
          <w:szCs w:val="20"/>
          <w:lang w:val="es-ES"/>
        </w:rPr>
        <w:t>l</w:t>
      </w:r>
      <w:r w:rsidR="009115EB" w:rsidRPr="003C379E">
        <w:rPr>
          <w:bCs/>
          <w:color w:val="auto"/>
          <w:sz w:val="20"/>
          <w:szCs w:val="20"/>
          <w:lang w:val="es-ES"/>
        </w:rPr>
        <w:t xml:space="preserve"> </w:t>
      </w:r>
      <w:r w:rsidR="00594EC1" w:rsidRPr="003C379E">
        <w:rPr>
          <w:bCs/>
          <w:color w:val="auto"/>
          <w:sz w:val="20"/>
          <w:szCs w:val="20"/>
          <w:lang w:val="es-ES"/>
        </w:rPr>
        <w:t xml:space="preserve">31 de </w:t>
      </w:r>
      <w:r w:rsidR="009115EB" w:rsidRPr="003C379E">
        <w:rPr>
          <w:bCs/>
          <w:color w:val="auto"/>
          <w:sz w:val="20"/>
          <w:szCs w:val="20"/>
          <w:lang w:val="es-ES"/>
        </w:rPr>
        <w:t>mayo</w:t>
      </w:r>
      <w:r w:rsidR="00390AFA" w:rsidRPr="003C379E">
        <w:rPr>
          <w:bCs/>
          <w:color w:val="auto"/>
          <w:sz w:val="20"/>
          <w:szCs w:val="20"/>
          <w:lang w:val="es-ES"/>
        </w:rPr>
        <w:t xml:space="preserve"> de 2012</w:t>
      </w:r>
      <w:r w:rsidR="008A649B" w:rsidRPr="003C379E">
        <w:rPr>
          <w:bCs/>
          <w:color w:val="auto"/>
          <w:sz w:val="20"/>
          <w:szCs w:val="20"/>
          <w:lang w:val="es-ES"/>
        </w:rPr>
        <w:t>,</w:t>
      </w:r>
      <w:r w:rsidR="00FB4AA8" w:rsidRPr="003C379E">
        <w:rPr>
          <w:bCs/>
          <w:color w:val="auto"/>
          <w:sz w:val="20"/>
          <w:szCs w:val="20"/>
          <w:lang w:val="es-ES"/>
        </w:rPr>
        <w:t xml:space="preserve"> y, en consecuencia,</w:t>
      </w:r>
      <w:r w:rsidR="00594EC1" w:rsidRPr="003C379E">
        <w:rPr>
          <w:bCs/>
          <w:color w:val="auto"/>
          <w:sz w:val="20"/>
          <w:szCs w:val="20"/>
          <w:lang w:val="es-ES"/>
        </w:rPr>
        <w:t xml:space="preserve"> </w:t>
      </w:r>
      <w:r w:rsidR="00390AFA" w:rsidRPr="003C379E">
        <w:rPr>
          <w:bCs/>
          <w:color w:val="auto"/>
          <w:sz w:val="20"/>
          <w:szCs w:val="20"/>
          <w:lang w:val="es-ES"/>
        </w:rPr>
        <w:t xml:space="preserve">se </w:t>
      </w:r>
      <w:r w:rsidR="009115EB" w:rsidRPr="003C379E">
        <w:rPr>
          <w:bCs/>
          <w:color w:val="auto"/>
          <w:sz w:val="20"/>
          <w:szCs w:val="20"/>
          <w:lang w:val="es-ES"/>
        </w:rPr>
        <w:t>present</w:t>
      </w:r>
      <w:r w:rsidR="00390AFA" w:rsidRPr="003C379E">
        <w:rPr>
          <w:bCs/>
          <w:color w:val="auto"/>
          <w:sz w:val="20"/>
          <w:szCs w:val="20"/>
          <w:lang w:val="es-ES"/>
        </w:rPr>
        <w:t>ó</w:t>
      </w:r>
      <w:r w:rsidR="00BE25DE" w:rsidRPr="003C379E">
        <w:rPr>
          <w:bCs/>
          <w:color w:val="auto"/>
          <w:sz w:val="20"/>
          <w:szCs w:val="20"/>
          <w:lang w:val="es-ES"/>
        </w:rPr>
        <w:t xml:space="preserve"> </w:t>
      </w:r>
      <w:r w:rsidR="00FB4AA8" w:rsidRPr="003C379E">
        <w:rPr>
          <w:bCs/>
          <w:color w:val="auto"/>
          <w:sz w:val="20"/>
          <w:szCs w:val="20"/>
          <w:lang w:val="es-ES"/>
        </w:rPr>
        <w:t xml:space="preserve">un </w:t>
      </w:r>
      <w:r w:rsidR="00390AFA" w:rsidRPr="003C379E">
        <w:rPr>
          <w:bCs/>
          <w:color w:val="auto"/>
          <w:sz w:val="20"/>
          <w:szCs w:val="20"/>
          <w:lang w:val="es-ES"/>
        </w:rPr>
        <w:t xml:space="preserve">recurso de </w:t>
      </w:r>
      <w:r w:rsidR="00BE25DE" w:rsidRPr="003C379E">
        <w:rPr>
          <w:bCs/>
          <w:color w:val="auto"/>
          <w:sz w:val="20"/>
          <w:szCs w:val="20"/>
          <w:lang w:val="es-ES"/>
        </w:rPr>
        <w:t>agrav</w:t>
      </w:r>
      <w:r w:rsidR="00390AFA" w:rsidRPr="003C379E">
        <w:rPr>
          <w:bCs/>
          <w:color w:val="auto"/>
          <w:sz w:val="20"/>
          <w:szCs w:val="20"/>
          <w:lang w:val="es-ES"/>
        </w:rPr>
        <w:t>i</w:t>
      </w:r>
      <w:r w:rsidR="00BE25DE" w:rsidRPr="003C379E">
        <w:rPr>
          <w:bCs/>
          <w:color w:val="auto"/>
          <w:sz w:val="20"/>
          <w:szCs w:val="20"/>
          <w:lang w:val="es-ES"/>
        </w:rPr>
        <w:t xml:space="preserve">o </w:t>
      </w:r>
      <w:r w:rsidR="00390AFA" w:rsidRPr="003C379E">
        <w:rPr>
          <w:bCs/>
          <w:color w:val="auto"/>
          <w:sz w:val="20"/>
          <w:szCs w:val="20"/>
          <w:lang w:val="es-ES"/>
        </w:rPr>
        <w:t>contra la decisión el</w:t>
      </w:r>
      <w:r w:rsidR="009115EB" w:rsidRPr="003C379E">
        <w:rPr>
          <w:bCs/>
          <w:color w:val="auto"/>
          <w:sz w:val="20"/>
          <w:szCs w:val="20"/>
          <w:lang w:val="es-ES"/>
        </w:rPr>
        <w:t xml:space="preserve"> </w:t>
      </w:r>
      <w:r w:rsidR="00BE25DE" w:rsidRPr="003C379E">
        <w:rPr>
          <w:bCs/>
          <w:color w:val="auto"/>
          <w:sz w:val="20"/>
          <w:szCs w:val="20"/>
          <w:lang w:val="es-ES"/>
        </w:rPr>
        <w:t xml:space="preserve">11 de </w:t>
      </w:r>
      <w:r w:rsidR="009115EB" w:rsidRPr="003C379E">
        <w:rPr>
          <w:bCs/>
          <w:color w:val="auto"/>
          <w:sz w:val="20"/>
          <w:szCs w:val="20"/>
          <w:lang w:val="es-ES"/>
        </w:rPr>
        <w:t>junio</w:t>
      </w:r>
      <w:r w:rsidR="00390AFA" w:rsidRPr="003C379E">
        <w:rPr>
          <w:bCs/>
          <w:color w:val="auto"/>
          <w:sz w:val="20"/>
          <w:szCs w:val="20"/>
          <w:lang w:val="es-ES"/>
        </w:rPr>
        <w:t xml:space="preserve"> de 2012</w:t>
      </w:r>
      <w:r w:rsidR="00BE25DE" w:rsidRPr="003C379E">
        <w:rPr>
          <w:bCs/>
          <w:color w:val="auto"/>
          <w:sz w:val="20"/>
          <w:szCs w:val="20"/>
          <w:lang w:val="es-ES"/>
        </w:rPr>
        <w:t xml:space="preserve"> </w:t>
      </w:r>
      <w:r w:rsidR="009115EB" w:rsidRPr="003C379E">
        <w:rPr>
          <w:bCs/>
          <w:color w:val="auto"/>
          <w:sz w:val="20"/>
          <w:szCs w:val="20"/>
          <w:lang w:val="es-ES"/>
        </w:rPr>
        <w:t>y</w:t>
      </w:r>
      <w:r w:rsidR="00BE25DE" w:rsidRPr="003C379E">
        <w:rPr>
          <w:bCs/>
          <w:color w:val="auto"/>
          <w:sz w:val="20"/>
          <w:szCs w:val="20"/>
          <w:lang w:val="es-ES"/>
        </w:rPr>
        <w:t xml:space="preserve">, posteriormente, </w:t>
      </w:r>
      <w:r w:rsidR="00FB4AA8" w:rsidRPr="003C379E">
        <w:rPr>
          <w:bCs/>
          <w:color w:val="auto"/>
          <w:sz w:val="20"/>
          <w:szCs w:val="20"/>
          <w:lang w:val="es-ES"/>
        </w:rPr>
        <w:t xml:space="preserve">un </w:t>
      </w:r>
      <w:r w:rsidR="00F644CA" w:rsidRPr="003C379E">
        <w:rPr>
          <w:bCs/>
          <w:color w:val="auto"/>
          <w:sz w:val="20"/>
          <w:szCs w:val="20"/>
          <w:lang w:val="es-ES"/>
        </w:rPr>
        <w:t>recurso de aclaratoria</w:t>
      </w:r>
      <w:r w:rsidR="00BE25DE" w:rsidRPr="003C379E">
        <w:rPr>
          <w:bCs/>
          <w:color w:val="auto"/>
          <w:sz w:val="20"/>
          <w:szCs w:val="20"/>
          <w:lang w:val="es-ES"/>
        </w:rPr>
        <w:t xml:space="preserve">, </w:t>
      </w:r>
      <w:r w:rsidR="009115EB" w:rsidRPr="003C379E">
        <w:rPr>
          <w:bCs/>
          <w:color w:val="auto"/>
          <w:sz w:val="20"/>
          <w:szCs w:val="20"/>
          <w:lang w:val="es-ES"/>
        </w:rPr>
        <w:t>los</w:t>
      </w:r>
      <w:r w:rsidR="00BE25DE" w:rsidRPr="003C379E">
        <w:rPr>
          <w:bCs/>
          <w:color w:val="auto"/>
          <w:sz w:val="20"/>
          <w:szCs w:val="20"/>
          <w:lang w:val="es-ES"/>
        </w:rPr>
        <w:t xml:space="preserve"> </w:t>
      </w:r>
      <w:r w:rsidR="009115EB" w:rsidRPr="003C379E">
        <w:rPr>
          <w:bCs/>
          <w:color w:val="auto"/>
          <w:sz w:val="20"/>
          <w:szCs w:val="20"/>
          <w:lang w:val="es-ES"/>
        </w:rPr>
        <w:t>cu</w:t>
      </w:r>
      <w:r w:rsidR="00B05EA6" w:rsidRPr="003C379E">
        <w:rPr>
          <w:bCs/>
          <w:color w:val="auto"/>
          <w:sz w:val="20"/>
          <w:szCs w:val="20"/>
          <w:lang w:val="es-ES"/>
        </w:rPr>
        <w:t xml:space="preserve">ales </w:t>
      </w:r>
      <w:r w:rsidR="00F644CA" w:rsidRPr="003C379E">
        <w:rPr>
          <w:bCs/>
          <w:color w:val="auto"/>
          <w:sz w:val="20"/>
          <w:szCs w:val="20"/>
          <w:lang w:val="es-ES"/>
        </w:rPr>
        <w:t>fueron rechazados</w:t>
      </w:r>
      <w:r w:rsidR="00BE25DE" w:rsidRPr="003C379E">
        <w:rPr>
          <w:bCs/>
          <w:color w:val="auto"/>
          <w:sz w:val="20"/>
          <w:szCs w:val="20"/>
          <w:lang w:val="es-ES"/>
        </w:rPr>
        <w:t xml:space="preserve"> </w:t>
      </w:r>
      <w:r w:rsidR="009115EB" w:rsidRPr="003C379E">
        <w:rPr>
          <w:bCs/>
          <w:color w:val="auto"/>
          <w:sz w:val="20"/>
          <w:szCs w:val="20"/>
          <w:lang w:val="es-ES"/>
        </w:rPr>
        <w:t>e</w:t>
      </w:r>
      <w:r w:rsidR="00F644CA" w:rsidRPr="003C379E">
        <w:rPr>
          <w:bCs/>
          <w:color w:val="auto"/>
          <w:sz w:val="20"/>
          <w:szCs w:val="20"/>
          <w:lang w:val="es-ES"/>
        </w:rPr>
        <w:t>l</w:t>
      </w:r>
      <w:r w:rsidR="009115EB" w:rsidRPr="003C379E">
        <w:rPr>
          <w:bCs/>
          <w:color w:val="auto"/>
          <w:sz w:val="20"/>
          <w:szCs w:val="20"/>
          <w:lang w:val="es-ES"/>
        </w:rPr>
        <w:t xml:space="preserve"> </w:t>
      </w:r>
      <w:r w:rsidR="00BE25DE" w:rsidRPr="003C379E">
        <w:rPr>
          <w:bCs/>
          <w:color w:val="auto"/>
          <w:sz w:val="20"/>
          <w:szCs w:val="20"/>
          <w:lang w:val="es-ES"/>
        </w:rPr>
        <w:t xml:space="preserve">7 de </w:t>
      </w:r>
      <w:r w:rsidR="00B05EA6" w:rsidRPr="003C379E">
        <w:rPr>
          <w:bCs/>
          <w:color w:val="auto"/>
          <w:sz w:val="20"/>
          <w:szCs w:val="20"/>
          <w:lang w:val="es-ES"/>
        </w:rPr>
        <w:t>noviembre</w:t>
      </w:r>
      <w:r w:rsidR="00F644CA" w:rsidRPr="003C379E">
        <w:rPr>
          <w:bCs/>
          <w:color w:val="auto"/>
          <w:sz w:val="20"/>
          <w:szCs w:val="20"/>
          <w:lang w:val="es-ES"/>
        </w:rPr>
        <w:t xml:space="preserve"> de 2012.</w:t>
      </w:r>
      <w:r w:rsidR="00BE25DE" w:rsidRPr="003C379E">
        <w:rPr>
          <w:bCs/>
          <w:color w:val="auto"/>
          <w:sz w:val="20"/>
          <w:szCs w:val="20"/>
          <w:lang w:val="es-ES"/>
        </w:rPr>
        <w:t xml:space="preserve"> </w:t>
      </w:r>
      <w:r w:rsidR="00F644CA" w:rsidRPr="003C379E">
        <w:rPr>
          <w:bCs/>
          <w:color w:val="auto"/>
          <w:sz w:val="20"/>
          <w:szCs w:val="20"/>
          <w:lang w:val="es-ES"/>
        </w:rPr>
        <w:t xml:space="preserve">La </w:t>
      </w:r>
      <w:r w:rsidR="00BE25DE" w:rsidRPr="003C379E">
        <w:rPr>
          <w:bCs/>
          <w:color w:val="auto"/>
          <w:sz w:val="20"/>
          <w:szCs w:val="20"/>
          <w:lang w:val="es-ES"/>
        </w:rPr>
        <w:t>deci</w:t>
      </w:r>
      <w:r w:rsidR="009115EB" w:rsidRPr="003C379E">
        <w:rPr>
          <w:bCs/>
          <w:color w:val="auto"/>
          <w:sz w:val="20"/>
          <w:szCs w:val="20"/>
          <w:lang w:val="es-ES"/>
        </w:rPr>
        <w:t>sión</w:t>
      </w:r>
      <w:r w:rsidR="00BE25DE" w:rsidRPr="003C379E">
        <w:rPr>
          <w:bCs/>
          <w:color w:val="auto"/>
          <w:sz w:val="20"/>
          <w:szCs w:val="20"/>
          <w:lang w:val="es-ES"/>
        </w:rPr>
        <w:t xml:space="preserve"> </w:t>
      </w:r>
      <w:r w:rsidR="00F644CA" w:rsidRPr="003C379E">
        <w:rPr>
          <w:bCs/>
          <w:color w:val="auto"/>
          <w:sz w:val="20"/>
          <w:szCs w:val="20"/>
          <w:lang w:val="es-ES"/>
        </w:rPr>
        <w:t>se</w:t>
      </w:r>
      <w:r w:rsidR="00BE25DE" w:rsidRPr="003C379E">
        <w:rPr>
          <w:bCs/>
          <w:color w:val="auto"/>
          <w:sz w:val="20"/>
          <w:szCs w:val="20"/>
          <w:lang w:val="es-ES"/>
        </w:rPr>
        <w:t xml:space="preserve"> notific</w:t>
      </w:r>
      <w:r w:rsidR="00F644CA" w:rsidRPr="003C379E">
        <w:rPr>
          <w:bCs/>
          <w:color w:val="auto"/>
          <w:sz w:val="20"/>
          <w:szCs w:val="20"/>
          <w:lang w:val="es-ES"/>
        </w:rPr>
        <w:t>ó</w:t>
      </w:r>
      <w:r w:rsidR="00BE25DE" w:rsidRPr="003C379E">
        <w:rPr>
          <w:bCs/>
          <w:color w:val="auto"/>
          <w:sz w:val="20"/>
          <w:szCs w:val="20"/>
          <w:lang w:val="es-ES"/>
        </w:rPr>
        <w:t xml:space="preserve"> </w:t>
      </w:r>
      <w:r w:rsidR="00F644CA" w:rsidRPr="003C379E">
        <w:rPr>
          <w:bCs/>
          <w:color w:val="auto"/>
          <w:sz w:val="20"/>
          <w:szCs w:val="20"/>
          <w:lang w:val="es-ES"/>
        </w:rPr>
        <w:t>el</w:t>
      </w:r>
      <w:r w:rsidR="009115EB" w:rsidRPr="003C379E">
        <w:rPr>
          <w:bCs/>
          <w:color w:val="auto"/>
          <w:sz w:val="20"/>
          <w:szCs w:val="20"/>
          <w:lang w:val="es-ES"/>
        </w:rPr>
        <w:t xml:space="preserve"> </w:t>
      </w:r>
      <w:r w:rsidR="00BE25DE" w:rsidRPr="003C379E">
        <w:rPr>
          <w:bCs/>
          <w:color w:val="auto"/>
          <w:sz w:val="20"/>
          <w:szCs w:val="20"/>
          <w:lang w:val="es-ES"/>
        </w:rPr>
        <w:t xml:space="preserve">3 de </w:t>
      </w:r>
      <w:r w:rsidR="009115EB" w:rsidRPr="003C379E">
        <w:rPr>
          <w:bCs/>
          <w:color w:val="auto"/>
          <w:sz w:val="20"/>
          <w:szCs w:val="20"/>
          <w:lang w:val="es-ES"/>
        </w:rPr>
        <w:t>diciembre</w:t>
      </w:r>
      <w:r w:rsidR="00BE25DE" w:rsidRPr="003C379E">
        <w:rPr>
          <w:bCs/>
          <w:color w:val="auto"/>
          <w:sz w:val="20"/>
          <w:szCs w:val="20"/>
          <w:lang w:val="es-ES"/>
        </w:rPr>
        <w:t xml:space="preserve"> de 2012</w:t>
      </w:r>
      <w:r w:rsidR="006302B6" w:rsidRPr="003C379E">
        <w:rPr>
          <w:bCs/>
          <w:color w:val="auto"/>
          <w:sz w:val="20"/>
          <w:szCs w:val="20"/>
          <w:lang w:val="es-ES"/>
        </w:rPr>
        <w:t xml:space="preserve"> </w:t>
      </w:r>
      <w:r w:rsidR="009115EB" w:rsidRPr="003C379E">
        <w:rPr>
          <w:bCs/>
          <w:color w:val="auto"/>
          <w:sz w:val="20"/>
          <w:szCs w:val="20"/>
          <w:lang w:val="es-ES"/>
        </w:rPr>
        <w:t>a la</w:t>
      </w:r>
      <w:r w:rsidR="006302B6" w:rsidRPr="003C379E">
        <w:rPr>
          <w:bCs/>
          <w:color w:val="auto"/>
          <w:sz w:val="20"/>
          <w:szCs w:val="20"/>
          <w:lang w:val="es-ES"/>
        </w:rPr>
        <w:t xml:space="preserve"> DPU</w:t>
      </w:r>
      <w:r w:rsidR="00594EC1" w:rsidRPr="003C379E">
        <w:rPr>
          <w:bCs/>
          <w:color w:val="auto"/>
          <w:sz w:val="20"/>
          <w:szCs w:val="20"/>
          <w:lang w:val="es-ES"/>
        </w:rPr>
        <w:t xml:space="preserve">. </w:t>
      </w:r>
      <w:r w:rsidR="00F644CA" w:rsidRPr="003C379E">
        <w:rPr>
          <w:bCs/>
          <w:color w:val="auto"/>
          <w:sz w:val="20"/>
          <w:szCs w:val="20"/>
          <w:lang w:val="es-ES"/>
        </w:rPr>
        <w:t>En virtud de ello</w:t>
      </w:r>
      <w:r w:rsidR="00C06275" w:rsidRPr="003C379E">
        <w:rPr>
          <w:bCs/>
          <w:color w:val="auto"/>
          <w:sz w:val="20"/>
          <w:szCs w:val="20"/>
          <w:lang w:val="es-ES"/>
        </w:rPr>
        <w:t xml:space="preserve">, </w:t>
      </w:r>
      <w:r w:rsidRPr="003C379E">
        <w:rPr>
          <w:bCs/>
          <w:color w:val="auto"/>
          <w:sz w:val="20"/>
          <w:szCs w:val="20"/>
          <w:lang w:val="es-ES"/>
        </w:rPr>
        <w:t>la</w:t>
      </w:r>
      <w:r w:rsidR="00C06275" w:rsidRPr="003C379E">
        <w:rPr>
          <w:bCs/>
          <w:color w:val="auto"/>
          <w:sz w:val="20"/>
          <w:szCs w:val="20"/>
          <w:lang w:val="es-ES"/>
        </w:rPr>
        <w:t xml:space="preserve"> Comi</w:t>
      </w:r>
      <w:r w:rsidR="009115EB" w:rsidRPr="003C379E">
        <w:rPr>
          <w:bCs/>
          <w:color w:val="auto"/>
          <w:sz w:val="20"/>
          <w:szCs w:val="20"/>
          <w:lang w:val="es-ES"/>
        </w:rPr>
        <w:t>sión</w:t>
      </w:r>
      <w:r w:rsidR="00F644CA" w:rsidRPr="003C379E">
        <w:rPr>
          <w:bCs/>
          <w:color w:val="auto"/>
          <w:sz w:val="20"/>
          <w:szCs w:val="20"/>
          <w:lang w:val="es-ES"/>
        </w:rPr>
        <w:t xml:space="preserve"> concluye</w:t>
      </w:r>
      <w:r w:rsidR="00C06275" w:rsidRPr="003C379E">
        <w:rPr>
          <w:bCs/>
          <w:color w:val="auto"/>
          <w:sz w:val="20"/>
          <w:szCs w:val="20"/>
          <w:lang w:val="es-ES"/>
        </w:rPr>
        <w:t xml:space="preserve"> que</w:t>
      </w:r>
      <w:r w:rsidR="009115EB" w:rsidRPr="003C379E">
        <w:rPr>
          <w:bCs/>
          <w:color w:val="auto"/>
          <w:sz w:val="20"/>
          <w:szCs w:val="20"/>
          <w:lang w:val="es-ES"/>
        </w:rPr>
        <w:t xml:space="preserve"> </w:t>
      </w:r>
      <w:r w:rsidR="00B04C63" w:rsidRPr="003C379E">
        <w:rPr>
          <w:bCs/>
          <w:color w:val="auto"/>
          <w:sz w:val="20"/>
          <w:szCs w:val="20"/>
          <w:lang w:val="es-ES"/>
        </w:rPr>
        <w:t>la</w:t>
      </w:r>
      <w:r w:rsidR="00C95A33" w:rsidRPr="003C379E">
        <w:rPr>
          <w:bCs/>
          <w:color w:val="auto"/>
          <w:sz w:val="20"/>
          <w:szCs w:val="20"/>
          <w:lang w:val="es-ES"/>
        </w:rPr>
        <w:t xml:space="preserve"> parte peticionaria</w:t>
      </w:r>
      <w:r w:rsidR="009115EB" w:rsidRPr="003C379E">
        <w:rPr>
          <w:bCs/>
          <w:color w:val="auto"/>
          <w:sz w:val="20"/>
          <w:szCs w:val="20"/>
          <w:lang w:val="es-ES"/>
        </w:rPr>
        <w:t xml:space="preserve"> agotó </w:t>
      </w:r>
      <w:r w:rsidR="006302B6" w:rsidRPr="003C379E">
        <w:rPr>
          <w:bCs/>
          <w:color w:val="auto"/>
          <w:sz w:val="20"/>
          <w:szCs w:val="20"/>
          <w:lang w:val="es-ES"/>
        </w:rPr>
        <w:t xml:space="preserve">todos </w:t>
      </w:r>
      <w:r w:rsidR="009115EB" w:rsidRPr="003C379E">
        <w:rPr>
          <w:bCs/>
          <w:color w:val="auto"/>
          <w:sz w:val="20"/>
          <w:szCs w:val="20"/>
          <w:lang w:val="es-ES"/>
        </w:rPr>
        <w:t>los</w:t>
      </w:r>
      <w:r w:rsidR="00C06275" w:rsidRPr="003C379E">
        <w:rPr>
          <w:bCs/>
          <w:color w:val="auto"/>
          <w:sz w:val="20"/>
          <w:szCs w:val="20"/>
          <w:lang w:val="es-ES"/>
        </w:rPr>
        <w:t xml:space="preserve"> recursos dispon</w:t>
      </w:r>
      <w:r w:rsidR="00B05EA6" w:rsidRPr="003C379E">
        <w:rPr>
          <w:bCs/>
          <w:color w:val="auto"/>
          <w:sz w:val="20"/>
          <w:szCs w:val="20"/>
          <w:lang w:val="es-ES"/>
        </w:rPr>
        <w:t>ibles</w:t>
      </w:r>
      <w:r w:rsidR="00BE25DE" w:rsidRPr="003C379E">
        <w:rPr>
          <w:bCs/>
          <w:color w:val="auto"/>
          <w:sz w:val="20"/>
          <w:szCs w:val="20"/>
          <w:lang w:val="es-ES"/>
        </w:rPr>
        <w:t xml:space="preserve"> </w:t>
      </w:r>
      <w:r w:rsidR="009115EB" w:rsidRPr="003C379E">
        <w:rPr>
          <w:bCs/>
          <w:color w:val="auto"/>
          <w:sz w:val="20"/>
          <w:szCs w:val="20"/>
          <w:lang w:val="es-ES"/>
        </w:rPr>
        <w:t>en los</w:t>
      </w:r>
      <w:r w:rsidR="00BE25DE" w:rsidRPr="003C379E">
        <w:rPr>
          <w:bCs/>
          <w:color w:val="auto"/>
          <w:sz w:val="20"/>
          <w:szCs w:val="20"/>
          <w:lang w:val="es-ES"/>
        </w:rPr>
        <w:t xml:space="preserve"> </w:t>
      </w:r>
      <w:r w:rsidR="00F644CA" w:rsidRPr="003C379E">
        <w:rPr>
          <w:bCs/>
          <w:color w:val="auto"/>
          <w:sz w:val="20"/>
          <w:szCs w:val="20"/>
          <w:lang w:val="es-ES"/>
        </w:rPr>
        <w:t>términos</w:t>
      </w:r>
      <w:r w:rsidR="00BE25DE" w:rsidRPr="003C379E">
        <w:rPr>
          <w:bCs/>
          <w:color w:val="auto"/>
          <w:sz w:val="20"/>
          <w:szCs w:val="20"/>
          <w:lang w:val="es-ES"/>
        </w:rPr>
        <w:t xml:space="preserve"> </w:t>
      </w:r>
      <w:r w:rsidR="009115EB" w:rsidRPr="003C379E">
        <w:rPr>
          <w:bCs/>
          <w:color w:val="auto"/>
          <w:sz w:val="20"/>
          <w:szCs w:val="20"/>
          <w:lang w:val="es-ES"/>
        </w:rPr>
        <w:t>del</w:t>
      </w:r>
      <w:r w:rsidR="00BE25DE" w:rsidRPr="003C379E">
        <w:rPr>
          <w:bCs/>
          <w:color w:val="auto"/>
          <w:sz w:val="20"/>
          <w:szCs w:val="20"/>
          <w:lang w:val="es-ES"/>
        </w:rPr>
        <w:t xml:space="preserve"> </w:t>
      </w:r>
      <w:r w:rsidR="009115EB" w:rsidRPr="003C379E">
        <w:rPr>
          <w:bCs/>
          <w:color w:val="auto"/>
          <w:sz w:val="20"/>
          <w:szCs w:val="20"/>
          <w:lang w:val="es-ES"/>
        </w:rPr>
        <w:t>artículo</w:t>
      </w:r>
      <w:r w:rsidR="00BE25DE" w:rsidRPr="003C379E">
        <w:rPr>
          <w:bCs/>
          <w:color w:val="auto"/>
          <w:sz w:val="20"/>
          <w:szCs w:val="20"/>
          <w:lang w:val="es-ES"/>
        </w:rPr>
        <w:t xml:space="preserve"> 46.1.a </w:t>
      </w:r>
      <w:r w:rsidR="009115EB" w:rsidRPr="003C379E">
        <w:rPr>
          <w:bCs/>
          <w:color w:val="auto"/>
          <w:sz w:val="20"/>
          <w:szCs w:val="20"/>
          <w:lang w:val="es-ES"/>
        </w:rPr>
        <w:t>de la</w:t>
      </w:r>
      <w:r w:rsidR="00BE25DE" w:rsidRPr="003C379E">
        <w:rPr>
          <w:bCs/>
          <w:color w:val="auto"/>
          <w:sz w:val="20"/>
          <w:szCs w:val="20"/>
          <w:lang w:val="es-ES"/>
        </w:rPr>
        <w:t xml:space="preserve"> Conven</w:t>
      </w:r>
      <w:r w:rsidR="009115EB" w:rsidRPr="003C379E">
        <w:rPr>
          <w:bCs/>
          <w:color w:val="auto"/>
          <w:sz w:val="20"/>
          <w:szCs w:val="20"/>
          <w:lang w:val="es-ES"/>
        </w:rPr>
        <w:t>ción</w:t>
      </w:r>
      <w:r w:rsidR="00BE25DE" w:rsidRPr="003C379E">
        <w:rPr>
          <w:bCs/>
          <w:color w:val="auto"/>
          <w:sz w:val="20"/>
          <w:szCs w:val="20"/>
          <w:lang w:val="es-ES"/>
        </w:rPr>
        <w:t xml:space="preserve"> Americana.</w:t>
      </w:r>
      <w:r w:rsidR="000D6826" w:rsidRPr="003C379E">
        <w:rPr>
          <w:bCs/>
          <w:color w:val="auto"/>
          <w:sz w:val="20"/>
          <w:szCs w:val="20"/>
          <w:lang w:val="es-ES"/>
        </w:rPr>
        <w:t xml:space="preserve"> </w:t>
      </w:r>
      <w:r w:rsidR="00F644CA" w:rsidRPr="003C379E">
        <w:rPr>
          <w:sz w:val="20"/>
          <w:szCs w:val="20"/>
          <w:lang w:val="es-ES"/>
        </w:rPr>
        <w:t>Co</w:t>
      </w:r>
      <w:r w:rsidR="009115EB" w:rsidRPr="003C379E">
        <w:rPr>
          <w:sz w:val="20"/>
          <w:szCs w:val="20"/>
          <w:lang w:val="es-ES"/>
        </w:rPr>
        <w:t xml:space="preserve">n </w:t>
      </w:r>
      <w:r w:rsidR="00951C77" w:rsidRPr="003C379E">
        <w:rPr>
          <w:sz w:val="20"/>
          <w:szCs w:val="20"/>
          <w:lang w:val="es-ES"/>
        </w:rPr>
        <w:t>rela</w:t>
      </w:r>
      <w:r w:rsidR="009115EB" w:rsidRPr="003C379E">
        <w:rPr>
          <w:sz w:val="20"/>
          <w:szCs w:val="20"/>
          <w:lang w:val="es-ES"/>
        </w:rPr>
        <w:t>ción</w:t>
      </w:r>
      <w:r w:rsidR="00FE2F8A" w:rsidRPr="003C379E">
        <w:rPr>
          <w:sz w:val="20"/>
          <w:szCs w:val="20"/>
          <w:lang w:val="es-ES"/>
        </w:rPr>
        <w:t xml:space="preserve"> </w:t>
      </w:r>
      <w:r w:rsidR="009115EB" w:rsidRPr="003C379E">
        <w:rPr>
          <w:sz w:val="20"/>
          <w:szCs w:val="20"/>
          <w:lang w:val="es-ES"/>
        </w:rPr>
        <w:t>al</w:t>
      </w:r>
      <w:r w:rsidR="00FE2F8A" w:rsidRPr="003C379E">
        <w:rPr>
          <w:sz w:val="20"/>
          <w:szCs w:val="20"/>
          <w:lang w:val="es-ES"/>
        </w:rPr>
        <w:t xml:space="preserve"> </w:t>
      </w:r>
      <w:r w:rsidR="009115EB" w:rsidRPr="003C379E">
        <w:rPr>
          <w:sz w:val="20"/>
          <w:szCs w:val="20"/>
          <w:lang w:val="es-ES"/>
        </w:rPr>
        <w:t>plazo</w:t>
      </w:r>
      <w:r w:rsidR="00FE2F8A" w:rsidRPr="003C379E">
        <w:rPr>
          <w:sz w:val="20"/>
          <w:szCs w:val="20"/>
          <w:lang w:val="es-ES"/>
        </w:rPr>
        <w:t xml:space="preserve"> de </w:t>
      </w:r>
      <w:r w:rsidR="009115EB" w:rsidRPr="003C379E">
        <w:rPr>
          <w:sz w:val="20"/>
          <w:szCs w:val="20"/>
          <w:lang w:val="es-ES"/>
        </w:rPr>
        <w:t>present</w:t>
      </w:r>
      <w:r w:rsidR="00951C77" w:rsidRPr="003C379E">
        <w:rPr>
          <w:sz w:val="20"/>
          <w:szCs w:val="20"/>
          <w:lang w:val="es-ES"/>
        </w:rPr>
        <w:t>a</w:t>
      </w:r>
      <w:r w:rsidR="009115EB" w:rsidRPr="003C379E">
        <w:rPr>
          <w:sz w:val="20"/>
          <w:szCs w:val="20"/>
          <w:lang w:val="es-ES"/>
        </w:rPr>
        <w:t>ción</w:t>
      </w:r>
      <w:r w:rsidR="00FE2F8A" w:rsidRPr="003C379E">
        <w:rPr>
          <w:sz w:val="20"/>
          <w:szCs w:val="20"/>
          <w:lang w:val="es-ES"/>
        </w:rPr>
        <w:t xml:space="preserve">, como </w:t>
      </w:r>
      <w:r w:rsidRPr="003C379E">
        <w:rPr>
          <w:sz w:val="20"/>
          <w:szCs w:val="20"/>
          <w:lang w:val="es-ES"/>
        </w:rPr>
        <w:t>la</w:t>
      </w:r>
      <w:r w:rsidR="00FE2F8A" w:rsidRPr="003C379E">
        <w:rPr>
          <w:sz w:val="20"/>
          <w:szCs w:val="20"/>
          <w:lang w:val="es-ES"/>
        </w:rPr>
        <w:t xml:space="preserve"> </w:t>
      </w:r>
      <w:r w:rsidR="00951C77" w:rsidRPr="003C379E">
        <w:rPr>
          <w:sz w:val="20"/>
          <w:szCs w:val="20"/>
          <w:lang w:val="es-ES"/>
        </w:rPr>
        <w:t>deci</w:t>
      </w:r>
      <w:r w:rsidR="009115EB" w:rsidRPr="003C379E">
        <w:rPr>
          <w:sz w:val="20"/>
          <w:szCs w:val="20"/>
          <w:lang w:val="es-ES"/>
        </w:rPr>
        <w:t>sión</w:t>
      </w:r>
      <w:r w:rsidR="00FE2F8A" w:rsidRPr="003C379E">
        <w:rPr>
          <w:sz w:val="20"/>
          <w:szCs w:val="20"/>
          <w:lang w:val="es-ES"/>
        </w:rPr>
        <w:t xml:space="preserve"> que </w:t>
      </w:r>
      <w:r w:rsidR="00F644CA" w:rsidRPr="003C379E">
        <w:rPr>
          <w:sz w:val="20"/>
          <w:szCs w:val="20"/>
          <w:lang w:val="es-ES"/>
        </w:rPr>
        <w:t>puso fin</w:t>
      </w:r>
      <w:r w:rsidR="00FE2F8A" w:rsidRPr="003C379E">
        <w:rPr>
          <w:sz w:val="20"/>
          <w:szCs w:val="20"/>
          <w:lang w:val="es-ES"/>
        </w:rPr>
        <w:t xml:space="preserve"> </w:t>
      </w:r>
      <w:r w:rsidR="009115EB" w:rsidRPr="003C379E">
        <w:rPr>
          <w:sz w:val="20"/>
          <w:szCs w:val="20"/>
          <w:lang w:val="es-ES"/>
        </w:rPr>
        <w:t>al</w:t>
      </w:r>
      <w:r w:rsidR="00FE2F8A" w:rsidRPr="003C379E">
        <w:rPr>
          <w:sz w:val="20"/>
          <w:szCs w:val="20"/>
          <w:lang w:val="es-ES"/>
        </w:rPr>
        <w:t xml:space="preserve"> </w:t>
      </w:r>
      <w:r w:rsidR="00BF6A21" w:rsidRPr="003C379E">
        <w:rPr>
          <w:sz w:val="20"/>
          <w:szCs w:val="20"/>
          <w:lang w:val="es-ES"/>
        </w:rPr>
        <w:t>trámite</w:t>
      </w:r>
      <w:r w:rsidR="00FE2F8A" w:rsidRPr="003C379E">
        <w:rPr>
          <w:sz w:val="20"/>
          <w:szCs w:val="20"/>
          <w:lang w:val="es-ES"/>
        </w:rPr>
        <w:t xml:space="preserve"> </w:t>
      </w:r>
      <w:r w:rsidR="009115EB" w:rsidRPr="003C379E">
        <w:rPr>
          <w:sz w:val="20"/>
          <w:szCs w:val="20"/>
          <w:lang w:val="es-ES"/>
        </w:rPr>
        <w:t>procesal</w:t>
      </w:r>
      <w:r w:rsidR="00FE2F8A" w:rsidRPr="003C379E">
        <w:rPr>
          <w:sz w:val="20"/>
          <w:szCs w:val="20"/>
          <w:lang w:val="es-ES"/>
        </w:rPr>
        <w:t xml:space="preserve"> </w:t>
      </w:r>
      <w:r w:rsidR="009115EB" w:rsidRPr="003C379E">
        <w:rPr>
          <w:sz w:val="20"/>
          <w:szCs w:val="20"/>
          <w:lang w:val="es-ES"/>
        </w:rPr>
        <w:t xml:space="preserve">en </w:t>
      </w:r>
      <w:r w:rsidR="00FE2F8A" w:rsidRPr="003C379E">
        <w:rPr>
          <w:sz w:val="20"/>
          <w:szCs w:val="20"/>
          <w:lang w:val="es-ES"/>
        </w:rPr>
        <w:t xml:space="preserve">sede interna </w:t>
      </w:r>
      <w:r w:rsidR="009115EB" w:rsidRPr="003C379E">
        <w:rPr>
          <w:sz w:val="20"/>
          <w:szCs w:val="20"/>
          <w:lang w:val="es-ES"/>
        </w:rPr>
        <w:t>fue</w:t>
      </w:r>
      <w:r w:rsidR="00FE2F8A" w:rsidRPr="003C379E">
        <w:rPr>
          <w:sz w:val="20"/>
          <w:szCs w:val="20"/>
          <w:lang w:val="es-ES"/>
        </w:rPr>
        <w:t xml:space="preserve"> </w:t>
      </w:r>
      <w:r w:rsidR="00B30B5A" w:rsidRPr="003C379E">
        <w:rPr>
          <w:sz w:val="20"/>
          <w:szCs w:val="20"/>
          <w:lang w:val="es-ES"/>
        </w:rPr>
        <w:t>adopta</w:t>
      </w:r>
      <w:r w:rsidR="00FE2F8A" w:rsidRPr="003C379E">
        <w:rPr>
          <w:sz w:val="20"/>
          <w:szCs w:val="20"/>
          <w:lang w:val="es-ES"/>
        </w:rPr>
        <w:t xml:space="preserve">da </w:t>
      </w:r>
      <w:r w:rsidR="009115EB" w:rsidRPr="003C379E">
        <w:rPr>
          <w:sz w:val="20"/>
          <w:szCs w:val="20"/>
          <w:lang w:val="es-ES"/>
        </w:rPr>
        <w:t>e</w:t>
      </w:r>
      <w:r w:rsidR="00F644CA" w:rsidRPr="003C379E">
        <w:rPr>
          <w:sz w:val="20"/>
          <w:szCs w:val="20"/>
          <w:lang w:val="es-ES"/>
        </w:rPr>
        <w:t>l</w:t>
      </w:r>
      <w:r w:rsidR="009115EB" w:rsidRPr="003C379E">
        <w:rPr>
          <w:sz w:val="20"/>
          <w:szCs w:val="20"/>
          <w:lang w:val="es-ES"/>
        </w:rPr>
        <w:t xml:space="preserve"> </w:t>
      </w:r>
      <w:r w:rsidR="00560E0D" w:rsidRPr="003C379E">
        <w:rPr>
          <w:sz w:val="20"/>
          <w:szCs w:val="20"/>
          <w:lang w:val="es-ES"/>
        </w:rPr>
        <w:t xml:space="preserve">7 de </w:t>
      </w:r>
      <w:r w:rsidR="00B05EA6" w:rsidRPr="003C379E">
        <w:rPr>
          <w:sz w:val="20"/>
          <w:szCs w:val="20"/>
          <w:lang w:val="es-ES"/>
        </w:rPr>
        <w:t>noviembre</w:t>
      </w:r>
      <w:r w:rsidR="00560E0D" w:rsidRPr="003C379E">
        <w:rPr>
          <w:sz w:val="20"/>
          <w:szCs w:val="20"/>
          <w:lang w:val="es-ES"/>
        </w:rPr>
        <w:t xml:space="preserve"> de 2012 </w:t>
      </w:r>
      <w:r w:rsidR="009115EB" w:rsidRPr="003C379E">
        <w:rPr>
          <w:sz w:val="20"/>
          <w:szCs w:val="20"/>
          <w:lang w:val="es-ES"/>
        </w:rPr>
        <w:t>y</w:t>
      </w:r>
      <w:r w:rsidR="00560E0D" w:rsidRPr="003C379E">
        <w:rPr>
          <w:sz w:val="20"/>
          <w:szCs w:val="20"/>
          <w:lang w:val="es-ES"/>
        </w:rPr>
        <w:t xml:space="preserve"> notificada </w:t>
      </w:r>
      <w:r w:rsidR="009115EB" w:rsidRPr="003C379E">
        <w:rPr>
          <w:sz w:val="20"/>
          <w:szCs w:val="20"/>
          <w:lang w:val="es-ES"/>
        </w:rPr>
        <w:t>e</w:t>
      </w:r>
      <w:r w:rsidR="00F644CA" w:rsidRPr="003C379E">
        <w:rPr>
          <w:sz w:val="20"/>
          <w:szCs w:val="20"/>
          <w:lang w:val="es-ES"/>
        </w:rPr>
        <w:t>l</w:t>
      </w:r>
      <w:r w:rsidR="009115EB" w:rsidRPr="003C379E">
        <w:rPr>
          <w:sz w:val="20"/>
          <w:szCs w:val="20"/>
          <w:lang w:val="es-ES"/>
        </w:rPr>
        <w:t xml:space="preserve"> </w:t>
      </w:r>
      <w:r w:rsidR="00560E0D" w:rsidRPr="003C379E">
        <w:rPr>
          <w:sz w:val="20"/>
          <w:szCs w:val="20"/>
          <w:lang w:val="es-ES"/>
        </w:rPr>
        <w:t xml:space="preserve">3 de </w:t>
      </w:r>
      <w:r w:rsidR="009115EB" w:rsidRPr="003C379E">
        <w:rPr>
          <w:sz w:val="20"/>
          <w:szCs w:val="20"/>
          <w:lang w:val="es-ES"/>
        </w:rPr>
        <w:t>diciembre</w:t>
      </w:r>
      <w:r w:rsidR="00FB4AA8" w:rsidRPr="003C379E">
        <w:rPr>
          <w:sz w:val="20"/>
          <w:szCs w:val="20"/>
          <w:lang w:val="es-ES"/>
        </w:rPr>
        <w:t xml:space="preserve"> del mismo año</w:t>
      </w:r>
      <w:r w:rsidR="00E02B47" w:rsidRPr="003C379E">
        <w:rPr>
          <w:sz w:val="20"/>
          <w:szCs w:val="20"/>
          <w:lang w:val="es-ES"/>
        </w:rPr>
        <w:t>,</w:t>
      </w:r>
      <w:r w:rsidR="00FE2F8A" w:rsidRPr="003C379E">
        <w:rPr>
          <w:sz w:val="20"/>
          <w:szCs w:val="20"/>
          <w:lang w:val="es-ES"/>
        </w:rPr>
        <w:t xml:space="preserve"> </w:t>
      </w:r>
      <w:r w:rsidR="009115EB" w:rsidRPr="003C379E">
        <w:rPr>
          <w:sz w:val="20"/>
          <w:szCs w:val="20"/>
          <w:lang w:val="es-ES"/>
        </w:rPr>
        <w:t>y</w:t>
      </w:r>
      <w:r w:rsidR="00FE2F8A" w:rsidRPr="003C379E">
        <w:rPr>
          <w:sz w:val="20"/>
          <w:szCs w:val="20"/>
          <w:lang w:val="es-ES"/>
        </w:rPr>
        <w:t xml:space="preserve"> </w:t>
      </w:r>
      <w:r w:rsidRPr="003C379E">
        <w:rPr>
          <w:sz w:val="20"/>
          <w:szCs w:val="20"/>
          <w:lang w:val="es-ES"/>
        </w:rPr>
        <w:t>la</w:t>
      </w:r>
      <w:r w:rsidR="00FE2F8A" w:rsidRPr="003C379E">
        <w:rPr>
          <w:sz w:val="20"/>
          <w:szCs w:val="20"/>
          <w:lang w:val="es-ES"/>
        </w:rPr>
        <w:t xml:space="preserve"> </w:t>
      </w:r>
      <w:r w:rsidR="00084571" w:rsidRPr="003C379E">
        <w:rPr>
          <w:sz w:val="20"/>
          <w:szCs w:val="20"/>
          <w:lang w:val="es-ES"/>
        </w:rPr>
        <w:t>peti</w:t>
      </w:r>
      <w:r w:rsidR="009115EB" w:rsidRPr="003C379E">
        <w:rPr>
          <w:sz w:val="20"/>
          <w:szCs w:val="20"/>
          <w:lang w:val="es-ES"/>
        </w:rPr>
        <w:t>ción</w:t>
      </w:r>
      <w:r w:rsidR="00FE2F8A" w:rsidRPr="003C379E">
        <w:rPr>
          <w:sz w:val="20"/>
          <w:szCs w:val="20"/>
          <w:lang w:val="es-ES"/>
        </w:rPr>
        <w:t xml:space="preserve"> </w:t>
      </w:r>
      <w:r w:rsidR="00F644CA" w:rsidRPr="003C379E">
        <w:rPr>
          <w:sz w:val="20"/>
          <w:szCs w:val="20"/>
          <w:lang w:val="es-ES"/>
        </w:rPr>
        <w:t>se</w:t>
      </w:r>
      <w:r w:rsidR="00FE2F8A" w:rsidRPr="003C379E">
        <w:rPr>
          <w:sz w:val="20"/>
          <w:szCs w:val="20"/>
          <w:lang w:val="es-ES"/>
        </w:rPr>
        <w:t xml:space="preserve"> </w:t>
      </w:r>
      <w:r w:rsidR="009115EB" w:rsidRPr="003C379E">
        <w:rPr>
          <w:sz w:val="20"/>
          <w:szCs w:val="20"/>
          <w:lang w:val="es-ES"/>
        </w:rPr>
        <w:t>present</w:t>
      </w:r>
      <w:r w:rsidR="00F644CA" w:rsidRPr="003C379E">
        <w:rPr>
          <w:sz w:val="20"/>
          <w:szCs w:val="20"/>
          <w:lang w:val="es-ES"/>
        </w:rPr>
        <w:t>ó</w:t>
      </w:r>
      <w:r w:rsidR="00FE2F8A" w:rsidRPr="003C379E">
        <w:rPr>
          <w:sz w:val="20"/>
          <w:szCs w:val="20"/>
          <w:lang w:val="es-ES"/>
        </w:rPr>
        <w:t xml:space="preserve"> </w:t>
      </w:r>
      <w:r w:rsidR="009115EB" w:rsidRPr="003C379E">
        <w:rPr>
          <w:sz w:val="20"/>
          <w:szCs w:val="20"/>
          <w:lang w:val="es-ES"/>
        </w:rPr>
        <w:t>e</w:t>
      </w:r>
      <w:r w:rsidR="00F644CA" w:rsidRPr="003C379E">
        <w:rPr>
          <w:sz w:val="20"/>
          <w:szCs w:val="20"/>
          <w:lang w:val="es-ES"/>
        </w:rPr>
        <w:t>l</w:t>
      </w:r>
      <w:r w:rsidR="009115EB" w:rsidRPr="003C379E">
        <w:rPr>
          <w:sz w:val="20"/>
          <w:szCs w:val="20"/>
          <w:lang w:val="es-ES"/>
        </w:rPr>
        <w:t xml:space="preserve"> </w:t>
      </w:r>
      <w:r w:rsidR="00560E0D" w:rsidRPr="003C379E">
        <w:rPr>
          <w:bCs/>
          <w:sz w:val="20"/>
          <w:szCs w:val="20"/>
          <w:lang w:val="es-ES"/>
        </w:rPr>
        <w:t xml:space="preserve">3 de </w:t>
      </w:r>
      <w:r w:rsidR="009115EB" w:rsidRPr="003C379E">
        <w:rPr>
          <w:bCs/>
          <w:sz w:val="20"/>
          <w:szCs w:val="20"/>
          <w:lang w:val="es-ES"/>
        </w:rPr>
        <w:t>marzo</w:t>
      </w:r>
      <w:r w:rsidR="00560E0D" w:rsidRPr="003C379E">
        <w:rPr>
          <w:bCs/>
          <w:sz w:val="20"/>
          <w:szCs w:val="20"/>
          <w:lang w:val="es-ES"/>
        </w:rPr>
        <w:t xml:space="preserve"> de 2013</w:t>
      </w:r>
      <w:r w:rsidR="00FE2F8A" w:rsidRPr="003C379E">
        <w:rPr>
          <w:sz w:val="20"/>
          <w:szCs w:val="20"/>
          <w:lang w:val="es-ES"/>
        </w:rPr>
        <w:t xml:space="preserve">, </w:t>
      </w:r>
      <w:r w:rsidRPr="003C379E">
        <w:rPr>
          <w:sz w:val="20"/>
          <w:szCs w:val="20"/>
          <w:lang w:val="es-ES"/>
        </w:rPr>
        <w:t>la</w:t>
      </w:r>
      <w:r w:rsidR="00FE2F8A" w:rsidRPr="003C379E">
        <w:rPr>
          <w:sz w:val="20"/>
          <w:szCs w:val="20"/>
          <w:lang w:val="es-ES"/>
        </w:rPr>
        <w:t xml:space="preserve"> </w:t>
      </w:r>
      <w:r w:rsidR="00084571" w:rsidRPr="003C379E">
        <w:rPr>
          <w:sz w:val="20"/>
          <w:szCs w:val="20"/>
          <w:lang w:val="es-ES"/>
        </w:rPr>
        <w:t>Comi</w:t>
      </w:r>
      <w:r w:rsidR="009115EB" w:rsidRPr="003C379E">
        <w:rPr>
          <w:sz w:val="20"/>
          <w:szCs w:val="20"/>
          <w:lang w:val="es-ES"/>
        </w:rPr>
        <w:t>sión</w:t>
      </w:r>
      <w:r w:rsidR="00FE2F8A" w:rsidRPr="003C379E">
        <w:rPr>
          <w:sz w:val="20"/>
          <w:szCs w:val="20"/>
          <w:lang w:val="es-ES"/>
        </w:rPr>
        <w:t xml:space="preserve"> </w:t>
      </w:r>
      <w:r w:rsidR="00E02B47" w:rsidRPr="003C379E">
        <w:rPr>
          <w:sz w:val="20"/>
          <w:szCs w:val="20"/>
          <w:lang w:val="es-ES"/>
        </w:rPr>
        <w:t>observa</w:t>
      </w:r>
      <w:r w:rsidR="00FE2F8A" w:rsidRPr="003C379E">
        <w:rPr>
          <w:sz w:val="20"/>
          <w:szCs w:val="20"/>
          <w:lang w:val="es-ES"/>
        </w:rPr>
        <w:t xml:space="preserve"> que cump</w:t>
      </w:r>
      <w:r w:rsidR="00F644CA" w:rsidRPr="003C379E">
        <w:rPr>
          <w:sz w:val="20"/>
          <w:szCs w:val="20"/>
          <w:lang w:val="es-ES"/>
        </w:rPr>
        <w:t>l</w:t>
      </w:r>
      <w:r w:rsidR="00FE2F8A" w:rsidRPr="003C379E">
        <w:rPr>
          <w:sz w:val="20"/>
          <w:szCs w:val="20"/>
          <w:lang w:val="es-ES"/>
        </w:rPr>
        <w:t xml:space="preserve">e </w:t>
      </w:r>
      <w:r w:rsidR="00F644CA" w:rsidRPr="003C379E">
        <w:rPr>
          <w:sz w:val="20"/>
          <w:szCs w:val="20"/>
          <w:lang w:val="es-ES"/>
        </w:rPr>
        <w:t xml:space="preserve">con </w:t>
      </w:r>
      <w:r w:rsidR="009115EB" w:rsidRPr="003C379E">
        <w:rPr>
          <w:sz w:val="20"/>
          <w:szCs w:val="20"/>
          <w:lang w:val="es-ES"/>
        </w:rPr>
        <w:t>los</w:t>
      </w:r>
      <w:r w:rsidR="00FE2F8A" w:rsidRPr="003C379E">
        <w:rPr>
          <w:sz w:val="20"/>
          <w:szCs w:val="20"/>
          <w:lang w:val="es-ES"/>
        </w:rPr>
        <w:t xml:space="preserve"> requisitos estipulados </w:t>
      </w:r>
      <w:r w:rsidR="009115EB" w:rsidRPr="003C379E">
        <w:rPr>
          <w:sz w:val="20"/>
          <w:szCs w:val="20"/>
          <w:lang w:val="es-ES"/>
        </w:rPr>
        <w:t>en los</w:t>
      </w:r>
      <w:r w:rsidR="00FE2F8A" w:rsidRPr="003C379E">
        <w:rPr>
          <w:sz w:val="20"/>
          <w:szCs w:val="20"/>
          <w:lang w:val="es-ES"/>
        </w:rPr>
        <w:t xml:space="preserve"> </w:t>
      </w:r>
      <w:r w:rsidR="009115EB" w:rsidRPr="003C379E">
        <w:rPr>
          <w:sz w:val="20"/>
          <w:szCs w:val="20"/>
          <w:lang w:val="es-ES"/>
        </w:rPr>
        <w:t>artículo</w:t>
      </w:r>
      <w:r w:rsidR="00FE2F8A" w:rsidRPr="003C379E">
        <w:rPr>
          <w:sz w:val="20"/>
          <w:szCs w:val="20"/>
          <w:lang w:val="es-ES"/>
        </w:rPr>
        <w:t xml:space="preserve">s 46.1.b) </w:t>
      </w:r>
      <w:r w:rsidR="009115EB" w:rsidRPr="003C379E">
        <w:rPr>
          <w:sz w:val="20"/>
          <w:szCs w:val="20"/>
          <w:lang w:val="es-ES"/>
        </w:rPr>
        <w:t>de la</w:t>
      </w:r>
      <w:r w:rsidR="00FE2F8A" w:rsidRPr="003C379E">
        <w:rPr>
          <w:sz w:val="20"/>
          <w:szCs w:val="20"/>
          <w:lang w:val="es-ES"/>
        </w:rPr>
        <w:t xml:space="preserve"> CADH. </w:t>
      </w:r>
    </w:p>
    <w:p w14:paraId="5EC74A57" w14:textId="328FD246" w:rsidR="00626089" w:rsidRPr="00626089" w:rsidRDefault="008D6B60" w:rsidP="0062608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color w:val="auto"/>
          <w:sz w:val="20"/>
          <w:szCs w:val="20"/>
          <w:lang w:val="es-ES"/>
        </w:rPr>
      </w:pPr>
      <w:r w:rsidRPr="003C379E">
        <w:rPr>
          <w:sz w:val="20"/>
          <w:szCs w:val="20"/>
          <w:lang w:val="es-ES"/>
        </w:rPr>
        <w:t xml:space="preserve">Respecto </w:t>
      </w:r>
      <w:r w:rsidR="009115EB" w:rsidRPr="003C379E">
        <w:rPr>
          <w:sz w:val="20"/>
          <w:szCs w:val="20"/>
          <w:lang w:val="es-ES"/>
        </w:rPr>
        <w:t>de la</w:t>
      </w:r>
      <w:r w:rsidR="00F848D5" w:rsidRPr="003C379E">
        <w:rPr>
          <w:sz w:val="20"/>
          <w:szCs w:val="20"/>
          <w:lang w:val="es-ES"/>
        </w:rPr>
        <w:t xml:space="preserve"> alega</w:t>
      </w:r>
      <w:r w:rsidR="009115EB" w:rsidRPr="003C379E">
        <w:rPr>
          <w:sz w:val="20"/>
          <w:szCs w:val="20"/>
          <w:lang w:val="es-ES"/>
        </w:rPr>
        <w:t>ción</w:t>
      </w:r>
      <w:r w:rsidR="00F848D5" w:rsidRPr="003C379E">
        <w:rPr>
          <w:sz w:val="20"/>
          <w:szCs w:val="20"/>
          <w:lang w:val="es-ES"/>
        </w:rPr>
        <w:t xml:space="preserve"> de que</w:t>
      </w:r>
      <w:r w:rsidR="009115EB" w:rsidRPr="003C379E">
        <w:rPr>
          <w:sz w:val="20"/>
          <w:szCs w:val="20"/>
          <w:lang w:val="es-ES"/>
        </w:rPr>
        <w:t xml:space="preserve"> </w:t>
      </w:r>
      <w:r w:rsidR="00B04C63" w:rsidRPr="003C379E">
        <w:rPr>
          <w:sz w:val="20"/>
          <w:szCs w:val="20"/>
          <w:lang w:val="es-ES"/>
        </w:rPr>
        <w:t>la</w:t>
      </w:r>
      <w:r w:rsidR="00C95A33" w:rsidRPr="003C379E">
        <w:rPr>
          <w:sz w:val="20"/>
          <w:szCs w:val="20"/>
          <w:lang w:val="es-ES"/>
        </w:rPr>
        <w:t xml:space="preserve"> parte peticionaria</w:t>
      </w:r>
      <w:r w:rsidR="00F848D5" w:rsidRPr="003C379E">
        <w:rPr>
          <w:sz w:val="20"/>
          <w:szCs w:val="20"/>
          <w:lang w:val="es-ES"/>
        </w:rPr>
        <w:t xml:space="preserve"> </w:t>
      </w:r>
      <w:r w:rsidR="009115EB" w:rsidRPr="003C379E">
        <w:rPr>
          <w:sz w:val="20"/>
          <w:szCs w:val="20"/>
          <w:lang w:val="es-ES"/>
        </w:rPr>
        <w:t>debería</w:t>
      </w:r>
      <w:r w:rsidR="00F848D5" w:rsidRPr="003C379E">
        <w:rPr>
          <w:sz w:val="20"/>
          <w:szCs w:val="20"/>
          <w:lang w:val="es-ES"/>
        </w:rPr>
        <w:t xml:space="preserve"> </w:t>
      </w:r>
      <w:r w:rsidR="009115EB" w:rsidRPr="003C379E">
        <w:rPr>
          <w:sz w:val="20"/>
          <w:szCs w:val="20"/>
          <w:lang w:val="es-ES"/>
        </w:rPr>
        <w:t>agota</w:t>
      </w:r>
      <w:r w:rsidR="00F848D5" w:rsidRPr="003C379E">
        <w:rPr>
          <w:sz w:val="20"/>
          <w:szCs w:val="20"/>
          <w:lang w:val="es-ES"/>
        </w:rPr>
        <w:t xml:space="preserve">r </w:t>
      </w:r>
      <w:r w:rsidR="009115EB" w:rsidRPr="003C379E">
        <w:rPr>
          <w:sz w:val="20"/>
          <w:szCs w:val="20"/>
          <w:lang w:val="es-ES"/>
        </w:rPr>
        <w:t>el</w:t>
      </w:r>
      <w:r w:rsidR="00F848D5" w:rsidRPr="003C379E">
        <w:rPr>
          <w:sz w:val="20"/>
          <w:szCs w:val="20"/>
          <w:lang w:val="es-ES"/>
        </w:rPr>
        <w:t xml:space="preserve"> </w:t>
      </w:r>
      <w:r w:rsidR="0042784D" w:rsidRPr="003C379E">
        <w:rPr>
          <w:sz w:val="20"/>
          <w:szCs w:val="20"/>
          <w:lang w:val="es-ES"/>
        </w:rPr>
        <w:t xml:space="preserve">recurso extraordinario </w:t>
      </w:r>
      <w:r w:rsidR="00F848D5" w:rsidRPr="003C379E">
        <w:rPr>
          <w:sz w:val="20"/>
          <w:szCs w:val="20"/>
          <w:lang w:val="es-ES"/>
        </w:rPr>
        <w:t xml:space="preserve">previsto </w:t>
      </w:r>
      <w:r w:rsidR="009115EB" w:rsidRPr="003C379E">
        <w:rPr>
          <w:sz w:val="20"/>
          <w:szCs w:val="20"/>
          <w:lang w:val="es-ES"/>
        </w:rPr>
        <w:t>en el</w:t>
      </w:r>
      <w:r w:rsidR="00F848D5" w:rsidRPr="003C379E">
        <w:rPr>
          <w:sz w:val="20"/>
          <w:szCs w:val="20"/>
          <w:lang w:val="es-ES"/>
        </w:rPr>
        <w:t xml:space="preserve"> </w:t>
      </w:r>
      <w:r w:rsidR="009115EB" w:rsidRPr="003C379E">
        <w:rPr>
          <w:sz w:val="20"/>
          <w:szCs w:val="20"/>
          <w:lang w:val="es-ES"/>
        </w:rPr>
        <w:t>artículo</w:t>
      </w:r>
      <w:r w:rsidR="00F848D5" w:rsidRPr="003C379E">
        <w:rPr>
          <w:sz w:val="20"/>
          <w:szCs w:val="20"/>
          <w:lang w:val="es-ES"/>
        </w:rPr>
        <w:t xml:space="preserve"> 102, III </w:t>
      </w:r>
      <w:r w:rsidR="009115EB" w:rsidRPr="003C379E">
        <w:rPr>
          <w:sz w:val="20"/>
          <w:szCs w:val="20"/>
          <w:lang w:val="es-ES"/>
        </w:rPr>
        <w:t>de la</w:t>
      </w:r>
      <w:r w:rsidR="00F848D5" w:rsidRPr="003C379E">
        <w:rPr>
          <w:sz w:val="20"/>
          <w:szCs w:val="20"/>
          <w:lang w:val="es-ES"/>
        </w:rPr>
        <w:t xml:space="preserve"> Constit</w:t>
      </w:r>
      <w:r w:rsidR="00B05EA6" w:rsidRPr="003C379E">
        <w:rPr>
          <w:sz w:val="20"/>
          <w:szCs w:val="20"/>
          <w:lang w:val="es-ES"/>
        </w:rPr>
        <w:t>uci</w:t>
      </w:r>
      <w:r w:rsidR="009115EB" w:rsidRPr="003C379E">
        <w:rPr>
          <w:sz w:val="20"/>
          <w:szCs w:val="20"/>
          <w:lang w:val="es-ES"/>
        </w:rPr>
        <w:t>ón</w:t>
      </w:r>
      <w:r w:rsidR="00F848D5" w:rsidRPr="003C379E">
        <w:rPr>
          <w:sz w:val="20"/>
          <w:szCs w:val="20"/>
          <w:lang w:val="es-ES"/>
        </w:rPr>
        <w:t xml:space="preserve"> Federal de 1988, </w:t>
      </w:r>
      <w:r w:rsidR="00B6265D" w:rsidRPr="003C379E">
        <w:rPr>
          <w:sz w:val="20"/>
          <w:szCs w:val="20"/>
          <w:lang w:val="es-ES"/>
        </w:rPr>
        <w:t>la</w:t>
      </w:r>
      <w:r w:rsidR="00F848D5" w:rsidRPr="003C379E">
        <w:rPr>
          <w:sz w:val="20"/>
          <w:szCs w:val="20"/>
          <w:lang w:val="es-ES"/>
        </w:rPr>
        <w:t xml:space="preserve"> Comi</w:t>
      </w:r>
      <w:r w:rsidR="009115EB" w:rsidRPr="003C379E">
        <w:rPr>
          <w:sz w:val="20"/>
          <w:szCs w:val="20"/>
          <w:lang w:val="es-ES"/>
        </w:rPr>
        <w:t>sión</w:t>
      </w:r>
      <w:r w:rsidRPr="003C379E">
        <w:rPr>
          <w:sz w:val="20"/>
          <w:szCs w:val="20"/>
          <w:lang w:val="es-ES"/>
        </w:rPr>
        <w:t xml:space="preserve"> recue</w:t>
      </w:r>
      <w:r w:rsidR="00F848D5" w:rsidRPr="003C379E">
        <w:rPr>
          <w:sz w:val="20"/>
          <w:szCs w:val="20"/>
          <w:lang w:val="es-ES"/>
        </w:rPr>
        <w:t>rda que</w:t>
      </w:r>
      <w:r w:rsidRPr="003C379E">
        <w:rPr>
          <w:sz w:val="20"/>
          <w:szCs w:val="20"/>
          <w:lang w:val="es-ES"/>
        </w:rPr>
        <w:t>, como sostuvo</w:t>
      </w:r>
      <w:r w:rsidR="009115EB" w:rsidRPr="003C379E">
        <w:rPr>
          <w:sz w:val="20"/>
          <w:szCs w:val="20"/>
          <w:lang w:val="es-ES"/>
        </w:rPr>
        <w:t xml:space="preserve"> en otr</w:t>
      </w:r>
      <w:r w:rsidR="0092580E" w:rsidRPr="003C379E">
        <w:rPr>
          <w:sz w:val="20"/>
          <w:szCs w:val="20"/>
          <w:lang w:val="es-ES"/>
        </w:rPr>
        <w:t>as oportunidades,</w:t>
      </w:r>
      <w:r w:rsidR="00F848D5" w:rsidRPr="003C379E">
        <w:rPr>
          <w:sz w:val="20"/>
          <w:szCs w:val="20"/>
          <w:lang w:val="es-ES"/>
        </w:rPr>
        <w:t xml:space="preserve"> </w:t>
      </w:r>
      <w:r w:rsidRPr="003C379E">
        <w:rPr>
          <w:sz w:val="20"/>
          <w:szCs w:val="20"/>
          <w:lang w:val="es-ES"/>
        </w:rPr>
        <w:t>aunque</w:t>
      </w:r>
      <w:r w:rsidR="0092580E" w:rsidRPr="003C379E">
        <w:rPr>
          <w:sz w:val="20"/>
          <w:szCs w:val="20"/>
          <w:lang w:val="es-ES"/>
        </w:rPr>
        <w:t xml:space="preserve"> </w:t>
      </w:r>
      <w:r w:rsidR="009115EB" w:rsidRPr="003C379E">
        <w:rPr>
          <w:sz w:val="20"/>
          <w:szCs w:val="20"/>
          <w:lang w:val="es-ES"/>
        </w:rPr>
        <w:t xml:space="preserve">en </w:t>
      </w:r>
      <w:r w:rsidR="0092580E" w:rsidRPr="003C379E">
        <w:rPr>
          <w:sz w:val="20"/>
          <w:szCs w:val="20"/>
          <w:lang w:val="es-ES"/>
        </w:rPr>
        <w:t>algun</w:t>
      </w:r>
      <w:r w:rsidR="00BF6A21" w:rsidRPr="003C379E">
        <w:rPr>
          <w:sz w:val="20"/>
          <w:szCs w:val="20"/>
          <w:lang w:val="es-ES"/>
        </w:rPr>
        <w:t>o</w:t>
      </w:r>
      <w:r w:rsidR="0092580E" w:rsidRPr="003C379E">
        <w:rPr>
          <w:sz w:val="20"/>
          <w:szCs w:val="20"/>
          <w:lang w:val="es-ES"/>
        </w:rPr>
        <w:t xml:space="preserve">s casos </w:t>
      </w:r>
      <w:r w:rsidR="009115EB" w:rsidRPr="003C379E">
        <w:rPr>
          <w:sz w:val="20"/>
          <w:szCs w:val="20"/>
          <w:lang w:val="es-ES"/>
        </w:rPr>
        <w:t>los</w:t>
      </w:r>
      <w:r w:rsidR="0092580E" w:rsidRPr="003C379E">
        <w:rPr>
          <w:sz w:val="20"/>
          <w:szCs w:val="20"/>
          <w:lang w:val="es-ES"/>
        </w:rPr>
        <w:t xml:space="preserve"> recursos extraordin</w:t>
      </w:r>
      <w:r w:rsidR="009115EB" w:rsidRPr="003C379E">
        <w:rPr>
          <w:sz w:val="20"/>
          <w:szCs w:val="20"/>
          <w:lang w:val="es-ES"/>
        </w:rPr>
        <w:t>ario</w:t>
      </w:r>
      <w:r w:rsidR="0092580E" w:rsidRPr="003C379E">
        <w:rPr>
          <w:sz w:val="20"/>
          <w:szCs w:val="20"/>
          <w:lang w:val="es-ES"/>
        </w:rPr>
        <w:t xml:space="preserve">s </w:t>
      </w:r>
      <w:r w:rsidRPr="003C379E">
        <w:rPr>
          <w:sz w:val="20"/>
          <w:szCs w:val="20"/>
          <w:lang w:val="es-ES"/>
        </w:rPr>
        <w:t>puedan</w:t>
      </w:r>
      <w:r w:rsidR="00B05EA6" w:rsidRPr="003C379E">
        <w:rPr>
          <w:sz w:val="20"/>
          <w:szCs w:val="20"/>
          <w:lang w:val="es-ES"/>
        </w:rPr>
        <w:t xml:space="preserve"> </w:t>
      </w:r>
      <w:r w:rsidR="0092580E" w:rsidRPr="003C379E">
        <w:rPr>
          <w:sz w:val="20"/>
          <w:szCs w:val="20"/>
          <w:lang w:val="es-ES"/>
        </w:rPr>
        <w:t>ser ade</w:t>
      </w:r>
      <w:r w:rsidR="009115EB" w:rsidRPr="003C379E">
        <w:rPr>
          <w:sz w:val="20"/>
          <w:szCs w:val="20"/>
          <w:lang w:val="es-ES"/>
        </w:rPr>
        <w:t>cua</w:t>
      </w:r>
      <w:r w:rsidR="0092580E" w:rsidRPr="003C379E">
        <w:rPr>
          <w:sz w:val="20"/>
          <w:szCs w:val="20"/>
          <w:lang w:val="es-ES"/>
        </w:rPr>
        <w:t>dos para enfrentar viola</w:t>
      </w:r>
      <w:r w:rsidR="009115EB" w:rsidRPr="003C379E">
        <w:rPr>
          <w:sz w:val="20"/>
          <w:szCs w:val="20"/>
          <w:lang w:val="es-ES"/>
        </w:rPr>
        <w:t>ciones</w:t>
      </w:r>
      <w:r w:rsidR="0092580E" w:rsidRPr="003C379E">
        <w:rPr>
          <w:sz w:val="20"/>
          <w:szCs w:val="20"/>
          <w:lang w:val="es-ES"/>
        </w:rPr>
        <w:t xml:space="preserve"> de </w:t>
      </w:r>
      <w:r w:rsidR="009115EB" w:rsidRPr="003C379E">
        <w:rPr>
          <w:sz w:val="20"/>
          <w:szCs w:val="20"/>
          <w:lang w:val="es-ES"/>
        </w:rPr>
        <w:t>derech</w:t>
      </w:r>
      <w:r w:rsidR="0092580E" w:rsidRPr="003C379E">
        <w:rPr>
          <w:sz w:val="20"/>
          <w:szCs w:val="20"/>
          <w:lang w:val="es-ES"/>
        </w:rPr>
        <w:t xml:space="preserve">os humanos, como </w:t>
      </w:r>
      <w:r w:rsidR="00B05EA6" w:rsidRPr="003C379E">
        <w:rPr>
          <w:sz w:val="20"/>
          <w:szCs w:val="20"/>
          <w:lang w:val="es-ES"/>
        </w:rPr>
        <w:t>regla</w:t>
      </w:r>
      <w:r w:rsidR="0092580E" w:rsidRPr="003C379E">
        <w:rPr>
          <w:sz w:val="20"/>
          <w:szCs w:val="20"/>
          <w:lang w:val="es-ES"/>
        </w:rPr>
        <w:t xml:space="preserve"> ge</w:t>
      </w:r>
      <w:r w:rsidR="00B05EA6" w:rsidRPr="003C379E">
        <w:rPr>
          <w:sz w:val="20"/>
          <w:szCs w:val="20"/>
          <w:lang w:val="es-ES"/>
        </w:rPr>
        <w:t>ne</w:t>
      </w:r>
      <w:r w:rsidR="0092580E" w:rsidRPr="003C379E">
        <w:rPr>
          <w:sz w:val="20"/>
          <w:szCs w:val="20"/>
          <w:lang w:val="es-ES"/>
        </w:rPr>
        <w:t xml:space="preserve">ral, </w:t>
      </w:r>
      <w:r w:rsidR="009115EB" w:rsidRPr="003C379E">
        <w:rPr>
          <w:sz w:val="20"/>
          <w:szCs w:val="20"/>
          <w:lang w:val="es-ES"/>
        </w:rPr>
        <w:t>los</w:t>
      </w:r>
      <w:r w:rsidR="0092580E" w:rsidRPr="003C379E">
        <w:rPr>
          <w:sz w:val="20"/>
          <w:szCs w:val="20"/>
          <w:lang w:val="es-ES"/>
        </w:rPr>
        <w:t xml:space="preserve"> únicos recursos que </w:t>
      </w:r>
      <w:r w:rsidR="009115EB" w:rsidRPr="003C379E">
        <w:rPr>
          <w:sz w:val="20"/>
          <w:szCs w:val="20"/>
          <w:lang w:val="es-ES"/>
        </w:rPr>
        <w:t xml:space="preserve">deben </w:t>
      </w:r>
      <w:r w:rsidRPr="003C379E">
        <w:rPr>
          <w:sz w:val="20"/>
          <w:szCs w:val="20"/>
          <w:lang w:val="es-ES"/>
        </w:rPr>
        <w:t>agotarse</w:t>
      </w:r>
      <w:r w:rsidR="0092580E" w:rsidRPr="003C379E">
        <w:rPr>
          <w:sz w:val="20"/>
          <w:szCs w:val="20"/>
          <w:lang w:val="es-ES"/>
        </w:rPr>
        <w:t xml:space="preserve"> </w:t>
      </w:r>
      <w:r w:rsidR="009115EB" w:rsidRPr="003C379E">
        <w:rPr>
          <w:sz w:val="20"/>
          <w:szCs w:val="20"/>
          <w:lang w:val="es-ES"/>
        </w:rPr>
        <w:t>obliga</w:t>
      </w:r>
      <w:r w:rsidR="0092580E" w:rsidRPr="003C379E">
        <w:rPr>
          <w:sz w:val="20"/>
          <w:szCs w:val="20"/>
          <w:lang w:val="es-ES"/>
        </w:rPr>
        <w:t xml:space="preserve">toriamente </w:t>
      </w:r>
      <w:r w:rsidR="009115EB" w:rsidRPr="003C379E">
        <w:rPr>
          <w:sz w:val="20"/>
          <w:szCs w:val="20"/>
          <w:lang w:val="es-ES"/>
        </w:rPr>
        <w:t>son</w:t>
      </w:r>
      <w:r w:rsidR="0092580E" w:rsidRPr="003C379E">
        <w:rPr>
          <w:sz w:val="20"/>
          <w:szCs w:val="20"/>
          <w:lang w:val="es-ES"/>
        </w:rPr>
        <w:t xml:space="preserve"> aquel</w:t>
      </w:r>
      <w:r w:rsidRPr="003C379E">
        <w:rPr>
          <w:sz w:val="20"/>
          <w:szCs w:val="20"/>
          <w:lang w:val="es-ES"/>
        </w:rPr>
        <w:t>lo</w:t>
      </w:r>
      <w:r w:rsidR="0092580E" w:rsidRPr="003C379E">
        <w:rPr>
          <w:sz w:val="20"/>
          <w:szCs w:val="20"/>
          <w:lang w:val="es-ES"/>
        </w:rPr>
        <w:t>s cu</w:t>
      </w:r>
      <w:r w:rsidRPr="003C379E">
        <w:rPr>
          <w:sz w:val="20"/>
          <w:szCs w:val="20"/>
          <w:lang w:val="es-ES"/>
        </w:rPr>
        <w:t>ya</w:t>
      </w:r>
      <w:r w:rsidR="0092580E" w:rsidRPr="003C379E">
        <w:rPr>
          <w:sz w:val="20"/>
          <w:szCs w:val="20"/>
          <w:lang w:val="es-ES"/>
        </w:rPr>
        <w:t>s fun</w:t>
      </w:r>
      <w:r w:rsidR="009115EB" w:rsidRPr="003C379E">
        <w:rPr>
          <w:sz w:val="20"/>
          <w:szCs w:val="20"/>
          <w:lang w:val="es-ES"/>
        </w:rPr>
        <w:t>ciones</w:t>
      </w:r>
      <w:r w:rsidR="0092580E" w:rsidRPr="003C379E">
        <w:rPr>
          <w:sz w:val="20"/>
          <w:szCs w:val="20"/>
          <w:lang w:val="es-ES"/>
        </w:rPr>
        <w:t xml:space="preserve"> dentro </w:t>
      </w:r>
      <w:r w:rsidR="009115EB" w:rsidRPr="003C379E">
        <w:rPr>
          <w:sz w:val="20"/>
          <w:szCs w:val="20"/>
          <w:lang w:val="es-ES"/>
        </w:rPr>
        <w:t>del</w:t>
      </w:r>
      <w:r w:rsidR="0092580E" w:rsidRPr="003C379E">
        <w:rPr>
          <w:sz w:val="20"/>
          <w:szCs w:val="20"/>
          <w:lang w:val="es-ES"/>
        </w:rPr>
        <w:t xml:space="preserve"> </w:t>
      </w:r>
      <w:r w:rsidR="00FB4AA8" w:rsidRPr="003C379E">
        <w:rPr>
          <w:sz w:val="20"/>
          <w:szCs w:val="20"/>
          <w:lang w:val="es-ES"/>
        </w:rPr>
        <w:t>ordenamiento</w:t>
      </w:r>
      <w:r w:rsidR="0092580E" w:rsidRPr="003C379E">
        <w:rPr>
          <w:sz w:val="20"/>
          <w:szCs w:val="20"/>
          <w:lang w:val="es-ES"/>
        </w:rPr>
        <w:t xml:space="preserve"> jurídico </w:t>
      </w:r>
      <w:r w:rsidR="009115EB" w:rsidRPr="003C379E">
        <w:rPr>
          <w:sz w:val="20"/>
          <w:szCs w:val="20"/>
          <w:lang w:val="es-ES"/>
        </w:rPr>
        <w:t>son</w:t>
      </w:r>
      <w:r w:rsidR="0092580E" w:rsidRPr="003C379E">
        <w:rPr>
          <w:sz w:val="20"/>
          <w:szCs w:val="20"/>
          <w:lang w:val="es-ES"/>
        </w:rPr>
        <w:t xml:space="preserve"> apropiadas para </w:t>
      </w:r>
      <w:r w:rsidRPr="003C379E">
        <w:rPr>
          <w:sz w:val="20"/>
          <w:szCs w:val="20"/>
          <w:lang w:val="es-ES"/>
        </w:rPr>
        <w:t>otorgar</w:t>
      </w:r>
      <w:r w:rsidR="0092580E" w:rsidRPr="003C379E">
        <w:rPr>
          <w:sz w:val="20"/>
          <w:szCs w:val="20"/>
          <w:lang w:val="es-ES"/>
        </w:rPr>
        <w:t xml:space="preserve"> </w:t>
      </w:r>
      <w:r w:rsidR="00B05EA6" w:rsidRPr="003C379E">
        <w:rPr>
          <w:sz w:val="20"/>
          <w:szCs w:val="20"/>
          <w:lang w:val="es-ES"/>
        </w:rPr>
        <w:t>protección</w:t>
      </w:r>
      <w:r w:rsidR="0092580E" w:rsidRPr="003C379E">
        <w:rPr>
          <w:sz w:val="20"/>
          <w:szCs w:val="20"/>
          <w:lang w:val="es-ES"/>
        </w:rPr>
        <w:t xml:space="preserve"> capaz de remediar </w:t>
      </w:r>
      <w:r w:rsidR="009115EB" w:rsidRPr="003C379E">
        <w:rPr>
          <w:sz w:val="20"/>
          <w:szCs w:val="20"/>
          <w:lang w:val="es-ES"/>
        </w:rPr>
        <w:t>una</w:t>
      </w:r>
      <w:r w:rsidR="0092580E" w:rsidRPr="003C379E">
        <w:rPr>
          <w:sz w:val="20"/>
          <w:szCs w:val="20"/>
          <w:lang w:val="es-ES"/>
        </w:rPr>
        <w:t xml:space="preserve"> </w:t>
      </w:r>
      <w:r w:rsidR="00FB4AA8" w:rsidRPr="003C379E">
        <w:rPr>
          <w:sz w:val="20"/>
          <w:szCs w:val="20"/>
          <w:lang w:val="es-ES"/>
        </w:rPr>
        <w:t>violació</w:t>
      </w:r>
      <w:r w:rsidR="009115EB" w:rsidRPr="003C379E">
        <w:rPr>
          <w:sz w:val="20"/>
          <w:szCs w:val="20"/>
          <w:lang w:val="es-ES"/>
        </w:rPr>
        <w:t>n</w:t>
      </w:r>
      <w:r w:rsidR="0092580E" w:rsidRPr="003C379E">
        <w:rPr>
          <w:sz w:val="20"/>
          <w:szCs w:val="20"/>
          <w:lang w:val="es-ES"/>
        </w:rPr>
        <w:t xml:space="preserve"> a determinado </w:t>
      </w:r>
      <w:r w:rsidR="009115EB" w:rsidRPr="003C379E">
        <w:rPr>
          <w:sz w:val="20"/>
          <w:szCs w:val="20"/>
          <w:lang w:val="es-ES"/>
        </w:rPr>
        <w:t>derech</w:t>
      </w:r>
      <w:r w:rsidR="0092580E" w:rsidRPr="003C379E">
        <w:rPr>
          <w:sz w:val="20"/>
          <w:szCs w:val="20"/>
          <w:lang w:val="es-ES"/>
        </w:rPr>
        <w:t xml:space="preserve">o. </w:t>
      </w:r>
      <w:r w:rsidR="009115EB" w:rsidRPr="003C379E">
        <w:rPr>
          <w:sz w:val="20"/>
          <w:szCs w:val="20"/>
          <w:lang w:val="es-ES"/>
        </w:rPr>
        <w:t xml:space="preserve">En </w:t>
      </w:r>
      <w:r w:rsidR="00B05EA6" w:rsidRPr="003C379E">
        <w:rPr>
          <w:sz w:val="20"/>
          <w:szCs w:val="20"/>
          <w:lang w:val="es-ES"/>
        </w:rPr>
        <w:t>principio</w:t>
      </w:r>
      <w:r w:rsidR="0092580E" w:rsidRPr="003C379E">
        <w:rPr>
          <w:sz w:val="20"/>
          <w:szCs w:val="20"/>
          <w:lang w:val="es-ES"/>
        </w:rPr>
        <w:t>, se trata de recursos ordin</w:t>
      </w:r>
      <w:r w:rsidR="009115EB" w:rsidRPr="003C379E">
        <w:rPr>
          <w:sz w:val="20"/>
          <w:szCs w:val="20"/>
          <w:lang w:val="es-ES"/>
        </w:rPr>
        <w:t>ario</w:t>
      </w:r>
      <w:r w:rsidR="0092580E" w:rsidRPr="003C379E">
        <w:rPr>
          <w:sz w:val="20"/>
          <w:szCs w:val="20"/>
          <w:lang w:val="es-ES"/>
        </w:rPr>
        <w:t>s</w:t>
      </w:r>
      <w:r w:rsidR="00FB4AA8" w:rsidRPr="003C379E">
        <w:rPr>
          <w:sz w:val="20"/>
          <w:szCs w:val="20"/>
          <w:lang w:val="es-ES"/>
        </w:rPr>
        <w:t>,</w:t>
      </w:r>
      <w:r w:rsidR="0092580E" w:rsidRPr="003C379E">
        <w:rPr>
          <w:sz w:val="20"/>
          <w:szCs w:val="20"/>
          <w:lang w:val="es-ES"/>
        </w:rPr>
        <w:t xml:space="preserve"> </w:t>
      </w:r>
      <w:r w:rsidR="009115EB" w:rsidRPr="003C379E">
        <w:rPr>
          <w:sz w:val="20"/>
          <w:szCs w:val="20"/>
          <w:lang w:val="es-ES"/>
        </w:rPr>
        <w:t>y</w:t>
      </w:r>
      <w:r w:rsidR="0092580E" w:rsidRPr="003C379E">
        <w:rPr>
          <w:sz w:val="20"/>
          <w:szCs w:val="20"/>
          <w:lang w:val="es-ES"/>
        </w:rPr>
        <w:t xml:space="preserve"> </w:t>
      </w:r>
      <w:r w:rsidR="009115EB" w:rsidRPr="003C379E">
        <w:rPr>
          <w:sz w:val="20"/>
          <w:szCs w:val="20"/>
          <w:lang w:val="es-ES"/>
        </w:rPr>
        <w:t>no</w:t>
      </w:r>
      <w:r w:rsidR="0092580E" w:rsidRPr="003C379E">
        <w:rPr>
          <w:sz w:val="20"/>
          <w:szCs w:val="20"/>
          <w:lang w:val="es-ES"/>
        </w:rPr>
        <w:t xml:space="preserve"> de recursos extraordin</w:t>
      </w:r>
      <w:r w:rsidR="009115EB" w:rsidRPr="003C379E">
        <w:rPr>
          <w:sz w:val="20"/>
          <w:szCs w:val="20"/>
          <w:lang w:val="es-ES"/>
        </w:rPr>
        <w:t>ario</w:t>
      </w:r>
      <w:r w:rsidR="0092580E" w:rsidRPr="003C379E">
        <w:rPr>
          <w:sz w:val="20"/>
          <w:szCs w:val="20"/>
          <w:lang w:val="es-ES"/>
        </w:rPr>
        <w:t>s.</w:t>
      </w:r>
      <w:r w:rsidR="00E46916" w:rsidRPr="003C379E">
        <w:rPr>
          <w:rStyle w:val="FootnoteReference"/>
          <w:rFonts w:cs="Calibri"/>
          <w:color w:val="auto"/>
          <w:sz w:val="20"/>
          <w:szCs w:val="20"/>
          <w:lang w:val="es-ES"/>
        </w:rPr>
        <w:footnoteReference w:id="5"/>
      </w:r>
      <w:r w:rsidR="0092580E" w:rsidRPr="003C379E">
        <w:rPr>
          <w:rFonts w:cs="Calibri"/>
          <w:sz w:val="20"/>
          <w:szCs w:val="20"/>
          <w:lang w:val="es-ES"/>
        </w:rPr>
        <w:t xml:space="preserve"> </w:t>
      </w:r>
      <w:r w:rsidR="00B6265D" w:rsidRPr="003C379E">
        <w:rPr>
          <w:rFonts w:cs="Calibri"/>
          <w:sz w:val="20"/>
          <w:szCs w:val="20"/>
          <w:lang w:val="es-ES"/>
        </w:rPr>
        <w:t>La</w:t>
      </w:r>
      <w:r w:rsidR="0060438F" w:rsidRPr="003C379E">
        <w:rPr>
          <w:rFonts w:cs="Calibri"/>
          <w:sz w:val="20"/>
          <w:szCs w:val="20"/>
          <w:lang w:val="es-ES"/>
        </w:rPr>
        <w:t xml:space="preserve"> Comi</w:t>
      </w:r>
      <w:r w:rsidR="009115EB" w:rsidRPr="003C379E">
        <w:rPr>
          <w:rFonts w:cs="Calibri"/>
          <w:sz w:val="20"/>
          <w:szCs w:val="20"/>
          <w:lang w:val="es-ES"/>
        </w:rPr>
        <w:t>sión</w:t>
      </w:r>
      <w:r w:rsidR="0060438F" w:rsidRPr="003C379E">
        <w:rPr>
          <w:rFonts w:cs="Calibri"/>
          <w:sz w:val="20"/>
          <w:szCs w:val="20"/>
          <w:lang w:val="es-ES"/>
        </w:rPr>
        <w:t xml:space="preserve"> observa que, </w:t>
      </w:r>
      <w:r w:rsidR="009115EB" w:rsidRPr="003C379E">
        <w:rPr>
          <w:rFonts w:cs="Calibri"/>
          <w:sz w:val="20"/>
          <w:szCs w:val="20"/>
          <w:lang w:val="es-ES"/>
        </w:rPr>
        <w:t>en el</w:t>
      </w:r>
      <w:r w:rsidR="0092580E" w:rsidRPr="003C379E">
        <w:rPr>
          <w:rFonts w:cs="Calibri"/>
          <w:sz w:val="20"/>
          <w:szCs w:val="20"/>
          <w:lang w:val="es-ES"/>
        </w:rPr>
        <w:t xml:space="preserve"> presente caso, </w:t>
      </w:r>
      <w:r w:rsidR="009115EB" w:rsidRPr="003C379E">
        <w:rPr>
          <w:rFonts w:cs="Calibri"/>
          <w:sz w:val="20"/>
          <w:szCs w:val="20"/>
          <w:lang w:val="es-ES"/>
        </w:rPr>
        <w:t>el</w:t>
      </w:r>
      <w:r w:rsidR="0092580E" w:rsidRPr="003C379E">
        <w:rPr>
          <w:rFonts w:cs="Calibri"/>
          <w:sz w:val="20"/>
          <w:szCs w:val="20"/>
          <w:lang w:val="es-ES"/>
        </w:rPr>
        <w:t xml:space="preserve"> recurso previsto </w:t>
      </w:r>
      <w:r w:rsidR="009115EB" w:rsidRPr="003C379E">
        <w:rPr>
          <w:rFonts w:cs="Calibri"/>
          <w:sz w:val="20"/>
          <w:szCs w:val="20"/>
          <w:lang w:val="es-ES"/>
        </w:rPr>
        <w:t>en el</w:t>
      </w:r>
      <w:r w:rsidR="0092580E" w:rsidRPr="003C379E">
        <w:rPr>
          <w:rFonts w:cs="Calibri"/>
          <w:sz w:val="20"/>
          <w:szCs w:val="20"/>
          <w:lang w:val="es-ES"/>
        </w:rPr>
        <w:t xml:space="preserve"> </w:t>
      </w:r>
      <w:r w:rsidR="009115EB" w:rsidRPr="003C379E">
        <w:rPr>
          <w:rFonts w:cs="Calibri"/>
          <w:sz w:val="20"/>
          <w:szCs w:val="20"/>
          <w:lang w:val="es-ES"/>
        </w:rPr>
        <w:t>artículo</w:t>
      </w:r>
      <w:r w:rsidR="004A7E03" w:rsidRPr="003C379E">
        <w:rPr>
          <w:rFonts w:cs="Calibri"/>
          <w:sz w:val="20"/>
          <w:szCs w:val="20"/>
          <w:lang w:val="es-ES"/>
        </w:rPr>
        <w:t xml:space="preserve"> 102, III</w:t>
      </w:r>
      <w:r w:rsidR="0092580E" w:rsidRPr="003C379E">
        <w:rPr>
          <w:rFonts w:cs="Calibri"/>
          <w:sz w:val="20"/>
          <w:szCs w:val="20"/>
          <w:lang w:val="es-ES"/>
        </w:rPr>
        <w:t xml:space="preserve"> </w:t>
      </w:r>
      <w:r w:rsidR="009115EB" w:rsidRPr="003C379E">
        <w:rPr>
          <w:rFonts w:cs="Calibri"/>
          <w:sz w:val="20"/>
          <w:szCs w:val="20"/>
          <w:lang w:val="es-ES"/>
        </w:rPr>
        <w:t>de la</w:t>
      </w:r>
      <w:r w:rsidR="0092580E" w:rsidRPr="003C379E">
        <w:rPr>
          <w:rFonts w:cs="Calibri"/>
          <w:sz w:val="20"/>
          <w:szCs w:val="20"/>
          <w:lang w:val="es-ES"/>
        </w:rPr>
        <w:t xml:space="preserve"> Constit</w:t>
      </w:r>
      <w:r w:rsidR="00B05EA6" w:rsidRPr="003C379E">
        <w:rPr>
          <w:rFonts w:cs="Calibri"/>
          <w:sz w:val="20"/>
          <w:szCs w:val="20"/>
          <w:lang w:val="es-ES"/>
        </w:rPr>
        <w:t>uci</w:t>
      </w:r>
      <w:r w:rsidR="009115EB" w:rsidRPr="003C379E">
        <w:rPr>
          <w:rFonts w:cs="Calibri"/>
          <w:sz w:val="20"/>
          <w:szCs w:val="20"/>
          <w:lang w:val="es-ES"/>
        </w:rPr>
        <w:t>ón</w:t>
      </w:r>
      <w:r w:rsidR="0092580E" w:rsidRPr="003C379E">
        <w:rPr>
          <w:rFonts w:cs="Calibri"/>
          <w:sz w:val="20"/>
          <w:szCs w:val="20"/>
          <w:lang w:val="es-ES"/>
        </w:rPr>
        <w:t xml:space="preserve"> </w:t>
      </w:r>
      <w:r w:rsidR="009115EB" w:rsidRPr="003C379E">
        <w:rPr>
          <w:rFonts w:cs="Calibri"/>
          <w:sz w:val="20"/>
          <w:szCs w:val="20"/>
          <w:lang w:val="es-ES"/>
        </w:rPr>
        <w:t>brasileñ</w:t>
      </w:r>
      <w:r w:rsidR="0092580E" w:rsidRPr="003C379E">
        <w:rPr>
          <w:rFonts w:cs="Calibri"/>
          <w:sz w:val="20"/>
          <w:szCs w:val="20"/>
          <w:lang w:val="es-ES"/>
        </w:rPr>
        <w:t xml:space="preserve">a </w:t>
      </w:r>
      <w:r w:rsidR="009115EB" w:rsidRPr="003C379E">
        <w:rPr>
          <w:rFonts w:cs="Calibri"/>
          <w:sz w:val="20"/>
          <w:szCs w:val="20"/>
          <w:lang w:val="es-ES"/>
        </w:rPr>
        <w:t>no</w:t>
      </w:r>
      <w:r w:rsidR="0060438F" w:rsidRPr="003C379E">
        <w:rPr>
          <w:rFonts w:cs="Calibri"/>
          <w:sz w:val="20"/>
          <w:szCs w:val="20"/>
          <w:lang w:val="es-ES"/>
        </w:rPr>
        <w:t xml:space="preserve"> era </w:t>
      </w:r>
      <w:r w:rsidR="009115EB" w:rsidRPr="003C379E">
        <w:rPr>
          <w:rFonts w:cs="Calibri"/>
          <w:sz w:val="20"/>
          <w:szCs w:val="20"/>
          <w:lang w:val="es-ES"/>
        </w:rPr>
        <w:t>efectiv</w:t>
      </w:r>
      <w:r w:rsidR="0060438F" w:rsidRPr="003C379E">
        <w:rPr>
          <w:rFonts w:cs="Calibri"/>
          <w:sz w:val="20"/>
          <w:szCs w:val="20"/>
          <w:lang w:val="es-ES"/>
        </w:rPr>
        <w:t xml:space="preserve">o para tutelar </w:t>
      </w:r>
      <w:r w:rsidR="009115EB" w:rsidRPr="003C379E">
        <w:rPr>
          <w:rFonts w:cs="Calibri"/>
          <w:sz w:val="20"/>
          <w:szCs w:val="20"/>
          <w:lang w:val="es-ES"/>
        </w:rPr>
        <w:t>los</w:t>
      </w:r>
      <w:r w:rsidR="0060438F" w:rsidRPr="003C379E">
        <w:rPr>
          <w:rFonts w:cs="Calibri"/>
          <w:sz w:val="20"/>
          <w:szCs w:val="20"/>
          <w:lang w:val="es-ES"/>
        </w:rPr>
        <w:t xml:space="preserve"> </w:t>
      </w:r>
      <w:r w:rsidR="009115EB" w:rsidRPr="003C379E">
        <w:rPr>
          <w:rFonts w:cs="Calibri"/>
          <w:sz w:val="20"/>
          <w:szCs w:val="20"/>
          <w:lang w:val="es-ES"/>
        </w:rPr>
        <w:t>derech</w:t>
      </w:r>
      <w:r w:rsidR="0060438F" w:rsidRPr="003C379E">
        <w:rPr>
          <w:rFonts w:cs="Calibri"/>
          <w:sz w:val="20"/>
          <w:szCs w:val="20"/>
          <w:lang w:val="es-ES"/>
        </w:rPr>
        <w:t xml:space="preserve">os </w:t>
      </w:r>
      <w:r w:rsidR="009115EB" w:rsidRPr="003C379E">
        <w:rPr>
          <w:rFonts w:cs="Calibri"/>
          <w:sz w:val="20"/>
          <w:szCs w:val="20"/>
          <w:lang w:val="es-ES"/>
        </w:rPr>
        <w:t>de la</w:t>
      </w:r>
      <w:r w:rsidR="0060438F" w:rsidRPr="003C379E">
        <w:rPr>
          <w:rFonts w:cs="Calibri"/>
          <w:sz w:val="20"/>
          <w:szCs w:val="20"/>
          <w:lang w:val="es-ES"/>
        </w:rPr>
        <w:t xml:space="preserve"> </w:t>
      </w:r>
      <w:r w:rsidR="00B05EA6" w:rsidRPr="003C379E">
        <w:rPr>
          <w:rFonts w:cs="Calibri"/>
          <w:sz w:val="20"/>
          <w:szCs w:val="20"/>
          <w:lang w:val="es-ES"/>
        </w:rPr>
        <w:t>presunta v</w:t>
      </w:r>
      <w:r w:rsidR="009115EB" w:rsidRPr="003C379E">
        <w:rPr>
          <w:rFonts w:cs="Calibri"/>
          <w:sz w:val="20"/>
          <w:szCs w:val="20"/>
          <w:lang w:val="es-ES"/>
        </w:rPr>
        <w:t>íctima</w:t>
      </w:r>
      <w:r w:rsidR="0060438F" w:rsidRPr="003C379E">
        <w:rPr>
          <w:rFonts w:cs="Calibri"/>
          <w:sz w:val="20"/>
          <w:szCs w:val="20"/>
          <w:lang w:val="es-ES"/>
        </w:rPr>
        <w:t xml:space="preserve">, </w:t>
      </w:r>
      <w:r w:rsidR="00B05EA6" w:rsidRPr="003C379E">
        <w:rPr>
          <w:rFonts w:cs="Calibri"/>
          <w:sz w:val="20"/>
          <w:szCs w:val="20"/>
          <w:lang w:val="es-ES"/>
        </w:rPr>
        <w:t>ya</w:t>
      </w:r>
      <w:r w:rsidR="0060438F" w:rsidRPr="003C379E">
        <w:rPr>
          <w:rFonts w:cs="Calibri"/>
          <w:sz w:val="20"/>
          <w:szCs w:val="20"/>
          <w:lang w:val="es-ES"/>
        </w:rPr>
        <w:t xml:space="preserve"> que </w:t>
      </w:r>
      <w:r w:rsidR="009115EB" w:rsidRPr="003C379E">
        <w:rPr>
          <w:rFonts w:cs="Calibri"/>
          <w:sz w:val="20"/>
          <w:szCs w:val="20"/>
          <w:lang w:val="es-ES"/>
        </w:rPr>
        <w:t>el</w:t>
      </w:r>
      <w:r w:rsidR="0060438F" w:rsidRPr="003C379E">
        <w:rPr>
          <w:rFonts w:cs="Calibri"/>
          <w:sz w:val="20"/>
          <w:szCs w:val="20"/>
          <w:lang w:val="es-ES"/>
        </w:rPr>
        <w:t xml:space="preserve"> </w:t>
      </w:r>
      <w:r w:rsidR="0042784D" w:rsidRPr="003C379E">
        <w:rPr>
          <w:rFonts w:cs="Calibri"/>
          <w:sz w:val="20"/>
          <w:szCs w:val="20"/>
          <w:lang w:val="es-ES"/>
        </w:rPr>
        <w:t xml:space="preserve">recurso extraordinario </w:t>
      </w:r>
      <w:r w:rsidR="009115EB" w:rsidRPr="003C379E">
        <w:rPr>
          <w:rFonts w:cs="Calibri"/>
          <w:sz w:val="20"/>
          <w:szCs w:val="20"/>
          <w:lang w:val="es-ES"/>
        </w:rPr>
        <w:t>es</w:t>
      </w:r>
      <w:r w:rsidR="0060438F" w:rsidRPr="003C379E">
        <w:rPr>
          <w:rFonts w:cs="Calibri"/>
          <w:sz w:val="20"/>
          <w:szCs w:val="20"/>
          <w:lang w:val="es-ES"/>
        </w:rPr>
        <w:t xml:space="preserve"> </w:t>
      </w:r>
      <w:r w:rsidR="009115EB" w:rsidRPr="003C379E">
        <w:rPr>
          <w:rFonts w:cs="Calibri"/>
          <w:sz w:val="20"/>
          <w:szCs w:val="20"/>
          <w:lang w:val="es-ES"/>
        </w:rPr>
        <w:t>efectiv</w:t>
      </w:r>
      <w:r w:rsidR="0060438F" w:rsidRPr="003C379E">
        <w:rPr>
          <w:rFonts w:cs="Calibri"/>
          <w:sz w:val="20"/>
          <w:szCs w:val="20"/>
          <w:lang w:val="es-ES"/>
        </w:rPr>
        <w:t>o para examinar deci</w:t>
      </w:r>
      <w:r w:rsidR="009115EB" w:rsidRPr="003C379E">
        <w:rPr>
          <w:rFonts w:cs="Calibri"/>
          <w:sz w:val="20"/>
          <w:szCs w:val="20"/>
          <w:lang w:val="es-ES"/>
        </w:rPr>
        <w:t>siones</w:t>
      </w:r>
      <w:r w:rsidR="0060438F" w:rsidRPr="003C379E">
        <w:rPr>
          <w:rFonts w:cs="Calibri"/>
          <w:sz w:val="20"/>
          <w:szCs w:val="20"/>
          <w:lang w:val="es-ES"/>
        </w:rPr>
        <w:t xml:space="preserve"> </w:t>
      </w:r>
      <w:r w:rsidRPr="003C379E">
        <w:rPr>
          <w:rFonts w:cs="Calibri"/>
          <w:sz w:val="20"/>
          <w:szCs w:val="20"/>
          <w:lang w:val="es-ES"/>
        </w:rPr>
        <w:t>contrarias a</w:t>
      </w:r>
      <w:r w:rsidR="009115EB" w:rsidRPr="003C379E">
        <w:rPr>
          <w:rFonts w:cs="Calibri"/>
          <w:sz w:val="20"/>
          <w:szCs w:val="20"/>
          <w:lang w:val="es-ES"/>
        </w:rPr>
        <w:t xml:space="preserve"> </w:t>
      </w:r>
      <w:r w:rsidR="00B6265D" w:rsidRPr="003C379E">
        <w:rPr>
          <w:rFonts w:cs="Calibri"/>
          <w:sz w:val="20"/>
          <w:szCs w:val="20"/>
          <w:lang w:val="es-ES"/>
        </w:rPr>
        <w:t>la</w:t>
      </w:r>
      <w:r w:rsidR="0060438F" w:rsidRPr="003C379E">
        <w:rPr>
          <w:rFonts w:cs="Calibri"/>
          <w:sz w:val="20"/>
          <w:szCs w:val="20"/>
          <w:lang w:val="es-ES"/>
        </w:rPr>
        <w:t xml:space="preserve"> Constit</w:t>
      </w:r>
      <w:r w:rsidR="00B05EA6" w:rsidRPr="003C379E">
        <w:rPr>
          <w:rFonts w:cs="Calibri"/>
          <w:sz w:val="20"/>
          <w:szCs w:val="20"/>
          <w:lang w:val="es-ES"/>
        </w:rPr>
        <w:t>uci</w:t>
      </w:r>
      <w:r w:rsidR="009115EB" w:rsidRPr="003C379E">
        <w:rPr>
          <w:rFonts w:cs="Calibri"/>
          <w:sz w:val="20"/>
          <w:szCs w:val="20"/>
          <w:lang w:val="es-ES"/>
        </w:rPr>
        <w:t>ón</w:t>
      </w:r>
      <w:r w:rsidR="0060438F" w:rsidRPr="003C379E">
        <w:rPr>
          <w:rFonts w:cs="Calibri"/>
          <w:sz w:val="20"/>
          <w:szCs w:val="20"/>
          <w:lang w:val="es-ES"/>
        </w:rPr>
        <w:t xml:space="preserve">, para declarar </w:t>
      </w:r>
      <w:r w:rsidR="00915B51" w:rsidRPr="003C379E">
        <w:rPr>
          <w:rFonts w:cs="Calibri"/>
          <w:sz w:val="20"/>
          <w:szCs w:val="20"/>
          <w:lang w:val="es-ES"/>
        </w:rPr>
        <w:t>la</w:t>
      </w:r>
      <w:r w:rsidR="00AF6C46" w:rsidRPr="003C379E">
        <w:rPr>
          <w:rFonts w:cs="Calibri"/>
          <w:sz w:val="20"/>
          <w:szCs w:val="20"/>
          <w:lang w:val="es-ES"/>
        </w:rPr>
        <w:t xml:space="preserve"> </w:t>
      </w:r>
      <w:r w:rsidR="0060438F" w:rsidRPr="003C379E">
        <w:rPr>
          <w:rFonts w:cs="Calibri"/>
          <w:sz w:val="20"/>
          <w:szCs w:val="20"/>
          <w:lang w:val="es-ES"/>
        </w:rPr>
        <w:t>inconstitucionali</w:t>
      </w:r>
      <w:r w:rsidR="009115EB" w:rsidRPr="003C379E">
        <w:rPr>
          <w:rFonts w:cs="Calibri"/>
          <w:sz w:val="20"/>
          <w:szCs w:val="20"/>
          <w:lang w:val="es-ES"/>
        </w:rPr>
        <w:t xml:space="preserve">dad </w:t>
      </w:r>
      <w:r w:rsidR="0060438F" w:rsidRPr="003C379E">
        <w:rPr>
          <w:rFonts w:cs="Calibri"/>
          <w:sz w:val="20"/>
          <w:szCs w:val="20"/>
          <w:lang w:val="es-ES"/>
        </w:rPr>
        <w:t xml:space="preserve">de </w:t>
      </w:r>
      <w:r w:rsidRPr="003C379E">
        <w:rPr>
          <w:rFonts w:cs="Calibri"/>
          <w:sz w:val="20"/>
          <w:szCs w:val="20"/>
          <w:lang w:val="es-ES"/>
        </w:rPr>
        <w:t xml:space="preserve">una </w:t>
      </w:r>
      <w:r w:rsidR="009115EB" w:rsidRPr="003C379E">
        <w:rPr>
          <w:rFonts w:cs="Calibri"/>
          <w:sz w:val="20"/>
          <w:szCs w:val="20"/>
          <w:lang w:val="es-ES"/>
        </w:rPr>
        <w:t>ley</w:t>
      </w:r>
      <w:r w:rsidR="0060438F" w:rsidRPr="003C379E">
        <w:rPr>
          <w:rFonts w:cs="Calibri"/>
          <w:sz w:val="20"/>
          <w:szCs w:val="20"/>
          <w:lang w:val="es-ES"/>
        </w:rPr>
        <w:t xml:space="preserve">, </w:t>
      </w:r>
      <w:r w:rsidR="00915B51" w:rsidRPr="003C379E">
        <w:rPr>
          <w:rFonts w:cs="Calibri"/>
          <w:sz w:val="20"/>
          <w:szCs w:val="20"/>
          <w:lang w:val="es-ES"/>
        </w:rPr>
        <w:t xml:space="preserve">para </w:t>
      </w:r>
      <w:r w:rsidR="00B05EA6" w:rsidRPr="003C379E">
        <w:rPr>
          <w:rFonts w:cs="Calibri"/>
          <w:sz w:val="20"/>
          <w:szCs w:val="20"/>
          <w:lang w:val="es-ES"/>
        </w:rPr>
        <w:t>juzga</w:t>
      </w:r>
      <w:r w:rsidR="0060438F" w:rsidRPr="003C379E">
        <w:rPr>
          <w:rFonts w:cs="Calibri"/>
          <w:sz w:val="20"/>
          <w:szCs w:val="20"/>
          <w:lang w:val="es-ES"/>
        </w:rPr>
        <w:t xml:space="preserve">r </w:t>
      </w:r>
      <w:r w:rsidR="00915B51" w:rsidRPr="003C379E">
        <w:rPr>
          <w:rFonts w:cs="Calibri"/>
          <w:sz w:val="20"/>
          <w:szCs w:val="20"/>
          <w:lang w:val="es-ES"/>
        </w:rPr>
        <w:t>la validez de</w:t>
      </w:r>
      <w:r w:rsidR="00AF6C46" w:rsidRPr="003C379E">
        <w:rPr>
          <w:rFonts w:cs="Calibri"/>
          <w:sz w:val="20"/>
          <w:szCs w:val="20"/>
          <w:lang w:val="es-ES"/>
        </w:rPr>
        <w:t xml:space="preserve"> </w:t>
      </w:r>
      <w:r w:rsidRPr="003C379E">
        <w:rPr>
          <w:rFonts w:cs="Calibri"/>
          <w:sz w:val="20"/>
          <w:szCs w:val="20"/>
          <w:lang w:val="es-ES"/>
        </w:rPr>
        <w:t>una</w:t>
      </w:r>
      <w:r w:rsidR="0060438F" w:rsidRPr="003C379E">
        <w:rPr>
          <w:rFonts w:cs="Calibri"/>
          <w:sz w:val="20"/>
          <w:szCs w:val="20"/>
          <w:lang w:val="es-ES"/>
        </w:rPr>
        <w:t xml:space="preserve"> </w:t>
      </w:r>
      <w:r w:rsidR="009115EB" w:rsidRPr="003C379E">
        <w:rPr>
          <w:rFonts w:cs="Calibri"/>
          <w:sz w:val="20"/>
          <w:szCs w:val="20"/>
          <w:lang w:val="es-ES"/>
        </w:rPr>
        <w:t>ley</w:t>
      </w:r>
      <w:r w:rsidR="0060438F" w:rsidRPr="003C379E">
        <w:rPr>
          <w:rFonts w:cs="Calibri"/>
          <w:sz w:val="20"/>
          <w:szCs w:val="20"/>
          <w:lang w:val="es-ES"/>
        </w:rPr>
        <w:t xml:space="preserve"> </w:t>
      </w:r>
      <w:r w:rsidR="00B05EA6" w:rsidRPr="003C379E">
        <w:rPr>
          <w:rFonts w:cs="Calibri"/>
          <w:sz w:val="20"/>
          <w:szCs w:val="20"/>
          <w:lang w:val="es-ES"/>
        </w:rPr>
        <w:t>o</w:t>
      </w:r>
      <w:r w:rsidRPr="003C379E">
        <w:rPr>
          <w:rFonts w:cs="Calibri"/>
          <w:sz w:val="20"/>
          <w:szCs w:val="20"/>
          <w:lang w:val="es-ES"/>
        </w:rPr>
        <w:t xml:space="preserve"> un</w:t>
      </w:r>
      <w:r w:rsidR="0060438F" w:rsidRPr="003C379E">
        <w:rPr>
          <w:rFonts w:cs="Calibri"/>
          <w:sz w:val="20"/>
          <w:szCs w:val="20"/>
          <w:lang w:val="es-ES"/>
        </w:rPr>
        <w:t xml:space="preserve"> a</w:t>
      </w:r>
      <w:r w:rsidRPr="003C379E">
        <w:rPr>
          <w:rFonts w:cs="Calibri"/>
          <w:sz w:val="20"/>
          <w:szCs w:val="20"/>
          <w:lang w:val="es-ES"/>
        </w:rPr>
        <w:t>c</w:t>
      </w:r>
      <w:r w:rsidR="0060438F" w:rsidRPr="003C379E">
        <w:rPr>
          <w:rFonts w:cs="Calibri"/>
          <w:sz w:val="20"/>
          <w:szCs w:val="20"/>
          <w:lang w:val="es-ES"/>
        </w:rPr>
        <w:t xml:space="preserve">to local de </w:t>
      </w:r>
      <w:r w:rsidR="00FB4AA8" w:rsidRPr="003C379E">
        <w:rPr>
          <w:rFonts w:cs="Calibri"/>
          <w:sz w:val="20"/>
          <w:szCs w:val="20"/>
          <w:lang w:val="es-ES"/>
        </w:rPr>
        <w:t xml:space="preserve">un </w:t>
      </w:r>
      <w:r w:rsidR="0060438F" w:rsidRPr="003C379E">
        <w:rPr>
          <w:rFonts w:cs="Calibri"/>
          <w:sz w:val="20"/>
          <w:szCs w:val="20"/>
          <w:lang w:val="es-ES"/>
        </w:rPr>
        <w:t>go</w:t>
      </w:r>
      <w:r w:rsidR="00E162A5" w:rsidRPr="003C379E">
        <w:rPr>
          <w:rFonts w:cs="Calibri"/>
          <w:sz w:val="20"/>
          <w:szCs w:val="20"/>
          <w:lang w:val="es-ES"/>
        </w:rPr>
        <w:t>bi</w:t>
      </w:r>
      <w:r w:rsidR="0060438F" w:rsidRPr="003C379E">
        <w:rPr>
          <w:rFonts w:cs="Calibri"/>
          <w:sz w:val="20"/>
          <w:szCs w:val="20"/>
          <w:lang w:val="es-ES"/>
        </w:rPr>
        <w:t xml:space="preserve">erno local, </w:t>
      </w:r>
      <w:r w:rsidR="00B05EA6" w:rsidRPr="003C379E">
        <w:rPr>
          <w:rFonts w:cs="Calibri"/>
          <w:sz w:val="20"/>
          <w:szCs w:val="20"/>
          <w:lang w:val="es-ES"/>
        </w:rPr>
        <w:t>o</w:t>
      </w:r>
      <w:r w:rsidR="0060438F" w:rsidRPr="003C379E">
        <w:rPr>
          <w:rFonts w:cs="Calibri"/>
          <w:sz w:val="20"/>
          <w:szCs w:val="20"/>
          <w:lang w:val="es-ES"/>
        </w:rPr>
        <w:t xml:space="preserve"> </w:t>
      </w:r>
      <w:r w:rsidR="00915B51" w:rsidRPr="003C379E">
        <w:rPr>
          <w:rFonts w:cs="Calibri"/>
          <w:sz w:val="20"/>
          <w:szCs w:val="20"/>
          <w:lang w:val="es-ES"/>
        </w:rPr>
        <w:t>para</w:t>
      </w:r>
      <w:r w:rsidR="00AF6C46" w:rsidRPr="003C379E">
        <w:rPr>
          <w:rFonts w:cs="Calibri"/>
          <w:sz w:val="20"/>
          <w:szCs w:val="20"/>
          <w:lang w:val="es-ES"/>
        </w:rPr>
        <w:t xml:space="preserve"> </w:t>
      </w:r>
      <w:r w:rsidR="00B05EA6" w:rsidRPr="003C379E">
        <w:rPr>
          <w:rFonts w:cs="Calibri"/>
          <w:sz w:val="20"/>
          <w:szCs w:val="20"/>
          <w:lang w:val="es-ES"/>
        </w:rPr>
        <w:t>juzga</w:t>
      </w:r>
      <w:r w:rsidR="0060438F" w:rsidRPr="003C379E">
        <w:rPr>
          <w:rFonts w:cs="Calibri"/>
          <w:sz w:val="20"/>
          <w:szCs w:val="20"/>
          <w:lang w:val="es-ES"/>
        </w:rPr>
        <w:t>r</w:t>
      </w:r>
      <w:r w:rsidR="00915B51" w:rsidRPr="003C379E">
        <w:rPr>
          <w:rFonts w:cs="Calibri"/>
          <w:sz w:val="20"/>
          <w:szCs w:val="20"/>
          <w:lang w:val="es-ES"/>
        </w:rPr>
        <w:t xml:space="preserve"> la validez</w:t>
      </w:r>
      <w:r w:rsidR="00AF6C46" w:rsidRPr="003C379E">
        <w:rPr>
          <w:rFonts w:cs="Calibri"/>
          <w:sz w:val="20"/>
          <w:szCs w:val="20"/>
          <w:lang w:val="es-ES"/>
        </w:rPr>
        <w:t xml:space="preserve"> </w:t>
      </w:r>
      <w:r w:rsidR="00A76937" w:rsidRPr="003C379E">
        <w:rPr>
          <w:rFonts w:cs="Calibri"/>
          <w:sz w:val="20"/>
          <w:szCs w:val="20"/>
          <w:lang w:val="es-ES"/>
        </w:rPr>
        <w:t xml:space="preserve">de </w:t>
      </w:r>
      <w:r w:rsidR="000C166B" w:rsidRPr="003C379E">
        <w:rPr>
          <w:rFonts w:cs="Calibri"/>
          <w:sz w:val="20"/>
          <w:szCs w:val="20"/>
          <w:lang w:val="es-ES"/>
        </w:rPr>
        <w:t xml:space="preserve">una </w:t>
      </w:r>
      <w:r w:rsidR="009115EB" w:rsidRPr="003C379E">
        <w:rPr>
          <w:rFonts w:cs="Calibri"/>
          <w:sz w:val="20"/>
          <w:szCs w:val="20"/>
          <w:lang w:val="es-ES"/>
        </w:rPr>
        <w:t>ley</w:t>
      </w:r>
      <w:r w:rsidR="0060438F" w:rsidRPr="003C379E">
        <w:rPr>
          <w:rFonts w:cs="Calibri"/>
          <w:sz w:val="20"/>
          <w:szCs w:val="20"/>
          <w:lang w:val="es-ES"/>
        </w:rPr>
        <w:t xml:space="preserve"> local </w:t>
      </w:r>
      <w:r w:rsidR="00345A83" w:rsidRPr="003C379E">
        <w:rPr>
          <w:rFonts w:cs="Calibri"/>
          <w:sz w:val="20"/>
          <w:szCs w:val="20"/>
          <w:lang w:val="es-ES"/>
        </w:rPr>
        <w:t>impugnada</w:t>
      </w:r>
      <w:r w:rsidR="0042784D" w:rsidRPr="003C379E">
        <w:rPr>
          <w:rFonts w:cs="Calibri"/>
          <w:sz w:val="20"/>
          <w:szCs w:val="20"/>
          <w:lang w:val="es-ES"/>
        </w:rPr>
        <w:t xml:space="preserve"> </w:t>
      </w:r>
      <w:r w:rsidR="00A11AAB" w:rsidRPr="003C379E">
        <w:rPr>
          <w:rFonts w:cs="Calibri"/>
          <w:sz w:val="20"/>
          <w:szCs w:val="20"/>
          <w:lang w:val="es-ES"/>
        </w:rPr>
        <w:t>por una ley federal</w:t>
      </w:r>
      <w:r w:rsidR="0060438F" w:rsidRPr="003C379E">
        <w:rPr>
          <w:rFonts w:cs="Calibri"/>
          <w:sz w:val="20"/>
          <w:szCs w:val="20"/>
          <w:lang w:val="es-ES"/>
        </w:rPr>
        <w:t xml:space="preserve">. </w:t>
      </w:r>
      <w:r w:rsidR="000C166B" w:rsidRPr="003C379E">
        <w:rPr>
          <w:rFonts w:cs="Calibri"/>
          <w:sz w:val="20"/>
          <w:szCs w:val="20"/>
          <w:lang w:val="es-ES"/>
        </w:rPr>
        <w:t>Es decir</w:t>
      </w:r>
      <w:r w:rsidR="0060438F" w:rsidRPr="003C379E">
        <w:rPr>
          <w:rFonts w:cs="Calibri"/>
          <w:sz w:val="20"/>
          <w:szCs w:val="20"/>
          <w:lang w:val="es-ES"/>
        </w:rPr>
        <w:t xml:space="preserve">, </w:t>
      </w:r>
      <w:r w:rsidR="009115EB" w:rsidRPr="003C379E">
        <w:rPr>
          <w:rFonts w:cs="Calibri"/>
          <w:sz w:val="20"/>
          <w:szCs w:val="20"/>
          <w:lang w:val="es-ES"/>
        </w:rPr>
        <w:t>no</w:t>
      </w:r>
      <w:r w:rsidR="0060438F" w:rsidRPr="003C379E">
        <w:rPr>
          <w:rFonts w:cs="Calibri"/>
          <w:sz w:val="20"/>
          <w:szCs w:val="20"/>
          <w:lang w:val="es-ES"/>
        </w:rPr>
        <w:t xml:space="preserve"> t</w:t>
      </w:r>
      <w:r w:rsidR="000C166B" w:rsidRPr="003C379E">
        <w:rPr>
          <w:rFonts w:cs="Calibri"/>
          <w:sz w:val="20"/>
          <w:szCs w:val="20"/>
          <w:lang w:val="es-ES"/>
        </w:rPr>
        <w:t>i</w:t>
      </w:r>
      <w:r w:rsidR="009115EB" w:rsidRPr="003C379E">
        <w:rPr>
          <w:rFonts w:cs="Calibri"/>
          <w:sz w:val="20"/>
          <w:szCs w:val="20"/>
          <w:lang w:val="es-ES"/>
        </w:rPr>
        <w:t>en</w:t>
      </w:r>
      <w:r w:rsidR="000C166B" w:rsidRPr="003C379E">
        <w:rPr>
          <w:rFonts w:cs="Calibri"/>
          <w:sz w:val="20"/>
          <w:szCs w:val="20"/>
          <w:lang w:val="es-ES"/>
        </w:rPr>
        <w:t>e</w:t>
      </w:r>
      <w:r w:rsidR="009115EB" w:rsidRPr="003C379E">
        <w:rPr>
          <w:rFonts w:cs="Calibri"/>
          <w:sz w:val="20"/>
          <w:szCs w:val="20"/>
          <w:lang w:val="es-ES"/>
        </w:rPr>
        <w:t xml:space="preserve"> </w:t>
      </w:r>
      <w:r w:rsidR="0060438F" w:rsidRPr="003C379E">
        <w:rPr>
          <w:rFonts w:cs="Calibri"/>
          <w:sz w:val="20"/>
          <w:szCs w:val="20"/>
          <w:lang w:val="es-ES"/>
        </w:rPr>
        <w:t xml:space="preserve">como objetivo </w:t>
      </w:r>
      <w:r w:rsidR="009E32B3" w:rsidRPr="003C379E">
        <w:rPr>
          <w:rFonts w:cs="Calibri"/>
          <w:sz w:val="20"/>
          <w:szCs w:val="20"/>
          <w:lang w:val="es-ES"/>
        </w:rPr>
        <w:t xml:space="preserve">examinar </w:t>
      </w:r>
      <w:r w:rsidR="00B6265D" w:rsidRPr="003C379E">
        <w:rPr>
          <w:rFonts w:cs="Calibri"/>
          <w:sz w:val="20"/>
          <w:szCs w:val="20"/>
          <w:lang w:val="es-ES"/>
        </w:rPr>
        <w:t>la</w:t>
      </w:r>
      <w:r w:rsidR="009E32B3" w:rsidRPr="003C379E">
        <w:rPr>
          <w:rFonts w:cs="Calibri"/>
          <w:sz w:val="20"/>
          <w:szCs w:val="20"/>
          <w:lang w:val="es-ES"/>
        </w:rPr>
        <w:t xml:space="preserve"> </w:t>
      </w:r>
      <w:r w:rsidR="00B6265D" w:rsidRPr="003C379E">
        <w:rPr>
          <w:rFonts w:cs="Calibri"/>
          <w:sz w:val="20"/>
          <w:szCs w:val="20"/>
          <w:lang w:val="es-ES"/>
        </w:rPr>
        <w:t>condena</w:t>
      </w:r>
      <w:r w:rsidR="009E32B3" w:rsidRPr="003C379E">
        <w:rPr>
          <w:rFonts w:cs="Calibri"/>
          <w:sz w:val="20"/>
          <w:szCs w:val="20"/>
          <w:lang w:val="es-ES"/>
        </w:rPr>
        <w:t xml:space="preserve"> </w:t>
      </w:r>
      <w:r w:rsidR="009115EB" w:rsidRPr="003C379E">
        <w:rPr>
          <w:rFonts w:cs="Calibri"/>
          <w:sz w:val="20"/>
          <w:szCs w:val="20"/>
          <w:lang w:val="es-ES"/>
        </w:rPr>
        <w:t>de la</w:t>
      </w:r>
      <w:r w:rsidR="009E32B3" w:rsidRPr="003C379E">
        <w:rPr>
          <w:rFonts w:cs="Calibri"/>
          <w:sz w:val="20"/>
          <w:szCs w:val="20"/>
          <w:lang w:val="es-ES"/>
        </w:rPr>
        <w:t xml:space="preserve"> </w:t>
      </w:r>
      <w:r w:rsidR="00B05EA6" w:rsidRPr="003C379E">
        <w:rPr>
          <w:rFonts w:cs="Calibri"/>
          <w:sz w:val="20"/>
          <w:szCs w:val="20"/>
          <w:lang w:val="es-ES"/>
        </w:rPr>
        <w:t>presunta v</w:t>
      </w:r>
      <w:r w:rsidR="009115EB" w:rsidRPr="003C379E">
        <w:rPr>
          <w:rFonts w:cs="Calibri"/>
          <w:sz w:val="20"/>
          <w:szCs w:val="20"/>
          <w:lang w:val="es-ES"/>
        </w:rPr>
        <w:t>íctima</w:t>
      </w:r>
      <w:r w:rsidR="009E32B3" w:rsidRPr="003C379E">
        <w:rPr>
          <w:rFonts w:cs="Calibri"/>
          <w:sz w:val="20"/>
          <w:szCs w:val="20"/>
          <w:lang w:val="es-ES"/>
        </w:rPr>
        <w:t xml:space="preserve">. </w:t>
      </w:r>
      <w:r w:rsidR="009115EB" w:rsidRPr="003C379E">
        <w:rPr>
          <w:rFonts w:cs="Calibri"/>
          <w:sz w:val="20"/>
          <w:szCs w:val="20"/>
          <w:lang w:val="es-ES"/>
        </w:rPr>
        <w:t>Además</w:t>
      </w:r>
      <w:r w:rsidR="009E32B3" w:rsidRPr="003C379E">
        <w:rPr>
          <w:rFonts w:cs="Calibri"/>
          <w:sz w:val="20"/>
          <w:szCs w:val="20"/>
          <w:lang w:val="es-ES"/>
        </w:rPr>
        <w:t xml:space="preserve">, </w:t>
      </w:r>
      <w:r w:rsidR="00626089">
        <w:rPr>
          <w:rFonts w:cs="Calibri"/>
          <w:sz w:val="20"/>
          <w:szCs w:val="20"/>
          <w:lang w:val="es-ES"/>
        </w:rPr>
        <w:t xml:space="preserve">la “Súmula” </w:t>
      </w:r>
      <w:r w:rsidR="009E32B3" w:rsidRPr="003C379E">
        <w:rPr>
          <w:rFonts w:cs="Calibri"/>
          <w:sz w:val="20"/>
          <w:szCs w:val="20"/>
          <w:lang w:val="es-ES"/>
        </w:rPr>
        <w:t xml:space="preserve">279 </w:t>
      </w:r>
      <w:r w:rsidR="009115EB" w:rsidRPr="003C379E">
        <w:rPr>
          <w:rFonts w:cs="Calibri"/>
          <w:sz w:val="20"/>
          <w:szCs w:val="20"/>
          <w:lang w:val="es-ES"/>
        </w:rPr>
        <w:t>del</w:t>
      </w:r>
      <w:r w:rsidR="009E32B3" w:rsidRPr="003C379E">
        <w:rPr>
          <w:rFonts w:cs="Calibri"/>
          <w:sz w:val="20"/>
          <w:szCs w:val="20"/>
          <w:lang w:val="es-ES"/>
        </w:rPr>
        <w:t xml:space="preserve"> STF imp</w:t>
      </w:r>
      <w:r w:rsidR="000C166B" w:rsidRPr="003C379E">
        <w:rPr>
          <w:rFonts w:cs="Calibri"/>
          <w:sz w:val="20"/>
          <w:szCs w:val="20"/>
          <w:lang w:val="es-ES"/>
        </w:rPr>
        <w:t>i</w:t>
      </w:r>
      <w:r w:rsidR="009E32B3" w:rsidRPr="003C379E">
        <w:rPr>
          <w:rFonts w:cs="Calibri"/>
          <w:sz w:val="20"/>
          <w:szCs w:val="20"/>
          <w:lang w:val="es-ES"/>
        </w:rPr>
        <w:t xml:space="preserve">de que </w:t>
      </w:r>
      <w:r w:rsidR="009115EB" w:rsidRPr="003C379E">
        <w:rPr>
          <w:rFonts w:cs="Calibri"/>
          <w:sz w:val="20"/>
          <w:szCs w:val="20"/>
          <w:lang w:val="es-ES"/>
        </w:rPr>
        <w:t>el</w:t>
      </w:r>
      <w:r w:rsidR="009E32B3" w:rsidRPr="003C379E">
        <w:rPr>
          <w:rFonts w:cs="Calibri"/>
          <w:sz w:val="20"/>
          <w:szCs w:val="20"/>
          <w:lang w:val="es-ES"/>
        </w:rPr>
        <w:t xml:space="preserve"> tribunal reexamine pr</w:t>
      </w:r>
      <w:r w:rsidR="000C166B" w:rsidRPr="003C379E">
        <w:rPr>
          <w:rFonts w:cs="Calibri"/>
          <w:sz w:val="20"/>
          <w:szCs w:val="20"/>
          <w:lang w:val="es-ES"/>
        </w:rPr>
        <w:t>ueb</w:t>
      </w:r>
      <w:r w:rsidR="009E32B3" w:rsidRPr="003C379E">
        <w:rPr>
          <w:rFonts w:cs="Calibri"/>
          <w:sz w:val="20"/>
          <w:szCs w:val="20"/>
          <w:lang w:val="es-ES"/>
        </w:rPr>
        <w:t>a</w:t>
      </w:r>
      <w:r w:rsidR="000C166B" w:rsidRPr="003C379E">
        <w:rPr>
          <w:rFonts w:cs="Calibri"/>
          <w:sz w:val="20"/>
          <w:szCs w:val="20"/>
          <w:lang w:val="es-ES"/>
        </w:rPr>
        <w:t>s</w:t>
      </w:r>
      <w:r w:rsidR="009E32B3" w:rsidRPr="003C379E">
        <w:rPr>
          <w:rFonts w:cs="Calibri"/>
          <w:sz w:val="20"/>
          <w:szCs w:val="20"/>
          <w:lang w:val="es-ES"/>
        </w:rPr>
        <w:t xml:space="preserve"> </w:t>
      </w:r>
      <w:r w:rsidR="009115EB" w:rsidRPr="003C379E">
        <w:rPr>
          <w:rFonts w:cs="Calibri"/>
          <w:sz w:val="20"/>
          <w:szCs w:val="20"/>
          <w:lang w:val="es-ES"/>
        </w:rPr>
        <w:t xml:space="preserve">en </w:t>
      </w:r>
      <w:r w:rsidR="009E32B3" w:rsidRPr="003C379E">
        <w:rPr>
          <w:rFonts w:cs="Calibri"/>
          <w:sz w:val="20"/>
          <w:szCs w:val="20"/>
          <w:lang w:val="es-ES"/>
        </w:rPr>
        <w:t>sede de recurso extraordin</w:t>
      </w:r>
      <w:r w:rsidR="009115EB" w:rsidRPr="003C379E">
        <w:rPr>
          <w:rFonts w:cs="Calibri"/>
          <w:sz w:val="20"/>
          <w:szCs w:val="20"/>
          <w:lang w:val="es-ES"/>
        </w:rPr>
        <w:t>ario</w:t>
      </w:r>
      <w:r w:rsidR="009E32B3" w:rsidRPr="003C379E">
        <w:rPr>
          <w:rFonts w:cs="Calibri"/>
          <w:sz w:val="20"/>
          <w:szCs w:val="20"/>
          <w:lang w:val="es-ES"/>
        </w:rPr>
        <w:t xml:space="preserve">, </w:t>
      </w:r>
      <w:r w:rsidR="009115EB" w:rsidRPr="003C379E">
        <w:rPr>
          <w:rFonts w:cs="Calibri"/>
          <w:sz w:val="20"/>
          <w:szCs w:val="20"/>
          <w:lang w:val="es-ES"/>
        </w:rPr>
        <w:t>l</w:t>
      </w:r>
      <w:r w:rsidR="000C166B" w:rsidRPr="003C379E">
        <w:rPr>
          <w:rFonts w:cs="Calibri"/>
          <w:sz w:val="20"/>
          <w:szCs w:val="20"/>
          <w:lang w:val="es-ES"/>
        </w:rPr>
        <w:t>o</w:t>
      </w:r>
      <w:r w:rsidR="009E32B3" w:rsidRPr="003C379E">
        <w:rPr>
          <w:rFonts w:cs="Calibri"/>
          <w:sz w:val="20"/>
          <w:szCs w:val="20"/>
          <w:lang w:val="es-ES"/>
        </w:rPr>
        <w:t xml:space="preserve"> que </w:t>
      </w:r>
      <w:r w:rsidR="000C166B" w:rsidRPr="003C379E">
        <w:rPr>
          <w:rFonts w:cs="Calibri"/>
          <w:sz w:val="20"/>
          <w:szCs w:val="20"/>
          <w:lang w:val="es-ES"/>
        </w:rPr>
        <w:t>impediría</w:t>
      </w:r>
      <w:r w:rsidR="009E32B3" w:rsidRPr="003C379E">
        <w:rPr>
          <w:rFonts w:cs="Calibri"/>
          <w:sz w:val="20"/>
          <w:szCs w:val="20"/>
          <w:lang w:val="es-ES"/>
        </w:rPr>
        <w:t xml:space="preserve"> que </w:t>
      </w:r>
      <w:r w:rsidR="009115EB" w:rsidRPr="003C379E">
        <w:rPr>
          <w:rFonts w:cs="Calibri"/>
          <w:sz w:val="20"/>
          <w:szCs w:val="20"/>
          <w:lang w:val="es-ES"/>
        </w:rPr>
        <w:t>el</w:t>
      </w:r>
      <w:r w:rsidR="000C166B" w:rsidRPr="003C379E">
        <w:rPr>
          <w:rFonts w:cs="Calibri"/>
          <w:sz w:val="20"/>
          <w:szCs w:val="20"/>
          <w:lang w:val="es-ES"/>
        </w:rPr>
        <w:t xml:space="preserve"> caso fue</w:t>
      </w:r>
      <w:r w:rsidR="00FB4AA8" w:rsidRPr="003C379E">
        <w:rPr>
          <w:rFonts w:cs="Calibri"/>
          <w:sz w:val="20"/>
          <w:szCs w:val="20"/>
          <w:lang w:val="es-ES"/>
        </w:rPr>
        <w:t>ra</w:t>
      </w:r>
      <w:r w:rsidR="00B05EA6" w:rsidRPr="003C379E">
        <w:rPr>
          <w:rFonts w:cs="Calibri"/>
          <w:sz w:val="20"/>
          <w:szCs w:val="20"/>
          <w:lang w:val="es-ES"/>
        </w:rPr>
        <w:t xml:space="preserve"> </w:t>
      </w:r>
      <w:r w:rsidR="00F95C23" w:rsidRPr="003C379E">
        <w:rPr>
          <w:rFonts w:cs="Calibri"/>
          <w:sz w:val="20"/>
          <w:szCs w:val="20"/>
          <w:lang w:val="es-ES"/>
        </w:rPr>
        <w:t>revisado</w:t>
      </w:r>
      <w:r w:rsidR="00AF6C46" w:rsidRPr="003C379E">
        <w:rPr>
          <w:rFonts w:cs="Calibri"/>
          <w:sz w:val="20"/>
          <w:szCs w:val="20"/>
          <w:lang w:val="es-ES"/>
        </w:rPr>
        <w:t xml:space="preserve"> </w:t>
      </w:r>
      <w:r w:rsidR="000C166B" w:rsidRPr="003C379E">
        <w:rPr>
          <w:rFonts w:cs="Calibri"/>
          <w:sz w:val="20"/>
          <w:szCs w:val="20"/>
          <w:lang w:val="es-ES"/>
        </w:rPr>
        <w:t xml:space="preserve">nuevamente </w:t>
      </w:r>
      <w:r w:rsidR="009115EB" w:rsidRPr="003C379E">
        <w:rPr>
          <w:rFonts w:cs="Calibri"/>
          <w:sz w:val="20"/>
          <w:szCs w:val="20"/>
          <w:lang w:val="es-ES"/>
        </w:rPr>
        <w:t>en su</w:t>
      </w:r>
      <w:r w:rsidR="0067419C" w:rsidRPr="003C379E">
        <w:rPr>
          <w:rFonts w:cs="Calibri"/>
          <w:sz w:val="20"/>
          <w:szCs w:val="20"/>
          <w:lang w:val="es-ES"/>
        </w:rPr>
        <w:t xml:space="preserve"> totali</w:t>
      </w:r>
      <w:r w:rsidR="009115EB" w:rsidRPr="003C379E">
        <w:rPr>
          <w:rFonts w:cs="Calibri"/>
          <w:sz w:val="20"/>
          <w:szCs w:val="20"/>
          <w:lang w:val="es-ES"/>
        </w:rPr>
        <w:t>dad.</w:t>
      </w:r>
      <w:r w:rsidR="009E32B3" w:rsidRPr="003C379E">
        <w:rPr>
          <w:rFonts w:cs="Calibri"/>
          <w:sz w:val="20"/>
          <w:szCs w:val="20"/>
          <w:lang w:val="es-ES"/>
        </w:rPr>
        <w:t xml:space="preserve"> </w:t>
      </w:r>
      <w:r w:rsidR="000C166B" w:rsidRPr="003C379E">
        <w:rPr>
          <w:rFonts w:cs="Calibri"/>
          <w:sz w:val="20"/>
          <w:szCs w:val="20"/>
          <w:lang w:val="es-ES"/>
        </w:rPr>
        <w:t>En virtud de ello</w:t>
      </w:r>
      <w:r w:rsidR="009E32B3" w:rsidRPr="003C379E">
        <w:rPr>
          <w:rFonts w:cs="Calibri"/>
          <w:sz w:val="20"/>
          <w:szCs w:val="20"/>
          <w:lang w:val="es-ES"/>
        </w:rPr>
        <w:t xml:space="preserve">, </w:t>
      </w:r>
      <w:r w:rsidR="00B6265D" w:rsidRPr="003C379E">
        <w:rPr>
          <w:rFonts w:cs="Calibri"/>
          <w:sz w:val="20"/>
          <w:szCs w:val="20"/>
          <w:lang w:val="es-ES"/>
        </w:rPr>
        <w:t>la</w:t>
      </w:r>
      <w:r w:rsidR="0067419C" w:rsidRPr="003C379E">
        <w:rPr>
          <w:rFonts w:cs="Calibri"/>
          <w:sz w:val="20"/>
          <w:szCs w:val="20"/>
          <w:lang w:val="es-ES"/>
        </w:rPr>
        <w:t xml:space="preserve"> Comi</w:t>
      </w:r>
      <w:r w:rsidR="009115EB" w:rsidRPr="003C379E">
        <w:rPr>
          <w:rFonts w:cs="Calibri"/>
          <w:sz w:val="20"/>
          <w:szCs w:val="20"/>
          <w:lang w:val="es-ES"/>
        </w:rPr>
        <w:t>sión</w:t>
      </w:r>
      <w:r w:rsidR="00BF6A21" w:rsidRPr="003C379E">
        <w:rPr>
          <w:rFonts w:cs="Calibri"/>
          <w:sz w:val="20"/>
          <w:szCs w:val="20"/>
          <w:lang w:val="es-ES"/>
        </w:rPr>
        <w:t xml:space="preserve"> compre</w:t>
      </w:r>
      <w:r w:rsidR="0067419C" w:rsidRPr="003C379E">
        <w:rPr>
          <w:rFonts w:cs="Calibri"/>
          <w:sz w:val="20"/>
          <w:szCs w:val="20"/>
          <w:lang w:val="es-ES"/>
        </w:rPr>
        <w:t xml:space="preserve">nde que </w:t>
      </w:r>
      <w:r w:rsidR="009115EB" w:rsidRPr="003C379E">
        <w:rPr>
          <w:rFonts w:cs="Calibri"/>
          <w:sz w:val="20"/>
          <w:szCs w:val="20"/>
          <w:lang w:val="es-ES"/>
        </w:rPr>
        <w:t>el</w:t>
      </w:r>
      <w:r w:rsidR="0067419C" w:rsidRPr="003C379E">
        <w:rPr>
          <w:rFonts w:cs="Calibri"/>
          <w:sz w:val="20"/>
          <w:szCs w:val="20"/>
          <w:lang w:val="es-ES"/>
        </w:rPr>
        <w:t xml:space="preserve"> </w:t>
      </w:r>
      <w:r w:rsidR="0042784D" w:rsidRPr="003C379E">
        <w:rPr>
          <w:rFonts w:cs="Calibri"/>
          <w:sz w:val="20"/>
          <w:szCs w:val="20"/>
          <w:lang w:val="es-ES"/>
        </w:rPr>
        <w:t xml:space="preserve">recurso extraordinario </w:t>
      </w:r>
      <w:r w:rsidR="009115EB" w:rsidRPr="003C379E">
        <w:rPr>
          <w:rFonts w:cs="Calibri"/>
          <w:sz w:val="20"/>
          <w:szCs w:val="20"/>
          <w:lang w:val="es-ES"/>
        </w:rPr>
        <w:t>no</w:t>
      </w:r>
      <w:r w:rsidR="0067419C" w:rsidRPr="003C379E">
        <w:rPr>
          <w:rFonts w:cs="Calibri"/>
          <w:sz w:val="20"/>
          <w:szCs w:val="20"/>
          <w:lang w:val="es-ES"/>
        </w:rPr>
        <w:t xml:space="preserve"> era </w:t>
      </w:r>
      <w:r w:rsidR="009115EB" w:rsidRPr="003C379E">
        <w:rPr>
          <w:rFonts w:cs="Calibri"/>
          <w:sz w:val="20"/>
          <w:szCs w:val="20"/>
          <w:lang w:val="es-ES"/>
        </w:rPr>
        <w:t>un</w:t>
      </w:r>
      <w:r w:rsidR="0067419C" w:rsidRPr="003C379E">
        <w:rPr>
          <w:rFonts w:cs="Calibri"/>
          <w:sz w:val="20"/>
          <w:szCs w:val="20"/>
          <w:lang w:val="es-ES"/>
        </w:rPr>
        <w:t xml:space="preserve"> recurso cu</w:t>
      </w:r>
      <w:r w:rsidR="000C166B" w:rsidRPr="003C379E">
        <w:rPr>
          <w:rFonts w:cs="Calibri"/>
          <w:sz w:val="20"/>
          <w:szCs w:val="20"/>
          <w:lang w:val="es-ES"/>
        </w:rPr>
        <w:t>y</w:t>
      </w:r>
      <w:r w:rsidR="0067419C" w:rsidRPr="003C379E">
        <w:rPr>
          <w:rFonts w:cs="Calibri"/>
          <w:sz w:val="20"/>
          <w:szCs w:val="20"/>
          <w:lang w:val="es-ES"/>
        </w:rPr>
        <w:t xml:space="preserve">o </w:t>
      </w:r>
      <w:r w:rsidR="009115EB" w:rsidRPr="003C379E">
        <w:rPr>
          <w:rFonts w:cs="Calibri"/>
          <w:sz w:val="20"/>
          <w:szCs w:val="20"/>
          <w:lang w:val="es-ES"/>
        </w:rPr>
        <w:t>agotamie</w:t>
      </w:r>
      <w:r w:rsidR="0067419C" w:rsidRPr="003C379E">
        <w:rPr>
          <w:rFonts w:cs="Calibri"/>
          <w:sz w:val="20"/>
          <w:szCs w:val="20"/>
          <w:lang w:val="es-ES"/>
        </w:rPr>
        <w:t xml:space="preserve">nto </w:t>
      </w:r>
      <w:r w:rsidR="000C166B" w:rsidRPr="003C379E">
        <w:rPr>
          <w:rFonts w:cs="Calibri"/>
          <w:sz w:val="20"/>
          <w:szCs w:val="20"/>
          <w:lang w:val="es-ES"/>
        </w:rPr>
        <w:t>fuera</w:t>
      </w:r>
      <w:r w:rsidR="0067419C" w:rsidRPr="003C379E">
        <w:rPr>
          <w:rFonts w:cs="Calibri"/>
          <w:sz w:val="20"/>
          <w:szCs w:val="20"/>
          <w:lang w:val="es-ES"/>
        </w:rPr>
        <w:t xml:space="preserve"> </w:t>
      </w:r>
      <w:r w:rsidR="00BF6A21" w:rsidRPr="003C379E">
        <w:rPr>
          <w:rFonts w:cs="Calibri"/>
          <w:sz w:val="20"/>
          <w:szCs w:val="20"/>
          <w:lang w:val="es-ES"/>
        </w:rPr>
        <w:t>exigible</w:t>
      </w:r>
      <w:r w:rsidR="0067419C" w:rsidRPr="003C379E">
        <w:rPr>
          <w:rFonts w:cs="Calibri"/>
          <w:sz w:val="20"/>
          <w:szCs w:val="20"/>
          <w:lang w:val="es-ES"/>
        </w:rPr>
        <w:t xml:space="preserve">. </w:t>
      </w:r>
    </w:p>
    <w:p w14:paraId="2B5D6FCB" w14:textId="28CDCEA0" w:rsidR="00560E0D" w:rsidRPr="003C379E" w:rsidRDefault="009F41D1" w:rsidP="00560E0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color w:val="auto"/>
          <w:sz w:val="20"/>
          <w:szCs w:val="20"/>
          <w:lang w:val="es-ES"/>
        </w:rPr>
      </w:pPr>
      <w:r w:rsidRPr="003C379E">
        <w:rPr>
          <w:sz w:val="20"/>
          <w:szCs w:val="20"/>
          <w:lang w:val="es-ES"/>
        </w:rPr>
        <w:t>C</w:t>
      </w:r>
      <w:r w:rsidR="000C166B" w:rsidRPr="003C379E">
        <w:rPr>
          <w:sz w:val="20"/>
          <w:szCs w:val="20"/>
          <w:lang w:val="es-ES"/>
        </w:rPr>
        <w:t>o</w:t>
      </w:r>
      <w:r w:rsidR="009115EB" w:rsidRPr="003C379E">
        <w:rPr>
          <w:sz w:val="20"/>
          <w:szCs w:val="20"/>
          <w:lang w:val="es-ES"/>
        </w:rPr>
        <w:t xml:space="preserve">n </w:t>
      </w:r>
      <w:r w:rsidR="0067419C" w:rsidRPr="003C379E">
        <w:rPr>
          <w:sz w:val="20"/>
          <w:szCs w:val="20"/>
          <w:lang w:val="es-ES"/>
        </w:rPr>
        <w:t>rela</w:t>
      </w:r>
      <w:r w:rsidR="009115EB" w:rsidRPr="003C379E">
        <w:rPr>
          <w:sz w:val="20"/>
          <w:szCs w:val="20"/>
          <w:lang w:val="es-ES"/>
        </w:rPr>
        <w:t>ción</w:t>
      </w:r>
      <w:r w:rsidR="0067419C" w:rsidRPr="003C379E">
        <w:rPr>
          <w:sz w:val="20"/>
          <w:szCs w:val="20"/>
          <w:lang w:val="es-ES"/>
        </w:rPr>
        <w:t xml:space="preserve"> </w:t>
      </w:r>
      <w:r w:rsidR="009115EB" w:rsidRPr="003C379E">
        <w:rPr>
          <w:sz w:val="20"/>
          <w:szCs w:val="20"/>
          <w:lang w:val="es-ES"/>
        </w:rPr>
        <w:t>al</w:t>
      </w:r>
      <w:r w:rsidR="0067419C" w:rsidRPr="003C379E">
        <w:rPr>
          <w:sz w:val="20"/>
          <w:szCs w:val="20"/>
          <w:lang w:val="es-ES"/>
        </w:rPr>
        <w:t xml:space="preserve"> argumento de que</w:t>
      </w:r>
      <w:r w:rsidR="009115EB" w:rsidRPr="003C379E">
        <w:rPr>
          <w:sz w:val="20"/>
          <w:szCs w:val="20"/>
          <w:lang w:val="es-ES"/>
        </w:rPr>
        <w:t xml:space="preserve"> </w:t>
      </w:r>
      <w:r w:rsidR="00B04C63" w:rsidRPr="003C379E">
        <w:rPr>
          <w:sz w:val="20"/>
          <w:szCs w:val="20"/>
          <w:lang w:val="es-ES"/>
        </w:rPr>
        <w:t>la</w:t>
      </w:r>
      <w:r w:rsidR="00C95A33" w:rsidRPr="003C379E">
        <w:rPr>
          <w:sz w:val="20"/>
          <w:szCs w:val="20"/>
          <w:lang w:val="es-ES"/>
        </w:rPr>
        <w:t xml:space="preserve"> parte peticionaria</w:t>
      </w:r>
      <w:r w:rsidR="0067419C" w:rsidRPr="003C379E">
        <w:rPr>
          <w:sz w:val="20"/>
          <w:szCs w:val="20"/>
          <w:lang w:val="es-ES"/>
        </w:rPr>
        <w:t xml:space="preserve"> </w:t>
      </w:r>
      <w:r w:rsidR="009115EB" w:rsidRPr="003C379E">
        <w:rPr>
          <w:sz w:val="20"/>
          <w:szCs w:val="20"/>
          <w:lang w:val="es-ES"/>
        </w:rPr>
        <w:t>debería</w:t>
      </w:r>
      <w:r w:rsidR="0067419C" w:rsidRPr="003C379E">
        <w:rPr>
          <w:sz w:val="20"/>
          <w:szCs w:val="20"/>
          <w:lang w:val="es-ES"/>
        </w:rPr>
        <w:t xml:space="preserve"> </w:t>
      </w:r>
      <w:r w:rsidR="000C166B" w:rsidRPr="003C379E">
        <w:rPr>
          <w:sz w:val="20"/>
          <w:szCs w:val="20"/>
          <w:lang w:val="es-ES"/>
        </w:rPr>
        <w:t>hab</w:t>
      </w:r>
      <w:r w:rsidR="00632EBC" w:rsidRPr="003C379E">
        <w:rPr>
          <w:sz w:val="20"/>
          <w:szCs w:val="20"/>
          <w:lang w:val="es-ES"/>
        </w:rPr>
        <w:t>er</w:t>
      </w:r>
      <w:r w:rsidR="0067419C" w:rsidRPr="003C379E">
        <w:rPr>
          <w:sz w:val="20"/>
          <w:szCs w:val="20"/>
          <w:lang w:val="es-ES"/>
        </w:rPr>
        <w:t xml:space="preserve"> </w:t>
      </w:r>
      <w:r w:rsidR="009115EB" w:rsidRPr="003C379E">
        <w:rPr>
          <w:sz w:val="20"/>
          <w:szCs w:val="20"/>
          <w:lang w:val="es-ES"/>
        </w:rPr>
        <w:t>agota</w:t>
      </w:r>
      <w:r w:rsidR="0067419C" w:rsidRPr="003C379E">
        <w:rPr>
          <w:sz w:val="20"/>
          <w:szCs w:val="20"/>
          <w:lang w:val="es-ES"/>
        </w:rPr>
        <w:t xml:space="preserve">do </w:t>
      </w:r>
      <w:r w:rsidR="009115EB" w:rsidRPr="003C379E">
        <w:rPr>
          <w:sz w:val="20"/>
          <w:szCs w:val="20"/>
          <w:lang w:val="es-ES"/>
        </w:rPr>
        <w:t>el</w:t>
      </w:r>
      <w:r w:rsidR="0067419C" w:rsidRPr="003C379E">
        <w:rPr>
          <w:sz w:val="20"/>
          <w:szCs w:val="20"/>
          <w:lang w:val="es-ES"/>
        </w:rPr>
        <w:t xml:space="preserve"> recurso de revi</w:t>
      </w:r>
      <w:r w:rsidR="009115EB" w:rsidRPr="003C379E">
        <w:rPr>
          <w:sz w:val="20"/>
          <w:szCs w:val="20"/>
          <w:lang w:val="es-ES"/>
        </w:rPr>
        <w:t>sión</w:t>
      </w:r>
      <w:r w:rsidR="0067419C" w:rsidRPr="003C379E">
        <w:rPr>
          <w:sz w:val="20"/>
          <w:szCs w:val="20"/>
          <w:lang w:val="es-ES"/>
        </w:rPr>
        <w:t xml:space="preserve"> </w:t>
      </w:r>
      <w:r w:rsidR="000C166B" w:rsidRPr="003C379E">
        <w:rPr>
          <w:sz w:val="20"/>
          <w:szCs w:val="20"/>
          <w:lang w:val="es-ES"/>
        </w:rPr>
        <w:t>penal</w:t>
      </w:r>
      <w:r w:rsidR="0067419C" w:rsidRPr="003C379E">
        <w:rPr>
          <w:sz w:val="20"/>
          <w:szCs w:val="20"/>
          <w:lang w:val="es-ES"/>
        </w:rPr>
        <w:t xml:space="preserve"> previsto </w:t>
      </w:r>
      <w:r w:rsidR="009115EB" w:rsidRPr="003C379E">
        <w:rPr>
          <w:sz w:val="20"/>
          <w:szCs w:val="20"/>
          <w:lang w:val="es-ES"/>
        </w:rPr>
        <w:t>en el</w:t>
      </w:r>
      <w:r w:rsidR="0067419C" w:rsidRPr="003C379E">
        <w:rPr>
          <w:sz w:val="20"/>
          <w:szCs w:val="20"/>
          <w:lang w:val="es-ES"/>
        </w:rPr>
        <w:t xml:space="preserve"> </w:t>
      </w:r>
      <w:r w:rsidR="009115EB" w:rsidRPr="003C379E">
        <w:rPr>
          <w:sz w:val="20"/>
          <w:szCs w:val="20"/>
          <w:lang w:val="es-ES"/>
        </w:rPr>
        <w:t>artículo</w:t>
      </w:r>
      <w:r w:rsidR="0067419C" w:rsidRPr="003C379E">
        <w:rPr>
          <w:sz w:val="20"/>
          <w:szCs w:val="20"/>
          <w:lang w:val="es-ES"/>
        </w:rPr>
        <w:t xml:space="preserve"> 621 </w:t>
      </w:r>
      <w:r w:rsidR="009115EB" w:rsidRPr="003C379E">
        <w:rPr>
          <w:sz w:val="20"/>
          <w:szCs w:val="20"/>
          <w:lang w:val="es-ES"/>
        </w:rPr>
        <w:t>del</w:t>
      </w:r>
      <w:r w:rsidR="0067419C" w:rsidRPr="003C379E">
        <w:rPr>
          <w:sz w:val="20"/>
          <w:szCs w:val="20"/>
          <w:lang w:val="es-ES"/>
        </w:rPr>
        <w:t xml:space="preserve"> Código Proce</w:t>
      </w:r>
      <w:r w:rsidR="00B05EA6" w:rsidRPr="003C379E">
        <w:rPr>
          <w:sz w:val="20"/>
          <w:szCs w:val="20"/>
          <w:lang w:val="es-ES"/>
        </w:rPr>
        <w:t>s</w:t>
      </w:r>
      <w:r w:rsidR="000C166B" w:rsidRPr="003C379E">
        <w:rPr>
          <w:sz w:val="20"/>
          <w:szCs w:val="20"/>
          <w:lang w:val="es-ES"/>
        </w:rPr>
        <w:t>al</w:t>
      </w:r>
      <w:r w:rsidR="0067419C" w:rsidRPr="003C379E">
        <w:rPr>
          <w:sz w:val="20"/>
          <w:szCs w:val="20"/>
          <w:lang w:val="es-ES"/>
        </w:rPr>
        <w:t xml:space="preserve"> Penal </w:t>
      </w:r>
      <w:r w:rsidR="009115EB" w:rsidRPr="003C379E">
        <w:rPr>
          <w:sz w:val="20"/>
          <w:szCs w:val="20"/>
          <w:lang w:val="es-ES"/>
        </w:rPr>
        <w:t>brasileñ</w:t>
      </w:r>
      <w:r w:rsidR="0067419C" w:rsidRPr="003C379E">
        <w:rPr>
          <w:sz w:val="20"/>
          <w:szCs w:val="20"/>
          <w:lang w:val="es-ES"/>
        </w:rPr>
        <w:t xml:space="preserve">o, </w:t>
      </w:r>
      <w:r w:rsidR="00B6265D" w:rsidRPr="003C379E">
        <w:rPr>
          <w:sz w:val="20"/>
          <w:szCs w:val="20"/>
          <w:lang w:val="es-ES"/>
        </w:rPr>
        <w:t>la</w:t>
      </w:r>
      <w:r w:rsidR="0067419C" w:rsidRPr="003C379E">
        <w:rPr>
          <w:sz w:val="20"/>
          <w:szCs w:val="20"/>
          <w:lang w:val="es-ES"/>
        </w:rPr>
        <w:t xml:space="preserve"> Comi</w:t>
      </w:r>
      <w:r w:rsidR="009115EB" w:rsidRPr="003C379E">
        <w:rPr>
          <w:sz w:val="20"/>
          <w:szCs w:val="20"/>
          <w:lang w:val="es-ES"/>
        </w:rPr>
        <w:t>sión</w:t>
      </w:r>
      <w:r w:rsidR="0067419C" w:rsidRPr="003C379E">
        <w:rPr>
          <w:sz w:val="20"/>
          <w:szCs w:val="20"/>
          <w:lang w:val="es-ES"/>
        </w:rPr>
        <w:t xml:space="preserve"> observa que tal recurso </w:t>
      </w:r>
      <w:r w:rsidR="00A11AAB" w:rsidRPr="003C379E">
        <w:rPr>
          <w:sz w:val="20"/>
          <w:szCs w:val="20"/>
          <w:lang w:val="es-ES"/>
        </w:rPr>
        <w:t>es aplicable</w:t>
      </w:r>
      <w:r w:rsidR="00B05EA6" w:rsidRPr="003C379E">
        <w:rPr>
          <w:sz w:val="20"/>
          <w:szCs w:val="20"/>
          <w:lang w:val="es-ES"/>
        </w:rPr>
        <w:t xml:space="preserve"> </w:t>
      </w:r>
      <w:r w:rsidR="009115EB" w:rsidRPr="003C379E">
        <w:rPr>
          <w:sz w:val="20"/>
          <w:szCs w:val="20"/>
          <w:lang w:val="es-ES"/>
        </w:rPr>
        <w:t>en tres</w:t>
      </w:r>
      <w:r w:rsidR="0067419C" w:rsidRPr="003C379E">
        <w:rPr>
          <w:sz w:val="20"/>
          <w:szCs w:val="20"/>
          <w:lang w:val="es-ES"/>
        </w:rPr>
        <w:t xml:space="preserve"> </w:t>
      </w:r>
      <w:r w:rsidR="00BF6A21" w:rsidRPr="003C379E">
        <w:rPr>
          <w:sz w:val="20"/>
          <w:szCs w:val="20"/>
          <w:lang w:val="es-ES"/>
        </w:rPr>
        <w:t>hipótesis</w:t>
      </w:r>
      <w:r w:rsidR="0067419C" w:rsidRPr="003C379E">
        <w:rPr>
          <w:sz w:val="20"/>
          <w:szCs w:val="20"/>
          <w:lang w:val="es-ES"/>
        </w:rPr>
        <w:t xml:space="preserve">: (i) </w:t>
      </w:r>
      <w:r w:rsidR="00594EC1" w:rsidRPr="003C379E">
        <w:rPr>
          <w:sz w:val="20"/>
          <w:szCs w:val="20"/>
          <w:lang w:val="es-ES"/>
        </w:rPr>
        <w:t xml:space="preserve">contra </w:t>
      </w:r>
      <w:r w:rsidR="009115EB" w:rsidRPr="003C379E">
        <w:rPr>
          <w:sz w:val="20"/>
          <w:szCs w:val="20"/>
          <w:lang w:val="es-ES"/>
        </w:rPr>
        <w:t>sentencia</w:t>
      </w:r>
      <w:r w:rsidR="0067419C" w:rsidRPr="003C379E">
        <w:rPr>
          <w:sz w:val="20"/>
          <w:szCs w:val="20"/>
          <w:lang w:val="es-ES"/>
        </w:rPr>
        <w:t xml:space="preserve"> contradi</w:t>
      </w:r>
      <w:r w:rsidR="00B05EA6" w:rsidRPr="003C379E">
        <w:rPr>
          <w:sz w:val="20"/>
          <w:szCs w:val="20"/>
          <w:lang w:val="es-ES"/>
        </w:rPr>
        <w:t>c</w:t>
      </w:r>
      <w:r w:rsidR="0067419C" w:rsidRPr="003C379E">
        <w:rPr>
          <w:sz w:val="20"/>
          <w:szCs w:val="20"/>
          <w:lang w:val="es-ES"/>
        </w:rPr>
        <w:t>t</w:t>
      </w:r>
      <w:r w:rsidR="00B05EA6" w:rsidRPr="003C379E">
        <w:rPr>
          <w:sz w:val="20"/>
          <w:szCs w:val="20"/>
          <w:lang w:val="es-ES"/>
        </w:rPr>
        <w:t>oria</w:t>
      </w:r>
      <w:r w:rsidR="0067419C" w:rsidRPr="003C379E">
        <w:rPr>
          <w:sz w:val="20"/>
          <w:szCs w:val="20"/>
          <w:lang w:val="es-ES"/>
        </w:rPr>
        <w:t xml:space="preserve"> </w:t>
      </w:r>
      <w:r w:rsidR="009115EB" w:rsidRPr="003C379E">
        <w:rPr>
          <w:sz w:val="20"/>
          <w:szCs w:val="20"/>
          <w:lang w:val="es-ES"/>
        </w:rPr>
        <w:t>con</w:t>
      </w:r>
      <w:r w:rsidR="0067419C" w:rsidRPr="003C379E">
        <w:rPr>
          <w:sz w:val="20"/>
          <w:szCs w:val="20"/>
          <w:lang w:val="es-ES"/>
        </w:rPr>
        <w:t xml:space="preserve"> </w:t>
      </w:r>
      <w:r w:rsidRPr="003C379E">
        <w:rPr>
          <w:sz w:val="20"/>
          <w:szCs w:val="20"/>
          <w:lang w:val="es-ES"/>
        </w:rPr>
        <w:t xml:space="preserve">la </w:t>
      </w:r>
      <w:r w:rsidR="009115EB" w:rsidRPr="003C379E">
        <w:rPr>
          <w:sz w:val="20"/>
          <w:szCs w:val="20"/>
          <w:lang w:val="es-ES"/>
        </w:rPr>
        <w:t>ley</w:t>
      </w:r>
      <w:r w:rsidR="0067419C" w:rsidRPr="003C379E">
        <w:rPr>
          <w:sz w:val="20"/>
          <w:szCs w:val="20"/>
          <w:lang w:val="es-ES"/>
        </w:rPr>
        <w:t xml:space="preserve"> </w:t>
      </w:r>
      <w:r w:rsidR="00B05EA6" w:rsidRPr="003C379E">
        <w:rPr>
          <w:sz w:val="20"/>
          <w:szCs w:val="20"/>
          <w:lang w:val="es-ES"/>
        </w:rPr>
        <w:t>o</w:t>
      </w:r>
      <w:r w:rsidR="00594EC1" w:rsidRPr="003C379E">
        <w:rPr>
          <w:sz w:val="20"/>
          <w:szCs w:val="20"/>
          <w:lang w:val="es-ES"/>
        </w:rPr>
        <w:t xml:space="preserve"> </w:t>
      </w:r>
      <w:r w:rsidR="009115EB" w:rsidRPr="003C379E">
        <w:rPr>
          <w:sz w:val="20"/>
          <w:szCs w:val="20"/>
          <w:lang w:val="es-ES"/>
        </w:rPr>
        <w:t>con</w:t>
      </w:r>
      <w:r w:rsidR="0067419C" w:rsidRPr="003C379E">
        <w:rPr>
          <w:sz w:val="20"/>
          <w:szCs w:val="20"/>
          <w:lang w:val="es-ES"/>
        </w:rPr>
        <w:t xml:space="preserve"> </w:t>
      </w:r>
      <w:r w:rsidR="009115EB" w:rsidRPr="003C379E">
        <w:rPr>
          <w:sz w:val="20"/>
          <w:szCs w:val="20"/>
          <w:lang w:val="es-ES"/>
        </w:rPr>
        <w:t>la</w:t>
      </w:r>
      <w:r w:rsidR="0067419C" w:rsidRPr="003C379E">
        <w:rPr>
          <w:sz w:val="20"/>
          <w:szCs w:val="20"/>
          <w:lang w:val="es-ES"/>
        </w:rPr>
        <w:t xml:space="preserve"> evid</w:t>
      </w:r>
      <w:r w:rsidR="009115EB" w:rsidRPr="003C379E">
        <w:rPr>
          <w:sz w:val="20"/>
          <w:szCs w:val="20"/>
          <w:lang w:val="es-ES"/>
        </w:rPr>
        <w:t>encia</w:t>
      </w:r>
      <w:r w:rsidR="0067419C" w:rsidRPr="003C379E">
        <w:rPr>
          <w:sz w:val="20"/>
          <w:szCs w:val="20"/>
          <w:lang w:val="es-ES"/>
        </w:rPr>
        <w:t xml:space="preserve"> </w:t>
      </w:r>
      <w:r w:rsidR="009115EB" w:rsidRPr="003C379E">
        <w:rPr>
          <w:sz w:val="20"/>
          <w:szCs w:val="20"/>
          <w:lang w:val="es-ES"/>
        </w:rPr>
        <w:t>present</w:t>
      </w:r>
      <w:r w:rsidR="0067419C" w:rsidRPr="003C379E">
        <w:rPr>
          <w:sz w:val="20"/>
          <w:szCs w:val="20"/>
          <w:lang w:val="es-ES"/>
        </w:rPr>
        <w:t xml:space="preserve">ada </w:t>
      </w:r>
      <w:r w:rsidR="009115EB" w:rsidRPr="003C379E">
        <w:rPr>
          <w:sz w:val="20"/>
          <w:szCs w:val="20"/>
          <w:lang w:val="es-ES"/>
        </w:rPr>
        <w:t>en los</w:t>
      </w:r>
      <w:r w:rsidR="0067419C" w:rsidRPr="003C379E">
        <w:rPr>
          <w:sz w:val="20"/>
          <w:szCs w:val="20"/>
          <w:lang w:val="es-ES"/>
        </w:rPr>
        <w:t xml:space="preserve"> autos; (ii) </w:t>
      </w:r>
      <w:r w:rsidR="009115EB" w:rsidRPr="003C379E">
        <w:rPr>
          <w:sz w:val="20"/>
          <w:szCs w:val="20"/>
          <w:lang w:val="es-ES"/>
        </w:rPr>
        <w:t>cua</w:t>
      </w:r>
      <w:r w:rsidR="0067419C" w:rsidRPr="003C379E">
        <w:rPr>
          <w:sz w:val="20"/>
          <w:szCs w:val="20"/>
          <w:lang w:val="es-ES"/>
        </w:rPr>
        <w:t xml:space="preserve">ndo </w:t>
      </w:r>
      <w:r w:rsidR="00B6265D" w:rsidRPr="003C379E">
        <w:rPr>
          <w:sz w:val="20"/>
          <w:szCs w:val="20"/>
          <w:lang w:val="es-ES"/>
        </w:rPr>
        <w:t>la</w:t>
      </w:r>
      <w:r w:rsidR="0067419C" w:rsidRPr="003C379E">
        <w:rPr>
          <w:sz w:val="20"/>
          <w:szCs w:val="20"/>
          <w:lang w:val="es-ES"/>
        </w:rPr>
        <w:t xml:space="preserve"> </w:t>
      </w:r>
      <w:r w:rsidR="009115EB" w:rsidRPr="003C379E">
        <w:rPr>
          <w:sz w:val="20"/>
          <w:szCs w:val="20"/>
          <w:lang w:val="es-ES"/>
        </w:rPr>
        <w:t>sentencia</w:t>
      </w:r>
      <w:r w:rsidR="0067419C" w:rsidRPr="003C379E">
        <w:rPr>
          <w:sz w:val="20"/>
          <w:szCs w:val="20"/>
          <w:lang w:val="es-ES"/>
        </w:rPr>
        <w:t xml:space="preserve"> condenat</w:t>
      </w:r>
      <w:r w:rsidR="00B05EA6" w:rsidRPr="003C379E">
        <w:rPr>
          <w:sz w:val="20"/>
          <w:szCs w:val="20"/>
          <w:lang w:val="es-ES"/>
        </w:rPr>
        <w:t>oria</w:t>
      </w:r>
      <w:r w:rsidR="0067419C" w:rsidRPr="003C379E">
        <w:rPr>
          <w:sz w:val="20"/>
          <w:szCs w:val="20"/>
          <w:lang w:val="es-ES"/>
        </w:rPr>
        <w:t xml:space="preserve"> </w:t>
      </w:r>
      <w:r w:rsidRPr="003C379E">
        <w:rPr>
          <w:sz w:val="20"/>
          <w:szCs w:val="20"/>
          <w:lang w:val="es-ES"/>
        </w:rPr>
        <w:t>esté</w:t>
      </w:r>
      <w:r w:rsidR="0067419C" w:rsidRPr="003C379E">
        <w:rPr>
          <w:sz w:val="20"/>
          <w:szCs w:val="20"/>
          <w:lang w:val="es-ES"/>
        </w:rPr>
        <w:t xml:space="preserve"> fundada </w:t>
      </w:r>
      <w:r w:rsidR="009115EB" w:rsidRPr="003C379E">
        <w:rPr>
          <w:sz w:val="20"/>
          <w:szCs w:val="20"/>
          <w:lang w:val="es-ES"/>
        </w:rPr>
        <w:t xml:space="preserve">en </w:t>
      </w:r>
      <w:r w:rsidRPr="003C379E">
        <w:rPr>
          <w:sz w:val="20"/>
          <w:szCs w:val="20"/>
          <w:lang w:val="es-ES"/>
        </w:rPr>
        <w:t>declaraciones, exá</w:t>
      </w:r>
      <w:r w:rsidR="0067419C" w:rsidRPr="003C379E">
        <w:rPr>
          <w:sz w:val="20"/>
          <w:szCs w:val="20"/>
          <w:lang w:val="es-ES"/>
        </w:rPr>
        <w:t>m</w:t>
      </w:r>
      <w:r w:rsidRPr="003C379E">
        <w:rPr>
          <w:sz w:val="20"/>
          <w:szCs w:val="20"/>
          <w:lang w:val="es-ES"/>
        </w:rPr>
        <w:t>en</w:t>
      </w:r>
      <w:r w:rsidR="0067419C" w:rsidRPr="003C379E">
        <w:rPr>
          <w:sz w:val="20"/>
          <w:szCs w:val="20"/>
          <w:lang w:val="es-ES"/>
        </w:rPr>
        <w:t xml:space="preserve">es </w:t>
      </w:r>
      <w:r w:rsidR="00B05EA6" w:rsidRPr="003C379E">
        <w:rPr>
          <w:sz w:val="20"/>
          <w:szCs w:val="20"/>
          <w:lang w:val="es-ES"/>
        </w:rPr>
        <w:t>o</w:t>
      </w:r>
      <w:r w:rsidR="0067419C" w:rsidRPr="003C379E">
        <w:rPr>
          <w:sz w:val="20"/>
          <w:szCs w:val="20"/>
          <w:lang w:val="es-ES"/>
        </w:rPr>
        <w:t xml:space="preserve"> documentos </w:t>
      </w:r>
      <w:r w:rsidR="00E162A5" w:rsidRPr="003C379E">
        <w:rPr>
          <w:sz w:val="20"/>
          <w:szCs w:val="20"/>
          <w:lang w:val="es-ES"/>
        </w:rPr>
        <w:t>comprobadamente</w:t>
      </w:r>
      <w:r w:rsidR="0067419C" w:rsidRPr="003C379E">
        <w:rPr>
          <w:sz w:val="20"/>
          <w:szCs w:val="20"/>
          <w:lang w:val="es-ES"/>
        </w:rPr>
        <w:t xml:space="preserve"> falsos; </w:t>
      </w:r>
      <w:r w:rsidR="00B05EA6" w:rsidRPr="003C379E">
        <w:rPr>
          <w:sz w:val="20"/>
          <w:szCs w:val="20"/>
          <w:lang w:val="es-ES"/>
        </w:rPr>
        <w:t>o</w:t>
      </w:r>
      <w:r w:rsidR="0067419C" w:rsidRPr="003C379E">
        <w:rPr>
          <w:sz w:val="20"/>
          <w:szCs w:val="20"/>
          <w:lang w:val="es-ES"/>
        </w:rPr>
        <w:t xml:space="preserve"> (iii) </w:t>
      </w:r>
      <w:r w:rsidR="009115EB" w:rsidRPr="003C379E">
        <w:rPr>
          <w:sz w:val="20"/>
          <w:szCs w:val="20"/>
          <w:lang w:val="es-ES"/>
        </w:rPr>
        <w:t>cua</w:t>
      </w:r>
      <w:r w:rsidR="0067419C" w:rsidRPr="003C379E">
        <w:rPr>
          <w:sz w:val="20"/>
          <w:szCs w:val="20"/>
          <w:lang w:val="es-ES"/>
        </w:rPr>
        <w:t xml:space="preserve">ndo, </w:t>
      </w:r>
      <w:r w:rsidR="009115EB" w:rsidRPr="003C379E">
        <w:rPr>
          <w:sz w:val="20"/>
          <w:szCs w:val="20"/>
          <w:lang w:val="es-ES"/>
        </w:rPr>
        <w:t>luego</w:t>
      </w:r>
      <w:r w:rsidR="0067419C" w:rsidRPr="003C379E">
        <w:rPr>
          <w:sz w:val="20"/>
          <w:szCs w:val="20"/>
          <w:lang w:val="es-ES"/>
        </w:rPr>
        <w:t xml:space="preserve"> </w:t>
      </w:r>
      <w:r w:rsidRPr="003C379E">
        <w:rPr>
          <w:sz w:val="20"/>
          <w:szCs w:val="20"/>
          <w:lang w:val="es-ES"/>
        </w:rPr>
        <w:t xml:space="preserve">de </w:t>
      </w:r>
      <w:r w:rsidR="00B6265D" w:rsidRPr="003C379E">
        <w:rPr>
          <w:sz w:val="20"/>
          <w:szCs w:val="20"/>
          <w:lang w:val="es-ES"/>
        </w:rPr>
        <w:t>la</w:t>
      </w:r>
      <w:r w:rsidR="0067419C" w:rsidRPr="003C379E">
        <w:rPr>
          <w:sz w:val="20"/>
          <w:szCs w:val="20"/>
          <w:lang w:val="es-ES"/>
        </w:rPr>
        <w:t xml:space="preserve"> </w:t>
      </w:r>
      <w:r w:rsidR="009115EB" w:rsidRPr="003C379E">
        <w:rPr>
          <w:sz w:val="20"/>
          <w:szCs w:val="20"/>
          <w:lang w:val="es-ES"/>
        </w:rPr>
        <w:t>sentencia</w:t>
      </w:r>
      <w:r w:rsidR="0067419C" w:rsidRPr="003C379E">
        <w:rPr>
          <w:sz w:val="20"/>
          <w:szCs w:val="20"/>
          <w:lang w:val="es-ES"/>
        </w:rPr>
        <w:t xml:space="preserve">, </w:t>
      </w:r>
      <w:r w:rsidRPr="003C379E">
        <w:rPr>
          <w:sz w:val="20"/>
          <w:szCs w:val="20"/>
          <w:lang w:val="es-ES"/>
        </w:rPr>
        <w:t>haya</w:t>
      </w:r>
      <w:r w:rsidR="00B05EA6" w:rsidRPr="003C379E">
        <w:rPr>
          <w:sz w:val="20"/>
          <w:szCs w:val="20"/>
          <w:lang w:val="es-ES"/>
        </w:rPr>
        <w:t xml:space="preserve"> nueva</w:t>
      </w:r>
      <w:r w:rsidR="0067419C" w:rsidRPr="003C379E">
        <w:rPr>
          <w:sz w:val="20"/>
          <w:szCs w:val="20"/>
          <w:lang w:val="es-ES"/>
        </w:rPr>
        <w:t>s pr</w:t>
      </w:r>
      <w:r w:rsidRPr="003C379E">
        <w:rPr>
          <w:sz w:val="20"/>
          <w:szCs w:val="20"/>
          <w:lang w:val="es-ES"/>
        </w:rPr>
        <w:t>ueb</w:t>
      </w:r>
      <w:r w:rsidR="0067419C" w:rsidRPr="003C379E">
        <w:rPr>
          <w:sz w:val="20"/>
          <w:szCs w:val="20"/>
          <w:lang w:val="es-ES"/>
        </w:rPr>
        <w:t xml:space="preserve">as </w:t>
      </w:r>
      <w:r w:rsidR="009115EB" w:rsidRPr="003C379E">
        <w:rPr>
          <w:sz w:val="20"/>
          <w:szCs w:val="20"/>
          <w:lang w:val="es-ES"/>
        </w:rPr>
        <w:t>de la</w:t>
      </w:r>
      <w:r w:rsidR="0067419C" w:rsidRPr="003C379E">
        <w:rPr>
          <w:sz w:val="20"/>
          <w:szCs w:val="20"/>
          <w:lang w:val="es-ES"/>
        </w:rPr>
        <w:t xml:space="preserve"> inoc</w:t>
      </w:r>
      <w:r w:rsidR="009115EB" w:rsidRPr="003C379E">
        <w:rPr>
          <w:sz w:val="20"/>
          <w:szCs w:val="20"/>
          <w:lang w:val="es-ES"/>
        </w:rPr>
        <w:t>encia</w:t>
      </w:r>
      <w:r w:rsidR="0067419C" w:rsidRPr="003C379E">
        <w:rPr>
          <w:sz w:val="20"/>
          <w:szCs w:val="20"/>
          <w:lang w:val="es-ES"/>
        </w:rPr>
        <w:t xml:space="preserve"> </w:t>
      </w:r>
      <w:r w:rsidR="009115EB" w:rsidRPr="003C379E">
        <w:rPr>
          <w:sz w:val="20"/>
          <w:szCs w:val="20"/>
          <w:lang w:val="es-ES"/>
        </w:rPr>
        <w:t>del</w:t>
      </w:r>
      <w:r w:rsidR="0067419C" w:rsidRPr="003C379E">
        <w:rPr>
          <w:sz w:val="20"/>
          <w:szCs w:val="20"/>
          <w:lang w:val="es-ES"/>
        </w:rPr>
        <w:t xml:space="preserve"> condenado, </w:t>
      </w:r>
      <w:r w:rsidR="00B05EA6" w:rsidRPr="003C379E">
        <w:rPr>
          <w:sz w:val="20"/>
          <w:szCs w:val="20"/>
          <w:lang w:val="es-ES"/>
        </w:rPr>
        <w:t>o</w:t>
      </w:r>
      <w:r w:rsidR="0067419C" w:rsidRPr="003C379E">
        <w:rPr>
          <w:sz w:val="20"/>
          <w:szCs w:val="20"/>
          <w:lang w:val="es-ES"/>
        </w:rPr>
        <w:t xml:space="preserve"> circunst</w:t>
      </w:r>
      <w:r w:rsidR="009115EB" w:rsidRPr="003C379E">
        <w:rPr>
          <w:sz w:val="20"/>
          <w:szCs w:val="20"/>
          <w:lang w:val="es-ES"/>
        </w:rPr>
        <w:t>ancia</w:t>
      </w:r>
      <w:r w:rsidR="0067419C" w:rsidRPr="003C379E">
        <w:rPr>
          <w:sz w:val="20"/>
          <w:szCs w:val="20"/>
          <w:lang w:val="es-ES"/>
        </w:rPr>
        <w:t>s que determin</w:t>
      </w:r>
      <w:r w:rsidR="009115EB" w:rsidRPr="003C379E">
        <w:rPr>
          <w:sz w:val="20"/>
          <w:szCs w:val="20"/>
          <w:lang w:val="es-ES"/>
        </w:rPr>
        <w:t xml:space="preserve">en </w:t>
      </w:r>
      <w:r w:rsidR="00B05EA6" w:rsidRPr="003C379E">
        <w:rPr>
          <w:sz w:val="20"/>
          <w:szCs w:val="20"/>
          <w:lang w:val="es-ES"/>
        </w:rPr>
        <w:t>o</w:t>
      </w:r>
      <w:r w:rsidR="0067419C" w:rsidRPr="003C379E">
        <w:rPr>
          <w:sz w:val="20"/>
          <w:szCs w:val="20"/>
          <w:lang w:val="es-ES"/>
        </w:rPr>
        <w:t xml:space="preserve"> autori</w:t>
      </w:r>
      <w:r w:rsidRPr="003C379E">
        <w:rPr>
          <w:sz w:val="20"/>
          <w:szCs w:val="20"/>
          <w:lang w:val="es-ES"/>
        </w:rPr>
        <w:t>c</w:t>
      </w:r>
      <w:r w:rsidR="009115EB" w:rsidRPr="003C379E">
        <w:rPr>
          <w:sz w:val="20"/>
          <w:szCs w:val="20"/>
          <w:lang w:val="es-ES"/>
        </w:rPr>
        <w:t xml:space="preserve">en </w:t>
      </w:r>
      <w:r w:rsidR="00B6265D" w:rsidRPr="003C379E">
        <w:rPr>
          <w:sz w:val="20"/>
          <w:szCs w:val="20"/>
          <w:lang w:val="es-ES"/>
        </w:rPr>
        <w:t>la</w:t>
      </w:r>
      <w:r w:rsidR="0067419C" w:rsidRPr="003C379E">
        <w:rPr>
          <w:sz w:val="20"/>
          <w:szCs w:val="20"/>
          <w:lang w:val="es-ES"/>
        </w:rPr>
        <w:t xml:space="preserve"> di</w:t>
      </w:r>
      <w:r w:rsidRPr="003C379E">
        <w:rPr>
          <w:sz w:val="20"/>
          <w:szCs w:val="20"/>
          <w:lang w:val="es-ES"/>
        </w:rPr>
        <w:t>s</w:t>
      </w:r>
      <w:r w:rsidR="0067419C" w:rsidRPr="003C379E">
        <w:rPr>
          <w:sz w:val="20"/>
          <w:szCs w:val="20"/>
          <w:lang w:val="es-ES"/>
        </w:rPr>
        <w:t>min</w:t>
      </w:r>
      <w:r w:rsidR="00B05EA6" w:rsidRPr="003C379E">
        <w:rPr>
          <w:sz w:val="20"/>
          <w:szCs w:val="20"/>
          <w:lang w:val="es-ES"/>
        </w:rPr>
        <w:t>uci</w:t>
      </w:r>
      <w:r w:rsidR="009115EB" w:rsidRPr="003C379E">
        <w:rPr>
          <w:sz w:val="20"/>
          <w:szCs w:val="20"/>
          <w:lang w:val="es-ES"/>
        </w:rPr>
        <w:t>ón</w:t>
      </w:r>
      <w:r w:rsidR="0067419C" w:rsidRPr="003C379E">
        <w:rPr>
          <w:sz w:val="20"/>
          <w:szCs w:val="20"/>
          <w:lang w:val="es-ES"/>
        </w:rPr>
        <w:t xml:space="preserve"> </w:t>
      </w:r>
      <w:r w:rsidR="009115EB" w:rsidRPr="003C379E">
        <w:rPr>
          <w:sz w:val="20"/>
          <w:szCs w:val="20"/>
          <w:lang w:val="es-ES"/>
        </w:rPr>
        <w:t>de la</w:t>
      </w:r>
      <w:r w:rsidR="0067419C" w:rsidRPr="003C379E">
        <w:rPr>
          <w:sz w:val="20"/>
          <w:szCs w:val="20"/>
          <w:lang w:val="es-ES"/>
        </w:rPr>
        <w:t xml:space="preserve"> pena. De ac</w:t>
      </w:r>
      <w:r w:rsidRPr="003C379E">
        <w:rPr>
          <w:sz w:val="20"/>
          <w:szCs w:val="20"/>
          <w:lang w:val="es-ES"/>
        </w:rPr>
        <w:t>ue</w:t>
      </w:r>
      <w:r w:rsidR="0067419C" w:rsidRPr="003C379E">
        <w:rPr>
          <w:sz w:val="20"/>
          <w:szCs w:val="20"/>
          <w:lang w:val="es-ES"/>
        </w:rPr>
        <w:t xml:space="preserve">rdo </w:t>
      </w:r>
      <w:r w:rsidR="009115EB" w:rsidRPr="003C379E">
        <w:rPr>
          <w:sz w:val="20"/>
          <w:szCs w:val="20"/>
          <w:lang w:val="es-ES"/>
        </w:rPr>
        <w:t>con</w:t>
      </w:r>
      <w:r w:rsidR="0067419C" w:rsidRPr="003C379E">
        <w:rPr>
          <w:sz w:val="20"/>
          <w:szCs w:val="20"/>
          <w:lang w:val="es-ES"/>
        </w:rPr>
        <w:t xml:space="preserve"> </w:t>
      </w:r>
      <w:r w:rsidR="009115EB" w:rsidRPr="003C379E">
        <w:rPr>
          <w:sz w:val="20"/>
          <w:szCs w:val="20"/>
          <w:lang w:val="es-ES"/>
        </w:rPr>
        <w:t>las</w:t>
      </w:r>
      <w:r w:rsidR="0067419C" w:rsidRPr="003C379E">
        <w:rPr>
          <w:sz w:val="20"/>
          <w:szCs w:val="20"/>
          <w:lang w:val="es-ES"/>
        </w:rPr>
        <w:t xml:space="preserve"> informa</w:t>
      </w:r>
      <w:r w:rsidR="009115EB" w:rsidRPr="003C379E">
        <w:rPr>
          <w:sz w:val="20"/>
          <w:szCs w:val="20"/>
          <w:lang w:val="es-ES"/>
        </w:rPr>
        <w:t>ciones</w:t>
      </w:r>
      <w:r w:rsidR="0067419C" w:rsidRPr="003C379E">
        <w:rPr>
          <w:sz w:val="20"/>
          <w:szCs w:val="20"/>
          <w:lang w:val="es-ES"/>
        </w:rPr>
        <w:t xml:space="preserve"> </w:t>
      </w:r>
      <w:r w:rsidR="009115EB" w:rsidRPr="003C379E">
        <w:rPr>
          <w:sz w:val="20"/>
          <w:szCs w:val="20"/>
          <w:lang w:val="es-ES"/>
        </w:rPr>
        <w:t>present</w:t>
      </w:r>
      <w:r w:rsidR="0067419C" w:rsidRPr="003C379E">
        <w:rPr>
          <w:sz w:val="20"/>
          <w:szCs w:val="20"/>
          <w:lang w:val="es-ES"/>
        </w:rPr>
        <w:t xml:space="preserve">adas por ambas partes, </w:t>
      </w:r>
      <w:r w:rsidR="009115EB" w:rsidRPr="003C379E">
        <w:rPr>
          <w:sz w:val="20"/>
          <w:szCs w:val="20"/>
          <w:lang w:val="es-ES"/>
        </w:rPr>
        <w:t>no</w:t>
      </w:r>
      <w:r w:rsidR="0067419C" w:rsidRPr="003C379E">
        <w:rPr>
          <w:sz w:val="20"/>
          <w:szCs w:val="20"/>
          <w:lang w:val="es-ES"/>
        </w:rPr>
        <w:t xml:space="preserve"> </w:t>
      </w:r>
      <w:r w:rsidR="009115EB" w:rsidRPr="003C379E">
        <w:rPr>
          <w:sz w:val="20"/>
          <w:szCs w:val="20"/>
          <w:lang w:val="es-ES"/>
        </w:rPr>
        <w:t>es</w:t>
      </w:r>
      <w:r w:rsidR="0067419C" w:rsidRPr="003C379E">
        <w:rPr>
          <w:sz w:val="20"/>
          <w:szCs w:val="20"/>
          <w:lang w:val="es-ES"/>
        </w:rPr>
        <w:t xml:space="preserve"> po</w:t>
      </w:r>
      <w:r w:rsidR="00B05EA6" w:rsidRPr="003C379E">
        <w:rPr>
          <w:sz w:val="20"/>
          <w:szCs w:val="20"/>
          <w:lang w:val="es-ES"/>
        </w:rPr>
        <w:t>sible</w:t>
      </w:r>
      <w:r w:rsidR="0067419C" w:rsidRPr="003C379E">
        <w:rPr>
          <w:sz w:val="20"/>
          <w:szCs w:val="20"/>
          <w:lang w:val="es-ES"/>
        </w:rPr>
        <w:t xml:space="preserve"> concluir que </w:t>
      </w:r>
      <w:r w:rsidR="00B6265D" w:rsidRPr="003C379E">
        <w:rPr>
          <w:sz w:val="20"/>
          <w:szCs w:val="20"/>
          <w:lang w:val="es-ES"/>
        </w:rPr>
        <w:t>la</w:t>
      </w:r>
      <w:r w:rsidR="0067419C" w:rsidRPr="003C379E">
        <w:rPr>
          <w:sz w:val="20"/>
          <w:szCs w:val="20"/>
          <w:lang w:val="es-ES"/>
        </w:rPr>
        <w:t xml:space="preserve"> </w:t>
      </w:r>
      <w:r w:rsidR="00B6265D" w:rsidRPr="003C379E">
        <w:rPr>
          <w:sz w:val="20"/>
          <w:szCs w:val="20"/>
          <w:lang w:val="es-ES"/>
        </w:rPr>
        <w:t>condena</w:t>
      </w:r>
      <w:r w:rsidR="0067419C" w:rsidRPr="003C379E">
        <w:rPr>
          <w:sz w:val="20"/>
          <w:szCs w:val="20"/>
          <w:lang w:val="es-ES"/>
        </w:rPr>
        <w:t xml:space="preserve"> </w:t>
      </w:r>
      <w:r w:rsidR="009115EB" w:rsidRPr="003C379E">
        <w:rPr>
          <w:sz w:val="20"/>
          <w:szCs w:val="20"/>
          <w:lang w:val="es-ES"/>
        </w:rPr>
        <w:t>de la</w:t>
      </w:r>
      <w:r w:rsidR="0067419C" w:rsidRPr="003C379E">
        <w:rPr>
          <w:sz w:val="20"/>
          <w:szCs w:val="20"/>
          <w:lang w:val="es-ES"/>
        </w:rPr>
        <w:t xml:space="preserve"> </w:t>
      </w:r>
      <w:r w:rsidR="00B05EA6" w:rsidRPr="003C379E">
        <w:rPr>
          <w:sz w:val="20"/>
          <w:szCs w:val="20"/>
          <w:lang w:val="es-ES"/>
        </w:rPr>
        <w:t>presunta v</w:t>
      </w:r>
      <w:r w:rsidR="009115EB" w:rsidRPr="003C379E">
        <w:rPr>
          <w:sz w:val="20"/>
          <w:szCs w:val="20"/>
          <w:lang w:val="es-ES"/>
        </w:rPr>
        <w:t>íctima</w:t>
      </w:r>
      <w:r w:rsidR="0067419C" w:rsidRPr="003C379E">
        <w:rPr>
          <w:sz w:val="20"/>
          <w:szCs w:val="20"/>
          <w:lang w:val="es-ES"/>
        </w:rPr>
        <w:t xml:space="preserve"> se </w:t>
      </w:r>
      <w:r w:rsidRPr="003C379E">
        <w:rPr>
          <w:sz w:val="20"/>
          <w:szCs w:val="20"/>
          <w:lang w:val="es-ES"/>
        </w:rPr>
        <w:t>encuadraba</w:t>
      </w:r>
      <w:r w:rsidR="0067419C" w:rsidRPr="003C379E">
        <w:rPr>
          <w:sz w:val="20"/>
          <w:szCs w:val="20"/>
          <w:lang w:val="es-ES"/>
        </w:rPr>
        <w:t xml:space="preserve"> </w:t>
      </w:r>
      <w:r w:rsidR="009115EB" w:rsidRPr="003C379E">
        <w:rPr>
          <w:sz w:val="20"/>
          <w:szCs w:val="20"/>
          <w:lang w:val="es-ES"/>
        </w:rPr>
        <w:t xml:space="preserve">en </w:t>
      </w:r>
      <w:r w:rsidRPr="003C379E">
        <w:rPr>
          <w:sz w:val="20"/>
          <w:szCs w:val="20"/>
          <w:lang w:val="es-ES"/>
        </w:rPr>
        <w:t>alguna</w:t>
      </w:r>
      <w:r w:rsidR="0067419C" w:rsidRPr="003C379E">
        <w:rPr>
          <w:sz w:val="20"/>
          <w:szCs w:val="20"/>
          <w:lang w:val="es-ES"/>
        </w:rPr>
        <w:t xml:space="preserve"> d</w:t>
      </w:r>
      <w:r w:rsidRPr="003C379E">
        <w:rPr>
          <w:sz w:val="20"/>
          <w:szCs w:val="20"/>
          <w:lang w:val="es-ES"/>
        </w:rPr>
        <w:t xml:space="preserve">e </w:t>
      </w:r>
      <w:r w:rsidR="0067419C" w:rsidRPr="003C379E">
        <w:rPr>
          <w:sz w:val="20"/>
          <w:szCs w:val="20"/>
          <w:lang w:val="es-ES"/>
        </w:rPr>
        <w:t>e</w:t>
      </w:r>
      <w:r w:rsidR="00B05EA6" w:rsidRPr="003C379E">
        <w:rPr>
          <w:sz w:val="20"/>
          <w:szCs w:val="20"/>
          <w:lang w:val="es-ES"/>
        </w:rPr>
        <w:t>s</w:t>
      </w:r>
      <w:r w:rsidR="0067419C" w:rsidRPr="003C379E">
        <w:rPr>
          <w:sz w:val="20"/>
          <w:szCs w:val="20"/>
          <w:lang w:val="es-ES"/>
        </w:rPr>
        <w:t xml:space="preserve">as </w:t>
      </w:r>
      <w:r w:rsidR="00E162A5" w:rsidRPr="003C379E">
        <w:rPr>
          <w:sz w:val="20"/>
          <w:szCs w:val="20"/>
          <w:lang w:val="es-ES"/>
        </w:rPr>
        <w:t>hipótesis</w:t>
      </w:r>
      <w:r w:rsidR="0067419C" w:rsidRPr="003C379E">
        <w:rPr>
          <w:sz w:val="20"/>
          <w:szCs w:val="20"/>
          <w:lang w:val="es-ES"/>
        </w:rPr>
        <w:t xml:space="preserve"> </w:t>
      </w:r>
      <w:r w:rsidRPr="003C379E">
        <w:rPr>
          <w:sz w:val="20"/>
          <w:szCs w:val="20"/>
          <w:lang w:val="es-ES"/>
        </w:rPr>
        <w:t>y</w:t>
      </w:r>
      <w:r w:rsidR="0067419C" w:rsidRPr="003C379E">
        <w:rPr>
          <w:sz w:val="20"/>
          <w:szCs w:val="20"/>
          <w:lang w:val="es-ES"/>
        </w:rPr>
        <w:t xml:space="preserve">, </w:t>
      </w:r>
      <w:r w:rsidR="00B05EA6" w:rsidRPr="003C379E">
        <w:rPr>
          <w:sz w:val="20"/>
          <w:szCs w:val="20"/>
          <w:lang w:val="es-ES"/>
        </w:rPr>
        <w:t>por lo tanto</w:t>
      </w:r>
      <w:r w:rsidR="0067419C" w:rsidRPr="003C379E">
        <w:rPr>
          <w:sz w:val="20"/>
          <w:szCs w:val="20"/>
          <w:lang w:val="es-ES"/>
        </w:rPr>
        <w:t xml:space="preserve">, </w:t>
      </w:r>
      <w:r w:rsidRPr="003C379E">
        <w:rPr>
          <w:sz w:val="20"/>
          <w:szCs w:val="20"/>
          <w:lang w:val="es-ES"/>
        </w:rPr>
        <w:t xml:space="preserve">no es </w:t>
      </w:r>
      <w:r w:rsidR="009115EB" w:rsidRPr="003C379E">
        <w:rPr>
          <w:sz w:val="20"/>
          <w:szCs w:val="20"/>
          <w:lang w:val="es-ES"/>
        </w:rPr>
        <w:t>efectiv</w:t>
      </w:r>
      <w:r w:rsidR="00C06275" w:rsidRPr="003C379E">
        <w:rPr>
          <w:sz w:val="20"/>
          <w:szCs w:val="20"/>
          <w:lang w:val="es-ES"/>
        </w:rPr>
        <w:t xml:space="preserve">o </w:t>
      </w:r>
      <w:r w:rsidR="009115EB" w:rsidRPr="003C379E">
        <w:rPr>
          <w:sz w:val="20"/>
          <w:szCs w:val="20"/>
          <w:lang w:val="es-ES"/>
        </w:rPr>
        <w:t>el</w:t>
      </w:r>
      <w:r w:rsidR="0067419C" w:rsidRPr="003C379E">
        <w:rPr>
          <w:sz w:val="20"/>
          <w:szCs w:val="20"/>
          <w:lang w:val="es-ES"/>
        </w:rPr>
        <w:t xml:space="preserve"> recurso de revi</w:t>
      </w:r>
      <w:r w:rsidR="009115EB" w:rsidRPr="003C379E">
        <w:rPr>
          <w:sz w:val="20"/>
          <w:szCs w:val="20"/>
          <w:lang w:val="es-ES"/>
        </w:rPr>
        <w:t>sión</w:t>
      </w:r>
      <w:r w:rsidR="0067419C" w:rsidRPr="003C379E">
        <w:rPr>
          <w:sz w:val="20"/>
          <w:szCs w:val="20"/>
          <w:lang w:val="es-ES"/>
        </w:rPr>
        <w:t xml:space="preserve"> </w:t>
      </w:r>
      <w:r w:rsidRPr="003C379E">
        <w:rPr>
          <w:sz w:val="20"/>
          <w:szCs w:val="20"/>
          <w:lang w:val="es-ES"/>
        </w:rPr>
        <w:t>penal</w:t>
      </w:r>
      <w:r w:rsidR="0067419C" w:rsidRPr="003C379E">
        <w:rPr>
          <w:sz w:val="20"/>
          <w:szCs w:val="20"/>
          <w:lang w:val="es-ES"/>
        </w:rPr>
        <w:t>.</w:t>
      </w:r>
    </w:p>
    <w:p w14:paraId="2A2C2405" w14:textId="431AFE4F" w:rsidR="00FE2F8A" w:rsidRPr="003C379E" w:rsidRDefault="009F41D1" w:rsidP="00560E0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color w:val="auto"/>
          <w:sz w:val="20"/>
          <w:szCs w:val="20"/>
          <w:lang w:val="es-ES"/>
        </w:rPr>
      </w:pPr>
      <w:r w:rsidRPr="003C379E">
        <w:rPr>
          <w:sz w:val="20"/>
          <w:szCs w:val="20"/>
          <w:lang w:val="es-ES"/>
        </w:rPr>
        <w:t>Finalmente</w:t>
      </w:r>
      <w:r w:rsidR="00FE2F8A" w:rsidRPr="003C379E">
        <w:rPr>
          <w:sz w:val="20"/>
          <w:szCs w:val="20"/>
          <w:lang w:val="es-ES"/>
        </w:rPr>
        <w:t xml:space="preserve">, </w:t>
      </w:r>
      <w:r w:rsidR="00B6265D" w:rsidRPr="003C379E">
        <w:rPr>
          <w:sz w:val="20"/>
          <w:szCs w:val="20"/>
          <w:lang w:val="es-ES"/>
        </w:rPr>
        <w:t>la</w:t>
      </w:r>
      <w:r w:rsidR="00FE2F8A" w:rsidRPr="003C379E">
        <w:rPr>
          <w:sz w:val="20"/>
          <w:szCs w:val="20"/>
          <w:lang w:val="es-ES"/>
        </w:rPr>
        <w:t xml:space="preserve"> </w:t>
      </w:r>
      <w:r w:rsidR="00084571" w:rsidRPr="003C379E">
        <w:rPr>
          <w:sz w:val="20"/>
          <w:szCs w:val="20"/>
          <w:lang w:val="es-ES"/>
        </w:rPr>
        <w:t>Comi</w:t>
      </w:r>
      <w:r w:rsidR="009115EB" w:rsidRPr="003C379E">
        <w:rPr>
          <w:sz w:val="20"/>
          <w:szCs w:val="20"/>
          <w:lang w:val="es-ES"/>
        </w:rPr>
        <w:t>sión</w:t>
      </w:r>
      <w:r w:rsidR="00FE2F8A" w:rsidRPr="003C379E">
        <w:rPr>
          <w:sz w:val="20"/>
          <w:szCs w:val="20"/>
          <w:lang w:val="es-ES"/>
        </w:rPr>
        <w:t xml:space="preserve"> observa que</w:t>
      </w:r>
      <w:r w:rsidR="009115EB" w:rsidRPr="003C379E">
        <w:rPr>
          <w:sz w:val="20"/>
          <w:szCs w:val="20"/>
          <w:lang w:val="es-ES"/>
        </w:rPr>
        <w:t xml:space="preserve"> </w:t>
      </w:r>
      <w:r w:rsidR="00B04C63" w:rsidRPr="003C379E">
        <w:rPr>
          <w:sz w:val="20"/>
          <w:szCs w:val="20"/>
          <w:lang w:val="es-ES"/>
        </w:rPr>
        <w:t>la</w:t>
      </w:r>
      <w:r w:rsidR="00C95A33" w:rsidRPr="003C379E">
        <w:rPr>
          <w:sz w:val="20"/>
          <w:szCs w:val="20"/>
          <w:lang w:val="es-ES"/>
        </w:rPr>
        <w:t xml:space="preserve"> parte peticionaria</w:t>
      </w:r>
      <w:r w:rsidR="00FE2F8A" w:rsidRPr="003C379E">
        <w:rPr>
          <w:sz w:val="20"/>
          <w:szCs w:val="20"/>
          <w:lang w:val="es-ES"/>
        </w:rPr>
        <w:t xml:space="preserve"> alega que </w:t>
      </w:r>
      <w:r w:rsidR="00B6265D" w:rsidRPr="003C379E">
        <w:rPr>
          <w:sz w:val="20"/>
          <w:szCs w:val="20"/>
          <w:lang w:val="es-ES"/>
        </w:rPr>
        <w:t>la</w:t>
      </w:r>
      <w:r w:rsidR="00FE2F8A" w:rsidRPr="003C379E">
        <w:rPr>
          <w:sz w:val="20"/>
          <w:szCs w:val="20"/>
          <w:lang w:val="es-ES"/>
        </w:rPr>
        <w:t xml:space="preserve"> </w:t>
      </w:r>
      <w:r w:rsidR="00B6265D" w:rsidRPr="003C379E">
        <w:rPr>
          <w:sz w:val="20"/>
          <w:szCs w:val="20"/>
          <w:lang w:val="es-ES"/>
        </w:rPr>
        <w:t>condena</w:t>
      </w:r>
      <w:r w:rsidR="00FE2F8A" w:rsidRPr="003C379E">
        <w:rPr>
          <w:sz w:val="20"/>
          <w:szCs w:val="20"/>
          <w:lang w:val="es-ES"/>
        </w:rPr>
        <w:t xml:space="preserve"> por desacato </w:t>
      </w:r>
      <w:r w:rsidR="00C605D9" w:rsidRPr="003C379E">
        <w:rPr>
          <w:sz w:val="20"/>
          <w:szCs w:val="20"/>
          <w:lang w:val="es-ES"/>
        </w:rPr>
        <w:t>provocó</w:t>
      </w:r>
      <w:r w:rsidR="00FE2F8A" w:rsidRPr="003C379E">
        <w:rPr>
          <w:sz w:val="20"/>
          <w:szCs w:val="20"/>
          <w:lang w:val="es-ES"/>
        </w:rPr>
        <w:t xml:space="preserve"> </w:t>
      </w:r>
      <w:r w:rsidR="009115EB" w:rsidRPr="003C379E">
        <w:rPr>
          <w:sz w:val="20"/>
          <w:szCs w:val="20"/>
          <w:lang w:val="es-ES"/>
        </w:rPr>
        <w:t>un</w:t>
      </w:r>
      <w:r w:rsidR="00FE2F8A" w:rsidRPr="003C379E">
        <w:rPr>
          <w:sz w:val="20"/>
          <w:szCs w:val="20"/>
          <w:lang w:val="es-ES"/>
        </w:rPr>
        <w:t xml:space="preserve"> </w:t>
      </w:r>
      <w:r w:rsidR="00084571" w:rsidRPr="003C379E">
        <w:rPr>
          <w:sz w:val="20"/>
          <w:szCs w:val="20"/>
          <w:lang w:val="es-ES"/>
        </w:rPr>
        <w:t>inequívoco</w:t>
      </w:r>
      <w:r w:rsidR="00FE2F8A" w:rsidRPr="003C379E">
        <w:rPr>
          <w:sz w:val="20"/>
          <w:szCs w:val="20"/>
          <w:lang w:val="es-ES"/>
        </w:rPr>
        <w:t xml:space="preserve"> </w:t>
      </w:r>
      <w:r w:rsidR="009115EB" w:rsidRPr="003C379E">
        <w:rPr>
          <w:sz w:val="20"/>
          <w:szCs w:val="20"/>
          <w:lang w:val="es-ES"/>
        </w:rPr>
        <w:t>daño</w:t>
      </w:r>
      <w:r w:rsidR="00FE2F8A" w:rsidRPr="003C379E">
        <w:rPr>
          <w:sz w:val="20"/>
          <w:szCs w:val="20"/>
          <w:lang w:val="es-ES"/>
        </w:rPr>
        <w:t xml:space="preserve"> moral </w:t>
      </w:r>
      <w:r w:rsidR="00B6265D" w:rsidRPr="003C379E">
        <w:rPr>
          <w:sz w:val="20"/>
          <w:szCs w:val="20"/>
          <w:lang w:val="es-ES"/>
        </w:rPr>
        <w:t>a</w:t>
      </w:r>
      <w:r w:rsidR="009115EB" w:rsidRPr="003C379E">
        <w:rPr>
          <w:sz w:val="20"/>
          <w:szCs w:val="20"/>
          <w:lang w:val="es-ES"/>
        </w:rPr>
        <w:t xml:space="preserve"> la</w:t>
      </w:r>
      <w:r w:rsidR="00FE2F8A" w:rsidRPr="003C379E">
        <w:rPr>
          <w:sz w:val="20"/>
          <w:szCs w:val="20"/>
          <w:lang w:val="es-ES"/>
        </w:rPr>
        <w:t xml:space="preserve"> </w:t>
      </w:r>
      <w:r w:rsidR="00B05EA6" w:rsidRPr="003C379E">
        <w:rPr>
          <w:sz w:val="20"/>
          <w:szCs w:val="20"/>
          <w:lang w:val="es-ES"/>
        </w:rPr>
        <w:t>presunta v</w:t>
      </w:r>
      <w:r w:rsidR="009115EB" w:rsidRPr="003C379E">
        <w:rPr>
          <w:sz w:val="20"/>
          <w:szCs w:val="20"/>
          <w:lang w:val="es-ES"/>
        </w:rPr>
        <w:t>íctima</w:t>
      </w:r>
      <w:r w:rsidR="00FE2F8A" w:rsidRPr="003C379E">
        <w:rPr>
          <w:sz w:val="20"/>
          <w:szCs w:val="20"/>
          <w:lang w:val="es-ES"/>
        </w:rPr>
        <w:t>.</w:t>
      </w:r>
      <w:r w:rsidR="00560E0D" w:rsidRPr="003C379E">
        <w:rPr>
          <w:sz w:val="20"/>
          <w:szCs w:val="20"/>
          <w:lang w:val="es-ES"/>
        </w:rPr>
        <w:t xml:space="preserve"> </w:t>
      </w:r>
      <w:r w:rsidR="009115EB" w:rsidRPr="003C379E">
        <w:rPr>
          <w:sz w:val="20"/>
          <w:szCs w:val="20"/>
          <w:lang w:val="es-ES"/>
        </w:rPr>
        <w:t>Además</w:t>
      </w:r>
      <w:r w:rsidR="00560E0D" w:rsidRPr="003C379E">
        <w:rPr>
          <w:sz w:val="20"/>
          <w:szCs w:val="20"/>
          <w:lang w:val="es-ES"/>
        </w:rPr>
        <w:t xml:space="preserve">, </w:t>
      </w:r>
      <w:r w:rsidR="00FE2F8A" w:rsidRPr="003C379E">
        <w:rPr>
          <w:sz w:val="20"/>
          <w:szCs w:val="20"/>
          <w:lang w:val="es-ES"/>
        </w:rPr>
        <w:t>afirma que</w:t>
      </w:r>
      <w:r w:rsidR="00FB4AA8" w:rsidRPr="003C379E">
        <w:rPr>
          <w:sz w:val="20"/>
          <w:szCs w:val="20"/>
          <w:lang w:val="es-ES"/>
        </w:rPr>
        <w:t>,</w:t>
      </w:r>
      <w:r w:rsidR="00FE2F8A" w:rsidRPr="003C379E">
        <w:rPr>
          <w:sz w:val="20"/>
          <w:szCs w:val="20"/>
          <w:lang w:val="es-ES"/>
        </w:rPr>
        <w:t xml:space="preserve"> </w:t>
      </w:r>
      <w:r w:rsidR="009115EB" w:rsidRPr="003C379E">
        <w:rPr>
          <w:sz w:val="20"/>
          <w:szCs w:val="20"/>
          <w:lang w:val="es-ES"/>
        </w:rPr>
        <w:t>al</w:t>
      </w:r>
      <w:r w:rsidR="00FE2F8A" w:rsidRPr="003C379E">
        <w:rPr>
          <w:sz w:val="20"/>
          <w:szCs w:val="20"/>
          <w:lang w:val="es-ES"/>
        </w:rPr>
        <w:t xml:space="preserve"> </w:t>
      </w:r>
      <w:r w:rsidR="009115EB" w:rsidRPr="003C379E">
        <w:rPr>
          <w:sz w:val="20"/>
          <w:szCs w:val="20"/>
          <w:lang w:val="es-ES"/>
        </w:rPr>
        <w:t>no</w:t>
      </w:r>
      <w:r w:rsidR="00FE2F8A" w:rsidRPr="003C379E">
        <w:rPr>
          <w:sz w:val="20"/>
          <w:szCs w:val="20"/>
          <w:lang w:val="es-ES"/>
        </w:rPr>
        <w:t xml:space="preserve"> aplicar </w:t>
      </w:r>
      <w:r w:rsidR="00B6265D" w:rsidRPr="003C379E">
        <w:rPr>
          <w:sz w:val="20"/>
          <w:szCs w:val="20"/>
          <w:lang w:val="es-ES"/>
        </w:rPr>
        <w:t>la</w:t>
      </w:r>
      <w:r w:rsidR="00FE2F8A" w:rsidRPr="003C379E">
        <w:rPr>
          <w:sz w:val="20"/>
          <w:szCs w:val="20"/>
          <w:lang w:val="es-ES"/>
        </w:rPr>
        <w:t xml:space="preserve"> CADH </w:t>
      </w:r>
      <w:r w:rsidR="00FB4AA8" w:rsidRPr="003C379E">
        <w:rPr>
          <w:sz w:val="20"/>
          <w:szCs w:val="20"/>
          <w:lang w:val="es-ES"/>
        </w:rPr>
        <w:t>ni</w:t>
      </w:r>
      <w:r w:rsidR="00FE2F8A" w:rsidRPr="003C379E">
        <w:rPr>
          <w:sz w:val="20"/>
          <w:szCs w:val="20"/>
          <w:lang w:val="es-ES"/>
        </w:rPr>
        <w:t xml:space="preserve"> garanti</w:t>
      </w:r>
      <w:r w:rsidR="00BA640D" w:rsidRPr="003C379E">
        <w:rPr>
          <w:sz w:val="20"/>
          <w:szCs w:val="20"/>
          <w:lang w:val="es-ES"/>
        </w:rPr>
        <w:t>za</w:t>
      </w:r>
      <w:r w:rsidR="00FE2F8A" w:rsidRPr="003C379E">
        <w:rPr>
          <w:sz w:val="20"/>
          <w:szCs w:val="20"/>
          <w:lang w:val="es-ES"/>
        </w:rPr>
        <w:t xml:space="preserve">r </w:t>
      </w:r>
      <w:r w:rsidR="00B6265D" w:rsidRPr="003C379E">
        <w:rPr>
          <w:sz w:val="20"/>
          <w:szCs w:val="20"/>
          <w:lang w:val="es-ES"/>
        </w:rPr>
        <w:t>la</w:t>
      </w:r>
      <w:r w:rsidR="00FE2F8A" w:rsidRPr="003C379E">
        <w:rPr>
          <w:sz w:val="20"/>
          <w:szCs w:val="20"/>
          <w:lang w:val="es-ES"/>
        </w:rPr>
        <w:t xml:space="preserve"> </w:t>
      </w:r>
      <w:r w:rsidR="00084571" w:rsidRPr="003C379E">
        <w:rPr>
          <w:sz w:val="20"/>
          <w:szCs w:val="20"/>
          <w:lang w:val="es-ES"/>
        </w:rPr>
        <w:t>absol</w:t>
      </w:r>
      <w:r w:rsidR="00BA640D" w:rsidRPr="003C379E">
        <w:rPr>
          <w:sz w:val="20"/>
          <w:szCs w:val="20"/>
          <w:lang w:val="es-ES"/>
        </w:rPr>
        <w:t>u</w:t>
      </w:r>
      <w:r w:rsidR="009115EB" w:rsidRPr="003C379E">
        <w:rPr>
          <w:sz w:val="20"/>
          <w:szCs w:val="20"/>
          <w:lang w:val="es-ES"/>
        </w:rPr>
        <w:t>ción</w:t>
      </w:r>
      <w:r w:rsidR="00FE2F8A" w:rsidRPr="003C379E">
        <w:rPr>
          <w:sz w:val="20"/>
          <w:szCs w:val="20"/>
          <w:lang w:val="es-ES"/>
        </w:rPr>
        <w:t xml:space="preserve"> </w:t>
      </w:r>
      <w:r w:rsidR="009115EB" w:rsidRPr="003C379E">
        <w:rPr>
          <w:sz w:val="20"/>
          <w:szCs w:val="20"/>
          <w:lang w:val="es-ES"/>
        </w:rPr>
        <w:t>de la</w:t>
      </w:r>
      <w:r w:rsidR="00FE2F8A" w:rsidRPr="003C379E">
        <w:rPr>
          <w:sz w:val="20"/>
          <w:szCs w:val="20"/>
          <w:lang w:val="es-ES"/>
        </w:rPr>
        <w:t xml:space="preserve"> </w:t>
      </w:r>
      <w:r w:rsidR="00B05EA6" w:rsidRPr="003C379E">
        <w:rPr>
          <w:sz w:val="20"/>
          <w:szCs w:val="20"/>
          <w:lang w:val="es-ES"/>
        </w:rPr>
        <w:t>presunta v</w:t>
      </w:r>
      <w:r w:rsidR="009115EB" w:rsidRPr="003C379E">
        <w:rPr>
          <w:sz w:val="20"/>
          <w:szCs w:val="20"/>
          <w:lang w:val="es-ES"/>
        </w:rPr>
        <w:t>íctima</w:t>
      </w:r>
      <w:r w:rsidR="00FE2F8A" w:rsidRPr="003C379E">
        <w:rPr>
          <w:sz w:val="20"/>
          <w:szCs w:val="20"/>
          <w:lang w:val="es-ES"/>
        </w:rPr>
        <w:t xml:space="preserve"> </w:t>
      </w:r>
      <w:r w:rsidR="00BA640D" w:rsidRPr="003C379E">
        <w:rPr>
          <w:sz w:val="20"/>
          <w:szCs w:val="20"/>
          <w:lang w:val="es-ES"/>
        </w:rPr>
        <w:t>co</w:t>
      </w:r>
      <w:r w:rsidR="009115EB" w:rsidRPr="003C379E">
        <w:rPr>
          <w:sz w:val="20"/>
          <w:szCs w:val="20"/>
          <w:lang w:val="es-ES"/>
        </w:rPr>
        <w:t xml:space="preserve">n </w:t>
      </w:r>
      <w:r w:rsidR="00084571" w:rsidRPr="003C379E">
        <w:rPr>
          <w:sz w:val="20"/>
          <w:szCs w:val="20"/>
          <w:lang w:val="es-ES"/>
        </w:rPr>
        <w:t>rela</w:t>
      </w:r>
      <w:r w:rsidR="009115EB" w:rsidRPr="003C379E">
        <w:rPr>
          <w:sz w:val="20"/>
          <w:szCs w:val="20"/>
          <w:lang w:val="es-ES"/>
        </w:rPr>
        <w:t>ción</w:t>
      </w:r>
      <w:r w:rsidR="00FE2F8A" w:rsidRPr="003C379E">
        <w:rPr>
          <w:sz w:val="20"/>
          <w:szCs w:val="20"/>
          <w:lang w:val="es-ES"/>
        </w:rPr>
        <w:t xml:space="preserve"> </w:t>
      </w:r>
      <w:r w:rsidR="009115EB" w:rsidRPr="003C379E">
        <w:rPr>
          <w:sz w:val="20"/>
          <w:szCs w:val="20"/>
          <w:lang w:val="es-ES"/>
        </w:rPr>
        <w:t>al</w:t>
      </w:r>
      <w:r w:rsidR="00FE2F8A" w:rsidRPr="003C379E">
        <w:rPr>
          <w:sz w:val="20"/>
          <w:szCs w:val="20"/>
          <w:lang w:val="es-ES"/>
        </w:rPr>
        <w:t xml:space="preserve"> </w:t>
      </w:r>
      <w:r w:rsidR="00B05EA6" w:rsidRPr="003C379E">
        <w:rPr>
          <w:sz w:val="20"/>
          <w:szCs w:val="20"/>
          <w:lang w:val="es-ES"/>
        </w:rPr>
        <w:t>delito de desacato</w:t>
      </w:r>
      <w:r w:rsidR="00FE2F8A" w:rsidRPr="003C379E">
        <w:rPr>
          <w:sz w:val="20"/>
          <w:szCs w:val="20"/>
          <w:lang w:val="es-ES"/>
        </w:rPr>
        <w:t xml:space="preserve">, </w:t>
      </w:r>
      <w:r w:rsidR="009115EB" w:rsidRPr="003C379E">
        <w:rPr>
          <w:sz w:val="20"/>
          <w:szCs w:val="20"/>
          <w:lang w:val="es-ES"/>
        </w:rPr>
        <w:t>el</w:t>
      </w:r>
      <w:r w:rsidR="00C605D9" w:rsidRPr="003C379E">
        <w:rPr>
          <w:sz w:val="20"/>
          <w:szCs w:val="20"/>
          <w:lang w:val="es-ES"/>
        </w:rPr>
        <w:t xml:space="preserve"> Estado cometió</w:t>
      </w:r>
      <w:r w:rsidR="00FE2F8A" w:rsidRPr="003C379E">
        <w:rPr>
          <w:sz w:val="20"/>
          <w:szCs w:val="20"/>
          <w:lang w:val="es-ES"/>
        </w:rPr>
        <w:t xml:space="preserve"> </w:t>
      </w:r>
      <w:r w:rsidR="009115EB" w:rsidRPr="003C379E">
        <w:rPr>
          <w:sz w:val="20"/>
          <w:szCs w:val="20"/>
          <w:lang w:val="es-ES"/>
        </w:rPr>
        <w:t>un</w:t>
      </w:r>
      <w:r w:rsidR="00FE2F8A" w:rsidRPr="003C379E">
        <w:rPr>
          <w:sz w:val="20"/>
          <w:szCs w:val="20"/>
          <w:lang w:val="es-ES"/>
        </w:rPr>
        <w:t xml:space="preserve"> </w:t>
      </w:r>
      <w:r w:rsidR="00B04C63" w:rsidRPr="003C379E">
        <w:rPr>
          <w:sz w:val="20"/>
          <w:szCs w:val="20"/>
          <w:lang w:val="es-ES"/>
        </w:rPr>
        <w:t>error</w:t>
      </w:r>
      <w:r w:rsidR="00FE2F8A" w:rsidRPr="003C379E">
        <w:rPr>
          <w:sz w:val="20"/>
          <w:szCs w:val="20"/>
          <w:lang w:val="es-ES"/>
        </w:rPr>
        <w:t xml:space="preserve"> judicial. </w:t>
      </w:r>
      <w:r w:rsidR="00BA640D" w:rsidRPr="003C379E">
        <w:rPr>
          <w:sz w:val="20"/>
          <w:szCs w:val="20"/>
          <w:lang w:val="es-ES"/>
        </w:rPr>
        <w:t>Por esa razón</w:t>
      </w:r>
      <w:r w:rsidR="00FE2F8A" w:rsidRPr="003C379E">
        <w:rPr>
          <w:sz w:val="20"/>
          <w:szCs w:val="20"/>
          <w:lang w:val="es-ES"/>
        </w:rPr>
        <w:t xml:space="preserve">, argumenta que </w:t>
      </w:r>
      <w:r w:rsidR="009115EB" w:rsidRPr="003C379E">
        <w:rPr>
          <w:sz w:val="20"/>
          <w:szCs w:val="20"/>
          <w:lang w:val="es-ES"/>
        </w:rPr>
        <w:t>el</w:t>
      </w:r>
      <w:r w:rsidR="00560E0D" w:rsidRPr="003C379E">
        <w:rPr>
          <w:sz w:val="20"/>
          <w:szCs w:val="20"/>
          <w:lang w:val="es-ES"/>
        </w:rPr>
        <w:t xml:space="preserve"> Sr. Starling</w:t>
      </w:r>
      <w:r w:rsidR="00FE2F8A" w:rsidRPr="003C379E">
        <w:rPr>
          <w:sz w:val="20"/>
          <w:szCs w:val="20"/>
          <w:lang w:val="es-ES"/>
        </w:rPr>
        <w:t xml:space="preserve"> </w:t>
      </w:r>
      <w:r w:rsidR="009115EB" w:rsidRPr="003C379E">
        <w:rPr>
          <w:sz w:val="20"/>
          <w:szCs w:val="20"/>
          <w:lang w:val="es-ES"/>
        </w:rPr>
        <w:t>debería</w:t>
      </w:r>
      <w:r w:rsidR="00FE2F8A" w:rsidRPr="003C379E">
        <w:rPr>
          <w:sz w:val="20"/>
          <w:szCs w:val="20"/>
          <w:lang w:val="es-ES"/>
        </w:rPr>
        <w:t xml:space="preserve"> ser </w:t>
      </w:r>
      <w:r w:rsidR="009115EB" w:rsidRPr="003C379E">
        <w:rPr>
          <w:sz w:val="20"/>
          <w:szCs w:val="20"/>
          <w:lang w:val="es-ES"/>
        </w:rPr>
        <w:t>indemniz</w:t>
      </w:r>
      <w:r w:rsidR="00FE2F8A" w:rsidRPr="003C379E">
        <w:rPr>
          <w:sz w:val="20"/>
          <w:szCs w:val="20"/>
          <w:lang w:val="es-ES"/>
        </w:rPr>
        <w:t xml:space="preserve">ado, </w:t>
      </w:r>
      <w:r w:rsidR="009115EB" w:rsidRPr="003C379E">
        <w:rPr>
          <w:sz w:val="20"/>
          <w:szCs w:val="20"/>
          <w:lang w:val="es-ES"/>
        </w:rPr>
        <w:t xml:space="preserve">en </w:t>
      </w:r>
      <w:r w:rsidR="00084571" w:rsidRPr="003C379E">
        <w:rPr>
          <w:sz w:val="20"/>
          <w:szCs w:val="20"/>
          <w:lang w:val="es-ES"/>
        </w:rPr>
        <w:t>conson</w:t>
      </w:r>
      <w:r w:rsidR="009115EB" w:rsidRPr="003C379E">
        <w:rPr>
          <w:sz w:val="20"/>
          <w:szCs w:val="20"/>
          <w:lang w:val="es-ES"/>
        </w:rPr>
        <w:t>ancia</w:t>
      </w:r>
      <w:r w:rsidR="00FE2F8A" w:rsidRPr="003C379E">
        <w:rPr>
          <w:sz w:val="20"/>
          <w:szCs w:val="20"/>
          <w:lang w:val="es-ES"/>
        </w:rPr>
        <w:t xml:space="preserve"> </w:t>
      </w:r>
      <w:r w:rsidR="009115EB" w:rsidRPr="003C379E">
        <w:rPr>
          <w:sz w:val="20"/>
          <w:szCs w:val="20"/>
          <w:lang w:val="es-ES"/>
        </w:rPr>
        <w:t>con</w:t>
      </w:r>
      <w:r w:rsidR="00FE2F8A" w:rsidRPr="003C379E">
        <w:rPr>
          <w:sz w:val="20"/>
          <w:szCs w:val="20"/>
          <w:lang w:val="es-ES"/>
        </w:rPr>
        <w:t xml:space="preserve"> </w:t>
      </w:r>
      <w:r w:rsidR="009115EB" w:rsidRPr="003C379E">
        <w:rPr>
          <w:sz w:val="20"/>
          <w:szCs w:val="20"/>
          <w:lang w:val="es-ES"/>
        </w:rPr>
        <w:t>el</w:t>
      </w:r>
      <w:r w:rsidR="00FE2F8A" w:rsidRPr="003C379E">
        <w:rPr>
          <w:sz w:val="20"/>
          <w:szCs w:val="20"/>
          <w:lang w:val="es-ES"/>
        </w:rPr>
        <w:t xml:space="preserve"> </w:t>
      </w:r>
      <w:r w:rsidR="009115EB" w:rsidRPr="003C379E">
        <w:rPr>
          <w:sz w:val="20"/>
          <w:szCs w:val="20"/>
          <w:lang w:val="es-ES"/>
        </w:rPr>
        <w:t>artículo</w:t>
      </w:r>
      <w:r w:rsidR="00FE2F8A" w:rsidRPr="003C379E">
        <w:rPr>
          <w:sz w:val="20"/>
          <w:szCs w:val="20"/>
          <w:lang w:val="es-ES"/>
        </w:rPr>
        <w:t xml:space="preserve"> 10 </w:t>
      </w:r>
      <w:r w:rsidR="009115EB" w:rsidRPr="003C379E">
        <w:rPr>
          <w:sz w:val="20"/>
          <w:szCs w:val="20"/>
          <w:lang w:val="es-ES"/>
        </w:rPr>
        <w:t>de la</w:t>
      </w:r>
      <w:r w:rsidR="00FE2F8A" w:rsidRPr="003C379E">
        <w:rPr>
          <w:sz w:val="20"/>
          <w:szCs w:val="20"/>
          <w:lang w:val="es-ES"/>
        </w:rPr>
        <w:t xml:space="preserve"> CADH. </w:t>
      </w:r>
      <w:r w:rsidR="00C605D9" w:rsidRPr="003C379E">
        <w:rPr>
          <w:sz w:val="20"/>
          <w:szCs w:val="20"/>
          <w:lang w:val="es-ES"/>
        </w:rPr>
        <w:t>El</w:t>
      </w:r>
      <w:r w:rsidR="00FE2F8A" w:rsidRPr="003C379E">
        <w:rPr>
          <w:sz w:val="20"/>
          <w:szCs w:val="20"/>
          <w:lang w:val="es-ES"/>
        </w:rPr>
        <w:t xml:space="preserve"> Estado</w:t>
      </w:r>
      <w:r w:rsidR="00BA640D" w:rsidRPr="003C379E">
        <w:rPr>
          <w:sz w:val="20"/>
          <w:szCs w:val="20"/>
          <w:lang w:val="es-ES"/>
        </w:rPr>
        <w:t>,</w:t>
      </w:r>
      <w:r w:rsidR="00FE2F8A" w:rsidRPr="003C379E">
        <w:rPr>
          <w:sz w:val="20"/>
          <w:szCs w:val="20"/>
          <w:lang w:val="es-ES"/>
        </w:rPr>
        <w:t xml:space="preserve"> </w:t>
      </w:r>
      <w:r w:rsidR="00C605D9" w:rsidRPr="003C379E">
        <w:rPr>
          <w:sz w:val="20"/>
          <w:szCs w:val="20"/>
          <w:lang w:val="es-ES"/>
        </w:rPr>
        <w:t>a</w:t>
      </w:r>
      <w:r w:rsidR="00FE2F8A" w:rsidRPr="003C379E">
        <w:rPr>
          <w:sz w:val="20"/>
          <w:szCs w:val="20"/>
          <w:lang w:val="es-ES"/>
        </w:rPr>
        <w:t xml:space="preserve"> </w:t>
      </w:r>
      <w:r w:rsidR="009115EB" w:rsidRPr="003C379E">
        <w:rPr>
          <w:sz w:val="20"/>
          <w:szCs w:val="20"/>
          <w:lang w:val="es-ES"/>
        </w:rPr>
        <w:t>su</w:t>
      </w:r>
      <w:r w:rsidR="00FE2F8A" w:rsidRPr="003C379E">
        <w:rPr>
          <w:sz w:val="20"/>
          <w:szCs w:val="20"/>
          <w:lang w:val="es-ES"/>
        </w:rPr>
        <w:t xml:space="preserve"> vez, </w:t>
      </w:r>
      <w:r w:rsidR="006E3C8B" w:rsidRPr="003C379E">
        <w:rPr>
          <w:sz w:val="20"/>
          <w:szCs w:val="20"/>
          <w:lang w:val="es-ES"/>
        </w:rPr>
        <w:t>alega</w:t>
      </w:r>
      <w:r w:rsidR="00FE2F8A" w:rsidRPr="003C379E">
        <w:rPr>
          <w:sz w:val="20"/>
          <w:szCs w:val="20"/>
          <w:lang w:val="es-ES"/>
        </w:rPr>
        <w:t xml:space="preserve"> que</w:t>
      </w:r>
      <w:r w:rsidR="009115EB" w:rsidRPr="003C379E">
        <w:rPr>
          <w:sz w:val="20"/>
          <w:szCs w:val="20"/>
          <w:lang w:val="es-ES"/>
        </w:rPr>
        <w:t xml:space="preserve"> </w:t>
      </w:r>
      <w:r w:rsidR="00B04C63" w:rsidRPr="003C379E">
        <w:rPr>
          <w:sz w:val="20"/>
          <w:szCs w:val="20"/>
          <w:lang w:val="es-ES"/>
        </w:rPr>
        <w:t>la</w:t>
      </w:r>
      <w:r w:rsidR="00C95A33" w:rsidRPr="003C379E">
        <w:rPr>
          <w:sz w:val="20"/>
          <w:szCs w:val="20"/>
          <w:lang w:val="es-ES"/>
        </w:rPr>
        <w:t xml:space="preserve"> parte peticionaria</w:t>
      </w:r>
      <w:r w:rsidR="00FE2F8A" w:rsidRPr="003C379E">
        <w:rPr>
          <w:sz w:val="20"/>
          <w:szCs w:val="20"/>
          <w:lang w:val="es-ES"/>
        </w:rPr>
        <w:t xml:space="preserve"> </w:t>
      </w:r>
      <w:r w:rsidR="009115EB" w:rsidRPr="003C379E">
        <w:rPr>
          <w:sz w:val="20"/>
          <w:szCs w:val="20"/>
          <w:lang w:val="es-ES"/>
        </w:rPr>
        <w:t>no</w:t>
      </w:r>
      <w:r w:rsidR="00FE2F8A" w:rsidRPr="003C379E">
        <w:rPr>
          <w:sz w:val="20"/>
          <w:szCs w:val="20"/>
          <w:lang w:val="es-ES"/>
        </w:rPr>
        <w:t xml:space="preserve"> </w:t>
      </w:r>
      <w:r w:rsidR="00C605D9" w:rsidRPr="003C379E">
        <w:rPr>
          <w:sz w:val="20"/>
          <w:szCs w:val="20"/>
          <w:lang w:val="es-ES"/>
        </w:rPr>
        <w:t>promovió</w:t>
      </w:r>
      <w:r w:rsidR="00FE2F8A" w:rsidRPr="003C379E">
        <w:rPr>
          <w:sz w:val="20"/>
          <w:szCs w:val="20"/>
          <w:lang w:val="es-ES"/>
        </w:rPr>
        <w:t xml:space="preserve"> </w:t>
      </w:r>
      <w:r w:rsidR="009115EB" w:rsidRPr="003C379E">
        <w:rPr>
          <w:sz w:val="20"/>
          <w:szCs w:val="20"/>
          <w:lang w:val="es-ES"/>
        </w:rPr>
        <w:t>una</w:t>
      </w:r>
      <w:r w:rsidR="00FE2F8A" w:rsidRPr="003C379E">
        <w:rPr>
          <w:sz w:val="20"/>
          <w:szCs w:val="20"/>
          <w:lang w:val="es-ES"/>
        </w:rPr>
        <w:t xml:space="preserve"> </w:t>
      </w:r>
      <w:r w:rsidR="00C605D9" w:rsidRPr="003C379E">
        <w:rPr>
          <w:sz w:val="20"/>
          <w:szCs w:val="20"/>
          <w:lang w:val="es-ES"/>
        </w:rPr>
        <w:t>acción</w:t>
      </w:r>
      <w:r w:rsidR="00FE2F8A" w:rsidRPr="003C379E">
        <w:rPr>
          <w:sz w:val="20"/>
          <w:szCs w:val="20"/>
          <w:lang w:val="es-ES"/>
        </w:rPr>
        <w:t xml:space="preserve"> civil </w:t>
      </w:r>
      <w:r w:rsidR="009115EB" w:rsidRPr="003C379E">
        <w:rPr>
          <w:sz w:val="20"/>
          <w:szCs w:val="20"/>
          <w:lang w:val="es-ES"/>
        </w:rPr>
        <w:t>en el</w:t>
      </w:r>
      <w:r w:rsidR="00FE2F8A" w:rsidRPr="003C379E">
        <w:rPr>
          <w:sz w:val="20"/>
          <w:szCs w:val="20"/>
          <w:lang w:val="es-ES"/>
        </w:rPr>
        <w:t xml:space="preserve"> </w:t>
      </w:r>
      <w:r w:rsidR="00B04C63" w:rsidRPr="003C379E">
        <w:rPr>
          <w:sz w:val="20"/>
          <w:szCs w:val="20"/>
          <w:lang w:val="es-ES"/>
        </w:rPr>
        <w:t>ámbito</w:t>
      </w:r>
      <w:r w:rsidR="00FE2F8A" w:rsidRPr="003C379E">
        <w:rPr>
          <w:sz w:val="20"/>
          <w:szCs w:val="20"/>
          <w:lang w:val="es-ES"/>
        </w:rPr>
        <w:t xml:space="preserve"> interno para reparar </w:t>
      </w:r>
      <w:r w:rsidR="009115EB" w:rsidRPr="003C379E">
        <w:rPr>
          <w:sz w:val="20"/>
          <w:szCs w:val="20"/>
          <w:lang w:val="es-ES"/>
        </w:rPr>
        <w:t>el</w:t>
      </w:r>
      <w:r w:rsidR="00FE2F8A" w:rsidRPr="003C379E">
        <w:rPr>
          <w:sz w:val="20"/>
          <w:szCs w:val="20"/>
          <w:lang w:val="es-ES"/>
        </w:rPr>
        <w:t xml:space="preserve"> </w:t>
      </w:r>
      <w:r w:rsidR="009115EB" w:rsidRPr="003C379E">
        <w:rPr>
          <w:sz w:val="20"/>
          <w:szCs w:val="20"/>
          <w:lang w:val="es-ES"/>
        </w:rPr>
        <w:t>daño</w:t>
      </w:r>
      <w:r w:rsidR="00FE2F8A" w:rsidRPr="003C379E">
        <w:rPr>
          <w:sz w:val="20"/>
          <w:szCs w:val="20"/>
          <w:lang w:val="es-ES"/>
        </w:rPr>
        <w:t xml:space="preserve"> moral </w:t>
      </w:r>
      <w:r w:rsidR="00A43693" w:rsidRPr="003C379E">
        <w:rPr>
          <w:sz w:val="20"/>
          <w:szCs w:val="20"/>
          <w:lang w:val="es-ES"/>
        </w:rPr>
        <w:t>ni</w:t>
      </w:r>
      <w:r w:rsidR="00FE2F8A" w:rsidRPr="003C379E">
        <w:rPr>
          <w:sz w:val="20"/>
          <w:szCs w:val="20"/>
          <w:lang w:val="es-ES"/>
        </w:rPr>
        <w:t xml:space="preserve"> material, </w:t>
      </w:r>
      <w:r w:rsidR="009115EB" w:rsidRPr="003C379E">
        <w:rPr>
          <w:sz w:val="20"/>
          <w:szCs w:val="20"/>
          <w:lang w:val="es-ES"/>
        </w:rPr>
        <w:t>y</w:t>
      </w:r>
      <w:r w:rsidR="00FE2F8A" w:rsidRPr="003C379E">
        <w:rPr>
          <w:sz w:val="20"/>
          <w:szCs w:val="20"/>
          <w:lang w:val="es-ES"/>
        </w:rPr>
        <w:t xml:space="preserve"> </w:t>
      </w:r>
      <w:r w:rsidR="00C605D9" w:rsidRPr="003C379E">
        <w:rPr>
          <w:sz w:val="20"/>
          <w:szCs w:val="20"/>
          <w:lang w:val="es-ES"/>
        </w:rPr>
        <w:t>señala</w:t>
      </w:r>
      <w:r w:rsidR="00FE2F8A" w:rsidRPr="003C379E">
        <w:rPr>
          <w:sz w:val="20"/>
          <w:szCs w:val="20"/>
          <w:lang w:val="es-ES"/>
        </w:rPr>
        <w:t xml:space="preserve"> que </w:t>
      </w:r>
      <w:r w:rsidR="00B6265D" w:rsidRPr="003C379E">
        <w:rPr>
          <w:sz w:val="20"/>
          <w:szCs w:val="20"/>
          <w:lang w:val="es-ES"/>
        </w:rPr>
        <w:t>la</w:t>
      </w:r>
      <w:r w:rsidR="00FE2F8A" w:rsidRPr="003C379E">
        <w:rPr>
          <w:sz w:val="20"/>
          <w:szCs w:val="20"/>
          <w:lang w:val="es-ES"/>
        </w:rPr>
        <w:t xml:space="preserve"> </w:t>
      </w:r>
      <w:r w:rsidR="00084571" w:rsidRPr="003C379E">
        <w:rPr>
          <w:sz w:val="20"/>
          <w:szCs w:val="20"/>
          <w:lang w:val="es-ES"/>
        </w:rPr>
        <w:t>Constit</w:t>
      </w:r>
      <w:r w:rsidR="00B05EA6" w:rsidRPr="003C379E">
        <w:rPr>
          <w:sz w:val="20"/>
          <w:szCs w:val="20"/>
          <w:lang w:val="es-ES"/>
        </w:rPr>
        <w:t>uci</w:t>
      </w:r>
      <w:r w:rsidR="009115EB" w:rsidRPr="003C379E">
        <w:rPr>
          <w:sz w:val="20"/>
          <w:szCs w:val="20"/>
          <w:lang w:val="es-ES"/>
        </w:rPr>
        <w:t>ón</w:t>
      </w:r>
      <w:r w:rsidR="00FE2F8A" w:rsidRPr="003C379E">
        <w:rPr>
          <w:sz w:val="20"/>
          <w:szCs w:val="20"/>
          <w:lang w:val="es-ES"/>
        </w:rPr>
        <w:t xml:space="preserve"> Federal </w:t>
      </w:r>
      <w:r w:rsidR="00C605D9" w:rsidRPr="003C379E">
        <w:rPr>
          <w:sz w:val="20"/>
          <w:szCs w:val="20"/>
          <w:lang w:val="es-ES"/>
        </w:rPr>
        <w:t>prevé</w:t>
      </w:r>
      <w:r w:rsidR="00FE2F8A" w:rsidRPr="003C379E">
        <w:rPr>
          <w:sz w:val="20"/>
          <w:szCs w:val="20"/>
          <w:lang w:val="es-ES"/>
        </w:rPr>
        <w:t xml:space="preserve"> </w:t>
      </w:r>
      <w:r w:rsidR="00B6265D" w:rsidRPr="003C379E">
        <w:rPr>
          <w:sz w:val="20"/>
          <w:szCs w:val="20"/>
          <w:lang w:val="es-ES"/>
        </w:rPr>
        <w:t>la</w:t>
      </w:r>
      <w:r w:rsidR="00FE2F8A" w:rsidRPr="003C379E">
        <w:rPr>
          <w:sz w:val="20"/>
          <w:szCs w:val="20"/>
          <w:lang w:val="es-ES"/>
        </w:rPr>
        <w:t xml:space="preserve"> </w:t>
      </w:r>
      <w:r w:rsidR="009115EB" w:rsidRPr="003C379E">
        <w:rPr>
          <w:sz w:val="20"/>
          <w:szCs w:val="20"/>
          <w:lang w:val="es-ES"/>
        </w:rPr>
        <w:t>indemniz</w:t>
      </w:r>
      <w:r w:rsidR="00084571" w:rsidRPr="003C379E">
        <w:rPr>
          <w:sz w:val="20"/>
          <w:szCs w:val="20"/>
          <w:lang w:val="es-ES"/>
        </w:rPr>
        <w:t>a</w:t>
      </w:r>
      <w:r w:rsidR="009115EB" w:rsidRPr="003C379E">
        <w:rPr>
          <w:sz w:val="20"/>
          <w:szCs w:val="20"/>
          <w:lang w:val="es-ES"/>
        </w:rPr>
        <w:t>ción</w:t>
      </w:r>
      <w:r w:rsidR="00FE2F8A" w:rsidRPr="003C379E">
        <w:rPr>
          <w:sz w:val="20"/>
          <w:szCs w:val="20"/>
          <w:lang w:val="es-ES"/>
        </w:rPr>
        <w:t xml:space="preserve"> </w:t>
      </w:r>
      <w:r w:rsidR="009115EB" w:rsidRPr="003C379E">
        <w:rPr>
          <w:sz w:val="20"/>
          <w:szCs w:val="20"/>
          <w:lang w:val="es-ES"/>
        </w:rPr>
        <w:t>al</w:t>
      </w:r>
      <w:r w:rsidR="00FE2F8A" w:rsidRPr="003C379E">
        <w:rPr>
          <w:sz w:val="20"/>
          <w:szCs w:val="20"/>
          <w:lang w:val="es-ES"/>
        </w:rPr>
        <w:t xml:space="preserve"> condenado por </w:t>
      </w:r>
      <w:r w:rsidR="009115EB" w:rsidRPr="003C379E">
        <w:rPr>
          <w:sz w:val="20"/>
          <w:szCs w:val="20"/>
          <w:lang w:val="es-ES"/>
        </w:rPr>
        <w:t>un</w:t>
      </w:r>
      <w:r w:rsidR="00FE2F8A" w:rsidRPr="003C379E">
        <w:rPr>
          <w:sz w:val="20"/>
          <w:szCs w:val="20"/>
          <w:lang w:val="es-ES"/>
        </w:rPr>
        <w:t xml:space="preserve"> </w:t>
      </w:r>
      <w:r w:rsidR="00B04C63" w:rsidRPr="003C379E">
        <w:rPr>
          <w:sz w:val="20"/>
          <w:szCs w:val="20"/>
          <w:lang w:val="es-ES"/>
        </w:rPr>
        <w:t>error</w:t>
      </w:r>
      <w:r w:rsidR="00C605D9" w:rsidRPr="003C379E">
        <w:rPr>
          <w:sz w:val="20"/>
          <w:szCs w:val="20"/>
          <w:lang w:val="es-ES"/>
        </w:rPr>
        <w:t xml:space="preserve"> judicial. Ante </w:t>
      </w:r>
      <w:r w:rsidR="009115EB" w:rsidRPr="003C379E">
        <w:rPr>
          <w:sz w:val="20"/>
          <w:szCs w:val="20"/>
          <w:lang w:val="es-ES"/>
        </w:rPr>
        <w:t>l</w:t>
      </w:r>
      <w:r w:rsidR="00C605D9" w:rsidRPr="003C379E">
        <w:rPr>
          <w:sz w:val="20"/>
          <w:szCs w:val="20"/>
          <w:lang w:val="es-ES"/>
        </w:rPr>
        <w:t>o</w:t>
      </w:r>
      <w:r w:rsidR="00FE2F8A" w:rsidRPr="003C379E">
        <w:rPr>
          <w:sz w:val="20"/>
          <w:szCs w:val="20"/>
          <w:lang w:val="es-ES"/>
        </w:rPr>
        <w:t xml:space="preserve"> exp</w:t>
      </w:r>
      <w:r w:rsidR="00C605D9" w:rsidRPr="003C379E">
        <w:rPr>
          <w:sz w:val="20"/>
          <w:szCs w:val="20"/>
          <w:lang w:val="es-ES"/>
        </w:rPr>
        <w:t>ue</w:t>
      </w:r>
      <w:r w:rsidR="00FE2F8A" w:rsidRPr="003C379E">
        <w:rPr>
          <w:sz w:val="20"/>
          <w:szCs w:val="20"/>
          <w:lang w:val="es-ES"/>
        </w:rPr>
        <w:t xml:space="preserve">sto, </w:t>
      </w:r>
      <w:r w:rsidR="00B6265D" w:rsidRPr="003C379E">
        <w:rPr>
          <w:sz w:val="20"/>
          <w:szCs w:val="20"/>
          <w:lang w:val="es-ES"/>
        </w:rPr>
        <w:t>la</w:t>
      </w:r>
      <w:r w:rsidR="00FE2F8A" w:rsidRPr="003C379E">
        <w:rPr>
          <w:sz w:val="20"/>
          <w:szCs w:val="20"/>
          <w:lang w:val="es-ES"/>
        </w:rPr>
        <w:t xml:space="preserve"> </w:t>
      </w:r>
      <w:r w:rsidR="00084571" w:rsidRPr="003C379E">
        <w:rPr>
          <w:sz w:val="20"/>
          <w:szCs w:val="20"/>
          <w:lang w:val="es-ES"/>
        </w:rPr>
        <w:t>Comi</w:t>
      </w:r>
      <w:r w:rsidR="009115EB" w:rsidRPr="003C379E">
        <w:rPr>
          <w:sz w:val="20"/>
          <w:szCs w:val="20"/>
          <w:lang w:val="es-ES"/>
        </w:rPr>
        <w:t>sión</w:t>
      </w:r>
      <w:r w:rsidR="00FE2F8A" w:rsidRPr="003C379E">
        <w:rPr>
          <w:sz w:val="20"/>
          <w:szCs w:val="20"/>
          <w:lang w:val="es-ES"/>
        </w:rPr>
        <w:t xml:space="preserve"> nota que</w:t>
      </w:r>
      <w:r w:rsidR="009115EB" w:rsidRPr="003C379E">
        <w:rPr>
          <w:sz w:val="20"/>
          <w:szCs w:val="20"/>
          <w:lang w:val="es-ES"/>
        </w:rPr>
        <w:t xml:space="preserve"> </w:t>
      </w:r>
      <w:r w:rsidR="00B04C63" w:rsidRPr="003C379E">
        <w:rPr>
          <w:sz w:val="20"/>
          <w:szCs w:val="20"/>
          <w:lang w:val="es-ES"/>
        </w:rPr>
        <w:t>la</w:t>
      </w:r>
      <w:r w:rsidR="00C95A33" w:rsidRPr="003C379E">
        <w:rPr>
          <w:sz w:val="20"/>
          <w:szCs w:val="20"/>
          <w:lang w:val="es-ES"/>
        </w:rPr>
        <w:t xml:space="preserve"> parte peticionaria</w:t>
      </w:r>
      <w:r w:rsidR="00FE2F8A" w:rsidRPr="003C379E">
        <w:rPr>
          <w:sz w:val="20"/>
          <w:szCs w:val="20"/>
          <w:lang w:val="es-ES"/>
        </w:rPr>
        <w:t xml:space="preserve"> </w:t>
      </w:r>
      <w:r w:rsidR="009115EB" w:rsidRPr="003C379E">
        <w:rPr>
          <w:sz w:val="20"/>
          <w:szCs w:val="20"/>
          <w:lang w:val="es-ES"/>
        </w:rPr>
        <w:t>no</w:t>
      </w:r>
      <w:r w:rsidR="00FE2F8A" w:rsidRPr="003C379E">
        <w:rPr>
          <w:sz w:val="20"/>
          <w:szCs w:val="20"/>
          <w:lang w:val="es-ES"/>
        </w:rPr>
        <w:t xml:space="preserve"> </w:t>
      </w:r>
      <w:r w:rsidR="009115EB" w:rsidRPr="003C379E">
        <w:rPr>
          <w:sz w:val="20"/>
          <w:szCs w:val="20"/>
          <w:lang w:val="es-ES"/>
        </w:rPr>
        <w:t>present</w:t>
      </w:r>
      <w:r w:rsidR="00FE2F8A" w:rsidRPr="003C379E">
        <w:rPr>
          <w:sz w:val="20"/>
          <w:szCs w:val="20"/>
          <w:lang w:val="es-ES"/>
        </w:rPr>
        <w:t xml:space="preserve">a </w:t>
      </w:r>
      <w:r w:rsidR="00084571" w:rsidRPr="003C379E">
        <w:rPr>
          <w:sz w:val="20"/>
          <w:szCs w:val="20"/>
          <w:lang w:val="es-ES"/>
        </w:rPr>
        <w:t>informa</w:t>
      </w:r>
      <w:r w:rsidR="009115EB" w:rsidRPr="003C379E">
        <w:rPr>
          <w:sz w:val="20"/>
          <w:szCs w:val="20"/>
          <w:lang w:val="es-ES"/>
        </w:rPr>
        <w:t>ci</w:t>
      </w:r>
      <w:r w:rsidR="0042163E" w:rsidRPr="003C379E">
        <w:rPr>
          <w:sz w:val="20"/>
          <w:szCs w:val="20"/>
          <w:lang w:val="es-ES"/>
        </w:rPr>
        <w:t>ón</w:t>
      </w:r>
      <w:r w:rsidR="00FE2F8A" w:rsidRPr="003C379E">
        <w:rPr>
          <w:sz w:val="20"/>
          <w:szCs w:val="20"/>
          <w:lang w:val="es-ES"/>
        </w:rPr>
        <w:t xml:space="preserve"> sobre </w:t>
      </w:r>
      <w:r w:rsidR="009115EB" w:rsidRPr="003C379E">
        <w:rPr>
          <w:sz w:val="20"/>
          <w:szCs w:val="20"/>
          <w:lang w:val="es-ES"/>
        </w:rPr>
        <w:t>el</w:t>
      </w:r>
      <w:r w:rsidR="00FE2F8A" w:rsidRPr="003C379E">
        <w:rPr>
          <w:sz w:val="20"/>
          <w:szCs w:val="20"/>
          <w:lang w:val="es-ES"/>
        </w:rPr>
        <w:t xml:space="preserve"> </w:t>
      </w:r>
      <w:r w:rsidR="009115EB" w:rsidRPr="003C379E">
        <w:rPr>
          <w:sz w:val="20"/>
          <w:szCs w:val="20"/>
          <w:lang w:val="es-ES"/>
        </w:rPr>
        <w:t>agotamie</w:t>
      </w:r>
      <w:r w:rsidR="00FE2F8A" w:rsidRPr="003C379E">
        <w:rPr>
          <w:sz w:val="20"/>
          <w:szCs w:val="20"/>
          <w:lang w:val="es-ES"/>
        </w:rPr>
        <w:t xml:space="preserve">nto </w:t>
      </w:r>
      <w:r w:rsidR="009115EB" w:rsidRPr="003C379E">
        <w:rPr>
          <w:sz w:val="20"/>
          <w:szCs w:val="20"/>
          <w:lang w:val="es-ES"/>
        </w:rPr>
        <w:t>de los</w:t>
      </w:r>
      <w:r w:rsidR="00FE2F8A" w:rsidRPr="003C379E">
        <w:rPr>
          <w:sz w:val="20"/>
          <w:szCs w:val="20"/>
          <w:lang w:val="es-ES"/>
        </w:rPr>
        <w:t xml:space="preserve"> recursos internos </w:t>
      </w:r>
      <w:r w:rsidR="009115EB" w:rsidRPr="003C379E">
        <w:rPr>
          <w:sz w:val="20"/>
          <w:szCs w:val="20"/>
          <w:lang w:val="es-ES"/>
        </w:rPr>
        <w:t>con</w:t>
      </w:r>
      <w:r w:rsidR="00FE2F8A" w:rsidRPr="003C379E">
        <w:rPr>
          <w:sz w:val="20"/>
          <w:szCs w:val="20"/>
          <w:lang w:val="es-ES"/>
        </w:rPr>
        <w:t xml:space="preserve"> </w:t>
      </w:r>
      <w:r w:rsidR="00084571" w:rsidRPr="003C379E">
        <w:rPr>
          <w:sz w:val="20"/>
          <w:szCs w:val="20"/>
          <w:lang w:val="es-ES"/>
        </w:rPr>
        <w:t>rela</w:t>
      </w:r>
      <w:r w:rsidR="009115EB" w:rsidRPr="003C379E">
        <w:rPr>
          <w:sz w:val="20"/>
          <w:szCs w:val="20"/>
          <w:lang w:val="es-ES"/>
        </w:rPr>
        <w:t>ción</w:t>
      </w:r>
      <w:r w:rsidR="00FE2F8A" w:rsidRPr="003C379E">
        <w:rPr>
          <w:sz w:val="20"/>
          <w:szCs w:val="20"/>
          <w:lang w:val="es-ES"/>
        </w:rPr>
        <w:t xml:space="preserve"> a est</w:t>
      </w:r>
      <w:r w:rsidR="00A11AAB" w:rsidRPr="003C379E">
        <w:rPr>
          <w:sz w:val="20"/>
          <w:szCs w:val="20"/>
          <w:lang w:val="es-ES"/>
        </w:rPr>
        <w:t>a</w:t>
      </w:r>
      <w:r w:rsidR="00FE2F8A" w:rsidRPr="003C379E">
        <w:rPr>
          <w:sz w:val="20"/>
          <w:szCs w:val="20"/>
          <w:lang w:val="es-ES"/>
        </w:rPr>
        <w:t xml:space="preserve"> </w:t>
      </w:r>
      <w:r w:rsidR="00A11AAB" w:rsidRPr="003C379E">
        <w:rPr>
          <w:sz w:val="20"/>
          <w:szCs w:val="20"/>
          <w:lang w:val="es-ES"/>
        </w:rPr>
        <w:t>situación</w:t>
      </w:r>
      <w:r w:rsidR="00FE2F8A" w:rsidRPr="003C379E">
        <w:rPr>
          <w:sz w:val="20"/>
          <w:szCs w:val="20"/>
          <w:lang w:val="es-ES"/>
        </w:rPr>
        <w:t xml:space="preserve">, </w:t>
      </w:r>
      <w:r w:rsidR="009115EB" w:rsidRPr="003C379E">
        <w:rPr>
          <w:sz w:val="20"/>
          <w:szCs w:val="20"/>
          <w:lang w:val="es-ES"/>
        </w:rPr>
        <w:t>y</w:t>
      </w:r>
      <w:r w:rsidR="00B04C63" w:rsidRPr="003C379E">
        <w:rPr>
          <w:sz w:val="20"/>
          <w:szCs w:val="20"/>
          <w:lang w:val="es-ES"/>
        </w:rPr>
        <w:t xml:space="preserve"> concluye</w:t>
      </w:r>
      <w:r w:rsidR="00FE2F8A" w:rsidRPr="003C379E">
        <w:rPr>
          <w:sz w:val="20"/>
          <w:szCs w:val="20"/>
          <w:lang w:val="es-ES"/>
        </w:rPr>
        <w:t xml:space="preserve"> que </w:t>
      </w:r>
      <w:r w:rsidR="009115EB" w:rsidRPr="003C379E">
        <w:rPr>
          <w:sz w:val="20"/>
          <w:szCs w:val="20"/>
          <w:lang w:val="es-ES"/>
        </w:rPr>
        <w:t>no</w:t>
      </w:r>
      <w:r w:rsidR="00FE2F8A" w:rsidRPr="003C379E">
        <w:rPr>
          <w:sz w:val="20"/>
          <w:szCs w:val="20"/>
          <w:lang w:val="es-ES"/>
        </w:rPr>
        <w:t xml:space="preserve"> </w:t>
      </w:r>
      <w:r w:rsidR="00B04C63" w:rsidRPr="003C379E">
        <w:rPr>
          <w:sz w:val="20"/>
          <w:szCs w:val="20"/>
          <w:lang w:val="es-ES"/>
        </w:rPr>
        <w:t>puede</w:t>
      </w:r>
      <w:r w:rsidR="00FE2F8A" w:rsidRPr="003C379E">
        <w:rPr>
          <w:sz w:val="20"/>
          <w:szCs w:val="20"/>
          <w:lang w:val="es-ES"/>
        </w:rPr>
        <w:t xml:space="preserve"> dar por recon</w:t>
      </w:r>
      <w:r w:rsidR="00BF6A21" w:rsidRPr="003C379E">
        <w:rPr>
          <w:sz w:val="20"/>
          <w:szCs w:val="20"/>
          <w:lang w:val="es-ES"/>
        </w:rPr>
        <w:t>o</w:t>
      </w:r>
      <w:r w:rsidR="00FE2F8A" w:rsidRPr="003C379E">
        <w:rPr>
          <w:sz w:val="20"/>
          <w:szCs w:val="20"/>
          <w:lang w:val="es-ES"/>
        </w:rPr>
        <w:t xml:space="preserve">cido </w:t>
      </w:r>
      <w:r w:rsidR="009115EB" w:rsidRPr="003C379E">
        <w:rPr>
          <w:sz w:val="20"/>
          <w:szCs w:val="20"/>
          <w:lang w:val="es-ES"/>
        </w:rPr>
        <w:t>el</w:t>
      </w:r>
      <w:r w:rsidR="00FE2F8A" w:rsidRPr="003C379E">
        <w:rPr>
          <w:sz w:val="20"/>
          <w:szCs w:val="20"/>
          <w:lang w:val="es-ES"/>
        </w:rPr>
        <w:t xml:space="preserve"> requisito previsto </w:t>
      </w:r>
      <w:r w:rsidR="009115EB" w:rsidRPr="003C379E">
        <w:rPr>
          <w:sz w:val="20"/>
          <w:szCs w:val="20"/>
          <w:lang w:val="es-ES"/>
        </w:rPr>
        <w:t>en el</w:t>
      </w:r>
      <w:r w:rsidR="00FE2F8A" w:rsidRPr="003C379E">
        <w:rPr>
          <w:sz w:val="20"/>
          <w:szCs w:val="20"/>
          <w:lang w:val="es-ES"/>
        </w:rPr>
        <w:t xml:space="preserve"> </w:t>
      </w:r>
      <w:r w:rsidR="009115EB" w:rsidRPr="003C379E">
        <w:rPr>
          <w:sz w:val="20"/>
          <w:szCs w:val="20"/>
          <w:lang w:val="es-ES"/>
        </w:rPr>
        <w:t>artículo</w:t>
      </w:r>
      <w:r w:rsidR="00FE2F8A" w:rsidRPr="003C379E">
        <w:rPr>
          <w:sz w:val="20"/>
          <w:szCs w:val="20"/>
          <w:lang w:val="es-ES"/>
        </w:rPr>
        <w:t xml:space="preserve"> 46.1.a </w:t>
      </w:r>
      <w:r w:rsidR="009115EB" w:rsidRPr="003C379E">
        <w:rPr>
          <w:sz w:val="20"/>
          <w:szCs w:val="20"/>
          <w:lang w:val="es-ES"/>
        </w:rPr>
        <w:t>de la</w:t>
      </w:r>
      <w:r w:rsidR="00FE2F8A" w:rsidRPr="003C379E">
        <w:rPr>
          <w:sz w:val="20"/>
          <w:szCs w:val="20"/>
          <w:lang w:val="es-ES"/>
        </w:rPr>
        <w:t xml:space="preserve"> CADH relativo a </w:t>
      </w:r>
      <w:r w:rsidR="009115EB" w:rsidRPr="003C379E">
        <w:rPr>
          <w:sz w:val="20"/>
          <w:szCs w:val="20"/>
          <w:lang w:val="es-ES"/>
        </w:rPr>
        <w:t>una</w:t>
      </w:r>
      <w:r w:rsidR="00FE2F8A" w:rsidRPr="003C379E">
        <w:rPr>
          <w:sz w:val="20"/>
          <w:szCs w:val="20"/>
          <w:lang w:val="es-ES"/>
        </w:rPr>
        <w:t xml:space="preserve"> </w:t>
      </w:r>
      <w:r w:rsidR="00B05EA6" w:rsidRPr="003C379E">
        <w:rPr>
          <w:sz w:val="20"/>
          <w:szCs w:val="20"/>
          <w:lang w:val="es-ES"/>
        </w:rPr>
        <w:t>presunta v</w:t>
      </w:r>
      <w:r w:rsidR="00084571" w:rsidRPr="003C379E">
        <w:rPr>
          <w:sz w:val="20"/>
          <w:szCs w:val="20"/>
          <w:lang w:val="es-ES"/>
        </w:rPr>
        <w:t>iola</w:t>
      </w:r>
      <w:r w:rsidR="009115EB" w:rsidRPr="003C379E">
        <w:rPr>
          <w:sz w:val="20"/>
          <w:szCs w:val="20"/>
          <w:lang w:val="es-ES"/>
        </w:rPr>
        <w:t>ción</w:t>
      </w:r>
      <w:r w:rsidR="00FE2F8A" w:rsidRPr="003C379E">
        <w:rPr>
          <w:sz w:val="20"/>
          <w:szCs w:val="20"/>
          <w:lang w:val="es-ES"/>
        </w:rPr>
        <w:t xml:space="preserve"> </w:t>
      </w:r>
      <w:r w:rsidR="009115EB" w:rsidRPr="003C379E">
        <w:rPr>
          <w:sz w:val="20"/>
          <w:szCs w:val="20"/>
          <w:lang w:val="es-ES"/>
        </w:rPr>
        <w:t>del</w:t>
      </w:r>
      <w:r w:rsidR="00FE2F8A" w:rsidRPr="003C379E">
        <w:rPr>
          <w:sz w:val="20"/>
          <w:szCs w:val="20"/>
          <w:lang w:val="es-ES"/>
        </w:rPr>
        <w:t xml:space="preserve"> </w:t>
      </w:r>
      <w:r w:rsidR="009115EB" w:rsidRPr="003C379E">
        <w:rPr>
          <w:sz w:val="20"/>
          <w:szCs w:val="20"/>
          <w:lang w:val="es-ES"/>
        </w:rPr>
        <w:t>derech</w:t>
      </w:r>
      <w:r w:rsidR="00FE2F8A" w:rsidRPr="003C379E">
        <w:rPr>
          <w:sz w:val="20"/>
          <w:szCs w:val="20"/>
          <w:lang w:val="es-ES"/>
        </w:rPr>
        <w:t xml:space="preserve">o </w:t>
      </w:r>
      <w:r w:rsidR="009115EB" w:rsidRPr="003C379E">
        <w:rPr>
          <w:sz w:val="20"/>
          <w:szCs w:val="20"/>
          <w:lang w:val="es-ES"/>
        </w:rPr>
        <w:t>del</w:t>
      </w:r>
      <w:r w:rsidR="00560E0D" w:rsidRPr="003C379E">
        <w:rPr>
          <w:sz w:val="20"/>
          <w:szCs w:val="20"/>
          <w:lang w:val="es-ES"/>
        </w:rPr>
        <w:t xml:space="preserve"> Sr. Starling </w:t>
      </w:r>
      <w:r w:rsidR="009115EB" w:rsidRPr="003C379E">
        <w:rPr>
          <w:sz w:val="20"/>
          <w:szCs w:val="20"/>
          <w:lang w:val="es-ES"/>
        </w:rPr>
        <w:t>a la</w:t>
      </w:r>
      <w:r w:rsidR="00560E0D" w:rsidRPr="003C379E">
        <w:rPr>
          <w:sz w:val="20"/>
          <w:szCs w:val="20"/>
          <w:lang w:val="es-ES"/>
        </w:rPr>
        <w:t xml:space="preserve"> </w:t>
      </w:r>
      <w:r w:rsidR="009115EB" w:rsidRPr="003C379E">
        <w:rPr>
          <w:sz w:val="20"/>
          <w:szCs w:val="20"/>
          <w:lang w:val="es-ES"/>
        </w:rPr>
        <w:t>indemniz</w:t>
      </w:r>
      <w:r w:rsidR="00084571" w:rsidRPr="003C379E">
        <w:rPr>
          <w:sz w:val="20"/>
          <w:szCs w:val="20"/>
          <w:lang w:val="es-ES"/>
        </w:rPr>
        <w:t>a</w:t>
      </w:r>
      <w:r w:rsidR="009115EB" w:rsidRPr="003C379E">
        <w:rPr>
          <w:sz w:val="20"/>
          <w:szCs w:val="20"/>
          <w:lang w:val="es-ES"/>
        </w:rPr>
        <w:t>ción</w:t>
      </w:r>
      <w:r w:rsidR="00FE2F8A" w:rsidRPr="003C379E">
        <w:rPr>
          <w:sz w:val="20"/>
          <w:szCs w:val="20"/>
          <w:lang w:val="es-ES"/>
        </w:rPr>
        <w:t xml:space="preserve"> por </w:t>
      </w:r>
      <w:r w:rsidR="00B04C63" w:rsidRPr="003C379E">
        <w:rPr>
          <w:sz w:val="20"/>
          <w:szCs w:val="20"/>
          <w:lang w:val="es-ES"/>
        </w:rPr>
        <w:t>error</w:t>
      </w:r>
      <w:r w:rsidR="00FE2F8A" w:rsidRPr="003C379E">
        <w:rPr>
          <w:sz w:val="20"/>
          <w:szCs w:val="20"/>
          <w:lang w:val="es-ES"/>
        </w:rPr>
        <w:t xml:space="preserve"> judicial. </w:t>
      </w:r>
    </w:p>
    <w:p w14:paraId="4FFBE378" w14:textId="1975F972" w:rsidR="003239B8" w:rsidRPr="003C379E" w:rsidRDefault="003239B8" w:rsidP="003239B8">
      <w:pPr>
        <w:pStyle w:val="ListParagraph"/>
        <w:spacing w:before="240" w:after="240"/>
        <w:jc w:val="both"/>
        <w:rPr>
          <w:b/>
          <w:sz w:val="20"/>
          <w:szCs w:val="20"/>
          <w:lang w:val="es-ES"/>
        </w:rPr>
      </w:pPr>
      <w:r w:rsidRPr="003C379E">
        <w:rPr>
          <w:b/>
          <w:bCs/>
          <w:sz w:val="20"/>
          <w:szCs w:val="20"/>
          <w:lang w:val="es-ES"/>
        </w:rPr>
        <w:lastRenderedPageBreak/>
        <w:t>VII.</w:t>
      </w:r>
      <w:r w:rsidRPr="003C379E">
        <w:rPr>
          <w:b/>
          <w:bCs/>
          <w:sz w:val="20"/>
          <w:szCs w:val="20"/>
          <w:lang w:val="es-ES"/>
        </w:rPr>
        <w:tab/>
      </w:r>
      <w:r w:rsidR="00B05EA6" w:rsidRPr="003C379E">
        <w:rPr>
          <w:b/>
          <w:bCs/>
          <w:sz w:val="20"/>
          <w:szCs w:val="20"/>
          <w:lang w:val="es-ES"/>
        </w:rPr>
        <w:t>ANÁLISIS</w:t>
      </w:r>
      <w:r w:rsidR="004A6A54" w:rsidRPr="003C379E">
        <w:rPr>
          <w:b/>
          <w:bCs/>
          <w:sz w:val="20"/>
          <w:szCs w:val="20"/>
          <w:lang w:val="es-ES"/>
        </w:rPr>
        <w:t xml:space="preserve"> DE </w:t>
      </w:r>
      <w:r w:rsidR="00C21FEF" w:rsidRPr="003C379E">
        <w:rPr>
          <w:b/>
          <w:bCs/>
          <w:sz w:val="20"/>
          <w:szCs w:val="20"/>
          <w:lang w:val="es-ES"/>
        </w:rPr>
        <w:t>CARACTERIZA</w:t>
      </w:r>
      <w:r w:rsidR="009115EB" w:rsidRPr="003C379E">
        <w:rPr>
          <w:b/>
          <w:bCs/>
          <w:sz w:val="20"/>
          <w:szCs w:val="20"/>
          <w:lang w:val="es-ES"/>
        </w:rPr>
        <w:t>CIÓN</w:t>
      </w:r>
      <w:r w:rsidR="00C21FEF" w:rsidRPr="003C379E">
        <w:rPr>
          <w:b/>
          <w:bCs/>
          <w:sz w:val="20"/>
          <w:szCs w:val="20"/>
          <w:lang w:val="es-ES"/>
        </w:rPr>
        <w:t xml:space="preserve"> </w:t>
      </w:r>
      <w:r w:rsidR="009115EB" w:rsidRPr="003C379E">
        <w:rPr>
          <w:b/>
          <w:bCs/>
          <w:sz w:val="20"/>
          <w:szCs w:val="20"/>
          <w:lang w:val="es-ES"/>
        </w:rPr>
        <w:t>DE LOS</w:t>
      </w:r>
      <w:r w:rsidR="00C21FEF" w:rsidRPr="003C379E">
        <w:rPr>
          <w:b/>
          <w:bCs/>
          <w:sz w:val="20"/>
          <w:szCs w:val="20"/>
          <w:lang w:val="es-ES"/>
        </w:rPr>
        <w:t xml:space="preserve"> </w:t>
      </w:r>
      <w:r w:rsidR="00B05EA6" w:rsidRPr="003C379E">
        <w:rPr>
          <w:b/>
          <w:bCs/>
          <w:sz w:val="20"/>
          <w:szCs w:val="20"/>
          <w:lang w:val="es-ES"/>
        </w:rPr>
        <w:t>HECHOS</w:t>
      </w:r>
      <w:r w:rsidR="00C21FEF" w:rsidRPr="003C379E">
        <w:rPr>
          <w:b/>
          <w:bCs/>
          <w:sz w:val="20"/>
          <w:szCs w:val="20"/>
          <w:lang w:val="es-ES"/>
        </w:rPr>
        <w:t xml:space="preserve"> ALEGADOS</w:t>
      </w:r>
    </w:p>
    <w:p w14:paraId="23A35387" w14:textId="0CB97769" w:rsidR="00334EAF" w:rsidRPr="003C379E" w:rsidRDefault="00B6265D" w:rsidP="00334EAF">
      <w:pPr>
        <w:numPr>
          <w:ilvl w:val="0"/>
          <w:numId w:val="103"/>
        </w:numPr>
        <w:suppressAutoHyphens/>
        <w:spacing w:after="120"/>
        <w:jc w:val="both"/>
        <w:rPr>
          <w:rStyle w:val="Emphasis"/>
          <w:rFonts w:ascii="Cambria" w:hAnsi="Cambria"/>
          <w:i w:val="0"/>
          <w:iCs w:val="0"/>
          <w:sz w:val="20"/>
          <w:szCs w:val="20"/>
          <w:lang w:val="es-ES"/>
        </w:rPr>
      </w:pPr>
      <w:r w:rsidRPr="003C379E">
        <w:rPr>
          <w:rFonts w:ascii="Cambria" w:hAnsi="Cambria"/>
          <w:sz w:val="20"/>
          <w:szCs w:val="20"/>
          <w:lang w:val="es-ES"/>
        </w:rPr>
        <w:t>La</w:t>
      </w:r>
      <w:r w:rsidR="0031465A" w:rsidRPr="003C379E">
        <w:rPr>
          <w:rFonts w:ascii="Cambria" w:hAnsi="Cambria"/>
          <w:sz w:val="20"/>
          <w:szCs w:val="20"/>
          <w:lang w:val="es-ES"/>
        </w:rPr>
        <w:t xml:space="preserve"> Comi</w:t>
      </w:r>
      <w:r w:rsidR="009115EB" w:rsidRPr="003C379E">
        <w:rPr>
          <w:rFonts w:ascii="Cambria" w:hAnsi="Cambria"/>
          <w:sz w:val="20"/>
          <w:szCs w:val="20"/>
          <w:lang w:val="es-ES"/>
        </w:rPr>
        <w:t>sión</w:t>
      </w:r>
      <w:r w:rsidR="0031465A" w:rsidRPr="003C379E">
        <w:rPr>
          <w:rFonts w:ascii="Cambria" w:hAnsi="Cambria"/>
          <w:sz w:val="20"/>
          <w:szCs w:val="20"/>
          <w:lang w:val="es-ES"/>
        </w:rPr>
        <w:t xml:space="preserve"> considera que </w:t>
      </w:r>
      <w:r w:rsidRPr="003C379E">
        <w:rPr>
          <w:rFonts w:ascii="Cambria" w:hAnsi="Cambria"/>
          <w:sz w:val="20"/>
          <w:szCs w:val="20"/>
          <w:lang w:val="es-ES"/>
        </w:rPr>
        <w:t>la</w:t>
      </w:r>
      <w:r w:rsidR="0031465A" w:rsidRPr="003C379E">
        <w:rPr>
          <w:rFonts w:ascii="Cambria" w:hAnsi="Cambria"/>
          <w:sz w:val="20"/>
          <w:szCs w:val="20"/>
          <w:lang w:val="es-ES"/>
        </w:rPr>
        <w:t xml:space="preserve"> presente peti</w:t>
      </w:r>
      <w:r w:rsidR="009115EB" w:rsidRPr="003C379E">
        <w:rPr>
          <w:rFonts w:ascii="Cambria" w:hAnsi="Cambria"/>
          <w:sz w:val="20"/>
          <w:szCs w:val="20"/>
          <w:lang w:val="es-ES"/>
        </w:rPr>
        <w:t>ción</w:t>
      </w:r>
      <w:r w:rsidR="00C605D9" w:rsidRPr="003C379E">
        <w:rPr>
          <w:rFonts w:ascii="Cambria" w:hAnsi="Cambria"/>
          <w:sz w:val="20"/>
          <w:szCs w:val="20"/>
          <w:lang w:val="es-ES"/>
        </w:rPr>
        <w:t xml:space="preserve"> incluye</w:t>
      </w:r>
      <w:r w:rsidR="0031465A" w:rsidRPr="003C379E">
        <w:rPr>
          <w:rFonts w:ascii="Cambria" w:hAnsi="Cambria"/>
          <w:sz w:val="20"/>
          <w:szCs w:val="20"/>
          <w:lang w:val="es-ES"/>
        </w:rPr>
        <w:t xml:space="preserve"> alega</w:t>
      </w:r>
      <w:r w:rsidR="009115EB" w:rsidRPr="003C379E">
        <w:rPr>
          <w:rStyle w:val="Emphasis"/>
          <w:rFonts w:ascii="Cambria" w:hAnsi="Cambria" w:cs="Arial"/>
          <w:bCs/>
          <w:i w:val="0"/>
          <w:sz w:val="20"/>
          <w:szCs w:val="20"/>
          <w:shd w:val="clear" w:color="auto" w:fill="FFFFFF"/>
          <w:lang w:val="es-ES"/>
        </w:rPr>
        <w:t>ciones</w:t>
      </w:r>
      <w:r w:rsidR="0031465A" w:rsidRPr="003C379E">
        <w:rPr>
          <w:rStyle w:val="Emphasis"/>
          <w:rFonts w:ascii="Cambria" w:hAnsi="Cambria" w:cs="Arial"/>
          <w:bCs/>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 la</w:t>
      </w:r>
      <w:r w:rsidR="000D6826" w:rsidRPr="003C379E">
        <w:rPr>
          <w:rStyle w:val="Emphasis"/>
          <w:rFonts w:ascii="Cambria" w:hAnsi="Cambria" w:cs="Arial"/>
          <w:bCs/>
          <w:i w:val="0"/>
          <w:sz w:val="20"/>
          <w:szCs w:val="20"/>
          <w:shd w:val="clear" w:color="auto" w:fill="FFFFFF"/>
          <w:lang w:val="es-ES"/>
        </w:rPr>
        <w:t xml:space="preserve"> viola</w:t>
      </w:r>
      <w:r w:rsidR="009115EB" w:rsidRPr="003C379E">
        <w:rPr>
          <w:rStyle w:val="Emphasis"/>
          <w:rFonts w:ascii="Cambria" w:hAnsi="Cambria" w:cs="Arial"/>
          <w:bCs/>
          <w:i w:val="0"/>
          <w:sz w:val="20"/>
          <w:szCs w:val="20"/>
          <w:shd w:val="clear" w:color="auto" w:fill="FFFFFF"/>
          <w:lang w:val="es-ES"/>
        </w:rPr>
        <w:t>ción</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a la</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 xml:space="preserve">libertad </w:t>
      </w:r>
      <w:r w:rsidR="000D6826" w:rsidRPr="003C379E">
        <w:rPr>
          <w:rStyle w:val="Emphasis"/>
          <w:rFonts w:ascii="Cambria" w:hAnsi="Cambria" w:cs="Arial"/>
          <w:bCs/>
          <w:i w:val="0"/>
          <w:sz w:val="20"/>
          <w:szCs w:val="20"/>
          <w:shd w:val="clear" w:color="auto" w:fill="FFFFFF"/>
          <w:lang w:val="es-ES"/>
        </w:rPr>
        <w:t>de expre</w:t>
      </w:r>
      <w:r w:rsidR="009115EB" w:rsidRPr="003C379E">
        <w:rPr>
          <w:rStyle w:val="Emphasis"/>
          <w:rFonts w:ascii="Cambria" w:hAnsi="Cambria" w:cs="Arial"/>
          <w:bCs/>
          <w:i w:val="0"/>
          <w:sz w:val="20"/>
          <w:szCs w:val="20"/>
          <w:shd w:val="clear" w:color="auto" w:fill="FFFFFF"/>
          <w:lang w:val="es-ES"/>
        </w:rPr>
        <w:t>sión</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 la</w:t>
      </w:r>
      <w:r w:rsidR="000D6826" w:rsidRPr="003C379E">
        <w:rPr>
          <w:rStyle w:val="Emphasis"/>
          <w:rFonts w:ascii="Cambria" w:hAnsi="Cambria" w:cs="Arial"/>
          <w:bCs/>
          <w:i w:val="0"/>
          <w:sz w:val="20"/>
          <w:szCs w:val="20"/>
          <w:shd w:val="clear" w:color="auto" w:fill="FFFFFF"/>
          <w:lang w:val="es-ES"/>
        </w:rPr>
        <w:t xml:space="preserve"> </w:t>
      </w:r>
      <w:r w:rsidR="00B05EA6" w:rsidRPr="003C379E">
        <w:rPr>
          <w:rStyle w:val="Emphasis"/>
          <w:rFonts w:ascii="Cambria" w:hAnsi="Cambria" w:cs="Arial"/>
          <w:bCs/>
          <w:i w:val="0"/>
          <w:sz w:val="20"/>
          <w:szCs w:val="20"/>
          <w:shd w:val="clear" w:color="auto" w:fill="FFFFFF"/>
          <w:lang w:val="es-ES"/>
        </w:rPr>
        <w:t>presunta v</w:t>
      </w:r>
      <w:r w:rsidR="009115EB" w:rsidRPr="003C379E">
        <w:rPr>
          <w:rStyle w:val="Emphasis"/>
          <w:rFonts w:ascii="Cambria" w:hAnsi="Cambria" w:cs="Arial"/>
          <w:bCs/>
          <w:i w:val="0"/>
          <w:sz w:val="20"/>
          <w:szCs w:val="20"/>
          <w:shd w:val="clear" w:color="auto" w:fill="FFFFFF"/>
          <w:lang w:val="es-ES"/>
        </w:rPr>
        <w:t>íctima</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 la</w:t>
      </w:r>
      <w:r w:rsidR="000D6826" w:rsidRPr="003C379E">
        <w:rPr>
          <w:rStyle w:val="Emphasis"/>
          <w:rFonts w:ascii="Cambria" w:hAnsi="Cambria" w:cs="Arial"/>
          <w:bCs/>
          <w:i w:val="0"/>
          <w:sz w:val="20"/>
          <w:szCs w:val="20"/>
          <w:shd w:val="clear" w:color="auto" w:fill="FFFFFF"/>
          <w:lang w:val="es-ES"/>
        </w:rPr>
        <w:t xml:space="preserve"> aus</w:t>
      </w:r>
      <w:r w:rsidR="009115EB" w:rsidRPr="003C379E">
        <w:rPr>
          <w:rStyle w:val="Emphasis"/>
          <w:rFonts w:ascii="Cambria" w:hAnsi="Cambria" w:cs="Arial"/>
          <w:bCs/>
          <w:i w:val="0"/>
          <w:sz w:val="20"/>
          <w:szCs w:val="20"/>
          <w:shd w:val="clear" w:color="auto" w:fill="FFFFFF"/>
          <w:lang w:val="es-ES"/>
        </w:rPr>
        <w:t>encia</w:t>
      </w:r>
      <w:r w:rsidR="000D6826" w:rsidRPr="003C379E">
        <w:rPr>
          <w:rStyle w:val="Emphasis"/>
          <w:rFonts w:ascii="Cambria" w:hAnsi="Cambria" w:cs="Arial"/>
          <w:bCs/>
          <w:i w:val="0"/>
          <w:sz w:val="20"/>
          <w:szCs w:val="20"/>
          <w:shd w:val="clear" w:color="auto" w:fill="FFFFFF"/>
          <w:lang w:val="es-ES"/>
        </w:rPr>
        <w:t xml:space="preserve"> de control de constitucionali</w:t>
      </w:r>
      <w:r w:rsidR="009115EB" w:rsidRPr="003C379E">
        <w:rPr>
          <w:rStyle w:val="Emphasis"/>
          <w:rFonts w:ascii="Cambria" w:hAnsi="Cambria" w:cs="Arial"/>
          <w:bCs/>
          <w:i w:val="0"/>
          <w:sz w:val="20"/>
          <w:szCs w:val="20"/>
          <w:shd w:val="clear" w:color="auto" w:fill="FFFFFF"/>
          <w:lang w:val="es-ES"/>
        </w:rPr>
        <w:t xml:space="preserve">dad </w:t>
      </w:r>
      <w:r w:rsidR="000D6826" w:rsidRPr="003C379E">
        <w:rPr>
          <w:rStyle w:val="Emphasis"/>
          <w:rFonts w:ascii="Cambria" w:hAnsi="Cambria" w:cs="Arial"/>
          <w:bCs/>
          <w:i w:val="0"/>
          <w:sz w:val="20"/>
          <w:szCs w:val="20"/>
          <w:shd w:val="clear" w:color="auto" w:fill="FFFFFF"/>
          <w:lang w:val="es-ES"/>
        </w:rPr>
        <w:t xml:space="preserve">por parte </w:t>
      </w:r>
      <w:r w:rsidR="009115EB" w:rsidRPr="003C379E">
        <w:rPr>
          <w:rStyle w:val="Emphasis"/>
          <w:rFonts w:ascii="Cambria" w:hAnsi="Cambria" w:cs="Arial"/>
          <w:bCs/>
          <w:i w:val="0"/>
          <w:sz w:val="20"/>
          <w:szCs w:val="20"/>
          <w:shd w:val="clear" w:color="auto" w:fill="FFFFFF"/>
          <w:lang w:val="es-ES"/>
        </w:rPr>
        <w:t>de las</w:t>
      </w:r>
      <w:r w:rsidR="000D6826" w:rsidRPr="003C379E">
        <w:rPr>
          <w:rStyle w:val="Emphasis"/>
          <w:rFonts w:ascii="Cambria" w:hAnsi="Cambria" w:cs="Arial"/>
          <w:bCs/>
          <w:i w:val="0"/>
          <w:sz w:val="20"/>
          <w:szCs w:val="20"/>
          <w:shd w:val="clear" w:color="auto" w:fill="FFFFFF"/>
          <w:lang w:val="es-ES"/>
        </w:rPr>
        <w:t xml:space="preserve"> autoridades </w:t>
      </w:r>
      <w:r w:rsidR="009115EB" w:rsidRPr="003C379E">
        <w:rPr>
          <w:rStyle w:val="Emphasis"/>
          <w:rFonts w:ascii="Cambria" w:hAnsi="Cambria" w:cs="Arial"/>
          <w:bCs/>
          <w:i w:val="0"/>
          <w:sz w:val="20"/>
          <w:szCs w:val="20"/>
          <w:shd w:val="clear" w:color="auto" w:fill="FFFFFF"/>
          <w:lang w:val="es-ES"/>
        </w:rPr>
        <w:t>brasileñ</w:t>
      </w:r>
      <w:r w:rsidR="000D6826" w:rsidRPr="003C379E">
        <w:rPr>
          <w:rStyle w:val="Emphasis"/>
          <w:rFonts w:ascii="Cambria" w:hAnsi="Cambria" w:cs="Arial"/>
          <w:bCs/>
          <w:i w:val="0"/>
          <w:sz w:val="20"/>
          <w:szCs w:val="20"/>
          <w:shd w:val="clear" w:color="auto" w:fill="FFFFFF"/>
          <w:lang w:val="es-ES"/>
        </w:rPr>
        <w:t>as</w:t>
      </w:r>
      <w:r w:rsidR="00C7574A" w:rsidRPr="003C379E">
        <w:rPr>
          <w:rStyle w:val="Emphasis"/>
          <w:rFonts w:ascii="Cambria" w:hAnsi="Cambria" w:cs="Arial"/>
          <w:bCs/>
          <w:i w:val="0"/>
          <w:sz w:val="20"/>
          <w:szCs w:val="20"/>
          <w:shd w:val="clear" w:color="auto" w:fill="FFFFFF"/>
          <w:lang w:val="es-ES"/>
        </w:rPr>
        <w:t xml:space="preserve">, </w:t>
      </w:r>
      <w:r w:rsidR="00B30B5A" w:rsidRPr="003C379E">
        <w:rPr>
          <w:rStyle w:val="Emphasis"/>
          <w:rFonts w:ascii="Cambria" w:hAnsi="Cambria" w:cs="Arial"/>
          <w:bCs/>
          <w:i w:val="0"/>
          <w:sz w:val="20"/>
          <w:szCs w:val="20"/>
          <w:shd w:val="clear" w:color="auto" w:fill="FFFFFF"/>
          <w:lang w:val="es-ES"/>
        </w:rPr>
        <w:t>así como</w:t>
      </w:r>
      <w:r w:rsidR="009115EB" w:rsidRPr="003C379E">
        <w:rPr>
          <w:rStyle w:val="Emphasis"/>
          <w:rFonts w:ascii="Cambria" w:hAnsi="Cambria" w:cs="Arial"/>
          <w:bCs/>
          <w:i w:val="0"/>
          <w:sz w:val="20"/>
          <w:szCs w:val="20"/>
          <w:shd w:val="clear" w:color="auto" w:fill="FFFFFF"/>
          <w:lang w:val="es-ES"/>
        </w:rPr>
        <w:t xml:space="preserve"> la</w:t>
      </w:r>
      <w:r w:rsidR="00C7574A" w:rsidRPr="003C379E">
        <w:rPr>
          <w:rStyle w:val="Emphasis"/>
          <w:rFonts w:ascii="Cambria" w:hAnsi="Cambria" w:cs="Arial"/>
          <w:bCs/>
          <w:i w:val="0"/>
          <w:sz w:val="20"/>
          <w:szCs w:val="20"/>
          <w:shd w:val="clear" w:color="auto" w:fill="FFFFFF"/>
          <w:lang w:val="es-ES"/>
        </w:rPr>
        <w:t xml:space="preserve"> falta de </w:t>
      </w:r>
      <w:r w:rsidR="00B05EA6" w:rsidRPr="003C379E">
        <w:rPr>
          <w:rStyle w:val="Emphasis"/>
          <w:rFonts w:ascii="Cambria" w:hAnsi="Cambria" w:cs="Arial"/>
          <w:bCs/>
          <w:i w:val="0"/>
          <w:sz w:val="20"/>
          <w:szCs w:val="20"/>
          <w:shd w:val="clear" w:color="auto" w:fill="FFFFFF"/>
          <w:lang w:val="es-ES"/>
        </w:rPr>
        <w:t>garantía</w:t>
      </w:r>
      <w:r w:rsidR="00C7574A" w:rsidRPr="003C379E">
        <w:rPr>
          <w:rStyle w:val="Emphasis"/>
          <w:rFonts w:ascii="Cambria" w:hAnsi="Cambria" w:cs="Arial"/>
          <w:bCs/>
          <w:i w:val="0"/>
          <w:sz w:val="20"/>
          <w:szCs w:val="20"/>
          <w:shd w:val="clear" w:color="auto" w:fill="FFFFFF"/>
          <w:lang w:val="es-ES"/>
        </w:rPr>
        <w:t>s judici</w:t>
      </w:r>
      <w:r w:rsidR="00B05EA6" w:rsidRPr="003C379E">
        <w:rPr>
          <w:rStyle w:val="Emphasis"/>
          <w:rFonts w:ascii="Cambria" w:hAnsi="Cambria" w:cs="Arial"/>
          <w:bCs/>
          <w:i w:val="0"/>
          <w:sz w:val="20"/>
          <w:szCs w:val="20"/>
          <w:shd w:val="clear" w:color="auto" w:fill="FFFFFF"/>
          <w:lang w:val="es-ES"/>
        </w:rPr>
        <w:t xml:space="preserve">ales </w:t>
      </w:r>
      <w:r w:rsidR="009115EB" w:rsidRPr="003C379E">
        <w:rPr>
          <w:rStyle w:val="Emphasis"/>
          <w:rFonts w:ascii="Cambria" w:hAnsi="Cambria" w:cs="Arial"/>
          <w:bCs/>
          <w:i w:val="0"/>
          <w:sz w:val="20"/>
          <w:szCs w:val="20"/>
          <w:shd w:val="clear" w:color="auto" w:fill="FFFFFF"/>
          <w:lang w:val="es-ES"/>
        </w:rPr>
        <w:t>y la</w:t>
      </w:r>
      <w:r w:rsidR="00C7574A" w:rsidRPr="003C379E">
        <w:rPr>
          <w:rStyle w:val="Emphasis"/>
          <w:rFonts w:ascii="Cambria" w:hAnsi="Cambria" w:cs="Arial"/>
          <w:bCs/>
          <w:i w:val="0"/>
          <w:sz w:val="20"/>
          <w:szCs w:val="20"/>
          <w:shd w:val="clear" w:color="auto" w:fill="FFFFFF"/>
          <w:lang w:val="es-ES"/>
        </w:rPr>
        <w:t xml:space="preserve"> falta de </w:t>
      </w:r>
      <w:r w:rsidR="009115EB" w:rsidRPr="003C379E">
        <w:rPr>
          <w:rStyle w:val="Emphasis"/>
          <w:rFonts w:ascii="Cambria" w:hAnsi="Cambria" w:cs="Arial"/>
          <w:bCs/>
          <w:i w:val="0"/>
          <w:sz w:val="20"/>
          <w:szCs w:val="20"/>
          <w:shd w:val="clear" w:color="auto" w:fill="FFFFFF"/>
          <w:lang w:val="es-ES"/>
        </w:rPr>
        <w:t>efectiv</w:t>
      </w:r>
      <w:r w:rsidR="00C7574A" w:rsidRPr="003C379E">
        <w:rPr>
          <w:rStyle w:val="Emphasis"/>
          <w:rFonts w:ascii="Cambria" w:hAnsi="Cambria" w:cs="Arial"/>
          <w:bCs/>
          <w:i w:val="0"/>
          <w:sz w:val="20"/>
          <w:szCs w:val="20"/>
          <w:shd w:val="clear" w:color="auto" w:fill="FFFFFF"/>
          <w:lang w:val="es-ES"/>
        </w:rPr>
        <w:t>i</w:t>
      </w:r>
      <w:r w:rsidR="009115EB" w:rsidRPr="003C379E">
        <w:rPr>
          <w:rStyle w:val="Emphasis"/>
          <w:rFonts w:ascii="Cambria" w:hAnsi="Cambria" w:cs="Arial"/>
          <w:bCs/>
          <w:i w:val="0"/>
          <w:sz w:val="20"/>
          <w:szCs w:val="20"/>
          <w:shd w:val="clear" w:color="auto" w:fill="FFFFFF"/>
          <w:lang w:val="es-ES"/>
        </w:rPr>
        <w:t xml:space="preserve">dad </w:t>
      </w:r>
      <w:r w:rsidR="00C7574A" w:rsidRPr="003C379E">
        <w:rPr>
          <w:rStyle w:val="Emphasis"/>
          <w:rFonts w:ascii="Cambria" w:hAnsi="Cambria" w:cs="Arial"/>
          <w:bCs/>
          <w:i w:val="0"/>
          <w:sz w:val="20"/>
          <w:szCs w:val="20"/>
          <w:shd w:val="clear" w:color="auto" w:fill="FFFFFF"/>
          <w:lang w:val="es-ES"/>
        </w:rPr>
        <w:t xml:space="preserve">de </w:t>
      </w:r>
      <w:r w:rsidR="009115EB" w:rsidRPr="003C379E">
        <w:rPr>
          <w:rStyle w:val="Emphasis"/>
          <w:rFonts w:ascii="Cambria" w:hAnsi="Cambria" w:cs="Arial"/>
          <w:bCs/>
          <w:i w:val="0"/>
          <w:sz w:val="20"/>
          <w:szCs w:val="20"/>
          <w:shd w:val="clear" w:color="auto" w:fill="FFFFFF"/>
          <w:lang w:val="es-ES"/>
        </w:rPr>
        <w:t>un</w:t>
      </w:r>
      <w:r w:rsidR="00C7574A" w:rsidRPr="003C379E">
        <w:rPr>
          <w:rStyle w:val="Emphasis"/>
          <w:rFonts w:ascii="Cambria" w:hAnsi="Cambria" w:cs="Arial"/>
          <w:bCs/>
          <w:i w:val="0"/>
          <w:sz w:val="20"/>
          <w:szCs w:val="20"/>
          <w:shd w:val="clear" w:color="auto" w:fill="FFFFFF"/>
          <w:lang w:val="es-ES"/>
        </w:rPr>
        <w:t xml:space="preserve"> recurso </w:t>
      </w:r>
      <w:r w:rsidR="009115EB" w:rsidRPr="003C379E">
        <w:rPr>
          <w:rStyle w:val="Emphasis"/>
          <w:rFonts w:ascii="Cambria" w:hAnsi="Cambria" w:cs="Arial"/>
          <w:bCs/>
          <w:i w:val="0"/>
          <w:sz w:val="20"/>
          <w:szCs w:val="20"/>
          <w:shd w:val="clear" w:color="auto" w:fill="FFFFFF"/>
          <w:lang w:val="es-ES"/>
        </w:rPr>
        <w:t xml:space="preserve">en </w:t>
      </w:r>
      <w:r w:rsidR="00CF335A" w:rsidRPr="003C379E">
        <w:rPr>
          <w:rStyle w:val="Emphasis"/>
          <w:rFonts w:ascii="Cambria" w:hAnsi="Cambria" w:cs="Arial"/>
          <w:bCs/>
          <w:i w:val="0"/>
          <w:sz w:val="20"/>
          <w:szCs w:val="20"/>
          <w:shd w:val="clear" w:color="auto" w:fill="FFFFFF"/>
          <w:lang w:val="es-ES"/>
        </w:rPr>
        <w:t>virtud</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 la</w:t>
      </w:r>
      <w:r w:rsidR="000D6826" w:rsidRPr="003C379E">
        <w:rPr>
          <w:rStyle w:val="Emphasis"/>
          <w:rFonts w:ascii="Cambria" w:hAnsi="Cambria" w:cs="Arial"/>
          <w:bCs/>
          <w:i w:val="0"/>
          <w:sz w:val="20"/>
          <w:szCs w:val="20"/>
          <w:shd w:val="clear" w:color="auto" w:fill="FFFFFF"/>
          <w:lang w:val="es-ES"/>
        </w:rPr>
        <w:t xml:space="preserve"> </w:t>
      </w:r>
      <w:r w:rsidRPr="003C379E">
        <w:rPr>
          <w:rStyle w:val="Emphasis"/>
          <w:rFonts w:ascii="Cambria" w:hAnsi="Cambria" w:cs="Arial"/>
          <w:bCs/>
          <w:i w:val="0"/>
          <w:sz w:val="20"/>
          <w:szCs w:val="20"/>
          <w:shd w:val="clear" w:color="auto" w:fill="FFFFFF"/>
          <w:lang w:val="es-ES"/>
        </w:rPr>
        <w:t>condena</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del</w:t>
      </w:r>
      <w:r w:rsidR="000D6826" w:rsidRPr="003C379E">
        <w:rPr>
          <w:rStyle w:val="Emphasis"/>
          <w:rFonts w:ascii="Cambria" w:hAnsi="Cambria" w:cs="Arial"/>
          <w:bCs/>
          <w:i w:val="0"/>
          <w:sz w:val="20"/>
          <w:szCs w:val="20"/>
          <w:shd w:val="clear" w:color="auto" w:fill="FFFFFF"/>
          <w:lang w:val="es-ES"/>
        </w:rPr>
        <w:t xml:space="preserve"> Sr. Starling </w:t>
      </w:r>
      <w:r w:rsidR="009115EB" w:rsidRPr="003C379E">
        <w:rPr>
          <w:rStyle w:val="Emphasis"/>
          <w:rFonts w:ascii="Cambria" w:hAnsi="Cambria" w:cs="Arial"/>
          <w:bCs/>
          <w:i w:val="0"/>
          <w:sz w:val="20"/>
          <w:szCs w:val="20"/>
          <w:shd w:val="clear" w:color="auto" w:fill="FFFFFF"/>
          <w:lang w:val="es-ES"/>
        </w:rPr>
        <w:t>por el</w:t>
      </w:r>
      <w:r w:rsidR="000D6826" w:rsidRPr="003C379E">
        <w:rPr>
          <w:rStyle w:val="Emphasis"/>
          <w:rFonts w:ascii="Cambria" w:hAnsi="Cambria" w:cs="Arial"/>
          <w:bCs/>
          <w:i w:val="0"/>
          <w:sz w:val="20"/>
          <w:szCs w:val="20"/>
          <w:shd w:val="clear" w:color="auto" w:fill="FFFFFF"/>
          <w:lang w:val="es-ES"/>
        </w:rPr>
        <w:t xml:space="preserve"> delito de desacato previsto </w:t>
      </w:r>
      <w:r w:rsidR="009115EB" w:rsidRPr="003C379E">
        <w:rPr>
          <w:rStyle w:val="Emphasis"/>
          <w:rFonts w:ascii="Cambria" w:hAnsi="Cambria" w:cs="Arial"/>
          <w:bCs/>
          <w:i w:val="0"/>
          <w:sz w:val="20"/>
          <w:szCs w:val="20"/>
          <w:shd w:val="clear" w:color="auto" w:fill="FFFFFF"/>
          <w:lang w:val="es-ES"/>
        </w:rPr>
        <w:t>en el</w:t>
      </w:r>
      <w:r w:rsidR="000D682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artículo</w:t>
      </w:r>
      <w:r w:rsidR="000D6826" w:rsidRPr="003C379E">
        <w:rPr>
          <w:rStyle w:val="Emphasis"/>
          <w:rFonts w:ascii="Cambria" w:hAnsi="Cambria" w:cs="Arial"/>
          <w:bCs/>
          <w:i w:val="0"/>
          <w:sz w:val="20"/>
          <w:szCs w:val="20"/>
          <w:shd w:val="clear" w:color="auto" w:fill="FFFFFF"/>
          <w:lang w:val="es-ES"/>
        </w:rPr>
        <w:t xml:space="preserve"> 331 </w:t>
      </w:r>
      <w:r w:rsidR="009115EB" w:rsidRPr="003C379E">
        <w:rPr>
          <w:rStyle w:val="Emphasis"/>
          <w:rFonts w:ascii="Cambria" w:hAnsi="Cambria" w:cs="Arial"/>
          <w:bCs/>
          <w:i w:val="0"/>
          <w:sz w:val="20"/>
          <w:szCs w:val="20"/>
          <w:shd w:val="clear" w:color="auto" w:fill="FFFFFF"/>
          <w:lang w:val="es-ES"/>
        </w:rPr>
        <w:t>del</w:t>
      </w:r>
      <w:r w:rsidR="000D6826" w:rsidRPr="003C379E">
        <w:rPr>
          <w:rStyle w:val="Emphasis"/>
          <w:rFonts w:ascii="Cambria" w:hAnsi="Cambria" w:cs="Arial"/>
          <w:bCs/>
          <w:i w:val="0"/>
          <w:sz w:val="20"/>
          <w:szCs w:val="20"/>
          <w:shd w:val="clear" w:color="auto" w:fill="FFFFFF"/>
          <w:lang w:val="es-ES"/>
        </w:rPr>
        <w:t xml:space="preserve"> Código Penal </w:t>
      </w:r>
      <w:r w:rsidR="009115EB" w:rsidRPr="003C379E">
        <w:rPr>
          <w:rStyle w:val="Emphasis"/>
          <w:rFonts w:ascii="Cambria" w:hAnsi="Cambria" w:cs="Arial"/>
          <w:bCs/>
          <w:i w:val="0"/>
          <w:sz w:val="20"/>
          <w:szCs w:val="20"/>
          <w:shd w:val="clear" w:color="auto" w:fill="FFFFFF"/>
          <w:lang w:val="es-ES"/>
        </w:rPr>
        <w:t>brasileñ</w:t>
      </w:r>
      <w:r w:rsidR="000D6826" w:rsidRPr="003C379E">
        <w:rPr>
          <w:rStyle w:val="Emphasis"/>
          <w:rFonts w:ascii="Cambria" w:hAnsi="Cambria" w:cs="Arial"/>
          <w:bCs/>
          <w:i w:val="0"/>
          <w:sz w:val="20"/>
          <w:szCs w:val="20"/>
          <w:shd w:val="clear" w:color="auto" w:fill="FFFFFF"/>
          <w:lang w:val="es-ES"/>
        </w:rPr>
        <w:t>o.</w:t>
      </w:r>
      <w:r w:rsidR="00C7574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Además</w:t>
      </w:r>
      <w:r w:rsidR="00C7574A" w:rsidRPr="003C379E">
        <w:rPr>
          <w:rStyle w:val="Emphasis"/>
          <w:rFonts w:ascii="Cambria" w:hAnsi="Cambria" w:cs="Arial"/>
          <w:bCs/>
          <w:i w:val="0"/>
          <w:sz w:val="20"/>
          <w:szCs w:val="20"/>
          <w:shd w:val="clear" w:color="auto" w:fill="FFFFFF"/>
          <w:lang w:val="es-ES"/>
        </w:rPr>
        <w:t xml:space="preserve">, </w:t>
      </w:r>
      <w:r w:rsidRPr="003C379E">
        <w:rPr>
          <w:rStyle w:val="Emphasis"/>
          <w:rFonts w:ascii="Cambria" w:hAnsi="Cambria" w:cs="Arial"/>
          <w:bCs/>
          <w:i w:val="0"/>
          <w:sz w:val="20"/>
          <w:szCs w:val="20"/>
          <w:shd w:val="clear" w:color="auto" w:fill="FFFFFF"/>
          <w:lang w:val="es-ES"/>
        </w:rPr>
        <w:t>la</w:t>
      </w:r>
      <w:r w:rsidR="00334EAF" w:rsidRPr="003C379E">
        <w:rPr>
          <w:rStyle w:val="Emphasis"/>
          <w:rFonts w:ascii="Cambria" w:hAnsi="Cambria" w:cs="Arial"/>
          <w:bCs/>
          <w:i w:val="0"/>
          <w:sz w:val="20"/>
          <w:szCs w:val="20"/>
          <w:shd w:val="clear" w:color="auto" w:fill="FFFFFF"/>
          <w:lang w:val="es-ES"/>
        </w:rPr>
        <w:t xml:space="preserve"> Comi</w:t>
      </w:r>
      <w:r w:rsidR="009115EB" w:rsidRPr="003C379E">
        <w:rPr>
          <w:rStyle w:val="Emphasis"/>
          <w:rFonts w:ascii="Cambria" w:hAnsi="Cambria" w:cs="Arial"/>
          <w:bCs/>
          <w:i w:val="0"/>
          <w:sz w:val="20"/>
          <w:szCs w:val="20"/>
          <w:shd w:val="clear" w:color="auto" w:fill="FFFFFF"/>
          <w:lang w:val="es-ES"/>
        </w:rPr>
        <w:t>sión</w:t>
      </w:r>
      <w:r w:rsidR="00334EAF" w:rsidRPr="003C379E">
        <w:rPr>
          <w:rStyle w:val="Emphasis"/>
          <w:rFonts w:ascii="Cambria" w:hAnsi="Cambria" w:cs="Arial"/>
          <w:bCs/>
          <w:i w:val="0"/>
          <w:sz w:val="20"/>
          <w:szCs w:val="20"/>
          <w:shd w:val="clear" w:color="auto" w:fill="FFFFFF"/>
          <w:lang w:val="es-ES"/>
        </w:rPr>
        <w:t xml:space="preserve"> considera que</w:t>
      </w:r>
      <w:r w:rsidR="00D41CA5" w:rsidRPr="003C379E">
        <w:rPr>
          <w:rStyle w:val="Emphasis"/>
          <w:rFonts w:ascii="Cambria" w:hAnsi="Cambria" w:cs="Arial"/>
          <w:bCs/>
          <w:i w:val="0"/>
          <w:sz w:val="20"/>
          <w:szCs w:val="20"/>
          <w:shd w:val="clear" w:color="auto" w:fill="FFFFFF"/>
          <w:lang w:val="es-ES"/>
        </w:rPr>
        <w:t>,</w:t>
      </w:r>
      <w:r w:rsidR="00334EAF" w:rsidRPr="003C379E">
        <w:rPr>
          <w:rStyle w:val="Emphasis"/>
          <w:rFonts w:ascii="Cambria" w:hAnsi="Cambria" w:cs="Arial"/>
          <w:bCs/>
          <w:i w:val="0"/>
          <w:sz w:val="20"/>
          <w:szCs w:val="20"/>
          <w:shd w:val="clear" w:color="auto" w:fill="FFFFFF"/>
          <w:lang w:val="es-ES"/>
        </w:rPr>
        <w:t xml:space="preserve"> </w:t>
      </w:r>
      <w:r w:rsidR="005B7578" w:rsidRPr="003C379E">
        <w:rPr>
          <w:rStyle w:val="Emphasis"/>
          <w:rFonts w:ascii="Cambria" w:hAnsi="Cambria" w:cs="Arial"/>
          <w:bCs/>
          <w:i w:val="0"/>
          <w:sz w:val="20"/>
          <w:szCs w:val="20"/>
          <w:shd w:val="clear" w:color="auto" w:fill="FFFFFF"/>
          <w:lang w:val="es-ES"/>
        </w:rPr>
        <w:t>al analizar</w:t>
      </w:r>
      <w:r w:rsidR="009115EB" w:rsidRPr="003C379E">
        <w:rPr>
          <w:rStyle w:val="Emphasis"/>
          <w:rFonts w:ascii="Cambria" w:hAnsi="Cambria" w:cs="Arial"/>
          <w:bCs/>
          <w:i w:val="0"/>
          <w:sz w:val="20"/>
          <w:szCs w:val="20"/>
          <w:shd w:val="clear" w:color="auto" w:fill="FFFFFF"/>
          <w:lang w:val="es-ES"/>
        </w:rPr>
        <w:t xml:space="preserve"> los</w:t>
      </w:r>
      <w:r w:rsidR="00334EAF" w:rsidRPr="003C379E">
        <w:rPr>
          <w:rStyle w:val="Emphasis"/>
          <w:rFonts w:ascii="Cambria" w:hAnsi="Cambria" w:cs="Arial"/>
          <w:bCs/>
          <w:i w:val="0"/>
          <w:sz w:val="20"/>
          <w:szCs w:val="20"/>
          <w:shd w:val="clear" w:color="auto" w:fill="FFFFFF"/>
          <w:lang w:val="es-ES"/>
        </w:rPr>
        <w:t xml:space="preserve"> </w:t>
      </w:r>
      <w:r w:rsidR="00B05EA6" w:rsidRPr="003C379E">
        <w:rPr>
          <w:rStyle w:val="Emphasis"/>
          <w:rFonts w:ascii="Cambria" w:hAnsi="Cambria" w:cs="Arial"/>
          <w:bCs/>
          <w:i w:val="0"/>
          <w:sz w:val="20"/>
          <w:szCs w:val="20"/>
          <w:shd w:val="clear" w:color="auto" w:fill="FFFFFF"/>
          <w:lang w:val="es-ES"/>
        </w:rPr>
        <w:t>hechos</w:t>
      </w:r>
      <w:r w:rsidR="00334EAF"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present</w:t>
      </w:r>
      <w:r w:rsidR="00334EAF" w:rsidRPr="003C379E">
        <w:rPr>
          <w:rStyle w:val="Emphasis"/>
          <w:rFonts w:ascii="Cambria" w:hAnsi="Cambria" w:cs="Arial"/>
          <w:bCs/>
          <w:i w:val="0"/>
          <w:sz w:val="20"/>
          <w:szCs w:val="20"/>
          <w:shd w:val="clear" w:color="auto" w:fill="FFFFFF"/>
          <w:lang w:val="es-ES"/>
        </w:rPr>
        <w:t>ados</w:t>
      </w:r>
      <w:r w:rsidR="00D41CA5" w:rsidRPr="003C379E">
        <w:rPr>
          <w:rStyle w:val="Emphasis"/>
          <w:rFonts w:ascii="Cambria" w:hAnsi="Cambria" w:cs="Arial"/>
          <w:bCs/>
          <w:i w:val="0"/>
          <w:sz w:val="20"/>
          <w:szCs w:val="20"/>
          <w:shd w:val="clear" w:color="auto" w:fill="FFFFFF"/>
          <w:lang w:val="es-ES"/>
        </w:rPr>
        <w:t>,</w:t>
      </w:r>
      <w:r w:rsidR="00334EAF"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es</w:t>
      </w:r>
      <w:r w:rsidR="00334EAF" w:rsidRPr="003C379E">
        <w:rPr>
          <w:rStyle w:val="Emphasis"/>
          <w:rFonts w:ascii="Cambria" w:hAnsi="Cambria" w:cs="Arial"/>
          <w:bCs/>
          <w:i w:val="0"/>
          <w:sz w:val="20"/>
          <w:szCs w:val="20"/>
          <w:shd w:val="clear" w:color="auto" w:fill="FFFFFF"/>
          <w:lang w:val="es-ES"/>
        </w:rPr>
        <w:t xml:space="preserve"> po</w:t>
      </w:r>
      <w:r w:rsidR="00B05EA6" w:rsidRPr="003C379E">
        <w:rPr>
          <w:rStyle w:val="Emphasis"/>
          <w:rFonts w:ascii="Cambria" w:hAnsi="Cambria" w:cs="Arial"/>
          <w:bCs/>
          <w:i w:val="0"/>
          <w:sz w:val="20"/>
          <w:szCs w:val="20"/>
          <w:shd w:val="clear" w:color="auto" w:fill="FFFFFF"/>
          <w:lang w:val="es-ES"/>
        </w:rPr>
        <w:t>sible</w:t>
      </w:r>
      <w:r w:rsidR="00334EAF" w:rsidRPr="003C379E">
        <w:rPr>
          <w:rStyle w:val="Emphasis"/>
          <w:rFonts w:ascii="Cambria" w:hAnsi="Cambria" w:cs="Arial"/>
          <w:bCs/>
          <w:i w:val="0"/>
          <w:sz w:val="20"/>
          <w:szCs w:val="20"/>
          <w:shd w:val="clear" w:color="auto" w:fill="FFFFFF"/>
          <w:lang w:val="es-ES"/>
        </w:rPr>
        <w:t xml:space="preserve"> observar que </w:t>
      </w:r>
      <w:r w:rsidRPr="003C379E">
        <w:rPr>
          <w:rStyle w:val="Emphasis"/>
          <w:rFonts w:ascii="Cambria" w:hAnsi="Cambria" w:cs="Arial"/>
          <w:bCs/>
          <w:i w:val="0"/>
          <w:sz w:val="20"/>
          <w:szCs w:val="20"/>
          <w:shd w:val="clear" w:color="auto" w:fill="FFFFFF"/>
          <w:lang w:val="es-ES"/>
        </w:rPr>
        <w:t>la</w:t>
      </w:r>
      <w:r w:rsidR="00C7574A" w:rsidRPr="003C379E">
        <w:rPr>
          <w:rStyle w:val="Emphasis"/>
          <w:rFonts w:ascii="Cambria" w:hAnsi="Cambria" w:cs="Arial"/>
          <w:bCs/>
          <w:i w:val="0"/>
          <w:sz w:val="20"/>
          <w:szCs w:val="20"/>
          <w:shd w:val="clear" w:color="auto" w:fill="FFFFFF"/>
          <w:lang w:val="es-ES"/>
        </w:rPr>
        <w:t xml:space="preserve"> peti</w:t>
      </w:r>
      <w:r w:rsidR="009115EB" w:rsidRPr="003C379E">
        <w:rPr>
          <w:rStyle w:val="Emphasis"/>
          <w:rFonts w:ascii="Cambria" w:hAnsi="Cambria" w:cs="Arial"/>
          <w:bCs/>
          <w:i w:val="0"/>
          <w:sz w:val="20"/>
          <w:szCs w:val="20"/>
          <w:shd w:val="clear" w:color="auto" w:fill="FFFFFF"/>
          <w:lang w:val="es-ES"/>
        </w:rPr>
        <w:t>ción</w:t>
      </w:r>
      <w:r w:rsidR="00C7574A" w:rsidRPr="003C379E">
        <w:rPr>
          <w:rStyle w:val="Emphasis"/>
          <w:rFonts w:ascii="Cambria" w:hAnsi="Cambria" w:cs="Arial"/>
          <w:bCs/>
          <w:i w:val="0"/>
          <w:sz w:val="20"/>
          <w:szCs w:val="20"/>
          <w:shd w:val="clear" w:color="auto" w:fill="FFFFFF"/>
          <w:lang w:val="es-ES"/>
        </w:rPr>
        <w:t xml:space="preserve"> </w:t>
      </w:r>
      <w:r w:rsidR="00CF335A" w:rsidRPr="003C379E">
        <w:rPr>
          <w:rStyle w:val="Emphasis"/>
          <w:rFonts w:ascii="Cambria" w:hAnsi="Cambria" w:cs="Arial"/>
          <w:bCs/>
          <w:i w:val="0"/>
          <w:sz w:val="20"/>
          <w:szCs w:val="20"/>
          <w:shd w:val="clear" w:color="auto" w:fill="FFFFFF"/>
          <w:lang w:val="es-ES"/>
        </w:rPr>
        <w:t>trata sobre</w:t>
      </w:r>
      <w:r w:rsidR="009115EB" w:rsidRPr="003C379E">
        <w:rPr>
          <w:rStyle w:val="Emphasis"/>
          <w:rFonts w:ascii="Cambria" w:hAnsi="Cambria" w:cs="Arial"/>
          <w:bCs/>
          <w:i w:val="0"/>
          <w:sz w:val="20"/>
          <w:szCs w:val="20"/>
          <w:shd w:val="clear" w:color="auto" w:fill="FFFFFF"/>
          <w:lang w:val="es-ES"/>
        </w:rPr>
        <w:t xml:space="preserve"> la</w:t>
      </w:r>
      <w:r w:rsidR="00C7574A" w:rsidRPr="003C379E">
        <w:rPr>
          <w:rStyle w:val="Emphasis"/>
          <w:rFonts w:ascii="Cambria" w:hAnsi="Cambria" w:cs="Arial"/>
          <w:bCs/>
          <w:i w:val="0"/>
          <w:sz w:val="20"/>
          <w:szCs w:val="20"/>
          <w:shd w:val="clear" w:color="auto" w:fill="FFFFFF"/>
          <w:lang w:val="es-ES"/>
        </w:rPr>
        <w:t xml:space="preserve"> p</w:t>
      </w:r>
      <w:r w:rsidR="00D41CA5" w:rsidRPr="003C379E">
        <w:rPr>
          <w:rStyle w:val="Emphasis"/>
          <w:rFonts w:ascii="Cambria" w:hAnsi="Cambria" w:cs="Arial"/>
          <w:bCs/>
          <w:i w:val="0"/>
          <w:sz w:val="20"/>
          <w:szCs w:val="20"/>
          <w:shd w:val="clear" w:color="auto" w:fill="FFFFFF"/>
          <w:lang w:val="es-ES"/>
        </w:rPr>
        <w:t>resunta</w:t>
      </w:r>
      <w:r w:rsidR="00C7574A" w:rsidRPr="003C379E">
        <w:rPr>
          <w:rStyle w:val="Emphasis"/>
          <w:rFonts w:ascii="Cambria" w:hAnsi="Cambria" w:cs="Arial"/>
          <w:bCs/>
          <w:i w:val="0"/>
          <w:sz w:val="20"/>
          <w:szCs w:val="20"/>
          <w:shd w:val="clear" w:color="auto" w:fill="FFFFFF"/>
          <w:lang w:val="es-ES"/>
        </w:rPr>
        <w:t xml:space="preserve"> viola</w:t>
      </w:r>
      <w:r w:rsidR="009115EB" w:rsidRPr="003C379E">
        <w:rPr>
          <w:rStyle w:val="Emphasis"/>
          <w:rFonts w:ascii="Cambria" w:hAnsi="Cambria" w:cs="Arial"/>
          <w:bCs/>
          <w:i w:val="0"/>
          <w:sz w:val="20"/>
          <w:szCs w:val="20"/>
          <w:shd w:val="clear" w:color="auto" w:fill="FFFFFF"/>
          <w:lang w:val="es-ES"/>
        </w:rPr>
        <w:t>ción</w:t>
      </w:r>
      <w:r w:rsidR="00C7574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a los</w:t>
      </w:r>
      <w:r w:rsidR="00C7574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derech</w:t>
      </w:r>
      <w:r w:rsidR="00C7574A" w:rsidRPr="003C379E">
        <w:rPr>
          <w:rStyle w:val="Emphasis"/>
          <w:rFonts w:ascii="Cambria" w:hAnsi="Cambria" w:cs="Arial"/>
          <w:bCs/>
          <w:i w:val="0"/>
          <w:sz w:val="20"/>
          <w:szCs w:val="20"/>
          <w:shd w:val="clear" w:color="auto" w:fill="FFFFFF"/>
          <w:lang w:val="es-ES"/>
        </w:rPr>
        <w:t xml:space="preserve">os </w:t>
      </w:r>
      <w:r w:rsidR="009115EB" w:rsidRPr="003C379E">
        <w:rPr>
          <w:rStyle w:val="Emphasis"/>
          <w:rFonts w:ascii="Cambria" w:hAnsi="Cambria" w:cs="Arial"/>
          <w:bCs/>
          <w:i w:val="0"/>
          <w:sz w:val="20"/>
          <w:szCs w:val="20"/>
          <w:shd w:val="clear" w:color="auto" w:fill="FFFFFF"/>
          <w:lang w:val="es-ES"/>
        </w:rPr>
        <w:t>a la</w:t>
      </w:r>
      <w:r w:rsidR="00C7574A" w:rsidRPr="003C379E">
        <w:rPr>
          <w:rStyle w:val="Emphasis"/>
          <w:rFonts w:ascii="Cambria" w:hAnsi="Cambria" w:cs="Arial"/>
          <w:bCs/>
          <w:i w:val="0"/>
          <w:sz w:val="20"/>
          <w:szCs w:val="20"/>
          <w:shd w:val="clear" w:color="auto" w:fill="FFFFFF"/>
          <w:lang w:val="es-ES"/>
        </w:rPr>
        <w:t xml:space="preserve"> integri</w:t>
      </w:r>
      <w:r w:rsidR="009115EB" w:rsidRPr="003C379E">
        <w:rPr>
          <w:rStyle w:val="Emphasis"/>
          <w:rFonts w:ascii="Cambria" w:hAnsi="Cambria" w:cs="Arial"/>
          <w:bCs/>
          <w:i w:val="0"/>
          <w:sz w:val="20"/>
          <w:szCs w:val="20"/>
          <w:shd w:val="clear" w:color="auto" w:fill="FFFFFF"/>
          <w:lang w:val="es-ES"/>
        </w:rPr>
        <w:t xml:space="preserve">dad </w:t>
      </w:r>
      <w:r w:rsidR="00C7574A" w:rsidRPr="003C379E">
        <w:rPr>
          <w:rStyle w:val="Emphasis"/>
          <w:rFonts w:ascii="Cambria" w:hAnsi="Cambria" w:cs="Arial"/>
          <w:bCs/>
          <w:i w:val="0"/>
          <w:sz w:val="20"/>
          <w:szCs w:val="20"/>
          <w:shd w:val="clear" w:color="auto" w:fill="FFFFFF"/>
          <w:lang w:val="es-ES"/>
        </w:rPr>
        <w:t xml:space="preserve">moral, </w:t>
      </w:r>
      <w:r w:rsidR="009115EB" w:rsidRPr="003C379E">
        <w:rPr>
          <w:rStyle w:val="Emphasis"/>
          <w:rFonts w:ascii="Cambria" w:hAnsi="Cambria" w:cs="Arial"/>
          <w:bCs/>
          <w:i w:val="0"/>
          <w:sz w:val="20"/>
          <w:szCs w:val="20"/>
          <w:shd w:val="clear" w:color="auto" w:fill="FFFFFF"/>
          <w:lang w:val="es-ES"/>
        </w:rPr>
        <w:t>a la</w:t>
      </w:r>
      <w:r w:rsidR="00C7574A" w:rsidRPr="003C379E">
        <w:rPr>
          <w:rStyle w:val="Emphasis"/>
          <w:rFonts w:ascii="Cambria" w:hAnsi="Cambria" w:cs="Arial"/>
          <w:bCs/>
          <w:i w:val="0"/>
          <w:sz w:val="20"/>
          <w:szCs w:val="20"/>
          <w:shd w:val="clear" w:color="auto" w:fill="FFFFFF"/>
          <w:lang w:val="es-ES"/>
        </w:rPr>
        <w:t xml:space="preserve"> digni</w:t>
      </w:r>
      <w:r w:rsidR="009115EB" w:rsidRPr="003C379E">
        <w:rPr>
          <w:rStyle w:val="Emphasis"/>
          <w:rFonts w:ascii="Cambria" w:hAnsi="Cambria" w:cs="Arial"/>
          <w:bCs/>
          <w:i w:val="0"/>
          <w:sz w:val="20"/>
          <w:szCs w:val="20"/>
          <w:shd w:val="clear" w:color="auto" w:fill="FFFFFF"/>
          <w:lang w:val="es-ES"/>
        </w:rPr>
        <w:t>dad</w:t>
      </w:r>
      <w:r w:rsidR="00CF335A" w:rsidRPr="003C379E">
        <w:rPr>
          <w:rStyle w:val="Emphasis"/>
          <w:rFonts w:ascii="Cambria" w:hAnsi="Cambria" w:cs="Arial"/>
          <w:bCs/>
          <w:i w:val="0"/>
          <w:sz w:val="20"/>
          <w:szCs w:val="20"/>
          <w:shd w:val="clear" w:color="auto" w:fill="FFFFFF"/>
          <w:lang w:val="es-ES"/>
        </w:rPr>
        <w:t>,</w:t>
      </w:r>
      <w:r w:rsidR="009115EB" w:rsidRPr="003C379E">
        <w:rPr>
          <w:rStyle w:val="Emphasis"/>
          <w:rFonts w:ascii="Cambria" w:hAnsi="Cambria" w:cs="Arial"/>
          <w:bCs/>
          <w:i w:val="0"/>
          <w:sz w:val="20"/>
          <w:szCs w:val="20"/>
          <w:shd w:val="clear" w:color="auto" w:fill="FFFFFF"/>
          <w:lang w:val="es-ES"/>
        </w:rPr>
        <w:t xml:space="preserve"> a la</w:t>
      </w:r>
      <w:r w:rsidR="00C7574A" w:rsidRPr="003C379E">
        <w:rPr>
          <w:rStyle w:val="Emphasis"/>
          <w:rFonts w:ascii="Cambria" w:hAnsi="Cambria" w:cs="Arial"/>
          <w:bCs/>
          <w:i w:val="0"/>
          <w:sz w:val="20"/>
          <w:szCs w:val="20"/>
          <w:shd w:val="clear" w:color="auto" w:fill="FFFFFF"/>
          <w:lang w:val="es-ES"/>
        </w:rPr>
        <w:t xml:space="preserve"> reputa</w:t>
      </w:r>
      <w:r w:rsidR="009115EB" w:rsidRPr="003C379E">
        <w:rPr>
          <w:rStyle w:val="Emphasis"/>
          <w:rFonts w:ascii="Cambria" w:hAnsi="Cambria" w:cs="Arial"/>
          <w:bCs/>
          <w:i w:val="0"/>
          <w:sz w:val="20"/>
          <w:szCs w:val="20"/>
          <w:shd w:val="clear" w:color="auto" w:fill="FFFFFF"/>
          <w:lang w:val="es-ES"/>
        </w:rPr>
        <w:t>ción</w:t>
      </w:r>
      <w:r w:rsidR="00C7574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y</w:t>
      </w:r>
      <w:r w:rsidR="00C7574A" w:rsidRPr="003C379E">
        <w:rPr>
          <w:rStyle w:val="Emphasis"/>
          <w:rFonts w:ascii="Cambria" w:hAnsi="Cambria" w:cs="Arial"/>
          <w:bCs/>
          <w:i w:val="0"/>
          <w:sz w:val="20"/>
          <w:szCs w:val="20"/>
          <w:shd w:val="clear" w:color="auto" w:fill="FFFFFF"/>
          <w:lang w:val="es-ES"/>
        </w:rPr>
        <w:t xml:space="preserve"> </w:t>
      </w:r>
      <w:r w:rsidR="00D41CA5" w:rsidRPr="003C379E">
        <w:rPr>
          <w:rStyle w:val="Emphasis"/>
          <w:rFonts w:ascii="Cambria" w:hAnsi="Cambria" w:cs="Arial"/>
          <w:bCs/>
          <w:i w:val="0"/>
          <w:sz w:val="20"/>
          <w:szCs w:val="20"/>
          <w:shd w:val="clear" w:color="auto" w:fill="FFFFFF"/>
          <w:lang w:val="es-ES"/>
        </w:rPr>
        <w:t>a la honra</w:t>
      </w:r>
      <w:r w:rsidR="00CF335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de la</w:t>
      </w:r>
      <w:r w:rsidR="00C7574A" w:rsidRPr="003C379E">
        <w:rPr>
          <w:rStyle w:val="Emphasis"/>
          <w:rFonts w:ascii="Cambria" w:hAnsi="Cambria" w:cs="Arial"/>
          <w:bCs/>
          <w:i w:val="0"/>
          <w:sz w:val="20"/>
          <w:szCs w:val="20"/>
          <w:shd w:val="clear" w:color="auto" w:fill="FFFFFF"/>
          <w:lang w:val="es-ES"/>
        </w:rPr>
        <w:t xml:space="preserve"> </w:t>
      </w:r>
      <w:r w:rsidR="00B05EA6" w:rsidRPr="003C379E">
        <w:rPr>
          <w:rStyle w:val="Emphasis"/>
          <w:rFonts w:ascii="Cambria" w:hAnsi="Cambria" w:cs="Arial"/>
          <w:bCs/>
          <w:i w:val="0"/>
          <w:sz w:val="20"/>
          <w:szCs w:val="20"/>
          <w:shd w:val="clear" w:color="auto" w:fill="FFFFFF"/>
          <w:lang w:val="es-ES"/>
        </w:rPr>
        <w:t>presunta v</w:t>
      </w:r>
      <w:r w:rsidR="009115EB" w:rsidRPr="003C379E">
        <w:rPr>
          <w:rStyle w:val="Emphasis"/>
          <w:rFonts w:ascii="Cambria" w:hAnsi="Cambria" w:cs="Arial"/>
          <w:bCs/>
          <w:i w:val="0"/>
          <w:sz w:val="20"/>
          <w:szCs w:val="20"/>
          <w:shd w:val="clear" w:color="auto" w:fill="FFFFFF"/>
          <w:lang w:val="es-ES"/>
        </w:rPr>
        <w:t>íctima</w:t>
      </w:r>
      <w:r w:rsidR="00C7574A" w:rsidRPr="003C379E">
        <w:rPr>
          <w:rStyle w:val="Emphasis"/>
          <w:rFonts w:ascii="Cambria" w:hAnsi="Cambria" w:cs="Arial"/>
          <w:bCs/>
          <w:i w:val="0"/>
          <w:sz w:val="20"/>
          <w:szCs w:val="20"/>
          <w:shd w:val="clear" w:color="auto" w:fill="FFFFFF"/>
          <w:lang w:val="es-ES"/>
        </w:rPr>
        <w:t>, ten</w:t>
      </w:r>
      <w:r w:rsidR="00CF335A" w:rsidRPr="003C379E">
        <w:rPr>
          <w:rStyle w:val="Emphasis"/>
          <w:rFonts w:ascii="Cambria" w:hAnsi="Cambria" w:cs="Arial"/>
          <w:bCs/>
          <w:i w:val="0"/>
          <w:sz w:val="20"/>
          <w:szCs w:val="20"/>
          <w:shd w:val="clear" w:color="auto" w:fill="FFFFFF"/>
          <w:lang w:val="es-ES"/>
        </w:rPr>
        <w:t>ien</w:t>
      </w:r>
      <w:r w:rsidR="00C7574A" w:rsidRPr="003C379E">
        <w:rPr>
          <w:rStyle w:val="Emphasis"/>
          <w:rFonts w:ascii="Cambria" w:hAnsi="Cambria" w:cs="Arial"/>
          <w:bCs/>
          <w:i w:val="0"/>
          <w:sz w:val="20"/>
          <w:szCs w:val="20"/>
          <w:shd w:val="clear" w:color="auto" w:fill="FFFFFF"/>
          <w:lang w:val="es-ES"/>
        </w:rPr>
        <w:t xml:space="preserve">do </w:t>
      </w:r>
      <w:r w:rsidR="009115EB" w:rsidRPr="003C379E">
        <w:rPr>
          <w:rStyle w:val="Emphasis"/>
          <w:rFonts w:ascii="Cambria" w:hAnsi="Cambria" w:cs="Arial"/>
          <w:bCs/>
          <w:i w:val="0"/>
          <w:sz w:val="20"/>
          <w:szCs w:val="20"/>
          <w:shd w:val="clear" w:color="auto" w:fill="FFFFFF"/>
          <w:lang w:val="es-ES"/>
        </w:rPr>
        <w:t xml:space="preserve">en </w:t>
      </w:r>
      <w:r w:rsidR="00CF335A" w:rsidRPr="003C379E">
        <w:rPr>
          <w:rStyle w:val="Emphasis"/>
          <w:rFonts w:ascii="Cambria" w:hAnsi="Cambria" w:cs="Arial"/>
          <w:bCs/>
          <w:i w:val="0"/>
          <w:sz w:val="20"/>
          <w:szCs w:val="20"/>
          <w:shd w:val="clear" w:color="auto" w:fill="FFFFFF"/>
          <w:lang w:val="es-ES"/>
        </w:rPr>
        <w:t>cuenta</w:t>
      </w:r>
      <w:r w:rsidR="00C7574A" w:rsidRPr="003C379E">
        <w:rPr>
          <w:rStyle w:val="Emphasis"/>
          <w:rFonts w:ascii="Cambria" w:hAnsi="Cambria" w:cs="Arial"/>
          <w:bCs/>
          <w:i w:val="0"/>
          <w:sz w:val="20"/>
          <w:szCs w:val="20"/>
          <w:shd w:val="clear" w:color="auto" w:fill="FFFFFF"/>
          <w:lang w:val="es-ES"/>
        </w:rPr>
        <w:t xml:space="preserve"> que </w:t>
      </w:r>
      <w:r w:rsidRPr="003C379E">
        <w:rPr>
          <w:rStyle w:val="Emphasis"/>
          <w:rFonts w:ascii="Cambria" w:hAnsi="Cambria" w:cs="Arial"/>
          <w:bCs/>
          <w:i w:val="0"/>
          <w:sz w:val="20"/>
          <w:szCs w:val="20"/>
          <w:shd w:val="clear" w:color="auto" w:fill="FFFFFF"/>
          <w:lang w:val="es-ES"/>
        </w:rPr>
        <w:t>la</w:t>
      </w:r>
      <w:r w:rsidR="00C7574A"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sentencia</w:t>
      </w:r>
      <w:r w:rsidR="00C7574A" w:rsidRPr="003C379E">
        <w:rPr>
          <w:rStyle w:val="Emphasis"/>
          <w:rFonts w:ascii="Cambria" w:hAnsi="Cambria" w:cs="Arial"/>
          <w:bCs/>
          <w:i w:val="0"/>
          <w:sz w:val="20"/>
          <w:szCs w:val="20"/>
          <w:shd w:val="clear" w:color="auto" w:fill="FFFFFF"/>
          <w:lang w:val="es-ES"/>
        </w:rPr>
        <w:t xml:space="preserve"> de desacato </w:t>
      </w:r>
      <w:r w:rsidR="009115EB" w:rsidRPr="003C379E">
        <w:rPr>
          <w:rStyle w:val="Emphasis"/>
          <w:rFonts w:ascii="Cambria" w:hAnsi="Cambria" w:cs="Arial"/>
          <w:bCs/>
          <w:i w:val="0"/>
          <w:sz w:val="20"/>
          <w:szCs w:val="20"/>
          <w:shd w:val="clear" w:color="auto" w:fill="FFFFFF"/>
          <w:lang w:val="es-ES"/>
        </w:rPr>
        <w:t>fue</w:t>
      </w:r>
      <w:r w:rsidR="00C7574A" w:rsidRPr="003C379E">
        <w:rPr>
          <w:rStyle w:val="Emphasis"/>
          <w:rFonts w:ascii="Cambria" w:hAnsi="Cambria" w:cs="Arial"/>
          <w:bCs/>
          <w:i w:val="0"/>
          <w:sz w:val="20"/>
          <w:szCs w:val="20"/>
          <w:shd w:val="clear" w:color="auto" w:fill="FFFFFF"/>
          <w:lang w:val="es-ES"/>
        </w:rPr>
        <w:t xml:space="preserve"> pública</w:t>
      </w:r>
      <w:r w:rsidR="00CF335A" w:rsidRPr="003C379E">
        <w:rPr>
          <w:rStyle w:val="Emphasis"/>
          <w:rFonts w:ascii="Cambria" w:hAnsi="Cambria" w:cs="Arial"/>
          <w:bCs/>
          <w:i w:val="0"/>
          <w:sz w:val="20"/>
          <w:szCs w:val="20"/>
          <w:shd w:val="clear" w:color="auto" w:fill="FFFFFF"/>
          <w:lang w:val="es-ES"/>
        </w:rPr>
        <w:t xml:space="preserve"> </w:t>
      </w:r>
      <w:r w:rsidR="00F72D77" w:rsidRPr="003C379E">
        <w:rPr>
          <w:rStyle w:val="Emphasis"/>
          <w:rFonts w:ascii="Cambria" w:hAnsi="Cambria" w:cs="Arial"/>
          <w:bCs/>
          <w:i w:val="0"/>
          <w:sz w:val="20"/>
          <w:szCs w:val="20"/>
          <w:shd w:val="clear" w:color="auto" w:fill="FFFFFF"/>
          <w:lang w:val="es-ES"/>
        </w:rPr>
        <w:t>e implicó</w:t>
      </w:r>
      <w:r w:rsidR="009115EB" w:rsidRPr="003C379E">
        <w:rPr>
          <w:rStyle w:val="Emphasis"/>
          <w:rFonts w:ascii="Cambria" w:hAnsi="Cambria" w:cs="Arial"/>
          <w:bCs/>
          <w:i w:val="0"/>
          <w:sz w:val="20"/>
          <w:szCs w:val="20"/>
          <w:shd w:val="clear" w:color="auto" w:fill="FFFFFF"/>
          <w:lang w:val="es-ES"/>
        </w:rPr>
        <w:t xml:space="preserve"> la</w:t>
      </w:r>
      <w:r w:rsidR="00C7574A" w:rsidRPr="003C379E">
        <w:rPr>
          <w:rStyle w:val="Emphasis"/>
          <w:rFonts w:ascii="Cambria" w:hAnsi="Cambria" w:cs="Arial"/>
          <w:bCs/>
          <w:i w:val="0"/>
          <w:sz w:val="20"/>
          <w:szCs w:val="20"/>
          <w:shd w:val="clear" w:color="auto" w:fill="FFFFFF"/>
          <w:lang w:val="es-ES"/>
        </w:rPr>
        <w:t xml:space="preserve"> exist</w:t>
      </w:r>
      <w:r w:rsidR="009115EB" w:rsidRPr="003C379E">
        <w:rPr>
          <w:rStyle w:val="Emphasis"/>
          <w:rFonts w:ascii="Cambria" w:hAnsi="Cambria" w:cs="Arial"/>
          <w:bCs/>
          <w:i w:val="0"/>
          <w:sz w:val="20"/>
          <w:szCs w:val="20"/>
          <w:shd w:val="clear" w:color="auto" w:fill="FFFFFF"/>
          <w:lang w:val="es-ES"/>
        </w:rPr>
        <w:t>encia</w:t>
      </w:r>
      <w:r w:rsidR="00C7574A" w:rsidRPr="003C379E">
        <w:rPr>
          <w:rStyle w:val="Emphasis"/>
          <w:rFonts w:ascii="Cambria" w:hAnsi="Cambria" w:cs="Arial"/>
          <w:bCs/>
          <w:i w:val="0"/>
          <w:sz w:val="20"/>
          <w:szCs w:val="20"/>
          <w:shd w:val="clear" w:color="auto" w:fill="FFFFFF"/>
          <w:lang w:val="es-ES"/>
        </w:rPr>
        <w:t xml:space="preserve"> de antecedentes </w:t>
      </w:r>
      <w:r w:rsidR="00F72D77" w:rsidRPr="003C379E">
        <w:rPr>
          <w:rStyle w:val="Emphasis"/>
          <w:rFonts w:ascii="Cambria" w:hAnsi="Cambria" w:cs="Arial"/>
          <w:bCs/>
          <w:i w:val="0"/>
          <w:sz w:val="20"/>
          <w:szCs w:val="20"/>
          <w:shd w:val="clear" w:color="auto" w:fill="FFFFFF"/>
          <w:lang w:val="es-ES"/>
        </w:rPr>
        <w:t>penales</w:t>
      </w:r>
      <w:r w:rsidR="00B05EA6" w:rsidRPr="003C379E">
        <w:rPr>
          <w:rStyle w:val="Emphasis"/>
          <w:rFonts w:ascii="Cambria" w:hAnsi="Cambria" w:cs="Arial"/>
          <w:bCs/>
          <w:i w:val="0"/>
          <w:sz w:val="20"/>
          <w:szCs w:val="20"/>
          <w:shd w:val="clear" w:color="auto" w:fill="FFFFFF"/>
          <w:lang w:val="es-ES"/>
        </w:rPr>
        <w:t xml:space="preserve"> </w:t>
      </w:r>
      <w:r w:rsidR="00F72D77" w:rsidRPr="003C379E">
        <w:rPr>
          <w:rStyle w:val="Emphasis"/>
          <w:rFonts w:ascii="Cambria" w:hAnsi="Cambria" w:cs="Arial"/>
          <w:bCs/>
          <w:i w:val="0"/>
          <w:sz w:val="20"/>
          <w:szCs w:val="20"/>
          <w:shd w:val="clear" w:color="auto" w:fill="FFFFFF"/>
          <w:lang w:val="es-ES"/>
        </w:rPr>
        <w:t>para</w:t>
      </w:r>
      <w:r w:rsidR="009115EB" w:rsidRPr="003C379E">
        <w:rPr>
          <w:rStyle w:val="Emphasis"/>
          <w:rFonts w:ascii="Cambria" w:hAnsi="Cambria" w:cs="Arial"/>
          <w:bCs/>
          <w:i w:val="0"/>
          <w:sz w:val="20"/>
          <w:szCs w:val="20"/>
          <w:shd w:val="clear" w:color="auto" w:fill="FFFFFF"/>
          <w:lang w:val="es-ES"/>
        </w:rPr>
        <w:t xml:space="preserve"> la</w:t>
      </w:r>
      <w:r w:rsidR="00C7574A" w:rsidRPr="003C379E">
        <w:rPr>
          <w:rStyle w:val="Emphasis"/>
          <w:rFonts w:ascii="Cambria" w:hAnsi="Cambria" w:cs="Arial"/>
          <w:bCs/>
          <w:i w:val="0"/>
          <w:sz w:val="20"/>
          <w:szCs w:val="20"/>
          <w:shd w:val="clear" w:color="auto" w:fill="FFFFFF"/>
          <w:lang w:val="es-ES"/>
        </w:rPr>
        <w:t xml:space="preserve"> </w:t>
      </w:r>
      <w:r w:rsidR="00B05EA6" w:rsidRPr="003C379E">
        <w:rPr>
          <w:rStyle w:val="Emphasis"/>
          <w:rFonts w:ascii="Cambria" w:hAnsi="Cambria" w:cs="Arial"/>
          <w:bCs/>
          <w:i w:val="0"/>
          <w:sz w:val="20"/>
          <w:szCs w:val="20"/>
          <w:shd w:val="clear" w:color="auto" w:fill="FFFFFF"/>
          <w:lang w:val="es-ES"/>
        </w:rPr>
        <w:t>presunta v</w:t>
      </w:r>
      <w:r w:rsidR="009115EB" w:rsidRPr="003C379E">
        <w:rPr>
          <w:rStyle w:val="Emphasis"/>
          <w:rFonts w:ascii="Cambria" w:hAnsi="Cambria" w:cs="Arial"/>
          <w:bCs/>
          <w:i w:val="0"/>
          <w:sz w:val="20"/>
          <w:szCs w:val="20"/>
          <w:shd w:val="clear" w:color="auto" w:fill="FFFFFF"/>
          <w:lang w:val="es-ES"/>
        </w:rPr>
        <w:t>íctima</w:t>
      </w:r>
      <w:r w:rsidR="002D4ADF" w:rsidRPr="003C379E">
        <w:rPr>
          <w:rStyle w:val="Emphasis"/>
          <w:rFonts w:ascii="Cambria" w:hAnsi="Cambria" w:cs="Arial"/>
          <w:bCs/>
          <w:i w:val="0"/>
          <w:sz w:val="20"/>
          <w:szCs w:val="20"/>
          <w:shd w:val="clear" w:color="auto" w:fill="FFFFFF"/>
          <w:lang w:val="es-ES"/>
        </w:rPr>
        <w:t xml:space="preserve">, que </w:t>
      </w:r>
      <w:r w:rsidR="00714B1A" w:rsidRPr="003C379E">
        <w:rPr>
          <w:rStyle w:val="Emphasis"/>
          <w:rFonts w:ascii="Cambria" w:hAnsi="Cambria" w:cs="Arial"/>
          <w:bCs/>
          <w:i w:val="0"/>
          <w:sz w:val="20"/>
          <w:szCs w:val="20"/>
          <w:shd w:val="clear" w:color="auto" w:fill="FFFFFF"/>
          <w:lang w:val="es-ES"/>
        </w:rPr>
        <w:t>afectaron</w:t>
      </w:r>
      <w:r w:rsidR="00B05EA6" w:rsidRPr="003C379E">
        <w:rPr>
          <w:rStyle w:val="Emphasis"/>
          <w:rFonts w:ascii="Cambria" w:hAnsi="Cambria" w:cs="Arial"/>
          <w:bCs/>
          <w:i w:val="0"/>
          <w:sz w:val="20"/>
          <w:szCs w:val="20"/>
          <w:shd w:val="clear" w:color="auto" w:fill="FFFFFF"/>
          <w:lang w:val="es-ES"/>
        </w:rPr>
        <w:t xml:space="preserve"> </w:t>
      </w:r>
      <w:r w:rsidR="009115EB" w:rsidRPr="003C379E">
        <w:rPr>
          <w:rStyle w:val="Emphasis"/>
          <w:rFonts w:ascii="Cambria" w:hAnsi="Cambria" w:cs="Arial"/>
          <w:bCs/>
          <w:i w:val="0"/>
          <w:sz w:val="20"/>
          <w:szCs w:val="20"/>
          <w:shd w:val="clear" w:color="auto" w:fill="FFFFFF"/>
          <w:lang w:val="es-ES"/>
        </w:rPr>
        <w:t>su</w:t>
      </w:r>
      <w:r w:rsidR="002D4ADF" w:rsidRPr="003C379E">
        <w:rPr>
          <w:rStyle w:val="Emphasis"/>
          <w:rFonts w:ascii="Cambria" w:hAnsi="Cambria" w:cs="Arial"/>
          <w:bCs/>
          <w:i w:val="0"/>
          <w:sz w:val="20"/>
          <w:szCs w:val="20"/>
          <w:shd w:val="clear" w:color="auto" w:fill="FFFFFF"/>
          <w:lang w:val="es-ES"/>
        </w:rPr>
        <w:t xml:space="preserve"> digni</w:t>
      </w:r>
      <w:r w:rsidR="009115EB" w:rsidRPr="003C379E">
        <w:rPr>
          <w:rStyle w:val="Emphasis"/>
          <w:rFonts w:ascii="Cambria" w:hAnsi="Cambria" w:cs="Arial"/>
          <w:bCs/>
          <w:i w:val="0"/>
          <w:sz w:val="20"/>
          <w:szCs w:val="20"/>
          <w:shd w:val="clear" w:color="auto" w:fill="FFFFFF"/>
          <w:lang w:val="es-ES"/>
        </w:rPr>
        <w:t>dad y</w:t>
      </w:r>
      <w:r w:rsidR="002D4ADF" w:rsidRPr="003C379E">
        <w:rPr>
          <w:rStyle w:val="Emphasis"/>
          <w:rFonts w:ascii="Cambria" w:hAnsi="Cambria" w:cs="Arial"/>
          <w:bCs/>
          <w:i w:val="0"/>
          <w:sz w:val="20"/>
          <w:szCs w:val="20"/>
          <w:shd w:val="clear" w:color="auto" w:fill="FFFFFF"/>
          <w:lang w:val="es-ES"/>
        </w:rPr>
        <w:t xml:space="preserve"> reputa</w:t>
      </w:r>
      <w:r w:rsidR="009115EB" w:rsidRPr="003C379E">
        <w:rPr>
          <w:rStyle w:val="Emphasis"/>
          <w:rFonts w:ascii="Cambria" w:hAnsi="Cambria" w:cs="Arial"/>
          <w:bCs/>
          <w:i w:val="0"/>
          <w:sz w:val="20"/>
          <w:szCs w:val="20"/>
          <w:shd w:val="clear" w:color="auto" w:fill="FFFFFF"/>
          <w:lang w:val="es-ES"/>
        </w:rPr>
        <w:t>ción</w:t>
      </w:r>
      <w:r w:rsidR="002D4ADF" w:rsidRPr="003C379E">
        <w:rPr>
          <w:rStyle w:val="Emphasis"/>
          <w:rFonts w:ascii="Cambria" w:hAnsi="Cambria" w:cs="Arial"/>
          <w:bCs/>
          <w:i w:val="0"/>
          <w:sz w:val="20"/>
          <w:szCs w:val="20"/>
          <w:shd w:val="clear" w:color="auto" w:fill="FFFFFF"/>
          <w:lang w:val="es-ES"/>
        </w:rPr>
        <w:t>.</w:t>
      </w:r>
      <w:r w:rsidR="00F72D77" w:rsidRPr="003C379E">
        <w:rPr>
          <w:rStyle w:val="Emphasis"/>
          <w:rFonts w:ascii="Cambria" w:hAnsi="Cambria" w:cs="Arial"/>
          <w:bCs/>
          <w:i w:val="0"/>
          <w:sz w:val="20"/>
          <w:szCs w:val="20"/>
          <w:shd w:val="clear" w:color="auto" w:fill="FFFFFF"/>
          <w:lang w:val="es-ES"/>
        </w:rPr>
        <w:t xml:space="preserve"> </w:t>
      </w:r>
    </w:p>
    <w:p w14:paraId="1A82943C" w14:textId="34B52501" w:rsidR="00D11665" w:rsidRPr="003C379E" w:rsidRDefault="009115EB" w:rsidP="00334EAF">
      <w:pPr>
        <w:pStyle w:val="ListParagraph"/>
        <w:numPr>
          <w:ilvl w:val="0"/>
          <w:numId w:val="103"/>
        </w:numPr>
        <w:suppressAutoHyphens/>
        <w:spacing w:after="120"/>
        <w:jc w:val="both"/>
        <w:rPr>
          <w:sz w:val="20"/>
          <w:szCs w:val="20"/>
          <w:lang w:val="es-ES"/>
        </w:rPr>
      </w:pPr>
      <w:r w:rsidRPr="003C379E">
        <w:rPr>
          <w:rFonts w:cs="Tahoma"/>
          <w:sz w:val="20"/>
          <w:szCs w:val="20"/>
          <w:lang w:val="es-ES"/>
        </w:rPr>
        <w:t>En la</w:t>
      </w:r>
      <w:r w:rsidR="004C26E0" w:rsidRPr="003C379E">
        <w:rPr>
          <w:rFonts w:cs="Tahoma"/>
          <w:sz w:val="20"/>
          <w:szCs w:val="20"/>
          <w:lang w:val="es-ES"/>
        </w:rPr>
        <w:t xml:space="preserve"> presente peti</w:t>
      </w:r>
      <w:r w:rsidRPr="003C379E">
        <w:rPr>
          <w:rFonts w:cs="Tahoma"/>
          <w:sz w:val="20"/>
          <w:szCs w:val="20"/>
          <w:lang w:val="es-ES"/>
        </w:rPr>
        <w:t>ción</w:t>
      </w:r>
      <w:r w:rsidR="004C26E0" w:rsidRPr="003C379E">
        <w:rPr>
          <w:rFonts w:cs="Tahoma"/>
          <w:sz w:val="20"/>
          <w:szCs w:val="20"/>
          <w:lang w:val="es-ES"/>
        </w:rPr>
        <w:t xml:space="preserve">, </w:t>
      </w:r>
      <w:r w:rsidR="00B6265D" w:rsidRPr="003C379E">
        <w:rPr>
          <w:rFonts w:cs="Tahoma"/>
          <w:sz w:val="20"/>
          <w:szCs w:val="20"/>
          <w:lang w:val="es-ES"/>
        </w:rPr>
        <w:t>la</w:t>
      </w:r>
      <w:r w:rsidR="004C26E0" w:rsidRPr="003C379E">
        <w:rPr>
          <w:rFonts w:cs="Tahoma"/>
          <w:sz w:val="20"/>
          <w:szCs w:val="20"/>
          <w:lang w:val="es-ES"/>
        </w:rPr>
        <w:t xml:space="preserve"> CIDH </w:t>
      </w:r>
      <w:r w:rsidR="00B05EA6" w:rsidRPr="003C379E">
        <w:rPr>
          <w:rFonts w:cs="Tahoma"/>
          <w:sz w:val="20"/>
          <w:szCs w:val="20"/>
          <w:lang w:val="es-ES"/>
        </w:rPr>
        <w:t>entiende</w:t>
      </w:r>
      <w:r w:rsidR="004C26E0" w:rsidRPr="003C379E">
        <w:rPr>
          <w:rFonts w:cs="Tahoma"/>
          <w:sz w:val="20"/>
          <w:szCs w:val="20"/>
          <w:lang w:val="es-ES"/>
        </w:rPr>
        <w:t xml:space="preserve"> que está </w:t>
      </w:r>
      <w:r w:rsidR="00B05EA6" w:rsidRPr="003C379E">
        <w:rPr>
          <w:rFonts w:cs="Tahoma"/>
          <w:sz w:val="20"/>
          <w:szCs w:val="20"/>
          <w:lang w:val="es-ES"/>
        </w:rPr>
        <w:t xml:space="preserve">frente a </w:t>
      </w:r>
      <w:r w:rsidRPr="003C379E">
        <w:rPr>
          <w:rFonts w:cs="Tahoma"/>
          <w:sz w:val="20"/>
          <w:szCs w:val="20"/>
          <w:lang w:val="es-ES"/>
        </w:rPr>
        <w:t>una</w:t>
      </w:r>
      <w:r w:rsidR="004C26E0" w:rsidRPr="003C379E">
        <w:rPr>
          <w:rFonts w:cs="Tahoma"/>
          <w:sz w:val="20"/>
          <w:szCs w:val="20"/>
          <w:lang w:val="es-ES"/>
        </w:rPr>
        <w:t xml:space="preserve"> aplica</w:t>
      </w:r>
      <w:r w:rsidRPr="003C379E">
        <w:rPr>
          <w:rFonts w:cs="Tahoma"/>
          <w:sz w:val="20"/>
          <w:szCs w:val="20"/>
          <w:lang w:val="es-ES"/>
        </w:rPr>
        <w:t>ción</w:t>
      </w:r>
      <w:r w:rsidR="004C26E0" w:rsidRPr="003C379E">
        <w:rPr>
          <w:rFonts w:cs="Tahoma"/>
          <w:sz w:val="20"/>
          <w:szCs w:val="20"/>
          <w:lang w:val="es-ES"/>
        </w:rPr>
        <w:t xml:space="preserve"> </w:t>
      </w:r>
      <w:r w:rsidRPr="003C379E">
        <w:rPr>
          <w:rFonts w:cs="Tahoma"/>
          <w:sz w:val="20"/>
          <w:szCs w:val="20"/>
          <w:lang w:val="es-ES"/>
        </w:rPr>
        <w:t>de la</w:t>
      </w:r>
      <w:r w:rsidR="004C26E0" w:rsidRPr="003C379E">
        <w:rPr>
          <w:rFonts w:cs="Tahoma"/>
          <w:sz w:val="20"/>
          <w:szCs w:val="20"/>
          <w:lang w:val="es-ES"/>
        </w:rPr>
        <w:t xml:space="preserve"> figura penal </w:t>
      </w:r>
      <w:r w:rsidRPr="003C379E">
        <w:rPr>
          <w:rFonts w:cs="Tahoma"/>
          <w:sz w:val="20"/>
          <w:szCs w:val="20"/>
          <w:lang w:val="es-ES"/>
        </w:rPr>
        <w:t>de</w:t>
      </w:r>
      <w:r w:rsidR="004C26E0" w:rsidRPr="003C379E">
        <w:rPr>
          <w:rFonts w:cs="Tahoma"/>
          <w:sz w:val="20"/>
          <w:szCs w:val="20"/>
          <w:lang w:val="es-ES"/>
        </w:rPr>
        <w:t xml:space="preserve"> desacato. </w:t>
      </w:r>
      <w:r w:rsidRPr="003C379E">
        <w:rPr>
          <w:rFonts w:cs="Tahoma"/>
          <w:sz w:val="20"/>
          <w:szCs w:val="20"/>
          <w:lang w:val="es-ES"/>
        </w:rPr>
        <w:t xml:space="preserve">En </w:t>
      </w:r>
      <w:r w:rsidR="004C26E0" w:rsidRPr="003C379E">
        <w:rPr>
          <w:rFonts w:cs="Tahoma"/>
          <w:sz w:val="20"/>
          <w:szCs w:val="20"/>
          <w:lang w:val="es-ES"/>
        </w:rPr>
        <w:t>diversas oca</w:t>
      </w:r>
      <w:r w:rsidR="00B05EA6" w:rsidRPr="003C379E">
        <w:rPr>
          <w:rFonts w:cs="Tahoma"/>
          <w:sz w:val="20"/>
          <w:szCs w:val="20"/>
          <w:lang w:val="es-ES"/>
        </w:rPr>
        <w:t>siones</w:t>
      </w:r>
      <w:r w:rsidR="004C26E0" w:rsidRPr="003C379E">
        <w:rPr>
          <w:rFonts w:cs="Tahoma"/>
          <w:sz w:val="20"/>
          <w:szCs w:val="20"/>
          <w:lang w:val="es-ES"/>
        </w:rPr>
        <w:t xml:space="preserve">, </w:t>
      </w:r>
      <w:r w:rsidR="00B6265D" w:rsidRPr="003C379E">
        <w:rPr>
          <w:rFonts w:cs="Tahoma"/>
          <w:sz w:val="20"/>
          <w:szCs w:val="20"/>
          <w:lang w:val="es-ES"/>
        </w:rPr>
        <w:t>la</w:t>
      </w:r>
      <w:r w:rsidR="004C26E0" w:rsidRPr="003C379E">
        <w:rPr>
          <w:rFonts w:cs="Tahoma"/>
          <w:sz w:val="20"/>
          <w:szCs w:val="20"/>
          <w:lang w:val="es-ES"/>
        </w:rPr>
        <w:t xml:space="preserve"> CIDH determi</w:t>
      </w:r>
      <w:r w:rsidR="00B05EA6" w:rsidRPr="003C379E">
        <w:rPr>
          <w:rFonts w:cs="Tahoma"/>
          <w:sz w:val="20"/>
          <w:szCs w:val="20"/>
          <w:lang w:val="es-ES"/>
        </w:rPr>
        <w:t xml:space="preserve">nó </w:t>
      </w:r>
      <w:r w:rsidR="004C26E0" w:rsidRPr="003C379E">
        <w:rPr>
          <w:rFonts w:cs="Tahoma"/>
          <w:sz w:val="20"/>
          <w:szCs w:val="20"/>
          <w:lang w:val="es-ES"/>
        </w:rPr>
        <w:t>que e</w:t>
      </w:r>
      <w:r w:rsidR="00B05EA6" w:rsidRPr="003C379E">
        <w:rPr>
          <w:rFonts w:cs="Tahoma"/>
          <w:sz w:val="20"/>
          <w:szCs w:val="20"/>
          <w:lang w:val="es-ES"/>
        </w:rPr>
        <w:t>s</w:t>
      </w:r>
      <w:r w:rsidR="004C26E0" w:rsidRPr="003C379E">
        <w:rPr>
          <w:rFonts w:cs="Tahoma"/>
          <w:sz w:val="20"/>
          <w:szCs w:val="20"/>
          <w:lang w:val="es-ES"/>
        </w:rPr>
        <w:t xml:space="preserve">a figura penal </w:t>
      </w:r>
      <w:r w:rsidRPr="003C379E">
        <w:rPr>
          <w:rFonts w:cs="Tahoma"/>
          <w:sz w:val="20"/>
          <w:szCs w:val="20"/>
          <w:lang w:val="es-ES"/>
        </w:rPr>
        <w:t>no</w:t>
      </w:r>
      <w:r w:rsidR="004C26E0" w:rsidRPr="003C379E">
        <w:rPr>
          <w:rFonts w:cs="Tahoma"/>
          <w:sz w:val="20"/>
          <w:szCs w:val="20"/>
          <w:lang w:val="es-ES"/>
        </w:rPr>
        <w:t xml:space="preserve"> </w:t>
      </w:r>
      <w:r w:rsidRPr="003C379E">
        <w:rPr>
          <w:rFonts w:cs="Tahoma"/>
          <w:sz w:val="20"/>
          <w:szCs w:val="20"/>
          <w:lang w:val="es-ES"/>
        </w:rPr>
        <w:t>es</w:t>
      </w:r>
      <w:r w:rsidR="004C26E0" w:rsidRPr="003C379E">
        <w:rPr>
          <w:rFonts w:cs="Tahoma"/>
          <w:sz w:val="20"/>
          <w:szCs w:val="20"/>
          <w:lang w:val="es-ES"/>
        </w:rPr>
        <w:t xml:space="preserve"> compat</w:t>
      </w:r>
      <w:r w:rsidR="00B05EA6" w:rsidRPr="003C379E">
        <w:rPr>
          <w:rFonts w:cs="Tahoma"/>
          <w:sz w:val="20"/>
          <w:szCs w:val="20"/>
          <w:lang w:val="es-ES"/>
        </w:rPr>
        <w:t xml:space="preserve">ible </w:t>
      </w:r>
      <w:r w:rsidRPr="003C379E">
        <w:rPr>
          <w:rFonts w:cs="Tahoma"/>
          <w:sz w:val="20"/>
          <w:szCs w:val="20"/>
          <w:lang w:val="es-ES"/>
        </w:rPr>
        <w:t>con</w:t>
      </w:r>
      <w:r w:rsidR="004C26E0" w:rsidRPr="003C379E">
        <w:rPr>
          <w:rFonts w:cs="Tahoma"/>
          <w:sz w:val="20"/>
          <w:szCs w:val="20"/>
          <w:lang w:val="es-ES"/>
        </w:rPr>
        <w:t xml:space="preserve"> </w:t>
      </w:r>
      <w:r w:rsidR="00B6265D" w:rsidRPr="003C379E">
        <w:rPr>
          <w:rFonts w:cs="Tahoma"/>
          <w:sz w:val="20"/>
          <w:szCs w:val="20"/>
          <w:lang w:val="es-ES"/>
        </w:rPr>
        <w:t>la</w:t>
      </w:r>
      <w:r w:rsidR="004C26E0" w:rsidRPr="003C379E">
        <w:rPr>
          <w:rFonts w:cs="Tahoma"/>
          <w:sz w:val="20"/>
          <w:szCs w:val="20"/>
          <w:lang w:val="es-ES"/>
        </w:rPr>
        <w:t xml:space="preserve"> CADH, </w:t>
      </w:r>
      <w:r w:rsidR="00CD516A" w:rsidRPr="003C379E">
        <w:rPr>
          <w:rFonts w:cs="Tahoma"/>
          <w:sz w:val="20"/>
          <w:szCs w:val="20"/>
          <w:lang w:val="es-ES"/>
        </w:rPr>
        <w:t>puesto</w:t>
      </w:r>
      <w:r w:rsidR="004C26E0" w:rsidRPr="003C379E">
        <w:rPr>
          <w:rFonts w:cs="Tahoma"/>
          <w:sz w:val="20"/>
          <w:szCs w:val="20"/>
          <w:lang w:val="es-ES"/>
        </w:rPr>
        <w:t xml:space="preserve"> que se presta a abusos como me</w:t>
      </w:r>
      <w:r w:rsidR="00B05EA6" w:rsidRPr="003C379E">
        <w:rPr>
          <w:rFonts w:cs="Tahoma"/>
          <w:sz w:val="20"/>
          <w:szCs w:val="20"/>
          <w:lang w:val="es-ES"/>
        </w:rPr>
        <w:t>d</w:t>
      </w:r>
      <w:r w:rsidR="004C26E0" w:rsidRPr="003C379E">
        <w:rPr>
          <w:rFonts w:cs="Tahoma"/>
          <w:sz w:val="20"/>
          <w:szCs w:val="20"/>
          <w:lang w:val="es-ES"/>
        </w:rPr>
        <w:t xml:space="preserve">io </w:t>
      </w:r>
      <w:r w:rsidR="00D41CA5" w:rsidRPr="003C379E">
        <w:rPr>
          <w:rFonts w:cs="Tahoma"/>
          <w:sz w:val="20"/>
          <w:szCs w:val="20"/>
          <w:lang w:val="es-ES"/>
        </w:rPr>
        <w:t>para</w:t>
      </w:r>
      <w:r w:rsidR="004C26E0" w:rsidRPr="003C379E">
        <w:rPr>
          <w:rFonts w:cs="Tahoma"/>
          <w:sz w:val="20"/>
          <w:szCs w:val="20"/>
          <w:lang w:val="es-ES"/>
        </w:rPr>
        <w:t xml:space="preserve"> silenciar </w:t>
      </w:r>
      <w:r w:rsidR="00B05EA6" w:rsidRPr="003C379E">
        <w:rPr>
          <w:rFonts w:cs="Tahoma"/>
          <w:sz w:val="20"/>
          <w:szCs w:val="20"/>
          <w:lang w:val="es-ES"/>
        </w:rPr>
        <w:t>idea</w:t>
      </w:r>
      <w:r w:rsidR="004C26E0" w:rsidRPr="003C379E">
        <w:rPr>
          <w:rFonts w:cs="Tahoma"/>
          <w:sz w:val="20"/>
          <w:szCs w:val="20"/>
          <w:lang w:val="es-ES"/>
        </w:rPr>
        <w:t xml:space="preserve">s </w:t>
      </w:r>
      <w:r w:rsidRPr="003C379E">
        <w:rPr>
          <w:rFonts w:cs="Tahoma"/>
          <w:sz w:val="20"/>
          <w:szCs w:val="20"/>
          <w:lang w:val="es-ES"/>
        </w:rPr>
        <w:t>y</w:t>
      </w:r>
      <w:r w:rsidR="004C26E0" w:rsidRPr="003C379E">
        <w:rPr>
          <w:rFonts w:cs="Tahoma"/>
          <w:sz w:val="20"/>
          <w:szCs w:val="20"/>
          <w:lang w:val="es-ES"/>
        </w:rPr>
        <w:t xml:space="preserve"> opini</w:t>
      </w:r>
      <w:r w:rsidR="00B05EA6" w:rsidRPr="003C379E">
        <w:rPr>
          <w:rFonts w:cs="Tahoma"/>
          <w:sz w:val="20"/>
          <w:szCs w:val="20"/>
          <w:lang w:val="es-ES"/>
        </w:rPr>
        <w:t>on</w:t>
      </w:r>
      <w:r w:rsidR="004C26E0" w:rsidRPr="003C379E">
        <w:rPr>
          <w:rFonts w:cs="Tahoma"/>
          <w:sz w:val="20"/>
          <w:szCs w:val="20"/>
          <w:lang w:val="es-ES"/>
        </w:rPr>
        <w:t xml:space="preserve">es, </w:t>
      </w:r>
      <w:r w:rsidR="00D41CA5" w:rsidRPr="003C379E">
        <w:rPr>
          <w:rFonts w:cs="Tahoma"/>
          <w:sz w:val="20"/>
          <w:szCs w:val="20"/>
          <w:lang w:val="es-ES"/>
        </w:rPr>
        <w:t xml:space="preserve">y </w:t>
      </w:r>
      <w:r w:rsidR="00C605D9" w:rsidRPr="003C379E">
        <w:rPr>
          <w:rFonts w:cs="Tahoma"/>
          <w:sz w:val="20"/>
          <w:szCs w:val="20"/>
          <w:lang w:val="es-ES"/>
        </w:rPr>
        <w:t>reprimi</w:t>
      </w:r>
      <w:r w:rsidR="00D41CA5" w:rsidRPr="003C379E">
        <w:rPr>
          <w:rFonts w:cs="Tahoma"/>
          <w:sz w:val="20"/>
          <w:szCs w:val="20"/>
          <w:lang w:val="es-ES"/>
        </w:rPr>
        <w:t>r</w:t>
      </w:r>
      <w:r w:rsidR="004C26E0" w:rsidRPr="003C379E">
        <w:rPr>
          <w:rFonts w:cs="Tahoma"/>
          <w:sz w:val="20"/>
          <w:szCs w:val="20"/>
          <w:lang w:val="es-ES"/>
        </w:rPr>
        <w:t xml:space="preserve"> </w:t>
      </w:r>
      <w:r w:rsidR="00B05EA6" w:rsidRPr="003C379E">
        <w:rPr>
          <w:rFonts w:cs="Tahoma"/>
          <w:sz w:val="20"/>
          <w:szCs w:val="20"/>
          <w:lang w:val="es-ES"/>
        </w:rPr>
        <w:t>así</w:t>
      </w:r>
      <w:r w:rsidR="004C26E0" w:rsidRPr="003C379E">
        <w:rPr>
          <w:rFonts w:cs="Tahoma"/>
          <w:sz w:val="20"/>
          <w:szCs w:val="20"/>
          <w:lang w:val="es-ES"/>
        </w:rPr>
        <w:t xml:space="preserve"> </w:t>
      </w:r>
      <w:r w:rsidRPr="003C379E">
        <w:rPr>
          <w:rFonts w:cs="Tahoma"/>
          <w:sz w:val="20"/>
          <w:szCs w:val="20"/>
          <w:lang w:val="es-ES"/>
        </w:rPr>
        <w:t>un</w:t>
      </w:r>
      <w:r w:rsidR="004C26E0" w:rsidRPr="003C379E">
        <w:rPr>
          <w:rFonts w:cs="Tahoma"/>
          <w:sz w:val="20"/>
          <w:szCs w:val="20"/>
          <w:lang w:val="es-ES"/>
        </w:rPr>
        <w:t xml:space="preserve"> debate que </w:t>
      </w:r>
      <w:r w:rsidRPr="003C379E">
        <w:rPr>
          <w:rFonts w:cs="Tahoma"/>
          <w:sz w:val="20"/>
          <w:szCs w:val="20"/>
          <w:lang w:val="es-ES"/>
        </w:rPr>
        <w:t>es</w:t>
      </w:r>
      <w:r w:rsidR="004C26E0" w:rsidRPr="003C379E">
        <w:rPr>
          <w:rFonts w:cs="Tahoma"/>
          <w:sz w:val="20"/>
          <w:szCs w:val="20"/>
          <w:lang w:val="es-ES"/>
        </w:rPr>
        <w:t xml:space="preserve"> de vital import</w:t>
      </w:r>
      <w:r w:rsidRPr="003C379E">
        <w:rPr>
          <w:rFonts w:cs="Tahoma"/>
          <w:sz w:val="20"/>
          <w:szCs w:val="20"/>
          <w:lang w:val="es-ES"/>
        </w:rPr>
        <w:t>ancia</w:t>
      </w:r>
      <w:r w:rsidR="004C26E0" w:rsidRPr="003C379E">
        <w:rPr>
          <w:rFonts w:cs="Tahoma"/>
          <w:sz w:val="20"/>
          <w:szCs w:val="20"/>
          <w:lang w:val="es-ES"/>
        </w:rPr>
        <w:t xml:space="preserve"> para </w:t>
      </w:r>
      <w:r w:rsidRPr="003C379E">
        <w:rPr>
          <w:rFonts w:cs="Tahoma"/>
          <w:sz w:val="20"/>
          <w:szCs w:val="20"/>
          <w:lang w:val="es-ES"/>
        </w:rPr>
        <w:t>el</w:t>
      </w:r>
      <w:r w:rsidR="004C26E0" w:rsidRPr="003C379E">
        <w:rPr>
          <w:rFonts w:cs="Tahoma"/>
          <w:sz w:val="20"/>
          <w:szCs w:val="20"/>
          <w:lang w:val="es-ES"/>
        </w:rPr>
        <w:t xml:space="preserve"> </w:t>
      </w:r>
      <w:r w:rsidRPr="003C379E">
        <w:rPr>
          <w:rFonts w:cs="Tahoma"/>
          <w:sz w:val="20"/>
          <w:szCs w:val="20"/>
          <w:lang w:val="es-ES"/>
        </w:rPr>
        <w:t>efectiv</w:t>
      </w:r>
      <w:r w:rsidR="004C26E0" w:rsidRPr="003C379E">
        <w:rPr>
          <w:rFonts w:cs="Tahoma"/>
          <w:sz w:val="20"/>
          <w:szCs w:val="20"/>
          <w:lang w:val="es-ES"/>
        </w:rPr>
        <w:t xml:space="preserve">o </w:t>
      </w:r>
      <w:r w:rsidR="00C605D9" w:rsidRPr="003C379E">
        <w:rPr>
          <w:rFonts w:cs="Tahoma"/>
          <w:sz w:val="20"/>
          <w:szCs w:val="20"/>
          <w:lang w:val="es-ES"/>
        </w:rPr>
        <w:t>func</w:t>
      </w:r>
      <w:r w:rsidR="00C605D9" w:rsidRPr="003C379E">
        <w:rPr>
          <w:rFonts w:cs="Tahoma"/>
          <w:color w:val="auto"/>
          <w:sz w:val="20"/>
          <w:szCs w:val="20"/>
          <w:lang w:val="es-ES"/>
        </w:rPr>
        <w:t>ionamiento</w:t>
      </w:r>
      <w:r w:rsidR="004C26E0" w:rsidRPr="003C379E">
        <w:rPr>
          <w:rFonts w:cs="Tahoma"/>
          <w:color w:val="auto"/>
          <w:sz w:val="20"/>
          <w:szCs w:val="20"/>
          <w:lang w:val="es-ES"/>
        </w:rPr>
        <w:t xml:space="preserve"> </w:t>
      </w:r>
      <w:r w:rsidRPr="003C379E">
        <w:rPr>
          <w:rFonts w:cs="Tahoma"/>
          <w:color w:val="auto"/>
          <w:sz w:val="20"/>
          <w:szCs w:val="20"/>
          <w:lang w:val="es-ES"/>
        </w:rPr>
        <w:t>de las</w:t>
      </w:r>
      <w:r w:rsidR="004C26E0" w:rsidRPr="003C379E">
        <w:rPr>
          <w:rFonts w:cs="Tahoma"/>
          <w:color w:val="auto"/>
          <w:sz w:val="20"/>
          <w:szCs w:val="20"/>
          <w:lang w:val="es-ES"/>
        </w:rPr>
        <w:t xml:space="preserve"> instit</w:t>
      </w:r>
      <w:r w:rsidR="00B05EA6" w:rsidRPr="003C379E">
        <w:rPr>
          <w:rFonts w:cs="Tahoma"/>
          <w:color w:val="auto"/>
          <w:sz w:val="20"/>
          <w:szCs w:val="20"/>
          <w:lang w:val="es-ES"/>
        </w:rPr>
        <w:t>uci</w:t>
      </w:r>
      <w:r w:rsidRPr="003C379E">
        <w:rPr>
          <w:rFonts w:cs="Tahoma"/>
          <w:color w:val="auto"/>
          <w:sz w:val="20"/>
          <w:szCs w:val="20"/>
          <w:lang w:val="es-ES"/>
        </w:rPr>
        <w:t>ones</w:t>
      </w:r>
      <w:r w:rsidR="004C26E0" w:rsidRPr="003C379E">
        <w:rPr>
          <w:rFonts w:cs="Tahoma"/>
          <w:color w:val="auto"/>
          <w:sz w:val="20"/>
          <w:szCs w:val="20"/>
          <w:lang w:val="es-ES"/>
        </w:rPr>
        <w:t xml:space="preserve"> democráticas. </w:t>
      </w:r>
      <w:r w:rsidR="00B6265D" w:rsidRPr="003C379E">
        <w:rPr>
          <w:rFonts w:cs="Tahoma"/>
          <w:color w:val="auto"/>
          <w:sz w:val="20"/>
          <w:szCs w:val="20"/>
          <w:lang w:val="es-ES"/>
        </w:rPr>
        <w:t>La</w:t>
      </w:r>
      <w:r w:rsidR="004C26E0" w:rsidRPr="003C379E">
        <w:rPr>
          <w:rFonts w:cs="Tahoma"/>
          <w:color w:val="auto"/>
          <w:sz w:val="20"/>
          <w:szCs w:val="20"/>
          <w:lang w:val="es-ES"/>
        </w:rPr>
        <w:t xml:space="preserve"> aplica</w:t>
      </w:r>
      <w:r w:rsidRPr="003C379E">
        <w:rPr>
          <w:rFonts w:cs="Tahoma"/>
          <w:color w:val="auto"/>
          <w:sz w:val="20"/>
          <w:szCs w:val="20"/>
          <w:lang w:val="es-ES"/>
        </w:rPr>
        <w:t>ción</w:t>
      </w:r>
      <w:r w:rsidR="004C26E0" w:rsidRPr="003C379E">
        <w:rPr>
          <w:rFonts w:cs="Tahoma"/>
          <w:color w:val="auto"/>
          <w:sz w:val="20"/>
          <w:szCs w:val="20"/>
          <w:lang w:val="es-ES"/>
        </w:rPr>
        <w:t xml:space="preserve"> de </w:t>
      </w:r>
      <w:r w:rsidRPr="003C379E">
        <w:rPr>
          <w:rFonts w:cs="Tahoma"/>
          <w:color w:val="auto"/>
          <w:sz w:val="20"/>
          <w:szCs w:val="20"/>
          <w:lang w:val="es-ES"/>
        </w:rPr>
        <w:t>leyes</w:t>
      </w:r>
      <w:r w:rsidR="004C26E0" w:rsidRPr="003C379E">
        <w:rPr>
          <w:rFonts w:cs="Tahoma"/>
          <w:color w:val="auto"/>
          <w:sz w:val="20"/>
          <w:szCs w:val="20"/>
          <w:lang w:val="es-ES"/>
        </w:rPr>
        <w:t xml:space="preserve"> de desacato para proteger </w:t>
      </w:r>
      <w:r w:rsidR="00CC0F41" w:rsidRPr="003C379E">
        <w:rPr>
          <w:rFonts w:cs="Tahoma"/>
          <w:color w:val="auto"/>
          <w:sz w:val="20"/>
          <w:szCs w:val="20"/>
          <w:lang w:val="es-ES"/>
        </w:rPr>
        <w:t>el honor</w:t>
      </w:r>
      <w:r w:rsidR="004C26E0" w:rsidRPr="003C379E">
        <w:rPr>
          <w:rFonts w:cs="Tahoma"/>
          <w:color w:val="auto"/>
          <w:sz w:val="20"/>
          <w:szCs w:val="20"/>
          <w:lang w:val="es-ES"/>
        </w:rPr>
        <w:t xml:space="preserve"> de funcion</w:t>
      </w:r>
      <w:r w:rsidRPr="003C379E">
        <w:rPr>
          <w:rFonts w:cs="Tahoma"/>
          <w:color w:val="auto"/>
          <w:sz w:val="20"/>
          <w:szCs w:val="20"/>
          <w:lang w:val="es-ES"/>
        </w:rPr>
        <w:t>ario</w:t>
      </w:r>
      <w:r w:rsidR="004C26E0" w:rsidRPr="003C379E">
        <w:rPr>
          <w:rFonts w:cs="Tahoma"/>
          <w:color w:val="auto"/>
          <w:sz w:val="20"/>
          <w:szCs w:val="20"/>
          <w:lang w:val="es-ES"/>
        </w:rPr>
        <w:t xml:space="preserve">s públicos que </w:t>
      </w:r>
      <w:r w:rsidR="00B05EA6" w:rsidRPr="003C379E">
        <w:rPr>
          <w:rFonts w:cs="Tahoma"/>
          <w:color w:val="auto"/>
          <w:sz w:val="20"/>
          <w:szCs w:val="20"/>
          <w:lang w:val="es-ES"/>
        </w:rPr>
        <w:t xml:space="preserve">actúan </w:t>
      </w:r>
      <w:r w:rsidRPr="003C379E">
        <w:rPr>
          <w:rFonts w:cs="Tahoma"/>
          <w:color w:val="auto"/>
          <w:sz w:val="20"/>
          <w:szCs w:val="20"/>
          <w:lang w:val="es-ES"/>
        </w:rPr>
        <w:t xml:space="preserve">en </w:t>
      </w:r>
      <w:r w:rsidR="004C26E0" w:rsidRPr="003C379E">
        <w:rPr>
          <w:rFonts w:cs="Tahoma"/>
          <w:color w:val="auto"/>
          <w:sz w:val="20"/>
          <w:szCs w:val="20"/>
          <w:lang w:val="es-ES"/>
        </w:rPr>
        <w:t>cará</w:t>
      </w:r>
      <w:r w:rsidR="00B6265D" w:rsidRPr="003C379E">
        <w:rPr>
          <w:rFonts w:cs="Tahoma"/>
          <w:color w:val="auto"/>
          <w:sz w:val="20"/>
          <w:szCs w:val="20"/>
          <w:lang w:val="es-ES"/>
        </w:rPr>
        <w:t>c</w:t>
      </w:r>
      <w:r w:rsidR="004C26E0" w:rsidRPr="003C379E">
        <w:rPr>
          <w:rFonts w:cs="Tahoma"/>
          <w:color w:val="auto"/>
          <w:sz w:val="20"/>
          <w:szCs w:val="20"/>
          <w:lang w:val="es-ES"/>
        </w:rPr>
        <w:t xml:space="preserve">ter oficial </w:t>
      </w:r>
      <w:r w:rsidR="00B6265D" w:rsidRPr="003C379E">
        <w:rPr>
          <w:rFonts w:cs="Tahoma"/>
          <w:color w:val="auto"/>
          <w:sz w:val="20"/>
          <w:szCs w:val="20"/>
          <w:lang w:val="es-ES"/>
        </w:rPr>
        <w:t xml:space="preserve">les </w:t>
      </w:r>
      <w:r w:rsidR="004C26E0" w:rsidRPr="003C379E">
        <w:rPr>
          <w:rFonts w:cs="Tahoma"/>
          <w:color w:val="auto"/>
          <w:sz w:val="20"/>
          <w:szCs w:val="20"/>
          <w:lang w:val="es-ES"/>
        </w:rPr>
        <w:t xml:space="preserve">otorga </w:t>
      </w:r>
      <w:r w:rsidR="00E92BE8" w:rsidRPr="003C379E">
        <w:rPr>
          <w:rFonts w:cs="Tahoma"/>
          <w:color w:val="auto"/>
          <w:sz w:val="20"/>
          <w:szCs w:val="20"/>
          <w:lang w:val="es-ES"/>
        </w:rPr>
        <w:t xml:space="preserve">injustificadamente </w:t>
      </w:r>
      <w:r w:rsidRPr="003C379E">
        <w:rPr>
          <w:rFonts w:cs="Tahoma"/>
          <w:color w:val="auto"/>
          <w:sz w:val="20"/>
          <w:szCs w:val="20"/>
          <w:lang w:val="es-ES"/>
        </w:rPr>
        <w:t>un</w:t>
      </w:r>
      <w:r w:rsidR="004C26E0" w:rsidRPr="003C379E">
        <w:rPr>
          <w:rFonts w:cs="Tahoma"/>
          <w:color w:val="auto"/>
          <w:sz w:val="20"/>
          <w:szCs w:val="20"/>
          <w:lang w:val="es-ES"/>
        </w:rPr>
        <w:t xml:space="preserve"> </w:t>
      </w:r>
      <w:r w:rsidRPr="003C379E">
        <w:rPr>
          <w:rFonts w:cs="Tahoma"/>
          <w:color w:val="auto"/>
          <w:sz w:val="20"/>
          <w:szCs w:val="20"/>
          <w:lang w:val="es-ES"/>
        </w:rPr>
        <w:t>derech</w:t>
      </w:r>
      <w:r w:rsidR="004C26E0" w:rsidRPr="003C379E">
        <w:rPr>
          <w:rFonts w:cs="Tahoma"/>
          <w:color w:val="auto"/>
          <w:sz w:val="20"/>
          <w:szCs w:val="20"/>
          <w:lang w:val="es-ES"/>
        </w:rPr>
        <w:t xml:space="preserve">o </w:t>
      </w:r>
      <w:r w:rsidR="00CC0F41" w:rsidRPr="003C379E">
        <w:rPr>
          <w:rFonts w:cs="Tahoma"/>
          <w:color w:val="auto"/>
          <w:sz w:val="20"/>
          <w:szCs w:val="20"/>
          <w:lang w:val="es-ES"/>
        </w:rPr>
        <w:t>de</w:t>
      </w:r>
      <w:r w:rsidR="004C26E0" w:rsidRPr="003C379E">
        <w:rPr>
          <w:rFonts w:cs="Tahoma"/>
          <w:color w:val="auto"/>
          <w:sz w:val="20"/>
          <w:szCs w:val="20"/>
          <w:lang w:val="es-ES"/>
        </w:rPr>
        <w:t xml:space="preserve"> </w:t>
      </w:r>
      <w:r w:rsidR="00B05EA6" w:rsidRPr="003C379E">
        <w:rPr>
          <w:rFonts w:cs="Tahoma"/>
          <w:color w:val="auto"/>
          <w:sz w:val="20"/>
          <w:szCs w:val="20"/>
          <w:lang w:val="es-ES"/>
        </w:rPr>
        <w:t>protección</w:t>
      </w:r>
      <w:r w:rsidR="004C26E0" w:rsidRPr="003C379E">
        <w:rPr>
          <w:rFonts w:cs="Tahoma"/>
          <w:color w:val="auto"/>
          <w:sz w:val="20"/>
          <w:szCs w:val="20"/>
          <w:lang w:val="es-ES"/>
        </w:rPr>
        <w:t xml:space="preserve"> </w:t>
      </w:r>
      <w:r w:rsidRPr="003C379E">
        <w:rPr>
          <w:rFonts w:cs="Tahoma"/>
          <w:color w:val="auto"/>
          <w:sz w:val="20"/>
          <w:szCs w:val="20"/>
          <w:lang w:val="es-ES"/>
        </w:rPr>
        <w:t>del</w:t>
      </w:r>
      <w:r w:rsidR="004C26E0" w:rsidRPr="003C379E">
        <w:rPr>
          <w:rFonts w:cs="Tahoma"/>
          <w:color w:val="auto"/>
          <w:sz w:val="20"/>
          <w:szCs w:val="20"/>
          <w:lang w:val="es-ES"/>
        </w:rPr>
        <w:t xml:space="preserve"> </w:t>
      </w:r>
      <w:r w:rsidRPr="003C379E">
        <w:rPr>
          <w:rFonts w:cs="Tahoma"/>
          <w:color w:val="auto"/>
          <w:sz w:val="20"/>
          <w:szCs w:val="20"/>
          <w:lang w:val="es-ES"/>
        </w:rPr>
        <w:t>cua</w:t>
      </w:r>
      <w:r w:rsidR="004C26E0" w:rsidRPr="003C379E">
        <w:rPr>
          <w:rFonts w:cs="Tahoma"/>
          <w:color w:val="auto"/>
          <w:sz w:val="20"/>
          <w:szCs w:val="20"/>
          <w:lang w:val="es-ES"/>
        </w:rPr>
        <w:t xml:space="preserve">l </w:t>
      </w:r>
      <w:r w:rsidRPr="003C379E">
        <w:rPr>
          <w:rFonts w:cs="Tahoma"/>
          <w:color w:val="auto"/>
          <w:sz w:val="20"/>
          <w:szCs w:val="20"/>
          <w:lang w:val="es-ES"/>
        </w:rPr>
        <w:t>no</w:t>
      </w:r>
      <w:r w:rsidR="00B6265D" w:rsidRPr="003C379E">
        <w:rPr>
          <w:rFonts w:cs="Tahoma"/>
          <w:color w:val="auto"/>
          <w:sz w:val="20"/>
          <w:szCs w:val="20"/>
          <w:lang w:val="es-ES"/>
        </w:rPr>
        <w:t xml:space="preserve"> dispon</w:t>
      </w:r>
      <w:r w:rsidRPr="003C379E">
        <w:rPr>
          <w:rFonts w:cs="Tahoma"/>
          <w:color w:val="auto"/>
          <w:sz w:val="20"/>
          <w:szCs w:val="20"/>
          <w:lang w:val="es-ES"/>
        </w:rPr>
        <w:t>en los</w:t>
      </w:r>
      <w:r w:rsidR="004C26E0" w:rsidRPr="003C379E">
        <w:rPr>
          <w:rFonts w:cs="Tahoma"/>
          <w:color w:val="auto"/>
          <w:sz w:val="20"/>
          <w:szCs w:val="20"/>
          <w:lang w:val="es-ES"/>
        </w:rPr>
        <w:t xml:space="preserve"> </w:t>
      </w:r>
      <w:r w:rsidR="00B05EA6" w:rsidRPr="003C379E">
        <w:rPr>
          <w:rFonts w:cs="Tahoma"/>
          <w:color w:val="auto"/>
          <w:sz w:val="20"/>
          <w:szCs w:val="20"/>
          <w:lang w:val="es-ES"/>
        </w:rPr>
        <w:t xml:space="preserve">demás </w:t>
      </w:r>
      <w:r w:rsidR="004C26E0" w:rsidRPr="003C379E">
        <w:rPr>
          <w:rFonts w:cs="Tahoma"/>
          <w:color w:val="auto"/>
          <w:sz w:val="20"/>
          <w:szCs w:val="20"/>
          <w:lang w:val="es-ES"/>
        </w:rPr>
        <w:t xml:space="preserve">integrantes </w:t>
      </w:r>
      <w:r w:rsidRPr="003C379E">
        <w:rPr>
          <w:rFonts w:cs="Tahoma"/>
          <w:color w:val="auto"/>
          <w:sz w:val="20"/>
          <w:szCs w:val="20"/>
          <w:lang w:val="es-ES"/>
        </w:rPr>
        <w:t>de la</w:t>
      </w:r>
      <w:r w:rsidR="004C26E0" w:rsidRPr="003C379E">
        <w:rPr>
          <w:rFonts w:cs="Tahoma"/>
          <w:color w:val="auto"/>
          <w:sz w:val="20"/>
          <w:szCs w:val="20"/>
          <w:lang w:val="es-ES"/>
        </w:rPr>
        <w:t xml:space="preserve"> socie</w:t>
      </w:r>
      <w:r w:rsidRPr="003C379E">
        <w:rPr>
          <w:rFonts w:cs="Tahoma"/>
          <w:color w:val="auto"/>
          <w:sz w:val="20"/>
          <w:szCs w:val="20"/>
          <w:lang w:val="es-ES"/>
        </w:rPr>
        <w:t>dad.</w:t>
      </w:r>
      <w:r w:rsidR="004C26E0" w:rsidRPr="003C379E">
        <w:rPr>
          <w:rFonts w:cs="Tahoma"/>
          <w:color w:val="auto"/>
          <w:sz w:val="20"/>
          <w:szCs w:val="20"/>
          <w:lang w:val="es-ES"/>
        </w:rPr>
        <w:t xml:space="preserve"> </w:t>
      </w:r>
      <w:r w:rsidR="00CC0F41" w:rsidRPr="003C379E">
        <w:rPr>
          <w:rFonts w:cs="Tahoma"/>
          <w:color w:val="auto"/>
          <w:sz w:val="20"/>
          <w:szCs w:val="20"/>
          <w:lang w:val="es-ES"/>
        </w:rPr>
        <w:t>Además</w:t>
      </w:r>
      <w:r w:rsidR="004C26E0" w:rsidRPr="003C379E">
        <w:rPr>
          <w:rFonts w:cs="Tahoma"/>
          <w:color w:val="auto"/>
          <w:sz w:val="20"/>
          <w:szCs w:val="20"/>
          <w:lang w:val="es-ES"/>
        </w:rPr>
        <w:t xml:space="preserve"> </w:t>
      </w:r>
      <w:r w:rsidRPr="003C379E">
        <w:rPr>
          <w:rFonts w:cs="Tahoma"/>
          <w:color w:val="auto"/>
          <w:sz w:val="20"/>
          <w:szCs w:val="20"/>
          <w:lang w:val="es-ES"/>
        </w:rPr>
        <w:t>de las</w:t>
      </w:r>
      <w:r w:rsidR="004C26E0" w:rsidRPr="003C379E">
        <w:rPr>
          <w:rFonts w:cs="Tahoma"/>
          <w:color w:val="auto"/>
          <w:sz w:val="20"/>
          <w:szCs w:val="20"/>
          <w:lang w:val="es-ES"/>
        </w:rPr>
        <w:t xml:space="preserve"> restri</w:t>
      </w:r>
      <w:r w:rsidRPr="003C379E">
        <w:rPr>
          <w:rFonts w:cs="Tahoma"/>
          <w:color w:val="auto"/>
          <w:sz w:val="20"/>
          <w:szCs w:val="20"/>
          <w:lang w:val="es-ES"/>
        </w:rPr>
        <w:t>c</w:t>
      </w:r>
      <w:r w:rsidR="00B05EA6" w:rsidRPr="003C379E">
        <w:rPr>
          <w:rFonts w:cs="Tahoma"/>
          <w:color w:val="auto"/>
          <w:sz w:val="20"/>
          <w:szCs w:val="20"/>
          <w:lang w:val="es-ES"/>
        </w:rPr>
        <w:t>c</w:t>
      </w:r>
      <w:r w:rsidRPr="003C379E">
        <w:rPr>
          <w:rFonts w:cs="Tahoma"/>
          <w:color w:val="auto"/>
          <w:sz w:val="20"/>
          <w:szCs w:val="20"/>
          <w:lang w:val="es-ES"/>
        </w:rPr>
        <w:t>iones</w:t>
      </w:r>
      <w:r w:rsidR="004C26E0" w:rsidRPr="003C379E">
        <w:rPr>
          <w:rFonts w:cs="Tahoma"/>
          <w:color w:val="auto"/>
          <w:sz w:val="20"/>
          <w:szCs w:val="20"/>
          <w:lang w:val="es-ES"/>
        </w:rPr>
        <w:t xml:space="preserve"> dire</w:t>
      </w:r>
      <w:r w:rsidR="00B05EA6" w:rsidRPr="003C379E">
        <w:rPr>
          <w:rFonts w:cs="Tahoma"/>
          <w:color w:val="auto"/>
          <w:sz w:val="20"/>
          <w:szCs w:val="20"/>
          <w:lang w:val="es-ES"/>
        </w:rPr>
        <w:t>c</w:t>
      </w:r>
      <w:r w:rsidR="004C26E0" w:rsidRPr="003C379E">
        <w:rPr>
          <w:rFonts w:cs="Tahoma"/>
          <w:color w:val="auto"/>
          <w:sz w:val="20"/>
          <w:szCs w:val="20"/>
          <w:lang w:val="es-ES"/>
        </w:rPr>
        <w:t xml:space="preserve">tas, </w:t>
      </w:r>
      <w:r w:rsidRPr="003C379E">
        <w:rPr>
          <w:rFonts w:cs="Tahoma"/>
          <w:color w:val="auto"/>
          <w:sz w:val="20"/>
          <w:szCs w:val="20"/>
          <w:lang w:val="es-ES"/>
        </w:rPr>
        <w:t>las</w:t>
      </w:r>
      <w:r w:rsidR="004C26E0" w:rsidRPr="003C379E">
        <w:rPr>
          <w:rFonts w:cs="Tahoma"/>
          <w:color w:val="auto"/>
          <w:sz w:val="20"/>
          <w:szCs w:val="20"/>
          <w:lang w:val="es-ES"/>
        </w:rPr>
        <w:t xml:space="preserve"> </w:t>
      </w:r>
      <w:r w:rsidRPr="003C379E">
        <w:rPr>
          <w:rFonts w:cs="Tahoma"/>
          <w:color w:val="auto"/>
          <w:sz w:val="20"/>
          <w:szCs w:val="20"/>
          <w:lang w:val="es-ES"/>
        </w:rPr>
        <w:t>leyes</w:t>
      </w:r>
      <w:r w:rsidR="004C26E0" w:rsidRPr="003C379E">
        <w:rPr>
          <w:rFonts w:cs="Tahoma"/>
          <w:color w:val="auto"/>
          <w:sz w:val="20"/>
          <w:szCs w:val="20"/>
          <w:lang w:val="es-ES"/>
        </w:rPr>
        <w:t xml:space="preserve"> de desacato restring</w:t>
      </w:r>
      <w:r w:rsidRPr="003C379E">
        <w:rPr>
          <w:rFonts w:cs="Tahoma"/>
          <w:color w:val="auto"/>
          <w:sz w:val="20"/>
          <w:szCs w:val="20"/>
          <w:lang w:val="es-ES"/>
        </w:rPr>
        <w:t xml:space="preserve">en </w:t>
      </w:r>
      <w:r w:rsidR="004C26E0" w:rsidRPr="003C379E">
        <w:rPr>
          <w:rFonts w:cs="Tahoma"/>
          <w:color w:val="auto"/>
          <w:sz w:val="20"/>
          <w:szCs w:val="20"/>
          <w:lang w:val="es-ES"/>
        </w:rPr>
        <w:t>indire</w:t>
      </w:r>
      <w:r w:rsidR="00B05EA6" w:rsidRPr="003C379E">
        <w:rPr>
          <w:rFonts w:cs="Tahoma"/>
          <w:color w:val="auto"/>
          <w:sz w:val="20"/>
          <w:szCs w:val="20"/>
          <w:lang w:val="es-ES"/>
        </w:rPr>
        <w:t>c</w:t>
      </w:r>
      <w:r w:rsidR="004C26E0" w:rsidRPr="003C379E">
        <w:rPr>
          <w:rFonts w:cs="Tahoma"/>
          <w:color w:val="auto"/>
          <w:sz w:val="20"/>
          <w:szCs w:val="20"/>
          <w:lang w:val="es-ES"/>
        </w:rPr>
        <w:t xml:space="preserve">tamente </w:t>
      </w:r>
      <w:r w:rsidR="00B6265D" w:rsidRPr="003C379E">
        <w:rPr>
          <w:rFonts w:cs="Tahoma"/>
          <w:color w:val="auto"/>
          <w:sz w:val="20"/>
          <w:szCs w:val="20"/>
          <w:lang w:val="es-ES"/>
        </w:rPr>
        <w:t>la</w:t>
      </w:r>
      <w:r w:rsidR="004C26E0" w:rsidRPr="003C379E">
        <w:rPr>
          <w:rFonts w:cs="Tahoma"/>
          <w:color w:val="auto"/>
          <w:sz w:val="20"/>
          <w:szCs w:val="20"/>
          <w:lang w:val="es-ES"/>
        </w:rPr>
        <w:t xml:space="preserve"> </w:t>
      </w:r>
      <w:r w:rsidRPr="003C379E">
        <w:rPr>
          <w:rFonts w:cs="Tahoma"/>
          <w:color w:val="auto"/>
          <w:sz w:val="20"/>
          <w:szCs w:val="20"/>
          <w:lang w:val="es-ES"/>
        </w:rPr>
        <w:t xml:space="preserve">libertad </w:t>
      </w:r>
      <w:r w:rsidR="004C26E0" w:rsidRPr="003C379E">
        <w:rPr>
          <w:rFonts w:cs="Tahoma"/>
          <w:color w:val="auto"/>
          <w:sz w:val="20"/>
          <w:szCs w:val="20"/>
          <w:lang w:val="es-ES"/>
        </w:rPr>
        <w:t>de expre</w:t>
      </w:r>
      <w:r w:rsidRPr="003C379E">
        <w:rPr>
          <w:rFonts w:cs="Tahoma"/>
          <w:color w:val="auto"/>
          <w:sz w:val="20"/>
          <w:szCs w:val="20"/>
          <w:lang w:val="es-ES"/>
        </w:rPr>
        <w:t>sión</w:t>
      </w:r>
      <w:r w:rsidR="004C26E0" w:rsidRPr="003C379E">
        <w:rPr>
          <w:rFonts w:cs="Tahoma"/>
          <w:color w:val="auto"/>
          <w:sz w:val="20"/>
          <w:szCs w:val="20"/>
          <w:lang w:val="es-ES"/>
        </w:rPr>
        <w:t xml:space="preserve">, </w:t>
      </w:r>
      <w:r w:rsidR="00CC0F41" w:rsidRPr="003C379E">
        <w:rPr>
          <w:rFonts w:cs="Tahoma"/>
          <w:color w:val="auto"/>
          <w:sz w:val="20"/>
          <w:szCs w:val="20"/>
          <w:lang w:val="es-ES"/>
        </w:rPr>
        <w:t>ya</w:t>
      </w:r>
      <w:r w:rsidR="00C605D9" w:rsidRPr="003C379E">
        <w:rPr>
          <w:rFonts w:cs="Tahoma"/>
          <w:color w:val="auto"/>
          <w:sz w:val="20"/>
          <w:szCs w:val="20"/>
          <w:lang w:val="es-ES"/>
        </w:rPr>
        <w:t xml:space="preserve"> que car</w:t>
      </w:r>
      <w:r w:rsidR="004C26E0" w:rsidRPr="003C379E">
        <w:rPr>
          <w:rFonts w:cs="Tahoma"/>
          <w:color w:val="auto"/>
          <w:sz w:val="20"/>
          <w:szCs w:val="20"/>
          <w:lang w:val="es-ES"/>
        </w:rPr>
        <w:t>g</w:t>
      </w:r>
      <w:r w:rsidR="00B05EA6" w:rsidRPr="003C379E">
        <w:rPr>
          <w:rFonts w:cs="Tahoma"/>
          <w:color w:val="auto"/>
          <w:sz w:val="20"/>
          <w:szCs w:val="20"/>
          <w:lang w:val="es-ES"/>
        </w:rPr>
        <w:t xml:space="preserve">an </w:t>
      </w:r>
      <w:r w:rsidRPr="003C379E">
        <w:rPr>
          <w:rFonts w:cs="Tahoma"/>
          <w:color w:val="auto"/>
          <w:sz w:val="20"/>
          <w:szCs w:val="20"/>
          <w:lang w:val="es-ES"/>
        </w:rPr>
        <w:t xml:space="preserve">en </w:t>
      </w:r>
      <w:r w:rsidR="004C26E0" w:rsidRPr="003C379E">
        <w:rPr>
          <w:rFonts w:cs="Tahoma"/>
          <w:color w:val="auto"/>
          <w:sz w:val="20"/>
          <w:szCs w:val="20"/>
          <w:lang w:val="es-ES"/>
        </w:rPr>
        <w:t>s</w:t>
      </w:r>
      <w:r w:rsidR="00B05EA6" w:rsidRPr="003C379E">
        <w:rPr>
          <w:rFonts w:cs="Tahoma"/>
          <w:color w:val="auto"/>
          <w:sz w:val="20"/>
          <w:szCs w:val="20"/>
          <w:lang w:val="es-ES"/>
        </w:rPr>
        <w:t>í</w:t>
      </w:r>
      <w:r w:rsidR="004C26E0" w:rsidRPr="003C379E">
        <w:rPr>
          <w:rFonts w:cs="Tahoma"/>
          <w:color w:val="auto"/>
          <w:sz w:val="20"/>
          <w:szCs w:val="20"/>
          <w:lang w:val="es-ES"/>
        </w:rPr>
        <w:t xml:space="preserve"> </w:t>
      </w:r>
      <w:r w:rsidR="00B05EA6" w:rsidRPr="003C379E">
        <w:rPr>
          <w:rFonts w:cs="Tahoma"/>
          <w:color w:val="auto"/>
          <w:sz w:val="20"/>
          <w:szCs w:val="20"/>
          <w:lang w:val="es-ES"/>
        </w:rPr>
        <w:t>l</w:t>
      </w:r>
      <w:r w:rsidR="004C26E0" w:rsidRPr="003C379E">
        <w:rPr>
          <w:rFonts w:cs="Tahoma"/>
          <w:color w:val="auto"/>
          <w:sz w:val="20"/>
          <w:szCs w:val="20"/>
          <w:lang w:val="es-ES"/>
        </w:rPr>
        <w:t>a ame</w:t>
      </w:r>
      <w:r w:rsidR="00B05EA6" w:rsidRPr="003C379E">
        <w:rPr>
          <w:rFonts w:cs="Tahoma"/>
          <w:color w:val="auto"/>
          <w:sz w:val="20"/>
          <w:szCs w:val="20"/>
          <w:lang w:val="es-ES"/>
        </w:rPr>
        <w:t>naz</w:t>
      </w:r>
      <w:r w:rsidR="004C26E0" w:rsidRPr="003C379E">
        <w:rPr>
          <w:rFonts w:cs="Tahoma"/>
          <w:color w:val="auto"/>
          <w:sz w:val="20"/>
          <w:szCs w:val="20"/>
          <w:lang w:val="es-ES"/>
        </w:rPr>
        <w:t xml:space="preserve">a </w:t>
      </w:r>
      <w:r w:rsidRPr="003C379E">
        <w:rPr>
          <w:rFonts w:cs="Tahoma"/>
          <w:color w:val="auto"/>
          <w:sz w:val="20"/>
          <w:szCs w:val="20"/>
          <w:lang w:val="es-ES"/>
        </w:rPr>
        <w:t>del</w:t>
      </w:r>
      <w:r w:rsidR="004C26E0" w:rsidRPr="003C379E">
        <w:rPr>
          <w:rFonts w:cs="Tahoma"/>
          <w:color w:val="auto"/>
          <w:sz w:val="20"/>
          <w:szCs w:val="20"/>
          <w:lang w:val="es-ES"/>
        </w:rPr>
        <w:t xml:space="preserve"> encarce</w:t>
      </w:r>
      <w:r w:rsidR="00B05EA6" w:rsidRPr="003C379E">
        <w:rPr>
          <w:rFonts w:cs="Tahoma"/>
          <w:color w:val="auto"/>
          <w:sz w:val="20"/>
          <w:szCs w:val="20"/>
          <w:lang w:val="es-ES"/>
        </w:rPr>
        <w:t>l</w:t>
      </w:r>
      <w:r w:rsidR="004C26E0" w:rsidRPr="003C379E">
        <w:rPr>
          <w:rFonts w:cs="Tahoma"/>
          <w:color w:val="auto"/>
          <w:sz w:val="20"/>
          <w:szCs w:val="20"/>
          <w:lang w:val="es-ES"/>
        </w:rPr>
        <w:t>am</w:t>
      </w:r>
      <w:r w:rsidR="00B6265D" w:rsidRPr="003C379E">
        <w:rPr>
          <w:rFonts w:cs="Tahoma"/>
          <w:color w:val="auto"/>
          <w:sz w:val="20"/>
          <w:szCs w:val="20"/>
          <w:lang w:val="es-ES"/>
        </w:rPr>
        <w:t>i</w:t>
      </w:r>
      <w:r w:rsidR="004C26E0" w:rsidRPr="003C379E">
        <w:rPr>
          <w:rFonts w:cs="Tahoma"/>
          <w:color w:val="auto"/>
          <w:sz w:val="20"/>
          <w:szCs w:val="20"/>
          <w:lang w:val="es-ES"/>
        </w:rPr>
        <w:t xml:space="preserve">ento </w:t>
      </w:r>
      <w:r w:rsidR="00B05EA6" w:rsidRPr="003C379E">
        <w:rPr>
          <w:rFonts w:cs="Tahoma"/>
          <w:color w:val="auto"/>
          <w:sz w:val="20"/>
          <w:szCs w:val="20"/>
          <w:lang w:val="es-ES"/>
        </w:rPr>
        <w:t>o</w:t>
      </w:r>
      <w:r w:rsidR="00B6265D" w:rsidRPr="003C379E">
        <w:rPr>
          <w:rFonts w:cs="Tahoma"/>
          <w:color w:val="auto"/>
          <w:sz w:val="20"/>
          <w:szCs w:val="20"/>
          <w:lang w:val="es-ES"/>
        </w:rPr>
        <w:t xml:space="preserve"> de multas para aquellos que insult</w:t>
      </w:r>
      <w:r w:rsidRPr="003C379E">
        <w:rPr>
          <w:rFonts w:cs="Tahoma"/>
          <w:color w:val="auto"/>
          <w:sz w:val="20"/>
          <w:szCs w:val="20"/>
          <w:lang w:val="es-ES"/>
        </w:rPr>
        <w:t xml:space="preserve">en </w:t>
      </w:r>
      <w:r w:rsidR="00B6265D" w:rsidRPr="003C379E">
        <w:rPr>
          <w:rFonts w:cs="Tahoma"/>
          <w:color w:val="auto"/>
          <w:sz w:val="20"/>
          <w:szCs w:val="20"/>
          <w:lang w:val="es-ES"/>
        </w:rPr>
        <w:t>u</w:t>
      </w:r>
      <w:r w:rsidR="004C26E0" w:rsidRPr="003C379E">
        <w:rPr>
          <w:rFonts w:cs="Tahoma"/>
          <w:color w:val="auto"/>
          <w:sz w:val="20"/>
          <w:szCs w:val="20"/>
          <w:lang w:val="es-ES"/>
        </w:rPr>
        <w:t xml:space="preserve"> ofend</w:t>
      </w:r>
      <w:r w:rsidR="00B6265D" w:rsidRPr="003C379E">
        <w:rPr>
          <w:rFonts w:cs="Tahoma"/>
          <w:color w:val="auto"/>
          <w:sz w:val="20"/>
          <w:szCs w:val="20"/>
          <w:lang w:val="es-ES"/>
        </w:rPr>
        <w:t>a</w:t>
      </w:r>
      <w:r w:rsidRPr="003C379E">
        <w:rPr>
          <w:rFonts w:cs="Tahoma"/>
          <w:color w:val="auto"/>
          <w:sz w:val="20"/>
          <w:szCs w:val="20"/>
          <w:lang w:val="es-ES"/>
        </w:rPr>
        <w:t xml:space="preserve">n </w:t>
      </w:r>
      <w:r w:rsidR="00B6265D" w:rsidRPr="003C379E">
        <w:rPr>
          <w:rFonts w:cs="Tahoma"/>
          <w:color w:val="auto"/>
          <w:sz w:val="20"/>
          <w:szCs w:val="20"/>
          <w:lang w:val="es-ES"/>
        </w:rPr>
        <w:t xml:space="preserve">a </w:t>
      </w:r>
      <w:r w:rsidRPr="003C379E">
        <w:rPr>
          <w:rFonts w:cs="Tahoma"/>
          <w:color w:val="auto"/>
          <w:sz w:val="20"/>
          <w:szCs w:val="20"/>
          <w:lang w:val="es-ES"/>
        </w:rPr>
        <w:t>un</w:t>
      </w:r>
      <w:r w:rsidR="004C26E0" w:rsidRPr="003C379E">
        <w:rPr>
          <w:rFonts w:cs="Tahoma"/>
          <w:color w:val="auto"/>
          <w:sz w:val="20"/>
          <w:szCs w:val="20"/>
          <w:lang w:val="es-ES"/>
        </w:rPr>
        <w:t xml:space="preserve"> funcion</w:t>
      </w:r>
      <w:r w:rsidRPr="003C379E">
        <w:rPr>
          <w:rFonts w:cs="Tahoma"/>
          <w:color w:val="auto"/>
          <w:sz w:val="20"/>
          <w:szCs w:val="20"/>
          <w:lang w:val="es-ES"/>
        </w:rPr>
        <w:t>ario</w:t>
      </w:r>
      <w:r w:rsidR="004C26E0" w:rsidRPr="003C379E">
        <w:rPr>
          <w:rFonts w:cs="Tahoma"/>
          <w:color w:val="auto"/>
          <w:sz w:val="20"/>
          <w:szCs w:val="20"/>
          <w:lang w:val="es-ES"/>
        </w:rPr>
        <w:t xml:space="preserve"> público.</w:t>
      </w:r>
      <w:r w:rsidR="00D11665" w:rsidRPr="003C379E">
        <w:rPr>
          <w:rFonts w:cs="Tahoma"/>
          <w:color w:val="auto"/>
          <w:sz w:val="20"/>
          <w:szCs w:val="20"/>
          <w:lang w:val="es-ES"/>
        </w:rPr>
        <w:t xml:space="preserve"> </w:t>
      </w:r>
      <w:r w:rsidRPr="003C379E">
        <w:rPr>
          <w:rFonts w:cs="Tahoma"/>
          <w:color w:val="auto"/>
          <w:sz w:val="20"/>
          <w:szCs w:val="20"/>
          <w:lang w:val="es-ES"/>
        </w:rPr>
        <w:t>Además</w:t>
      </w:r>
      <w:r w:rsidR="00D11665" w:rsidRPr="003C379E">
        <w:rPr>
          <w:rFonts w:cs="Tahoma"/>
          <w:color w:val="auto"/>
          <w:sz w:val="20"/>
          <w:szCs w:val="20"/>
          <w:lang w:val="es-ES"/>
        </w:rPr>
        <w:t xml:space="preserve">, </w:t>
      </w:r>
      <w:r w:rsidR="00B6265D" w:rsidRPr="003C379E">
        <w:rPr>
          <w:rFonts w:cs="Tahoma"/>
          <w:color w:val="auto"/>
          <w:sz w:val="20"/>
          <w:szCs w:val="20"/>
          <w:lang w:val="es-ES"/>
        </w:rPr>
        <w:t>la</w:t>
      </w:r>
      <w:r w:rsidR="00D11665" w:rsidRPr="003C379E">
        <w:rPr>
          <w:rFonts w:cs="Tahoma"/>
          <w:color w:val="auto"/>
          <w:sz w:val="20"/>
          <w:szCs w:val="20"/>
          <w:lang w:val="es-ES"/>
        </w:rPr>
        <w:t xml:space="preserve"> Comi</w:t>
      </w:r>
      <w:r w:rsidRPr="003C379E">
        <w:rPr>
          <w:rFonts w:cs="Tahoma"/>
          <w:color w:val="auto"/>
          <w:sz w:val="20"/>
          <w:szCs w:val="20"/>
          <w:lang w:val="es-ES"/>
        </w:rPr>
        <w:t>sión</w:t>
      </w:r>
      <w:r w:rsidR="00D11665" w:rsidRPr="003C379E">
        <w:rPr>
          <w:rFonts w:cs="Tahoma"/>
          <w:color w:val="auto"/>
          <w:sz w:val="20"/>
          <w:szCs w:val="20"/>
          <w:lang w:val="es-ES"/>
        </w:rPr>
        <w:t xml:space="preserve"> observa </w:t>
      </w:r>
      <w:r w:rsidRPr="003C379E">
        <w:rPr>
          <w:rFonts w:cs="Tahoma"/>
          <w:color w:val="auto"/>
          <w:sz w:val="20"/>
          <w:szCs w:val="20"/>
          <w:lang w:val="es-ES"/>
        </w:rPr>
        <w:t>con</w:t>
      </w:r>
      <w:r w:rsidR="00D11665" w:rsidRPr="003C379E">
        <w:rPr>
          <w:rFonts w:cs="Tahoma"/>
          <w:color w:val="auto"/>
          <w:sz w:val="20"/>
          <w:szCs w:val="20"/>
          <w:lang w:val="es-ES"/>
        </w:rPr>
        <w:t xml:space="preserve"> especial aten</w:t>
      </w:r>
      <w:r w:rsidRPr="003C379E">
        <w:rPr>
          <w:rFonts w:cs="Tahoma"/>
          <w:color w:val="auto"/>
          <w:sz w:val="20"/>
          <w:szCs w:val="20"/>
          <w:lang w:val="es-ES"/>
        </w:rPr>
        <w:t>ción</w:t>
      </w:r>
      <w:r w:rsidR="00D11665" w:rsidRPr="003C379E">
        <w:rPr>
          <w:rFonts w:cs="Tahoma"/>
          <w:color w:val="auto"/>
          <w:sz w:val="20"/>
          <w:szCs w:val="20"/>
          <w:lang w:val="es-ES"/>
        </w:rPr>
        <w:t xml:space="preserve"> que </w:t>
      </w:r>
      <w:r w:rsidRPr="003C379E">
        <w:rPr>
          <w:rFonts w:cs="Tahoma"/>
          <w:color w:val="auto"/>
          <w:sz w:val="20"/>
          <w:szCs w:val="20"/>
          <w:lang w:val="es-ES"/>
        </w:rPr>
        <w:t>el</w:t>
      </w:r>
      <w:r w:rsidR="00D11665" w:rsidRPr="003C379E">
        <w:rPr>
          <w:rFonts w:cs="Tahoma"/>
          <w:color w:val="auto"/>
          <w:sz w:val="20"/>
          <w:szCs w:val="20"/>
          <w:lang w:val="es-ES"/>
        </w:rPr>
        <w:t xml:space="preserve"> Estado </w:t>
      </w:r>
      <w:r w:rsidRPr="003C379E">
        <w:rPr>
          <w:rFonts w:cs="Tahoma"/>
          <w:color w:val="auto"/>
          <w:sz w:val="20"/>
          <w:szCs w:val="20"/>
          <w:lang w:val="es-ES"/>
        </w:rPr>
        <w:t>brasileñ</w:t>
      </w:r>
      <w:r w:rsidR="00D11665" w:rsidRPr="003C379E">
        <w:rPr>
          <w:rFonts w:cs="Tahoma"/>
          <w:color w:val="auto"/>
          <w:sz w:val="20"/>
          <w:szCs w:val="20"/>
          <w:lang w:val="es-ES"/>
        </w:rPr>
        <w:t xml:space="preserve">o </w:t>
      </w:r>
      <w:r w:rsidR="008578EA" w:rsidRPr="003C379E">
        <w:rPr>
          <w:rFonts w:cs="Tahoma"/>
          <w:color w:val="auto"/>
          <w:sz w:val="20"/>
          <w:szCs w:val="20"/>
          <w:lang w:val="es-ES"/>
        </w:rPr>
        <w:t>sostiene</w:t>
      </w:r>
      <w:r w:rsidR="00D11665" w:rsidRPr="003C379E">
        <w:rPr>
          <w:rFonts w:cs="Tahoma"/>
          <w:color w:val="auto"/>
          <w:sz w:val="20"/>
          <w:szCs w:val="20"/>
          <w:lang w:val="es-ES"/>
        </w:rPr>
        <w:t xml:space="preserve"> que </w:t>
      </w:r>
      <w:r w:rsidR="00275ABC" w:rsidRPr="003C379E">
        <w:rPr>
          <w:rFonts w:cs="Tahoma"/>
          <w:color w:val="auto"/>
          <w:sz w:val="20"/>
          <w:szCs w:val="20"/>
          <w:lang w:val="es-ES"/>
        </w:rPr>
        <w:t xml:space="preserve">deben </w:t>
      </w:r>
      <w:r w:rsidR="0016437A" w:rsidRPr="003C379E">
        <w:rPr>
          <w:rFonts w:cs="Tahoma"/>
          <w:color w:val="auto"/>
          <w:sz w:val="20"/>
          <w:szCs w:val="20"/>
          <w:lang w:val="es-ES"/>
        </w:rPr>
        <w:t xml:space="preserve">seguir </w:t>
      </w:r>
      <w:r w:rsidR="00275ABC" w:rsidRPr="003C379E">
        <w:rPr>
          <w:rFonts w:cs="Tahoma"/>
          <w:color w:val="auto"/>
          <w:sz w:val="20"/>
          <w:szCs w:val="20"/>
          <w:lang w:val="es-ES"/>
        </w:rPr>
        <w:t>aplic</w:t>
      </w:r>
      <w:r w:rsidR="0016437A" w:rsidRPr="003C379E">
        <w:rPr>
          <w:rFonts w:cs="Tahoma"/>
          <w:color w:val="auto"/>
          <w:sz w:val="20"/>
          <w:szCs w:val="20"/>
          <w:lang w:val="es-ES"/>
        </w:rPr>
        <w:t xml:space="preserve">ándose </w:t>
      </w:r>
      <w:r w:rsidRPr="003C379E">
        <w:rPr>
          <w:rFonts w:cs="Tahoma"/>
          <w:color w:val="auto"/>
          <w:sz w:val="20"/>
          <w:szCs w:val="20"/>
          <w:lang w:val="es-ES"/>
        </w:rPr>
        <w:t>las</w:t>
      </w:r>
      <w:r w:rsidR="00D11665" w:rsidRPr="003C379E">
        <w:rPr>
          <w:rFonts w:cs="Tahoma"/>
          <w:color w:val="auto"/>
          <w:sz w:val="20"/>
          <w:szCs w:val="20"/>
          <w:lang w:val="es-ES"/>
        </w:rPr>
        <w:t xml:space="preserve"> </w:t>
      </w:r>
      <w:r w:rsidRPr="003C379E">
        <w:rPr>
          <w:rFonts w:cs="Tahoma"/>
          <w:color w:val="auto"/>
          <w:sz w:val="20"/>
          <w:szCs w:val="20"/>
          <w:lang w:val="es-ES"/>
        </w:rPr>
        <w:t>leyes</w:t>
      </w:r>
      <w:r w:rsidR="00D11665" w:rsidRPr="003C379E">
        <w:rPr>
          <w:rFonts w:cs="Tahoma"/>
          <w:color w:val="auto"/>
          <w:sz w:val="20"/>
          <w:szCs w:val="20"/>
          <w:lang w:val="es-ES"/>
        </w:rPr>
        <w:t xml:space="preserve"> de desacato</w:t>
      </w:r>
      <w:r w:rsidR="008578EA" w:rsidRPr="003C379E">
        <w:rPr>
          <w:rFonts w:cs="Tahoma"/>
          <w:color w:val="auto"/>
          <w:sz w:val="20"/>
          <w:szCs w:val="20"/>
          <w:lang w:val="es-ES"/>
        </w:rPr>
        <w:t>, contrariamente a los estandartes interamericanos</w:t>
      </w:r>
      <w:r w:rsidR="00D11665" w:rsidRPr="003C379E">
        <w:rPr>
          <w:rFonts w:cs="Tahoma"/>
          <w:color w:val="auto"/>
          <w:sz w:val="20"/>
          <w:szCs w:val="20"/>
          <w:lang w:val="es-ES"/>
        </w:rPr>
        <w:t xml:space="preserve">. </w:t>
      </w:r>
      <w:r w:rsidR="0016437A" w:rsidRPr="003C379E">
        <w:rPr>
          <w:rFonts w:cs="Tahoma"/>
          <w:color w:val="auto"/>
          <w:sz w:val="20"/>
          <w:szCs w:val="20"/>
          <w:lang w:val="es-ES"/>
        </w:rPr>
        <w:t>El</w:t>
      </w:r>
      <w:r w:rsidRPr="003C379E">
        <w:rPr>
          <w:rFonts w:cs="Tahoma"/>
          <w:color w:val="auto"/>
          <w:sz w:val="20"/>
          <w:szCs w:val="20"/>
          <w:lang w:val="es-ES"/>
        </w:rPr>
        <w:t xml:space="preserve"> </w:t>
      </w:r>
      <w:r w:rsidR="00D11665" w:rsidRPr="003C379E">
        <w:rPr>
          <w:rFonts w:cs="Tahoma"/>
          <w:color w:val="auto"/>
          <w:sz w:val="20"/>
          <w:szCs w:val="20"/>
          <w:lang w:val="es-ES"/>
        </w:rPr>
        <w:t xml:space="preserve">19 de </w:t>
      </w:r>
      <w:r w:rsidRPr="003C379E">
        <w:rPr>
          <w:rFonts w:cs="Tahoma"/>
          <w:color w:val="auto"/>
          <w:sz w:val="20"/>
          <w:szCs w:val="20"/>
          <w:lang w:val="es-ES"/>
        </w:rPr>
        <w:t>junio</w:t>
      </w:r>
      <w:r w:rsidR="00D11665" w:rsidRPr="003C379E">
        <w:rPr>
          <w:rFonts w:cs="Tahoma"/>
          <w:color w:val="auto"/>
          <w:sz w:val="20"/>
          <w:szCs w:val="20"/>
          <w:lang w:val="es-ES"/>
        </w:rPr>
        <w:t xml:space="preserve"> de 2020, </w:t>
      </w:r>
      <w:r w:rsidRPr="003C379E">
        <w:rPr>
          <w:rFonts w:cs="Tahoma"/>
          <w:color w:val="auto"/>
          <w:sz w:val="20"/>
          <w:szCs w:val="20"/>
          <w:lang w:val="es-ES"/>
        </w:rPr>
        <w:t>el</w:t>
      </w:r>
      <w:r w:rsidR="00D11665" w:rsidRPr="003C379E">
        <w:rPr>
          <w:rFonts w:cs="Tahoma"/>
          <w:color w:val="auto"/>
          <w:sz w:val="20"/>
          <w:szCs w:val="20"/>
          <w:lang w:val="es-ES"/>
        </w:rPr>
        <w:t xml:space="preserve"> Supremo Tribunal Federal, </w:t>
      </w:r>
      <w:r w:rsidR="0016437A" w:rsidRPr="003C379E">
        <w:rPr>
          <w:rFonts w:cs="Tahoma"/>
          <w:color w:val="auto"/>
          <w:sz w:val="20"/>
          <w:szCs w:val="20"/>
          <w:lang w:val="es-ES"/>
        </w:rPr>
        <w:t>al juzgar</w:t>
      </w:r>
      <w:r w:rsidRPr="003C379E">
        <w:rPr>
          <w:rFonts w:cs="Tahoma"/>
          <w:color w:val="auto"/>
          <w:sz w:val="20"/>
          <w:szCs w:val="20"/>
          <w:lang w:val="es-ES"/>
        </w:rPr>
        <w:t xml:space="preserve"> la</w:t>
      </w:r>
      <w:r w:rsidR="00D11665" w:rsidRPr="003C379E">
        <w:rPr>
          <w:rFonts w:cs="Tahoma"/>
          <w:color w:val="auto"/>
          <w:sz w:val="20"/>
          <w:szCs w:val="20"/>
          <w:lang w:val="es-ES"/>
        </w:rPr>
        <w:t xml:space="preserve"> </w:t>
      </w:r>
      <w:r w:rsidRPr="003C379E">
        <w:rPr>
          <w:rFonts w:cs="Tahoma"/>
          <w:color w:val="auto"/>
          <w:sz w:val="20"/>
          <w:szCs w:val="20"/>
          <w:lang w:val="es-ES"/>
        </w:rPr>
        <w:t>Acción</w:t>
      </w:r>
      <w:r w:rsidR="00D11665" w:rsidRPr="003C379E">
        <w:rPr>
          <w:rFonts w:cs="Tahoma"/>
          <w:color w:val="auto"/>
          <w:sz w:val="20"/>
          <w:szCs w:val="20"/>
          <w:lang w:val="es-ES"/>
        </w:rPr>
        <w:t xml:space="preserve"> de </w:t>
      </w:r>
      <w:r w:rsidR="00C605D9" w:rsidRPr="003C379E">
        <w:rPr>
          <w:rFonts w:cs="Tahoma"/>
          <w:color w:val="auto"/>
          <w:sz w:val="20"/>
          <w:szCs w:val="20"/>
          <w:lang w:val="es-ES"/>
        </w:rPr>
        <w:t>Incumplimiento</w:t>
      </w:r>
      <w:r w:rsidR="00D11665" w:rsidRPr="003C379E">
        <w:rPr>
          <w:rFonts w:cs="Tahoma"/>
          <w:color w:val="auto"/>
          <w:sz w:val="20"/>
          <w:szCs w:val="20"/>
          <w:lang w:val="es-ES"/>
        </w:rPr>
        <w:t xml:space="preserve"> de Prece</w:t>
      </w:r>
      <w:r w:rsidR="00C605D9" w:rsidRPr="003C379E">
        <w:rPr>
          <w:rFonts w:cs="Tahoma"/>
          <w:color w:val="auto"/>
          <w:sz w:val="20"/>
          <w:szCs w:val="20"/>
          <w:lang w:val="es-ES"/>
        </w:rPr>
        <w:t>p</w:t>
      </w:r>
      <w:r w:rsidR="00D11665" w:rsidRPr="003C379E">
        <w:rPr>
          <w:rFonts w:cs="Tahoma"/>
          <w:color w:val="auto"/>
          <w:sz w:val="20"/>
          <w:szCs w:val="20"/>
          <w:lang w:val="es-ES"/>
        </w:rPr>
        <w:t xml:space="preserve">to Fundamental (ADPF) </w:t>
      </w:r>
      <w:r w:rsidRPr="003C379E">
        <w:rPr>
          <w:rFonts w:cs="Tahoma"/>
          <w:color w:val="auto"/>
          <w:sz w:val="20"/>
          <w:szCs w:val="20"/>
          <w:lang w:val="es-ES"/>
        </w:rPr>
        <w:t>No.</w:t>
      </w:r>
      <w:r w:rsidR="00D11665" w:rsidRPr="003C379E">
        <w:rPr>
          <w:rFonts w:cs="Tahoma"/>
          <w:color w:val="auto"/>
          <w:sz w:val="20"/>
          <w:szCs w:val="20"/>
          <w:lang w:val="es-ES"/>
        </w:rPr>
        <w:t xml:space="preserve"> 496, establec</w:t>
      </w:r>
      <w:r w:rsidR="00C605D9" w:rsidRPr="003C379E">
        <w:rPr>
          <w:rFonts w:cs="Tahoma"/>
          <w:color w:val="auto"/>
          <w:sz w:val="20"/>
          <w:szCs w:val="20"/>
          <w:lang w:val="es-ES"/>
        </w:rPr>
        <w:t>ió</w:t>
      </w:r>
      <w:r w:rsidR="00D11665" w:rsidRPr="003C379E">
        <w:rPr>
          <w:rFonts w:cs="Tahoma"/>
          <w:color w:val="auto"/>
          <w:sz w:val="20"/>
          <w:szCs w:val="20"/>
          <w:lang w:val="es-ES"/>
        </w:rPr>
        <w:t xml:space="preserve"> que </w:t>
      </w:r>
      <w:r w:rsidRPr="003C379E">
        <w:rPr>
          <w:rFonts w:cs="Tahoma"/>
          <w:color w:val="auto"/>
          <w:sz w:val="20"/>
          <w:szCs w:val="20"/>
          <w:lang w:val="es-ES"/>
        </w:rPr>
        <w:t>el</w:t>
      </w:r>
      <w:r w:rsidR="00D11665" w:rsidRPr="003C379E">
        <w:rPr>
          <w:rFonts w:cs="Tahoma"/>
          <w:color w:val="auto"/>
          <w:sz w:val="20"/>
          <w:szCs w:val="20"/>
          <w:lang w:val="es-ES"/>
        </w:rPr>
        <w:t xml:space="preserve"> </w:t>
      </w:r>
      <w:r w:rsidRPr="003C379E">
        <w:rPr>
          <w:rFonts w:cs="Tahoma"/>
          <w:color w:val="auto"/>
          <w:sz w:val="20"/>
          <w:szCs w:val="20"/>
          <w:lang w:val="es-ES"/>
        </w:rPr>
        <w:t>artículo</w:t>
      </w:r>
      <w:r w:rsidR="00D11665" w:rsidRPr="003C379E">
        <w:rPr>
          <w:rFonts w:cs="Tahoma"/>
          <w:color w:val="auto"/>
          <w:sz w:val="20"/>
          <w:szCs w:val="20"/>
          <w:lang w:val="es-ES"/>
        </w:rPr>
        <w:t xml:space="preserve"> 331 </w:t>
      </w:r>
      <w:r w:rsidRPr="003C379E">
        <w:rPr>
          <w:rFonts w:cs="Tahoma"/>
          <w:color w:val="auto"/>
          <w:sz w:val="20"/>
          <w:szCs w:val="20"/>
          <w:lang w:val="es-ES"/>
        </w:rPr>
        <w:t>del</w:t>
      </w:r>
      <w:r w:rsidR="00D11665" w:rsidRPr="003C379E">
        <w:rPr>
          <w:rFonts w:cs="Tahoma"/>
          <w:color w:val="auto"/>
          <w:sz w:val="20"/>
          <w:szCs w:val="20"/>
          <w:lang w:val="es-ES"/>
        </w:rPr>
        <w:t xml:space="preserve"> Código Penal, que establece </w:t>
      </w:r>
      <w:r w:rsidRPr="003C379E">
        <w:rPr>
          <w:rFonts w:cs="Tahoma"/>
          <w:color w:val="auto"/>
          <w:sz w:val="20"/>
          <w:szCs w:val="20"/>
          <w:lang w:val="es-ES"/>
        </w:rPr>
        <w:t>el</w:t>
      </w:r>
      <w:r w:rsidR="00D11665" w:rsidRPr="003C379E">
        <w:rPr>
          <w:rFonts w:cs="Tahoma"/>
          <w:color w:val="auto"/>
          <w:sz w:val="20"/>
          <w:szCs w:val="20"/>
          <w:lang w:val="es-ES"/>
        </w:rPr>
        <w:t xml:space="preserve"> tipo penal de “desacato”</w:t>
      </w:r>
      <w:r w:rsidR="00D41CA5" w:rsidRPr="003C379E">
        <w:rPr>
          <w:rFonts w:cs="Tahoma"/>
          <w:color w:val="auto"/>
          <w:sz w:val="20"/>
          <w:szCs w:val="20"/>
          <w:lang w:val="es-ES"/>
        </w:rPr>
        <w:t>,</w:t>
      </w:r>
      <w:r w:rsidR="00D11665" w:rsidRPr="003C379E">
        <w:rPr>
          <w:rFonts w:cs="Tahoma"/>
          <w:color w:val="auto"/>
          <w:sz w:val="20"/>
          <w:szCs w:val="20"/>
          <w:lang w:val="es-ES"/>
        </w:rPr>
        <w:t xml:space="preserve"> </w:t>
      </w:r>
      <w:r w:rsidRPr="003C379E">
        <w:rPr>
          <w:rFonts w:cs="Tahoma"/>
          <w:color w:val="auto"/>
          <w:sz w:val="20"/>
          <w:szCs w:val="20"/>
          <w:lang w:val="es-ES"/>
        </w:rPr>
        <w:t>es</w:t>
      </w:r>
      <w:r w:rsidR="00D11665" w:rsidRPr="003C379E">
        <w:rPr>
          <w:rFonts w:cs="Tahoma"/>
          <w:color w:val="auto"/>
          <w:sz w:val="20"/>
          <w:szCs w:val="20"/>
          <w:lang w:val="es-ES"/>
        </w:rPr>
        <w:t xml:space="preserve"> compat</w:t>
      </w:r>
      <w:r w:rsidR="00B05EA6" w:rsidRPr="003C379E">
        <w:rPr>
          <w:rFonts w:cs="Tahoma"/>
          <w:color w:val="auto"/>
          <w:sz w:val="20"/>
          <w:szCs w:val="20"/>
          <w:lang w:val="es-ES"/>
        </w:rPr>
        <w:t xml:space="preserve">ible </w:t>
      </w:r>
      <w:r w:rsidRPr="003C379E">
        <w:rPr>
          <w:rFonts w:cs="Tahoma"/>
          <w:color w:val="auto"/>
          <w:sz w:val="20"/>
          <w:szCs w:val="20"/>
          <w:lang w:val="es-ES"/>
        </w:rPr>
        <w:t>con</w:t>
      </w:r>
      <w:r w:rsidR="00D11665" w:rsidRPr="003C379E">
        <w:rPr>
          <w:rFonts w:cs="Tahoma"/>
          <w:color w:val="auto"/>
          <w:sz w:val="20"/>
          <w:szCs w:val="20"/>
          <w:lang w:val="es-ES"/>
        </w:rPr>
        <w:t xml:space="preserve"> </w:t>
      </w:r>
      <w:r w:rsidR="00B6265D" w:rsidRPr="003C379E">
        <w:rPr>
          <w:rFonts w:cs="Tahoma"/>
          <w:color w:val="auto"/>
          <w:sz w:val="20"/>
          <w:szCs w:val="20"/>
          <w:lang w:val="es-ES"/>
        </w:rPr>
        <w:t>l</w:t>
      </w:r>
      <w:r w:rsidR="00D11665" w:rsidRPr="003C379E">
        <w:rPr>
          <w:rFonts w:cs="Tahoma"/>
          <w:color w:val="auto"/>
          <w:sz w:val="20"/>
          <w:szCs w:val="20"/>
          <w:lang w:val="es-ES"/>
        </w:rPr>
        <w:t>a Constit</w:t>
      </w:r>
      <w:r w:rsidR="00B05EA6" w:rsidRPr="003C379E">
        <w:rPr>
          <w:rFonts w:cs="Tahoma"/>
          <w:color w:val="auto"/>
          <w:sz w:val="20"/>
          <w:szCs w:val="20"/>
          <w:lang w:val="es-ES"/>
        </w:rPr>
        <w:t>uci</w:t>
      </w:r>
      <w:r w:rsidRPr="003C379E">
        <w:rPr>
          <w:rFonts w:cs="Tahoma"/>
          <w:color w:val="auto"/>
          <w:sz w:val="20"/>
          <w:szCs w:val="20"/>
          <w:lang w:val="es-ES"/>
        </w:rPr>
        <w:t>ón</w:t>
      </w:r>
      <w:r w:rsidR="00D11665" w:rsidRPr="003C379E">
        <w:rPr>
          <w:rFonts w:cs="Tahoma"/>
          <w:color w:val="auto"/>
          <w:sz w:val="20"/>
          <w:szCs w:val="20"/>
          <w:lang w:val="es-ES"/>
        </w:rPr>
        <w:t xml:space="preserve"> </w:t>
      </w:r>
      <w:r w:rsidRPr="003C379E">
        <w:rPr>
          <w:rFonts w:cs="Tahoma"/>
          <w:color w:val="auto"/>
          <w:sz w:val="20"/>
          <w:szCs w:val="20"/>
          <w:lang w:val="es-ES"/>
        </w:rPr>
        <w:t>brasileñ</w:t>
      </w:r>
      <w:r w:rsidR="00D11665" w:rsidRPr="003C379E">
        <w:rPr>
          <w:rFonts w:cs="Tahoma"/>
          <w:color w:val="auto"/>
          <w:sz w:val="20"/>
          <w:szCs w:val="20"/>
          <w:lang w:val="es-ES"/>
        </w:rPr>
        <w:t xml:space="preserve">a </w:t>
      </w:r>
      <w:r w:rsidRPr="003C379E">
        <w:rPr>
          <w:rFonts w:cs="Tahoma"/>
          <w:color w:val="auto"/>
          <w:sz w:val="20"/>
          <w:szCs w:val="20"/>
          <w:lang w:val="es-ES"/>
        </w:rPr>
        <w:t>y</w:t>
      </w:r>
      <w:r w:rsidR="00D11665" w:rsidRPr="003C379E">
        <w:rPr>
          <w:rFonts w:cs="Tahoma"/>
          <w:color w:val="auto"/>
          <w:sz w:val="20"/>
          <w:szCs w:val="20"/>
          <w:lang w:val="es-ES"/>
        </w:rPr>
        <w:t xml:space="preserve"> </w:t>
      </w:r>
      <w:r w:rsidR="001029CE" w:rsidRPr="003C379E">
        <w:rPr>
          <w:rFonts w:cs="Tahoma"/>
          <w:color w:val="auto"/>
          <w:sz w:val="20"/>
          <w:szCs w:val="20"/>
          <w:lang w:val="es-ES"/>
        </w:rPr>
        <w:t>estaría</w:t>
      </w:r>
      <w:r w:rsidR="00D11665" w:rsidRPr="003C379E">
        <w:rPr>
          <w:rFonts w:cs="Tahoma"/>
          <w:color w:val="auto"/>
          <w:sz w:val="20"/>
          <w:szCs w:val="20"/>
          <w:lang w:val="es-ES"/>
        </w:rPr>
        <w:t xml:space="preserve"> </w:t>
      </w:r>
      <w:r w:rsidR="001029CE" w:rsidRPr="003C379E">
        <w:rPr>
          <w:rFonts w:cs="Tahoma"/>
          <w:color w:val="auto"/>
          <w:sz w:val="20"/>
          <w:szCs w:val="20"/>
          <w:lang w:val="es-ES"/>
        </w:rPr>
        <w:t>en concordancia</w:t>
      </w:r>
      <w:r w:rsidR="00D11665" w:rsidRPr="003C379E">
        <w:rPr>
          <w:rFonts w:cs="Tahoma"/>
          <w:color w:val="auto"/>
          <w:sz w:val="20"/>
          <w:szCs w:val="20"/>
          <w:lang w:val="es-ES"/>
        </w:rPr>
        <w:t xml:space="preserve"> </w:t>
      </w:r>
      <w:r w:rsidRPr="003C379E">
        <w:rPr>
          <w:rFonts w:cs="Tahoma"/>
          <w:color w:val="auto"/>
          <w:sz w:val="20"/>
          <w:szCs w:val="20"/>
          <w:lang w:val="es-ES"/>
        </w:rPr>
        <w:t>con</w:t>
      </w:r>
      <w:r w:rsidR="00D11665" w:rsidRPr="003C379E">
        <w:rPr>
          <w:rFonts w:cs="Tahoma"/>
          <w:color w:val="auto"/>
          <w:sz w:val="20"/>
          <w:szCs w:val="20"/>
          <w:lang w:val="es-ES"/>
        </w:rPr>
        <w:t xml:space="preserve"> </w:t>
      </w:r>
      <w:r w:rsidRPr="003C379E">
        <w:rPr>
          <w:rFonts w:cs="Tahoma"/>
          <w:color w:val="auto"/>
          <w:sz w:val="20"/>
          <w:szCs w:val="20"/>
          <w:lang w:val="es-ES"/>
        </w:rPr>
        <w:t>el</w:t>
      </w:r>
      <w:r w:rsidR="00D11665" w:rsidRPr="003C379E">
        <w:rPr>
          <w:rFonts w:cs="Tahoma"/>
          <w:color w:val="auto"/>
          <w:sz w:val="20"/>
          <w:szCs w:val="20"/>
          <w:lang w:val="es-ES"/>
        </w:rPr>
        <w:t xml:space="preserve"> </w:t>
      </w:r>
      <w:r w:rsidRPr="003C379E">
        <w:rPr>
          <w:rFonts w:cs="Tahoma"/>
          <w:color w:val="auto"/>
          <w:sz w:val="20"/>
          <w:szCs w:val="20"/>
          <w:lang w:val="es-ES"/>
        </w:rPr>
        <w:t>derech</w:t>
      </w:r>
      <w:r w:rsidR="00D11665" w:rsidRPr="003C379E">
        <w:rPr>
          <w:rFonts w:cs="Tahoma"/>
          <w:color w:val="auto"/>
          <w:sz w:val="20"/>
          <w:szCs w:val="20"/>
          <w:lang w:val="es-ES"/>
        </w:rPr>
        <w:t>o internacional.</w:t>
      </w:r>
    </w:p>
    <w:p w14:paraId="14B4F9D6" w14:textId="64C6E3E4" w:rsidR="000E052E" w:rsidRPr="003C379E" w:rsidRDefault="009115EB" w:rsidP="00334EAF">
      <w:pPr>
        <w:numPr>
          <w:ilvl w:val="0"/>
          <w:numId w:val="103"/>
        </w:numPr>
        <w:suppressAutoHyphens/>
        <w:spacing w:after="120"/>
        <w:jc w:val="both"/>
        <w:rPr>
          <w:rFonts w:ascii="Cambria" w:hAnsi="Cambria"/>
          <w:sz w:val="20"/>
          <w:szCs w:val="20"/>
          <w:lang w:val="es-ES"/>
        </w:rPr>
      </w:pPr>
      <w:r w:rsidRPr="003C379E">
        <w:rPr>
          <w:rFonts w:ascii="Cambria" w:hAnsi="Cambria"/>
          <w:sz w:val="20"/>
          <w:szCs w:val="20"/>
          <w:lang w:val="es-ES"/>
        </w:rPr>
        <w:t xml:space="preserve">En </w:t>
      </w:r>
      <w:r w:rsidR="00F973F6" w:rsidRPr="003C379E">
        <w:rPr>
          <w:rFonts w:ascii="Cambria" w:hAnsi="Cambria"/>
          <w:sz w:val="20"/>
          <w:szCs w:val="20"/>
          <w:lang w:val="es-ES"/>
        </w:rPr>
        <w:t>virtud de</w:t>
      </w:r>
      <w:r w:rsidR="0031465A" w:rsidRPr="003C379E">
        <w:rPr>
          <w:rFonts w:ascii="Cambria" w:hAnsi="Cambria"/>
          <w:sz w:val="20"/>
          <w:szCs w:val="20"/>
          <w:lang w:val="es-ES"/>
        </w:rPr>
        <w:t xml:space="preserve"> estas considera</w:t>
      </w:r>
      <w:r w:rsidRPr="003C379E">
        <w:rPr>
          <w:rStyle w:val="Emphasis"/>
          <w:rFonts w:ascii="Cambria" w:hAnsi="Cambria" w:cs="Arial"/>
          <w:bCs/>
          <w:i w:val="0"/>
          <w:sz w:val="20"/>
          <w:szCs w:val="20"/>
          <w:shd w:val="clear" w:color="auto" w:fill="FFFFFF"/>
          <w:lang w:val="es-ES"/>
        </w:rPr>
        <w:t>ciones</w:t>
      </w:r>
      <w:r w:rsidR="0031465A" w:rsidRPr="003C379E">
        <w:rPr>
          <w:rFonts w:ascii="Cambria" w:hAnsi="Cambria"/>
          <w:sz w:val="20"/>
          <w:szCs w:val="20"/>
          <w:lang w:val="es-ES"/>
        </w:rPr>
        <w:t xml:space="preserve"> </w:t>
      </w:r>
      <w:r w:rsidRPr="003C379E">
        <w:rPr>
          <w:rFonts w:ascii="Cambria" w:hAnsi="Cambria"/>
          <w:sz w:val="20"/>
          <w:szCs w:val="20"/>
          <w:lang w:val="es-ES"/>
        </w:rPr>
        <w:t>y</w:t>
      </w:r>
      <w:r w:rsidR="0031465A" w:rsidRPr="003C379E">
        <w:rPr>
          <w:rFonts w:ascii="Cambria" w:hAnsi="Cambria"/>
          <w:sz w:val="20"/>
          <w:szCs w:val="20"/>
          <w:lang w:val="es-ES"/>
        </w:rPr>
        <w:t xml:space="preserve"> </w:t>
      </w:r>
      <w:r w:rsidRPr="003C379E">
        <w:rPr>
          <w:rFonts w:ascii="Cambria" w:hAnsi="Cambria"/>
          <w:sz w:val="20"/>
          <w:szCs w:val="20"/>
          <w:lang w:val="es-ES"/>
        </w:rPr>
        <w:t>luego</w:t>
      </w:r>
      <w:r w:rsidR="0031465A" w:rsidRPr="003C379E">
        <w:rPr>
          <w:rFonts w:ascii="Cambria" w:hAnsi="Cambria"/>
          <w:sz w:val="20"/>
          <w:szCs w:val="20"/>
          <w:lang w:val="es-ES"/>
        </w:rPr>
        <w:t xml:space="preserve"> </w:t>
      </w:r>
      <w:r w:rsidR="001029CE" w:rsidRPr="003C379E">
        <w:rPr>
          <w:rFonts w:ascii="Cambria" w:hAnsi="Cambria"/>
          <w:sz w:val="20"/>
          <w:szCs w:val="20"/>
          <w:lang w:val="es-ES"/>
        </w:rPr>
        <w:t xml:space="preserve">de </w:t>
      </w:r>
      <w:r w:rsidR="0031465A" w:rsidRPr="003C379E">
        <w:rPr>
          <w:rFonts w:ascii="Cambria" w:hAnsi="Cambria"/>
          <w:sz w:val="20"/>
          <w:szCs w:val="20"/>
          <w:lang w:val="es-ES"/>
        </w:rPr>
        <w:t xml:space="preserve">examinar </w:t>
      </w:r>
      <w:r w:rsidRPr="003C379E">
        <w:rPr>
          <w:rFonts w:ascii="Cambria" w:hAnsi="Cambria"/>
          <w:sz w:val="20"/>
          <w:szCs w:val="20"/>
          <w:lang w:val="es-ES"/>
        </w:rPr>
        <w:t>los</w:t>
      </w:r>
      <w:r w:rsidR="0031465A" w:rsidRPr="003C379E">
        <w:rPr>
          <w:rFonts w:ascii="Cambria" w:hAnsi="Cambria"/>
          <w:sz w:val="20"/>
          <w:szCs w:val="20"/>
          <w:lang w:val="es-ES"/>
        </w:rPr>
        <w:t xml:space="preserve"> elementos de </w:t>
      </w:r>
      <w:r w:rsidR="00B05EA6" w:rsidRPr="003C379E">
        <w:rPr>
          <w:rFonts w:ascii="Cambria" w:hAnsi="Cambria"/>
          <w:sz w:val="20"/>
          <w:szCs w:val="20"/>
          <w:lang w:val="es-ES"/>
        </w:rPr>
        <w:t>hecho</w:t>
      </w:r>
      <w:r w:rsidR="0031465A" w:rsidRPr="003C379E">
        <w:rPr>
          <w:rFonts w:ascii="Cambria" w:hAnsi="Cambria"/>
          <w:sz w:val="20"/>
          <w:szCs w:val="20"/>
          <w:lang w:val="es-ES"/>
        </w:rPr>
        <w:t xml:space="preserve"> </w:t>
      </w:r>
      <w:r w:rsidRPr="003C379E">
        <w:rPr>
          <w:rFonts w:ascii="Cambria" w:hAnsi="Cambria"/>
          <w:sz w:val="20"/>
          <w:szCs w:val="20"/>
          <w:lang w:val="es-ES"/>
        </w:rPr>
        <w:t>y</w:t>
      </w:r>
      <w:r w:rsidR="0031465A" w:rsidRPr="003C379E">
        <w:rPr>
          <w:rFonts w:ascii="Cambria" w:hAnsi="Cambria"/>
          <w:sz w:val="20"/>
          <w:szCs w:val="20"/>
          <w:lang w:val="es-ES"/>
        </w:rPr>
        <w:t xml:space="preserve"> de </w:t>
      </w:r>
      <w:r w:rsidRPr="003C379E">
        <w:rPr>
          <w:rFonts w:ascii="Cambria" w:hAnsi="Cambria"/>
          <w:sz w:val="20"/>
          <w:szCs w:val="20"/>
          <w:lang w:val="es-ES"/>
        </w:rPr>
        <w:t>derech</w:t>
      </w:r>
      <w:r w:rsidR="0031465A" w:rsidRPr="003C379E">
        <w:rPr>
          <w:rFonts w:ascii="Cambria" w:hAnsi="Cambria"/>
          <w:sz w:val="20"/>
          <w:szCs w:val="20"/>
          <w:lang w:val="es-ES"/>
        </w:rPr>
        <w:t>o exp</w:t>
      </w:r>
      <w:r w:rsidR="00C605D9" w:rsidRPr="003C379E">
        <w:rPr>
          <w:rFonts w:ascii="Cambria" w:hAnsi="Cambria"/>
          <w:sz w:val="20"/>
          <w:szCs w:val="20"/>
          <w:lang w:val="es-ES"/>
        </w:rPr>
        <w:t>ue</w:t>
      </w:r>
      <w:r w:rsidR="0031465A" w:rsidRPr="003C379E">
        <w:rPr>
          <w:rFonts w:ascii="Cambria" w:hAnsi="Cambria"/>
          <w:sz w:val="20"/>
          <w:szCs w:val="20"/>
          <w:lang w:val="es-ES"/>
        </w:rPr>
        <w:t xml:space="preserve">stos </w:t>
      </w:r>
      <w:r w:rsidRPr="003C379E">
        <w:rPr>
          <w:rFonts w:ascii="Cambria" w:hAnsi="Cambria"/>
          <w:sz w:val="20"/>
          <w:szCs w:val="20"/>
          <w:lang w:val="es-ES"/>
        </w:rPr>
        <w:t>por las</w:t>
      </w:r>
      <w:r w:rsidR="0031465A" w:rsidRPr="003C379E">
        <w:rPr>
          <w:rFonts w:ascii="Cambria" w:hAnsi="Cambria"/>
          <w:sz w:val="20"/>
          <w:szCs w:val="20"/>
          <w:lang w:val="es-ES"/>
        </w:rPr>
        <w:t xml:space="preserve"> partes, </w:t>
      </w:r>
      <w:r w:rsidR="00B6265D" w:rsidRPr="003C379E">
        <w:rPr>
          <w:rFonts w:ascii="Cambria" w:hAnsi="Cambria"/>
          <w:sz w:val="20"/>
          <w:szCs w:val="20"/>
          <w:lang w:val="es-ES"/>
        </w:rPr>
        <w:t>la</w:t>
      </w:r>
      <w:r w:rsidR="0031465A" w:rsidRPr="003C379E">
        <w:rPr>
          <w:rFonts w:ascii="Cambria" w:hAnsi="Cambria"/>
          <w:sz w:val="20"/>
          <w:szCs w:val="20"/>
          <w:lang w:val="es-ES"/>
        </w:rPr>
        <w:t xml:space="preserve"> Comi</w:t>
      </w:r>
      <w:r w:rsidRPr="003C379E">
        <w:rPr>
          <w:rFonts w:ascii="Cambria" w:hAnsi="Cambria"/>
          <w:sz w:val="20"/>
          <w:szCs w:val="20"/>
          <w:lang w:val="es-ES"/>
        </w:rPr>
        <w:t>sión</w:t>
      </w:r>
      <w:r w:rsidR="0031465A" w:rsidRPr="003C379E">
        <w:rPr>
          <w:rFonts w:ascii="Cambria" w:hAnsi="Cambria"/>
          <w:sz w:val="20"/>
          <w:szCs w:val="20"/>
          <w:lang w:val="es-ES"/>
        </w:rPr>
        <w:t xml:space="preserve"> estima que </w:t>
      </w:r>
      <w:r w:rsidRPr="003C379E">
        <w:rPr>
          <w:rFonts w:ascii="Cambria" w:hAnsi="Cambria"/>
          <w:sz w:val="20"/>
          <w:szCs w:val="20"/>
          <w:lang w:val="es-ES"/>
        </w:rPr>
        <w:t>las</w:t>
      </w:r>
      <w:r w:rsidR="0031465A" w:rsidRPr="003C379E">
        <w:rPr>
          <w:rFonts w:ascii="Cambria" w:hAnsi="Cambria"/>
          <w:sz w:val="20"/>
          <w:szCs w:val="20"/>
          <w:lang w:val="es-ES"/>
        </w:rPr>
        <w:t xml:space="preserve"> alega</w:t>
      </w:r>
      <w:r w:rsidRPr="003C379E">
        <w:rPr>
          <w:rStyle w:val="Emphasis"/>
          <w:rFonts w:ascii="Cambria" w:hAnsi="Cambria" w:cs="Arial"/>
          <w:bCs/>
          <w:i w:val="0"/>
          <w:sz w:val="20"/>
          <w:szCs w:val="20"/>
          <w:shd w:val="clear" w:color="auto" w:fill="FFFFFF"/>
          <w:lang w:val="es-ES"/>
        </w:rPr>
        <w:t>ciones</w:t>
      </w:r>
      <w:r w:rsidR="0031465A" w:rsidRPr="003C379E">
        <w:rPr>
          <w:rFonts w:ascii="Cambria" w:hAnsi="Cambria"/>
          <w:i/>
          <w:sz w:val="20"/>
          <w:szCs w:val="20"/>
          <w:lang w:val="es-ES"/>
        </w:rPr>
        <w:t xml:space="preserve"> </w:t>
      </w:r>
      <w:r w:rsidRPr="003C379E">
        <w:rPr>
          <w:rFonts w:ascii="Cambria" w:hAnsi="Cambria"/>
          <w:sz w:val="20"/>
          <w:szCs w:val="20"/>
          <w:lang w:val="es-ES"/>
        </w:rPr>
        <w:t xml:space="preserve">de </w:t>
      </w:r>
      <w:r w:rsidR="00B04C63" w:rsidRPr="003C379E">
        <w:rPr>
          <w:rFonts w:ascii="Cambria" w:hAnsi="Cambria"/>
          <w:sz w:val="20"/>
          <w:szCs w:val="20"/>
          <w:lang w:val="es-ES"/>
        </w:rPr>
        <w:t>la</w:t>
      </w:r>
      <w:r w:rsidR="00C95A33" w:rsidRPr="003C379E">
        <w:rPr>
          <w:rFonts w:ascii="Cambria" w:hAnsi="Cambria"/>
          <w:sz w:val="20"/>
          <w:szCs w:val="20"/>
          <w:lang w:val="es-ES"/>
        </w:rPr>
        <w:t xml:space="preserve"> parte peticionaria</w:t>
      </w:r>
      <w:r w:rsidR="0031465A" w:rsidRPr="003C379E">
        <w:rPr>
          <w:rFonts w:ascii="Cambria" w:hAnsi="Cambria"/>
          <w:sz w:val="20"/>
          <w:szCs w:val="20"/>
          <w:lang w:val="es-ES"/>
        </w:rPr>
        <w:t xml:space="preserve"> </w:t>
      </w:r>
      <w:r w:rsidRPr="003C379E">
        <w:rPr>
          <w:rFonts w:ascii="Cambria" w:hAnsi="Cambria"/>
          <w:sz w:val="20"/>
          <w:szCs w:val="20"/>
          <w:lang w:val="es-ES"/>
        </w:rPr>
        <w:t>no</w:t>
      </w:r>
      <w:r w:rsidR="0031465A" w:rsidRPr="003C379E">
        <w:rPr>
          <w:rFonts w:ascii="Cambria" w:hAnsi="Cambria"/>
          <w:sz w:val="20"/>
          <w:szCs w:val="20"/>
          <w:lang w:val="es-ES"/>
        </w:rPr>
        <w:t xml:space="preserve"> </w:t>
      </w:r>
      <w:r w:rsidRPr="003C379E">
        <w:rPr>
          <w:rFonts w:ascii="Cambria" w:hAnsi="Cambria"/>
          <w:sz w:val="20"/>
          <w:szCs w:val="20"/>
          <w:lang w:val="es-ES"/>
        </w:rPr>
        <w:t>son</w:t>
      </w:r>
      <w:r w:rsidR="0031465A" w:rsidRPr="003C379E">
        <w:rPr>
          <w:rFonts w:ascii="Cambria" w:hAnsi="Cambria"/>
          <w:sz w:val="20"/>
          <w:szCs w:val="20"/>
          <w:lang w:val="es-ES"/>
        </w:rPr>
        <w:t xml:space="preserve"> manif</w:t>
      </w:r>
      <w:r w:rsidR="00B05EA6" w:rsidRPr="003C379E">
        <w:rPr>
          <w:rFonts w:ascii="Cambria" w:hAnsi="Cambria"/>
          <w:sz w:val="20"/>
          <w:szCs w:val="20"/>
          <w:lang w:val="es-ES"/>
        </w:rPr>
        <w:t>i</w:t>
      </w:r>
      <w:r w:rsidR="0031465A" w:rsidRPr="003C379E">
        <w:rPr>
          <w:rFonts w:ascii="Cambria" w:hAnsi="Cambria"/>
          <w:sz w:val="20"/>
          <w:szCs w:val="20"/>
          <w:lang w:val="es-ES"/>
        </w:rPr>
        <w:t>estamente infundada</w:t>
      </w:r>
      <w:r w:rsidR="00B445AC" w:rsidRPr="003C379E">
        <w:rPr>
          <w:rFonts w:ascii="Cambria" w:hAnsi="Cambria"/>
          <w:sz w:val="20"/>
          <w:szCs w:val="20"/>
          <w:lang w:val="es-ES"/>
        </w:rPr>
        <w:t>s</w:t>
      </w:r>
      <w:r w:rsidR="0031465A" w:rsidRPr="003C379E">
        <w:rPr>
          <w:rFonts w:ascii="Cambria" w:hAnsi="Cambria"/>
          <w:sz w:val="20"/>
          <w:szCs w:val="20"/>
          <w:lang w:val="es-ES"/>
        </w:rPr>
        <w:t xml:space="preserve"> </w:t>
      </w:r>
      <w:r w:rsidRPr="003C379E">
        <w:rPr>
          <w:rFonts w:ascii="Cambria" w:hAnsi="Cambria"/>
          <w:sz w:val="20"/>
          <w:szCs w:val="20"/>
          <w:lang w:val="es-ES"/>
        </w:rPr>
        <w:t>y</w:t>
      </w:r>
      <w:r w:rsidR="0031465A" w:rsidRPr="003C379E">
        <w:rPr>
          <w:rFonts w:ascii="Cambria" w:hAnsi="Cambria"/>
          <w:sz w:val="20"/>
          <w:szCs w:val="20"/>
          <w:lang w:val="es-ES"/>
        </w:rPr>
        <w:t xml:space="preserve"> </w:t>
      </w:r>
      <w:r w:rsidR="00C605D9" w:rsidRPr="003C379E">
        <w:rPr>
          <w:rFonts w:ascii="Cambria" w:hAnsi="Cambria"/>
          <w:sz w:val="20"/>
          <w:szCs w:val="20"/>
          <w:lang w:val="es-ES"/>
        </w:rPr>
        <w:t>requieren</w:t>
      </w:r>
      <w:r w:rsidRPr="003C379E">
        <w:rPr>
          <w:rFonts w:ascii="Cambria" w:hAnsi="Cambria"/>
          <w:sz w:val="20"/>
          <w:szCs w:val="20"/>
          <w:lang w:val="es-ES"/>
        </w:rPr>
        <w:t xml:space="preserve"> un</w:t>
      </w:r>
      <w:r w:rsidR="0031465A" w:rsidRPr="003C379E">
        <w:rPr>
          <w:rFonts w:ascii="Cambria" w:hAnsi="Cambria"/>
          <w:sz w:val="20"/>
          <w:szCs w:val="20"/>
          <w:lang w:val="es-ES"/>
        </w:rPr>
        <w:t xml:space="preserve"> </w:t>
      </w:r>
      <w:r w:rsidR="00061146" w:rsidRPr="003C379E">
        <w:rPr>
          <w:rFonts w:ascii="Cambria" w:hAnsi="Cambria"/>
          <w:sz w:val="20"/>
          <w:szCs w:val="20"/>
          <w:lang w:val="es-ES"/>
        </w:rPr>
        <w:t>análisis</w:t>
      </w:r>
      <w:r w:rsidR="00F973F6" w:rsidRPr="003C379E">
        <w:rPr>
          <w:rFonts w:ascii="Cambria" w:hAnsi="Cambria"/>
          <w:sz w:val="20"/>
          <w:szCs w:val="20"/>
          <w:lang w:val="es-ES"/>
        </w:rPr>
        <w:t xml:space="preserve"> de fondo</w:t>
      </w:r>
      <w:r w:rsidR="00061146" w:rsidRPr="003C379E">
        <w:rPr>
          <w:rFonts w:ascii="Cambria" w:hAnsi="Cambria"/>
          <w:sz w:val="20"/>
          <w:szCs w:val="20"/>
          <w:lang w:val="es-ES"/>
        </w:rPr>
        <w:t xml:space="preserve"> del asunto</w:t>
      </w:r>
      <w:r w:rsidR="0031465A" w:rsidRPr="003C379E">
        <w:rPr>
          <w:rFonts w:ascii="Cambria" w:hAnsi="Cambria"/>
          <w:sz w:val="20"/>
          <w:szCs w:val="20"/>
          <w:lang w:val="es-ES"/>
        </w:rPr>
        <w:t xml:space="preserve">, </w:t>
      </w:r>
      <w:r w:rsidR="00E2315A" w:rsidRPr="003C379E">
        <w:rPr>
          <w:rFonts w:ascii="Cambria" w:hAnsi="Cambria"/>
          <w:sz w:val="20"/>
          <w:szCs w:val="20"/>
          <w:lang w:val="es-ES"/>
        </w:rPr>
        <w:t>ya que de corroborarse como ciertos</w:t>
      </w:r>
      <w:r w:rsidR="0031465A" w:rsidRPr="003C379E">
        <w:rPr>
          <w:rFonts w:ascii="Cambria" w:hAnsi="Cambria"/>
          <w:sz w:val="20"/>
          <w:szCs w:val="20"/>
          <w:lang w:val="es-ES"/>
        </w:rPr>
        <w:t xml:space="preserve"> </w:t>
      </w:r>
      <w:r w:rsidRPr="003C379E">
        <w:rPr>
          <w:rFonts w:ascii="Cambria" w:hAnsi="Cambria"/>
          <w:sz w:val="20"/>
          <w:szCs w:val="20"/>
          <w:lang w:val="es-ES"/>
        </w:rPr>
        <w:t>los</w:t>
      </w:r>
      <w:r w:rsidR="0031465A" w:rsidRPr="003C379E">
        <w:rPr>
          <w:rFonts w:ascii="Cambria" w:hAnsi="Cambria"/>
          <w:sz w:val="20"/>
          <w:szCs w:val="20"/>
          <w:lang w:val="es-ES"/>
        </w:rPr>
        <w:t xml:space="preserve"> </w:t>
      </w:r>
      <w:r w:rsidR="00B05EA6" w:rsidRPr="003C379E">
        <w:rPr>
          <w:rFonts w:ascii="Cambria" w:hAnsi="Cambria"/>
          <w:sz w:val="20"/>
          <w:szCs w:val="20"/>
          <w:lang w:val="es-ES"/>
        </w:rPr>
        <w:t>hechos</w:t>
      </w:r>
      <w:r w:rsidR="00E2315A" w:rsidRPr="003C379E">
        <w:rPr>
          <w:rFonts w:ascii="Cambria" w:hAnsi="Cambria"/>
          <w:sz w:val="20"/>
          <w:szCs w:val="20"/>
          <w:lang w:val="es-ES"/>
        </w:rPr>
        <w:t xml:space="preserve"> alegados</w:t>
      </w:r>
      <w:r w:rsidR="00D41CA5" w:rsidRPr="003C379E">
        <w:rPr>
          <w:rFonts w:ascii="Cambria" w:hAnsi="Cambria"/>
          <w:sz w:val="20"/>
          <w:szCs w:val="20"/>
          <w:lang w:val="es-ES"/>
        </w:rPr>
        <w:t>,</w:t>
      </w:r>
      <w:r w:rsidR="0031465A" w:rsidRPr="003C379E">
        <w:rPr>
          <w:rFonts w:ascii="Cambria" w:hAnsi="Cambria"/>
          <w:sz w:val="20"/>
          <w:szCs w:val="20"/>
          <w:lang w:val="es-ES"/>
        </w:rPr>
        <w:t xml:space="preserve"> p</w:t>
      </w:r>
      <w:r w:rsidR="00F973F6" w:rsidRPr="003C379E">
        <w:rPr>
          <w:rFonts w:ascii="Cambria" w:hAnsi="Cambria"/>
          <w:sz w:val="20"/>
          <w:szCs w:val="20"/>
          <w:lang w:val="es-ES"/>
        </w:rPr>
        <w:t>ue</w:t>
      </w:r>
      <w:r w:rsidR="0031465A" w:rsidRPr="003C379E">
        <w:rPr>
          <w:rFonts w:ascii="Cambria" w:hAnsi="Cambria"/>
          <w:sz w:val="20"/>
          <w:szCs w:val="20"/>
          <w:lang w:val="es-ES"/>
        </w:rPr>
        <w:t>d</w:t>
      </w:r>
      <w:r w:rsidRPr="003C379E">
        <w:rPr>
          <w:rFonts w:ascii="Cambria" w:hAnsi="Cambria"/>
          <w:sz w:val="20"/>
          <w:szCs w:val="20"/>
          <w:lang w:val="es-ES"/>
        </w:rPr>
        <w:t xml:space="preserve">en </w:t>
      </w:r>
      <w:r w:rsidR="0031465A" w:rsidRPr="003C379E">
        <w:rPr>
          <w:rFonts w:ascii="Cambria" w:hAnsi="Cambria"/>
          <w:sz w:val="20"/>
          <w:szCs w:val="20"/>
          <w:lang w:val="es-ES"/>
        </w:rPr>
        <w:t xml:space="preserve">caracterizar </w:t>
      </w:r>
      <w:r w:rsidR="0031465A" w:rsidRPr="003C379E">
        <w:rPr>
          <w:rFonts w:ascii="Cambria" w:hAnsi="Cambria"/>
          <w:bCs/>
          <w:i/>
          <w:sz w:val="20"/>
          <w:szCs w:val="20"/>
          <w:lang w:val="es-ES"/>
        </w:rPr>
        <w:t>v</w:t>
      </w:r>
      <w:r w:rsidR="0031465A" w:rsidRPr="003C379E">
        <w:rPr>
          <w:rStyle w:val="Emphasis"/>
          <w:rFonts w:ascii="Cambria" w:hAnsi="Cambria" w:cs="Arial"/>
          <w:bCs/>
          <w:i w:val="0"/>
          <w:sz w:val="20"/>
          <w:szCs w:val="20"/>
          <w:shd w:val="clear" w:color="auto" w:fill="FFFFFF"/>
          <w:lang w:val="es-ES"/>
        </w:rPr>
        <w:t>iola</w:t>
      </w:r>
      <w:r w:rsidRPr="003C379E">
        <w:rPr>
          <w:rStyle w:val="Emphasis"/>
          <w:rFonts w:ascii="Cambria" w:hAnsi="Cambria" w:cs="Arial"/>
          <w:bCs/>
          <w:i w:val="0"/>
          <w:sz w:val="20"/>
          <w:szCs w:val="20"/>
          <w:shd w:val="clear" w:color="auto" w:fill="FFFFFF"/>
          <w:lang w:val="es-ES"/>
        </w:rPr>
        <w:t>ciones</w:t>
      </w:r>
      <w:r w:rsidR="0031465A" w:rsidRPr="003C379E">
        <w:rPr>
          <w:rFonts w:ascii="Cambria" w:hAnsi="Cambria"/>
          <w:sz w:val="20"/>
          <w:szCs w:val="20"/>
          <w:lang w:val="es-ES"/>
        </w:rPr>
        <w:t xml:space="preserve"> </w:t>
      </w:r>
      <w:r w:rsidRPr="003C379E">
        <w:rPr>
          <w:rFonts w:ascii="Cambria" w:hAnsi="Cambria"/>
          <w:sz w:val="20"/>
          <w:szCs w:val="20"/>
          <w:lang w:val="es-ES"/>
        </w:rPr>
        <w:t>a los</w:t>
      </w:r>
      <w:r w:rsidR="0031465A" w:rsidRPr="003C379E">
        <w:rPr>
          <w:rFonts w:ascii="Cambria" w:hAnsi="Cambria"/>
          <w:sz w:val="20"/>
          <w:szCs w:val="20"/>
          <w:lang w:val="es-ES"/>
        </w:rPr>
        <w:t xml:space="preserve"> </w:t>
      </w:r>
      <w:r w:rsidRPr="003C379E">
        <w:rPr>
          <w:rFonts w:ascii="Cambria" w:hAnsi="Cambria"/>
          <w:sz w:val="20"/>
          <w:szCs w:val="20"/>
          <w:lang w:val="es-ES"/>
        </w:rPr>
        <w:t>derech</w:t>
      </w:r>
      <w:r w:rsidR="0031465A" w:rsidRPr="003C379E">
        <w:rPr>
          <w:rFonts w:ascii="Cambria" w:hAnsi="Cambria"/>
          <w:sz w:val="20"/>
          <w:szCs w:val="20"/>
          <w:lang w:val="es-ES"/>
        </w:rPr>
        <w:t xml:space="preserve">os protegidos </w:t>
      </w:r>
      <w:r w:rsidRPr="003C379E">
        <w:rPr>
          <w:rFonts w:ascii="Cambria" w:hAnsi="Cambria"/>
          <w:sz w:val="20"/>
          <w:szCs w:val="20"/>
          <w:lang w:val="es-ES"/>
        </w:rPr>
        <w:t>en los</w:t>
      </w:r>
      <w:r w:rsidR="002D4ADF" w:rsidRPr="003C379E">
        <w:rPr>
          <w:rFonts w:ascii="Cambria" w:hAnsi="Cambria"/>
          <w:sz w:val="20"/>
          <w:szCs w:val="20"/>
          <w:lang w:val="es-ES"/>
        </w:rPr>
        <w:t xml:space="preserve"> </w:t>
      </w:r>
      <w:r w:rsidRPr="003C379E">
        <w:rPr>
          <w:rFonts w:ascii="Cambria" w:hAnsi="Cambria"/>
          <w:sz w:val="20"/>
          <w:szCs w:val="20"/>
          <w:lang w:val="es-ES"/>
        </w:rPr>
        <w:t>artículo</w:t>
      </w:r>
      <w:r w:rsidR="002D4ADF" w:rsidRPr="003C379E">
        <w:rPr>
          <w:rFonts w:ascii="Cambria" w:hAnsi="Cambria"/>
          <w:bCs/>
          <w:sz w:val="20"/>
          <w:szCs w:val="20"/>
          <w:lang w:val="es-ES"/>
        </w:rPr>
        <w:t>s 5 (integri</w:t>
      </w:r>
      <w:r w:rsidRPr="003C379E">
        <w:rPr>
          <w:rFonts w:ascii="Cambria" w:hAnsi="Cambria"/>
          <w:bCs/>
          <w:sz w:val="20"/>
          <w:szCs w:val="20"/>
          <w:lang w:val="es-ES"/>
        </w:rPr>
        <w:t>dad persona</w:t>
      </w:r>
      <w:r w:rsidR="002D4ADF" w:rsidRPr="003C379E">
        <w:rPr>
          <w:rFonts w:ascii="Cambria" w:hAnsi="Cambria"/>
          <w:bCs/>
          <w:sz w:val="20"/>
          <w:szCs w:val="20"/>
          <w:lang w:val="es-ES"/>
        </w:rPr>
        <w:t>l), 8 (</w:t>
      </w:r>
      <w:r w:rsidR="00B05EA6" w:rsidRPr="003C379E">
        <w:rPr>
          <w:rFonts w:ascii="Cambria" w:hAnsi="Cambria"/>
          <w:bCs/>
          <w:sz w:val="20"/>
          <w:szCs w:val="20"/>
          <w:lang w:val="es-ES"/>
        </w:rPr>
        <w:t>garantía</w:t>
      </w:r>
      <w:r w:rsidR="002D4ADF" w:rsidRPr="003C379E">
        <w:rPr>
          <w:rFonts w:ascii="Cambria" w:hAnsi="Cambria"/>
          <w:bCs/>
          <w:sz w:val="20"/>
          <w:szCs w:val="20"/>
          <w:lang w:val="es-ES"/>
        </w:rPr>
        <w:t>s judici</w:t>
      </w:r>
      <w:r w:rsidR="00B05EA6" w:rsidRPr="003C379E">
        <w:rPr>
          <w:rFonts w:ascii="Cambria" w:hAnsi="Cambria"/>
          <w:bCs/>
          <w:sz w:val="20"/>
          <w:szCs w:val="20"/>
          <w:lang w:val="es-ES"/>
        </w:rPr>
        <w:t>ales)</w:t>
      </w:r>
      <w:r w:rsidR="002D4ADF" w:rsidRPr="003C379E">
        <w:rPr>
          <w:rFonts w:ascii="Cambria" w:hAnsi="Cambria"/>
          <w:bCs/>
          <w:sz w:val="20"/>
          <w:szCs w:val="20"/>
          <w:lang w:val="es-ES"/>
        </w:rPr>
        <w:t xml:space="preserve">, 11 (honra </w:t>
      </w:r>
      <w:r w:rsidRPr="003C379E">
        <w:rPr>
          <w:rFonts w:ascii="Cambria" w:hAnsi="Cambria"/>
          <w:bCs/>
          <w:sz w:val="20"/>
          <w:szCs w:val="20"/>
          <w:lang w:val="es-ES"/>
        </w:rPr>
        <w:t>y</w:t>
      </w:r>
      <w:r w:rsidR="002D4ADF" w:rsidRPr="003C379E">
        <w:rPr>
          <w:rFonts w:ascii="Cambria" w:hAnsi="Cambria"/>
          <w:bCs/>
          <w:sz w:val="20"/>
          <w:szCs w:val="20"/>
          <w:lang w:val="es-ES"/>
        </w:rPr>
        <w:t xml:space="preserve"> dignidad), 13 (</w:t>
      </w:r>
      <w:r w:rsidRPr="003C379E">
        <w:rPr>
          <w:rFonts w:ascii="Cambria" w:hAnsi="Cambria"/>
          <w:bCs/>
          <w:sz w:val="20"/>
          <w:szCs w:val="20"/>
          <w:lang w:val="es-ES"/>
        </w:rPr>
        <w:t xml:space="preserve">libertad </w:t>
      </w:r>
      <w:r w:rsidR="002D4ADF" w:rsidRPr="003C379E">
        <w:rPr>
          <w:rFonts w:ascii="Cambria" w:hAnsi="Cambria"/>
          <w:bCs/>
          <w:sz w:val="20"/>
          <w:szCs w:val="20"/>
          <w:lang w:val="es-ES"/>
        </w:rPr>
        <w:t>de pensam</w:t>
      </w:r>
      <w:r w:rsidR="004C71B9" w:rsidRPr="003C379E">
        <w:rPr>
          <w:rFonts w:ascii="Cambria" w:hAnsi="Cambria"/>
          <w:bCs/>
          <w:sz w:val="20"/>
          <w:szCs w:val="20"/>
          <w:lang w:val="es-ES"/>
        </w:rPr>
        <w:t>i</w:t>
      </w:r>
      <w:r w:rsidR="002D4ADF" w:rsidRPr="003C379E">
        <w:rPr>
          <w:rFonts w:ascii="Cambria" w:hAnsi="Cambria"/>
          <w:bCs/>
          <w:sz w:val="20"/>
          <w:szCs w:val="20"/>
          <w:lang w:val="es-ES"/>
        </w:rPr>
        <w:t xml:space="preserve">ento </w:t>
      </w:r>
      <w:r w:rsidRPr="003C379E">
        <w:rPr>
          <w:rFonts w:ascii="Cambria" w:hAnsi="Cambria"/>
          <w:bCs/>
          <w:sz w:val="20"/>
          <w:szCs w:val="20"/>
          <w:lang w:val="es-ES"/>
        </w:rPr>
        <w:t>y</w:t>
      </w:r>
      <w:r w:rsidR="002D4ADF" w:rsidRPr="003C379E">
        <w:rPr>
          <w:rFonts w:ascii="Cambria" w:hAnsi="Cambria"/>
          <w:bCs/>
          <w:sz w:val="20"/>
          <w:szCs w:val="20"/>
          <w:lang w:val="es-ES"/>
        </w:rPr>
        <w:t xml:space="preserve"> expre</w:t>
      </w:r>
      <w:r w:rsidRPr="003C379E">
        <w:rPr>
          <w:rFonts w:ascii="Cambria" w:hAnsi="Cambria"/>
          <w:bCs/>
          <w:sz w:val="20"/>
          <w:szCs w:val="20"/>
          <w:lang w:val="es-ES"/>
        </w:rPr>
        <w:t>sión</w:t>
      </w:r>
      <w:r w:rsidR="002D4ADF" w:rsidRPr="003C379E">
        <w:rPr>
          <w:rFonts w:ascii="Cambria" w:hAnsi="Cambria"/>
          <w:bCs/>
          <w:sz w:val="20"/>
          <w:szCs w:val="20"/>
          <w:lang w:val="es-ES"/>
        </w:rPr>
        <w:t xml:space="preserve">) </w:t>
      </w:r>
      <w:r w:rsidRPr="003C379E">
        <w:rPr>
          <w:rFonts w:ascii="Cambria" w:hAnsi="Cambria"/>
          <w:bCs/>
          <w:sz w:val="20"/>
          <w:szCs w:val="20"/>
          <w:lang w:val="es-ES"/>
        </w:rPr>
        <w:t>y</w:t>
      </w:r>
      <w:r w:rsidR="002D4ADF" w:rsidRPr="003C379E">
        <w:rPr>
          <w:rFonts w:ascii="Cambria" w:hAnsi="Cambria"/>
          <w:bCs/>
          <w:sz w:val="20"/>
          <w:szCs w:val="20"/>
          <w:lang w:val="es-ES"/>
        </w:rPr>
        <w:t xml:space="preserve"> 25 (</w:t>
      </w:r>
      <w:r w:rsidR="00B05EA6" w:rsidRPr="003C379E">
        <w:rPr>
          <w:rFonts w:ascii="Cambria" w:hAnsi="Cambria"/>
          <w:bCs/>
          <w:sz w:val="20"/>
          <w:szCs w:val="20"/>
          <w:lang w:val="es-ES"/>
        </w:rPr>
        <w:t>protección</w:t>
      </w:r>
      <w:r w:rsidR="002D4ADF" w:rsidRPr="003C379E">
        <w:rPr>
          <w:rFonts w:ascii="Cambria" w:hAnsi="Cambria"/>
          <w:bCs/>
          <w:sz w:val="20"/>
          <w:szCs w:val="20"/>
          <w:lang w:val="es-ES"/>
        </w:rPr>
        <w:t xml:space="preserve"> judicial) </w:t>
      </w:r>
      <w:r w:rsidRPr="003C379E">
        <w:rPr>
          <w:rFonts w:ascii="Cambria" w:hAnsi="Cambria"/>
          <w:bCs/>
          <w:sz w:val="20"/>
          <w:szCs w:val="20"/>
          <w:lang w:val="es-ES"/>
        </w:rPr>
        <w:t>de la</w:t>
      </w:r>
      <w:r w:rsidR="002D4ADF" w:rsidRPr="003C379E">
        <w:rPr>
          <w:rFonts w:ascii="Cambria" w:hAnsi="Cambria"/>
          <w:bCs/>
          <w:sz w:val="20"/>
          <w:szCs w:val="20"/>
          <w:lang w:val="es-ES"/>
        </w:rPr>
        <w:t xml:space="preserve"> Conven</w:t>
      </w:r>
      <w:r w:rsidRPr="003C379E">
        <w:rPr>
          <w:rFonts w:ascii="Cambria" w:hAnsi="Cambria"/>
          <w:bCs/>
          <w:sz w:val="20"/>
          <w:szCs w:val="20"/>
          <w:lang w:val="es-ES"/>
        </w:rPr>
        <w:t>ción</w:t>
      </w:r>
      <w:r w:rsidR="002D4ADF" w:rsidRPr="003C379E">
        <w:rPr>
          <w:rFonts w:ascii="Cambria" w:hAnsi="Cambria"/>
          <w:bCs/>
          <w:sz w:val="20"/>
          <w:szCs w:val="20"/>
          <w:lang w:val="es-ES"/>
        </w:rPr>
        <w:t xml:space="preserve"> Americana </w:t>
      </w:r>
      <w:r w:rsidRPr="003C379E">
        <w:rPr>
          <w:rFonts w:ascii="Cambria" w:hAnsi="Cambria"/>
          <w:bCs/>
          <w:sz w:val="20"/>
          <w:szCs w:val="20"/>
          <w:lang w:val="es-ES"/>
        </w:rPr>
        <w:t xml:space="preserve">en </w:t>
      </w:r>
      <w:r w:rsidR="002D4ADF" w:rsidRPr="003C379E">
        <w:rPr>
          <w:rFonts w:ascii="Cambria" w:hAnsi="Cambria"/>
          <w:bCs/>
          <w:sz w:val="20"/>
          <w:szCs w:val="20"/>
          <w:lang w:val="es-ES"/>
        </w:rPr>
        <w:t>rela</w:t>
      </w:r>
      <w:r w:rsidRPr="003C379E">
        <w:rPr>
          <w:rFonts w:ascii="Cambria" w:hAnsi="Cambria"/>
          <w:bCs/>
          <w:sz w:val="20"/>
          <w:szCs w:val="20"/>
          <w:lang w:val="es-ES"/>
        </w:rPr>
        <w:t>ción</w:t>
      </w:r>
      <w:r w:rsidR="002D4ADF" w:rsidRPr="003C379E">
        <w:rPr>
          <w:rFonts w:ascii="Cambria" w:hAnsi="Cambria"/>
          <w:bCs/>
          <w:sz w:val="20"/>
          <w:szCs w:val="20"/>
          <w:lang w:val="es-ES"/>
        </w:rPr>
        <w:t xml:space="preserve"> </w:t>
      </w:r>
      <w:r w:rsidR="00F973F6" w:rsidRPr="003C379E">
        <w:rPr>
          <w:rFonts w:ascii="Cambria" w:hAnsi="Cambria"/>
          <w:bCs/>
          <w:sz w:val="20"/>
          <w:szCs w:val="20"/>
          <w:lang w:val="es-ES"/>
        </w:rPr>
        <w:t xml:space="preserve">con </w:t>
      </w:r>
      <w:r w:rsidR="00D41CA5" w:rsidRPr="003C379E">
        <w:rPr>
          <w:rFonts w:ascii="Cambria" w:hAnsi="Cambria"/>
          <w:bCs/>
          <w:sz w:val="20"/>
          <w:szCs w:val="20"/>
          <w:lang w:val="es-ES"/>
        </w:rPr>
        <w:t>su</w:t>
      </w:r>
      <w:r w:rsidR="002D4ADF" w:rsidRPr="003C379E">
        <w:rPr>
          <w:rFonts w:ascii="Cambria" w:hAnsi="Cambria"/>
          <w:bCs/>
          <w:sz w:val="20"/>
          <w:szCs w:val="20"/>
          <w:lang w:val="es-ES"/>
        </w:rPr>
        <w:t xml:space="preserve"> </w:t>
      </w:r>
      <w:r w:rsidRPr="003C379E">
        <w:rPr>
          <w:rFonts w:ascii="Cambria" w:hAnsi="Cambria"/>
          <w:bCs/>
          <w:sz w:val="20"/>
          <w:szCs w:val="20"/>
          <w:lang w:val="es-ES"/>
        </w:rPr>
        <w:t>artículo</w:t>
      </w:r>
      <w:r w:rsidR="002D4ADF" w:rsidRPr="003C379E">
        <w:rPr>
          <w:rFonts w:ascii="Cambria" w:hAnsi="Cambria"/>
          <w:bCs/>
          <w:sz w:val="20"/>
          <w:szCs w:val="20"/>
          <w:lang w:val="es-ES"/>
        </w:rPr>
        <w:t xml:space="preserve"> 2 (</w:t>
      </w:r>
      <w:r w:rsidRPr="003C379E">
        <w:rPr>
          <w:rFonts w:ascii="Cambria" w:hAnsi="Cambria"/>
          <w:bCs/>
          <w:sz w:val="20"/>
          <w:szCs w:val="20"/>
          <w:lang w:val="es-ES"/>
        </w:rPr>
        <w:t>debe</w:t>
      </w:r>
      <w:r w:rsidR="002D4ADF" w:rsidRPr="003C379E">
        <w:rPr>
          <w:rFonts w:ascii="Cambria" w:hAnsi="Cambria"/>
          <w:bCs/>
          <w:sz w:val="20"/>
          <w:szCs w:val="20"/>
          <w:lang w:val="es-ES"/>
        </w:rPr>
        <w:t xml:space="preserve">r de </w:t>
      </w:r>
      <w:r w:rsidR="00B30B5A" w:rsidRPr="003C379E">
        <w:rPr>
          <w:rFonts w:ascii="Cambria" w:hAnsi="Cambria"/>
          <w:bCs/>
          <w:sz w:val="20"/>
          <w:szCs w:val="20"/>
          <w:lang w:val="es-ES"/>
        </w:rPr>
        <w:t>adopta</w:t>
      </w:r>
      <w:r w:rsidR="002D4ADF" w:rsidRPr="003C379E">
        <w:rPr>
          <w:rFonts w:ascii="Cambria" w:hAnsi="Cambria"/>
          <w:bCs/>
          <w:sz w:val="20"/>
          <w:szCs w:val="20"/>
          <w:lang w:val="es-ES"/>
        </w:rPr>
        <w:t>r disposi</w:t>
      </w:r>
      <w:r w:rsidRPr="003C379E">
        <w:rPr>
          <w:rFonts w:ascii="Cambria" w:hAnsi="Cambria"/>
          <w:bCs/>
          <w:sz w:val="20"/>
          <w:szCs w:val="20"/>
          <w:lang w:val="es-ES"/>
        </w:rPr>
        <w:t>ciones</w:t>
      </w:r>
      <w:r w:rsidR="002D4ADF" w:rsidRPr="003C379E">
        <w:rPr>
          <w:rFonts w:ascii="Cambria" w:hAnsi="Cambria"/>
          <w:bCs/>
          <w:sz w:val="20"/>
          <w:szCs w:val="20"/>
          <w:lang w:val="es-ES"/>
        </w:rPr>
        <w:t xml:space="preserve"> de </w:t>
      </w:r>
      <w:r w:rsidRPr="003C379E">
        <w:rPr>
          <w:rFonts w:ascii="Cambria" w:hAnsi="Cambria"/>
          <w:bCs/>
          <w:sz w:val="20"/>
          <w:szCs w:val="20"/>
          <w:lang w:val="es-ES"/>
        </w:rPr>
        <w:t>derech</w:t>
      </w:r>
      <w:r w:rsidR="002D4ADF" w:rsidRPr="003C379E">
        <w:rPr>
          <w:rFonts w:ascii="Cambria" w:hAnsi="Cambria"/>
          <w:bCs/>
          <w:sz w:val="20"/>
          <w:szCs w:val="20"/>
          <w:lang w:val="es-ES"/>
        </w:rPr>
        <w:t>o interno)</w:t>
      </w:r>
      <w:r w:rsidR="000D6826" w:rsidRPr="003C379E">
        <w:rPr>
          <w:rFonts w:ascii="Cambria" w:hAnsi="Cambria"/>
          <w:bCs/>
          <w:sz w:val="20"/>
          <w:szCs w:val="20"/>
          <w:lang w:val="es-ES"/>
        </w:rPr>
        <w:t>.</w:t>
      </w:r>
    </w:p>
    <w:p w14:paraId="495DBBED" w14:textId="5CA6BECA" w:rsidR="00BD2518" w:rsidRPr="003C379E" w:rsidRDefault="005B1FDF" w:rsidP="00334EAF">
      <w:pPr>
        <w:numPr>
          <w:ilvl w:val="0"/>
          <w:numId w:val="103"/>
        </w:numPr>
        <w:suppressAutoHyphens/>
        <w:spacing w:after="120"/>
        <w:jc w:val="both"/>
        <w:rPr>
          <w:rFonts w:ascii="Cambria" w:hAnsi="Cambria"/>
          <w:sz w:val="20"/>
          <w:szCs w:val="20"/>
          <w:lang w:val="es-ES"/>
        </w:rPr>
      </w:pPr>
      <w:r w:rsidRPr="003C379E">
        <w:rPr>
          <w:rFonts w:ascii="Cambria" w:hAnsi="Cambria"/>
          <w:bCs/>
          <w:sz w:val="20"/>
          <w:szCs w:val="20"/>
          <w:lang w:val="es-ES"/>
        </w:rPr>
        <w:t>No obstante</w:t>
      </w:r>
      <w:r w:rsidR="00BD2518" w:rsidRPr="003C379E">
        <w:rPr>
          <w:rFonts w:ascii="Cambria" w:hAnsi="Cambria"/>
          <w:bCs/>
          <w:sz w:val="20"/>
          <w:szCs w:val="20"/>
          <w:lang w:val="es-ES"/>
        </w:rPr>
        <w:t xml:space="preserve">, </w:t>
      </w:r>
      <w:r w:rsidRPr="003C379E">
        <w:rPr>
          <w:rFonts w:ascii="Cambria" w:hAnsi="Cambria"/>
          <w:bCs/>
          <w:sz w:val="20"/>
          <w:szCs w:val="20"/>
          <w:lang w:val="es-ES"/>
        </w:rPr>
        <w:t>co</w:t>
      </w:r>
      <w:r w:rsidR="009115EB" w:rsidRPr="003C379E">
        <w:rPr>
          <w:rFonts w:ascii="Cambria" w:hAnsi="Cambria"/>
          <w:bCs/>
          <w:sz w:val="20"/>
          <w:szCs w:val="20"/>
          <w:lang w:val="es-ES"/>
        </w:rPr>
        <w:t xml:space="preserve">n </w:t>
      </w:r>
      <w:r w:rsidR="00BD2518" w:rsidRPr="003C379E">
        <w:rPr>
          <w:rFonts w:ascii="Cambria" w:hAnsi="Cambria"/>
          <w:bCs/>
          <w:sz w:val="20"/>
          <w:szCs w:val="20"/>
          <w:lang w:val="es-ES"/>
        </w:rPr>
        <w:t>rela</w:t>
      </w:r>
      <w:r w:rsidR="009115EB" w:rsidRPr="003C379E">
        <w:rPr>
          <w:rFonts w:ascii="Cambria" w:hAnsi="Cambria"/>
          <w:bCs/>
          <w:sz w:val="20"/>
          <w:szCs w:val="20"/>
          <w:lang w:val="es-ES"/>
        </w:rPr>
        <w:t>ción</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a la</w:t>
      </w:r>
      <w:r w:rsidR="00BD2518" w:rsidRPr="003C379E">
        <w:rPr>
          <w:rFonts w:ascii="Cambria" w:hAnsi="Cambria"/>
          <w:bCs/>
          <w:sz w:val="20"/>
          <w:szCs w:val="20"/>
          <w:lang w:val="es-ES"/>
        </w:rPr>
        <w:t xml:space="preserve"> </w:t>
      </w:r>
      <w:r w:rsidR="00D41CA5" w:rsidRPr="003C379E">
        <w:rPr>
          <w:rFonts w:ascii="Cambria" w:hAnsi="Cambria"/>
          <w:bCs/>
          <w:sz w:val="20"/>
          <w:szCs w:val="20"/>
          <w:lang w:val="es-ES"/>
        </w:rPr>
        <w:t>presunta</w:t>
      </w:r>
      <w:r w:rsidR="00BD2518" w:rsidRPr="003C379E">
        <w:rPr>
          <w:rFonts w:ascii="Cambria" w:hAnsi="Cambria"/>
          <w:bCs/>
          <w:sz w:val="20"/>
          <w:szCs w:val="20"/>
          <w:lang w:val="es-ES"/>
        </w:rPr>
        <w:t xml:space="preserve"> viola</w:t>
      </w:r>
      <w:r w:rsidR="009115EB" w:rsidRPr="003C379E">
        <w:rPr>
          <w:rFonts w:ascii="Cambria" w:hAnsi="Cambria"/>
          <w:bCs/>
          <w:sz w:val="20"/>
          <w:szCs w:val="20"/>
          <w:lang w:val="es-ES"/>
        </w:rPr>
        <w:t>ción</w:t>
      </w:r>
      <w:r w:rsidR="00BD2518" w:rsidRPr="003C379E">
        <w:rPr>
          <w:rFonts w:ascii="Cambria" w:hAnsi="Cambria"/>
          <w:bCs/>
          <w:sz w:val="20"/>
          <w:szCs w:val="20"/>
          <w:lang w:val="es-ES"/>
        </w:rPr>
        <w:t xml:space="preserve"> </w:t>
      </w:r>
      <w:r w:rsidR="00913073" w:rsidRPr="003C379E">
        <w:rPr>
          <w:rFonts w:ascii="Cambria" w:hAnsi="Cambria"/>
          <w:bCs/>
          <w:sz w:val="20"/>
          <w:szCs w:val="20"/>
          <w:lang w:val="es-ES"/>
        </w:rPr>
        <w:t>de</w:t>
      </w:r>
      <w:r w:rsidR="009115EB" w:rsidRPr="003C379E">
        <w:rPr>
          <w:rFonts w:ascii="Cambria" w:hAnsi="Cambria"/>
          <w:bCs/>
          <w:sz w:val="20"/>
          <w:szCs w:val="20"/>
          <w:lang w:val="es-ES"/>
        </w:rPr>
        <w:t xml:space="preserve"> los</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derech</w:t>
      </w:r>
      <w:r w:rsidR="00BD2518" w:rsidRPr="003C379E">
        <w:rPr>
          <w:rFonts w:ascii="Cambria" w:hAnsi="Cambria"/>
          <w:bCs/>
          <w:sz w:val="20"/>
          <w:szCs w:val="20"/>
          <w:lang w:val="es-ES"/>
        </w:rPr>
        <w:t xml:space="preserve">os </w:t>
      </w:r>
      <w:r w:rsidR="009115EB" w:rsidRPr="003C379E">
        <w:rPr>
          <w:rFonts w:ascii="Cambria" w:hAnsi="Cambria"/>
          <w:bCs/>
          <w:sz w:val="20"/>
          <w:szCs w:val="20"/>
          <w:lang w:val="es-ES"/>
        </w:rPr>
        <w:t>a la</w:t>
      </w:r>
      <w:r w:rsidR="00BD2518" w:rsidRPr="003C379E">
        <w:rPr>
          <w:rFonts w:ascii="Cambria" w:hAnsi="Cambria"/>
          <w:bCs/>
          <w:sz w:val="20"/>
          <w:szCs w:val="20"/>
          <w:lang w:val="es-ES"/>
        </w:rPr>
        <w:t xml:space="preserve"> integri</w:t>
      </w:r>
      <w:r w:rsidR="009115EB" w:rsidRPr="003C379E">
        <w:rPr>
          <w:rFonts w:ascii="Cambria" w:hAnsi="Cambria"/>
          <w:bCs/>
          <w:sz w:val="20"/>
          <w:szCs w:val="20"/>
          <w:lang w:val="es-ES"/>
        </w:rPr>
        <w:t>dad persona</w:t>
      </w:r>
      <w:r w:rsidR="00BD2518" w:rsidRPr="003C379E">
        <w:rPr>
          <w:rFonts w:ascii="Cambria" w:hAnsi="Cambria"/>
          <w:bCs/>
          <w:sz w:val="20"/>
          <w:szCs w:val="20"/>
          <w:lang w:val="es-ES"/>
        </w:rPr>
        <w:t xml:space="preserve">l, </w:t>
      </w:r>
      <w:r w:rsidR="009115EB" w:rsidRPr="003C379E">
        <w:rPr>
          <w:rFonts w:ascii="Cambria" w:hAnsi="Cambria"/>
          <w:bCs/>
          <w:sz w:val="20"/>
          <w:szCs w:val="20"/>
          <w:lang w:val="es-ES"/>
        </w:rPr>
        <w:t>libertad persona</w:t>
      </w:r>
      <w:r w:rsidR="00BD2518" w:rsidRPr="003C379E">
        <w:rPr>
          <w:rFonts w:ascii="Cambria" w:hAnsi="Cambria"/>
          <w:bCs/>
          <w:sz w:val="20"/>
          <w:szCs w:val="20"/>
          <w:lang w:val="es-ES"/>
        </w:rPr>
        <w:t xml:space="preserve">l </w:t>
      </w:r>
      <w:r w:rsidR="004C71B9" w:rsidRPr="003C379E">
        <w:rPr>
          <w:rFonts w:ascii="Cambria" w:hAnsi="Cambria"/>
          <w:bCs/>
          <w:sz w:val="20"/>
          <w:szCs w:val="20"/>
          <w:lang w:val="es-ES"/>
        </w:rPr>
        <w:t>e i</w:t>
      </w:r>
      <w:r w:rsidR="009115EB" w:rsidRPr="003C379E">
        <w:rPr>
          <w:rFonts w:ascii="Cambria" w:hAnsi="Cambria"/>
          <w:bCs/>
          <w:sz w:val="20"/>
          <w:szCs w:val="20"/>
          <w:lang w:val="es-ES"/>
        </w:rPr>
        <w:t>ndemniz</w:t>
      </w:r>
      <w:r w:rsidR="00BD2518" w:rsidRPr="003C379E">
        <w:rPr>
          <w:rFonts w:ascii="Cambria" w:hAnsi="Cambria"/>
          <w:bCs/>
          <w:sz w:val="20"/>
          <w:szCs w:val="20"/>
          <w:lang w:val="es-ES"/>
        </w:rPr>
        <w:t>a</w:t>
      </w:r>
      <w:r w:rsidR="009115EB" w:rsidRPr="003C379E">
        <w:rPr>
          <w:rFonts w:ascii="Cambria" w:hAnsi="Cambria"/>
          <w:bCs/>
          <w:sz w:val="20"/>
          <w:szCs w:val="20"/>
          <w:lang w:val="es-ES"/>
        </w:rPr>
        <w:t>ción</w:t>
      </w:r>
      <w:r w:rsidR="00BD2518" w:rsidRPr="003C379E">
        <w:rPr>
          <w:rFonts w:ascii="Cambria" w:hAnsi="Cambria"/>
          <w:bCs/>
          <w:sz w:val="20"/>
          <w:szCs w:val="20"/>
          <w:lang w:val="es-ES"/>
        </w:rPr>
        <w:t xml:space="preserve">, </w:t>
      </w:r>
      <w:r w:rsidR="00B6265D" w:rsidRPr="003C379E">
        <w:rPr>
          <w:rFonts w:ascii="Cambria" w:hAnsi="Cambria"/>
          <w:bCs/>
          <w:sz w:val="20"/>
          <w:szCs w:val="20"/>
          <w:lang w:val="es-ES"/>
        </w:rPr>
        <w:t>la</w:t>
      </w:r>
      <w:r w:rsidR="00BD2518" w:rsidRPr="003C379E">
        <w:rPr>
          <w:rFonts w:ascii="Cambria" w:hAnsi="Cambria"/>
          <w:bCs/>
          <w:sz w:val="20"/>
          <w:szCs w:val="20"/>
          <w:lang w:val="es-ES"/>
        </w:rPr>
        <w:t xml:space="preserve"> Comi</w:t>
      </w:r>
      <w:r w:rsidR="009115EB" w:rsidRPr="003C379E">
        <w:rPr>
          <w:rFonts w:ascii="Cambria" w:hAnsi="Cambria"/>
          <w:bCs/>
          <w:sz w:val="20"/>
          <w:szCs w:val="20"/>
          <w:lang w:val="es-ES"/>
        </w:rPr>
        <w:t>sión</w:t>
      </w:r>
      <w:r w:rsidR="00BD2518" w:rsidRPr="003C379E">
        <w:rPr>
          <w:rFonts w:ascii="Cambria" w:hAnsi="Cambria"/>
          <w:bCs/>
          <w:sz w:val="20"/>
          <w:szCs w:val="20"/>
          <w:lang w:val="es-ES"/>
        </w:rPr>
        <w:t xml:space="preserve"> considera que</w:t>
      </w:r>
      <w:r w:rsidR="009115EB" w:rsidRPr="003C379E">
        <w:rPr>
          <w:rFonts w:ascii="Cambria" w:hAnsi="Cambria"/>
          <w:bCs/>
          <w:sz w:val="20"/>
          <w:szCs w:val="20"/>
          <w:lang w:val="es-ES"/>
        </w:rPr>
        <w:t xml:space="preserve"> </w:t>
      </w:r>
      <w:r w:rsidR="00B04C63" w:rsidRPr="003C379E">
        <w:rPr>
          <w:rFonts w:ascii="Cambria" w:hAnsi="Cambria"/>
          <w:bCs/>
          <w:sz w:val="20"/>
          <w:szCs w:val="20"/>
          <w:lang w:val="es-ES"/>
        </w:rPr>
        <w:t>la</w:t>
      </w:r>
      <w:r w:rsidR="00C95A33" w:rsidRPr="003C379E">
        <w:rPr>
          <w:rFonts w:ascii="Cambria" w:hAnsi="Cambria"/>
          <w:bCs/>
          <w:sz w:val="20"/>
          <w:szCs w:val="20"/>
          <w:lang w:val="es-ES"/>
        </w:rPr>
        <w:t xml:space="preserve"> parte peticionaria</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present</w:t>
      </w:r>
      <w:r w:rsidR="00BD2518" w:rsidRPr="003C379E">
        <w:rPr>
          <w:rFonts w:ascii="Cambria" w:hAnsi="Cambria"/>
          <w:bCs/>
          <w:sz w:val="20"/>
          <w:szCs w:val="20"/>
          <w:lang w:val="es-ES"/>
        </w:rPr>
        <w:t xml:space="preserve">a elementos </w:t>
      </w:r>
      <w:r w:rsidR="00D41CA5" w:rsidRPr="003C379E">
        <w:rPr>
          <w:rFonts w:ascii="Cambria" w:hAnsi="Cambria"/>
          <w:bCs/>
          <w:sz w:val="20"/>
          <w:szCs w:val="20"/>
          <w:lang w:val="es-ES"/>
        </w:rPr>
        <w:t xml:space="preserve">que permitan </w:t>
      </w:r>
      <w:r w:rsidR="00BD2518" w:rsidRPr="003C379E">
        <w:rPr>
          <w:rFonts w:ascii="Cambria" w:hAnsi="Cambria"/>
          <w:bCs/>
          <w:sz w:val="20"/>
          <w:szCs w:val="20"/>
          <w:lang w:val="es-ES"/>
        </w:rPr>
        <w:t xml:space="preserve">identificar, </w:t>
      </w:r>
      <w:r w:rsidR="00BD2518" w:rsidRPr="003C379E">
        <w:rPr>
          <w:rFonts w:ascii="Cambria" w:hAnsi="Cambria"/>
          <w:bCs/>
          <w:i/>
          <w:iCs/>
          <w:sz w:val="20"/>
          <w:szCs w:val="20"/>
          <w:lang w:val="es-ES"/>
        </w:rPr>
        <w:t xml:space="preserve">prima facie, </w:t>
      </w:r>
      <w:r w:rsidR="00B6265D" w:rsidRPr="003C379E">
        <w:rPr>
          <w:rFonts w:ascii="Cambria" w:hAnsi="Cambria"/>
          <w:bCs/>
          <w:sz w:val="20"/>
          <w:szCs w:val="20"/>
          <w:lang w:val="es-ES"/>
        </w:rPr>
        <w:t>la</w:t>
      </w:r>
      <w:r w:rsidR="00BD2518" w:rsidRPr="003C379E">
        <w:rPr>
          <w:rFonts w:ascii="Cambria" w:hAnsi="Cambria"/>
          <w:bCs/>
          <w:sz w:val="20"/>
          <w:szCs w:val="20"/>
          <w:lang w:val="es-ES"/>
        </w:rPr>
        <w:t xml:space="preserve"> caracteriza</w:t>
      </w:r>
      <w:r w:rsidR="009115EB" w:rsidRPr="003C379E">
        <w:rPr>
          <w:rFonts w:ascii="Cambria" w:hAnsi="Cambria"/>
          <w:bCs/>
          <w:sz w:val="20"/>
          <w:szCs w:val="20"/>
          <w:lang w:val="es-ES"/>
        </w:rPr>
        <w:t>ción</w:t>
      </w:r>
      <w:r w:rsidR="00BD2518" w:rsidRPr="003C379E">
        <w:rPr>
          <w:rFonts w:ascii="Cambria" w:hAnsi="Cambria"/>
          <w:bCs/>
          <w:sz w:val="20"/>
          <w:szCs w:val="20"/>
          <w:lang w:val="es-ES"/>
        </w:rPr>
        <w:t xml:space="preserve"> de po</w:t>
      </w:r>
      <w:r w:rsidR="00B05EA6" w:rsidRPr="003C379E">
        <w:rPr>
          <w:rFonts w:ascii="Cambria" w:hAnsi="Cambria"/>
          <w:bCs/>
          <w:sz w:val="20"/>
          <w:szCs w:val="20"/>
          <w:lang w:val="es-ES"/>
        </w:rPr>
        <w:t>sibles</w:t>
      </w:r>
      <w:r w:rsidR="00BD2518" w:rsidRPr="003C379E">
        <w:rPr>
          <w:rFonts w:ascii="Cambria" w:hAnsi="Cambria"/>
          <w:bCs/>
          <w:sz w:val="20"/>
          <w:szCs w:val="20"/>
          <w:lang w:val="es-ES"/>
        </w:rPr>
        <w:t xml:space="preserve"> viola</w:t>
      </w:r>
      <w:r w:rsidR="009115EB" w:rsidRPr="003C379E">
        <w:rPr>
          <w:rFonts w:ascii="Cambria" w:hAnsi="Cambria"/>
          <w:bCs/>
          <w:sz w:val="20"/>
          <w:szCs w:val="20"/>
          <w:lang w:val="es-ES"/>
        </w:rPr>
        <w:t>ciones</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al</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artículo</w:t>
      </w:r>
      <w:r w:rsidR="00BD2518" w:rsidRPr="003C379E">
        <w:rPr>
          <w:rFonts w:ascii="Cambria" w:hAnsi="Cambria"/>
          <w:bCs/>
          <w:sz w:val="20"/>
          <w:szCs w:val="20"/>
          <w:lang w:val="es-ES"/>
        </w:rPr>
        <w:t xml:space="preserve"> 7 (</w:t>
      </w:r>
      <w:r w:rsidR="009115EB" w:rsidRPr="003C379E">
        <w:rPr>
          <w:rFonts w:ascii="Cambria" w:hAnsi="Cambria"/>
          <w:bCs/>
          <w:sz w:val="20"/>
          <w:szCs w:val="20"/>
          <w:lang w:val="es-ES"/>
        </w:rPr>
        <w:t>libertad persona</w:t>
      </w:r>
      <w:r w:rsidR="00BD2518" w:rsidRPr="003C379E">
        <w:rPr>
          <w:rFonts w:ascii="Cambria" w:hAnsi="Cambria"/>
          <w:bCs/>
          <w:sz w:val="20"/>
          <w:szCs w:val="20"/>
          <w:lang w:val="es-ES"/>
        </w:rPr>
        <w:t xml:space="preserve">l) </w:t>
      </w:r>
      <w:r w:rsidR="009115EB" w:rsidRPr="003C379E">
        <w:rPr>
          <w:rFonts w:ascii="Cambria" w:hAnsi="Cambria"/>
          <w:bCs/>
          <w:sz w:val="20"/>
          <w:szCs w:val="20"/>
          <w:lang w:val="es-ES"/>
        </w:rPr>
        <w:t>de la</w:t>
      </w:r>
      <w:r w:rsidR="00BD2518" w:rsidRPr="003C379E">
        <w:rPr>
          <w:rFonts w:ascii="Cambria" w:hAnsi="Cambria"/>
          <w:bCs/>
          <w:sz w:val="20"/>
          <w:szCs w:val="20"/>
          <w:lang w:val="es-ES"/>
        </w:rPr>
        <w:t xml:space="preserve"> Conven</w:t>
      </w:r>
      <w:r w:rsidR="009115EB" w:rsidRPr="003C379E">
        <w:rPr>
          <w:rFonts w:ascii="Cambria" w:hAnsi="Cambria"/>
          <w:bCs/>
          <w:sz w:val="20"/>
          <w:szCs w:val="20"/>
          <w:lang w:val="es-ES"/>
        </w:rPr>
        <w:t>ción</w:t>
      </w:r>
      <w:r w:rsidR="00BD2518" w:rsidRPr="003C379E">
        <w:rPr>
          <w:rFonts w:ascii="Cambria" w:hAnsi="Cambria"/>
          <w:bCs/>
          <w:sz w:val="20"/>
          <w:szCs w:val="20"/>
          <w:lang w:val="es-ES"/>
        </w:rPr>
        <w:t xml:space="preserve"> Americana</w:t>
      </w:r>
      <w:r w:rsidR="00C7574A" w:rsidRPr="003C379E">
        <w:rPr>
          <w:rFonts w:ascii="Cambria" w:hAnsi="Cambria"/>
          <w:bCs/>
          <w:sz w:val="20"/>
          <w:szCs w:val="20"/>
          <w:lang w:val="es-ES"/>
        </w:rPr>
        <w:t xml:space="preserve">, </w:t>
      </w:r>
      <w:r w:rsidR="00B05EA6" w:rsidRPr="003C379E">
        <w:rPr>
          <w:rFonts w:ascii="Cambria" w:hAnsi="Cambria"/>
          <w:bCs/>
          <w:sz w:val="20"/>
          <w:szCs w:val="20"/>
          <w:lang w:val="es-ES"/>
        </w:rPr>
        <w:t>pues</w:t>
      </w:r>
      <w:r w:rsidR="00C7574A" w:rsidRPr="003C379E">
        <w:rPr>
          <w:rFonts w:ascii="Cambria" w:hAnsi="Cambria"/>
          <w:bCs/>
          <w:sz w:val="20"/>
          <w:szCs w:val="20"/>
          <w:lang w:val="es-ES"/>
        </w:rPr>
        <w:t xml:space="preserve"> </w:t>
      </w:r>
      <w:r w:rsidR="009115EB" w:rsidRPr="003C379E">
        <w:rPr>
          <w:rFonts w:ascii="Cambria" w:hAnsi="Cambria"/>
          <w:bCs/>
          <w:sz w:val="20"/>
          <w:szCs w:val="20"/>
          <w:lang w:val="es-ES"/>
        </w:rPr>
        <w:t>la</w:t>
      </w:r>
      <w:r w:rsidR="00BD2518" w:rsidRPr="003C379E">
        <w:rPr>
          <w:rFonts w:ascii="Cambria" w:hAnsi="Cambria"/>
          <w:bCs/>
          <w:sz w:val="20"/>
          <w:szCs w:val="20"/>
          <w:lang w:val="es-ES"/>
        </w:rPr>
        <w:t xml:space="preserve"> informa</w:t>
      </w:r>
      <w:r w:rsidR="009115EB" w:rsidRPr="003C379E">
        <w:rPr>
          <w:rFonts w:ascii="Cambria" w:hAnsi="Cambria"/>
          <w:bCs/>
          <w:sz w:val="20"/>
          <w:szCs w:val="20"/>
          <w:lang w:val="es-ES"/>
        </w:rPr>
        <w:t>ci</w:t>
      </w:r>
      <w:r w:rsidR="00913073" w:rsidRPr="003C379E">
        <w:rPr>
          <w:rFonts w:ascii="Cambria" w:hAnsi="Cambria"/>
          <w:bCs/>
          <w:sz w:val="20"/>
          <w:szCs w:val="20"/>
          <w:lang w:val="es-ES"/>
        </w:rPr>
        <w:t xml:space="preserve">ón </w:t>
      </w:r>
      <w:r w:rsidR="009115EB" w:rsidRPr="003C379E">
        <w:rPr>
          <w:rFonts w:ascii="Cambria" w:hAnsi="Cambria"/>
          <w:bCs/>
          <w:sz w:val="20"/>
          <w:szCs w:val="20"/>
          <w:lang w:val="es-ES"/>
        </w:rPr>
        <w:t>present</w:t>
      </w:r>
      <w:r w:rsidR="00BD2518" w:rsidRPr="003C379E">
        <w:rPr>
          <w:rFonts w:ascii="Cambria" w:hAnsi="Cambria"/>
          <w:bCs/>
          <w:sz w:val="20"/>
          <w:szCs w:val="20"/>
          <w:lang w:val="es-ES"/>
        </w:rPr>
        <w:t xml:space="preserve">ada </w:t>
      </w:r>
      <w:r w:rsidR="009115EB" w:rsidRPr="003C379E">
        <w:rPr>
          <w:rFonts w:ascii="Cambria" w:hAnsi="Cambria"/>
          <w:bCs/>
          <w:sz w:val="20"/>
          <w:szCs w:val="20"/>
          <w:lang w:val="es-ES"/>
        </w:rPr>
        <w:t>por las</w:t>
      </w:r>
      <w:r w:rsidR="00BD2518" w:rsidRPr="003C379E">
        <w:rPr>
          <w:rFonts w:ascii="Cambria" w:hAnsi="Cambria"/>
          <w:bCs/>
          <w:sz w:val="20"/>
          <w:szCs w:val="20"/>
          <w:lang w:val="es-ES"/>
        </w:rPr>
        <w:t xml:space="preserve"> partes permit</w:t>
      </w:r>
      <w:r w:rsidR="00913073" w:rsidRPr="003C379E">
        <w:rPr>
          <w:rFonts w:ascii="Cambria" w:hAnsi="Cambria"/>
          <w:bCs/>
          <w:sz w:val="20"/>
          <w:szCs w:val="20"/>
          <w:lang w:val="es-ES"/>
        </w:rPr>
        <w:t>e</w:t>
      </w:r>
      <w:r w:rsidR="009115EB" w:rsidRPr="003C379E">
        <w:rPr>
          <w:rFonts w:ascii="Cambria" w:hAnsi="Cambria"/>
          <w:bCs/>
          <w:sz w:val="20"/>
          <w:szCs w:val="20"/>
          <w:lang w:val="es-ES"/>
        </w:rPr>
        <w:t xml:space="preserve"> </w:t>
      </w:r>
      <w:r w:rsidR="00BD2518" w:rsidRPr="003C379E">
        <w:rPr>
          <w:rFonts w:ascii="Cambria" w:hAnsi="Cambria"/>
          <w:bCs/>
          <w:sz w:val="20"/>
          <w:szCs w:val="20"/>
          <w:lang w:val="es-ES"/>
        </w:rPr>
        <w:t xml:space="preserve">concluir que </w:t>
      </w:r>
      <w:r w:rsidR="00B6265D" w:rsidRPr="003C379E">
        <w:rPr>
          <w:rFonts w:ascii="Cambria" w:hAnsi="Cambria"/>
          <w:bCs/>
          <w:sz w:val="20"/>
          <w:szCs w:val="20"/>
          <w:lang w:val="es-ES"/>
        </w:rPr>
        <w:t>la</w:t>
      </w:r>
      <w:r w:rsidR="00BD2518" w:rsidRPr="003C379E">
        <w:rPr>
          <w:rFonts w:ascii="Cambria" w:hAnsi="Cambria"/>
          <w:bCs/>
          <w:sz w:val="20"/>
          <w:szCs w:val="20"/>
          <w:lang w:val="es-ES"/>
        </w:rPr>
        <w:t xml:space="preserve"> </w:t>
      </w:r>
      <w:r w:rsidR="00B05EA6" w:rsidRPr="003C379E">
        <w:rPr>
          <w:rFonts w:ascii="Cambria" w:hAnsi="Cambria"/>
          <w:bCs/>
          <w:sz w:val="20"/>
          <w:szCs w:val="20"/>
          <w:lang w:val="es-ES"/>
        </w:rPr>
        <w:t>presunta v</w:t>
      </w:r>
      <w:r w:rsidR="009115EB" w:rsidRPr="003C379E">
        <w:rPr>
          <w:rFonts w:ascii="Cambria" w:hAnsi="Cambria"/>
          <w:bCs/>
          <w:sz w:val="20"/>
          <w:szCs w:val="20"/>
          <w:lang w:val="es-ES"/>
        </w:rPr>
        <w:t>íctima</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no</w:t>
      </w:r>
      <w:r w:rsidR="00BD2518" w:rsidRPr="003C379E">
        <w:rPr>
          <w:rFonts w:ascii="Cambria" w:hAnsi="Cambria"/>
          <w:bCs/>
          <w:sz w:val="20"/>
          <w:szCs w:val="20"/>
          <w:lang w:val="es-ES"/>
        </w:rPr>
        <w:t xml:space="preserve"> </w:t>
      </w:r>
      <w:r w:rsidR="009115EB" w:rsidRPr="003C379E">
        <w:rPr>
          <w:rFonts w:ascii="Cambria" w:hAnsi="Cambria"/>
          <w:bCs/>
          <w:sz w:val="20"/>
          <w:szCs w:val="20"/>
          <w:lang w:val="es-ES"/>
        </w:rPr>
        <w:t>fue</w:t>
      </w:r>
      <w:r w:rsidR="00BD2518" w:rsidRPr="003C379E">
        <w:rPr>
          <w:rFonts w:ascii="Cambria" w:hAnsi="Cambria"/>
          <w:bCs/>
          <w:sz w:val="20"/>
          <w:szCs w:val="20"/>
          <w:lang w:val="es-ES"/>
        </w:rPr>
        <w:t xml:space="preserve"> privada de </w:t>
      </w:r>
      <w:r w:rsidR="009115EB" w:rsidRPr="003C379E">
        <w:rPr>
          <w:rFonts w:ascii="Cambria" w:hAnsi="Cambria"/>
          <w:bCs/>
          <w:sz w:val="20"/>
          <w:szCs w:val="20"/>
          <w:lang w:val="es-ES"/>
        </w:rPr>
        <w:t>libertad.</w:t>
      </w:r>
    </w:p>
    <w:p w14:paraId="4A5B1DC1" w14:textId="0BD086CF" w:rsidR="000D6826" w:rsidRPr="003C379E" w:rsidRDefault="000D6826" w:rsidP="00334EAF">
      <w:pPr>
        <w:numPr>
          <w:ilvl w:val="0"/>
          <w:numId w:val="103"/>
        </w:numPr>
        <w:suppressAutoHyphens/>
        <w:spacing w:after="120"/>
        <w:jc w:val="both"/>
        <w:rPr>
          <w:rFonts w:ascii="Cambria" w:hAnsi="Cambria"/>
          <w:sz w:val="20"/>
          <w:szCs w:val="20"/>
          <w:lang w:val="es-ES"/>
        </w:rPr>
      </w:pPr>
      <w:r w:rsidRPr="003C379E">
        <w:rPr>
          <w:rFonts w:ascii="Cambria" w:hAnsi="Cambria"/>
          <w:bCs/>
          <w:sz w:val="20"/>
          <w:szCs w:val="20"/>
          <w:lang w:val="es-ES"/>
        </w:rPr>
        <w:t>Finalmente,</w:t>
      </w:r>
      <w:r w:rsidR="004C71B9" w:rsidRPr="003C379E">
        <w:rPr>
          <w:rFonts w:ascii="Cambria" w:hAnsi="Cambria"/>
          <w:bCs/>
          <w:sz w:val="20"/>
          <w:szCs w:val="20"/>
          <w:lang w:val="es-ES"/>
        </w:rPr>
        <w:t xml:space="preserve"> en</w:t>
      </w:r>
      <w:r w:rsidRPr="003C379E">
        <w:rPr>
          <w:rFonts w:ascii="Cambria" w:hAnsi="Cambria"/>
          <w:bCs/>
          <w:sz w:val="20"/>
          <w:szCs w:val="20"/>
          <w:lang w:val="es-ES"/>
        </w:rPr>
        <w:t xml:space="preserve"> </w:t>
      </w:r>
      <w:r w:rsidR="009115EB" w:rsidRPr="003C379E">
        <w:rPr>
          <w:rFonts w:ascii="Cambria" w:hAnsi="Cambria"/>
          <w:bCs/>
          <w:sz w:val="20"/>
          <w:szCs w:val="20"/>
          <w:lang w:val="es-ES"/>
        </w:rPr>
        <w:t>cua</w:t>
      </w:r>
      <w:r w:rsidRPr="003C379E">
        <w:rPr>
          <w:rFonts w:ascii="Cambria" w:hAnsi="Cambria"/>
          <w:bCs/>
          <w:sz w:val="20"/>
          <w:szCs w:val="20"/>
          <w:lang w:val="es-ES"/>
        </w:rPr>
        <w:t xml:space="preserve">nto </w:t>
      </w:r>
      <w:r w:rsidR="009115EB" w:rsidRPr="003C379E">
        <w:rPr>
          <w:rFonts w:ascii="Cambria" w:hAnsi="Cambria"/>
          <w:bCs/>
          <w:sz w:val="20"/>
          <w:szCs w:val="20"/>
          <w:lang w:val="es-ES"/>
        </w:rPr>
        <w:t>al</w:t>
      </w:r>
      <w:r w:rsidRPr="003C379E">
        <w:rPr>
          <w:rFonts w:ascii="Cambria" w:hAnsi="Cambria"/>
          <w:bCs/>
          <w:sz w:val="20"/>
          <w:szCs w:val="20"/>
          <w:lang w:val="es-ES"/>
        </w:rPr>
        <w:t xml:space="preserve"> pedido de </w:t>
      </w:r>
      <w:r w:rsidR="00CC43B2" w:rsidRPr="003C379E">
        <w:rPr>
          <w:rFonts w:ascii="Cambria" w:hAnsi="Cambria"/>
          <w:bCs/>
          <w:sz w:val="20"/>
          <w:szCs w:val="20"/>
          <w:lang w:val="es-ES"/>
        </w:rPr>
        <w:t>acumular</w:t>
      </w:r>
      <w:r w:rsidR="003C379E" w:rsidRPr="003C379E">
        <w:rPr>
          <w:rFonts w:ascii="Cambria" w:hAnsi="Cambria"/>
          <w:bCs/>
          <w:sz w:val="20"/>
          <w:szCs w:val="20"/>
          <w:lang w:val="es-ES"/>
        </w:rPr>
        <w:t xml:space="preserve"> </w:t>
      </w:r>
      <w:r w:rsidR="009115EB" w:rsidRPr="003C379E">
        <w:rPr>
          <w:rFonts w:ascii="Cambria" w:hAnsi="Cambria"/>
          <w:bCs/>
          <w:sz w:val="20"/>
          <w:szCs w:val="20"/>
          <w:lang w:val="es-ES"/>
        </w:rPr>
        <w:t>la</w:t>
      </w:r>
      <w:r w:rsidRPr="003C379E">
        <w:rPr>
          <w:rFonts w:ascii="Cambria" w:hAnsi="Cambria"/>
          <w:bCs/>
          <w:sz w:val="20"/>
          <w:szCs w:val="20"/>
          <w:lang w:val="es-ES"/>
        </w:rPr>
        <w:t xml:space="preserve"> peti</w:t>
      </w:r>
      <w:r w:rsidR="009115EB" w:rsidRPr="003C379E">
        <w:rPr>
          <w:rFonts w:ascii="Cambria" w:hAnsi="Cambria"/>
          <w:bCs/>
          <w:sz w:val="20"/>
          <w:szCs w:val="20"/>
          <w:lang w:val="es-ES"/>
        </w:rPr>
        <w:t>ción</w:t>
      </w:r>
      <w:r w:rsidRPr="003C379E">
        <w:rPr>
          <w:rFonts w:ascii="Cambria" w:hAnsi="Cambria"/>
          <w:bCs/>
          <w:sz w:val="20"/>
          <w:szCs w:val="20"/>
          <w:lang w:val="es-ES"/>
        </w:rPr>
        <w:t xml:space="preserve"> examinada </w:t>
      </w:r>
      <w:r w:rsidR="009115EB" w:rsidRPr="003C379E">
        <w:rPr>
          <w:rFonts w:ascii="Cambria" w:hAnsi="Cambria"/>
          <w:bCs/>
          <w:sz w:val="20"/>
          <w:szCs w:val="20"/>
          <w:lang w:val="es-ES"/>
        </w:rPr>
        <w:t>con</w:t>
      </w:r>
      <w:r w:rsidRPr="003C379E">
        <w:rPr>
          <w:rFonts w:ascii="Cambria" w:hAnsi="Cambria"/>
          <w:bCs/>
          <w:sz w:val="20"/>
          <w:szCs w:val="20"/>
          <w:lang w:val="es-ES"/>
        </w:rPr>
        <w:t xml:space="preserve"> </w:t>
      </w:r>
      <w:r w:rsidR="00B6265D" w:rsidRPr="003C379E">
        <w:rPr>
          <w:rFonts w:ascii="Cambria" w:hAnsi="Cambria"/>
          <w:bCs/>
          <w:sz w:val="20"/>
          <w:szCs w:val="20"/>
          <w:lang w:val="es-ES"/>
        </w:rPr>
        <w:t>la</w:t>
      </w:r>
      <w:r w:rsidRPr="003C379E">
        <w:rPr>
          <w:rFonts w:ascii="Cambria" w:hAnsi="Cambria"/>
          <w:bCs/>
          <w:sz w:val="20"/>
          <w:szCs w:val="20"/>
          <w:lang w:val="es-ES"/>
        </w:rPr>
        <w:t xml:space="preserve"> peti</w:t>
      </w:r>
      <w:r w:rsidR="009115EB" w:rsidRPr="003C379E">
        <w:rPr>
          <w:rFonts w:ascii="Cambria" w:hAnsi="Cambria"/>
          <w:bCs/>
          <w:sz w:val="20"/>
          <w:szCs w:val="20"/>
          <w:lang w:val="es-ES"/>
        </w:rPr>
        <w:t>ción</w:t>
      </w:r>
      <w:r w:rsidR="005D787A" w:rsidRPr="003C379E">
        <w:rPr>
          <w:rFonts w:ascii="Cambria" w:hAnsi="Cambria"/>
          <w:bCs/>
          <w:sz w:val="20"/>
          <w:szCs w:val="20"/>
          <w:lang w:val="es-ES"/>
        </w:rPr>
        <w:t xml:space="preserve"> P</w:t>
      </w:r>
      <w:r w:rsidR="005D787A" w:rsidRPr="003C379E">
        <w:rPr>
          <w:rFonts w:ascii="Cambria" w:hAnsi="Cambria"/>
          <w:bCs/>
          <w:sz w:val="20"/>
          <w:szCs w:val="20"/>
          <w:lang w:val="es-ES"/>
        </w:rPr>
        <w:noBreakHyphen/>
      </w:r>
      <w:r w:rsidRPr="003C379E">
        <w:rPr>
          <w:rFonts w:ascii="Cambria" w:hAnsi="Cambria"/>
          <w:bCs/>
          <w:sz w:val="20"/>
          <w:szCs w:val="20"/>
          <w:lang w:val="es-ES"/>
        </w:rPr>
        <w:t xml:space="preserve">1500-12, </w:t>
      </w:r>
      <w:r w:rsidR="00B6265D" w:rsidRPr="003C379E">
        <w:rPr>
          <w:rFonts w:ascii="Cambria" w:hAnsi="Cambria"/>
          <w:bCs/>
          <w:sz w:val="20"/>
          <w:szCs w:val="20"/>
          <w:lang w:val="es-ES"/>
        </w:rPr>
        <w:t>la</w:t>
      </w:r>
      <w:r w:rsidRPr="003C379E">
        <w:rPr>
          <w:rFonts w:ascii="Cambria" w:hAnsi="Cambria"/>
          <w:bCs/>
          <w:sz w:val="20"/>
          <w:szCs w:val="20"/>
          <w:lang w:val="es-ES"/>
        </w:rPr>
        <w:t xml:space="preserve"> Comi</w:t>
      </w:r>
      <w:r w:rsidR="009115EB" w:rsidRPr="003C379E">
        <w:rPr>
          <w:rFonts w:ascii="Cambria" w:hAnsi="Cambria"/>
          <w:bCs/>
          <w:sz w:val="20"/>
          <w:szCs w:val="20"/>
          <w:lang w:val="es-ES"/>
        </w:rPr>
        <w:t>sión</w:t>
      </w:r>
      <w:r w:rsidRPr="003C379E">
        <w:rPr>
          <w:rFonts w:ascii="Cambria" w:hAnsi="Cambria"/>
          <w:bCs/>
          <w:sz w:val="20"/>
          <w:szCs w:val="20"/>
          <w:lang w:val="es-ES"/>
        </w:rPr>
        <w:t xml:space="preserve"> considera que ambas est</w:t>
      </w:r>
      <w:r w:rsidR="00C605D9" w:rsidRPr="003C379E">
        <w:rPr>
          <w:rFonts w:ascii="Cambria" w:hAnsi="Cambria"/>
          <w:bCs/>
          <w:sz w:val="20"/>
          <w:szCs w:val="20"/>
          <w:lang w:val="es-ES"/>
        </w:rPr>
        <w:t>án</w:t>
      </w:r>
      <w:r w:rsidRPr="003C379E">
        <w:rPr>
          <w:rFonts w:ascii="Cambria" w:hAnsi="Cambria"/>
          <w:bCs/>
          <w:sz w:val="20"/>
          <w:szCs w:val="20"/>
          <w:lang w:val="es-ES"/>
        </w:rPr>
        <w:t xml:space="preserve"> </w:t>
      </w:r>
      <w:r w:rsidR="005D787A" w:rsidRPr="003C379E">
        <w:rPr>
          <w:rFonts w:ascii="Cambria" w:hAnsi="Cambria"/>
          <w:bCs/>
          <w:sz w:val="20"/>
          <w:szCs w:val="20"/>
          <w:lang w:val="es-ES"/>
        </w:rPr>
        <w:t>vinculadas</w:t>
      </w:r>
      <w:r w:rsidRPr="003C379E">
        <w:rPr>
          <w:rFonts w:ascii="Cambria" w:hAnsi="Cambria"/>
          <w:bCs/>
          <w:sz w:val="20"/>
          <w:szCs w:val="20"/>
          <w:lang w:val="es-ES"/>
        </w:rPr>
        <w:t xml:space="preserve"> </w:t>
      </w:r>
      <w:r w:rsidR="009115EB" w:rsidRPr="003C379E">
        <w:rPr>
          <w:rFonts w:ascii="Cambria" w:hAnsi="Cambria"/>
          <w:bCs/>
          <w:sz w:val="20"/>
          <w:szCs w:val="20"/>
          <w:lang w:val="es-ES"/>
        </w:rPr>
        <w:t>con</w:t>
      </w:r>
      <w:r w:rsidRPr="003C379E">
        <w:rPr>
          <w:rFonts w:ascii="Cambria" w:hAnsi="Cambria"/>
          <w:bCs/>
          <w:sz w:val="20"/>
          <w:szCs w:val="20"/>
          <w:lang w:val="es-ES"/>
        </w:rPr>
        <w:t xml:space="preserve"> </w:t>
      </w:r>
      <w:r w:rsidR="00B6265D" w:rsidRPr="003C379E">
        <w:rPr>
          <w:rFonts w:ascii="Cambria" w:hAnsi="Cambria"/>
          <w:bCs/>
          <w:sz w:val="20"/>
          <w:szCs w:val="20"/>
          <w:lang w:val="es-ES"/>
        </w:rPr>
        <w:t>la</w:t>
      </w:r>
      <w:r w:rsidRPr="003C379E">
        <w:rPr>
          <w:rFonts w:ascii="Cambria" w:hAnsi="Cambria"/>
          <w:bCs/>
          <w:sz w:val="20"/>
          <w:szCs w:val="20"/>
          <w:lang w:val="es-ES"/>
        </w:rPr>
        <w:t xml:space="preserve"> alegada aus</w:t>
      </w:r>
      <w:r w:rsidR="009115EB" w:rsidRPr="003C379E">
        <w:rPr>
          <w:rFonts w:ascii="Cambria" w:hAnsi="Cambria"/>
          <w:bCs/>
          <w:sz w:val="20"/>
          <w:szCs w:val="20"/>
          <w:lang w:val="es-ES"/>
        </w:rPr>
        <w:t>encia</w:t>
      </w:r>
      <w:r w:rsidRPr="003C379E">
        <w:rPr>
          <w:rFonts w:ascii="Cambria" w:hAnsi="Cambria"/>
          <w:bCs/>
          <w:sz w:val="20"/>
          <w:szCs w:val="20"/>
          <w:lang w:val="es-ES"/>
        </w:rPr>
        <w:t xml:space="preserve"> de control de convencionali</w:t>
      </w:r>
      <w:r w:rsidR="005B1FDF" w:rsidRPr="003C379E">
        <w:rPr>
          <w:rFonts w:ascii="Cambria" w:hAnsi="Cambria"/>
          <w:bCs/>
          <w:sz w:val="20"/>
          <w:szCs w:val="20"/>
          <w:lang w:val="es-ES"/>
        </w:rPr>
        <w:t>dad co</w:t>
      </w:r>
      <w:r w:rsidR="009115EB" w:rsidRPr="003C379E">
        <w:rPr>
          <w:rFonts w:ascii="Cambria" w:hAnsi="Cambria"/>
          <w:bCs/>
          <w:sz w:val="20"/>
          <w:szCs w:val="20"/>
          <w:lang w:val="es-ES"/>
        </w:rPr>
        <w:t xml:space="preserve">n </w:t>
      </w:r>
      <w:r w:rsidRPr="003C379E">
        <w:rPr>
          <w:rFonts w:ascii="Cambria" w:hAnsi="Cambria"/>
          <w:bCs/>
          <w:sz w:val="20"/>
          <w:szCs w:val="20"/>
          <w:lang w:val="es-ES"/>
        </w:rPr>
        <w:t>rela</w:t>
      </w:r>
      <w:r w:rsidR="009115EB" w:rsidRPr="003C379E">
        <w:rPr>
          <w:rFonts w:ascii="Cambria" w:hAnsi="Cambria"/>
          <w:bCs/>
          <w:sz w:val="20"/>
          <w:szCs w:val="20"/>
          <w:lang w:val="es-ES"/>
        </w:rPr>
        <w:t>ción</w:t>
      </w:r>
      <w:r w:rsidRPr="003C379E">
        <w:rPr>
          <w:rFonts w:ascii="Cambria" w:hAnsi="Cambria"/>
          <w:bCs/>
          <w:sz w:val="20"/>
          <w:szCs w:val="20"/>
          <w:lang w:val="es-ES"/>
        </w:rPr>
        <w:t xml:space="preserve"> </w:t>
      </w:r>
      <w:r w:rsidR="009115EB" w:rsidRPr="003C379E">
        <w:rPr>
          <w:rFonts w:ascii="Cambria" w:hAnsi="Cambria"/>
          <w:bCs/>
          <w:sz w:val="20"/>
          <w:szCs w:val="20"/>
          <w:lang w:val="es-ES"/>
        </w:rPr>
        <w:t>al</w:t>
      </w:r>
      <w:r w:rsidRPr="003C379E">
        <w:rPr>
          <w:rFonts w:ascii="Cambria" w:hAnsi="Cambria"/>
          <w:bCs/>
          <w:sz w:val="20"/>
          <w:szCs w:val="20"/>
          <w:lang w:val="es-ES"/>
        </w:rPr>
        <w:t xml:space="preserve"> delito de desacato. </w:t>
      </w:r>
      <w:r w:rsidR="00B05EA6" w:rsidRPr="003C379E">
        <w:rPr>
          <w:rFonts w:ascii="Cambria" w:hAnsi="Cambria"/>
          <w:bCs/>
          <w:sz w:val="20"/>
          <w:szCs w:val="20"/>
          <w:lang w:val="es-ES"/>
        </w:rPr>
        <w:t>No obstante</w:t>
      </w:r>
      <w:r w:rsidRPr="003C379E">
        <w:rPr>
          <w:rFonts w:ascii="Cambria" w:hAnsi="Cambria"/>
          <w:bCs/>
          <w:sz w:val="20"/>
          <w:szCs w:val="20"/>
          <w:lang w:val="es-ES"/>
        </w:rPr>
        <w:t xml:space="preserve">, </w:t>
      </w:r>
      <w:r w:rsidR="00B05EA6" w:rsidRPr="003C379E">
        <w:rPr>
          <w:rFonts w:ascii="Cambria" w:hAnsi="Cambria"/>
          <w:bCs/>
          <w:sz w:val="20"/>
          <w:szCs w:val="20"/>
          <w:lang w:val="es-ES"/>
        </w:rPr>
        <w:t>debid</w:t>
      </w:r>
      <w:r w:rsidRPr="003C379E">
        <w:rPr>
          <w:rFonts w:ascii="Cambria" w:hAnsi="Cambria"/>
          <w:bCs/>
          <w:sz w:val="20"/>
          <w:szCs w:val="20"/>
          <w:lang w:val="es-ES"/>
        </w:rPr>
        <w:t xml:space="preserve">o </w:t>
      </w:r>
      <w:r w:rsidR="009115EB" w:rsidRPr="003C379E">
        <w:rPr>
          <w:rFonts w:ascii="Cambria" w:hAnsi="Cambria"/>
          <w:bCs/>
          <w:sz w:val="20"/>
          <w:szCs w:val="20"/>
          <w:lang w:val="es-ES"/>
        </w:rPr>
        <w:t>al</w:t>
      </w:r>
      <w:r w:rsidRPr="003C379E">
        <w:rPr>
          <w:rFonts w:ascii="Cambria" w:hAnsi="Cambria"/>
          <w:bCs/>
          <w:sz w:val="20"/>
          <w:szCs w:val="20"/>
          <w:lang w:val="es-ES"/>
        </w:rPr>
        <w:t xml:space="preserve"> </w:t>
      </w:r>
      <w:r w:rsidR="00B05EA6" w:rsidRPr="003C379E">
        <w:rPr>
          <w:rFonts w:ascii="Cambria" w:hAnsi="Cambria"/>
          <w:bCs/>
          <w:sz w:val="20"/>
          <w:szCs w:val="20"/>
          <w:lang w:val="es-ES"/>
        </w:rPr>
        <w:t>hecho</w:t>
      </w:r>
      <w:r w:rsidRPr="003C379E">
        <w:rPr>
          <w:rFonts w:ascii="Cambria" w:hAnsi="Cambria"/>
          <w:bCs/>
          <w:sz w:val="20"/>
          <w:szCs w:val="20"/>
          <w:lang w:val="es-ES"/>
        </w:rPr>
        <w:t xml:space="preserve"> de </w:t>
      </w:r>
      <w:r w:rsidR="005B1FDF" w:rsidRPr="003C379E">
        <w:rPr>
          <w:rFonts w:ascii="Cambria" w:hAnsi="Cambria"/>
          <w:bCs/>
          <w:sz w:val="20"/>
          <w:szCs w:val="20"/>
          <w:lang w:val="es-ES"/>
        </w:rPr>
        <w:t xml:space="preserve">que </w:t>
      </w:r>
      <w:r w:rsidR="00B6265D" w:rsidRPr="003C379E">
        <w:rPr>
          <w:rFonts w:ascii="Cambria" w:hAnsi="Cambria"/>
          <w:bCs/>
          <w:sz w:val="20"/>
          <w:szCs w:val="20"/>
          <w:lang w:val="es-ES"/>
        </w:rPr>
        <w:t>l</w:t>
      </w:r>
      <w:r w:rsidRPr="003C379E">
        <w:rPr>
          <w:rFonts w:ascii="Cambria" w:hAnsi="Cambria"/>
          <w:bCs/>
          <w:sz w:val="20"/>
          <w:szCs w:val="20"/>
          <w:lang w:val="es-ES"/>
        </w:rPr>
        <w:t xml:space="preserve">a P-1500-12 </w:t>
      </w:r>
      <w:r w:rsidR="00B05EA6" w:rsidRPr="003C379E">
        <w:rPr>
          <w:rFonts w:ascii="Cambria" w:hAnsi="Cambria"/>
          <w:bCs/>
          <w:sz w:val="20"/>
          <w:szCs w:val="20"/>
          <w:lang w:val="es-ES"/>
        </w:rPr>
        <w:t>ya</w:t>
      </w:r>
      <w:r w:rsidRPr="003C379E">
        <w:rPr>
          <w:rFonts w:ascii="Cambria" w:hAnsi="Cambria"/>
          <w:bCs/>
          <w:sz w:val="20"/>
          <w:szCs w:val="20"/>
          <w:lang w:val="es-ES"/>
        </w:rPr>
        <w:t xml:space="preserve"> </w:t>
      </w:r>
      <w:r w:rsidR="005B1FDF" w:rsidRPr="003C379E">
        <w:rPr>
          <w:rFonts w:ascii="Cambria" w:hAnsi="Cambria"/>
          <w:bCs/>
          <w:sz w:val="20"/>
          <w:szCs w:val="20"/>
          <w:lang w:val="es-ES"/>
        </w:rPr>
        <w:t>ha</w:t>
      </w:r>
      <w:r w:rsidRPr="003C379E">
        <w:rPr>
          <w:rFonts w:ascii="Cambria" w:hAnsi="Cambria"/>
          <w:bCs/>
          <w:sz w:val="20"/>
          <w:szCs w:val="20"/>
          <w:lang w:val="es-ES"/>
        </w:rPr>
        <w:t xml:space="preserve"> sido objeto de </w:t>
      </w:r>
      <w:r w:rsidR="00B05EA6" w:rsidRPr="003C379E">
        <w:rPr>
          <w:rFonts w:ascii="Cambria" w:hAnsi="Cambria"/>
          <w:bCs/>
          <w:sz w:val="20"/>
          <w:szCs w:val="20"/>
          <w:lang w:val="es-ES"/>
        </w:rPr>
        <w:t>examen</w:t>
      </w:r>
      <w:r w:rsidRPr="003C379E">
        <w:rPr>
          <w:rFonts w:ascii="Cambria" w:hAnsi="Cambria"/>
          <w:bCs/>
          <w:sz w:val="20"/>
          <w:szCs w:val="20"/>
          <w:lang w:val="es-ES"/>
        </w:rPr>
        <w:t xml:space="preserve"> de admi</w:t>
      </w:r>
      <w:r w:rsidR="00B05EA6" w:rsidRPr="003C379E">
        <w:rPr>
          <w:rFonts w:ascii="Cambria" w:hAnsi="Cambria"/>
          <w:bCs/>
          <w:sz w:val="20"/>
          <w:szCs w:val="20"/>
          <w:lang w:val="es-ES"/>
        </w:rPr>
        <w:t>s</w:t>
      </w:r>
      <w:r w:rsidRPr="003C379E">
        <w:rPr>
          <w:rFonts w:ascii="Cambria" w:hAnsi="Cambria"/>
          <w:bCs/>
          <w:sz w:val="20"/>
          <w:szCs w:val="20"/>
          <w:lang w:val="es-ES"/>
        </w:rPr>
        <w:t>ibili</w:t>
      </w:r>
      <w:r w:rsidR="009115EB" w:rsidRPr="003C379E">
        <w:rPr>
          <w:rFonts w:ascii="Cambria" w:hAnsi="Cambria"/>
          <w:bCs/>
          <w:sz w:val="20"/>
          <w:szCs w:val="20"/>
          <w:lang w:val="es-ES"/>
        </w:rPr>
        <w:t>dad</w:t>
      </w:r>
      <w:r w:rsidRPr="003C379E">
        <w:rPr>
          <w:rStyle w:val="FootnoteReference"/>
          <w:rFonts w:ascii="Cambria" w:hAnsi="Cambria"/>
          <w:bCs/>
          <w:sz w:val="20"/>
          <w:szCs w:val="20"/>
          <w:lang w:val="es-ES"/>
        </w:rPr>
        <w:footnoteReference w:id="6"/>
      </w:r>
      <w:r w:rsidR="00D41CA5" w:rsidRPr="003C379E">
        <w:rPr>
          <w:rFonts w:ascii="Cambria" w:hAnsi="Cambria"/>
          <w:bCs/>
          <w:sz w:val="20"/>
          <w:szCs w:val="20"/>
          <w:lang w:val="es-ES"/>
        </w:rPr>
        <w:t>,</w:t>
      </w:r>
      <w:r w:rsidRPr="003C379E">
        <w:rPr>
          <w:rFonts w:ascii="Cambria" w:hAnsi="Cambria"/>
          <w:bCs/>
          <w:sz w:val="20"/>
          <w:szCs w:val="20"/>
          <w:lang w:val="es-ES"/>
        </w:rPr>
        <w:t xml:space="preserve"> </w:t>
      </w:r>
      <w:r w:rsidR="00B6265D" w:rsidRPr="003C379E">
        <w:rPr>
          <w:rFonts w:ascii="Cambria" w:hAnsi="Cambria"/>
          <w:bCs/>
          <w:sz w:val="20"/>
          <w:szCs w:val="20"/>
          <w:lang w:val="es-ES"/>
        </w:rPr>
        <w:t>la</w:t>
      </w:r>
      <w:r w:rsidRPr="003C379E">
        <w:rPr>
          <w:rFonts w:ascii="Cambria" w:hAnsi="Cambria"/>
          <w:bCs/>
          <w:sz w:val="20"/>
          <w:szCs w:val="20"/>
          <w:lang w:val="es-ES"/>
        </w:rPr>
        <w:t xml:space="preserve"> Comi</w:t>
      </w:r>
      <w:r w:rsidR="009115EB" w:rsidRPr="003C379E">
        <w:rPr>
          <w:rFonts w:ascii="Cambria" w:hAnsi="Cambria"/>
          <w:bCs/>
          <w:sz w:val="20"/>
          <w:szCs w:val="20"/>
          <w:lang w:val="es-ES"/>
        </w:rPr>
        <w:t>sión</w:t>
      </w:r>
      <w:r w:rsidRPr="003C379E">
        <w:rPr>
          <w:rFonts w:ascii="Cambria" w:hAnsi="Cambria"/>
          <w:bCs/>
          <w:sz w:val="20"/>
          <w:szCs w:val="20"/>
          <w:lang w:val="es-ES"/>
        </w:rPr>
        <w:t xml:space="preserve"> </w:t>
      </w:r>
      <w:r w:rsidR="009115EB" w:rsidRPr="003C379E">
        <w:rPr>
          <w:rFonts w:ascii="Cambria" w:hAnsi="Cambria"/>
          <w:bCs/>
          <w:sz w:val="20"/>
          <w:szCs w:val="20"/>
          <w:lang w:val="es-ES"/>
        </w:rPr>
        <w:t>no</w:t>
      </w:r>
      <w:r w:rsidRPr="003C379E">
        <w:rPr>
          <w:rFonts w:ascii="Cambria" w:hAnsi="Cambria"/>
          <w:bCs/>
          <w:sz w:val="20"/>
          <w:szCs w:val="20"/>
          <w:lang w:val="es-ES"/>
        </w:rPr>
        <w:t xml:space="preserve"> </w:t>
      </w:r>
      <w:r w:rsidR="00B04C63" w:rsidRPr="003C379E">
        <w:rPr>
          <w:rFonts w:ascii="Cambria" w:hAnsi="Cambria"/>
          <w:bCs/>
          <w:sz w:val="20"/>
          <w:szCs w:val="20"/>
          <w:lang w:val="es-ES"/>
        </w:rPr>
        <w:t>puede</w:t>
      </w:r>
      <w:r w:rsidRPr="003C379E">
        <w:rPr>
          <w:rFonts w:ascii="Cambria" w:hAnsi="Cambria"/>
          <w:bCs/>
          <w:sz w:val="20"/>
          <w:szCs w:val="20"/>
          <w:lang w:val="es-ES"/>
        </w:rPr>
        <w:t xml:space="preserve">, </w:t>
      </w:r>
      <w:r w:rsidR="00B05EA6" w:rsidRPr="003C379E">
        <w:rPr>
          <w:rFonts w:ascii="Cambria" w:hAnsi="Cambria"/>
          <w:bCs/>
          <w:sz w:val="20"/>
          <w:szCs w:val="20"/>
          <w:lang w:val="es-ES"/>
        </w:rPr>
        <w:t>e</w:t>
      </w:r>
      <w:r w:rsidRPr="003C379E">
        <w:rPr>
          <w:rFonts w:ascii="Cambria" w:hAnsi="Cambria"/>
          <w:bCs/>
          <w:sz w:val="20"/>
          <w:szCs w:val="20"/>
          <w:lang w:val="es-ES"/>
        </w:rPr>
        <w:t>n</w:t>
      </w:r>
      <w:r w:rsidR="00B05EA6" w:rsidRPr="003C379E">
        <w:rPr>
          <w:rFonts w:ascii="Cambria" w:hAnsi="Cambria"/>
          <w:bCs/>
          <w:sz w:val="20"/>
          <w:szCs w:val="20"/>
          <w:lang w:val="es-ES"/>
        </w:rPr>
        <w:t xml:space="preserve"> </w:t>
      </w:r>
      <w:r w:rsidRPr="003C379E">
        <w:rPr>
          <w:rFonts w:ascii="Cambria" w:hAnsi="Cambria"/>
          <w:bCs/>
          <w:sz w:val="20"/>
          <w:szCs w:val="20"/>
          <w:lang w:val="es-ES"/>
        </w:rPr>
        <w:t>est</w:t>
      </w:r>
      <w:r w:rsidR="00D41CA5" w:rsidRPr="003C379E">
        <w:rPr>
          <w:rFonts w:ascii="Cambria" w:hAnsi="Cambria"/>
          <w:bCs/>
          <w:sz w:val="20"/>
          <w:szCs w:val="20"/>
          <w:lang w:val="es-ES"/>
        </w:rPr>
        <w:t>a instancia</w:t>
      </w:r>
      <w:r w:rsidRPr="003C379E">
        <w:rPr>
          <w:rFonts w:ascii="Cambria" w:hAnsi="Cambria"/>
          <w:bCs/>
          <w:sz w:val="20"/>
          <w:szCs w:val="20"/>
          <w:lang w:val="es-ES"/>
        </w:rPr>
        <w:t xml:space="preserve"> </w:t>
      </w:r>
      <w:r w:rsidR="009115EB" w:rsidRPr="003C379E">
        <w:rPr>
          <w:rFonts w:ascii="Cambria" w:hAnsi="Cambria"/>
          <w:bCs/>
          <w:sz w:val="20"/>
          <w:szCs w:val="20"/>
          <w:lang w:val="es-ES"/>
        </w:rPr>
        <w:t>procesal</w:t>
      </w:r>
      <w:r w:rsidRPr="003C379E">
        <w:rPr>
          <w:rFonts w:ascii="Cambria" w:hAnsi="Cambria"/>
          <w:bCs/>
          <w:sz w:val="20"/>
          <w:szCs w:val="20"/>
          <w:lang w:val="es-ES"/>
        </w:rPr>
        <w:t xml:space="preserve">, </w:t>
      </w:r>
      <w:r w:rsidR="005B7578" w:rsidRPr="003C379E">
        <w:rPr>
          <w:rFonts w:ascii="Cambria" w:hAnsi="Cambria"/>
          <w:bCs/>
          <w:sz w:val="20"/>
          <w:szCs w:val="20"/>
          <w:lang w:val="es-ES"/>
        </w:rPr>
        <w:t>establecer</w:t>
      </w:r>
      <w:r w:rsidR="009115EB" w:rsidRPr="003C379E">
        <w:rPr>
          <w:rFonts w:ascii="Cambria" w:hAnsi="Cambria"/>
          <w:bCs/>
          <w:sz w:val="20"/>
          <w:szCs w:val="20"/>
          <w:lang w:val="es-ES"/>
        </w:rPr>
        <w:t xml:space="preserve"> la</w:t>
      </w:r>
      <w:r w:rsidRPr="003C379E">
        <w:rPr>
          <w:rFonts w:ascii="Cambria" w:hAnsi="Cambria"/>
          <w:bCs/>
          <w:sz w:val="20"/>
          <w:szCs w:val="20"/>
          <w:lang w:val="es-ES"/>
        </w:rPr>
        <w:t xml:space="preserve"> </w:t>
      </w:r>
      <w:r w:rsidR="00CC43B2" w:rsidRPr="003C379E">
        <w:rPr>
          <w:rFonts w:ascii="Cambria" w:hAnsi="Cambria"/>
          <w:bCs/>
          <w:sz w:val="20"/>
          <w:szCs w:val="20"/>
          <w:lang w:val="es-ES"/>
        </w:rPr>
        <w:t>acumulación</w:t>
      </w:r>
      <w:r w:rsidR="00AF6C46" w:rsidRPr="003C379E">
        <w:rPr>
          <w:rFonts w:ascii="Cambria" w:hAnsi="Cambria"/>
          <w:bCs/>
          <w:sz w:val="20"/>
          <w:szCs w:val="20"/>
          <w:lang w:val="es-ES"/>
        </w:rPr>
        <w:t xml:space="preserve"> </w:t>
      </w:r>
      <w:r w:rsidR="009115EB" w:rsidRPr="003C379E">
        <w:rPr>
          <w:rFonts w:ascii="Cambria" w:hAnsi="Cambria"/>
          <w:bCs/>
          <w:sz w:val="20"/>
          <w:szCs w:val="20"/>
          <w:lang w:val="es-ES"/>
        </w:rPr>
        <w:t>de las</w:t>
      </w:r>
      <w:r w:rsidRPr="003C379E">
        <w:rPr>
          <w:rFonts w:ascii="Cambria" w:hAnsi="Cambria"/>
          <w:bCs/>
          <w:sz w:val="20"/>
          <w:szCs w:val="20"/>
          <w:lang w:val="es-ES"/>
        </w:rPr>
        <w:t xml:space="preserve"> peti</w:t>
      </w:r>
      <w:r w:rsidR="009115EB" w:rsidRPr="003C379E">
        <w:rPr>
          <w:rFonts w:ascii="Cambria" w:hAnsi="Cambria"/>
          <w:bCs/>
          <w:sz w:val="20"/>
          <w:szCs w:val="20"/>
          <w:lang w:val="es-ES"/>
        </w:rPr>
        <w:t>ciones</w:t>
      </w:r>
      <w:r w:rsidRPr="003C379E">
        <w:rPr>
          <w:rFonts w:ascii="Cambria" w:hAnsi="Cambria"/>
          <w:bCs/>
          <w:sz w:val="20"/>
          <w:szCs w:val="20"/>
          <w:lang w:val="es-ES"/>
        </w:rPr>
        <w:t xml:space="preserve">, </w:t>
      </w:r>
      <w:r w:rsidR="00D41CA5" w:rsidRPr="003C379E">
        <w:rPr>
          <w:rFonts w:ascii="Cambria" w:hAnsi="Cambria"/>
          <w:bCs/>
          <w:sz w:val="20"/>
          <w:szCs w:val="20"/>
          <w:lang w:val="es-ES"/>
        </w:rPr>
        <w:t xml:space="preserve">de acuerdo con lo estipulado en </w:t>
      </w:r>
      <w:r w:rsidR="009115EB" w:rsidRPr="003C379E">
        <w:rPr>
          <w:rFonts w:ascii="Cambria" w:hAnsi="Cambria"/>
          <w:bCs/>
          <w:sz w:val="20"/>
          <w:szCs w:val="20"/>
          <w:lang w:val="es-ES"/>
        </w:rPr>
        <w:t>el</w:t>
      </w:r>
      <w:r w:rsidRPr="003C379E">
        <w:rPr>
          <w:rFonts w:ascii="Cambria" w:hAnsi="Cambria"/>
          <w:bCs/>
          <w:sz w:val="20"/>
          <w:szCs w:val="20"/>
          <w:lang w:val="es-ES"/>
        </w:rPr>
        <w:t xml:space="preserve"> </w:t>
      </w:r>
      <w:r w:rsidR="009115EB" w:rsidRPr="003C379E">
        <w:rPr>
          <w:rFonts w:ascii="Cambria" w:hAnsi="Cambria"/>
          <w:bCs/>
          <w:sz w:val="20"/>
          <w:szCs w:val="20"/>
          <w:lang w:val="es-ES"/>
        </w:rPr>
        <w:t>artículo</w:t>
      </w:r>
      <w:r w:rsidRPr="003C379E">
        <w:rPr>
          <w:rFonts w:ascii="Cambria" w:hAnsi="Cambria"/>
          <w:bCs/>
          <w:sz w:val="20"/>
          <w:szCs w:val="20"/>
          <w:lang w:val="es-ES"/>
        </w:rPr>
        <w:t xml:space="preserve"> 29.5 de </w:t>
      </w:r>
      <w:r w:rsidR="009115EB" w:rsidRPr="003C379E">
        <w:rPr>
          <w:rFonts w:ascii="Cambria" w:hAnsi="Cambria"/>
          <w:bCs/>
          <w:sz w:val="20"/>
          <w:szCs w:val="20"/>
          <w:lang w:val="es-ES"/>
        </w:rPr>
        <w:t>su</w:t>
      </w:r>
      <w:r w:rsidRPr="003C379E">
        <w:rPr>
          <w:rFonts w:ascii="Cambria" w:hAnsi="Cambria"/>
          <w:bCs/>
          <w:sz w:val="20"/>
          <w:szCs w:val="20"/>
          <w:lang w:val="es-ES"/>
        </w:rPr>
        <w:t xml:space="preserve"> Estatuto.</w:t>
      </w:r>
    </w:p>
    <w:p w14:paraId="29BB41F5" w14:textId="01DBB7F2" w:rsidR="003239B8" w:rsidRPr="003C379E" w:rsidRDefault="003239B8" w:rsidP="003239B8">
      <w:pPr>
        <w:pStyle w:val="ListParagraph"/>
        <w:spacing w:before="240" w:after="240"/>
        <w:jc w:val="both"/>
        <w:rPr>
          <w:b/>
          <w:bCs/>
          <w:sz w:val="20"/>
          <w:szCs w:val="20"/>
          <w:lang w:val="es-ES"/>
        </w:rPr>
      </w:pPr>
      <w:r w:rsidRPr="003C379E">
        <w:rPr>
          <w:b/>
          <w:bCs/>
          <w:sz w:val="20"/>
          <w:szCs w:val="20"/>
          <w:lang w:val="es-ES"/>
        </w:rPr>
        <w:t xml:space="preserve">VIII. </w:t>
      </w:r>
      <w:r w:rsidRPr="003C379E">
        <w:rPr>
          <w:b/>
          <w:bCs/>
          <w:sz w:val="20"/>
          <w:szCs w:val="20"/>
          <w:lang w:val="es-ES"/>
        </w:rPr>
        <w:tab/>
      </w:r>
      <w:r w:rsidR="00A53003" w:rsidRPr="003C379E">
        <w:rPr>
          <w:b/>
          <w:bCs/>
          <w:sz w:val="20"/>
          <w:szCs w:val="20"/>
          <w:lang w:val="es-ES"/>
        </w:rPr>
        <w:t>DECI</w:t>
      </w:r>
      <w:r w:rsidR="009115EB" w:rsidRPr="003C379E">
        <w:rPr>
          <w:b/>
          <w:bCs/>
          <w:sz w:val="20"/>
          <w:szCs w:val="20"/>
          <w:lang w:val="es-ES"/>
        </w:rPr>
        <w:t>SIÓN</w:t>
      </w:r>
    </w:p>
    <w:p w14:paraId="631B165A" w14:textId="6DA4380F" w:rsidR="00C7574A" w:rsidRPr="003C379E" w:rsidRDefault="003239B8" w:rsidP="00C7574A">
      <w:pPr>
        <w:numPr>
          <w:ilvl w:val="0"/>
          <w:numId w:val="109"/>
        </w:numPr>
        <w:suppressAutoHyphens/>
        <w:spacing w:after="240"/>
        <w:jc w:val="both"/>
        <w:rPr>
          <w:rFonts w:ascii="Cambria" w:hAnsi="Cambria"/>
          <w:sz w:val="20"/>
          <w:szCs w:val="20"/>
          <w:lang w:val="es-ES"/>
        </w:rPr>
      </w:pPr>
      <w:r w:rsidRPr="003C379E">
        <w:rPr>
          <w:rFonts w:ascii="Cambria" w:hAnsi="Cambria"/>
          <w:sz w:val="20"/>
          <w:szCs w:val="20"/>
          <w:lang w:val="es-ES"/>
        </w:rPr>
        <w:t xml:space="preserve">Declarar </w:t>
      </w:r>
      <w:r w:rsidR="00A53003" w:rsidRPr="003C379E">
        <w:rPr>
          <w:rFonts w:ascii="Cambria" w:hAnsi="Cambria"/>
          <w:sz w:val="20"/>
          <w:szCs w:val="20"/>
          <w:lang w:val="es-ES"/>
        </w:rPr>
        <w:t>admi</w:t>
      </w:r>
      <w:r w:rsidR="00614FD8" w:rsidRPr="003C379E">
        <w:rPr>
          <w:rFonts w:ascii="Cambria" w:hAnsi="Cambria"/>
          <w:sz w:val="20"/>
          <w:szCs w:val="20"/>
          <w:lang w:val="es-ES"/>
        </w:rPr>
        <w:t>sible</w:t>
      </w:r>
      <w:r w:rsidRPr="003C379E">
        <w:rPr>
          <w:rFonts w:ascii="Cambria" w:hAnsi="Cambria"/>
          <w:sz w:val="20"/>
          <w:szCs w:val="20"/>
          <w:lang w:val="es-ES"/>
        </w:rPr>
        <w:t xml:space="preserve"> </w:t>
      </w:r>
      <w:r w:rsidR="00B6265D" w:rsidRPr="003C379E">
        <w:rPr>
          <w:rFonts w:ascii="Cambria" w:hAnsi="Cambria"/>
          <w:sz w:val="20"/>
          <w:szCs w:val="20"/>
          <w:lang w:val="es-ES"/>
        </w:rPr>
        <w:t>la</w:t>
      </w:r>
      <w:r w:rsidRPr="003C379E">
        <w:rPr>
          <w:rFonts w:ascii="Cambria" w:hAnsi="Cambria"/>
          <w:sz w:val="20"/>
          <w:szCs w:val="20"/>
          <w:lang w:val="es-ES"/>
        </w:rPr>
        <w:t xml:space="preserve"> presente </w:t>
      </w:r>
      <w:r w:rsidR="00A53003" w:rsidRPr="003C379E">
        <w:rPr>
          <w:rFonts w:ascii="Cambria" w:hAnsi="Cambria"/>
          <w:sz w:val="20"/>
          <w:szCs w:val="20"/>
          <w:lang w:val="es-ES"/>
        </w:rPr>
        <w:t>peti</w:t>
      </w:r>
      <w:r w:rsidR="009115EB" w:rsidRPr="003C379E">
        <w:rPr>
          <w:rFonts w:ascii="Cambria" w:hAnsi="Cambria"/>
          <w:sz w:val="20"/>
          <w:szCs w:val="20"/>
          <w:lang w:val="es-ES"/>
        </w:rPr>
        <w:t>ción</w:t>
      </w:r>
      <w:r w:rsidRPr="003C379E">
        <w:rPr>
          <w:rFonts w:ascii="Cambria" w:hAnsi="Cambria"/>
          <w:sz w:val="20"/>
          <w:szCs w:val="20"/>
          <w:lang w:val="es-ES"/>
        </w:rPr>
        <w:t xml:space="preserve"> </w:t>
      </w:r>
      <w:r w:rsidR="00614FD8" w:rsidRPr="003C379E">
        <w:rPr>
          <w:rFonts w:ascii="Cambria" w:hAnsi="Cambria"/>
          <w:sz w:val="20"/>
          <w:szCs w:val="20"/>
          <w:lang w:val="es-ES"/>
        </w:rPr>
        <w:t>co</w:t>
      </w:r>
      <w:r w:rsidR="009115EB" w:rsidRPr="003C379E">
        <w:rPr>
          <w:rFonts w:ascii="Cambria" w:hAnsi="Cambria"/>
          <w:sz w:val="20"/>
          <w:szCs w:val="20"/>
          <w:lang w:val="es-ES"/>
        </w:rPr>
        <w:t xml:space="preserve">n </w:t>
      </w:r>
      <w:r w:rsidR="00010777" w:rsidRPr="003C379E">
        <w:rPr>
          <w:rFonts w:ascii="Cambria" w:hAnsi="Cambria"/>
          <w:sz w:val="20"/>
          <w:szCs w:val="20"/>
          <w:lang w:val="es-ES"/>
        </w:rPr>
        <w:t>respecto</w:t>
      </w:r>
      <w:r w:rsidR="00A53003" w:rsidRPr="003C379E">
        <w:rPr>
          <w:rFonts w:ascii="Cambria" w:hAnsi="Cambria"/>
          <w:sz w:val="20"/>
          <w:szCs w:val="20"/>
          <w:lang w:val="es-ES"/>
        </w:rPr>
        <w:t xml:space="preserve"> </w:t>
      </w:r>
      <w:r w:rsidR="009115EB" w:rsidRPr="003C379E">
        <w:rPr>
          <w:rFonts w:ascii="Cambria" w:hAnsi="Cambria"/>
          <w:sz w:val="20"/>
          <w:szCs w:val="20"/>
          <w:lang w:val="es-ES"/>
        </w:rPr>
        <w:t>a los</w:t>
      </w:r>
      <w:r w:rsidR="00C7574A" w:rsidRPr="003C379E">
        <w:rPr>
          <w:rFonts w:ascii="Cambria" w:hAnsi="Cambria"/>
          <w:sz w:val="20"/>
          <w:szCs w:val="20"/>
          <w:lang w:val="es-ES"/>
        </w:rPr>
        <w:t xml:space="preserve"> </w:t>
      </w:r>
      <w:r w:rsidR="009115EB" w:rsidRPr="003C379E">
        <w:rPr>
          <w:rFonts w:ascii="Cambria" w:hAnsi="Cambria"/>
          <w:sz w:val="20"/>
          <w:szCs w:val="20"/>
          <w:lang w:val="es-ES"/>
        </w:rPr>
        <w:t>artículo</w:t>
      </w:r>
      <w:r w:rsidR="00C7574A" w:rsidRPr="003C379E">
        <w:rPr>
          <w:rFonts w:ascii="Cambria" w:hAnsi="Cambria"/>
          <w:bCs/>
          <w:sz w:val="20"/>
          <w:szCs w:val="20"/>
          <w:lang w:val="es-ES"/>
        </w:rPr>
        <w:t>s 5</w:t>
      </w:r>
      <w:r w:rsidR="00084571" w:rsidRPr="003C379E">
        <w:rPr>
          <w:rFonts w:ascii="Cambria" w:hAnsi="Cambria"/>
          <w:bCs/>
          <w:sz w:val="20"/>
          <w:szCs w:val="20"/>
          <w:lang w:val="es-ES"/>
        </w:rPr>
        <w:t xml:space="preserve"> (integri</w:t>
      </w:r>
      <w:r w:rsidR="009115EB" w:rsidRPr="003C379E">
        <w:rPr>
          <w:rFonts w:ascii="Cambria" w:hAnsi="Cambria"/>
          <w:bCs/>
          <w:sz w:val="20"/>
          <w:szCs w:val="20"/>
          <w:lang w:val="es-ES"/>
        </w:rPr>
        <w:t>dad persona</w:t>
      </w:r>
      <w:r w:rsidR="00084571" w:rsidRPr="003C379E">
        <w:rPr>
          <w:rFonts w:ascii="Cambria" w:hAnsi="Cambria"/>
          <w:bCs/>
          <w:sz w:val="20"/>
          <w:szCs w:val="20"/>
          <w:lang w:val="es-ES"/>
        </w:rPr>
        <w:t>l)</w:t>
      </w:r>
      <w:r w:rsidR="00C7574A" w:rsidRPr="003C379E">
        <w:rPr>
          <w:rFonts w:ascii="Cambria" w:hAnsi="Cambria"/>
          <w:bCs/>
          <w:sz w:val="20"/>
          <w:szCs w:val="20"/>
          <w:lang w:val="es-ES"/>
        </w:rPr>
        <w:t>, 8</w:t>
      </w:r>
      <w:r w:rsidR="00084571" w:rsidRPr="003C379E">
        <w:rPr>
          <w:rFonts w:ascii="Cambria" w:hAnsi="Cambria"/>
          <w:bCs/>
          <w:sz w:val="20"/>
          <w:szCs w:val="20"/>
          <w:lang w:val="es-ES"/>
        </w:rPr>
        <w:t xml:space="preserve"> (</w:t>
      </w:r>
      <w:r w:rsidR="00B05EA6" w:rsidRPr="003C379E">
        <w:rPr>
          <w:rFonts w:ascii="Cambria" w:hAnsi="Cambria"/>
          <w:bCs/>
          <w:sz w:val="20"/>
          <w:szCs w:val="20"/>
          <w:lang w:val="es-ES"/>
        </w:rPr>
        <w:t>garantía</w:t>
      </w:r>
      <w:r w:rsidR="00084571" w:rsidRPr="003C379E">
        <w:rPr>
          <w:rFonts w:ascii="Cambria" w:hAnsi="Cambria"/>
          <w:bCs/>
          <w:sz w:val="20"/>
          <w:szCs w:val="20"/>
          <w:lang w:val="es-ES"/>
        </w:rPr>
        <w:t>s judici</w:t>
      </w:r>
      <w:r w:rsidR="00B05EA6" w:rsidRPr="003C379E">
        <w:rPr>
          <w:rFonts w:ascii="Cambria" w:hAnsi="Cambria"/>
          <w:bCs/>
          <w:sz w:val="20"/>
          <w:szCs w:val="20"/>
          <w:lang w:val="es-ES"/>
        </w:rPr>
        <w:t>ales)</w:t>
      </w:r>
      <w:r w:rsidR="00C7574A" w:rsidRPr="003C379E">
        <w:rPr>
          <w:rFonts w:ascii="Cambria" w:hAnsi="Cambria"/>
          <w:bCs/>
          <w:sz w:val="20"/>
          <w:szCs w:val="20"/>
          <w:lang w:val="es-ES"/>
        </w:rPr>
        <w:t>, 11</w:t>
      </w:r>
      <w:r w:rsidR="00084571" w:rsidRPr="003C379E">
        <w:rPr>
          <w:rFonts w:ascii="Cambria" w:hAnsi="Cambria"/>
          <w:bCs/>
          <w:sz w:val="20"/>
          <w:szCs w:val="20"/>
          <w:lang w:val="es-ES"/>
        </w:rPr>
        <w:t xml:space="preserve"> (honra </w:t>
      </w:r>
      <w:r w:rsidR="009115EB" w:rsidRPr="003C379E">
        <w:rPr>
          <w:rFonts w:ascii="Cambria" w:hAnsi="Cambria"/>
          <w:bCs/>
          <w:sz w:val="20"/>
          <w:szCs w:val="20"/>
          <w:lang w:val="es-ES"/>
        </w:rPr>
        <w:t>y</w:t>
      </w:r>
      <w:r w:rsidR="00084571" w:rsidRPr="003C379E">
        <w:rPr>
          <w:rFonts w:ascii="Cambria" w:hAnsi="Cambria"/>
          <w:bCs/>
          <w:sz w:val="20"/>
          <w:szCs w:val="20"/>
          <w:lang w:val="es-ES"/>
        </w:rPr>
        <w:t xml:space="preserve"> dignidad)</w:t>
      </w:r>
      <w:r w:rsidR="00C7574A" w:rsidRPr="003C379E">
        <w:rPr>
          <w:rFonts w:ascii="Cambria" w:hAnsi="Cambria"/>
          <w:bCs/>
          <w:sz w:val="20"/>
          <w:szCs w:val="20"/>
          <w:lang w:val="es-ES"/>
        </w:rPr>
        <w:t xml:space="preserve">, 13 </w:t>
      </w:r>
      <w:r w:rsidR="00084571" w:rsidRPr="003C379E">
        <w:rPr>
          <w:rFonts w:ascii="Cambria" w:hAnsi="Cambria"/>
          <w:bCs/>
          <w:sz w:val="20"/>
          <w:szCs w:val="20"/>
          <w:lang w:val="es-ES"/>
        </w:rPr>
        <w:t>(</w:t>
      </w:r>
      <w:r w:rsidR="009115EB" w:rsidRPr="003C379E">
        <w:rPr>
          <w:rFonts w:ascii="Cambria" w:hAnsi="Cambria"/>
          <w:bCs/>
          <w:sz w:val="20"/>
          <w:szCs w:val="20"/>
          <w:lang w:val="es-ES"/>
        </w:rPr>
        <w:t xml:space="preserve">libertad </w:t>
      </w:r>
      <w:r w:rsidR="00084571" w:rsidRPr="003C379E">
        <w:rPr>
          <w:rFonts w:ascii="Cambria" w:hAnsi="Cambria"/>
          <w:bCs/>
          <w:sz w:val="20"/>
          <w:szCs w:val="20"/>
          <w:lang w:val="es-ES"/>
        </w:rPr>
        <w:t>de pensam</w:t>
      </w:r>
      <w:r w:rsidR="00B05EA6" w:rsidRPr="003C379E">
        <w:rPr>
          <w:rFonts w:ascii="Cambria" w:hAnsi="Cambria"/>
          <w:bCs/>
          <w:sz w:val="20"/>
          <w:szCs w:val="20"/>
          <w:lang w:val="es-ES"/>
        </w:rPr>
        <w:t>i</w:t>
      </w:r>
      <w:r w:rsidR="00084571" w:rsidRPr="003C379E">
        <w:rPr>
          <w:rFonts w:ascii="Cambria" w:hAnsi="Cambria"/>
          <w:bCs/>
          <w:sz w:val="20"/>
          <w:szCs w:val="20"/>
          <w:lang w:val="es-ES"/>
        </w:rPr>
        <w:t xml:space="preserve">ento </w:t>
      </w:r>
      <w:r w:rsidR="009115EB" w:rsidRPr="003C379E">
        <w:rPr>
          <w:rFonts w:ascii="Cambria" w:hAnsi="Cambria"/>
          <w:bCs/>
          <w:sz w:val="20"/>
          <w:szCs w:val="20"/>
          <w:lang w:val="es-ES"/>
        </w:rPr>
        <w:t>y</w:t>
      </w:r>
      <w:r w:rsidR="00084571" w:rsidRPr="003C379E">
        <w:rPr>
          <w:rFonts w:ascii="Cambria" w:hAnsi="Cambria"/>
          <w:bCs/>
          <w:sz w:val="20"/>
          <w:szCs w:val="20"/>
          <w:lang w:val="es-ES"/>
        </w:rPr>
        <w:t xml:space="preserve"> expre</w:t>
      </w:r>
      <w:r w:rsidR="009115EB" w:rsidRPr="003C379E">
        <w:rPr>
          <w:rFonts w:ascii="Cambria" w:hAnsi="Cambria"/>
          <w:bCs/>
          <w:sz w:val="20"/>
          <w:szCs w:val="20"/>
          <w:lang w:val="es-ES"/>
        </w:rPr>
        <w:t>sión</w:t>
      </w:r>
      <w:r w:rsidR="00084571" w:rsidRPr="003C379E">
        <w:rPr>
          <w:rFonts w:ascii="Cambria" w:hAnsi="Cambria"/>
          <w:bCs/>
          <w:sz w:val="20"/>
          <w:szCs w:val="20"/>
          <w:lang w:val="es-ES"/>
        </w:rPr>
        <w:t>)</w:t>
      </w:r>
      <w:r w:rsidR="00C7574A" w:rsidRPr="003C379E">
        <w:rPr>
          <w:rFonts w:ascii="Cambria" w:hAnsi="Cambria"/>
          <w:bCs/>
          <w:sz w:val="20"/>
          <w:szCs w:val="20"/>
          <w:lang w:val="es-ES"/>
        </w:rPr>
        <w:t xml:space="preserve"> </w:t>
      </w:r>
      <w:r w:rsidR="009115EB" w:rsidRPr="003C379E">
        <w:rPr>
          <w:rFonts w:ascii="Cambria" w:hAnsi="Cambria"/>
          <w:bCs/>
          <w:sz w:val="20"/>
          <w:szCs w:val="20"/>
          <w:lang w:val="es-ES"/>
        </w:rPr>
        <w:t>y</w:t>
      </w:r>
      <w:r w:rsidR="00C7574A" w:rsidRPr="003C379E">
        <w:rPr>
          <w:rFonts w:ascii="Cambria" w:hAnsi="Cambria"/>
          <w:bCs/>
          <w:sz w:val="20"/>
          <w:szCs w:val="20"/>
          <w:lang w:val="es-ES"/>
        </w:rPr>
        <w:t xml:space="preserve"> 25</w:t>
      </w:r>
      <w:r w:rsidR="00084571" w:rsidRPr="003C379E">
        <w:rPr>
          <w:rFonts w:ascii="Cambria" w:hAnsi="Cambria"/>
          <w:bCs/>
          <w:sz w:val="20"/>
          <w:szCs w:val="20"/>
          <w:lang w:val="es-ES"/>
        </w:rPr>
        <w:t xml:space="preserve"> (</w:t>
      </w:r>
      <w:r w:rsidR="00B05EA6" w:rsidRPr="003C379E">
        <w:rPr>
          <w:rFonts w:ascii="Cambria" w:hAnsi="Cambria"/>
          <w:bCs/>
          <w:sz w:val="20"/>
          <w:szCs w:val="20"/>
          <w:lang w:val="es-ES"/>
        </w:rPr>
        <w:t>protección</w:t>
      </w:r>
      <w:r w:rsidR="00084571" w:rsidRPr="003C379E">
        <w:rPr>
          <w:rFonts w:ascii="Cambria" w:hAnsi="Cambria"/>
          <w:bCs/>
          <w:sz w:val="20"/>
          <w:szCs w:val="20"/>
          <w:lang w:val="es-ES"/>
        </w:rPr>
        <w:t xml:space="preserve"> judicial)</w:t>
      </w:r>
      <w:r w:rsidR="00C7574A" w:rsidRPr="003C379E">
        <w:rPr>
          <w:rFonts w:ascii="Cambria" w:hAnsi="Cambria"/>
          <w:bCs/>
          <w:sz w:val="20"/>
          <w:szCs w:val="20"/>
          <w:lang w:val="es-ES"/>
        </w:rPr>
        <w:t xml:space="preserve"> </w:t>
      </w:r>
      <w:r w:rsidR="009115EB" w:rsidRPr="003C379E">
        <w:rPr>
          <w:rFonts w:ascii="Cambria" w:hAnsi="Cambria"/>
          <w:bCs/>
          <w:sz w:val="20"/>
          <w:szCs w:val="20"/>
          <w:lang w:val="es-ES"/>
        </w:rPr>
        <w:t>de la</w:t>
      </w:r>
      <w:r w:rsidR="00C7574A" w:rsidRPr="003C379E">
        <w:rPr>
          <w:rFonts w:ascii="Cambria" w:hAnsi="Cambria"/>
          <w:bCs/>
          <w:sz w:val="20"/>
          <w:szCs w:val="20"/>
          <w:lang w:val="es-ES"/>
        </w:rPr>
        <w:t xml:space="preserve"> Conven</w:t>
      </w:r>
      <w:r w:rsidR="009115EB" w:rsidRPr="003C379E">
        <w:rPr>
          <w:rFonts w:ascii="Cambria" w:hAnsi="Cambria"/>
          <w:bCs/>
          <w:sz w:val="20"/>
          <w:szCs w:val="20"/>
          <w:lang w:val="es-ES"/>
        </w:rPr>
        <w:t>ción</w:t>
      </w:r>
      <w:r w:rsidR="00C7574A" w:rsidRPr="003C379E">
        <w:rPr>
          <w:rFonts w:ascii="Cambria" w:hAnsi="Cambria"/>
          <w:bCs/>
          <w:sz w:val="20"/>
          <w:szCs w:val="20"/>
          <w:lang w:val="es-ES"/>
        </w:rPr>
        <w:t xml:space="preserve"> Americana </w:t>
      </w:r>
      <w:r w:rsidR="009115EB" w:rsidRPr="003C379E">
        <w:rPr>
          <w:rFonts w:ascii="Cambria" w:hAnsi="Cambria"/>
          <w:bCs/>
          <w:sz w:val="20"/>
          <w:szCs w:val="20"/>
          <w:lang w:val="es-ES"/>
        </w:rPr>
        <w:t xml:space="preserve">en </w:t>
      </w:r>
      <w:r w:rsidR="00C7574A" w:rsidRPr="003C379E">
        <w:rPr>
          <w:rFonts w:ascii="Cambria" w:hAnsi="Cambria"/>
          <w:bCs/>
          <w:sz w:val="20"/>
          <w:szCs w:val="20"/>
          <w:lang w:val="es-ES"/>
        </w:rPr>
        <w:t>rela</w:t>
      </w:r>
      <w:r w:rsidR="009115EB" w:rsidRPr="003C379E">
        <w:rPr>
          <w:rFonts w:ascii="Cambria" w:hAnsi="Cambria"/>
          <w:bCs/>
          <w:sz w:val="20"/>
          <w:szCs w:val="20"/>
          <w:lang w:val="es-ES"/>
        </w:rPr>
        <w:t>ción</w:t>
      </w:r>
      <w:r w:rsidR="00C7574A" w:rsidRPr="003C379E">
        <w:rPr>
          <w:rFonts w:ascii="Cambria" w:hAnsi="Cambria"/>
          <w:bCs/>
          <w:sz w:val="20"/>
          <w:szCs w:val="20"/>
          <w:lang w:val="es-ES"/>
        </w:rPr>
        <w:t xml:space="preserve"> </w:t>
      </w:r>
      <w:r w:rsidR="009115EB" w:rsidRPr="003C379E">
        <w:rPr>
          <w:rFonts w:ascii="Cambria" w:hAnsi="Cambria"/>
          <w:bCs/>
          <w:sz w:val="20"/>
          <w:szCs w:val="20"/>
          <w:lang w:val="es-ES"/>
        </w:rPr>
        <w:t>a</w:t>
      </w:r>
      <w:r w:rsidR="0014009A" w:rsidRPr="003C379E">
        <w:rPr>
          <w:rFonts w:ascii="Cambria" w:hAnsi="Cambria"/>
          <w:bCs/>
          <w:sz w:val="20"/>
          <w:szCs w:val="20"/>
          <w:lang w:val="es-ES"/>
        </w:rPr>
        <w:t xml:space="preserve"> sus</w:t>
      </w:r>
      <w:r w:rsidR="00C7574A" w:rsidRPr="003C379E">
        <w:rPr>
          <w:rFonts w:ascii="Cambria" w:hAnsi="Cambria"/>
          <w:bCs/>
          <w:sz w:val="20"/>
          <w:szCs w:val="20"/>
          <w:lang w:val="es-ES"/>
        </w:rPr>
        <w:t xml:space="preserve"> </w:t>
      </w:r>
      <w:r w:rsidR="009115EB" w:rsidRPr="003C379E">
        <w:rPr>
          <w:rFonts w:ascii="Cambria" w:hAnsi="Cambria"/>
          <w:bCs/>
          <w:sz w:val="20"/>
          <w:szCs w:val="20"/>
          <w:lang w:val="es-ES"/>
        </w:rPr>
        <w:t>artículo</w:t>
      </w:r>
      <w:r w:rsidR="00E8778F" w:rsidRPr="003C379E">
        <w:rPr>
          <w:rFonts w:ascii="Cambria" w:hAnsi="Cambria"/>
          <w:bCs/>
          <w:sz w:val="20"/>
          <w:szCs w:val="20"/>
          <w:lang w:val="es-ES"/>
        </w:rPr>
        <w:t>s 1.1</w:t>
      </w:r>
      <w:r w:rsidR="00084571" w:rsidRPr="003C379E">
        <w:rPr>
          <w:rFonts w:ascii="Cambria" w:hAnsi="Cambria"/>
          <w:bCs/>
          <w:sz w:val="20"/>
          <w:szCs w:val="20"/>
          <w:lang w:val="es-ES"/>
        </w:rPr>
        <w:t xml:space="preserve"> (</w:t>
      </w:r>
      <w:r w:rsidR="009115EB" w:rsidRPr="003C379E">
        <w:rPr>
          <w:rFonts w:ascii="Cambria" w:hAnsi="Cambria"/>
          <w:bCs/>
          <w:sz w:val="20"/>
          <w:szCs w:val="20"/>
          <w:lang w:val="es-ES"/>
        </w:rPr>
        <w:t>obligación</w:t>
      </w:r>
      <w:r w:rsidR="00084571" w:rsidRPr="003C379E">
        <w:rPr>
          <w:rFonts w:ascii="Cambria" w:hAnsi="Cambria"/>
          <w:bCs/>
          <w:sz w:val="20"/>
          <w:szCs w:val="20"/>
          <w:lang w:val="es-ES"/>
        </w:rPr>
        <w:t xml:space="preserve"> de respetar </w:t>
      </w:r>
      <w:r w:rsidR="009115EB" w:rsidRPr="003C379E">
        <w:rPr>
          <w:rFonts w:ascii="Cambria" w:hAnsi="Cambria"/>
          <w:bCs/>
          <w:sz w:val="20"/>
          <w:szCs w:val="20"/>
          <w:lang w:val="es-ES"/>
        </w:rPr>
        <w:t>los</w:t>
      </w:r>
      <w:r w:rsidR="00084571" w:rsidRPr="003C379E">
        <w:rPr>
          <w:rFonts w:ascii="Cambria" w:hAnsi="Cambria"/>
          <w:bCs/>
          <w:sz w:val="20"/>
          <w:szCs w:val="20"/>
          <w:lang w:val="es-ES"/>
        </w:rPr>
        <w:t xml:space="preserve"> </w:t>
      </w:r>
      <w:r w:rsidR="009115EB" w:rsidRPr="003C379E">
        <w:rPr>
          <w:rFonts w:ascii="Cambria" w:hAnsi="Cambria"/>
          <w:bCs/>
          <w:sz w:val="20"/>
          <w:szCs w:val="20"/>
          <w:lang w:val="es-ES"/>
        </w:rPr>
        <w:t>derech</w:t>
      </w:r>
      <w:r w:rsidR="00084571" w:rsidRPr="003C379E">
        <w:rPr>
          <w:rFonts w:ascii="Cambria" w:hAnsi="Cambria"/>
          <w:bCs/>
          <w:sz w:val="20"/>
          <w:szCs w:val="20"/>
          <w:lang w:val="es-ES"/>
        </w:rPr>
        <w:t>os)</w:t>
      </w:r>
      <w:r w:rsidR="00E8778F" w:rsidRPr="003C379E">
        <w:rPr>
          <w:rFonts w:ascii="Cambria" w:hAnsi="Cambria"/>
          <w:bCs/>
          <w:sz w:val="20"/>
          <w:szCs w:val="20"/>
          <w:lang w:val="es-ES"/>
        </w:rPr>
        <w:t xml:space="preserve"> </w:t>
      </w:r>
      <w:r w:rsidR="009115EB" w:rsidRPr="003C379E">
        <w:rPr>
          <w:rFonts w:ascii="Cambria" w:hAnsi="Cambria"/>
          <w:bCs/>
          <w:sz w:val="20"/>
          <w:szCs w:val="20"/>
          <w:lang w:val="es-ES"/>
        </w:rPr>
        <w:t>y</w:t>
      </w:r>
      <w:r w:rsidR="00C7574A" w:rsidRPr="003C379E">
        <w:rPr>
          <w:rFonts w:ascii="Cambria" w:hAnsi="Cambria"/>
          <w:bCs/>
          <w:sz w:val="20"/>
          <w:szCs w:val="20"/>
          <w:lang w:val="es-ES"/>
        </w:rPr>
        <w:t xml:space="preserve"> 2</w:t>
      </w:r>
      <w:r w:rsidR="00084571" w:rsidRPr="003C379E">
        <w:rPr>
          <w:rFonts w:ascii="Cambria" w:hAnsi="Cambria"/>
          <w:bCs/>
          <w:sz w:val="20"/>
          <w:szCs w:val="20"/>
          <w:lang w:val="es-ES"/>
        </w:rPr>
        <w:t xml:space="preserve"> (</w:t>
      </w:r>
      <w:r w:rsidR="009115EB" w:rsidRPr="003C379E">
        <w:rPr>
          <w:rFonts w:ascii="Cambria" w:hAnsi="Cambria"/>
          <w:bCs/>
          <w:sz w:val="20"/>
          <w:szCs w:val="20"/>
          <w:lang w:val="es-ES"/>
        </w:rPr>
        <w:t>debe</w:t>
      </w:r>
      <w:r w:rsidR="00084571" w:rsidRPr="003C379E">
        <w:rPr>
          <w:rFonts w:ascii="Cambria" w:hAnsi="Cambria"/>
          <w:bCs/>
          <w:sz w:val="20"/>
          <w:szCs w:val="20"/>
          <w:lang w:val="es-ES"/>
        </w:rPr>
        <w:t>r de ado</w:t>
      </w:r>
      <w:r w:rsidR="00B05EA6" w:rsidRPr="003C379E">
        <w:rPr>
          <w:rFonts w:ascii="Cambria" w:hAnsi="Cambria"/>
          <w:bCs/>
          <w:sz w:val="20"/>
          <w:szCs w:val="20"/>
          <w:lang w:val="es-ES"/>
        </w:rPr>
        <w:t>p</w:t>
      </w:r>
      <w:r w:rsidR="00084571" w:rsidRPr="003C379E">
        <w:rPr>
          <w:rFonts w:ascii="Cambria" w:hAnsi="Cambria"/>
          <w:bCs/>
          <w:sz w:val="20"/>
          <w:szCs w:val="20"/>
          <w:lang w:val="es-ES"/>
        </w:rPr>
        <w:t>tar disposi</w:t>
      </w:r>
      <w:r w:rsidR="009115EB" w:rsidRPr="003C379E">
        <w:rPr>
          <w:rFonts w:ascii="Cambria" w:hAnsi="Cambria"/>
          <w:bCs/>
          <w:sz w:val="20"/>
          <w:szCs w:val="20"/>
          <w:lang w:val="es-ES"/>
        </w:rPr>
        <w:t>ciones</w:t>
      </w:r>
      <w:r w:rsidR="00084571" w:rsidRPr="003C379E">
        <w:rPr>
          <w:rFonts w:ascii="Cambria" w:hAnsi="Cambria"/>
          <w:bCs/>
          <w:sz w:val="20"/>
          <w:szCs w:val="20"/>
          <w:lang w:val="es-ES"/>
        </w:rPr>
        <w:t xml:space="preserve"> de </w:t>
      </w:r>
      <w:r w:rsidR="009115EB" w:rsidRPr="003C379E">
        <w:rPr>
          <w:rFonts w:ascii="Cambria" w:hAnsi="Cambria"/>
          <w:bCs/>
          <w:sz w:val="20"/>
          <w:szCs w:val="20"/>
          <w:lang w:val="es-ES"/>
        </w:rPr>
        <w:t>derech</w:t>
      </w:r>
      <w:r w:rsidR="00084571" w:rsidRPr="003C379E">
        <w:rPr>
          <w:rFonts w:ascii="Cambria" w:hAnsi="Cambria"/>
          <w:bCs/>
          <w:sz w:val="20"/>
          <w:szCs w:val="20"/>
          <w:lang w:val="es-ES"/>
        </w:rPr>
        <w:t>o interno)</w:t>
      </w:r>
      <w:r w:rsidR="00C7574A" w:rsidRPr="003C379E">
        <w:rPr>
          <w:rFonts w:ascii="Cambria" w:hAnsi="Cambria"/>
          <w:bCs/>
          <w:sz w:val="20"/>
          <w:szCs w:val="20"/>
          <w:lang w:val="es-ES"/>
        </w:rPr>
        <w:t>;</w:t>
      </w:r>
    </w:p>
    <w:p w14:paraId="1F9D1644" w14:textId="28B79C91" w:rsidR="00560E0D" w:rsidRPr="003C379E" w:rsidRDefault="00560E0D" w:rsidP="00560E0D">
      <w:pPr>
        <w:pStyle w:val="ListParagraph"/>
        <w:numPr>
          <w:ilvl w:val="0"/>
          <w:numId w:val="109"/>
        </w:numPr>
        <w:spacing w:after="120"/>
        <w:jc w:val="both"/>
        <w:rPr>
          <w:rFonts w:asciiTheme="majorHAnsi" w:eastAsia="Arial Unicode MS" w:hAnsiTheme="majorHAnsi" w:cs="Times New Roman"/>
          <w:color w:val="auto"/>
          <w:sz w:val="20"/>
          <w:szCs w:val="20"/>
          <w:lang w:val="es-ES" w:eastAsia="en-US"/>
        </w:rPr>
      </w:pPr>
      <w:r w:rsidRPr="003C379E">
        <w:rPr>
          <w:rFonts w:asciiTheme="majorHAnsi" w:eastAsia="Arial Unicode MS" w:hAnsiTheme="majorHAnsi" w:cs="Times New Roman"/>
          <w:color w:val="auto"/>
          <w:sz w:val="20"/>
          <w:szCs w:val="20"/>
          <w:lang w:val="es-ES" w:eastAsia="en-US"/>
        </w:rPr>
        <w:t>Declarar inadmi</w:t>
      </w:r>
      <w:r w:rsidR="00B05EA6" w:rsidRPr="003C379E">
        <w:rPr>
          <w:rFonts w:asciiTheme="majorHAnsi" w:eastAsia="Arial Unicode MS" w:hAnsiTheme="majorHAnsi" w:cs="Times New Roman"/>
          <w:color w:val="auto"/>
          <w:sz w:val="20"/>
          <w:szCs w:val="20"/>
          <w:lang w:val="es-ES" w:eastAsia="en-US"/>
        </w:rPr>
        <w:t>sible</w:t>
      </w:r>
      <w:r w:rsidRPr="003C379E">
        <w:rPr>
          <w:rFonts w:asciiTheme="majorHAnsi" w:eastAsia="Arial Unicode MS" w:hAnsiTheme="majorHAnsi" w:cs="Times New Roman"/>
          <w:color w:val="auto"/>
          <w:sz w:val="20"/>
          <w:szCs w:val="20"/>
          <w:lang w:val="es-ES" w:eastAsia="en-US"/>
        </w:rPr>
        <w:t xml:space="preserve"> </w:t>
      </w:r>
      <w:r w:rsidR="00B6265D" w:rsidRPr="003C379E">
        <w:rPr>
          <w:rFonts w:asciiTheme="majorHAnsi" w:eastAsia="Arial Unicode MS" w:hAnsiTheme="majorHAnsi" w:cs="Times New Roman"/>
          <w:color w:val="auto"/>
          <w:sz w:val="20"/>
          <w:szCs w:val="20"/>
          <w:lang w:val="es-ES" w:eastAsia="en-US"/>
        </w:rPr>
        <w:t>la</w:t>
      </w:r>
      <w:r w:rsidRPr="003C379E">
        <w:rPr>
          <w:rFonts w:asciiTheme="majorHAnsi" w:eastAsia="Arial Unicode MS" w:hAnsiTheme="majorHAnsi" w:cs="Times New Roman"/>
          <w:color w:val="auto"/>
          <w:sz w:val="20"/>
          <w:szCs w:val="20"/>
          <w:lang w:val="es-ES" w:eastAsia="en-US"/>
        </w:rPr>
        <w:t xml:space="preserve"> presente </w:t>
      </w:r>
      <w:r w:rsidRPr="003C379E">
        <w:rPr>
          <w:rFonts w:asciiTheme="majorHAnsi" w:hAnsiTheme="majorHAnsi"/>
          <w:color w:val="auto"/>
          <w:sz w:val="20"/>
          <w:szCs w:val="20"/>
          <w:lang w:val="es-ES"/>
        </w:rPr>
        <w:t>peti</w:t>
      </w:r>
      <w:r w:rsidR="009115EB" w:rsidRPr="003C379E">
        <w:rPr>
          <w:rFonts w:asciiTheme="majorHAnsi" w:hAnsiTheme="majorHAnsi"/>
          <w:color w:val="auto"/>
          <w:sz w:val="20"/>
          <w:szCs w:val="20"/>
          <w:lang w:val="es-ES"/>
        </w:rPr>
        <w:t>ción</w:t>
      </w:r>
      <w:r w:rsidRPr="003C379E">
        <w:rPr>
          <w:rFonts w:asciiTheme="majorHAnsi" w:hAnsiTheme="majorHAnsi"/>
          <w:color w:val="auto"/>
          <w:sz w:val="20"/>
          <w:szCs w:val="20"/>
          <w:lang w:val="es-ES"/>
        </w:rPr>
        <w:t xml:space="preserve"> </w:t>
      </w:r>
      <w:r w:rsidR="00614FD8" w:rsidRPr="003C379E">
        <w:rPr>
          <w:rFonts w:asciiTheme="majorHAnsi" w:hAnsiTheme="majorHAnsi"/>
          <w:color w:val="auto"/>
          <w:sz w:val="20"/>
          <w:szCs w:val="20"/>
          <w:lang w:val="es-ES"/>
        </w:rPr>
        <w:t>co</w:t>
      </w:r>
      <w:r w:rsidR="009115EB" w:rsidRPr="003C379E">
        <w:rPr>
          <w:rFonts w:asciiTheme="majorHAnsi" w:hAnsiTheme="majorHAnsi"/>
          <w:color w:val="auto"/>
          <w:sz w:val="20"/>
          <w:szCs w:val="20"/>
          <w:lang w:val="es-ES"/>
        </w:rPr>
        <w:t xml:space="preserve">n </w:t>
      </w:r>
      <w:r w:rsidRPr="003C379E">
        <w:rPr>
          <w:rFonts w:asciiTheme="majorHAnsi" w:hAnsiTheme="majorHAnsi"/>
          <w:color w:val="auto"/>
          <w:sz w:val="20"/>
          <w:szCs w:val="20"/>
          <w:lang w:val="es-ES"/>
        </w:rPr>
        <w:t>rela</w:t>
      </w:r>
      <w:r w:rsidR="009115EB" w:rsidRPr="003C379E">
        <w:rPr>
          <w:rFonts w:asciiTheme="majorHAnsi" w:hAnsiTheme="majorHAnsi"/>
          <w:color w:val="auto"/>
          <w:sz w:val="20"/>
          <w:szCs w:val="20"/>
          <w:lang w:val="es-ES"/>
        </w:rPr>
        <w:t>ción</w:t>
      </w:r>
      <w:r w:rsidRPr="003C379E">
        <w:rPr>
          <w:rFonts w:asciiTheme="majorHAnsi" w:hAnsiTheme="majorHAnsi"/>
          <w:color w:val="auto"/>
          <w:sz w:val="20"/>
          <w:szCs w:val="20"/>
          <w:lang w:val="es-ES"/>
        </w:rPr>
        <w:t xml:space="preserve"> </w:t>
      </w:r>
      <w:r w:rsidR="009115EB" w:rsidRPr="003C379E">
        <w:rPr>
          <w:rFonts w:asciiTheme="majorHAnsi" w:hAnsiTheme="majorHAnsi"/>
          <w:color w:val="auto"/>
          <w:sz w:val="20"/>
          <w:szCs w:val="20"/>
          <w:lang w:val="es-ES"/>
        </w:rPr>
        <w:t>a los</w:t>
      </w:r>
      <w:r w:rsidRPr="003C379E">
        <w:rPr>
          <w:rFonts w:asciiTheme="majorHAnsi" w:hAnsiTheme="majorHAnsi"/>
          <w:color w:val="auto"/>
          <w:sz w:val="20"/>
          <w:szCs w:val="20"/>
          <w:lang w:val="es-ES"/>
        </w:rPr>
        <w:t xml:space="preserve"> </w:t>
      </w:r>
      <w:r w:rsidR="009115EB" w:rsidRPr="003C379E">
        <w:rPr>
          <w:rFonts w:asciiTheme="majorHAnsi" w:hAnsiTheme="majorHAnsi"/>
          <w:color w:val="auto"/>
          <w:sz w:val="20"/>
          <w:szCs w:val="20"/>
          <w:lang w:val="es-ES"/>
        </w:rPr>
        <w:t>artículo</w:t>
      </w:r>
      <w:r w:rsidRPr="003C379E">
        <w:rPr>
          <w:rFonts w:asciiTheme="majorHAnsi" w:hAnsiTheme="majorHAnsi"/>
          <w:color w:val="auto"/>
          <w:sz w:val="20"/>
          <w:szCs w:val="20"/>
          <w:lang w:val="es-ES"/>
        </w:rPr>
        <w:t>s</w:t>
      </w:r>
      <w:r w:rsidRPr="003C379E">
        <w:rPr>
          <w:rFonts w:asciiTheme="majorHAnsi" w:hAnsiTheme="majorHAnsi"/>
          <w:bCs/>
          <w:color w:val="auto"/>
          <w:sz w:val="20"/>
          <w:szCs w:val="20"/>
          <w:lang w:val="es-ES"/>
        </w:rPr>
        <w:t xml:space="preserve"> </w:t>
      </w:r>
      <w:r w:rsidRPr="003C379E">
        <w:rPr>
          <w:bCs/>
          <w:color w:val="auto"/>
          <w:sz w:val="20"/>
          <w:szCs w:val="20"/>
          <w:lang w:val="es-ES"/>
        </w:rPr>
        <w:t>7</w:t>
      </w:r>
      <w:r w:rsidR="00084571" w:rsidRPr="003C379E">
        <w:rPr>
          <w:bCs/>
          <w:color w:val="auto"/>
          <w:sz w:val="20"/>
          <w:szCs w:val="20"/>
          <w:lang w:val="es-ES"/>
        </w:rPr>
        <w:t xml:space="preserve"> (</w:t>
      </w:r>
      <w:r w:rsidR="009115EB" w:rsidRPr="003C379E">
        <w:rPr>
          <w:bCs/>
          <w:color w:val="auto"/>
          <w:sz w:val="20"/>
          <w:szCs w:val="20"/>
          <w:lang w:val="es-ES"/>
        </w:rPr>
        <w:t>libertad persona</w:t>
      </w:r>
      <w:r w:rsidR="00084571" w:rsidRPr="003C379E">
        <w:rPr>
          <w:bCs/>
          <w:color w:val="auto"/>
          <w:sz w:val="20"/>
          <w:szCs w:val="20"/>
          <w:lang w:val="es-ES"/>
        </w:rPr>
        <w:t>l)</w:t>
      </w:r>
      <w:r w:rsidRPr="003C379E">
        <w:rPr>
          <w:bCs/>
          <w:color w:val="auto"/>
          <w:sz w:val="20"/>
          <w:szCs w:val="20"/>
          <w:lang w:val="es-ES"/>
        </w:rPr>
        <w:t xml:space="preserve"> </w:t>
      </w:r>
      <w:r w:rsidR="009115EB" w:rsidRPr="003C379E">
        <w:rPr>
          <w:bCs/>
          <w:color w:val="auto"/>
          <w:sz w:val="20"/>
          <w:szCs w:val="20"/>
          <w:lang w:val="es-ES"/>
        </w:rPr>
        <w:t>y</w:t>
      </w:r>
      <w:r w:rsidRPr="003C379E">
        <w:rPr>
          <w:bCs/>
          <w:color w:val="auto"/>
          <w:sz w:val="20"/>
          <w:szCs w:val="20"/>
          <w:lang w:val="es-ES"/>
        </w:rPr>
        <w:t xml:space="preserve"> 10</w:t>
      </w:r>
      <w:r w:rsidR="00084571" w:rsidRPr="003C379E">
        <w:rPr>
          <w:bCs/>
          <w:color w:val="auto"/>
          <w:sz w:val="20"/>
          <w:szCs w:val="20"/>
          <w:lang w:val="es-ES"/>
        </w:rPr>
        <w:t xml:space="preserve"> (</w:t>
      </w:r>
      <w:r w:rsidR="009115EB" w:rsidRPr="003C379E">
        <w:rPr>
          <w:bCs/>
          <w:color w:val="auto"/>
          <w:sz w:val="20"/>
          <w:szCs w:val="20"/>
          <w:lang w:val="es-ES"/>
        </w:rPr>
        <w:t>derech</w:t>
      </w:r>
      <w:r w:rsidR="00084571" w:rsidRPr="003C379E">
        <w:rPr>
          <w:bCs/>
          <w:color w:val="auto"/>
          <w:sz w:val="20"/>
          <w:szCs w:val="20"/>
          <w:lang w:val="es-ES"/>
        </w:rPr>
        <w:t xml:space="preserve">o </w:t>
      </w:r>
      <w:r w:rsidR="009115EB" w:rsidRPr="003C379E">
        <w:rPr>
          <w:bCs/>
          <w:color w:val="auto"/>
          <w:sz w:val="20"/>
          <w:szCs w:val="20"/>
          <w:lang w:val="es-ES"/>
        </w:rPr>
        <w:t>a la</w:t>
      </w:r>
      <w:r w:rsidR="00084571" w:rsidRPr="003C379E">
        <w:rPr>
          <w:bCs/>
          <w:color w:val="auto"/>
          <w:sz w:val="20"/>
          <w:szCs w:val="20"/>
          <w:lang w:val="es-ES"/>
        </w:rPr>
        <w:t xml:space="preserve"> </w:t>
      </w:r>
      <w:r w:rsidR="009115EB" w:rsidRPr="003C379E">
        <w:rPr>
          <w:bCs/>
          <w:color w:val="auto"/>
          <w:sz w:val="20"/>
          <w:szCs w:val="20"/>
          <w:lang w:val="es-ES"/>
        </w:rPr>
        <w:t>indemniz</w:t>
      </w:r>
      <w:r w:rsidR="00084571" w:rsidRPr="003C379E">
        <w:rPr>
          <w:bCs/>
          <w:color w:val="auto"/>
          <w:sz w:val="20"/>
          <w:szCs w:val="20"/>
          <w:lang w:val="es-ES"/>
        </w:rPr>
        <w:t>a</w:t>
      </w:r>
      <w:r w:rsidR="009115EB" w:rsidRPr="003C379E">
        <w:rPr>
          <w:bCs/>
          <w:color w:val="auto"/>
          <w:sz w:val="20"/>
          <w:szCs w:val="20"/>
          <w:lang w:val="es-ES"/>
        </w:rPr>
        <w:t>ción</w:t>
      </w:r>
      <w:r w:rsidR="00084571" w:rsidRPr="003C379E">
        <w:rPr>
          <w:bCs/>
          <w:color w:val="auto"/>
          <w:sz w:val="20"/>
          <w:szCs w:val="20"/>
          <w:lang w:val="es-ES"/>
        </w:rPr>
        <w:t>)</w:t>
      </w:r>
      <w:r w:rsidRPr="003C379E">
        <w:rPr>
          <w:bCs/>
          <w:color w:val="auto"/>
          <w:sz w:val="20"/>
          <w:szCs w:val="20"/>
          <w:lang w:val="es-ES"/>
        </w:rPr>
        <w:t xml:space="preserve"> </w:t>
      </w:r>
      <w:r w:rsidR="009115EB" w:rsidRPr="003C379E">
        <w:rPr>
          <w:bCs/>
          <w:color w:val="auto"/>
          <w:sz w:val="20"/>
          <w:szCs w:val="20"/>
          <w:lang w:val="es-ES"/>
        </w:rPr>
        <w:t>de la</w:t>
      </w:r>
      <w:r w:rsidRPr="003C379E">
        <w:rPr>
          <w:bCs/>
          <w:color w:val="auto"/>
          <w:sz w:val="20"/>
          <w:szCs w:val="20"/>
          <w:lang w:val="es-ES"/>
        </w:rPr>
        <w:t xml:space="preserve"> Conven</w:t>
      </w:r>
      <w:r w:rsidR="009115EB" w:rsidRPr="003C379E">
        <w:rPr>
          <w:bCs/>
          <w:color w:val="auto"/>
          <w:sz w:val="20"/>
          <w:szCs w:val="20"/>
          <w:lang w:val="es-ES"/>
        </w:rPr>
        <w:t>ción</w:t>
      </w:r>
      <w:r w:rsidRPr="003C379E">
        <w:rPr>
          <w:bCs/>
          <w:color w:val="auto"/>
          <w:sz w:val="20"/>
          <w:szCs w:val="20"/>
          <w:lang w:val="es-ES"/>
        </w:rPr>
        <w:t xml:space="preserve"> Americana</w:t>
      </w:r>
      <w:r w:rsidRPr="003C379E">
        <w:rPr>
          <w:rFonts w:asciiTheme="majorHAnsi" w:eastAsia="Arial Unicode MS" w:hAnsiTheme="majorHAnsi" w:cs="Times New Roman"/>
          <w:color w:val="auto"/>
          <w:sz w:val="20"/>
          <w:szCs w:val="20"/>
          <w:lang w:val="es-ES" w:eastAsia="en-US"/>
        </w:rPr>
        <w:t xml:space="preserve">; </w:t>
      </w:r>
      <w:r w:rsidR="009115EB" w:rsidRPr="003C379E">
        <w:rPr>
          <w:rFonts w:asciiTheme="majorHAnsi" w:eastAsia="Arial Unicode MS" w:hAnsiTheme="majorHAnsi" w:cs="Times New Roman"/>
          <w:color w:val="auto"/>
          <w:sz w:val="20"/>
          <w:szCs w:val="20"/>
          <w:lang w:val="es-ES" w:eastAsia="en-US"/>
        </w:rPr>
        <w:t>y</w:t>
      </w:r>
    </w:p>
    <w:p w14:paraId="6AC80CA6" w14:textId="6DE3C9C2" w:rsidR="00722C9F" w:rsidRPr="003C379E" w:rsidRDefault="00C605D9" w:rsidP="00974491">
      <w:pPr>
        <w:numPr>
          <w:ilvl w:val="0"/>
          <w:numId w:val="109"/>
        </w:numPr>
        <w:suppressAutoHyphens/>
        <w:spacing w:after="240"/>
        <w:jc w:val="both"/>
        <w:rPr>
          <w:rFonts w:ascii="Cambria" w:hAnsi="Cambria"/>
          <w:sz w:val="20"/>
          <w:szCs w:val="20"/>
          <w:lang w:val="es-ES"/>
        </w:rPr>
      </w:pPr>
      <w:r w:rsidRPr="003C379E">
        <w:rPr>
          <w:rFonts w:asciiTheme="majorHAnsi" w:hAnsiTheme="majorHAnsi"/>
          <w:sz w:val="20"/>
          <w:szCs w:val="20"/>
          <w:lang w:val="es-ES"/>
        </w:rPr>
        <w:lastRenderedPageBreak/>
        <w:t>Notificar a las partes sobre la presente decisión, continuar con el análisis de fondo del asunto, y publicar esta decisión e incluirla en su Informe Anual a la Asamblea General de la Organización de los Estados Americanos</w:t>
      </w:r>
      <w:r w:rsidR="00A53003" w:rsidRPr="003C379E">
        <w:rPr>
          <w:rFonts w:ascii="Cambria" w:hAnsi="Cambria"/>
          <w:sz w:val="20"/>
          <w:szCs w:val="20"/>
          <w:lang w:val="es-ES"/>
        </w:rPr>
        <w:t xml:space="preserve">. </w:t>
      </w:r>
    </w:p>
    <w:p w14:paraId="33755509" w14:textId="02AD02CC" w:rsidR="00084571" w:rsidRPr="00FD3A87" w:rsidRDefault="00FD3A87" w:rsidP="00084571">
      <w:pPr>
        <w:suppressAutoHyphens/>
        <w:spacing w:after="240"/>
        <w:jc w:val="both"/>
        <w:rPr>
          <w:rFonts w:ascii="Cambria" w:hAnsi="Cambria"/>
          <w:sz w:val="20"/>
          <w:szCs w:val="20"/>
          <w:lang w:val="es-419"/>
        </w:rPr>
      </w:pPr>
      <w:r>
        <w:rPr>
          <w:rFonts w:asciiTheme="majorHAnsi" w:hAnsiTheme="majorHAnsi" w:cs="Arial"/>
          <w:noProof/>
          <w:spacing w:val="-2"/>
          <w:sz w:val="20"/>
          <w:szCs w:val="20"/>
          <w:lang w:val="es-CL"/>
        </w:rPr>
        <w:tab/>
        <w:t xml:space="preserve">Aprobado por la Comisión Interamericana de Derechos Humanos </w:t>
      </w:r>
      <w:r w:rsidRPr="00A37B82">
        <w:rPr>
          <w:rFonts w:asciiTheme="majorHAnsi" w:hAnsiTheme="majorHAnsi" w:cs="Arial"/>
          <w:noProof/>
          <w:spacing w:val="-2"/>
          <w:sz w:val="20"/>
          <w:szCs w:val="20"/>
          <w:lang w:val="es-CL"/>
        </w:rPr>
        <w:t xml:space="preserve"> a</w:t>
      </w:r>
      <w:r w:rsidR="00F909F9">
        <w:rPr>
          <w:rFonts w:asciiTheme="majorHAnsi" w:hAnsiTheme="majorHAnsi" w:cs="Arial"/>
          <w:noProof/>
          <w:spacing w:val="-2"/>
          <w:sz w:val="20"/>
          <w:szCs w:val="20"/>
          <w:lang w:val="es-CL"/>
        </w:rPr>
        <w:t xml:space="preserve">l primer </w:t>
      </w:r>
      <w:r w:rsidRPr="00A37B82">
        <w:rPr>
          <w:rFonts w:asciiTheme="majorHAnsi" w:hAnsiTheme="majorHAnsi" w:cs="Arial"/>
          <w:noProof/>
          <w:spacing w:val="-2"/>
          <w:sz w:val="20"/>
          <w:szCs w:val="20"/>
          <w:lang w:val="es-CL"/>
        </w:rPr>
        <w:t xml:space="preserve">día del mes de </w:t>
      </w:r>
      <w:r w:rsidR="00F909F9">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p>
    <w:sectPr w:rsidR="00084571" w:rsidRPr="00FD3A8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13F4" w14:textId="77777777" w:rsidR="007529EC" w:rsidRDefault="007529EC">
      <w:r>
        <w:separator/>
      </w:r>
    </w:p>
  </w:endnote>
  <w:endnote w:type="continuationSeparator" w:id="0">
    <w:p w14:paraId="14273C91" w14:textId="77777777" w:rsidR="007529EC" w:rsidRDefault="0075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1232081886"/>
      <w:docPartObj>
        <w:docPartGallery w:val="Page Numbers (Bottom of Page)"/>
        <w:docPartUnique/>
      </w:docPartObj>
    </w:sdtPr>
    <w:sdtEndPr>
      <w:rPr>
        <w:noProof/>
        <w:sz w:val="16"/>
        <w:szCs w:val="22"/>
      </w:rPr>
    </w:sdtEndPr>
    <w:sdtContent>
      <w:p w14:paraId="29E243E2" w14:textId="3564BE08" w:rsidR="00C605D9" w:rsidRPr="00E82288" w:rsidRDefault="00C605D9">
        <w:pPr>
          <w:pStyle w:val="Footer"/>
          <w:jc w:val="center"/>
          <w:rPr>
            <w:rFonts w:asciiTheme="majorHAnsi" w:hAnsiTheme="majorHAnsi"/>
            <w:sz w:val="16"/>
            <w:szCs w:val="22"/>
          </w:rPr>
        </w:pPr>
        <w:r w:rsidRPr="00E82288">
          <w:rPr>
            <w:rFonts w:asciiTheme="majorHAnsi" w:hAnsiTheme="majorHAnsi"/>
            <w:sz w:val="16"/>
            <w:szCs w:val="22"/>
          </w:rPr>
          <w:fldChar w:fldCharType="begin"/>
        </w:r>
        <w:r w:rsidRPr="00E82288">
          <w:rPr>
            <w:rFonts w:asciiTheme="majorHAnsi" w:hAnsiTheme="majorHAnsi"/>
            <w:sz w:val="16"/>
            <w:szCs w:val="22"/>
          </w:rPr>
          <w:instrText xml:space="preserve"> PAGE   \* MERGEFORMAT </w:instrText>
        </w:r>
        <w:r w:rsidRPr="00E82288">
          <w:rPr>
            <w:rFonts w:asciiTheme="majorHAnsi" w:hAnsiTheme="majorHAnsi"/>
            <w:sz w:val="16"/>
            <w:szCs w:val="22"/>
          </w:rPr>
          <w:fldChar w:fldCharType="separate"/>
        </w:r>
        <w:r w:rsidR="00194337">
          <w:rPr>
            <w:rFonts w:asciiTheme="majorHAnsi" w:hAnsiTheme="majorHAnsi"/>
            <w:noProof/>
            <w:sz w:val="16"/>
            <w:szCs w:val="22"/>
          </w:rPr>
          <w:t>5</w:t>
        </w:r>
        <w:r w:rsidRPr="00E82288">
          <w:rPr>
            <w:rFonts w:asciiTheme="majorHAnsi" w:hAnsiTheme="majorHAnsi"/>
            <w:noProof/>
            <w:sz w:val="16"/>
            <w:szCs w:val="22"/>
          </w:rPr>
          <w:fldChar w:fldCharType="end"/>
        </w:r>
      </w:p>
    </w:sdtContent>
  </w:sdt>
  <w:p w14:paraId="68530E6A" w14:textId="77777777" w:rsidR="00C605D9" w:rsidRPr="00E82288" w:rsidRDefault="00C605D9">
    <w:pPr>
      <w:pStyle w:val="Footer"/>
      <w:rPr>
        <w:rFonts w:asciiTheme="majorHAnsi" w:hAnsi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C605D9" w:rsidRPr="00934A2C" w:rsidRDefault="00C605D9">
    <w:pPr>
      <w:pStyle w:val="Footer"/>
      <w:jc w:val="center"/>
      <w:rPr>
        <w:sz w:val="16"/>
        <w:szCs w:val="22"/>
      </w:rPr>
    </w:pPr>
  </w:p>
  <w:p w14:paraId="49059CE3" w14:textId="77777777" w:rsidR="00C605D9" w:rsidRDefault="00C6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87F9" w14:textId="77777777" w:rsidR="007529EC" w:rsidRPr="000F35ED" w:rsidRDefault="007529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185248" w14:textId="77777777" w:rsidR="007529EC" w:rsidRPr="000F35ED" w:rsidRDefault="007529EC" w:rsidP="000F35ED">
      <w:pPr>
        <w:rPr>
          <w:rFonts w:asciiTheme="majorHAnsi" w:hAnsiTheme="majorHAnsi"/>
          <w:sz w:val="16"/>
          <w:szCs w:val="16"/>
        </w:rPr>
      </w:pPr>
      <w:r w:rsidRPr="000F35ED">
        <w:rPr>
          <w:rFonts w:asciiTheme="majorHAnsi" w:hAnsiTheme="majorHAnsi"/>
          <w:sz w:val="16"/>
          <w:szCs w:val="16"/>
        </w:rPr>
        <w:separator/>
      </w:r>
    </w:p>
    <w:p w14:paraId="10193DAB" w14:textId="77777777" w:rsidR="007529EC" w:rsidRPr="000F35ED" w:rsidRDefault="007529E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4D9619C" w14:textId="77777777" w:rsidR="007529EC" w:rsidRPr="000F35ED" w:rsidRDefault="007529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35E997F4" w:rsidR="00C605D9" w:rsidRPr="006E3C8B" w:rsidRDefault="00FE0818" w:rsidP="00B3147B">
      <w:pPr>
        <w:pStyle w:val="FootnoteText"/>
        <w:contextualSpacing/>
        <w:jc w:val="both"/>
        <w:rPr>
          <w:rFonts w:ascii="Cambria" w:hAnsi="Cambria"/>
          <w:sz w:val="16"/>
          <w:szCs w:val="16"/>
          <w:lang w:val="es-ES"/>
        </w:rPr>
      </w:pPr>
      <w:r>
        <w:rPr>
          <w:rFonts w:ascii="Cambria" w:hAnsi="Cambria"/>
          <w:sz w:val="16"/>
          <w:szCs w:val="16"/>
          <w:lang w:val="es-ES"/>
        </w:rPr>
        <w:tab/>
      </w:r>
      <w:r w:rsidR="00C605D9" w:rsidRPr="00B6265D">
        <w:rPr>
          <w:rStyle w:val="FootnoteReference"/>
          <w:rFonts w:ascii="Cambria" w:hAnsi="Cambria"/>
          <w:sz w:val="16"/>
          <w:szCs w:val="16"/>
          <w:lang w:val="es-ES"/>
        </w:rPr>
        <w:footnoteRef/>
      </w:r>
      <w:r w:rsidR="00C605D9" w:rsidRPr="00B6265D">
        <w:rPr>
          <w:rFonts w:ascii="Cambria" w:hAnsi="Cambria"/>
          <w:sz w:val="16"/>
          <w:szCs w:val="16"/>
          <w:lang w:val="es-ES"/>
        </w:rPr>
        <w:t xml:space="preserve"> </w:t>
      </w:r>
      <w:r w:rsidR="00C605D9" w:rsidRPr="006E3C8B">
        <w:rPr>
          <w:rFonts w:asciiTheme="majorHAnsi" w:hAnsiTheme="majorHAnsi"/>
          <w:sz w:val="16"/>
          <w:szCs w:val="16"/>
          <w:lang w:val="es-ES"/>
        </w:rPr>
        <w:t xml:space="preserve">De conformidad con el artículo 17.2 del Reglamento de la Comisión, la comisionada </w:t>
      </w:r>
      <w:proofErr w:type="spellStart"/>
      <w:r w:rsidR="00C605D9" w:rsidRPr="006E3C8B">
        <w:rPr>
          <w:rFonts w:asciiTheme="majorHAnsi" w:hAnsiTheme="majorHAnsi"/>
          <w:sz w:val="16"/>
          <w:szCs w:val="16"/>
          <w:lang w:val="es-ES"/>
        </w:rPr>
        <w:t>Flávia</w:t>
      </w:r>
      <w:proofErr w:type="spellEnd"/>
      <w:r w:rsidR="00C605D9" w:rsidRPr="006E3C8B">
        <w:rPr>
          <w:rFonts w:asciiTheme="majorHAnsi" w:hAnsiTheme="majorHAnsi"/>
          <w:sz w:val="16"/>
          <w:szCs w:val="16"/>
          <w:lang w:val="es-ES"/>
        </w:rPr>
        <w:t xml:space="preserve"> </w:t>
      </w:r>
      <w:proofErr w:type="spellStart"/>
      <w:r w:rsidR="00C605D9" w:rsidRPr="006E3C8B">
        <w:rPr>
          <w:rFonts w:asciiTheme="majorHAnsi" w:hAnsiTheme="majorHAnsi"/>
          <w:sz w:val="16"/>
          <w:szCs w:val="16"/>
          <w:lang w:val="es-ES"/>
        </w:rPr>
        <w:t>Piovesan</w:t>
      </w:r>
      <w:proofErr w:type="spellEnd"/>
      <w:r w:rsidR="00C605D9" w:rsidRPr="006E3C8B">
        <w:rPr>
          <w:rFonts w:asciiTheme="majorHAnsi" w:hAnsiTheme="majorHAnsi"/>
          <w:sz w:val="16"/>
          <w:szCs w:val="16"/>
          <w:lang w:val="es-ES"/>
        </w:rPr>
        <w:t>, de nacionalidad brasileña, no participó en el debate ni en la decisión sobre el presente caso</w:t>
      </w:r>
      <w:r w:rsidR="00C605D9" w:rsidRPr="006E3C8B">
        <w:rPr>
          <w:rFonts w:ascii="Cambria" w:hAnsi="Cambria"/>
          <w:sz w:val="16"/>
          <w:szCs w:val="16"/>
          <w:lang w:val="es-ES"/>
        </w:rPr>
        <w:t>.</w:t>
      </w:r>
    </w:p>
  </w:footnote>
  <w:footnote w:id="3">
    <w:p w14:paraId="19E30A09" w14:textId="49C9A268" w:rsidR="00C605D9" w:rsidRPr="006E3C8B" w:rsidRDefault="00FE0818" w:rsidP="004C4E99">
      <w:pPr>
        <w:pStyle w:val="FootnoteText"/>
        <w:contextualSpacing/>
        <w:jc w:val="both"/>
        <w:rPr>
          <w:rFonts w:ascii="Cambria" w:hAnsi="Cambria"/>
          <w:sz w:val="16"/>
          <w:szCs w:val="16"/>
          <w:lang w:val="es-ES"/>
        </w:rPr>
      </w:pPr>
      <w:r>
        <w:rPr>
          <w:rFonts w:ascii="Cambria" w:hAnsi="Cambria"/>
          <w:sz w:val="16"/>
          <w:szCs w:val="16"/>
          <w:lang w:val="es-ES"/>
        </w:rPr>
        <w:tab/>
      </w:r>
      <w:r w:rsidR="00C605D9" w:rsidRPr="006E3C8B">
        <w:rPr>
          <w:rStyle w:val="FootnoteReference"/>
          <w:rFonts w:ascii="Cambria" w:hAnsi="Cambria"/>
          <w:sz w:val="16"/>
          <w:szCs w:val="16"/>
          <w:lang w:val="es-ES"/>
        </w:rPr>
        <w:footnoteRef/>
      </w:r>
      <w:r w:rsidR="00C605D9" w:rsidRPr="006E3C8B">
        <w:rPr>
          <w:rFonts w:ascii="Cambria" w:hAnsi="Cambria"/>
          <w:sz w:val="16"/>
          <w:szCs w:val="16"/>
          <w:lang w:val="es-ES"/>
        </w:rPr>
        <w:t xml:space="preserve"> En adelante, “Convención Americana” o “Convención”.</w:t>
      </w:r>
    </w:p>
  </w:footnote>
  <w:footnote w:id="4">
    <w:p w14:paraId="79F07139" w14:textId="57683A2F" w:rsidR="00C605D9" w:rsidRPr="00B6265D" w:rsidRDefault="00FE0818" w:rsidP="00B3147B">
      <w:pPr>
        <w:pStyle w:val="FootnoteText"/>
        <w:contextualSpacing/>
        <w:jc w:val="both"/>
        <w:rPr>
          <w:rFonts w:ascii="Cambria" w:hAnsi="Cambria"/>
          <w:sz w:val="16"/>
          <w:szCs w:val="16"/>
          <w:lang w:val="es-ES"/>
        </w:rPr>
      </w:pPr>
      <w:r>
        <w:rPr>
          <w:rFonts w:ascii="Cambria" w:hAnsi="Cambria"/>
          <w:sz w:val="16"/>
          <w:szCs w:val="16"/>
          <w:lang w:val="es-ES"/>
        </w:rPr>
        <w:tab/>
      </w:r>
      <w:r w:rsidR="00C605D9" w:rsidRPr="006E3C8B">
        <w:rPr>
          <w:rStyle w:val="FootnoteReference"/>
          <w:rFonts w:ascii="Cambria" w:hAnsi="Cambria"/>
          <w:sz w:val="16"/>
          <w:szCs w:val="16"/>
          <w:lang w:val="es-ES"/>
        </w:rPr>
        <w:footnoteRef/>
      </w:r>
      <w:r w:rsidR="00C605D9" w:rsidRPr="006E3C8B">
        <w:rPr>
          <w:rFonts w:ascii="Cambria" w:hAnsi="Cambria"/>
          <w:sz w:val="16"/>
          <w:szCs w:val="16"/>
          <w:lang w:val="es-ES"/>
        </w:rPr>
        <w:t xml:space="preserve"> </w:t>
      </w:r>
      <w:r w:rsidR="00C605D9" w:rsidRPr="006E3C8B">
        <w:rPr>
          <w:rFonts w:asciiTheme="majorHAnsi" w:hAnsiTheme="majorHAnsi"/>
          <w:sz w:val="16"/>
          <w:szCs w:val="16"/>
          <w:lang w:val="es-ES"/>
        </w:rPr>
        <w:t>Las observaciones de cada parte fueron debidamente notificadas</w:t>
      </w:r>
      <w:r w:rsidR="00C605D9" w:rsidRPr="006E3C8B">
        <w:rPr>
          <w:rFonts w:ascii="Cambria" w:hAnsi="Cambria"/>
          <w:sz w:val="16"/>
          <w:szCs w:val="16"/>
          <w:lang w:val="es-ES"/>
        </w:rPr>
        <w:t xml:space="preserve"> a la otra parte.</w:t>
      </w:r>
    </w:p>
  </w:footnote>
  <w:footnote w:id="5">
    <w:p w14:paraId="349A0567" w14:textId="548D0513" w:rsidR="00C605D9" w:rsidRPr="00B6265D" w:rsidRDefault="00FE0818" w:rsidP="00E46916">
      <w:pPr>
        <w:pStyle w:val="FootnoteText"/>
        <w:jc w:val="both"/>
        <w:rPr>
          <w:rFonts w:ascii="Cambria" w:hAnsi="Cambria"/>
          <w:sz w:val="16"/>
          <w:szCs w:val="16"/>
          <w:lang w:val="es-ES"/>
        </w:rPr>
      </w:pPr>
      <w:r>
        <w:rPr>
          <w:rFonts w:ascii="Cambria" w:hAnsi="Cambria"/>
          <w:sz w:val="16"/>
          <w:szCs w:val="16"/>
          <w:lang w:val="es-ES"/>
        </w:rPr>
        <w:tab/>
      </w:r>
      <w:r w:rsidR="00C605D9" w:rsidRPr="006E3C8B">
        <w:rPr>
          <w:rStyle w:val="FootnoteReference"/>
          <w:rFonts w:ascii="Cambria" w:hAnsi="Cambria"/>
          <w:sz w:val="16"/>
          <w:szCs w:val="16"/>
          <w:lang w:val="es-ES"/>
        </w:rPr>
        <w:footnoteRef/>
      </w:r>
      <w:r w:rsidR="00C605D9" w:rsidRPr="006E3C8B">
        <w:rPr>
          <w:rFonts w:ascii="Cambria" w:hAnsi="Cambria"/>
          <w:sz w:val="16"/>
          <w:szCs w:val="16"/>
          <w:lang w:val="es-ES"/>
        </w:rPr>
        <w:t xml:space="preserve"> CIDH, Informe No. 161/17, Petición 29-07. Admisibilidad. </w:t>
      </w:r>
      <w:r w:rsidR="00C605D9" w:rsidRPr="00CD37F6">
        <w:rPr>
          <w:rFonts w:ascii="Cambria" w:hAnsi="Cambria"/>
          <w:sz w:val="16"/>
          <w:szCs w:val="16"/>
          <w:lang w:val="es-US"/>
        </w:rPr>
        <w:t xml:space="preserve">Andy Williams Garcés Suárez y familia. </w:t>
      </w:r>
      <w:r w:rsidR="00C605D9" w:rsidRPr="006E3C8B">
        <w:rPr>
          <w:rFonts w:ascii="Cambria" w:hAnsi="Cambria"/>
          <w:sz w:val="16"/>
          <w:szCs w:val="16"/>
          <w:lang w:val="es-ES"/>
        </w:rPr>
        <w:t>Perú. 30 de noviembre de 2017, párr. 12.</w:t>
      </w:r>
    </w:p>
  </w:footnote>
  <w:footnote w:id="6">
    <w:p w14:paraId="07AF7015" w14:textId="6AAE3DC0" w:rsidR="00C605D9" w:rsidRPr="00B6265D" w:rsidRDefault="00C605D9">
      <w:pPr>
        <w:pStyle w:val="FootnoteText"/>
        <w:rPr>
          <w:rFonts w:ascii="Cambria" w:hAnsi="Cambria"/>
          <w:sz w:val="16"/>
          <w:szCs w:val="16"/>
          <w:lang w:val="es-ES"/>
        </w:rPr>
      </w:pPr>
      <w:r w:rsidRPr="00B6265D">
        <w:rPr>
          <w:rStyle w:val="FootnoteReference"/>
          <w:lang w:val="es-ES"/>
        </w:rPr>
        <w:footnoteRef/>
      </w:r>
      <w:r w:rsidRPr="00B6265D">
        <w:rPr>
          <w:lang w:val="es-ES"/>
        </w:rPr>
        <w:t xml:space="preserve"> </w:t>
      </w:r>
      <w:r w:rsidRPr="00C54B3C">
        <w:rPr>
          <w:rFonts w:ascii="Cambria" w:hAnsi="Cambria"/>
          <w:sz w:val="16"/>
          <w:szCs w:val="16"/>
          <w:lang w:val="es-ES"/>
        </w:rPr>
        <w:t>CIDH, Informe No.227/19, Petición 1500-12. Admisibilidad. Charles Eduardo Macedo. Brasil. 31 de diciembre de 2019</w:t>
      </w:r>
      <w:r w:rsidRPr="00B6265D">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C605D9" w:rsidRDefault="00C605D9" w:rsidP="009115E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605D9" w:rsidRDefault="00C6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C605D9" w:rsidRDefault="00C605D9" w:rsidP="00A50FCF">
    <w:pPr>
      <w:pStyle w:val="Header"/>
      <w:tabs>
        <w:tab w:val="clear" w:pos="4320"/>
        <w:tab w:val="clear" w:pos="8640"/>
      </w:tabs>
      <w:jc w:val="center"/>
      <w:rPr>
        <w:sz w:val="22"/>
        <w:szCs w:val="22"/>
      </w:rPr>
    </w:pPr>
    <w:r>
      <w:rPr>
        <w:noProof/>
        <w:sz w:val="22"/>
        <w:szCs w:val="22"/>
      </w:rPr>
      <w:drawing>
        <wp:inline distT="0" distB="0" distL="0" distR="0" wp14:anchorId="49B70CC6" wp14:editId="5D24A7F5">
          <wp:extent cx="1855679"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855679" cy="98611"/>
                  </a:xfrm>
                  <a:prstGeom prst="rect">
                    <a:avLst/>
                  </a:prstGeom>
                  <a:noFill/>
                  <a:ln>
                    <a:noFill/>
                  </a:ln>
                </pic:spPr>
              </pic:pic>
            </a:graphicData>
          </a:graphic>
        </wp:inline>
      </w:drawing>
    </w:r>
  </w:p>
  <w:p w14:paraId="1CF3204D" w14:textId="77777777" w:rsidR="00C605D9" w:rsidRPr="00EC7D62" w:rsidRDefault="007529EC"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74E786C"/>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4241C9"/>
    <w:multiLevelType w:val="hybridMultilevel"/>
    <w:tmpl w:val="E61C5F12"/>
    <w:lvl w:ilvl="0" w:tplc="A0F09354">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DA3600"/>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7"/>
  </w:num>
  <w:num w:numId="105">
    <w:abstractNumId w:val="55"/>
  </w:num>
  <w:num w:numId="106">
    <w:abstractNumId w:val="4"/>
  </w:num>
  <w:num w:numId="107">
    <w:abstractNumId w:val="31"/>
  </w:num>
  <w:num w:numId="108">
    <w:abstractNumId w:val="14"/>
  </w:num>
  <w:num w:numId="109">
    <w:abstractNumId w:val="47"/>
  </w:num>
  <w:num w:numId="110">
    <w:abstractNumId w:val="60"/>
  </w:num>
  <w:num w:numId="111">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6E1F"/>
    <w:rsid w:val="000070D7"/>
    <w:rsid w:val="00010777"/>
    <w:rsid w:val="00015A8C"/>
    <w:rsid w:val="0001788C"/>
    <w:rsid w:val="000337EF"/>
    <w:rsid w:val="00040C3A"/>
    <w:rsid w:val="000419AD"/>
    <w:rsid w:val="000433C9"/>
    <w:rsid w:val="00055619"/>
    <w:rsid w:val="00061146"/>
    <w:rsid w:val="0006358F"/>
    <w:rsid w:val="00064B22"/>
    <w:rsid w:val="000716C5"/>
    <w:rsid w:val="00075E23"/>
    <w:rsid w:val="00084571"/>
    <w:rsid w:val="0009344A"/>
    <w:rsid w:val="000A392E"/>
    <w:rsid w:val="000A575F"/>
    <w:rsid w:val="000B38E0"/>
    <w:rsid w:val="000C166B"/>
    <w:rsid w:val="000D10DB"/>
    <w:rsid w:val="000D1F2D"/>
    <w:rsid w:val="000D6826"/>
    <w:rsid w:val="000E052E"/>
    <w:rsid w:val="000E5EB5"/>
    <w:rsid w:val="000E6BA8"/>
    <w:rsid w:val="000F35ED"/>
    <w:rsid w:val="001029CE"/>
    <w:rsid w:val="00107131"/>
    <w:rsid w:val="0010736F"/>
    <w:rsid w:val="00111D20"/>
    <w:rsid w:val="00113F73"/>
    <w:rsid w:val="00121CC2"/>
    <w:rsid w:val="001258DF"/>
    <w:rsid w:val="00126384"/>
    <w:rsid w:val="00127B79"/>
    <w:rsid w:val="0013356A"/>
    <w:rsid w:val="00133EE5"/>
    <w:rsid w:val="0014009A"/>
    <w:rsid w:val="0014193E"/>
    <w:rsid w:val="001605CD"/>
    <w:rsid w:val="0016437A"/>
    <w:rsid w:val="00167A34"/>
    <w:rsid w:val="00170E60"/>
    <w:rsid w:val="00194337"/>
    <w:rsid w:val="001A12B0"/>
    <w:rsid w:val="001A7068"/>
    <w:rsid w:val="001A7870"/>
    <w:rsid w:val="001B3A00"/>
    <w:rsid w:val="001C1B41"/>
    <w:rsid w:val="001C67D9"/>
    <w:rsid w:val="001D65EF"/>
    <w:rsid w:val="001E3F08"/>
    <w:rsid w:val="001E49E7"/>
    <w:rsid w:val="001E7113"/>
    <w:rsid w:val="001F0BB5"/>
    <w:rsid w:val="001F1248"/>
    <w:rsid w:val="001F3C46"/>
    <w:rsid w:val="001F41CC"/>
    <w:rsid w:val="001F7201"/>
    <w:rsid w:val="00211AF0"/>
    <w:rsid w:val="00222404"/>
    <w:rsid w:val="00223A29"/>
    <w:rsid w:val="002250A3"/>
    <w:rsid w:val="0022736D"/>
    <w:rsid w:val="00234561"/>
    <w:rsid w:val="00235217"/>
    <w:rsid w:val="002376EE"/>
    <w:rsid w:val="00242EE5"/>
    <w:rsid w:val="00246D1F"/>
    <w:rsid w:val="00247403"/>
    <w:rsid w:val="00247542"/>
    <w:rsid w:val="00261CFC"/>
    <w:rsid w:val="00266B61"/>
    <w:rsid w:val="0026712A"/>
    <w:rsid w:val="002704DB"/>
    <w:rsid w:val="00271B24"/>
    <w:rsid w:val="00273AD3"/>
    <w:rsid w:val="0027545C"/>
    <w:rsid w:val="00275ABC"/>
    <w:rsid w:val="00286EA3"/>
    <w:rsid w:val="002A0AAE"/>
    <w:rsid w:val="002A5820"/>
    <w:rsid w:val="002B7247"/>
    <w:rsid w:val="002C4B99"/>
    <w:rsid w:val="002C6BC0"/>
    <w:rsid w:val="002D2B26"/>
    <w:rsid w:val="002D4ADF"/>
    <w:rsid w:val="002D4B4F"/>
    <w:rsid w:val="002D7EA2"/>
    <w:rsid w:val="002E187C"/>
    <w:rsid w:val="002E2FB0"/>
    <w:rsid w:val="002E3D25"/>
    <w:rsid w:val="002F54C6"/>
    <w:rsid w:val="00300983"/>
    <w:rsid w:val="00302733"/>
    <w:rsid w:val="00304DE7"/>
    <w:rsid w:val="00311314"/>
    <w:rsid w:val="00314078"/>
    <w:rsid w:val="0031465A"/>
    <w:rsid w:val="0031535D"/>
    <w:rsid w:val="003239B8"/>
    <w:rsid w:val="0033169F"/>
    <w:rsid w:val="00334EAF"/>
    <w:rsid w:val="0034141B"/>
    <w:rsid w:val="00343E90"/>
    <w:rsid w:val="00344977"/>
    <w:rsid w:val="00345141"/>
    <w:rsid w:val="00345A83"/>
    <w:rsid w:val="00346C95"/>
    <w:rsid w:val="00356185"/>
    <w:rsid w:val="00360380"/>
    <w:rsid w:val="0037519E"/>
    <w:rsid w:val="0038072E"/>
    <w:rsid w:val="00386CF0"/>
    <w:rsid w:val="0038709A"/>
    <w:rsid w:val="00387ADC"/>
    <w:rsid w:val="00390AFA"/>
    <w:rsid w:val="003911A2"/>
    <w:rsid w:val="0039678A"/>
    <w:rsid w:val="003B0F0F"/>
    <w:rsid w:val="003B4B47"/>
    <w:rsid w:val="003B686B"/>
    <w:rsid w:val="003B70FB"/>
    <w:rsid w:val="003C0907"/>
    <w:rsid w:val="003C2955"/>
    <w:rsid w:val="003C379E"/>
    <w:rsid w:val="003C676B"/>
    <w:rsid w:val="003D112E"/>
    <w:rsid w:val="003D3BC2"/>
    <w:rsid w:val="003D56D2"/>
    <w:rsid w:val="003E6CA1"/>
    <w:rsid w:val="003F270E"/>
    <w:rsid w:val="00400A8D"/>
    <w:rsid w:val="004053A9"/>
    <w:rsid w:val="004065A8"/>
    <w:rsid w:val="004107C1"/>
    <w:rsid w:val="004165C2"/>
    <w:rsid w:val="0042163E"/>
    <w:rsid w:val="0042784D"/>
    <w:rsid w:val="00431789"/>
    <w:rsid w:val="00431847"/>
    <w:rsid w:val="00441ECB"/>
    <w:rsid w:val="00445193"/>
    <w:rsid w:val="00462C1B"/>
    <w:rsid w:val="004644DA"/>
    <w:rsid w:val="00466F47"/>
    <w:rsid w:val="00467B7E"/>
    <w:rsid w:val="00473BB4"/>
    <w:rsid w:val="00477592"/>
    <w:rsid w:val="00486F1C"/>
    <w:rsid w:val="0049329D"/>
    <w:rsid w:val="0049419D"/>
    <w:rsid w:val="004949D2"/>
    <w:rsid w:val="0049531C"/>
    <w:rsid w:val="004A6A54"/>
    <w:rsid w:val="004A7E03"/>
    <w:rsid w:val="004B1D1E"/>
    <w:rsid w:val="004C18F2"/>
    <w:rsid w:val="004C20D2"/>
    <w:rsid w:val="004C2312"/>
    <w:rsid w:val="004C26E0"/>
    <w:rsid w:val="004C4B62"/>
    <w:rsid w:val="004C4E99"/>
    <w:rsid w:val="004C54C9"/>
    <w:rsid w:val="004C71B9"/>
    <w:rsid w:val="004D269C"/>
    <w:rsid w:val="004D4ABA"/>
    <w:rsid w:val="004D6025"/>
    <w:rsid w:val="004E0C0E"/>
    <w:rsid w:val="004E1863"/>
    <w:rsid w:val="004E2649"/>
    <w:rsid w:val="004E5EFC"/>
    <w:rsid w:val="004F5551"/>
    <w:rsid w:val="004F5DA1"/>
    <w:rsid w:val="00501399"/>
    <w:rsid w:val="00503E37"/>
    <w:rsid w:val="0050633D"/>
    <w:rsid w:val="00507BC4"/>
    <w:rsid w:val="005128E4"/>
    <w:rsid w:val="005133DB"/>
    <w:rsid w:val="00516462"/>
    <w:rsid w:val="00525560"/>
    <w:rsid w:val="00544C49"/>
    <w:rsid w:val="00550552"/>
    <w:rsid w:val="00550EBF"/>
    <w:rsid w:val="005516A1"/>
    <w:rsid w:val="00554157"/>
    <w:rsid w:val="00554D0C"/>
    <w:rsid w:val="00560E0D"/>
    <w:rsid w:val="00563557"/>
    <w:rsid w:val="0057402A"/>
    <w:rsid w:val="005771D0"/>
    <w:rsid w:val="0059191A"/>
    <w:rsid w:val="005921FF"/>
    <w:rsid w:val="00594EC1"/>
    <w:rsid w:val="005A24ED"/>
    <w:rsid w:val="005A6D0E"/>
    <w:rsid w:val="005A7636"/>
    <w:rsid w:val="005A7DCB"/>
    <w:rsid w:val="005B13F2"/>
    <w:rsid w:val="005B1FDF"/>
    <w:rsid w:val="005B52B0"/>
    <w:rsid w:val="005B6806"/>
    <w:rsid w:val="005B7578"/>
    <w:rsid w:val="005C4225"/>
    <w:rsid w:val="005C6A83"/>
    <w:rsid w:val="005D787A"/>
    <w:rsid w:val="005E2852"/>
    <w:rsid w:val="005F0A42"/>
    <w:rsid w:val="005F0DAD"/>
    <w:rsid w:val="005F0F33"/>
    <w:rsid w:val="005F64F0"/>
    <w:rsid w:val="00600DEB"/>
    <w:rsid w:val="0060438F"/>
    <w:rsid w:val="006046A0"/>
    <w:rsid w:val="006071A4"/>
    <w:rsid w:val="00613C6B"/>
    <w:rsid w:val="00614FD8"/>
    <w:rsid w:val="00622A03"/>
    <w:rsid w:val="00626089"/>
    <w:rsid w:val="00627C9F"/>
    <w:rsid w:val="006302B6"/>
    <w:rsid w:val="006311E9"/>
    <w:rsid w:val="00632354"/>
    <w:rsid w:val="00632EBC"/>
    <w:rsid w:val="00633E1E"/>
    <w:rsid w:val="00636883"/>
    <w:rsid w:val="00642810"/>
    <w:rsid w:val="00642D74"/>
    <w:rsid w:val="0064365C"/>
    <w:rsid w:val="00650202"/>
    <w:rsid w:val="00651606"/>
    <w:rsid w:val="00652333"/>
    <w:rsid w:val="00653A36"/>
    <w:rsid w:val="0065540B"/>
    <w:rsid w:val="006700D3"/>
    <w:rsid w:val="00670CA0"/>
    <w:rsid w:val="0067419C"/>
    <w:rsid w:val="0068009E"/>
    <w:rsid w:val="00686832"/>
    <w:rsid w:val="00692219"/>
    <w:rsid w:val="00696552"/>
    <w:rsid w:val="006A17D2"/>
    <w:rsid w:val="006A20E7"/>
    <w:rsid w:val="006A4231"/>
    <w:rsid w:val="006A5EF3"/>
    <w:rsid w:val="006A73E6"/>
    <w:rsid w:val="006B2D5C"/>
    <w:rsid w:val="006B5EE6"/>
    <w:rsid w:val="006C4EB1"/>
    <w:rsid w:val="006C6A60"/>
    <w:rsid w:val="006D1BFA"/>
    <w:rsid w:val="006D2D3C"/>
    <w:rsid w:val="006E0166"/>
    <w:rsid w:val="006E2CE6"/>
    <w:rsid w:val="006E3C8B"/>
    <w:rsid w:val="006E40C4"/>
    <w:rsid w:val="006E679A"/>
    <w:rsid w:val="006E7B34"/>
    <w:rsid w:val="0070697F"/>
    <w:rsid w:val="00714411"/>
    <w:rsid w:val="00714B1A"/>
    <w:rsid w:val="0072199C"/>
    <w:rsid w:val="00722C9F"/>
    <w:rsid w:val="007253B8"/>
    <w:rsid w:val="0073741F"/>
    <w:rsid w:val="007529EC"/>
    <w:rsid w:val="00755B7E"/>
    <w:rsid w:val="00764628"/>
    <w:rsid w:val="0076643F"/>
    <w:rsid w:val="007665A8"/>
    <w:rsid w:val="00773147"/>
    <w:rsid w:val="00777F63"/>
    <w:rsid w:val="00782019"/>
    <w:rsid w:val="00784D0A"/>
    <w:rsid w:val="00786537"/>
    <w:rsid w:val="007A5817"/>
    <w:rsid w:val="007A5F30"/>
    <w:rsid w:val="007B05C4"/>
    <w:rsid w:val="007B44D4"/>
    <w:rsid w:val="007B60E9"/>
    <w:rsid w:val="007B6CC3"/>
    <w:rsid w:val="007B7547"/>
    <w:rsid w:val="007B76D3"/>
    <w:rsid w:val="007B7A53"/>
    <w:rsid w:val="007C3334"/>
    <w:rsid w:val="007D0BF8"/>
    <w:rsid w:val="007D2B98"/>
    <w:rsid w:val="007D32F7"/>
    <w:rsid w:val="007E21BC"/>
    <w:rsid w:val="007E5C61"/>
    <w:rsid w:val="007E7C82"/>
    <w:rsid w:val="007F3F89"/>
    <w:rsid w:val="007F588D"/>
    <w:rsid w:val="00802B53"/>
    <w:rsid w:val="00803F1C"/>
    <w:rsid w:val="0080600E"/>
    <w:rsid w:val="008100B5"/>
    <w:rsid w:val="00817612"/>
    <w:rsid w:val="00832C2F"/>
    <w:rsid w:val="008338A4"/>
    <w:rsid w:val="00834D49"/>
    <w:rsid w:val="00837C45"/>
    <w:rsid w:val="00844730"/>
    <w:rsid w:val="008457C2"/>
    <w:rsid w:val="00856324"/>
    <w:rsid w:val="008578EA"/>
    <w:rsid w:val="00857A82"/>
    <w:rsid w:val="00867873"/>
    <w:rsid w:val="00873836"/>
    <w:rsid w:val="00885737"/>
    <w:rsid w:val="00887F13"/>
    <w:rsid w:val="00890650"/>
    <w:rsid w:val="008960C9"/>
    <w:rsid w:val="00897E12"/>
    <w:rsid w:val="008A649B"/>
    <w:rsid w:val="008A7E0F"/>
    <w:rsid w:val="008B12F5"/>
    <w:rsid w:val="008B38C7"/>
    <w:rsid w:val="008D6B60"/>
    <w:rsid w:val="008D768D"/>
    <w:rsid w:val="008E2EC9"/>
    <w:rsid w:val="008E3759"/>
    <w:rsid w:val="008E3BFE"/>
    <w:rsid w:val="008F1912"/>
    <w:rsid w:val="0090270B"/>
    <w:rsid w:val="009041DC"/>
    <w:rsid w:val="009115EB"/>
    <w:rsid w:val="00913073"/>
    <w:rsid w:val="00913A82"/>
    <w:rsid w:val="00914A49"/>
    <w:rsid w:val="00915B51"/>
    <w:rsid w:val="00917B5A"/>
    <w:rsid w:val="00917CCD"/>
    <w:rsid w:val="00920A58"/>
    <w:rsid w:val="00920A8C"/>
    <w:rsid w:val="0092580E"/>
    <w:rsid w:val="00934A2C"/>
    <w:rsid w:val="00936896"/>
    <w:rsid w:val="00941503"/>
    <w:rsid w:val="009448DE"/>
    <w:rsid w:val="00951C77"/>
    <w:rsid w:val="0096706E"/>
    <w:rsid w:val="00974491"/>
    <w:rsid w:val="00975C4E"/>
    <w:rsid w:val="0098062B"/>
    <w:rsid w:val="00981FBA"/>
    <w:rsid w:val="0099641D"/>
    <w:rsid w:val="00997BC5"/>
    <w:rsid w:val="009A31C9"/>
    <w:rsid w:val="009A4F41"/>
    <w:rsid w:val="009A5743"/>
    <w:rsid w:val="009A7689"/>
    <w:rsid w:val="009B381B"/>
    <w:rsid w:val="009B5C61"/>
    <w:rsid w:val="009D1753"/>
    <w:rsid w:val="009D433E"/>
    <w:rsid w:val="009D7611"/>
    <w:rsid w:val="009E0B61"/>
    <w:rsid w:val="009E32B3"/>
    <w:rsid w:val="009E53DE"/>
    <w:rsid w:val="009F41C7"/>
    <w:rsid w:val="009F41D1"/>
    <w:rsid w:val="00A04D78"/>
    <w:rsid w:val="00A101AB"/>
    <w:rsid w:val="00A11212"/>
    <w:rsid w:val="00A11AAB"/>
    <w:rsid w:val="00A11E44"/>
    <w:rsid w:val="00A12802"/>
    <w:rsid w:val="00A15FEB"/>
    <w:rsid w:val="00A17913"/>
    <w:rsid w:val="00A30A58"/>
    <w:rsid w:val="00A3237C"/>
    <w:rsid w:val="00A328B3"/>
    <w:rsid w:val="00A36ABA"/>
    <w:rsid w:val="00A37F2E"/>
    <w:rsid w:val="00A43693"/>
    <w:rsid w:val="00A4470E"/>
    <w:rsid w:val="00A50FCF"/>
    <w:rsid w:val="00A528D1"/>
    <w:rsid w:val="00A53003"/>
    <w:rsid w:val="00A610CD"/>
    <w:rsid w:val="00A66BAB"/>
    <w:rsid w:val="00A710D9"/>
    <w:rsid w:val="00A758AA"/>
    <w:rsid w:val="00A75CC3"/>
    <w:rsid w:val="00A76937"/>
    <w:rsid w:val="00A84E85"/>
    <w:rsid w:val="00A861EB"/>
    <w:rsid w:val="00A9072C"/>
    <w:rsid w:val="00AA09A2"/>
    <w:rsid w:val="00AA1BAC"/>
    <w:rsid w:val="00AA7996"/>
    <w:rsid w:val="00AA7F34"/>
    <w:rsid w:val="00AB0171"/>
    <w:rsid w:val="00AB3EB4"/>
    <w:rsid w:val="00AC19CB"/>
    <w:rsid w:val="00AE5488"/>
    <w:rsid w:val="00AE6F91"/>
    <w:rsid w:val="00AF5571"/>
    <w:rsid w:val="00AF6C46"/>
    <w:rsid w:val="00AF713C"/>
    <w:rsid w:val="00B008C9"/>
    <w:rsid w:val="00B0258F"/>
    <w:rsid w:val="00B04C63"/>
    <w:rsid w:val="00B05EA6"/>
    <w:rsid w:val="00B07341"/>
    <w:rsid w:val="00B22179"/>
    <w:rsid w:val="00B26CCA"/>
    <w:rsid w:val="00B271DA"/>
    <w:rsid w:val="00B30539"/>
    <w:rsid w:val="00B30B5A"/>
    <w:rsid w:val="00B3147B"/>
    <w:rsid w:val="00B314DB"/>
    <w:rsid w:val="00B34ED2"/>
    <w:rsid w:val="00B361F2"/>
    <w:rsid w:val="00B3718B"/>
    <w:rsid w:val="00B445AC"/>
    <w:rsid w:val="00B4632A"/>
    <w:rsid w:val="00B51266"/>
    <w:rsid w:val="00B51503"/>
    <w:rsid w:val="00B51650"/>
    <w:rsid w:val="00B530F1"/>
    <w:rsid w:val="00B6265D"/>
    <w:rsid w:val="00B727FC"/>
    <w:rsid w:val="00B822F1"/>
    <w:rsid w:val="00B87A18"/>
    <w:rsid w:val="00B901B1"/>
    <w:rsid w:val="00B921FD"/>
    <w:rsid w:val="00BA00A9"/>
    <w:rsid w:val="00BA276C"/>
    <w:rsid w:val="00BA640D"/>
    <w:rsid w:val="00BB306F"/>
    <w:rsid w:val="00BB41FC"/>
    <w:rsid w:val="00BB5A44"/>
    <w:rsid w:val="00BC12A3"/>
    <w:rsid w:val="00BD0ABC"/>
    <w:rsid w:val="00BD208A"/>
    <w:rsid w:val="00BD2518"/>
    <w:rsid w:val="00BD4A74"/>
    <w:rsid w:val="00BD4B89"/>
    <w:rsid w:val="00BD5922"/>
    <w:rsid w:val="00BE25DE"/>
    <w:rsid w:val="00BE3651"/>
    <w:rsid w:val="00BF02CB"/>
    <w:rsid w:val="00BF4BF8"/>
    <w:rsid w:val="00BF6A21"/>
    <w:rsid w:val="00BF6FD8"/>
    <w:rsid w:val="00BF7847"/>
    <w:rsid w:val="00C03680"/>
    <w:rsid w:val="00C049B8"/>
    <w:rsid w:val="00C054DF"/>
    <w:rsid w:val="00C06275"/>
    <w:rsid w:val="00C10EC3"/>
    <w:rsid w:val="00C14781"/>
    <w:rsid w:val="00C21762"/>
    <w:rsid w:val="00C21FEF"/>
    <w:rsid w:val="00C24543"/>
    <w:rsid w:val="00C256A2"/>
    <w:rsid w:val="00C308DF"/>
    <w:rsid w:val="00C44969"/>
    <w:rsid w:val="00C46878"/>
    <w:rsid w:val="00C51515"/>
    <w:rsid w:val="00C54B3C"/>
    <w:rsid w:val="00C5660B"/>
    <w:rsid w:val="00C57425"/>
    <w:rsid w:val="00C605D9"/>
    <w:rsid w:val="00C61FA9"/>
    <w:rsid w:val="00C66B72"/>
    <w:rsid w:val="00C7574A"/>
    <w:rsid w:val="00C870C3"/>
    <w:rsid w:val="00C87AC4"/>
    <w:rsid w:val="00C9567A"/>
    <w:rsid w:val="00C95A33"/>
    <w:rsid w:val="00CA0AF8"/>
    <w:rsid w:val="00CB212D"/>
    <w:rsid w:val="00CB2660"/>
    <w:rsid w:val="00CB471B"/>
    <w:rsid w:val="00CC0F41"/>
    <w:rsid w:val="00CC43B2"/>
    <w:rsid w:val="00CC5E90"/>
    <w:rsid w:val="00CD046C"/>
    <w:rsid w:val="00CD37F6"/>
    <w:rsid w:val="00CD455E"/>
    <w:rsid w:val="00CD516A"/>
    <w:rsid w:val="00CE076C"/>
    <w:rsid w:val="00CE22E8"/>
    <w:rsid w:val="00CE2826"/>
    <w:rsid w:val="00CE5199"/>
    <w:rsid w:val="00CE66D5"/>
    <w:rsid w:val="00CF335A"/>
    <w:rsid w:val="00CF459A"/>
    <w:rsid w:val="00CF637A"/>
    <w:rsid w:val="00D059DE"/>
    <w:rsid w:val="00D05ABD"/>
    <w:rsid w:val="00D11665"/>
    <w:rsid w:val="00D125B5"/>
    <w:rsid w:val="00D13FCE"/>
    <w:rsid w:val="00D21316"/>
    <w:rsid w:val="00D22B22"/>
    <w:rsid w:val="00D23F09"/>
    <w:rsid w:val="00D268B9"/>
    <w:rsid w:val="00D306D1"/>
    <w:rsid w:val="00D30800"/>
    <w:rsid w:val="00D3186C"/>
    <w:rsid w:val="00D33B39"/>
    <w:rsid w:val="00D34786"/>
    <w:rsid w:val="00D358AF"/>
    <w:rsid w:val="00D36B32"/>
    <w:rsid w:val="00D37BFC"/>
    <w:rsid w:val="00D41CA5"/>
    <w:rsid w:val="00D47A8E"/>
    <w:rsid w:val="00D52D14"/>
    <w:rsid w:val="00D712D3"/>
    <w:rsid w:val="00D71422"/>
    <w:rsid w:val="00D72DC6"/>
    <w:rsid w:val="00D7558D"/>
    <w:rsid w:val="00D7686C"/>
    <w:rsid w:val="00D77206"/>
    <w:rsid w:val="00D81D92"/>
    <w:rsid w:val="00D876F9"/>
    <w:rsid w:val="00D91429"/>
    <w:rsid w:val="00D92116"/>
    <w:rsid w:val="00DA2224"/>
    <w:rsid w:val="00DA4197"/>
    <w:rsid w:val="00DA7B5F"/>
    <w:rsid w:val="00DB1F50"/>
    <w:rsid w:val="00DC11E7"/>
    <w:rsid w:val="00DC7023"/>
    <w:rsid w:val="00DC769A"/>
    <w:rsid w:val="00DD3344"/>
    <w:rsid w:val="00DD3D86"/>
    <w:rsid w:val="00DD4AD2"/>
    <w:rsid w:val="00DD757B"/>
    <w:rsid w:val="00DF1EC4"/>
    <w:rsid w:val="00E02B47"/>
    <w:rsid w:val="00E0340B"/>
    <w:rsid w:val="00E04A90"/>
    <w:rsid w:val="00E0551F"/>
    <w:rsid w:val="00E066AD"/>
    <w:rsid w:val="00E06D9B"/>
    <w:rsid w:val="00E10473"/>
    <w:rsid w:val="00E1057F"/>
    <w:rsid w:val="00E162A5"/>
    <w:rsid w:val="00E219C7"/>
    <w:rsid w:val="00E2315A"/>
    <w:rsid w:val="00E4118C"/>
    <w:rsid w:val="00E43157"/>
    <w:rsid w:val="00E446AD"/>
    <w:rsid w:val="00E44B04"/>
    <w:rsid w:val="00E461CE"/>
    <w:rsid w:val="00E46916"/>
    <w:rsid w:val="00E524CB"/>
    <w:rsid w:val="00E720CA"/>
    <w:rsid w:val="00E759FB"/>
    <w:rsid w:val="00E82288"/>
    <w:rsid w:val="00E84EB5"/>
    <w:rsid w:val="00E85662"/>
    <w:rsid w:val="00E8778F"/>
    <w:rsid w:val="00E8789F"/>
    <w:rsid w:val="00E92BE8"/>
    <w:rsid w:val="00E97B71"/>
    <w:rsid w:val="00EA3D34"/>
    <w:rsid w:val="00EB3CAC"/>
    <w:rsid w:val="00EB454D"/>
    <w:rsid w:val="00EC3813"/>
    <w:rsid w:val="00ED38BC"/>
    <w:rsid w:val="00ED549D"/>
    <w:rsid w:val="00ED76BE"/>
    <w:rsid w:val="00EE00E9"/>
    <w:rsid w:val="00EE05B9"/>
    <w:rsid w:val="00EF1492"/>
    <w:rsid w:val="00EF2D89"/>
    <w:rsid w:val="00EF619B"/>
    <w:rsid w:val="00F00B55"/>
    <w:rsid w:val="00F02AD1"/>
    <w:rsid w:val="00F04C87"/>
    <w:rsid w:val="00F071F2"/>
    <w:rsid w:val="00F23F87"/>
    <w:rsid w:val="00F253CC"/>
    <w:rsid w:val="00F3108B"/>
    <w:rsid w:val="00F3289A"/>
    <w:rsid w:val="00F37106"/>
    <w:rsid w:val="00F519CF"/>
    <w:rsid w:val="00F54E03"/>
    <w:rsid w:val="00F56BA5"/>
    <w:rsid w:val="00F604B9"/>
    <w:rsid w:val="00F60E22"/>
    <w:rsid w:val="00F644CA"/>
    <w:rsid w:val="00F72D77"/>
    <w:rsid w:val="00F810DA"/>
    <w:rsid w:val="00F81395"/>
    <w:rsid w:val="00F81BB8"/>
    <w:rsid w:val="00F848D5"/>
    <w:rsid w:val="00F9055E"/>
    <w:rsid w:val="00F909F9"/>
    <w:rsid w:val="00F916B8"/>
    <w:rsid w:val="00F917D1"/>
    <w:rsid w:val="00F92203"/>
    <w:rsid w:val="00F95C23"/>
    <w:rsid w:val="00F9653B"/>
    <w:rsid w:val="00F973F6"/>
    <w:rsid w:val="00FB0AF7"/>
    <w:rsid w:val="00FB200D"/>
    <w:rsid w:val="00FB38DE"/>
    <w:rsid w:val="00FB4AA8"/>
    <w:rsid w:val="00FB62CF"/>
    <w:rsid w:val="00FC0E60"/>
    <w:rsid w:val="00FC4C88"/>
    <w:rsid w:val="00FD3A87"/>
    <w:rsid w:val="00FD3C3B"/>
    <w:rsid w:val="00FD51C8"/>
    <w:rsid w:val="00FE07DD"/>
    <w:rsid w:val="00FE0818"/>
    <w:rsid w:val="00FE2F8A"/>
    <w:rsid w:val="00FE6B45"/>
    <w:rsid w:val="00FF55F3"/>
    <w:rsid w:val="00FF5851"/>
    <w:rsid w:val="00FF702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eastAsia="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465A"/>
    <w:rPr>
      <w:i/>
      <w:iCs/>
    </w:rPr>
  </w:style>
  <w:style w:type="character" w:styleId="CommentReference">
    <w:name w:val="annotation reference"/>
    <w:basedOn w:val="DefaultParagraphFont"/>
    <w:uiPriority w:val="99"/>
    <w:semiHidden/>
    <w:unhideWhenUsed/>
    <w:rsid w:val="003C0907"/>
    <w:rPr>
      <w:sz w:val="16"/>
      <w:szCs w:val="16"/>
    </w:rPr>
  </w:style>
  <w:style w:type="paragraph" w:styleId="CommentText">
    <w:name w:val="annotation text"/>
    <w:basedOn w:val="Normal"/>
    <w:link w:val="CommentTextChar"/>
    <w:uiPriority w:val="99"/>
    <w:semiHidden/>
    <w:unhideWhenUsed/>
    <w:rsid w:val="003C0907"/>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3C0907"/>
    <w:rPr>
      <w:lang w:val="en-US" w:eastAsia="en-US"/>
    </w:rPr>
  </w:style>
  <w:style w:type="paragraph" w:styleId="CommentSubject">
    <w:name w:val="annotation subject"/>
    <w:basedOn w:val="CommentText"/>
    <w:next w:val="CommentText"/>
    <w:link w:val="CommentSubjectChar"/>
    <w:uiPriority w:val="99"/>
    <w:semiHidden/>
    <w:unhideWhenUsed/>
    <w:rsid w:val="003C0907"/>
    <w:rPr>
      <w:b/>
      <w:bCs/>
    </w:rPr>
  </w:style>
  <w:style w:type="character" w:customStyle="1" w:styleId="CommentSubjectChar">
    <w:name w:val="Comment Subject Char"/>
    <w:basedOn w:val="CommentTextChar"/>
    <w:link w:val="CommentSubject"/>
    <w:uiPriority w:val="99"/>
    <w:semiHidden/>
    <w:rsid w:val="003C0907"/>
    <w:rPr>
      <w:b/>
      <w:bCs/>
      <w:lang w:val="en-US" w:eastAsia="en-US"/>
    </w:rPr>
  </w:style>
  <w:style w:type="paragraph" w:styleId="Revision">
    <w:name w:val="Revision"/>
    <w:hidden/>
    <w:uiPriority w:val="99"/>
    <w:semiHidden/>
    <w:rsid w:val="003C09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B3147B"/>
    <w:pPr>
      <w:spacing w:before="100" w:beforeAutospacing="1" w:after="100" w:afterAutospacing="1"/>
    </w:pPr>
  </w:style>
  <w:style w:type="character" w:customStyle="1" w:styleId="apple-converted-space">
    <w:name w:val="apple-converted-space"/>
    <w:basedOn w:val="DefaultParagraphFont"/>
    <w:rsid w:val="00B3147B"/>
  </w:style>
  <w:style w:type="character" w:styleId="FollowedHyperlink">
    <w:name w:val="FollowedHyperlink"/>
    <w:basedOn w:val="DefaultParagraphFont"/>
    <w:uiPriority w:val="99"/>
    <w:semiHidden/>
    <w:unhideWhenUsed/>
    <w:rsid w:val="00B3147B"/>
    <w:rPr>
      <w:color w:val="800080" w:themeColor="followedHyperlink"/>
      <w:u w:val="single"/>
    </w:rPr>
  </w:style>
  <w:style w:type="character" w:styleId="Strong">
    <w:name w:val="Strong"/>
    <w:basedOn w:val="DefaultParagraphFont"/>
    <w:uiPriority w:val="22"/>
    <w:qFormat/>
    <w:rsid w:val="00674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358">
      <w:bodyDiv w:val="1"/>
      <w:marLeft w:val="0"/>
      <w:marRight w:val="0"/>
      <w:marTop w:val="0"/>
      <w:marBottom w:val="0"/>
      <w:divBdr>
        <w:top w:val="none" w:sz="0" w:space="0" w:color="auto"/>
        <w:left w:val="none" w:sz="0" w:space="0" w:color="auto"/>
        <w:bottom w:val="none" w:sz="0" w:space="0" w:color="auto"/>
        <w:right w:val="none" w:sz="0" w:space="0" w:color="auto"/>
      </w:divBdr>
    </w:div>
    <w:div w:id="215969591">
      <w:bodyDiv w:val="1"/>
      <w:marLeft w:val="0"/>
      <w:marRight w:val="0"/>
      <w:marTop w:val="0"/>
      <w:marBottom w:val="0"/>
      <w:divBdr>
        <w:top w:val="none" w:sz="0" w:space="0" w:color="auto"/>
        <w:left w:val="none" w:sz="0" w:space="0" w:color="auto"/>
        <w:bottom w:val="none" w:sz="0" w:space="0" w:color="auto"/>
        <w:right w:val="none" w:sz="0" w:space="0" w:color="auto"/>
      </w:divBdr>
      <w:divsChild>
        <w:div w:id="960845660">
          <w:marLeft w:val="0"/>
          <w:marRight w:val="0"/>
          <w:marTop w:val="0"/>
          <w:marBottom w:val="0"/>
          <w:divBdr>
            <w:top w:val="none" w:sz="0" w:space="0" w:color="auto"/>
            <w:left w:val="none" w:sz="0" w:space="0" w:color="auto"/>
            <w:bottom w:val="none" w:sz="0" w:space="0" w:color="auto"/>
            <w:right w:val="none" w:sz="0" w:space="0" w:color="auto"/>
          </w:divBdr>
          <w:divsChild>
            <w:div w:id="474374147">
              <w:marLeft w:val="0"/>
              <w:marRight w:val="0"/>
              <w:marTop w:val="0"/>
              <w:marBottom w:val="0"/>
              <w:divBdr>
                <w:top w:val="none" w:sz="0" w:space="0" w:color="auto"/>
                <w:left w:val="none" w:sz="0" w:space="0" w:color="auto"/>
                <w:bottom w:val="none" w:sz="0" w:space="0" w:color="auto"/>
                <w:right w:val="none" w:sz="0" w:space="0" w:color="auto"/>
              </w:divBdr>
              <w:divsChild>
                <w:div w:id="544950461">
                  <w:marLeft w:val="0"/>
                  <w:marRight w:val="0"/>
                  <w:marTop w:val="0"/>
                  <w:marBottom w:val="0"/>
                  <w:divBdr>
                    <w:top w:val="none" w:sz="0" w:space="0" w:color="auto"/>
                    <w:left w:val="none" w:sz="0" w:space="0" w:color="auto"/>
                    <w:bottom w:val="none" w:sz="0" w:space="0" w:color="auto"/>
                    <w:right w:val="none" w:sz="0" w:space="0" w:color="auto"/>
                  </w:divBdr>
                </w:div>
              </w:divsChild>
            </w:div>
            <w:div w:id="949897109">
              <w:marLeft w:val="0"/>
              <w:marRight w:val="0"/>
              <w:marTop w:val="0"/>
              <w:marBottom w:val="0"/>
              <w:divBdr>
                <w:top w:val="none" w:sz="0" w:space="0" w:color="auto"/>
                <w:left w:val="none" w:sz="0" w:space="0" w:color="auto"/>
                <w:bottom w:val="none" w:sz="0" w:space="0" w:color="auto"/>
                <w:right w:val="none" w:sz="0" w:space="0" w:color="auto"/>
              </w:divBdr>
              <w:divsChild>
                <w:div w:id="2138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4358">
      <w:bodyDiv w:val="1"/>
      <w:marLeft w:val="0"/>
      <w:marRight w:val="0"/>
      <w:marTop w:val="0"/>
      <w:marBottom w:val="0"/>
      <w:divBdr>
        <w:top w:val="none" w:sz="0" w:space="0" w:color="auto"/>
        <w:left w:val="none" w:sz="0" w:space="0" w:color="auto"/>
        <w:bottom w:val="none" w:sz="0" w:space="0" w:color="auto"/>
        <w:right w:val="none" w:sz="0" w:space="0" w:color="auto"/>
      </w:divBdr>
      <w:divsChild>
        <w:div w:id="379742543">
          <w:marLeft w:val="0"/>
          <w:marRight w:val="0"/>
          <w:marTop w:val="0"/>
          <w:marBottom w:val="0"/>
          <w:divBdr>
            <w:top w:val="none" w:sz="0" w:space="0" w:color="auto"/>
            <w:left w:val="none" w:sz="0" w:space="0" w:color="auto"/>
            <w:bottom w:val="none" w:sz="0" w:space="0" w:color="auto"/>
            <w:right w:val="none" w:sz="0" w:space="0" w:color="auto"/>
          </w:divBdr>
        </w:div>
        <w:div w:id="543099418">
          <w:marLeft w:val="0"/>
          <w:marRight w:val="0"/>
          <w:marTop w:val="0"/>
          <w:marBottom w:val="0"/>
          <w:divBdr>
            <w:top w:val="none" w:sz="0" w:space="0" w:color="auto"/>
            <w:left w:val="none" w:sz="0" w:space="0" w:color="auto"/>
            <w:bottom w:val="none" w:sz="0" w:space="0" w:color="auto"/>
            <w:right w:val="none" w:sz="0" w:space="0" w:color="auto"/>
          </w:divBdr>
        </w:div>
      </w:divsChild>
    </w:div>
    <w:div w:id="437069115">
      <w:bodyDiv w:val="1"/>
      <w:marLeft w:val="0"/>
      <w:marRight w:val="0"/>
      <w:marTop w:val="0"/>
      <w:marBottom w:val="0"/>
      <w:divBdr>
        <w:top w:val="none" w:sz="0" w:space="0" w:color="auto"/>
        <w:left w:val="none" w:sz="0" w:space="0" w:color="auto"/>
        <w:bottom w:val="none" w:sz="0" w:space="0" w:color="auto"/>
        <w:right w:val="none" w:sz="0" w:space="0" w:color="auto"/>
      </w:divBdr>
    </w:div>
    <w:div w:id="568879276">
      <w:bodyDiv w:val="1"/>
      <w:marLeft w:val="0"/>
      <w:marRight w:val="0"/>
      <w:marTop w:val="0"/>
      <w:marBottom w:val="0"/>
      <w:divBdr>
        <w:top w:val="none" w:sz="0" w:space="0" w:color="auto"/>
        <w:left w:val="none" w:sz="0" w:space="0" w:color="auto"/>
        <w:bottom w:val="none" w:sz="0" w:space="0" w:color="auto"/>
        <w:right w:val="none" w:sz="0" w:space="0" w:color="auto"/>
      </w:divBdr>
    </w:div>
    <w:div w:id="573244828">
      <w:bodyDiv w:val="1"/>
      <w:marLeft w:val="0"/>
      <w:marRight w:val="0"/>
      <w:marTop w:val="0"/>
      <w:marBottom w:val="0"/>
      <w:divBdr>
        <w:top w:val="none" w:sz="0" w:space="0" w:color="auto"/>
        <w:left w:val="none" w:sz="0" w:space="0" w:color="auto"/>
        <w:bottom w:val="none" w:sz="0" w:space="0" w:color="auto"/>
        <w:right w:val="none" w:sz="0" w:space="0" w:color="auto"/>
      </w:divBdr>
    </w:div>
    <w:div w:id="76076439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37">
          <w:marLeft w:val="0"/>
          <w:marRight w:val="0"/>
          <w:marTop w:val="0"/>
          <w:marBottom w:val="0"/>
          <w:divBdr>
            <w:top w:val="none" w:sz="0" w:space="0" w:color="auto"/>
            <w:left w:val="none" w:sz="0" w:space="0" w:color="auto"/>
            <w:bottom w:val="none" w:sz="0" w:space="0" w:color="auto"/>
            <w:right w:val="none" w:sz="0" w:space="0" w:color="auto"/>
          </w:divBdr>
          <w:divsChild>
            <w:div w:id="20482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2096">
      <w:bodyDiv w:val="1"/>
      <w:marLeft w:val="0"/>
      <w:marRight w:val="0"/>
      <w:marTop w:val="0"/>
      <w:marBottom w:val="0"/>
      <w:divBdr>
        <w:top w:val="none" w:sz="0" w:space="0" w:color="auto"/>
        <w:left w:val="none" w:sz="0" w:space="0" w:color="auto"/>
        <w:bottom w:val="none" w:sz="0" w:space="0" w:color="auto"/>
        <w:right w:val="none" w:sz="0" w:space="0" w:color="auto"/>
      </w:divBdr>
    </w:div>
    <w:div w:id="880705291">
      <w:bodyDiv w:val="1"/>
      <w:marLeft w:val="0"/>
      <w:marRight w:val="0"/>
      <w:marTop w:val="0"/>
      <w:marBottom w:val="0"/>
      <w:divBdr>
        <w:top w:val="none" w:sz="0" w:space="0" w:color="auto"/>
        <w:left w:val="none" w:sz="0" w:space="0" w:color="auto"/>
        <w:bottom w:val="none" w:sz="0" w:space="0" w:color="auto"/>
        <w:right w:val="none" w:sz="0" w:space="0" w:color="auto"/>
      </w:divBdr>
      <w:divsChild>
        <w:div w:id="276252875">
          <w:blockQuote w:val="1"/>
          <w:marLeft w:val="720"/>
          <w:marRight w:val="720"/>
          <w:marTop w:val="100"/>
          <w:marBottom w:val="100"/>
          <w:divBdr>
            <w:top w:val="single" w:sz="24" w:space="0" w:color="E84B37"/>
            <w:left w:val="none" w:sz="0" w:space="0" w:color="auto"/>
            <w:bottom w:val="none" w:sz="0" w:space="0" w:color="auto"/>
            <w:right w:val="none" w:sz="0" w:space="0" w:color="auto"/>
          </w:divBdr>
        </w:div>
      </w:divsChild>
    </w:div>
    <w:div w:id="1028339150">
      <w:bodyDiv w:val="1"/>
      <w:marLeft w:val="0"/>
      <w:marRight w:val="0"/>
      <w:marTop w:val="0"/>
      <w:marBottom w:val="0"/>
      <w:divBdr>
        <w:top w:val="none" w:sz="0" w:space="0" w:color="auto"/>
        <w:left w:val="none" w:sz="0" w:space="0" w:color="auto"/>
        <w:bottom w:val="none" w:sz="0" w:space="0" w:color="auto"/>
        <w:right w:val="none" w:sz="0" w:space="0" w:color="auto"/>
      </w:divBdr>
    </w:div>
    <w:div w:id="1059669606">
      <w:bodyDiv w:val="1"/>
      <w:marLeft w:val="0"/>
      <w:marRight w:val="0"/>
      <w:marTop w:val="0"/>
      <w:marBottom w:val="0"/>
      <w:divBdr>
        <w:top w:val="none" w:sz="0" w:space="0" w:color="auto"/>
        <w:left w:val="none" w:sz="0" w:space="0" w:color="auto"/>
        <w:bottom w:val="none" w:sz="0" w:space="0" w:color="auto"/>
        <w:right w:val="none" w:sz="0" w:space="0" w:color="auto"/>
      </w:divBdr>
    </w:div>
    <w:div w:id="1194688192">
      <w:bodyDiv w:val="1"/>
      <w:marLeft w:val="0"/>
      <w:marRight w:val="0"/>
      <w:marTop w:val="0"/>
      <w:marBottom w:val="0"/>
      <w:divBdr>
        <w:top w:val="none" w:sz="0" w:space="0" w:color="auto"/>
        <w:left w:val="none" w:sz="0" w:space="0" w:color="auto"/>
        <w:bottom w:val="none" w:sz="0" w:space="0" w:color="auto"/>
        <w:right w:val="none" w:sz="0" w:space="0" w:color="auto"/>
      </w:divBdr>
    </w:div>
    <w:div w:id="1335566628">
      <w:bodyDiv w:val="1"/>
      <w:marLeft w:val="0"/>
      <w:marRight w:val="0"/>
      <w:marTop w:val="0"/>
      <w:marBottom w:val="0"/>
      <w:divBdr>
        <w:top w:val="none" w:sz="0" w:space="0" w:color="auto"/>
        <w:left w:val="none" w:sz="0" w:space="0" w:color="auto"/>
        <w:bottom w:val="none" w:sz="0" w:space="0" w:color="auto"/>
        <w:right w:val="none" w:sz="0" w:space="0" w:color="auto"/>
      </w:divBdr>
    </w:div>
    <w:div w:id="1378550292">
      <w:bodyDiv w:val="1"/>
      <w:marLeft w:val="0"/>
      <w:marRight w:val="0"/>
      <w:marTop w:val="0"/>
      <w:marBottom w:val="0"/>
      <w:divBdr>
        <w:top w:val="none" w:sz="0" w:space="0" w:color="auto"/>
        <w:left w:val="none" w:sz="0" w:space="0" w:color="auto"/>
        <w:bottom w:val="none" w:sz="0" w:space="0" w:color="auto"/>
        <w:right w:val="none" w:sz="0" w:space="0" w:color="auto"/>
      </w:divBdr>
    </w:div>
    <w:div w:id="1543905370">
      <w:bodyDiv w:val="1"/>
      <w:marLeft w:val="0"/>
      <w:marRight w:val="0"/>
      <w:marTop w:val="0"/>
      <w:marBottom w:val="0"/>
      <w:divBdr>
        <w:top w:val="none" w:sz="0" w:space="0" w:color="auto"/>
        <w:left w:val="none" w:sz="0" w:space="0" w:color="auto"/>
        <w:bottom w:val="none" w:sz="0" w:space="0" w:color="auto"/>
        <w:right w:val="none" w:sz="0" w:space="0" w:color="auto"/>
      </w:divBdr>
    </w:div>
    <w:div w:id="1718582940">
      <w:bodyDiv w:val="1"/>
      <w:marLeft w:val="0"/>
      <w:marRight w:val="0"/>
      <w:marTop w:val="0"/>
      <w:marBottom w:val="0"/>
      <w:divBdr>
        <w:top w:val="none" w:sz="0" w:space="0" w:color="auto"/>
        <w:left w:val="none" w:sz="0" w:space="0" w:color="auto"/>
        <w:bottom w:val="none" w:sz="0" w:space="0" w:color="auto"/>
        <w:right w:val="none" w:sz="0" w:space="0" w:color="auto"/>
      </w:divBdr>
      <w:divsChild>
        <w:div w:id="151726028">
          <w:marLeft w:val="0"/>
          <w:marRight w:val="150"/>
          <w:marTop w:val="0"/>
          <w:marBottom w:val="0"/>
          <w:divBdr>
            <w:top w:val="none" w:sz="0" w:space="0" w:color="auto"/>
            <w:left w:val="none" w:sz="0" w:space="0" w:color="auto"/>
            <w:bottom w:val="none" w:sz="0" w:space="0" w:color="auto"/>
            <w:right w:val="none" w:sz="0" w:space="0" w:color="auto"/>
          </w:divBdr>
        </w:div>
        <w:div w:id="1506281468">
          <w:marLeft w:val="600"/>
          <w:marRight w:val="225"/>
          <w:marTop w:val="225"/>
          <w:marBottom w:val="225"/>
          <w:divBdr>
            <w:top w:val="none" w:sz="0" w:space="0" w:color="auto"/>
            <w:left w:val="none" w:sz="0" w:space="0" w:color="auto"/>
            <w:bottom w:val="none" w:sz="0" w:space="0" w:color="auto"/>
            <w:right w:val="none" w:sz="0" w:space="0" w:color="auto"/>
          </w:divBdr>
        </w:div>
      </w:divsChild>
    </w:div>
    <w:div w:id="1747266227">
      <w:bodyDiv w:val="1"/>
      <w:marLeft w:val="0"/>
      <w:marRight w:val="0"/>
      <w:marTop w:val="0"/>
      <w:marBottom w:val="0"/>
      <w:divBdr>
        <w:top w:val="none" w:sz="0" w:space="0" w:color="auto"/>
        <w:left w:val="none" w:sz="0" w:space="0" w:color="auto"/>
        <w:bottom w:val="none" w:sz="0" w:space="0" w:color="auto"/>
        <w:right w:val="none" w:sz="0" w:space="0" w:color="auto"/>
      </w:divBdr>
      <w:divsChild>
        <w:div w:id="2057004222">
          <w:marLeft w:val="0"/>
          <w:marRight w:val="0"/>
          <w:marTop w:val="0"/>
          <w:marBottom w:val="0"/>
          <w:divBdr>
            <w:top w:val="none" w:sz="0" w:space="0" w:color="auto"/>
            <w:left w:val="none" w:sz="0" w:space="0" w:color="auto"/>
            <w:bottom w:val="none" w:sz="0" w:space="0" w:color="auto"/>
            <w:right w:val="none" w:sz="0" w:space="0" w:color="auto"/>
          </w:divBdr>
          <w:divsChild>
            <w:div w:id="1341933126">
              <w:marLeft w:val="0"/>
              <w:marRight w:val="0"/>
              <w:marTop w:val="0"/>
              <w:marBottom w:val="0"/>
              <w:divBdr>
                <w:top w:val="none" w:sz="0" w:space="0" w:color="auto"/>
                <w:left w:val="none" w:sz="0" w:space="0" w:color="auto"/>
                <w:bottom w:val="none" w:sz="0" w:space="0" w:color="auto"/>
                <w:right w:val="none" w:sz="0" w:space="0" w:color="auto"/>
              </w:divBdr>
              <w:divsChild>
                <w:div w:id="1749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3231728">
      <w:bodyDiv w:val="1"/>
      <w:marLeft w:val="0"/>
      <w:marRight w:val="0"/>
      <w:marTop w:val="0"/>
      <w:marBottom w:val="0"/>
      <w:divBdr>
        <w:top w:val="none" w:sz="0" w:space="0" w:color="auto"/>
        <w:left w:val="none" w:sz="0" w:space="0" w:color="auto"/>
        <w:bottom w:val="none" w:sz="0" w:space="0" w:color="auto"/>
        <w:right w:val="none" w:sz="0" w:space="0" w:color="auto"/>
      </w:divBdr>
    </w:div>
    <w:div w:id="1982268214">
      <w:bodyDiv w:val="1"/>
      <w:marLeft w:val="0"/>
      <w:marRight w:val="0"/>
      <w:marTop w:val="0"/>
      <w:marBottom w:val="0"/>
      <w:divBdr>
        <w:top w:val="none" w:sz="0" w:space="0" w:color="auto"/>
        <w:left w:val="none" w:sz="0" w:space="0" w:color="auto"/>
        <w:bottom w:val="none" w:sz="0" w:space="0" w:color="auto"/>
        <w:right w:val="none" w:sz="0" w:space="0" w:color="auto"/>
      </w:divBdr>
      <w:divsChild>
        <w:div w:id="837576074">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15903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14383</Characters>
  <Application>Microsoft Office Word</Application>
  <DocSecurity>0</DocSecurity>
  <Lines>266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358/21</dc:title>
  <dc:creator/>
  <cp:lastModifiedBy/>
  <cp:revision>1</cp:revision>
  <dcterms:created xsi:type="dcterms:W3CDTF">2022-02-09T17:12:00Z</dcterms:created>
  <dcterms:modified xsi:type="dcterms:W3CDTF">2022-02-09T17:12:00Z</dcterms:modified>
</cp:coreProperties>
</file>